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E591E" w14:textId="77777777" w:rsidR="004940B6" w:rsidRPr="00BB53D3" w:rsidRDefault="004940B6" w:rsidP="00984A6F">
      <w:pPr>
        <w:keepNext w:val="0"/>
      </w:pPr>
      <w:bookmarkStart w:id="0" w:name="_Toc535046577"/>
    </w:p>
    <w:p w14:paraId="0E0D8A3A" w14:textId="77777777" w:rsidR="004940B6" w:rsidRPr="00BB53D3" w:rsidRDefault="004940B6" w:rsidP="00984A6F">
      <w:pPr>
        <w:keepNext w:val="0"/>
      </w:pPr>
    </w:p>
    <w:p w14:paraId="387C7AA2" w14:textId="77777777" w:rsidR="004940B6" w:rsidRPr="00BB53D3" w:rsidRDefault="004940B6" w:rsidP="00984A6F">
      <w:pPr>
        <w:keepNext w:val="0"/>
      </w:pPr>
    </w:p>
    <w:p w14:paraId="1A796F19" w14:textId="77777777" w:rsidR="004940B6" w:rsidRPr="00226EC6" w:rsidRDefault="004940B6" w:rsidP="00984A6F">
      <w:pPr>
        <w:keepNext w:val="0"/>
        <w:rPr>
          <w:rFonts w:cs="Arial"/>
          <w:spacing w:val="-3"/>
        </w:rPr>
      </w:pPr>
    </w:p>
    <w:p w14:paraId="3FA7C82E" w14:textId="77777777" w:rsidR="004940B6" w:rsidRPr="00026EC1" w:rsidRDefault="004940B6" w:rsidP="00984A6F">
      <w:pPr>
        <w:keepNext w:val="0"/>
        <w:rPr>
          <w:b/>
          <w:smallCaps/>
        </w:rPr>
      </w:pPr>
      <w:r w:rsidRPr="00026EC1">
        <w:rPr>
          <w:b/>
          <w:smallCaps/>
        </w:rPr>
        <w:t>ENTENTE INTERVENUE ENTRE</w:t>
      </w:r>
    </w:p>
    <w:p w14:paraId="22B76C19" w14:textId="77777777" w:rsidR="004940B6" w:rsidRPr="00026EC1" w:rsidRDefault="004940B6" w:rsidP="00984A6F">
      <w:pPr>
        <w:keepNext w:val="0"/>
        <w:rPr>
          <w:smallCaps/>
        </w:rPr>
      </w:pPr>
    </w:p>
    <w:p w14:paraId="71BAB752" w14:textId="77777777" w:rsidR="004940B6" w:rsidRPr="00026EC1" w:rsidRDefault="004940B6" w:rsidP="00984A6F">
      <w:pPr>
        <w:keepNext w:val="0"/>
        <w:rPr>
          <w:b/>
          <w:smallCaps/>
        </w:rPr>
      </w:pPr>
    </w:p>
    <w:p w14:paraId="2317C67E" w14:textId="77777777" w:rsidR="004940B6" w:rsidRPr="00026EC1" w:rsidRDefault="004940B6" w:rsidP="00984A6F">
      <w:pPr>
        <w:keepNext w:val="0"/>
        <w:rPr>
          <w:b/>
          <w:smallCaps/>
        </w:rPr>
      </w:pPr>
    </w:p>
    <w:p w14:paraId="6226936F" w14:textId="77777777" w:rsidR="004940B6" w:rsidRPr="00026EC1" w:rsidRDefault="004940B6" w:rsidP="00984A6F">
      <w:pPr>
        <w:keepNext w:val="0"/>
        <w:rPr>
          <w:b/>
          <w:smallCaps/>
        </w:rPr>
      </w:pPr>
      <w:r w:rsidRPr="00026EC1">
        <w:rPr>
          <w:b/>
          <w:smallCaps/>
        </w:rPr>
        <w:t>d</w:t>
      </w:r>
      <w:r w:rsidR="004A41E4" w:rsidRPr="00026EC1">
        <w:rPr>
          <w:b/>
          <w:smallCaps/>
        </w:rPr>
        <w:t>’</w:t>
      </w:r>
      <w:r w:rsidRPr="00026EC1">
        <w:rPr>
          <w:b/>
          <w:smallCaps/>
        </w:rPr>
        <w:t>une part,</w:t>
      </w:r>
    </w:p>
    <w:p w14:paraId="7CF2E3FC" w14:textId="77777777" w:rsidR="004940B6" w:rsidRPr="00026EC1" w:rsidRDefault="004940B6" w:rsidP="00984A6F">
      <w:pPr>
        <w:keepNext w:val="0"/>
        <w:rPr>
          <w:b/>
          <w:smallCaps/>
        </w:rPr>
      </w:pPr>
    </w:p>
    <w:p w14:paraId="0D213283" w14:textId="77777777" w:rsidR="004940B6" w:rsidRPr="00026EC1" w:rsidRDefault="004940B6" w:rsidP="00984A6F">
      <w:pPr>
        <w:keepNext w:val="0"/>
        <w:rPr>
          <w:b/>
          <w:smallCaps/>
        </w:rPr>
      </w:pPr>
    </w:p>
    <w:p w14:paraId="4D9B77B9" w14:textId="77777777" w:rsidR="004940B6" w:rsidRPr="00026EC1" w:rsidRDefault="00903F62" w:rsidP="00984A6F">
      <w:pPr>
        <w:keepNext w:val="0"/>
        <w:tabs>
          <w:tab w:val="left" w:pos="426"/>
        </w:tabs>
        <w:ind w:left="475" w:hanging="475"/>
        <w:rPr>
          <w:b/>
          <w:smallCaps/>
        </w:rPr>
      </w:pPr>
      <w:r w:rsidRPr="00026EC1">
        <w:rPr>
          <w:b/>
          <w:smallCaps/>
        </w:rPr>
        <w:tab/>
        <w:t>La Fédération nationale des ens</w:t>
      </w:r>
      <w:r w:rsidR="004940B6" w:rsidRPr="00026EC1">
        <w:rPr>
          <w:b/>
          <w:smallCaps/>
        </w:rPr>
        <w:t>eignantes et des enseignants du Québec</w:t>
      </w:r>
    </w:p>
    <w:p w14:paraId="604CCD85" w14:textId="77777777" w:rsidR="004940B6" w:rsidRPr="00026EC1" w:rsidRDefault="004940B6" w:rsidP="00984A6F">
      <w:pPr>
        <w:keepNext w:val="0"/>
        <w:tabs>
          <w:tab w:val="left" w:pos="426"/>
        </w:tabs>
        <w:ind w:left="475" w:hanging="475"/>
        <w:rPr>
          <w:b/>
          <w:smallCaps/>
        </w:rPr>
      </w:pPr>
      <w:r w:rsidRPr="00026EC1">
        <w:rPr>
          <w:b/>
          <w:smallCaps/>
        </w:rPr>
        <w:tab/>
        <w:t>(FNEEQ (CSN))</w:t>
      </w:r>
    </w:p>
    <w:p w14:paraId="7D7554EF" w14:textId="77777777" w:rsidR="004940B6" w:rsidRPr="00026EC1" w:rsidRDefault="004940B6" w:rsidP="00984A6F">
      <w:pPr>
        <w:keepNext w:val="0"/>
        <w:rPr>
          <w:b/>
          <w:smallCaps/>
        </w:rPr>
      </w:pPr>
    </w:p>
    <w:p w14:paraId="19484B10" w14:textId="77777777" w:rsidR="004940B6" w:rsidRPr="00026EC1" w:rsidRDefault="004940B6" w:rsidP="00984A6F">
      <w:pPr>
        <w:keepNext w:val="0"/>
        <w:rPr>
          <w:b/>
          <w:smallCaps/>
        </w:rPr>
      </w:pPr>
    </w:p>
    <w:p w14:paraId="05747092" w14:textId="77777777" w:rsidR="004940B6" w:rsidRPr="00026EC1" w:rsidRDefault="004940B6" w:rsidP="00984A6F">
      <w:pPr>
        <w:keepNext w:val="0"/>
        <w:rPr>
          <w:b/>
          <w:smallCaps/>
        </w:rPr>
      </w:pPr>
    </w:p>
    <w:p w14:paraId="5F0F36A7" w14:textId="77777777" w:rsidR="004940B6" w:rsidRPr="00026EC1" w:rsidRDefault="004940B6" w:rsidP="00984A6F">
      <w:pPr>
        <w:keepNext w:val="0"/>
        <w:rPr>
          <w:b/>
          <w:smallCaps/>
        </w:rPr>
      </w:pPr>
    </w:p>
    <w:p w14:paraId="65B0858C" w14:textId="77777777" w:rsidR="004940B6" w:rsidRPr="00026EC1" w:rsidRDefault="004940B6" w:rsidP="00984A6F">
      <w:pPr>
        <w:keepNext w:val="0"/>
        <w:rPr>
          <w:b/>
          <w:smallCaps/>
        </w:rPr>
      </w:pPr>
      <w:r w:rsidRPr="00026EC1">
        <w:rPr>
          <w:b/>
          <w:smallCaps/>
        </w:rPr>
        <w:t>et</w:t>
      </w:r>
    </w:p>
    <w:p w14:paraId="400046BE" w14:textId="77777777" w:rsidR="004940B6" w:rsidRPr="00026EC1" w:rsidRDefault="004940B6" w:rsidP="00984A6F">
      <w:pPr>
        <w:keepNext w:val="0"/>
        <w:rPr>
          <w:b/>
          <w:smallCaps/>
        </w:rPr>
      </w:pPr>
    </w:p>
    <w:p w14:paraId="65A6BCAA" w14:textId="77777777" w:rsidR="004940B6" w:rsidRPr="00026EC1" w:rsidRDefault="004940B6" w:rsidP="00984A6F">
      <w:pPr>
        <w:keepNext w:val="0"/>
        <w:rPr>
          <w:b/>
          <w:smallCaps/>
        </w:rPr>
      </w:pPr>
    </w:p>
    <w:p w14:paraId="48A0B733" w14:textId="77777777" w:rsidR="004940B6" w:rsidRPr="00026EC1" w:rsidRDefault="004940B6" w:rsidP="00984A6F">
      <w:pPr>
        <w:keepNext w:val="0"/>
        <w:rPr>
          <w:b/>
          <w:smallCaps/>
        </w:rPr>
      </w:pPr>
    </w:p>
    <w:p w14:paraId="58A0F984" w14:textId="77777777" w:rsidR="004940B6" w:rsidRPr="00026EC1" w:rsidRDefault="004940B6" w:rsidP="00984A6F">
      <w:pPr>
        <w:keepNext w:val="0"/>
        <w:rPr>
          <w:b/>
          <w:smallCaps/>
        </w:rPr>
      </w:pPr>
    </w:p>
    <w:p w14:paraId="32911C90" w14:textId="77777777" w:rsidR="004940B6" w:rsidRPr="00026EC1" w:rsidRDefault="004940B6" w:rsidP="00984A6F">
      <w:pPr>
        <w:keepNext w:val="0"/>
        <w:rPr>
          <w:b/>
          <w:smallCaps/>
        </w:rPr>
      </w:pPr>
      <w:r w:rsidRPr="00026EC1">
        <w:rPr>
          <w:b/>
          <w:smallCaps/>
        </w:rPr>
        <w:t>d</w:t>
      </w:r>
      <w:r w:rsidR="004A41E4" w:rsidRPr="00026EC1">
        <w:rPr>
          <w:b/>
          <w:smallCaps/>
        </w:rPr>
        <w:t>’</w:t>
      </w:r>
      <w:r w:rsidRPr="00026EC1">
        <w:rPr>
          <w:b/>
          <w:smallCaps/>
        </w:rPr>
        <w:t>autre part,</w:t>
      </w:r>
    </w:p>
    <w:p w14:paraId="04019177" w14:textId="77777777" w:rsidR="004940B6" w:rsidRPr="00026EC1" w:rsidRDefault="004940B6" w:rsidP="00984A6F">
      <w:pPr>
        <w:keepNext w:val="0"/>
        <w:rPr>
          <w:b/>
          <w:smallCaps/>
        </w:rPr>
      </w:pPr>
    </w:p>
    <w:p w14:paraId="4B362AD7" w14:textId="77777777" w:rsidR="004940B6" w:rsidRPr="00026EC1" w:rsidRDefault="004940B6" w:rsidP="00984A6F">
      <w:pPr>
        <w:keepNext w:val="0"/>
        <w:rPr>
          <w:b/>
          <w:smallCaps/>
        </w:rPr>
      </w:pPr>
    </w:p>
    <w:p w14:paraId="7816652D" w14:textId="77777777" w:rsidR="004940B6" w:rsidRPr="00026EC1" w:rsidRDefault="004940B6" w:rsidP="00984A6F">
      <w:pPr>
        <w:keepNext w:val="0"/>
        <w:tabs>
          <w:tab w:val="left" w:pos="426"/>
        </w:tabs>
        <w:ind w:left="475" w:hanging="475"/>
        <w:rPr>
          <w:b/>
          <w:smallCaps/>
        </w:rPr>
      </w:pPr>
      <w:r w:rsidRPr="00026EC1">
        <w:rPr>
          <w:b/>
          <w:smallCaps/>
        </w:rPr>
        <w:tab/>
        <w:t>Le Comité patronal de négociation des collèges (CPNC)</w:t>
      </w:r>
    </w:p>
    <w:p w14:paraId="0E345ED8" w14:textId="77777777" w:rsidR="004940B6" w:rsidRPr="00026EC1" w:rsidRDefault="004940B6" w:rsidP="00984A6F">
      <w:pPr>
        <w:keepNext w:val="0"/>
        <w:tabs>
          <w:tab w:val="left" w:pos="426"/>
        </w:tabs>
        <w:rPr>
          <w:b/>
          <w:smallCaps/>
        </w:rPr>
      </w:pPr>
    </w:p>
    <w:p w14:paraId="0A2742BD" w14:textId="77777777" w:rsidR="004940B6" w:rsidRPr="00026EC1" w:rsidRDefault="004940B6" w:rsidP="00984A6F">
      <w:pPr>
        <w:keepNext w:val="0"/>
        <w:rPr>
          <w:b/>
          <w:smallCaps/>
        </w:rPr>
      </w:pPr>
    </w:p>
    <w:p w14:paraId="1F37FDF7" w14:textId="77777777" w:rsidR="004940B6" w:rsidRPr="00026EC1" w:rsidRDefault="004940B6" w:rsidP="00984A6F">
      <w:pPr>
        <w:keepNext w:val="0"/>
        <w:rPr>
          <w:b/>
          <w:smallCaps/>
        </w:rPr>
      </w:pPr>
    </w:p>
    <w:p w14:paraId="4216B423" w14:textId="77777777" w:rsidR="004940B6" w:rsidRPr="00026EC1" w:rsidRDefault="004940B6" w:rsidP="00984A6F">
      <w:pPr>
        <w:keepNext w:val="0"/>
        <w:rPr>
          <w:b/>
          <w:smallCaps/>
        </w:rPr>
      </w:pPr>
    </w:p>
    <w:p w14:paraId="7C098086" w14:textId="77777777" w:rsidR="004940B6" w:rsidRPr="00026EC1" w:rsidRDefault="004940B6" w:rsidP="00984A6F">
      <w:pPr>
        <w:keepNext w:val="0"/>
        <w:rPr>
          <w:b/>
          <w:smallCaps/>
        </w:rPr>
      </w:pPr>
    </w:p>
    <w:p w14:paraId="13947E68" w14:textId="77777777" w:rsidR="006A3FD9" w:rsidRPr="00026EC1" w:rsidRDefault="006A3FD9" w:rsidP="00984A6F">
      <w:pPr>
        <w:keepNext w:val="0"/>
        <w:jc w:val="center"/>
        <w:rPr>
          <w:b/>
        </w:rPr>
      </w:pPr>
      <w:r w:rsidRPr="00026EC1">
        <w:rPr>
          <w:b/>
        </w:rPr>
        <w:t>SELON LES DISPOSITIONS DE LA LOI SUR LE RÉGIME DE NÉGOCIATION</w:t>
      </w:r>
    </w:p>
    <w:p w14:paraId="42C21AA5" w14:textId="77777777" w:rsidR="006A3FD9" w:rsidRPr="00026EC1" w:rsidRDefault="006A3FD9" w:rsidP="00984A6F">
      <w:pPr>
        <w:keepNext w:val="0"/>
        <w:jc w:val="center"/>
        <w:rPr>
          <w:b/>
        </w:rPr>
      </w:pPr>
      <w:r w:rsidRPr="00026EC1">
        <w:rPr>
          <w:b/>
        </w:rPr>
        <w:t>DES CONVENTIONS COLLECTIVES DANS LES SECTEURS</w:t>
      </w:r>
    </w:p>
    <w:p w14:paraId="2B8514FE" w14:textId="542F8DB1" w:rsidR="006A3FD9" w:rsidRPr="00026EC1" w:rsidRDefault="006A3FD9" w:rsidP="00984A6F">
      <w:pPr>
        <w:keepNext w:val="0"/>
        <w:jc w:val="center"/>
        <w:rPr>
          <w:b/>
          <w:u w:val="single"/>
        </w:rPr>
      </w:pPr>
      <w:r w:rsidRPr="00026EC1">
        <w:rPr>
          <w:b/>
        </w:rPr>
        <w:t>PUBLIC ET PARAPUBLIC</w:t>
      </w:r>
      <w:r w:rsidRPr="00026EC1">
        <w:rPr>
          <w:b/>
          <w:i/>
        </w:rPr>
        <w:t xml:space="preserve"> </w:t>
      </w:r>
      <w:r w:rsidRPr="00026EC1">
        <w:rPr>
          <w:b/>
        </w:rPr>
        <w:t>(</w:t>
      </w:r>
      <w:r w:rsidR="00E3549C">
        <w:rPr>
          <w:rFonts w:cs="Arial"/>
          <w:b/>
          <w:szCs w:val="24"/>
        </w:rPr>
        <w:t>RLRQ, CHAPITRE</w:t>
      </w:r>
      <w:r w:rsidRPr="00026EC1">
        <w:rPr>
          <w:b/>
        </w:rPr>
        <w:t xml:space="preserve"> R</w:t>
      </w:r>
      <w:r w:rsidR="00984A6F">
        <w:rPr>
          <w:b/>
        </w:rPr>
        <w:noBreakHyphen/>
      </w:r>
      <w:r w:rsidRPr="00026EC1">
        <w:rPr>
          <w:b/>
        </w:rPr>
        <w:t>8.2)</w:t>
      </w:r>
    </w:p>
    <w:p w14:paraId="2B832114" w14:textId="77777777" w:rsidR="004940B6" w:rsidRPr="00026EC1" w:rsidRDefault="004940B6" w:rsidP="00984A6F">
      <w:pPr>
        <w:keepNext w:val="0"/>
      </w:pPr>
    </w:p>
    <w:p w14:paraId="6098B6B5" w14:textId="77777777" w:rsidR="004940B6" w:rsidRPr="00026EC1" w:rsidRDefault="004940B6" w:rsidP="00984A6F">
      <w:pPr>
        <w:keepNext w:val="0"/>
      </w:pPr>
    </w:p>
    <w:p w14:paraId="5DA631AB" w14:textId="77777777" w:rsidR="004940B6" w:rsidRPr="00026EC1" w:rsidRDefault="004940B6" w:rsidP="00984A6F">
      <w:pPr>
        <w:keepNext w:val="0"/>
      </w:pPr>
    </w:p>
    <w:p w14:paraId="4BCC46E3" w14:textId="77777777" w:rsidR="004940B6" w:rsidRPr="00026EC1" w:rsidRDefault="004940B6" w:rsidP="00984A6F">
      <w:pPr>
        <w:keepNext w:val="0"/>
      </w:pPr>
    </w:p>
    <w:p w14:paraId="76C83D2A" w14:textId="77777777" w:rsidR="004940B6" w:rsidRPr="00026EC1" w:rsidRDefault="004940B6" w:rsidP="00984A6F">
      <w:pPr>
        <w:keepNext w:val="0"/>
      </w:pPr>
    </w:p>
    <w:p w14:paraId="7ADF7821" w14:textId="77777777" w:rsidR="004940B6" w:rsidRPr="00026EC1" w:rsidRDefault="004940B6" w:rsidP="00984A6F">
      <w:pPr>
        <w:keepNext w:val="0"/>
      </w:pPr>
    </w:p>
    <w:p w14:paraId="15C6603E" w14:textId="77777777" w:rsidR="00E32BAE" w:rsidRPr="00026EC1" w:rsidRDefault="00E32BAE" w:rsidP="00984A6F">
      <w:pPr>
        <w:pStyle w:val="VERSIONADMINISTRATIVE"/>
        <w:keepNext w:val="0"/>
        <w:rPr>
          <w:caps w:val="0"/>
        </w:rPr>
      </w:pPr>
      <w:r>
        <w:rPr>
          <w:caps w:val="0"/>
          <w:smallCaps/>
          <w:snapToGrid/>
          <w:spacing w:val="-3"/>
          <w:sz w:val="32"/>
        </w:rPr>
        <w:t>stipulations nationales et locales</w:t>
      </w:r>
    </w:p>
    <w:p w14:paraId="7666EBB5" w14:textId="6C7EA2E0" w:rsidR="00404F34" w:rsidRDefault="00404F34" w:rsidP="00984A6F">
      <w:pPr>
        <w:keepNext w:val="0"/>
      </w:pPr>
    </w:p>
    <w:p w14:paraId="513B5626" w14:textId="6C64C37F" w:rsidR="00D54C3C" w:rsidRDefault="00D54C3C" w:rsidP="00984A6F">
      <w:pPr>
        <w:keepNext w:val="0"/>
      </w:pPr>
    </w:p>
    <w:p w14:paraId="656D8001" w14:textId="77777777" w:rsidR="00404F34" w:rsidRPr="00026EC1" w:rsidRDefault="00404F34" w:rsidP="00984A6F">
      <w:pPr>
        <w:keepNext w:val="0"/>
      </w:pPr>
    </w:p>
    <w:p w14:paraId="34D48CF1" w14:textId="77777777" w:rsidR="00404F34" w:rsidRPr="00026EC1" w:rsidRDefault="00404F34" w:rsidP="00984A6F">
      <w:pPr>
        <w:keepNext w:val="0"/>
        <w:sectPr w:rsidR="00404F34" w:rsidRPr="00026EC1" w:rsidSect="00D42D84">
          <w:footerReference w:type="default" r:id="rId11"/>
          <w:footnotePr>
            <w:numRestart w:val="eachPage"/>
          </w:footnotePr>
          <w:type w:val="nextColumn"/>
          <w:pgSz w:w="12242" w:h="15842" w:code="1"/>
          <w:pgMar w:top="720" w:right="1077" w:bottom="1242" w:left="1684" w:header="709" w:footer="709" w:gutter="0"/>
          <w:cols w:space="708"/>
          <w:docGrid w:linePitch="360"/>
        </w:sectPr>
      </w:pPr>
    </w:p>
    <w:p w14:paraId="592FC693" w14:textId="77777777" w:rsidR="00404F34" w:rsidRPr="00026EC1" w:rsidRDefault="00404F34" w:rsidP="00984A6F">
      <w:pPr>
        <w:keepNext w:val="0"/>
      </w:pPr>
    </w:p>
    <w:p w14:paraId="18E1EB1E" w14:textId="77777777" w:rsidR="00404F34" w:rsidRPr="00026EC1" w:rsidRDefault="00404F34" w:rsidP="00984A6F">
      <w:pPr>
        <w:keepNext w:val="0"/>
      </w:pPr>
    </w:p>
    <w:p w14:paraId="2E059F16" w14:textId="77777777" w:rsidR="00404F34" w:rsidRPr="00026EC1" w:rsidRDefault="00404F34" w:rsidP="00984A6F">
      <w:pPr>
        <w:keepNext w:val="0"/>
      </w:pPr>
    </w:p>
    <w:p w14:paraId="28B4E9E2" w14:textId="77777777" w:rsidR="00404F34" w:rsidRPr="00026EC1" w:rsidRDefault="00404F34" w:rsidP="00984A6F">
      <w:pPr>
        <w:keepNext w:val="0"/>
      </w:pPr>
    </w:p>
    <w:p w14:paraId="3F7D433E" w14:textId="77777777" w:rsidR="00404F34" w:rsidRPr="00026EC1" w:rsidRDefault="00404F34" w:rsidP="00984A6F">
      <w:pPr>
        <w:keepNext w:val="0"/>
      </w:pPr>
    </w:p>
    <w:p w14:paraId="43896795" w14:textId="77777777" w:rsidR="00404F34" w:rsidRPr="00026EC1" w:rsidRDefault="00404F34" w:rsidP="00984A6F">
      <w:pPr>
        <w:keepNext w:val="0"/>
      </w:pPr>
    </w:p>
    <w:p w14:paraId="0957929A" w14:textId="77777777" w:rsidR="00404F34" w:rsidRPr="00026EC1" w:rsidRDefault="00404F34" w:rsidP="00984A6F">
      <w:pPr>
        <w:keepNext w:val="0"/>
      </w:pPr>
    </w:p>
    <w:p w14:paraId="7F9FDEC1" w14:textId="77777777" w:rsidR="00404F34" w:rsidRPr="00026EC1" w:rsidRDefault="00404F34" w:rsidP="00984A6F">
      <w:pPr>
        <w:keepNext w:val="0"/>
      </w:pPr>
    </w:p>
    <w:p w14:paraId="333196E3" w14:textId="77777777" w:rsidR="00404F34" w:rsidRPr="00026EC1" w:rsidRDefault="00404F34" w:rsidP="00984A6F">
      <w:pPr>
        <w:keepNext w:val="0"/>
      </w:pPr>
    </w:p>
    <w:p w14:paraId="10765736" w14:textId="77777777" w:rsidR="00404F34" w:rsidRPr="00026EC1" w:rsidRDefault="00404F34" w:rsidP="00984A6F">
      <w:pPr>
        <w:keepNext w:val="0"/>
      </w:pPr>
    </w:p>
    <w:p w14:paraId="26FC76CE" w14:textId="77777777" w:rsidR="00404F34" w:rsidRPr="00026EC1" w:rsidRDefault="00404F34" w:rsidP="00984A6F">
      <w:pPr>
        <w:keepNext w:val="0"/>
      </w:pPr>
    </w:p>
    <w:p w14:paraId="3E667B8D" w14:textId="77777777" w:rsidR="00404F34" w:rsidRPr="00026EC1" w:rsidRDefault="00404F34" w:rsidP="00984A6F">
      <w:pPr>
        <w:keepNext w:val="0"/>
      </w:pPr>
    </w:p>
    <w:p w14:paraId="5D67414E" w14:textId="232D0B57" w:rsidR="00404F34" w:rsidRPr="00026EC1" w:rsidRDefault="00404F34" w:rsidP="00984A6F">
      <w:pPr>
        <w:keepNext w:val="0"/>
      </w:pPr>
    </w:p>
    <w:p w14:paraId="1218D749" w14:textId="77777777" w:rsidR="00E95B0B" w:rsidRPr="00026EC1" w:rsidRDefault="00E95B0B" w:rsidP="00984A6F">
      <w:pPr>
        <w:keepNext w:val="0"/>
      </w:pPr>
    </w:p>
    <w:p w14:paraId="5D412CCB" w14:textId="77777777" w:rsidR="00404F34" w:rsidRPr="00026EC1" w:rsidRDefault="00404F34" w:rsidP="00984A6F">
      <w:pPr>
        <w:keepNext w:val="0"/>
      </w:pPr>
    </w:p>
    <w:p w14:paraId="28605152" w14:textId="77777777" w:rsidR="00404F34" w:rsidRPr="00026EC1" w:rsidRDefault="00404F34" w:rsidP="00984A6F">
      <w:pPr>
        <w:keepNext w:val="0"/>
      </w:pPr>
    </w:p>
    <w:p w14:paraId="121C8E02" w14:textId="77777777" w:rsidR="00404F34" w:rsidRPr="00026EC1" w:rsidRDefault="00404F34" w:rsidP="00984A6F">
      <w:pPr>
        <w:keepNext w:val="0"/>
      </w:pPr>
    </w:p>
    <w:p w14:paraId="6C80A6AF" w14:textId="77777777" w:rsidR="00404F34" w:rsidRPr="00026EC1" w:rsidRDefault="00404F34" w:rsidP="00984A6F">
      <w:pPr>
        <w:keepNext w:val="0"/>
      </w:pPr>
    </w:p>
    <w:p w14:paraId="1E877E1D" w14:textId="77777777" w:rsidR="00404F34" w:rsidRPr="00026EC1" w:rsidRDefault="00404F34" w:rsidP="00984A6F">
      <w:pPr>
        <w:keepNext w:val="0"/>
      </w:pPr>
    </w:p>
    <w:p w14:paraId="4EFDDFCC" w14:textId="77777777" w:rsidR="00404F34" w:rsidRPr="00026EC1" w:rsidRDefault="00404F34" w:rsidP="00984A6F">
      <w:pPr>
        <w:keepNext w:val="0"/>
      </w:pPr>
    </w:p>
    <w:p w14:paraId="7C7F76F6" w14:textId="77777777" w:rsidR="00404F34" w:rsidRPr="00026EC1" w:rsidRDefault="00404F34" w:rsidP="00984A6F">
      <w:pPr>
        <w:keepNext w:val="0"/>
      </w:pPr>
    </w:p>
    <w:p w14:paraId="4103C41D" w14:textId="77777777" w:rsidR="00404F34" w:rsidRPr="00026EC1" w:rsidRDefault="00404F34" w:rsidP="00984A6F">
      <w:pPr>
        <w:keepNext w:val="0"/>
      </w:pPr>
    </w:p>
    <w:p w14:paraId="4887530B" w14:textId="77777777" w:rsidR="00404F34" w:rsidRPr="00026EC1" w:rsidRDefault="00404F34" w:rsidP="00984A6F">
      <w:pPr>
        <w:keepNext w:val="0"/>
      </w:pPr>
    </w:p>
    <w:p w14:paraId="0A89A3EB" w14:textId="77777777" w:rsidR="00404F34" w:rsidRPr="00026EC1" w:rsidRDefault="00404F34" w:rsidP="00984A6F">
      <w:pPr>
        <w:keepNext w:val="0"/>
      </w:pPr>
    </w:p>
    <w:p w14:paraId="5D621675" w14:textId="77777777" w:rsidR="00404F34" w:rsidRPr="00026EC1" w:rsidRDefault="00404F34" w:rsidP="00984A6F">
      <w:pPr>
        <w:keepNext w:val="0"/>
      </w:pPr>
    </w:p>
    <w:p w14:paraId="1704672A" w14:textId="77777777" w:rsidR="00404F34" w:rsidRPr="00026EC1" w:rsidRDefault="00404F34" w:rsidP="00984A6F">
      <w:pPr>
        <w:keepNext w:val="0"/>
      </w:pPr>
    </w:p>
    <w:p w14:paraId="1EF675E0" w14:textId="77777777" w:rsidR="00404F34" w:rsidRPr="00026EC1" w:rsidRDefault="00404F34" w:rsidP="00984A6F">
      <w:pPr>
        <w:keepNext w:val="0"/>
      </w:pPr>
    </w:p>
    <w:p w14:paraId="7014CE04" w14:textId="77777777" w:rsidR="00404F34" w:rsidRPr="00026EC1" w:rsidRDefault="00404F34" w:rsidP="00984A6F">
      <w:pPr>
        <w:keepNext w:val="0"/>
      </w:pPr>
    </w:p>
    <w:p w14:paraId="69305FC5" w14:textId="77777777" w:rsidR="00404F34" w:rsidRPr="00026EC1" w:rsidRDefault="00404F34" w:rsidP="00984A6F">
      <w:pPr>
        <w:keepNext w:val="0"/>
      </w:pPr>
    </w:p>
    <w:p w14:paraId="7FD6ED31" w14:textId="77777777" w:rsidR="00404F34" w:rsidRPr="00026EC1" w:rsidRDefault="00404F34" w:rsidP="00984A6F">
      <w:pPr>
        <w:keepNext w:val="0"/>
      </w:pPr>
    </w:p>
    <w:p w14:paraId="73566ED4" w14:textId="77777777" w:rsidR="00404F34" w:rsidRPr="00026EC1" w:rsidRDefault="00404F34" w:rsidP="00984A6F">
      <w:pPr>
        <w:keepNext w:val="0"/>
      </w:pPr>
    </w:p>
    <w:p w14:paraId="55E6A8EF" w14:textId="77777777" w:rsidR="00404F34" w:rsidRPr="00026EC1" w:rsidRDefault="00404F34" w:rsidP="00984A6F">
      <w:pPr>
        <w:keepNext w:val="0"/>
      </w:pPr>
    </w:p>
    <w:p w14:paraId="0CEBC4A6" w14:textId="77777777" w:rsidR="00404F34" w:rsidRPr="00026EC1" w:rsidRDefault="00404F34" w:rsidP="00984A6F">
      <w:pPr>
        <w:keepNext w:val="0"/>
      </w:pPr>
    </w:p>
    <w:p w14:paraId="4BE3D664" w14:textId="77777777" w:rsidR="00404F34" w:rsidRPr="00026EC1" w:rsidRDefault="00404F34" w:rsidP="00984A6F">
      <w:pPr>
        <w:keepNext w:val="0"/>
      </w:pPr>
    </w:p>
    <w:p w14:paraId="7EA49C1B" w14:textId="77777777" w:rsidR="00404F34" w:rsidRPr="00026EC1" w:rsidRDefault="00404F34" w:rsidP="00984A6F">
      <w:pPr>
        <w:keepNext w:val="0"/>
      </w:pPr>
    </w:p>
    <w:p w14:paraId="0C05B996" w14:textId="77777777" w:rsidR="00404F34" w:rsidRPr="00026EC1" w:rsidRDefault="00404F34" w:rsidP="00984A6F">
      <w:pPr>
        <w:keepNext w:val="0"/>
      </w:pPr>
    </w:p>
    <w:p w14:paraId="52AD7A0C" w14:textId="77777777" w:rsidR="00404F34" w:rsidRPr="00026EC1" w:rsidRDefault="00404F34" w:rsidP="00984A6F">
      <w:pPr>
        <w:keepNext w:val="0"/>
      </w:pPr>
    </w:p>
    <w:p w14:paraId="642FEDEE" w14:textId="77777777" w:rsidR="00404F34" w:rsidRPr="00026EC1" w:rsidRDefault="00404F34" w:rsidP="00984A6F">
      <w:pPr>
        <w:keepNext w:val="0"/>
      </w:pPr>
    </w:p>
    <w:p w14:paraId="1DC7BFEB" w14:textId="77777777" w:rsidR="00404F34" w:rsidRPr="00026EC1" w:rsidRDefault="00404F34" w:rsidP="00984A6F">
      <w:pPr>
        <w:keepNext w:val="0"/>
      </w:pPr>
    </w:p>
    <w:p w14:paraId="131A68E6" w14:textId="77777777" w:rsidR="00404F34" w:rsidRPr="00026EC1" w:rsidRDefault="00404F34" w:rsidP="00984A6F">
      <w:pPr>
        <w:keepNext w:val="0"/>
      </w:pPr>
    </w:p>
    <w:p w14:paraId="773700D0" w14:textId="77777777" w:rsidR="00404F34" w:rsidRPr="00026EC1" w:rsidRDefault="00404F34" w:rsidP="00984A6F">
      <w:pPr>
        <w:keepNext w:val="0"/>
      </w:pPr>
    </w:p>
    <w:p w14:paraId="142733C9" w14:textId="77777777" w:rsidR="00404F34" w:rsidRPr="00026EC1" w:rsidRDefault="00404F34" w:rsidP="00984A6F">
      <w:pPr>
        <w:keepNext w:val="0"/>
      </w:pPr>
    </w:p>
    <w:p w14:paraId="3EFA6230" w14:textId="77777777" w:rsidR="00404F34" w:rsidRPr="00026EC1" w:rsidRDefault="00404F34" w:rsidP="00984A6F">
      <w:pPr>
        <w:keepNext w:val="0"/>
      </w:pPr>
    </w:p>
    <w:p w14:paraId="26959FCF" w14:textId="77777777" w:rsidR="00404F34" w:rsidRPr="00026EC1" w:rsidRDefault="00404F34" w:rsidP="00984A6F">
      <w:pPr>
        <w:keepNext w:val="0"/>
      </w:pPr>
    </w:p>
    <w:p w14:paraId="55208FE8" w14:textId="77777777" w:rsidR="00404F34" w:rsidRPr="00026EC1" w:rsidRDefault="00404F34" w:rsidP="00984A6F">
      <w:pPr>
        <w:keepNext w:val="0"/>
      </w:pPr>
      <w:r w:rsidRPr="00026EC1">
        <w:t xml:space="preserve">Réalisé par le Comité patronal </w:t>
      </w:r>
    </w:p>
    <w:p w14:paraId="5D3D8A9A" w14:textId="77777777" w:rsidR="00404F34" w:rsidRPr="000C3AE7" w:rsidRDefault="00404F34" w:rsidP="00984A6F">
      <w:pPr>
        <w:keepNext w:val="0"/>
      </w:pPr>
      <w:r w:rsidRPr="000C3AE7">
        <w:t>de négociation des collèges (CPNC)</w:t>
      </w:r>
    </w:p>
    <w:p w14:paraId="1CFB0F30" w14:textId="58C6D23C" w:rsidR="00404F34" w:rsidRPr="004674CC" w:rsidRDefault="00047712" w:rsidP="00984A6F">
      <w:pPr>
        <w:keepNext w:val="0"/>
      </w:pPr>
      <w:r w:rsidRPr="00316277">
        <w:t>D</w:t>
      </w:r>
      <w:r w:rsidR="00F854D0" w:rsidRPr="00316277">
        <w:t>euxième</w:t>
      </w:r>
      <w:r w:rsidR="00F854D0">
        <w:t xml:space="preserve"> </w:t>
      </w:r>
      <w:r w:rsidR="005B0824" w:rsidRPr="000E6557">
        <w:t>trimestre</w:t>
      </w:r>
      <w:r w:rsidR="00404F34" w:rsidRPr="00AB6013">
        <w:t xml:space="preserve">, </w:t>
      </w:r>
      <w:r w:rsidR="00ED0388" w:rsidRPr="00AB6013">
        <w:t>202</w:t>
      </w:r>
      <w:r w:rsidR="00A64613" w:rsidRPr="00316277">
        <w:t>4</w:t>
      </w:r>
    </w:p>
    <w:p w14:paraId="668264B9" w14:textId="77777777" w:rsidR="00404F34" w:rsidRPr="00026EC1" w:rsidRDefault="00404F34">
      <w:pPr>
        <w:sectPr w:rsidR="00404F34" w:rsidRPr="00026EC1" w:rsidSect="00D42D84">
          <w:footnotePr>
            <w:numRestart w:val="eachPage"/>
          </w:footnotePr>
          <w:type w:val="nextColumn"/>
          <w:pgSz w:w="12242" w:h="15842" w:code="1"/>
          <w:pgMar w:top="720" w:right="1077" w:bottom="1242" w:left="1684" w:header="709" w:footer="709" w:gutter="0"/>
          <w:cols w:space="708"/>
          <w:docGrid w:linePitch="360"/>
        </w:sectPr>
      </w:pPr>
    </w:p>
    <w:p w14:paraId="335F0791" w14:textId="77777777" w:rsidR="00404F34" w:rsidRPr="00026EC1" w:rsidRDefault="00404F34"/>
    <w:p w14:paraId="5FB210E7" w14:textId="77777777" w:rsidR="00404F34" w:rsidRPr="00026EC1" w:rsidRDefault="00404F34"/>
    <w:p w14:paraId="4D3F55D8" w14:textId="77777777" w:rsidR="00404F34" w:rsidRPr="00026EC1" w:rsidRDefault="00404F34"/>
    <w:p w14:paraId="11CD16D7" w14:textId="77777777" w:rsidR="00404F34" w:rsidRPr="00026EC1" w:rsidRDefault="00404F34"/>
    <w:p w14:paraId="03F1E1A5" w14:textId="77777777" w:rsidR="00404F34" w:rsidRPr="00026EC1" w:rsidRDefault="00404F34"/>
    <w:p w14:paraId="716A1882" w14:textId="77777777" w:rsidR="00E00E51" w:rsidRPr="00026EC1" w:rsidRDefault="00E00E51" w:rsidP="00E00E51">
      <w:pPr>
        <w:pStyle w:val="PRAMBULE"/>
        <w:keepNext w:val="0"/>
        <w:widowControl w:val="0"/>
      </w:pPr>
    </w:p>
    <w:p w14:paraId="0E3B1B75" w14:textId="77777777" w:rsidR="00E00E51" w:rsidRPr="00026EC1" w:rsidRDefault="00E00E51" w:rsidP="00E00E51">
      <w:pPr>
        <w:pStyle w:val="PRAMBULE"/>
        <w:keepNext w:val="0"/>
        <w:widowControl w:val="0"/>
      </w:pPr>
    </w:p>
    <w:p w14:paraId="0C98FE18" w14:textId="77777777" w:rsidR="00E00E51" w:rsidRPr="00026EC1" w:rsidRDefault="00E00E51" w:rsidP="00E00E51">
      <w:pPr>
        <w:pStyle w:val="PRAMBULE"/>
        <w:keepNext w:val="0"/>
        <w:widowControl w:val="0"/>
      </w:pPr>
      <w:r w:rsidRPr="00026EC1">
        <w:t>PRÉAMBULE</w:t>
      </w:r>
    </w:p>
    <w:p w14:paraId="6458A719" w14:textId="77777777" w:rsidR="00E00E51" w:rsidRPr="00026EC1" w:rsidRDefault="00E00E51" w:rsidP="00E00E51">
      <w:pPr>
        <w:keepNext w:val="0"/>
        <w:widowControl w:val="0"/>
      </w:pPr>
    </w:p>
    <w:p w14:paraId="380F55C1" w14:textId="77777777" w:rsidR="00E00E51" w:rsidRPr="00026EC1" w:rsidRDefault="00E00E51" w:rsidP="00E00E51">
      <w:pPr>
        <w:keepNext w:val="0"/>
        <w:widowControl w:val="0"/>
      </w:pPr>
    </w:p>
    <w:p w14:paraId="3F59A7A1" w14:textId="22BC50D3" w:rsidR="00E00E51" w:rsidRPr="00026EC1" w:rsidRDefault="00E00E51" w:rsidP="00E00E51">
      <w:pPr>
        <w:keepNext w:val="0"/>
        <w:widowControl w:val="0"/>
        <w:rPr>
          <w:rFonts w:cs="Arial"/>
        </w:rPr>
      </w:pPr>
      <w:r w:rsidRPr="00026EC1">
        <w:rPr>
          <w:rFonts w:cs="Arial"/>
        </w:rPr>
        <w:t>La Fédération des cégeps et la Fédération nationale des enseignantes et des enseignants (FNEEQ</w:t>
      </w:r>
      <w:r w:rsidR="0096703C" w:rsidRPr="00026EC1">
        <w:rPr>
          <w:rFonts w:cs="Arial"/>
        </w:rPr>
        <w:t> </w:t>
      </w:r>
      <w:r w:rsidRPr="00026EC1">
        <w:rPr>
          <w:rFonts w:cs="Arial"/>
        </w:rPr>
        <w:t>(CSN)</w:t>
      </w:r>
      <w:r w:rsidR="0096703C" w:rsidRPr="00026EC1">
        <w:rPr>
          <w:rFonts w:cs="Arial"/>
        </w:rPr>
        <w:t>)</w:t>
      </w:r>
      <w:r w:rsidRPr="00026EC1">
        <w:rPr>
          <w:rFonts w:cs="Arial"/>
        </w:rPr>
        <w:t xml:space="preserve"> conviennent de la production d</w:t>
      </w:r>
      <w:r w:rsidR="004A41E4" w:rsidRPr="00026EC1">
        <w:rPr>
          <w:rFonts w:cs="Arial"/>
        </w:rPr>
        <w:t>’</w:t>
      </w:r>
      <w:r w:rsidRPr="00026EC1">
        <w:rPr>
          <w:rFonts w:cs="Arial"/>
        </w:rPr>
        <w:t>un texte unique contenant l</w:t>
      </w:r>
      <w:r w:rsidR="004A41E4" w:rsidRPr="00026EC1">
        <w:rPr>
          <w:rFonts w:cs="Arial"/>
        </w:rPr>
        <w:t>’</w:t>
      </w:r>
      <w:r w:rsidRPr="00026EC1">
        <w:rPr>
          <w:rFonts w:cs="Arial"/>
        </w:rPr>
        <w:t>ensemble des dispositions nationales et locales, à savoir</w:t>
      </w:r>
      <w:r w:rsidR="00D8581B">
        <w:rPr>
          <w:rFonts w:cs="Arial"/>
        </w:rPr>
        <w:t> :</w:t>
      </w:r>
    </w:p>
    <w:p w14:paraId="6D808F25" w14:textId="77777777" w:rsidR="00E00E51" w:rsidRPr="00026EC1" w:rsidRDefault="00E00E51" w:rsidP="00E00E51">
      <w:pPr>
        <w:keepNext w:val="0"/>
        <w:widowControl w:val="0"/>
        <w:rPr>
          <w:rFonts w:cs="Arial"/>
        </w:rPr>
      </w:pPr>
    </w:p>
    <w:p w14:paraId="78007F77" w14:textId="77777777" w:rsidR="00E00E51" w:rsidRPr="00026EC1" w:rsidRDefault="00275751" w:rsidP="00275751">
      <w:pPr>
        <w:keepNext w:val="0"/>
        <w:widowControl w:val="0"/>
        <w:tabs>
          <w:tab w:val="left" w:pos="567"/>
          <w:tab w:val="left" w:pos="3060"/>
        </w:tabs>
        <w:suppressAutoHyphens w:val="0"/>
        <w:ind w:left="567" w:hanging="567"/>
        <w:jc w:val="left"/>
        <w:rPr>
          <w:rFonts w:cs="Arial"/>
          <w:bCs/>
        </w:rPr>
      </w:pPr>
      <w:r w:rsidRPr="00026EC1">
        <w:rPr>
          <w:rFonts w:cs="Arial"/>
          <w:bCs/>
        </w:rPr>
        <w:t>a)</w:t>
      </w:r>
      <w:r w:rsidRPr="00026EC1">
        <w:rPr>
          <w:rFonts w:cs="Arial"/>
          <w:bCs/>
        </w:rPr>
        <w:tab/>
      </w:r>
      <w:r w:rsidR="00E00E51" w:rsidRPr="00026EC1">
        <w:rPr>
          <w:rFonts w:cs="Arial"/>
        </w:rPr>
        <w:t>les stipulations nationales;</w:t>
      </w:r>
    </w:p>
    <w:p w14:paraId="4626F057" w14:textId="77777777" w:rsidR="00E00E51" w:rsidRPr="00026EC1" w:rsidRDefault="00E00E51" w:rsidP="00E00E51">
      <w:pPr>
        <w:keepNext w:val="0"/>
        <w:widowControl w:val="0"/>
        <w:rPr>
          <w:rFonts w:cs="Arial"/>
          <w:b/>
          <w:bCs/>
          <w:iCs/>
          <w:szCs w:val="24"/>
        </w:rPr>
      </w:pPr>
    </w:p>
    <w:p w14:paraId="5EDF1A09" w14:textId="64D83F6B" w:rsidR="00E00E51" w:rsidRPr="00026EC1" w:rsidRDefault="00275751" w:rsidP="00275751">
      <w:pPr>
        <w:pStyle w:val="ListParagraph"/>
        <w:widowControl w:val="0"/>
        <w:suppressAutoHyphens/>
        <w:ind w:left="567" w:hanging="567"/>
        <w:rPr>
          <w:rFonts w:cs="Arial"/>
          <w:szCs w:val="24"/>
        </w:rPr>
      </w:pPr>
      <w:r w:rsidRPr="00026EC1">
        <w:rPr>
          <w:rFonts w:cs="Arial"/>
          <w:szCs w:val="24"/>
        </w:rPr>
        <w:t>b)</w:t>
      </w:r>
      <w:r w:rsidRPr="00026EC1">
        <w:rPr>
          <w:rFonts w:cs="Arial"/>
          <w:szCs w:val="24"/>
        </w:rPr>
        <w:tab/>
      </w:r>
      <w:r w:rsidR="00E00E51" w:rsidRPr="00026EC1">
        <w:rPr>
          <w:rFonts w:cs="Arial"/>
        </w:rPr>
        <w:t>en application de l</w:t>
      </w:r>
      <w:r w:rsidR="004A41E4" w:rsidRPr="00026EC1">
        <w:rPr>
          <w:rFonts w:cs="Arial"/>
        </w:rPr>
        <w:t>’</w:t>
      </w:r>
      <w:r w:rsidR="00E00E51" w:rsidRPr="00026EC1">
        <w:rPr>
          <w:rFonts w:cs="Arial"/>
        </w:rPr>
        <w:t>entente de principe intervenue entre le CPNC et la FNEEQ</w:t>
      </w:r>
      <w:r w:rsidR="0096703C" w:rsidRPr="00026EC1">
        <w:rPr>
          <w:rFonts w:cs="Arial"/>
        </w:rPr>
        <w:t> (CSN)</w:t>
      </w:r>
      <w:r w:rsidR="002B1131">
        <w:rPr>
          <w:rFonts w:cs="Arial"/>
        </w:rPr>
        <w:t>,</w:t>
      </w:r>
      <w:r w:rsidR="00E00E51" w:rsidRPr="00AB6013">
        <w:rPr>
          <w:rFonts w:cs="Arial"/>
          <w:b/>
        </w:rPr>
        <w:t xml:space="preserve"> </w:t>
      </w:r>
      <w:r w:rsidR="00E00E51" w:rsidRPr="00AB6013">
        <w:rPr>
          <w:rFonts w:cs="Arial"/>
          <w:szCs w:val="24"/>
        </w:rPr>
        <w:t>les</w:t>
      </w:r>
      <w:r w:rsidR="00E00E51" w:rsidRPr="00026EC1">
        <w:rPr>
          <w:rFonts w:cs="Arial"/>
          <w:szCs w:val="24"/>
        </w:rPr>
        <w:t xml:space="preserve"> dispositions autres que celles mentionnées à l</w:t>
      </w:r>
      <w:r w:rsidR="004A41E4" w:rsidRPr="00026EC1">
        <w:rPr>
          <w:rFonts w:cs="Arial"/>
          <w:szCs w:val="24"/>
        </w:rPr>
        <w:t>’</w:t>
      </w:r>
      <w:r w:rsidR="00E00E51" w:rsidRPr="00026EC1">
        <w:rPr>
          <w:rFonts w:cs="Arial"/>
          <w:szCs w:val="24"/>
        </w:rPr>
        <w:t>alinéa</w:t>
      </w:r>
      <w:r w:rsidR="0096703C" w:rsidRPr="00026EC1">
        <w:rPr>
          <w:rFonts w:cs="Arial"/>
          <w:szCs w:val="24"/>
        </w:rPr>
        <w:t> </w:t>
      </w:r>
      <w:r w:rsidR="00E00E51" w:rsidRPr="00026EC1">
        <w:rPr>
          <w:rFonts w:cs="Arial"/>
          <w:szCs w:val="24"/>
        </w:rPr>
        <w:t>a) précédées du préambule suivant</w:t>
      </w:r>
      <w:r w:rsidR="00D8581B">
        <w:rPr>
          <w:rFonts w:cs="Arial"/>
          <w:szCs w:val="24"/>
        </w:rPr>
        <w:t> :</w:t>
      </w:r>
    </w:p>
    <w:p w14:paraId="2FF6C2B5" w14:textId="77777777" w:rsidR="00E00E51" w:rsidRPr="00026EC1" w:rsidRDefault="00E00E51" w:rsidP="00E00E51">
      <w:pPr>
        <w:keepNext w:val="0"/>
        <w:widowControl w:val="0"/>
        <w:rPr>
          <w:rFonts w:cs="Arial"/>
          <w:szCs w:val="24"/>
        </w:rPr>
      </w:pPr>
    </w:p>
    <w:p w14:paraId="3CE86EC6" w14:textId="77777777" w:rsidR="00AA4960" w:rsidRDefault="00E00E51" w:rsidP="00E00E51">
      <w:pPr>
        <w:pStyle w:val="Lesdispositionssuiva"/>
        <w:keepNext w:val="0"/>
        <w:widowControl w:val="0"/>
        <w:ind w:left="567" w:right="488"/>
        <w:rPr>
          <w:rFonts w:cs="Arial"/>
          <w:szCs w:val="24"/>
        </w:rPr>
      </w:pPr>
      <w:r w:rsidRPr="00026EC1">
        <w:rPr>
          <w:rFonts w:cs="Arial"/>
          <w:szCs w:val="24"/>
        </w:rPr>
        <w:t>«</w:t>
      </w:r>
      <w:r w:rsidR="0096703C" w:rsidRPr="00026EC1">
        <w:rPr>
          <w:rFonts w:cs="Arial"/>
          <w:szCs w:val="24"/>
        </w:rPr>
        <w:t> </w:t>
      </w:r>
      <w:r w:rsidRPr="00026EC1">
        <w:rPr>
          <w:rFonts w:cs="Arial"/>
          <w:i/>
          <w:iCs/>
          <w:szCs w:val="24"/>
        </w:rPr>
        <w:t>Les dispositions suivantes sont l</w:t>
      </w:r>
      <w:r w:rsidR="004A41E4" w:rsidRPr="00026EC1">
        <w:rPr>
          <w:rFonts w:cs="Arial"/>
          <w:i/>
          <w:iCs/>
          <w:szCs w:val="24"/>
        </w:rPr>
        <w:t>’</w:t>
      </w:r>
      <w:r w:rsidRPr="00026EC1">
        <w:rPr>
          <w:rFonts w:cs="Arial"/>
          <w:i/>
          <w:iCs/>
          <w:szCs w:val="24"/>
        </w:rPr>
        <w:t>objet d</w:t>
      </w:r>
      <w:r w:rsidR="004A41E4" w:rsidRPr="00026EC1">
        <w:rPr>
          <w:rFonts w:cs="Arial"/>
          <w:i/>
          <w:iCs/>
          <w:szCs w:val="24"/>
        </w:rPr>
        <w:t>’</w:t>
      </w:r>
      <w:r w:rsidRPr="00026EC1">
        <w:rPr>
          <w:rFonts w:cs="Arial"/>
          <w:i/>
          <w:iCs/>
          <w:szCs w:val="24"/>
        </w:rPr>
        <w:t>une recommandation des parties nationales et sont soumises à l</w:t>
      </w:r>
      <w:r w:rsidR="004A41E4" w:rsidRPr="00026EC1">
        <w:rPr>
          <w:rFonts w:cs="Arial"/>
          <w:i/>
          <w:iCs/>
          <w:szCs w:val="24"/>
        </w:rPr>
        <w:t>’</w:t>
      </w:r>
      <w:r w:rsidRPr="00026EC1">
        <w:rPr>
          <w:rFonts w:cs="Arial"/>
          <w:i/>
          <w:iCs/>
          <w:szCs w:val="24"/>
        </w:rPr>
        <w:t>application de l</w:t>
      </w:r>
      <w:r w:rsidR="004A41E4" w:rsidRPr="00026EC1">
        <w:rPr>
          <w:rFonts w:cs="Arial"/>
          <w:i/>
          <w:iCs/>
          <w:szCs w:val="24"/>
        </w:rPr>
        <w:t>’</w:t>
      </w:r>
      <w:r w:rsidRPr="00026EC1">
        <w:rPr>
          <w:rFonts w:cs="Arial"/>
          <w:i/>
          <w:iCs/>
          <w:szCs w:val="24"/>
        </w:rPr>
        <w:t>article</w:t>
      </w:r>
      <w:r w:rsidR="0096703C" w:rsidRPr="00026EC1">
        <w:rPr>
          <w:rFonts w:cs="Arial"/>
          <w:i/>
          <w:iCs/>
          <w:szCs w:val="24"/>
        </w:rPr>
        <w:t> </w:t>
      </w:r>
      <w:r w:rsidRPr="00026EC1">
        <w:rPr>
          <w:rFonts w:cs="Arial"/>
          <w:i/>
          <w:iCs/>
          <w:szCs w:val="24"/>
        </w:rPr>
        <w:t>59 de la Loi sur le régime de négociation des conventions collectives dans les secteurs public et parapublic, si elles sont agréées et signées par les parties locales</w:t>
      </w:r>
      <w:r w:rsidRPr="00026EC1">
        <w:rPr>
          <w:rFonts w:cs="Arial"/>
          <w:szCs w:val="24"/>
        </w:rPr>
        <w:t>.</w:t>
      </w:r>
      <w:r w:rsidR="0096703C" w:rsidRPr="00026EC1">
        <w:rPr>
          <w:rFonts w:cs="Arial"/>
          <w:szCs w:val="24"/>
        </w:rPr>
        <w:t> </w:t>
      </w:r>
      <w:r w:rsidRPr="00026EC1">
        <w:rPr>
          <w:rFonts w:cs="Arial"/>
          <w:szCs w:val="24"/>
        </w:rPr>
        <w:t>»</w:t>
      </w:r>
    </w:p>
    <w:p w14:paraId="473A244C" w14:textId="77777777" w:rsidR="0096386E" w:rsidRDefault="0096386E" w:rsidP="00E00E51">
      <w:pPr>
        <w:pStyle w:val="Lesdispositionssuiva"/>
        <w:keepNext w:val="0"/>
        <w:widowControl w:val="0"/>
        <w:ind w:left="567" w:right="488"/>
        <w:rPr>
          <w:rFonts w:cs="Arial"/>
          <w:szCs w:val="24"/>
        </w:rPr>
      </w:pPr>
    </w:p>
    <w:p w14:paraId="5EED21FB" w14:textId="77777777" w:rsidR="0096386E" w:rsidRDefault="0096386E" w:rsidP="00E00E51">
      <w:pPr>
        <w:pStyle w:val="Lesdispositionssuiva"/>
        <w:keepNext w:val="0"/>
        <w:widowControl w:val="0"/>
        <w:ind w:left="567" w:right="488"/>
        <w:rPr>
          <w:rFonts w:cs="Arial"/>
          <w:szCs w:val="24"/>
        </w:rPr>
      </w:pPr>
    </w:p>
    <w:p w14:paraId="321D416A" w14:textId="77777777" w:rsidR="0096386E" w:rsidRDefault="0096386E" w:rsidP="00E00E51">
      <w:pPr>
        <w:pStyle w:val="Lesdispositionssuiva"/>
        <w:keepNext w:val="0"/>
        <w:widowControl w:val="0"/>
        <w:ind w:left="567" w:right="488"/>
        <w:rPr>
          <w:rFonts w:cs="Arial"/>
          <w:szCs w:val="24"/>
        </w:rPr>
      </w:pPr>
    </w:p>
    <w:p w14:paraId="2725B700" w14:textId="77777777" w:rsidR="0096386E" w:rsidRDefault="0096386E" w:rsidP="00E00E51">
      <w:pPr>
        <w:pStyle w:val="Lesdispositionssuiva"/>
        <w:keepNext w:val="0"/>
        <w:widowControl w:val="0"/>
        <w:ind w:left="567" w:right="488"/>
        <w:rPr>
          <w:rFonts w:cs="Arial"/>
          <w:szCs w:val="24"/>
        </w:rPr>
      </w:pPr>
    </w:p>
    <w:p w14:paraId="55387C5D" w14:textId="77777777" w:rsidR="0096386E" w:rsidRDefault="0096386E" w:rsidP="00E00E51">
      <w:pPr>
        <w:pStyle w:val="Lesdispositionssuiva"/>
        <w:keepNext w:val="0"/>
        <w:widowControl w:val="0"/>
        <w:ind w:left="567" w:right="488"/>
        <w:rPr>
          <w:rFonts w:cs="Arial"/>
          <w:szCs w:val="24"/>
        </w:rPr>
      </w:pPr>
    </w:p>
    <w:p w14:paraId="0E676F21" w14:textId="77777777" w:rsidR="0096386E" w:rsidRDefault="0096386E" w:rsidP="00E00E51">
      <w:pPr>
        <w:pStyle w:val="Lesdispositionssuiva"/>
        <w:keepNext w:val="0"/>
        <w:widowControl w:val="0"/>
        <w:ind w:left="567" w:right="488"/>
        <w:rPr>
          <w:rFonts w:cs="Arial"/>
          <w:szCs w:val="24"/>
        </w:rPr>
      </w:pPr>
    </w:p>
    <w:p w14:paraId="0BBBC414" w14:textId="77777777" w:rsidR="0096386E" w:rsidRDefault="0096386E" w:rsidP="00E00E51">
      <w:pPr>
        <w:pStyle w:val="Lesdispositionssuiva"/>
        <w:keepNext w:val="0"/>
        <w:widowControl w:val="0"/>
        <w:ind w:left="567" w:right="488"/>
        <w:rPr>
          <w:rFonts w:cs="Arial"/>
          <w:szCs w:val="24"/>
        </w:rPr>
      </w:pPr>
    </w:p>
    <w:p w14:paraId="580D85D0" w14:textId="77777777" w:rsidR="0096386E" w:rsidRDefault="0096386E" w:rsidP="00E00E51">
      <w:pPr>
        <w:pStyle w:val="Lesdispositionssuiva"/>
        <w:keepNext w:val="0"/>
        <w:widowControl w:val="0"/>
        <w:ind w:left="567" w:right="488"/>
        <w:rPr>
          <w:rFonts w:cs="Arial"/>
          <w:szCs w:val="24"/>
        </w:rPr>
      </w:pPr>
    </w:p>
    <w:p w14:paraId="5D66EAEA" w14:textId="77777777" w:rsidR="0096386E" w:rsidRDefault="0096386E" w:rsidP="00E00E51">
      <w:pPr>
        <w:pStyle w:val="Lesdispositionssuiva"/>
        <w:keepNext w:val="0"/>
        <w:widowControl w:val="0"/>
        <w:ind w:left="567" w:right="488"/>
        <w:rPr>
          <w:rFonts w:cs="Arial"/>
          <w:szCs w:val="24"/>
        </w:rPr>
      </w:pPr>
    </w:p>
    <w:p w14:paraId="0034433F" w14:textId="77777777" w:rsidR="0096386E" w:rsidRDefault="0096386E" w:rsidP="00E00E51">
      <w:pPr>
        <w:pStyle w:val="Lesdispositionssuiva"/>
        <w:keepNext w:val="0"/>
        <w:widowControl w:val="0"/>
        <w:ind w:left="567" w:right="488"/>
        <w:rPr>
          <w:rFonts w:cs="Arial"/>
          <w:szCs w:val="24"/>
        </w:rPr>
      </w:pPr>
    </w:p>
    <w:p w14:paraId="79BCD7F4" w14:textId="77777777" w:rsidR="0096386E" w:rsidRDefault="0096386E" w:rsidP="00E00E51">
      <w:pPr>
        <w:pStyle w:val="Lesdispositionssuiva"/>
        <w:keepNext w:val="0"/>
        <w:widowControl w:val="0"/>
        <w:ind w:left="567" w:right="488"/>
        <w:rPr>
          <w:rFonts w:cs="Arial"/>
          <w:szCs w:val="24"/>
        </w:rPr>
      </w:pPr>
    </w:p>
    <w:p w14:paraId="10CBAD63" w14:textId="77777777" w:rsidR="00404F34" w:rsidRPr="00026EC1" w:rsidRDefault="00404F34">
      <w:pPr>
        <w:pStyle w:val="Selonlesdisp"/>
        <w:keepNext w:val="0"/>
      </w:pPr>
    </w:p>
    <w:p w14:paraId="70C77BEA" w14:textId="77777777" w:rsidR="00404F34" w:rsidRPr="00026EC1" w:rsidRDefault="00404F34">
      <w:pPr>
        <w:pStyle w:val="Header"/>
        <w:spacing w:after="0"/>
        <w:rPr>
          <w:b/>
          <w:bCs/>
        </w:rPr>
        <w:sectPr w:rsidR="00404F34" w:rsidRPr="00026EC1" w:rsidSect="00D42D84">
          <w:headerReference w:type="default" r:id="rId12"/>
          <w:footerReference w:type="default" r:id="rId13"/>
          <w:footnotePr>
            <w:numRestart w:val="eachPage"/>
          </w:footnotePr>
          <w:pgSz w:w="12240" w:h="15840" w:code="1"/>
          <w:pgMar w:top="720" w:right="1077" w:bottom="1242" w:left="1684" w:header="709" w:footer="709" w:gutter="0"/>
          <w:pgNumType w:fmt="upperRoman" w:start="1"/>
          <w:cols w:space="708"/>
          <w:docGrid w:linePitch="360"/>
        </w:sectPr>
      </w:pPr>
    </w:p>
    <w:p w14:paraId="2FE9AEC1" w14:textId="1252C65B" w:rsidR="00AA4960" w:rsidRPr="00026EC1" w:rsidRDefault="00AA4960" w:rsidP="00565C9F">
      <w:pPr>
        <w:pStyle w:val="Header"/>
        <w:spacing w:after="240"/>
        <w:rPr>
          <w:b/>
          <w:bCs/>
        </w:rPr>
      </w:pPr>
      <w:bookmarkStart w:id="1" w:name="_Toc133760754"/>
      <w:bookmarkStart w:id="2" w:name="_Toc133916902"/>
      <w:bookmarkStart w:id="3" w:name="_Toc134437165"/>
      <w:bookmarkStart w:id="4" w:name="_Toc393449530"/>
      <w:r w:rsidRPr="00026EC1">
        <w:rPr>
          <w:b/>
          <w:bCs/>
        </w:rPr>
        <w:lastRenderedPageBreak/>
        <w:t>TABLE DES MATIÈRES</w:t>
      </w:r>
    </w:p>
    <w:p w14:paraId="248A9E91" w14:textId="77777777" w:rsidR="00EB12F7" w:rsidRDefault="002B5103">
      <w:pPr>
        <w:pStyle w:val="TOC1"/>
        <w:tabs>
          <w:tab w:val="right" w:leader="dot" w:pos="10427"/>
        </w:tabs>
        <w:rPr>
          <w:rFonts w:eastAsiaTheme="minorEastAsia" w:cstheme="minorBidi"/>
          <w:b w:val="0"/>
          <w:bCs w:val="0"/>
          <w:caps w:val="0"/>
          <w:noProof/>
          <w:snapToGrid/>
          <w:sz w:val="22"/>
          <w:szCs w:val="22"/>
          <w:lang w:eastAsia="fr-CA"/>
        </w:rPr>
      </w:pPr>
      <w:r>
        <w:rPr>
          <w:smallCaps/>
        </w:rPr>
        <w:fldChar w:fldCharType="begin"/>
      </w:r>
      <w:r>
        <w:rPr>
          <w:smallCaps/>
        </w:rPr>
        <w:instrText xml:space="preserve"> TOC \o "2-2" \f \t "Titre 3;2" </w:instrText>
      </w:r>
      <w:r>
        <w:rPr>
          <w:smallCaps/>
        </w:rPr>
        <w:fldChar w:fldCharType="separate"/>
      </w:r>
      <w:r w:rsidR="00EB12F7">
        <w:rPr>
          <w:noProof/>
        </w:rPr>
        <w:t xml:space="preserve">CHAPITRE 1  </w:t>
      </w:r>
      <w:r w:rsidR="00EB12F7">
        <w:rPr>
          <w:noProof/>
        </w:rPr>
        <w:noBreakHyphen/>
        <w:t xml:space="preserve">  INTERPRÉTATION</w:t>
      </w:r>
    </w:p>
    <w:p w14:paraId="74F1EDA0" w14:textId="72C59B68" w:rsidR="00EB12F7" w:rsidRDefault="00EB12F7" w:rsidP="00C11271">
      <w:pPr>
        <w:pStyle w:val="TOC2"/>
        <w:rPr>
          <w:rFonts w:eastAsiaTheme="minorEastAsia" w:cstheme="minorBidi"/>
          <w:noProof/>
          <w:snapToGrid/>
          <w:sz w:val="22"/>
          <w:szCs w:val="22"/>
          <w:lang w:eastAsia="fr-CA"/>
        </w:rPr>
      </w:pPr>
      <w:r>
        <w:rPr>
          <w:noProof/>
        </w:rPr>
        <w:t>Article 1-1.00</w:t>
      </w:r>
      <w:r>
        <w:rPr>
          <w:rFonts w:eastAsiaTheme="minorEastAsia" w:cstheme="minorBidi"/>
          <w:noProof/>
          <w:snapToGrid/>
          <w:sz w:val="22"/>
          <w:szCs w:val="22"/>
          <w:lang w:eastAsia="fr-CA"/>
        </w:rPr>
        <w:tab/>
      </w:r>
      <w:r>
        <w:rPr>
          <w:noProof/>
        </w:rPr>
        <w:t>- Interprétation</w:t>
      </w:r>
      <w:r>
        <w:rPr>
          <w:noProof/>
        </w:rPr>
        <w:tab/>
      </w:r>
      <w:r>
        <w:rPr>
          <w:noProof/>
        </w:rPr>
        <w:fldChar w:fldCharType="begin"/>
      </w:r>
      <w:r>
        <w:rPr>
          <w:noProof/>
        </w:rPr>
        <w:instrText xml:space="preserve"> PAGEREF _Toc168479493 \h </w:instrText>
      </w:r>
      <w:r>
        <w:rPr>
          <w:noProof/>
        </w:rPr>
      </w:r>
      <w:r>
        <w:rPr>
          <w:noProof/>
        </w:rPr>
        <w:fldChar w:fldCharType="separate"/>
      </w:r>
      <w:r w:rsidR="00041131">
        <w:rPr>
          <w:noProof/>
        </w:rPr>
        <w:t>1</w:t>
      </w:r>
      <w:r>
        <w:rPr>
          <w:noProof/>
        </w:rPr>
        <w:fldChar w:fldCharType="end"/>
      </w:r>
    </w:p>
    <w:p w14:paraId="003601E0" w14:textId="56CCFA5D" w:rsidR="00EB12F7" w:rsidRDefault="00EB12F7" w:rsidP="00C11271">
      <w:pPr>
        <w:pStyle w:val="TOC2"/>
        <w:rPr>
          <w:rFonts w:eastAsiaTheme="minorEastAsia" w:cstheme="minorBidi"/>
          <w:noProof/>
          <w:snapToGrid/>
          <w:sz w:val="22"/>
          <w:szCs w:val="22"/>
          <w:lang w:eastAsia="fr-CA"/>
        </w:rPr>
      </w:pPr>
      <w:r>
        <w:rPr>
          <w:noProof/>
        </w:rPr>
        <w:t>Article 1-2.00</w:t>
      </w:r>
      <w:r>
        <w:rPr>
          <w:rFonts w:eastAsiaTheme="minorEastAsia" w:cstheme="minorBidi"/>
          <w:noProof/>
          <w:snapToGrid/>
          <w:sz w:val="22"/>
          <w:szCs w:val="22"/>
          <w:lang w:eastAsia="fr-CA"/>
        </w:rPr>
        <w:tab/>
      </w:r>
      <w:r>
        <w:rPr>
          <w:noProof/>
        </w:rPr>
        <w:t>- Définitions</w:t>
      </w:r>
      <w:r>
        <w:rPr>
          <w:noProof/>
        </w:rPr>
        <w:tab/>
      </w:r>
      <w:r>
        <w:rPr>
          <w:noProof/>
        </w:rPr>
        <w:fldChar w:fldCharType="begin"/>
      </w:r>
      <w:r>
        <w:rPr>
          <w:noProof/>
        </w:rPr>
        <w:instrText xml:space="preserve"> PAGEREF _Toc168479494 \h </w:instrText>
      </w:r>
      <w:r>
        <w:rPr>
          <w:noProof/>
        </w:rPr>
      </w:r>
      <w:r>
        <w:rPr>
          <w:noProof/>
        </w:rPr>
        <w:fldChar w:fldCharType="separate"/>
      </w:r>
      <w:r w:rsidR="00041131">
        <w:rPr>
          <w:noProof/>
        </w:rPr>
        <w:t>2</w:t>
      </w:r>
      <w:r>
        <w:rPr>
          <w:noProof/>
        </w:rPr>
        <w:fldChar w:fldCharType="end"/>
      </w:r>
    </w:p>
    <w:p w14:paraId="32F28D79"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2  </w:t>
      </w:r>
      <w:r>
        <w:rPr>
          <w:noProof/>
        </w:rPr>
        <w:noBreakHyphen/>
        <w:t xml:space="preserve">  juridiction</w:t>
      </w:r>
    </w:p>
    <w:p w14:paraId="1E2A1D0C" w14:textId="713AA3A5" w:rsidR="00EB12F7" w:rsidRDefault="00EB12F7" w:rsidP="00C11271">
      <w:pPr>
        <w:pStyle w:val="TOC2"/>
        <w:rPr>
          <w:rFonts w:eastAsiaTheme="minorEastAsia" w:cstheme="minorBidi"/>
          <w:noProof/>
          <w:snapToGrid/>
          <w:sz w:val="22"/>
          <w:szCs w:val="22"/>
          <w:lang w:eastAsia="fr-CA"/>
        </w:rPr>
      </w:pPr>
      <w:r>
        <w:rPr>
          <w:noProof/>
        </w:rPr>
        <w:t>Article 2-1.00</w:t>
      </w:r>
      <w:r>
        <w:rPr>
          <w:rFonts w:eastAsiaTheme="minorEastAsia" w:cstheme="minorBidi"/>
          <w:noProof/>
          <w:snapToGrid/>
          <w:sz w:val="22"/>
          <w:szCs w:val="22"/>
          <w:lang w:eastAsia="fr-CA"/>
        </w:rPr>
        <w:tab/>
      </w:r>
      <w:r>
        <w:rPr>
          <w:noProof/>
        </w:rPr>
        <w:t>- Champ d’application</w:t>
      </w:r>
      <w:r>
        <w:rPr>
          <w:noProof/>
        </w:rPr>
        <w:tab/>
      </w:r>
      <w:r>
        <w:rPr>
          <w:noProof/>
        </w:rPr>
        <w:fldChar w:fldCharType="begin"/>
      </w:r>
      <w:r>
        <w:rPr>
          <w:noProof/>
        </w:rPr>
        <w:instrText xml:space="preserve"> PAGEREF _Toc168479496 \h </w:instrText>
      </w:r>
      <w:r>
        <w:rPr>
          <w:noProof/>
        </w:rPr>
      </w:r>
      <w:r>
        <w:rPr>
          <w:noProof/>
        </w:rPr>
        <w:fldChar w:fldCharType="separate"/>
      </w:r>
      <w:r w:rsidR="00041131">
        <w:rPr>
          <w:noProof/>
        </w:rPr>
        <w:t>6</w:t>
      </w:r>
      <w:r>
        <w:rPr>
          <w:noProof/>
        </w:rPr>
        <w:fldChar w:fldCharType="end"/>
      </w:r>
    </w:p>
    <w:p w14:paraId="50A91F2A" w14:textId="5E625A05" w:rsidR="00EB12F7" w:rsidRDefault="00EB12F7" w:rsidP="00C11271">
      <w:pPr>
        <w:pStyle w:val="TOC2"/>
        <w:rPr>
          <w:rFonts w:eastAsiaTheme="minorEastAsia" w:cstheme="minorBidi"/>
          <w:noProof/>
          <w:snapToGrid/>
          <w:sz w:val="22"/>
          <w:szCs w:val="22"/>
          <w:lang w:eastAsia="fr-CA"/>
        </w:rPr>
      </w:pPr>
      <w:r>
        <w:rPr>
          <w:noProof/>
        </w:rPr>
        <w:t>Article 2-2.00</w:t>
      </w:r>
      <w:r>
        <w:rPr>
          <w:rFonts w:eastAsiaTheme="minorEastAsia" w:cstheme="minorBidi"/>
          <w:noProof/>
          <w:snapToGrid/>
          <w:sz w:val="22"/>
          <w:szCs w:val="22"/>
          <w:lang w:eastAsia="fr-CA"/>
        </w:rPr>
        <w:tab/>
      </w:r>
      <w:r>
        <w:rPr>
          <w:noProof/>
        </w:rPr>
        <w:t>- Reconnaissance</w:t>
      </w:r>
      <w:r>
        <w:rPr>
          <w:noProof/>
        </w:rPr>
        <w:tab/>
      </w:r>
      <w:r>
        <w:rPr>
          <w:noProof/>
        </w:rPr>
        <w:fldChar w:fldCharType="begin"/>
      </w:r>
      <w:r>
        <w:rPr>
          <w:noProof/>
        </w:rPr>
        <w:instrText xml:space="preserve"> PAGEREF _Toc168479497 \h </w:instrText>
      </w:r>
      <w:r>
        <w:rPr>
          <w:noProof/>
        </w:rPr>
      </w:r>
      <w:r>
        <w:rPr>
          <w:noProof/>
        </w:rPr>
        <w:fldChar w:fldCharType="separate"/>
      </w:r>
      <w:r w:rsidR="00041131">
        <w:rPr>
          <w:noProof/>
        </w:rPr>
        <w:t>7</w:t>
      </w:r>
      <w:r>
        <w:rPr>
          <w:noProof/>
        </w:rPr>
        <w:fldChar w:fldCharType="end"/>
      </w:r>
    </w:p>
    <w:p w14:paraId="031D64E1" w14:textId="52A23041" w:rsidR="00EB12F7" w:rsidRDefault="00EB12F7" w:rsidP="00C11271">
      <w:pPr>
        <w:pStyle w:val="TOC2"/>
        <w:rPr>
          <w:rFonts w:eastAsiaTheme="minorEastAsia" w:cstheme="minorBidi"/>
          <w:noProof/>
          <w:snapToGrid/>
          <w:sz w:val="22"/>
          <w:szCs w:val="22"/>
          <w:lang w:eastAsia="fr-CA"/>
        </w:rPr>
      </w:pPr>
      <w:r>
        <w:rPr>
          <w:noProof/>
        </w:rPr>
        <w:t>Article 2-3.00</w:t>
      </w:r>
      <w:r>
        <w:rPr>
          <w:rFonts w:eastAsiaTheme="minorEastAsia" w:cstheme="minorBidi"/>
          <w:noProof/>
          <w:snapToGrid/>
          <w:sz w:val="22"/>
          <w:szCs w:val="22"/>
          <w:lang w:eastAsia="fr-CA"/>
        </w:rPr>
        <w:tab/>
      </w:r>
      <w:r>
        <w:rPr>
          <w:noProof/>
        </w:rPr>
        <w:t>- Non</w:t>
      </w:r>
      <w:r>
        <w:rPr>
          <w:noProof/>
        </w:rPr>
        <w:noBreakHyphen/>
        <w:t>discrimination</w:t>
      </w:r>
      <w:r>
        <w:rPr>
          <w:noProof/>
        </w:rPr>
        <w:tab/>
      </w:r>
      <w:r>
        <w:rPr>
          <w:noProof/>
        </w:rPr>
        <w:fldChar w:fldCharType="begin"/>
      </w:r>
      <w:r>
        <w:rPr>
          <w:noProof/>
        </w:rPr>
        <w:instrText xml:space="preserve"> PAGEREF _Toc168479498 \h </w:instrText>
      </w:r>
      <w:r>
        <w:rPr>
          <w:noProof/>
        </w:rPr>
      </w:r>
      <w:r>
        <w:rPr>
          <w:noProof/>
        </w:rPr>
        <w:fldChar w:fldCharType="separate"/>
      </w:r>
      <w:r w:rsidR="00041131">
        <w:rPr>
          <w:noProof/>
        </w:rPr>
        <w:t>10</w:t>
      </w:r>
      <w:r>
        <w:rPr>
          <w:noProof/>
        </w:rPr>
        <w:fldChar w:fldCharType="end"/>
      </w:r>
    </w:p>
    <w:p w14:paraId="19B3BE51" w14:textId="3A7C4AB6" w:rsidR="00EB12F7" w:rsidRDefault="00EB12F7" w:rsidP="00C11271">
      <w:pPr>
        <w:pStyle w:val="TOC2"/>
        <w:rPr>
          <w:rFonts w:eastAsiaTheme="minorEastAsia" w:cstheme="minorBidi"/>
          <w:noProof/>
          <w:snapToGrid/>
          <w:sz w:val="22"/>
          <w:szCs w:val="22"/>
          <w:lang w:eastAsia="fr-CA"/>
        </w:rPr>
      </w:pPr>
      <w:r>
        <w:rPr>
          <w:noProof/>
        </w:rPr>
        <w:t>Article 2-4.00</w:t>
      </w:r>
      <w:r>
        <w:rPr>
          <w:rFonts w:eastAsiaTheme="minorEastAsia" w:cstheme="minorBidi"/>
          <w:noProof/>
          <w:snapToGrid/>
          <w:sz w:val="22"/>
          <w:szCs w:val="22"/>
          <w:lang w:eastAsia="fr-CA"/>
        </w:rPr>
        <w:tab/>
      </w:r>
      <w:r>
        <w:rPr>
          <w:noProof/>
        </w:rPr>
        <w:t>- Accès à l’égalité en emploi</w:t>
      </w:r>
      <w:r>
        <w:rPr>
          <w:noProof/>
        </w:rPr>
        <w:tab/>
      </w:r>
      <w:r>
        <w:rPr>
          <w:noProof/>
        </w:rPr>
        <w:fldChar w:fldCharType="begin"/>
      </w:r>
      <w:r>
        <w:rPr>
          <w:noProof/>
        </w:rPr>
        <w:instrText xml:space="preserve"> PAGEREF _Toc168479499 \h </w:instrText>
      </w:r>
      <w:r>
        <w:rPr>
          <w:noProof/>
        </w:rPr>
      </w:r>
      <w:r>
        <w:rPr>
          <w:noProof/>
        </w:rPr>
        <w:fldChar w:fldCharType="separate"/>
      </w:r>
      <w:r w:rsidR="00041131">
        <w:rPr>
          <w:noProof/>
        </w:rPr>
        <w:t>11</w:t>
      </w:r>
      <w:r>
        <w:rPr>
          <w:noProof/>
        </w:rPr>
        <w:fldChar w:fldCharType="end"/>
      </w:r>
    </w:p>
    <w:p w14:paraId="1F98F435" w14:textId="50D92E36" w:rsidR="00EB12F7" w:rsidRDefault="00EB12F7" w:rsidP="00C11271">
      <w:pPr>
        <w:pStyle w:val="TOC2"/>
        <w:rPr>
          <w:rFonts w:eastAsiaTheme="minorEastAsia" w:cstheme="minorBidi"/>
          <w:noProof/>
          <w:snapToGrid/>
          <w:sz w:val="22"/>
          <w:szCs w:val="22"/>
          <w:lang w:eastAsia="fr-CA"/>
        </w:rPr>
      </w:pPr>
      <w:r>
        <w:rPr>
          <w:noProof/>
        </w:rPr>
        <w:t>Article 2-5.00</w:t>
      </w:r>
      <w:r>
        <w:rPr>
          <w:rFonts w:eastAsiaTheme="minorEastAsia" w:cstheme="minorBidi"/>
          <w:noProof/>
          <w:snapToGrid/>
          <w:sz w:val="22"/>
          <w:szCs w:val="22"/>
          <w:lang w:eastAsia="fr-CA"/>
        </w:rPr>
        <w:tab/>
      </w:r>
      <w:r>
        <w:rPr>
          <w:noProof/>
        </w:rPr>
        <w:t>- Violence et harcèlement psychologique</w:t>
      </w:r>
      <w:r>
        <w:rPr>
          <w:noProof/>
        </w:rPr>
        <w:tab/>
      </w:r>
      <w:r>
        <w:rPr>
          <w:noProof/>
        </w:rPr>
        <w:fldChar w:fldCharType="begin"/>
      </w:r>
      <w:r>
        <w:rPr>
          <w:noProof/>
        </w:rPr>
        <w:instrText xml:space="preserve"> PAGEREF _Toc168479500 \h </w:instrText>
      </w:r>
      <w:r>
        <w:rPr>
          <w:noProof/>
        </w:rPr>
      </w:r>
      <w:r>
        <w:rPr>
          <w:noProof/>
        </w:rPr>
        <w:fldChar w:fldCharType="separate"/>
      </w:r>
      <w:r w:rsidR="00041131">
        <w:rPr>
          <w:noProof/>
        </w:rPr>
        <w:t>13</w:t>
      </w:r>
      <w:r>
        <w:rPr>
          <w:noProof/>
        </w:rPr>
        <w:fldChar w:fldCharType="end"/>
      </w:r>
    </w:p>
    <w:p w14:paraId="49DD6A5F" w14:textId="316E0001" w:rsidR="00EB12F7" w:rsidRDefault="00EB12F7" w:rsidP="00C11271">
      <w:pPr>
        <w:pStyle w:val="TOC2"/>
        <w:rPr>
          <w:rFonts w:eastAsiaTheme="minorEastAsia" w:cstheme="minorBidi"/>
          <w:noProof/>
          <w:snapToGrid/>
          <w:sz w:val="22"/>
          <w:szCs w:val="22"/>
          <w:lang w:eastAsia="fr-CA"/>
        </w:rPr>
      </w:pPr>
      <w:r>
        <w:rPr>
          <w:noProof/>
        </w:rPr>
        <w:t>Article 2-6.00</w:t>
      </w:r>
      <w:r>
        <w:rPr>
          <w:rFonts w:eastAsiaTheme="minorEastAsia" w:cstheme="minorBidi"/>
          <w:noProof/>
          <w:snapToGrid/>
          <w:sz w:val="22"/>
          <w:szCs w:val="22"/>
          <w:lang w:eastAsia="fr-CA"/>
        </w:rPr>
        <w:tab/>
      </w:r>
      <w:r>
        <w:rPr>
          <w:noProof/>
        </w:rPr>
        <w:t>- Harcèlement sexuel</w:t>
      </w:r>
      <w:r>
        <w:rPr>
          <w:noProof/>
        </w:rPr>
        <w:tab/>
      </w:r>
      <w:r>
        <w:rPr>
          <w:noProof/>
        </w:rPr>
        <w:fldChar w:fldCharType="begin"/>
      </w:r>
      <w:r>
        <w:rPr>
          <w:noProof/>
        </w:rPr>
        <w:instrText xml:space="preserve"> PAGEREF _Toc168479501 \h </w:instrText>
      </w:r>
      <w:r>
        <w:rPr>
          <w:noProof/>
        </w:rPr>
      </w:r>
      <w:r>
        <w:rPr>
          <w:noProof/>
        </w:rPr>
        <w:fldChar w:fldCharType="separate"/>
      </w:r>
      <w:r w:rsidR="00041131">
        <w:rPr>
          <w:noProof/>
        </w:rPr>
        <w:t>14</w:t>
      </w:r>
      <w:r>
        <w:rPr>
          <w:noProof/>
        </w:rPr>
        <w:fldChar w:fldCharType="end"/>
      </w:r>
    </w:p>
    <w:p w14:paraId="4E46A58A"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3  </w:t>
      </w:r>
      <w:r>
        <w:rPr>
          <w:noProof/>
        </w:rPr>
        <w:noBreakHyphen/>
        <w:t xml:space="preserve">  prérogatives syndicales</w:t>
      </w:r>
    </w:p>
    <w:p w14:paraId="07496F9C" w14:textId="606570FF" w:rsidR="00EB12F7" w:rsidRDefault="00EB12F7" w:rsidP="00C11271">
      <w:pPr>
        <w:pStyle w:val="TOC2"/>
        <w:rPr>
          <w:rFonts w:eastAsiaTheme="minorEastAsia" w:cstheme="minorBidi"/>
          <w:noProof/>
          <w:snapToGrid/>
          <w:sz w:val="22"/>
          <w:szCs w:val="22"/>
          <w:lang w:eastAsia="fr-CA"/>
        </w:rPr>
      </w:pPr>
      <w:r>
        <w:rPr>
          <w:noProof/>
        </w:rPr>
        <w:t>Article 3-1.00</w:t>
      </w:r>
      <w:r>
        <w:rPr>
          <w:rFonts w:eastAsiaTheme="minorEastAsia" w:cstheme="minorBidi"/>
          <w:noProof/>
          <w:snapToGrid/>
          <w:sz w:val="22"/>
          <w:szCs w:val="22"/>
          <w:lang w:eastAsia="fr-CA"/>
        </w:rPr>
        <w:tab/>
      </w:r>
      <w:r>
        <w:rPr>
          <w:noProof/>
        </w:rPr>
        <w:t>- Activités syndicales</w:t>
      </w:r>
      <w:r>
        <w:rPr>
          <w:noProof/>
        </w:rPr>
        <w:tab/>
      </w:r>
      <w:r>
        <w:rPr>
          <w:noProof/>
        </w:rPr>
        <w:fldChar w:fldCharType="begin"/>
      </w:r>
      <w:r>
        <w:rPr>
          <w:noProof/>
        </w:rPr>
        <w:instrText xml:space="preserve"> PAGEREF _Toc168479503 \h </w:instrText>
      </w:r>
      <w:r>
        <w:rPr>
          <w:noProof/>
        </w:rPr>
      </w:r>
      <w:r>
        <w:rPr>
          <w:noProof/>
        </w:rPr>
        <w:fldChar w:fldCharType="separate"/>
      </w:r>
      <w:r w:rsidR="00041131">
        <w:rPr>
          <w:noProof/>
        </w:rPr>
        <w:t>15</w:t>
      </w:r>
      <w:r>
        <w:rPr>
          <w:noProof/>
        </w:rPr>
        <w:fldChar w:fldCharType="end"/>
      </w:r>
    </w:p>
    <w:p w14:paraId="274B6A4C" w14:textId="34275C94" w:rsidR="00EB12F7" w:rsidRDefault="00EB12F7" w:rsidP="00C11271">
      <w:pPr>
        <w:pStyle w:val="TOC2"/>
        <w:rPr>
          <w:rFonts w:eastAsiaTheme="minorEastAsia" w:cstheme="minorBidi"/>
          <w:noProof/>
          <w:snapToGrid/>
          <w:sz w:val="22"/>
          <w:szCs w:val="22"/>
          <w:lang w:eastAsia="fr-CA"/>
        </w:rPr>
      </w:pPr>
      <w:r>
        <w:rPr>
          <w:noProof/>
        </w:rPr>
        <w:t>Article 3-2.00</w:t>
      </w:r>
      <w:r>
        <w:rPr>
          <w:rFonts w:eastAsiaTheme="minorEastAsia" w:cstheme="minorBidi"/>
          <w:noProof/>
          <w:snapToGrid/>
          <w:sz w:val="22"/>
          <w:szCs w:val="22"/>
          <w:lang w:eastAsia="fr-CA"/>
        </w:rPr>
        <w:tab/>
      </w:r>
      <w:r>
        <w:rPr>
          <w:noProof/>
        </w:rPr>
        <w:t>- Droits syndicaux</w:t>
      </w:r>
      <w:r>
        <w:rPr>
          <w:noProof/>
        </w:rPr>
        <w:tab/>
      </w:r>
      <w:r>
        <w:rPr>
          <w:noProof/>
        </w:rPr>
        <w:fldChar w:fldCharType="begin"/>
      </w:r>
      <w:r>
        <w:rPr>
          <w:noProof/>
        </w:rPr>
        <w:instrText xml:space="preserve"> PAGEREF _Toc168479504 \h </w:instrText>
      </w:r>
      <w:r>
        <w:rPr>
          <w:noProof/>
        </w:rPr>
      </w:r>
      <w:r>
        <w:rPr>
          <w:noProof/>
        </w:rPr>
        <w:fldChar w:fldCharType="separate"/>
      </w:r>
      <w:r w:rsidR="00041131">
        <w:rPr>
          <w:noProof/>
        </w:rPr>
        <w:t>20</w:t>
      </w:r>
      <w:r>
        <w:rPr>
          <w:noProof/>
        </w:rPr>
        <w:fldChar w:fldCharType="end"/>
      </w:r>
    </w:p>
    <w:p w14:paraId="1339A90C" w14:textId="508409ED" w:rsidR="00EB12F7" w:rsidRDefault="00EB12F7" w:rsidP="00C11271">
      <w:pPr>
        <w:pStyle w:val="TOC2"/>
        <w:rPr>
          <w:rFonts w:eastAsiaTheme="minorEastAsia" w:cstheme="minorBidi"/>
          <w:noProof/>
          <w:snapToGrid/>
          <w:sz w:val="22"/>
          <w:szCs w:val="22"/>
          <w:lang w:eastAsia="fr-CA"/>
        </w:rPr>
      </w:pPr>
      <w:r>
        <w:rPr>
          <w:noProof/>
        </w:rPr>
        <w:t>Article 3-3.00</w:t>
      </w:r>
      <w:r>
        <w:rPr>
          <w:rFonts w:eastAsiaTheme="minorEastAsia" w:cstheme="minorBidi"/>
          <w:noProof/>
          <w:snapToGrid/>
          <w:sz w:val="22"/>
          <w:szCs w:val="22"/>
          <w:lang w:eastAsia="fr-CA"/>
        </w:rPr>
        <w:tab/>
      </w:r>
      <w:r>
        <w:rPr>
          <w:noProof/>
        </w:rPr>
        <w:t>- Cotisations syndicales</w:t>
      </w:r>
      <w:r>
        <w:rPr>
          <w:noProof/>
        </w:rPr>
        <w:tab/>
      </w:r>
      <w:r>
        <w:rPr>
          <w:noProof/>
        </w:rPr>
        <w:fldChar w:fldCharType="begin"/>
      </w:r>
      <w:r>
        <w:rPr>
          <w:noProof/>
        </w:rPr>
        <w:instrText xml:space="preserve"> PAGEREF _Toc168479505 \h </w:instrText>
      </w:r>
      <w:r>
        <w:rPr>
          <w:noProof/>
        </w:rPr>
      </w:r>
      <w:r>
        <w:rPr>
          <w:noProof/>
        </w:rPr>
        <w:fldChar w:fldCharType="separate"/>
      </w:r>
      <w:r w:rsidR="00041131">
        <w:rPr>
          <w:noProof/>
        </w:rPr>
        <w:t>21</w:t>
      </w:r>
      <w:r>
        <w:rPr>
          <w:noProof/>
        </w:rPr>
        <w:fldChar w:fldCharType="end"/>
      </w:r>
    </w:p>
    <w:p w14:paraId="2616F71F"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4  </w:t>
      </w:r>
      <w:r>
        <w:rPr>
          <w:noProof/>
        </w:rPr>
        <w:noBreakHyphen/>
        <w:t xml:space="preserve">  organisation du travail</w:t>
      </w:r>
    </w:p>
    <w:p w14:paraId="5A1317DB" w14:textId="159283D3" w:rsidR="00EB12F7" w:rsidRDefault="00EB12F7" w:rsidP="00C11271">
      <w:pPr>
        <w:pStyle w:val="TOC2"/>
        <w:rPr>
          <w:rFonts w:eastAsiaTheme="minorEastAsia" w:cstheme="minorBidi"/>
          <w:noProof/>
          <w:snapToGrid/>
          <w:sz w:val="22"/>
          <w:szCs w:val="22"/>
          <w:lang w:eastAsia="fr-CA"/>
        </w:rPr>
      </w:pPr>
      <w:r>
        <w:rPr>
          <w:noProof/>
        </w:rPr>
        <w:t>Article 4-1.00</w:t>
      </w:r>
      <w:r>
        <w:rPr>
          <w:rFonts w:eastAsiaTheme="minorEastAsia" w:cstheme="minorBidi"/>
          <w:noProof/>
          <w:snapToGrid/>
          <w:sz w:val="22"/>
          <w:szCs w:val="22"/>
          <w:lang w:eastAsia="fr-CA"/>
        </w:rPr>
        <w:tab/>
      </w:r>
      <w:r>
        <w:rPr>
          <w:noProof/>
        </w:rPr>
        <w:t>- Fonctionnement départemental et comité de programme</w:t>
      </w:r>
      <w:r>
        <w:rPr>
          <w:noProof/>
        </w:rPr>
        <w:tab/>
      </w:r>
      <w:r>
        <w:rPr>
          <w:noProof/>
        </w:rPr>
        <w:fldChar w:fldCharType="begin"/>
      </w:r>
      <w:r>
        <w:rPr>
          <w:noProof/>
        </w:rPr>
        <w:instrText xml:space="preserve"> PAGEREF _Toc168479507 \h </w:instrText>
      </w:r>
      <w:r>
        <w:rPr>
          <w:noProof/>
        </w:rPr>
      </w:r>
      <w:r>
        <w:rPr>
          <w:noProof/>
        </w:rPr>
        <w:fldChar w:fldCharType="separate"/>
      </w:r>
      <w:r w:rsidR="00041131">
        <w:rPr>
          <w:noProof/>
        </w:rPr>
        <w:t>22</w:t>
      </w:r>
      <w:r>
        <w:rPr>
          <w:noProof/>
        </w:rPr>
        <w:fldChar w:fldCharType="end"/>
      </w:r>
    </w:p>
    <w:p w14:paraId="29872439" w14:textId="674DDAB1" w:rsidR="00EB12F7" w:rsidRDefault="00EB12F7" w:rsidP="00C11271">
      <w:pPr>
        <w:pStyle w:val="TOC2"/>
        <w:rPr>
          <w:rFonts w:eastAsiaTheme="minorEastAsia" w:cstheme="minorBidi"/>
          <w:noProof/>
          <w:snapToGrid/>
          <w:sz w:val="22"/>
          <w:szCs w:val="22"/>
          <w:lang w:eastAsia="fr-CA"/>
        </w:rPr>
      </w:pPr>
      <w:r w:rsidRPr="00DA476F">
        <w:rPr>
          <w:rFonts w:cs="Arial"/>
          <w:noProof/>
        </w:rPr>
        <w:t>Article 4-2.00</w:t>
      </w:r>
      <w:r>
        <w:rPr>
          <w:rFonts w:eastAsiaTheme="minorEastAsia" w:cstheme="minorBidi"/>
          <w:noProof/>
          <w:snapToGrid/>
          <w:sz w:val="22"/>
          <w:szCs w:val="22"/>
          <w:lang w:eastAsia="fr-CA"/>
        </w:rPr>
        <w:tab/>
      </w:r>
      <w:r>
        <w:rPr>
          <w:noProof/>
        </w:rPr>
        <w:t xml:space="preserve">- </w:t>
      </w:r>
      <w:r w:rsidRPr="00DA476F">
        <w:rPr>
          <w:rFonts w:cs="Arial"/>
          <w:noProof/>
        </w:rPr>
        <w:t>Information</w:t>
      </w:r>
      <w:r>
        <w:rPr>
          <w:noProof/>
        </w:rPr>
        <w:tab/>
      </w:r>
      <w:r>
        <w:rPr>
          <w:noProof/>
        </w:rPr>
        <w:fldChar w:fldCharType="begin"/>
      </w:r>
      <w:r>
        <w:rPr>
          <w:noProof/>
        </w:rPr>
        <w:instrText xml:space="preserve"> PAGEREF _Toc168479508 \h </w:instrText>
      </w:r>
      <w:r>
        <w:rPr>
          <w:noProof/>
        </w:rPr>
      </w:r>
      <w:r>
        <w:rPr>
          <w:noProof/>
        </w:rPr>
        <w:fldChar w:fldCharType="separate"/>
      </w:r>
      <w:r w:rsidR="00041131">
        <w:rPr>
          <w:noProof/>
        </w:rPr>
        <w:t>31</w:t>
      </w:r>
      <w:r>
        <w:rPr>
          <w:noProof/>
        </w:rPr>
        <w:fldChar w:fldCharType="end"/>
      </w:r>
    </w:p>
    <w:p w14:paraId="40855541" w14:textId="0EEB6726" w:rsidR="00EB12F7" w:rsidRDefault="00EB12F7" w:rsidP="00C11271">
      <w:pPr>
        <w:pStyle w:val="TOC2"/>
        <w:rPr>
          <w:rFonts w:eastAsiaTheme="minorEastAsia" w:cstheme="minorBidi"/>
          <w:noProof/>
          <w:snapToGrid/>
          <w:sz w:val="22"/>
          <w:szCs w:val="22"/>
          <w:lang w:eastAsia="fr-CA"/>
        </w:rPr>
      </w:pPr>
      <w:r>
        <w:rPr>
          <w:noProof/>
        </w:rPr>
        <w:t>Article 4-3.00</w:t>
      </w:r>
      <w:r>
        <w:rPr>
          <w:rFonts w:eastAsiaTheme="minorEastAsia" w:cstheme="minorBidi"/>
          <w:noProof/>
          <w:snapToGrid/>
          <w:sz w:val="22"/>
          <w:szCs w:val="22"/>
          <w:lang w:eastAsia="fr-CA"/>
        </w:rPr>
        <w:tab/>
      </w:r>
      <w:r>
        <w:rPr>
          <w:noProof/>
        </w:rPr>
        <w:t>- Comité des relations du travail</w:t>
      </w:r>
      <w:r>
        <w:rPr>
          <w:noProof/>
        </w:rPr>
        <w:tab/>
      </w:r>
      <w:r>
        <w:rPr>
          <w:noProof/>
        </w:rPr>
        <w:fldChar w:fldCharType="begin"/>
      </w:r>
      <w:r>
        <w:rPr>
          <w:noProof/>
        </w:rPr>
        <w:instrText xml:space="preserve"> PAGEREF _Toc168479509 \h </w:instrText>
      </w:r>
      <w:r>
        <w:rPr>
          <w:noProof/>
        </w:rPr>
      </w:r>
      <w:r>
        <w:rPr>
          <w:noProof/>
        </w:rPr>
        <w:fldChar w:fldCharType="separate"/>
      </w:r>
      <w:r w:rsidR="00041131">
        <w:rPr>
          <w:noProof/>
        </w:rPr>
        <w:t>34</w:t>
      </w:r>
      <w:r>
        <w:rPr>
          <w:noProof/>
        </w:rPr>
        <w:fldChar w:fldCharType="end"/>
      </w:r>
    </w:p>
    <w:p w14:paraId="56248171" w14:textId="05053E74" w:rsidR="00EB12F7" w:rsidRDefault="00EB12F7" w:rsidP="00C11271">
      <w:pPr>
        <w:pStyle w:val="TOC2"/>
        <w:rPr>
          <w:rFonts w:eastAsiaTheme="minorEastAsia" w:cstheme="minorBidi"/>
          <w:noProof/>
          <w:snapToGrid/>
          <w:sz w:val="22"/>
          <w:szCs w:val="22"/>
          <w:lang w:eastAsia="fr-CA"/>
        </w:rPr>
      </w:pPr>
      <w:r>
        <w:rPr>
          <w:noProof/>
        </w:rPr>
        <w:t>Article 4-4.00</w:t>
      </w:r>
      <w:r>
        <w:rPr>
          <w:rFonts w:eastAsiaTheme="minorEastAsia" w:cstheme="minorBidi"/>
          <w:noProof/>
          <w:snapToGrid/>
          <w:sz w:val="22"/>
          <w:szCs w:val="22"/>
          <w:lang w:eastAsia="fr-CA"/>
        </w:rPr>
        <w:tab/>
      </w:r>
      <w:r>
        <w:rPr>
          <w:noProof/>
        </w:rPr>
        <w:t>- Sélection des enseignantes et enseignants réguliers</w:t>
      </w:r>
      <w:r>
        <w:rPr>
          <w:noProof/>
        </w:rPr>
        <w:tab/>
      </w:r>
      <w:r>
        <w:rPr>
          <w:noProof/>
        </w:rPr>
        <w:fldChar w:fldCharType="begin"/>
      </w:r>
      <w:r>
        <w:rPr>
          <w:noProof/>
        </w:rPr>
        <w:instrText xml:space="preserve"> PAGEREF _Toc168479510 \h </w:instrText>
      </w:r>
      <w:r>
        <w:rPr>
          <w:noProof/>
        </w:rPr>
      </w:r>
      <w:r>
        <w:rPr>
          <w:noProof/>
        </w:rPr>
        <w:fldChar w:fldCharType="separate"/>
      </w:r>
      <w:r w:rsidR="00041131">
        <w:rPr>
          <w:noProof/>
        </w:rPr>
        <w:t>39</w:t>
      </w:r>
      <w:r>
        <w:rPr>
          <w:noProof/>
        </w:rPr>
        <w:fldChar w:fldCharType="end"/>
      </w:r>
    </w:p>
    <w:p w14:paraId="5186BC4B" w14:textId="00BA2F8E" w:rsidR="00EB12F7" w:rsidRDefault="00EB12F7" w:rsidP="00C11271">
      <w:pPr>
        <w:pStyle w:val="TOC2"/>
        <w:rPr>
          <w:rFonts w:eastAsiaTheme="minorEastAsia" w:cstheme="minorBidi"/>
          <w:noProof/>
          <w:snapToGrid/>
          <w:sz w:val="22"/>
          <w:szCs w:val="22"/>
          <w:lang w:eastAsia="fr-CA"/>
        </w:rPr>
      </w:pPr>
      <w:r>
        <w:rPr>
          <w:noProof/>
        </w:rPr>
        <w:t>Article 4-5.00</w:t>
      </w:r>
      <w:r>
        <w:rPr>
          <w:rFonts w:eastAsiaTheme="minorEastAsia" w:cstheme="minorBidi"/>
          <w:noProof/>
          <w:snapToGrid/>
          <w:sz w:val="22"/>
          <w:szCs w:val="22"/>
          <w:lang w:eastAsia="fr-CA"/>
        </w:rPr>
        <w:tab/>
      </w:r>
      <w:r>
        <w:rPr>
          <w:noProof/>
        </w:rPr>
        <w:t>- Commission pédagogique</w:t>
      </w:r>
      <w:r>
        <w:rPr>
          <w:noProof/>
        </w:rPr>
        <w:tab/>
      </w:r>
      <w:r>
        <w:rPr>
          <w:noProof/>
        </w:rPr>
        <w:fldChar w:fldCharType="begin"/>
      </w:r>
      <w:r>
        <w:rPr>
          <w:noProof/>
        </w:rPr>
        <w:instrText xml:space="preserve"> PAGEREF _Toc168479511 \h </w:instrText>
      </w:r>
      <w:r>
        <w:rPr>
          <w:noProof/>
        </w:rPr>
      </w:r>
      <w:r>
        <w:rPr>
          <w:noProof/>
        </w:rPr>
        <w:fldChar w:fldCharType="separate"/>
      </w:r>
      <w:r w:rsidR="00041131">
        <w:rPr>
          <w:noProof/>
        </w:rPr>
        <w:t>40</w:t>
      </w:r>
      <w:r>
        <w:rPr>
          <w:noProof/>
        </w:rPr>
        <w:fldChar w:fldCharType="end"/>
      </w:r>
    </w:p>
    <w:p w14:paraId="38F266D5"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5  </w:t>
      </w:r>
      <w:r>
        <w:rPr>
          <w:noProof/>
        </w:rPr>
        <w:noBreakHyphen/>
        <w:t xml:space="preserve">  emploi et avantages sociaux</w:t>
      </w:r>
    </w:p>
    <w:p w14:paraId="465FCE33" w14:textId="1774A58B" w:rsidR="00EB12F7" w:rsidRDefault="00EB12F7" w:rsidP="00C11271">
      <w:pPr>
        <w:pStyle w:val="TOC2"/>
        <w:rPr>
          <w:rFonts w:eastAsiaTheme="minorEastAsia" w:cstheme="minorBidi"/>
          <w:noProof/>
          <w:snapToGrid/>
          <w:sz w:val="22"/>
          <w:szCs w:val="22"/>
          <w:lang w:eastAsia="fr-CA"/>
        </w:rPr>
      </w:pPr>
      <w:r w:rsidRPr="00DA476F">
        <w:rPr>
          <w:rFonts w:cs="Arial"/>
          <w:noProof/>
        </w:rPr>
        <w:t>Article 5-1.00</w:t>
      </w:r>
      <w:r>
        <w:rPr>
          <w:rFonts w:eastAsiaTheme="minorEastAsia" w:cstheme="minorBidi"/>
          <w:noProof/>
          <w:snapToGrid/>
          <w:sz w:val="22"/>
          <w:szCs w:val="22"/>
          <w:lang w:eastAsia="fr-CA"/>
        </w:rPr>
        <w:tab/>
      </w:r>
      <w:r>
        <w:rPr>
          <w:noProof/>
        </w:rPr>
        <w:t xml:space="preserve">- </w:t>
      </w:r>
      <w:r w:rsidRPr="00DA476F">
        <w:rPr>
          <w:rFonts w:cs="Arial"/>
          <w:noProof/>
        </w:rPr>
        <w:t>Engagement</w:t>
      </w:r>
      <w:r>
        <w:rPr>
          <w:noProof/>
        </w:rPr>
        <w:tab/>
      </w:r>
      <w:r>
        <w:rPr>
          <w:noProof/>
        </w:rPr>
        <w:fldChar w:fldCharType="begin"/>
      </w:r>
      <w:r>
        <w:rPr>
          <w:noProof/>
        </w:rPr>
        <w:instrText xml:space="preserve"> PAGEREF _Toc168479513 \h </w:instrText>
      </w:r>
      <w:r>
        <w:rPr>
          <w:noProof/>
        </w:rPr>
      </w:r>
      <w:r>
        <w:rPr>
          <w:noProof/>
        </w:rPr>
        <w:fldChar w:fldCharType="separate"/>
      </w:r>
      <w:r w:rsidR="00041131">
        <w:rPr>
          <w:noProof/>
        </w:rPr>
        <w:t>41</w:t>
      </w:r>
      <w:r>
        <w:rPr>
          <w:noProof/>
        </w:rPr>
        <w:fldChar w:fldCharType="end"/>
      </w:r>
    </w:p>
    <w:p w14:paraId="647645AE" w14:textId="155BE159" w:rsidR="00EB12F7" w:rsidRDefault="00EB12F7" w:rsidP="00C11271">
      <w:pPr>
        <w:pStyle w:val="TOC2"/>
        <w:rPr>
          <w:rFonts w:eastAsiaTheme="minorEastAsia" w:cstheme="minorBidi"/>
          <w:noProof/>
          <w:snapToGrid/>
          <w:sz w:val="22"/>
          <w:szCs w:val="22"/>
          <w:lang w:eastAsia="fr-CA"/>
        </w:rPr>
      </w:pPr>
      <w:r>
        <w:rPr>
          <w:noProof/>
        </w:rPr>
        <w:t>Article 5-2.00</w:t>
      </w:r>
      <w:r>
        <w:rPr>
          <w:rFonts w:eastAsiaTheme="minorEastAsia" w:cstheme="minorBidi"/>
          <w:noProof/>
          <w:snapToGrid/>
          <w:sz w:val="22"/>
          <w:szCs w:val="22"/>
          <w:lang w:eastAsia="fr-CA"/>
        </w:rPr>
        <w:tab/>
      </w:r>
      <w:r>
        <w:rPr>
          <w:noProof/>
        </w:rPr>
        <w:t>- Permanence</w:t>
      </w:r>
      <w:r>
        <w:rPr>
          <w:noProof/>
        </w:rPr>
        <w:tab/>
      </w:r>
      <w:r>
        <w:rPr>
          <w:noProof/>
        </w:rPr>
        <w:fldChar w:fldCharType="begin"/>
      </w:r>
      <w:r>
        <w:rPr>
          <w:noProof/>
        </w:rPr>
        <w:instrText xml:space="preserve"> PAGEREF _Toc168479514 \h </w:instrText>
      </w:r>
      <w:r>
        <w:rPr>
          <w:noProof/>
        </w:rPr>
      </w:r>
      <w:r>
        <w:rPr>
          <w:noProof/>
        </w:rPr>
        <w:fldChar w:fldCharType="separate"/>
      </w:r>
      <w:r w:rsidR="00041131">
        <w:rPr>
          <w:noProof/>
        </w:rPr>
        <w:t>47</w:t>
      </w:r>
      <w:r>
        <w:rPr>
          <w:noProof/>
        </w:rPr>
        <w:fldChar w:fldCharType="end"/>
      </w:r>
    </w:p>
    <w:p w14:paraId="285C052B" w14:textId="49F887B7" w:rsidR="00EB12F7" w:rsidRDefault="00EB12F7" w:rsidP="00C11271">
      <w:pPr>
        <w:pStyle w:val="TOC2"/>
        <w:rPr>
          <w:rFonts w:eastAsiaTheme="minorEastAsia" w:cstheme="minorBidi"/>
          <w:noProof/>
          <w:snapToGrid/>
          <w:sz w:val="22"/>
          <w:szCs w:val="22"/>
          <w:lang w:eastAsia="fr-CA"/>
        </w:rPr>
      </w:pPr>
      <w:r>
        <w:rPr>
          <w:noProof/>
        </w:rPr>
        <w:t>Article 5-3.00</w:t>
      </w:r>
      <w:r>
        <w:rPr>
          <w:rFonts w:eastAsiaTheme="minorEastAsia" w:cstheme="minorBidi"/>
          <w:noProof/>
          <w:snapToGrid/>
          <w:sz w:val="22"/>
          <w:szCs w:val="22"/>
          <w:lang w:eastAsia="fr-CA"/>
        </w:rPr>
        <w:tab/>
      </w:r>
      <w:r>
        <w:rPr>
          <w:noProof/>
        </w:rPr>
        <w:t>- Ancienneté</w:t>
      </w:r>
      <w:r>
        <w:rPr>
          <w:noProof/>
        </w:rPr>
        <w:tab/>
      </w:r>
      <w:r>
        <w:rPr>
          <w:noProof/>
        </w:rPr>
        <w:fldChar w:fldCharType="begin"/>
      </w:r>
      <w:r>
        <w:rPr>
          <w:noProof/>
        </w:rPr>
        <w:instrText xml:space="preserve"> PAGEREF _Toc168479515 \h </w:instrText>
      </w:r>
      <w:r>
        <w:rPr>
          <w:noProof/>
        </w:rPr>
      </w:r>
      <w:r>
        <w:rPr>
          <w:noProof/>
        </w:rPr>
        <w:fldChar w:fldCharType="separate"/>
      </w:r>
      <w:r w:rsidR="00041131">
        <w:rPr>
          <w:noProof/>
        </w:rPr>
        <w:t>49</w:t>
      </w:r>
      <w:r>
        <w:rPr>
          <w:noProof/>
        </w:rPr>
        <w:fldChar w:fldCharType="end"/>
      </w:r>
    </w:p>
    <w:p w14:paraId="6D3F1E1B" w14:textId="3DF0FCA6" w:rsidR="00EB12F7" w:rsidRDefault="00EB12F7" w:rsidP="00C11271">
      <w:pPr>
        <w:pStyle w:val="TOC2"/>
        <w:rPr>
          <w:rFonts w:eastAsiaTheme="minorEastAsia" w:cstheme="minorBidi"/>
          <w:noProof/>
          <w:snapToGrid/>
          <w:sz w:val="22"/>
          <w:szCs w:val="22"/>
          <w:lang w:eastAsia="fr-CA"/>
        </w:rPr>
      </w:pPr>
      <w:r>
        <w:rPr>
          <w:noProof/>
        </w:rPr>
        <w:t>Article 5-4.00</w:t>
      </w:r>
      <w:r>
        <w:rPr>
          <w:rFonts w:eastAsiaTheme="minorEastAsia" w:cstheme="minorBidi"/>
          <w:noProof/>
          <w:snapToGrid/>
          <w:sz w:val="22"/>
          <w:szCs w:val="22"/>
          <w:lang w:eastAsia="fr-CA"/>
        </w:rPr>
        <w:tab/>
      </w:r>
      <w:r>
        <w:rPr>
          <w:noProof/>
        </w:rPr>
        <w:t>- Modalités de la sécurité d’emploi</w:t>
      </w:r>
      <w:r>
        <w:rPr>
          <w:noProof/>
        </w:rPr>
        <w:tab/>
      </w:r>
      <w:r>
        <w:rPr>
          <w:noProof/>
        </w:rPr>
        <w:fldChar w:fldCharType="begin"/>
      </w:r>
      <w:r>
        <w:rPr>
          <w:noProof/>
        </w:rPr>
        <w:instrText xml:space="preserve"> PAGEREF _Toc168479516 \h </w:instrText>
      </w:r>
      <w:r>
        <w:rPr>
          <w:noProof/>
        </w:rPr>
      </w:r>
      <w:r>
        <w:rPr>
          <w:noProof/>
        </w:rPr>
        <w:fldChar w:fldCharType="separate"/>
      </w:r>
      <w:r w:rsidR="00041131">
        <w:rPr>
          <w:noProof/>
        </w:rPr>
        <w:t>53</w:t>
      </w:r>
      <w:r>
        <w:rPr>
          <w:noProof/>
        </w:rPr>
        <w:fldChar w:fldCharType="end"/>
      </w:r>
    </w:p>
    <w:p w14:paraId="2972E9B2" w14:textId="1E718FF9" w:rsidR="00EB12F7" w:rsidRDefault="00EB12F7" w:rsidP="00C11271">
      <w:pPr>
        <w:pStyle w:val="TOC2"/>
        <w:rPr>
          <w:rFonts w:eastAsiaTheme="minorEastAsia" w:cstheme="minorBidi"/>
          <w:noProof/>
          <w:snapToGrid/>
          <w:sz w:val="22"/>
          <w:szCs w:val="22"/>
          <w:lang w:eastAsia="fr-CA"/>
        </w:rPr>
      </w:pPr>
      <w:r>
        <w:rPr>
          <w:noProof/>
        </w:rPr>
        <w:t>Article 5-5.00</w:t>
      </w:r>
      <w:r>
        <w:rPr>
          <w:rFonts w:eastAsiaTheme="minorEastAsia" w:cstheme="minorBidi"/>
          <w:noProof/>
          <w:snapToGrid/>
          <w:sz w:val="22"/>
          <w:szCs w:val="22"/>
          <w:lang w:eastAsia="fr-CA"/>
        </w:rPr>
        <w:tab/>
      </w:r>
      <w:r>
        <w:rPr>
          <w:noProof/>
        </w:rPr>
        <w:t>- Régimes d’assurance-vie, maladie et traitement</w:t>
      </w:r>
      <w:r>
        <w:rPr>
          <w:noProof/>
        </w:rPr>
        <w:tab/>
      </w:r>
      <w:r>
        <w:rPr>
          <w:noProof/>
        </w:rPr>
        <w:fldChar w:fldCharType="begin"/>
      </w:r>
      <w:r>
        <w:rPr>
          <w:noProof/>
        </w:rPr>
        <w:instrText xml:space="preserve"> PAGEREF _Toc168479517 \h </w:instrText>
      </w:r>
      <w:r>
        <w:rPr>
          <w:noProof/>
        </w:rPr>
      </w:r>
      <w:r>
        <w:rPr>
          <w:noProof/>
        </w:rPr>
        <w:fldChar w:fldCharType="separate"/>
      </w:r>
      <w:r w:rsidR="00041131">
        <w:rPr>
          <w:noProof/>
        </w:rPr>
        <w:t>95</w:t>
      </w:r>
      <w:r>
        <w:rPr>
          <w:noProof/>
        </w:rPr>
        <w:fldChar w:fldCharType="end"/>
      </w:r>
    </w:p>
    <w:p w14:paraId="387C1D1E" w14:textId="5B023888" w:rsidR="00EB12F7" w:rsidRDefault="00EB12F7" w:rsidP="00C11271">
      <w:pPr>
        <w:pStyle w:val="TOC2"/>
        <w:rPr>
          <w:rFonts w:eastAsiaTheme="minorEastAsia" w:cstheme="minorBidi"/>
          <w:noProof/>
          <w:snapToGrid/>
          <w:sz w:val="22"/>
          <w:szCs w:val="22"/>
          <w:lang w:eastAsia="fr-CA"/>
        </w:rPr>
      </w:pPr>
      <w:r>
        <w:rPr>
          <w:noProof/>
        </w:rPr>
        <w:t>Article 5-6.00</w:t>
      </w:r>
      <w:r>
        <w:rPr>
          <w:rFonts w:eastAsiaTheme="minorEastAsia" w:cstheme="minorBidi"/>
          <w:noProof/>
          <w:snapToGrid/>
          <w:sz w:val="22"/>
          <w:szCs w:val="22"/>
          <w:lang w:eastAsia="fr-CA"/>
        </w:rPr>
        <w:tab/>
      </w:r>
      <w:r>
        <w:rPr>
          <w:noProof/>
        </w:rPr>
        <w:t>- Droits parentaux</w:t>
      </w:r>
      <w:r>
        <w:rPr>
          <w:noProof/>
        </w:rPr>
        <w:tab/>
      </w:r>
      <w:r>
        <w:rPr>
          <w:noProof/>
        </w:rPr>
        <w:fldChar w:fldCharType="begin"/>
      </w:r>
      <w:r>
        <w:rPr>
          <w:noProof/>
        </w:rPr>
        <w:instrText xml:space="preserve"> PAGEREF _Toc168479518 \h </w:instrText>
      </w:r>
      <w:r>
        <w:rPr>
          <w:noProof/>
        </w:rPr>
      </w:r>
      <w:r>
        <w:rPr>
          <w:noProof/>
        </w:rPr>
        <w:fldChar w:fldCharType="separate"/>
      </w:r>
      <w:r w:rsidR="00041131">
        <w:rPr>
          <w:noProof/>
        </w:rPr>
        <w:t>107</w:t>
      </w:r>
      <w:r>
        <w:rPr>
          <w:noProof/>
        </w:rPr>
        <w:fldChar w:fldCharType="end"/>
      </w:r>
    </w:p>
    <w:p w14:paraId="0C75DE5F" w14:textId="499294EC" w:rsidR="00EB12F7" w:rsidRDefault="00EB12F7" w:rsidP="00C11271">
      <w:pPr>
        <w:pStyle w:val="TOC2"/>
        <w:rPr>
          <w:rFonts w:eastAsiaTheme="minorEastAsia" w:cstheme="minorBidi"/>
          <w:noProof/>
          <w:snapToGrid/>
          <w:sz w:val="22"/>
          <w:szCs w:val="22"/>
          <w:lang w:eastAsia="fr-CA"/>
        </w:rPr>
      </w:pPr>
      <w:r>
        <w:rPr>
          <w:noProof/>
        </w:rPr>
        <w:t>Article 5-7.00</w:t>
      </w:r>
      <w:r>
        <w:rPr>
          <w:rFonts w:eastAsiaTheme="minorEastAsia" w:cstheme="minorBidi"/>
          <w:noProof/>
          <w:snapToGrid/>
          <w:sz w:val="22"/>
          <w:szCs w:val="22"/>
          <w:lang w:eastAsia="fr-CA"/>
        </w:rPr>
        <w:tab/>
      </w:r>
      <w:r>
        <w:rPr>
          <w:noProof/>
        </w:rPr>
        <w:t>- Charge publique</w:t>
      </w:r>
      <w:r>
        <w:rPr>
          <w:noProof/>
        </w:rPr>
        <w:tab/>
      </w:r>
      <w:r>
        <w:rPr>
          <w:noProof/>
        </w:rPr>
        <w:fldChar w:fldCharType="begin"/>
      </w:r>
      <w:r>
        <w:rPr>
          <w:noProof/>
        </w:rPr>
        <w:instrText xml:space="preserve"> PAGEREF _Toc168479519 \h </w:instrText>
      </w:r>
      <w:r>
        <w:rPr>
          <w:noProof/>
        </w:rPr>
      </w:r>
      <w:r>
        <w:rPr>
          <w:noProof/>
        </w:rPr>
        <w:fldChar w:fldCharType="separate"/>
      </w:r>
      <w:r w:rsidR="00041131">
        <w:rPr>
          <w:noProof/>
        </w:rPr>
        <w:t>133</w:t>
      </w:r>
      <w:r>
        <w:rPr>
          <w:noProof/>
        </w:rPr>
        <w:fldChar w:fldCharType="end"/>
      </w:r>
    </w:p>
    <w:p w14:paraId="20E08727" w14:textId="0CB7B63B" w:rsidR="00EB12F7" w:rsidRDefault="00EB12F7" w:rsidP="00C11271">
      <w:pPr>
        <w:pStyle w:val="TOC2"/>
        <w:rPr>
          <w:rFonts w:eastAsiaTheme="minorEastAsia" w:cstheme="minorBidi"/>
          <w:noProof/>
          <w:snapToGrid/>
          <w:sz w:val="22"/>
          <w:szCs w:val="22"/>
          <w:lang w:eastAsia="fr-CA"/>
        </w:rPr>
      </w:pPr>
      <w:r>
        <w:rPr>
          <w:noProof/>
        </w:rPr>
        <w:t>Article 5-8.00</w:t>
      </w:r>
      <w:r>
        <w:rPr>
          <w:rFonts w:eastAsiaTheme="minorEastAsia" w:cstheme="minorBidi"/>
          <w:noProof/>
          <w:snapToGrid/>
          <w:sz w:val="22"/>
          <w:szCs w:val="22"/>
          <w:lang w:eastAsia="fr-CA"/>
        </w:rPr>
        <w:tab/>
      </w:r>
      <w:r>
        <w:rPr>
          <w:noProof/>
        </w:rPr>
        <w:t>- Jours fériés</w:t>
      </w:r>
      <w:r>
        <w:rPr>
          <w:noProof/>
        </w:rPr>
        <w:tab/>
      </w:r>
      <w:r>
        <w:rPr>
          <w:noProof/>
        </w:rPr>
        <w:fldChar w:fldCharType="begin"/>
      </w:r>
      <w:r>
        <w:rPr>
          <w:noProof/>
        </w:rPr>
        <w:instrText xml:space="preserve"> PAGEREF _Toc168479520 \h </w:instrText>
      </w:r>
      <w:r>
        <w:rPr>
          <w:noProof/>
        </w:rPr>
      </w:r>
      <w:r>
        <w:rPr>
          <w:noProof/>
        </w:rPr>
        <w:fldChar w:fldCharType="separate"/>
      </w:r>
      <w:r w:rsidR="00041131">
        <w:rPr>
          <w:noProof/>
        </w:rPr>
        <w:t>135</w:t>
      </w:r>
      <w:r>
        <w:rPr>
          <w:noProof/>
        </w:rPr>
        <w:fldChar w:fldCharType="end"/>
      </w:r>
    </w:p>
    <w:p w14:paraId="60ADB630" w14:textId="0D0C3975" w:rsidR="00EB12F7" w:rsidRDefault="00EB12F7" w:rsidP="00C11271">
      <w:pPr>
        <w:pStyle w:val="TOC2"/>
        <w:rPr>
          <w:rFonts w:eastAsiaTheme="minorEastAsia" w:cstheme="minorBidi"/>
          <w:noProof/>
          <w:snapToGrid/>
          <w:sz w:val="22"/>
          <w:szCs w:val="22"/>
          <w:lang w:eastAsia="fr-CA"/>
        </w:rPr>
      </w:pPr>
      <w:r>
        <w:rPr>
          <w:noProof/>
        </w:rPr>
        <w:t>Article 5-9.00</w:t>
      </w:r>
      <w:r>
        <w:rPr>
          <w:rFonts w:eastAsiaTheme="minorEastAsia" w:cstheme="minorBidi"/>
          <w:noProof/>
          <w:snapToGrid/>
          <w:sz w:val="22"/>
          <w:szCs w:val="22"/>
          <w:lang w:eastAsia="fr-CA"/>
        </w:rPr>
        <w:tab/>
      </w:r>
      <w:r>
        <w:rPr>
          <w:noProof/>
        </w:rPr>
        <w:t>- Congés spéciaux et congés pour raisons familiales</w:t>
      </w:r>
      <w:r>
        <w:rPr>
          <w:noProof/>
        </w:rPr>
        <w:tab/>
      </w:r>
      <w:r>
        <w:rPr>
          <w:noProof/>
        </w:rPr>
        <w:fldChar w:fldCharType="begin"/>
      </w:r>
      <w:r>
        <w:rPr>
          <w:noProof/>
        </w:rPr>
        <w:instrText xml:space="preserve"> PAGEREF _Toc168479521 \h </w:instrText>
      </w:r>
      <w:r>
        <w:rPr>
          <w:noProof/>
        </w:rPr>
      </w:r>
      <w:r>
        <w:rPr>
          <w:noProof/>
        </w:rPr>
        <w:fldChar w:fldCharType="separate"/>
      </w:r>
      <w:r w:rsidR="00041131">
        <w:rPr>
          <w:noProof/>
        </w:rPr>
        <w:t>136</w:t>
      </w:r>
      <w:r>
        <w:rPr>
          <w:noProof/>
        </w:rPr>
        <w:fldChar w:fldCharType="end"/>
      </w:r>
    </w:p>
    <w:p w14:paraId="0333332C" w14:textId="3D6FA0ED" w:rsidR="00EB12F7" w:rsidRDefault="00EB12F7" w:rsidP="00C11271">
      <w:pPr>
        <w:pStyle w:val="TOC2"/>
        <w:rPr>
          <w:rFonts w:eastAsiaTheme="minorEastAsia" w:cstheme="minorBidi"/>
          <w:noProof/>
          <w:snapToGrid/>
          <w:sz w:val="22"/>
          <w:szCs w:val="22"/>
          <w:lang w:eastAsia="fr-CA"/>
        </w:rPr>
      </w:pPr>
      <w:r>
        <w:rPr>
          <w:noProof/>
        </w:rPr>
        <w:t>Article 5-10.00</w:t>
      </w:r>
      <w:r>
        <w:rPr>
          <w:rFonts w:eastAsiaTheme="minorEastAsia" w:cstheme="minorBidi"/>
          <w:noProof/>
          <w:snapToGrid/>
          <w:sz w:val="22"/>
          <w:szCs w:val="22"/>
          <w:lang w:eastAsia="fr-CA"/>
        </w:rPr>
        <w:tab/>
      </w:r>
      <w:r>
        <w:rPr>
          <w:noProof/>
        </w:rPr>
        <w:t>- Échanges intercollèges</w:t>
      </w:r>
      <w:r>
        <w:rPr>
          <w:noProof/>
        </w:rPr>
        <w:tab/>
      </w:r>
      <w:r>
        <w:rPr>
          <w:noProof/>
        </w:rPr>
        <w:fldChar w:fldCharType="begin"/>
      </w:r>
      <w:r>
        <w:rPr>
          <w:noProof/>
        </w:rPr>
        <w:instrText xml:space="preserve"> PAGEREF _Toc168479522 \h </w:instrText>
      </w:r>
      <w:r>
        <w:rPr>
          <w:noProof/>
        </w:rPr>
      </w:r>
      <w:r>
        <w:rPr>
          <w:noProof/>
        </w:rPr>
        <w:fldChar w:fldCharType="separate"/>
      </w:r>
      <w:r w:rsidR="00041131">
        <w:rPr>
          <w:noProof/>
        </w:rPr>
        <w:t>141</w:t>
      </w:r>
      <w:r>
        <w:rPr>
          <w:noProof/>
        </w:rPr>
        <w:fldChar w:fldCharType="end"/>
      </w:r>
    </w:p>
    <w:p w14:paraId="5E3EC964" w14:textId="2DA60542" w:rsidR="00EB12F7" w:rsidRDefault="00EB12F7" w:rsidP="00C11271">
      <w:pPr>
        <w:pStyle w:val="TOC2"/>
        <w:rPr>
          <w:rFonts w:eastAsiaTheme="minorEastAsia" w:cstheme="minorBidi"/>
          <w:noProof/>
          <w:snapToGrid/>
          <w:sz w:val="22"/>
          <w:szCs w:val="22"/>
          <w:lang w:eastAsia="fr-CA"/>
        </w:rPr>
      </w:pPr>
      <w:r>
        <w:rPr>
          <w:noProof/>
        </w:rPr>
        <w:t>Article 5-11.00</w:t>
      </w:r>
      <w:r>
        <w:rPr>
          <w:rFonts w:eastAsiaTheme="minorEastAsia" w:cstheme="minorBidi"/>
          <w:noProof/>
          <w:snapToGrid/>
          <w:sz w:val="22"/>
          <w:szCs w:val="22"/>
          <w:lang w:eastAsia="fr-CA"/>
        </w:rPr>
        <w:tab/>
      </w:r>
      <w:r>
        <w:rPr>
          <w:noProof/>
        </w:rPr>
        <w:t>- Assignation provisoire d’une enseignante ou d’un enseignant  à une autre catégorie de personnel</w:t>
      </w:r>
      <w:r>
        <w:rPr>
          <w:noProof/>
        </w:rPr>
        <w:tab/>
      </w:r>
      <w:r>
        <w:rPr>
          <w:noProof/>
        </w:rPr>
        <w:fldChar w:fldCharType="begin"/>
      </w:r>
      <w:r>
        <w:rPr>
          <w:noProof/>
        </w:rPr>
        <w:instrText xml:space="preserve"> PAGEREF _Toc168479523 \h </w:instrText>
      </w:r>
      <w:r>
        <w:rPr>
          <w:noProof/>
        </w:rPr>
      </w:r>
      <w:r>
        <w:rPr>
          <w:noProof/>
        </w:rPr>
        <w:fldChar w:fldCharType="separate"/>
      </w:r>
      <w:r w:rsidR="00041131">
        <w:rPr>
          <w:noProof/>
        </w:rPr>
        <w:t>142</w:t>
      </w:r>
      <w:r>
        <w:rPr>
          <w:noProof/>
        </w:rPr>
        <w:fldChar w:fldCharType="end"/>
      </w:r>
    </w:p>
    <w:p w14:paraId="29C0FA31" w14:textId="771D32DF" w:rsidR="00EB12F7" w:rsidRDefault="00EB12F7" w:rsidP="00C11271">
      <w:pPr>
        <w:pStyle w:val="TOC2"/>
        <w:rPr>
          <w:rFonts w:eastAsiaTheme="minorEastAsia" w:cstheme="minorBidi"/>
          <w:noProof/>
          <w:snapToGrid/>
          <w:sz w:val="22"/>
          <w:szCs w:val="22"/>
          <w:lang w:eastAsia="fr-CA"/>
        </w:rPr>
      </w:pPr>
      <w:r>
        <w:rPr>
          <w:noProof/>
        </w:rPr>
        <w:t>Article 5-12.00</w:t>
      </w:r>
      <w:r>
        <w:rPr>
          <w:rFonts w:eastAsiaTheme="minorEastAsia" w:cstheme="minorBidi"/>
          <w:noProof/>
          <w:snapToGrid/>
          <w:sz w:val="22"/>
          <w:szCs w:val="22"/>
          <w:lang w:eastAsia="fr-CA"/>
        </w:rPr>
        <w:tab/>
      </w:r>
      <w:r>
        <w:rPr>
          <w:noProof/>
        </w:rPr>
        <w:t>- Congé à traitement différé ou anticipé</w:t>
      </w:r>
      <w:r>
        <w:rPr>
          <w:noProof/>
        </w:rPr>
        <w:tab/>
      </w:r>
      <w:r>
        <w:rPr>
          <w:noProof/>
        </w:rPr>
        <w:fldChar w:fldCharType="begin"/>
      </w:r>
      <w:r>
        <w:rPr>
          <w:noProof/>
        </w:rPr>
        <w:instrText xml:space="preserve"> PAGEREF _Toc168479524 \h </w:instrText>
      </w:r>
      <w:r>
        <w:rPr>
          <w:noProof/>
        </w:rPr>
      </w:r>
      <w:r>
        <w:rPr>
          <w:noProof/>
        </w:rPr>
        <w:fldChar w:fldCharType="separate"/>
      </w:r>
      <w:r w:rsidR="00041131">
        <w:rPr>
          <w:noProof/>
        </w:rPr>
        <w:t>143</w:t>
      </w:r>
      <w:r>
        <w:rPr>
          <w:noProof/>
        </w:rPr>
        <w:fldChar w:fldCharType="end"/>
      </w:r>
    </w:p>
    <w:p w14:paraId="6B4AF3C1" w14:textId="3D3A984D" w:rsidR="00EB12F7" w:rsidRDefault="00EB12F7" w:rsidP="00C11271">
      <w:pPr>
        <w:pStyle w:val="TOC2"/>
        <w:rPr>
          <w:rFonts w:eastAsiaTheme="minorEastAsia" w:cstheme="minorBidi"/>
          <w:noProof/>
          <w:snapToGrid/>
          <w:sz w:val="22"/>
          <w:szCs w:val="22"/>
          <w:lang w:eastAsia="fr-CA"/>
        </w:rPr>
      </w:pPr>
      <w:r>
        <w:rPr>
          <w:noProof/>
        </w:rPr>
        <w:t>Article 5-13.00</w:t>
      </w:r>
      <w:r>
        <w:rPr>
          <w:rFonts w:eastAsiaTheme="minorEastAsia" w:cstheme="minorBidi"/>
          <w:noProof/>
          <w:snapToGrid/>
          <w:sz w:val="22"/>
          <w:szCs w:val="22"/>
          <w:lang w:eastAsia="fr-CA"/>
        </w:rPr>
        <w:tab/>
      </w:r>
      <w:r>
        <w:rPr>
          <w:noProof/>
        </w:rPr>
        <w:t>- Échanges avec une institution d’enseignement hors Québec</w:t>
      </w:r>
      <w:r>
        <w:rPr>
          <w:noProof/>
        </w:rPr>
        <w:tab/>
      </w:r>
      <w:r>
        <w:rPr>
          <w:noProof/>
        </w:rPr>
        <w:fldChar w:fldCharType="begin"/>
      </w:r>
      <w:r>
        <w:rPr>
          <w:noProof/>
        </w:rPr>
        <w:instrText xml:space="preserve"> PAGEREF _Toc168479525 \h </w:instrText>
      </w:r>
      <w:r>
        <w:rPr>
          <w:noProof/>
        </w:rPr>
      </w:r>
      <w:r>
        <w:rPr>
          <w:noProof/>
        </w:rPr>
        <w:fldChar w:fldCharType="separate"/>
      </w:r>
      <w:r w:rsidR="00041131">
        <w:rPr>
          <w:noProof/>
        </w:rPr>
        <w:t>151</w:t>
      </w:r>
      <w:r>
        <w:rPr>
          <w:noProof/>
        </w:rPr>
        <w:fldChar w:fldCharType="end"/>
      </w:r>
    </w:p>
    <w:p w14:paraId="357617AB" w14:textId="4F2FA985" w:rsidR="00EB12F7" w:rsidRDefault="00EB12F7" w:rsidP="00C11271">
      <w:pPr>
        <w:pStyle w:val="TOC2"/>
        <w:rPr>
          <w:rFonts w:eastAsiaTheme="minorEastAsia" w:cstheme="minorBidi"/>
          <w:noProof/>
          <w:snapToGrid/>
          <w:sz w:val="22"/>
          <w:szCs w:val="22"/>
          <w:lang w:eastAsia="fr-CA"/>
        </w:rPr>
      </w:pPr>
      <w:r>
        <w:rPr>
          <w:noProof/>
        </w:rPr>
        <w:t>Article 5-14.00</w:t>
      </w:r>
      <w:r>
        <w:rPr>
          <w:rFonts w:eastAsiaTheme="minorEastAsia" w:cstheme="minorBidi"/>
          <w:noProof/>
          <w:snapToGrid/>
          <w:sz w:val="22"/>
          <w:szCs w:val="22"/>
          <w:lang w:eastAsia="fr-CA"/>
        </w:rPr>
        <w:tab/>
      </w:r>
      <w:r>
        <w:rPr>
          <w:noProof/>
        </w:rPr>
        <w:t>- Programme volontaire de réduction du temps de travail</w:t>
      </w:r>
      <w:r>
        <w:rPr>
          <w:noProof/>
        </w:rPr>
        <w:tab/>
      </w:r>
      <w:r>
        <w:rPr>
          <w:noProof/>
        </w:rPr>
        <w:fldChar w:fldCharType="begin"/>
      </w:r>
      <w:r>
        <w:rPr>
          <w:noProof/>
        </w:rPr>
        <w:instrText xml:space="preserve"> PAGEREF _Toc168479526 \h </w:instrText>
      </w:r>
      <w:r>
        <w:rPr>
          <w:noProof/>
        </w:rPr>
      </w:r>
      <w:r>
        <w:rPr>
          <w:noProof/>
        </w:rPr>
        <w:fldChar w:fldCharType="separate"/>
      </w:r>
      <w:r w:rsidR="00041131">
        <w:rPr>
          <w:noProof/>
        </w:rPr>
        <w:t>153</w:t>
      </w:r>
      <w:r>
        <w:rPr>
          <w:noProof/>
        </w:rPr>
        <w:fldChar w:fldCharType="end"/>
      </w:r>
    </w:p>
    <w:p w14:paraId="0E76CBF9" w14:textId="45525AEC" w:rsidR="00EB12F7" w:rsidRDefault="00EB12F7" w:rsidP="00C11271">
      <w:pPr>
        <w:pStyle w:val="TOC2"/>
        <w:rPr>
          <w:rFonts w:eastAsiaTheme="minorEastAsia" w:cstheme="minorBidi"/>
          <w:noProof/>
          <w:snapToGrid/>
          <w:sz w:val="22"/>
          <w:szCs w:val="22"/>
          <w:lang w:eastAsia="fr-CA"/>
        </w:rPr>
      </w:pPr>
      <w:r>
        <w:rPr>
          <w:noProof/>
        </w:rPr>
        <w:t>Article 5-15.00</w:t>
      </w:r>
      <w:r>
        <w:rPr>
          <w:rFonts w:eastAsiaTheme="minorEastAsia" w:cstheme="minorBidi"/>
          <w:noProof/>
          <w:snapToGrid/>
          <w:sz w:val="22"/>
          <w:szCs w:val="22"/>
          <w:lang w:eastAsia="fr-CA"/>
        </w:rPr>
        <w:tab/>
      </w:r>
      <w:r>
        <w:rPr>
          <w:noProof/>
        </w:rPr>
        <w:t>- Congé sans salaire</w:t>
      </w:r>
      <w:r>
        <w:rPr>
          <w:noProof/>
        </w:rPr>
        <w:tab/>
      </w:r>
      <w:r>
        <w:rPr>
          <w:noProof/>
        </w:rPr>
        <w:fldChar w:fldCharType="begin"/>
      </w:r>
      <w:r>
        <w:rPr>
          <w:noProof/>
        </w:rPr>
        <w:instrText xml:space="preserve"> PAGEREF _Toc168479527 \h </w:instrText>
      </w:r>
      <w:r>
        <w:rPr>
          <w:noProof/>
        </w:rPr>
      </w:r>
      <w:r>
        <w:rPr>
          <w:noProof/>
        </w:rPr>
        <w:fldChar w:fldCharType="separate"/>
      </w:r>
      <w:r w:rsidR="00041131">
        <w:rPr>
          <w:noProof/>
        </w:rPr>
        <w:t>156</w:t>
      </w:r>
      <w:r>
        <w:rPr>
          <w:noProof/>
        </w:rPr>
        <w:fldChar w:fldCharType="end"/>
      </w:r>
    </w:p>
    <w:p w14:paraId="7E7BC28E" w14:textId="023C517A" w:rsidR="00EB12F7" w:rsidRDefault="00EB12F7" w:rsidP="00C11271">
      <w:pPr>
        <w:pStyle w:val="TOC2"/>
        <w:rPr>
          <w:rFonts w:eastAsiaTheme="minorEastAsia" w:cstheme="minorBidi"/>
          <w:noProof/>
          <w:snapToGrid/>
          <w:sz w:val="22"/>
          <w:szCs w:val="22"/>
          <w:lang w:eastAsia="fr-CA"/>
        </w:rPr>
      </w:pPr>
      <w:r>
        <w:rPr>
          <w:noProof/>
        </w:rPr>
        <w:t>Article 5-16.00</w:t>
      </w:r>
      <w:r>
        <w:rPr>
          <w:rFonts w:eastAsiaTheme="minorEastAsia" w:cstheme="minorBidi"/>
          <w:noProof/>
          <w:snapToGrid/>
          <w:sz w:val="22"/>
          <w:szCs w:val="22"/>
          <w:lang w:eastAsia="fr-CA"/>
        </w:rPr>
        <w:tab/>
      </w:r>
      <w:r>
        <w:rPr>
          <w:noProof/>
        </w:rPr>
        <w:t>- Congé mi-temps</w:t>
      </w:r>
      <w:r>
        <w:rPr>
          <w:noProof/>
        </w:rPr>
        <w:tab/>
      </w:r>
      <w:r>
        <w:rPr>
          <w:noProof/>
        </w:rPr>
        <w:fldChar w:fldCharType="begin"/>
      </w:r>
      <w:r>
        <w:rPr>
          <w:noProof/>
        </w:rPr>
        <w:instrText xml:space="preserve"> PAGEREF _Toc168479528 \h </w:instrText>
      </w:r>
      <w:r>
        <w:rPr>
          <w:noProof/>
        </w:rPr>
      </w:r>
      <w:r>
        <w:rPr>
          <w:noProof/>
        </w:rPr>
        <w:fldChar w:fldCharType="separate"/>
      </w:r>
      <w:r w:rsidR="00041131">
        <w:rPr>
          <w:noProof/>
        </w:rPr>
        <w:t>157</w:t>
      </w:r>
      <w:r>
        <w:rPr>
          <w:noProof/>
        </w:rPr>
        <w:fldChar w:fldCharType="end"/>
      </w:r>
    </w:p>
    <w:p w14:paraId="6CE3BD24" w14:textId="476CA50F" w:rsidR="00EB12F7" w:rsidRDefault="00EB12F7" w:rsidP="00C11271">
      <w:pPr>
        <w:pStyle w:val="TOC2"/>
        <w:rPr>
          <w:rFonts w:eastAsiaTheme="minorEastAsia" w:cstheme="minorBidi"/>
          <w:noProof/>
          <w:snapToGrid/>
          <w:sz w:val="22"/>
          <w:szCs w:val="22"/>
          <w:lang w:eastAsia="fr-CA"/>
        </w:rPr>
      </w:pPr>
      <w:r>
        <w:rPr>
          <w:noProof/>
        </w:rPr>
        <w:t>Article 5-17.00</w:t>
      </w:r>
      <w:r>
        <w:rPr>
          <w:rFonts w:eastAsiaTheme="minorEastAsia" w:cstheme="minorBidi"/>
          <w:noProof/>
          <w:snapToGrid/>
          <w:sz w:val="22"/>
          <w:szCs w:val="22"/>
          <w:lang w:eastAsia="fr-CA"/>
        </w:rPr>
        <w:tab/>
      </w:r>
      <w:r>
        <w:rPr>
          <w:noProof/>
        </w:rPr>
        <w:t>- Congé pour activités professionnelles</w:t>
      </w:r>
      <w:r>
        <w:rPr>
          <w:noProof/>
        </w:rPr>
        <w:tab/>
      </w:r>
      <w:r>
        <w:rPr>
          <w:noProof/>
        </w:rPr>
        <w:fldChar w:fldCharType="begin"/>
      </w:r>
      <w:r>
        <w:rPr>
          <w:noProof/>
        </w:rPr>
        <w:instrText xml:space="preserve"> PAGEREF _Toc168479529 \h </w:instrText>
      </w:r>
      <w:r>
        <w:rPr>
          <w:noProof/>
        </w:rPr>
      </w:r>
      <w:r>
        <w:rPr>
          <w:noProof/>
        </w:rPr>
        <w:fldChar w:fldCharType="separate"/>
      </w:r>
      <w:r w:rsidR="00041131">
        <w:rPr>
          <w:noProof/>
        </w:rPr>
        <w:t>159</w:t>
      </w:r>
      <w:r>
        <w:rPr>
          <w:noProof/>
        </w:rPr>
        <w:fldChar w:fldCharType="end"/>
      </w:r>
    </w:p>
    <w:p w14:paraId="77DBFC25" w14:textId="126B6A6E" w:rsidR="00EB12F7" w:rsidRDefault="00EB12F7" w:rsidP="00C11271">
      <w:pPr>
        <w:pStyle w:val="TOC2"/>
        <w:rPr>
          <w:rFonts w:eastAsiaTheme="minorEastAsia" w:cstheme="minorBidi"/>
          <w:noProof/>
          <w:snapToGrid/>
          <w:sz w:val="22"/>
          <w:szCs w:val="22"/>
          <w:lang w:eastAsia="fr-CA"/>
        </w:rPr>
      </w:pPr>
      <w:r>
        <w:rPr>
          <w:noProof/>
        </w:rPr>
        <w:t>Article 5-18.00</w:t>
      </w:r>
      <w:r>
        <w:rPr>
          <w:rFonts w:eastAsiaTheme="minorEastAsia" w:cstheme="minorBidi"/>
          <w:noProof/>
          <w:snapToGrid/>
          <w:sz w:val="22"/>
          <w:szCs w:val="22"/>
          <w:lang w:eastAsia="fr-CA"/>
        </w:rPr>
        <w:tab/>
      </w:r>
      <w:r>
        <w:rPr>
          <w:noProof/>
        </w:rPr>
        <w:t>- Mesures disciplinaires</w:t>
      </w:r>
      <w:r>
        <w:rPr>
          <w:noProof/>
        </w:rPr>
        <w:tab/>
      </w:r>
      <w:r>
        <w:rPr>
          <w:noProof/>
        </w:rPr>
        <w:fldChar w:fldCharType="begin"/>
      </w:r>
      <w:r>
        <w:rPr>
          <w:noProof/>
        </w:rPr>
        <w:instrText xml:space="preserve"> PAGEREF _Toc168479530 \h </w:instrText>
      </w:r>
      <w:r>
        <w:rPr>
          <w:noProof/>
        </w:rPr>
      </w:r>
      <w:r>
        <w:rPr>
          <w:noProof/>
        </w:rPr>
        <w:fldChar w:fldCharType="separate"/>
      </w:r>
      <w:r w:rsidR="00041131">
        <w:rPr>
          <w:noProof/>
        </w:rPr>
        <w:t>161</w:t>
      </w:r>
      <w:r>
        <w:rPr>
          <w:noProof/>
        </w:rPr>
        <w:fldChar w:fldCharType="end"/>
      </w:r>
    </w:p>
    <w:p w14:paraId="4D651133" w14:textId="229A8F40" w:rsidR="00EB12F7" w:rsidRDefault="00EB12F7" w:rsidP="00C11271">
      <w:pPr>
        <w:pStyle w:val="TOC2"/>
        <w:rPr>
          <w:rFonts w:eastAsiaTheme="minorEastAsia" w:cstheme="minorBidi"/>
          <w:noProof/>
          <w:snapToGrid/>
          <w:sz w:val="22"/>
          <w:szCs w:val="22"/>
          <w:lang w:eastAsia="fr-CA"/>
        </w:rPr>
      </w:pPr>
      <w:r>
        <w:rPr>
          <w:noProof/>
        </w:rPr>
        <w:t>Article 5-19.00</w:t>
      </w:r>
      <w:r>
        <w:rPr>
          <w:rFonts w:eastAsiaTheme="minorEastAsia" w:cstheme="minorBidi"/>
          <w:noProof/>
          <w:snapToGrid/>
          <w:sz w:val="22"/>
          <w:szCs w:val="22"/>
          <w:lang w:eastAsia="fr-CA"/>
        </w:rPr>
        <w:tab/>
      </w:r>
      <w:r>
        <w:rPr>
          <w:noProof/>
        </w:rPr>
        <w:t>- Responsabilité civile</w:t>
      </w:r>
      <w:r>
        <w:rPr>
          <w:noProof/>
        </w:rPr>
        <w:tab/>
      </w:r>
      <w:r>
        <w:rPr>
          <w:noProof/>
        </w:rPr>
        <w:fldChar w:fldCharType="begin"/>
      </w:r>
      <w:r>
        <w:rPr>
          <w:noProof/>
        </w:rPr>
        <w:instrText xml:space="preserve"> PAGEREF _Toc168479531 \h </w:instrText>
      </w:r>
      <w:r>
        <w:rPr>
          <w:noProof/>
        </w:rPr>
      </w:r>
      <w:r>
        <w:rPr>
          <w:noProof/>
        </w:rPr>
        <w:fldChar w:fldCharType="separate"/>
      </w:r>
      <w:r w:rsidR="00041131">
        <w:rPr>
          <w:noProof/>
        </w:rPr>
        <w:t>165</w:t>
      </w:r>
      <w:r>
        <w:rPr>
          <w:noProof/>
        </w:rPr>
        <w:fldChar w:fldCharType="end"/>
      </w:r>
    </w:p>
    <w:p w14:paraId="3951B1D0" w14:textId="3C47166B" w:rsidR="00EB12F7" w:rsidRDefault="00EB12F7" w:rsidP="00C11271">
      <w:pPr>
        <w:pStyle w:val="TOC2"/>
        <w:rPr>
          <w:rFonts w:eastAsiaTheme="minorEastAsia" w:cstheme="minorBidi"/>
          <w:noProof/>
          <w:snapToGrid/>
          <w:sz w:val="22"/>
          <w:szCs w:val="22"/>
          <w:lang w:eastAsia="fr-CA"/>
        </w:rPr>
      </w:pPr>
      <w:r>
        <w:rPr>
          <w:noProof/>
        </w:rPr>
        <w:t>Article 5-20.00</w:t>
      </w:r>
      <w:r>
        <w:rPr>
          <w:rFonts w:eastAsiaTheme="minorEastAsia" w:cstheme="minorBidi"/>
          <w:noProof/>
          <w:snapToGrid/>
          <w:sz w:val="22"/>
          <w:szCs w:val="22"/>
          <w:lang w:eastAsia="fr-CA"/>
        </w:rPr>
        <w:tab/>
      </w:r>
      <w:r>
        <w:rPr>
          <w:noProof/>
        </w:rPr>
        <w:t>- Santé et sécurité au travail</w:t>
      </w:r>
      <w:r>
        <w:rPr>
          <w:noProof/>
        </w:rPr>
        <w:tab/>
      </w:r>
      <w:r>
        <w:rPr>
          <w:noProof/>
        </w:rPr>
        <w:fldChar w:fldCharType="begin"/>
      </w:r>
      <w:r>
        <w:rPr>
          <w:noProof/>
        </w:rPr>
        <w:instrText xml:space="preserve"> PAGEREF _Toc168479532 \h </w:instrText>
      </w:r>
      <w:r>
        <w:rPr>
          <w:noProof/>
        </w:rPr>
      </w:r>
      <w:r>
        <w:rPr>
          <w:noProof/>
        </w:rPr>
        <w:fldChar w:fldCharType="separate"/>
      </w:r>
      <w:r w:rsidR="00041131">
        <w:rPr>
          <w:noProof/>
        </w:rPr>
        <w:t>166</w:t>
      </w:r>
      <w:r>
        <w:rPr>
          <w:noProof/>
        </w:rPr>
        <w:fldChar w:fldCharType="end"/>
      </w:r>
    </w:p>
    <w:p w14:paraId="0E1F3BB4" w14:textId="78968865" w:rsidR="00EB12F7" w:rsidRDefault="00EB12F7" w:rsidP="00C11271">
      <w:pPr>
        <w:pStyle w:val="TOC2"/>
        <w:rPr>
          <w:rFonts w:eastAsiaTheme="minorEastAsia" w:cstheme="minorBidi"/>
          <w:noProof/>
          <w:snapToGrid/>
          <w:sz w:val="22"/>
          <w:szCs w:val="22"/>
          <w:lang w:eastAsia="fr-CA"/>
        </w:rPr>
      </w:pPr>
      <w:r>
        <w:rPr>
          <w:noProof/>
        </w:rPr>
        <w:t>Article 5-21.00</w:t>
      </w:r>
      <w:r>
        <w:rPr>
          <w:rFonts w:eastAsiaTheme="minorEastAsia" w:cstheme="minorBidi"/>
          <w:noProof/>
          <w:snapToGrid/>
          <w:sz w:val="22"/>
          <w:szCs w:val="22"/>
          <w:lang w:eastAsia="fr-CA"/>
        </w:rPr>
        <w:tab/>
      </w:r>
      <w:r>
        <w:rPr>
          <w:noProof/>
        </w:rPr>
        <w:t>- Prêt de services</w:t>
      </w:r>
      <w:r>
        <w:rPr>
          <w:noProof/>
        </w:rPr>
        <w:tab/>
      </w:r>
      <w:r>
        <w:rPr>
          <w:noProof/>
        </w:rPr>
        <w:fldChar w:fldCharType="begin"/>
      </w:r>
      <w:r>
        <w:rPr>
          <w:noProof/>
        </w:rPr>
        <w:instrText xml:space="preserve"> PAGEREF _Toc168479533 \h </w:instrText>
      </w:r>
      <w:r>
        <w:rPr>
          <w:noProof/>
        </w:rPr>
      </w:r>
      <w:r>
        <w:rPr>
          <w:noProof/>
        </w:rPr>
        <w:fldChar w:fldCharType="separate"/>
      </w:r>
      <w:r w:rsidR="00041131">
        <w:rPr>
          <w:noProof/>
        </w:rPr>
        <w:t>169</w:t>
      </w:r>
      <w:r>
        <w:rPr>
          <w:noProof/>
        </w:rPr>
        <w:fldChar w:fldCharType="end"/>
      </w:r>
    </w:p>
    <w:p w14:paraId="5F421246"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6  </w:t>
      </w:r>
      <w:r>
        <w:rPr>
          <w:noProof/>
        </w:rPr>
        <w:noBreakHyphen/>
        <w:t xml:space="preserve">  rémunération</w:t>
      </w:r>
    </w:p>
    <w:p w14:paraId="04C3F5E1" w14:textId="6B3A1748" w:rsidR="00EB12F7" w:rsidRDefault="00EB12F7" w:rsidP="00C11271">
      <w:pPr>
        <w:pStyle w:val="TOC2"/>
        <w:rPr>
          <w:rFonts w:eastAsiaTheme="minorEastAsia" w:cstheme="minorBidi"/>
          <w:noProof/>
          <w:snapToGrid/>
          <w:sz w:val="22"/>
          <w:szCs w:val="22"/>
          <w:lang w:eastAsia="fr-CA"/>
        </w:rPr>
      </w:pPr>
      <w:r>
        <w:rPr>
          <w:noProof/>
        </w:rPr>
        <w:t>Article 6-1.00</w:t>
      </w:r>
      <w:r>
        <w:rPr>
          <w:rFonts w:eastAsiaTheme="minorEastAsia" w:cstheme="minorBidi"/>
          <w:noProof/>
          <w:snapToGrid/>
          <w:sz w:val="22"/>
          <w:szCs w:val="22"/>
          <w:lang w:eastAsia="fr-CA"/>
        </w:rPr>
        <w:tab/>
      </w:r>
      <w:r>
        <w:rPr>
          <w:noProof/>
        </w:rPr>
        <w:t>- Traitement</w:t>
      </w:r>
      <w:r>
        <w:rPr>
          <w:noProof/>
        </w:rPr>
        <w:tab/>
      </w:r>
      <w:r>
        <w:rPr>
          <w:noProof/>
        </w:rPr>
        <w:fldChar w:fldCharType="begin"/>
      </w:r>
      <w:r>
        <w:rPr>
          <w:noProof/>
        </w:rPr>
        <w:instrText xml:space="preserve"> PAGEREF _Toc168479535 \h </w:instrText>
      </w:r>
      <w:r>
        <w:rPr>
          <w:noProof/>
        </w:rPr>
      </w:r>
      <w:r>
        <w:rPr>
          <w:noProof/>
        </w:rPr>
        <w:fldChar w:fldCharType="separate"/>
      </w:r>
      <w:r w:rsidR="00041131">
        <w:rPr>
          <w:noProof/>
        </w:rPr>
        <w:t>170</w:t>
      </w:r>
      <w:r>
        <w:rPr>
          <w:noProof/>
        </w:rPr>
        <w:fldChar w:fldCharType="end"/>
      </w:r>
    </w:p>
    <w:p w14:paraId="6CBC622C" w14:textId="35A5BF84" w:rsidR="00EB12F7" w:rsidRDefault="00EB12F7" w:rsidP="00C11271">
      <w:pPr>
        <w:pStyle w:val="TOC2"/>
        <w:rPr>
          <w:rFonts w:eastAsiaTheme="minorEastAsia" w:cstheme="minorBidi"/>
          <w:noProof/>
          <w:snapToGrid/>
          <w:sz w:val="22"/>
          <w:szCs w:val="22"/>
          <w:lang w:eastAsia="fr-CA"/>
        </w:rPr>
      </w:pPr>
      <w:r>
        <w:rPr>
          <w:noProof/>
        </w:rPr>
        <w:t>Article 6-2.00</w:t>
      </w:r>
      <w:r>
        <w:rPr>
          <w:rFonts w:eastAsiaTheme="minorEastAsia" w:cstheme="minorBidi"/>
          <w:noProof/>
          <w:snapToGrid/>
          <w:sz w:val="22"/>
          <w:szCs w:val="22"/>
          <w:lang w:eastAsia="fr-CA"/>
        </w:rPr>
        <w:tab/>
      </w:r>
      <w:r>
        <w:rPr>
          <w:noProof/>
        </w:rPr>
        <w:t>- Calcul de l’expérience</w:t>
      </w:r>
      <w:r>
        <w:rPr>
          <w:noProof/>
        </w:rPr>
        <w:tab/>
      </w:r>
      <w:r>
        <w:rPr>
          <w:noProof/>
        </w:rPr>
        <w:fldChar w:fldCharType="begin"/>
      </w:r>
      <w:r>
        <w:rPr>
          <w:noProof/>
        </w:rPr>
        <w:instrText xml:space="preserve"> PAGEREF _Toc168479536 \h </w:instrText>
      </w:r>
      <w:r>
        <w:rPr>
          <w:noProof/>
        </w:rPr>
      </w:r>
      <w:r>
        <w:rPr>
          <w:noProof/>
        </w:rPr>
        <w:fldChar w:fldCharType="separate"/>
      </w:r>
      <w:r w:rsidR="00041131">
        <w:rPr>
          <w:noProof/>
        </w:rPr>
        <w:t>174</w:t>
      </w:r>
      <w:r>
        <w:rPr>
          <w:noProof/>
        </w:rPr>
        <w:fldChar w:fldCharType="end"/>
      </w:r>
    </w:p>
    <w:p w14:paraId="120F1CFC" w14:textId="485FFBF7" w:rsidR="00EB12F7" w:rsidRDefault="00EB12F7" w:rsidP="00C11271">
      <w:pPr>
        <w:pStyle w:val="TOC2"/>
        <w:rPr>
          <w:rFonts w:eastAsiaTheme="minorEastAsia" w:cstheme="minorBidi"/>
          <w:noProof/>
          <w:snapToGrid/>
          <w:sz w:val="22"/>
          <w:szCs w:val="22"/>
          <w:lang w:eastAsia="fr-CA"/>
        </w:rPr>
      </w:pPr>
      <w:r>
        <w:rPr>
          <w:noProof/>
        </w:rPr>
        <w:t>Article 6-3.00</w:t>
      </w:r>
      <w:r>
        <w:rPr>
          <w:rFonts w:eastAsiaTheme="minorEastAsia" w:cstheme="minorBidi"/>
          <w:noProof/>
          <w:snapToGrid/>
          <w:sz w:val="22"/>
          <w:szCs w:val="22"/>
          <w:lang w:eastAsia="fr-CA"/>
        </w:rPr>
        <w:tab/>
      </w:r>
      <w:r>
        <w:rPr>
          <w:noProof/>
        </w:rPr>
        <w:t>- Évaluation de la scolarité et reconnaissance du diplôme de maîtrise aux fins de la rémunération</w:t>
      </w:r>
      <w:r>
        <w:rPr>
          <w:noProof/>
        </w:rPr>
        <w:tab/>
      </w:r>
      <w:r>
        <w:rPr>
          <w:noProof/>
        </w:rPr>
        <w:fldChar w:fldCharType="begin"/>
      </w:r>
      <w:r>
        <w:rPr>
          <w:noProof/>
        </w:rPr>
        <w:instrText xml:space="preserve"> PAGEREF _Toc168479537 \h </w:instrText>
      </w:r>
      <w:r>
        <w:rPr>
          <w:noProof/>
        </w:rPr>
      </w:r>
      <w:r>
        <w:rPr>
          <w:noProof/>
        </w:rPr>
        <w:fldChar w:fldCharType="separate"/>
      </w:r>
      <w:r w:rsidR="00041131">
        <w:rPr>
          <w:noProof/>
        </w:rPr>
        <w:t>178</w:t>
      </w:r>
      <w:r>
        <w:rPr>
          <w:noProof/>
        </w:rPr>
        <w:fldChar w:fldCharType="end"/>
      </w:r>
    </w:p>
    <w:p w14:paraId="68D7B1B5" w14:textId="599ED8DB" w:rsidR="00EB12F7" w:rsidRDefault="00EB12F7" w:rsidP="00C11271">
      <w:pPr>
        <w:pStyle w:val="TOC2"/>
        <w:rPr>
          <w:rFonts w:eastAsiaTheme="minorEastAsia" w:cstheme="minorBidi"/>
          <w:noProof/>
          <w:snapToGrid/>
          <w:sz w:val="22"/>
          <w:szCs w:val="22"/>
          <w:lang w:eastAsia="fr-CA"/>
        </w:rPr>
      </w:pPr>
      <w:r>
        <w:rPr>
          <w:noProof/>
        </w:rPr>
        <w:t>Article 6-4.00</w:t>
      </w:r>
      <w:r>
        <w:rPr>
          <w:rFonts w:eastAsiaTheme="minorEastAsia" w:cstheme="minorBidi"/>
          <w:noProof/>
          <w:snapToGrid/>
          <w:sz w:val="22"/>
          <w:szCs w:val="22"/>
          <w:lang w:eastAsia="fr-CA"/>
        </w:rPr>
        <w:tab/>
      </w:r>
      <w:r>
        <w:rPr>
          <w:noProof/>
        </w:rPr>
        <w:t>- Échelles de traitement de l’enseignante ou de l’enseignant à temps complet ou à temps partiel</w:t>
      </w:r>
      <w:r>
        <w:rPr>
          <w:noProof/>
        </w:rPr>
        <w:tab/>
      </w:r>
      <w:r>
        <w:rPr>
          <w:noProof/>
        </w:rPr>
        <w:fldChar w:fldCharType="begin"/>
      </w:r>
      <w:r>
        <w:rPr>
          <w:noProof/>
        </w:rPr>
        <w:instrText xml:space="preserve"> PAGEREF _Toc168479538 \h </w:instrText>
      </w:r>
      <w:r>
        <w:rPr>
          <w:noProof/>
        </w:rPr>
      </w:r>
      <w:r>
        <w:rPr>
          <w:noProof/>
        </w:rPr>
        <w:fldChar w:fldCharType="separate"/>
      </w:r>
      <w:r w:rsidR="00041131">
        <w:rPr>
          <w:noProof/>
        </w:rPr>
        <w:t>184</w:t>
      </w:r>
      <w:r>
        <w:rPr>
          <w:noProof/>
        </w:rPr>
        <w:fldChar w:fldCharType="end"/>
      </w:r>
    </w:p>
    <w:p w14:paraId="35C95581" w14:textId="0AE78E70" w:rsidR="00EB12F7" w:rsidRDefault="00EB12F7" w:rsidP="00C11271">
      <w:pPr>
        <w:pStyle w:val="TOC2"/>
        <w:rPr>
          <w:rFonts w:eastAsiaTheme="minorEastAsia" w:cstheme="minorBidi"/>
          <w:noProof/>
          <w:snapToGrid/>
          <w:sz w:val="22"/>
          <w:szCs w:val="22"/>
          <w:lang w:eastAsia="fr-CA"/>
        </w:rPr>
      </w:pPr>
      <w:r>
        <w:rPr>
          <w:noProof/>
        </w:rPr>
        <w:lastRenderedPageBreak/>
        <w:t>Article 6-5.00</w:t>
      </w:r>
      <w:r>
        <w:rPr>
          <w:rFonts w:eastAsiaTheme="minorEastAsia" w:cstheme="minorBidi"/>
          <w:noProof/>
          <w:snapToGrid/>
          <w:sz w:val="22"/>
          <w:szCs w:val="22"/>
          <w:lang w:eastAsia="fr-CA"/>
        </w:rPr>
        <w:tab/>
      </w:r>
      <w:r>
        <w:rPr>
          <w:noProof/>
        </w:rPr>
        <w:t>- Taux horaires et échelles de traitement de l’enseignante ou de l’enseignant chargé de cours et</w:t>
      </w:r>
      <w:r w:rsidR="00F648BE">
        <w:rPr>
          <w:noProof/>
        </w:rPr>
        <w:t xml:space="preserve"> </w:t>
      </w:r>
      <w:r>
        <w:rPr>
          <w:noProof/>
        </w:rPr>
        <w:t>taux horaires pour les autres activités</w:t>
      </w:r>
      <w:r>
        <w:rPr>
          <w:noProof/>
        </w:rPr>
        <w:tab/>
      </w:r>
      <w:r>
        <w:rPr>
          <w:noProof/>
        </w:rPr>
        <w:fldChar w:fldCharType="begin"/>
      </w:r>
      <w:r>
        <w:rPr>
          <w:noProof/>
        </w:rPr>
        <w:instrText xml:space="preserve"> PAGEREF _Toc168479539 \h </w:instrText>
      </w:r>
      <w:r>
        <w:rPr>
          <w:noProof/>
        </w:rPr>
      </w:r>
      <w:r>
        <w:rPr>
          <w:noProof/>
        </w:rPr>
        <w:fldChar w:fldCharType="separate"/>
      </w:r>
      <w:r w:rsidR="00041131">
        <w:rPr>
          <w:noProof/>
        </w:rPr>
        <w:t>187</w:t>
      </w:r>
      <w:r>
        <w:rPr>
          <w:noProof/>
        </w:rPr>
        <w:fldChar w:fldCharType="end"/>
      </w:r>
    </w:p>
    <w:p w14:paraId="07E20D29" w14:textId="144AFB5C" w:rsidR="00EB12F7" w:rsidRDefault="00EB12F7" w:rsidP="00C11271">
      <w:pPr>
        <w:pStyle w:val="TOC2"/>
        <w:rPr>
          <w:rFonts w:eastAsiaTheme="minorEastAsia" w:cstheme="minorBidi"/>
          <w:noProof/>
          <w:snapToGrid/>
          <w:sz w:val="22"/>
          <w:szCs w:val="22"/>
          <w:lang w:eastAsia="fr-CA"/>
        </w:rPr>
      </w:pPr>
      <w:r>
        <w:rPr>
          <w:noProof/>
        </w:rPr>
        <w:t>Article 6-6.00</w:t>
      </w:r>
      <w:r>
        <w:rPr>
          <w:rFonts w:eastAsiaTheme="minorEastAsia" w:cstheme="minorBidi"/>
          <w:noProof/>
          <w:snapToGrid/>
          <w:sz w:val="22"/>
          <w:szCs w:val="22"/>
          <w:lang w:eastAsia="fr-CA"/>
        </w:rPr>
        <w:tab/>
      </w:r>
      <w:r>
        <w:rPr>
          <w:noProof/>
        </w:rPr>
        <w:t>- Modalités de versement du salaire</w:t>
      </w:r>
      <w:r>
        <w:rPr>
          <w:noProof/>
        </w:rPr>
        <w:tab/>
      </w:r>
      <w:r>
        <w:rPr>
          <w:noProof/>
        </w:rPr>
        <w:fldChar w:fldCharType="begin"/>
      </w:r>
      <w:r>
        <w:rPr>
          <w:noProof/>
        </w:rPr>
        <w:instrText xml:space="preserve"> PAGEREF _Toc168479540 \h </w:instrText>
      </w:r>
      <w:r>
        <w:rPr>
          <w:noProof/>
        </w:rPr>
      </w:r>
      <w:r>
        <w:rPr>
          <w:noProof/>
        </w:rPr>
        <w:fldChar w:fldCharType="separate"/>
      </w:r>
      <w:r w:rsidR="00041131">
        <w:rPr>
          <w:noProof/>
        </w:rPr>
        <w:t>188</w:t>
      </w:r>
      <w:r>
        <w:rPr>
          <w:noProof/>
        </w:rPr>
        <w:fldChar w:fldCharType="end"/>
      </w:r>
    </w:p>
    <w:p w14:paraId="061F8277" w14:textId="73E56B62" w:rsidR="00EB12F7" w:rsidRDefault="00EB12F7" w:rsidP="00C11271">
      <w:pPr>
        <w:pStyle w:val="TOC2"/>
        <w:rPr>
          <w:rFonts w:eastAsiaTheme="minorEastAsia" w:cstheme="minorBidi"/>
          <w:noProof/>
          <w:snapToGrid/>
          <w:sz w:val="22"/>
          <w:szCs w:val="22"/>
          <w:lang w:eastAsia="fr-CA"/>
        </w:rPr>
      </w:pPr>
      <w:r>
        <w:rPr>
          <w:noProof/>
        </w:rPr>
        <w:t>Article 6-7.00</w:t>
      </w:r>
      <w:r>
        <w:rPr>
          <w:rFonts w:eastAsiaTheme="minorEastAsia" w:cstheme="minorBidi"/>
          <w:noProof/>
          <w:snapToGrid/>
          <w:sz w:val="22"/>
          <w:szCs w:val="22"/>
          <w:lang w:eastAsia="fr-CA"/>
        </w:rPr>
        <w:tab/>
      </w:r>
      <w:r>
        <w:rPr>
          <w:noProof/>
        </w:rPr>
        <w:t>- Frais de déplacement</w:t>
      </w:r>
      <w:r>
        <w:rPr>
          <w:noProof/>
        </w:rPr>
        <w:tab/>
      </w:r>
      <w:r>
        <w:rPr>
          <w:noProof/>
        </w:rPr>
        <w:fldChar w:fldCharType="begin"/>
      </w:r>
      <w:r>
        <w:rPr>
          <w:noProof/>
        </w:rPr>
        <w:instrText xml:space="preserve"> PAGEREF _Toc168479541 \h </w:instrText>
      </w:r>
      <w:r>
        <w:rPr>
          <w:noProof/>
        </w:rPr>
      </w:r>
      <w:r>
        <w:rPr>
          <w:noProof/>
        </w:rPr>
        <w:fldChar w:fldCharType="separate"/>
      </w:r>
      <w:r w:rsidR="00041131">
        <w:rPr>
          <w:noProof/>
        </w:rPr>
        <w:t>190</w:t>
      </w:r>
      <w:r>
        <w:rPr>
          <w:noProof/>
        </w:rPr>
        <w:fldChar w:fldCharType="end"/>
      </w:r>
    </w:p>
    <w:p w14:paraId="01DCB4EC"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7  </w:t>
      </w:r>
      <w:r>
        <w:rPr>
          <w:noProof/>
        </w:rPr>
        <w:noBreakHyphen/>
        <w:t xml:space="preserve">  perfectionnement</w:t>
      </w:r>
    </w:p>
    <w:p w14:paraId="0B15833A" w14:textId="4485244F" w:rsidR="00EB12F7" w:rsidRDefault="00EB12F7" w:rsidP="00C11271">
      <w:pPr>
        <w:pStyle w:val="TOC2"/>
        <w:rPr>
          <w:rFonts w:eastAsiaTheme="minorEastAsia" w:cstheme="minorBidi"/>
          <w:noProof/>
          <w:snapToGrid/>
          <w:sz w:val="22"/>
          <w:szCs w:val="22"/>
          <w:lang w:eastAsia="fr-CA"/>
        </w:rPr>
      </w:pPr>
      <w:r>
        <w:rPr>
          <w:noProof/>
        </w:rPr>
        <w:t>Article 7-1.00</w:t>
      </w:r>
      <w:r>
        <w:rPr>
          <w:rFonts w:eastAsiaTheme="minorEastAsia" w:cstheme="minorBidi"/>
          <w:noProof/>
          <w:snapToGrid/>
          <w:sz w:val="22"/>
          <w:szCs w:val="22"/>
          <w:lang w:eastAsia="fr-CA"/>
        </w:rPr>
        <w:tab/>
      </w:r>
      <w:r>
        <w:rPr>
          <w:noProof/>
        </w:rPr>
        <w:t>- Dispositions générales</w:t>
      </w:r>
      <w:r>
        <w:rPr>
          <w:noProof/>
        </w:rPr>
        <w:tab/>
      </w:r>
      <w:r>
        <w:rPr>
          <w:noProof/>
        </w:rPr>
        <w:fldChar w:fldCharType="begin"/>
      </w:r>
      <w:r>
        <w:rPr>
          <w:noProof/>
        </w:rPr>
        <w:instrText xml:space="preserve"> PAGEREF _Toc168479543 \h </w:instrText>
      </w:r>
      <w:r>
        <w:rPr>
          <w:noProof/>
        </w:rPr>
      </w:r>
      <w:r>
        <w:rPr>
          <w:noProof/>
        </w:rPr>
        <w:fldChar w:fldCharType="separate"/>
      </w:r>
      <w:r w:rsidR="00041131">
        <w:rPr>
          <w:noProof/>
        </w:rPr>
        <w:t>191</w:t>
      </w:r>
      <w:r>
        <w:rPr>
          <w:noProof/>
        </w:rPr>
        <w:fldChar w:fldCharType="end"/>
      </w:r>
    </w:p>
    <w:p w14:paraId="5357F21B" w14:textId="12454913" w:rsidR="00EB12F7" w:rsidRDefault="00EB12F7" w:rsidP="00C11271">
      <w:pPr>
        <w:pStyle w:val="TOC2"/>
        <w:rPr>
          <w:rFonts w:eastAsiaTheme="minorEastAsia" w:cstheme="minorBidi"/>
          <w:noProof/>
          <w:snapToGrid/>
          <w:sz w:val="22"/>
          <w:szCs w:val="22"/>
          <w:lang w:eastAsia="fr-CA"/>
        </w:rPr>
      </w:pPr>
      <w:r>
        <w:rPr>
          <w:noProof/>
        </w:rPr>
        <w:t>Article 7-2.00</w:t>
      </w:r>
      <w:r>
        <w:rPr>
          <w:rFonts w:eastAsiaTheme="minorEastAsia" w:cstheme="minorBidi"/>
          <w:noProof/>
          <w:snapToGrid/>
          <w:sz w:val="22"/>
          <w:szCs w:val="22"/>
          <w:lang w:eastAsia="fr-CA"/>
        </w:rPr>
        <w:tab/>
      </w:r>
      <w:r>
        <w:rPr>
          <w:noProof/>
        </w:rPr>
        <w:t>- Dispositions relatives au congé de perfectionnement avec salaire</w:t>
      </w:r>
      <w:r>
        <w:rPr>
          <w:noProof/>
        </w:rPr>
        <w:tab/>
      </w:r>
      <w:r>
        <w:rPr>
          <w:noProof/>
        </w:rPr>
        <w:fldChar w:fldCharType="begin"/>
      </w:r>
      <w:r>
        <w:rPr>
          <w:noProof/>
        </w:rPr>
        <w:instrText xml:space="preserve"> PAGEREF _Toc168479544 \h </w:instrText>
      </w:r>
      <w:r>
        <w:rPr>
          <w:noProof/>
        </w:rPr>
      </w:r>
      <w:r>
        <w:rPr>
          <w:noProof/>
        </w:rPr>
        <w:fldChar w:fldCharType="separate"/>
      </w:r>
      <w:r w:rsidR="00041131">
        <w:rPr>
          <w:noProof/>
        </w:rPr>
        <w:t>193</w:t>
      </w:r>
      <w:r>
        <w:rPr>
          <w:noProof/>
        </w:rPr>
        <w:fldChar w:fldCharType="end"/>
      </w:r>
    </w:p>
    <w:p w14:paraId="6FEFE2D1" w14:textId="353EE320" w:rsidR="00EB12F7" w:rsidRDefault="00EB12F7" w:rsidP="00C11271">
      <w:pPr>
        <w:pStyle w:val="TOC2"/>
        <w:rPr>
          <w:rFonts w:eastAsiaTheme="minorEastAsia" w:cstheme="minorBidi"/>
          <w:noProof/>
          <w:snapToGrid/>
          <w:sz w:val="22"/>
          <w:szCs w:val="22"/>
          <w:lang w:eastAsia="fr-CA"/>
        </w:rPr>
      </w:pPr>
      <w:r>
        <w:rPr>
          <w:noProof/>
        </w:rPr>
        <w:t>Article 7-3.00</w:t>
      </w:r>
      <w:r>
        <w:rPr>
          <w:rFonts w:eastAsiaTheme="minorEastAsia" w:cstheme="minorBidi"/>
          <w:noProof/>
          <w:snapToGrid/>
          <w:sz w:val="22"/>
          <w:szCs w:val="22"/>
          <w:lang w:eastAsia="fr-CA"/>
        </w:rPr>
        <w:tab/>
      </w:r>
      <w:r>
        <w:rPr>
          <w:noProof/>
        </w:rPr>
        <w:t>- Dispositions relatives au congé de perfectionnement sans salaire</w:t>
      </w:r>
      <w:r>
        <w:rPr>
          <w:noProof/>
        </w:rPr>
        <w:tab/>
      </w:r>
      <w:r>
        <w:rPr>
          <w:noProof/>
        </w:rPr>
        <w:fldChar w:fldCharType="begin"/>
      </w:r>
      <w:r>
        <w:rPr>
          <w:noProof/>
        </w:rPr>
        <w:instrText xml:space="preserve"> PAGEREF _Toc168479545 \h </w:instrText>
      </w:r>
      <w:r>
        <w:rPr>
          <w:noProof/>
        </w:rPr>
      </w:r>
      <w:r>
        <w:rPr>
          <w:noProof/>
        </w:rPr>
        <w:fldChar w:fldCharType="separate"/>
      </w:r>
      <w:r w:rsidR="00041131">
        <w:rPr>
          <w:noProof/>
        </w:rPr>
        <w:t>195</w:t>
      </w:r>
      <w:r>
        <w:rPr>
          <w:noProof/>
        </w:rPr>
        <w:fldChar w:fldCharType="end"/>
      </w:r>
    </w:p>
    <w:p w14:paraId="60DD67DB" w14:textId="2810F200" w:rsidR="00EB12F7" w:rsidRDefault="00EB12F7" w:rsidP="00C11271">
      <w:pPr>
        <w:pStyle w:val="TOC2"/>
        <w:rPr>
          <w:rFonts w:eastAsiaTheme="minorEastAsia" w:cstheme="minorBidi"/>
          <w:noProof/>
          <w:snapToGrid/>
          <w:sz w:val="22"/>
          <w:szCs w:val="22"/>
          <w:lang w:eastAsia="fr-CA"/>
        </w:rPr>
      </w:pPr>
      <w:r>
        <w:rPr>
          <w:noProof/>
        </w:rPr>
        <w:t>Article 7-4.00</w:t>
      </w:r>
      <w:r>
        <w:rPr>
          <w:rFonts w:eastAsiaTheme="minorEastAsia" w:cstheme="minorBidi"/>
          <w:noProof/>
          <w:snapToGrid/>
          <w:sz w:val="22"/>
          <w:szCs w:val="22"/>
          <w:lang w:eastAsia="fr-CA"/>
        </w:rPr>
        <w:tab/>
      </w:r>
      <w:r>
        <w:rPr>
          <w:noProof/>
        </w:rPr>
        <w:t>- Comité de perfectionnement</w:t>
      </w:r>
      <w:r>
        <w:rPr>
          <w:noProof/>
        </w:rPr>
        <w:tab/>
      </w:r>
      <w:r>
        <w:rPr>
          <w:noProof/>
        </w:rPr>
        <w:fldChar w:fldCharType="begin"/>
      </w:r>
      <w:r>
        <w:rPr>
          <w:noProof/>
        </w:rPr>
        <w:instrText xml:space="preserve"> PAGEREF _Toc168479546 \h </w:instrText>
      </w:r>
      <w:r>
        <w:rPr>
          <w:noProof/>
        </w:rPr>
      </w:r>
      <w:r>
        <w:rPr>
          <w:noProof/>
        </w:rPr>
        <w:fldChar w:fldCharType="separate"/>
      </w:r>
      <w:r w:rsidR="00041131">
        <w:rPr>
          <w:noProof/>
        </w:rPr>
        <w:t>196</w:t>
      </w:r>
      <w:r>
        <w:rPr>
          <w:noProof/>
        </w:rPr>
        <w:fldChar w:fldCharType="end"/>
      </w:r>
    </w:p>
    <w:p w14:paraId="28E6272F" w14:textId="58A1F358" w:rsidR="00EB12F7" w:rsidRDefault="00EB12F7" w:rsidP="00C11271">
      <w:pPr>
        <w:pStyle w:val="TOC2"/>
        <w:rPr>
          <w:rFonts w:eastAsiaTheme="minorEastAsia" w:cstheme="minorBidi"/>
          <w:noProof/>
          <w:snapToGrid/>
          <w:sz w:val="22"/>
          <w:szCs w:val="22"/>
          <w:lang w:eastAsia="fr-CA"/>
        </w:rPr>
      </w:pPr>
      <w:r>
        <w:rPr>
          <w:noProof/>
        </w:rPr>
        <w:t>Article 7-5.00</w:t>
      </w:r>
      <w:r>
        <w:rPr>
          <w:rFonts w:eastAsiaTheme="minorEastAsia" w:cstheme="minorBidi"/>
          <w:noProof/>
          <w:snapToGrid/>
          <w:sz w:val="22"/>
          <w:szCs w:val="22"/>
          <w:lang w:eastAsia="fr-CA"/>
        </w:rPr>
        <w:tab/>
      </w:r>
      <w:r>
        <w:rPr>
          <w:noProof/>
        </w:rPr>
        <w:t>- Réinstallation</w:t>
      </w:r>
      <w:r>
        <w:rPr>
          <w:noProof/>
        </w:rPr>
        <w:tab/>
      </w:r>
      <w:r>
        <w:rPr>
          <w:noProof/>
        </w:rPr>
        <w:fldChar w:fldCharType="begin"/>
      </w:r>
      <w:r>
        <w:rPr>
          <w:noProof/>
        </w:rPr>
        <w:instrText xml:space="preserve"> PAGEREF _Toc168479547 \h </w:instrText>
      </w:r>
      <w:r>
        <w:rPr>
          <w:noProof/>
        </w:rPr>
      </w:r>
      <w:r>
        <w:rPr>
          <w:noProof/>
        </w:rPr>
        <w:fldChar w:fldCharType="separate"/>
      </w:r>
      <w:r w:rsidR="00041131">
        <w:rPr>
          <w:noProof/>
        </w:rPr>
        <w:t>198</w:t>
      </w:r>
      <w:r>
        <w:rPr>
          <w:noProof/>
        </w:rPr>
        <w:fldChar w:fldCharType="end"/>
      </w:r>
    </w:p>
    <w:p w14:paraId="2079FBC3" w14:textId="45778785" w:rsidR="00EB12F7" w:rsidRDefault="00EB12F7" w:rsidP="00C11271">
      <w:pPr>
        <w:pStyle w:val="TOC2"/>
        <w:rPr>
          <w:rFonts w:eastAsiaTheme="minorEastAsia" w:cstheme="minorBidi"/>
          <w:noProof/>
          <w:snapToGrid/>
          <w:sz w:val="22"/>
          <w:szCs w:val="22"/>
          <w:lang w:eastAsia="fr-CA"/>
        </w:rPr>
      </w:pPr>
      <w:r>
        <w:rPr>
          <w:noProof/>
        </w:rPr>
        <w:t>Article 7-6.00</w:t>
      </w:r>
      <w:r>
        <w:rPr>
          <w:rFonts w:eastAsiaTheme="minorEastAsia" w:cstheme="minorBidi"/>
          <w:noProof/>
          <w:snapToGrid/>
          <w:sz w:val="22"/>
          <w:szCs w:val="22"/>
          <w:lang w:eastAsia="fr-CA"/>
        </w:rPr>
        <w:tab/>
      </w:r>
      <w:r>
        <w:rPr>
          <w:noProof/>
        </w:rPr>
        <w:t>- Dispositions relatives au congé pour l’obtention d’un diplôme donnant accès aux échelles « avec</w:t>
      </w:r>
      <w:r w:rsidRPr="00DA476F">
        <w:rPr>
          <w:rFonts w:cs="Arial"/>
          <w:bCs/>
          <w:noProof/>
        </w:rPr>
        <w:t xml:space="preserve"> maîtrise » et à l’échelon 18</w:t>
      </w:r>
      <w:r>
        <w:rPr>
          <w:noProof/>
        </w:rPr>
        <w:tab/>
      </w:r>
      <w:r>
        <w:rPr>
          <w:noProof/>
        </w:rPr>
        <w:fldChar w:fldCharType="begin"/>
      </w:r>
      <w:r>
        <w:rPr>
          <w:noProof/>
        </w:rPr>
        <w:instrText xml:space="preserve"> PAGEREF _Toc168479548 \h </w:instrText>
      </w:r>
      <w:r>
        <w:rPr>
          <w:noProof/>
        </w:rPr>
      </w:r>
      <w:r>
        <w:rPr>
          <w:noProof/>
        </w:rPr>
        <w:fldChar w:fldCharType="separate"/>
      </w:r>
      <w:r w:rsidR="00041131">
        <w:rPr>
          <w:noProof/>
        </w:rPr>
        <w:t>199</w:t>
      </w:r>
      <w:r>
        <w:rPr>
          <w:noProof/>
        </w:rPr>
        <w:fldChar w:fldCharType="end"/>
      </w:r>
    </w:p>
    <w:p w14:paraId="02BC1879" w14:textId="5374F6A1" w:rsidR="00EB12F7" w:rsidRDefault="00EB12F7" w:rsidP="00C11271">
      <w:pPr>
        <w:pStyle w:val="TOC2"/>
        <w:rPr>
          <w:rFonts w:eastAsiaTheme="minorEastAsia" w:cstheme="minorBidi"/>
          <w:noProof/>
          <w:snapToGrid/>
          <w:sz w:val="22"/>
          <w:szCs w:val="22"/>
          <w:lang w:eastAsia="fr-CA"/>
        </w:rPr>
      </w:pPr>
      <w:r>
        <w:rPr>
          <w:noProof/>
        </w:rPr>
        <w:t>Article 7-7.00</w:t>
      </w:r>
      <w:r>
        <w:rPr>
          <w:rFonts w:eastAsiaTheme="minorEastAsia" w:cstheme="minorBidi"/>
          <w:noProof/>
          <w:snapToGrid/>
          <w:sz w:val="22"/>
          <w:szCs w:val="22"/>
          <w:lang w:eastAsia="fr-CA"/>
        </w:rPr>
        <w:tab/>
      </w:r>
      <w:r>
        <w:rPr>
          <w:noProof/>
        </w:rPr>
        <w:t>- Dispositions relatives aux libérations aux fins de maintien de l’expertise enseignante</w:t>
      </w:r>
      <w:r>
        <w:rPr>
          <w:noProof/>
        </w:rPr>
        <w:tab/>
      </w:r>
      <w:r>
        <w:rPr>
          <w:noProof/>
        </w:rPr>
        <w:fldChar w:fldCharType="begin"/>
      </w:r>
      <w:r>
        <w:rPr>
          <w:noProof/>
        </w:rPr>
        <w:instrText xml:space="preserve"> PAGEREF _Toc168479549 \h </w:instrText>
      </w:r>
      <w:r>
        <w:rPr>
          <w:noProof/>
        </w:rPr>
      </w:r>
      <w:r>
        <w:rPr>
          <w:noProof/>
        </w:rPr>
        <w:fldChar w:fldCharType="separate"/>
      </w:r>
      <w:r w:rsidR="00041131">
        <w:rPr>
          <w:noProof/>
        </w:rPr>
        <w:t>201</w:t>
      </w:r>
      <w:r>
        <w:rPr>
          <w:noProof/>
        </w:rPr>
        <w:fldChar w:fldCharType="end"/>
      </w:r>
    </w:p>
    <w:p w14:paraId="05038904"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8  </w:t>
      </w:r>
      <w:r>
        <w:rPr>
          <w:noProof/>
        </w:rPr>
        <w:noBreakHyphen/>
        <w:t xml:space="preserve">  la tâche d’enseignement et son aménagement</w:t>
      </w:r>
    </w:p>
    <w:p w14:paraId="73AC14A0" w14:textId="5F9E7A1C" w:rsidR="00EB12F7" w:rsidRDefault="00EB12F7" w:rsidP="00C11271">
      <w:pPr>
        <w:pStyle w:val="TOC2"/>
        <w:rPr>
          <w:rFonts w:eastAsiaTheme="minorEastAsia" w:cstheme="minorBidi"/>
          <w:noProof/>
          <w:snapToGrid/>
          <w:sz w:val="22"/>
          <w:szCs w:val="22"/>
          <w:lang w:eastAsia="fr-CA"/>
        </w:rPr>
      </w:pPr>
      <w:r>
        <w:rPr>
          <w:noProof/>
        </w:rPr>
        <w:t>Article 8-1.00</w:t>
      </w:r>
      <w:r>
        <w:rPr>
          <w:rFonts w:eastAsiaTheme="minorEastAsia" w:cstheme="minorBidi"/>
          <w:noProof/>
          <w:snapToGrid/>
          <w:sz w:val="22"/>
          <w:szCs w:val="22"/>
          <w:lang w:eastAsia="fr-CA"/>
        </w:rPr>
        <w:tab/>
      </w:r>
      <w:r>
        <w:rPr>
          <w:noProof/>
        </w:rPr>
        <w:t>- Dispositions générales</w:t>
      </w:r>
      <w:r>
        <w:rPr>
          <w:noProof/>
        </w:rPr>
        <w:tab/>
      </w:r>
      <w:r>
        <w:rPr>
          <w:noProof/>
        </w:rPr>
        <w:fldChar w:fldCharType="begin"/>
      </w:r>
      <w:r>
        <w:rPr>
          <w:noProof/>
        </w:rPr>
        <w:instrText xml:space="preserve"> PAGEREF _Toc168479551 \h </w:instrText>
      </w:r>
      <w:r>
        <w:rPr>
          <w:noProof/>
        </w:rPr>
      </w:r>
      <w:r>
        <w:rPr>
          <w:noProof/>
        </w:rPr>
        <w:fldChar w:fldCharType="separate"/>
      </w:r>
      <w:r w:rsidR="00041131">
        <w:rPr>
          <w:noProof/>
        </w:rPr>
        <w:t>203</w:t>
      </w:r>
      <w:r>
        <w:rPr>
          <w:noProof/>
        </w:rPr>
        <w:fldChar w:fldCharType="end"/>
      </w:r>
    </w:p>
    <w:p w14:paraId="2BA03B79" w14:textId="112D4EC6" w:rsidR="00EB12F7" w:rsidRDefault="00EB12F7" w:rsidP="00C11271">
      <w:pPr>
        <w:pStyle w:val="TOC2"/>
        <w:rPr>
          <w:rFonts w:eastAsiaTheme="minorEastAsia" w:cstheme="minorBidi"/>
          <w:noProof/>
          <w:snapToGrid/>
          <w:sz w:val="22"/>
          <w:szCs w:val="22"/>
          <w:lang w:eastAsia="fr-CA"/>
        </w:rPr>
      </w:pPr>
      <w:r>
        <w:rPr>
          <w:noProof/>
        </w:rPr>
        <w:t>Article 8-2.00</w:t>
      </w:r>
      <w:r>
        <w:rPr>
          <w:rFonts w:eastAsiaTheme="minorEastAsia" w:cstheme="minorBidi"/>
          <w:noProof/>
          <w:snapToGrid/>
          <w:sz w:val="22"/>
          <w:szCs w:val="22"/>
          <w:lang w:eastAsia="fr-CA"/>
        </w:rPr>
        <w:tab/>
      </w:r>
      <w:r>
        <w:rPr>
          <w:noProof/>
        </w:rPr>
        <w:t>- Dispositions relatives aux vacances</w:t>
      </w:r>
      <w:r>
        <w:rPr>
          <w:noProof/>
        </w:rPr>
        <w:tab/>
      </w:r>
      <w:r>
        <w:rPr>
          <w:noProof/>
        </w:rPr>
        <w:fldChar w:fldCharType="begin"/>
      </w:r>
      <w:r>
        <w:rPr>
          <w:noProof/>
        </w:rPr>
        <w:instrText xml:space="preserve"> PAGEREF _Toc168479552 \h </w:instrText>
      </w:r>
      <w:r>
        <w:rPr>
          <w:noProof/>
        </w:rPr>
      </w:r>
      <w:r>
        <w:rPr>
          <w:noProof/>
        </w:rPr>
        <w:fldChar w:fldCharType="separate"/>
      </w:r>
      <w:r w:rsidR="00041131">
        <w:rPr>
          <w:noProof/>
        </w:rPr>
        <w:t>205</w:t>
      </w:r>
      <w:r>
        <w:rPr>
          <w:noProof/>
        </w:rPr>
        <w:fldChar w:fldCharType="end"/>
      </w:r>
    </w:p>
    <w:p w14:paraId="3D16572A" w14:textId="6697B35F" w:rsidR="00EB12F7" w:rsidRDefault="00EB12F7" w:rsidP="00C11271">
      <w:pPr>
        <w:pStyle w:val="TOC2"/>
        <w:rPr>
          <w:rFonts w:eastAsiaTheme="minorEastAsia" w:cstheme="minorBidi"/>
          <w:noProof/>
          <w:snapToGrid/>
          <w:sz w:val="22"/>
          <w:szCs w:val="22"/>
          <w:lang w:eastAsia="fr-CA"/>
        </w:rPr>
      </w:pPr>
      <w:r>
        <w:rPr>
          <w:noProof/>
        </w:rPr>
        <w:t>Article 8-3.00</w:t>
      </w:r>
      <w:r>
        <w:rPr>
          <w:rFonts w:eastAsiaTheme="minorEastAsia" w:cstheme="minorBidi"/>
          <w:noProof/>
          <w:snapToGrid/>
          <w:sz w:val="22"/>
          <w:szCs w:val="22"/>
          <w:lang w:eastAsia="fr-CA"/>
        </w:rPr>
        <w:tab/>
      </w:r>
      <w:r>
        <w:rPr>
          <w:noProof/>
        </w:rPr>
        <w:t>- Dispositions relatives à la disponibilité</w:t>
      </w:r>
      <w:r>
        <w:rPr>
          <w:noProof/>
        </w:rPr>
        <w:tab/>
      </w:r>
      <w:r>
        <w:rPr>
          <w:noProof/>
        </w:rPr>
        <w:fldChar w:fldCharType="begin"/>
      </w:r>
      <w:r>
        <w:rPr>
          <w:noProof/>
        </w:rPr>
        <w:instrText xml:space="preserve"> PAGEREF _Toc168479553 \h </w:instrText>
      </w:r>
      <w:r>
        <w:rPr>
          <w:noProof/>
        </w:rPr>
      </w:r>
      <w:r>
        <w:rPr>
          <w:noProof/>
        </w:rPr>
        <w:fldChar w:fldCharType="separate"/>
      </w:r>
      <w:r w:rsidR="00041131">
        <w:rPr>
          <w:noProof/>
        </w:rPr>
        <w:t>207</w:t>
      </w:r>
      <w:r>
        <w:rPr>
          <w:noProof/>
        </w:rPr>
        <w:fldChar w:fldCharType="end"/>
      </w:r>
    </w:p>
    <w:p w14:paraId="1D1AC7AB" w14:textId="153817AF" w:rsidR="00EB12F7" w:rsidRDefault="00EB12F7" w:rsidP="00C11271">
      <w:pPr>
        <w:pStyle w:val="TOC2"/>
        <w:rPr>
          <w:rFonts w:eastAsiaTheme="minorEastAsia" w:cstheme="minorBidi"/>
          <w:noProof/>
          <w:snapToGrid/>
          <w:sz w:val="22"/>
          <w:szCs w:val="22"/>
          <w:lang w:eastAsia="fr-CA"/>
        </w:rPr>
      </w:pPr>
      <w:r>
        <w:rPr>
          <w:noProof/>
        </w:rPr>
        <w:t>Article 8-4.00</w:t>
      </w:r>
      <w:r>
        <w:rPr>
          <w:rFonts w:eastAsiaTheme="minorEastAsia" w:cstheme="minorBidi"/>
          <w:noProof/>
          <w:snapToGrid/>
          <w:sz w:val="22"/>
          <w:szCs w:val="22"/>
          <w:lang w:eastAsia="fr-CA"/>
        </w:rPr>
        <w:tab/>
      </w:r>
      <w:r>
        <w:rPr>
          <w:noProof/>
        </w:rPr>
        <w:t>- Tâche d’enseignement</w:t>
      </w:r>
      <w:r>
        <w:rPr>
          <w:noProof/>
        </w:rPr>
        <w:tab/>
      </w:r>
      <w:r>
        <w:rPr>
          <w:noProof/>
        </w:rPr>
        <w:fldChar w:fldCharType="begin"/>
      </w:r>
      <w:r>
        <w:rPr>
          <w:noProof/>
        </w:rPr>
        <w:instrText xml:space="preserve"> PAGEREF _Toc168479554 \h </w:instrText>
      </w:r>
      <w:r>
        <w:rPr>
          <w:noProof/>
        </w:rPr>
      </w:r>
      <w:r>
        <w:rPr>
          <w:noProof/>
        </w:rPr>
        <w:fldChar w:fldCharType="separate"/>
      </w:r>
      <w:r w:rsidR="00041131">
        <w:rPr>
          <w:noProof/>
        </w:rPr>
        <w:t>209</w:t>
      </w:r>
      <w:r>
        <w:rPr>
          <w:noProof/>
        </w:rPr>
        <w:fldChar w:fldCharType="end"/>
      </w:r>
    </w:p>
    <w:p w14:paraId="276AA3B2" w14:textId="7E3FE008" w:rsidR="00EB12F7" w:rsidRDefault="00EB12F7" w:rsidP="00C11271">
      <w:pPr>
        <w:pStyle w:val="TOC2"/>
        <w:rPr>
          <w:rFonts w:eastAsiaTheme="minorEastAsia" w:cstheme="minorBidi"/>
          <w:noProof/>
          <w:snapToGrid/>
          <w:sz w:val="22"/>
          <w:szCs w:val="22"/>
          <w:lang w:eastAsia="fr-CA"/>
        </w:rPr>
      </w:pPr>
      <w:r>
        <w:rPr>
          <w:noProof/>
        </w:rPr>
        <w:t>Article 8-5.00</w:t>
      </w:r>
      <w:r>
        <w:rPr>
          <w:rFonts w:eastAsiaTheme="minorEastAsia" w:cstheme="minorBidi"/>
          <w:noProof/>
          <w:snapToGrid/>
          <w:sz w:val="22"/>
          <w:szCs w:val="22"/>
          <w:lang w:eastAsia="fr-CA"/>
        </w:rPr>
        <w:tab/>
      </w:r>
      <w:r>
        <w:rPr>
          <w:noProof/>
        </w:rPr>
        <w:t>- Nombre d’enseignantes et d’enseignants réguliers</w:t>
      </w:r>
      <w:r>
        <w:rPr>
          <w:noProof/>
        </w:rPr>
        <w:tab/>
      </w:r>
      <w:r>
        <w:rPr>
          <w:noProof/>
        </w:rPr>
        <w:fldChar w:fldCharType="begin"/>
      </w:r>
      <w:r>
        <w:rPr>
          <w:noProof/>
        </w:rPr>
        <w:instrText xml:space="preserve"> PAGEREF _Toc168479555 \h </w:instrText>
      </w:r>
      <w:r>
        <w:rPr>
          <w:noProof/>
        </w:rPr>
      </w:r>
      <w:r>
        <w:rPr>
          <w:noProof/>
        </w:rPr>
        <w:fldChar w:fldCharType="separate"/>
      </w:r>
      <w:r w:rsidR="00041131">
        <w:rPr>
          <w:noProof/>
        </w:rPr>
        <w:t>212</w:t>
      </w:r>
      <w:r>
        <w:rPr>
          <w:noProof/>
        </w:rPr>
        <w:fldChar w:fldCharType="end"/>
      </w:r>
    </w:p>
    <w:p w14:paraId="41169C76" w14:textId="74244166" w:rsidR="00EB12F7" w:rsidRDefault="00EB12F7" w:rsidP="00C11271">
      <w:pPr>
        <w:pStyle w:val="TOC2"/>
        <w:rPr>
          <w:rFonts w:eastAsiaTheme="minorEastAsia" w:cstheme="minorBidi"/>
          <w:noProof/>
          <w:snapToGrid/>
          <w:sz w:val="22"/>
          <w:szCs w:val="22"/>
          <w:lang w:eastAsia="fr-CA"/>
        </w:rPr>
      </w:pPr>
      <w:r>
        <w:rPr>
          <w:noProof/>
        </w:rPr>
        <w:t>Article 8-6.00</w:t>
      </w:r>
      <w:r>
        <w:rPr>
          <w:rFonts w:eastAsiaTheme="minorEastAsia" w:cstheme="minorBidi"/>
          <w:noProof/>
          <w:snapToGrid/>
          <w:sz w:val="22"/>
          <w:szCs w:val="22"/>
          <w:lang w:eastAsia="fr-CA"/>
        </w:rPr>
        <w:tab/>
      </w:r>
      <w:r>
        <w:rPr>
          <w:noProof/>
        </w:rPr>
        <w:t>- Calcul de la charge de travail d’une enseignante ou d’un enseignant</w:t>
      </w:r>
      <w:r>
        <w:rPr>
          <w:noProof/>
        </w:rPr>
        <w:tab/>
      </w:r>
      <w:r>
        <w:rPr>
          <w:noProof/>
        </w:rPr>
        <w:fldChar w:fldCharType="begin"/>
      </w:r>
      <w:r>
        <w:rPr>
          <w:noProof/>
        </w:rPr>
        <w:instrText xml:space="preserve"> PAGEREF _Toc168479556 \h </w:instrText>
      </w:r>
      <w:r>
        <w:rPr>
          <w:noProof/>
        </w:rPr>
      </w:r>
      <w:r>
        <w:rPr>
          <w:noProof/>
        </w:rPr>
        <w:fldChar w:fldCharType="separate"/>
      </w:r>
      <w:r w:rsidR="00041131">
        <w:rPr>
          <w:noProof/>
        </w:rPr>
        <w:t>221</w:t>
      </w:r>
      <w:r>
        <w:rPr>
          <w:noProof/>
        </w:rPr>
        <w:fldChar w:fldCharType="end"/>
      </w:r>
    </w:p>
    <w:p w14:paraId="1B7D2892" w14:textId="1B81B9E6" w:rsidR="00EB12F7" w:rsidRDefault="00EB12F7" w:rsidP="00C11271">
      <w:pPr>
        <w:pStyle w:val="TOC2"/>
        <w:rPr>
          <w:rFonts w:eastAsiaTheme="minorEastAsia" w:cstheme="minorBidi"/>
          <w:noProof/>
          <w:snapToGrid/>
          <w:sz w:val="22"/>
          <w:szCs w:val="22"/>
          <w:lang w:eastAsia="fr-CA"/>
        </w:rPr>
      </w:pPr>
      <w:r>
        <w:rPr>
          <w:noProof/>
        </w:rPr>
        <w:t>Article 8-7.00</w:t>
      </w:r>
      <w:r>
        <w:rPr>
          <w:rFonts w:eastAsiaTheme="minorEastAsia" w:cstheme="minorBidi"/>
          <w:noProof/>
          <w:snapToGrid/>
          <w:sz w:val="22"/>
          <w:szCs w:val="22"/>
          <w:lang w:eastAsia="fr-CA"/>
        </w:rPr>
        <w:tab/>
      </w:r>
      <w:r>
        <w:rPr>
          <w:noProof/>
        </w:rPr>
        <w:t>- Formation continue</w:t>
      </w:r>
      <w:r>
        <w:rPr>
          <w:noProof/>
        </w:rPr>
        <w:tab/>
      </w:r>
      <w:r>
        <w:rPr>
          <w:noProof/>
        </w:rPr>
        <w:fldChar w:fldCharType="begin"/>
      </w:r>
      <w:r>
        <w:rPr>
          <w:noProof/>
        </w:rPr>
        <w:instrText xml:space="preserve"> PAGEREF _Toc168479557 \h </w:instrText>
      </w:r>
      <w:r>
        <w:rPr>
          <w:noProof/>
        </w:rPr>
      </w:r>
      <w:r>
        <w:rPr>
          <w:noProof/>
        </w:rPr>
        <w:fldChar w:fldCharType="separate"/>
      </w:r>
      <w:r w:rsidR="00041131">
        <w:rPr>
          <w:noProof/>
        </w:rPr>
        <w:t>224</w:t>
      </w:r>
      <w:r>
        <w:rPr>
          <w:noProof/>
        </w:rPr>
        <w:fldChar w:fldCharType="end"/>
      </w:r>
    </w:p>
    <w:p w14:paraId="2B8A2A61" w14:textId="610A8430" w:rsidR="00EB12F7" w:rsidRDefault="00EB12F7" w:rsidP="00C11271">
      <w:pPr>
        <w:pStyle w:val="TOC2"/>
        <w:rPr>
          <w:rFonts w:eastAsiaTheme="minorEastAsia" w:cstheme="minorBidi"/>
          <w:noProof/>
          <w:snapToGrid/>
          <w:sz w:val="22"/>
          <w:szCs w:val="22"/>
          <w:lang w:eastAsia="fr-CA"/>
        </w:rPr>
      </w:pPr>
      <w:r>
        <w:rPr>
          <w:noProof/>
        </w:rPr>
        <w:t>Article 8-8.00</w:t>
      </w:r>
      <w:r>
        <w:rPr>
          <w:rFonts w:eastAsiaTheme="minorEastAsia" w:cstheme="minorBidi"/>
          <w:noProof/>
          <w:snapToGrid/>
          <w:sz w:val="22"/>
          <w:szCs w:val="22"/>
          <w:lang w:eastAsia="fr-CA"/>
        </w:rPr>
        <w:tab/>
      </w:r>
      <w:r>
        <w:rPr>
          <w:noProof/>
        </w:rPr>
        <w:t>- Formation à distance</w:t>
      </w:r>
      <w:r>
        <w:rPr>
          <w:noProof/>
        </w:rPr>
        <w:tab/>
      </w:r>
      <w:r>
        <w:rPr>
          <w:noProof/>
        </w:rPr>
        <w:fldChar w:fldCharType="begin"/>
      </w:r>
      <w:r>
        <w:rPr>
          <w:noProof/>
        </w:rPr>
        <w:instrText xml:space="preserve"> PAGEREF _Toc168479558 \h </w:instrText>
      </w:r>
      <w:r>
        <w:rPr>
          <w:noProof/>
        </w:rPr>
      </w:r>
      <w:r>
        <w:rPr>
          <w:noProof/>
        </w:rPr>
        <w:fldChar w:fldCharType="separate"/>
      </w:r>
      <w:r w:rsidR="00041131">
        <w:rPr>
          <w:noProof/>
        </w:rPr>
        <w:t>227</w:t>
      </w:r>
      <w:r>
        <w:rPr>
          <w:noProof/>
        </w:rPr>
        <w:fldChar w:fldCharType="end"/>
      </w:r>
    </w:p>
    <w:p w14:paraId="6E888DB2" w14:textId="5F8B4C5D" w:rsidR="00EB12F7" w:rsidRDefault="00EB12F7" w:rsidP="00C11271">
      <w:pPr>
        <w:pStyle w:val="TOC2"/>
        <w:rPr>
          <w:rFonts w:eastAsiaTheme="minorEastAsia" w:cstheme="minorBidi"/>
          <w:noProof/>
          <w:snapToGrid/>
          <w:sz w:val="22"/>
          <w:szCs w:val="22"/>
          <w:lang w:eastAsia="fr-CA"/>
        </w:rPr>
      </w:pPr>
      <w:r>
        <w:rPr>
          <w:noProof/>
        </w:rPr>
        <w:t>Article 8-9.00</w:t>
      </w:r>
      <w:r>
        <w:rPr>
          <w:rFonts w:eastAsiaTheme="minorEastAsia" w:cstheme="minorBidi"/>
          <w:noProof/>
          <w:snapToGrid/>
          <w:sz w:val="22"/>
          <w:szCs w:val="22"/>
          <w:lang w:eastAsia="fr-CA"/>
        </w:rPr>
        <w:tab/>
      </w:r>
      <w:r>
        <w:rPr>
          <w:noProof/>
        </w:rPr>
        <w:t>- Reconnaissance des acquis et des compétences (RAC)</w:t>
      </w:r>
      <w:r>
        <w:rPr>
          <w:noProof/>
        </w:rPr>
        <w:tab/>
      </w:r>
      <w:r>
        <w:rPr>
          <w:noProof/>
        </w:rPr>
        <w:fldChar w:fldCharType="begin"/>
      </w:r>
      <w:r>
        <w:rPr>
          <w:noProof/>
        </w:rPr>
        <w:instrText xml:space="preserve"> PAGEREF _Toc168479559 \h </w:instrText>
      </w:r>
      <w:r>
        <w:rPr>
          <w:noProof/>
        </w:rPr>
      </w:r>
      <w:r>
        <w:rPr>
          <w:noProof/>
        </w:rPr>
        <w:fldChar w:fldCharType="separate"/>
      </w:r>
      <w:r w:rsidR="00041131">
        <w:rPr>
          <w:noProof/>
        </w:rPr>
        <w:t>229</w:t>
      </w:r>
      <w:r>
        <w:rPr>
          <w:noProof/>
        </w:rPr>
        <w:fldChar w:fldCharType="end"/>
      </w:r>
    </w:p>
    <w:p w14:paraId="07B0EA4A"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9  </w:t>
      </w:r>
      <w:r>
        <w:rPr>
          <w:noProof/>
        </w:rPr>
        <w:noBreakHyphen/>
        <w:t xml:space="preserve">  grief et arbitrage</w:t>
      </w:r>
    </w:p>
    <w:p w14:paraId="2918DFD7" w14:textId="7F4164FF" w:rsidR="00EB12F7" w:rsidRDefault="00EB12F7" w:rsidP="00C11271">
      <w:pPr>
        <w:pStyle w:val="TOC2"/>
        <w:rPr>
          <w:rFonts w:eastAsiaTheme="minorEastAsia" w:cstheme="minorBidi"/>
          <w:noProof/>
          <w:snapToGrid/>
          <w:sz w:val="22"/>
          <w:szCs w:val="22"/>
          <w:lang w:eastAsia="fr-CA"/>
        </w:rPr>
      </w:pPr>
      <w:r>
        <w:rPr>
          <w:noProof/>
        </w:rPr>
        <w:t>Article 9-1.00</w:t>
      </w:r>
      <w:r>
        <w:rPr>
          <w:rFonts w:eastAsiaTheme="minorEastAsia" w:cstheme="minorBidi"/>
          <w:noProof/>
          <w:snapToGrid/>
          <w:sz w:val="22"/>
          <w:szCs w:val="22"/>
          <w:lang w:eastAsia="fr-CA"/>
        </w:rPr>
        <w:tab/>
      </w:r>
      <w:r>
        <w:rPr>
          <w:noProof/>
        </w:rPr>
        <w:t>- Procédure de soumission d’un grief</w:t>
      </w:r>
      <w:r>
        <w:rPr>
          <w:noProof/>
        </w:rPr>
        <w:tab/>
      </w:r>
      <w:r>
        <w:rPr>
          <w:noProof/>
        </w:rPr>
        <w:fldChar w:fldCharType="begin"/>
      </w:r>
      <w:r>
        <w:rPr>
          <w:noProof/>
        </w:rPr>
        <w:instrText xml:space="preserve"> PAGEREF _Toc168479561 \h </w:instrText>
      </w:r>
      <w:r>
        <w:rPr>
          <w:noProof/>
        </w:rPr>
      </w:r>
      <w:r>
        <w:rPr>
          <w:noProof/>
        </w:rPr>
        <w:fldChar w:fldCharType="separate"/>
      </w:r>
      <w:r w:rsidR="00041131">
        <w:rPr>
          <w:noProof/>
        </w:rPr>
        <w:t>230</w:t>
      </w:r>
      <w:r>
        <w:rPr>
          <w:noProof/>
        </w:rPr>
        <w:fldChar w:fldCharType="end"/>
      </w:r>
    </w:p>
    <w:p w14:paraId="3A501578" w14:textId="65449CD9" w:rsidR="00EB12F7" w:rsidRDefault="00EB12F7" w:rsidP="00C11271">
      <w:pPr>
        <w:pStyle w:val="TOC2"/>
        <w:rPr>
          <w:rFonts w:eastAsiaTheme="minorEastAsia" w:cstheme="minorBidi"/>
          <w:noProof/>
          <w:snapToGrid/>
          <w:sz w:val="22"/>
          <w:szCs w:val="22"/>
          <w:lang w:eastAsia="fr-CA"/>
        </w:rPr>
      </w:pPr>
      <w:r>
        <w:rPr>
          <w:noProof/>
        </w:rPr>
        <w:t>Article 9-2.00</w:t>
      </w:r>
      <w:r>
        <w:rPr>
          <w:rFonts w:eastAsiaTheme="minorEastAsia" w:cstheme="minorBidi"/>
          <w:noProof/>
          <w:snapToGrid/>
          <w:sz w:val="22"/>
          <w:szCs w:val="22"/>
          <w:lang w:eastAsia="fr-CA"/>
        </w:rPr>
        <w:tab/>
      </w:r>
      <w:r>
        <w:rPr>
          <w:noProof/>
        </w:rPr>
        <w:t>- Procédures d’arbitrage</w:t>
      </w:r>
      <w:r>
        <w:rPr>
          <w:noProof/>
        </w:rPr>
        <w:tab/>
      </w:r>
      <w:r>
        <w:rPr>
          <w:noProof/>
        </w:rPr>
        <w:fldChar w:fldCharType="begin"/>
      </w:r>
      <w:r>
        <w:rPr>
          <w:noProof/>
        </w:rPr>
        <w:instrText xml:space="preserve"> PAGEREF _Toc168479562 \h </w:instrText>
      </w:r>
      <w:r>
        <w:rPr>
          <w:noProof/>
        </w:rPr>
      </w:r>
      <w:r>
        <w:rPr>
          <w:noProof/>
        </w:rPr>
        <w:fldChar w:fldCharType="separate"/>
      </w:r>
      <w:r w:rsidR="00041131">
        <w:rPr>
          <w:noProof/>
        </w:rPr>
        <w:t>232</w:t>
      </w:r>
      <w:r>
        <w:rPr>
          <w:noProof/>
        </w:rPr>
        <w:fldChar w:fldCharType="end"/>
      </w:r>
    </w:p>
    <w:p w14:paraId="2D5478AF" w14:textId="48B3AB36" w:rsidR="00EB12F7" w:rsidRDefault="00EB12F7" w:rsidP="00C11271">
      <w:pPr>
        <w:pStyle w:val="TOC2"/>
        <w:rPr>
          <w:rFonts w:eastAsiaTheme="minorEastAsia" w:cstheme="minorBidi"/>
          <w:noProof/>
          <w:snapToGrid/>
          <w:sz w:val="22"/>
          <w:szCs w:val="22"/>
          <w:lang w:eastAsia="fr-CA"/>
        </w:rPr>
      </w:pPr>
      <w:r>
        <w:rPr>
          <w:noProof/>
        </w:rPr>
        <w:t>Article 9-3.00</w:t>
      </w:r>
      <w:r>
        <w:rPr>
          <w:rFonts w:eastAsiaTheme="minorEastAsia" w:cstheme="minorBidi"/>
          <w:noProof/>
          <w:snapToGrid/>
          <w:sz w:val="22"/>
          <w:szCs w:val="22"/>
          <w:lang w:eastAsia="fr-CA"/>
        </w:rPr>
        <w:tab/>
      </w:r>
      <w:r>
        <w:rPr>
          <w:noProof/>
        </w:rPr>
        <w:t>- Prévention des litiges et des griefs</w:t>
      </w:r>
      <w:r>
        <w:rPr>
          <w:noProof/>
        </w:rPr>
        <w:tab/>
      </w:r>
      <w:r>
        <w:rPr>
          <w:noProof/>
        </w:rPr>
        <w:fldChar w:fldCharType="begin"/>
      </w:r>
      <w:r>
        <w:rPr>
          <w:noProof/>
        </w:rPr>
        <w:instrText xml:space="preserve"> PAGEREF _Toc168479563 \h </w:instrText>
      </w:r>
      <w:r>
        <w:rPr>
          <w:noProof/>
        </w:rPr>
      </w:r>
      <w:r>
        <w:rPr>
          <w:noProof/>
        </w:rPr>
        <w:fldChar w:fldCharType="separate"/>
      </w:r>
      <w:r w:rsidR="00041131">
        <w:rPr>
          <w:noProof/>
        </w:rPr>
        <w:t>242</w:t>
      </w:r>
      <w:r>
        <w:rPr>
          <w:noProof/>
        </w:rPr>
        <w:fldChar w:fldCharType="end"/>
      </w:r>
    </w:p>
    <w:p w14:paraId="1CA68E1E"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CHAPITRE 10  </w:t>
      </w:r>
      <w:r>
        <w:rPr>
          <w:noProof/>
        </w:rPr>
        <w:noBreakHyphen/>
        <w:t xml:space="preserve">  divers</w:t>
      </w:r>
    </w:p>
    <w:p w14:paraId="3CA6E5BF" w14:textId="5CC78A90" w:rsidR="00EB12F7" w:rsidRDefault="00EB12F7" w:rsidP="00C11271">
      <w:pPr>
        <w:pStyle w:val="TOC2"/>
        <w:rPr>
          <w:rFonts w:eastAsiaTheme="minorEastAsia" w:cstheme="minorBidi"/>
          <w:noProof/>
          <w:snapToGrid/>
          <w:sz w:val="22"/>
          <w:szCs w:val="22"/>
          <w:lang w:eastAsia="fr-CA"/>
        </w:rPr>
      </w:pPr>
      <w:r>
        <w:rPr>
          <w:noProof/>
        </w:rPr>
        <w:t>Article 10-1.00</w:t>
      </w:r>
      <w:r>
        <w:rPr>
          <w:rFonts w:eastAsiaTheme="minorEastAsia" w:cstheme="minorBidi"/>
          <w:noProof/>
          <w:snapToGrid/>
          <w:sz w:val="22"/>
          <w:szCs w:val="22"/>
          <w:lang w:eastAsia="fr-CA"/>
        </w:rPr>
        <w:tab/>
      </w:r>
      <w:r>
        <w:rPr>
          <w:noProof/>
        </w:rPr>
        <w:t>- Divers</w:t>
      </w:r>
      <w:r>
        <w:rPr>
          <w:noProof/>
        </w:rPr>
        <w:tab/>
      </w:r>
      <w:r>
        <w:rPr>
          <w:noProof/>
        </w:rPr>
        <w:fldChar w:fldCharType="begin"/>
      </w:r>
      <w:r>
        <w:rPr>
          <w:noProof/>
        </w:rPr>
        <w:instrText xml:space="preserve"> PAGEREF _Toc168479565 \h </w:instrText>
      </w:r>
      <w:r>
        <w:rPr>
          <w:noProof/>
        </w:rPr>
      </w:r>
      <w:r>
        <w:rPr>
          <w:noProof/>
        </w:rPr>
        <w:fldChar w:fldCharType="separate"/>
      </w:r>
      <w:r w:rsidR="00041131">
        <w:rPr>
          <w:noProof/>
        </w:rPr>
        <w:t>243</w:t>
      </w:r>
      <w:r>
        <w:rPr>
          <w:noProof/>
        </w:rPr>
        <w:fldChar w:fldCharType="end"/>
      </w:r>
    </w:p>
    <w:p w14:paraId="69C8A9D9"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i   </w:t>
      </w:r>
      <w:r>
        <w:rPr>
          <w:noProof/>
        </w:rPr>
        <w:noBreakHyphen/>
        <w:t xml:space="preserve">  tâche</w:t>
      </w:r>
    </w:p>
    <w:p w14:paraId="5228E563" w14:textId="343F0547" w:rsidR="00EB12F7" w:rsidRDefault="00EB12F7" w:rsidP="00C11271">
      <w:pPr>
        <w:pStyle w:val="TOC2"/>
        <w:rPr>
          <w:rFonts w:eastAsiaTheme="minorEastAsia" w:cstheme="minorBidi"/>
          <w:noProof/>
          <w:snapToGrid/>
          <w:sz w:val="22"/>
          <w:szCs w:val="22"/>
          <w:lang w:eastAsia="fr-CA"/>
        </w:rPr>
      </w:pPr>
      <w:r>
        <w:rPr>
          <w:noProof/>
        </w:rPr>
        <w:t>Annexe I-1  Détermination de la charge individuelle de travail</w:t>
      </w:r>
      <w:r>
        <w:rPr>
          <w:noProof/>
        </w:rPr>
        <w:tab/>
      </w:r>
      <w:r>
        <w:rPr>
          <w:noProof/>
        </w:rPr>
        <w:fldChar w:fldCharType="begin"/>
      </w:r>
      <w:r>
        <w:rPr>
          <w:noProof/>
        </w:rPr>
        <w:instrText xml:space="preserve"> PAGEREF _Toc168479567 \h </w:instrText>
      </w:r>
      <w:r>
        <w:rPr>
          <w:noProof/>
        </w:rPr>
      </w:r>
      <w:r>
        <w:rPr>
          <w:noProof/>
        </w:rPr>
        <w:fldChar w:fldCharType="separate"/>
      </w:r>
      <w:r w:rsidR="00041131">
        <w:rPr>
          <w:noProof/>
        </w:rPr>
        <w:t>245</w:t>
      </w:r>
      <w:r>
        <w:rPr>
          <w:noProof/>
        </w:rPr>
        <w:fldChar w:fldCharType="end"/>
      </w:r>
    </w:p>
    <w:p w14:paraId="05F4F4F7" w14:textId="35E33479" w:rsidR="00EB12F7" w:rsidRDefault="00EB12F7" w:rsidP="00C11271">
      <w:pPr>
        <w:pStyle w:val="TOC2"/>
        <w:rPr>
          <w:rFonts w:eastAsiaTheme="minorEastAsia" w:cstheme="minorBidi"/>
          <w:noProof/>
          <w:snapToGrid/>
          <w:sz w:val="22"/>
          <w:szCs w:val="22"/>
          <w:lang w:eastAsia="fr-CA"/>
        </w:rPr>
      </w:pPr>
      <w:r>
        <w:rPr>
          <w:noProof/>
        </w:rPr>
        <w:t>Annexe I-2  Allocations en ETC pour chaque volet de la tâche</w:t>
      </w:r>
      <w:r>
        <w:rPr>
          <w:noProof/>
        </w:rPr>
        <w:tab/>
      </w:r>
      <w:r>
        <w:rPr>
          <w:noProof/>
        </w:rPr>
        <w:fldChar w:fldCharType="begin"/>
      </w:r>
      <w:r>
        <w:rPr>
          <w:noProof/>
        </w:rPr>
        <w:instrText xml:space="preserve"> PAGEREF _Toc168479568 \h </w:instrText>
      </w:r>
      <w:r>
        <w:rPr>
          <w:noProof/>
        </w:rPr>
      </w:r>
      <w:r>
        <w:rPr>
          <w:noProof/>
        </w:rPr>
        <w:fldChar w:fldCharType="separate"/>
      </w:r>
      <w:r w:rsidR="00041131">
        <w:rPr>
          <w:noProof/>
        </w:rPr>
        <w:t>252</w:t>
      </w:r>
      <w:r>
        <w:rPr>
          <w:noProof/>
        </w:rPr>
        <w:fldChar w:fldCharType="end"/>
      </w:r>
    </w:p>
    <w:p w14:paraId="21664DB9" w14:textId="670EEB6F" w:rsidR="00EB12F7" w:rsidRDefault="00EB12F7" w:rsidP="00C11271">
      <w:pPr>
        <w:pStyle w:val="TOC2"/>
        <w:rPr>
          <w:rFonts w:eastAsiaTheme="minorEastAsia" w:cstheme="minorBidi"/>
          <w:noProof/>
          <w:snapToGrid/>
          <w:sz w:val="22"/>
          <w:szCs w:val="22"/>
          <w:lang w:eastAsia="fr-CA"/>
        </w:rPr>
      </w:pPr>
      <w:r>
        <w:rPr>
          <w:noProof/>
        </w:rPr>
        <w:t>Annexe I-3  Liste des disciplines</w:t>
      </w:r>
      <w:r>
        <w:rPr>
          <w:noProof/>
        </w:rPr>
        <w:tab/>
      </w:r>
      <w:r>
        <w:rPr>
          <w:noProof/>
        </w:rPr>
        <w:fldChar w:fldCharType="begin"/>
      </w:r>
      <w:r>
        <w:rPr>
          <w:noProof/>
        </w:rPr>
        <w:instrText xml:space="preserve"> PAGEREF _Toc168479569 \h </w:instrText>
      </w:r>
      <w:r>
        <w:rPr>
          <w:noProof/>
        </w:rPr>
      </w:r>
      <w:r>
        <w:rPr>
          <w:noProof/>
        </w:rPr>
        <w:fldChar w:fldCharType="separate"/>
      </w:r>
      <w:r w:rsidR="00041131">
        <w:rPr>
          <w:noProof/>
        </w:rPr>
        <w:t>256</w:t>
      </w:r>
      <w:r>
        <w:rPr>
          <w:noProof/>
        </w:rPr>
        <w:fldChar w:fldCharType="end"/>
      </w:r>
    </w:p>
    <w:p w14:paraId="6CC06934" w14:textId="1D51B34A" w:rsidR="00EB12F7" w:rsidRDefault="00EB12F7" w:rsidP="00C11271">
      <w:pPr>
        <w:pStyle w:val="TOC2"/>
        <w:rPr>
          <w:rFonts w:eastAsiaTheme="minorEastAsia" w:cstheme="minorBidi"/>
          <w:noProof/>
          <w:snapToGrid/>
          <w:sz w:val="22"/>
          <w:szCs w:val="22"/>
          <w:lang w:eastAsia="fr-CA"/>
        </w:rPr>
      </w:pPr>
      <w:r>
        <w:rPr>
          <w:noProof/>
        </w:rPr>
        <w:t>Annexe I-4  Annexe relative à la détermination des disciplines</w:t>
      </w:r>
      <w:r>
        <w:rPr>
          <w:noProof/>
        </w:rPr>
        <w:tab/>
      </w:r>
      <w:r>
        <w:rPr>
          <w:noProof/>
        </w:rPr>
        <w:fldChar w:fldCharType="begin"/>
      </w:r>
      <w:r>
        <w:rPr>
          <w:noProof/>
        </w:rPr>
        <w:instrText xml:space="preserve"> PAGEREF _Toc168479570 \h </w:instrText>
      </w:r>
      <w:r>
        <w:rPr>
          <w:noProof/>
        </w:rPr>
      </w:r>
      <w:r>
        <w:rPr>
          <w:noProof/>
        </w:rPr>
        <w:fldChar w:fldCharType="separate"/>
      </w:r>
      <w:r w:rsidR="00041131">
        <w:rPr>
          <w:noProof/>
        </w:rPr>
        <w:t>262</w:t>
      </w:r>
      <w:r>
        <w:rPr>
          <w:noProof/>
        </w:rPr>
        <w:fldChar w:fldCharType="end"/>
      </w:r>
    </w:p>
    <w:p w14:paraId="2C90D62B" w14:textId="5DAB8C3B" w:rsidR="00EB12F7" w:rsidRDefault="00EB12F7" w:rsidP="00C11271">
      <w:pPr>
        <w:pStyle w:val="TOC2"/>
        <w:rPr>
          <w:rFonts w:eastAsiaTheme="minorEastAsia" w:cstheme="minorBidi"/>
          <w:noProof/>
          <w:snapToGrid/>
          <w:sz w:val="22"/>
          <w:szCs w:val="22"/>
          <w:lang w:eastAsia="fr-CA"/>
        </w:rPr>
      </w:pPr>
      <w:r>
        <w:rPr>
          <w:noProof/>
        </w:rPr>
        <w:t>Annexe I-5  Cégep régional Champlain</w:t>
      </w:r>
      <w:r>
        <w:rPr>
          <w:noProof/>
        </w:rPr>
        <w:tab/>
      </w:r>
      <w:r>
        <w:rPr>
          <w:noProof/>
        </w:rPr>
        <w:fldChar w:fldCharType="begin"/>
      </w:r>
      <w:r>
        <w:rPr>
          <w:noProof/>
        </w:rPr>
        <w:instrText xml:space="preserve"> PAGEREF _Toc168479571 \h </w:instrText>
      </w:r>
      <w:r>
        <w:rPr>
          <w:noProof/>
        </w:rPr>
      </w:r>
      <w:r>
        <w:rPr>
          <w:noProof/>
        </w:rPr>
        <w:fldChar w:fldCharType="separate"/>
      </w:r>
      <w:r w:rsidR="00041131">
        <w:rPr>
          <w:noProof/>
        </w:rPr>
        <w:t>263</w:t>
      </w:r>
      <w:r>
        <w:rPr>
          <w:noProof/>
        </w:rPr>
        <w:fldChar w:fldCharType="end"/>
      </w:r>
    </w:p>
    <w:p w14:paraId="4B750736" w14:textId="52BE2BE8" w:rsidR="00EB12F7" w:rsidRDefault="00EB12F7" w:rsidP="00C11271">
      <w:pPr>
        <w:pStyle w:val="TOC2"/>
        <w:rPr>
          <w:rFonts w:eastAsiaTheme="minorEastAsia" w:cstheme="minorBidi"/>
          <w:noProof/>
          <w:snapToGrid/>
          <w:sz w:val="22"/>
          <w:szCs w:val="22"/>
          <w:lang w:eastAsia="fr-CA"/>
        </w:rPr>
      </w:pPr>
      <w:r>
        <w:rPr>
          <w:noProof/>
        </w:rPr>
        <w:t>Annexe I-6  Pavillons</w:t>
      </w:r>
      <w:r>
        <w:rPr>
          <w:noProof/>
        </w:rPr>
        <w:tab/>
      </w:r>
      <w:r>
        <w:rPr>
          <w:noProof/>
        </w:rPr>
        <w:tab/>
      </w:r>
      <w:r>
        <w:rPr>
          <w:noProof/>
        </w:rPr>
        <w:fldChar w:fldCharType="begin"/>
      </w:r>
      <w:r>
        <w:rPr>
          <w:noProof/>
        </w:rPr>
        <w:instrText xml:space="preserve"> PAGEREF _Toc168479572 \h </w:instrText>
      </w:r>
      <w:r>
        <w:rPr>
          <w:noProof/>
        </w:rPr>
      </w:r>
      <w:r>
        <w:rPr>
          <w:noProof/>
        </w:rPr>
        <w:fldChar w:fldCharType="separate"/>
      </w:r>
      <w:r w:rsidR="00041131">
        <w:rPr>
          <w:noProof/>
        </w:rPr>
        <w:t>264</w:t>
      </w:r>
      <w:r>
        <w:rPr>
          <w:noProof/>
        </w:rPr>
        <w:fldChar w:fldCharType="end"/>
      </w:r>
    </w:p>
    <w:p w14:paraId="63A2896B" w14:textId="0227FA2D" w:rsidR="00EB12F7" w:rsidRDefault="00EB12F7" w:rsidP="00C11271">
      <w:pPr>
        <w:pStyle w:val="TOC2"/>
        <w:tabs>
          <w:tab w:val="clear" w:pos="2127"/>
        </w:tabs>
        <w:ind w:left="1418" w:hanging="1033"/>
        <w:rPr>
          <w:rFonts w:eastAsiaTheme="minorEastAsia" w:cstheme="minorBidi"/>
          <w:noProof/>
          <w:snapToGrid/>
          <w:sz w:val="22"/>
          <w:szCs w:val="22"/>
          <w:lang w:eastAsia="fr-CA"/>
        </w:rPr>
      </w:pPr>
      <w:r>
        <w:rPr>
          <w:noProof/>
        </w:rPr>
        <w:t>Annexe I-7  Liste des sous-centres et des centres d’études collégiales et conditions particulières pour les enseignantes et enseignants oeuvrant dans les sous-centres et les centres d’études collégiales</w:t>
      </w:r>
      <w:r>
        <w:rPr>
          <w:noProof/>
        </w:rPr>
        <w:tab/>
      </w:r>
      <w:r>
        <w:rPr>
          <w:noProof/>
        </w:rPr>
        <w:fldChar w:fldCharType="begin"/>
      </w:r>
      <w:r>
        <w:rPr>
          <w:noProof/>
        </w:rPr>
        <w:instrText xml:space="preserve"> PAGEREF _Toc168479573 \h </w:instrText>
      </w:r>
      <w:r>
        <w:rPr>
          <w:noProof/>
        </w:rPr>
      </w:r>
      <w:r>
        <w:rPr>
          <w:noProof/>
        </w:rPr>
        <w:fldChar w:fldCharType="separate"/>
      </w:r>
      <w:r w:rsidR="00041131">
        <w:rPr>
          <w:noProof/>
        </w:rPr>
        <w:t>265</w:t>
      </w:r>
      <w:r>
        <w:rPr>
          <w:noProof/>
        </w:rPr>
        <w:fldChar w:fldCharType="end"/>
      </w:r>
    </w:p>
    <w:p w14:paraId="6D7EAFCD" w14:textId="0CCA206B" w:rsidR="00EB12F7" w:rsidRDefault="00EB12F7" w:rsidP="00C11271">
      <w:pPr>
        <w:pStyle w:val="TOC2"/>
        <w:tabs>
          <w:tab w:val="clear" w:pos="2127"/>
        </w:tabs>
        <w:ind w:left="1418" w:hanging="1033"/>
        <w:rPr>
          <w:rFonts w:eastAsiaTheme="minorEastAsia" w:cstheme="minorBidi"/>
          <w:noProof/>
          <w:snapToGrid/>
          <w:sz w:val="22"/>
          <w:szCs w:val="22"/>
          <w:lang w:eastAsia="fr-CA"/>
        </w:rPr>
      </w:pPr>
      <w:r>
        <w:rPr>
          <w:noProof/>
        </w:rPr>
        <w:t>Annexe I-8  Lettre d’entente relative à l’augmentation du taux de réussite des étudiantes et des étudiants et à la réduction des coûts qu’entraîne la reprise des cours échoués</w:t>
      </w:r>
      <w:r>
        <w:rPr>
          <w:noProof/>
        </w:rPr>
        <w:tab/>
      </w:r>
      <w:r>
        <w:rPr>
          <w:noProof/>
        </w:rPr>
        <w:fldChar w:fldCharType="begin"/>
      </w:r>
      <w:r>
        <w:rPr>
          <w:noProof/>
        </w:rPr>
        <w:instrText xml:space="preserve"> PAGEREF _Toc168479574 \h </w:instrText>
      </w:r>
      <w:r>
        <w:rPr>
          <w:noProof/>
        </w:rPr>
      </w:r>
      <w:r>
        <w:rPr>
          <w:noProof/>
        </w:rPr>
        <w:fldChar w:fldCharType="separate"/>
      </w:r>
      <w:r w:rsidR="00041131">
        <w:rPr>
          <w:noProof/>
        </w:rPr>
        <w:t>268</w:t>
      </w:r>
      <w:r>
        <w:rPr>
          <w:noProof/>
        </w:rPr>
        <w:fldChar w:fldCharType="end"/>
      </w:r>
    </w:p>
    <w:p w14:paraId="302B34D3" w14:textId="5F3B17AE" w:rsidR="00EB12F7" w:rsidRDefault="00EB12F7" w:rsidP="00C11271">
      <w:pPr>
        <w:pStyle w:val="TOC2"/>
        <w:rPr>
          <w:rFonts w:eastAsiaTheme="minorEastAsia" w:cstheme="minorBidi"/>
          <w:noProof/>
          <w:snapToGrid/>
          <w:sz w:val="22"/>
          <w:szCs w:val="22"/>
          <w:lang w:eastAsia="fr-CA"/>
        </w:rPr>
      </w:pPr>
      <w:r>
        <w:rPr>
          <w:noProof/>
        </w:rPr>
        <w:t>Annexe I-9  Lettre d’entente sur les garanties</w:t>
      </w:r>
      <w:r>
        <w:rPr>
          <w:noProof/>
        </w:rPr>
        <w:tab/>
      </w:r>
      <w:r>
        <w:rPr>
          <w:noProof/>
        </w:rPr>
        <w:fldChar w:fldCharType="begin"/>
      </w:r>
      <w:r>
        <w:rPr>
          <w:noProof/>
        </w:rPr>
        <w:instrText xml:space="preserve"> PAGEREF _Toc168479575 \h </w:instrText>
      </w:r>
      <w:r>
        <w:rPr>
          <w:noProof/>
        </w:rPr>
      </w:r>
      <w:r>
        <w:rPr>
          <w:noProof/>
        </w:rPr>
        <w:fldChar w:fldCharType="separate"/>
      </w:r>
      <w:r w:rsidR="00041131">
        <w:rPr>
          <w:noProof/>
        </w:rPr>
        <w:t>269</w:t>
      </w:r>
      <w:r>
        <w:rPr>
          <w:noProof/>
        </w:rPr>
        <w:fldChar w:fldCharType="end"/>
      </w:r>
    </w:p>
    <w:p w14:paraId="0496451E" w14:textId="506A2DBE" w:rsidR="00EB12F7" w:rsidRDefault="00EB12F7" w:rsidP="00C11271">
      <w:pPr>
        <w:pStyle w:val="TOC2"/>
        <w:rPr>
          <w:rFonts w:eastAsiaTheme="minorEastAsia" w:cstheme="minorBidi"/>
          <w:noProof/>
          <w:snapToGrid/>
          <w:sz w:val="22"/>
          <w:szCs w:val="22"/>
          <w:lang w:eastAsia="fr-CA"/>
        </w:rPr>
      </w:pPr>
      <w:r>
        <w:rPr>
          <w:noProof/>
        </w:rPr>
        <w:t>Annexe I-10  Cégep régional de Lanaudière</w:t>
      </w:r>
      <w:r>
        <w:rPr>
          <w:noProof/>
        </w:rPr>
        <w:tab/>
      </w:r>
      <w:r>
        <w:rPr>
          <w:noProof/>
        </w:rPr>
        <w:fldChar w:fldCharType="begin"/>
      </w:r>
      <w:r>
        <w:rPr>
          <w:noProof/>
        </w:rPr>
        <w:instrText xml:space="preserve"> PAGEREF _Toc168479576 \h </w:instrText>
      </w:r>
      <w:r>
        <w:rPr>
          <w:noProof/>
        </w:rPr>
      </w:r>
      <w:r>
        <w:rPr>
          <w:noProof/>
        </w:rPr>
        <w:fldChar w:fldCharType="separate"/>
      </w:r>
      <w:r w:rsidR="00041131">
        <w:rPr>
          <w:noProof/>
        </w:rPr>
        <w:t>270</w:t>
      </w:r>
      <w:r>
        <w:rPr>
          <w:noProof/>
        </w:rPr>
        <w:fldChar w:fldCharType="end"/>
      </w:r>
    </w:p>
    <w:p w14:paraId="13E647CC" w14:textId="3800EBC8" w:rsidR="00EB12F7" w:rsidRDefault="00EB12F7" w:rsidP="00C11271">
      <w:pPr>
        <w:pStyle w:val="TOC2"/>
        <w:rPr>
          <w:rFonts w:eastAsiaTheme="minorEastAsia" w:cstheme="minorBidi"/>
          <w:noProof/>
          <w:snapToGrid/>
          <w:sz w:val="22"/>
          <w:szCs w:val="22"/>
          <w:lang w:eastAsia="fr-CA"/>
        </w:rPr>
      </w:pPr>
      <w:r>
        <w:rPr>
          <w:noProof/>
        </w:rPr>
        <w:t>Annexe I-11  Ressources d’enseignement allouées au volet 1</w:t>
      </w:r>
      <w:r>
        <w:rPr>
          <w:noProof/>
        </w:rPr>
        <w:tab/>
      </w:r>
      <w:r>
        <w:rPr>
          <w:noProof/>
        </w:rPr>
        <w:fldChar w:fldCharType="begin"/>
      </w:r>
      <w:r>
        <w:rPr>
          <w:noProof/>
        </w:rPr>
        <w:instrText xml:space="preserve"> PAGEREF _Toc168479577 \h </w:instrText>
      </w:r>
      <w:r>
        <w:rPr>
          <w:noProof/>
        </w:rPr>
      </w:r>
      <w:r>
        <w:rPr>
          <w:noProof/>
        </w:rPr>
        <w:fldChar w:fldCharType="separate"/>
      </w:r>
      <w:r w:rsidR="00041131">
        <w:rPr>
          <w:noProof/>
        </w:rPr>
        <w:t>271</w:t>
      </w:r>
      <w:r>
        <w:rPr>
          <w:noProof/>
        </w:rPr>
        <w:fldChar w:fldCharType="end"/>
      </w:r>
    </w:p>
    <w:p w14:paraId="045D23EC" w14:textId="4EBE7612" w:rsidR="00EB12F7" w:rsidRDefault="00EB12F7" w:rsidP="00C11271">
      <w:pPr>
        <w:pStyle w:val="TOC2"/>
        <w:rPr>
          <w:rFonts w:eastAsiaTheme="minorEastAsia" w:cstheme="minorBidi"/>
          <w:noProof/>
          <w:snapToGrid/>
          <w:sz w:val="22"/>
          <w:szCs w:val="22"/>
          <w:lang w:eastAsia="fr-CA"/>
        </w:rPr>
      </w:pPr>
      <w:r>
        <w:rPr>
          <w:noProof/>
        </w:rPr>
        <w:t>Annexe I-12  Annexe relative aux ressources liées aux programmes à faible effectif (petites cohortes)</w:t>
      </w:r>
      <w:r>
        <w:rPr>
          <w:noProof/>
        </w:rPr>
        <w:tab/>
      </w:r>
      <w:r>
        <w:rPr>
          <w:noProof/>
        </w:rPr>
        <w:fldChar w:fldCharType="begin"/>
      </w:r>
      <w:r>
        <w:rPr>
          <w:noProof/>
        </w:rPr>
        <w:instrText xml:space="preserve"> PAGEREF _Toc168479578 \h </w:instrText>
      </w:r>
      <w:r>
        <w:rPr>
          <w:noProof/>
        </w:rPr>
      </w:r>
      <w:r>
        <w:rPr>
          <w:noProof/>
        </w:rPr>
        <w:fldChar w:fldCharType="separate"/>
      </w:r>
      <w:r w:rsidR="00041131">
        <w:rPr>
          <w:noProof/>
        </w:rPr>
        <w:t>274</w:t>
      </w:r>
      <w:r>
        <w:rPr>
          <w:noProof/>
        </w:rPr>
        <w:fldChar w:fldCharType="end"/>
      </w:r>
    </w:p>
    <w:p w14:paraId="0437BACD" w14:textId="37437328" w:rsidR="00EB12F7" w:rsidRDefault="00EB12F7" w:rsidP="00C11271">
      <w:pPr>
        <w:pStyle w:val="TOC2"/>
        <w:rPr>
          <w:rFonts w:eastAsiaTheme="minorEastAsia" w:cstheme="minorBidi"/>
          <w:noProof/>
          <w:snapToGrid/>
          <w:sz w:val="22"/>
          <w:szCs w:val="22"/>
          <w:lang w:eastAsia="fr-CA"/>
        </w:rPr>
      </w:pPr>
      <w:r>
        <w:rPr>
          <w:noProof/>
        </w:rPr>
        <w:t>Annexe I-13  Charges à la formation continue (CFC)</w:t>
      </w:r>
      <w:r>
        <w:rPr>
          <w:noProof/>
        </w:rPr>
        <w:tab/>
      </w:r>
      <w:r>
        <w:rPr>
          <w:noProof/>
        </w:rPr>
        <w:fldChar w:fldCharType="begin"/>
      </w:r>
      <w:r>
        <w:rPr>
          <w:noProof/>
        </w:rPr>
        <w:instrText xml:space="preserve"> PAGEREF _Toc168479579 \h </w:instrText>
      </w:r>
      <w:r>
        <w:rPr>
          <w:noProof/>
        </w:rPr>
      </w:r>
      <w:r>
        <w:rPr>
          <w:noProof/>
        </w:rPr>
        <w:fldChar w:fldCharType="separate"/>
      </w:r>
      <w:r w:rsidR="00041131">
        <w:rPr>
          <w:noProof/>
        </w:rPr>
        <w:t>275</w:t>
      </w:r>
      <w:r>
        <w:rPr>
          <w:noProof/>
        </w:rPr>
        <w:fldChar w:fldCharType="end"/>
      </w:r>
    </w:p>
    <w:p w14:paraId="69060870" w14:textId="36D1F45C" w:rsidR="00EB12F7" w:rsidRDefault="00EB12F7" w:rsidP="00C11271">
      <w:pPr>
        <w:pStyle w:val="TOC2"/>
        <w:rPr>
          <w:rFonts w:eastAsiaTheme="minorEastAsia" w:cstheme="minorBidi"/>
          <w:noProof/>
          <w:snapToGrid/>
          <w:sz w:val="22"/>
          <w:szCs w:val="22"/>
          <w:lang w:eastAsia="fr-CA"/>
        </w:rPr>
      </w:pPr>
      <w:r>
        <w:rPr>
          <w:noProof/>
        </w:rPr>
        <w:t>Annexe I-14  Annexe relative au soutien à la réussite</w:t>
      </w:r>
      <w:r>
        <w:rPr>
          <w:noProof/>
        </w:rPr>
        <w:tab/>
      </w:r>
      <w:r>
        <w:rPr>
          <w:noProof/>
        </w:rPr>
        <w:fldChar w:fldCharType="begin"/>
      </w:r>
      <w:r>
        <w:rPr>
          <w:noProof/>
        </w:rPr>
        <w:instrText xml:space="preserve"> PAGEREF _Toc168479580 \h </w:instrText>
      </w:r>
      <w:r>
        <w:rPr>
          <w:noProof/>
        </w:rPr>
      </w:r>
      <w:r>
        <w:rPr>
          <w:noProof/>
        </w:rPr>
        <w:fldChar w:fldCharType="separate"/>
      </w:r>
      <w:r w:rsidR="00041131">
        <w:rPr>
          <w:noProof/>
        </w:rPr>
        <w:t>278</w:t>
      </w:r>
      <w:r>
        <w:rPr>
          <w:noProof/>
        </w:rPr>
        <w:fldChar w:fldCharType="end"/>
      </w:r>
    </w:p>
    <w:p w14:paraId="4255BB0B" w14:textId="77777777" w:rsidR="00822D37" w:rsidRDefault="00EB12F7" w:rsidP="00C11271">
      <w:pPr>
        <w:pStyle w:val="TOC2"/>
        <w:ind w:left="1560" w:hanging="1175"/>
        <w:rPr>
          <w:noProof/>
        </w:rPr>
      </w:pPr>
      <w:r>
        <w:rPr>
          <w:noProof/>
        </w:rPr>
        <w:t>Annexe I-15  Lettre d’intention relative à l’évaluation de la norme de financement des enseignantes et des enseignants (modèle d’allocation « EREG » des programmes de soins infirmiers (180.A0 et</w:t>
      </w:r>
    </w:p>
    <w:p w14:paraId="277E92D8" w14:textId="7AA7250D" w:rsidR="00EB12F7" w:rsidRDefault="00822D37" w:rsidP="00C11271">
      <w:pPr>
        <w:pStyle w:val="TOC2"/>
        <w:ind w:left="1560" w:hanging="1175"/>
        <w:rPr>
          <w:rFonts w:eastAsiaTheme="minorEastAsia" w:cstheme="minorBidi"/>
          <w:noProof/>
          <w:snapToGrid/>
          <w:sz w:val="22"/>
          <w:szCs w:val="22"/>
          <w:lang w:eastAsia="fr-CA"/>
        </w:rPr>
      </w:pPr>
      <w:r>
        <w:rPr>
          <w:noProof/>
        </w:rPr>
        <w:tab/>
      </w:r>
      <w:r w:rsidR="00EB12F7">
        <w:rPr>
          <w:noProof/>
        </w:rPr>
        <w:t>180.B0)</w:t>
      </w:r>
      <w:r w:rsidR="00EB12F7">
        <w:rPr>
          <w:noProof/>
        </w:rPr>
        <w:tab/>
      </w:r>
      <w:r w:rsidR="00EB12F7">
        <w:rPr>
          <w:noProof/>
        </w:rPr>
        <w:fldChar w:fldCharType="begin"/>
      </w:r>
      <w:r w:rsidR="00EB12F7">
        <w:rPr>
          <w:noProof/>
        </w:rPr>
        <w:instrText xml:space="preserve"> PAGEREF _Toc168479581 \h </w:instrText>
      </w:r>
      <w:r w:rsidR="00EB12F7">
        <w:rPr>
          <w:noProof/>
        </w:rPr>
      </w:r>
      <w:r w:rsidR="00EB12F7">
        <w:rPr>
          <w:noProof/>
        </w:rPr>
        <w:fldChar w:fldCharType="separate"/>
      </w:r>
      <w:r w:rsidR="00041131">
        <w:rPr>
          <w:noProof/>
        </w:rPr>
        <w:t>279</w:t>
      </w:r>
      <w:r w:rsidR="00EB12F7">
        <w:rPr>
          <w:noProof/>
        </w:rPr>
        <w:fldChar w:fldCharType="end"/>
      </w:r>
    </w:p>
    <w:p w14:paraId="3DD4405C" w14:textId="79A52D66" w:rsidR="00EB12F7" w:rsidRDefault="00EB12F7" w:rsidP="00C11271">
      <w:pPr>
        <w:pStyle w:val="TOC2"/>
        <w:ind w:left="1560" w:hanging="1175"/>
        <w:rPr>
          <w:rFonts w:eastAsiaTheme="minorEastAsia" w:cstheme="minorBidi"/>
          <w:noProof/>
          <w:snapToGrid/>
          <w:sz w:val="22"/>
          <w:szCs w:val="22"/>
          <w:lang w:eastAsia="fr-CA"/>
        </w:rPr>
      </w:pPr>
      <w:r>
        <w:rPr>
          <w:noProof/>
        </w:rPr>
        <w:t>Annexe I-16  Ressources d’enseignement alloués au volet 1 pour l’enseignement clinique dans les programmes de soins infirmiers (180.A0 et 180.B0)</w:t>
      </w:r>
      <w:r>
        <w:rPr>
          <w:noProof/>
        </w:rPr>
        <w:tab/>
      </w:r>
      <w:r>
        <w:rPr>
          <w:noProof/>
        </w:rPr>
        <w:fldChar w:fldCharType="begin"/>
      </w:r>
      <w:r>
        <w:rPr>
          <w:noProof/>
        </w:rPr>
        <w:instrText xml:space="preserve"> PAGEREF _Toc168479582 \h </w:instrText>
      </w:r>
      <w:r>
        <w:rPr>
          <w:noProof/>
        </w:rPr>
      </w:r>
      <w:r>
        <w:rPr>
          <w:noProof/>
        </w:rPr>
        <w:fldChar w:fldCharType="separate"/>
      </w:r>
      <w:r w:rsidR="00041131">
        <w:rPr>
          <w:noProof/>
        </w:rPr>
        <w:t>281</w:t>
      </w:r>
      <w:r>
        <w:rPr>
          <w:noProof/>
        </w:rPr>
        <w:fldChar w:fldCharType="end"/>
      </w:r>
    </w:p>
    <w:p w14:paraId="12B5E5BD" w14:textId="3044A27B" w:rsidR="00EB12F7" w:rsidRDefault="00EB12F7" w:rsidP="00C11271">
      <w:pPr>
        <w:pStyle w:val="TOC2"/>
        <w:rPr>
          <w:rFonts w:eastAsiaTheme="minorEastAsia" w:cstheme="minorBidi"/>
          <w:noProof/>
          <w:snapToGrid/>
          <w:sz w:val="22"/>
          <w:szCs w:val="22"/>
          <w:lang w:eastAsia="fr-CA"/>
        </w:rPr>
      </w:pPr>
      <w:r>
        <w:rPr>
          <w:noProof/>
        </w:rPr>
        <w:t>Annexe I-17  Annexe relative au projet pilote en soins infirmiers</w:t>
      </w:r>
      <w:r>
        <w:rPr>
          <w:noProof/>
        </w:rPr>
        <w:tab/>
      </w:r>
      <w:r>
        <w:rPr>
          <w:noProof/>
        </w:rPr>
        <w:fldChar w:fldCharType="begin"/>
      </w:r>
      <w:r>
        <w:rPr>
          <w:noProof/>
        </w:rPr>
        <w:instrText xml:space="preserve"> PAGEREF _Toc168479583 \h </w:instrText>
      </w:r>
      <w:r>
        <w:rPr>
          <w:noProof/>
        </w:rPr>
      </w:r>
      <w:r>
        <w:rPr>
          <w:noProof/>
        </w:rPr>
        <w:fldChar w:fldCharType="separate"/>
      </w:r>
      <w:r w:rsidR="00041131">
        <w:rPr>
          <w:noProof/>
        </w:rPr>
        <w:t>283</w:t>
      </w:r>
      <w:r>
        <w:rPr>
          <w:noProof/>
        </w:rPr>
        <w:fldChar w:fldCharType="end"/>
      </w:r>
    </w:p>
    <w:p w14:paraId="673B2EBE" w14:textId="05920F8F" w:rsidR="00EB12F7" w:rsidRDefault="00EB12F7" w:rsidP="00C11271">
      <w:pPr>
        <w:pStyle w:val="TOC2"/>
        <w:rPr>
          <w:rFonts w:eastAsiaTheme="minorEastAsia" w:cstheme="minorBidi"/>
          <w:noProof/>
          <w:snapToGrid/>
          <w:sz w:val="22"/>
          <w:szCs w:val="22"/>
          <w:lang w:eastAsia="fr-CA"/>
        </w:rPr>
      </w:pPr>
      <w:r>
        <w:rPr>
          <w:noProof/>
        </w:rPr>
        <w:t>Annexe I-18  Valeur d’une charge à la formation continue (CFC)</w:t>
      </w:r>
      <w:r>
        <w:rPr>
          <w:noProof/>
        </w:rPr>
        <w:tab/>
      </w:r>
      <w:r>
        <w:rPr>
          <w:noProof/>
        </w:rPr>
        <w:fldChar w:fldCharType="begin"/>
      </w:r>
      <w:r>
        <w:rPr>
          <w:noProof/>
        </w:rPr>
        <w:instrText xml:space="preserve"> PAGEREF _Toc168479584 \h </w:instrText>
      </w:r>
      <w:r>
        <w:rPr>
          <w:noProof/>
        </w:rPr>
      </w:r>
      <w:r>
        <w:rPr>
          <w:noProof/>
        </w:rPr>
        <w:fldChar w:fldCharType="separate"/>
      </w:r>
      <w:r w:rsidR="00041131">
        <w:rPr>
          <w:noProof/>
        </w:rPr>
        <w:t>284</w:t>
      </w:r>
      <w:r>
        <w:rPr>
          <w:noProof/>
        </w:rPr>
        <w:fldChar w:fldCharType="end"/>
      </w:r>
    </w:p>
    <w:p w14:paraId="647D19DF" w14:textId="6E4C3E35" w:rsidR="00EB12F7" w:rsidRDefault="00EB12F7" w:rsidP="00C11271">
      <w:pPr>
        <w:pStyle w:val="TOC2"/>
        <w:tabs>
          <w:tab w:val="clear" w:pos="2127"/>
        </w:tabs>
        <w:ind w:left="1560" w:hanging="1175"/>
        <w:rPr>
          <w:rFonts w:eastAsiaTheme="minorEastAsia" w:cstheme="minorBidi"/>
          <w:noProof/>
          <w:snapToGrid/>
          <w:sz w:val="22"/>
          <w:szCs w:val="22"/>
          <w:lang w:eastAsia="fr-CA"/>
        </w:rPr>
      </w:pPr>
      <w:r>
        <w:rPr>
          <w:noProof/>
        </w:rPr>
        <w:lastRenderedPageBreak/>
        <w:t>Annexe I-19  Annexe relative au financement de la charge supplémentaire pour l’adaptation numérique liée à la formation à distance (FAD)</w:t>
      </w:r>
      <w:r>
        <w:rPr>
          <w:noProof/>
        </w:rPr>
        <w:tab/>
      </w:r>
      <w:r>
        <w:rPr>
          <w:noProof/>
        </w:rPr>
        <w:fldChar w:fldCharType="begin"/>
      </w:r>
      <w:r>
        <w:rPr>
          <w:noProof/>
        </w:rPr>
        <w:instrText xml:space="preserve"> PAGEREF _Toc168479585 \h </w:instrText>
      </w:r>
      <w:r>
        <w:rPr>
          <w:noProof/>
        </w:rPr>
      </w:r>
      <w:r>
        <w:rPr>
          <w:noProof/>
        </w:rPr>
        <w:fldChar w:fldCharType="separate"/>
      </w:r>
      <w:r w:rsidR="00041131">
        <w:rPr>
          <w:noProof/>
        </w:rPr>
        <w:t>285</w:t>
      </w:r>
      <w:r>
        <w:rPr>
          <w:noProof/>
        </w:rPr>
        <w:fldChar w:fldCharType="end"/>
      </w:r>
    </w:p>
    <w:p w14:paraId="2E565A9A"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ii  </w:t>
      </w:r>
      <w:r>
        <w:rPr>
          <w:noProof/>
        </w:rPr>
        <w:noBreakHyphen/>
        <w:t xml:space="preserve">  sécurité d’emploi</w:t>
      </w:r>
    </w:p>
    <w:p w14:paraId="41DE9093" w14:textId="2E2EEE5C"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II-1  Liste de la zone à laquelle est rattaché chaque collège aux fins de l’application de la sécurité d’emploi</w:t>
      </w:r>
      <w:r>
        <w:rPr>
          <w:noProof/>
        </w:rPr>
        <w:tab/>
      </w:r>
      <w:r>
        <w:rPr>
          <w:noProof/>
        </w:rPr>
        <w:fldChar w:fldCharType="begin"/>
      </w:r>
      <w:r>
        <w:rPr>
          <w:noProof/>
        </w:rPr>
        <w:instrText xml:space="preserve"> PAGEREF _Toc168479587 \h </w:instrText>
      </w:r>
      <w:r>
        <w:rPr>
          <w:noProof/>
        </w:rPr>
      </w:r>
      <w:r>
        <w:rPr>
          <w:noProof/>
        </w:rPr>
        <w:fldChar w:fldCharType="separate"/>
      </w:r>
      <w:r w:rsidR="00041131">
        <w:rPr>
          <w:noProof/>
        </w:rPr>
        <w:t>290</w:t>
      </w:r>
      <w:r>
        <w:rPr>
          <w:noProof/>
        </w:rPr>
        <w:fldChar w:fldCharType="end"/>
      </w:r>
    </w:p>
    <w:p w14:paraId="5A7D3E9B" w14:textId="77777777" w:rsidR="00822D37" w:rsidRDefault="00EB12F7" w:rsidP="00C11271">
      <w:pPr>
        <w:pStyle w:val="TOC2"/>
        <w:tabs>
          <w:tab w:val="clear" w:pos="2127"/>
          <w:tab w:val="left" w:pos="1560"/>
        </w:tabs>
        <w:rPr>
          <w:noProof/>
        </w:rPr>
      </w:pPr>
      <w:r>
        <w:rPr>
          <w:noProof/>
        </w:rPr>
        <w:t xml:space="preserve">Annexe II-2  Liste du secteur auquel est rattaché chaque collège aux fins de l’application de la sécurité </w:t>
      </w:r>
    </w:p>
    <w:p w14:paraId="125D2DF3" w14:textId="319EEFEA" w:rsidR="00EB12F7" w:rsidRDefault="00822D37" w:rsidP="00C11271">
      <w:pPr>
        <w:pStyle w:val="TOC2"/>
        <w:tabs>
          <w:tab w:val="clear" w:pos="2127"/>
          <w:tab w:val="left" w:pos="1560"/>
        </w:tabs>
        <w:rPr>
          <w:rFonts w:eastAsiaTheme="minorEastAsia" w:cstheme="minorBidi"/>
          <w:noProof/>
          <w:snapToGrid/>
          <w:sz w:val="22"/>
          <w:szCs w:val="22"/>
          <w:lang w:eastAsia="fr-CA"/>
        </w:rPr>
      </w:pPr>
      <w:r>
        <w:rPr>
          <w:noProof/>
        </w:rPr>
        <w:tab/>
      </w:r>
      <w:r w:rsidR="00EB12F7">
        <w:rPr>
          <w:noProof/>
        </w:rPr>
        <w:t>d’emploi</w:t>
      </w:r>
      <w:r w:rsidR="00EB12F7">
        <w:rPr>
          <w:noProof/>
        </w:rPr>
        <w:tab/>
      </w:r>
      <w:r w:rsidR="00EB12F7">
        <w:rPr>
          <w:noProof/>
        </w:rPr>
        <w:fldChar w:fldCharType="begin"/>
      </w:r>
      <w:r w:rsidR="00EB12F7">
        <w:rPr>
          <w:noProof/>
        </w:rPr>
        <w:instrText xml:space="preserve"> PAGEREF _Toc168479588 \h </w:instrText>
      </w:r>
      <w:r w:rsidR="00EB12F7">
        <w:rPr>
          <w:noProof/>
        </w:rPr>
      </w:r>
      <w:r w:rsidR="00EB12F7">
        <w:rPr>
          <w:noProof/>
        </w:rPr>
        <w:fldChar w:fldCharType="separate"/>
      </w:r>
      <w:r w:rsidR="00041131">
        <w:rPr>
          <w:noProof/>
        </w:rPr>
        <w:t>294</w:t>
      </w:r>
      <w:r w:rsidR="00EB12F7">
        <w:rPr>
          <w:noProof/>
        </w:rPr>
        <w:fldChar w:fldCharType="end"/>
      </w:r>
    </w:p>
    <w:p w14:paraId="1BB86EE3" w14:textId="69CE3585" w:rsidR="00EB12F7" w:rsidRDefault="00EB12F7" w:rsidP="00C11271">
      <w:pPr>
        <w:pStyle w:val="TOC2"/>
        <w:tabs>
          <w:tab w:val="clear" w:pos="2127"/>
          <w:tab w:val="left" w:pos="1560"/>
        </w:tabs>
        <w:rPr>
          <w:rFonts w:eastAsiaTheme="minorEastAsia" w:cstheme="minorBidi"/>
          <w:noProof/>
          <w:snapToGrid/>
          <w:sz w:val="22"/>
          <w:szCs w:val="22"/>
          <w:lang w:eastAsia="fr-CA"/>
        </w:rPr>
      </w:pPr>
      <w:r>
        <w:rPr>
          <w:noProof/>
        </w:rPr>
        <w:t>Annexe II-3  Frais de déménagement</w:t>
      </w:r>
      <w:r>
        <w:rPr>
          <w:noProof/>
        </w:rPr>
        <w:tab/>
      </w:r>
      <w:r>
        <w:rPr>
          <w:noProof/>
        </w:rPr>
        <w:fldChar w:fldCharType="begin"/>
      </w:r>
      <w:r>
        <w:rPr>
          <w:noProof/>
        </w:rPr>
        <w:instrText xml:space="preserve"> PAGEREF _Toc168479589 \h </w:instrText>
      </w:r>
      <w:r>
        <w:rPr>
          <w:noProof/>
        </w:rPr>
      </w:r>
      <w:r>
        <w:rPr>
          <w:noProof/>
        </w:rPr>
        <w:fldChar w:fldCharType="separate"/>
      </w:r>
      <w:r w:rsidR="00041131">
        <w:rPr>
          <w:noProof/>
        </w:rPr>
        <w:t>299</w:t>
      </w:r>
      <w:r>
        <w:rPr>
          <w:noProof/>
        </w:rPr>
        <w:fldChar w:fldCharType="end"/>
      </w:r>
    </w:p>
    <w:p w14:paraId="0D82C95E" w14:textId="317CF522" w:rsidR="00EB12F7" w:rsidRDefault="00EB12F7" w:rsidP="00C11271">
      <w:pPr>
        <w:pStyle w:val="TOC2"/>
        <w:rPr>
          <w:rFonts w:eastAsiaTheme="minorEastAsia" w:cstheme="minorBidi"/>
          <w:noProof/>
          <w:snapToGrid/>
          <w:sz w:val="22"/>
          <w:szCs w:val="22"/>
          <w:lang w:eastAsia="fr-CA"/>
        </w:rPr>
      </w:pPr>
      <w:r>
        <w:rPr>
          <w:noProof/>
        </w:rPr>
        <w:t>Annexe II-4  Formulaire à l’usage de l’enseignante ou de l’enseignant non permanent à temps complet prévu :</w:t>
      </w:r>
      <w:r>
        <w:rPr>
          <w:noProof/>
        </w:rPr>
        <w:tab/>
      </w:r>
      <w:r>
        <w:rPr>
          <w:noProof/>
        </w:rPr>
        <w:fldChar w:fldCharType="begin"/>
      </w:r>
      <w:r>
        <w:rPr>
          <w:noProof/>
        </w:rPr>
        <w:instrText xml:space="preserve"> PAGEREF _Toc168479590 \h </w:instrText>
      </w:r>
      <w:r>
        <w:rPr>
          <w:noProof/>
        </w:rPr>
      </w:r>
      <w:r>
        <w:rPr>
          <w:noProof/>
        </w:rPr>
        <w:fldChar w:fldCharType="separate"/>
      </w:r>
      <w:r w:rsidR="00041131">
        <w:rPr>
          <w:noProof/>
        </w:rPr>
        <w:t>302</w:t>
      </w:r>
      <w:r>
        <w:rPr>
          <w:noProof/>
        </w:rPr>
        <w:fldChar w:fldCharType="end"/>
      </w:r>
    </w:p>
    <w:p w14:paraId="6D73D8E3" w14:textId="7DC25BAA" w:rsidR="00EB12F7" w:rsidRDefault="00EB12F7" w:rsidP="00C11271">
      <w:pPr>
        <w:pStyle w:val="TOC2"/>
        <w:rPr>
          <w:rFonts w:eastAsiaTheme="minorEastAsia" w:cstheme="minorBidi"/>
          <w:noProof/>
          <w:snapToGrid/>
          <w:sz w:val="22"/>
          <w:szCs w:val="22"/>
          <w:lang w:eastAsia="fr-CA"/>
        </w:rPr>
      </w:pPr>
      <w:r>
        <w:rPr>
          <w:noProof/>
        </w:rPr>
        <w:t>Annexe II-5  Calcul de l’ancienneté aux fins de replacement</w:t>
      </w:r>
      <w:r>
        <w:rPr>
          <w:noProof/>
        </w:rPr>
        <w:tab/>
      </w:r>
      <w:r>
        <w:rPr>
          <w:noProof/>
        </w:rPr>
        <w:fldChar w:fldCharType="begin"/>
      </w:r>
      <w:r>
        <w:rPr>
          <w:noProof/>
        </w:rPr>
        <w:instrText xml:space="preserve"> PAGEREF _Toc168479591 \h </w:instrText>
      </w:r>
      <w:r>
        <w:rPr>
          <w:noProof/>
        </w:rPr>
      </w:r>
      <w:r>
        <w:rPr>
          <w:noProof/>
        </w:rPr>
        <w:fldChar w:fldCharType="separate"/>
      </w:r>
      <w:r w:rsidR="00041131">
        <w:rPr>
          <w:noProof/>
        </w:rPr>
        <w:t>303</w:t>
      </w:r>
      <w:r>
        <w:rPr>
          <w:noProof/>
        </w:rPr>
        <w:fldChar w:fldCharType="end"/>
      </w:r>
    </w:p>
    <w:p w14:paraId="10547015" w14:textId="4D269FE8" w:rsidR="00EB12F7" w:rsidRDefault="00EB12F7" w:rsidP="00C11271">
      <w:pPr>
        <w:pStyle w:val="TOC2"/>
        <w:rPr>
          <w:rFonts w:eastAsiaTheme="minorEastAsia" w:cstheme="minorBidi"/>
          <w:noProof/>
          <w:snapToGrid/>
          <w:sz w:val="22"/>
          <w:szCs w:val="22"/>
          <w:lang w:eastAsia="fr-CA"/>
        </w:rPr>
      </w:pPr>
      <w:r>
        <w:rPr>
          <w:noProof/>
        </w:rPr>
        <w:t>Annexe II-6  Formulaire de déclaration d’emploi</w:t>
      </w:r>
      <w:r>
        <w:rPr>
          <w:noProof/>
        </w:rPr>
        <w:tab/>
      </w:r>
      <w:r>
        <w:rPr>
          <w:noProof/>
        </w:rPr>
        <w:fldChar w:fldCharType="begin"/>
      </w:r>
      <w:r>
        <w:rPr>
          <w:noProof/>
        </w:rPr>
        <w:instrText xml:space="preserve"> PAGEREF _Toc168479592 \h </w:instrText>
      </w:r>
      <w:r>
        <w:rPr>
          <w:noProof/>
        </w:rPr>
      </w:r>
      <w:r>
        <w:rPr>
          <w:noProof/>
        </w:rPr>
        <w:fldChar w:fldCharType="separate"/>
      </w:r>
      <w:r w:rsidR="00041131">
        <w:rPr>
          <w:noProof/>
        </w:rPr>
        <w:t>304</w:t>
      </w:r>
      <w:r>
        <w:rPr>
          <w:noProof/>
        </w:rPr>
        <w:fldChar w:fldCharType="end"/>
      </w:r>
    </w:p>
    <w:p w14:paraId="125C9399"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section iiI  -  annexes particulières à certains collèges</w:t>
      </w:r>
    </w:p>
    <w:p w14:paraId="04971061" w14:textId="47423482" w:rsidR="00EB12F7" w:rsidRDefault="00EB12F7" w:rsidP="00C11271">
      <w:pPr>
        <w:pStyle w:val="TOC2"/>
        <w:ind w:left="1560" w:hanging="1175"/>
        <w:rPr>
          <w:rFonts w:eastAsiaTheme="minorEastAsia" w:cstheme="minorBidi"/>
          <w:noProof/>
          <w:snapToGrid/>
          <w:sz w:val="22"/>
          <w:szCs w:val="22"/>
          <w:lang w:eastAsia="fr-CA"/>
        </w:rPr>
      </w:pPr>
      <w:r>
        <w:rPr>
          <w:noProof/>
        </w:rPr>
        <w:t>Annexe III-1  Annexe relative aux conditions de travail applicables aux enseignantes et enseignants de l’enseignement aéronautique du Collège de Chicoutimi (CQFA)</w:t>
      </w:r>
      <w:r>
        <w:rPr>
          <w:noProof/>
        </w:rPr>
        <w:tab/>
      </w:r>
      <w:r>
        <w:rPr>
          <w:noProof/>
        </w:rPr>
        <w:fldChar w:fldCharType="begin"/>
      </w:r>
      <w:r>
        <w:rPr>
          <w:noProof/>
        </w:rPr>
        <w:instrText xml:space="preserve"> PAGEREF _Toc168479594 \h </w:instrText>
      </w:r>
      <w:r>
        <w:rPr>
          <w:noProof/>
        </w:rPr>
      </w:r>
      <w:r>
        <w:rPr>
          <w:noProof/>
        </w:rPr>
        <w:fldChar w:fldCharType="separate"/>
      </w:r>
      <w:r w:rsidR="00041131">
        <w:rPr>
          <w:noProof/>
        </w:rPr>
        <w:t>307</w:t>
      </w:r>
      <w:r>
        <w:rPr>
          <w:noProof/>
        </w:rPr>
        <w:fldChar w:fldCharType="end"/>
      </w:r>
    </w:p>
    <w:p w14:paraId="325C0AC4" w14:textId="61217A7A" w:rsidR="00EB12F7" w:rsidRDefault="00EB12F7" w:rsidP="00C11271">
      <w:pPr>
        <w:pStyle w:val="TOC2"/>
        <w:rPr>
          <w:rFonts w:eastAsiaTheme="minorEastAsia" w:cstheme="minorBidi"/>
          <w:noProof/>
          <w:snapToGrid/>
          <w:sz w:val="22"/>
          <w:szCs w:val="22"/>
          <w:lang w:eastAsia="fr-CA"/>
        </w:rPr>
      </w:pPr>
      <w:r>
        <w:rPr>
          <w:noProof/>
        </w:rPr>
        <w:t>Annexe III-2  Annexe relative au Collège Marie-Victorin</w:t>
      </w:r>
      <w:r>
        <w:rPr>
          <w:noProof/>
        </w:rPr>
        <w:tab/>
      </w:r>
      <w:r>
        <w:rPr>
          <w:noProof/>
        </w:rPr>
        <w:fldChar w:fldCharType="begin"/>
      </w:r>
      <w:r>
        <w:rPr>
          <w:noProof/>
        </w:rPr>
        <w:instrText xml:space="preserve"> PAGEREF _Toc168479595 \h </w:instrText>
      </w:r>
      <w:r>
        <w:rPr>
          <w:noProof/>
        </w:rPr>
      </w:r>
      <w:r>
        <w:rPr>
          <w:noProof/>
        </w:rPr>
        <w:fldChar w:fldCharType="separate"/>
      </w:r>
      <w:r w:rsidR="00041131">
        <w:rPr>
          <w:noProof/>
        </w:rPr>
        <w:t>325</w:t>
      </w:r>
      <w:r>
        <w:rPr>
          <w:noProof/>
        </w:rPr>
        <w:fldChar w:fldCharType="end"/>
      </w:r>
    </w:p>
    <w:p w14:paraId="1015DD85" w14:textId="16A924F9" w:rsidR="00EB12F7" w:rsidRDefault="00EB12F7" w:rsidP="00C11271">
      <w:pPr>
        <w:pStyle w:val="TOC2"/>
        <w:rPr>
          <w:rFonts w:eastAsiaTheme="minorEastAsia" w:cstheme="minorBidi"/>
          <w:noProof/>
          <w:snapToGrid/>
          <w:sz w:val="22"/>
          <w:szCs w:val="22"/>
          <w:lang w:eastAsia="fr-CA"/>
        </w:rPr>
      </w:pPr>
      <w:r>
        <w:rPr>
          <w:noProof/>
        </w:rPr>
        <w:t>Annexe III-3  Annexe relative au Cégep régional de Lanaudière</w:t>
      </w:r>
      <w:r>
        <w:rPr>
          <w:noProof/>
        </w:rPr>
        <w:tab/>
      </w:r>
      <w:r>
        <w:rPr>
          <w:noProof/>
        </w:rPr>
        <w:fldChar w:fldCharType="begin"/>
      </w:r>
      <w:r>
        <w:rPr>
          <w:noProof/>
        </w:rPr>
        <w:instrText xml:space="preserve"> PAGEREF _Toc168479596 \h </w:instrText>
      </w:r>
      <w:r>
        <w:rPr>
          <w:noProof/>
        </w:rPr>
      </w:r>
      <w:r>
        <w:rPr>
          <w:noProof/>
        </w:rPr>
        <w:fldChar w:fldCharType="separate"/>
      </w:r>
      <w:r w:rsidR="00041131">
        <w:rPr>
          <w:noProof/>
        </w:rPr>
        <w:t>326</w:t>
      </w:r>
      <w:r>
        <w:rPr>
          <w:noProof/>
        </w:rPr>
        <w:fldChar w:fldCharType="end"/>
      </w:r>
    </w:p>
    <w:p w14:paraId="31DFE267" w14:textId="784861B7"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III-4  Annexe relative au Cégep régional de Lanaudière à Joliette et au Cégep régional de Lanaudière à Terrebonne</w:t>
      </w:r>
      <w:r w:rsidR="00183D58">
        <w:rPr>
          <w:noProof/>
        </w:rPr>
        <w:tab/>
      </w:r>
      <w:r>
        <w:rPr>
          <w:noProof/>
        </w:rPr>
        <w:fldChar w:fldCharType="begin"/>
      </w:r>
      <w:r>
        <w:rPr>
          <w:noProof/>
        </w:rPr>
        <w:instrText xml:space="preserve"> PAGEREF _Toc168479597 \h </w:instrText>
      </w:r>
      <w:r>
        <w:rPr>
          <w:noProof/>
        </w:rPr>
      </w:r>
      <w:r>
        <w:rPr>
          <w:noProof/>
        </w:rPr>
        <w:fldChar w:fldCharType="separate"/>
      </w:r>
      <w:r w:rsidR="00041131">
        <w:rPr>
          <w:noProof/>
        </w:rPr>
        <w:t>327</w:t>
      </w:r>
      <w:r>
        <w:rPr>
          <w:noProof/>
        </w:rPr>
        <w:fldChar w:fldCharType="end"/>
      </w:r>
    </w:p>
    <w:p w14:paraId="74FD4DE6" w14:textId="51727415"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III-5  Annexe relative au Cégep régional de Lanaudière à Joliette et au Cégep régional de Lanaudière à l’Assomption</w:t>
      </w:r>
      <w:r w:rsidR="00183D58">
        <w:rPr>
          <w:noProof/>
        </w:rPr>
        <w:tab/>
      </w:r>
      <w:r>
        <w:rPr>
          <w:noProof/>
        </w:rPr>
        <w:fldChar w:fldCharType="begin"/>
      </w:r>
      <w:r>
        <w:rPr>
          <w:noProof/>
        </w:rPr>
        <w:instrText xml:space="preserve"> PAGEREF _Toc168479598 \h </w:instrText>
      </w:r>
      <w:r>
        <w:rPr>
          <w:noProof/>
        </w:rPr>
      </w:r>
      <w:r>
        <w:rPr>
          <w:noProof/>
        </w:rPr>
        <w:fldChar w:fldCharType="separate"/>
      </w:r>
      <w:r w:rsidR="00041131">
        <w:rPr>
          <w:noProof/>
        </w:rPr>
        <w:t>328</w:t>
      </w:r>
      <w:r>
        <w:rPr>
          <w:noProof/>
        </w:rPr>
        <w:fldChar w:fldCharType="end"/>
      </w:r>
    </w:p>
    <w:p w14:paraId="34A27182" w14:textId="7C52E404" w:rsidR="00EB12F7" w:rsidRDefault="00EB12F7" w:rsidP="00C11271">
      <w:pPr>
        <w:pStyle w:val="TOC2"/>
        <w:rPr>
          <w:rFonts w:eastAsiaTheme="minorEastAsia" w:cstheme="minorBidi"/>
          <w:noProof/>
          <w:snapToGrid/>
          <w:sz w:val="22"/>
          <w:szCs w:val="22"/>
          <w:lang w:eastAsia="fr-CA"/>
        </w:rPr>
      </w:pPr>
      <w:r>
        <w:rPr>
          <w:noProof/>
        </w:rPr>
        <w:t>Annexe III-6  Annexe relative au Cégep régional de Lanaudière à l’Assomption</w:t>
      </w:r>
      <w:r>
        <w:rPr>
          <w:noProof/>
        </w:rPr>
        <w:tab/>
      </w:r>
      <w:r>
        <w:rPr>
          <w:noProof/>
        </w:rPr>
        <w:fldChar w:fldCharType="begin"/>
      </w:r>
      <w:r>
        <w:rPr>
          <w:noProof/>
        </w:rPr>
        <w:instrText xml:space="preserve"> PAGEREF _Toc168479599 \h </w:instrText>
      </w:r>
      <w:r>
        <w:rPr>
          <w:noProof/>
        </w:rPr>
      </w:r>
      <w:r>
        <w:rPr>
          <w:noProof/>
        </w:rPr>
        <w:fldChar w:fldCharType="separate"/>
      </w:r>
      <w:r w:rsidR="00041131">
        <w:rPr>
          <w:noProof/>
        </w:rPr>
        <w:t>329</w:t>
      </w:r>
      <w:r>
        <w:rPr>
          <w:noProof/>
        </w:rPr>
        <w:fldChar w:fldCharType="end"/>
      </w:r>
    </w:p>
    <w:p w14:paraId="56E952EE" w14:textId="610FE25D"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III-7  Enseignantes et enseignants en aéronautique de l’école nationale d’aérotechnique du Collège Édouard-Montpetit</w:t>
      </w:r>
      <w:r>
        <w:rPr>
          <w:noProof/>
        </w:rPr>
        <w:tab/>
      </w:r>
      <w:r>
        <w:rPr>
          <w:noProof/>
        </w:rPr>
        <w:fldChar w:fldCharType="begin"/>
      </w:r>
      <w:r>
        <w:rPr>
          <w:noProof/>
        </w:rPr>
        <w:instrText xml:space="preserve"> PAGEREF _Toc168479600 \h </w:instrText>
      </w:r>
      <w:r>
        <w:rPr>
          <w:noProof/>
        </w:rPr>
      </w:r>
      <w:r>
        <w:rPr>
          <w:noProof/>
        </w:rPr>
        <w:fldChar w:fldCharType="separate"/>
      </w:r>
      <w:r w:rsidR="00041131">
        <w:rPr>
          <w:noProof/>
        </w:rPr>
        <w:t>330</w:t>
      </w:r>
      <w:r>
        <w:rPr>
          <w:noProof/>
        </w:rPr>
        <w:fldChar w:fldCharType="end"/>
      </w:r>
    </w:p>
    <w:p w14:paraId="501F51F9" w14:textId="7C8C5156" w:rsidR="00EB12F7" w:rsidRDefault="00EB12F7" w:rsidP="00C11271">
      <w:pPr>
        <w:pStyle w:val="TOC2"/>
        <w:rPr>
          <w:rFonts w:eastAsiaTheme="minorEastAsia" w:cstheme="minorBidi"/>
          <w:noProof/>
          <w:snapToGrid/>
          <w:sz w:val="22"/>
          <w:szCs w:val="22"/>
          <w:lang w:eastAsia="fr-CA"/>
        </w:rPr>
      </w:pPr>
      <w:r>
        <w:rPr>
          <w:noProof/>
        </w:rPr>
        <w:t>Annexe III-8  Annexe relative au Centre d’études collégiales de Lac</w:t>
      </w:r>
      <w:r>
        <w:rPr>
          <w:noProof/>
        </w:rPr>
        <w:noBreakHyphen/>
        <w:t>Mégantic du Cégep Beauce-Appalaches</w:t>
      </w:r>
      <w:r>
        <w:rPr>
          <w:noProof/>
        </w:rPr>
        <w:tab/>
      </w:r>
      <w:r>
        <w:rPr>
          <w:noProof/>
        </w:rPr>
        <w:fldChar w:fldCharType="begin"/>
      </w:r>
      <w:r>
        <w:rPr>
          <w:noProof/>
        </w:rPr>
        <w:instrText xml:space="preserve"> PAGEREF _Toc168479601 \h </w:instrText>
      </w:r>
      <w:r>
        <w:rPr>
          <w:noProof/>
        </w:rPr>
      </w:r>
      <w:r>
        <w:rPr>
          <w:noProof/>
        </w:rPr>
        <w:fldChar w:fldCharType="separate"/>
      </w:r>
      <w:r w:rsidR="00041131">
        <w:rPr>
          <w:noProof/>
        </w:rPr>
        <w:t>331</w:t>
      </w:r>
      <w:r>
        <w:rPr>
          <w:noProof/>
        </w:rPr>
        <w:fldChar w:fldCharType="end"/>
      </w:r>
    </w:p>
    <w:p w14:paraId="5C988B4E" w14:textId="193BF91A" w:rsidR="00EB12F7" w:rsidRDefault="00EB12F7" w:rsidP="00C11271">
      <w:pPr>
        <w:pStyle w:val="TOC2"/>
        <w:rPr>
          <w:rFonts w:eastAsiaTheme="minorEastAsia" w:cstheme="minorBidi"/>
          <w:noProof/>
          <w:snapToGrid/>
          <w:sz w:val="22"/>
          <w:szCs w:val="22"/>
          <w:lang w:eastAsia="fr-CA"/>
        </w:rPr>
      </w:pPr>
      <w:r>
        <w:rPr>
          <w:noProof/>
        </w:rPr>
        <w:t>Annexe III-9  Annexe relative au Collège de l’Abitibi-Témiscamingue</w:t>
      </w:r>
      <w:r>
        <w:rPr>
          <w:noProof/>
        </w:rPr>
        <w:tab/>
      </w:r>
      <w:r>
        <w:rPr>
          <w:noProof/>
        </w:rPr>
        <w:fldChar w:fldCharType="begin"/>
      </w:r>
      <w:r>
        <w:rPr>
          <w:noProof/>
        </w:rPr>
        <w:instrText xml:space="preserve"> PAGEREF _Toc168479602 \h </w:instrText>
      </w:r>
      <w:r>
        <w:rPr>
          <w:noProof/>
        </w:rPr>
      </w:r>
      <w:r>
        <w:rPr>
          <w:noProof/>
        </w:rPr>
        <w:fldChar w:fldCharType="separate"/>
      </w:r>
      <w:r w:rsidR="00041131">
        <w:rPr>
          <w:noProof/>
        </w:rPr>
        <w:t>333</w:t>
      </w:r>
      <w:r>
        <w:rPr>
          <w:noProof/>
        </w:rPr>
        <w:fldChar w:fldCharType="end"/>
      </w:r>
    </w:p>
    <w:p w14:paraId="632524F9" w14:textId="46147880" w:rsidR="00EB12F7" w:rsidRDefault="00EB12F7" w:rsidP="00C11271">
      <w:pPr>
        <w:pStyle w:val="TOC2"/>
        <w:rPr>
          <w:rFonts w:eastAsiaTheme="minorEastAsia" w:cstheme="minorBidi"/>
          <w:noProof/>
          <w:snapToGrid/>
          <w:sz w:val="22"/>
          <w:szCs w:val="22"/>
          <w:lang w:eastAsia="fr-CA"/>
        </w:rPr>
      </w:pPr>
      <w:r>
        <w:rPr>
          <w:noProof/>
        </w:rPr>
        <w:t>Annexe III-10  Annexe relative au centre linguistique du collège de Jonquière</w:t>
      </w:r>
      <w:r>
        <w:rPr>
          <w:noProof/>
        </w:rPr>
        <w:tab/>
      </w:r>
      <w:r>
        <w:rPr>
          <w:noProof/>
        </w:rPr>
        <w:fldChar w:fldCharType="begin"/>
      </w:r>
      <w:r>
        <w:rPr>
          <w:noProof/>
        </w:rPr>
        <w:instrText xml:space="preserve"> PAGEREF _Toc168479603 \h </w:instrText>
      </w:r>
      <w:r>
        <w:rPr>
          <w:noProof/>
        </w:rPr>
      </w:r>
      <w:r>
        <w:rPr>
          <w:noProof/>
        </w:rPr>
        <w:fldChar w:fldCharType="separate"/>
      </w:r>
      <w:r w:rsidR="00041131">
        <w:rPr>
          <w:noProof/>
        </w:rPr>
        <w:t>334</w:t>
      </w:r>
      <w:r>
        <w:rPr>
          <w:noProof/>
        </w:rPr>
        <w:fldChar w:fldCharType="end"/>
      </w:r>
    </w:p>
    <w:p w14:paraId="2308450B" w14:textId="604C6A26" w:rsidR="00EB12F7" w:rsidRDefault="00EB12F7" w:rsidP="00C11271">
      <w:pPr>
        <w:pStyle w:val="TOC2"/>
        <w:rPr>
          <w:rFonts w:eastAsiaTheme="minorEastAsia" w:cstheme="minorBidi"/>
          <w:noProof/>
          <w:snapToGrid/>
          <w:sz w:val="22"/>
          <w:szCs w:val="22"/>
          <w:lang w:eastAsia="fr-CA"/>
        </w:rPr>
      </w:pPr>
      <w:r>
        <w:rPr>
          <w:noProof/>
        </w:rPr>
        <w:t>Annexe III-11  Annexe relative au Centre d’études collégiales  de Mont-Tremblant du Cégep de Saint-Jérôme</w:t>
      </w:r>
      <w:r>
        <w:rPr>
          <w:noProof/>
        </w:rPr>
        <w:tab/>
      </w:r>
      <w:r>
        <w:rPr>
          <w:noProof/>
        </w:rPr>
        <w:fldChar w:fldCharType="begin"/>
      </w:r>
      <w:r>
        <w:rPr>
          <w:noProof/>
        </w:rPr>
        <w:instrText xml:space="preserve"> PAGEREF _Toc168479604 \h </w:instrText>
      </w:r>
      <w:r>
        <w:rPr>
          <w:noProof/>
        </w:rPr>
      </w:r>
      <w:r>
        <w:rPr>
          <w:noProof/>
        </w:rPr>
        <w:fldChar w:fldCharType="separate"/>
      </w:r>
      <w:r w:rsidR="00041131">
        <w:rPr>
          <w:noProof/>
        </w:rPr>
        <w:t>336</w:t>
      </w:r>
      <w:r>
        <w:rPr>
          <w:noProof/>
        </w:rPr>
        <w:fldChar w:fldCharType="end"/>
      </w:r>
    </w:p>
    <w:p w14:paraId="0F4D6FA5" w14:textId="4FBC4DFB" w:rsidR="00EB12F7" w:rsidRDefault="00EB12F7" w:rsidP="00C11271">
      <w:pPr>
        <w:pStyle w:val="TOC2"/>
        <w:rPr>
          <w:rFonts w:eastAsiaTheme="minorEastAsia" w:cstheme="minorBidi"/>
          <w:noProof/>
          <w:snapToGrid/>
          <w:sz w:val="22"/>
          <w:szCs w:val="22"/>
          <w:lang w:eastAsia="fr-CA"/>
        </w:rPr>
      </w:pPr>
      <w:r>
        <w:rPr>
          <w:noProof/>
        </w:rPr>
        <w:t>Annexe III-12  Annexe relative au Centre d’études collégiales (CEC)  de la Tuque du Collège Shawinigan</w:t>
      </w:r>
      <w:r>
        <w:rPr>
          <w:noProof/>
        </w:rPr>
        <w:tab/>
      </w:r>
      <w:r>
        <w:rPr>
          <w:noProof/>
        </w:rPr>
        <w:fldChar w:fldCharType="begin"/>
      </w:r>
      <w:r>
        <w:rPr>
          <w:noProof/>
        </w:rPr>
        <w:instrText xml:space="preserve"> PAGEREF _Toc168479605 \h </w:instrText>
      </w:r>
      <w:r>
        <w:rPr>
          <w:noProof/>
        </w:rPr>
      </w:r>
      <w:r>
        <w:rPr>
          <w:noProof/>
        </w:rPr>
        <w:fldChar w:fldCharType="separate"/>
      </w:r>
      <w:r w:rsidR="00041131">
        <w:rPr>
          <w:noProof/>
        </w:rPr>
        <w:t>339</w:t>
      </w:r>
      <w:r>
        <w:rPr>
          <w:noProof/>
        </w:rPr>
        <w:fldChar w:fldCharType="end"/>
      </w:r>
    </w:p>
    <w:p w14:paraId="28C0CCB5" w14:textId="0DD81B2E" w:rsidR="00EB12F7" w:rsidRDefault="00EB12F7" w:rsidP="00C11271">
      <w:pPr>
        <w:pStyle w:val="TOC2"/>
        <w:ind w:left="1701" w:hanging="1316"/>
        <w:rPr>
          <w:rFonts w:eastAsiaTheme="minorEastAsia" w:cstheme="minorBidi"/>
          <w:noProof/>
          <w:snapToGrid/>
          <w:sz w:val="22"/>
          <w:szCs w:val="22"/>
          <w:lang w:eastAsia="fr-CA"/>
        </w:rPr>
      </w:pPr>
      <w:r>
        <w:rPr>
          <w:noProof/>
        </w:rPr>
        <w:t>Annexe III-13  Annexe relative à l’École des pêches et de l’aquaculture  du Québec du Cégep de la Gaspésie et des îles</w:t>
      </w:r>
      <w:r>
        <w:rPr>
          <w:noProof/>
        </w:rPr>
        <w:tab/>
      </w:r>
      <w:r>
        <w:rPr>
          <w:noProof/>
        </w:rPr>
        <w:fldChar w:fldCharType="begin"/>
      </w:r>
      <w:r>
        <w:rPr>
          <w:noProof/>
        </w:rPr>
        <w:instrText xml:space="preserve"> PAGEREF _Toc168479606 \h </w:instrText>
      </w:r>
      <w:r>
        <w:rPr>
          <w:noProof/>
        </w:rPr>
      </w:r>
      <w:r>
        <w:rPr>
          <w:noProof/>
        </w:rPr>
        <w:fldChar w:fldCharType="separate"/>
      </w:r>
      <w:r w:rsidR="00041131">
        <w:rPr>
          <w:noProof/>
        </w:rPr>
        <w:t>340</w:t>
      </w:r>
      <w:r>
        <w:rPr>
          <w:noProof/>
        </w:rPr>
        <w:fldChar w:fldCharType="end"/>
      </w:r>
    </w:p>
    <w:p w14:paraId="077A0556" w14:textId="6C04CF96" w:rsidR="00EB12F7" w:rsidRDefault="00EB12F7" w:rsidP="00C11271">
      <w:pPr>
        <w:pStyle w:val="TOC2"/>
        <w:ind w:left="1701" w:hanging="1316"/>
        <w:rPr>
          <w:rFonts w:eastAsiaTheme="minorEastAsia" w:cstheme="minorBidi"/>
          <w:noProof/>
          <w:snapToGrid/>
          <w:sz w:val="22"/>
          <w:szCs w:val="22"/>
          <w:lang w:eastAsia="fr-CA"/>
        </w:rPr>
      </w:pPr>
      <w:r>
        <w:rPr>
          <w:noProof/>
        </w:rPr>
        <w:t>Annexe III-14</w:t>
      </w:r>
      <w:r w:rsidRPr="00DA476F">
        <w:rPr>
          <w:noProof/>
          <w:snapToGrid/>
        </w:rPr>
        <w:t xml:space="preserve"> </w:t>
      </w:r>
      <w:r>
        <w:rPr>
          <w:noProof/>
        </w:rPr>
        <w:t xml:space="preserve"> Annexe relative à l’Autorisation provisoire de programme » pour le programme d’études « Gestion d’un établissement de restauration » (430.B0) au Cégep de Jonquière</w:t>
      </w:r>
      <w:r>
        <w:rPr>
          <w:noProof/>
        </w:rPr>
        <w:tab/>
      </w:r>
      <w:r>
        <w:rPr>
          <w:noProof/>
        </w:rPr>
        <w:fldChar w:fldCharType="begin"/>
      </w:r>
      <w:r>
        <w:rPr>
          <w:noProof/>
        </w:rPr>
        <w:instrText xml:space="preserve"> PAGEREF _Toc168479607 \h </w:instrText>
      </w:r>
      <w:r>
        <w:rPr>
          <w:noProof/>
        </w:rPr>
      </w:r>
      <w:r>
        <w:rPr>
          <w:noProof/>
        </w:rPr>
        <w:fldChar w:fldCharType="separate"/>
      </w:r>
      <w:r w:rsidR="00041131">
        <w:rPr>
          <w:noProof/>
        </w:rPr>
        <w:t>341</w:t>
      </w:r>
      <w:r>
        <w:rPr>
          <w:noProof/>
        </w:rPr>
        <w:fldChar w:fldCharType="end"/>
      </w:r>
    </w:p>
    <w:p w14:paraId="6F2B75F4"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iV  </w:t>
      </w:r>
      <w:r>
        <w:rPr>
          <w:noProof/>
        </w:rPr>
        <w:noBreakHyphen/>
        <w:t xml:space="preserve">  griefs et arbitrages</w:t>
      </w:r>
    </w:p>
    <w:p w14:paraId="7158F6F1" w14:textId="06A9AF78" w:rsidR="00EB12F7" w:rsidRDefault="00EB12F7" w:rsidP="00C11271">
      <w:pPr>
        <w:pStyle w:val="TOC2"/>
        <w:rPr>
          <w:rFonts w:eastAsiaTheme="minorEastAsia" w:cstheme="minorBidi"/>
          <w:noProof/>
          <w:snapToGrid/>
          <w:sz w:val="22"/>
          <w:szCs w:val="22"/>
          <w:lang w:eastAsia="fr-CA"/>
        </w:rPr>
      </w:pPr>
      <w:r>
        <w:rPr>
          <w:noProof/>
        </w:rPr>
        <w:t>Annexe IV-1  Formulaire de grief</w:t>
      </w:r>
      <w:r>
        <w:rPr>
          <w:noProof/>
        </w:rPr>
        <w:tab/>
      </w:r>
      <w:r>
        <w:rPr>
          <w:noProof/>
        </w:rPr>
        <w:fldChar w:fldCharType="begin"/>
      </w:r>
      <w:r>
        <w:rPr>
          <w:noProof/>
        </w:rPr>
        <w:instrText xml:space="preserve"> PAGEREF _Toc168479609 \h </w:instrText>
      </w:r>
      <w:r>
        <w:rPr>
          <w:noProof/>
        </w:rPr>
      </w:r>
      <w:r>
        <w:rPr>
          <w:noProof/>
        </w:rPr>
        <w:fldChar w:fldCharType="separate"/>
      </w:r>
      <w:r w:rsidR="00041131">
        <w:rPr>
          <w:noProof/>
        </w:rPr>
        <w:t>342</w:t>
      </w:r>
      <w:r>
        <w:rPr>
          <w:noProof/>
        </w:rPr>
        <w:fldChar w:fldCharType="end"/>
      </w:r>
    </w:p>
    <w:p w14:paraId="7D066B91" w14:textId="1679D441" w:rsidR="00EB12F7" w:rsidRDefault="00EB12F7" w:rsidP="00C11271">
      <w:pPr>
        <w:pStyle w:val="TOC2"/>
        <w:rPr>
          <w:rFonts w:eastAsiaTheme="minorEastAsia" w:cstheme="minorBidi"/>
          <w:noProof/>
          <w:snapToGrid/>
          <w:sz w:val="22"/>
          <w:szCs w:val="22"/>
          <w:lang w:eastAsia="fr-CA"/>
        </w:rPr>
      </w:pPr>
      <w:r>
        <w:rPr>
          <w:noProof/>
        </w:rPr>
        <w:t>Annexe IV-2  Formulaire de soumission d’un grief à l’arbitrage (FNEEQ (CSN))</w:t>
      </w:r>
      <w:r>
        <w:rPr>
          <w:noProof/>
        </w:rPr>
        <w:tab/>
      </w:r>
      <w:r>
        <w:rPr>
          <w:noProof/>
        </w:rPr>
        <w:fldChar w:fldCharType="begin"/>
      </w:r>
      <w:r>
        <w:rPr>
          <w:noProof/>
        </w:rPr>
        <w:instrText xml:space="preserve"> PAGEREF _Toc168479610 \h </w:instrText>
      </w:r>
      <w:r>
        <w:rPr>
          <w:noProof/>
        </w:rPr>
      </w:r>
      <w:r>
        <w:rPr>
          <w:noProof/>
        </w:rPr>
        <w:fldChar w:fldCharType="separate"/>
      </w:r>
      <w:r w:rsidR="00041131">
        <w:rPr>
          <w:noProof/>
        </w:rPr>
        <w:t>343</w:t>
      </w:r>
      <w:r>
        <w:rPr>
          <w:noProof/>
        </w:rPr>
        <w:fldChar w:fldCharType="end"/>
      </w:r>
    </w:p>
    <w:p w14:paraId="7A5988CB" w14:textId="0E47B591" w:rsidR="00EB12F7" w:rsidRDefault="00EB12F7" w:rsidP="00C11271">
      <w:pPr>
        <w:pStyle w:val="TOC2"/>
        <w:rPr>
          <w:rFonts w:eastAsiaTheme="minorEastAsia" w:cstheme="minorBidi"/>
          <w:noProof/>
          <w:snapToGrid/>
          <w:sz w:val="22"/>
          <w:szCs w:val="22"/>
          <w:lang w:eastAsia="fr-CA"/>
        </w:rPr>
      </w:pPr>
      <w:r>
        <w:rPr>
          <w:noProof/>
        </w:rPr>
        <w:t>Annexe IV-3  Lettre d’entente relative à l’arbitrage national</w:t>
      </w:r>
      <w:r>
        <w:rPr>
          <w:noProof/>
        </w:rPr>
        <w:tab/>
      </w:r>
      <w:r>
        <w:rPr>
          <w:noProof/>
        </w:rPr>
        <w:fldChar w:fldCharType="begin"/>
      </w:r>
      <w:r>
        <w:rPr>
          <w:noProof/>
        </w:rPr>
        <w:instrText xml:space="preserve"> PAGEREF _Toc168479611 \h </w:instrText>
      </w:r>
      <w:r>
        <w:rPr>
          <w:noProof/>
        </w:rPr>
      </w:r>
      <w:r>
        <w:rPr>
          <w:noProof/>
        </w:rPr>
        <w:fldChar w:fldCharType="separate"/>
      </w:r>
      <w:r w:rsidR="00041131">
        <w:rPr>
          <w:noProof/>
        </w:rPr>
        <w:t>344</w:t>
      </w:r>
      <w:r>
        <w:rPr>
          <w:noProof/>
        </w:rPr>
        <w:fldChar w:fldCharType="end"/>
      </w:r>
    </w:p>
    <w:p w14:paraId="57E1BBF8"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V  </w:t>
      </w:r>
      <w:r>
        <w:rPr>
          <w:noProof/>
        </w:rPr>
        <w:noBreakHyphen/>
        <w:t xml:space="preserve">  avantages sociaux et matières connexes</w:t>
      </w:r>
    </w:p>
    <w:p w14:paraId="09F50C69" w14:textId="48157777" w:rsidR="00EB12F7" w:rsidRDefault="00EB12F7" w:rsidP="00C11271">
      <w:pPr>
        <w:pStyle w:val="TOC2"/>
        <w:rPr>
          <w:rFonts w:eastAsiaTheme="minorEastAsia" w:cstheme="minorBidi"/>
          <w:noProof/>
          <w:snapToGrid/>
          <w:sz w:val="22"/>
          <w:szCs w:val="22"/>
          <w:lang w:eastAsia="fr-CA"/>
        </w:rPr>
      </w:pPr>
      <w:r>
        <w:rPr>
          <w:noProof/>
        </w:rPr>
        <w:t xml:space="preserve">Annexe V-1 </w:t>
      </w:r>
      <w:r w:rsidRPr="00DA476F">
        <w:rPr>
          <w:rFonts w:ascii="Arial Gras" w:hAnsi="Arial Gras"/>
          <w:noProof/>
        </w:rPr>
        <w:t xml:space="preserve"> </w:t>
      </w:r>
      <w:r>
        <w:rPr>
          <w:noProof/>
        </w:rPr>
        <w:t>Annexe relative aux modalités d’application du programme de retraite progressive</w:t>
      </w:r>
      <w:r>
        <w:rPr>
          <w:noProof/>
        </w:rPr>
        <w:tab/>
      </w:r>
      <w:r>
        <w:rPr>
          <w:noProof/>
        </w:rPr>
        <w:fldChar w:fldCharType="begin"/>
      </w:r>
      <w:r>
        <w:rPr>
          <w:noProof/>
        </w:rPr>
        <w:instrText xml:space="preserve"> PAGEREF _Toc168479613 \h </w:instrText>
      </w:r>
      <w:r>
        <w:rPr>
          <w:noProof/>
        </w:rPr>
      </w:r>
      <w:r>
        <w:rPr>
          <w:noProof/>
        </w:rPr>
        <w:fldChar w:fldCharType="separate"/>
      </w:r>
      <w:r w:rsidR="00041131">
        <w:rPr>
          <w:noProof/>
        </w:rPr>
        <w:t>345</w:t>
      </w:r>
      <w:r>
        <w:rPr>
          <w:noProof/>
        </w:rPr>
        <w:fldChar w:fldCharType="end"/>
      </w:r>
    </w:p>
    <w:p w14:paraId="18E9E087" w14:textId="3D9409D5" w:rsidR="00EB12F7" w:rsidRDefault="00EB12F7" w:rsidP="00C11271">
      <w:pPr>
        <w:pStyle w:val="TOC2"/>
        <w:rPr>
          <w:rFonts w:eastAsiaTheme="minorEastAsia" w:cstheme="minorBidi"/>
          <w:noProof/>
          <w:snapToGrid/>
          <w:sz w:val="22"/>
          <w:szCs w:val="22"/>
          <w:lang w:eastAsia="fr-CA"/>
        </w:rPr>
      </w:pPr>
      <w:r>
        <w:rPr>
          <w:noProof/>
        </w:rPr>
        <w:t>Annexe V-2  Calcul des heures de travail reconnues aux fins de l’admissibilité à l’assurance emploi</w:t>
      </w:r>
      <w:r>
        <w:rPr>
          <w:noProof/>
        </w:rPr>
        <w:tab/>
      </w:r>
      <w:r>
        <w:rPr>
          <w:noProof/>
        </w:rPr>
        <w:fldChar w:fldCharType="begin"/>
      </w:r>
      <w:r>
        <w:rPr>
          <w:noProof/>
        </w:rPr>
        <w:instrText xml:space="preserve"> PAGEREF _Toc168479614 \h </w:instrText>
      </w:r>
      <w:r>
        <w:rPr>
          <w:noProof/>
        </w:rPr>
      </w:r>
      <w:r>
        <w:rPr>
          <w:noProof/>
        </w:rPr>
        <w:fldChar w:fldCharType="separate"/>
      </w:r>
      <w:r w:rsidR="00041131">
        <w:rPr>
          <w:noProof/>
        </w:rPr>
        <w:t>349</w:t>
      </w:r>
      <w:r>
        <w:rPr>
          <w:noProof/>
        </w:rPr>
        <w:fldChar w:fldCharType="end"/>
      </w:r>
    </w:p>
    <w:p w14:paraId="5F57605A" w14:textId="7A76D803"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V-3  Annexe relative à l’utilisation d’une œuvre dont une enseignante ou un enseignant est soit l’auteure ou l’auteur, soit l’une ou l’un des auteures ou auteurs</w:t>
      </w:r>
      <w:r>
        <w:rPr>
          <w:noProof/>
        </w:rPr>
        <w:tab/>
      </w:r>
      <w:r>
        <w:rPr>
          <w:noProof/>
        </w:rPr>
        <w:fldChar w:fldCharType="begin"/>
      </w:r>
      <w:r>
        <w:rPr>
          <w:noProof/>
        </w:rPr>
        <w:instrText xml:space="preserve"> PAGEREF _Toc168479615 \h </w:instrText>
      </w:r>
      <w:r>
        <w:rPr>
          <w:noProof/>
        </w:rPr>
      </w:r>
      <w:r>
        <w:rPr>
          <w:noProof/>
        </w:rPr>
        <w:fldChar w:fldCharType="separate"/>
      </w:r>
      <w:r w:rsidR="00041131">
        <w:rPr>
          <w:noProof/>
        </w:rPr>
        <w:t>350</w:t>
      </w:r>
      <w:r>
        <w:rPr>
          <w:noProof/>
        </w:rPr>
        <w:fldChar w:fldCharType="end"/>
      </w:r>
    </w:p>
    <w:p w14:paraId="36183736" w14:textId="7AC8EE82"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V-4  Annexe relative au fonds de développement pour la coopération et l’emploi (Fondaction)</w:t>
      </w:r>
      <w:r>
        <w:rPr>
          <w:noProof/>
        </w:rPr>
        <w:tab/>
      </w:r>
      <w:r>
        <w:rPr>
          <w:noProof/>
        </w:rPr>
        <w:fldChar w:fldCharType="begin"/>
      </w:r>
      <w:r>
        <w:rPr>
          <w:noProof/>
        </w:rPr>
        <w:instrText xml:space="preserve"> PAGEREF _Toc168479616 \h </w:instrText>
      </w:r>
      <w:r>
        <w:rPr>
          <w:noProof/>
        </w:rPr>
      </w:r>
      <w:r>
        <w:rPr>
          <w:noProof/>
        </w:rPr>
        <w:fldChar w:fldCharType="separate"/>
      </w:r>
      <w:r w:rsidR="00041131">
        <w:rPr>
          <w:noProof/>
        </w:rPr>
        <w:t>352</w:t>
      </w:r>
      <w:r>
        <w:rPr>
          <w:noProof/>
        </w:rPr>
        <w:fldChar w:fldCharType="end"/>
      </w:r>
    </w:p>
    <w:p w14:paraId="5A0AD647" w14:textId="1757954C"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w:t>
      </w:r>
      <w:r w:rsidRPr="00DA476F">
        <w:rPr>
          <w:rFonts w:ascii="Cambria Math" w:hAnsi="Cambria Math" w:cs="Cambria Math"/>
          <w:noProof/>
        </w:rPr>
        <w:t>-</w:t>
      </w:r>
      <w:r>
        <w:rPr>
          <w:noProof/>
        </w:rPr>
        <w:t>5  Liste des organismes dont les conditions de travail ou les normes et barèmes de rémunération de leurs personnes salariées sont déterminés ou approuvés selon les conditions définies par le gouvernement</w:t>
      </w:r>
      <w:r>
        <w:rPr>
          <w:noProof/>
        </w:rPr>
        <w:tab/>
      </w:r>
      <w:r>
        <w:rPr>
          <w:noProof/>
        </w:rPr>
        <w:fldChar w:fldCharType="begin"/>
      </w:r>
      <w:r>
        <w:rPr>
          <w:noProof/>
        </w:rPr>
        <w:instrText xml:space="preserve"> PAGEREF _Toc168479617 \h </w:instrText>
      </w:r>
      <w:r>
        <w:rPr>
          <w:noProof/>
        </w:rPr>
      </w:r>
      <w:r>
        <w:rPr>
          <w:noProof/>
        </w:rPr>
        <w:fldChar w:fldCharType="separate"/>
      </w:r>
      <w:r w:rsidR="00041131">
        <w:rPr>
          <w:noProof/>
        </w:rPr>
        <w:t>353</w:t>
      </w:r>
      <w:r>
        <w:rPr>
          <w:noProof/>
        </w:rPr>
        <w:fldChar w:fldCharType="end"/>
      </w:r>
    </w:p>
    <w:p w14:paraId="6CCB3C74" w14:textId="30247CF7"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V-6  Annexe relative aux droits parentaux</w:t>
      </w:r>
      <w:r>
        <w:rPr>
          <w:noProof/>
        </w:rPr>
        <w:tab/>
      </w:r>
      <w:r>
        <w:rPr>
          <w:noProof/>
        </w:rPr>
        <w:fldChar w:fldCharType="begin"/>
      </w:r>
      <w:r>
        <w:rPr>
          <w:noProof/>
        </w:rPr>
        <w:instrText xml:space="preserve"> PAGEREF _Toc168479618 \h </w:instrText>
      </w:r>
      <w:r>
        <w:rPr>
          <w:noProof/>
        </w:rPr>
      </w:r>
      <w:r>
        <w:rPr>
          <w:noProof/>
        </w:rPr>
        <w:fldChar w:fldCharType="separate"/>
      </w:r>
      <w:r w:rsidR="00041131">
        <w:rPr>
          <w:noProof/>
        </w:rPr>
        <w:t>355</w:t>
      </w:r>
      <w:r>
        <w:rPr>
          <w:noProof/>
        </w:rPr>
        <w:fldChar w:fldCharType="end"/>
      </w:r>
    </w:p>
    <w:p w14:paraId="4BDB261A" w14:textId="20345AC3"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V-7  Lettre d’entente relative aux responsabilités familiales</w:t>
      </w:r>
      <w:r>
        <w:rPr>
          <w:noProof/>
        </w:rPr>
        <w:tab/>
      </w:r>
      <w:r>
        <w:rPr>
          <w:noProof/>
        </w:rPr>
        <w:fldChar w:fldCharType="begin"/>
      </w:r>
      <w:r>
        <w:rPr>
          <w:noProof/>
        </w:rPr>
        <w:instrText xml:space="preserve"> PAGEREF _Toc168479619 \h </w:instrText>
      </w:r>
      <w:r>
        <w:rPr>
          <w:noProof/>
        </w:rPr>
      </w:r>
      <w:r>
        <w:rPr>
          <w:noProof/>
        </w:rPr>
        <w:fldChar w:fldCharType="separate"/>
      </w:r>
      <w:r w:rsidR="00041131">
        <w:rPr>
          <w:noProof/>
        </w:rPr>
        <w:t>356</w:t>
      </w:r>
      <w:r>
        <w:rPr>
          <w:noProof/>
        </w:rPr>
        <w:fldChar w:fldCharType="end"/>
      </w:r>
    </w:p>
    <w:p w14:paraId="315185F1" w14:textId="487B0B81"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V-8  Annexe relative à Bâtirente</w:t>
      </w:r>
      <w:r>
        <w:rPr>
          <w:noProof/>
        </w:rPr>
        <w:tab/>
      </w:r>
      <w:r>
        <w:rPr>
          <w:noProof/>
        </w:rPr>
        <w:fldChar w:fldCharType="begin"/>
      </w:r>
      <w:r>
        <w:rPr>
          <w:noProof/>
        </w:rPr>
        <w:instrText xml:space="preserve"> PAGEREF _Toc168479620 \h </w:instrText>
      </w:r>
      <w:r>
        <w:rPr>
          <w:noProof/>
        </w:rPr>
      </w:r>
      <w:r>
        <w:rPr>
          <w:noProof/>
        </w:rPr>
        <w:fldChar w:fldCharType="separate"/>
      </w:r>
      <w:r w:rsidR="00041131">
        <w:rPr>
          <w:noProof/>
        </w:rPr>
        <w:t>357</w:t>
      </w:r>
      <w:r>
        <w:rPr>
          <w:noProof/>
        </w:rPr>
        <w:fldChar w:fldCharType="end"/>
      </w:r>
    </w:p>
    <w:p w14:paraId="1F8C47DE" w14:textId="32F991F5"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V-9  Lettre d’entente relative à la création d’un comité de travail sur le financement de la caisse des participants du RREGOP</w:t>
      </w:r>
      <w:r>
        <w:rPr>
          <w:noProof/>
        </w:rPr>
        <w:tab/>
      </w:r>
      <w:r>
        <w:rPr>
          <w:noProof/>
        </w:rPr>
        <w:fldChar w:fldCharType="begin"/>
      </w:r>
      <w:r>
        <w:rPr>
          <w:noProof/>
        </w:rPr>
        <w:instrText xml:space="preserve"> PAGEREF _Toc168479621 \h </w:instrText>
      </w:r>
      <w:r>
        <w:rPr>
          <w:noProof/>
        </w:rPr>
      </w:r>
      <w:r>
        <w:rPr>
          <w:noProof/>
        </w:rPr>
        <w:fldChar w:fldCharType="separate"/>
      </w:r>
      <w:r w:rsidR="00041131">
        <w:rPr>
          <w:noProof/>
        </w:rPr>
        <w:t>358</w:t>
      </w:r>
      <w:r>
        <w:rPr>
          <w:noProof/>
        </w:rPr>
        <w:fldChar w:fldCharType="end"/>
      </w:r>
    </w:p>
    <w:p w14:paraId="63ADD6E7" w14:textId="4C439C81"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V-10  Lettre d’entente relative à la création d’un comité de travail portant sur les droits parentaux</w:t>
      </w:r>
      <w:r>
        <w:rPr>
          <w:noProof/>
        </w:rPr>
        <w:tab/>
      </w:r>
      <w:r>
        <w:rPr>
          <w:noProof/>
        </w:rPr>
        <w:fldChar w:fldCharType="begin"/>
      </w:r>
      <w:r>
        <w:rPr>
          <w:noProof/>
        </w:rPr>
        <w:instrText xml:space="preserve"> PAGEREF _Toc168479622 \h </w:instrText>
      </w:r>
      <w:r>
        <w:rPr>
          <w:noProof/>
        </w:rPr>
      </w:r>
      <w:r>
        <w:rPr>
          <w:noProof/>
        </w:rPr>
        <w:fldChar w:fldCharType="separate"/>
      </w:r>
      <w:r w:rsidR="00041131">
        <w:rPr>
          <w:noProof/>
        </w:rPr>
        <w:t>360</w:t>
      </w:r>
      <w:r>
        <w:rPr>
          <w:noProof/>
        </w:rPr>
        <w:fldChar w:fldCharType="end"/>
      </w:r>
    </w:p>
    <w:p w14:paraId="1F1A5228" w14:textId="6AAC0B8B" w:rsidR="00EB12F7" w:rsidRDefault="00EB12F7" w:rsidP="00C11271">
      <w:pPr>
        <w:pStyle w:val="TOC2"/>
        <w:tabs>
          <w:tab w:val="clear" w:pos="2127"/>
          <w:tab w:val="left" w:pos="1560"/>
        </w:tabs>
        <w:ind w:left="1560" w:hanging="1175"/>
        <w:rPr>
          <w:rFonts w:eastAsiaTheme="minorEastAsia" w:cstheme="minorBidi"/>
          <w:noProof/>
          <w:snapToGrid/>
          <w:sz w:val="22"/>
          <w:szCs w:val="22"/>
          <w:lang w:eastAsia="fr-CA"/>
        </w:rPr>
      </w:pPr>
      <w:r>
        <w:rPr>
          <w:noProof/>
        </w:rPr>
        <w:t>Annexe V-11  Lettre d’intention relative au régime de retraite du personnel employé du gouvernement et des organismes publics (RREGOP) pour les personnes visées par ce régime en vertu de la Loi sur le RREGOP</w:t>
      </w:r>
      <w:r>
        <w:rPr>
          <w:noProof/>
        </w:rPr>
        <w:tab/>
      </w:r>
      <w:r>
        <w:rPr>
          <w:noProof/>
        </w:rPr>
        <w:fldChar w:fldCharType="begin"/>
      </w:r>
      <w:r>
        <w:rPr>
          <w:noProof/>
        </w:rPr>
        <w:instrText xml:space="preserve"> PAGEREF _Toc168479623 \h </w:instrText>
      </w:r>
      <w:r>
        <w:rPr>
          <w:noProof/>
        </w:rPr>
      </w:r>
      <w:r>
        <w:rPr>
          <w:noProof/>
        </w:rPr>
        <w:fldChar w:fldCharType="separate"/>
      </w:r>
      <w:r w:rsidR="00041131">
        <w:rPr>
          <w:noProof/>
        </w:rPr>
        <w:t>361</w:t>
      </w:r>
      <w:r>
        <w:rPr>
          <w:noProof/>
        </w:rPr>
        <w:fldChar w:fldCharType="end"/>
      </w:r>
    </w:p>
    <w:p w14:paraId="7DFBA059" w14:textId="77777777" w:rsidR="00183D58" w:rsidRDefault="00183D58">
      <w:pPr>
        <w:pStyle w:val="TOC1"/>
        <w:tabs>
          <w:tab w:val="right" w:leader="dot" w:pos="10427"/>
        </w:tabs>
        <w:rPr>
          <w:noProof/>
        </w:rPr>
      </w:pPr>
    </w:p>
    <w:p w14:paraId="4FCE9422" w14:textId="78CD7B2F"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VI  </w:t>
      </w:r>
      <w:r>
        <w:rPr>
          <w:noProof/>
        </w:rPr>
        <w:noBreakHyphen/>
        <w:t xml:space="preserve">  traitement et primes</w:t>
      </w:r>
    </w:p>
    <w:p w14:paraId="4315C0C1" w14:textId="763A0A67" w:rsidR="00EB12F7" w:rsidRDefault="00EB12F7" w:rsidP="00C11271">
      <w:pPr>
        <w:pStyle w:val="TOC2"/>
        <w:rPr>
          <w:rFonts w:eastAsiaTheme="minorEastAsia" w:cstheme="minorBidi"/>
          <w:noProof/>
          <w:snapToGrid/>
          <w:sz w:val="22"/>
          <w:szCs w:val="22"/>
          <w:lang w:eastAsia="fr-CA"/>
        </w:rPr>
      </w:pPr>
      <w:r>
        <w:rPr>
          <w:noProof/>
        </w:rPr>
        <w:t>Annexe VI-1  Échelles de traitement</w:t>
      </w:r>
      <w:r>
        <w:rPr>
          <w:noProof/>
        </w:rPr>
        <w:tab/>
      </w:r>
      <w:r>
        <w:rPr>
          <w:noProof/>
        </w:rPr>
        <w:fldChar w:fldCharType="begin"/>
      </w:r>
      <w:r>
        <w:rPr>
          <w:noProof/>
        </w:rPr>
        <w:instrText xml:space="preserve"> PAGEREF _Toc168479625 \h </w:instrText>
      </w:r>
      <w:r>
        <w:rPr>
          <w:noProof/>
        </w:rPr>
      </w:r>
      <w:r>
        <w:rPr>
          <w:noProof/>
        </w:rPr>
        <w:fldChar w:fldCharType="separate"/>
      </w:r>
      <w:r w:rsidR="00041131">
        <w:rPr>
          <w:noProof/>
        </w:rPr>
        <w:t>362</w:t>
      </w:r>
      <w:r>
        <w:rPr>
          <w:noProof/>
        </w:rPr>
        <w:fldChar w:fldCharType="end"/>
      </w:r>
    </w:p>
    <w:p w14:paraId="3490953D" w14:textId="4F685833" w:rsidR="00EB12F7" w:rsidRDefault="00EB12F7" w:rsidP="00C11271">
      <w:pPr>
        <w:pStyle w:val="TOC2"/>
        <w:rPr>
          <w:rFonts w:eastAsiaTheme="minorEastAsia" w:cstheme="minorBidi"/>
          <w:noProof/>
          <w:snapToGrid/>
          <w:sz w:val="22"/>
          <w:szCs w:val="22"/>
          <w:lang w:eastAsia="fr-CA"/>
        </w:rPr>
      </w:pPr>
      <w:r>
        <w:rPr>
          <w:noProof/>
        </w:rPr>
        <w:t>Annexe VI-2  Disparités régionales</w:t>
      </w:r>
      <w:r>
        <w:rPr>
          <w:noProof/>
        </w:rPr>
        <w:tab/>
      </w:r>
      <w:r>
        <w:rPr>
          <w:noProof/>
        </w:rPr>
        <w:fldChar w:fldCharType="begin"/>
      </w:r>
      <w:r>
        <w:rPr>
          <w:noProof/>
        </w:rPr>
        <w:instrText xml:space="preserve"> PAGEREF _Toc168479626 \h </w:instrText>
      </w:r>
      <w:r>
        <w:rPr>
          <w:noProof/>
        </w:rPr>
      </w:r>
      <w:r>
        <w:rPr>
          <w:noProof/>
        </w:rPr>
        <w:fldChar w:fldCharType="separate"/>
      </w:r>
      <w:r w:rsidR="00041131">
        <w:rPr>
          <w:noProof/>
        </w:rPr>
        <w:t>365</w:t>
      </w:r>
      <w:r>
        <w:rPr>
          <w:noProof/>
        </w:rPr>
        <w:fldChar w:fldCharType="end"/>
      </w:r>
    </w:p>
    <w:p w14:paraId="29BA18EF" w14:textId="058D6CAE" w:rsidR="00EB12F7" w:rsidRDefault="00EB12F7" w:rsidP="00C11271">
      <w:pPr>
        <w:pStyle w:val="TOC2"/>
        <w:rPr>
          <w:rFonts w:eastAsiaTheme="minorEastAsia" w:cstheme="minorBidi"/>
          <w:noProof/>
          <w:snapToGrid/>
          <w:sz w:val="22"/>
          <w:szCs w:val="22"/>
          <w:lang w:eastAsia="fr-CA"/>
        </w:rPr>
      </w:pPr>
      <w:r>
        <w:rPr>
          <w:noProof/>
        </w:rPr>
        <w:t>Annexe VI-3  Rétroactivité</w:t>
      </w:r>
      <w:r>
        <w:rPr>
          <w:noProof/>
        </w:rPr>
        <w:tab/>
      </w:r>
      <w:r>
        <w:rPr>
          <w:noProof/>
        </w:rPr>
        <w:fldChar w:fldCharType="begin"/>
      </w:r>
      <w:r>
        <w:rPr>
          <w:noProof/>
        </w:rPr>
        <w:instrText xml:space="preserve"> PAGEREF _Toc168479627 \h </w:instrText>
      </w:r>
      <w:r>
        <w:rPr>
          <w:noProof/>
        </w:rPr>
      </w:r>
      <w:r>
        <w:rPr>
          <w:noProof/>
        </w:rPr>
        <w:fldChar w:fldCharType="separate"/>
      </w:r>
      <w:r w:rsidR="00041131">
        <w:rPr>
          <w:noProof/>
        </w:rPr>
        <w:t>375</w:t>
      </w:r>
      <w:r>
        <w:rPr>
          <w:noProof/>
        </w:rPr>
        <w:fldChar w:fldCharType="end"/>
      </w:r>
    </w:p>
    <w:p w14:paraId="635B3F25" w14:textId="10954090" w:rsidR="00EB12F7" w:rsidRDefault="00EB12F7" w:rsidP="00C11271">
      <w:pPr>
        <w:pStyle w:val="TOC2"/>
        <w:rPr>
          <w:rFonts w:eastAsiaTheme="minorEastAsia" w:cstheme="minorBidi"/>
          <w:noProof/>
          <w:snapToGrid/>
          <w:sz w:val="22"/>
          <w:szCs w:val="22"/>
          <w:lang w:eastAsia="fr-CA"/>
        </w:rPr>
      </w:pPr>
      <w:r>
        <w:rPr>
          <w:noProof/>
        </w:rPr>
        <w:t>Annexe VI-4  Majoration des taux et des échelles de traitement</w:t>
      </w:r>
      <w:r>
        <w:rPr>
          <w:noProof/>
        </w:rPr>
        <w:tab/>
      </w:r>
      <w:r>
        <w:rPr>
          <w:noProof/>
        </w:rPr>
        <w:fldChar w:fldCharType="begin"/>
      </w:r>
      <w:r>
        <w:rPr>
          <w:noProof/>
        </w:rPr>
        <w:instrText xml:space="preserve"> PAGEREF _Toc168479628 \h </w:instrText>
      </w:r>
      <w:r>
        <w:rPr>
          <w:noProof/>
        </w:rPr>
      </w:r>
      <w:r>
        <w:rPr>
          <w:noProof/>
        </w:rPr>
        <w:fldChar w:fldCharType="separate"/>
      </w:r>
      <w:r w:rsidR="00041131">
        <w:rPr>
          <w:noProof/>
        </w:rPr>
        <w:t>378</w:t>
      </w:r>
      <w:r>
        <w:rPr>
          <w:noProof/>
        </w:rPr>
        <w:fldChar w:fldCharType="end"/>
      </w:r>
    </w:p>
    <w:p w14:paraId="3E9262BB"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Vii  </w:t>
      </w:r>
      <w:r>
        <w:rPr>
          <w:noProof/>
        </w:rPr>
        <w:noBreakHyphen/>
        <w:t xml:space="preserve">  dispositions diverses</w:t>
      </w:r>
    </w:p>
    <w:p w14:paraId="10E2762E" w14:textId="04D70832" w:rsidR="00EB12F7" w:rsidRDefault="00EB12F7" w:rsidP="00C11271">
      <w:pPr>
        <w:pStyle w:val="TOC2"/>
        <w:rPr>
          <w:rFonts w:eastAsiaTheme="minorEastAsia" w:cstheme="minorBidi"/>
          <w:noProof/>
          <w:snapToGrid/>
          <w:sz w:val="22"/>
          <w:szCs w:val="22"/>
          <w:lang w:eastAsia="fr-CA"/>
        </w:rPr>
      </w:pPr>
      <w:r>
        <w:rPr>
          <w:noProof/>
        </w:rPr>
        <w:t>Annexe VII-1  Élaboration des programmes d’études</w:t>
      </w:r>
      <w:r>
        <w:rPr>
          <w:noProof/>
        </w:rPr>
        <w:tab/>
      </w:r>
      <w:r>
        <w:rPr>
          <w:noProof/>
        </w:rPr>
        <w:fldChar w:fldCharType="begin"/>
      </w:r>
      <w:r>
        <w:rPr>
          <w:noProof/>
        </w:rPr>
        <w:instrText xml:space="preserve"> PAGEREF _Toc168479630 \h </w:instrText>
      </w:r>
      <w:r>
        <w:rPr>
          <w:noProof/>
        </w:rPr>
      </w:r>
      <w:r>
        <w:rPr>
          <w:noProof/>
        </w:rPr>
        <w:fldChar w:fldCharType="separate"/>
      </w:r>
      <w:r w:rsidR="00041131">
        <w:rPr>
          <w:noProof/>
        </w:rPr>
        <w:t>392</w:t>
      </w:r>
      <w:r>
        <w:rPr>
          <w:noProof/>
        </w:rPr>
        <w:fldChar w:fldCharType="end"/>
      </w:r>
    </w:p>
    <w:p w14:paraId="5ADC78CF" w14:textId="73A45B19" w:rsidR="00EB12F7" w:rsidRDefault="00EB12F7" w:rsidP="00C11271">
      <w:pPr>
        <w:pStyle w:val="TOC2"/>
        <w:rPr>
          <w:rFonts w:eastAsiaTheme="minorEastAsia" w:cstheme="minorBidi"/>
          <w:noProof/>
          <w:snapToGrid/>
          <w:sz w:val="22"/>
          <w:szCs w:val="22"/>
          <w:lang w:eastAsia="fr-CA"/>
        </w:rPr>
      </w:pPr>
      <w:r>
        <w:rPr>
          <w:noProof/>
        </w:rPr>
        <w:t>Annexe VII</w:t>
      </w:r>
      <w:r w:rsidRPr="00DA476F">
        <w:rPr>
          <w:rFonts w:ascii="Cambria Math" w:hAnsi="Cambria Math"/>
          <w:noProof/>
        </w:rPr>
        <w:t>-</w:t>
      </w:r>
      <w:r>
        <w:rPr>
          <w:noProof/>
        </w:rPr>
        <w:t>2  Autorisation provisoire de programme</w:t>
      </w:r>
      <w:r>
        <w:rPr>
          <w:noProof/>
        </w:rPr>
        <w:tab/>
      </w:r>
      <w:r>
        <w:rPr>
          <w:noProof/>
        </w:rPr>
        <w:fldChar w:fldCharType="begin"/>
      </w:r>
      <w:r>
        <w:rPr>
          <w:noProof/>
        </w:rPr>
        <w:instrText xml:space="preserve"> PAGEREF _Toc168479631 \h </w:instrText>
      </w:r>
      <w:r>
        <w:rPr>
          <w:noProof/>
        </w:rPr>
      </w:r>
      <w:r>
        <w:rPr>
          <w:noProof/>
        </w:rPr>
        <w:fldChar w:fldCharType="separate"/>
      </w:r>
      <w:r w:rsidR="00041131">
        <w:rPr>
          <w:noProof/>
        </w:rPr>
        <w:t>393</w:t>
      </w:r>
      <w:r>
        <w:rPr>
          <w:noProof/>
        </w:rPr>
        <w:fldChar w:fldCharType="end"/>
      </w:r>
    </w:p>
    <w:p w14:paraId="57137C95" w14:textId="7094485F" w:rsidR="00EB12F7" w:rsidRDefault="00EB12F7" w:rsidP="00C11271">
      <w:pPr>
        <w:pStyle w:val="TOC2"/>
        <w:rPr>
          <w:rFonts w:eastAsiaTheme="minorEastAsia" w:cstheme="minorBidi"/>
          <w:noProof/>
          <w:snapToGrid/>
          <w:sz w:val="22"/>
          <w:szCs w:val="22"/>
          <w:lang w:eastAsia="fr-CA"/>
        </w:rPr>
      </w:pPr>
      <w:r>
        <w:rPr>
          <w:noProof/>
        </w:rPr>
        <w:t>Annexe VII-3  Annexe relative aux modèles d’organisation de l’enseignement</w:t>
      </w:r>
      <w:r>
        <w:rPr>
          <w:noProof/>
        </w:rPr>
        <w:tab/>
      </w:r>
      <w:r>
        <w:rPr>
          <w:noProof/>
        </w:rPr>
        <w:fldChar w:fldCharType="begin"/>
      </w:r>
      <w:r>
        <w:rPr>
          <w:noProof/>
        </w:rPr>
        <w:instrText xml:space="preserve"> PAGEREF _Toc168479632 \h </w:instrText>
      </w:r>
      <w:r>
        <w:rPr>
          <w:noProof/>
        </w:rPr>
      </w:r>
      <w:r>
        <w:rPr>
          <w:noProof/>
        </w:rPr>
        <w:fldChar w:fldCharType="separate"/>
      </w:r>
      <w:r w:rsidR="00041131">
        <w:rPr>
          <w:noProof/>
        </w:rPr>
        <w:t>394</w:t>
      </w:r>
      <w:r>
        <w:rPr>
          <w:noProof/>
        </w:rPr>
        <w:fldChar w:fldCharType="end"/>
      </w:r>
    </w:p>
    <w:p w14:paraId="219F42BD" w14:textId="154A4091" w:rsidR="00EB12F7" w:rsidRDefault="00EB12F7" w:rsidP="00C11271">
      <w:pPr>
        <w:pStyle w:val="TOC2"/>
        <w:rPr>
          <w:rFonts w:eastAsiaTheme="minorEastAsia" w:cstheme="minorBidi"/>
          <w:noProof/>
          <w:snapToGrid/>
          <w:sz w:val="22"/>
          <w:szCs w:val="22"/>
          <w:lang w:eastAsia="fr-CA"/>
        </w:rPr>
      </w:pPr>
      <w:r>
        <w:rPr>
          <w:noProof/>
        </w:rPr>
        <w:t>Annexe VII-4  Annexe relative à un comité interronde sur la commission pédagogique</w:t>
      </w:r>
      <w:r>
        <w:rPr>
          <w:noProof/>
        </w:rPr>
        <w:tab/>
      </w:r>
      <w:r>
        <w:rPr>
          <w:noProof/>
        </w:rPr>
        <w:fldChar w:fldCharType="begin"/>
      </w:r>
      <w:r>
        <w:rPr>
          <w:noProof/>
        </w:rPr>
        <w:instrText xml:space="preserve"> PAGEREF _Toc168479633 \h </w:instrText>
      </w:r>
      <w:r>
        <w:rPr>
          <w:noProof/>
        </w:rPr>
      </w:r>
      <w:r>
        <w:rPr>
          <w:noProof/>
        </w:rPr>
        <w:fldChar w:fldCharType="separate"/>
      </w:r>
      <w:r w:rsidR="00041131">
        <w:rPr>
          <w:noProof/>
        </w:rPr>
        <w:t>396</w:t>
      </w:r>
      <w:r>
        <w:rPr>
          <w:noProof/>
        </w:rPr>
        <w:fldChar w:fldCharType="end"/>
      </w:r>
    </w:p>
    <w:p w14:paraId="75D001A2" w14:textId="5FB08F15" w:rsidR="00EB12F7" w:rsidRDefault="00EB12F7" w:rsidP="00C11271">
      <w:pPr>
        <w:pStyle w:val="TOC2"/>
        <w:rPr>
          <w:rFonts w:eastAsiaTheme="minorEastAsia" w:cstheme="minorBidi"/>
          <w:noProof/>
          <w:snapToGrid/>
          <w:sz w:val="22"/>
          <w:szCs w:val="22"/>
          <w:lang w:eastAsia="fr-CA"/>
        </w:rPr>
      </w:pPr>
      <w:r>
        <w:rPr>
          <w:noProof/>
        </w:rPr>
        <w:t>Annexe VII-5  Annexe relative à la liberté académique</w:t>
      </w:r>
      <w:r>
        <w:rPr>
          <w:noProof/>
        </w:rPr>
        <w:tab/>
      </w:r>
      <w:r>
        <w:rPr>
          <w:noProof/>
        </w:rPr>
        <w:fldChar w:fldCharType="begin"/>
      </w:r>
      <w:r>
        <w:rPr>
          <w:noProof/>
        </w:rPr>
        <w:instrText xml:space="preserve"> PAGEREF _Toc168479634 \h </w:instrText>
      </w:r>
      <w:r>
        <w:rPr>
          <w:noProof/>
        </w:rPr>
      </w:r>
      <w:r>
        <w:rPr>
          <w:noProof/>
        </w:rPr>
        <w:fldChar w:fldCharType="separate"/>
      </w:r>
      <w:r w:rsidR="00041131">
        <w:rPr>
          <w:noProof/>
        </w:rPr>
        <w:t>397</w:t>
      </w:r>
      <w:r>
        <w:rPr>
          <w:noProof/>
        </w:rPr>
        <w:fldChar w:fldCharType="end"/>
      </w:r>
    </w:p>
    <w:p w14:paraId="47DB8DCD" w14:textId="7ECD36CD" w:rsidR="00EB12F7" w:rsidRDefault="00EB12F7" w:rsidP="00C11271">
      <w:pPr>
        <w:pStyle w:val="TOC2"/>
        <w:rPr>
          <w:rFonts w:eastAsiaTheme="minorEastAsia" w:cstheme="minorBidi"/>
          <w:noProof/>
          <w:snapToGrid/>
          <w:sz w:val="22"/>
          <w:szCs w:val="22"/>
          <w:lang w:eastAsia="fr-CA"/>
        </w:rPr>
      </w:pPr>
      <w:r>
        <w:rPr>
          <w:noProof/>
        </w:rPr>
        <w:t>Annexe VII-6  Annexe relative à un comité interronde sur la recherche</w:t>
      </w:r>
      <w:r>
        <w:rPr>
          <w:noProof/>
        </w:rPr>
        <w:tab/>
      </w:r>
      <w:r>
        <w:rPr>
          <w:noProof/>
        </w:rPr>
        <w:fldChar w:fldCharType="begin"/>
      </w:r>
      <w:r>
        <w:rPr>
          <w:noProof/>
        </w:rPr>
        <w:instrText xml:space="preserve"> PAGEREF _Toc168479635 \h </w:instrText>
      </w:r>
      <w:r>
        <w:rPr>
          <w:noProof/>
        </w:rPr>
      </w:r>
      <w:r>
        <w:rPr>
          <w:noProof/>
        </w:rPr>
        <w:fldChar w:fldCharType="separate"/>
      </w:r>
      <w:r w:rsidR="00041131">
        <w:rPr>
          <w:noProof/>
        </w:rPr>
        <w:t>398</w:t>
      </w:r>
      <w:r>
        <w:rPr>
          <w:noProof/>
        </w:rPr>
        <w:fldChar w:fldCharType="end"/>
      </w:r>
    </w:p>
    <w:p w14:paraId="4CDBC551" w14:textId="77777777" w:rsidR="00EB12F7" w:rsidRDefault="00EB12F7">
      <w:pPr>
        <w:pStyle w:val="TOC1"/>
        <w:tabs>
          <w:tab w:val="right" w:leader="dot" w:pos="10427"/>
        </w:tabs>
        <w:rPr>
          <w:rFonts w:eastAsiaTheme="minorEastAsia" w:cstheme="minorBidi"/>
          <w:b w:val="0"/>
          <w:bCs w:val="0"/>
          <w:caps w:val="0"/>
          <w:noProof/>
          <w:snapToGrid/>
          <w:sz w:val="22"/>
          <w:szCs w:val="22"/>
          <w:lang w:eastAsia="fr-CA"/>
        </w:rPr>
      </w:pPr>
      <w:r>
        <w:rPr>
          <w:noProof/>
        </w:rPr>
        <w:t xml:space="preserve">section VIii  </w:t>
      </w:r>
      <w:r>
        <w:rPr>
          <w:noProof/>
        </w:rPr>
        <w:noBreakHyphen/>
        <w:t xml:space="preserve">  matières  locales</w:t>
      </w:r>
    </w:p>
    <w:p w14:paraId="262D9815" w14:textId="517B5AD6" w:rsidR="00EB12F7" w:rsidRDefault="00EB12F7" w:rsidP="00C11271">
      <w:pPr>
        <w:pStyle w:val="TOC2"/>
        <w:rPr>
          <w:rFonts w:eastAsiaTheme="minorEastAsia" w:cstheme="minorBidi"/>
          <w:noProof/>
          <w:snapToGrid/>
          <w:sz w:val="22"/>
          <w:szCs w:val="22"/>
          <w:lang w:eastAsia="fr-CA"/>
        </w:rPr>
      </w:pPr>
      <w:r>
        <w:rPr>
          <w:noProof/>
        </w:rPr>
        <w:t>Annexe VIII-1  Contrat d’engagement</w:t>
      </w:r>
      <w:r>
        <w:rPr>
          <w:noProof/>
        </w:rPr>
        <w:tab/>
      </w:r>
      <w:r>
        <w:rPr>
          <w:noProof/>
        </w:rPr>
        <w:fldChar w:fldCharType="begin"/>
      </w:r>
      <w:r>
        <w:rPr>
          <w:noProof/>
        </w:rPr>
        <w:instrText xml:space="preserve"> PAGEREF _Toc168479637 \h </w:instrText>
      </w:r>
      <w:r>
        <w:rPr>
          <w:noProof/>
        </w:rPr>
      </w:r>
      <w:r>
        <w:rPr>
          <w:noProof/>
        </w:rPr>
        <w:fldChar w:fldCharType="separate"/>
      </w:r>
      <w:r w:rsidR="00041131">
        <w:rPr>
          <w:noProof/>
        </w:rPr>
        <w:t>399</w:t>
      </w:r>
      <w:r>
        <w:rPr>
          <w:noProof/>
        </w:rPr>
        <w:fldChar w:fldCharType="end"/>
      </w:r>
    </w:p>
    <w:p w14:paraId="3E30276F" w14:textId="5A09279D" w:rsidR="00EB12F7" w:rsidRDefault="00EB12F7" w:rsidP="00C11271">
      <w:pPr>
        <w:pStyle w:val="TOC2"/>
        <w:rPr>
          <w:rFonts w:eastAsiaTheme="minorEastAsia" w:cstheme="minorBidi"/>
          <w:noProof/>
          <w:snapToGrid/>
          <w:sz w:val="22"/>
          <w:szCs w:val="22"/>
          <w:lang w:eastAsia="fr-CA"/>
        </w:rPr>
      </w:pPr>
      <w:r>
        <w:rPr>
          <w:noProof/>
        </w:rPr>
        <w:t>Annexe VIII-2  Lettre d’entente relative aux matières ancienneté et grief et arbitrage</w:t>
      </w:r>
      <w:r>
        <w:rPr>
          <w:noProof/>
        </w:rPr>
        <w:tab/>
      </w:r>
      <w:r>
        <w:rPr>
          <w:noProof/>
        </w:rPr>
        <w:fldChar w:fldCharType="begin"/>
      </w:r>
      <w:r>
        <w:rPr>
          <w:noProof/>
        </w:rPr>
        <w:instrText xml:space="preserve"> PAGEREF _Toc168479638 \h </w:instrText>
      </w:r>
      <w:r>
        <w:rPr>
          <w:noProof/>
        </w:rPr>
      </w:r>
      <w:r>
        <w:rPr>
          <w:noProof/>
        </w:rPr>
        <w:fldChar w:fldCharType="separate"/>
      </w:r>
      <w:r w:rsidR="00041131">
        <w:rPr>
          <w:noProof/>
        </w:rPr>
        <w:t>402</w:t>
      </w:r>
      <w:r>
        <w:rPr>
          <w:noProof/>
        </w:rPr>
        <w:fldChar w:fldCharType="end"/>
      </w:r>
    </w:p>
    <w:p w14:paraId="5865A3F1" w14:textId="6C26A4F2" w:rsidR="00EB12F7" w:rsidRDefault="00EB12F7" w:rsidP="00C11271">
      <w:pPr>
        <w:pStyle w:val="TOC2"/>
        <w:rPr>
          <w:rFonts w:eastAsiaTheme="minorEastAsia" w:cstheme="minorBidi"/>
          <w:noProof/>
          <w:snapToGrid/>
          <w:sz w:val="22"/>
          <w:szCs w:val="22"/>
          <w:lang w:eastAsia="fr-CA"/>
        </w:rPr>
      </w:pPr>
      <w:r>
        <w:rPr>
          <w:noProof/>
        </w:rPr>
        <w:t>Annexe VIII-3  Lettre d’entente relative à l’évaluation</w:t>
      </w:r>
      <w:r>
        <w:rPr>
          <w:noProof/>
        </w:rPr>
        <w:tab/>
      </w:r>
      <w:r>
        <w:rPr>
          <w:noProof/>
        </w:rPr>
        <w:fldChar w:fldCharType="begin"/>
      </w:r>
      <w:r>
        <w:rPr>
          <w:noProof/>
        </w:rPr>
        <w:instrText xml:space="preserve"> PAGEREF _Toc168479639 \h </w:instrText>
      </w:r>
      <w:r>
        <w:rPr>
          <w:noProof/>
        </w:rPr>
      </w:r>
      <w:r>
        <w:rPr>
          <w:noProof/>
        </w:rPr>
        <w:fldChar w:fldCharType="separate"/>
      </w:r>
      <w:r w:rsidR="00041131">
        <w:rPr>
          <w:noProof/>
        </w:rPr>
        <w:t>403</w:t>
      </w:r>
      <w:r>
        <w:rPr>
          <w:noProof/>
        </w:rPr>
        <w:fldChar w:fldCharType="end"/>
      </w:r>
    </w:p>
    <w:p w14:paraId="1F0FE32C" w14:textId="4E4F2D7D" w:rsidR="00AA4960" w:rsidRPr="00026EC1" w:rsidRDefault="002B5103" w:rsidP="00C11271">
      <w:pPr>
        <w:pStyle w:val="TOC2"/>
        <w:sectPr w:rsidR="00AA4960" w:rsidRPr="00026EC1" w:rsidSect="00953A5D">
          <w:headerReference w:type="default" r:id="rId14"/>
          <w:footerReference w:type="default" r:id="rId15"/>
          <w:footnotePr>
            <w:numRestart w:val="eachPage"/>
          </w:footnotePr>
          <w:type w:val="nextColumn"/>
          <w:pgSz w:w="12240" w:h="15840" w:code="1"/>
          <w:pgMar w:top="720" w:right="618" w:bottom="1242" w:left="1185" w:header="283" w:footer="283" w:gutter="0"/>
          <w:pgNumType w:fmt="upperRoman" w:start="1"/>
          <w:cols w:space="708"/>
          <w:docGrid w:linePitch="360"/>
        </w:sectPr>
      </w:pPr>
      <w:r>
        <w:fldChar w:fldCharType="end"/>
      </w:r>
    </w:p>
    <w:p w14:paraId="3F8AD63E" w14:textId="5580DDBD" w:rsidR="00404F34" w:rsidRPr="00026EC1" w:rsidRDefault="00404F34" w:rsidP="00A64613">
      <w:pPr>
        <w:pStyle w:val="Heading1"/>
        <w:keepNext w:val="0"/>
        <w:tabs>
          <w:tab w:val="left" w:pos="1985"/>
        </w:tabs>
        <w:ind w:left="1701" w:hanging="1701"/>
      </w:pPr>
      <w:r w:rsidRPr="00026EC1">
        <w:t>CHAPITRE 1</w:t>
      </w:r>
      <w:r w:rsidR="000D3913">
        <w:tab/>
      </w:r>
      <w:r w:rsidR="00984A6F">
        <w:t>-</w:t>
      </w:r>
      <w:r w:rsidR="000D3913">
        <w:tab/>
      </w:r>
      <w:r w:rsidRPr="00026EC1">
        <w:t>INTERPRÉTATION ET DÉFINITIONS</w:t>
      </w:r>
      <w:bookmarkEnd w:id="0"/>
      <w:bookmarkEnd w:id="1"/>
      <w:bookmarkEnd w:id="2"/>
      <w:bookmarkEnd w:id="3"/>
      <w:bookmarkEnd w:id="4"/>
      <w:r w:rsidR="007A5975" w:rsidRPr="0035151D">
        <w:fldChar w:fldCharType="begin"/>
      </w:r>
      <w:r w:rsidR="007A5975" w:rsidRPr="0035151D">
        <w:instrText xml:space="preserve"> TC " </w:instrText>
      </w:r>
      <w:bookmarkStart w:id="5" w:name="_Toc203806510"/>
      <w:bookmarkStart w:id="6" w:name="_Toc203807238"/>
      <w:bookmarkStart w:id="7" w:name="_Toc203807359"/>
      <w:bookmarkStart w:id="8" w:name="_Toc203808129"/>
      <w:bookmarkStart w:id="9" w:name="_Toc203808306"/>
      <w:bookmarkStart w:id="10" w:name="_Toc203886393"/>
      <w:bookmarkStart w:id="11" w:name="_Toc203886757"/>
      <w:bookmarkStart w:id="12" w:name="_Toc268268175"/>
      <w:bookmarkStart w:id="13" w:name="_Toc270516435"/>
      <w:bookmarkStart w:id="14" w:name="_Toc270516594"/>
      <w:bookmarkStart w:id="15" w:name="_Toc270575834"/>
      <w:bookmarkStart w:id="16" w:name="_Toc275435146"/>
      <w:bookmarkStart w:id="17" w:name="_Toc276976527"/>
      <w:bookmarkStart w:id="18" w:name="_Toc277583795"/>
      <w:bookmarkStart w:id="19" w:name="_Toc278961048"/>
      <w:bookmarkStart w:id="20" w:name="_Toc278982006"/>
      <w:bookmarkStart w:id="21" w:name="_Toc279394589"/>
      <w:bookmarkStart w:id="22" w:name="_Toc279483756"/>
      <w:bookmarkStart w:id="23" w:name="_Toc283984632"/>
      <w:bookmarkStart w:id="24" w:name="_Toc283984780"/>
      <w:bookmarkStart w:id="25" w:name="_Toc284337855"/>
      <w:bookmarkStart w:id="26" w:name="_Toc284497781"/>
      <w:bookmarkStart w:id="27" w:name="_Toc284510329"/>
      <w:bookmarkStart w:id="28" w:name="_Toc284576048"/>
      <w:bookmarkStart w:id="29" w:name="_Toc284576277"/>
      <w:bookmarkStart w:id="30" w:name="_Toc284587961"/>
      <w:bookmarkStart w:id="31" w:name="_Toc286664514"/>
      <w:bookmarkStart w:id="32" w:name="_Toc286664616"/>
      <w:bookmarkStart w:id="33" w:name="_Toc286665442"/>
      <w:bookmarkStart w:id="34" w:name="_Toc286665545"/>
      <w:bookmarkStart w:id="35" w:name="_Toc286666020"/>
      <w:bookmarkStart w:id="36" w:name="_Toc286666383"/>
      <w:bookmarkStart w:id="37" w:name="_Toc286666485"/>
      <w:bookmarkStart w:id="38" w:name="_Toc286666604"/>
      <w:bookmarkStart w:id="39" w:name="_Toc286666778"/>
      <w:bookmarkStart w:id="40" w:name="_Toc286666880"/>
      <w:bookmarkStart w:id="41" w:name="_Toc286666982"/>
      <w:bookmarkStart w:id="42" w:name="_Toc286667084"/>
      <w:bookmarkStart w:id="43" w:name="_Toc286667186"/>
      <w:bookmarkStart w:id="44" w:name="_Toc286667288"/>
      <w:bookmarkStart w:id="45" w:name="_Toc286667390"/>
      <w:bookmarkStart w:id="46" w:name="_Toc286667492"/>
      <w:bookmarkStart w:id="47" w:name="_Toc286667594"/>
      <w:bookmarkStart w:id="48" w:name="_Toc286667696"/>
      <w:bookmarkStart w:id="49" w:name="_Toc286667798"/>
      <w:bookmarkStart w:id="50" w:name="_Toc286667901"/>
      <w:bookmarkStart w:id="51" w:name="_Toc286668003"/>
      <w:bookmarkStart w:id="52" w:name="_Toc306271199"/>
      <w:bookmarkStart w:id="53" w:name="_Toc330371265"/>
      <w:bookmarkStart w:id="54" w:name="_Toc330540032"/>
      <w:bookmarkStart w:id="55" w:name="_Toc89874007"/>
      <w:bookmarkStart w:id="56" w:name="_Toc89874171"/>
      <w:bookmarkStart w:id="57" w:name="_Toc89874645"/>
      <w:bookmarkStart w:id="58" w:name="_Toc89874794"/>
      <w:bookmarkStart w:id="59" w:name="_Toc89875847"/>
      <w:bookmarkStart w:id="60" w:name="_Toc89877996"/>
      <w:bookmarkStart w:id="61" w:name="_Toc89878124"/>
      <w:bookmarkStart w:id="62" w:name="_Toc89878255"/>
      <w:bookmarkStart w:id="63" w:name="_Toc89878610"/>
      <w:bookmarkStart w:id="64" w:name="_Toc89878931"/>
      <w:bookmarkStart w:id="65" w:name="_Toc89879360"/>
      <w:bookmarkStart w:id="66" w:name="_Toc89879490"/>
      <w:bookmarkStart w:id="67" w:name="_Toc89879620"/>
      <w:bookmarkStart w:id="68" w:name="_Toc89879751"/>
      <w:bookmarkStart w:id="69" w:name="_Toc90119119"/>
      <w:bookmarkStart w:id="70" w:name="_Toc90119248"/>
      <w:bookmarkStart w:id="71" w:name="_Toc90119377"/>
      <w:bookmarkStart w:id="72" w:name="_Toc90122192"/>
      <w:bookmarkStart w:id="73" w:name="_Toc90127533"/>
      <w:bookmarkStart w:id="74" w:name="_Toc90127791"/>
      <w:bookmarkStart w:id="75" w:name="_Toc90131615"/>
      <w:bookmarkStart w:id="76" w:name="_Toc90442526"/>
      <w:bookmarkStart w:id="77" w:name="_Toc90443088"/>
      <w:bookmarkStart w:id="78" w:name="_Toc90451516"/>
      <w:bookmarkStart w:id="79" w:name="_Toc92908048"/>
      <w:bookmarkStart w:id="80" w:name="_Toc92908299"/>
      <w:bookmarkStart w:id="81" w:name="_Toc92908431"/>
      <w:bookmarkStart w:id="82" w:name="_Toc92908564"/>
      <w:bookmarkStart w:id="83" w:name="_Toc92908988"/>
      <w:bookmarkStart w:id="84" w:name="_Toc92911251"/>
      <w:bookmarkStart w:id="85" w:name="_Toc94946493"/>
      <w:bookmarkStart w:id="86" w:name="_Toc94949695"/>
      <w:bookmarkStart w:id="87" w:name="_Toc94952703"/>
      <w:bookmarkStart w:id="88" w:name="_Toc94954607"/>
      <w:bookmarkStart w:id="89" w:name="_Toc94966284"/>
      <w:bookmarkStart w:id="90" w:name="_Toc95035162"/>
      <w:bookmarkStart w:id="91" w:name="_Toc95035305"/>
      <w:bookmarkStart w:id="92" w:name="_Toc95035448"/>
      <w:bookmarkStart w:id="93" w:name="_Toc95035593"/>
      <w:bookmarkStart w:id="94" w:name="_Toc157589218"/>
      <w:bookmarkStart w:id="95" w:name="_Toc161323665"/>
      <w:bookmarkStart w:id="96" w:name="_Toc163483007"/>
      <w:bookmarkStart w:id="97" w:name="_Toc163483606"/>
      <w:bookmarkStart w:id="98" w:name="_Toc163483796"/>
      <w:bookmarkStart w:id="99" w:name="_Toc167870765"/>
      <w:bookmarkStart w:id="100" w:name="_Toc167870929"/>
      <w:bookmarkStart w:id="101" w:name="_Toc167871085"/>
      <w:bookmarkStart w:id="102" w:name="_Toc167871261"/>
      <w:bookmarkStart w:id="103" w:name="_Toc168049329"/>
      <w:bookmarkStart w:id="104" w:name="_Toc168401493"/>
      <w:bookmarkStart w:id="105" w:name="_Toc168402109"/>
      <w:bookmarkStart w:id="106" w:name="_Toc168409544"/>
      <w:bookmarkStart w:id="107" w:name="_Toc168410298"/>
      <w:bookmarkStart w:id="108" w:name="_Toc168410544"/>
      <w:bookmarkStart w:id="109" w:name="_Toc168410785"/>
      <w:bookmarkStart w:id="110" w:name="_Toc168479492"/>
      <w:r w:rsidR="007A5975" w:rsidRPr="0035151D">
        <w:instrText xml:space="preserve">CHAPITRE </w:instrText>
      </w:r>
      <w:r w:rsidR="007A5975">
        <w:instrText>1</w:instrText>
      </w:r>
      <w:r w:rsidR="007A5975" w:rsidRPr="0035151D">
        <w:instrText xml:space="preserve">  </w:instrText>
      </w:r>
      <w:r w:rsidR="00984A6F">
        <w:noBreakHyphen/>
      </w:r>
      <w:r w:rsidR="007A5975" w:rsidRPr="0035151D">
        <w:instrText xml:space="preserve">  </w:instrTex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7A5975">
        <w:instrText>INTERPRÉTATION</w:instrTex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7A5975" w:rsidRPr="0035151D">
        <w:instrText>"\N</w:instrText>
      </w:r>
      <w:r w:rsidR="007A5975" w:rsidRPr="0035151D">
        <w:fldChar w:fldCharType="end"/>
      </w:r>
    </w:p>
    <w:p w14:paraId="4C49D866" w14:textId="6994A5E2" w:rsidR="00404F34" w:rsidRPr="00026EC1" w:rsidRDefault="00404F34" w:rsidP="00A64613">
      <w:pPr>
        <w:pStyle w:val="Heading2"/>
        <w:keepNext w:val="0"/>
        <w:tabs>
          <w:tab w:val="clear" w:pos="1843"/>
          <w:tab w:val="clear" w:pos="2127"/>
          <w:tab w:val="left" w:pos="1701"/>
          <w:tab w:val="left" w:pos="1985"/>
        </w:tabs>
        <w:ind w:left="2127" w:hanging="2127"/>
      </w:pPr>
      <w:bookmarkStart w:id="111" w:name="_Toc535046578"/>
      <w:bookmarkStart w:id="112" w:name="_Toc133760755"/>
      <w:bookmarkStart w:id="113" w:name="_Toc393444580"/>
      <w:bookmarkStart w:id="114" w:name="_Toc393449531"/>
      <w:bookmarkStart w:id="115" w:name="_Toc393460900"/>
      <w:bookmarkStart w:id="116" w:name="_Toc393461178"/>
      <w:bookmarkStart w:id="117" w:name="_Toc393720739"/>
      <w:bookmarkStart w:id="118" w:name="_Toc393783900"/>
      <w:bookmarkStart w:id="119" w:name="_Toc393784039"/>
      <w:bookmarkStart w:id="120" w:name="_Toc168479493"/>
      <w:r w:rsidRPr="00026EC1">
        <w:t>Article</w:t>
      </w:r>
      <w:r w:rsidR="00E70600" w:rsidRPr="00026EC1">
        <w:t xml:space="preserve"> </w:t>
      </w:r>
      <w:r w:rsidRPr="00026EC1">
        <w:t>1</w:t>
      </w:r>
      <w:r w:rsidR="00984A6F">
        <w:t>-</w:t>
      </w:r>
      <w:r w:rsidRPr="00026EC1">
        <w:t>1.00</w:t>
      </w:r>
      <w:r w:rsidR="003C63D6" w:rsidRPr="00026EC1">
        <w:tab/>
      </w:r>
      <w:r w:rsidR="00984A6F">
        <w:t>-</w:t>
      </w:r>
      <w:r w:rsidR="003C63D6" w:rsidRPr="00026EC1">
        <w:tab/>
      </w:r>
      <w:r w:rsidRPr="00026EC1">
        <w:t>Interprétation</w:t>
      </w:r>
      <w:bookmarkEnd w:id="111"/>
      <w:bookmarkEnd w:id="112"/>
      <w:bookmarkEnd w:id="113"/>
      <w:bookmarkEnd w:id="114"/>
      <w:bookmarkEnd w:id="115"/>
      <w:bookmarkEnd w:id="116"/>
      <w:bookmarkEnd w:id="117"/>
      <w:bookmarkEnd w:id="118"/>
      <w:bookmarkEnd w:id="119"/>
      <w:bookmarkEnd w:id="120"/>
    </w:p>
    <w:p w14:paraId="47FF8CA8" w14:textId="77777777" w:rsidR="0011432A" w:rsidRPr="00026EC1" w:rsidRDefault="0011432A" w:rsidP="00A64613">
      <w:pPr>
        <w:keepNext w:val="0"/>
      </w:pPr>
    </w:p>
    <w:p w14:paraId="31C3ED70" w14:textId="4278AC7D" w:rsidR="00D47C1F" w:rsidRPr="00026EC1" w:rsidRDefault="00275751" w:rsidP="00A64613">
      <w:pPr>
        <w:pStyle w:val="NUMRODECLAUSE"/>
        <w:keepNext w:val="0"/>
      </w:pPr>
      <w:r w:rsidRPr="00026EC1">
        <w:t>1</w:t>
      </w:r>
      <w:r w:rsidR="00984A6F">
        <w:noBreakHyphen/>
      </w:r>
      <w:r w:rsidRPr="00026EC1">
        <w:t>1.01</w:t>
      </w:r>
    </w:p>
    <w:p w14:paraId="6A50A34E" w14:textId="1097C4DA" w:rsidR="00271EF7" w:rsidRDefault="00D47C1F" w:rsidP="00A64613">
      <w:pPr>
        <w:keepNext w:val="0"/>
        <w:sectPr w:rsidR="00271EF7" w:rsidSect="00D42D84">
          <w:headerReference w:type="default" r:id="rId16"/>
          <w:footerReference w:type="default" r:id="rId17"/>
          <w:footnotePr>
            <w:numRestart w:val="eachPage"/>
          </w:footnotePr>
          <w:pgSz w:w="12240" w:h="15840" w:code="1"/>
          <w:pgMar w:top="720" w:right="1077" w:bottom="1242" w:left="1684" w:header="709" w:footer="709" w:gutter="0"/>
          <w:pgNumType w:start="1"/>
          <w:cols w:space="708"/>
          <w:docGrid w:linePitch="360"/>
        </w:sectPr>
      </w:pPr>
      <w:r w:rsidRPr="00026EC1">
        <w:rPr>
          <w:rFonts w:cs="Arial"/>
          <w:szCs w:val="24"/>
        </w:rPr>
        <w:t>La convention collective est constituée de l</w:t>
      </w:r>
      <w:r w:rsidR="004A41E4" w:rsidRPr="00026EC1">
        <w:rPr>
          <w:rFonts w:cs="Arial"/>
          <w:szCs w:val="24"/>
        </w:rPr>
        <w:t>’</w:t>
      </w:r>
      <w:r w:rsidRPr="00026EC1">
        <w:rPr>
          <w:rFonts w:cs="Arial"/>
          <w:szCs w:val="24"/>
        </w:rPr>
        <w:t>ensemble des clauses convenues entre les parties nationales, des clauses qui portent sur les salaires et échelles de salaires, des clauses convenues entre les parties et des clauses soumises à l</w:t>
      </w:r>
      <w:r w:rsidR="004A41E4" w:rsidRPr="00026EC1">
        <w:rPr>
          <w:rFonts w:cs="Arial"/>
          <w:szCs w:val="24"/>
        </w:rPr>
        <w:t>’</w:t>
      </w:r>
      <w:r w:rsidRPr="00026EC1">
        <w:rPr>
          <w:rFonts w:cs="Arial"/>
          <w:szCs w:val="24"/>
        </w:rPr>
        <w:t>application de l</w:t>
      </w:r>
      <w:r w:rsidR="004A41E4" w:rsidRPr="00026EC1">
        <w:rPr>
          <w:rFonts w:cs="Arial"/>
          <w:szCs w:val="24"/>
        </w:rPr>
        <w:t>’</w:t>
      </w:r>
      <w:r w:rsidRPr="00026EC1">
        <w:rPr>
          <w:rFonts w:cs="Arial"/>
          <w:szCs w:val="24"/>
        </w:rPr>
        <w:t xml:space="preserve">article 59 de la </w:t>
      </w:r>
      <w:r w:rsidRPr="00026EC1">
        <w:rPr>
          <w:rFonts w:cs="Arial"/>
          <w:iCs/>
          <w:szCs w:val="24"/>
        </w:rPr>
        <w:t>Loi sur le régime de négociation des conventions collectives dans les secteurs public et parapublic</w:t>
      </w:r>
      <w:r w:rsidRPr="00026EC1">
        <w:rPr>
          <w:rFonts w:cs="Arial"/>
          <w:i/>
          <w:iCs/>
          <w:szCs w:val="24"/>
        </w:rPr>
        <w:t xml:space="preserve"> </w:t>
      </w:r>
      <w:r w:rsidR="00BC3C28" w:rsidRPr="00026EC1">
        <w:rPr>
          <w:rFonts w:cs="Arial"/>
          <w:szCs w:val="24"/>
        </w:rPr>
        <w:t>(</w:t>
      </w:r>
      <w:r w:rsidR="009F799E" w:rsidRPr="00026EC1">
        <w:rPr>
          <w:rFonts w:cs="Arial"/>
          <w:szCs w:val="24"/>
        </w:rPr>
        <w:t>RLRQ, chapitre</w:t>
      </w:r>
      <w:r w:rsidR="00177BD3" w:rsidRPr="00026EC1">
        <w:rPr>
          <w:rFonts w:cs="Arial"/>
          <w:szCs w:val="24"/>
        </w:rPr>
        <w:t xml:space="preserve"> R</w:t>
      </w:r>
      <w:r w:rsidR="00984A6F">
        <w:rPr>
          <w:rFonts w:cs="Arial"/>
          <w:szCs w:val="24"/>
        </w:rPr>
        <w:noBreakHyphen/>
      </w:r>
      <w:r w:rsidR="00177BD3" w:rsidRPr="00026EC1">
        <w:rPr>
          <w:rFonts w:cs="Arial"/>
          <w:szCs w:val="24"/>
        </w:rPr>
        <w:t>8.2)</w:t>
      </w:r>
      <w:r w:rsidRPr="00026EC1">
        <w:t>.</w:t>
      </w:r>
    </w:p>
    <w:p w14:paraId="1B140E8C" w14:textId="1C31435F" w:rsidR="00404F34" w:rsidRPr="00026EC1" w:rsidRDefault="00404F34" w:rsidP="00A64613">
      <w:pPr>
        <w:pStyle w:val="Heading2"/>
        <w:keepNext w:val="0"/>
        <w:tabs>
          <w:tab w:val="clear" w:pos="1843"/>
          <w:tab w:val="clear" w:pos="2127"/>
          <w:tab w:val="left" w:pos="1701"/>
          <w:tab w:val="left" w:pos="1985"/>
        </w:tabs>
        <w:ind w:left="2127" w:hanging="2127"/>
      </w:pPr>
      <w:bookmarkStart w:id="121" w:name="_Toc535046579"/>
      <w:bookmarkStart w:id="122" w:name="_Toc133760756"/>
      <w:bookmarkStart w:id="123" w:name="_Toc393444581"/>
      <w:bookmarkStart w:id="124" w:name="_Toc393449532"/>
      <w:bookmarkStart w:id="125" w:name="_Toc393460901"/>
      <w:bookmarkStart w:id="126" w:name="_Toc393461179"/>
      <w:bookmarkStart w:id="127" w:name="_Toc393720740"/>
      <w:bookmarkStart w:id="128" w:name="_Toc393783901"/>
      <w:bookmarkStart w:id="129" w:name="_Toc393784040"/>
      <w:bookmarkStart w:id="130" w:name="_Toc168479494"/>
      <w:r w:rsidRPr="00026EC1">
        <w:t>Article 1</w:t>
      </w:r>
      <w:r w:rsidR="00984A6F">
        <w:t>-</w:t>
      </w:r>
      <w:r w:rsidR="003D2529" w:rsidRPr="00026EC1">
        <w:t>2.0</w:t>
      </w:r>
      <w:r w:rsidR="0011432A" w:rsidRPr="00026EC1">
        <w:t>0</w:t>
      </w:r>
      <w:r w:rsidR="009D5F8E" w:rsidRPr="00026EC1">
        <w:tab/>
      </w:r>
      <w:r w:rsidR="00984A6F">
        <w:t>-</w:t>
      </w:r>
      <w:r w:rsidR="009D5F8E" w:rsidRPr="00026EC1">
        <w:tab/>
      </w:r>
      <w:r w:rsidRPr="00026EC1">
        <w:t>Définitions</w:t>
      </w:r>
      <w:bookmarkEnd w:id="121"/>
      <w:bookmarkEnd w:id="122"/>
      <w:bookmarkEnd w:id="123"/>
      <w:bookmarkEnd w:id="124"/>
      <w:bookmarkEnd w:id="125"/>
      <w:bookmarkEnd w:id="126"/>
      <w:bookmarkEnd w:id="127"/>
      <w:bookmarkEnd w:id="128"/>
      <w:bookmarkEnd w:id="129"/>
      <w:bookmarkEnd w:id="130"/>
    </w:p>
    <w:p w14:paraId="6B7EDEC8" w14:textId="7C5E9FE3" w:rsidR="00003AC3" w:rsidRPr="00026EC1" w:rsidRDefault="00003AC3" w:rsidP="00A64613">
      <w:pPr>
        <w:keepNext w:val="0"/>
      </w:pPr>
      <w:r w:rsidRPr="00026EC1">
        <w:t>Les expressions suivantes signifient</w:t>
      </w:r>
      <w:r w:rsidR="00D8581B">
        <w:t> :</w:t>
      </w:r>
    </w:p>
    <w:p w14:paraId="7D359B42" w14:textId="77777777" w:rsidR="00003AC3" w:rsidRPr="00026EC1" w:rsidRDefault="00003AC3" w:rsidP="00A64613">
      <w:pPr>
        <w:keepNext w:val="0"/>
      </w:pPr>
    </w:p>
    <w:p w14:paraId="0C9235E1" w14:textId="70DCEF21" w:rsidR="00275751" w:rsidRPr="00026EC1" w:rsidRDefault="00275751" w:rsidP="00A64613">
      <w:pPr>
        <w:pStyle w:val="NUMRODECLAUSE"/>
        <w:keepNext w:val="0"/>
      </w:pPr>
      <w:r w:rsidRPr="00026EC1">
        <w:t>1</w:t>
      </w:r>
      <w:r w:rsidR="00984A6F">
        <w:noBreakHyphen/>
      </w:r>
      <w:r w:rsidRPr="00026EC1">
        <w:t>2.01</w:t>
      </w:r>
      <w:r w:rsidRPr="00026EC1">
        <w:tab/>
      </w:r>
      <w:r w:rsidR="00003AC3" w:rsidRPr="003A3B74">
        <w:rPr>
          <w:u w:val="single"/>
        </w:rPr>
        <w:t>Ancienneté aux fins des modalités de la sécurité d</w:t>
      </w:r>
      <w:r w:rsidR="004A41E4" w:rsidRPr="003A3B74">
        <w:rPr>
          <w:u w:val="single"/>
        </w:rPr>
        <w:t>’</w:t>
      </w:r>
      <w:r w:rsidR="00003AC3" w:rsidRPr="003A3B74">
        <w:rPr>
          <w:u w:val="single"/>
        </w:rPr>
        <w:t>emploi</w:t>
      </w:r>
      <w:r w:rsidR="00D8581B">
        <w:t> :</w:t>
      </w:r>
    </w:p>
    <w:p w14:paraId="6029B8CD" w14:textId="77777777" w:rsidR="00003AC3" w:rsidRPr="00026EC1" w:rsidRDefault="00003AC3" w:rsidP="00A64613">
      <w:pPr>
        <w:keepNext w:val="0"/>
      </w:pPr>
      <w:r w:rsidRPr="00026EC1">
        <w:t>Temps en années et en fraction d</w:t>
      </w:r>
      <w:r w:rsidR="004A41E4" w:rsidRPr="00026EC1">
        <w:t>’</w:t>
      </w:r>
      <w:r w:rsidRPr="00026EC1">
        <w:t>année à titre d</w:t>
      </w:r>
      <w:r w:rsidR="004A41E4" w:rsidRPr="00026EC1">
        <w:t>’</w:t>
      </w:r>
      <w:r w:rsidRPr="00026EC1">
        <w:t>enseignante ou d</w:t>
      </w:r>
      <w:r w:rsidR="004A41E4" w:rsidRPr="00026EC1">
        <w:t>’</w:t>
      </w:r>
      <w:r w:rsidRPr="00026EC1">
        <w:t>enseignant à l</w:t>
      </w:r>
      <w:r w:rsidR="004A41E4" w:rsidRPr="00026EC1">
        <w:t>’</w:t>
      </w:r>
      <w:r w:rsidRPr="00026EC1">
        <w:t>emploi du collège ou d</w:t>
      </w:r>
      <w:r w:rsidR="004A41E4" w:rsidRPr="00026EC1">
        <w:t>’</w:t>
      </w:r>
      <w:r w:rsidRPr="00026EC1">
        <w:t>un établissement auquel le collège succède.</w:t>
      </w:r>
    </w:p>
    <w:p w14:paraId="3BA375ED" w14:textId="77777777" w:rsidR="00003AC3" w:rsidRPr="00026EC1" w:rsidRDefault="00003AC3" w:rsidP="00A64613">
      <w:pPr>
        <w:keepNext w:val="0"/>
      </w:pPr>
    </w:p>
    <w:p w14:paraId="08EFDCB1" w14:textId="224ADEC3" w:rsidR="00275751" w:rsidRPr="00026EC1" w:rsidRDefault="00275751" w:rsidP="00A64613">
      <w:pPr>
        <w:pStyle w:val="NUMRODECLAUSE"/>
        <w:keepNext w:val="0"/>
      </w:pPr>
      <w:r w:rsidRPr="00026EC1">
        <w:t>1</w:t>
      </w:r>
      <w:r w:rsidR="00984A6F">
        <w:noBreakHyphen/>
      </w:r>
      <w:r w:rsidRPr="00026EC1">
        <w:t>2.02</w:t>
      </w:r>
      <w:r w:rsidRPr="00026EC1">
        <w:tab/>
      </w:r>
      <w:r w:rsidR="00003AC3" w:rsidRPr="003A3B74">
        <w:rPr>
          <w:u w:val="single"/>
        </w:rPr>
        <w:t>Année d</w:t>
      </w:r>
      <w:r w:rsidR="004A41E4" w:rsidRPr="003A3B74">
        <w:rPr>
          <w:u w:val="single"/>
        </w:rPr>
        <w:t>’</w:t>
      </w:r>
      <w:r w:rsidR="00003AC3" w:rsidRPr="003A3B74">
        <w:rPr>
          <w:u w:val="single"/>
        </w:rPr>
        <w:t>engagement</w:t>
      </w:r>
      <w:r w:rsidR="00D8581B">
        <w:t> :</w:t>
      </w:r>
    </w:p>
    <w:p w14:paraId="74F232BC" w14:textId="77777777" w:rsidR="00003AC3" w:rsidRPr="00026EC1" w:rsidRDefault="00003AC3" w:rsidP="00A64613">
      <w:pPr>
        <w:keepNext w:val="0"/>
      </w:pPr>
      <w:r w:rsidRPr="00026EC1">
        <w:t>Période de douze (12) mois prévue au contrat individuel de travail durant laquelle l</w:t>
      </w:r>
      <w:r w:rsidR="004A41E4" w:rsidRPr="00026EC1">
        <w:t>’</w:t>
      </w:r>
      <w:r w:rsidRPr="00026EC1">
        <w:t>enseignante ou l</w:t>
      </w:r>
      <w:r w:rsidR="004A41E4" w:rsidRPr="00026EC1">
        <w:t>’</w:t>
      </w:r>
      <w:r w:rsidRPr="00026EC1">
        <w:t>enseignant est à l</w:t>
      </w:r>
      <w:r w:rsidR="004A41E4" w:rsidRPr="00026EC1">
        <w:t>’</w:t>
      </w:r>
      <w:r w:rsidRPr="00026EC1">
        <w:t>emploi du collège.</w:t>
      </w:r>
    </w:p>
    <w:p w14:paraId="0A915E98" w14:textId="77777777" w:rsidR="00003AC3" w:rsidRPr="00026EC1" w:rsidRDefault="00003AC3" w:rsidP="00A64613">
      <w:pPr>
        <w:keepNext w:val="0"/>
      </w:pPr>
    </w:p>
    <w:p w14:paraId="05E6B049" w14:textId="08770EAD" w:rsidR="00003AC3" w:rsidRPr="00026EC1" w:rsidRDefault="00275751" w:rsidP="00A64613">
      <w:pPr>
        <w:pStyle w:val="NUMRODECLAUSE"/>
        <w:keepNext w:val="0"/>
      </w:pPr>
      <w:r w:rsidRPr="00026EC1">
        <w:t>1</w:t>
      </w:r>
      <w:r w:rsidR="00984A6F">
        <w:noBreakHyphen/>
      </w:r>
      <w:r w:rsidRPr="00026EC1">
        <w:t>2.03</w:t>
      </w:r>
      <w:r w:rsidRPr="00026EC1">
        <w:tab/>
      </w:r>
      <w:r w:rsidR="00003AC3" w:rsidRPr="003A3B74">
        <w:rPr>
          <w:u w:val="single"/>
        </w:rPr>
        <w:t>Année d</w:t>
      </w:r>
      <w:r w:rsidR="004A41E4" w:rsidRPr="003A3B74">
        <w:rPr>
          <w:u w:val="single"/>
        </w:rPr>
        <w:t>’</w:t>
      </w:r>
      <w:r w:rsidR="00003AC3" w:rsidRPr="003A3B74">
        <w:rPr>
          <w:u w:val="single"/>
        </w:rPr>
        <w:t>enseignement</w:t>
      </w:r>
      <w:r w:rsidR="00D8581B">
        <w:t> :</w:t>
      </w:r>
    </w:p>
    <w:p w14:paraId="7E05836F" w14:textId="77777777" w:rsidR="00003AC3" w:rsidRPr="00026EC1" w:rsidRDefault="00003AC3" w:rsidP="00A64613">
      <w:pPr>
        <w:keepNext w:val="0"/>
      </w:pPr>
      <w:r w:rsidRPr="00026EC1">
        <w:t>Période de dix (10) mois de disponibilité au sens de la convention collective à l</w:t>
      </w:r>
      <w:r w:rsidR="004A41E4" w:rsidRPr="00026EC1">
        <w:t>’</w:t>
      </w:r>
      <w:r w:rsidRPr="00026EC1">
        <w:t>intérieur d</w:t>
      </w:r>
      <w:r w:rsidR="004A41E4" w:rsidRPr="00026EC1">
        <w:t>’</w:t>
      </w:r>
      <w:r w:rsidRPr="00026EC1">
        <w:t>une année d</w:t>
      </w:r>
      <w:r w:rsidR="004A41E4" w:rsidRPr="00026EC1">
        <w:t>’</w:t>
      </w:r>
      <w:r w:rsidRPr="00026EC1">
        <w:t>engagement.</w:t>
      </w:r>
    </w:p>
    <w:p w14:paraId="34902BE4" w14:textId="77777777" w:rsidR="00003AC3" w:rsidRPr="00026EC1" w:rsidRDefault="00003AC3" w:rsidP="00A64613">
      <w:pPr>
        <w:keepNext w:val="0"/>
      </w:pPr>
    </w:p>
    <w:p w14:paraId="19F09954" w14:textId="32AE28EF" w:rsidR="00003AC3" w:rsidRPr="00026EC1" w:rsidRDefault="00275751" w:rsidP="00A64613">
      <w:pPr>
        <w:pStyle w:val="NUMRODECLAUSE"/>
        <w:keepNext w:val="0"/>
      </w:pPr>
      <w:r w:rsidRPr="00026EC1">
        <w:t>1</w:t>
      </w:r>
      <w:r w:rsidR="00984A6F">
        <w:noBreakHyphen/>
      </w:r>
      <w:r w:rsidRPr="00026EC1">
        <w:t>2.04</w:t>
      </w:r>
      <w:r w:rsidRPr="00026EC1">
        <w:tab/>
      </w:r>
      <w:r w:rsidR="00003AC3" w:rsidRPr="00033057">
        <w:rPr>
          <w:u w:val="single"/>
        </w:rPr>
        <w:t>Charge d</w:t>
      </w:r>
      <w:r w:rsidR="004A41E4" w:rsidRPr="00033057">
        <w:rPr>
          <w:u w:val="single"/>
        </w:rPr>
        <w:t>’</w:t>
      </w:r>
      <w:r w:rsidR="00003AC3" w:rsidRPr="00033057">
        <w:rPr>
          <w:u w:val="single"/>
        </w:rPr>
        <w:t>enseignement à pourvoi</w:t>
      </w:r>
      <w:r w:rsidR="00003AC3" w:rsidRPr="003A3B74">
        <w:rPr>
          <w:u w:val="single"/>
        </w:rPr>
        <w:t>r</w:t>
      </w:r>
      <w:r w:rsidR="00D8581B">
        <w:t> :</w:t>
      </w:r>
    </w:p>
    <w:p w14:paraId="3E36FAA4" w14:textId="77777777" w:rsidR="00003AC3" w:rsidRPr="00026EC1" w:rsidRDefault="00003AC3" w:rsidP="00A64613">
      <w:pPr>
        <w:keepNext w:val="0"/>
      </w:pPr>
      <w:r w:rsidRPr="00026EC1">
        <w:t>Charge d</w:t>
      </w:r>
      <w:r w:rsidR="004A41E4" w:rsidRPr="00026EC1">
        <w:t>’</w:t>
      </w:r>
      <w:r w:rsidRPr="00026EC1">
        <w:t>enseignement créée conformément à la convention collective ou laissée vacante par le départ, le congé ou la libération d</w:t>
      </w:r>
      <w:r w:rsidR="004A41E4" w:rsidRPr="00026EC1">
        <w:t>’</w:t>
      </w:r>
      <w:r w:rsidRPr="00026EC1">
        <w:t>une enseignante ou d</w:t>
      </w:r>
      <w:r w:rsidR="004A41E4" w:rsidRPr="00026EC1">
        <w:t>’</w:t>
      </w:r>
      <w:r w:rsidRPr="00026EC1">
        <w:t>un enseignant.</w:t>
      </w:r>
    </w:p>
    <w:p w14:paraId="5E3A3839" w14:textId="77777777" w:rsidR="00003AC3" w:rsidRPr="00026EC1" w:rsidRDefault="00003AC3" w:rsidP="00A64613">
      <w:pPr>
        <w:keepNext w:val="0"/>
      </w:pPr>
    </w:p>
    <w:p w14:paraId="7A8BC9F4" w14:textId="6B30171C" w:rsidR="00003AC3" w:rsidRPr="00026EC1" w:rsidRDefault="00275751" w:rsidP="00A64613">
      <w:pPr>
        <w:pStyle w:val="NUMRODECLAUSE"/>
        <w:keepNext w:val="0"/>
      </w:pPr>
      <w:r w:rsidRPr="00026EC1">
        <w:t>1</w:t>
      </w:r>
      <w:r w:rsidR="00984A6F">
        <w:noBreakHyphen/>
      </w:r>
      <w:r w:rsidRPr="00026EC1">
        <w:t>2.05</w:t>
      </w:r>
      <w:r w:rsidRPr="00026EC1">
        <w:tab/>
      </w:r>
      <w:r w:rsidR="00003AC3" w:rsidRPr="00026EC1">
        <w:rPr>
          <w:u w:val="single"/>
        </w:rPr>
        <w:t>Collège</w:t>
      </w:r>
      <w:r w:rsidR="00D8581B">
        <w:t> :</w:t>
      </w:r>
    </w:p>
    <w:p w14:paraId="5FCFA161" w14:textId="77777777" w:rsidR="00003AC3" w:rsidRPr="00026EC1" w:rsidRDefault="00003AC3" w:rsidP="00A64613">
      <w:pPr>
        <w:keepNext w:val="0"/>
      </w:pPr>
      <w:r w:rsidRPr="00026EC1">
        <w:t>Le Collège d</w:t>
      </w:r>
      <w:r w:rsidR="004A41E4" w:rsidRPr="00026EC1">
        <w:t>’</w:t>
      </w:r>
      <w:r w:rsidRPr="00026EC1">
        <w:t xml:space="preserve">enseignement général et professionnel _____________________ institué en vertu de la </w:t>
      </w:r>
      <w:r w:rsidRPr="00026EC1">
        <w:rPr>
          <w:iCs/>
        </w:rPr>
        <w:t>Loi sur les collèges d</w:t>
      </w:r>
      <w:r w:rsidR="004A41E4" w:rsidRPr="00026EC1">
        <w:rPr>
          <w:iCs/>
        </w:rPr>
        <w:t>’</w:t>
      </w:r>
      <w:r w:rsidRPr="00026EC1">
        <w:rPr>
          <w:iCs/>
        </w:rPr>
        <w:t>enseignement général et professionnel</w:t>
      </w:r>
      <w:r w:rsidRPr="00026EC1">
        <w:t xml:space="preserve"> et ayant son siège social à______________________________.</w:t>
      </w:r>
    </w:p>
    <w:p w14:paraId="3B6EFD4D" w14:textId="77777777" w:rsidR="00003AC3" w:rsidRPr="00026EC1" w:rsidRDefault="00003AC3" w:rsidP="00A64613">
      <w:pPr>
        <w:keepNext w:val="0"/>
      </w:pPr>
    </w:p>
    <w:p w14:paraId="2BF83E80" w14:textId="4CF9F649" w:rsidR="00003AC3" w:rsidRPr="00026EC1" w:rsidRDefault="00275751" w:rsidP="00A64613">
      <w:pPr>
        <w:pStyle w:val="NUMRODECLAUSE"/>
        <w:keepNext w:val="0"/>
      </w:pPr>
      <w:r w:rsidRPr="00026EC1">
        <w:t>1</w:t>
      </w:r>
      <w:r w:rsidR="00984A6F">
        <w:noBreakHyphen/>
      </w:r>
      <w:r w:rsidRPr="00026EC1">
        <w:t>2.06</w:t>
      </w:r>
      <w:r w:rsidRPr="00026EC1">
        <w:tab/>
      </w:r>
      <w:r w:rsidR="00003AC3" w:rsidRPr="003A3B74">
        <w:rPr>
          <w:u w:val="single"/>
        </w:rPr>
        <w:t>Conjointe ou conjoint</w:t>
      </w:r>
      <w:r w:rsidR="00D8581B">
        <w:t> :</w:t>
      </w:r>
    </w:p>
    <w:p w14:paraId="6D8291EF" w14:textId="19F73C93" w:rsidR="00003AC3" w:rsidRPr="00026EC1" w:rsidRDefault="00003AC3" w:rsidP="00A64613">
      <w:pPr>
        <w:keepNext w:val="0"/>
      </w:pPr>
      <w:r w:rsidRPr="00026EC1">
        <w:t>Les personnes qui satisfont à l</w:t>
      </w:r>
      <w:r w:rsidR="004A41E4" w:rsidRPr="00026EC1">
        <w:t>’</w:t>
      </w:r>
      <w:r w:rsidRPr="00026EC1">
        <w:t>une ou l</w:t>
      </w:r>
      <w:r w:rsidR="004A41E4" w:rsidRPr="00026EC1">
        <w:t>’</w:t>
      </w:r>
      <w:r w:rsidRPr="00026EC1">
        <w:t>autre des conditions suivantes</w:t>
      </w:r>
      <w:r w:rsidR="00D8581B">
        <w:t> :</w:t>
      </w:r>
    </w:p>
    <w:p w14:paraId="45256B12" w14:textId="77777777" w:rsidR="00003AC3" w:rsidRPr="00026EC1" w:rsidRDefault="00003AC3" w:rsidP="00A64613">
      <w:pPr>
        <w:keepNext w:val="0"/>
      </w:pPr>
    </w:p>
    <w:p w14:paraId="47896515" w14:textId="77777777" w:rsidR="00003AC3" w:rsidRPr="00026EC1" w:rsidRDefault="00275751" w:rsidP="00A64613">
      <w:pPr>
        <w:keepNext w:val="0"/>
        <w:tabs>
          <w:tab w:val="left" w:pos="567"/>
        </w:tabs>
        <w:ind w:left="567" w:hanging="567"/>
      </w:pPr>
      <w:r w:rsidRPr="00026EC1">
        <w:t>a)</w:t>
      </w:r>
      <w:r w:rsidRPr="00026EC1">
        <w:tab/>
      </w:r>
      <w:r w:rsidR="00003AC3" w:rsidRPr="00026EC1">
        <w:t>qui sont mariées et cohabitent;</w:t>
      </w:r>
    </w:p>
    <w:p w14:paraId="7CF7C4C5" w14:textId="421AFD30" w:rsidR="00003AC3" w:rsidRPr="00026EC1" w:rsidRDefault="00275751" w:rsidP="00A64613">
      <w:pPr>
        <w:keepNext w:val="0"/>
        <w:tabs>
          <w:tab w:val="left" w:pos="567"/>
        </w:tabs>
        <w:ind w:left="567" w:hanging="567"/>
      </w:pPr>
      <w:r w:rsidRPr="00026EC1">
        <w:t>b)</w:t>
      </w:r>
      <w:r w:rsidRPr="00026EC1">
        <w:tab/>
      </w:r>
      <w:r w:rsidR="00003AC3" w:rsidRPr="00026EC1">
        <w:t xml:space="preserve">de sexe différent ou de même sexe, qui vivent maritalement et </w:t>
      </w:r>
      <w:r w:rsidR="00003AC3" w:rsidRPr="005E69BD">
        <w:t xml:space="preserve">sont les </w:t>
      </w:r>
      <w:r w:rsidR="005E69BD" w:rsidRPr="009E2456">
        <w:t>parents</w:t>
      </w:r>
      <w:r w:rsidR="005E69BD">
        <w:t xml:space="preserve"> </w:t>
      </w:r>
      <w:r w:rsidR="00003AC3" w:rsidRPr="00026EC1">
        <w:t>d</w:t>
      </w:r>
      <w:r w:rsidR="004A41E4" w:rsidRPr="00026EC1">
        <w:t>’</w:t>
      </w:r>
      <w:r w:rsidR="00003AC3" w:rsidRPr="00026EC1">
        <w:t>un même enfant;</w:t>
      </w:r>
    </w:p>
    <w:p w14:paraId="4844BA38" w14:textId="77777777" w:rsidR="00003AC3" w:rsidRPr="00026EC1" w:rsidRDefault="00275751" w:rsidP="00A64613">
      <w:pPr>
        <w:keepNext w:val="0"/>
        <w:tabs>
          <w:tab w:val="left" w:pos="567"/>
        </w:tabs>
        <w:ind w:left="567" w:hanging="567"/>
      </w:pPr>
      <w:r w:rsidRPr="00026EC1">
        <w:t>c)</w:t>
      </w:r>
      <w:r w:rsidRPr="00026EC1">
        <w:tab/>
      </w:r>
      <w:r w:rsidR="00003AC3" w:rsidRPr="00026EC1">
        <w:t>de sexe différent ou de même sexe, qui vivent mari</w:t>
      </w:r>
      <w:r w:rsidR="005A629E" w:rsidRPr="00026EC1">
        <w:t>talement depuis au moins un (1) </w:t>
      </w:r>
      <w:r w:rsidR="00003AC3" w:rsidRPr="00026EC1">
        <w:t>an;</w:t>
      </w:r>
    </w:p>
    <w:p w14:paraId="0FA8CB8A" w14:textId="77777777" w:rsidR="00003AC3" w:rsidRPr="00026EC1" w:rsidRDefault="00275751" w:rsidP="00A64613">
      <w:pPr>
        <w:keepNext w:val="0"/>
        <w:tabs>
          <w:tab w:val="left" w:pos="567"/>
        </w:tabs>
        <w:ind w:left="567" w:hanging="567"/>
        <w:rPr>
          <w:bCs/>
        </w:rPr>
      </w:pPr>
      <w:r w:rsidRPr="00026EC1">
        <w:rPr>
          <w:bCs/>
        </w:rPr>
        <w:t>d)</w:t>
      </w:r>
      <w:r w:rsidRPr="00026EC1">
        <w:rPr>
          <w:bCs/>
        </w:rPr>
        <w:tab/>
      </w:r>
      <w:r w:rsidR="00003AC3" w:rsidRPr="00026EC1">
        <w:t xml:space="preserve">qui sont en union civile et cohabitent. </w:t>
      </w:r>
    </w:p>
    <w:p w14:paraId="599534C3" w14:textId="77777777" w:rsidR="00003AC3" w:rsidRPr="00026EC1" w:rsidRDefault="00003AC3" w:rsidP="00A64613">
      <w:pPr>
        <w:keepNext w:val="0"/>
      </w:pPr>
    </w:p>
    <w:p w14:paraId="4C160F8E" w14:textId="7E9B4E9A" w:rsidR="00003AC3" w:rsidRPr="00026EC1" w:rsidRDefault="00275751" w:rsidP="00A64613">
      <w:pPr>
        <w:pStyle w:val="NUMRODECLAUSE"/>
        <w:keepNext w:val="0"/>
      </w:pPr>
      <w:r w:rsidRPr="00026EC1">
        <w:t>1</w:t>
      </w:r>
      <w:r w:rsidR="00984A6F">
        <w:noBreakHyphen/>
      </w:r>
      <w:r w:rsidRPr="00026EC1">
        <w:t>2.07</w:t>
      </w:r>
      <w:r w:rsidRPr="00026EC1">
        <w:tab/>
      </w:r>
      <w:r w:rsidR="00003AC3" w:rsidRPr="00026EC1">
        <w:rPr>
          <w:u w:val="single"/>
        </w:rPr>
        <w:t>Discipline</w:t>
      </w:r>
      <w:r w:rsidR="00D8581B">
        <w:t> :</w:t>
      </w:r>
    </w:p>
    <w:p w14:paraId="055F97F3" w14:textId="1214035B" w:rsidR="00003AC3" w:rsidRPr="00026EC1" w:rsidRDefault="00003AC3" w:rsidP="00A64613">
      <w:pPr>
        <w:keepNext w:val="0"/>
      </w:pPr>
      <w:r w:rsidRPr="00026EC1">
        <w:t>Domaine du savoir dont le sujet est identifié par une liste reproduite à l</w:t>
      </w:r>
      <w:r w:rsidR="004A41E4" w:rsidRPr="00026EC1">
        <w:t>’</w:t>
      </w:r>
      <w:r w:rsidR="00CD0C84" w:rsidRPr="00026EC1">
        <w:t>A</w:t>
      </w:r>
      <w:r w:rsidRPr="00026EC1">
        <w:t>nnexe I</w:t>
      </w:r>
      <w:r w:rsidR="00984A6F">
        <w:noBreakHyphen/>
      </w:r>
      <w:r w:rsidRPr="00026EC1">
        <w:t>3.</w:t>
      </w:r>
    </w:p>
    <w:p w14:paraId="3F550531" w14:textId="77777777" w:rsidR="00003AC3" w:rsidRPr="00026EC1" w:rsidRDefault="00003AC3" w:rsidP="00A64613">
      <w:pPr>
        <w:keepNext w:val="0"/>
      </w:pPr>
    </w:p>
    <w:p w14:paraId="3BB50051" w14:textId="10419F82" w:rsidR="00003AC3" w:rsidRPr="00026EC1" w:rsidRDefault="00275751" w:rsidP="00A64613">
      <w:pPr>
        <w:pStyle w:val="NUMRODECLAUSE"/>
        <w:keepNext w:val="0"/>
      </w:pPr>
      <w:r w:rsidRPr="00026EC1">
        <w:t>1</w:t>
      </w:r>
      <w:r w:rsidR="00984A6F">
        <w:noBreakHyphen/>
      </w:r>
      <w:r w:rsidRPr="00026EC1">
        <w:t>2.08</w:t>
      </w:r>
      <w:r w:rsidRPr="00026EC1">
        <w:tab/>
      </w:r>
      <w:r w:rsidR="00003AC3" w:rsidRPr="003A3B74">
        <w:rPr>
          <w:u w:val="single"/>
        </w:rPr>
        <w:t>Disposition</w:t>
      </w:r>
      <w:r w:rsidR="00D8581B">
        <w:t> :</w:t>
      </w:r>
    </w:p>
    <w:p w14:paraId="29DA0343" w14:textId="77777777" w:rsidR="00003AC3" w:rsidRPr="00026EC1" w:rsidRDefault="00003AC3" w:rsidP="00A64613">
      <w:pPr>
        <w:keepNext w:val="0"/>
      </w:pPr>
      <w:r w:rsidRPr="00026EC1">
        <w:t>Article, clause ou partie de clause de la convention collective, selon le cas.</w:t>
      </w:r>
    </w:p>
    <w:p w14:paraId="382BE31F" w14:textId="77777777" w:rsidR="00271EF7" w:rsidRDefault="00271EF7" w:rsidP="00A64613">
      <w:pPr>
        <w:keepNext w:val="0"/>
        <w:sectPr w:rsidR="00271EF7" w:rsidSect="003D57C4">
          <w:headerReference w:type="default" r:id="rId18"/>
          <w:footerReference w:type="default" r:id="rId19"/>
          <w:footnotePr>
            <w:numRestart w:val="eachPage"/>
          </w:footnotePr>
          <w:pgSz w:w="12240" w:h="15840" w:code="1"/>
          <w:pgMar w:top="720" w:right="1077" w:bottom="1242" w:left="1684" w:header="709" w:footer="709" w:gutter="0"/>
          <w:cols w:space="708"/>
          <w:docGrid w:linePitch="360"/>
        </w:sectPr>
      </w:pPr>
    </w:p>
    <w:p w14:paraId="61B4B284" w14:textId="12A6C2CD" w:rsidR="00003AC3" w:rsidRPr="00026EC1" w:rsidRDefault="00275751" w:rsidP="00A64613">
      <w:pPr>
        <w:pStyle w:val="NUMRODECLAUSE"/>
        <w:keepNext w:val="0"/>
      </w:pPr>
      <w:r w:rsidRPr="00026EC1">
        <w:t>1</w:t>
      </w:r>
      <w:r w:rsidR="00984A6F">
        <w:noBreakHyphen/>
      </w:r>
      <w:r w:rsidRPr="00026EC1">
        <w:t>2.09</w:t>
      </w:r>
      <w:r w:rsidRPr="00026EC1">
        <w:tab/>
      </w:r>
      <w:r w:rsidR="00003AC3" w:rsidRPr="003A3B74">
        <w:rPr>
          <w:u w:val="single"/>
        </w:rPr>
        <w:t>Enfant à charge</w:t>
      </w:r>
      <w:r w:rsidR="00D8581B">
        <w:t> :</w:t>
      </w:r>
    </w:p>
    <w:p w14:paraId="6C315E26" w14:textId="652C3E4F" w:rsidR="00003AC3" w:rsidRPr="00026EC1" w:rsidRDefault="00003AC3" w:rsidP="00A64613">
      <w:pPr>
        <w:keepNext w:val="0"/>
      </w:pPr>
      <w:r w:rsidRPr="00026EC1">
        <w:t>Un enfant de l</w:t>
      </w:r>
      <w:r w:rsidR="004A41E4" w:rsidRPr="00026EC1">
        <w:t>’</w:t>
      </w:r>
      <w:r w:rsidRPr="00026EC1">
        <w:t>enseignante ou de l</w:t>
      </w:r>
      <w:r w:rsidR="004A41E4" w:rsidRPr="00026EC1">
        <w:t>’</w:t>
      </w:r>
      <w:r w:rsidRPr="00026EC1">
        <w:t>enseignant, de sa conjointe ou de son conjoint ou des deux, y compris un enfant pour lequel des procédures d</w:t>
      </w:r>
      <w:r w:rsidR="004A41E4" w:rsidRPr="00026EC1">
        <w:t>’</w:t>
      </w:r>
      <w:r w:rsidRPr="00026EC1">
        <w:t>adoption sont entreprises, non marié et résidant ou domicilié au Canada, qui dépend de l</w:t>
      </w:r>
      <w:r w:rsidR="004A41E4" w:rsidRPr="00026EC1">
        <w:t>’</w:t>
      </w:r>
      <w:r w:rsidRPr="00026EC1">
        <w:t>enseignante ou de l</w:t>
      </w:r>
      <w:r w:rsidR="004A41E4" w:rsidRPr="00026EC1">
        <w:t>’</w:t>
      </w:r>
      <w:r w:rsidRPr="00026EC1">
        <w:t>enseignant pour son soutien et est âgé de moins de dix</w:t>
      </w:r>
      <w:r w:rsidR="00984A6F">
        <w:noBreakHyphen/>
      </w:r>
      <w:r w:rsidRPr="00026EC1">
        <w:t>huit (18) ans; ou, s</w:t>
      </w:r>
      <w:r w:rsidR="004A41E4" w:rsidRPr="00026EC1">
        <w:t>’</w:t>
      </w:r>
      <w:r w:rsidRPr="00026EC1">
        <w:t>il fréquente à temps complet à titre d</w:t>
      </w:r>
      <w:r w:rsidR="004A41E4" w:rsidRPr="00026EC1">
        <w:t>’</w:t>
      </w:r>
      <w:r w:rsidRPr="00026EC1">
        <w:t>étudiante ou d</w:t>
      </w:r>
      <w:r w:rsidR="004A41E4" w:rsidRPr="00026EC1">
        <w:t>’</w:t>
      </w:r>
      <w:r w:rsidRPr="00026EC1">
        <w:t>étudiant dûment inscrit une maison d</w:t>
      </w:r>
      <w:r w:rsidR="004A41E4" w:rsidRPr="00026EC1">
        <w:t>’</w:t>
      </w:r>
      <w:r w:rsidRPr="00026EC1">
        <w:t>enseignement reconnue, est âgé de vingt</w:t>
      </w:r>
      <w:r w:rsidR="00984A6F">
        <w:noBreakHyphen/>
      </w:r>
      <w:r w:rsidRPr="00026EC1">
        <w:t>cinq (25) ans ou moins, ou quel que soit son âge, un enfant qui a été frappé d</w:t>
      </w:r>
      <w:r w:rsidR="004A41E4" w:rsidRPr="00026EC1">
        <w:t>’</w:t>
      </w:r>
      <w:r w:rsidRPr="00026EC1">
        <w:t>invalidité totale avant son dix</w:t>
      </w:r>
      <w:r w:rsidR="00984A6F">
        <w:noBreakHyphen/>
      </w:r>
      <w:r w:rsidR="005A629E" w:rsidRPr="00026EC1">
        <w:t xml:space="preserve">huitième </w:t>
      </w:r>
      <w:r w:rsidRPr="00026EC1">
        <w:t>(18</w:t>
      </w:r>
      <w:r w:rsidRPr="00026EC1">
        <w:rPr>
          <w:vertAlign w:val="superscript"/>
        </w:rPr>
        <w:t>e</w:t>
      </w:r>
      <w:r w:rsidR="005A629E" w:rsidRPr="00026EC1">
        <w:t>) </w:t>
      </w:r>
      <w:r w:rsidRPr="00026EC1">
        <w:t>anniversaire de naissance ou son vingt</w:t>
      </w:r>
      <w:r w:rsidR="00984A6F">
        <w:noBreakHyphen/>
      </w:r>
      <w:r w:rsidRPr="00026EC1">
        <w:t>cinquième (25</w:t>
      </w:r>
      <w:r w:rsidRPr="00026EC1">
        <w:rPr>
          <w:vertAlign w:val="superscript"/>
        </w:rPr>
        <w:t>e</w:t>
      </w:r>
      <w:r w:rsidR="005A629E" w:rsidRPr="00026EC1">
        <w:t>) </w:t>
      </w:r>
      <w:r w:rsidRPr="00026EC1">
        <w:t>anniversaire de naissance s</w:t>
      </w:r>
      <w:r w:rsidR="004A41E4" w:rsidRPr="00026EC1">
        <w:t>’</w:t>
      </w:r>
      <w:r w:rsidRPr="00026EC1">
        <w:t>il fréquentait une maison d</w:t>
      </w:r>
      <w:r w:rsidR="004A41E4" w:rsidRPr="00026EC1">
        <w:t>’</w:t>
      </w:r>
      <w:r w:rsidRPr="00026EC1">
        <w:t>enseignement reconnue, et demeure continuellement invalide depuis cette date.</w:t>
      </w:r>
    </w:p>
    <w:p w14:paraId="3CF5BCBC" w14:textId="77777777" w:rsidR="00003AC3" w:rsidRPr="00026EC1" w:rsidRDefault="00003AC3" w:rsidP="00A64613">
      <w:pPr>
        <w:keepNext w:val="0"/>
      </w:pPr>
    </w:p>
    <w:p w14:paraId="3A56458C" w14:textId="7AFB03F0" w:rsidR="00003AC3" w:rsidRPr="00026EC1" w:rsidRDefault="00275751" w:rsidP="00A64613">
      <w:pPr>
        <w:pStyle w:val="NUMRODECLAUSE"/>
        <w:keepNext w:val="0"/>
      </w:pPr>
      <w:r w:rsidRPr="00026EC1">
        <w:t>1</w:t>
      </w:r>
      <w:r w:rsidR="00984A6F">
        <w:noBreakHyphen/>
      </w:r>
      <w:r w:rsidRPr="00026EC1">
        <w:t>2.10</w:t>
      </w:r>
      <w:r w:rsidRPr="00026EC1">
        <w:tab/>
      </w:r>
      <w:r w:rsidR="00003AC3" w:rsidRPr="003A3B74">
        <w:rPr>
          <w:u w:val="single"/>
        </w:rPr>
        <w:t>Enseignante ou enseignant</w:t>
      </w:r>
      <w:r w:rsidR="00D8581B">
        <w:t> :</w:t>
      </w:r>
    </w:p>
    <w:p w14:paraId="1AB6F01E" w14:textId="77777777" w:rsidR="00003AC3" w:rsidRPr="00026EC1" w:rsidRDefault="00003AC3" w:rsidP="00A64613">
      <w:pPr>
        <w:keepNext w:val="0"/>
      </w:pPr>
      <w:r w:rsidRPr="00026EC1">
        <w:t>Personne engagée par le Collège pour y donner de l</w:t>
      </w:r>
      <w:r w:rsidR="004A41E4" w:rsidRPr="00026EC1">
        <w:t>’</w:t>
      </w:r>
      <w:r w:rsidRPr="00026EC1">
        <w:t>enseignement.</w:t>
      </w:r>
    </w:p>
    <w:p w14:paraId="772663B8" w14:textId="77777777" w:rsidR="00003AC3" w:rsidRPr="00026EC1" w:rsidRDefault="00003AC3" w:rsidP="00A64613">
      <w:pPr>
        <w:keepNext w:val="0"/>
      </w:pPr>
    </w:p>
    <w:p w14:paraId="16CC8C39" w14:textId="5B0784AA" w:rsidR="00003AC3" w:rsidRPr="00026EC1" w:rsidRDefault="00275751" w:rsidP="00A64613">
      <w:pPr>
        <w:pStyle w:val="NUMRODECLAUSE"/>
        <w:keepNext w:val="0"/>
      </w:pPr>
      <w:r w:rsidRPr="00026EC1">
        <w:t>1</w:t>
      </w:r>
      <w:r w:rsidR="00984A6F">
        <w:noBreakHyphen/>
      </w:r>
      <w:r w:rsidRPr="00026EC1">
        <w:t>2.11</w:t>
      </w:r>
      <w:r w:rsidRPr="00026EC1">
        <w:tab/>
      </w:r>
      <w:r w:rsidR="00003AC3" w:rsidRPr="003A3B74">
        <w:rPr>
          <w:u w:val="single"/>
        </w:rPr>
        <w:t>Enseignante ou enseignant chargé de cours</w:t>
      </w:r>
      <w:r w:rsidR="00D8581B">
        <w:t> :</w:t>
      </w:r>
    </w:p>
    <w:p w14:paraId="402C1C48" w14:textId="206FF301" w:rsidR="00003AC3" w:rsidRPr="00026EC1" w:rsidRDefault="00003AC3" w:rsidP="00A64613">
      <w:pPr>
        <w:keepNext w:val="0"/>
      </w:pPr>
      <w:r w:rsidRPr="00026EC1">
        <w:t xml:space="preserve">Enseignante ou enseignant engagé à ce titre par le Collège et qui fournit, en plus </w:t>
      </w:r>
      <w:r w:rsidRPr="009E2456">
        <w:t xml:space="preserve">de </w:t>
      </w:r>
      <w:r w:rsidR="009F1FD3" w:rsidRPr="009E2456">
        <w:t xml:space="preserve">ses activités nécessaires </w:t>
      </w:r>
      <w:r w:rsidR="005C4EFB" w:rsidRPr="009E2456">
        <w:t xml:space="preserve">à la préparation et </w:t>
      </w:r>
      <w:r w:rsidRPr="009E2456">
        <w:t>prestation de cours, la correction</w:t>
      </w:r>
      <w:r w:rsidR="0058099F" w:rsidRPr="009E2456">
        <w:t>, l’encadrement</w:t>
      </w:r>
      <w:r w:rsidR="005A0784" w:rsidRPr="009E2456">
        <w:t xml:space="preserve"> de ses étudiantes et étudiants</w:t>
      </w:r>
      <w:r w:rsidRPr="009E2456">
        <w:t xml:space="preserve"> et la surveillance des examens et des travaux dans</w:t>
      </w:r>
      <w:r w:rsidRPr="00026EC1">
        <w:t xml:space="preserve"> la discipline enseignée.</w:t>
      </w:r>
    </w:p>
    <w:p w14:paraId="7745CB1F" w14:textId="77777777" w:rsidR="00003AC3" w:rsidRPr="00026EC1" w:rsidRDefault="00003AC3" w:rsidP="00A64613">
      <w:pPr>
        <w:keepNext w:val="0"/>
      </w:pPr>
    </w:p>
    <w:p w14:paraId="4B8E63B7" w14:textId="2B1E1A59" w:rsidR="00003AC3" w:rsidRPr="00026EC1" w:rsidRDefault="00275751" w:rsidP="00A64613">
      <w:pPr>
        <w:pStyle w:val="NUMRODECLAUSE"/>
        <w:keepNext w:val="0"/>
      </w:pPr>
      <w:r w:rsidRPr="00026EC1">
        <w:t>1</w:t>
      </w:r>
      <w:r w:rsidR="00984A6F">
        <w:noBreakHyphen/>
      </w:r>
      <w:r w:rsidRPr="00026EC1">
        <w:t>2.12</w:t>
      </w:r>
      <w:r w:rsidRPr="00026EC1">
        <w:tab/>
      </w:r>
      <w:r w:rsidR="00003AC3" w:rsidRPr="003A3B74">
        <w:rPr>
          <w:u w:val="single"/>
        </w:rPr>
        <w:t>Enseignante ou enseignant à la formation continue</w:t>
      </w:r>
      <w:r w:rsidR="00D8581B">
        <w:t> :</w:t>
      </w:r>
    </w:p>
    <w:p w14:paraId="30943C46" w14:textId="4F40B287" w:rsidR="00003AC3" w:rsidRPr="00026EC1" w:rsidRDefault="00003AC3" w:rsidP="00A64613">
      <w:pPr>
        <w:keepNext w:val="0"/>
      </w:pPr>
      <w:r w:rsidRPr="00026EC1">
        <w:t>Sous réserve de la clause 8</w:t>
      </w:r>
      <w:r w:rsidR="00984A6F">
        <w:noBreakHyphen/>
      </w:r>
      <w:r w:rsidRPr="00026EC1">
        <w:t>7.07, enseignante ou enseignant chargé de cours engagé par le Collège pour y dispenser l</w:t>
      </w:r>
      <w:r w:rsidR="004A41E4" w:rsidRPr="00026EC1">
        <w:t>’</w:t>
      </w:r>
      <w:r w:rsidRPr="00026EC1">
        <w:t>enseignement de cours publiés dans les Cahiers de l</w:t>
      </w:r>
      <w:r w:rsidR="004A41E4" w:rsidRPr="00026EC1">
        <w:t>’</w:t>
      </w:r>
      <w:r w:rsidRPr="00026EC1">
        <w:t>enseignement collégial, de cours conduisant à l</w:t>
      </w:r>
      <w:r w:rsidR="004A41E4" w:rsidRPr="00026EC1">
        <w:t>’</w:t>
      </w:r>
      <w:r w:rsidRPr="00026EC1">
        <w:t>obtention d</w:t>
      </w:r>
      <w:r w:rsidR="004A41E4" w:rsidRPr="00026EC1">
        <w:t>’</w:t>
      </w:r>
      <w:r w:rsidRPr="00026EC1">
        <w:t>un diplôme d</w:t>
      </w:r>
      <w:r w:rsidR="004A41E4" w:rsidRPr="00026EC1">
        <w:t>’</w:t>
      </w:r>
      <w:r w:rsidRPr="00026EC1">
        <w:t>études collégiales (DEC) ou à l</w:t>
      </w:r>
      <w:r w:rsidR="004A41E4" w:rsidRPr="00026EC1">
        <w:t>’</w:t>
      </w:r>
      <w:r w:rsidRPr="00026EC1">
        <w:t>obtention d</w:t>
      </w:r>
      <w:r w:rsidR="004A41E4" w:rsidRPr="00026EC1">
        <w:t>’</w:t>
      </w:r>
      <w:r w:rsidRPr="00026EC1">
        <w:t>une attestation d</w:t>
      </w:r>
      <w:r w:rsidR="004A41E4" w:rsidRPr="00026EC1">
        <w:t>’</w:t>
      </w:r>
      <w:r w:rsidRPr="00026EC1">
        <w:t>études collégiales (AEC), de cours faisant partie d</w:t>
      </w:r>
      <w:r w:rsidR="004A41E4" w:rsidRPr="00026EC1">
        <w:t>’</w:t>
      </w:r>
      <w:r w:rsidRPr="00026EC1">
        <w:t xml:space="preserve">un module de formation reconnue par la ou le </w:t>
      </w:r>
      <w:r w:rsidR="00CD0C84" w:rsidRPr="00026EC1">
        <w:t>M</w:t>
      </w:r>
      <w:r w:rsidRPr="00026EC1">
        <w:t>inistre, ou d</w:t>
      </w:r>
      <w:r w:rsidR="004A41E4" w:rsidRPr="00026EC1">
        <w:t>’</w:t>
      </w:r>
      <w:r w:rsidRPr="00026EC1">
        <w:t>activités de mise à niveau dont le nombre d</w:t>
      </w:r>
      <w:r w:rsidR="004A41E4" w:rsidRPr="00026EC1">
        <w:t>’</w:t>
      </w:r>
      <w:r w:rsidRPr="00026EC1">
        <w:t xml:space="preserve">unités est déterminé par la ou le </w:t>
      </w:r>
      <w:r w:rsidR="00CD0C84" w:rsidRPr="00026EC1">
        <w:t>M</w:t>
      </w:r>
      <w:r w:rsidRPr="00026EC1">
        <w:t>inistre et ce, pour les cours offerts aux élèves inscrits à la formation continue.</w:t>
      </w:r>
    </w:p>
    <w:p w14:paraId="41D90646" w14:textId="77777777" w:rsidR="00003AC3" w:rsidRPr="00026EC1" w:rsidRDefault="00003AC3" w:rsidP="00A64613">
      <w:pPr>
        <w:keepNext w:val="0"/>
      </w:pPr>
    </w:p>
    <w:p w14:paraId="3DD271CA" w14:textId="2C57BF25" w:rsidR="00003AC3" w:rsidRPr="00026EC1" w:rsidRDefault="00275751" w:rsidP="00A64613">
      <w:pPr>
        <w:pStyle w:val="NUMRODECLAUSE"/>
        <w:keepNext w:val="0"/>
      </w:pPr>
      <w:r w:rsidRPr="00026EC1">
        <w:t>1</w:t>
      </w:r>
      <w:r w:rsidR="00984A6F">
        <w:noBreakHyphen/>
      </w:r>
      <w:r w:rsidRPr="00026EC1">
        <w:t>2.13</w:t>
      </w:r>
      <w:r w:rsidRPr="00026EC1">
        <w:tab/>
      </w:r>
      <w:r w:rsidR="00003AC3" w:rsidRPr="003A3B74">
        <w:rPr>
          <w:u w:val="single"/>
        </w:rPr>
        <w:t>Enseignante ou enseignant régulier</w:t>
      </w:r>
      <w:r w:rsidR="00D8581B">
        <w:t> :</w:t>
      </w:r>
    </w:p>
    <w:p w14:paraId="4D641B5D" w14:textId="77777777" w:rsidR="00003AC3" w:rsidRPr="00026EC1" w:rsidRDefault="00003AC3" w:rsidP="00A64613">
      <w:pPr>
        <w:keepNext w:val="0"/>
      </w:pPr>
      <w:r w:rsidRPr="00026EC1">
        <w:t>Enseignante ou enseignant engagé par le Collège pour y donner de l</w:t>
      </w:r>
      <w:r w:rsidR="004A41E4" w:rsidRPr="00026EC1">
        <w:t>’</w:t>
      </w:r>
      <w:r w:rsidRPr="00026EC1">
        <w:t>enseignement régulier.</w:t>
      </w:r>
    </w:p>
    <w:p w14:paraId="147A957B" w14:textId="77777777" w:rsidR="00003AC3" w:rsidRPr="00026EC1" w:rsidRDefault="00003AC3" w:rsidP="00A64613">
      <w:pPr>
        <w:keepNext w:val="0"/>
      </w:pPr>
    </w:p>
    <w:p w14:paraId="3DC5493B" w14:textId="41036723" w:rsidR="00003AC3" w:rsidRPr="00026EC1" w:rsidRDefault="00275751" w:rsidP="00A64613">
      <w:pPr>
        <w:pStyle w:val="NUMRODECLAUSE"/>
        <w:keepNext w:val="0"/>
      </w:pPr>
      <w:r w:rsidRPr="00026EC1">
        <w:t>1</w:t>
      </w:r>
      <w:r w:rsidR="00984A6F">
        <w:noBreakHyphen/>
      </w:r>
      <w:r w:rsidRPr="00026EC1">
        <w:t>2.14</w:t>
      </w:r>
      <w:r w:rsidRPr="00026EC1">
        <w:tab/>
      </w:r>
      <w:r w:rsidR="00003AC3" w:rsidRPr="003A3B74">
        <w:rPr>
          <w:u w:val="single"/>
        </w:rPr>
        <w:t>Enseignante ou enseignant remplaçant</w:t>
      </w:r>
      <w:r w:rsidR="00D8581B">
        <w:t> :</w:t>
      </w:r>
    </w:p>
    <w:p w14:paraId="54972317" w14:textId="77777777" w:rsidR="00003AC3" w:rsidRPr="00026EC1" w:rsidRDefault="00003AC3" w:rsidP="00A64613">
      <w:pPr>
        <w:keepNext w:val="0"/>
      </w:pPr>
      <w:r w:rsidRPr="00026EC1">
        <w:t>Enseignante ou enseignant à temps complet dont une partie de la charge annuelle est constituée de remplacement d</w:t>
      </w:r>
      <w:r w:rsidR="004A41E4" w:rsidRPr="00026EC1">
        <w:t>’</w:t>
      </w:r>
      <w:r w:rsidRPr="00026EC1">
        <w:t>une enseignante ou d</w:t>
      </w:r>
      <w:r w:rsidR="004A41E4" w:rsidRPr="00026EC1">
        <w:t>’</w:t>
      </w:r>
      <w:r w:rsidRPr="00026EC1">
        <w:t>un enseignant ou de plusieurs enseignantes ou enseignants bénéficiant d</w:t>
      </w:r>
      <w:r w:rsidR="004A41E4" w:rsidRPr="00026EC1">
        <w:t>’</w:t>
      </w:r>
      <w:r w:rsidRPr="00026EC1">
        <w:t>un congé ou d</w:t>
      </w:r>
      <w:r w:rsidR="004A41E4" w:rsidRPr="00026EC1">
        <w:t>’</w:t>
      </w:r>
      <w:r w:rsidRPr="00026EC1">
        <w:t>une libération avec ou sans salaire.</w:t>
      </w:r>
    </w:p>
    <w:p w14:paraId="452A0E35" w14:textId="77777777" w:rsidR="00003AC3" w:rsidRPr="00026EC1" w:rsidRDefault="00003AC3" w:rsidP="00A64613">
      <w:pPr>
        <w:keepNext w:val="0"/>
      </w:pPr>
    </w:p>
    <w:p w14:paraId="796FF3D2" w14:textId="05D6A8F7" w:rsidR="00003AC3" w:rsidRPr="00026EC1" w:rsidRDefault="00275751" w:rsidP="00A64613">
      <w:pPr>
        <w:pStyle w:val="NUMRODECLAUSE"/>
        <w:keepNext w:val="0"/>
      </w:pPr>
      <w:r w:rsidRPr="00026EC1">
        <w:t>1</w:t>
      </w:r>
      <w:r w:rsidR="00984A6F">
        <w:noBreakHyphen/>
      </w:r>
      <w:r w:rsidRPr="00026EC1">
        <w:t>2.15</w:t>
      </w:r>
      <w:r w:rsidRPr="00026EC1">
        <w:tab/>
      </w:r>
      <w:r w:rsidR="00003AC3" w:rsidRPr="003A3B74">
        <w:rPr>
          <w:u w:val="single"/>
        </w:rPr>
        <w:t>Enseignante ou enseignant à temps complet</w:t>
      </w:r>
      <w:r w:rsidR="00D8581B">
        <w:t> :</w:t>
      </w:r>
    </w:p>
    <w:p w14:paraId="56E9C70F" w14:textId="4208E6A5" w:rsidR="00003AC3" w:rsidRPr="00026EC1" w:rsidRDefault="00003AC3" w:rsidP="00A64613">
      <w:pPr>
        <w:keepNext w:val="0"/>
      </w:pPr>
      <w:r w:rsidRPr="00026EC1">
        <w:t>Enseignante ou enseignant engagé à ce titre par le Collège par un contrat d</w:t>
      </w:r>
      <w:r w:rsidR="004A41E4" w:rsidRPr="00026EC1">
        <w:t>’</w:t>
      </w:r>
      <w:r w:rsidRPr="00026EC1">
        <w:t>engagement de douze (12) mois pour assumer une charge complète à l</w:t>
      </w:r>
      <w:r w:rsidR="004A41E4" w:rsidRPr="00026EC1">
        <w:t>’</w:t>
      </w:r>
      <w:r w:rsidRPr="00026EC1">
        <w:t>enseignement régulier ou pour combler une charge à temps complet à la formation continue, conformément à la convention collective. Toutefois, l</w:t>
      </w:r>
      <w:r w:rsidR="004A41E4" w:rsidRPr="00026EC1">
        <w:t>’</w:t>
      </w:r>
      <w:r w:rsidRPr="00026EC1">
        <w:t>enseignante ou l</w:t>
      </w:r>
      <w:r w:rsidR="004A41E4" w:rsidRPr="00026EC1">
        <w:t>’</w:t>
      </w:r>
      <w:r w:rsidRPr="00026EC1">
        <w:t>enseignant engagé avant le 1</w:t>
      </w:r>
      <w:r w:rsidRPr="00026EC1">
        <w:rPr>
          <w:vertAlign w:val="superscript"/>
        </w:rPr>
        <w:t>er</w:t>
      </w:r>
      <w:r w:rsidRPr="00026EC1">
        <w:t> octobre pour assumer une charge complète d</w:t>
      </w:r>
      <w:r w:rsidR="004A41E4" w:rsidRPr="00026EC1">
        <w:t>’</w:t>
      </w:r>
      <w:r w:rsidRPr="00026EC1">
        <w:t>enseignement à l</w:t>
      </w:r>
      <w:r w:rsidR="004A41E4" w:rsidRPr="00026EC1">
        <w:t>’</w:t>
      </w:r>
      <w:r w:rsidRPr="00026EC1">
        <w:t>enseignement régulier détient un contrat à temps complet, sauf pour le salaire. De plus, l</w:t>
      </w:r>
      <w:r w:rsidR="004A41E4" w:rsidRPr="00026EC1">
        <w:t>’</w:t>
      </w:r>
      <w:r w:rsidRPr="00026EC1">
        <w:t>enseignante ou l</w:t>
      </w:r>
      <w:r w:rsidR="004A41E4" w:rsidRPr="00026EC1">
        <w:t>’</w:t>
      </w:r>
      <w:r w:rsidRPr="00026EC1">
        <w:t>enseignant visé par l</w:t>
      </w:r>
      <w:r w:rsidR="004A41E4" w:rsidRPr="00026EC1">
        <w:t>’</w:t>
      </w:r>
      <w:r w:rsidRPr="00026EC1">
        <w:t>alinéa b), c) ou d) de la clause 5</w:t>
      </w:r>
      <w:r w:rsidR="00984A6F">
        <w:noBreakHyphen/>
      </w:r>
      <w:r w:rsidRPr="00026EC1">
        <w:t>1.03 détient un contrat à temps complet.</w:t>
      </w:r>
    </w:p>
    <w:p w14:paraId="7C85B3C2" w14:textId="11621C57" w:rsidR="00003AC3" w:rsidRPr="00026EC1" w:rsidRDefault="00275751" w:rsidP="00A64613">
      <w:pPr>
        <w:pStyle w:val="NUMRODECLAUSE"/>
        <w:keepNext w:val="0"/>
      </w:pPr>
      <w:r w:rsidRPr="00026EC1">
        <w:t>1</w:t>
      </w:r>
      <w:r w:rsidR="00984A6F">
        <w:noBreakHyphen/>
      </w:r>
      <w:r w:rsidRPr="00026EC1">
        <w:t>2.16</w:t>
      </w:r>
      <w:r w:rsidRPr="00026EC1">
        <w:tab/>
      </w:r>
      <w:r w:rsidR="00003AC3" w:rsidRPr="003A3B74">
        <w:rPr>
          <w:u w:val="single"/>
        </w:rPr>
        <w:t>Enseignante ou enseignant à temps partiel</w:t>
      </w:r>
      <w:r w:rsidR="00D8581B">
        <w:t> :</w:t>
      </w:r>
    </w:p>
    <w:p w14:paraId="304E0D8B" w14:textId="3D59C5BE" w:rsidR="00003AC3" w:rsidRPr="00026EC1" w:rsidRDefault="00003AC3" w:rsidP="00A64613">
      <w:pPr>
        <w:keepNext w:val="0"/>
      </w:pPr>
      <w:r w:rsidRPr="00026EC1">
        <w:t>Sous réserve de la clause 1</w:t>
      </w:r>
      <w:r w:rsidR="00984A6F">
        <w:noBreakHyphen/>
      </w:r>
      <w:r w:rsidRPr="00026EC1">
        <w:t>2.15</w:t>
      </w:r>
      <w:r w:rsidR="00D8581B">
        <w:t> :</w:t>
      </w:r>
    </w:p>
    <w:p w14:paraId="3D6A4EE9" w14:textId="77777777" w:rsidR="00003AC3" w:rsidRPr="00026EC1" w:rsidRDefault="00003AC3" w:rsidP="00A64613">
      <w:pPr>
        <w:keepNext w:val="0"/>
      </w:pPr>
    </w:p>
    <w:p w14:paraId="32620A13" w14:textId="07523215" w:rsidR="00003AC3" w:rsidRPr="00026EC1" w:rsidRDefault="00275751" w:rsidP="00A64613">
      <w:pPr>
        <w:keepNext w:val="0"/>
        <w:tabs>
          <w:tab w:val="left" w:pos="567"/>
        </w:tabs>
        <w:ind w:left="567" w:hanging="567"/>
      </w:pPr>
      <w:r w:rsidRPr="00026EC1">
        <w:t>a)</w:t>
      </w:r>
      <w:r w:rsidRPr="00026EC1">
        <w:tab/>
      </w:r>
      <w:r w:rsidR="00003AC3" w:rsidRPr="00026EC1">
        <w:t>enseignante ou enseignant engagé à ce titre par le Collège par un contrat de moins de douze (12) mois, mais pour une charge à l</w:t>
      </w:r>
      <w:r w:rsidR="004A41E4" w:rsidRPr="00026EC1">
        <w:t>’</w:t>
      </w:r>
      <w:r w:rsidR="00003AC3" w:rsidRPr="00026EC1">
        <w:t>enseignement régulier équivalente à celle d</w:t>
      </w:r>
      <w:r w:rsidR="004A41E4" w:rsidRPr="00026EC1">
        <w:t>’</w:t>
      </w:r>
      <w:r w:rsidR="00003AC3" w:rsidRPr="00026EC1">
        <w:t>une enseignante ou d</w:t>
      </w:r>
      <w:r w:rsidR="004A41E4" w:rsidRPr="00026EC1">
        <w:t>’</w:t>
      </w:r>
      <w:r w:rsidR="00003AC3" w:rsidRPr="00026EC1">
        <w:t>un enseignant à temps complet ou pour combler une charge à temps partiel à la formation continue conformément à la convention collective et qui assure une disponibilité conforme à la clause 8</w:t>
      </w:r>
      <w:r w:rsidR="00984A6F">
        <w:noBreakHyphen/>
      </w:r>
      <w:r w:rsidR="00003AC3" w:rsidRPr="00026EC1">
        <w:t>3.01;</w:t>
      </w:r>
    </w:p>
    <w:p w14:paraId="7629550A" w14:textId="77777777" w:rsidR="00003AC3" w:rsidRPr="00026EC1" w:rsidRDefault="00003AC3" w:rsidP="00A64613">
      <w:pPr>
        <w:keepNext w:val="0"/>
      </w:pPr>
    </w:p>
    <w:p w14:paraId="2AB04E2E" w14:textId="77777777" w:rsidR="00003AC3" w:rsidRPr="00026EC1" w:rsidRDefault="00003AC3" w:rsidP="00A64613">
      <w:pPr>
        <w:pStyle w:val="Texte1cm"/>
        <w:keepNext w:val="0"/>
      </w:pPr>
      <w:r w:rsidRPr="00026EC1">
        <w:t>ou</w:t>
      </w:r>
    </w:p>
    <w:p w14:paraId="48B403C4" w14:textId="77777777" w:rsidR="00003AC3" w:rsidRPr="00026EC1" w:rsidRDefault="00003AC3" w:rsidP="00A64613">
      <w:pPr>
        <w:keepNext w:val="0"/>
      </w:pPr>
    </w:p>
    <w:p w14:paraId="3D0153DD" w14:textId="07C9657B" w:rsidR="00003AC3" w:rsidRPr="00026EC1" w:rsidRDefault="00275751" w:rsidP="00A64613">
      <w:pPr>
        <w:keepNext w:val="0"/>
        <w:tabs>
          <w:tab w:val="left" w:pos="567"/>
        </w:tabs>
        <w:ind w:left="567" w:hanging="567"/>
      </w:pPr>
      <w:r w:rsidRPr="00026EC1">
        <w:t>b)</w:t>
      </w:r>
      <w:r w:rsidRPr="00026EC1">
        <w:tab/>
      </w:r>
      <w:r w:rsidR="00003AC3" w:rsidRPr="00026EC1">
        <w:t>enseignante ou enseignant engagé à ce titre par le Collège par un contrat de douze (12) mois ou moins, pour assumer une charge à l</w:t>
      </w:r>
      <w:r w:rsidR="004A41E4" w:rsidRPr="00026EC1">
        <w:t>’</w:t>
      </w:r>
      <w:r w:rsidR="00003AC3" w:rsidRPr="00026EC1">
        <w:t>enseignement régulier ou pour combler une charge à temps partiel à la formation continue conformément à la convention collective inférieure à celle de l</w:t>
      </w:r>
      <w:r w:rsidR="004A41E4" w:rsidRPr="00026EC1">
        <w:t>’</w:t>
      </w:r>
      <w:r w:rsidR="00003AC3" w:rsidRPr="00026EC1">
        <w:t>enseignante ou de l</w:t>
      </w:r>
      <w:r w:rsidR="004A41E4" w:rsidRPr="00026EC1">
        <w:t>’</w:t>
      </w:r>
      <w:r w:rsidR="00003AC3" w:rsidRPr="00026EC1">
        <w:t>enseignant à temps complet et qui assure une disponibilité conforme à la clause 8</w:t>
      </w:r>
      <w:r w:rsidR="00984A6F">
        <w:noBreakHyphen/>
      </w:r>
      <w:r w:rsidR="00003AC3" w:rsidRPr="00026EC1">
        <w:t>3.01.</w:t>
      </w:r>
    </w:p>
    <w:p w14:paraId="76FB2112" w14:textId="77777777" w:rsidR="00003AC3" w:rsidRPr="00026EC1" w:rsidRDefault="00003AC3" w:rsidP="00A64613">
      <w:pPr>
        <w:keepNext w:val="0"/>
      </w:pPr>
    </w:p>
    <w:p w14:paraId="1B309CF0" w14:textId="3F2D7A64" w:rsidR="00003AC3" w:rsidRPr="00026EC1" w:rsidRDefault="00275751" w:rsidP="00A64613">
      <w:pPr>
        <w:pStyle w:val="NUMRODECLAUSE"/>
        <w:keepNext w:val="0"/>
      </w:pPr>
      <w:r w:rsidRPr="00026EC1">
        <w:t>1</w:t>
      </w:r>
      <w:r w:rsidR="00984A6F">
        <w:noBreakHyphen/>
      </w:r>
      <w:r w:rsidRPr="00026EC1">
        <w:t>2.17</w:t>
      </w:r>
      <w:r w:rsidRPr="00026EC1">
        <w:tab/>
      </w:r>
      <w:r w:rsidR="00003AC3" w:rsidRPr="003A3B74">
        <w:rPr>
          <w:u w:val="single"/>
        </w:rPr>
        <w:t>Expérience pertinente</w:t>
      </w:r>
      <w:r w:rsidR="00D8581B">
        <w:t> :</w:t>
      </w:r>
    </w:p>
    <w:p w14:paraId="33015E28" w14:textId="77777777" w:rsidR="00003AC3" w:rsidRPr="00026EC1" w:rsidRDefault="00003AC3" w:rsidP="00A64613">
      <w:pPr>
        <w:keepNext w:val="0"/>
      </w:pPr>
      <w:r w:rsidRPr="00026EC1">
        <w:t>Expérience professionnelle ou industrielle en relation directe avec la discipline enseignée.</w:t>
      </w:r>
    </w:p>
    <w:p w14:paraId="5685FC7F" w14:textId="77777777" w:rsidR="00003AC3" w:rsidRPr="00026EC1" w:rsidRDefault="00003AC3" w:rsidP="00A64613">
      <w:pPr>
        <w:keepNext w:val="0"/>
      </w:pPr>
    </w:p>
    <w:p w14:paraId="6D34776A" w14:textId="48679A8E" w:rsidR="00003AC3" w:rsidRPr="00026EC1" w:rsidRDefault="00275751" w:rsidP="00A64613">
      <w:pPr>
        <w:pStyle w:val="NUMRODECLAUSE"/>
        <w:keepNext w:val="0"/>
      </w:pPr>
      <w:r w:rsidRPr="00026EC1">
        <w:t>1</w:t>
      </w:r>
      <w:r w:rsidR="00984A6F">
        <w:noBreakHyphen/>
      </w:r>
      <w:r w:rsidRPr="00026EC1">
        <w:t>2.18</w:t>
      </w:r>
      <w:r w:rsidRPr="00026EC1">
        <w:tab/>
      </w:r>
      <w:r w:rsidR="00003AC3" w:rsidRPr="003A3B74">
        <w:rPr>
          <w:u w:val="single"/>
        </w:rPr>
        <w:t>Fédération des cégeps</w:t>
      </w:r>
      <w:r w:rsidR="00D8581B">
        <w:t> :</w:t>
      </w:r>
    </w:p>
    <w:p w14:paraId="10D61133" w14:textId="77777777" w:rsidR="00003AC3" w:rsidRPr="00026EC1" w:rsidRDefault="00003AC3" w:rsidP="00A64613">
      <w:pPr>
        <w:keepNext w:val="0"/>
      </w:pPr>
      <w:r w:rsidRPr="00026EC1">
        <w:t>La Fédération des collèges d</w:t>
      </w:r>
      <w:r w:rsidR="004A41E4" w:rsidRPr="00026EC1">
        <w:t>’</w:t>
      </w:r>
      <w:r w:rsidRPr="00026EC1">
        <w:t>enseignement général et professionnel.</w:t>
      </w:r>
    </w:p>
    <w:p w14:paraId="7F5E9662" w14:textId="77777777" w:rsidR="00003AC3" w:rsidRPr="00026EC1" w:rsidRDefault="00003AC3" w:rsidP="00A64613">
      <w:pPr>
        <w:keepNext w:val="0"/>
      </w:pPr>
    </w:p>
    <w:p w14:paraId="6ABC2B07" w14:textId="4184A484" w:rsidR="00003AC3" w:rsidRPr="00026EC1" w:rsidRDefault="00275751" w:rsidP="00A64613">
      <w:pPr>
        <w:pStyle w:val="NUMRODECLAUSE"/>
        <w:keepNext w:val="0"/>
      </w:pPr>
      <w:r w:rsidRPr="00026EC1">
        <w:t>1</w:t>
      </w:r>
      <w:r w:rsidR="00984A6F">
        <w:noBreakHyphen/>
      </w:r>
      <w:r w:rsidRPr="00026EC1">
        <w:t>2.19</w:t>
      </w:r>
      <w:r w:rsidRPr="00026EC1">
        <w:tab/>
      </w:r>
      <w:r w:rsidR="00003AC3" w:rsidRPr="003A3B74">
        <w:rPr>
          <w:u w:val="single"/>
        </w:rPr>
        <w:t>Gouvernement</w:t>
      </w:r>
      <w:r w:rsidR="00D8581B">
        <w:t> :</w:t>
      </w:r>
    </w:p>
    <w:p w14:paraId="4FCBAE71" w14:textId="77777777" w:rsidR="00003AC3" w:rsidRPr="00026EC1" w:rsidRDefault="00003AC3" w:rsidP="00A64613">
      <w:pPr>
        <w:keepNext w:val="0"/>
      </w:pPr>
      <w:r w:rsidRPr="00026EC1">
        <w:t>Le Gouvernement du Québec.</w:t>
      </w:r>
    </w:p>
    <w:p w14:paraId="53F00B67" w14:textId="77777777" w:rsidR="00003AC3" w:rsidRPr="00026EC1" w:rsidRDefault="00003AC3" w:rsidP="00A64613">
      <w:pPr>
        <w:keepNext w:val="0"/>
      </w:pPr>
    </w:p>
    <w:p w14:paraId="3AF24CE7" w14:textId="0510E1DB" w:rsidR="00003AC3" w:rsidRPr="00026EC1" w:rsidRDefault="00275751" w:rsidP="00A64613">
      <w:pPr>
        <w:pStyle w:val="NUMRODECLAUSE"/>
        <w:keepNext w:val="0"/>
      </w:pPr>
      <w:r w:rsidRPr="00026EC1">
        <w:t>1</w:t>
      </w:r>
      <w:r w:rsidR="00984A6F">
        <w:noBreakHyphen/>
      </w:r>
      <w:r w:rsidRPr="00026EC1">
        <w:t>2.20</w:t>
      </w:r>
      <w:r w:rsidRPr="00026EC1">
        <w:tab/>
      </w:r>
      <w:r w:rsidR="00003AC3" w:rsidRPr="003A3B74">
        <w:rPr>
          <w:u w:val="single"/>
        </w:rPr>
        <w:t>Jours ouvrables</w:t>
      </w:r>
      <w:r w:rsidR="00D8581B">
        <w:t> :</w:t>
      </w:r>
    </w:p>
    <w:p w14:paraId="7C7D15A0" w14:textId="77777777" w:rsidR="00003AC3" w:rsidRPr="00026EC1" w:rsidRDefault="00003AC3" w:rsidP="00A64613">
      <w:pPr>
        <w:keepNext w:val="0"/>
      </w:pPr>
      <w:r w:rsidRPr="00026EC1">
        <w:t>Du lundi au vendredi inclusivement à l</w:t>
      </w:r>
      <w:r w:rsidR="004A41E4" w:rsidRPr="00026EC1">
        <w:t>’</w:t>
      </w:r>
      <w:r w:rsidRPr="00026EC1">
        <w:t>exception des jours fériés proclamés par l</w:t>
      </w:r>
      <w:r w:rsidR="004A41E4" w:rsidRPr="00026EC1">
        <w:t>’</w:t>
      </w:r>
      <w:r w:rsidRPr="00026EC1">
        <w:t>autorité civile ou fixés par le Collège durant l</w:t>
      </w:r>
      <w:r w:rsidR="004A41E4" w:rsidRPr="00026EC1">
        <w:t>’</w:t>
      </w:r>
      <w:r w:rsidRPr="00026EC1">
        <w:t>année d</w:t>
      </w:r>
      <w:r w:rsidR="004A41E4" w:rsidRPr="00026EC1">
        <w:t>’</w:t>
      </w:r>
      <w:r w:rsidRPr="00026EC1">
        <w:t>engagement.</w:t>
      </w:r>
    </w:p>
    <w:p w14:paraId="65B3A7EA" w14:textId="77777777" w:rsidR="00003AC3" w:rsidRPr="00026EC1" w:rsidRDefault="00003AC3" w:rsidP="00A64613">
      <w:pPr>
        <w:keepNext w:val="0"/>
      </w:pPr>
    </w:p>
    <w:p w14:paraId="383DA189" w14:textId="0E200903" w:rsidR="00003AC3" w:rsidRPr="00026EC1" w:rsidRDefault="00275751" w:rsidP="00A64613">
      <w:pPr>
        <w:pStyle w:val="NUMRODECLAUSE"/>
        <w:keepNext w:val="0"/>
        <w:rPr>
          <w:strike/>
        </w:rPr>
      </w:pPr>
      <w:r w:rsidRPr="00026EC1">
        <w:t>1</w:t>
      </w:r>
      <w:r w:rsidR="00984A6F">
        <w:noBreakHyphen/>
      </w:r>
      <w:r w:rsidRPr="00026EC1">
        <w:t>2.21</w:t>
      </w:r>
      <w:r w:rsidRPr="00026EC1">
        <w:tab/>
      </w:r>
      <w:r w:rsidR="00003AC3" w:rsidRPr="003A3B74">
        <w:rPr>
          <w:u w:val="single"/>
        </w:rPr>
        <w:t>Les parties</w:t>
      </w:r>
      <w:r w:rsidR="00D8581B">
        <w:t> :</w:t>
      </w:r>
    </w:p>
    <w:p w14:paraId="2F6AE355" w14:textId="77777777" w:rsidR="00003AC3" w:rsidRPr="00026EC1" w:rsidRDefault="00003AC3" w:rsidP="00A64613">
      <w:pPr>
        <w:keepNext w:val="0"/>
      </w:pPr>
      <w:r w:rsidRPr="00026EC1">
        <w:t>Le Collège et le Syndicat.</w:t>
      </w:r>
    </w:p>
    <w:p w14:paraId="329FF033" w14:textId="77777777" w:rsidR="00003AC3" w:rsidRPr="00026EC1" w:rsidRDefault="00003AC3" w:rsidP="00A64613">
      <w:pPr>
        <w:keepNext w:val="0"/>
      </w:pPr>
    </w:p>
    <w:p w14:paraId="3CCE9078" w14:textId="5622F950" w:rsidR="00003AC3" w:rsidRPr="00026EC1" w:rsidRDefault="00275751" w:rsidP="00A64613">
      <w:pPr>
        <w:pStyle w:val="NUMRODECLAUSE"/>
        <w:keepNext w:val="0"/>
      </w:pPr>
      <w:r w:rsidRPr="00026EC1">
        <w:t>1</w:t>
      </w:r>
      <w:r w:rsidR="00984A6F">
        <w:noBreakHyphen/>
      </w:r>
      <w:r w:rsidRPr="00026EC1">
        <w:t>2.22</w:t>
      </w:r>
      <w:r w:rsidRPr="00026EC1">
        <w:tab/>
      </w:r>
      <w:r w:rsidR="00003AC3" w:rsidRPr="00026EC1">
        <w:rPr>
          <w:u w:val="single"/>
        </w:rPr>
        <w:t>Ministère</w:t>
      </w:r>
      <w:r w:rsidR="00D8581B">
        <w:t> :</w:t>
      </w:r>
    </w:p>
    <w:p w14:paraId="5B89316C" w14:textId="0CE43B9E" w:rsidR="00181999" w:rsidRPr="00026EC1" w:rsidRDefault="00181999" w:rsidP="00A64613">
      <w:pPr>
        <w:keepNext w:val="0"/>
        <w:rPr>
          <w:rFonts w:cs="Arial"/>
          <w:szCs w:val="24"/>
        </w:rPr>
      </w:pPr>
      <w:r w:rsidRPr="00026EC1">
        <w:rPr>
          <w:rFonts w:cs="Arial"/>
          <w:szCs w:val="24"/>
        </w:rPr>
        <w:t>Le ministère de l'Enseignement supérieur.</w:t>
      </w:r>
    </w:p>
    <w:p w14:paraId="3939D04E" w14:textId="77777777" w:rsidR="00003AC3" w:rsidRPr="00026EC1" w:rsidRDefault="00003AC3" w:rsidP="00A64613">
      <w:pPr>
        <w:keepNext w:val="0"/>
      </w:pPr>
    </w:p>
    <w:p w14:paraId="79F91287" w14:textId="60AD8746" w:rsidR="00003AC3" w:rsidRPr="00026EC1" w:rsidRDefault="00275751" w:rsidP="00A64613">
      <w:pPr>
        <w:pStyle w:val="NUMRODECLAUSE"/>
        <w:keepNext w:val="0"/>
      </w:pPr>
      <w:r w:rsidRPr="00026EC1">
        <w:t>1</w:t>
      </w:r>
      <w:r w:rsidR="00984A6F">
        <w:noBreakHyphen/>
      </w:r>
      <w:r w:rsidRPr="00026EC1">
        <w:t>2.23</w:t>
      </w:r>
      <w:r w:rsidRPr="00026EC1">
        <w:tab/>
      </w:r>
      <w:r w:rsidR="00003AC3" w:rsidRPr="00026EC1">
        <w:rPr>
          <w:u w:val="single"/>
        </w:rPr>
        <w:t>Ministre</w:t>
      </w:r>
      <w:r w:rsidR="00D8581B">
        <w:t> :</w:t>
      </w:r>
    </w:p>
    <w:p w14:paraId="6348CF35" w14:textId="77777777" w:rsidR="00003AC3" w:rsidRPr="00026EC1" w:rsidRDefault="000D1F2E" w:rsidP="00A64613">
      <w:pPr>
        <w:keepNext w:val="0"/>
        <w:rPr>
          <w:rFonts w:cs="Arial"/>
          <w:szCs w:val="24"/>
        </w:rPr>
      </w:pPr>
      <w:r w:rsidRPr="00026EC1">
        <w:rPr>
          <w:rFonts w:cs="Arial"/>
          <w:szCs w:val="24"/>
        </w:rPr>
        <w:t xml:space="preserve">La ou le ministre </w:t>
      </w:r>
      <w:r w:rsidR="002171AD" w:rsidRPr="00026EC1">
        <w:rPr>
          <w:rFonts w:cs="Arial"/>
          <w:szCs w:val="24"/>
        </w:rPr>
        <w:t>responsable de</w:t>
      </w:r>
      <w:r w:rsidRPr="00026EC1">
        <w:rPr>
          <w:rFonts w:cs="Arial"/>
          <w:szCs w:val="24"/>
        </w:rPr>
        <w:t xml:space="preserve"> l’Enseignement supérieur.</w:t>
      </w:r>
    </w:p>
    <w:p w14:paraId="7B42225B" w14:textId="77777777" w:rsidR="000D1F2E" w:rsidRPr="00026EC1" w:rsidRDefault="000D1F2E" w:rsidP="00A64613">
      <w:pPr>
        <w:keepNext w:val="0"/>
      </w:pPr>
    </w:p>
    <w:p w14:paraId="332CF1CC" w14:textId="294E6CC1" w:rsidR="00003AC3" w:rsidRPr="00026EC1" w:rsidRDefault="00275751" w:rsidP="00A64613">
      <w:pPr>
        <w:pStyle w:val="NUMRODECLAUSE"/>
        <w:keepNext w:val="0"/>
      </w:pPr>
      <w:r w:rsidRPr="00026EC1">
        <w:t>1</w:t>
      </w:r>
      <w:r w:rsidR="00984A6F">
        <w:noBreakHyphen/>
      </w:r>
      <w:r w:rsidRPr="00026EC1">
        <w:t>2.24</w:t>
      </w:r>
      <w:r w:rsidRPr="00026EC1">
        <w:tab/>
      </w:r>
      <w:r w:rsidR="00003AC3" w:rsidRPr="003A3B74">
        <w:rPr>
          <w:u w:val="single"/>
        </w:rPr>
        <w:t>Partie patronale nationale</w:t>
      </w:r>
      <w:r w:rsidR="00D8581B">
        <w:t> :</w:t>
      </w:r>
    </w:p>
    <w:p w14:paraId="5E44F8F2" w14:textId="77777777" w:rsidR="00003AC3" w:rsidRPr="00026EC1" w:rsidRDefault="00003AC3" w:rsidP="00A64613">
      <w:pPr>
        <w:keepNext w:val="0"/>
      </w:pPr>
      <w:r w:rsidRPr="00026EC1">
        <w:t>Le Comité patronal de négociation des collèges</w:t>
      </w:r>
      <w:r w:rsidR="00E73AD4" w:rsidRPr="00026EC1">
        <w:t xml:space="preserve"> (CPNC)</w:t>
      </w:r>
      <w:r w:rsidRPr="00026EC1">
        <w:t xml:space="preserve">, institué en vertu de la </w:t>
      </w:r>
      <w:r w:rsidRPr="00026EC1">
        <w:rPr>
          <w:iCs/>
        </w:rPr>
        <w:t>Loi sur le régime de négociation des conventions collectives dans les secteurs public et parapublic</w:t>
      </w:r>
      <w:r w:rsidRPr="00026EC1">
        <w:t>.</w:t>
      </w:r>
    </w:p>
    <w:p w14:paraId="170F53F4" w14:textId="77777777" w:rsidR="00003AC3" w:rsidRPr="00026EC1" w:rsidRDefault="00003AC3" w:rsidP="00A64613">
      <w:pPr>
        <w:keepNext w:val="0"/>
      </w:pPr>
    </w:p>
    <w:p w14:paraId="42146AAB" w14:textId="1358516C" w:rsidR="00003AC3" w:rsidRPr="00026EC1" w:rsidRDefault="00275751" w:rsidP="00A64613">
      <w:pPr>
        <w:pStyle w:val="NUMRODECLAUSE"/>
        <w:keepNext w:val="0"/>
        <w:rPr>
          <w:strike/>
        </w:rPr>
      </w:pPr>
      <w:r w:rsidRPr="00026EC1">
        <w:t>1</w:t>
      </w:r>
      <w:r w:rsidR="00984A6F">
        <w:noBreakHyphen/>
      </w:r>
      <w:r w:rsidRPr="00026EC1">
        <w:t>2.25</w:t>
      </w:r>
      <w:r w:rsidRPr="00026EC1">
        <w:tab/>
      </w:r>
      <w:r w:rsidR="00003AC3" w:rsidRPr="003A3B74">
        <w:rPr>
          <w:u w:val="single"/>
        </w:rPr>
        <w:t>Partie syndicale nationale</w:t>
      </w:r>
      <w:r w:rsidR="00D8581B">
        <w:t> :</w:t>
      </w:r>
    </w:p>
    <w:p w14:paraId="244CF059" w14:textId="77777777" w:rsidR="00003AC3" w:rsidRPr="00026EC1" w:rsidRDefault="00003AC3" w:rsidP="00A64613">
      <w:pPr>
        <w:keepNext w:val="0"/>
      </w:pPr>
      <w:r w:rsidRPr="00026EC1">
        <w:t>La Fédération nationale des enseignantes et des enseignants du Québec (FNEEQ (CSN)).</w:t>
      </w:r>
    </w:p>
    <w:p w14:paraId="36AD5216" w14:textId="646C767B" w:rsidR="00271EF7" w:rsidRDefault="00271EF7" w:rsidP="005B24C5">
      <w:pPr>
        <w:keepNext w:val="0"/>
      </w:pPr>
      <w:r>
        <w:br w:type="page"/>
      </w:r>
    </w:p>
    <w:p w14:paraId="3232E1F8" w14:textId="117F08FB" w:rsidR="00003AC3" w:rsidRPr="00026EC1" w:rsidRDefault="00275751" w:rsidP="00A64613">
      <w:pPr>
        <w:pStyle w:val="NUMRODECLAUSE"/>
        <w:keepNext w:val="0"/>
      </w:pPr>
      <w:r w:rsidRPr="00026EC1">
        <w:t>1</w:t>
      </w:r>
      <w:r w:rsidR="00984A6F">
        <w:noBreakHyphen/>
      </w:r>
      <w:r w:rsidRPr="00026EC1">
        <w:t>2.26</w:t>
      </w:r>
      <w:r w:rsidRPr="00026EC1">
        <w:tab/>
      </w:r>
      <w:r w:rsidR="00003AC3" w:rsidRPr="003A3B74">
        <w:rPr>
          <w:u w:val="single"/>
        </w:rPr>
        <w:t>Poste disponible</w:t>
      </w:r>
      <w:r w:rsidR="00D8581B">
        <w:t> :</w:t>
      </w:r>
    </w:p>
    <w:p w14:paraId="6513C7F9" w14:textId="2F355F05" w:rsidR="00003AC3" w:rsidRPr="00026EC1" w:rsidRDefault="00003AC3" w:rsidP="00A64613">
      <w:pPr>
        <w:keepNext w:val="0"/>
      </w:pPr>
      <w:r w:rsidRPr="00026EC1">
        <w:t>Charge d</w:t>
      </w:r>
      <w:r w:rsidR="004A41E4" w:rsidRPr="00026EC1">
        <w:t>’</w:t>
      </w:r>
      <w:r w:rsidRPr="00026EC1">
        <w:t>enseignement à pourvoir à temps compl</w:t>
      </w:r>
      <w:r w:rsidR="005A629E" w:rsidRPr="00026EC1">
        <w:t>et et répartie sur les deux (2) </w:t>
      </w:r>
      <w:r w:rsidRPr="00026EC1">
        <w:t>sessions</w:t>
      </w:r>
      <w:r w:rsidR="00D8581B">
        <w:t> :</w:t>
      </w:r>
    </w:p>
    <w:p w14:paraId="42EB9657" w14:textId="77777777" w:rsidR="00003AC3" w:rsidRPr="00026EC1" w:rsidRDefault="00003AC3" w:rsidP="00A64613">
      <w:pPr>
        <w:keepNext w:val="0"/>
      </w:pPr>
    </w:p>
    <w:p w14:paraId="62F35D3F" w14:textId="74BB5CFE" w:rsidR="00003AC3" w:rsidRPr="00026EC1" w:rsidRDefault="00275751" w:rsidP="00A64613">
      <w:pPr>
        <w:keepNext w:val="0"/>
        <w:tabs>
          <w:tab w:val="left" w:pos="567"/>
        </w:tabs>
        <w:ind w:left="567" w:hanging="567"/>
      </w:pPr>
      <w:r w:rsidRPr="00026EC1">
        <w:t>a)</w:t>
      </w:r>
      <w:r w:rsidRPr="00026EC1">
        <w:tab/>
      </w:r>
      <w:r w:rsidR="00003AC3" w:rsidRPr="00026EC1">
        <w:t>créée à la suite de la répartition prévue à l</w:t>
      </w:r>
      <w:r w:rsidR="004A41E4" w:rsidRPr="00026EC1">
        <w:t>’</w:t>
      </w:r>
      <w:r w:rsidR="00003AC3" w:rsidRPr="00026EC1">
        <w:t>article 8</w:t>
      </w:r>
      <w:r w:rsidR="00984A6F">
        <w:noBreakHyphen/>
      </w:r>
      <w:r w:rsidR="00003AC3" w:rsidRPr="00026EC1">
        <w:t>5.00 ou ultérieurement à la suite des fluctuations d</w:t>
      </w:r>
      <w:r w:rsidR="004A41E4" w:rsidRPr="00026EC1">
        <w:t>’</w:t>
      </w:r>
      <w:r w:rsidR="00003AC3" w:rsidRPr="00026EC1">
        <w:t>inscriptions aux cours ou aux programmes, selon le cas;</w:t>
      </w:r>
    </w:p>
    <w:p w14:paraId="2D4D2B54" w14:textId="77777777" w:rsidR="007966E2" w:rsidRPr="00026EC1" w:rsidRDefault="007966E2" w:rsidP="00A64613">
      <w:pPr>
        <w:keepNext w:val="0"/>
        <w:ind w:left="567"/>
      </w:pPr>
    </w:p>
    <w:p w14:paraId="04840F82" w14:textId="77777777" w:rsidR="00003AC3" w:rsidRPr="00026EC1" w:rsidRDefault="00003AC3" w:rsidP="00A64613">
      <w:pPr>
        <w:pStyle w:val="Texte1cm"/>
        <w:keepNext w:val="0"/>
      </w:pPr>
      <w:r w:rsidRPr="00026EC1">
        <w:t>ou</w:t>
      </w:r>
    </w:p>
    <w:p w14:paraId="5953A778" w14:textId="77777777" w:rsidR="00003AC3" w:rsidRPr="00026EC1" w:rsidRDefault="00003AC3" w:rsidP="00A64613">
      <w:pPr>
        <w:keepNext w:val="0"/>
      </w:pPr>
    </w:p>
    <w:p w14:paraId="794C9E1A" w14:textId="2ACFCA7B" w:rsidR="00003AC3" w:rsidRPr="00026EC1" w:rsidRDefault="00275751" w:rsidP="00A64613">
      <w:pPr>
        <w:keepNext w:val="0"/>
        <w:tabs>
          <w:tab w:val="left" w:pos="567"/>
        </w:tabs>
        <w:ind w:left="567" w:hanging="567"/>
      </w:pPr>
      <w:r w:rsidRPr="00026EC1">
        <w:t>b)</w:t>
      </w:r>
      <w:r w:rsidRPr="00026EC1">
        <w:tab/>
      </w:r>
      <w:r w:rsidR="00003AC3" w:rsidRPr="00026EC1">
        <w:t>laissée vacante de façon définitive par le départ de la ou du titulaire du poste</w:t>
      </w:r>
      <w:r w:rsidR="00FA4A87" w:rsidRPr="00316277">
        <w:t>;</w:t>
      </w:r>
    </w:p>
    <w:p w14:paraId="0B5A40C9" w14:textId="77960D9A" w:rsidR="00003AC3" w:rsidRDefault="00003AC3" w:rsidP="00A64613">
      <w:pPr>
        <w:keepNext w:val="0"/>
      </w:pPr>
    </w:p>
    <w:p w14:paraId="65E27FEA" w14:textId="3BF6BAE3" w:rsidR="0096386E" w:rsidRPr="00316277" w:rsidRDefault="0096386E" w:rsidP="0096386E">
      <w:pPr>
        <w:keepNext w:val="0"/>
        <w:ind w:left="567"/>
      </w:pPr>
      <w:r w:rsidRPr="00316277">
        <w:t>ou</w:t>
      </w:r>
    </w:p>
    <w:p w14:paraId="38AA09FC" w14:textId="77777777" w:rsidR="0096386E" w:rsidRPr="00316277" w:rsidRDefault="0096386E" w:rsidP="0096386E">
      <w:pPr>
        <w:keepNext w:val="0"/>
      </w:pPr>
    </w:p>
    <w:p w14:paraId="5294D6BD" w14:textId="3D522F6A" w:rsidR="0096386E" w:rsidRDefault="0096386E" w:rsidP="0096386E">
      <w:pPr>
        <w:keepNext w:val="0"/>
        <w:ind w:left="567" w:hanging="567"/>
      </w:pPr>
      <w:r w:rsidRPr="00316277">
        <w:t>c)</w:t>
      </w:r>
      <w:r w:rsidRPr="00316277">
        <w:tab/>
        <w:t>laissée vacante de façon définitive par l’enseignante ou l’enseignant permanent déclaré en invalidité totale permanente.</w:t>
      </w:r>
    </w:p>
    <w:p w14:paraId="78B07F95" w14:textId="77777777" w:rsidR="0096386E" w:rsidRPr="00026EC1" w:rsidRDefault="0096386E" w:rsidP="00A64613">
      <w:pPr>
        <w:keepNext w:val="0"/>
      </w:pPr>
    </w:p>
    <w:p w14:paraId="207423E2" w14:textId="77777777" w:rsidR="00003AC3" w:rsidRPr="00026EC1" w:rsidRDefault="00003AC3" w:rsidP="00A64613">
      <w:pPr>
        <w:keepNext w:val="0"/>
      </w:pPr>
      <w:r w:rsidRPr="00026EC1">
        <w:t>Pour une année d</w:t>
      </w:r>
      <w:r w:rsidR="004A41E4" w:rsidRPr="00026EC1">
        <w:t>’</w:t>
      </w:r>
      <w:r w:rsidRPr="00026EC1">
        <w:t>enseignement donnée, aucun poste disponible ne peut être créé le ou après le 1</w:t>
      </w:r>
      <w:r w:rsidRPr="00026EC1">
        <w:rPr>
          <w:vertAlign w:val="superscript"/>
        </w:rPr>
        <w:t>er</w:t>
      </w:r>
      <w:r w:rsidRPr="00026EC1">
        <w:t> octobre.</w:t>
      </w:r>
    </w:p>
    <w:p w14:paraId="229145CF" w14:textId="77777777" w:rsidR="007966E2" w:rsidRPr="00026EC1" w:rsidRDefault="007966E2" w:rsidP="00A64613">
      <w:pPr>
        <w:keepNext w:val="0"/>
      </w:pPr>
    </w:p>
    <w:p w14:paraId="3A2FCC39" w14:textId="2B531143" w:rsidR="00003AC3" w:rsidRPr="00026EC1" w:rsidRDefault="00275751" w:rsidP="00A64613">
      <w:pPr>
        <w:pStyle w:val="NUMRODECLAUSE"/>
        <w:keepNext w:val="0"/>
      </w:pPr>
      <w:r w:rsidRPr="00026EC1">
        <w:t>1</w:t>
      </w:r>
      <w:r w:rsidR="00984A6F">
        <w:noBreakHyphen/>
      </w:r>
      <w:r w:rsidRPr="00026EC1">
        <w:t>2.27</w:t>
      </w:r>
      <w:r w:rsidRPr="00026EC1">
        <w:tab/>
      </w:r>
      <w:r w:rsidR="00003AC3" w:rsidRPr="003A3B74">
        <w:rPr>
          <w:u w:val="single"/>
        </w:rPr>
        <w:t>Salaire brut d</w:t>
      </w:r>
      <w:r w:rsidR="004A41E4" w:rsidRPr="003A3B74">
        <w:rPr>
          <w:u w:val="single"/>
        </w:rPr>
        <w:t>’</w:t>
      </w:r>
      <w:r w:rsidR="00003AC3" w:rsidRPr="003A3B74">
        <w:rPr>
          <w:u w:val="single"/>
        </w:rPr>
        <w:t>un (1) jour ouvrable</w:t>
      </w:r>
      <w:r w:rsidR="00D8581B">
        <w:t> :</w:t>
      </w:r>
    </w:p>
    <w:p w14:paraId="5A2D0C64" w14:textId="1F6A84D2" w:rsidR="00E564EA" w:rsidRPr="00026EC1" w:rsidRDefault="00E564EA" w:rsidP="00A64613">
      <w:pPr>
        <w:keepNext w:val="0"/>
      </w:pPr>
      <w:r w:rsidRPr="00026EC1">
        <w:t xml:space="preserve">Salaire annuel brut divisé par deux cent </w:t>
      </w:r>
      <w:r w:rsidRPr="00713CB1">
        <w:t>soixante (260).</w:t>
      </w:r>
    </w:p>
    <w:p w14:paraId="4BABAEFD" w14:textId="77777777" w:rsidR="00003AC3" w:rsidRPr="00026EC1" w:rsidRDefault="00003AC3" w:rsidP="00A64613">
      <w:pPr>
        <w:keepNext w:val="0"/>
      </w:pPr>
    </w:p>
    <w:p w14:paraId="1464FAE0" w14:textId="5F49C026" w:rsidR="00003AC3" w:rsidRPr="00026EC1" w:rsidRDefault="00275751" w:rsidP="00A64613">
      <w:pPr>
        <w:pStyle w:val="NUMRODECLAUSE"/>
        <w:keepNext w:val="0"/>
        <w:rPr>
          <w:strike/>
        </w:rPr>
      </w:pPr>
      <w:r w:rsidRPr="00026EC1">
        <w:t>1</w:t>
      </w:r>
      <w:r w:rsidR="00984A6F">
        <w:noBreakHyphen/>
      </w:r>
      <w:r w:rsidRPr="00026EC1">
        <w:t>2.28</w:t>
      </w:r>
      <w:r w:rsidRPr="00026EC1">
        <w:tab/>
      </w:r>
      <w:r w:rsidR="00003AC3" w:rsidRPr="003A3B74">
        <w:rPr>
          <w:u w:val="single"/>
        </w:rPr>
        <w:t>Salaire ou traitement</w:t>
      </w:r>
      <w:r w:rsidR="00D8581B">
        <w:t> :</w:t>
      </w:r>
    </w:p>
    <w:p w14:paraId="00F92A7C" w14:textId="77777777" w:rsidR="00003AC3" w:rsidRPr="00026EC1" w:rsidRDefault="00003AC3" w:rsidP="00A64613">
      <w:pPr>
        <w:keepNext w:val="0"/>
      </w:pPr>
      <w:r w:rsidRPr="00026EC1">
        <w:t>Rémunération en monnaie courante versée selon les normes et modalités de la convention collective.</w:t>
      </w:r>
    </w:p>
    <w:p w14:paraId="71DF98FB" w14:textId="77777777" w:rsidR="00003AC3" w:rsidRPr="00026EC1" w:rsidRDefault="00003AC3" w:rsidP="00A64613">
      <w:pPr>
        <w:keepNext w:val="0"/>
      </w:pPr>
    </w:p>
    <w:p w14:paraId="29FCCF65" w14:textId="36E95692" w:rsidR="00003AC3" w:rsidRPr="00026EC1" w:rsidRDefault="00275751" w:rsidP="00A64613">
      <w:pPr>
        <w:pStyle w:val="NUMRODECLAUSE"/>
        <w:keepNext w:val="0"/>
      </w:pPr>
      <w:r w:rsidRPr="00026EC1">
        <w:t>1</w:t>
      </w:r>
      <w:r w:rsidR="00984A6F">
        <w:noBreakHyphen/>
      </w:r>
      <w:r w:rsidRPr="00026EC1">
        <w:t>2.29</w:t>
      </w:r>
      <w:r w:rsidRPr="00026EC1">
        <w:tab/>
      </w:r>
      <w:r w:rsidR="00003AC3" w:rsidRPr="003A3B74">
        <w:rPr>
          <w:u w:val="single"/>
        </w:rPr>
        <w:t>Stipulation</w:t>
      </w:r>
      <w:r w:rsidR="00D8581B" w:rsidRPr="003A3B74">
        <w:rPr>
          <w:u w:val="single"/>
        </w:rPr>
        <w:t> </w:t>
      </w:r>
      <w:r w:rsidR="00D8581B">
        <w:t>:</w:t>
      </w:r>
    </w:p>
    <w:p w14:paraId="62AD1E98" w14:textId="77777777" w:rsidR="00003AC3" w:rsidRPr="00026EC1" w:rsidRDefault="00003AC3" w:rsidP="00A64613">
      <w:pPr>
        <w:keepNext w:val="0"/>
      </w:pPr>
      <w:r w:rsidRPr="00026EC1">
        <w:t>Disposition négociée et agréée par les parties nationales.</w:t>
      </w:r>
    </w:p>
    <w:p w14:paraId="267BA34F" w14:textId="77777777" w:rsidR="00003AC3" w:rsidRPr="00026EC1" w:rsidRDefault="00003AC3" w:rsidP="00A64613">
      <w:pPr>
        <w:keepNext w:val="0"/>
      </w:pPr>
    </w:p>
    <w:p w14:paraId="7034CB5D" w14:textId="264C2D41" w:rsidR="00003AC3" w:rsidRPr="00026EC1" w:rsidRDefault="00275751" w:rsidP="00A64613">
      <w:pPr>
        <w:pStyle w:val="NUMRODECLAUSE"/>
        <w:keepNext w:val="0"/>
        <w:rPr>
          <w:strike/>
        </w:rPr>
      </w:pPr>
      <w:r w:rsidRPr="00026EC1">
        <w:t>1</w:t>
      </w:r>
      <w:r w:rsidR="00984A6F">
        <w:noBreakHyphen/>
      </w:r>
      <w:r w:rsidRPr="00026EC1">
        <w:t>2.30</w:t>
      </w:r>
      <w:r w:rsidRPr="00026EC1">
        <w:tab/>
      </w:r>
      <w:r w:rsidR="00003AC3" w:rsidRPr="00026EC1">
        <w:rPr>
          <w:u w:val="single"/>
        </w:rPr>
        <w:t>Syndicat</w:t>
      </w:r>
      <w:r w:rsidR="00D8581B">
        <w:t> :</w:t>
      </w:r>
    </w:p>
    <w:p w14:paraId="346A9B6F" w14:textId="77777777" w:rsidR="00003AC3" w:rsidRPr="00026EC1" w:rsidRDefault="00003AC3" w:rsidP="00A64613">
      <w:pPr>
        <w:keepNext w:val="0"/>
      </w:pPr>
      <w:r w:rsidRPr="00026EC1">
        <w:t>Le Syndicat des enseignantes et enseignants accrédité.</w:t>
      </w:r>
    </w:p>
    <w:p w14:paraId="147F85CC" w14:textId="77777777" w:rsidR="00271EF7" w:rsidRDefault="00271EF7" w:rsidP="00A64613">
      <w:pPr>
        <w:keepNext w:val="0"/>
        <w:sectPr w:rsidR="00271EF7" w:rsidSect="003D57C4">
          <w:footnotePr>
            <w:numRestart w:val="eachPage"/>
          </w:footnotePr>
          <w:pgSz w:w="12240" w:h="15840" w:code="1"/>
          <w:pgMar w:top="720" w:right="1077" w:bottom="1242" w:left="1684" w:header="709" w:footer="709" w:gutter="0"/>
          <w:cols w:space="708"/>
          <w:docGrid w:linePitch="360"/>
        </w:sectPr>
      </w:pPr>
    </w:p>
    <w:p w14:paraId="52C784CC" w14:textId="719FE952" w:rsidR="00404F34" w:rsidRPr="00026EC1" w:rsidRDefault="00404F34" w:rsidP="00A64613">
      <w:pPr>
        <w:pStyle w:val="Heading1"/>
        <w:keepNext w:val="0"/>
        <w:tabs>
          <w:tab w:val="left" w:pos="1701"/>
          <w:tab w:val="left" w:pos="1985"/>
        </w:tabs>
      </w:pPr>
      <w:bookmarkStart w:id="131" w:name="_Toc535046580"/>
      <w:bookmarkStart w:id="132" w:name="_Toc133760757"/>
      <w:bookmarkStart w:id="133" w:name="_Toc133916905"/>
      <w:bookmarkStart w:id="134" w:name="_Toc134437168"/>
      <w:bookmarkStart w:id="135" w:name="_Toc393449533"/>
      <w:r w:rsidRPr="00026EC1">
        <w:t>CHAPITRE 2</w:t>
      </w:r>
      <w:r w:rsidR="000D3913">
        <w:tab/>
      </w:r>
      <w:r w:rsidR="00984A6F">
        <w:t>-</w:t>
      </w:r>
      <w:r w:rsidR="003D2529" w:rsidRPr="00026EC1">
        <w:tab/>
      </w:r>
      <w:r w:rsidR="000D3913">
        <w:tab/>
      </w:r>
      <w:r w:rsidRPr="00026EC1">
        <w:t>JURIDICTION</w:t>
      </w:r>
      <w:bookmarkEnd w:id="131"/>
      <w:bookmarkEnd w:id="132"/>
      <w:bookmarkEnd w:id="133"/>
      <w:bookmarkEnd w:id="134"/>
      <w:bookmarkEnd w:id="135"/>
      <w:r w:rsidR="000D3913">
        <w:t xml:space="preserve"> </w:t>
      </w:r>
      <w:r w:rsidR="000D3913" w:rsidRPr="0035151D">
        <w:fldChar w:fldCharType="begin"/>
      </w:r>
      <w:r w:rsidR="000D3913" w:rsidRPr="0035151D">
        <w:instrText xml:space="preserve"> TC " </w:instrText>
      </w:r>
      <w:bookmarkStart w:id="136" w:name="_Toc94949698"/>
      <w:bookmarkStart w:id="137" w:name="_Toc94952706"/>
      <w:bookmarkStart w:id="138" w:name="_Toc94954610"/>
      <w:bookmarkStart w:id="139" w:name="_Toc94966287"/>
      <w:bookmarkStart w:id="140" w:name="_Toc95035165"/>
      <w:bookmarkStart w:id="141" w:name="_Toc95035308"/>
      <w:bookmarkStart w:id="142" w:name="_Toc95035451"/>
      <w:bookmarkStart w:id="143" w:name="_Toc95035596"/>
      <w:bookmarkStart w:id="144" w:name="_Toc157589221"/>
      <w:bookmarkStart w:id="145" w:name="_Toc161323668"/>
      <w:bookmarkStart w:id="146" w:name="_Toc163483010"/>
      <w:bookmarkStart w:id="147" w:name="_Toc163483609"/>
      <w:bookmarkStart w:id="148" w:name="_Toc163483799"/>
      <w:bookmarkStart w:id="149" w:name="_Toc167870768"/>
      <w:bookmarkStart w:id="150" w:name="_Toc167870932"/>
      <w:bookmarkStart w:id="151" w:name="_Toc167871088"/>
      <w:bookmarkStart w:id="152" w:name="_Toc167871264"/>
      <w:bookmarkStart w:id="153" w:name="_Toc168049332"/>
      <w:bookmarkStart w:id="154" w:name="_Toc168401496"/>
      <w:bookmarkStart w:id="155" w:name="_Toc168402112"/>
      <w:bookmarkStart w:id="156" w:name="_Toc168409547"/>
      <w:bookmarkStart w:id="157" w:name="_Toc168410301"/>
      <w:bookmarkStart w:id="158" w:name="_Toc168410547"/>
      <w:bookmarkStart w:id="159" w:name="_Toc168410788"/>
      <w:bookmarkStart w:id="160" w:name="_Toc168479495"/>
      <w:r w:rsidR="000D3913" w:rsidRPr="0035151D">
        <w:instrText xml:space="preserve">CHAPITRE </w:instrText>
      </w:r>
      <w:r w:rsidR="000D3913">
        <w:instrText>2</w:instrText>
      </w:r>
      <w:r w:rsidR="000D3913" w:rsidRPr="0035151D">
        <w:instrText xml:space="preserve">  </w:instrText>
      </w:r>
      <w:r w:rsidR="00984A6F">
        <w:noBreakHyphen/>
      </w:r>
      <w:r w:rsidR="000D3913" w:rsidRPr="0035151D">
        <w:instrText xml:space="preserve">  </w:instrText>
      </w:r>
      <w:r w:rsidR="000D3913">
        <w:instrText>juridiction</w:instrTex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0D3913" w:rsidRPr="0035151D">
        <w:instrText>"\N</w:instrText>
      </w:r>
      <w:r w:rsidR="000D3913" w:rsidRPr="0035151D">
        <w:fldChar w:fldCharType="end"/>
      </w:r>
    </w:p>
    <w:p w14:paraId="4B3E5D8D" w14:textId="2DD268EF" w:rsidR="00404F34" w:rsidRPr="000D3913" w:rsidRDefault="00404F34" w:rsidP="00A64613">
      <w:pPr>
        <w:pStyle w:val="Heading2"/>
        <w:keepNext w:val="0"/>
        <w:tabs>
          <w:tab w:val="clear" w:pos="1843"/>
          <w:tab w:val="clear" w:pos="2127"/>
          <w:tab w:val="left" w:pos="1701"/>
          <w:tab w:val="left" w:pos="1985"/>
        </w:tabs>
        <w:ind w:left="1701" w:hanging="1701"/>
      </w:pPr>
      <w:bookmarkStart w:id="161" w:name="_Toc535046581"/>
      <w:bookmarkStart w:id="162" w:name="_Toc133760758"/>
      <w:bookmarkStart w:id="163" w:name="_Toc393444583"/>
      <w:bookmarkStart w:id="164" w:name="_Toc393449534"/>
      <w:bookmarkStart w:id="165" w:name="_Toc393460903"/>
      <w:bookmarkStart w:id="166" w:name="_Toc393461181"/>
      <w:bookmarkStart w:id="167" w:name="_Toc393720742"/>
      <w:bookmarkStart w:id="168" w:name="_Toc393783903"/>
      <w:bookmarkStart w:id="169" w:name="_Toc393784042"/>
      <w:bookmarkStart w:id="170" w:name="_Toc168479496"/>
      <w:r w:rsidRPr="000D3913">
        <w:t>Article 2</w:t>
      </w:r>
      <w:r w:rsidR="00984A6F">
        <w:t>-</w:t>
      </w:r>
      <w:r w:rsidRPr="000D3913">
        <w:t>1.00</w:t>
      </w:r>
      <w:r w:rsidR="000D3913" w:rsidRPr="000D3913">
        <w:tab/>
      </w:r>
      <w:r w:rsidR="00984A6F">
        <w:t>-</w:t>
      </w:r>
      <w:r w:rsidR="003D2529" w:rsidRPr="000D3913">
        <w:tab/>
      </w:r>
      <w:r w:rsidRPr="000D3913">
        <w:t>Champ d</w:t>
      </w:r>
      <w:r w:rsidR="004A41E4" w:rsidRPr="000D3913">
        <w:t>’</w:t>
      </w:r>
      <w:r w:rsidRPr="000D3913">
        <w:t>application</w:t>
      </w:r>
      <w:bookmarkEnd w:id="161"/>
      <w:bookmarkEnd w:id="162"/>
      <w:bookmarkEnd w:id="163"/>
      <w:bookmarkEnd w:id="164"/>
      <w:bookmarkEnd w:id="165"/>
      <w:bookmarkEnd w:id="166"/>
      <w:bookmarkEnd w:id="167"/>
      <w:bookmarkEnd w:id="168"/>
      <w:bookmarkEnd w:id="169"/>
      <w:bookmarkEnd w:id="170"/>
    </w:p>
    <w:p w14:paraId="03240D2B" w14:textId="198BBD57" w:rsidR="00404F34" w:rsidRPr="00026EC1" w:rsidRDefault="00275751" w:rsidP="00A64613">
      <w:pPr>
        <w:pStyle w:val="NUMRODECLAUSE"/>
        <w:keepNext w:val="0"/>
      </w:pPr>
      <w:r w:rsidRPr="00026EC1">
        <w:t>2</w:t>
      </w:r>
      <w:r w:rsidR="00984A6F">
        <w:noBreakHyphen/>
      </w:r>
      <w:r w:rsidRPr="00026EC1">
        <w:t>1.01</w:t>
      </w:r>
    </w:p>
    <w:p w14:paraId="1919ECDC" w14:textId="77777777" w:rsidR="00404F34" w:rsidRPr="00026EC1" w:rsidRDefault="00404F34" w:rsidP="00A64613">
      <w:pPr>
        <w:keepNext w:val="0"/>
      </w:pPr>
      <w:r w:rsidRPr="00026EC1">
        <w:t xml:space="preserve">La présente convention collective régit toutes les enseignantes et tous les enseignants salariés au sens du </w:t>
      </w:r>
      <w:r w:rsidRPr="00026EC1">
        <w:rPr>
          <w:iCs/>
        </w:rPr>
        <w:t>Code du travail</w:t>
      </w:r>
      <w:r w:rsidRPr="00026EC1">
        <w:t xml:space="preserve"> à l</w:t>
      </w:r>
      <w:r w:rsidR="004A41E4" w:rsidRPr="00026EC1">
        <w:t>’</w:t>
      </w:r>
      <w:r w:rsidRPr="00026EC1">
        <w:t>emploi du Collège et visés par l</w:t>
      </w:r>
      <w:r w:rsidR="004A41E4" w:rsidRPr="00026EC1">
        <w:t>’</w:t>
      </w:r>
      <w:r w:rsidRPr="00026EC1">
        <w:t>accréditation accordée au Syndicat.</w:t>
      </w:r>
    </w:p>
    <w:p w14:paraId="12A07D48" w14:textId="77777777" w:rsidR="00404F34" w:rsidRPr="00026EC1" w:rsidRDefault="00404F34" w:rsidP="00A64613">
      <w:pPr>
        <w:keepNext w:val="0"/>
      </w:pPr>
    </w:p>
    <w:p w14:paraId="31F2F6F8" w14:textId="0483C51A" w:rsidR="00404F34" w:rsidRPr="00026EC1" w:rsidRDefault="00275751" w:rsidP="00A64613">
      <w:pPr>
        <w:pStyle w:val="NUMRODECLAUSE"/>
        <w:keepNext w:val="0"/>
      </w:pPr>
      <w:r w:rsidRPr="00026EC1">
        <w:t>2</w:t>
      </w:r>
      <w:r w:rsidR="00984A6F">
        <w:noBreakHyphen/>
      </w:r>
      <w:r w:rsidRPr="00026EC1">
        <w:t>1.02</w:t>
      </w:r>
    </w:p>
    <w:p w14:paraId="50F94A54" w14:textId="77777777" w:rsidR="00404F34" w:rsidRPr="00026EC1" w:rsidRDefault="00404F34" w:rsidP="00A64613">
      <w:pPr>
        <w:keepNext w:val="0"/>
      </w:pPr>
      <w:r w:rsidRPr="00026EC1">
        <w:t>Lorsque l</w:t>
      </w:r>
      <w:r w:rsidR="004A41E4" w:rsidRPr="00026EC1">
        <w:t>’</w:t>
      </w:r>
      <w:r w:rsidRPr="00026EC1">
        <w:t>une ou l</w:t>
      </w:r>
      <w:r w:rsidR="004A41E4" w:rsidRPr="00026EC1">
        <w:t>’</w:t>
      </w:r>
      <w:r w:rsidRPr="00026EC1">
        <w:t xml:space="preserve">autre des parties demande </w:t>
      </w:r>
      <w:r w:rsidR="006A72E2" w:rsidRPr="00026EC1">
        <w:rPr>
          <w:rFonts w:cs="Arial"/>
          <w:szCs w:val="24"/>
        </w:rPr>
        <w:t>au Tribunal administratif du travail (TAT)</w:t>
      </w:r>
      <w:r w:rsidR="00496B8B" w:rsidRPr="00026EC1">
        <w:rPr>
          <w:rFonts w:cs="Arial"/>
          <w:szCs w:val="24"/>
        </w:rPr>
        <w:t xml:space="preserve"> </w:t>
      </w:r>
      <w:r w:rsidRPr="00026EC1">
        <w:t>de statuer si une salariée ou un salarié est compris dans l</w:t>
      </w:r>
      <w:r w:rsidR="004A41E4" w:rsidRPr="00026EC1">
        <w:t>’</w:t>
      </w:r>
      <w:r w:rsidRPr="00026EC1">
        <w:t>unité de négociation, le statut antérieur de cette salariée ou de ce salarié est maintenu jusqu</w:t>
      </w:r>
      <w:r w:rsidR="004A41E4" w:rsidRPr="00026EC1">
        <w:t>’</w:t>
      </w:r>
      <w:r w:rsidR="007435E6">
        <w:t>à la décision du TAT</w:t>
      </w:r>
      <w:r w:rsidRPr="00026EC1">
        <w:t>.</w:t>
      </w:r>
    </w:p>
    <w:p w14:paraId="06A5683D" w14:textId="77777777" w:rsidR="00404F34" w:rsidRPr="00026EC1" w:rsidRDefault="00404F34" w:rsidP="00A64613">
      <w:pPr>
        <w:keepNext w:val="0"/>
      </w:pPr>
    </w:p>
    <w:p w14:paraId="129C98F8" w14:textId="370FA480" w:rsidR="00404F34" w:rsidRPr="00026EC1" w:rsidRDefault="00275751" w:rsidP="00A64613">
      <w:pPr>
        <w:pStyle w:val="NUMRODECLAUSE"/>
        <w:keepNext w:val="0"/>
      </w:pPr>
      <w:r w:rsidRPr="00026EC1">
        <w:t>2</w:t>
      </w:r>
      <w:r w:rsidR="00984A6F">
        <w:noBreakHyphen/>
      </w:r>
      <w:r w:rsidRPr="00026EC1">
        <w:t>1.03</w:t>
      </w:r>
    </w:p>
    <w:p w14:paraId="1CA52D66" w14:textId="54D2DEC1" w:rsidR="00404F34" w:rsidRDefault="00404F34" w:rsidP="00A64613">
      <w:pPr>
        <w:keepNext w:val="0"/>
      </w:pPr>
      <w:r w:rsidRPr="00026EC1">
        <w:t>L</w:t>
      </w:r>
      <w:r w:rsidR="004A41E4" w:rsidRPr="00026EC1">
        <w:t>’</w:t>
      </w:r>
      <w:r w:rsidRPr="00026EC1">
        <w:t>enseignante ou l</w:t>
      </w:r>
      <w:r w:rsidR="004A41E4" w:rsidRPr="00026EC1">
        <w:t>’</w:t>
      </w:r>
      <w:r w:rsidRPr="00026EC1">
        <w:t xml:space="preserve">enseignant qui donne des cours autres que les cours publiés dans les </w:t>
      </w:r>
      <w:r w:rsidRPr="00026EC1">
        <w:rPr>
          <w:i/>
          <w:iCs/>
        </w:rPr>
        <w:t>Cahiers de l</w:t>
      </w:r>
      <w:r w:rsidR="004A41E4" w:rsidRPr="00026EC1">
        <w:rPr>
          <w:i/>
          <w:iCs/>
        </w:rPr>
        <w:t>’</w:t>
      </w:r>
      <w:r w:rsidRPr="00026EC1">
        <w:rPr>
          <w:i/>
          <w:iCs/>
        </w:rPr>
        <w:t>enseignement collégial</w:t>
      </w:r>
      <w:r w:rsidRPr="00026EC1">
        <w:t>, autres que les cours conduisant à l</w:t>
      </w:r>
      <w:r w:rsidR="004A41E4" w:rsidRPr="00026EC1">
        <w:t>’</w:t>
      </w:r>
      <w:r w:rsidRPr="00026EC1">
        <w:t>obtention d</w:t>
      </w:r>
      <w:r w:rsidR="004A41E4" w:rsidRPr="00026EC1">
        <w:t>’</w:t>
      </w:r>
      <w:r w:rsidRPr="00026EC1">
        <w:t>un diplôme d</w:t>
      </w:r>
      <w:r w:rsidR="004A41E4" w:rsidRPr="00026EC1">
        <w:t>’</w:t>
      </w:r>
      <w:r w:rsidRPr="00026EC1">
        <w:t>études collégiales</w:t>
      </w:r>
      <w:r w:rsidR="00565085">
        <w:t> </w:t>
      </w:r>
      <w:r w:rsidRPr="00026EC1">
        <w:t>(DEC), autres que les cours conduisant à l</w:t>
      </w:r>
      <w:r w:rsidR="004A41E4" w:rsidRPr="00026EC1">
        <w:t>’</w:t>
      </w:r>
      <w:r w:rsidRPr="00026EC1">
        <w:t>obtention d</w:t>
      </w:r>
      <w:r w:rsidR="004A41E4" w:rsidRPr="00026EC1">
        <w:t>’</w:t>
      </w:r>
      <w:r w:rsidRPr="00026EC1">
        <w:t>une attestation d</w:t>
      </w:r>
      <w:r w:rsidR="004A41E4" w:rsidRPr="00026EC1">
        <w:t>’</w:t>
      </w:r>
      <w:r w:rsidRPr="00026EC1">
        <w:t>études collégiales</w:t>
      </w:r>
      <w:r w:rsidR="00565085">
        <w:t> </w:t>
      </w:r>
      <w:r w:rsidRPr="00026EC1">
        <w:t>(AEC), autres que les cours faisant partie d</w:t>
      </w:r>
      <w:r w:rsidR="004A41E4" w:rsidRPr="00026EC1">
        <w:t>’</w:t>
      </w:r>
      <w:r w:rsidRPr="00026EC1">
        <w:t xml:space="preserve">un module de formation reconnu par la ou le </w:t>
      </w:r>
      <w:r w:rsidR="00CD0C84" w:rsidRPr="00026EC1">
        <w:t>M</w:t>
      </w:r>
      <w:r w:rsidRPr="00026EC1">
        <w:t>inistre, ou autres que les activités de mise à niveau dont le nombre d</w:t>
      </w:r>
      <w:r w:rsidR="004A41E4" w:rsidRPr="00026EC1">
        <w:t>’</w:t>
      </w:r>
      <w:r w:rsidRPr="00026EC1">
        <w:t xml:space="preserve">unités est déterminé par la ou le </w:t>
      </w:r>
      <w:r w:rsidR="00CD0C84" w:rsidRPr="00026EC1">
        <w:t>M</w:t>
      </w:r>
      <w:r w:rsidRPr="00026EC1">
        <w:t>inistre, n</w:t>
      </w:r>
      <w:r w:rsidR="004A41E4" w:rsidRPr="00026EC1">
        <w:t>’</w:t>
      </w:r>
      <w:r w:rsidRPr="00026EC1">
        <w:t>est pas assuje</w:t>
      </w:r>
      <w:r w:rsidR="005A629E" w:rsidRPr="00026EC1">
        <w:t>tti à la convention collective.</w:t>
      </w:r>
    </w:p>
    <w:p w14:paraId="07CB6A97" w14:textId="77777777" w:rsidR="00894348" w:rsidRDefault="00894348" w:rsidP="00A64613">
      <w:pPr>
        <w:keepNext w:val="0"/>
      </w:pPr>
    </w:p>
    <w:p w14:paraId="21C4CFBD" w14:textId="58FDF626" w:rsidR="00894348" w:rsidRDefault="00894348" w:rsidP="00A64613">
      <w:pPr>
        <w:pStyle w:val="NUMRODECLAUSE"/>
        <w:keepNext w:val="0"/>
      </w:pPr>
      <w:r>
        <w:t>2</w:t>
      </w:r>
      <w:r w:rsidR="00984A6F">
        <w:noBreakHyphen/>
      </w:r>
      <w:r>
        <w:t>1.04</w:t>
      </w:r>
      <w:r>
        <w:rPr>
          <w:rStyle w:val="FootnoteReference"/>
        </w:rPr>
        <w:footnoteReference w:id="2"/>
      </w:r>
    </w:p>
    <w:p w14:paraId="076E6261" w14:textId="00979F5D" w:rsidR="00B95C71" w:rsidRPr="00B95C71" w:rsidRDefault="00B95C71" w:rsidP="00A64613">
      <w:pPr>
        <w:keepNext w:val="0"/>
      </w:pPr>
      <w:r w:rsidRPr="009E2456">
        <w:t xml:space="preserve">L’enseignante ou l’enseignant qui donne des cours dans le cadre des activités </w:t>
      </w:r>
      <w:r w:rsidR="008F7E9C">
        <w:t>« </w:t>
      </w:r>
      <w:r w:rsidRPr="009E2456">
        <w:t>École</w:t>
      </w:r>
      <w:r w:rsidR="00984A6F">
        <w:noBreakHyphen/>
      </w:r>
      <w:r w:rsidRPr="009E2456">
        <w:t>en</w:t>
      </w:r>
      <w:r w:rsidR="00984A6F">
        <w:noBreakHyphen/>
      </w:r>
      <w:r w:rsidRPr="009E2456">
        <w:t>mer</w:t>
      </w:r>
      <w:r w:rsidR="008F7E9C">
        <w:t> »</w:t>
      </w:r>
      <w:r w:rsidRPr="009E2456">
        <w:t xml:space="preserve"> n’est pas assujetti à la convention collective.</w:t>
      </w:r>
    </w:p>
    <w:p w14:paraId="166257EF" w14:textId="77777777" w:rsidR="00894348" w:rsidRDefault="00894348" w:rsidP="00A64613">
      <w:pPr>
        <w:pStyle w:val="NUMRODECLAUSE"/>
        <w:keepNext w:val="0"/>
      </w:pPr>
    </w:p>
    <w:p w14:paraId="55D4303C" w14:textId="3952532C" w:rsidR="00894348" w:rsidRPr="00026EC1" w:rsidRDefault="00894348" w:rsidP="00A64613">
      <w:pPr>
        <w:pStyle w:val="NUMRODECLAUSE"/>
        <w:keepNext w:val="0"/>
      </w:pPr>
      <w:r>
        <w:t>2</w:t>
      </w:r>
      <w:r w:rsidR="00984A6F">
        <w:noBreakHyphen/>
      </w:r>
      <w:r>
        <w:t>1.05</w:t>
      </w:r>
    </w:p>
    <w:p w14:paraId="484B416B" w14:textId="16D2D8A7" w:rsidR="00894348" w:rsidRPr="00894348" w:rsidRDefault="00894348" w:rsidP="00A64613">
      <w:pPr>
        <w:keepNext w:val="0"/>
        <w:ind w:right="-19"/>
      </w:pPr>
      <w:r w:rsidRPr="00894348">
        <w:t>L’enseignante ou l’enseignant qui donne des cours dans un programme de l’enseignement de l’ordre secondaire à l’École des pêches et de l’aquaculture du Québec</w:t>
      </w:r>
      <w:r w:rsidR="00565085">
        <w:t> </w:t>
      </w:r>
      <w:r w:rsidRPr="00894348">
        <w:t xml:space="preserve">(EPAQ) du Cégep de la Gaspésie et des Îles est assujetti à la convention collective. </w:t>
      </w:r>
    </w:p>
    <w:p w14:paraId="603B7536" w14:textId="77777777" w:rsidR="00271EF7" w:rsidRDefault="00271EF7" w:rsidP="00A64613">
      <w:pPr>
        <w:keepNext w:val="0"/>
        <w:sectPr w:rsidR="00271EF7" w:rsidSect="003D57C4">
          <w:headerReference w:type="default" r:id="rId20"/>
          <w:footnotePr>
            <w:numRestart w:val="eachPage"/>
          </w:footnotePr>
          <w:pgSz w:w="12240" w:h="15840" w:code="1"/>
          <w:pgMar w:top="720" w:right="1077" w:bottom="1242" w:left="1684" w:header="709" w:footer="709" w:gutter="0"/>
          <w:cols w:space="708"/>
          <w:docGrid w:linePitch="360"/>
        </w:sectPr>
      </w:pPr>
    </w:p>
    <w:p w14:paraId="0D9BCDEF" w14:textId="68FF6F2F" w:rsidR="00404F34" w:rsidRPr="00026EC1" w:rsidRDefault="00404F34" w:rsidP="00A64613">
      <w:pPr>
        <w:pStyle w:val="Heading2"/>
        <w:keepNext w:val="0"/>
        <w:tabs>
          <w:tab w:val="clear" w:pos="1843"/>
          <w:tab w:val="clear" w:pos="2127"/>
          <w:tab w:val="left" w:pos="1701"/>
          <w:tab w:val="left" w:pos="1985"/>
        </w:tabs>
        <w:ind w:left="1701" w:hanging="1701"/>
      </w:pPr>
      <w:bookmarkStart w:id="171" w:name="_Toc535046582"/>
      <w:bookmarkStart w:id="172" w:name="_Toc133760759"/>
      <w:bookmarkStart w:id="173" w:name="_Toc393444584"/>
      <w:bookmarkStart w:id="174" w:name="_Toc393449535"/>
      <w:bookmarkStart w:id="175" w:name="_Toc393460904"/>
      <w:bookmarkStart w:id="176" w:name="_Toc393461182"/>
      <w:bookmarkStart w:id="177" w:name="_Toc393720743"/>
      <w:bookmarkStart w:id="178" w:name="_Toc393783904"/>
      <w:bookmarkStart w:id="179" w:name="_Toc393784043"/>
      <w:bookmarkStart w:id="180" w:name="_Toc168479497"/>
      <w:r w:rsidRPr="00026EC1">
        <w:t>Article 2</w:t>
      </w:r>
      <w:r w:rsidR="00984A6F">
        <w:t>-</w:t>
      </w:r>
      <w:r w:rsidRPr="00026EC1">
        <w:t>2.00</w:t>
      </w:r>
      <w:r w:rsidR="003D2529" w:rsidRPr="00026EC1">
        <w:tab/>
      </w:r>
      <w:r w:rsidR="00984A6F">
        <w:t>-</w:t>
      </w:r>
      <w:r w:rsidR="003D2529" w:rsidRPr="00026EC1">
        <w:tab/>
      </w:r>
      <w:r w:rsidRPr="00026EC1">
        <w:t>Reconnaissance</w:t>
      </w:r>
      <w:bookmarkEnd w:id="171"/>
      <w:bookmarkEnd w:id="172"/>
      <w:bookmarkEnd w:id="173"/>
      <w:bookmarkEnd w:id="174"/>
      <w:bookmarkEnd w:id="175"/>
      <w:bookmarkEnd w:id="176"/>
      <w:bookmarkEnd w:id="177"/>
      <w:bookmarkEnd w:id="178"/>
      <w:bookmarkEnd w:id="179"/>
      <w:bookmarkEnd w:id="180"/>
    </w:p>
    <w:p w14:paraId="57568C25" w14:textId="5C7ED521" w:rsidR="005648BB" w:rsidRPr="00026EC1" w:rsidRDefault="00275751" w:rsidP="00A64613">
      <w:pPr>
        <w:pStyle w:val="NUMRODECLAUSE"/>
        <w:keepNext w:val="0"/>
      </w:pPr>
      <w:r w:rsidRPr="00026EC1">
        <w:t>2</w:t>
      </w:r>
      <w:r w:rsidR="00984A6F">
        <w:noBreakHyphen/>
      </w:r>
      <w:r w:rsidRPr="00026EC1">
        <w:t>2.01</w:t>
      </w:r>
    </w:p>
    <w:p w14:paraId="2E4B49AC" w14:textId="77777777" w:rsidR="005648BB" w:rsidRPr="00026EC1" w:rsidRDefault="005648BB" w:rsidP="00A64613">
      <w:pPr>
        <w:keepNext w:val="0"/>
      </w:pPr>
      <w:r w:rsidRPr="00026EC1">
        <w:t xml:space="preserve">Les parties, sans limiter leurs droits reconnus à la présente convention collective, reconnaissent la FNEEQ (CSN), la Fédération des cégeps et la ou le </w:t>
      </w:r>
      <w:r w:rsidR="00CD0C84" w:rsidRPr="00026EC1">
        <w:t>M</w:t>
      </w:r>
      <w:r w:rsidRPr="00026EC1">
        <w:t>inistre aux fins de traiter de toute question relative à l</w:t>
      </w:r>
      <w:r w:rsidR="004A41E4" w:rsidRPr="00026EC1">
        <w:t>’</w:t>
      </w:r>
      <w:r w:rsidRPr="00026EC1">
        <w:t>application et à l</w:t>
      </w:r>
      <w:r w:rsidR="004A41E4" w:rsidRPr="00026EC1">
        <w:t>’</w:t>
      </w:r>
      <w:r w:rsidRPr="00026EC1">
        <w:t>interprétation des dispositions de la présente convention collective ainsi que de toute question d</w:t>
      </w:r>
      <w:r w:rsidR="004A41E4" w:rsidRPr="00026EC1">
        <w:t>’</w:t>
      </w:r>
      <w:r w:rsidRPr="00026EC1">
        <w:t>intérêt commun.</w:t>
      </w:r>
    </w:p>
    <w:p w14:paraId="19562A59" w14:textId="77777777" w:rsidR="005648BB" w:rsidRPr="00026EC1" w:rsidRDefault="005648BB" w:rsidP="00A64613">
      <w:pPr>
        <w:keepNext w:val="0"/>
      </w:pPr>
    </w:p>
    <w:p w14:paraId="19A34A29" w14:textId="42EEEEF0" w:rsidR="005648BB" w:rsidRPr="00026EC1" w:rsidRDefault="00275751" w:rsidP="00A64613">
      <w:pPr>
        <w:pStyle w:val="NUMRODECLAUSE"/>
        <w:keepNext w:val="0"/>
      </w:pPr>
      <w:r w:rsidRPr="00026EC1">
        <w:t>2</w:t>
      </w:r>
      <w:r w:rsidR="00984A6F">
        <w:noBreakHyphen/>
      </w:r>
      <w:r w:rsidRPr="00026EC1">
        <w:t>2.02</w:t>
      </w:r>
    </w:p>
    <w:p w14:paraId="2860D8B8" w14:textId="3F63D19F" w:rsidR="005648BB" w:rsidRPr="00026EC1" w:rsidRDefault="005648BB" w:rsidP="00A64613">
      <w:pPr>
        <w:keepNext w:val="0"/>
      </w:pPr>
      <w:r w:rsidRPr="00026EC1">
        <w:t>Avant de procéder à une consultation de l</w:t>
      </w:r>
      <w:r w:rsidR="004A41E4" w:rsidRPr="00026EC1">
        <w:t>’</w:t>
      </w:r>
      <w:r w:rsidRPr="00026EC1">
        <w:t xml:space="preserve">ensemble des enseignantes et enseignants, la ou le </w:t>
      </w:r>
      <w:r w:rsidR="00F034A0" w:rsidRPr="00026EC1">
        <w:t>M</w:t>
      </w:r>
      <w:r w:rsidRPr="00026EC1">
        <w:t>inistre ou la Fédération des cégeps en informe la FNEEQ (CSN), lors d</w:t>
      </w:r>
      <w:r w:rsidR="004A41E4" w:rsidRPr="00026EC1">
        <w:t>’</w:t>
      </w:r>
      <w:r w:rsidRPr="00026EC1">
        <w:t>une rencontre prévue à la clause 2</w:t>
      </w:r>
      <w:r w:rsidR="00984A6F">
        <w:noBreakHyphen/>
      </w:r>
      <w:r w:rsidRPr="00026EC1">
        <w:t>2.03.</w:t>
      </w:r>
    </w:p>
    <w:p w14:paraId="2666CBCF" w14:textId="77777777" w:rsidR="005648BB" w:rsidRPr="00026EC1" w:rsidRDefault="005648BB" w:rsidP="00A64613">
      <w:pPr>
        <w:keepNext w:val="0"/>
        <w:rPr>
          <w:caps/>
        </w:rPr>
      </w:pPr>
    </w:p>
    <w:p w14:paraId="50A58A2E" w14:textId="77777777" w:rsidR="005648BB" w:rsidRPr="00026EC1" w:rsidRDefault="005648BB" w:rsidP="00A64613">
      <w:pPr>
        <w:keepNext w:val="0"/>
      </w:pPr>
      <w:r w:rsidRPr="00026EC1">
        <w:rPr>
          <w:caps/>
        </w:rPr>
        <w:t>à</w:t>
      </w:r>
      <w:r w:rsidRPr="00026EC1">
        <w:t xml:space="preserve"> l</w:t>
      </w:r>
      <w:r w:rsidR="004A41E4" w:rsidRPr="00026EC1">
        <w:t>’</w:t>
      </w:r>
      <w:r w:rsidRPr="00026EC1">
        <w:t>occasion de cette rencontre, elles ou ils remettent aux représentantes ou représentants de la FNEEQ (CSN) un (1) exemplaire des instruments devant servir à la consultation.</w:t>
      </w:r>
    </w:p>
    <w:p w14:paraId="79B2F993" w14:textId="77777777" w:rsidR="005648BB" w:rsidRPr="00026EC1" w:rsidRDefault="005648BB" w:rsidP="00A64613">
      <w:pPr>
        <w:keepNext w:val="0"/>
      </w:pPr>
    </w:p>
    <w:p w14:paraId="621D67B3" w14:textId="4EA5B98E" w:rsidR="005648BB" w:rsidRPr="00026EC1" w:rsidRDefault="00275751" w:rsidP="00A64613">
      <w:pPr>
        <w:pStyle w:val="NUMRODECLAUSE"/>
        <w:keepNext w:val="0"/>
      </w:pPr>
      <w:r w:rsidRPr="00026EC1">
        <w:t>2</w:t>
      </w:r>
      <w:r w:rsidR="00984A6F">
        <w:noBreakHyphen/>
      </w:r>
      <w:r w:rsidRPr="00026EC1">
        <w:t>2.03</w:t>
      </w:r>
    </w:p>
    <w:p w14:paraId="1D201C11" w14:textId="2B91BD70" w:rsidR="005648BB" w:rsidRPr="00026EC1" w:rsidRDefault="005648BB" w:rsidP="00A64613">
      <w:pPr>
        <w:keepNext w:val="0"/>
      </w:pPr>
      <w:r w:rsidRPr="00026EC1">
        <w:t>Aux fins de la clause 2</w:t>
      </w:r>
      <w:r w:rsidR="00984A6F">
        <w:noBreakHyphen/>
      </w:r>
      <w:r w:rsidRPr="00026EC1">
        <w:t xml:space="preserve">2.01, les représentantes ou représentants officiels de la FNEEQ (CSN) peuvent demander par écrit de rencontrer au niveau national les représentantes ou représentants de la Fédération des cégeps et de la ou du </w:t>
      </w:r>
      <w:r w:rsidR="00CD0C84" w:rsidRPr="00026EC1">
        <w:t>M</w:t>
      </w:r>
      <w:r w:rsidRPr="00026EC1">
        <w:t>inistre.</w:t>
      </w:r>
    </w:p>
    <w:p w14:paraId="73E16A13" w14:textId="77777777" w:rsidR="005648BB" w:rsidRPr="00026EC1" w:rsidRDefault="005648BB" w:rsidP="00A64613">
      <w:pPr>
        <w:keepNext w:val="0"/>
      </w:pPr>
    </w:p>
    <w:p w14:paraId="29AF5A0F" w14:textId="31BAF3BD" w:rsidR="005648BB" w:rsidRPr="00026EC1" w:rsidRDefault="005648BB" w:rsidP="00A64613">
      <w:pPr>
        <w:keepNext w:val="0"/>
      </w:pPr>
      <w:r w:rsidRPr="00026EC1">
        <w:t>Celles</w:t>
      </w:r>
      <w:r w:rsidR="00984A6F">
        <w:noBreakHyphen/>
      </w:r>
      <w:r w:rsidRPr="00026EC1">
        <w:t>ci ou ceux</w:t>
      </w:r>
      <w:r w:rsidR="00984A6F">
        <w:noBreakHyphen/>
      </w:r>
      <w:r w:rsidRPr="00026EC1">
        <w:t>ci sont tenus de recevoir les représentantes ou représentants de la FNEEQ (CSN) dans les dix (10) jours ouvrables de la demande et un procès</w:t>
      </w:r>
      <w:r w:rsidR="00984A6F">
        <w:noBreakHyphen/>
      </w:r>
      <w:r w:rsidRPr="00026EC1">
        <w:t>verbal est produit dans les dix (10) jours ouvrables qui suivent.</w:t>
      </w:r>
    </w:p>
    <w:p w14:paraId="471EAE5E" w14:textId="77777777" w:rsidR="005648BB" w:rsidRPr="00026EC1" w:rsidRDefault="005648BB" w:rsidP="00A64613">
      <w:pPr>
        <w:keepNext w:val="0"/>
      </w:pPr>
    </w:p>
    <w:p w14:paraId="7F141979" w14:textId="77777777" w:rsidR="005648BB" w:rsidRPr="00026EC1" w:rsidRDefault="005648BB" w:rsidP="00A64613">
      <w:pPr>
        <w:keepNext w:val="0"/>
      </w:pPr>
      <w:r w:rsidRPr="00026EC1">
        <w:t xml:space="preserve">De la même façon, les représentantes ou représentants de la Fédération des cégeps et de la ou du </w:t>
      </w:r>
      <w:r w:rsidR="009727D4" w:rsidRPr="00026EC1">
        <w:t>M</w:t>
      </w:r>
      <w:r w:rsidRPr="00026EC1">
        <w:t>inistre peuvent demander, aux mêmes conditions et aux mêmes fins, de rencontrer les représentantes ou représentants de la FNEEQ (CSN).</w:t>
      </w:r>
    </w:p>
    <w:p w14:paraId="4122222E" w14:textId="77777777" w:rsidR="005648BB" w:rsidRPr="00026EC1" w:rsidRDefault="005648BB" w:rsidP="00A64613">
      <w:pPr>
        <w:keepNext w:val="0"/>
      </w:pPr>
    </w:p>
    <w:p w14:paraId="558615DA" w14:textId="735F8C15" w:rsidR="005648BB" w:rsidRPr="00026EC1" w:rsidRDefault="00275751" w:rsidP="00A64613">
      <w:pPr>
        <w:pStyle w:val="NUMRODECLAUSE"/>
        <w:keepNext w:val="0"/>
      </w:pPr>
      <w:r w:rsidRPr="00026EC1">
        <w:t>2</w:t>
      </w:r>
      <w:r w:rsidR="00984A6F">
        <w:noBreakHyphen/>
      </w:r>
      <w:r w:rsidRPr="00026EC1">
        <w:t>2.04</w:t>
      </w:r>
    </w:p>
    <w:p w14:paraId="14012F8E" w14:textId="77777777" w:rsidR="005648BB" w:rsidRPr="00026EC1" w:rsidRDefault="005648BB" w:rsidP="00A64613">
      <w:pPr>
        <w:keepNext w:val="0"/>
      </w:pPr>
      <w:r w:rsidRPr="00026EC1">
        <w:t>Les représentantes ou représentants du Ministère et de la FNEEQ (CSN) se rencontrent sur demande pour discuter des projets que le Ministère se propose de mettre en œuvre et qui, par leur nature, sont susceptibles de modifier les conditions de travail des enseignantes et enseignants de cégeps ou pour discuter d</w:t>
      </w:r>
      <w:r w:rsidR="004A41E4" w:rsidRPr="00026EC1">
        <w:t>’</w:t>
      </w:r>
      <w:r w:rsidRPr="00026EC1">
        <w:t>autres sujets dont elles ou ils conviennent.</w:t>
      </w:r>
    </w:p>
    <w:p w14:paraId="0C8A0885" w14:textId="77777777" w:rsidR="005648BB" w:rsidRPr="00026EC1" w:rsidRDefault="005648BB" w:rsidP="00A64613">
      <w:pPr>
        <w:keepNext w:val="0"/>
      </w:pPr>
    </w:p>
    <w:p w14:paraId="2675970E" w14:textId="77777777" w:rsidR="005648BB" w:rsidRPr="00026EC1" w:rsidRDefault="005648BB" w:rsidP="00A64613">
      <w:pPr>
        <w:keepNext w:val="0"/>
      </w:pPr>
      <w:r w:rsidRPr="00026EC1">
        <w:t xml:space="preserve">La ou le </w:t>
      </w:r>
      <w:r w:rsidR="00CD0C84" w:rsidRPr="00026EC1">
        <w:t>M</w:t>
      </w:r>
      <w:r w:rsidRPr="00026EC1">
        <w:t>inistre transmet à la partie syndicale nationale, dans un délai raisonnable avant sa sanction ou son adoption, tout projet de loi ou de règlement susceptible de modifier les conditions de travail des enseignantes et enseignants de cégeps.</w:t>
      </w:r>
    </w:p>
    <w:p w14:paraId="0830CB88" w14:textId="77777777" w:rsidR="005648BB" w:rsidRPr="00026EC1" w:rsidRDefault="005648BB" w:rsidP="00A64613">
      <w:pPr>
        <w:keepNext w:val="0"/>
      </w:pPr>
    </w:p>
    <w:p w14:paraId="52FCD2E8" w14:textId="77777777" w:rsidR="005648BB" w:rsidRPr="00026EC1" w:rsidRDefault="005648BB" w:rsidP="00A64613">
      <w:pPr>
        <w:keepNext w:val="0"/>
      </w:pPr>
      <w:r w:rsidRPr="00026EC1">
        <w:t>Les représentantes et représentants du Ministère et celles et ceux de la FNEEQ (CSN) conviennent en outre que les échanges de renseignements et de positions sur ces questions auront lieu dans des délais suffisants pour permettre l</w:t>
      </w:r>
      <w:r w:rsidR="004A41E4" w:rsidRPr="00026EC1">
        <w:t>’</w:t>
      </w:r>
      <w:r w:rsidRPr="00026EC1">
        <w:t>analyse des projets; ces délais sont fixés par ces représentantes et représentants.</w:t>
      </w:r>
    </w:p>
    <w:p w14:paraId="4833F874" w14:textId="6A509578" w:rsidR="005648BB" w:rsidRPr="00026EC1" w:rsidRDefault="000D373C" w:rsidP="00A64613">
      <w:pPr>
        <w:pStyle w:val="NUMRODECLAUSE"/>
        <w:keepNext w:val="0"/>
      </w:pPr>
      <w:r w:rsidRPr="00026EC1">
        <w:br w:type="page"/>
      </w:r>
      <w:r w:rsidR="00275751" w:rsidRPr="00026EC1">
        <w:t>2</w:t>
      </w:r>
      <w:r w:rsidR="00984A6F">
        <w:noBreakHyphen/>
      </w:r>
      <w:r w:rsidR="00275751" w:rsidRPr="00026EC1">
        <w:t>2.05</w:t>
      </w:r>
    </w:p>
    <w:p w14:paraId="0CCF62BE" w14:textId="77777777" w:rsidR="005648BB" w:rsidRPr="00026EC1" w:rsidRDefault="005648BB" w:rsidP="00A64613">
      <w:pPr>
        <w:keepNext w:val="0"/>
      </w:pPr>
      <w:r w:rsidRPr="00026EC1">
        <w:t>Les parties nationales forment un comité national de rencontre (CNR). Il est composé de représentantes et représentants désignés par la FNEEQ (CSN), de représentantes et représentants désignés par le Ministère et par la Fédération des cégeps.</w:t>
      </w:r>
    </w:p>
    <w:p w14:paraId="0B0BDC62" w14:textId="77777777" w:rsidR="005648BB" w:rsidRPr="00026EC1" w:rsidRDefault="005648BB" w:rsidP="00A64613">
      <w:pPr>
        <w:keepNext w:val="0"/>
      </w:pPr>
    </w:p>
    <w:p w14:paraId="61124868" w14:textId="272E7B42" w:rsidR="005648BB" w:rsidRPr="00026EC1" w:rsidRDefault="005648BB" w:rsidP="00A64613">
      <w:pPr>
        <w:keepNext w:val="0"/>
      </w:pPr>
      <w:r w:rsidRPr="00026EC1">
        <w:t>Ce comité a pour mandat</w:t>
      </w:r>
      <w:r w:rsidR="00D8581B">
        <w:t> :</w:t>
      </w:r>
    </w:p>
    <w:p w14:paraId="1570AF73" w14:textId="77777777" w:rsidR="005648BB" w:rsidRPr="00026EC1" w:rsidRDefault="005648BB" w:rsidP="00A64613">
      <w:pPr>
        <w:keepNext w:val="0"/>
      </w:pPr>
    </w:p>
    <w:p w14:paraId="1F07974F" w14:textId="77777777" w:rsidR="005648BB" w:rsidRPr="00026EC1" w:rsidRDefault="00275751" w:rsidP="00A64613">
      <w:pPr>
        <w:keepNext w:val="0"/>
        <w:tabs>
          <w:tab w:val="left" w:pos="567"/>
        </w:tabs>
        <w:ind w:left="567" w:hanging="567"/>
      </w:pPr>
      <w:r w:rsidRPr="00026EC1">
        <w:t>a)</w:t>
      </w:r>
      <w:r w:rsidRPr="00026EC1">
        <w:tab/>
      </w:r>
      <w:r w:rsidR="005648BB" w:rsidRPr="00026EC1">
        <w:t>d</w:t>
      </w:r>
      <w:r w:rsidR="004A41E4" w:rsidRPr="00026EC1">
        <w:t>’</w:t>
      </w:r>
      <w:r w:rsidR="005648BB" w:rsidRPr="00026EC1">
        <w:t>examiner les effets de la transformation du réseau sur l</w:t>
      </w:r>
      <w:r w:rsidR="004A41E4" w:rsidRPr="00026EC1">
        <w:t>’</w:t>
      </w:r>
      <w:r w:rsidR="005648BB" w:rsidRPr="00026EC1">
        <w:t>emploi;</w:t>
      </w:r>
    </w:p>
    <w:p w14:paraId="014484F3" w14:textId="77777777" w:rsidR="005648BB" w:rsidRPr="00026EC1" w:rsidRDefault="005648BB" w:rsidP="00A64613">
      <w:pPr>
        <w:keepNext w:val="0"/>
      </w:pPr>
    </w:p>
    <w:p w14:paraId="3CAD0A30" w14:textId="26389FBF" w:rsidR="00CD0C84" w:rsidRPr="00026EC1" w:rsidRDefault="00275751" w:rsidP="00A64613">
      <w:pPr>
        <w:keepNext w:val="0"/>
        <w:tabs>
          <w:tab w:val="left" w:pos="567"/>
        </w:tabs>
        <w:ind w:left="567" w:hanging="567"/>
      </w:pPr>
      <w:r w:rsidRPr="00026EC1">
        <w:t>b)</w:t>
      </w:r>
      <w:r w:rsidRPr="00026EC1">
        <w:tab/>
      </w:r>
      <w:r w:rsidR="005648BB" w:rsidRPr="00026EC1">
        <w:rPr>
          <w:b/>
          <w:i/>
          <w:u w:val="single"/>
        </w:rPr>
        <w:t>Scolarité et diplôme de maîtrise</w:t>
      </w:r>
      <w:r w:rsidR="00D8581B">
        <w:rPr>
          <w:b/>
          <w:i/>
        </w:rPr>
        <w:t> :</w:t>
      </w:r>
    </w:p>
    <w:p w14:paraId="556C97D9" w14:textId="2CF25DF4" w:rsidR="005648BB"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5648BB" w:rsidRPr="00026EC1">
        <w:t>de traiter les plaintes relatives à l</w:t>
      </w:r>
      <w:r w:rsidR="004A41E4" w:rsidRPr="00026EC1">
        <w:t>’</w:t>
      </w:r>
      <w:r w:rsidR="005648BB" w:rsidRPr="00026EC1">
        <w:t>évaluation de la scolarité et à la reconnaissance du diplôme de maîtrise aux fins de la rémunération qui lui sont confiées en vertu de l</w:t>
      </w:r>
      <w:r w:rsidR="004A41E4" w:rsidRPr="00026EC1">
        <w:t>’</w:t>
      </w:r>
      <w:r w:rsidR="005648BB" w:rsidRPr="00026EC1">
        <w:t>article</w:t>
      </w:r>
      <w:r w:rsidR="00AA36ED" w:rsidRPr="00026EC1">
        <w:t> </w:t>
      </w:r>
      <w:r w:rsidR="005648BB" w:rsidRPr="00026EC1">
        <w:t>6</w:t>
      </w:r>
      <w:r w:rsidR="00984A6F">
        <w:noBreakHyphen/>
      </w:r>
      <w:r w:rsidR="005648BB" w:rsidRPr="00026EC1">
        <w:t>3.00;</w:t>
      </w:r>
    </w:p>
    <w:p w14:paraId="420A3EEB" w14:textId="77777777" w:rsidR="005648BB" w:rsidRPr="00026EC1" w:rsidRDefault="005648BB" w:rsidP="00A64613">
      <w:pPr>
        <w:keepNext w:val="0"/>
      </w:pPr>
    </w:p>
    <w:p w14:paraId="1E1C841B" w14:textId="0DC13F1D" w:rsidR="00CD0C84" w:rsidRPr="00F854D0" w:rsidRDefault="00275751" w:rsidP="00A64613">
      <w:pPr>
        <w:keepNext w:val="0"/>
        <w:tabs>
          <w:tab w:val="left" w:pos="567"/>
        </w:tabs>
        <w:ind w:left="567" w:hanging="567"/>
        <w:rPr>
          <w:b/>
        </w:rPr>
      </w:pPr>
      <w:r w:rsidRPr="00F854D0">
        <w:t>c)</w:t>
      </w:r>
      <w:r w:rsidRPr="00F854D0">
        <w:tab/>
      </w:r>
      <w:r w:rsidR="005648BB" w:rsidRPr="00F854D0">
        <w:rPr>
          <w:b/>
          <w:i/>
          <w:u w:val="single"/>
        </w:rPr>
        <w:t>Programmes à faible effectif</w:t>
      </w:r>
      <w:r w:rsidR="00D8581B" w:rsidRPr="00F854D0">
        <w:rPr>
          <w:b/>
        </w:rPr>
        <w:t> :</w:t>
      </w:r>
      <w:r w:rsidR="005648BB" w:rsidRPr="00F854D0">
        <w:rPr>
          <w:b/>
        </w:rPr>
        <w:t xml:space="preserve"> </w:t>
      </w:r>
    </w:p>
    <w:p w14:paraId="4704C544" w14:textId="72358CE5" w:rsidR="005648BB" w:rsidRPr="00F854D0" w:rsidRDefault="00275751" w:rsidP="00A64613">
      <w:pPr>
        <w:keepNext w:val="0"/>
        <w:tabs>
          <w:tab w:val="left" w:pos="1134"/>
        </w:tabs>
        <w:ind w:left="1134" w:hanging="567"/>
      </w:pPr>
      <w:r w:rsidRPr="00F854D0">
        <w:rPr>
          <w:rFonts w:ascii="Symbol" w:hAnsi="Symbol"/>
        </w:rPr>
        <w:t></w:t>
      </w:r>
      <w:r w:rsidRPr="00F854D0">
        <w:rPr>
          <w:rFonts w:ascii="Symbol" w:hAnsi="Symbol"/>
        </w:rPr>
        <w:tab/>
      </w:r>
      <w:r w:rsidR="005648BB" w:rsidRPr="00F854D0">
        <w:t>de discuter de la problématique des programmes à faible effectif (petites cohortes), en particulier pour les collèges à l</w:t>
      </w:r>
      <w:r w:rsidR="004A41E4" w:rsidRPr="00F854D0">
        <w:t>’</w:t>
      </w:r>
      <w:r w:rsidR="005648BB" w:rsidRPr="00F854D0">
        <w:t>extérieur des grands centres, afin d</w:t>
      </w:r>
      <w:r w:rsidR="004A41E4" w:rsidRPr="00F854D0">
        <w:t>’</w:t>
      </w:r>
      <w:r w:rsidR="005648BB" w:rsidRPr="00F854D0">
        <w:t>étudier la situation et d</w:t>
      </w:r>
      <w:r w:rsidR="004A41E4" w:rsidRPr="00F854D0">
        <w:t>’</w:t>
      </w:r>
      <w:r w:rsidR="005648BB" w:rsidRPr="00F854D0">
        <w:t>échanger leur point de vue respectif en</w:t>
      </w:r>
      <w:r w:rsidR="00D8581B" w:rsidRPr="00F854D0">
        <w:t> :</w:t>
      </w:r>
      <w:r w:rsidR="005648BB" w:rsidRPr="00F854D0">
        <w:t xml:space="preserve"> </w:t>
      </w:r>
    </w:p>
    <w:p w14:paraId="1D10AA28" w14:textId="77777777" w:rsidR="005648BB" w:rsidRPr="00F854D0" w:rsidRDefault="005648BB" w:rsidP="00A64613">
      <w:pPr>
        <w:keepNext w:val="0"/>
      </w:pPr>
    </w:p>
    <w:p w14:paraId="235C7BF4" w14:textId="77777777" w:rsidR="005648BB" w:rsidRPr="00F854D0" w:rsidRDefault="00275751" w:rsidP="00A64613">
      <w:pPr>
        <w:keepNext w:val="0"/>
        <w:tabs>
          <w:tab w:val="left" w:pos="1701"/>
        </w:tabs>
        <w:ind w:left="1701" w:hanging="567"/>
      </w:pPr>
      <w:r w:rsidRPr="00F854D0">
        <w:rPr>
          <w:rFonts w:ascii="Symbol" w:hAnsi="Symbol"/>
        </w:rPr>
        <w:t></w:t>
      </w:r>
      <w:r w:rsidRPr="00F854D0">
        <w:rPr>
          <w:rFonts w:ascii="Symbol" w:hAnsi="Symbol"/>
        </w:rPr>
        <w:tab/>
      </w:r>
      <w:r w:rsidR="005648BB" w:rsidRPr="00F854D0">
        <w:t>analysant la situation qui a cours dans les collèges qui éprouvent des difficultés de recrutement dans certains programmes;</w:t>
      </w:r>
    </w:p>
    <w:p w14:paraId="2E0BF4B1" w14:textId="77777777" w:rsidR="005648BB" w:rsidRPr="00F854D0" w:rsidRDefault="005648BB" w:rsidP="00A64613">
      <w:pPr>
        <w:keepNext w:val="0"/>
        <w:tabs>
          <w:tab w:val="left" w:pos="1701"/>
        </w:tabs>
        <w:ind w:left="1701" w:hanging="567"/>
        <w:rPr>
          <w:szCs w:val="24"/>
        </w:rPr>
      </w:pPr>
    </w:p>
    <w:p w14:paraId="1BB6F4DB" w14:textId="77777777" w:rsidR="005648BB" w:rsidRPr="00F854D0" w:rsidRDefault="00275751" w:rsidP="00A64613">
      <w:pPr>
        <w:keepNext w:val="0"/>
        <w:tabs>
          <w:tab w:val="left" w:pos="1701"/>
        </w:tabs>
        <w:ind w:left="1701" w:hanging="567"/>
      </w:pPr>
      <w:r w:rsidRPr="00F854D0">
        <w:rPr>
          <w:rFonts w:ascii="Symbol" w:hAnsi="Symbol"/>
        </w:rPr>
        <w:t></w:t>
      </w:r>
      <w:r w:rsidRPr="00F854D0">
        <w:rPr>
          <w:rFonts w:ascii="Symbol" w:hAnsi="Symbol"/>
        </w:rPr>
        <w:tab/>
      </w:r>
      <w:r w:rsidR="005648BB" w:rsidRPr="00F854D0">
        <w:t>documentant chacune des dimensions touchées par la problématique des petites cohortes, notamment celle du financement, celle de la gestion de l</w:t>
      </w:r>
      <w:r w:rsidR="004A41E4" w:rsidRPr="00F854D0">
        <w:t>’</w:t>
      </w:r>
      <w:r w:rsidR="005648BB" w:rsidRPr="00F854D0">
        <w:t>offre de programme et celle du développement de nouveaux programmes;</w:t>
      </w:r>
    </w:p>
    <w:p w14:paraId="54DC4522" w14:textId="77777777" w:rsidR="005648BB" w:rsidRPr="00F854D0" w:rsidRDefault="005648BB" w:rsidP="00A64613">
      <w:pPr>
        <w:keepNext w:val="0"/>
        <w:tabs>
          <w:tab w:val="left" w:pos="900"/>
          <w:tab w:val="left" w:pos="1701"/>
        </w:tabs>
        <w:ind w:left="1701" w:hanging="567"/>
        <w:rPr>
          <w:szCs w:val="24"/>
        </w:rPr>
      </w:pPr>
    </w:p>
    <w:p w14:paraId="2154FF72" w14:textId="77777777" w:rsidR="005648BB" w:rsidRPr="00F854D0" w:rsidRDefault="00275751" w:rsidP="00A64613">
      <w:pPr>
        <w:keepNext w:val="0"/>
        <w:tabs>
          <w:tab w:val="left" w:pos="1701"/>
        </w:tabs>
        <w:ind w:left="1701" w:hanging="567"/>
      </w:pPr>
      <w:r w:rsidRPr="00F854D0">
        <w:rPr>
          <w:rFonts w:ascii="Symbol" w:hAnsi="Symbol"/>
        </w:rPr>
        <w:t></w:t>
      </w:r>
      <w:r w:rsidRPr="00F854D0">
        <w:rPr>
          <w:rFonts w:ascii="Symbol" w:hAnsi="Symbol"/>
        </w:rPr>
        <w:tab/>
      </w:r>
      <w:r w:rsidR="005648BB" w:rsidRPr="00F854D0">
        <w:t>mesurant l</w:t>
      </w:r>
      <w:r w:rsidR="004A41E4" w:rsidRPr="00F854D0">
        <w:t>’</w:t>
      </w:r>
      <w:r w:rsidR="005648BB" w:rsidRPr="00F854D0">
        <w:t>impact des petites cohortes sur l</w:t>
      </w:r>
      <w:r w:rsidR="004A41E4" w:rsidRPr="00F854D0">
        <w:t>’</w:t>
      </w:r>
      <w:r w:rsidR="005648BB" w:rsidRPr="00F854D0">
        <w:t>organisation du travail;</w:t>
      </w:r>
    </w:p>
    <w:p w14:paraId="54D886F0" w14:textId="77777777" w:rsidR="005648BB" w:rsidRPr="00F854D0" w:rsidRDefault="005648BB" w:rsidP="00A64613">
      <w:pPr>
        <w:keepNext w:val="0"/>
        <w:tabs>
          <w:tab w:val="left" w:pos="900"/>
          <w:tab w:val="left" w:pos="1701"/>
        </w:tabs>
        <w:ind w:left="1701" w:hanging="567"/>
        <w:rPr>
          <w:szCs w:val="24"/>
        </w:rPr>
      </w:pPr>
    </w:p>
    <w:p w14:paraId="11BD8CD1" w14:textId="77777777" w:rsidR="005648BB" w:rsidRPr="00F854D0" w:rsidRDefault="00275751" w:rsidP="00A64613">
      <w:pPr>
        <w:keepNext w:val="0"/>
        <w:tabs>
          <w:tab w:val="left" w:pos="1701"/>
        </w:tabs>
        <w:ind w:left="1701" w:hanging="567"/>
      </w:pPr>
      <w:r w:rsidRPr="00F854D0">
        <w:rPr>
          <w:rFonts w:ascii="Symbol" w:hAnsi="Symbol"/>
        </w:rPr>
        <w:t></w:t>
      </w:r>
      <w:r w:rsidRPr="00F854D0">
        <w:rPr>
          <w:rFonts w:ascii="Symbol" w:hAnsi="Symbol"/>
        </w:rPr>
        <w:tab/>
      </w:r>
      <w:r w:rsidR="005648BB" w:rsidRPr="00F854D0">
        <w:t>inventoriant les hypothèses qui pourraient déboucher sur des solutions durables et permanentes;</w:t>
      </w:r>
    </w:p>
    <w:p w14:paraId="2FCFE96C" w14:textId="77777777" w:rsidR="005648BB" w:rsidRPr="00F854D0" w:rsidRDefault="005648BB" w:rsidP="00A64613">
      <w:pPr>
        <w:pStyle w:val="ListParagraph"/>
        <w:tabs>
          <w:tab w:val="left" w:pos="1701"/>
        </w:tabs>
        <w:suppressAutoHyphens/>
        <w:ind w:left="1701" w:hanging="567"/>
        <w:rPr>
          <w:szCs w:val="24"/>
        </w:rPr>
      </w:pPr>
    </w:p>
    <w:p w14:paraId="563A9040" w14:textId="77777777" w:rsidR="005648BB" w:rsidRPr="00F854D0" w:rsidRDefault="00275751" w:rsidP="00A64613">
      <w:pPr>
        <w:keepNext w:val="0"/>
        <w:tabs>
          <w:tab w:val="left" w:pos="1701"/>
        </w:tabs>
        <w:ind w:left="1701" w:hanging="567"/>
      </w:pPr>
      <w:r w:rsidRPr="00F854D0">
        <w:rPr>
          <w:rFonts w:ascii="Symbol" w:hAnsi="Symbol"/>
        </w:rPr>
        <w:t></w:t>
      </w:r>
      <w:r w:rsidRPr="00F854D0">
        <w:rPr>
          <w:rFonts w:ascii="Symbol" w:hAnsi="Symbol"/>
        </w:rPr>
        <w:tab/>
      </w:r>
      <w:r w:rsidR="005648BB" w:rsidRPr="00F854D0">
        <w:t>informant régulièrement les parties nationales de l</w:t>
      </w:r>
      <w:r w:rsidR="004A41E4" w:rsidRPr="00F854D0">
        <w:t>’</w:t>
      </w:r>
      <w:r w:rsidR="005648BB" w:rsidRPr="00F854D0">
        <w:t>état de l</w:t>
      </w:r>
      <w:r w:rsidR="004A41E4" w:rsidRPr="00F854D0">
        <w:t>’</w:t>
      </w:r>
      <w:r w:rsidR="005648BB" w:rsidRPr="00F854D0">
        <w:t>avancement de ses travaux et transmettant toute l</w:t>
      </w:r>
      <w:r w:rsidR="004A41E4" w:rsidRPr="00F854D0">
        <w:t>’</w:t>
      </w:r>
      <w:r w:rsidR="005648BB" w:rsidRPr="00F854D0">
        <w:t>information jugée pertinente.</w:t>
      </w:r>
    </w:p>
    <w:p w14:paraId="23AC54AC" w14:textId="77777777" w:rsidR="001A153A" w:rsidRPr="00F854D0" w:rsidRDefault="001A153A" w:rsidP="00A64613">
      <w:pPr>
        <w:keepNext w:val="0"/>
        <w:tabs>
          <w:tab w:val="left" w:pos="1701"/>
        </w:tabs>
        <w:ind w:left="1701" w:hanging="567"/>
      </w:pPr>
    </w:p>
    <w:p w14:paraId="24A6720F" w14:textId="14BF40CE" w:rsidR="00232217" w:rsidRDefault="006A3BC1" w:rsidP="00A64613">
      <w:pPr>
        <w:keepNext w:val="0"/>
        <w:ind w:left="1134" w:hanging="567"/>
      </w:pPr>
      <w:r w:rsidRPr="00F854D0">
        <w:rPr>
          <w:rFonts w:ascii="Symbol" w:hAnsi="Symbol"/>
        </w:rPr>
        <w:t></w:t>
      </w:r>
      <w:r w:rsidRPr="00F854D0">
        <w:rPr>
          <w:rFonts w:ascii="Symbol" w:hAnsi="Symbol"/>
        </w:rPr>
        <w:tab/>
      </w:r>
      <w:r w:rsidR="001B4E18" w:rsidRPr="00F854D0">
        <w:t>l</w:t>
      </w:r>
      <w:r w:rsidRPr="00F854D0">
        <w:t>e</w:t>
      </w:r>
      <w:r w:rsidR="00B10934" w:rsidRPr="00F854D0">
        <w:t xml:space="preserve">s </w:t>
      </w:r>
      <w:r w:rsidR="006264F3" w:rsidRPr="00F854D0">
        <w:t xml:space="preserve">travaux doivent </w:t>
      </w:r>
      <w:r w:rsidR="002B7D80" w:rsidRPr="00F854D0">
        <w:t>être</w:t>
      </w:r>
      <w:r w:rsidR="006264F3" w:rsidRPr="00F854D0">
        <w:t xml:space="preserve"> termin</w:t>
      </w:r>
      <w:r w:rsidR="002B7D80" w:rsidRPr="00F854D0">
        <w:t>és</w:t>
      </w:r>
      <w:r w:rsidR="006264F3" w:rsidRPr="00F854D0">
        <w:t xml:space="preserve"> </w:t>
      </w:r>
      <w:r w:rsidR="002B7D80" w:rsidRPr="00F854D0">
        <w:t>au plus tard à l’échéance de la convention collective</w:t>
      </w:r>
      <w:r w:rsidR="0096417A" w:rsidRPr="00F854D0">
        <w:t>.</w:t>
      </w:r>
    </w:p>
    <w:p w14:paraId="0825D0AB" w14:textId="77777777" w:rsidR="005847C3" w:rsidRPr="00F854D0" w:rsidRDefault="005847C3" w:rsidP="00A64613">
      <w:pPr>
        <w:keepNext w:val="0"/>
        <w:ind w:left="1134" w:hanging="567"/>
      </w:pPr>
    </w:p>
    <w:p w14:paraId="2CB6AD07" w14:textId="2B87F2E6" w:rsidR="005847C3" w:rsidRDefault="005847C3" w:rsidP="005847C3">
      <w:pPr>
        <w:keepNext w:val="0"/>
        <w:tabs>
          <w:tab w:val="left" w:pos="567"/>
        </w:tabs>
        <w:ind w:left="567" w:hanging="567"/>
        <w:rPr>
          <w:b/>
        </w:rPr>
      </w:pPr>
      <w:r w:rsidRPr="00316277">
        <w:t>d)</w:t>
      </w:r>
      <w:r w:rsidRPr="00316277">
        <w:tab/>
      </w:r>
      <w:r w:rsidRPr="00316277">
        <w:rPr>
          <w:b/>
          <w:i/>
          <w:u w:val="single"/>
        </w:rPr>
        <w:t xml:space="preserve">Ressources pour </w:t>
      </w:r>
      <w:r w:rsidR="00FA4A87" w:rsidRPr="00316277">
        <w:rPr>
          <w:b/>
          <w:i/>
          <w:u w:val="single"/>
        </w:rPr>
        <w:t>l’adapt</w:t>
      </w:r>
      <w:r w:rsidR="00550A73" w:rsidRPr="00316277">
        <w:rPr>
          <w:b/>
          <w:i/>
          <w:u w:val="single"/>
        </w:rPr>
        <w:t>at</w:t>
      </w:r>
      <w:r w:rsidR="00FA4A87" w:rsidRPr="00316277">
        <w:rPr>
          <w:b/>
          <w:i/>
          <w:u w:val="single"/>
        </w:rPr>
        <w:t>ion</w:t>
      </w:r>
      <w:r w:rsidRPr="00316277">
        <w:rPr>
          <w:b/>
          <w:i/>
          <w:u w:val="single"/>
        </w:rPr>
        <w:t xml:space="preserve"> numérique en formation à distance</w:t>
      </w:r>
      <w:r w:rsidRPr="00316277">
        <w:rPr>
          <w:b/>
        </w:rPr>
        <w:t> :</w:t>
      </w:r>
    </w:p>
    <w:p w14:paraId="211FBCC0" w14:textId="218E83AC" w:rsidR="00FB244A" w:rsidRPr="00316277" w:rsidRDefault="00047712" w:rsidP="00047712">
      <w:pPr>
        <w:keepNext w:val="0"/>
        <w:suppressAutoHyphens w:val="0"/>
        <w:spacing w:line="259" w:lineRule="auto"/>
        <w:ind w:left="1134" w:hanging="567"/>
        <w:rPr>
          <w:rFonts w:cs="Arial"/>
          <w:snapToGrid/>
          <w:szCs w:val="24"/>
          <w:lang w:eastAsia="fr-CA"/>
        </w:rPr>
      </w:pPr>
      <w:r w:rsidRPr="00F854D0">
        <w:rPr>
          <w:rFonts w:ascii="Symbol" w:hAnsi="Symbol"/>
        </w:rPr>
        <w:t></w:t>
      </w:r>
      <w:r>
        <w:rPr>
          <w:rFonts w:ascii="Symbol" w:hAnsi="Symbol"/>
        </w:rPr>
        <w:tab/>
      </w:r>
      <w:r w:rsidR="00FB244A" w:rsidRPr="00316277">
        <w:rPr>
          <w:rFonts w:cs="Arial"/>
          <w:snapToGrid/>
          <w:szCs w:val="24"/>
          <w:lang w:eastAsia="fr-CA"/>
        </w:rPr>
        <w:t>de convenir, s’il y a lieu, de la répartition du solde non</w:t>
      </w:r>
      <w:r w:rsidR="00FA4A87" w:rsidRPr="00316277">
        <w:rPr>
          <w:rFonts w:cs="Arial"/>
          <w:snapToGrid/>
          <w:szCs w:val="24"/>
          <w:lang w:eastAsia="fr-CA"/>
        </w:rPr>
        <w:t xml:space="preserve"> </w:t>
      </w:r>
      <w:r w:rsidR="00FB244A" w:rsidRPr="00316277">
        <w:rPr>
          <w:rFonts w:cs="Arial"/>
          <w:snapToGrid/>
          <w:szCs w:val="24"/>
          <w:lang w:eastAsia="fr-CA"/>
        </w:rPr>
        <w:t xml:space="preserve">utilisé des ressources de l’année précédente à d’autres besoins de la formation à distance, </w:t>
      </w:r>
      <w:r w:rsidR="00FA4A87" w:rsidRPr="00316277">
        <w:rPr>
          <w:rFonts w:cs="Arial"/>
          <w:snapToGrid/>
          <w:szCs w:val="24"/>
          <w:lang w:eastAsia="fr-CA"/>
        </w:rPr>
        <w:t xml:space="preserve">notamment à ceux liés au développement, conformément au dernier paragraphe de </w:t>
      </w:r>
      <w:r w:rsidR="00FB244A" w:rsidRPr="00316277">
        <w:rPr>
          <w:rFonts w:cs="Arial"/>
          <w:snapToGrid/>
          <w:szCs w:val="24"/>
          <w:lang w:eastAsia="fr-CA"/>
        </w:rPr>
        <w:t>l’</w:t>
      </w:r>
      <w:r w:rsidR="00FA4A87" w:rsidRPr="00316277">
        <w:rPr>
          <w:rFonts w:cs="Arial"/>
          <w:snapToGrid/>
          <w:szCs w:val="24"/>
          <w:lang w:eastAsia="fr-CA"/>
        </w:rPr>
        <w:t>A</w:t>
      </w:r>
      <w:r w:rsidR="00FB244A" w:rsidRPr="00316277">
        <w:rPr>
          <w:rFonts w:cs="Arial"/>
          <w:snapToGrid/>
          <w:szCs w:val="24"/>
          <w:lang w:eastAsia="fr-CA"/>
        </w:rPr>
        <w:t>nnexe</w:t>
      </w:r>
      <w:r w:rsidR="000E6557" w:rsidRPr="00316277">
        <w:rPr>
          <w:rFonts w:cs="Arial"/>
          <w:snapToGrid/>
          <w:szCs w:val="24"/>
          <w:lang w:eastAsia="fr-CA"/>
        </w:rPr>
        <w:t> </w:t>
      </w:r>
      <w:r w:rsidR="00FB244A" w:rsidRPr="00316277">
        <w:rPr>
          <w:rFonts w:cs="Arial"/>
          <w:snapToGrid/>
          <w:szCs w:val="24"/>
          <w:lang w:eastAsia="fr-CA"/>
        </w:rPr>
        <w:t>I-</w:t>
      </w:r>
      <w:r w:rsidR="00FA4A87" w:rsidRPr="00316277">
        <w:rPr>
          <w:rFonts w:cs="Arial"/>
          <w:snapToGrid/>
          <w:szCs w:val="24"/>
          <w:lang w:eastAsia="fr-CA"/>
        </w:rPr>
        <w:t>19</w:t>
      </w:r>
      <w:r w:rsidR="00FB244A" w:rsidRPr="00316277">
        <w:rPr>
          <w:rFonts w:cs="Arial"/>
          <w:snapToGrid/>
          <w:szCs w:val="24"/>
          <w:lang w:eastAsia="fr-CA"/>
        </w:rPr>
        <w:t>.</w:t>
      </w:r>
    </w:p>
    <w:p w14:paraId="735E1DEB" w14:textId="77777777" w:rsidR="00047712" w:rsidRPr="00316277" w:rsidRDefault="00047712" w:rsidP="00047712">
      <w:pPr>
        <w:keepNext w:val="0"/>
        <w:suppressAutoHyphens w:val="0"/>
        <w:spacing w:line="259" w:lineRule="auto"/>
        <w:ind w:left="1134" w:hanging="567"/>
        <w:rPr>
          <w:rFonts w:cs="Arial"/>
          <w:b/>
          <w:bCs/>
          <w:snapToGrid/>
          <w:sz w:val="20"/>
          <w:lang w:eastAsia="fr-CA"/>
        </w:rPr>
      </w:pPr>
    </w:p>
    <w:p w14:paraId="5998C97F" w14:textId="2F78CD3C" w:rsidR="00FB244A" w:rsidRDefault="00FB244A" w:rsidP="00AC1C94">
      <w:pPr>
        <w:keepNext w:val="0"/>
        <w:suppressAutoHyphens w:val="0"/>
        <w:spacing w:line="259" w:lineRule="auto"/>
        <w:ind w:left="567"/>
        <w:rPr>
          <w:rFonts w:cs="Arial"/>
          <w:snapToGrid/>
          <w:szCs w:val="24"/>
          <w:lang w:eastAsia="fr-CA"/>
        </w:rPr>
      </w:pPr>
      <w:r w:rsidRPr="00316277">
        <w:rPr>
          <w:rFonts w:cs="Arial"/>
          <w:snapToGrid/>
          <w:szCs w:val="24"/>
          <w:lang w:eastAsia="fr-CA"/>
        </w:rPr>
        <w:t>Deux</w:t>
      </w:r>
      <w:r w:rsidR="00F854D0" w:rsidRPr="00316277">
        <w:rPr>
          <w:rFonts w:cs="Arial"/>
          <w:snapToGrid/>
          <w:szCs w:val="24"/>
          <w:lang w:eastAsia="fr-CA"/>
        </w:rPr>
        <w:t> </w:t>
      </w:r>
      <w:r w:rsidRPr="00316277">
        <w:rPr>
          <w:rFonts w:cs="Arial"/>
          <w:snapToGrid/>
          <w:szCs w:val="24"/>
          <w:lang w:eastAsia="fr-CA"/>
        </w:rPr>
        <w:t>(2) représentantes ou représentants désignés par la FEC (CSQ) peuvent participer aux travaux liés à ce mandat si cette fédération syndicale le désire.</w:t>
      </w:r>
    </w:p>
    <w:p w14:paraId="5576EC5F" w14:textId="6CD9D0E6" w:rsidR="00FB244A" w:rsidRPr="00316277" w:rsidRDefault="00F854D0" w:rsidP="0056429C">
      <w:pPr>
        <w:keepNext w:val="0"/>
        <w:tabs>
          <w:tab w:val="left" w:pos="567"/>
        </w:tabs>
        <w:suppressAutoHyphens w:val="0"/>
        <w:spacing w:line="259" w:lineRule="auto"/>
        <w:ind w:left="567" w:hanging="567"/>
        <w:rPr>
          <w:rFonts w:cs="Arial"/>
          <w:b/>
          <w:bCs/>
          <w:snapToGrid/>
          <w:szCs w:val="24"/>
          <w:lang w:eastAsia="fr-CA"/>
        </w:rPr>
      </w:pPr>
      <w:r w:rsidRPr="00316277">
        <w:rPr>
          <w:rFonts w:cs="Arial"/>
          <w:snapToGrid/>
          <w:szCs w:val="24"/>
          <w:lang w:eastAsia="fr-CA"/>
        </w:rPr>
        <w:t>e</w:t>
      </w:r>
      <w:r w:rsidR="00FB244A" w:rsidRPr="00316277">
        <w:rPr>
          <w:rFonts w:cs="Arial"/>
          <w:snapToGrid/>
          <w:szCs w:val="24"/>
          <w:lang w:eastAsia="fr-CA"/>
        </w:rPr>
        <w:t>)</w:t>
      </w:r>
      <w:r w:rsidR="00FB244A" w:rsidRPr="00316277">
        <w:rPr>
          <w:rFonts w:cs="Arial"/>
          <w:b/>
          <w:bCs/>
          <w:snapToGrid/>
          <w:szCs w:val="24"/>
          <w:lang w:eastAsia="fr-CA"/>
        </w:rPr>
        <w:tab/>
      </w:r>
      <w:r w:rsidR="00FB244A" w:rsidRPr="00316277">
        <w:rPr>
          <w:rFonts w:cs="Arial"/>
          <w:b/>
          <w:bCs/>
          <w:i/>
          <w:iCs/>
          <w:snapToGrid/>
          <w:szCs w:val="24"/>
          <w:u w:val="single"/>
          <w:lang w:eastAsia="fr-CA"/>
        </w:rPr>
        <w:t>Suivi du projet pilote en soins infirmiers :</w:t>
      </w:r>
      <w:r w:rsidR="00FB244A" w:rsidRPr="00316277">
        <w:rPr>
          <w:rFonts w:cs="Arial"/>
          <w:b/>
          <w:bCs/>
          <w:snapToGrid/>
          <w:szCs w:val="24"/>
          <w:lang w:eastAsia="fr-CA"/>
        </w:rPr>
        <w:t xml:space="preserve"> </w:t>
      </w:r>
    </w:p>
    <w:p w14:paraId="4E56CD2E" w14:textId="44FDEFD2" w:rsidR="00FB244A" w:rsidRPr="00316277" w:rsidRDefault="00FB244A" w:rsidP="00AC1C94">
      <w:pPr>
        <w:keepNext w:val="0"/>
        <w:suppressAutoHyphens w:val="0"/>
        <w:spacing w:line="259" w:lineRule="auto"/>
        <w:ind w:left="1134" w:hanging="567"/>
        <w:rPr>
          <w:rFonts w:cs="Arial"/>
          <w:snapToGrid/>
          <w:szCs w:val="24"/>
          <w:lang w:eastAsia="fr-CA"/>
        </w:rPr>
      </w:pPr>
      <w:r w:rsidRPr="00316277">
        <w:rPr>
          <w:rFonts w:cs="Arial"/>
          <w:snapToGrid/>
          <w:szCs w:val="24"/>
          <w:lang w:eastAsia="fr-CA"/>
        </w:rPr>
        <w:t>-</w:t>
      </w:r>
      <w:r w:rsidRPr="00316277">
        <w:rPr>
          <w:rFonts w:cs="Arial"/>
          <w:snapToGrid/>
          <w:szCs w:val="24"/>
          <w:lang w:eastAsia="fr-CA"/>
        </w:rPr>
        <w:tab/>
        <w:t xml:space="preserve">d’assurer le suivi du projet pilote </w:t>
      </w:r>
      <w:r w:rsidR="00FA4A87" w:rsidRPr="00316277">
        <w:rPr>
          <w:rFonts w:cs="Arial"/>
          <w:snapToGrid/>
          <w:szCs w:val="24"/>
          <w:lang w:eastAsia="fr-CA"/>
        </w:rPr>
        <w:t>sur</w:t>
      </w:r>
      <w:r w:rsidR="00A01B94" w:rsidRPr="00316277">
        <w:rPr>
          <w:rFonts w:cs="Arial"/>
          <w:snapToGrid/>
          <w:szCs w:val="24"/>
          <w:lang w:eastAsia="fr-CA"/>
        </w:rPr>
        <w:t xml:space="preserve"> </w:t>
      </w:r>
      <w:r w:rsidRPr="00316277">
        <w:rPr>
          <w:rFonts w:cs="Arial"/>
          <w:snapToGrid/>
          <w:szCs w:val="24"/>
          <w:lang w:eastAsia="fr-CA"/>
        </w:rPr>
        <w:t>les stages de fin de semaine en soins infirmiers</w:t>
      </w:r>
      <w:r w:rsidR="00FA4A87" w:rsidRPr="00316277">
        <w:rPr>
          <w:rFonts w:cs="Arial"/>
          <w:snapToGrid/>
          <w:szCs w:val="24"/>
          <w:lang w:eastAsia="fr-CA"/>
        </w:rPr>
        <w:t xml:space="preserve"> de l’</w:t>
      </w:r>
      <w:r w:rsidR="00926507" w:rsidRPr="00316277">
        <w:rPr>
          <w:rFonts w:cs="Arial"/>
          <w:snapToGrid/>
          <w:szCs w:val="24"/>
          <w:lang w:eastAsia="fr-CA"/>
        </w:rPr>
        <w:t>A</w:t>
      </w:r>
      <w:r w:rsidR="00FA4A87" w:rsidRPr="00316277">
        <w:rPr>
          <w:rFonts w:cs="Arial"/>
          <w:snapToGrid/>
          <w:szCs w:val="24"/>
          <w:lang w:eastAsia="fr-CA"/>
        </w:rPr>
        <w:t>nnexe I-17</w:t>
      </w:r>
      <w:r w:rsidR="00A01B94" w:rsidRPr="00316277">
        <w:rPr>
          <w:rFonts w:cs="Arial"/>
          <w:snapToGrid/>
          <w:szCs w:val="24"/>
          <w:lang w:eastAsia="fr-CA"/>
        </w:rPr>
        <w:t xml:space="preserve"> </w:t>
      </w:r>
      <w:r w:rsidRPr="00316277">
        <w:rPr>
          <w:rFonts w:cs="Arial"/>
          <w:snapToGrid/>
          <w:szCs w:val="24"/>
          <w:lang w:eastAsia="fr-CA"/>
        </w:rPr>
        <w:t>en :</w:t>
      </w:r>
    </w:p>
    <w:p w14:paraId="730A414A" w14:textId="19338231" w:rsidR="00FB244A" w:rsidRPr="00316277" w:rsidRDefault="00FB244A" w:rsidP="005847C3">
      <w:pPr>
        <w:pStyle w:val="ListParagraph"/>
        <w:numPr>
          <w:ilvl w:val="0"/>
          <w:numId w:val="37"/>
        </w:numPr>
        <w:spacing w:before="120" w:after="120" w:line="259" w:lineRule="auto"/>
        <w:ind w:left="1701" w:hanging="567"/>
        <w:rPr>
          <w:rFonts w:cs="Arial"/>
          <w:szCs w:val="24"/>
          <w:lang w:eastAsia="fr-CA"/>
        </w:rPr>
      </w:pPr>
      <w:r w:rsidRPr="00316277">
        <w:rPr>
          <w:rFonts w:cs="Arial"/>
          <w:szCs w:val="24"/>
          <w:lang w:eastAsia="fr-CA"/>
        </w:rPr>
        <w:t>inventoriant, à chaque année, l’ensemble des informations pertinentes sur la réalité des stages de fin de semaine</w:t>
      </w:r>
      <w:r w:rsidR="00FA4A87" w:rsidRPr="00316277">
        <w:rPr>
          <w:rFonts w:cs="Arial"/>
          <w:szCs w:val="24"/>
          <w:lang w:eastAsia="fr-CA"/>
        </w:rPr>
        <w:t xml:space="preserve"> effectués dans l</w:t>
      </w:r>
      <w:r w:rsidR="00132724" w:rsidRPr="00316277">
        <w:rPr>
          <w:rFonts w:cs="Arial"/>
          <w:szCs w:val="24"/>
          <w:lang w:eastAsia="fr-CA"/>
        </w:rPr>
        <w:t>e</w:t>
      </w:r>
      <w:r w:rsidR="00FA4A87" w:rsidRPr="00316277">
        <w:rPr>
          <w:rFonts w:cs="Arial"/>
          <w:szCs w:val="24"/>
          <w:lang w:eastAsia="fr-CA"/>
        </w:rPr>
        <w:t xml:space="preserve"> cadre du projet pilote</w:t>
      </w:r>
      <w:r w:rsidRPr="00316277">
        <w:rPr>
          <w:rFonts w:cs="Arial"/>
          <w:szCs w:val="24"/>
          <w:lang w:eastAsia="fr-CA"/>
        </w:rPr>
        <w:t>;</w:t>
      </w:r>
    </w:p>
    <w:p w14:paraId="6B779D14" w14:textId="77777777" w:rsidR="00FB244A" w:rsidRPr="00316277" w:rsidRDefault="00FB244A" w:rsidP="005847C3">
      <w:pPr>
        <w:pStyle w:val="ListParagraph"/>
        <w:numPr>
          <w:ilvl w:val="0"/>
          <w:numId w:val="37"/>
        </w:numPr>
        <w:spacing w:before="120" w:after="120" w:line="259" w:lineRule="auto"/>
        <w:ind w:left="1701" w:hanging="567"/>
        <w:rPr>
          <w:rFonts w:cs="Arial"/>
          <w:szCs w:val="24"/>
          <w:lang w:eastAsia="fr-CA"/>
        </w:rPr>
      </w:pPr>
      <w:r w:rsidRPr="00316277">
        <w:rPr>
          <w:rFonts w:cs="Arial"/>
          <w:szCs w:val="24"/>
          <w:lang w:eastAsia="fr-CA"/>
        </w:rPr>
        <w:t xml:space="preserve">analysant les enjeux et les problèmes rencontrés; </w:t>
      </w:r>
    </w:p>
    <w:p w14:paraId="66D2095D" w14:textId="77777777" w:rsidR="00FB244A" w:rsidRPr="00316277" w:rsidRDefault="00FB244A" w:rsidP="005847C3">
      <w:pPr>
        <w:pStyle w:val="ListParagraph"/>
        <w:numPr>
          <w:ilvl w:val="0"/>
          <w:numId w:val="37"/>
        </w:numPr>
        <w:spacing w:before="120" w:after="120" w:line="259" w:lineRule="auto"/>
        <w:ind w:left="1701" w:hanging="567"/>
        <w:rPr>
          <w:rFonts w:cs="Arial"/>
          <w:szCs w:val="24"/>
          <w:lang w:eastAsia="fr-CA"/>
        </w:rPr>
      </w:pPr>
      <w:r w:rsidRPr="00316277">
        <w:rPr>
          <w:rFonts w:cs="Arial"/>
          <w:szCs w:val="24"/>
          <w:lang w:eastAsia="fr-CA"/>
        </w:rPr>
        <w:t>rédigeant un rapport d’étape au cours des deux premières années des travaux;</w:t>
      </w:r>
    </w:p>
    <w:p w14:paraId="22BE33CA" w14:textId="5FEA0823" w:rsidR="00FB244A" w:rsidRPr="00316277" w:rsidRDefault="00FB244A" w:rsidP="005847C3">
      <w:pPr>
        <w:pStyle w:val="ListParagraph"/>
        <w:numPr>
          <w:ilvl w:val="0"/>
          <w:numId w:val="37"/>
        </w:numPr>
        <w:spacing w:before="120" w:after="120" w:line="259" w:lineRule="auto"/>
        <w:ind w:left="1701" w:hanging="567"/>
        <w:rPr>
          <w:rFonts w:cs="Arial"/>
          <w:szCs w:val="24"/>
          <w:lang w:eastAsia="fr-CA"/>
        </w:rPr>
      </w:pPr>
      <w:r w:rsidRPr="00316277">
        <w:rPr>
          <w:rFonts w:cs="Arial"/>
          <w:szCs w:val="24"/>
          <w:lang w:eastAsia="fr-CA"/>
        </w:rPr>
        <w:t xml:space="preserve">produisant un rapport final faisant un bilan du projet pilote au plus tard le </w:t>
      </w:r>
      <w:r w:rsidR="00F854D0" w:rsidRPr="00316277">
        <w:rPr>
          <w:rFonts w:cs="Arial"/>
          <w:szCs w:val="24"/>
          <w:lang w:eastAsia="fr-CA"/>
        </w:rPr>
        <w:t>15 </w:t>
      </w:r>
      <w:r w:rsidRPr="00316277">
        <w:rPr>
          <w:rFonts w:cs="Arial"/>
          <w:szCs w:val="24"/>
          <w:lang w:eastAsia="fr-CA"/>
        </w:rPr>
        <w:t>juin 2027.</w:t>
      </w:r>
    </w:p>
    <w:p w14:paraId="75D5A1A6" w14:textId="32D28C62" w:rsidR="00FB244A" w:rsidRPr="00FB244A" w:rsidRDefault="00FB244A" w:rsidP="005847C3">
      <w:pPr>
        <w:keepNext w:val="0"/>
        <w:suppressAutoHyphens w:val="0"/>
        <w:spacing w:line="259" w:lineRule="auto"/>
        <w:ind w:left="567"/>
        <w:rPr>
          <w:rFonts w:cs="Arial"/>
          <w:snapToGrid/>
          <w:szCs w:val="24"/>
          <w:lang w:eastAsia="fr-CA"/>
        </w:rPr>
      </w:pPr>
      <w:r w:rsidRPr="00316277">
        <w:rPr>
          <w:rFonts w:cs="Arial"/>
          <w:snapToGrid/>
          <w:szCs w:val="24"/>
          <w:lang w:eastAsia="fr-CA"/>
        </w:rPr>
        <w:t>Deux</w:t>
      </w:r>
      <w:r w:rsidR="00F854D0" w:rsidRPr="00316277">
        <w:rPr>
          <w:rFonts w:cs="Arial"/>
          <w:snapToGrid/>
          <w:szCs w:val="24"/>
          <w:lang w:eastAsia="fr-CA"/>
        </w:rPr>
        <w:t> </w:t>
      </w:r>
      <w:r w:rsidRPr="00316277">
        <w:rPr>
          <w:rFonts w:cs="Arial"/>
          <w:snapToGrid/>
          <w:szCs w:val="24"/>
          <w:lang w:eastAsia="fr-CA"/>
        </w:rPr>
        <w:t>(2) représentantes ou représentants désignés par la FEC (CSQ) peuvent participer aux travaux liés à ce mandat si cette fédération syndicale le désire.</w:t>
      </w:r>
    </w:p>
    <w:p w14:paraId="5CA74BC9" w14:textId="77777777" w:rsidR="00FB244A" w:rsidRPr="00026EC1" w:rsidRDefault="00FB244A" w:rsidP="00D6635E">
      <w:pPr>
        <w:keepNext w:val="0"/>
      </w:pPr>
    </w:p>
    <w:p w14:paraId="1551EFEF" w14:textId="2A7582D2" w:rsidR="00F27FF5" w:rsidRPr="0017074B" w:rsidRDefault="005648BB" w:rsidP="0017074B">
      <w:pPr>
        <w:keepNext w:val="0"/>
      </w:pPr>
      <w:r w:rsidRPr="00026EC1">
        <w:t>La libération annuelle totale des membres désignés par la FNEEQ (CSN) au comité est d</w:t>
      </w:r>
      <w:r w:rsidR="004A41E4" w:rsidRPr="00026EC1">
        <w:t>’</w:t>
      </w:r>
      <w:r w:rsidRPr="00026EC1">
        <w:t>une (1) enseignante ou d</w:t>
      </w:r>
      <w:r w:rsidR="004A41E4" w:rsidRPr="00026EC1">
        <w:t>’</w:t>
      </w:r>
      <w:r w:rsidRPr="00026EC1">
        <w:t>un (1) enseignant à temps complet ou l</w:t>
      </w:r>
      <w:r w:rsidR="004A41E4" w:rsidRPr="00026EC1">
        <w:t>’</w:t>
      </w:r>
      <w:r w:rsidRPr="00026EC1">
        <w:t>équivalent.</w:t>
      </w:r>
    </w:p>
    <w:p w14:paraId="14004150" w14:textId="35AEFDF8"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68D664FD" w14:textId="77777777" w:rsidR="005648BB" w:rsidRPr="00026EC1" w:rsidRDefault="005648BB" w:rsidP="00A64613">
      <w:pPr>
        <w:keepNext w:val="0"/>
      </w:pPr>
    </w:p>
    <w:p w14:paraId="03ED3054" w14:textId="69F45332" w:rsidR="005648BB" w:rsidRPr="00F27FF5" w:rsidRDefault="00275751" w:rsidP="00A64613">
      <w:pPr>
        <w:pStyle w:val="NUMRODECLAUSE"/>
        <w:keepNext w:val="0"/>
      </w:pPr>
      <w:r w:rsidRPr="00026EC1">
        <w:t>2</w:t>
      </w:r>
      <w:r w:rsidR="00984A6F">
        <w:noBreakHyphen/>
      </w:r>
      <w:r w:rsidRPr="00026EC1">
        <w:t>2.</w:t>
      </w:r>
      <w:r w:rsidR="004C1710" w:rsidRPr="00F27FF5">
        <w:t>0</w:t>
      </w:r>
      <w:r w:rsidR="00C903F8" w:rsidRPr="00F27FF5">
        <w:t>6</w:t>
      </w:r>
    </w:p>
    <w:p w14:paraId="3D63C801" w14:textId="77777777" w:rsidR="005648BB" w:rsidRPr="00F27FF5" w:rsidRDefault="005648BB" w:rsidP="00A64613">
      <w:pPr>
        <w:keepNext w:val="0"/>
      </w:pPr>
      <w:r w:rsidRPr="00F27FF5">
        <w:t>En matière de négociation, d</w:t>
      </w:r>
      <w:r w:rsidR="004A41E4" w:rsidRPr="00F27FF5">
        <w:t>’</w:t>
      </w:r>
      <w:r w:rsidRPr="00F27FF5">
        <w:t>application et d</w:t>
      </w:r>
      <w:r w:rsidR="004A41E4" w:rsidRPr="00F27FF5">
        <w:t>’</w:t>
      </w:r>
      <w:r w:rsidRPr="00F27FF5">
        <w:t>interprétation de la convention collective, le Collège reconnaît le Syndicat comme représentant exclusif des enseignantes et enseignants visés par l</w:t>
      </w:r>
      <w:r w:rsidR="004A41E4" w:rsidRPr="00F27FF5">
        <w:t>’</w:t>
      </w:r>
      <w:r w:rsidRPr="00F27FF5">
        <w:t>accréditation.</w:t>
      </w:r>
    </w:p>
    <w:p w14:paraId="37FC9EC3" w14:textId="77777777" w:rsidR="005648BB" w:rsidRPr="00F27FF5" w:rsidRDefault="005648BB" w:rsidP="00A64613">
      <w:pPr>
        <w:keepNext w:val="0"/>
      </w:pPr>
    </w:p>
    <w:p w14:paraId="716374DB" w14:textId="77F02043" w:rsidR="005648BB" w:rsidRPr="00F27FF5" w:rsidRDefault="00275751" w:rsidP="00A64613">
      <w:pPr>
        <w:pStyle w:val="NUMRODECLAUSE"/>
        <w:keepNext w:val="0"/>
      </w:pPr>
      <w:r w:rsidRPr="00F27FF5">
        <w:t>2</w:t>
      </w:r>
      <w:r w:rsidR="00984A6F">
        <w:noBreakHyphen/>
      </w:r>
      <w:r w:rsidRPr="00F27FF5">
        <w:t>2</w:t>
      </w:r>
      <w:r w:rsidR="000D72F4" w:rsidRPr="00F27FF5">
        <w:t>.</w:t>
      </w:r>
      <w:r w:rsidR="00244764" w:rsidRPr="00F27FF5">
        <w:t>07</w:t>
      </w:r>
    </w:p>
    <w:p w14:paraId="0F86E37B" w14:textId="77777777" w:rsidR="005648BB" w:rsidRPr="00F27FF5" w:rsidRDefault="005648BB" w:rsidP="00A64613">
      <w:pPr>
        <w:keepNext w:val="0"/>
      </w:pPr>
      <w:r w:rsidRPr="00F27FF5">
        <w:t>Le Syndicat reconnaît le droit du Collège à l</w:t>
      </w:r>
      <w:r w:rsidR="004A41E4" w:rsidRPr="00F27FF5">
        <w:t>’</w:t>
      </w:r>
      <w:r w:rsidRPr="00F27FF5">
        <w:t>exercice de ses fonctions de direction, d</w:t>
      </w:r>
      <w:r w:rsidR="004A41E4" w:rsidRPr="00F27FF5">
        <w:t>’</w:t>
      </w:r>
      <w:r w:rsidRPr="00F27FF5">
        <w:t>administration et de gestion de façon compatible avec les dispositions prévues à la convention collective.</w:t>
      </w:r>
    </w:p>
    <w:p w14:paraId="44D1AB24" w14:textId="77777777" w:rsidR="005648BB" w:rsidRPr="00F27FF5" w:rsidRDefault="005648BB" w:rsidP="00A64613">
      <w:pPr>
        <w:keepNext w:val="0"/>
      </w:pPr>
    </w:p>
    <w:p w14:paraId="3A9F6C87" w14:textId="2FB85898" w:rsidR="005648BB" w:rsidRPr="00F27FF5" w:rsidRDefault="00275751" w:rsidP="00A64613">
      <w:pPr>
        <w:pStyle w:val="NUMRODECLAUSE"/>
        <w:keepNext w:val="0"/>
      </w:pPr>
      <w:r w:rsidRPr="00F27FF5">
        <w:t>2</w:t>
      </w:r>
      <w:r w:rsidR="00984A6F">
        <w:noBreakHyphen/>
      </w:r>
      <w:r w:rsidRPr="00F27FF5">
        <w:t>2.</w:t>
      </w:r>
      <w:r w:rsidR="00244764" w:rsidRPr="00F27FF5">
        <w:t>08</w:t>
      </w:r>
    </w:p>
    <w:p w14:paraId="111358D4" w14:textId="77777777" w:rsidR="005648BB" w:rsidRPr="00F27FF5" w:rsidRDefault="005648BB" w:rsidP="00A64613">
      <w:pPr>
        <w:keepNext w:val="0"/>
      </w:pPr>
      <w:r w:rsidRPr="00F27FF5">
        <w:t>Lorsque le Collège forme un comité qui comprend les enseignantes et enseignants, seul le Syndicat est habilité à les nommer à moins de dispositions contraires prévues à la convention collective.</w:t>
      </w:r>
    </w:p>
    <w:p w14:paraId="2E437211" w14:textId="0D4B4B97" w:rsidR="005648BB" w:rsidRPr="00F27FF5" w:rsidRDefault="005648BB" w:rsidP="00A64613">
      <w:pPr>
        <w:keepNext w:val="0"/>
      </w:pPr>
    </w:p>
    <w:p w14:paraId="6C7BC0BA" w14:textId="777C5E90" w:rsidR="005648BB" w:rsidRPr="00026EC1" w:rsidRDefault="00275751" w:rsidP="00A64613">
      <w:pPr>
        <w:pStyle w:val="NUMRODECLAUSE"/>
        <w:keepNext w:val="0"/>
      </w:pPr>
      <w:r w:rsidRPr="00F27FF5">
        <w:t>2</w:t>
      </w:r>
      <w:r w:rsidR="00984A6F">
        <w:noBreakHyphen/>
      </w:r>
      <w:r w:rsidRPr="00F27FF5">
        <w:t>2.</w:t>
      </w:r>
      <w:r w:rsidR="00244764" w:rsidRPr="00F27FF5">
        <w:t>09</w:t>
      </w:r>
    </w:p>
    <w:p w14:paraId="629D9581" w14:textId="77777777" w:rsidR="00003AC3" w:rsidRPr="00026EC1" w:rsidRDefault="005648BB" w:rsidP="00A64613">
      <w:pPr>
        <w:keepNext w:val="0"/>
      </w:pPr>
      <w:r w:rsidRPr="00026EC1">
        <w:t>Le Collège informe préalablement le Syndicat de toute consultation des enseignantes et enseignants qu</w:t>
      </w:r>
      <w:r w:rsidR="004A41E4" w:rsidRPr="00026EC1">
        <w:t>’</w:t>
      </w:r>
      <w:r w:rsidRPr="00026EC1">
        <w:t>il entend fa</w:t>
      </w:r>
      <w:r w:rsidR="005A629E" w:rsidRPr="00026EC1">
        <w:t>ire ou à laquelle il participe.</w:t>
      </w:r>
    </w:p>
    <w:p w14:paraId="527D7278" w14:textId="02D81B2D"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181" w:name="_Toc535046583"/>
      <w:bookmarkStart w:id="182" w:name="_Toc133760760"/>
      <w:bookmarkStart w:id="183" w:name="_Toc393444585"/>
      <w:bookmarkStart w:id="184" w:name="_Toc393449536"/>
      <w:bookmarkStart w:id="185" w:name="_Toc393460905"/>
      <w:bookmarkStart w:id="186" w:name="_Toc393461183"/>
      <w:bookmarkStart w:id="187" w:name="_Toc393720744"/>
      <w:bookmarkStart w:id="188" w:name="_Toc393783905"/>
      <w:bookmarkStart w:id="189" w:name="_Toc393784044"/>
      <w:bookmarkStart w:id="190" w:name="_Toc168479498"/>
      <w:r w:rsidRPr="00026EC1">
        <w:t>Article 2</w:t>
      </w:r>
      <w:r w:rsidR="00984A6F">
        <w:t>-</w:t>
      </w:r>
      <w:r w:rsidRPr="00026EC1">
        <w:t>3.00</w:t>
      </w:r>
      <w:r w:rsidR="003D2529" w:rsidRPr="00026EC1">
        <w:tab/>
      </w:r>
      <w:r w:rsidR="00984A6F">
        <w:t>-</w:t>
      </w:r>
      <w:r w:rsidR="003D2529" w:rsidRPr="00026EC1">
        <w:tab/>
      </w:r>
      <w:r w:rsidRPr="00026EC1">
        <w:t>Non</w:t>
      </w:r>
      <w:r w:rsidR="00984A6F">
        <w:noBreakHyphen/>
      </w:r>
      <w:r w:rsidRPr="00026EC1">
        <w:t>discrimination</w:t>
      </w:r>
      <w:bookmarkEnd w:id="181"/>
      <w:bookmarkEnd w:id="182"/>
      <w:bookmarkEnd w:id="183"/>
      <w:bookmarkEnd w:id="184"/>
      <w:bookmarkEnd w:id="185"/>
      <w:bookmarkEnd w:id="186"/>
      <w:bookmarkEnd w:id="187"/>
      <w:bookmarkEnd w:id="188"/>
      <w:bookmarkEnd w:id="189"/>
      <w:bookmarkEnd w:id="190"/>
    </w:p>
    <w:p w14:paraId="78FBF277" w14:textId="1036B42E" w:rsidR="00404F34" w:rsidRPr="00026EC1" w:rsidRDefault="00275751" w:rsidP="00A64613">
      <w:pPr>
        <w:pStyle w:val="NUMRODECLAUSE"/>
        <w:keepNext w:val="0"/>
      </w:pPr>
      <w:r w:rsidRPr="00026EC1">
        <w:t>2</w:t>
      </w:r>
      <w:r w:rsidR="00984A6F">
        <w:noBreakHyphen/>
      </w:r>
      <w:r w:rsidRPr="00026EC1">
        <w:t>3.01</w:t>
      </w:r>
    </w:p>
    <w:p w14:paraId="7491C832" w14:textId="19351A23" w:rsidR="00404F34" w:rsidRPr="00026EC1" w:rsidRDefault="00404F34" w:rsidP="00A64613">
      <w:pPr>
        <w:keepNext w:val="0"/>
      </w:pPr>
      <w:r w:rsidRPr="00026EC1">
        <w:t>Ni le Collège, ni le Syndicat n</w:t>
      </w:r>
      <w:r w:rsidR="004A41E4" w:rsidRPr="00026EC1">
        <w:t>’</w:t>
      </w:r>
      <w:r w:rsidRPr="00026EC1">
        <w:t xml:space="preserve">exercent ni directement, ni indirectement de contraintes, menaces, discrimination ou distinctions injustes contre une enseignante ou un enseignant à cause de sa race, de son origine ethnique, de sa nationalité, de son âge, de son état civil, de sa condition sociale, de sa situation parentale, de ses liens de parenté, de ses croyances, de son sexe, </w:t>
      </w:r>
      <w:r w:rsidRPr="00F27FF5">
        <w:t xml:space="preserve">de </w:t>
      </w:r>
      <w:r w:rsidR="00A83ADD" w:rsidRPr="00F27FF5">
        <w:t>son</w:t>
      </w:r>
      <w:r w:rsidRPr="00F27FF5">
        <w:t xml:space="preserve"> orientation sexuelle, </w:t>
      </w:r>
      <w:r w:rsidR="00A83ADD" w:rsidRPr="00F27FF5">
        <w:t xml:space="preserve">de son identité ou de son expression de genre, </w:t>
      </w:r>
      <w:r w:rsidRPr="00F27FF5">
        <w:t>de son état de grossesse</w:t>
      </w:r>
      <w:r w:rsidRPr="00026EC1">
        <w:t>, d</w:t>
      </w:r>
      <w:r w:rsidR="004A41E4" w:rsidRPr="00026EC1">
        <w:t>’</w:t>
      </w:r>
      <w:r w:rsidRPr="00026EC1">
        <w:t>un handicap physique, de ses opinions, de ses actions politiques, de l</w:t>
      </w:r>
      <w:r w:rsidR="004A41E4" w:rsidRPr="00026EC1">
        <w:t>’</w:t>
      </w:r>
      <w:r w:rsidRPr="00026EC1">
        <w:t>exercice de ses libertés d</w:t>
      </w:r>
      <w:r w:rsidR="004A41E4" w:rsidRPr="00026EC1">
        <w:t>’</w:t>
      </w:r>
      <w:r w:rsidRPr="00026EC1">
        <w:t>enseignement, de sa langue ou de l</w:t>
      </w:r>
      <w:r w:rsidR="004A41E4" w:rsidRPr="00026EC1">
        <w:t>’</w:t>
      </w:r>
      <w:r w:rsidRPr="00026EC1">
        <w:t>exercice d</w:t>
      </w:r>
      <w:r w:rsidR="004A41E4" w:rsidRPr="00026EC1">
        <w:t>’</w:t>
      </w:r>
      <w:r w:rsidRPr="00026EC1">
        <w:t>un droit ou de l</w:t>
      </w:r>
      <w:r w:rsidR="004A41E4" w:rsidRPr="00026EC1">
        <w:t>’</w:t>
      </w:r>
      <w:r w:rsidRPr="00026EC1">
        <w:t>accomplissement d</w:t>
      </w:r>
      <w:r w:rsidR="004A41E4" w:rsidRPr="00026EC1">
        <w:t>’</w:t>
      </w:r>
      <w:r w:rsidRPr="00026EC1">
        <w:t>une obligation que lui reconnaît ou impose la présente c</w:t>
      </w:r>
      <w:r w:rsidR="005A629E" w:rsidRPr="00026EC1">
        <w:t>onvention collective ou la loi.</w:t>
      </w:r>
    </w:p>
    <w:p w14:paraId="17BA27DE" w14:textId="0E889A87"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191" w:name="_Toc535046584"/>
      <w:bookmarkStart w:id="192" w:name="_Toc133760761"/>
      <w:bookmarkStart w:id="193" w:name="_Toc393444586"/>
      <w:bookmarkStart w:id="194" w:name="_Toc393449537"/>
      <w:bookmarkStart w:id="195" w:name="_Toc393460906"/>
      <w:bookmarkStart w:id="196" w:name="_Toc393461184"/>
      <w:bookmarkStart w:id="197" w:name="_Toc393720745"/>
      <w:bookmarkStart w:id="198" w:name="_Toc393783906"/>
      <w:bookmarkStart w:id="199" w:name="_Toc393784045"/>
      <w:bookmarkStart w:id="200" w:name="_Toc168479499"/>
      <w:r w:rsidRPr="00026EC1">
        <w:t>Article 2</w:t>
      </w:r>
      <w:r w:rsidR="00984A6F">
        <w:t>-</w:t>
      </w:r>
      <w:r w:rsidRPr="00026EC1">
        <w:t>4.00</w:t>
      </w:r>
      <w:r w:rsidR="003D2529" w:rsidRPr="00026EC1">
        <w:tab/>
      </w:r>
      <w:r w:rsidR="00984A6F">
        <w:t>-</w:t>
      </w:r>
      <w:r w:rsidR="003D2529" w:rsidRPr="00026EC1">
        <w:tab/>
      </w:r>
      <w:r w:rsidRPr="00026EC1">
        <w:t>Accès à l</w:t>
      </w:r>
      <w:r w:rsidR="004A41E4" w:rsidRPr="00026EC1">
        <w:t>’</w:t>
      </w:r>
      <w:r w:rsidRPr="00026EC1">
        <w:t>égalité</w:t>
      </w:r>
      <w:bookmarkEnd w:id="191"/>
      <w:r w:rsidRPr="00026EC1">
        <w:t xml:space="preserve"> en emploi</w:t>
      </w:r>
      <w:bookmarkEnd w:id="192"/>
      <w:bookmarkEnd w:id="193"/>
      <w:bookmarkEnd w:id="194"/>
      <w:bookmarkEnd w:id="195"/>
      <w:bookmarkEnd w:id="196"/>
      <w:bookmarkEnd w:id="197"/>
      <w:bookmarkEnd w:id="198"/>
      <w:bookmarkEnd w:id="199"/>
      <w:bookmarkEnd w:id="200"/>
    </w:p>
    <w:p w14:paraId="78F5385C" w14:textId="38875861" w:rsidR="00404F34" w:rsidRPr="00026EC1" w:rsidRDefault="00275751" w:rsidP="00A64613">
      <w:pPr>
        <w:pStyle w:val="NUMRODECLAUSE"/>
        <w:keepNext w:val="0"/>
      </w:pPr>
      <w:r w:rsidRPr="00026EC1">
        <w:t>2</w:t>
      </w:r>
      <w:r w:rsidR="00984A6F">
        <w:noBreakHyphen/>
      </w:r>
      <w:r w:rsidRPr="00026EC1">
        <w:t>4.01</w:t>
      </w:r>
    </w:p>
    <w:p w14:paraId="72801961" w14:textId="77777777" w:rsidR="00404F34" w:rsidRPr="00026EC1" w:rsidRDefault="00404F34" w:rsidP="00A64613">
      <w:pPr>
        <w:keepNext w:val="0"/>
      </w:pPr>
      <w:r w:rsidRPr="00026EC1">
        <w:t>Les parties forment un comité d</w:t>
      </w:r>
      <w:r w:rsidR="004A41E4" w:rsidRPr="00026EC1">
        <w:t>’</w:t>
      </w:r>
      <w:r w:rsidRPr="00026EC1">
        <w:t>accès à l</w:t>
      </w:r>
      <w:r w:rsidR="004A41E4" w:rsidRPr="00026EC1">
        <w:t>’</w:t>
      </w:r>
      <w:r w:rsidRPr="00026EC1">
        <w:t>égalité en emploi. Ce comité regroupe les représentantes et représentants du Collège, du Syndicat et de chacune des autres catégories de personnel intéressées à y participer. Il ne peut y avoir qu</w:t>
      </w:r>
      <w:r w:rsidR="004A41E4" w:rsidRPr="00026EC1">
        <w:t>’</w:t>
      </w:r>
      <w:r w:rsidRPr="00026EC1">
        <w:t>un (1) comité d</w:t>
      </w:r>
      <w:r w:rsidR="004A41E4" w:rsidRPr="00026EC1">
        <w:t>’</w:t>
      </w:r>
      <w:r w:rsidRPr="00026EC1">
        <w:t>accès à l</w:t>
      </w:r>
      <w:r w:rsidR="004A41E4" w:rsidRPr="00026EC1">
        <w:t>’</w:t>
      </w:r>
      <w:r w:rsidRPr="00026EC1">
        <w:t>égalité en emploi au Collège.</w:t>
      </w:r>
    </w:p>
    <w:p w14:paraId="375A9719" w14:textId="77777777" w:rsidR="00404F34" w:rsidRPr="00026EC1" w:rsidRDefault="00404F34" w:rsidP="00A64613">
      <w:pPr>
        <w:keepNext w:val="0"/>
      </w:pPr>
    </w:p>
    <w:p w14:paraId="29637379" w14:textId="7A38E836" w:rsidR="00404F34" w:rsidRPr="00026EC1" w:rsidRDefault="00275751" w:rsidP="00A64613">
      <w:pPr>
        <w:pStyle w:val="NUMRODECLAUSE"/>
        <w:keepNext w:val="0"/>
      </w:pPr>
      <w:r w:rsidRPr="00026EC1">
        <w:t>2</w:t>
      </w:r>
      <w:r w:rsidR="00984A6F">
        <w:noBreakHyphen/>
      </w:r>
      <w:r w:rsidRPr="00026EC1">
        <w:t>4.02</w:t>
      </w:r>
    </w:p>
    <w:p w14:paraId="6751B72E" w14:textId="0C066032" w:rsidR="00404F34" w:rsidRPr="00026EC1" w:rsidRDefault="00404F34" w:rsidP="00A64613">
      <w:pPr>
        <w:keepNext w:val="0"/>
      </w:pPr>
      <w:r w:rsidRPr="00026EC1">
        <w:t>Ce comité a pour mandat</w:t>
      </w:r>
      <w:r w:rsidR="00D8581B">
        <w:t> :</w:t>
      </w:r>
    </w:p>
    <w:p w14:paraId="44ED51D4" w14:textId="77777777" w:rsidR="00404F34" w:rsidRPr="00026EC1" w:rsidRDefault="00404F34" w:rsidP="00A64613">
      <w:pPr>
        <w:keepNext w:val="0"/>
        <w:rPr>
          <w:strike/>
        </w:rPr>
      </w:pPr>
    </w:p>
    <w:p w14:paraId="5F68FDFE" w14:textId="77777777" w:rsidR="00404F34" w:rsidRPr="00026EC1" w:rsidRDefault="00275751" w:rsidP="00A64613">
      <w:pPr>
        <w:keepNext w:val="0"/>
        <w:tabs>
          <w:tab w:val="left" w:pos="567"/>
        </w:tabs>
        <w:ind w:left="567" w:hanging="567"/>
      </w:pPr>
      <w:r w:rsidRPr="00026EC1">
        <w:t>a)</w:t>
      </w:r>
      <w:r w:rsidRPr="00026EC1">
        <w:tab/>
      </w:r>
      <w:r w:rsidR="00404F34" w:rsidRPr="00026EC1">
        <w:t>de faire au Collège toutes recommandations utiles sur le suivi de l</w:t>
      </w:r>
      <w:r w:rsidR="004A41E4" w:rsidRPr="00026EC1">
        <w:t>’</w:t>
      </w:r>
      <w:r w:rsidR="00404F34" w:rsidRPr="00026EC1">
        <w:t>implantation du programme d</w:t>
      </w:r>
      <w:r w:rsidR="004A41E4" w:rsidRPr="00026EC1">
        <w:t>’</w:t>
      </w:r>
      <w:r w:rsidR="00404F34" w:rsidRPr="00026EC1">
        <w:t>accès à l</w:t>
      </w:r>
      <w:r w:rsidR="004A41E4" w:rsidRPr="00026EC1">
        <w:t>’</w:t>
      </w:r>
      <w:r w:rsidR="00404F34" w:rsidRPr="00026EC1">
        <w:t>égalité en emploi;</w:t>
      </w:r>
    </w:p>
    <w:p w14:paraId="59E4DA28" w14:textId="77777777" w:rsidR="00404F34" w:rsidRPr="00026EC1" w:rsidRDefault="00404F34" w:rsidP="00A64613">
      <w:pPr>
        <w:keepNext w:val="0"/>
      </w:pPr>
    </w:p>
    <w:p w14:paraId="3B92050D" w14:textId="77777777" w:rsidR="00404F34" w:rsidRPr="00026EC1" w:rsidRDefault="00275751" w:rsidP="00A64613">
      <w:pPr>
        <w:keepNext w:val="0"/>
        <w:tabs>
          <w:tab w:val="left" w:pos="567"/>
        </w:tabs>
        <w:ind w:left="567" w:hanging="567"/>
      </w:pPr>
      <w:r w:rsidRPr="00026EC1">
        <w:t>b)</w:t>
      </w:r>
      <w:r w:rsidRPr="00026EC1">
        <w:tab/>
      </w:r>
      <w:r w:rsidR="00404F34" w:rsidRPr="00026EC1">
        <w:t>d</w:t>
      </w:r>
      <w:r w:rsidR="004A41E4" w:rsidRPr="00026EC1">
        <w:t>’</w:t>
      </w:r>
      <w:r w:rsidR="00404F34" w:rsidRPr="00026EC1">
        <w:t>étudier tout problème en découlant.</w:t>
      </w:r>
    </w:p>
    <w:p w14:paraId="6BD8995D" w14:textId="77777777" w:rsidR="00404F34" w:rsidRPr="00026EC1" w:rsidRDefault="00404F34" w:rsidP="00A64613">
      <w:pPr>
        <w:keepNext w:val="0"/>
      </w:pPr>
    </w:p>
    <w:p w14:paraId="6F807639" w14:textId="246C9617" w:rsidR="00404F34" w:rsidRPr="00026EC1" w:rsidRDefault="00275751" w:rsidP="00A64613">
      <w:pPr>
        <w:pStyle w:val="NUMRODECLAUSE"/>
        <w:keepNext w:val="0"/>
      </w:pPr>
      <w:r w:rsidRPr="00026EC1">
        <w:t>2</w:t>
      </w:r>
      <w:r w:rsidR="00984A6F">
        <w:noBreakHyphen/>
      </w:r>
      <w:r w:rsidRPr="00026EC1">
        <w:t>4.03</w:t>
      </w:r>
    </w:p>
    <w:p w14:paraId="2E446936" w14:textId="77777777" w:rsidR="00404F34" w:rsidRPr="00026EC1" w:rsidRDefault="00404F34" w:rsidP="00A64613">
      <w:pPr>
        <w:keepNext w:val="0"/>
      </w:pPr>
      <w:r w:rsidRPr="00026EC1">
        <w:t>Une mesure d</w:t>
      </w:r>
      <w:r w:rsidR="004A41E4" w:rsidRPr="00026EC1">
        <w:t>’</w:t>
      </w:r>
      <w:r w:rsidRPr="00026EC1">
        <w:t>un programme d</w:t>
      </w:r>
      <w:r w:rsidR="004A41E4" w:rsidRPr="00026EC1">
        <w:t>’</w:t>
      </w:r>
      <w:r w:rsidRPr="00026EC1">
        <w:t>accès à l</w:t>
      </w:r>
      <w:r w:rsidR="004A41E4" w:rsidRPr="00026EC1">
        <w:t>’</w:t>
      </w:r>
      <w:r w:rsidRPr="00026EC1">
        <w:t>égalité en emploi qui a pour effet d</w:t>
      </w:r>
      <w:r w:rsidR="004A41E4" w:rsidRPr="00026EC1">
        <w:t>’</w:t>
      </w:r>
      <w:r w:rsidRPr="00026EC1">
        <w:t>ajouter, de soustraire ou de modifier une stipulation de la convention collective ne prend effet qu</w:t>
      </w:r>
      <w:r w:rsidR="004A41E4" w:rsidRPr="00026EC1">
        <w:t>’</w:t>
      </w:r>
      <w:r w:rsidRPr="00026EC1">
        <w:t>après entente entre les parties nationales.</w:t>
      </w:r>
    </w:p>
    <w:p w14:paraId="118503E1" w14:textId="77777777" w:rsidR="00404F34" w:rsidRPr="00026EC1" w:rsidRDefault="00404F34" w:rsidP="00A64613">
      <w:pPr>
        <w:keepNext w:val="0"/>
      </w:pPr>
    </w:p>
    <w:p w14:paraId="36F27840" w14:textId="77777777" w:rsidR="00404F34" w:rsidRPr="00026EC1" w:rsidRDefault="00404F34" w:rsidP="00A64613">
      <w:pPr>
        <w:keepNext w:val="0"/>
      </w:pPr>
      <w:r w:rsidRPr="00026EC1">
        <w:t>Une mesure d</w:t>
      </w:r>
      <w:r w:rsidR="004A41E4" w:rsidRPr="00026EC1">
        <w:t>’</w:t>
      </w:r>
      <w:r w:rsidRPr="00026EC1">
        <w:t>un programme d</w:t>
      </w:r>
      <w:r w:rsidR="004A41E4" w:rsidRPr="00026EC1">
        <w:t>’</w:t>
      </w:r>
      <w:r w:rsidRPr="00026EC1">
        <w:t>accès à l</w:t>
      </w:r>
      <w:r w:rsidR="004A41E4" w:rsidRPr="00026EC1">
        <w:t>’</w:t>
      </w:r>
      <w:r w:rsidRPr="00026EC1">
        <w:t>égalité en emploi qui a pour effet d</w:t>
      </w:r>
      <w:r w:rsidR="004A41E4" w:rsidRPr="00026EC1">
        <w:t>’</w:t>
      </w:r>
      <w:r w:rsidRPr="00026EC1">
        <w:t>ajouter, de soustraire ou de modifier une autre disposition de la convention collective ne prend effet qu</w:t>
      </w:r>
      <w:r w:rsidR="004A41E4" w:rsidRPr="00026EC1">
        <w:t>’</w:t>
      </w:r>
      <w:r w:rsidRPr="00026EC1">
        <w:t>après entente entre les parties.</w:t>
      </w:r>
    </w:p>
    <w:p w14:paraId="0EFBFADB" w14:textId="77777777" w:rsidR="00404F34" w:rsidRPr="00026EC1" w:rsidRDefault="00404F34" w:rsidP="00A64613">
      <w:pPr>
        <w:keepNext w:val="0"/>
      </w:pPr>
    </w:p>
    <w:p w14:paraId="73D36199" w14:textId="07818646" w:rsidR="00404F34" w:rsidRPr="00026EC1" w:rsidRDefault="00275751" w:rsidP="00A64613">
      <w:pPr>
        <w:pStyle w:val="NUMRODECLAUSE"/>
        <w:keepNext w:val="0"/>
      </w:pPr>
      <w:r w:rsidRPr="00026EC1">
        <w:t>2</w:t>
      </w:r>
      <w:r w:rsidR="00984A6F">
        <w:noBreakHyphen/>
      </w:r>
      <w:r w:rsidRPr="00026EC1">
        <w:t>4.04</w:t>
      </w:r>
    </w:p>
    <w:p w14:paraId="0F5413B6" w14:textId="15FA98A1" w:rsidR="00404F34" w:rsidRPr="00026EC1" w:rsidRDefault="00404F34" w:rsidP="00A64613">
      <w:pPr>
        <w:keepNext w:val="0"/>
      </w:pPr>
      <w:r w:rsidRPr="00026EC1">
        <w:t>Les parties nationales forment un comité consultatif national d</w:t>
      </w:r>
      <w:r w:rsidR="004A41E4" w:rsidRPr="00026EC1">
        <w:t>’</w:t>
      </w:r>
      <w:r w:rsidRPr="00026EC1">
        <w:t>accès à l</w:t>
      </w:r>
      <w:r w:rsidR="004A41E4" w:rsidRPr="00026EC1">
        <w:t>’</w:t>
      </w:r>
      <w:r w:rsidRPr="00026EC1">
        <w:t>égalité</w:t>
      </w:r>
      <w:r w:rsidR="00565085">
        <w:t> </w:t>
      </w:r>
      <w:r w:rsidR="001322B1" w:rsidRPr="00026EC1">
        <w:t>(CCNAE)</w:t>
      </w:r>
      <w:r w:rsidRPr="00026EC1">
        <w:t>. Il est composé de deux (2) représentantes ou représentants désignés par la FNEEQ (CSN), de représentantes ou représentants désignés par le Ministère et par la Fédération des cégeps ainsi que de deux (2) représentantes ou représentants désignés par la FEC (CSQ), si ce</w:t>
      </w:r>
      <w:r w:rsidR="00E73AD4" w:rsidRPr="00026EC1">
        <w:t>tte fédération</w:t>
      </w:r>
      <w:r w:rsidRPr="00026EC1">
        <w:t xml:space="preserve"> </w:t>
      </w:r>
      <w:r w:rsidR="00F034A0" w:rsidRPr="00026EC1">
        <w:t xml:space="preserve">syndicale </w:t>
      </w:r>
      <w:r w:rsidRPr="00026EC1">
        <w:t xml:space="preserve">le désire. </w:t>
      </w:r>
    </w:p>
    <w:p w14:paraId="2784DA9A" w14:textId="77777777" w:rsidR="00404F34" w:rsidRPr="00026EC1" w:rsidRDefault="00404F34" w:rsidP="00A64613">
      <w:pPr>
        <w:keepNext w:val="0"/>
      </w:pPr>
    </w:p>
    <w:p w14:paraId="2EC3033D" w14:textId="77777777" w:rsidR="00404F34" w:rsidRPr="00026EC1" w:rsidRDefault="00404F34" w:rsidP="00A64613">
      <w:pPr>
        <w:keepNext w:val="0"/>
      </w:pPr>
      <w:r w:rsidRPr="00026EC1">
        <w:t>Le CCNAE a pour mandat de faire des recommandations utiles à la suite d</w:t>
      </w:r>
      <w:r w:rsidR="004A41E4" w:rsidRPr="00026EC1">
        <w:t>’</w:t>
      </w:r>
      <w:r w:rsidRPr="00026EC1">
        <w:t>une consultation sur les impacts de l</w:t>
      </w:r>
      <w:r w:rsidR="004A41E4" w:rsidRPr="00026EC1">
        <w:t>’</w:t>
      </w:r>
      <w:r w:rsidRPr="00026EC1">
        <w:t>implantation des programmes d</w:t>
      </w:r>
      <w:r w:rsidR="004A41E4" w:rsidRPr="00026EC1">
        <w:t>’</w:t>
      </w:r>
      <w:r w:rsidRPr="00026EC1">
        <w:t>accès à l</w:t>
      </w:r>
      <w:r w:rsidR="004A41E4" w:rsidRPr="00026EC1">
        <w:t>’</w:t>
      </w:r>
      <w:r w:rsidRPr="00026EC1">
        <w:t>égalité en emploi.</w:t>
      </w:r>
    </w:p>
    <w:p w14:paraId="0A6004F8" w14:textId="77777777" w:rsidR="00404F34" w:rsidRPr="00026EC1" w:rsidRDefault="00404F34" w:rsidP="00A64613">
      <w:pPr>
        <w:keepNext w:val="0"/>
      </w:pPr>
    </w:p>
    <w:p w14:paraId="20AB4E5A" w14:textId="77777777" w:rsidR="00404F34" w:rsidRPr="00026EC1" w:rsidRDefault="00404F34" w:rsidP="00A64613">
      <w:pPr>
        <w:keepNext w:val="0"/>
      </w:pPr>
      <w:r w:rsidRPr="00026EC1">
        <w:t xml:space="preserve">De nouveaux mandats peuvent être déterminés par le </w:t>
      </w:r>
      <w:r w:rsidR="001322B1" w:rsidRPr="00026EC1">
        <w:t>CCNAE</w:t>
      </w:r>
      <w:r w:rsidRPr="00026EC1">
        <w:t xml:space="preserve"> et doivent être entérinés par les parties nationales.</w:t>
      </w:r>
    </w:p>
    <w:p w14:paraId="66E98545" w14:textId="77777777" w:rsidR="00404F34" w:rsidRPr="00026EC1" w:rsidRDefault="00404F34" w:rsidP="00A64613">
      <w:pPr>
        <w:keepNext w:val="0"/>
      </w:pPr>
    </w:p>
    <w:p w14:paraId="27AA9936" w14:textId="6222BE8A" w:rsidR="00404F34" w:rsidRPr="00026EC1" w:rsidRDefault="00275751" w:rsidP="00A64613">
      <w:pPr>
        <w:pStyle w:val="NUMRODECLAUSE"/>
        <w:keepNext w:val="0"/>
      </w:pPr>
      <w:r w:rsidRPr="00026EC1">
        <w:t>2</w:t>
      </w:r>
      <w:r w:rsidR="00984A6F">
        <w:noBreakHyphen/>
      </w:r>
      <w:r w:rsidRPr="00026EC1">
        <w:t>4.05</w:t>
      </w:r>
    </w:p>
    <w:p w14:paraId="56C46ABB" w14:textId="7155646B" w:rsidR="00AC1C94" w:rsidRDefault="00404F34" w:rsidP="00A64613">
      <w:pPr>
        <w:keepNext w:val="0"/>
      </w:pPr>
      <w:r w:rsidRPr="00026EC1">
        <w:t>Les parties syndicales au CCNAE reçoivent annuellement une banque de données comprenant les renseignements disponibles permettant de produire un portrait statistique du personnel enseignant, la première banque transmise étant celle de l</w:t>
      </w:r>
      <w:r w:rsidR="004A41E4" w:rsidRPr="00026EC1">
        <w:t>’</w:t>
      </w:r>
      <w:r w:rsidRPr="00026EC1">
        <w:t>année 1998</w:t>
      </w:r>
      <w:r w:rsidR="00984A6F">
        <w:noBreakHyphen/>
      </w:r>
      <w:r w:rsidRPr="00026EC1">
        <w:t>1999.</w:t>
      </w:r>
    </w:p>
    <w:p w14:paraId="73FA4551" w14:textId="77777777" w:rsidR="00AC1C94" w:rsidRDefault="00AC1C94">
      <w:pPr>
        <w:keepNext w:val="0"/>
        <w:suppressAutoHyphens w:val="0"/>
        <w:jc w:val="left"/>
      </w:pPr>
      <w:r>
        <w:br w:type="page"/>
      </w:r>
    </w:p>
    <w:p w14:paraId="7587E0B0" w14:textId="0DF777A9" w:rsidR="00404F34" w:rsidRPr="00026EC1" w:rsidRDefault="00275751" w:rsidP="00A64613">
      <w:pPr>
        <w:pStyle w:val="NUMRODECLAUSE"/>
        <w:keepNext w:val="0"/>
      </w:pPr>
      <w:r w:rsidRPr="00026EC1">
        <w:t>2</w:t>
      </w:r>
      <w:r w:rsidR="00984A6F">
        <w:noBreakHyphen/>
      </w:r>
      <w:r w:rsidRPr="00026EC1">
        <w:t>4.06</w:t>
      </w:r>
    </w:p>
    <w:p w14:paraId="78C3A7EF" w14:textId="77777777" w:rsidR="00404F34" w:rsidRPr="00026EC1" w:rsidRDefault="00404F34" w:rsidP="00A64613">
      <w:pPr>
        <w:keepNext w:val="0"/>
      </w:pPr>
      <w:r w:rsidRPr="00026EC1">
        <w:t>Les membres du comité n</w:t>
      </w:r>
      <w:r w:rsidR="004A41E4" w:rsidRPr="00026EC1">
        <w:t>’</w:t>
      </w:r>
      <w:r w:rsidRPr="00026EC1">
        <w:t>ont droit à aucune rémunération pour leurs services à ce titre, mais leur employeur respectif leur verse leur salaire pendant leur libération.</w:t>
      </w:r>
    </w:p>
    <w:p w14:paraId="18656288" w14:textId="77777777" w:rsidR="00404F34" w:rsidRPr="00026EC1" w:rsidRDefault="00404F34" w:rsidP="00A64613">
      <w:pPr>
        <w:keepNext w:val="0"/>
      </w:pPr>
      <w:r w:rsidRPr="00026EC1">
        <w:t>Les frais de déplacement et de séjour des membres du comité sont assumés par leur employeur respectif.</w:t>
      </w:r>
    </w:p>
    <w:p w14:paraId="0481CAAF" w14:textId="77777777" w:rsidR="00404F34" w:rsidRPr="00026EC1" w:rsidRDefault="00404F34" w:rsidP="00A64613">
      <w:pPr>
        <w:keepNext w:val="0"/>
      </w:pPr>
    </w:p>
    <w:p w14:paraId="024955CC" w14:textId="113A8BFA" w:rsidR="00404F34" w:rsidRPr="00026EC1" w:rsidRDefault="00275751" w:rsidP="00A64613">
      <w:pPr>
        <w:pStyle w:val="NUMRODECLAUSE"/>
        <w:keepNext w:val="0"/>
      </w:pPr>
      <w:r w:rsidRPr="00026EC1">
        <w:t>2</w:t>
      </w:r>
      <w:r w:rsidR="00984A6F">
        <w:noBreakHyphen/>
      </w:r>
      <w:r w:rsidRPr="00026EC1">
        <w:t>4.07</w:t>
      </w:r>
    </w:p>
    <w:p w14:paraId="526D2BC1" w14:textId="77777777" w:rsidR="00404F34" w:rsidRPr="00026EC1" w:rsidRDefault="00404F34" w:rsidP="00A64613">
      <w:pPr>
        <w:keepNext w:val="0"/>
      </w:pPr>
      <w:r w:rsidRPr="00026EC1">
        <w:t>La libération annuelle totale des membres désignés par la FNEEQ (CSN) au comité est de zéro virgule cinq (0,5) enseignante ou enseignant à temps complet ou l</w:t>
      </w:r>
      <w:r w:rsidR="004A41E4" w:rsidRPr="00026EC1">
        <w:t>’</w:t>
      </w:r>
      <w:r w:rsidR="005A629E" w:rsidRPr="00026EC1">
        <w:t>équivalent.</w:t>
      </w:r>
    </w:p>
    <w:p w14:paraId="4134713E" w14:textId="0C4A8E59"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201" w:name="_Toc133760762"/>
      <w:bookmarkStart w:id="202" w:name="_Toc393444587"/>
      <w:bookmarkStart w:id="203" w:name="_Toc393449538"/>
      <w:bookmarkStart w:id="204" w:name="_Toc393460907"/>
      <w:bookmarkStart w:id="205" w:name="_Toc393461185"/>
      <w:bookmarkStart w:id="206" w:name="_Toc393720746"/>
      <w:bookmarkStart w:id="207" w:name="_Toc393783907"/>
      <w:bookmarkStart w:id="208" w:name="_Toc393784046"/>
      <w:bookmarkStart w:id="209" w:name="_Toc168479500"/>
      <w:bookmarkStart w:id="210" w:name="_Toc535046586"/>
      <w:r w:rsidRPr="00026EC1">
        <w:t>Article</w:t>
      </w:r>
      <w:r w:rsidR="00E70600" w:rsidRPr="00026EC1">
        <w:t> </w:t>
      </w:r>
      <w:r w:rsidRPr="00026EC1">
        <w:t>2</w:t>
      </w:r>
      <w:r w:rsidR="00984A6F">
        <w:t>-</w:t>
      </w:r>
      <w:r w:rsidRPr="00026EC1">
        <w:t>5.00</w:t>
      </w:r>
      <w:r w:rsidR="003D2529" w:rsidRPr="00026EC1">
        <w:tab/>
      </w:r>
      <w:r w:rsidR="00984A6F">
        <w:t>-</w:t>
      </w:r>
      <w:r w:rsidR="003D2529" w:rsidRPr="00026EC1">
        <w:tab/>
      </w:r>
      <w:r w:rsidRPr="00026EC1">
        <w:t>Violence et harcèlement psychologique</w:t>
      </w:r>
      <w:bookmarkEnd w:id="201"/>
      <w:bookmarkEnd w:id="202"/>
      <w:bookmarkEnd w:id="203"/>
      <w:bookmarkEnd w:id="204"/>
      <w:bookmarkEnd w:id="205"/>
      <w:bookmarkEnd w:id="206"/>
      <w:bookmarkEnd w:id="207"/>
      <w:bookmarkEnd w:id="208"/>
      <w:bookmarkEnd w:id="209"/>
    </w:p>
    <w:p w14:paraId="751A42D1" w14:textId="7F34FF9F" w:rsidR="00404F34" w:rsidRPr="00026EC1" w:rsidRDefault="00275751" w:rsidP="00A64613">
      <w:pPr>
        <w:pStyle w:val="NUMRODECLAUSE"/>
        <w:keepNext w:val="0"/>
      </w:pPr>
      <w:r w:rsidRPr="00026EC1">
        <w:t>2</w:t>
      </w:r>
      <w:r w:rsidR="00984A6F">
        <w:noBreakHyphen/>
      </w:r>
      <w:r w:rsidRPr="00026EC1">
        <w:t>5.01</w:t>
      </w:r>
    </w:p>
    <w:p w14:paraId="0B82320E" w14:textId="77777777" w:rsidR="00404F34" w:rsidRPr="00026EC1" w:rsidRDefault="00404F34" w:rsidP="00A64613">
      <w:pPr>
        <w:keepNext w:val="0"/>
        <w:snapToGrid w:val="0"/>
        <w:rPr>
          <w:bCs/>
        </w:rPr>
      </w:pPr>
      <w:r w:rsidRPr="00026EC1">
        <w:rPr>
          <w:bCs/>
        </w:rPr>
        <w:t>Les parties reconnaissent que la violence et le harcèlement psychologique sont des actes répréhensibles et s</w:t>
      </w:r>
      <w:r w:rsidR="004A41E4" w:rsidRPr="00026EC1">
        <w:rPr>
          <w:bCs/>
        </w:rPr>
        <w:t>’</w:t>
      </w:r>
      <w:r w:rsidRPr="00026EC1">
        <w:rPr>
          <w:bCs/>
        </w:rPr>
        <w:t>efforcent d</w:t>
      </w:r>
      <w:r w:rsidR="004A41E4" w:rsidRPr="00026EC1">
        <w:rPr>
          <w:bCs/>
        </w:rPr>
        <w:t>’</w:t>
      </w:r>
      <w:r w:rsidRPr="00026EC1">
        <w:rPr>
          <w:bCs/>
        </w:rPr>
        <w:t>en décourager la pratique en milieu de travail.</w:t>
      </w:r>
    </w:p>
    <w:p w14:paraId="1CC70CBE" w14:textId="77777777" w:rsidR="00404F34" w:rsidRPr="00026EC1" w:rsidRDefault="00404F34" w:rsidP="00A64613">
      <w:pPr>
        <w:keepNext w:val="0"/>
        <w:snapToGrid w:val="0"/>
        <w:rPr>
          <w:bCs/>
        </w:rPr>
      </w:pPr>
    </w:p>
    <w:p w14:paraId="1B409DB5" w14:textId="2D59DACB" w:rsidR="00404F34" w:rsidRPr="00026EC1" w:rsidRDefault="00275751" w:rsidP="00A64613">
      <w:pPr>
        <w:pStyle w:val="NUMRODECLAUSE"/>
        <w:keepNext w:val="0"/>
      </w:pPr>
      <w:r w:rsidRPr="00026EC1">
        <w:t>2</w:t>
      </w:r>
      <w:r w:rsidR="00984A6F">
        <w:noBreakHyphen/>
      </w:r>
      <w:r w:rsidRPr="00026EC1">
        <w:t>5.02</w:t>
      </w:r>
    </w:p>
    <w:p w14:paraId="18EEE393" w14:textId="77777777" w:rsidR="00404F34" w:rsidRPr="00026EC1" w:rsidRDefault="00404F34" w:rsidP="00A64613">
      <w:pPr>
        <w:keepNext w:val="0"/>
        <w:snapToGrid w:val="0"/>
        <w:rPr>
          <w:bCs/>
        </w:rPr>
      </w:pPr>
      <w:r w:rsidRPr="00026EC1">
        <w:rPr>
          <w:bCs/>
        </w:rPr>
        <w:t>Les parties collaborent pour prévenir les situations de violence et de harcèlement psychologique.</w:t>
      </w:r>
    </w:p>
    <w:p w14:paraId="1F9D486F" w14:textId="77777777" w:rsidR="00404F34" w:rsidRPr="00026EC1" w:rsidRDefault="00404F34" w:rsidP="00A64613">
      <w:pPr>
        <w:keepNext w:val="0"/>
        <w:snapToGrid w:val="0"/>
        <w:rPr>
          <w:bCs/>
        </w:rPr>
      </w:pPr>
    </w:p>
    <w:p w14:paraId="6FF08F7B" w14:textId="7C97B2AC" w:rsidR="00404F34" w:rsidRPr="00026EC1" w:rsidRDefault="00275751" w:rsidP="00A64613">
      <w:pPr>
        <w:pStyle w:val="NUMRODECLAUSE"/>
        <w:keepNext w:val="0"/>
      </w:pPr>
      <w:r w:rsidRPr="00026EC1">
        <w:t>2</w:t>
      </w:r>
      <w:r w:rsidR="00984A6F">
        <w:noBreakHyphen/>
      </w:r>
      <w:r w:rsidRPr="00026EC1">
        <w:t>5.03</w:t>
      </w:r>
    </w:p>
    <w:p w14:paraId="7ABD549F" w14:textId="77777777" w:rsidR="00404F34" w:rsidRPr="00026EC1" w:rsidRDefault="00404F34" w:rsidP="00A64613">
      <w:pPr>
        <w:keepNext w:val="0"/>
        <w:snapToGrid w:val="0"/>
        <w:rPr>
          <w:bCs/>
        </w:rPr>
      </w:pPr>
      <w:r w:rsidRPr="00026EC1">
        <w:rPr>
          <w:bCs/>
        </w:rPr>
        <w:t>Le Collège forme un comité consultatif qui a pour mandat de faire des recommandations sur l</w:t>
      </w:r>
      <w:r w:rsidR="004A41E4" w:rsidRPr="00026EC1">
        <w:rPr>
          <w:bCs/>
        </w:rPr>
        <w:t>’</w:t>
      </w:r>
      <w:r w:rsidRPr="00026EC1">
        <w:rPr>
          <w:bCs/>
        </w:rPr>
        <w:t>élaboration d</w:t>
      </w:r>
      <w:r w:rsidR="004A41E4" w:rsidRPr="00026EC1">
        <w:rPr>
          <w:bCs/>
        </w:rPr>
        <w:t>’</w:t>
      </w:r>
      <w:r w:rsidRPr="00026EC1">
        <w:rPr>
          <w:bCs/>
        </w:rPr>
        <w:t>une politique pour contrer la violence et le harcèlement psychologique comportant des mécanismes de prévention et de traitement des plaintes. Il n</w:t>
      </w:r>
      <w:r w:rsidR="004A41E4" w:rsidRPr="00026EC1">
        <w:rPr>
          <w:bCs/>
        </w:rPr>
        <w:t>’</w:t>
      </w:r>
      <w:r w:rsidRPr="00026EC1">
        <w:rPr>
          <w:bCs/>
        </w:rPr>
        <w:t>existe qu</w:t>
      </w:r>
      <w:r w:rsidR="004A41E4" w:rsidRPr="00026EC1">
        <w:rPr>
          <w:bCs/>
        </w:rPr>
        <w:t>’</w:t>
      </w:r>
      <w:r w:rsidRPr="00026EC1">
        <w:rPr>
          <w:bCs/>
        </w:rPr>
        <w:t>un comité par Collège.</w:t>
      </w:r>
    </w:p>
    <w:p w14:paraId="4C644A2D" w14:textId="77777777" w:rsidR="00404F34" w:rsidRPr="00026EC1" w:rsidRDefault="00404F34" w:rsidP="00A64613">
      <w:pPr>
        <w:keepNext w:val="0"/>
        <w:snapToGrid w:val="0"/>
        <w:rPr>
          <w:bCs/>
        </w:rPr>
      </w:pPr>
    </w:p>
    <w:p w14:paraId="3E7E8846" w14:textId="77777777" w:rsidR="00404F34" w:rsidRPr="00026EC1" w:rsidRDefault="00404F34" w:rsidP="00A64613">
      <w:pPr>
        <w:keepNext w:val="0"/>
        <w:snapToGrid w:val="0"/>
        <w:rPr>
          <w:bCs/>
        </w:rPr>
      </w:pPr>
      <w:r w:rsidRPr="00026EC1">
        <w:rPr>
          <w:bCs/>
        </w:rPr>
        <w:t>Ce comité regroupe les représentantes ou représentants du Collège, du Syndicat et, s</w:t>
      </w:r>
      <w:r w:rsidR="004A41E4" w:rsidRPr="00026EC1">
        <w:rPr>
          <w:bCs/>
        </w:rPr>
        <w:t>’</w:t>
      </w:r>
      <w:r w:rsidRPr="00026EC1">
        <w:rPr>
          <w:bCs/>
        </w:rPr>
        <w:t xml:space="preserve">ils le désirent, des étudiantes et étudiants, des professionnelles et professionnels, des membres du personnel de soutien et des cadres. Le comité détermine son mode de fonctionnement. </w:t>
      </w:r>
    </w:p>
    <w:p w14:paraId="173EBCCD" w14:textId="77777777" w:rsidR="00404F34" w:rsidRPr="00026EC1" w:rsidRDefault="00404F34" w:rsidP="00A64613">
      <w:pPr>
        <w:keepNext w:val="0"/>
        <w:snapToGrid w:val="0"/>
        <w:rPr>
          <w:bCs/>
        </w:rPr>
      </w:pPr>
    </w:p>
    <w:p w14:paraId="5CDDB001" w14:textId="5690BF6E" w:rsidR="00404F34" w:rsidRPr="00026EC1" w:rsidRDefault="00275751" w:rsidP="00A64613">
      <w:pPr>
        <w:pStyle w:val="NUMRODECLAUSE"/>
        <w:keepNext w:val="0"/>
      </w:pPr>
      <w:r w:rsidRPr="00026EC1">
        <w:t>2</w:t>
      </w:r>
      <w:r w:rsidR="00984A6F">
        <w:noBreakHyphen/>
      </w:r>
      <w:r w:rsidRPr="00026EC1">
        <w:t>5.04</w:t>
      </w:r>
    </w:p>
    <w:p w14:paraId="3FB604A8" w14:textId="77777777" w:rsidR="00404F34" w:rsidRPr="00026EC1" w:rsidRDefault="00404F34" w:rsidP="00A64613">
      <w:pPr>
        <w:keepNext w:val="0"/>
        <w:snapToGrid w:val="0"/>
      </w:pPr>
      <w:r w:rsidRPr="00026EC1">
        <w:rPr>
          <w:bCs/>
        </w:rPr>
        <w:t>Le mandat du comité consultatif peut être confié à un comité déjà existant au Collège, par entente entre les parties.</w:t>
      </w:r>
    </w:p>
    <w:p w14:paraId="44DD8942" w14:textId="4AB7622A" w:rsidR="00404F34" w:rsidRPr="00026EC1" w:rsidRDefault="00404F34" w:rsidP="00A64613">
      <w:pPr>
        <w:pStyle w:val="Heading2"/>
        <w:keepNext w:val="0"/>
        <w:tabs>
          <w:tab w:val="clear" w:pos="1843"/>
          <w:tab w:val="clear" w:pos="2127"/>
          <w:tab w:val="left" w:pos="1701"/>
          <w:tab w:val="left" w:pos="1985"/>
        </w:tabs>
        <w:ind w:left="1701" w:hanging="1701"/>
      </w:pPr>
      <w:r w:rsidRPr="00026EC1">
        <w:rPr>
          <w:b w:val="0"/>
        </w:rPr>
        <w:br w:type="page"/>
      </w:r>
      <w:bookmarkStart w:id="211" w:name="_Toc535046585"/>
      <w:bookmarkStart w:id="212" w:name="_Toc393444588"/>
      <w:bookmarkStart w:id="213" w:name="_Toc393449539"/>
      <w:bookmarkStart w:id="214" w:name="_Toc393460908"/>
      <w:bookmarkStart w:id="215" w:name="_Toc393461186"/>
      <w:bookmarkStart w:id="216" w:name="_Toc393720747"/>
      <w:bookmarkStart w:id="217" w:name="_Toc393783908"/>
      <w:bookmarkStart w:id="218" w:name="_Toc393784047"/>
      <w:bookmarkStart w:id="219" w:name="_Toc168479501"/>
      <w:r w:rsidRPr="00026EC1">
        <w:t>Article</w:t>
      </w:r>
      <w:r w:rsidR="00E70600" w:rsidRPr="00026EC1">
        <w:t> </w:t>
      </w:r>
      <w:r w:rsidRPr="00026EC1">
        <w:t>2</w:t>
      </w:r>
      <w:r w:rsidR="00984A6F">
        <w:t>-</w:t>
      </w:r>
      <w:r w:rsidRPr="00026EC1">
        <w:t>6.00</w:t>
      </w:r>
      <w:r w:rsidR="003D2529" w:rsidRPr="00026EC1">
        <w:tab/>
      </w:r>
      <w:r w:rsidR="00984A6F">
        <w:t>-</w:t>
      </w:r>
      <w:r w:rsidR="003D2529" w:rsidRPr="00026EC1">
        <w:tab/>
      </w:r>
      <w:r w:rsidRPr="00026EC1">
        <w:t>Harcèlement sexuel</w:t>
      </w:r>
      <w:bookmarkEnd w:id="211"/>
      <w:bookmarkEnd w:id="212"/>
      <w:bookmarkEnd w:id="213"/>
      <w:bookmarkEnd w:id="214"/>
      <w:bookmarkEnd w:id="215"/>
      <w:bookmarkEnd w:id="216"/>
      <w:bookmarkEnd w:id="217"/>
      <w:bookmarkEnd w:id="218"/>
      <w:bookmarkEnd w:id="219"/>
    </w:p>
    <w:p w14:paraId="01E775DB"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27A113F9" w14:textId="77777777" w:rsidR="00404F34" w:rsidRPr="00026EC1" w:rsidRDefault="00404F34" w:rsidP="00A64613">
      <w:pPr>
        <w:keepNext w:val="0"/>
      </w:pPr>
    </w:p>
    <w:p w14:paraId="698800E3" w14:textId="5A051FAF" w:rsidR="00404F34" w:rsidRPr="00026EC1" w:rsidRDefault="00275751" w:rsidP="00A64613">
      <w:pPr>
        <w:pStyle w:val="NUMRODECLAUSE"/>
        <w:keepNext w:val="0"/>
      </w:pPr>
      <w:r w:rsidRPr="00026EC1">
        <w:t>2</w:t>
      </w:r>
      <w:r w:rsidR="00984A6F">
        <w:noBreakHyphen/>
      </w:r>
      <w:r w:rsidRPr="00026EC1">
        <w:t>6.01</w:t>
      </w:r>
    </w:p>
    <w:p w14:paraId="2196F59C" w14:textId="77777777" w:rsidR="00404F34" w:rsidRPr="00026EC1" w:rsidRDefault="00404F34" w:rsidP="00A64613">
      <w:pPr>
        <w:keepNext w:val="0"/>
      </w:pPr>
      <w:r w:rsidRPr="00026EC1">
        <w:t>Le harcèlement sexuel est une forme de discrimination fondée sur le sexe et consiste en des avances sexuelles non désirées ou imposées qui peuvent prendre la forme de sollicitations verbales ou gestuelles.</w:t>
      </w:r>
    </w:p>
    <w:p w14:paraId="37591FCA" w14:textId="77777777" w:rsidR="00404F34" w:rsidRPr="00026EC1" w:rsidRDefault="00404F34" w:rsidP="00A64613">
      <w:pPr>
        <w:keepNext w:val="0"/>
      </w:pPr>
    </w:p>
    <w:p w14:paraId="7125521C" w14:textId="5CA70B11" w:rsidR="00404F34" w:rsidRPr="00026EC1" w:rsidRDefault="00275751" w:rsidP="00A64613">
      <w:pPr>
        <w:pStyle w:val="NUMRODECLAUSE"/>
        <w:keepNext w:val="0"/>
      </w:pPr>
      <w:r w:rsidRPr="00026EC1">
        <w:t>2</w:t>
      </w:r>
      <w:r w:rsidR="00984A6F">
        <w:noBreakHyphen/>
      </w:r>
      <w:r w:rsidRPr="00026EC1">
        <w:t>6.02</w:t>
      </w:r>
    </w:p>
    <w:p w14:paraId="3FCBF22F" w14:textId="77777777" w:rsidR="00404F34" w:rsidRPr="00026EC1" w:rsidRDefault="00404F34" w:rsidP="00A64613">
      <w:pPr>
        <w:keepNext w:val="0"/>
      </w:pPr>
      <w:r w:rsidRPr="00026EC1">
        <w:t>Les parties reconnaissent que le harcèlement sexuel est un acte répréhensible et s</w:t>
      </w:r>
      <w:r w:rsidR="004A41E4" w:rsidRPr="00026EC1">
        <w:t>’</w:t>
      </w:r>
      <w:r w:rsidRPr="00026EC1">
        <w:t>efforcent d</w:t>
      </w:r>
      <w:r w:rsidR="004A41E4" w:rsidRPr="00026EC1">
        <w:t>’</w:t>
      </w:r>
      <w:r w:rsidRPr="00026EC1">
        <w:t>en décourager la pratique en milieu de travail.</w:t>
      </w:r>
    </w:p>
    <w:p w14:paraId="0E16D237" w14:textId="77777777" w:rsidR="00404F34" w:rsidRPr="00026EC1" w:rsidRDefault="00404F34" w:rsidP="00A64613">
      <w:pPr>
        <w:keepNext w:val="0"/>
      </w:pPr>
    </w:p>
    <w:p w14:paraId="1C8B32FE" w14:textId="0085F6D4" w:rsidR="00404F34" w:rsidRPr="00026EC1" w:rsidRDefault="00275751" w:rsidP="00A64613">
      <w:pPr>
        <w:pStyle w:val="NUMRODECLAUSE"/>
        <w:keepNext w:val="0"/>
      </w:pPr>
      <w:r w:rsidRPr="00026EC1">
        <w:t>2</w:t>
      </w:r>
      <w:r w:rsidR="00984A6F">
        <w:noBreakHyphen/>
      </w:r>
      <w:r w:rsidRPr="00026EC1">
        <w:t>6.03</w:t>
      </w:r>
    </w:p>
    <w:p w14:paraId="232FF7CB" w14:textId="77777777" w:rsidR="00404F34" w:rsidRPr="00026EC1" w:rsidRDefault="00404F34" w:rsidP="00A64613">
      <w:pPr>
        <w:keepNext w:val="0"/>
      </w:pPr>
      <w:r w:rsidRPr="00026EC1">
        <w:t>Les parties collaborent pour prévenir les situations de harcèlement sexuel par la mise sur pied des moyens appropriés de sensibilisation et d</w:t>
      </w:r>
      <w:r w:rsidR="004A41E4" w:rsidRPr="00026EC1">
        <w:t>’</w:t>
      </w:r>
      <w:r w:rsidRPr="00026EC1">
        <w:t>information à être convenus entre elles.</w:t>
      </w:r>
    </w:p>
    <w:p w14:paraId="0241DF19" w14:textId="77777777" w:rsidR="00404F34" w:rsidRPr="00026EC1" w:rsidRDefault="00404F34" w:rsidP="00A64613">
      <w:pPr>
        <w:keepNext w:val="0"/>
      </w:pPr>
    </w:p>
    <w:p w14:paraId="341865F9" w14:textId="6B7F2CFE" w:rsidR="00404F34" w:rsidRPr="00026EC1" w:rsidRDefault="00275751" w:rsidP="00A64613">
      <w:pPr>
        <w:pStyle w:val="NUMRODECLAUSE"/>
        <w:keepNext w:val="0"/>
      </w:pPr>
      <w:r w:rsidRPr="00026EC1">
        <w:t>2</w:t>
      </w:r>
      <w:r w:rsidR="00984A6F">
        <w:noBreakHyphen/>
      </w:r>
      <w:r w:rsidRPr="00026EC1">
        <w:t>6.04</w:t>
      </w:r>
    </w:p>
    <w:p w14:paraId="270CDB86" w14:textId="77777777" w:rsidR="00404F34" w:rsidRPr="00026EC1" w:rsidRDefault="00404F34" w:rsidP="00A64613">
      <w:pPr>
        <w:keepNext w:val="0"/>
      </w:pPr>
      <w:r w:rsidRPr="00026EC1">
        <w:t>À la demande de la partie syndicale, le Collège forme un comité contre le harcèlement sexuel. Ce comité regroupe des représentantes et représentants du Collège, du Syndicat et, s</w:t>
      </w:r>
      <w:r w:rsidR="004A41E4" w:rsidRPr="00026EC1">
        <w:t>’</w:t>
      </w:r>
      <w:r w:rsidRPr="00026EC1">
        <w:t>ils le désirent, des étudiantes et étudiants, des professionnelles et professionnels, du personnel de soutien et des cadres. Le comité détermine son mode de fonctionnement.</w:t>
      </w:r>
    </w:p>
    <w:p w14:paraId="334E7AE6" w14:textId="77777777" w:rsidR="00404F34" w:rsidRPr="00026EC1" w:rsidRDefault="00404F34" w:rsidP="00A64613">
      <w:pPr>
        <w:keepNext w:val="0"/>
      </w:pPr>
    </w:p>
    <w:p w14:paraId="64CD8D83" w14:textId="2A9A5D0F" w:rsidR="00404F34" w:rsidRPr="00026EC1" w:rsidRDefault="00275751" w:rsidP="00A64613">
      <w:pPr>
        <w:pStyle w:val="NUMRODECLAUSE"/>
        <w:keepNext w:val="0"/>
      </w:pPr>
      <w:r w:rsidRPr="00026EC1">
        <w:t>2</w:t>
      </w:r>
      <w:r w:rsidR="00984A6F">
        <w:noBreakHyphen/>
      </w:r>
      <w:r w:rsidRPr="00026EC1">
        <w:t>6.05</w:t>
      </w:r>
    </w:p>
    <w:p w14:paraId="3CBAD120" w14:textId="3574BFD5" w:rsidR="00404F34" w:rsidRPr="00026EC1" w:rsidRDefault="00404F34" w:rsidP="00A64613">
      <w:pPr>
        <w:keepNext w:val="0"/>
      </w:pPr>
      <w:r w:rsidRPr="00026EC1">
        <w:t>Le rôle du comité contre le harcèlement sexuel est, notamment et entre autres, de</w:t>
      </w:r>
      <w:r w:rsidR="00D8581B">
        <w:t> :</w:t>
      </w:r>
    </w:p>
    <w:p w14:paraId="65F5A019" w14:textId="77777777" w:rsidR="00404F34" w:rsidRPr="00026EC1" w:rsidRDefault="00404F34" w:rsidP="00A64613">
      <w:pPr>
        <w:keepNext w:val="0"/>
      </w:pPr>
    </w:p>
    <w:p w14:paraId="1B0BD95E" w14:textId="77777777" w:rsidR="00404F34" w:rsidRPr="00026EC1" w:rsidRDefault="00275751" w:rsidP="00A64613">
      <w:pPr>
        <w:keepNext w:val="0"/>
        <w:tabs>
          <w:tab w:val="left" w:pos="567"/>
        </w:tabs>
        <w:ind w:left="567" w:hanging="567"/>
      </w:pPr>
      <w:r w:rsidRPr="00026EC1">
        <w:t>a)</w:t>
      </w:r>
      <w:r w:rsidRPr="00026EC1">
        <w:tab/>
      </w:r>
      <w:r w:rsidR="00404F34" w:rsidRPr="00026EC1">
        <w:t>faire toute recommandation aux parties afin de prévenir et faire cesser le harcèlement sexuel;</w:t>
      </w:r>
    </w:p>
    <w:p w14:paraId="309EAF69" w14:textId="77777777" w:rsidR="00404F34" w:rsidRPr="00026EC1" w:rsidRDefault="00404F34" w:rsidP="00A64613">
      <w:pPr>
        <w:keepNext w:val="0"/>
      </w:pPr>
    </w:p>
    <w:p w14:paraId="52BC14D4" w14:textId="77777777" w:rsidR="00404F34" w:rsidRPr="00026EC1" w:rsidRDefault="00275751" w:rsidP="00A64613">
      <w:pPr>
        <w:keepNext w:val="0"/>
        <w:tabs>
          <w:tab w:val="left" w:pos="567"/>
        </w:tabs>
        <w:ind w:left="567" w:hanging="567"/>
      </w:pPr>
      <w:r w:rsidRPr="00026EC1">
        <w:t>b)</w:t>
      </w:r>
      <w:r w:rsidRPr="00026EC1">
        <w:tab/>
      </w:r>
      <w:r w:rsidR="00404F34" w:rsidRPr="00026EC1">
        <w:t>d</w:t>
      </w:r>
      <w:r w:rsidR="004A41E4" w:rsidRPr="00026EC1">
        <w:t>’</w:t>
      </w:r>
      <w:r w:rsidR="00404F34" w:rsidRPr="00026EC1">
        <w:t>établir et de recommander au Collège une politique contre le harcèlement sexuel comportant notamment des mécanismes facilitant l</w:t>
      </w:r>
      <w:r w:rsidR="004A41E4" w:rsidRPr="00026EC1">
        <w:t>’</w:t>
      </w:r>
      <w:r w:rsidR="00404F34" w:rsidRPr="00026EC1">
        <w:t>acheminement et le règlement des plaintes relatives au harcèlement sexuel.</w:t>
      </w:r>
    </w:p>
    <w:p w14:paraId="1477E003" w14:textId="77777777" w:rsidR="00404F34" w:rsidRPr="00026EC1" w:rsidRDefault="00404F34" w:rsidP="00A64613">
      <w:pPr>
        <w:keepNext w:val="0"/>
      </w:pPr>
    </w:p>
    <w:p w14:paraId="55D98225" w14:textId="78ECB0A6" w:rsidR="00404F34" w:rsidRPr="00026EC1" w:rsidRDefault="00275751" w:rsidP="00A64613">
      <w:pPr>
        <w:pStyle w:val="NUMRODECLAUSE"/>
        <w:keepNext w:val="0"/>
      </w:pPr>
      <w:r w:rsidRPr="00026EC1">
        <w:t>2</w:t>
      </w:r>
      <w:r w:rsidR="00984A6F">
        <w:noBreakHyphen/>
      </w:r>
      <w:r w:rsidRPr="00026EC1">
        <w:t>6.06</w:t>
      </w:r>
    </w:p>
    <w:p w14:paraId="1462A1FB" w14:textId="77777777" w:rsidR="00404F34" w:rsidRPr="00026EC1" w:rsidRDefault="00404F34" w:rsidP="00A64613">
      <w:pPr>
        <w:keepNext w:val="0"/>
      </w:pPr>
      <w:r w:rsidRPr="00026EC1">
        <w:t>Le Collège implante la politique contre le harcèlement sexuel élaborée ou révisée par le comité si la recommandation du comité est unanime.</w:t>
      </w:r>
    </w:p>
    <w:p w14:paraId="4FEE1D61" w14:textId="77777777" w:rsidR="00271EF7" w:rsidRDefault="00271EF7" w:rsidP="00A64613">
      <w:pPr>
        <w:keepNext w:val="0"/>
        <w:sectPr w:rsidR="00271EF7" w:rsidSect="003D57C4">
          <w:headerReference w:type="default" r:id="rId21"/>
          <w:footnotePr>
            <w:numRestart w:val="eachPage"/>
          </w:footnotePr>
          <w:pgSz w:w="12240" w:h="15840" w:code="1"/>
          <w:pgMar w:top="720" w:right="1077" w:bottom="1242" w:left="1684" w:header="709" w:footer="709" w:gutter="0"/>
          <w:cols w:space="708"/>
          <w:docGrid w:linePitch="360"/>
        </w:sectPr>
      </w:pPr>
    </w:p>
    <w:p w14:paraId="677AA878" w14:textId="36352687" w:rsidR="00404F34" w:rsidRPr="00026EC1" w:rsidRDefault="00404F34" w:rsidP="00A64613">
      <w:pPr>
        <w:pStyle w:val="Heading1"/>
        <w:keepNext w:val="0"/>
        <w:tabs>
          <w:tab w:val="left" w:pos="1701"/>
          <w:tab w:val="left" w:pos="1985"/>
        </w:tabs>
      </w:pPr>
      <w:bookmarkStart w:id="220" w:name="_Toc133760763"/>
      <w:bookmarkStart w:id="221" w:name="_Toc133916911"/>
      <w:bookmarkStart w:id="222" w:name="_Toc134437175"/>
      <w:bookmarkStart w:id="223" w:name="_Toc393449540"/>
      <w:r w:rsidRPr="00026EC1">
        <w:t>CHAPITRE 3</w:t>
      </w:r>
      <w:r w:rsidR="003D2529" w:rsidRPr="00026EC1">
        <w:tab/>
      </w:r>
      <w:r w:rsidR="00984A6F">
        <w:noBreakHyphen/>
      </w:r>
      <w:r w:rsidR="003D2529" w:rsidRPr="00026EC1">
        <w:tab/>
      </w:r>
      <w:r w:rsidRPr="00026EC1">
        <w:t>PRÉROGATIVES SYNDICALES</w:t>
      </w:r>
      <w:bookmarkEnd w:id="210"/>
      <w:bookmarkEnd w:id="220"/>
      <w:bookmarkEnd w:id="221"/>
      <w:bookmarkEnd w:id="222"/>
      <w:bookmarkEnd w:id="223"/>
      <w:r w:rsidR="00A63844" w:rsidRPr="0035151D">
        <w:fldChar w:fldCharType="begin"/>
      </w:r>
      <w:r w:rsidR="00A63844" w:rsidRPr="0035151D">
        <w:instrText xml:space="preserve"> TC " </w:instrText>
      </w:r>
      <w:bookmarkStart w:id="224" w:name="_Toc94949705"/>
      <w:bookmarkStart w:id="225" w:name="_Toc94952713"/>
      <w:bookmarkStart w:id="226" w:name="_Toc94954617"/>
      <w:bookmarkStart w:id="227" w:name="_Toc94966294"/>
      <w:bookmarkStart w:id="228" w:name="_Toc95035172"/>
      <w:bookmarkStart w:id="229" w:name="_Toc95035315"/>
      <w:bookmarkStart w:id="230" w:name="_Toc95035458"/>
      <w:bookmarkStart w:id="231" w:name="_Toc95035603"/>
      <w:bookmarkStart w:id="232" w:name="_Toc157589228"/>
      <w:bookmarkStart w:id="233" w:name="_Toc161323675"/>
      <w:bookmarkStart w:id="234" w:name="_Toc163483017"/>
      <w:bookmarkStart w:id="235" w:name="_Toc163483616"/>
      <w:bookmarkStart w:id="236" w:name="_Toc163483806"/>
      <w:bookmarkStart w:id="237" w:name="_Toc167870775"/>
      <w:bookmarkStart w:id="238" w:name="_Toc167870939"/>
      <w:bookmarkStart w:id="239" w:name="_Toc167871095"/>
      <w:bookmarkStart w:id="240" w:name="_Toc167871271"/>
      <w:bookmarkStart w:id="241" w:name="_Toc168049339"/>
      <w:bookmarkStart w:id="242" w:name="_Toc168401503"/>
      <w:bookmarkStart w:id="243" w:name="_Toc168402119"/>
      <w:bookmarkStart w:id="244" w:name="_Toc168409554"/>
      <w:bookmarkStart w:id="245" w:name="_Toc168410308"/>
      <w:bookmarkStart w:id="246" w:name="_Toc168410554"/>
      <w:bookmarkStart w:id="247" w:name="_Toc168410795"/>
      <w:bookmarkStart w:id="248" w:name="_Toc168479502"/>
      <w:r w:rsidR="00A63844" w:rsidRPr="0035151D">
        <w:instrText xml:space="preserve">CHAPITRE </w:instrText>
      </w:r>
      <w:r w:rsidR="00A63844">
        <w:instrText>3</w:instrText>
      </w:r>
      <w:r w:rsidR="00A63844" w:rsidRPr="0035151D">
        <w:instrText xml:space="preserve">  </w:instrText>
      </w:r>
      <w:r w:rsidR="00984A6F">
        <w:noBreakHyphen/>
      </w:r>
      <w:r w:rsidR="00A63844" w:rsidRPr="0035151D">
        <w:instrText xml:space="preserve">  </w:instrText>
      </w:r>
      <w:r w:rsidR="00A63844">
        <w:instrText>prérogatives syndicales</w:instrTex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A63844" w:rsidRPr="0035151D">
        <w:instrText>"\N</w:instrText>
      </w:r>
      <w:r w:rsidR="00A63844" w:rsidRPr="0035151D">
        <w:fldChar w:fldCharType="end"/>
      </w:r>
    </w:p>
    <w:p w14:paraId="679DDF4E" w14:textId="4E44F1B5" w:rsidR="00404F34" w:rsidRPr="00026EC1" w:rsidRDefault="00404F34" w:rsidP="00A64613">
      <w:pPr>
        <w:pStyle w:val="Heading2"/>
        <w:keepNext w:val="0"/>
        <w:tabs>
          <w:tab w:val="clear" w:pos="1843"/>
          <w:tab w:val="clear" w:pos="2127"/>
          <w:tab w:val="left" w:pos="1701"/>
          <w:tab w:val="left" w:pos="1985"/>
        </w:tabs>
        <w:ind w:left="1701" w:hanging="1701"/>
      </w:pPr>
      <w:bookmarkStart w:id="249" w:name="_Toc535046587"/>
      <w:bookmarkStart w:id="250" w:name="_Toc133760764"/>
      <w:bookmarkStart w:id="251" w:name="_Toc393444590"/>
      <w:bookmarkStart w:id="252" w:name="_Toc393449541"/>
      <w:bookmarkStart w:id="253" w:name="_Toc393460910"/>
      <w:bookmarkStart w:id="254" w:name="_Toc393461188"/>
      <w:bookmarkStart w:id="255" w:name="_Toc393720749"/>
      <w:bookmarkStart w:id="256" w:name="_Toc393783910"/>
      <w:bookmarkStart w:id="257" w:name="_Toc393784049"/>
      <w:bookmarkStart w:id="258" w:name="_Toc168479503"/>
      <w:r w:rsidRPr="00026EC1">
        <w:t>Article 3</w:t>
      </w:r>
      <w:r w:rsidR="00984A6F">
        <w:t>-</w:t>
      </w:r>
      <w:r w:rsidRPr="00026EC1">
        <w:t>1.00</w:t>
      </w:r>
      <w:r w:rsidR="003D2529" w:rsidRPr="00026EC1">
        <w:tab/>
      </w:r>
      <w:r w:rsidR="00984A6F">
        <w:t>-</w:t>
      </w:r>
      <w:r w:rsidR="003D2529" w:rsidRPr="00026EC1">
        <w:tab/>
      </w:r>
      <w:r w:rsidRPr="00026EC1">
        <w:t>Activités syndicales</w:t>
      </w:r>
      <w:bookmarkEnd w:id="249"/>
      <w:bookmarkEnd w:id="250"/>
      <w:bookmarkEnd w:id="251"/>
      <w:bookmarkEnd w:id="252"/>
      <w:bookmarkEnd w:id="253"/>
      <w:bookmarkEnd w:id="254"/>
      <w:bookmarkEnd w:id="255"/>
      <w:bookmarkEnd w:id="256"/>
      <w:bookmarkEnd w:id="257"/>
      <w:bookmarkEnd w:id="258"/>
    </w:p>
    <w:p w14:paraId="62F3B34A" w14:textId="61984AE0" w:rsidR="00404F34" w:rsidRPr="00026EC1" w:rsidRDefault="00275751" w:rsidP="00A64613">
      <w:pPr>
        <w:pStyle w:val="NUMRODECLAUSE"/>
        <w:keepNext w:val="0"/>
      </w:pPr>
      <w:r w:rsidRPr="00026EC1">
        <w:t>3</w:t>
      </w:r>
      <w:r w:rsidR="00984A6F">
        <w:noBreakHyphen/>
      </w:r>
      <w:r w:rsidRPr="00026EC1">
        <w:t>1.01</w:t>
      </w:r>
    </w:p>
    <w:p w14:paraId="3A321BD7" w14:textId="77777777" w:rsidR="00404F34" w:rsidRPr="00026EC1" w:rsidRDefault="00404F34" w:rsidP="00A64613">
      <w:pPr>
        <w:keepNext w:val="0"/>
      </w:pPr>
      <w:r w:rsidRPr="00026EC1">
        <w:t>Le Syndicat peut nommer une enseignante ou un enseignant à l</w:t>
      </w:r>
      <w:r w:rsidR="004A41E4" w:rsidRPr="00026EC1">
        <w:t>’</w:t>
      </w:r>
      <w:r w:rsidRPr="00026EC1">
        <w:t>emploi du Collège à titre de représentante ou représentant syndical et, le cas échéant, une ou un substitut, pour le représenter dans les cas de griefs. S</w:t>
      </w:r>
      <w:r w:rsidR="004A41E4" w:rsidRPr="00026EC1">
        <w:t>’</w:t>
      </w:r>
      <w:r w:rsidRPr="00026EC1">
        <w:t>il le fait, il en informe le Collège.</w:t>
      </w:r>
    </w:p>
    <w:p w14:paraId="2F62C78C" w14:textId="77777777" w:rsidR="00404F34" w:rsidRPr="00026EC1" w:rsidRDefault="00404F34" w:rsidP="00A64613">
      <w:pPr>
        <w:keepNext w:val="0"/>
      </w:pPr>
    </w:p>
    <w:p w14:paraId="7B8E016D" w14:textId="29438C63" w:rsidR="00404F34" w:rsidRPr="00026EC1" w:rsidRDefault="00275751" w:rsidP="00A64613">
      <w:pPr>
        <w:pStyle w:val="NUMRODECLAUSE"/>
        <w:keepNext w:val="0"/>
      </w:pPr>
      <w:r w:rsidRPr="00026EC1">
        <w:t>3</w:t>
      </w:r>
      <w:r w:rsidR="00984A6F">
        <w:noBreakHyphen/>
      </w:r>
      <w:r w:rsidRPr="00026EC1">
        <w:t>1.02</w:t>
      </w:r>
    </w:p>
    <w:p w14:paraId="11D99BF3" w14:textId="01234FF8" w:rsidR="00404F34" w:rsidRPr="00026EC1" w:rsidRDefault="00404F34" w:rsidP="00A64613">
      <w:pPr>
        <w:keepNext w:val="0"/>
      </w:pPr>
      <w:r w:rsidRPr="00026EC1">
        <w:t>Le Syndicat peut nommer une telle représentante ou un tel représentant et sa ou son substitut pour chaque campus au sens de l</w:t>
      </w:r>
      <w:r w:rsidR="004A41E4" w:rsidRPr="00026EC1">
        <w:t>’</w:t>
      </w:r>
      <w:r w:rsidR="00570F02" w:rsidRPr="00026EC1">
        <w:t>A</w:t>
      </w:r>
      <w:r w:rsidRPr="00026EC1">
        <w:t>nnexe I</w:t>
      </w:r>
      <w:r w:rsidR="00984A6F">
        <w:noBreakHyphen/>
      </w:r>
      <w:r w:rsidRPr="00026EC1">
        <w:t>5, pavillon au sens de l</w:t>
      </w:r>
      <w:r w:rsidR="004A41E4" w:rsidRPr="00026EC1">
        <w:t>’</w:t>
      </w:r>
      <w:r w:rsidR="00570F02" w:rsidRPr="00026EC1">
        <w:t>A</w:t>
      </w:r>
      <w:r w:rsidRPr="00026EC1">
        <w:t>nnexe I</w:t>
      </w:r>
      <w:r w:rsidR="00984A6F">
        <w:noBreakHyphen/>
      </w:r>
      <w:r w:rsidRPr="00026EC1">
        <w:t>6 ou sous</w:t>
      </w:r>
      <w:r w:rsidR="00984A6F">
        <w:noBreakHyphen/>
      </w:r>
      <w:r w:rsidRPr="00026EC1">
        <w:t>centre au sens de l</w:t>
      </w:r>
      <w:r w:rsidR="004A41E4" w:rsidRPr="00026EC1">
        <w:t>’</w:t>
      </w:r>
      <w:r w:rsidR="00570F02" w:rsidRPr="00026EC1">
        <w:t>A</w:t>
      </w:r>
      <w:r w:rsidRPr="00026EC1">
        <w:t>nnexe I</w:t>
      </w:r>
      <w:r w:rsidR="00984A6F">
        <w:noBreakHyphen/>
      </w:r>
      <w:r w:rsidRPr="00026EC1">
        <w:t>7.</w:t>
      </w:r>
    </w:p>
    <w:p w14:paraId="64407BBD" w14:textId="77777777" w:rsidR="00404F34" w:rsidRPr="00026EC1" w:rsidRDefault="00404F34" w:rsidP="00A64613">
      <w:pPr>
        <w:keepNext w:val="0"/>
      </w:pPr>
    </w:p>
    <w:p w14:paraId="18D7DFEC" w14:textId="47AFFE84" w:rsidR="00404F34" w:rsidRPr="00026EC1" w:rsidRDefault="00275751" w:rsidP="00A64613">
      <w:pPr>
        <w:pStyle w:val="NUMRODECLAUSE"/>
        <w:keepNext w:val="0"/>
      </w:pPr>
      <w:r w:rsidRPr="00026EC1">
        <w:t>3</w:t>
      </w:r>
      <w:r w:rsidR="00984A6F">
        <w:noBreakHyphen/>
      </w:r>
      <w:r w:rsidRPr="00026EC1">
        <w:t>1.03</w:t>
      </w:r>
    </w:p>
    <w:p w14:paraId="2CB6278B" w14:textId="77777777" w:rsidR="00404F34" w:rsidRPr="00026EC1" w:rsidRDefault="00404F34" w:rsidP="00A64613">
      <w:pPr>
        <w:keepNext w:val="0"/>
      </w:pPr>
      <w:r w:rsidRPr="00026EC1">
        <w:t>En cas d</w:t>
      </w:r>
      <w:r w:rsidR="004A41E4" w:rsidRPr="00026EC1">
        <w:t>’</w:t>
      </w:r>
      <w:r w:rsidRPr="00026EC1">
        <w:t>impossibilité de discuter de son grief en dehors des heures de disponibilité, une enseignante ou un enseignant peut s</w:t>
      </w:r>
      <w:r w:rsidR="004A41E4" w:rsidRPr="00026EC1">
        <w:t>’</w:t>
      </w:r>
      <w:r w:rsidRPr="00026EC1">
        <w:t>absenter de son travail, sans perte de salaire ni remboursement par le Syndicat, pour la période où sa présence est requise à cette fin.</w:t>
      </w:r>
    </w:p>
    <w:p w14:paraId="6317CBEC" w14:textId="77777777" w:rsidR="00404F34" w:rsidRPr="00026EC1" w:rsidRDefault="00404F34" w:rsidP="00A64613">
      <w:pPr>
        <w:keepNext w:val="0"/>
      </w:pPr>
    </w:p>
    <w:p w14:paraId="22F70111" w14:textId="09D38F13" w:rsidR="00404F34" w:rsidRPr="00026EC1" w:rsidRDefault="00275751" w:rsidP="00A64613">
      <w:pPr>
        <w:pStyle w:val="NUMRODECLAUSE"/>
        <w:keepNext w:val="0"/>
      </w:pPr>
      <w:r w:rsidRPr="00026EC1">
        <w:t>3</w:t>
      </w:r>
      <w:r w:rsidR="00984A6F">
        <w:noBreakHyphen/>
      </w:r>
      <w:r w:rsidRPr="00026EC1">
        <w:t>1.04</w:t>
      </w:r>
    </w:p>
    <w:p w14:paraId="78F0A4F7"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dont le grief est en audience devant un tribunal d</w:t>
      </w:r>
      <w:r w:rsidR="004A41E4" w:rsidRPr="00026EC1">
        <w:t>’</w:t>
      </w:r>
      <w:r w:rsidRPr="00026EC1">
        <w:t>arbitrage peut s</w:t>
      </w:r>
      <w:r w:rsidR="004A41E4" w:rsidRPr="00026EC1">
        <w:t>’</w:t>
      </w:r>
      <w:r w:rsidRPr="00026EC1">
        <w:t>absenter de son travail, après avis au Collège, sans perte de salaire ni remboursement par le Syndicat, afin de participer aux séances d</w:t>
      </w:r>
      <w:r w:rsidR="004A41E4" w:rsidRPr="00026EC1">
        <w:t>’</w:t>
      </w:r>
      <w:r w:rsidRPr="00026EC1">
        <w:t>arbitrage.</w:t>
      </w:r>
    </w:p>
    <w:p w14:paraId="42F595FC" w14:textId="77777777" w:rsidR="00404F34" w:rsidRPr="00026EC1" w:rsidRDefault="00404F34" w:rsidP="00A64613">
      <w:pPr>
        <w:keepNext w:val="0"/>
      </w:pPr>
    </w:p>
    <w:p w14:paraId="6287C0EF" w14:textId="56D5C24E" w:rsidR="00404F34" w:rsidRPr="00026EC1" w:rsidRDefault="00275751" w:rsidP="00A64613">
      <w:pPr>
        <w:pStyle w:val="NUMRODECLAUSE"/>
        <w:keepNext w:val="0"/>
      </w:pPr>
      <w:r w:rsidRPr="00026EC1">
        <w:t>3</w:t>
      </w:r>
      <w:r w:rsidR="00984A6F">
        <w:noBreakHyphen/>
      </w:r>
      <w:r w:rsidRPr="00026EC1">
        <w:t>1.05</w:t>
      </w:r>
    </w:p>
    <w:p w14:paraId="0D01693E"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appelé à témoigner devant un tribunal d</w:t>
      </w:r>
      <w:r w:rsidR="004A41E4" w:rsidRPr="00026EC1">
        <w:t>’</w:t>
      </w:r>
      <w:r w:rsidRPr="00026EC1">
        <w:t>arbitrage peut s</w:t>
      </w:r>
      <w:r w:rsidR="004A41E4" w:rsidRPr="00026EC1">
        <w:t>’</w:t>
      </w:r>
      <w:r w:rsidRPr="00026EC1">
        <w:t>absenter de son travail, après avis au Collège, sans perte de salaire ni remboursement par le Syndicat. La durée de son absence est alors dictée par les exigences du tribunal d</w:t>
      </w:r>
      <w:r w:rsidR="004A41E4" w:rsidRPr="00026EC1">
        <w:t>’</w:t>
      </w:r>
      <w:r w:rsidRPr="00026EC1">
        <w:t>arbitrage.</w:t>
      </w:r>
    </w:p>
    <w:p w14:paraId="0A2F2FE4" w14:textId="77777777" w:rsidR="00404F34" w:rsidRPr="00026EC1" w:rsidRDefault="00404F34" w:rsidP="00A64613">
      <w:pPr>
        <w:keepNext w:val="0"/>
      </w:pPr>
    </w:p>
    <w:p w14:paraId="4F4CF26D" w14:textId="5737D999" w:rsidR="00404F34" w:rsidRPr="00026EC1" w:rsidRDefault="00275751" w:rsidP="00A64613">
      <w:pPr>
        <w:pStyle w:val="NUMRODECLAUSE"/>
        <w:keepNext w:val="0"/>
      </w:pPr>
      <w:r w:rsidRPr="00026EC1">
        <w:t>3</w:t>
      </w:r>
      <w:r w:rsidR="00984A6F">
        <w:noBreakHyphen/>
      </w:r>
      <w:r w:rsidRPr="00026EC1">
        <w:t>1.06</w:t>
      </w:r>
    </w:p>
    <w:p w14:paraId="55FD2D11"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membre d</w:t>
      </w:r>
      <w:r w:rsidR="004A41E4" w:rsidRPr="00026EC1">
        <w:t>’</w:t>
      </w:r>
      <w:r w:rsidRPr="00026EC1">
        <w:t>un comité prévu à la convention collective et mettant en cause les parties nationales ou l</w:t>
      </w:r>
      <w:r w:rsidR="004A41E4" w:rsidRPr="00026EC1">
        <w:t>’</w:t>
      </w:r>
      <w:r w:rsidRPr="00026EC1">
        <w:t>enseignante ou l</w:t>
      </w:r>
      <w:r w:rsidR="004A41E4" w:rsidRPr="00026EC1">
        <w:t>’</w:t>
      </w:r>
      <w:r w:rsidRPr="00026EC1">
        <w:t>enseignant convoqué à un tel comité peut s</w:t>
      </w:r>
      <w:r w:rsidR="004A41E4" w:rsidRPr="00026EC1">
        <w:t>’</w:t>
      </w:r>
      <w:r w:rsidRPr="00026EC1">
        <w:t>absenter de son travail, sans perte de salaire ni remboursement par le Syndicat, pour participer à toute réunion selon la convocation.</w:t>
      </w:r>
    </w:p>
    <w:p w14:paraId="6CB6CD79" w14:textId="77777777" w:rsidR="00404F34" w:rsidRPr="00026EC1" w:rsidRDefault="00404F34" w:rsidP="00A64613">
      <w:pPr>
        <w:keepNext w:val="0"/>
      </w:pPr>
    </w:p>
    <w:p w14:paraId="3BF5952A" w14:textId="680A3AFC" w:rsidR="00404F34" w:rsidRPr="00026EC1" w:rsidRDefault="00275751" w:rsidP="00A64613">
      <w:pPr>
        <w:pStyle w:val="NUMRODECLAUSE"/>
        <w:keepNext w:val="0"/>
      </w:pPr>
      <w:r w:rsidRPr="00026EC1">
        <w:t>3</w:t>
      </w:r>
      <w:r w:rsidR="00984A6F">
        <w:noBreakHyphen/>
      </w:r>
      <w:r w:rsidRPr="00026EC1">
        <w:t>1.07</w:t>
      </w:r>
    </w:p>
    <w:p w14:paraId="22F3E69B" w14:textId="77777777" w:rsidR="003D57C4" w:rsidRDefault="00404F34" w:rsidP="00A64613">
      <w:pPr>
        <w:keepNext w:val="0"/>
        <w:sectPr w:rsidR="003D57C4" w:rsidSect="003D57C4">
          <w:headerReference w:type="default" r:id="rId22"/>
          <w:footnotePr>
            <w:numRestart w:val="eachPage"/>
          </w:footnotePr>
          <w:pgSz w:w="12240" w:h="15840" w:code="1"/>
          <w:pgMar w:top="720" w:right="1077" w:bottom="1242" w:left="1684" w:header="709" w:footer="709" w:gutter="0"/>
          <w:cols w:space="708"/>
          <w:docGrid w:linePitch="360"/>
        </w:sectPr>
      </w:pPr>
      <w:r w:rsidRPr="00026EC1">
        <w:t>Une enseignante ou un enseignant peut s</w:t>
      </w:r>
      <w:r w:rsidR="004A41E4" w:rsidRPr="00026EC1">
        <w:t>’</w:t>
      </w:r>
      <w:r w:rsidRPr="00026EC1">
        <w:t>absenter, sans perte de salaire</w:t>
      </w:r>
      <w:r w:rsidR="009727D4" w:rsidRPr="00026EC1">
        <w:t>,</w:t>
      </w:r>
      <w:r w:rsidRPr="00026EC1">
        <w:t xml:space="preserve"> mais avec remboursement par le Syndicat, si cette absence l</w:t>
      </w:r>
      <w:r w:rsidR="004A41E4" w:rsidRPr="00026EC1">
        <w:t>’</w:t>
      </w:r>
      <w:r w:rsidRPr="00026EC1">
        <w:t>empêche d</w:t>
      </w:r>
      <w:r w:rsidR="004A41E4" w:rsidRPr="00026EC1">
        <w:t>’</w:t>
      </w:r>
      <w:r w:rsidRPr="00026EC1">
        <w:t>être présent à une activité prévue pour elle ou lui à l</w:t>
      </w:r>
      <w:r w:rsidR="004A41E4" w:rsidRPr="00026EC1">
        <w:t>’</w:t>
      </w:r>
      <w:r w:rsidRPr="00026EC1">
        <w:t>horaire, afin de participer à des activités syndicales officielles régionales ou nationales pourvu que la demande en soit faite en temps opportun et que l</w:t>
      </w:r>
      <w:r w:rsidR="004A41E4" w:rsidRPr="00026EC1">
        <w:t>’</w:t>
      </w:r>
      <w:r w:rsidRPr="00026EC1">
        <w:t>absence ne porte pas préjudice grave à sa charge et à la bonne marche du Collège.</w:t>
      </w:r>
    </w:p>
    <w:p w14:paraId="1869A513" w14:textId="05A897FB" w:rsidR="00404F34" w:rsidRPr="00026EC1" w:rsidRDefault="00275751" w:rsidP="00A64613">
      <w:pPr>
        <w:pStyle w:val="NUMRODECLAUSE"/>
        <w:keepNext w:val="0"/>
      </w:pPr>
      <w:r w:rsidRPr="00026EC1">
        <w:t>3</w:t>
      </w:r>
      <w:r w:rsidR="00984A6F">
        <w:noBreakHyphen/>
      </w:r>
      <w:r w:rsidRPr="00026EC1">
        <w:t>1.08</w:t>
      </w:r>
    </w:p>
    <w:p w14:paraId="66DB6A16" w14:textId="77777777" w:rsidR="0017074B" w:rsidRDefault="00404F34" w:rsidP="0017074B">
      <w:pPr>
        <w:keepNext w:val="0"/>
      </w:pPr>
      <w:r w:rsidRPr="00026EC1">
        <w:t>Les avis et les demandes d</w:t>
      </w:r>
      <w:r w:rsidR="004A41E4" w:rsidRPr="00026EC1">
        <w:t>’</w:t>
      </w:r>
      <w:r w:rsidRPr="00026EC1">
        <w:t>absence, de libérations ou de congés pour activités syndicales prévus au présent article</w:t>
      </w:r>
      <w:r w:rsidR="00831CEF" w:rsidRPr="00026EC1">
        <w:t xml:space="preserve"> </w:t>
      </w:r>
      <w:r w:rsidRPr="00026EC1">
        <w:t>sont signés par l</w:t>
      </w:r>
      <w:r w:rsidR="004A41E4" w:rsidRPr="00026EC1">
        <w:t>’</w:t>
      </w:r>
      <w:r w:rsidRPr="00026EC1">
        <w:t>enseignante ou l</w:t>
      </w:r>
      <w:r w:rsidR="004A41E4" w:rsidRPr="00026EC1">
        <w:t>’</w:t>
      </w:r>
      <w:r w:rsidRPr="00026EC1">
        <w:t>enseignant et approuvés par une représentante ou un représentant autorisé du Syndicat.</w:t>
      </w:r>
    </w:p>
    <w:p w14:paraId="2B7AC344" w14:textId="77777777" w:rsidR="0017074B" w:rsidRDefault="0017074B" w:rsidP="0017074B">
      <w:pPr>
        <w:keepNext w:val="0"/>
      </w:pPr>
    </w:p>
    <w:p w14:paraId="2F17B5CD" w14:textId="0A81AA9B" w:rsidR="00404F34" w:rsidRPr="00026EC1" w:rsidRDefault="00275751" w:rsidP="0017074B">
      <w:pPr>
        <w:pStyle w:val="NUMRODECLAUSE"/>
        <w:keepNext w:val="0"/>
      </w:pPr>
      <w:r w:rsidRPr="00026EC1">
        <w:t>3</w:t>
      </w:r>
      <w:r w:rsidR="00984A6F">
        <w:noBreakHyphen/>
      </w:r>
      <w:r w:rsidRPr="00026EC1">
        <w:t>1.09</w:t>
      </w:r>
    </w:p>
    <w:p w14:paraId="3BA64514" w14:textId="4610AE62" w:rsidR="00404F34" w:rsidRPr="00026EC1" w:rsidRDefault="00404F34" w:rsidP="00A64613">
      <w:pPr>
        <w:keepNext w:val="0"/>
      </w:pPr>
      <w:r w:rsidRPr="00026EC1">
        <w:t>Cette autorisation d</w:t>
      </w:r>
      <w:r w:rsidR="004A41E4" w:rsidRPr="00026EC1">
        <w:t>’</w:t>
      </w:r>
      <w:r w:rsidRPr="00026EC1">
        <w:t>absence peut être refusée</w:t>
      </w:r>
      <w:r w:rsidR="00D8581B">
        <w:t> :</w:t>
      </w:r>
    </w:p>
    <w:p w14:paraId="74B4E54E" w14:textId="77777777" w:rsidR="00404F34" w:rsidRPr="00026EC1" w:rsidRDefault="00404F34" w:rsidP="00A64613">
      <w:pPr>
        <w:keepNext w:val="0"/>
      </w:pPr>
    </w:p>
    <w:p w14:paraId="5ACDE7C2" w14:textId="77777777" w:rsidR="00404F34" w:rsidRPr="00026EC1" w:rsidRDefault="00275751" w:rsidP="00A64613">
      <w:pPr>
        <w:keepNext w:val="0"/>
        <w:tabs>
          <w:tab w:val="left" w:pos="567"/>
        </w:tabs>
        <w:ind w:left="567" w:hanging="567"/>
      </w:pPr>
      <w:r w:rsidRPr="00026EC1">
        <w:t>a)</w:t>
      </w:r>
      <w:r w:rsidRPr="00026EC1">
        <w:tab/>
      </w:r>
      <w:r w:rsidR="00404F34" w:rsidRPr="00026EC1">
        <w:t>si l</w:t>
      </w:r>
      <w:r w:rsidR="004A41E4" w:rsidRPr="00026EC1">
        <w:t>’</w:t>
      </w:r>
      <w:r w:rsidR="00404F34" w:rsidRPr="00026EC1">
        <w:t>enseignante ou l</w:t>
      </w:r>
      <w:r w:rsidR="004A41E4" w:rsidRPr="00026EC1">
        <w:t>’</w:t>
      </w:r>
      <w:r w:rsidR="00404F34" w:rsidRPr="00026EC1">
        <w:t>enseignant a déjà bénéficié pendant l</w:t>
      </w:r>
      <w:r w:rsidR="004A41E4" w:rsidRPr="00026EC1">
        <w:t>’</w:t>
      </w:r>
      <w:r w:rsidR="00404F34" w:rsidRPr="00026EC1">
        <w:t>année d</w:t>
      </w:r>
      <w:r w:rsidR="004A41E4" w:rsidRPr="00026EC1">
        <w:t>’</w:t>
      </w:r>
      <w:r w:rsidR="00404F34" w:rsidRPr="00026EC1">
        <w:t>enseignement d</w:t>
      </w:r>
      <w:r w:rsidR="004A41E4" w:rsidRPr="00026EC1">
        <w:t>’</w:t>
      </w:r>
      <w:r w:rsidR="00404F34" w:rsidRPr="00026EC1">
        <w:t>autorisations d</w:t>
      </w:r>
      <w:r w:rsidR="004A41E4" w:rsidRPr="00026EC1">
        <w:t>’</w:t>
      </w:r>
      <w:r w:rsidR="00404F34" w:rsidRPr="00026EC1">
        <w:t>absences, de libérations ou de congés pour activités syndicales locales, régionales ou nationales d</w:t>
      </w:r>
      <w:r w:rsidR="004A41E4" w:rsidRPr="00026EC1">
        <w:t>’</w:t>
      </w:r>
      <w:r w:rsidR="00404F34" w:rsidRPr="00026EC1">
        <w:t>une durée totale de trente (30) jours ouvrables;</w:t>
      </w:r>
    </w:p>
    <w:p w14:paraId="2840D239" w14:textId="77777777" w:rsidR="00404F34" w:rsidRPr="00026EC1" w:rsidRDefault="00404F34" w:rsidP="00A64613">
      <w:pPr>
        <w:keepNext w:val="0"/>
      </w:pPr>
    </w:p>
    <w:p w14:paraId="59CD98E4" w14:textId="77777777" w:rsidR="00404F34" w:rsidRPr="00026EC1" w:rsidRDefault="00275751" w:rsidP="00A64613">
      <w:pPr>
        <w:keepNext w:val="0"/>
        <w:tabs>
          <w:tab w:val="left" w:pos="567"/>
        </w:tabs>
        <w:ind w:left="567" w:hanging="567"/>
      </w:pPr>
      <w:r w:rsidRPr="00026EC1">
        <w:t>b)</w:t>
      </w:r>
      <w:r w:rsidRPr="00026EC1">
        <w:tab/>
      </w:r>
      <w:r w:rsidR="00404F34" w:rsidRPr="00026EC1">
        <w:t>si la demande porte sur une durée excédant cinq (5) jours ouvrables consécutifs.</w:t>
      </w:r>
    </w:p>
    <w:p w14:paraId="3F6F47E8" w14:textId="77777777" w:rsidR="00404F34" w:rsidRPr="00026EC1" w:rsidRDefault="00404F34" w:rsidP="00A64613">
      <w:pPr>
        <w:keepNext w:val="0"/>
      </w:pPr>
    </w:p>
    <w:p w14:paraId="2B266A65" w14:textId="07B3B8AD" w:rsidR="00404F34" w:rsidRPr="00026EC1" w:rsidRDefault="00404F34" w:rsidP="00A64613">
      <w:pPr>
        <w:keepNext w:val="0"/>
      </w:pPr>
      <w:r w:rsidRPr="00026EC1">
        <w:t>Les dispositions de</w:t>
      </w:r>
      <w:r w:rsidR="00A470FE" w:rsidRPr="00316277">
        <w:t>s alinéas</w:t>
      </w:r>
      <w:r w:rsidR="00A470FE">
        <w:t> </w:t>
      </w:r>
      <w:r w:rsidRPr="00026EC1">
        <w:t>a) et b) ci</w:t>
      </w:r>
      <w:r w:rsidR="00984A6F">
        <w:noBreakHyphen/>
      </w:r>
      <w:r w:rsidRPr="00026EC1">
        <w:t>dessus ne s</w:t>
      </w:r>
      <w:r w:rsidR="004A41E4" w:rsidRPr="00026EC1">
        <w:t>’</w:t>
      </w:r>
      <w:r w:rsidRPr="00026EC1">
        <w:t>appliquent pas à une ou un membre du comité exécutif ou du Bureau fédéral de la FNEEQ (CSN).</w:t>
      </w:r>
    </w:p>
    <w:p w14:paraId="7BCC79BB" w14:textId="77777777" w:rsidR="00404F34" w:rsidRPr="00026EC1" w:rsidRDefault="00404F34" w:rsidP="00A64613">
      <w:pPr>
        <w:keepNext w:val="0"/>
      </w:pPr>
    </w:p>
    <w:p w14:paraId="6E67015A" w14:textId="1EBCAABC" w:rsidR="00404F34" w:rsidRPr="00026EC1" w:rsidRDefault="00275751" w:rsidP="00A64613">
      <w:pPr>
        <w:pStyle w:val="NUMRODECLAUSE"/>
        <w:keepNext w:val="0"/>
      </w:pPr>
      <w:r w:rsidRPr="00026EC1">
        <w:t>3</w:t>
      </w:r>
      <w:r w:rsidR="00984A6F">
        <w:noBreakHyphen/>
      </w:r>
      <w:r w:rsidRPr="00026EC1">
        <w:t>1.10</w:t>
      </w:r>
    </w:p>
    <w:p w14:paraId="00ABD4CF" w14:textId="77777777" w:rsidR="00404F34" w:rsidRPr="00026EC1" w:rsidRDefault="00404F34" w:rsidP="00A64613">
      <w:pPr>
        <w:keepNext w:val="0"/>
      </w:pPr>
      <w:r w:rsidRPr="00026EC1">
        <w:t>Si une enseignante ou un enseignant est élu à un poste de membre du comité exécutif de la Confédération des syndicats nationaux, de la FNEEQ (CSN) ou d</w:t>
      </w:r>
      <w:r w:rsidR="004A41E4" w:rsidRPr="00026EC1">
        <w:t>’</w:t>
      </w:r>
      <w:r w:rsidRPr="00026EC1">
        <w:t>un Conseil central, le Collège, sur demande adressée à cette fin au moins vingt et un (21) jours à l</w:t>
      </w:r>
      <w:r w:rsidR="004A41E4" w:rsidRPr="00026EC1">
        <w:t>’</w:t>
      </w:r>
      <w:r w:rsidRPr="00026EC1">
        <w:t>avance, libère cette enseignante ou cet enseignant avec salaire remboursable par le Syndicat. Ce congé est renouvelable automatiquement d</w:t>
      </w:r>
      <w:r w:rsidR="004A41E4" w:rsidRPr="00026EC1">
        <w:t>’</w:t>
      </w:r>
      <w:r w:rsidRPr="00026EC1">
        <w:t>année en année pour la durée du terme.</w:t>
      </w:r>
    </w:p>
    <w:p w14:paraId="5B0FA718" w14:textId="77777777" w:rsidR="00404F34" w:rsidRPr="00026EC1" w:rsidRDefault="00404F34" w:rsidP="00A64613">
      <w:pPr>
        <w:keepNext w:val="0"/>
      </w:pPr>
    </w:p>
    <w:p w14:paraId="028A2FC5" w14:textId="77777777" w:rsidR="00404F34" w:rsidRPr="00026EC1" w:rsidRDefault="00404F34" w:rsidP="00A64613">
      <w:pPr>
        <w:keepNext w:val="0"/>
      </w:pPr>
      <w:r w:rsidRPr="00026EC1">
        <w:t>Les mêmes dispositions s</w:t>
      </w:r>
      <w:r w:rsidR="004A41E4" w:rsidRPr="00026EC1">
        <w:t>’</w:t>
      </w:r>
      <w:r w:rsidRPr="00026EC1">
        <w:t>appliquent, à moins d</w:t>
      </w:r>
      <w:r w:rsidR="004A41E4" w:rsidRPr="00026EC1">
        <w:t>’</w:t>
      </w:r>
      <w:r w:rsidRPr="00026EC1">
        <w:t>entente entre les parties, à un maximum d</w:t>
      </w:r>
      <w:r w:rsidR="004A41E4" w:rsidRPr="00026EC1">
        <w:t>’</w:t>
      </w:r>
      <w:r w:rsidRPr="00026EC1">
        <w:t>une (1) enseignante ou d</w:t>
      </w:r>
      <w:r w:rsidR="004A41E4" w:rsidRPr="00026EC1">
        <w:t>’</w:t>
      </w:r>
      <w:r w:rsidRPr="00026EC1">
        <w:t>un (1) enseignant appelé à remplir une fonction syndicale permanente.</w:t>
      </w:r>
    </w:p>
    <w:p w14:paraId="0A5754AA" w14:textId="77777777" w:rsidR="00404F34" w:rsidRPr="00026EC1" w:rsidRDefault="00404F34" w:rsidP="00A64613">
      <w:pPr>
        <w:keepNext w:val="0"/>
      </w:pPr>
    </w:p>
    <w:p w14:paraId="5357A4CC" w14:textId="4D422945" w:rsidR="00404F34" w:rsidRPr="00026EC1" w:rsidRDefault="00275751" w:rsidP="00A64613">
      <w:pPr>
        <w:pStyle w:val="NUMRODECLAUSE"/>
        <w:keepNext w:val="0"/>
      </w:pPr>
      <w:r w:rsidRPr="00026EC1">
        <w:t>3</w:t>
      </w:r>
      <w:r w:rsidR="00984A6F">
        <w:noBreakHyphen/>
      </w:r>
      <w:r w:rsidRPr="00026EC1">
        <w:t>1.11</w:t>
      </w:r>
    </w:p>
    <w:p w14:paraId="645A08EE" w14:textId="7F5D0FA2" w:rsidR="00404F34" w:rsidRPr="00026EC1" w:rsidRDefault="00404F34" w:rsidP="00A64613">
      <w:pPr>
        <w:keepNext w:val="0"/>
      </w:pPr>
      <w:r w:rsidRPr="00026EC1">
        <w:t>Les membres du Bureau fédéral de la FNEEQ (CSN) obtiennent de leur Collège respectif, pour la durée de leur mandat, un congé avec salaire non remboursable par le Syndicat ne totalisant pas plus de soixante</w:t>
      </w:r>
      <w:r w:rsidR="00984A6F">
        <w:noBreakHyphen/>
      </w:r>
      <w:r w:rsidRPr="00026EC1">
        <w:t>quinze (75) jours ouvrables pour l</w:t>
      </w:r>
      <w:r w:rsidR="004A41E4" w:rsidRPr="00026EC1">
        <w:t>’</w:t>
      </w:r>
      <w:r w:rsidRPr="00026EC1">
        <w:t>ensemble de ces membres par année d</w:t>
      </w:r>
      <w:r w:rsidR="004A41E4" w:rsidRPr="00026EC1">
        <w:t>’</w:t>
      </w:r>
      <w:r w:rsidRPr="00026EC1">
        <w:t>enseignement, à la condition que ces absences ne causent pas un préjudice grave à leur charge. Ceci ne s</w:t>
      </w:r>
      <w:r w:rsidR="004A41E4" w:rsidRPr="00026EC1">
        <w:t>’</w:t>
      </w:r>
      <w:r w:rsidRPr="00026EC1">
        <w:t>applique pas à une ou un membre de la</w:t>
      </w:r>
      <w:r w:rsidR="00FF3A49">
        <w:t> </w:t>
      </w:r>
      <w:r w:rsidRPr="00026EC1">
        <w:t>FNEEQ (CSN) qui est libéré à plein temps par son Collège.</w:t>
      </w:r>
    </w:p>
    <w:p w14:paraId="6D15736A" w14:textId="77777777" w:rsidR="00404F34" w:rsidRPr="00026EC1" w:rsidRDefault="00404F34" w:rsidP="00A64613">
      <w:pPr>
        <w:keepNext w:val="0"/>
      </w:pPr>
    </w:p>
    <w:p w14:paraId="6AF9AB5B" w14:textId="6735E696" w:rsidR="00404F34" w:rsidRPr="00026EC1" w:rsidRDefault="00275751" w:rsidP="00A64613">
      <w:pPr>
        <w:pStyle w:val="NUMRODECLAUSE"/>
        <w:keepNext w:val="0"/>
      </w:pPr>
      <w:r w:rsidRPr="00026EC1">
        <w:t>3</w:t>
      </w:r>
      <w:r w:rsidR="00984A6F">
        <w:noBreakHyphen/>
      </w:r>
      <w:r w:rsidRPr="00026EC1">
        <w:t>1.12</w:t>
      </w:r>
    </w:p>
    <w:p w14:paraId="072FBA06" w14:textId="77777777" w:rsidR="00404F34" w:rsidRPr="00026EC1" w:rsidRDefault="00404F34" w:rsidP="00A64613">
      <w:pPr>
        <w:keepNext w:val="0"/>
      </w:pPr>
      <w:r w:rsidRPr="00026EC1">
        <w:t>Quand une enseignante ou un enseignant libéré désire reprendre son poste, elle ou il donne au Collège un préavis de vingt et un (21) jours si sa fonction syndicale est élective. De plus, dans le cas d</w:t>
      </w:r>
      <w:r w:rsidR="004A41E4" w:rsidRPr="00026EC1">
        <w:t>’</w:t>
      </w:r>
      <w:r w:rsidRPr="00026EC1">
        <w:t>une fonction non élective, le retour au travail coïncide avec le début d</w:t>
      </w:r>
      <w:r w:rsidR="004A41E4" w:rsidRPr="00026EC1">
        <w:t>’</w:t>
      </w:r>
      <w:r w:rsidRPr="00026EC1">
        <w:t>une session.</w:t>
      </w:r>
    </w:p>
    <w:p w14:paraId="4D002450" w14:textId="77777777" w:rsidR="00404F34" w:rsidRPr="00026EC1" w:rsidRDefault="00404F34" w:rsidP="00A64613">
      <w:pPr>
        <w:keepNext w:val="0"/>
      </w:pPr>
    </w:p>
    <w:p w14:paraId="197DEA61" w14:textId="77777777" w:rsidR="00404F34" w:rsidRPr="00026EC1" w:rsidRDefault="00404F34" w:rsidP="00A64613">
      <w:pPr>
        <w:keepNext w:val="0"/>
      </w:pPr>
      <w:r w:rsidRPr="00026EC1">
        <w:t>Si une enseignante ou un enseignant cesse d</w:t>
      </w:r>
      <w:r w:rsidR="004A41E4" w:rsidRPr="00026EC1">
        <w:t>’</w:t>
      </w:r>
      <w:r w:rsidRPr="00026EC1">
        <w:t>exercer ses fonctions syndicales non électives et qu</w:t>
      </w:r>
      <w:r w:rsidR="004A41E4" w:rsidRPr="00026EC1">
        <w:t>’</w:t>
      </w:r>
      <w:r w:rsidRPr="00026EC1">
        <w:t>il lui est impossible de reprendre immédiatement son poste d</w:t>
      </w:r>
      <w:r w:rsidR="004A41E4" w:rsidRPr="00026EC1">
        <w:t>’</w:t>
      </w:r>
      <w:r w:rsidRPr="00026EC1">
        <w:t>enseignante ou d</w:t>
      </w:r>
      <w:r w:rsidR="004A41E4" w:rsidRPr="00026EC1">
        <w:t>’</w:t>
      </w:r>
      <w:r w:rsidRPr="00026EC1">
        <w:t>enseignant à cause des conditions prévues au paragraphe précédent, cette enseignante ou cet enseignant bénéficie alors d</w:t>
      </w:r>
      <w:r w:rsidR="004A41E4" w:rsidRPr="00026EC1">
        <w:t>’</w:t>
      </w:r>
      <w:r w:rsidRPr="00026EC1">
        <w:t>un congé sans salaire à compter de la date où le Collège est officiellement avisé de cette situation par l</w:t>
      </w:r>
      <w:r w:rsidR="004A41E4" w:rsidRPr="00026EC1">
        <w:t>’</w:t>
      </w:r>
      <w:r w:rsidRPr="00026EC1">
        <w:t>organisme pour lequel l</w:t>
      </w:r>
      <w:r w:rsidR="004A41E4" w:rsidRPr="00026EC1">
        <w:t>’</w:t>
      </w:r>
      <w:r w:rsidRPr="00026EC1">
        <w:t>enseignante ou l</w:t>
      </w:r>
      <w:r w:rsidR="004A41E4" w:rsidRPr="00026EC1">
        <w:t>’</w:t>
      </w:r>
      <w:r w:rsidRPr="00026EC1">
        <w:t>enseignant est libéré. Pendant ce congé sans salaire, l</w:t>
      </w:r>
      <w:r w:rsidR="004A41E4" w:rsidRPr="00026EC1">
        <w:t>’</w:t>
      </w:r>
      <w:r w:rsidRPr="00026EC1">
        <w:t>enseignante ou l</w:t>
      </w:r>
      <w:r w:rsidR="004A41E4" w:rsidRPr="00026EC1">
        <w:t>’</w:t>
      </w:r>
      <w:r w:rsidRPr="00026EC1">
        <w:t>enseignant continue de bénéficier de tous les droits qui étaient les siens à titre d</w:t>
      </w:r>
      <w:r w:rsidR="004A41E4" w:rsidRPr="00026EC1">
        <w:t>’</w:t>
      </w:r>
      <w:r w:rsidRPr="00026EC1">
        <w:t>enseignante ou d</w:t>
      </w:r>
      <w:r w:rsidR="004A41E4" w:rsidRPr="00026EC1">
        <w:t>’</w:t>
      </w:r>
      <w:r w:rsidRPr="00026EC1">
        <w:t>enseignant libéré avec salaire.</w:t>
      </w:r>
    </w:p>
    <w:p w14:paraId="0E955280" w14:textId="77777777" w:rsidR="00991F47" w:rsidRPr="00026EC1" w:rsidRDefault="00991F47" w:rsidP="00A64613">
      <w:pPr>
        <w:keepNext w:val="0"/>
      </w:pPr>
    </w:p>
    <w:p w14:paraId="118AA203" w14:textId="77777777" w:rsidR="00404F34" w:rsidRPr="00026EC1" w:rsidRDefault="00404F34" w:rsidP="00A64613">
      <w:pPr>
        <w:keepNext w:val="0"/>
      </w:pPr>
      <w:r w:rsidRPr="00026EC1">
        <w:t>De plus et aux mêmes conditions, dans le cas de retour prévu à la présente clause, le Collège accorde, sur demande présentée au moment prévu pour l</w:t>
      </w:r>
      <w:r w:rsidR="004A41E4" w:rsidRPr="00026EC1">
        <w:t>’</w:t>
      </w:r>
      <w:r w:rsidRPr="00026EC1">
        <w:t>avis de retour, un congé sans salaire d</w:t>
      </w:r>
      <w:r w:rsidR="004A41E4" w:rsidRPr="00026EC1">
        <w:t>’</w:t>
      </w:r>
      <w:r w:rsidRPr="00026EC1">
        <w:t>une durée maximale d</w:t>
      </w:r>
      <w:r w:rsidR="004A41E4" w:rsidRPr="00026EC1">
        <w:t>’</w:t>
      </w:r>
      <w:r w:rsidRPr="00026EC1">
        <w:t>un (1) an.</w:t>
      </w:r>
    </w:p>
    <w:p w14:paraId="0E7618B2" w14:textId="77777777" w:rsidR="00404F34" w:rsidRPr="00026EC1" w:rsidRDefault="00404F34" w:rsidP="00A64613">
      <w:pPr>
        <w:keepNext w:val="0"/>
      </w:pPr>
    </w:p>
    <w:p w14:paraId="639E22B4" w14:textId="27831AA4" w:rsidR="00404F34" w:rsidRPr="00026EC1" w:rsidRDefault="00275751" w:rsidP="00A64613">
      <w:pPr>
        <w:pStyle w:val="NUMRODECLAUSE"/>
        <w:keepNext w:val="0"/>
      </w:pPr>
      <w:r w:rsidRPr="00026EC1">
        <w:t>3</w:t>
      </w:r>
      <w:r w:rsidR="00984A6F">
        <w:noBreakHyphen/>
      </w:r>
      <w:r w:rsidRPr="00026EC1">
        <w:t>1.13</w:t>
      </w:r>
    </w:p>
    <w:p w14:paraId="44A63C84" w14:textId="77777777" w:rsidR="00404F34" w:rsidRPr="00026EC1" w:rsidRDefault="00404F34" w:rsidP="00A64613">
      <w:pPr>
        <w:keepNext w:val="0"/>
      </w:pPr>
      <w:r w:rsidRPr="00026EC1">
        <w:t>À titre de remboursement de salaire prévu au présent article, le Syndicat paie au Collège le salaire brut de celle ou de celui qui remplace l</w:t>
      </w:r>
      <w:r w:rsidR="004A41E4" w:rsidRPr="00026EC1">
        <w:t>’</w:t>
      </w:r>
      <w:r w:rsidRPr="00026EC1">
        <w:t>enseignante ou l</w:t>
      </w:r>
      <w:r w:rsidR="004A41E4" w:rsidRPr="00026EC1">
        <w:t>’</w:t>
      </w:r>
      <w:r w:rsidRPr="00026EC1">
        <w:t>enseignant pour la période en cause.</w:t>
      </w:r>
    </w:p>
    <w:p w14:paraId="386C67B9" w14:textId="77777777" w:rsidR="00404F34" w:rsidRPr="00026EC1" w:rsidRDefault="00404F34" w:rsidP="00A64613">
      <w:pPr>
        <w:keepNext w:val="0"/>
      </w:pPr>
    </w:p>
    <w:p w14:paraId="31D400E5" w14:textId="3B2D473E" w:rsidR="00404F34" w:rsidRPr="00026EC1" w:rsidRDefault="00275751" w:rsidP="00A64613">
      <w:pPr>
        <w:pStyle w:val="NUMRODECLAUSE"/>
        <w:keepNext w:val="0"/>
      </w:pPr>
      <w:r w:rsidRPr="00026EC1">
        <w:t>3</w:t>
      </w:r>
      <w:r w:rsidR="00984A6F">
        <w:noBreakHyphen/>
      </w:r>
      <w:r w:rsidRPr="00026EC1">
        <w:t>1.14</w:t>
      </w:r>
    </w:p>
    <w:p w14:paraId="2D331F1E" w14:textId="77777777" w:rsidR="00404F34" w:rsidRPr="00026EC1" w:rsidRDefault="00404F34" w:rsidP="00A64613">
      <w:pPr>
        <w:keepNext w:val="0"/>
      </w:pPr>
      <w:r w:rsidRPr="00026EC1">
        <w:t>Les sommes dues par le Syndicat au Collège à titre de remboursement de salaire sont payées dans les trente (30) jours de l</w:t>
      </w:r>
      <w:r w:rsidR="004A41E4" w:rsidRPr="00026EC1">
        <w:t>’</w:t>
      </w:r>
      <w:r w:rsidRPr="00026EC1">
        <w:t>envoi au Syndicat d</w:t>
      </w:r>
      <w:r w:rsidR="004A41E4" w:rsidRPr="00026EC1">
        <w:t>’</w:t>
      </w:r>
      <w:r w:rsidRPr="00026EC1">
        <w:t>un état de compte mensuel détaillé indiquant les noms des enseignantes et enseignants absents, la durée de leur absence, les noms des enseignantes et enseignants qui ont fait le remplacement et le montant à verser.</w:t>
      </w:r>
    </w:p>
    <w:p w14:paraId="1D3D9825" w14:textId="77777777" w:rsidR="00404F34" w:rsidRPr="00026EC1" w:rsidRDefault="00404F34" w:rsidP="00A64613">
      <w:pPr>
        <w:keepNext w:val="0"/>
      </w:pPr>
    </w:p>
    <w:p w14:paraId="5F02798A" w14:textId="18BA915B" w:rsidR="00404F34" w:rsidRPr="00026EC1" w:rsidRDefault="00275751" w:rsidP="00A64613">
      <w:pPr>
        <w:pStyle w:val="NUMRODECLAUSE"/>
        <w:keepNext w:val="0"/>
      </w:pPr>
      <w:r w:rsidRPr="00026EC1">
        <w:t>3</w:t>
      </w:r>
      <w:r w:rsidR="00984A6F">
        <w:noBreakHyphen/>
      </w:r>
      <w:r w:rsidRPr="00026EC1">
        <w:t>1.15</w:t>
      </w:r>
    </w:p>
    <w:p w14:paraId="7CFD8283"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une libération, d</w:t>
      </w:r>
      <w:r w:rsidR="004A41E4" w:rsidRPr="00026EC1">
        <w:t>’</w:t>
      </w:r>
      <w:r w:rsidRPr="00026EC1">
        <w:t>une absence ou d</w:t>
      </w:r>
      <w:r w:rsidR="004A41E4" w:rsidRPr="00026EC1">
        <w:t>’</w:t>
      </w:r>
      <w:r w:rsidRPr="00026EC1">
        <w:t>un congé prévu au présent article conserve tous les droits prévus à la convention collective à moins de dispositions particulières à l</w:t>
      </w:r>
      <w:r w:rsidR="004A41E4" w:rsidRPr="00026EC1">
        <w:t>’</w:t>
      </w:r>
      <w:r w:rsidRPr="00026EC1">
        <w:t>effet contraire.</w:t>
      </w:r>
    </w:p>
    <w:p w14:paraId="2484E490"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19411D4A" w14:textId="77777777" w:rsidR="00404F34" w:rsidRPr="00026EC1" w:rsidRDefault="00404F34" w:rsidP="00A64613">
      <w:pPr>
        <w:keepNext w:val="0"/>
      </w:pPr>
    </w:p>
    <w:p w14:paraId="720D6377" w14:textId="355B1549" w:rsidR="00404F34" w:rsidRPr="00026EC1" w:rsidRDefault="00275751" w:rsidP="00A64613">
      <w:pPr>
        <w:pStyle w:val="NUMRODECLAUSE"/>
        <w:keepNext w:val="0"/>
      </w:pPr>
      <w:r w:rsidRPr="00026EC1">
        <w:t>3</w:t>
      </w:r>
      <w:r w:rsidR="00984A6F">
        <w:noBreakHyphen/>
      </w:r>
      <w:r w:rsidRPr="00026EC1">
        <w:t>1.16</w:t>
      </w:r>
    </w:p>
    <w:p w14:paraId="06ADC64B" w14:textId="77777777" w:rsidR="00404F34" w:rsidRPr="00026EC1" w:rsidRDefault="00404F34" w:rsidP="00A64613">
      <w:pPr>
        <w:keepNext w:val="0"/>
      </w:pPr>
      <w:r w:rsidRPr="00026EC1">
        <w:t>En cas d</w:t>
      </w:r>
      <w:r w:rsidR="004A41E4" w:rsidRPr="00026EC1">
        <w:t>’</w:t>
      </w:r>
      <w:r w:rsidRPr="00026EC1">
        <w:t>impossibilité de discuter de son grief en dehors des heures de disponibilité, une enseignante ou un enseignant peut s</w:t>
      </w:r>
      <w:r w:rsidR="004A41E4" w:rsidRPr="00026EC1">
        <w:t>’</w:t>
      </w:r>
      <w:r w:rsidRPr="00026EC1">
        <w:t>absenter de son travail, sans perte de salaire ni remboursement par le Syndicat, pour la période où sa présence est requise à cette fin.</w:t>
      </w:r>
    </w:p>
    <w:p w14:paraId="539CDAAD" w14:textId="77777777" w:rsidR="00404F34" w:rsidRPr="00026EC1" w:rsidRDefault="00404F34" w:rsidP="00A64613">
      <w:pPr>
        <w:keepNext w:val="0"/>
      </w:pPr>
    </w:p>
    <w:p w14:paraId="437DF7DD" w14:textId="45781FDB" w:rsidR="00404F34" w:rsidRPr="00026EC1" w:rsidRDefault="00275751" w:rsidP="00A64613">
      <w:pPr>
        <w:pStyle w:val="NUMRODECLAUSE"/>
        <w:keepNext w:val="0"/>
      </w:pPr>
      <w:r w:rsidRPr="00026EC1">
        <w:t>3</w:t>
      </w:r>
      <w:r w:rsidR="00984A6F">
        <w:noBreakHyphen/>
      </w:r>
      <w:r w:rsidRPr="00026EC1">
        <w:t>1.17</w:t>
      </w:r>
    </w:p>
    <w:p w14:paraId="529AAB08" w14:textId="77777777" w:rsidR="00404F34" w:rsidRPr="00026EC1" w:rsidRDefault="00404F34" w:rsidP="00A64613">
      <w:pPr>
        <w:keepNext w:val="0"/>
      </w:pPr>
      <w:r w:rsidRPr="00026EC1">
        <w:t>La représentante ou le représentant du Syndicat qui accompagne une enseignante ou un enseignant lors de la présentation ou de la discussion de son grief peut s</w:t>
      </w:r>
      <w:r w:rsidR="004A41E4" w:rsidRPr="00026EC1">
        <w:t>’</w:t>
      </w:r>
      <w:r w:rsidRPr="00026EC1">
        <w:t>absenter de son travail, après avoir donné un avis au Collège dans un délai raisonnable, sans perte de salaire ni remboursement par le Syndicat.</w:t>
      </w:r>
    </w:p>
    <w:p w14:paraId="12A03244" w14:textId="77777777" w:rsidR="00404F34" w:rsidRPr="00026EC1" w:rsidRDefault="00404F34" w:rsidP="00A64613">
      <w:pPr>
        <w:keepNext w:val="0"/>
      </w:pPr>
    </w:p>
    <w:p w14:paraId="26B524CF" w14:textId="1F53D032" w:rsidR="00404F34" w:rsidRPr="00026EC1" w:rsidRDefault="00275751" w:rsidP="00A64613">
      <w:pPr>
        <w:pStyle w:val="NUMRODECLAUSE"/>
        <w:keepNext w:val="0"/>
      </w:pPr>
      <w:r w:rsidRPr="00026EC1">
        <w:t>3</w:t>
      </w:r>
      <w:r w:rsidR="00984A6F">
        <w:noBreakHyphen/>
      </w:r>
      <w:r w:rsidRPr="00026EC1">
        <w:t>1.18</w:t>
      </w:r>
    </w:p>
    <w:p w14:paraId="0E51E554"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dont le grief est en audience devant un tribunal d</w:t>
      </w:r>
      <w:r w:rsidR="004A41E4" w:rsidRPr="00026EC1">
        <w:t>’</w:t>
      </w:r>
      <w:r w:rsidRPr="00026EC1">
        <w:t>arbitrage et une représentante ou un représentant officiel du Syndicat peuvent s</w:t>
      </w:r>
      <w:r w:rsidR="004A41E4" w:rsidRPr="00026EC1">
        <w:t>’</w:t>
      </w:r>
      <w:r w:rsidRPr="00026EC1">
        <w:t>absenter de leur travail, après avis au Collège, sans perte de salaire ni remboursement par le Syndicat, afin de participer aux séances d</w:t>
      </w:r>
      <w:r w:rsidR="004A41E4" w:rsidRPr="00026EC1">
        <w:t>’</w:t>
      </w:r>
      <w:r w:rsidRPr="00026EC1">
        <w:t>arbitrage.</w:t>
      </w:r>
    </w:p>
    <w:p w14:paraId="59FE47F7" w14:textId="77777777" w:rsidR="0017074B" w:rsidRDefault="0017074B">
      <w:pPr>
        <w:keepNext w:val="0"/>
        <w:suppressAutoHyphens w:val="0"/>
        <w:jc w:val="left"/>
        <w:rPr>
          <w:rFonts w:cs="Arial"/>
          <w:b/>
        </w:rPr>
      </w:pPr>
      <w:r>
        <w:br w:type="page"/>
      </w:r>
    </w:p>
    <w:p w14:paraId="76D78FF8" w14:textId="47C48A66" w:rsidR="00404F34" w:rsidRPr="00026EC1" w:rsidRDefault="00275751" w:rsidP="00A64613">
      <w:pPr>
        <w:pStyle w:val="NUMRODECLAUSE"/>
        <w:keepNext w:val="0"/>
      </w:pPr>
      <w:r w:rsidRPr="00026EC1">
        <w:t>3</w:t>
      </w:r>
      <w:r w:rsidR="00984A6F">
        <w:noBreakHyphen/>
      </w:r>
      <w:r w:rsidRPr="00026EC1">
        <w:t>1.19</w:t>
      </w:r>
    </w:p>
    <w:p w14:paraId="46BB0FBC" w14:textId="0B1BB190" w:rsidR="00404F34" w:rsidRDefault="00404F34" w:rsidP="00A64613">
      <w:pPr>
        <w:keepNext w:val="0"/>
      </w:pPr>
      <w:r w:rsidRPr="00026EC1">
        <w:t>L</w:t>
      </w:r>
      <w:r w:rsidR="004A41E4" w:rsidRPr="00026EC1">
        <w:t>’</w:t>
      </w:r>
      <w:r w:rsidRPr="00026EC1">
        <w:t>enseignante ou l</w:t>
      </w:r>
      <w:r w:rsidR="004A41E4" w:rsidRPr="00026EC1">
        <w:t>’</w:t>
      </w:r>
      <w:r w:rsidRPr="00026EC1">
        <w:t>enseignant appelé à témoigner devant un tribunal d</w:t>
      </w:r>
      <w:r w:rsidR="004A41E4" w:rsidRPr="00026EC1">
        <w:t>’</w:t>
      </w:r>
      <w:r w:rsidRPr="00026EC1">
        <w:t>arbitrage peut s</w:t>
      </w:r>
      <w:r w:rsidR="004A41E4" w:rsidRPr="00026EC1">
        <w:t>’</w:t>
      </w:r>
      <w:r w:rsidRPr="00026EC1">
        <w:t>absenter de son travail, après avis au Collège, sans perte de salaire ni remboursement par le Syndicat. La durée de son absence est alors dictée par les exigences du tribunal d</w:t>
      </w:r>
      <w:r w:rsidR="004A41E4" w:rsidRPr="00026EC1">
        <w:t>’</w:t>
      </w:r>
      <w:r w:rsidRPr="00026EC1">
        <w:t>arbitrage.</w:t>
      </w:r>
    </w:p>
    <w:p w14:paraId="4077AB31" w14:textId="77777777" w:rsidR="0017074B" w:rsidRPr="00026EC1" w:rsidRDefault="0017074B" w:rsidP="00A64613">
      <w:pPr>
        <w:keepNext w:val="0"/>
      </w:pPr>
    </w:p>
    <w:p w14:paraId="63508B13" w14:textId="5E5A488F" w:rsidR="00404F34" w:rsidRPr="00026EC1" w:rsidRDefault="00275751" w:rsidP="00A64613">
      <w:pPr>
        <w:pStyle w:val="NUMRODECLAUSE"/>
        <w:keepNext w:val="0"/>
      </w:pPr>
      <w:r w:rsidRPr="00026EC1">
        <w:t>3</w:t>
      </w:r>
      <w:r w:rsidR="00984A6F">
        <w:noBreakHyphen/>
      </w:r>
      <w:r w:rsidRPr="00026EC1">
        <w:t>1.20</w:t>
      </w:r>
    </w:p>
    <w:p w14:paraId="23F44D2B"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membre de l</w:t>
      </w:r>
      <w:r w:rsidR="004A41E4" w:rsidRPr="00026EC1">
        <w:t>’</w:t>
      </w:r>
      <w:r w:rsidRPr="00026EC1">
        <w:t>exécutif du Syndicat peut s</w:t>
      </w:r>
      <w:r w:rsidR="004A41E4" w:rsidRPr="00026EC1">
        <w:t>’</w:t>
      </w:r>
      <w:r w:rsidRPr="00026EC1">
        <w:t>absenter de son travail, sans perte de salaire ni remboursement par le Syndicat, pour participer à une rencontre avec les représentantes et représentants du Collège.</w:t>
      </w:r>
    </w:p>
    <w:p w14:paraId="6E41285C" w14:textId="77777777" w:rsidR="00404F34" w:rsidRPr="00026EC1" w:rsidRDefault="00404F34" w:rsidP="00A64613">
      <w:pPr>
        <w:keepNext w:val="0"/>
      </w:pPr>
    </w:p>
    <w:p w14:paraId="54B64509" w14:textId="019AE567" w:rsidR="00404F34" w:rsidRPr="00026EC1" w:rsidRDefault="00275751" w:rsidP="00A64613">
      <w:pPr>
        <w:pStyle w:val="NUMRODECLAUSE"/>
        <w:keepNext w:val="0"/>
      </w:pPr>
      <w:r w:rsidRPr="00026EC1">
        <w:t>3</w:t>
      </w:r>
      <w:r w:rsidR="00984A6F">
        <w:noBreakHyphen/>
      </w:r>
      <w:r w:rsidRPr="00026EC1">
        <w:t>1.21</w:t>
      </w:r>
    </w:p>
    <w:p w14:paraId="6F834E99"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membre d</w:t>
      </w:r>
      <w:r w:rsidR="004A41E4" w:rsidRPr="00026EC1">
        <w:t>’</w:t>
      </w:r>
      <w:r w:rsidRPr="00026EC1">
        <w:t>un comité prévu à la convention collective et mettant en cause les parties ou membre d</w:t>
      </w:r>
      <w:r w:rsidR="004A41E4" w:rsidRPr="00026EC1">
        <w:t>’</w:t>
      </w:r>
      <w:r w:rsidRPr="00026EC1">
        <w:t>un comité formé par le Collège, ou l</w:t>
      </w:r>
      <w:r w:rsidR="004A41E4" w:rsidRPr="00026EC1">
        <w:t>’</w:t>
      </w:r>
      <w:r w:rsidRPr="00026EC1">
        <w:t>enseignante ou l</w:t>
      </w:r>
      <w:r w:rsidR="004A41E4" w:rsidRPr="00026EC1">
        <w:t>’</w:t>
      </w:r>
      <w:r w:rsidRPr="00026EC1">
        <w:t>enseignant convoqué à un tel comité, peut s</w:t>
      </w:r>
      <w:r w:rsidR="004A41E4" w:rsidRPr="00026EC1">
        <w:t>’</w:t>
      </w:r>
      <w:r w:rsidRPr="00026EC1">
        <w:t>absenter de son travail sans perte de salaire ni remboursement par le Syndicat, pour participer à toute réunion selon la convocation.</w:t>
      </w:r>
    </w:p>
    <w:p w14:paraId="1B6B25BE" w14:textId="77777777" w:rsidR="00404F34" w:rsidRPr="00026EC1" w:rsidRDefault="00404F34" w:rsidP="00A64613">
      <w:pPr>
        <w:keepNext w:val="0"/>
      </w:pPr>
    </w:p>
    <w:p w14:paraId="78939BB3" w14:textId="1AD481D9" w:rsidR="00404F34" w:rsidRPr="00026EC1" w:rsidRDefault="00275751" w:rsidP="00A64613">
      <w:pPr>
        <w:pStyle w:val="NUMRODECLAUSE"/>
        <w:keepNext w:val="0"/>
      </w:pPr>
      <w:r w:rsidRPr="00026EC1">
        <w:t>3</w:t>
      </w:r>
      <w:r w:rsidR="00984A6F">
        <w:noBreakHyphen/>
      </w:r>
      <w:r w:rsidRPr="00026EC1">
        <w:t>1.22</w:t>
      </w:r>
    </w:p>
    <w:p w14:paraId="51C90C46" w14:textId="77777777" w:rsidR="00404F34" w:rsidRPr="00026EC1" w:rsidRDefault="00404F34" w:rsidP="00A64613">
      <w:pPr>
        <w:keepNext w:val="0"/>
      </w:pPr>
      <w:r w:rsidRPr="00026EC1">
        <w:t>Une enseignante ou un enseignant peut s</w:t>
      </w:r>
      <w:r w:rsidR="004A41E4" w:rsidRPr="00026EC1">
        <w:t>’</w:t>
      </w:r>
      <w:r w:rsidRPr="00026EC1">
        <w:t>absenter, sans perte de salaire</w:t>
      </w:r>
      <w:r w:rsidR="009727D4" w:rsidRPr="00026EC1">
        <w:t>,</w:t>
      </w:r>
      <w:r w:rsidRPr="00026EC1">
        <w:t xml:space="preserve"> mais avec remboursement par le Syndicat, si cette absence l</w:t>
      </w:r>
      <w:r w:rsidR="004A41E4" w:rsidRPr="00026EC1">
        <w:t>’</w:t>
      </w:r>
      <w:r w:rsidRPr="00026EC1">
        <w:t>empêche d</w:t>
      </w:r>
      <w:r w:rsidR="004A41E4" w:rsidRPr="00026EC1">
        <w:t>’</w:t>
      </w:r>
      <w:r w:rsidRPr="00026EC1">
        <w:t>être présent à une activité prévue pour elle ou lui à l</w:t>
      </w:r>
      <w:r w:rsidR="004A41E4" w:rsidRPr="00026EC1">
        <w:t>’</w:t>
      </w:r>
      <w:r w:rsidRPr="00026EC1">
        <w:t>horaire, afin de participer à des activités syndicales officielles pourvu que la demande en soit faite en temps opportun et que l</w:t>
      </w:r>
      <w:r w:rsidR="004A41E4" w:rsidRPr="00026EC1">
        <w:t>’</w:t>
      </w:r>
      <w:r w:rsidRPr="00026EC1">
        <w:t>absence ne porte pas préjudice grave à sa charge et à la bonne marche du Collège.</w:t>
      </w:r>
    </w:p>
    <w:p w14:paraId="28E8C926" w14:textId="77777777" w:rsidR="00404F34" w:rsidRPr="00026EC1" w:rsidRDefault="00404F34" w:rsidP="00A64613">
      <w:pPr>
        <w:keepNext w:val="0"/>
      </w:pPr>
    </w:p>
    <w:p w14:paraId="057989FB" w14:textId="67886FCA" w:rsidR="00404F34" w:rsidRPr="00026EC1" w:rsidRDefault="00275751" w:rsidP="00A64613">
      <w:pPr>
        <w:pStyle w:val="NUMRODECLAUSE"/>
        <w:keepNext w:val="0"/>
      </w:pPr>
      <w:r w:rsidRPr="00026EC1">
        <w:t>3</w:t>
      </w:r>
      <w:r w:rsidR="00984A6F">
        <w:noBreakHyphen/>
      </w:r>
      <w:r w:rsidRPr="00026EC1">
        <w:t>1.23</w:t>
      </w:r>
    </w:p>
    <w:p w14:paraId="22AF0720" w14:textId="77777777" w:rsidR="00404F34" w:rsidRPr="00026EC1" w:rsidRDefault="00404F34" w:rsidP="00A64613">
      <w:pPr>
        <w:keepNext w:val="0"/>
      </w:pPr>
      <w:r w:rsidRPr="00026EC1">
        <w:t>Les avis et les demandes d</w:t>
      </w:r>
      <w:r w:rsidR="004A41E4" w:rsidRPr="00026EC1">
        <w:t>’</w:t>
      </w:r>
      <w:r w:rsidRPr="00026EC1">
        <w:t>absence, de libérations ou de congés pour activités syndicales prévus au présent article sont signés par l</w:t>
      </w:r>
      <w:r w:rsidR="004A41E4" w:rsidRPr="00026EC1">
        <w:t>’</w:t>
      </w:r>
      <w:r w:rsidRPr="00026EC1">
        <w:t>enseignante ou l</w:t>
      </w:r>
      <w:r w:rsidR="004A41E4" w:rsidRPr="00026EC1">
        <w:t>’</w:t>
      </w:r>
      <w:r w:rsidRPr="00026EC1">
        <w:t>enseignant et approuvés par une représentante ou un représentant du Syndicat.</w:t>
      </w:r>
    </w:p>
    <w:p w14:paraId="2FB11F28" w14:textId="77777777" w:rsidR="00404F34" w:rsidRPr="00026EC1" w:rsidRDefault="00404F34" w:rsidP="00A64613">
      <w:pPr>
        <w:keepNext w:val="0"/>
      </w:pPr>
    </w:p>
    <w:p w14:paraId="390514C7" w14:textId="3AE3A766" w:rsidR="00404F34" w:rsidRPr="00026EC1" w:rsidRDefault="00275751" w:rsidP="00A64613">
      <w:pPr>
        <w:pStyle w:val="NUMRODECLAUSE"/>
        <w:keepNext w:val="0"/>
      </w:pPr>
      <w:r w:rsidRPr="00026EC1">
        <w:t>3</w:t>
      </w:r>
      <w:r w:rsidR="00984A6F">
        <w:noBreakHyphen/>
      </w:r>
      <w:r w:rsidRPr="00026EC1">
        <w:t>1.24</w:t>
      </w:r>
    </w:p>
    <w:p w14:paraId="12FAE891" w14:textId="189E93D7" w:rsidR="00404F34" w:rsidRPr="00026EC1" w:rsidRDefault="00404F34" w:rsidP="00A64613">
      <w:pPr>
        <w:keepNext w:val="0"/>
      </w:pPr>
      <w:r w:rsidRPr="00026EC1">
        <w:t>Cette autorisation d</w:t>
      </w:r>
      <w:r w:rsidR="004A41E4" w:rsidRPr="00026EC1">
        <w:t>’</w:t>
      </w:r>
      <w:r w:rsidRPr="00026EC1">
        <w:t>absence peut être refusée</w:t>
      </w:r>
      <w:r w:rsidR="00D8581B">
        <w:t> :</w:t>
      </w:r>
    </w:p>
    <w:p w14:paraId="3EB8C716" w14:textId="77777777" w:rsidR="00404F34" w:rsidRPr="00026EC1" w:rsidRDefault="00404F34" w:rsidP="00A64613">
      <w:pPr>
        <w:keepNext w:val="0"/>
      </w:pPr>
    </w:p>
    <w:p w14:paraId="51BA6A9D" w14:textId="34455256" w:rsidR="00404F34" w:rsidRPr="00026EC1" w:rsidRDefault="00275751" w:rsidP="00A64613">
      <w:pPr>
        <w:keepNext w:val="0"/>
        <w:tabs>
          <w:tab w:val="left" w:pos="567"/>
        </w:tabs>
        <w:ind w:left="567" w:hanging="567"/>
      </w:pPr>
      <w:r w:rsidRPr="00026EC1">
        <w:t>a)</w:t>
      </w:r>
      <w:r w:rsidRPr="00026EC1">
        <w:tab/>
      </w:r>
      <w:r w:rsidR="00404F34" w:rsidRPr="00026EC1">
        <w:t>si l</w:t>
      </w:r>
      <w:r w:rsidR="004A41E4" w:rsidRPr="00026EC1">
        <w:t>’</w:t>
      </w:r>
      <w:r w:rsidR="00404F34" w:rsidRPr="00026EC1">
        <w:t>enseignante ou l</w:t>
      </w:r>
      <w:r w:rsidR="004A41E4" w:rsidRPr="00026EC1">
        <w:t>’</w:t>
      </w:r>
      <w:r w:rsidR="00404F34" w:rsidRPr="00026EC1">
        <w:t>enseignant a déjà bénéficié pendant l</w:t>
      </w:r>
      <w:r w:rsidR="004A41E4" w:rsidRPr="00026EC1">
        <w:t>’</w:t>
      </w:r>
      <w:r w:rsidR="00404F34" w:rsidRPr="00026EC1">
        <w:t>année d</w:t>
      </w:r>
      <w:r w:rsidR="004A41E4" w:rsidRPr="00026EC1">
        <w:t>’</w:t>
      </w:r>
      <w:r w:rsidR="00404F34" w:rsidRPr="00026EC1">
        <w:t>enseignement d</w:t>
      </w:r>
      <w:r w:rsidR="004A41E4" w:rsidRPr="00026EC1">
        <w:t>’</w:t>
      </w:r>
      <w:r w:rsidR="00404F34" w:rsidRPr="00026EC1">
        <w:t>autorisations à ces fins d</w:t>
      </w:r>
      <w:r w:rsidR="004A41E4" w:rsidRPr="00026EC1">
        <w:t>’</w:t>
      </w:r>
      <w:r w:rsidR="00404F34" w:rsidRPr="00026EC1">
        <w:t>une durée totale de trente</w:t>
      </w:r>
      <w:r w:rsidR="007F2419">
        <w:t> </w:t>
      </w:r>
      <w:r w:rsidR="00404F34" w:rsidRPr="00026EC1">
        <w:t>(30) jours ouvrables;</w:t>
      </w:r>
    </w:p>
    <w:p w14:paraId="7798D7C8" w14:textId="77777777" w:rsidR="00404F34" w:rsidRPr="00026EC1" w:rsidRDefault="00404F34" w:rsidP="00A64613">
      <w:pPr>
        <w:keepNext w:val="0"/>
      </w:pPr>
    </w:p>
    <w:p w14:paraId="3D9B1030" w14:textId="1D7B9646" w:rsidR="00404F34" w:rsidRPr="00026EC1" w:rsidRDefault="00275751" w:rsidP="00A64613">
      <w:pPr>
        <w:keepNext w:val="0"/>
        <w:tabs>
          <w:tab w:val="left" w:pos="567"/>
        </w:tabs>
        <w:ind w:left="567" w:hanging="567"/>
      </w:pPr>
      <w:r w:rsidRPr="00026EC1">
        <w:t>b)</w:t>
      </w:r>
      <w:r w:rsidRPr="00026EC1">
        <w:tab/>
      </w:r>
      <w:r w:rsidR="00404F34" w:rsidRPr="00026EC1">
        <w:t>si la demande porte sur une durée excédant cinq</w:t>
      </w:r>
      <w:r w:rsidR="00565085">
        <w:t> </w:t>
      </w:r>
      <w:r w:rsidR="00404F34" w:rsidRPr="00026EC1">
        <w:t>(5) jours ouvrables consécutifs.</w:t>
      </w:r>
    </w:p>
    <w:p w14:paraId="00C8D716" w14:textId="77777777" w:rsidR="00404F34" w:rsidRPr="00026EC1" w:rsidRDefault="00404F34" w:rsidP="00A64613">
      <w:pPr>
        <w:keepNext w:val="0"/>
      </w:pPr>
    </w:p>
    <w:p w14:paraId="33F00BB5" w14:textId="77777777" w:rsidR="00404F34" w:rsidRPr="00026EC1" w:rsidRDefault="00404F34" w:rsidP="00A64613">
      <w:pPr>
        <w:keepNext w:val="0"/>
      </w:pPr>
      <w:r w:rsidRPr="00026EC1">
        <w:t>Les dispositions des alinéas</w:t>
      </w:r>
      <w:r w:rsidR="00BD38A6" w:rsidRPr="00026EC1">
        <w:t> </w:t>
      </w:r>
      <w:r w:rsidRPr="00026EC1">
        <w:t>a) et b) ne s</w:t>
      </w:r>
      <w:r w:rsidR="004A41E4" w:rsidRPr="00026EC1">
        <w:t>’</w:t>
      </w:r>
      <w:r w:rsidRPr="00026EC1">
        <w:t>appliquent pas à une ou un membre du comité exécutif ou du Bureau fédéral de la FNEEQ</w:t>
      </w:r>
      <w:r w:rsidR="00F07711" w:rsidRPr="00026EC1">
        <w:t> </w:t>
      </w:r>
      <w:r w:rsidRPr="00026EC1">
        <w:t>(CSN).</w:t>
      </w:r>
    </w:p>
    <w:p w14:paraId="1AFDF8BF" w14:textId="77777777" w:rsidR="00404F34" w:rsidRPr="00026EC1" w:rsidRDefault="00404F34" w:rsidP="00A64613">
      <w:pPr>
        <w:keepNext w:val="0"/>
      </w:pPr>
    </w:p>
    <w:p w14:paraId="1C3C7C23" w14:textId="079F7156" w:rsidR="00404F34" w:rsidRPr="00026EC1" w:rsidRDefault="00275751" w:rsidP="00A64613">
      <w:pPr>
        <w:pStyle w:val="NUMRODECLAUSE"/>
        <w:keepNext w:val="0"/>
      </w:pPr>
      <w:r w:rsidRPr="00026EC1">
        <w:t>3</w:t>
      </w:r>
      <w:r w:rsidR="00984A6F">
        <w:noBreakHyphen/>
      </w:r>
      <w:r w:rsidRPr="00026EC1">
        <w:t>1.25</w:t>
      </w:r>
    </w:p>
    <w:p w14:paraId="57730425" w14:textId="77777777" w:rsidR="00404F34" w:rsidRPr="00026EC1" w:rsidRDefault="00404F34" w:rsidP="00A64613">
      <w:pPr>
        <w:keepNext w:val="0"/>
      </w:pPr>
      <w:r w:rsidRPr="00026EC1">
        <w:t>Les parties peuvent convenir de libérations pour le fonctionnement interne du Syndicat. Cette libération se fait à même le nombre d</w:t>
      </w:r>
      <w:r w:rsidR="004A41E4" w:rsidRPr="00026EC1">
        <w:t>’</w:t>
      </w:r>
      <w:r w:rsidRPr="00026EC1">
        <w:t>enseignantes et d</w:t>
      </w:r>
      <w:r w:rsidR="004A41E4" w:rsidRPr="00026EC1">
        <w:t>’</w:t>
      </w:r>
      <w:r w:rsidRPr="00026EC1">
        <w:t>enseignants alloué au Collège sans remboursement par le Syndicat.</w:t>
      </w:r>
    </w:p>
    <w:p w14:paraId="3620319B" w14:textId="77777777" w:rsidR="008D07A9" w:rsidRDefault="008D07A9" w:rsidP="00A64613">
      <w:pPr>
        <w:keepNext w:val="0"/>
      </w:pPr>
    </w:p>
    <w:p w14:paraId="7272F530" w14:textId="38D21623" w:rsidR="00404F34" w:rsidRPr="00026EC1" w:rsidRDefault="00404F34" w:rsidP="00A64613">
      <w:pPr>
        <w:keepNext w:val="0"/>
      </w:pPr>
      <w:r w:rsidRPr="00026EC1">
        <w:t>Sans restreindre la portée du paragraphe précédent, le nombre minimum d</w:t>
      </w:r>
      <w:r w:rsidR="004A41E4" w:rsidRPr="00026EC1">
        <w:t>’</w:t>
      </w:r>
      <w:r w:rsidRPr="00026EC1">
        <w:t>enseignantes et d</w:t>
      </w:r>
      <w:r w:rsidR="004A41E4" w:rsidRPr="00026EC1">
        <w:t>’</w:t>
      </w:r>
      <w:r w:rsidRPr="00026EC1">
        <w:t>enseignants à temps complet ou l</w:t>
      </w:r>
      <w:r w:rsidR="004A41E4" w:rsidRPr="00026EC1">
        <w:t>’</w:t>
      </w:r>
      <w:r w:rsidRPr="00026EC1">
        <w:t>équivalent ainsi libéré est le suivant</w:t>
      </w:r>
      <w:r w:rsidR="00D8581B">
        <w:t> :</w:t>
      </w:r>
    </w:p>
    <w:p w14:paraId="3F35309E" w14:textId="77777777" w:rsidR="00404F34" w:rsidRPr="00026EC1" w:rsidRDefault="00404F34" w:rsidP="00A64613">
      <w:pPr>
        <w:keepNext w:val="0"/>
      </w:pPr>
    </w:p>
    <w:p w14:paraId="7696F2BD" w14:textId="109D4D0A"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une</w:t>
      </w:r>
      <w:r w:rsidR="007F2419">
        <w:t> </w:t>
      </w:r>
      <w:r w:rsidR="00404F34" w:rsidRPr="00026EC1">
        <w:t>(1) enseignante ou un</w:t>
      </w:r>
      <w:r w:rsidR="007F2419">
        <w:t> </w:t>
      </w:r>
      <w:r w:rsidR="00404F34" w:rsidRPr="00026EC1">
        <w:t>(1) enseignant pour un Collège dont l</w:t>
      </w:r>
      <w:r w:rsidR="004A41E4" w:rsidRPr="00026EC1">
        <w:t>’</w:t>
      </w:r>
      <w:r w:rsidR="00404F34" w:rsidRPr="00026EC1">
        <w:t>allocation est de cent (100) enseignantes et enseignants et plus;</w:t>
      </w:r>
    </w:p>
    <w:p w14:paraId="17EB3898" w14:textId="77777777" w:rsidR="00404F34" w:rsidRPr="00026EC1" w:rsidRDefault="00404F34" w:rsidP="00A64613">
      <w:pPr>
        <w:keepNext w:val="0"/>
      </w:pPr>
    </w:p>
    <w:p w14:paraId="35E6E37B" w14:textId="404C276A"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zéro virgule soixante</w:t>
      </w:r>
      <w:r w:rsidR="00984A6F">
        <w:noBreakHyphen/>
      </w:r>
      <w:r w:rsidR="00404F34" w:rsidRPr="00026EC1">
        <w:t>quinze</w:t>
      </w:r>
      <w:r w:rsidR="007F2419">
        <w:t> </w:t>
      </w:r>
      <w:r w:rsidR="00404F34" w:rsidRPr="00026EC1">
        <w:t>(0,75) pour un Collège dont l</w:t>
      </w:r>
      <w:r w:rsidR="004A41E4" w:rsidRPr="00026EC1">
        <w:t>’</w:t>
      </w:r>
      <w:r w:rsidR="00404F34" w:rsidRPr="00026EC1">
        <w:t>allocation est entre cinquante</w:t>
      </w:r>
      <w:r w:rsidR="007F2419">
        <w:t> </w:t>
      </w:r>
      <w:r w:rsidR="00404F34" w:rsidRPr="00026EC1">
        <w:t>(50) et cent</w:t>
      </w:r>
      <w:r w:rsidR="007F2419">
        <w:t> </w:t>
      </w:r>
      <w:r w:rsidR="00404F34" w:rsidRPr="00026EC1">
        <w:t>(100) enseignantes et enseignants;</w:t>
      </w:r>
    </w:p>
    <w:p w14:paraId="75B1AB5D" w14:textId="77777777" w:rsidR="00404F34" w:rsidRPr="00026EC1" w:rsidRDefault="00404F34" w:rsidP="00A64613">
      <w:pPr>
        <w:keepNext w:val="0"/>
      </w:pPr>
    </w:p>
    <w:p w14:paraId="3C080C24" w14:textId="47300708"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zéro virgule cinq</w:t>
      </w:r>
      <w:r w:rsidR="007F2419">
        <w:t> </w:t>
      </w:r>
      <w:r w:rsidR="00404F34" w:rsidRPr="00026EC1">
        <w:t>(0,5) pour un Collège dont l</w:t>
      </w:r>
      <w:r w:rsidR="004A41E4" w:rsidRPr="00026EC1">
        <w:t>’</w:t>
      </w:r>
      <w:r w:rsidR="00404F34" w:rsidRPr="00026EC1">
        <w:t>allocation est de moins de cinquante</w:t>
      </w:r>
      <w:r w:rsidR="007F2419">
        <w:t> </w:t>
      </w:r>
      <w:r w:rsidR="00404F34" w:rsidRPr="00026EC1">
        <w:t>(50) enseignantes et enseignants.</w:t>
      </w:r>
    </w:p>
    <w:p w14:paraId="1BC69693" w14:textId="77777777" w:rsidR="00404F34" w:rsidRPr="00026EC1" w:rsidRDefault="00404F34" w:rsidP="00A64613">
      <w:pPr>
        <w:keepNext w:val="0"/>
      </w:pPr>
    </w:p>
    <w:p w14:paraId="2C8B428C" w14:textId="054A5B8B" w:rsidR="00404F34" w:rsidRPr="00026EC1" w:rsidRDefault="00275751" w:rsidP="00A64613">
      <w:pPr>
        <w:pStyle w:val="NUMRODECLAUSE"/>
        <w:keepNext w:val="0"/>
      </w:pPr>
      <w:r w:rsidRPr="00026EC1">
        <w:t>3</w:t>
      </w:r>
      <w:r w:rsidR="00984A6F">
        <w:noBreakHyphen/>
      </w:r>
      <w:r w:rsidRPr="00026EC1">
        <w:t>1.26</w:t>
      </w:r>
    </w:p>
    <w:p w14:paraId="7584B0B9" w14:textId="77777777" w:rsidR="00404F34" w:rsidRPr="00026EC1" w:rsidRDefault="00404F34" w:rsidP="00A64613">
      <w:pPr>
        <w:keepNext w:val="0"/>
      </w:pPr>
      <w:r w:rsidRPr="00026EC1">
        <w:t>À titre de remboursement de salaire prévu au présent article, le Syndicat paie au Collège le salaire brut de celle ou celui qui remplace l</w:t>
      </w:r>
      <w:r w:rsidR="004A41E4" w:rsidRPr="00026EC1">
        <w:t>’</w:t>
      </w:r>
      <w:r w:rsidRPr="00026EC1">
        <w:t>enseignante ou l</w:t>
      </w:r>
      <w:r w:rsidR="004A41E4" w:rsidRPr="00026EC1">
        <w:t>’</w:t>
      </w:r>
      <w:r w:rsidRPr="00026EC1">
        <w:t>enseignant libéré pour la période en cause.</w:t>
      </w:r>
    </w:p>
    <w:p w14:paraId="7E7CAE6D" w14:textId="77777777" w:rsidR="00404F34" w:rsidRPr="00026EC1" w:rsidRDefault="00404F34" w:rsidP="00A64613">
      <w:pPr>
        <w:keepNext w:val="0"/>
      </w:pPr>
    </w:p>
    <w:p w14:paraId="103C8A4E" w14:textId="626D9AF4" w:rsidR="00404F34" w:rsidRPr="00026EC1" w:rsidRDefault="00275751" w:rsidP="00A64613">
      <w:pPr>
        <w:pStyle w:val="NUMRODECLAUSE"/>
        <w:keepNext w:val="0"/>
      </w:pPr>
      <w:r w:rsidRPr="00026EC1">
        <w:t>3</w:t>
      </w:r>
      <w:r w:rsidR="00984A6F">
        <w:noBreakHyphen/>
      </w:r>
      <w:r w:rsidRPr="00026EC1">
        <w:t>1.27</w:t>
      </w:r>
    </w:p>
    <w:p w14:paraId="7D928BCD" w14:textId="15053CC7" w:rsidR="00404F34" w:rsidRPr="00026EC1" w:rsidRDefault="00404F34" w:rsidP="00A64613">
      <w:pPr>
        <w:keepNext w:val="0"/>
      </w:pPr>
      <w:r w:rsidRPr="00026EC1">
        <w:t>Les sommes dues par le Syndicat au Collège à titre de remboursement de salaire sont payées dans les trente</w:t>
      </w:r>
      <w:r w:rsidR="007F2419">
        <w:t> </w:t>
      </w:r>
      <w:r w:rsidRPr="00026EC1">
        <w:t>(30) jours qui suivent l</w:t>
      </w:r>
      <w:r w:rsidR="004A41E4" w:rsidRPr="00026EC1">
        <w:t>’</w:t>
      </w:r>
      <w:r w:rsidRPr="00026EC1">
        <w:t>envoi au Syndicat d</w:t>
      </w:r>
      <w:r w:rsidR="004A41E4" w:rsidRPr="00026EC1">
        <w:t>’</w:t>
      </w:r>
      <w:r w:rsidRPr="00026EC1">
        <w:t>un état de compte mensuel détaillé indiquant les noms des enseignantes et enseignants absents, la durée de leur absence, les noms des enseignantes et enseignants qui ont fait le remplacement et le montant à verser.</w:t>
      </w:r>
    </w:p>
    <w:p w14:paraId="7A0A43E3" w14:textId="77777777" w:rsidR="00404F34" w:rsidRPr="00026EC1" w:rsidRDefault="00404F34" w:rsidP="00A64613">
      <w:pPr>
        <w:keepNext w:val="0"/>
      </w:pPr>
    </w:p>
    <w:p w14:paraId="76DB4496" w14:textId="6E883E92" w:rsidR="00404F34" w:rsidRPr="00026EC1" w:rsidRDefault="00275751" w:rsidP="00A64613">
      <w:pPr>
        <w:pStyle w:val="NUMRODECLAUSE"/>
        <w:keepNext w:val="0"/>
      </w:pPr>
      <w:r w:rsidRPr="00026EC1">
        <w:t>3</w:t>
      </w:r>
      <w:r w:rsidR="00984A6F">
        <w:noBreakHyphen/>
      </w:r>
      <w:r w:rsidRPr="00026EC1">
        <w:t>1.28</w:t>
      </w:r>
    </w:p>
    <w:p w14:paraId="54E328B3"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une libération, d</w:t>
      </w:r>
      <w:r w:rsidR="004A41E4" w:rsidRPr="00026EC1">
        <w:t>’</w:t>
      </w:r>
      <w:r w:rsidRPr="00026EC1">
        <w:t>une absence ou d</w:t>
      </w:r>
      <w:r w:rsidR="004A41E4" w:rsidRPr="00026EC1">
        <w:t>’</w:t>
      </w:r>
      <w:r w:rsidRPr="00026EC1">
        <w:t>un congé prévu au présent article conserve tous les droits prévus à la convention collective à moins de dispositions particulières à l</w:t>
      </w:r>
      <w:r w:rsidR="004A41E4" w:rsidRPr="00026EC1">
        <w:t>’</w:t>
      </w:r>
      <w:r w:rsidRPr="00026EC1">
        <w:t>effet contraire.</w:t>
      </w:r>
    </w:p>
    <w:p w14:paraId="299D3EC2" w14:textId="77777777" w:rsidR="00404F34" w:rsidRPr="00026EC1" w:rsidRDefault="00404F34" w:rsidP="00A64613">
      <w:pPr>
        <w:keepNext w:val="0"/>
      </w:pPr>
    </w:p>
    <w:p w14:paraId="107D6941" w14:textId="44AD09DB" w:rsidR="00404F34" w:rsidRPr="00026EC1" w:rsidRDefault="00275751" w:rsidP="00A64613">
      <w:pPr>
        <w:pStyle w:val="NUMRODECLAUSE"/>
        <w:keepNext w:val="0"/>
      </w:pPr>
      <w:r w:rsidRPr="00026EC1">
        <w:t>3</w:t>
      </w:r>
      <w:r w:rsidR="00984A6F">
        <w:noBreakHyphen/>
      </w:r>
      <w:r w:rsidRPr="00026EC1">
        <w:t>1.29</w:t>
      </w:r>
    </w:p>
    <w:p w14:paraId="363B8EBF" w14:textId="266DB585" w:rsidR="00404F34" w:rsidRPr="00026EC1" w:rsidRDefault="00404F34" w:rsidP="00A64613">
      <w:pPr>
        <w:keepNext w:val="0"/>
      </w:pPr>
      <w:r w:rsidRPr="00026EC1">
        <w:t>Le Collège alloue aux membres de l</w:t>
      </w:r>
      <w:r w:rsidR="004A41E4" w:rsidRPr="00026EC1">
        <w:t>’</w:t>
      </w:r>
      <w:r w:rsidRPr="00026EC1">
        <w:t>exécutif du Syndicat une même période d</w:t>
      </w:r>
      <w:r w:rsidR="004A41E4" w:rsidRPr="00026EC1">
        <w:t>’</w:t>
      </w:r>
      <w:r w:rsidRPr="00026EC1">
        <w:t>au moins une demi</w:t>
      </w:r>
      <w:r w:rsidR="00984A6F">
        <w:noBreakHyphen/>
      </w:r>
      <w:r w:rsidRPr="00026EC1">
        <w:t>journée par semaine libre de toute prestation d</w:t>
      </w:r>
      <w:r w:rsidR="004A41E4" w:rsidRPr="00026EC1">
        <w:t>’</w:t>
      </w:r>
      <w:r w:rsidRPr="00026EC1">
        <w:t>enseignement à la condition que le Syndicat informe le Collège du nom des enseignantes et enseignants concernés en temps utile pour l</w:t>
      </w:r>
      <w:r w:rsidR="004A41E4" w:rsidRPr="00026EC1">
        <w:t>’</w:t>
      </w:r>
      <w:r w:rsidRPr="00026EC1">
        <w:t>élaboration de l</w:t>
      </w:r>
      <w:r w:rsidR="004A41E4" w:rsidRPr="00026EC1">
        <w:t>’</w:t>
      </w:r>
      <w:r w:rsidRPr="00026EC1">
        <w:t>horaire des co</w:t>
      </w:r>
      <w:r w:rsidR="005A629E" w:rsidRPr="00026EC1">
        <w:t>urs.</w:t>
      </w:r>
    </w:p>
    <w:p w14:paraId="25E00EB4" w14:textId="44F92D95"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259" w:name="_Toc535046588"/>
      <w:bookmarkStart w:id="260" w:name="_Toc133760765"/>
      <w:bookmarkStart w:id="261" w:name="_Toc393444591"/>
      <w:bookmarkStart w:id="262" w:name="_Toc393449542"/>
      <w:bookmarkStart w:id="263" w:name="_Toc393460911"/>
      <w:bookmarkStart w:id="264" w:name="_Toc393461189"/>
      <w:bookmarkStart w:id="265" w:name="_Toc393720750"/>
      <w:bookmarkStart w:id="266" w:name="_Toc393783911"/>
      <w:bookmarkStart w:id="267" w:name="_Toc393784050"/>
      <w:bookmarkStart w:id="268" w:name="_Toc168479504"/>
      <w:r w:rsidRPr="00026EC1">
        <w:t>Article 3</w:t>
      </w:r>
      <w:r w:rsidR="00984A6F">
        <w:t>-</w:t>
      </w:r>
      <w:r w:rsidRPr="00026EC1">
        <w:t>2.00</w:t>
      </w:r>
      <w:r w:rsidR="003D2529" w:rsidRPr="00026EC1">
        <w:tab/>
      </w:r>
      <w:r w:rsidR="00984A6F">
        <w:t>-</w:t>
      </w:r>
      <w:r w:rsidR="003D2529" w:rsidRPr="00026EC1">
        <w:tab/>
      </w:r>
      <w:r w:rsidRPr="00026EC1">
        <w:t>Droits syndicaux</w:t>
      </w:r>
      <w:bookmarkEnd w:id="259"/>
      <w:bookmarkEnd w:id="260"/>
      <w:bookmarkEnd w:id="261"/>
      <w:bookmarkEnd w:id="262"/>
      <w:bookmarkEnd w:id="263"/>
      <w:bookmarkEnd w:id="264"/>
      <w:bookmarkEnd w:id="265"/>
      <w:bookmarkEnd w:id="266"/>
      <w:bookmarkEnd w:id="267"/>
      <w:bookmarkEnd w:id="268"/>
    </w:p>
    <w:p w14:paraId="78576E2D" w14:textId="5B5DE860" w:rsidR="00404F34" w:rsidRPr="00026EC1" w:rsidRDefault="00275751" w:rsidP="00A64613">
      <w:pPr>
        <w:pStyle w:val="NUMRODECLAUSE"/>
        <w:keepNext w:val="0"/>
      </w:pPr>
      <w:r w:rsidRPr="00026EC1">
        <w:t>3</w:t>
      </w:r>
      <w:r w:rsidR="00984A6F">
        <w:noBreakHyphen/>
      </w:r>
      <w:r w:rsidRPr="00026EC1">
        <w:t>2.01</w:t>
      </w:r>
    </w:p>
    <w:p w14:paraId="4D2AA650" w14:textId="77777777" w:rsidR="00404F34" w:rsidRPr="00026EC1" w:rsidRDefault="00404F34" w:rsidP="00A64613">
      <w:pPr>
        <w:keepNext w:val="0"/>
      </w:pPr>
      <w:r w:rsidRPr="00026EC1">
        <w:t>Le Collège met à la disposition du Syndicat un local adéquat que le Syndicat peut utiliser aux fins de secrétariat général. L</w:t>
      </w:r>
      <w:r w:rsidR="004A41E4" w:rsidRPr="00026EC1">
        <w:t>’</w:t>
      </w:r>
      <w:r w:rsidRPr="00026EC1">
        <w:t>équipement de ce local est déterminé par entente entre le Collège et le Syndicat. De plus, l</w:t>
      </w:r>
      <w:r w:rsidR="004A41E4" w:rsidRPr="00026EC1">
        <w:t>’</w:t>
      </w:r>
      <w:r w:rsidRPr="00026EC1">
        <w:t>entretien ménager usuel est assumé par le Collège.</w:t>
      </w:r>
    </w:p>
    <w:p w14:paraId="783B2F8A" w14:textId="77777777" w:rsidR="00404F34" w:rsidRPr="00026EC1" w:rsidRDefault="00404F34" w:rsidP="00A64613">
      <w:pPr>
        <w:keepNext w:val="0"/>
      </w:pPr>
    </w:p>
    <w:p w14:paraId="119BB13B" w14:textId="2AD0E168" w:rsidR="00404F34" w:rsidRPr="00026EC1" w:rsidRDefault="00275751" w:rsidP="00A64613">
      <w:pPr>
        <w:pStyle w:val="NUMRODECLAUSE"/>
        <w:keepNext w:val="0"/>
      </w:pPr>
      <w:r w:rsidRPr="00026EC1">
        <w:t>3</w:t>
      </w:r>
      <w:r w:rsidR="00984A6F">
        <w:noBreakHyphen/>
      </w:r>
      <w:r w:rsidRPr="00026EC1">
        <w:t>2.02</w:t>
      </w:r>
    </w:p>
    <w:p w14:paraId="1CEACDB9" w14:textId="77777777" w:rsidR="00404F34" w:rsidRPr="00026EC1" w:rsidRDefault="00404F34" w:rsidP="00A64613">
      <w:pPr>
        <w:keepNext w:val="0"/>
      </w:pPr>
      <w:r w:rsidRPr="00026EC1">
        <w:t>Le Syndicat peut distribuer tout document aux enseignantes et enseignants en le déposant à leur bureau, leur salle ou dans leur case respective. Le Syndicat peut utiliser les services du courrier interne pour la distribution dans les cases.</w:t>
      </w:r>
    </w:p>
    <w:p w14:paraId="76E2E8E7" w14:textId="77777777" w:rsidR="00404F34" w:rsidRPr="00026EC1" w:rsidRDefault="00404F34" w:rsidP="00A64613">
      <w:pPr>
        <w:keepNext w:val="0"/>
      </w:pPr>
    </w:p>
    <w:p w14:paraId="7A0DD6AF" w14:textId="5F306B85" w:rsidR="00404F34" w:rsidRPr="00026EC1" w:rsidRDefault="00275751" w:rsidP="00A64613">
      <w:pPr>
        <w:pStyle w:val="NUMRODECLAUSE"/>
        <w:keepNext w:val="0"/>
      </w:pPr>
      <w:r w:rsidRPr="00026EC1">
        <w:t>3</w:t>
      </w:r>
      <w:r w:rsidR="00984A6F">
        <w:noBreakHyphen/>
      </w:r>
      <w:r w:rsidRPr="00026EC1">
        <w:t>2.03</w:t>
      </w:r>
    </w:p>
    <w:p w14:paraId="7FF1DFA5" w14:textId="77777777" w:rsidR="00404F34" w:rsidRPr="00026EC1" w:rsidRDefault="00404F34" w:rsidP="00A64613">
      <w:pPr>
        <w:keepNext w:val="0"/>
      </w:pPr>
      <w:r w:rsidRPr="00026EC1">
        <w:t>Le Collège permet au Syndicat d</w:t>
      </w:r>
      <w:r w:rsidR="004A41E4" w:rsidRPr="00026EC1">
        <w:t>’</w:t>
      </w:r>
      <w:r w:rsidRPr="00026EC1">
        <w:t>utiliser ses services habituels d</w:t>
      </w:r>
      <w:r w:rsidR="004A41E4" w:rsidRPr="00026EC1">
        <w:t>’</w:t>
      </w:r>
      <w:r w:rsidRPr="00026EC1">
        <w:t>adressographie, de photocopie, d</w:t>
      </w:r>
      <w:r w:rsidR="004A41E4" w:rsidRPr="00026EC1">
        <w:t>’</w:t>
      </w:r>
      <w:r w:rsidRPr="00026EC1">
        <w:t>imprimerie et d</w:t>
      </w:r>
      <w:r w:rsidR="004A41E4" w:rsidRPr="00026EC1">
        <w:t>’</w:t>
      </w:r>
      <w:r w:rsidRPr="00026EC1">
        <w:t>audiovisuel, selon les normes de fonctionnement de ces services.</w:t>
      </w:r>
    </w:p>
    <w:p w14:paraId="7D1DC8AE"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7AA8B245" w14:textId="77777777" w:rsidR="00404F34" w:rsidRPr="00026EC1" w:rsidRDefault="00404F34" w:rsidP="00A64613">
      <w:pPr>
        <w:keepNext w:val="0"/>
      </w:pPr>
    </w:p>
    <w:p w14:paraId="34CBF309" w14:textId="26CAE2E4" w:rsidR="00404F34" w:rsidRPr="00026EC1" w:rsidRDefault="00275751" w:rsidP="00A64613">
      <w:pPr>
        <w:pStyle w:val="NUMRODECLAUSE"/>
        <w:keepNext w:val="0"/>
      </w:pPr>
      <w:r w:rsidRPr="00026EC1">
        <w:t>3</w:t>
      </w:r>
      <w:r w:rsidR="00984A6F">
        <w:noBreakHyphen/>
      </w:r>
      <w:r w:rsidRPr="00026EC1">
        <w:t>2.04</w:t>
      </w:r>
    </w:p>
    <w:p w14:paraId="0F375E63" w14:textId="77777777" w:rsidR="00404F34" w:rsidRPr="00026EC1" w:rsidRDefault="00404F34" w:rsidP="00A64613">
      <w:pPr>
        <w:keepNext w:val="0"/>
      </w:pPr>
      <w:r w:rsidRPr="00026EC1">
        <w:t>Le Syndicat a droit de tenir des réunions pour les enseignantes et enseignants dans les locaux du Collège moyennant un avis préalable. Cette utilisation est sans frais sauf si, exceptionnellement, elle entraîne des déboursés particuliers supplémentaires.</w:t>
      </w:r>
    </w:p>
    <w:p w14:paraId="5A2CC5B1" w14:textId="77777777" w:rsidR="00404F34" w:rsidRPr="00026EC1" w:rsidRDefault="00404F34" w:rsidP="00A64613">
      <w:pPr>
        <w:keepNext w:val="0"/>
      </w:pPr>
    </w:p>
    <w:p w14:paraId="02A90D51" w14:textId="50C7A580" w:rsidR="00404F34" w:rsidRPr="00026EC1" w:rsidRDefault="00275751" w:rsidP="00A64613">
      <w:pPr>
        <w:pStyle w:val="NUMRODECLAUSE"/>
        <w:keepNext w:val="0"/>
      </w:pPr>
      <w:r w:rsidRPr="00026EC1">
        <w:t>3</w:t>
      </w:r>
      <w:r w:rsidR="00984A6F">
        <w:noBreakHyphen/>
      </w:r>
      <w:r w:rsidRPr="00026EC1">
        <w:t>2.05</w:t>
      </w:r>
    </w:p>
    <w:p w14:paraId="2A709320" w14:textId="77777777" w:rsidR="00404F34" w:rsidRPr="00026EC1" w:rsidRDefault="00404F34" w:rsidP="00A64613">
      <w:pPr>
        <w:keepNext w:val="0"/>
      </w:pPr>
      <w:r w:rsidRPr="00026EC1">
        <w:t>Le Syndicat peut afficher, à un ou des endroits convenus entre les parties et réservés exclusivement à cette fin, les avis, bulletins et documents pouvant intéresser les enseignantes et enseignants.</w:t>
      </w:r>
    </w:p>
    <w:p w14:paraId="3BC8FD08" w14:textId="77777777" w:rsidR="00404F34" w:rsidRPr="00026EC1" w:rsidRDefault="00404F34" w:rsidP="00A64613">
      <w:pPr>
        <w:keepNext w:val="0"/>
      </w:pPr>
    </w:p>
    <w:p w14:paraId="289FF48C" w14:textId="25A63773" w:rsidR="00404F34" w:rsidRPr="00026EC1" w:rsidRDefault="00275751" w:rsidP="00A64613">
      <w:pPr>
        <w:pStyle w:val="NUMRODECLAUSE"/>
        <w:keepNext w:val="0"/>
      </w:pPr>
      <w:r w:rsidRPr="00026EC1">
        <w:t>3</w:t>
      </w:r>
      <w:r w:rsidR="00984A6F">
        <w:noBreakHyphen/>
      </w:r>
      <w:r w:rsidRPr="00026EC1">
        <w:t>2.06</w:t>
      </w:r>
    </w:p>
    <w:p w14:paraId="1B757421" w14:textId="77777777" w:rsidR="00404F34" w:rsidRPr="00026EC1" w:rsidRDefault="00404F34" w:rsidP="00A64613">
      <w:pPr>
        <w:keepNext w:val="0"/>
      </w:pPr>
      <w:r w:rsidRPr="00026EC1">
        <w:t>Une enseignante ou un enseignant peut afficher, à un ou des endroits appropriés et déterminés par le Collège, des avis, bulletins et documents pouvant intéresser les enseignantes et enseignants.</w:t>
      </w:r>
    </w:p>
    <w:p w14:paraId="03F4E498" w14:textId="77777777" w:rsidR="00404F34" w:rsidRPr="00026EC1" w:rsidRDefault="00404F34" w:rsidP="00A64613">
      <w:pPr>
        <w:keepNext w:val="0"/>
      </w:pPr>
    </w:p>
    <w:p w14:paraId="64F23D16" w14:textId="37A3393B" w:rsidR="00404F34" w:rsidRPr="00026EC1" w:rsidRDefault="00275751" w:rsidP="00A64613">
      <w:pPr>
        <w:pStyle w:val="NUMRODECLAUSE"/>
        <w:keepNext w:val="0"/>
      </w:pPr>
      <w:r w:rsidRPr="00026EC1">
        <w:t>3</w:t>
      </w:r>
      <w:r w:rsidR="00984A6F">
        <w:noBreakHyphen/>
      </w:r>
      <w:r w:rsidRPr="00026EC1">
        <w:t>2.07</w:t>
      </w:r>
    </w:p>
    <w:p w14:paraId="3C1E52BA" w14:textId="6DE4EBAA" w:rsidR="00404F34" w:rsidRPr="00026EC1" w:rsidRDefault="00404F34" w:rsidP="00A64613">
      <w:pPr>
        <w:keepNext w:val="0"/>
      </w:pPr>
      <w:r w:rsidRPr="00026EC1">
        <w:t>Dans la mesure du possible, le Collège prévoit à l</w:t>
      </w:r>
      <w:r w:rsidR="004A41E4" w:rsidRPr="00026EC1">
        <w:t>’</w:t>
      </w:r>
      <w:r w:rsidRPr="00026EC1">
        <w:t>horaire trois</w:t>
      </w:r>
      <w:r w:rsidR="007F2419">
        <w:t> </w:t>
      </w:r>
      <w:r w:rsidRPr="00026EC1">
        <w:t>(3) périodes consécutives libres de cours pour permettre des réunions des enseignantes et enseignants.</w:t>
      </w:r>
    </w:p>
    <w:p w14:paraId="4A0C356D" w14:textId="333F807E"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269" w:name="_Toc535046589"/>
      <w:bookmarkStart w:id="270" w:name="_Toc393444592"/>
      <w:bookmarkStart w:id="271" w:name="_Toc393449543"/>
      <w:bookmarkStart w:id="272" w:name="_Toc393460912"/>
      <w:bookmarkStart w:id="273" w:name="_Toc393461190"/>
      <w:bookmarkStart w:id="274" w:name="_Toc393720751"/>
      <w:bookmarkStart w:id="275" w:name="_Toc393783912"/>
      <w:bookmarkStart w:id="276" w:name="_Toc393784051"/>
      <w:bookmarkStart w:id="277" w:name="_Toc168479505"/>
      <w:r w:rsidRPr="00026EC1">
        <w:t>Article</w:t>
      </w:r>
      <w:r w:rsidR="00BD38A6" w:rsidRPr="00026EC1">
        <w:t> </w:t>
      </w:r>
      <w:r w:rsidRPr="00026EC1">
        <w:t>3</w:t>
      </w:r>
      <w:r w:rsidR="00984A6F">
        <w:t>-</w:t>
      </w:r>
      <w:r w:rsidRPr="00026EC1">
        <w:t>3.00</w:t>
      </w:r>
      <w:r w:rsidR="003D2529" w:rsidRPr="00026EC1">
        <w:tab/>
      </w:r>
      <w:r w:rsidR="00984A6F">
        <w:t>-</w:t>
      </w:r>
      <w:r w:rsidR="003D2529" w:rsidRPr="00026EC1">
        <w:tab/>
      </w:r>
      <w:r w:rsidRPr="00026EC1">
        <w:t>Cotisations syndicales</w:t>
      </w:r>
      <w:bookmarkEnd w:id="269"/>
      <w:bookmarkEnd w:id="270"/>
      <w:bookmarkEnd w:id="271"/>
      <w:bookmarkEnd w:id="272"/>
      <w:bookmarkEnd w:id="273"/>
      <w:bookmarkEnd w:id="274"/>
      <w:bookmarkEnd w:id="275"/>
      <w:bookmarkEnd w:id="276"/>
      <w:bookmarkEnd w:id="277"/>
    </w:p>
    <w:p w14:paraId="14215D3A" w14:textId="4D56938C" w:rsidR="003D2529" w:rsidRDefault="00656A1E" w:rsidP="00B12D5E">
      <w:pPr>
        <w:pStyle w:val="Article59delaloi37"/>
        <w:keepNext w:val="0"/>
        <w:spacing w:before="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0D67407F" w14:textId="77777777" w:rsidR="00FE37F4" w:rsidRPr="00FE37F4" w:rsidRDefault="00FE37F4" w:rsidP="00B12D5E">
      <w:pPr>
        <w:pStyle w:val="Article59delaloi37"/>
        <w:keepNext w:val="0"/>
        <w:spacing w:before="0"/>
      </w:pPr>
    </w:p>
    <w:p w14:paraId="5F02235B" w14:textId="18444C7D" w:rsidR="00404F34" w:rsidRPr="00026EC1" w:rsidRDefault="00275751" w:rsidP="00A64613">
      <w:pPr>
        <w:pStyle w:val="NUMRODECLAUSE"/>
        <w:keepNext w:val="0"/>
      </w:pPr>
      <w:r w:rsidRPr="00026EC1">
        <w:t>3</w:t>
      </w:r>
      <w:r w:rsidR="00984A6F">
        <w:noBreakHyphen/>
      </w:r>
      <w:r w:rsidRPr="00026EC1">
        <w:t>3.01</w:t>
      </w:r>
    </w:p>
    <w:p w14:paraId="7013371E" w14:textId="77777777" w:rsidR="00404F34" w:rsidRPr="00026EC1" w:rsidRDefault="00404F34" w:rsidP="00A64613">
      <w:pPr>
        <w:keepNext w:val="0"/>
      </w:pPr>
      <w:r w:rsidRPr="00026EC1">
        <w:t>Le Collège prélève, sur le salaire de chaque enseignante et enseignant régi par la convention collective, un montant égal à la cotisation fixée par le Syndicat.</w:t>
      </w:r>
    </w:p>
    <w:p w14:paraId="2C366AAB" w14:textId="77777777" w:rsidR="00404F34" w:rsidRPr="00026EC1" w:rsidRDefault="00404F34" w:rsidP="00A64613">
      <w:pPr>
        <w:keepNext w:val="0"/>
      </w:pPr>
    </w:p>
    <w:p w14:paraId="3EA6E3D5" w14:textId="4E27F272" w:rsidR="00404F34" w:rsidRPr="00026EC1" w:rsidRDefault="00275751" w:rsidP="00A64613">
      <w:pPr>
        <w:pStyle w:val="NUMRODECLAUSE"/>
        <w:keepNext w:val="0"/>
      </w:pPr>
      <w:r w:rsidRPr="00026EC1">
        <w:t>3</w:t>
      </w:r>
      <w:r w:rsidR="00984A6F">
        <w:noBreakHyphen/>
      </w:r>
      <w:r w:rsidRPr="00026EC1">
        <w:t>3.02</w:t>
      </w:r>
    </w:p>
    <w:p w14:paraId="237F47AF" w14:textId="42E8E693" w:rsidR="00404F34" w:rsidRPr="00026EC1" w:rsidRDefault="00404F34" w:rsidP="00A64613">
      <w:pPr>
        <w:keepNext w:val="0"/>
      </w:pPr>
      <w:r w:rsidRPr="00026EC1">
        <w:t>Aux fins du présent article, le montant de la cotisation syndicale correspond aux taux ou au montant qui est indiqué au Collège par avis écrit du Syndicat; cet avis indique de plus</w:t>
      </w:r>
      <w:r w:rsidR="00D8581B">
        <w:t> :</w:t>
      </w:r>
    </w:p>
    <w:p w14:paraId="64EDCE3A" w14:textId="77777777" w:rsidR="00404F34" w:rsidRPr="00026EC1" w:rsidRDefault="00404F34" w:rsidP="00A64613">
      <w:pPr>
        <w:keepNext w:val="0"/>
      </w:pPr>
    </w:p>
    <w:p w14:paraId="120D761E" w14:textId="77777777" w:rsidR="00404F34" w:rsidRPr="00026EC1" w:rsidRDefault="00275751" w:rsidP="00A64613">
      <w:pPr>
        <w:keepNext w:val="0"/>
        <w:tabs>
          <w:tab w:val="left" w:pos="567"/>
        </w:tabs>
        <w:ind w:left="567" w:hanging="567"/>
      </w:pPr>
      <w:r w:rsidRPr="00026EC1">
        <w:t>a)</w:t>
      </w:r>
      <w:r w:rsidRPr="00026EC1">
        <w:tab/>
      </w:r>
      <w:r w:rsidR="00404F34" w:rsidRPr="00026EC1">
        <w:t>la date de la première retenue, date qui ne peut être antérieure au trentième (30</w:t>
      </w:r>
      <w:r w:rsidR="00404F34" w:rsidRPr="00026EC1">
        <w:rPr>
          <w:vertAlign w:val="superscript"/>
        </w:rPr>
        <w:t>e</w:t>
      </w:r>
      <w:r w:rsidR="00404F34" w:rsidRPr="00026EC1">
        <w:t>) jour de la réception de cet avis par le Collège;</w:t>
      </w:r>
    </w:p>
    <w:p w14:paraId="297917B8" w14:textId="77777777" w:rsidR="00404F34" w:rsidRPr="00026EC1" w:rsidRDefault="00404F34" w:rsidP="00A64613">
      <w:pPr>
        <w:keepNext w:val="0"/>
      </w:pPr>
    </w:p>
    <w:p w14:paraId="258FB7E0" w14:textId="77777777" w:rsidR="00404F34" w:rsidRPr="00026EC1" w:rsidRDefault="00275751" w:rsidP="00A64613">
      <w:pPr>
        <w:keepNext w:val="0"/>
        <w:tabs>
          <w:tab w:val="left" w:pos="567"/>
        </w:tabs>
        <w:ind w:left="567" w:hanging="567"/>
      </w:pPr>
      <w:r w:rsidRPr="00026EC1">
        <w:t>b)</w:t>
      </w:r>
      <w:r w:rsidRPr="00026EC1">
        <w:tab/>
      </w:r>
      <w:r w:rsidR="00404F34" w:rsidRPr="00026EC1">
        <w:t>le nombre de paies consécutives sur lesquelles le Collège doit répartir cette cotisation.</w:t>
      </w:r>
    </w:p>
    <w:p w14:paraId="158DD189" w14:textId="77777777" w:rsidR="00404F34" w:rsidRPr="00026EC1" w:rsidRDefault="00404F34" w:rsidP="00A64613">
      <w:pPr>
        <w:pStyle w:val="CommentText"/>
        <w:keepNext w:val="0"/>
        <w:tabs>
          <w:tab w:val="clear" w:pos="3969"/>
        </w:tabs>
      </w:pPr>
    </w:p>
    <w:p w14:paraId="7CAC4158" w14:textId="50F892F4" w:rsidR="00404F34" w:rsidRPr="00026EC1" w:rsidRDefault="00275751" w:rsidP="00A64613">
      <w:pPr>
        <w:pStyle w:val="NUMRODECLAUSE"/>
        <w:keepNext w:val="0"/>
      </w:pPr>
      <w:r w:rsidRPr="00026EC1">
        <w:t>3</w:t>
      </w:r>
      <w:r w:rsidR="00984A6F">
        <w:noBreakHyphen/>
      </w:r>
      <w:r w:rsidRPr="00026EC1">
        <w:t>3.03</w:t>
      </w:r>
    </w:p>
    <w:p w14:paraId="7753BF3B" w14:textId="534B7D80" w:rsidR="00404F34" w:rsidRPr="00026EC1" w:rsidRDefault="00404F34" w:rsidP="00A64613">
      <w:pPr>
        <w:keepNext w:val="0"/>
      </w:pPr>
      <w:r w:rsidRPr="00026EC1">
        <w:t>Le Collège fait parvenir mensuellement au Syndicat, au moyen d</w:t>
      </w:r>
      <w:r w:rsidR="004A41E4" w:rsidRPr="00026EC1">
        <w:t>’</w:t>
      </w:r>
      <w:r w:rsidRPr="00026EC1">
        <w:t>un chèque payable au pair, la somme des cotisations syndicales déduites à la source sur chaque versement de salaire. Ce chèque est remis au Syndicat entre le premier</w:t>
      </w:r>
      <w:r w:rsidR="007F2419">
        <w:t> </w:t>
      </w:r>
      <w:r w:rsidRPr="00026EC1">
        <w:t>(1</w:t>
      </w:r>
      <w:r w:rsidRPr="00026EC1">
        <w:rPr>
          <w:vertAlign w:val="superscript"/>
        </w:rPr>
        <w:t>er</w:t>
      </w:r>
      <w:r w:rsidRPr="00026EC1">
        <w:t>) et le quinzième</w:t>
      </w:r>
      <w:r w:rsidR="007F2419">
        <w:t> </w:t>
      </w:r>
      <w:r w:rsidRPr="00026EC1">
        <w:t>(15</w:t>
      </w:r>
      <w:r w:rsidRPr="00026EC1">
        <w:rPr>
          <w:vertAlign w:val="superscript"/>
        </w:rPr>
        <w:t>e</w:t>
      </w:r>
      <w:r w:rsidRPr="00026EC1">
        <w:t>) jour du mois; il porte le montant mensuel perçu pour le mois précédent et est accompagné d</w:t>
      </w:r>
      <w:r w:rsidR="004A41E4" w:rsidRPr="00026EC1">
        <w:t>’</w:t>
      </w:r>
      <w:r w:rsidRPr="00026EC1">
        <w:t>un état détaillé de la cotisation. Une copie de cet état est transmise à la FNEEQ</w:t>
      </w:r>
      <w:r w:rsidR="00F07711" w:rsidRPr="00026EC1">
        <w:t> </w:t>
      </w:r>
      <w:r w:rsidRPr="00026EC1">
        <w:t>(CSN) tous les mois.</w:t>
      </w:r>
    </w:p>
    <w:p w14:paraId="62DC3AC9" w14:textId="77777777" w:rsidR="00404F34" w:rsidRPr="00026EC1" w:rsidRDefault="00404F34" w:rsidP="00A64613">
      <w:pPr>
        <w:keepNext w:val="0"/>
      </w:pPr>
    </w:p>
    <w:p w14:paraId="35C810B4" w14:textId="3995E667" w:rsidR="00404F34" w:rsidRPr="00026EC1" w:rsidRDefault="00404F34" w:rsidP="00A64613">
      <w:pPr>
        <w:keepNext w:val="0"/>
      </w:pPr>
      <w:r w:rsidRPr="00026EC1">
        <w:t>L</w:t>
      </w:r>
      <w:r w:rsidR="004A41E4" w:rsidRPr="00026EC1">
        <w:t>’</w:t>
      </w:r>
      <w:r w:rsidRPr="00026EC1">
        <w:t>état détaillé indique</w:t>
      </w:r>
      <w:r w:rsidR="00D8581B">
        <w:t> :</w:t>
      </w:r>
      <w:r w:rsidRPr="00026EC1">
        <w:t xml:space="preserve"> les noms et prénoms des enseignantes et enseignants, le salaire annuel, le salaire versé à chaque période de paie y compris, le cas échéant, les rémunérations additionnelles ainsi que le montant de la déduction syndicale individuelle. Par entente entre les parties, l</w:t>
      </w:r>
      <w:r w:rsidR="004A41E4" w:rsidRPr="00026EC1">
        <w:t>’</w:t>
      </w:r>
      <w:r w:rsidRPr="00026EC1">
        <w:t>état détaillé peut aussi comprendre d</w:t>
      </w:r>
      <w:r w:rsidR="004A41E4" w:rsidRPr="00026EC1">
        <w:t>’</w:t>
      </w:r>
      <w:r w:rsidRPr="00026EC1">
        <w:t>autres informations.</w:t>
      </w:r>
    </w:p>
    <w:p w14:paraId="5735A181" w14:textId="77777777" w:rsidR="00404F34" w:rsidRPr="00026EC1" w:rsidRDefault="00404F34" w:rsidP="00A64613">
      <w:pPr>
        <w:keepNext w:val="0"/>
      </w:pPr>
    </w:p>
    <w:p w14:paraId="3F81C315" w14:textId="5A2D3D0A" w:rsidR="00404F34" w:rsidRPr="00026EC1" w:rsidRDefault="00275751" w:rsidP="00A64613">
      <w:pPr>
        <w:pStyle w:val="NUMRODECLAUSE"/>
        <w:keepNext w:val="0"/>
      </w:pPr>
      <w:r w:rsidRPr="00026EC1">
        <w:t>3</w:t>
      </w:r>
      <w:r w:rsidR="00984A6F">
        <w:noBreakHyphen/>
      </w:r>
      <w:r w:rsidRPr="00026EC1">
        <w:t>3.04</w:t>
      </w:r>
    </w:p>
    <w:p w14:paraId="162735EB" w14:textId="77777777" w:rsidR="00271EF7" w:rsidRDefault="00404F34" w:rsidP="00A64613">
      <w:pPr>
        <w:keepNext w:val="0"/>
        <w:sectPr w:rsidR="00271EF7" w:rsidSect="003D57C4">
          <w:headerReference w:type="default" r:id="rId23"/>
          <w:footnotePr>
            <w:numRestart w:val="eachPage"/>
          </w:footnotePr>
          <w:pgSz w:w="12240" w:h="15840" w:code="1"/>
          <w:pgMar w:top="720" w:right="1077" w:bottom="1242" w:left="1684" w:header="709" w:footer="709" w:gutter="0"/>
          <w:cols w:space="708"/>
          <w:docGrid w:linePitch="360"/>
        </w:sectPr>
      </w:pPr>
      <w:r w:rsidRPr="00026EC1">
        <w:t>Lorsque l</w:t>
      </w:r>
      <w:r w:rsidR="004A41E4" w:rsidRPr="00026EC1">
        <w:t>’</w:t>
      </w:r>
      <w:r w:rsidRPr="00026EC1">
        <w:t>une ou l</w:t>
      </w:r>
      <w:r w:rsidR="004A41E4" w:rsidRPr="00026EC1">
        <w:t>’</w:t>
      </w:r>
      <w:r w:rsidR="006763F4" w:rsidRPr="00026EC1">
        <w:t xml:space="preserve">autre des parties demande </w:t>
      </w:r>
      <w:r w:rsidR="006763F4" w:rsidRPr="00026EC1">
        <w:rPr>
          <w:rFonts w:cs="Arial"/>
          <w:szCs w:val="24"/>
        </w:rPr>
        <w:t>au TAT</w:t>
      </w:r>
      <w:r w:rsidR="00226D90" w:rsidRPr="00026EC1">
        <w:rPr>
          <w:rFonts w:cs="Arial"/>
          <w:szCs w:val="24"/>
        </w:rPr>
        <w:t xml:space="preserve"> </w:t>
      </w:r>
      <w:r w:rsidRPr="00026EC1">
        <w:t>de statuer si une personne doit rester couverte par l</w:t>
      </w:r>
      <w:r w:rsidR="004A41E4" w:rsidRPr="00026EC1">
        <w:t>’</w:t>
      </w:r>
      <w:r w:rsidRPr="00026EC1">
        <w:t xml:space="preserve">accréditation, le Collège continue de retenir la cotisation syndicale et de la remettre au Syndicat. Si la personne ne le demeure pas, selon la décision </w:t>
      </w:r>
      <w:r w:rsidR="006A72E2" w:rsidRPr="00026EC1">
        <w:rPr>
          <w:rFonts w:cs="Arial"/>
          <w:szCs w:val="24"/>
        </w:rPr>
        <w:t>du TAT</w:t>
      </w:r>
      <w:r w:rsidRPr="00026EC1">
        <w:t>, le Syndicat lui rembourse le montant</w:t>
      </w:r>
      <w:r w:rsidR="005A629E" w:rsidRPr="00026EC1">
        <w:t xml:space="preserve"> perçu.</w:t>
      </w:r>
    </w:p>
    <w:p w14:paraId="73854F16" w14:textId="46B24B46" w:rsidR="00404F34" w:rsidRPr="00026EC1" w:rsidRDefault="00404F34" w:rsidP="00A64613">
      <w:pPr>
        <w:pStyle w:val="Heading1"/>
        <w:keepNext w:val="0"/>
        <w:tabs>
          <w:tab w:val="left" w:pos="1701"/>
          <w:tab w:val="left" w:pos="1985"/>
        </w:tabs>
      </w:pPr>
      <w:bookmarkStart w:id="278" w:name="_Toc535046590"/>
      <w:bookmarkStart w:id="279" w:name="_Toc133760766"/>
      <w:bookmarkStart w:id="280" w:name="_Toc133916914"/>
      <w:bookmarkStart w:id="281" w:name="_Toc134437179"/>
      <w:bookmarkStart w:id="282" w:name="_Toc393449544"/>
      <w:r w:rsidRPr="00026EC1">
        <w:t>CHAPITRE 4</w:t>
      </w:r>
      <w:r w:rsidR="00F66753" w:rsidRPr="00026EC1">
        <w:tab/>
      </w:r>
      <w:r w:rsidR="00984A6F">
        <w:t>-</w:t>
      </w:r>
      <w:r w:rsidR="00F66753" w:rsidRPr="00026EC1">
        <w:tab/>
      </w:r>
      <w:r w:rsidRPr="00026EC1">
        <w:t>ORGANISATION DU TRAVAIL</w:t>
      </w:r>
      <w:bookmarkEnd w:id="278"/>
      <w:bookmarkEnd w:id="279"/>
      <w:bookmarkEnd w:id="280"/>
      <w:bookmarkEnd w:id="281"/>
      <w:bookmarkEnd w:id="282"/>
      <w:r w:rsidR="00850D2D" w:rsidRPr="0035151D">
        <w:fldChar w:fldCharType="begin"/>
      </w:r>
      <w:r w:rsidR="00850D2D" w:rsidRPr="0035151D">
        <w:instrText xml:space="preserve"> TC " </w:instrText>
      </w:r>
      <w:bookmarkStart w:id="283" w:name="_Toc94949709"/>
      <w:bookmarkStart w:id="284" w:name="_Toc94952717"/>
      <w:bookmarkStart w:id="285" w:name="_Toc94954621"/>
      <w:bookmarkStart w:id="286" w:name="_Toc94966298"/>
      <w:bookmarkStart w:id="287" w:name="_Toc95035176"/>
      <w:bookmarkStart w:id="288" w:name="_Toc95035319"/>
      <w:bookmarkStart w:id="289" w:name="_Toc95035462"/>
      <w:bookmarkStart w:id="290" w:name="_Toc95035607"/>
      <w:bookmarkStart w:id="291" w:name="_Toc157589232"/>
      <w:bookmarkStart w:id="292" w:name="_Toc161323679"/>
      <w:bookmarkStart w:id="293" w:name="_Toc163483021"/>
      <w:bookmarkStart w:id="294" w:name="_Toc163483620"/>
      <w:bookmarkStart w:id="295" w:name="_Toc163483810"/>
      <w:bookmarkStart w:id="296" w:name="_Toc167870779"/>
      <w:bookmarkStart w:id="297" w:name="_Toc167870943"/>
      <w:bookmarkStart w:id="298" w:name="_Toc167871099"/>
      <w:bookmarkStart w:id="299" w:name="_Toc167871275"/>
      <w:bookmarkStart w:id="300" w:name="_Toc168049343"/>
      <w:bookmarkStart w:id="301" w:name="_Toc168401507"/>
      <w:bookmarkStart w:id="302" w:name="_Toc168402123"/>
      <w:bookmarkStart w:id="303" w:name="_Toc168409558"/>
      <w:bookmarkStart w:id="304" w:name="_Toc168410312"/>
      <w:bookmarkStart w:id="305" w:name="_Toc168410558"/>
      <w:bookmarkStart w:id="306" w:name="_Toc168410799"/>
      <w:bookmarkStart w:id="307" w:name="_Toc168479506"/>
      <w:r w:rsidR="00850D2D" w:rsidRPr="0035151D">
        <w:instrText xml:space="preserve">CHAPITRE </w:instrText>
      </w:r>
      <w:r w:rsidR="00850D2D">
        <w:instrText>4</w:instrText>
      </w:r>
      <w:r w:rsidR="00850D2D" w:rsidRPr="0035151D">
        <w:instrText xml:space="preserve">  </w:instrText>
      </w:r>
      <w:r w:rsidR="00984A6F">
        <w:noBreakHyphen/>
      </w:r>
      <w:r w:rsidR="00850D2D" w:rsidRPr="0035151D">
        <w:instrText xml:space="preserve">  </w:instrText>
      </w:r>
      <w:r w:rsidR="00850D2D">
        <w:instrText>organisation du travail</w:instrTex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850D2D" w:rsidRPr="0035151D">
        <w:instrText>"\N</w:instrText>
      </w:r>
      <w:r w:rsidR="00850D2D" w:rsidRPr="0035151D">
        <w:fldChar w:fldCharType="end"/>
      </w:r>
    </w:p>
    <w:p w14:paraId="5C37F574" w14:textId="7C939214" w:rsidR="00404F34" w:rsidRPr="00026EC1" w:rsidRDefault="00404F34" w:rsidP="00A64613">
      <w:pPr>
        <w:pStyle w:val="Heading2"/>
        <w:keepNext w:val="0"/>
        <w:tabs>
          <w:tab w:val="clear" w:pos="1843"/>
          <w:tab w:val="clear" w:pos="2127"/>
          <w:tab w:val="left" w:pos="1701"/>
          <w:tab w:val="left" w:pos="1985"/>
        </w:tabs>
        <w:ind w:left="1701" w:hanging="1701"/>
      </w:pPr>
      <w:bookmarkStart w:id="308" w:name="_Toc535046591"/>
      <w:bookmarkStart w:id="309" w:name="_Toc133760767"/>
      <w:bookmarkStart w:id="310" w:name="_Toc393444594"/>
      <w:bookmarkStart w:id="311" w:name="_Toc393449545"/>
      <w:bookmarkStart w:id="312" w:name="_Toc393460914"/>
      <w:bookmarkStart w:id="313" w:name="_Toc393461192"/>
      <w:bookmarkStart w:id="314" w:name="_Toc393720753"/>
      <w:bookmarkStart w:id="315" w:name="_Toc393783914"/>
      <w:bookmarkStart w:id="316" w:name="_Toc393784053"/>
      <w:bookmarkStart w:id="317" w:name="_Toc168479507"/>
      <w:r w:rsidRPr="00026EC1">
        <w:t>Article 4</w:t>
      </w:r>
      <w:r w:rsidR="00984A6F">
        <w:t>-</w:t>
      </w:r>
      <w:r w:rsidR="00F66753" w:rsidRPr="00026EC1">
        <w:t>1.00</w:t>
      </w:r>
      <w:r w:rsidR="00F66753" w:rsidRPr="00026EC1">
        <w:tab/>
      </w:r>
      <w:r w:rsidR="00984A6F">
        <w:t>-</w:t>
      </w:r>
      <w:r w:rsidR="00F66753" w:rsidRPr="00026EC1">
        <w:tab/>
      </w:r>
      <w:r w:rsidRPr="00026EC1">
        <w:t>Fonctionnement départemental et comité de programme</w:t>
      </w:r>
      <w:bookmarkEnd w:id="308"/>
      <w:bookmarkEnd w:id="309"/>
      <w:bookmarkEnd w:id="310"/>
      <w:bookmarkEnd w:id="311"/>
      <w:bookmarkEnd w:id="312"/>
      <w:bookmarkEnd w:id="313"/>
      <w:bookmarkEnd w:id="314"/>
      <w:bookmarkEnd w:id="315"/>
      <w:bookmarkEnd w:id="316"/>
      <w:bookmarkEnd w:id="317"/>
    </w:p>
    <w:p w14:paraId="75C2EF37" w14:textId="54E85B94" w:rsidR="00CA2E8C" w:rsidRPr="00026EC1" w:rsidRDefault="00275751" w:rsidP="00A64613">
      <w:pPr>
        <w:pStyle w:val="NUMRODECLAUSE"/>
        <w:keepNext w:val="0"/>
      </w:pPr>
      <w:r w:rsidRPr="00026EC1">
        <w:t>4</w:t>
      </w:r>
      <w:r w:rsidR="00984A6F">
        <w:noBreakHyphen/>
      </w:r>
      <w:r w:rsidRPr="00026EC1">
        <w:t>1.01</w:t>
      </w:r>
    </w:p>
    <w:p w14:paraId="525FF71B" w14:textId="4460ABA9" w:rsidR="00CA2E8C" w:rsidRPr="00026EC1" w:rsidRDefault="00CA2E8C" w:rsidP="00A64613">
      <w:pPr>
        <w:keepNext w:val="0"/>
      </w:pPr>
      <w:r w:rsidRPr="00026EC1">
        <w:t>Les ressources pour assumer la charge de coordination départementale sont prévues à l</w:t>
      </w:r>
      <w:r w:rsidR="004A41E4" w:rsidRPr="00026EC1">
        <w:t>’</w:t>
      </w:r>
      <w:r w:rsidRPr="00026EC1">
        <w:t>article 8</w:t>
      </w:r>
      <w:r w:rsidR="00984A6F">
        <w:noBreakHyphen/>
      </w:r>
      <w:r w:rsidRPr="00026EC1">
        <w:t>5.00.</w:t>
      </w:r>
    </w:p>
    <w:p w14:paraId="4697B6D4" w14:textId="77777777" w:rsidR="00CA2E8C" w:rsidRPr="00026EC1" w:rsidRDefault="00CA2E8C" w:rsidP="00A64613">
      <w:pPr>
        <w:keepNext w:val="0"/>
      </w:pPr>
    </w:p>
    <w:p w14:paraId="454DABB2" w14:textId="480091DD" w:rsidR="00CA2E8C" w:rsidRPr="00026EC1" w:rsidRDefault="00CA2E8C" w:rsidP="00A64613">
      <w:pPr>
        <w:pStyle w:val="NUMRODECLAUSE"/>
        <w:keepNext w:val="0"/>
      </w:pPr>
      <w:r w:rsidRPr="00026EC1">
        <w:t>4</w:t>
      </w:r>
      <w:r w:rsidR="00984A6F">
        <w:noBreakHyphen/>
      </w:r>
      <w:r w:rsidRPr="00026EC1">
        <w:t>1.02</w:t>
      </w:r>
      <w:r w:rsidR="00AB6A7C" w:rsidRPr="00026EC1">
        <w:tab/>
      </w:r>
      <w:r w:rsidRPr="007F2419">
        <w:rPr>
          <w:u w:val="single"/>
        </w:rPr>
        <w:t>Comité de programme</w:t>
      </w:r>
    </w:p>
    <w:p w14:paraId="4FC0ACD8" w14:textId="77777777" w:rsidR="000D373C" w:rsidRPr="00026EC1" w:rsidRDefault="00275751" w:rsidP="00A64613">
      <w:pPr>
        <w:keepNext w:val="0"/>
        <w:tabs>
          <w:tab w:val="left" w:pos="567"/>
        </w:tabs>
        <w:ind w:left="567" w:hanging="567"/>
      </w:pPr>
      <w:r w:rsidRPr="00026EC1">
        <w:t>a)</w:t>
      </w:r>
      <w:r w:rsidRPr="00026EC1">
        <w:tab/>
      </w:r>
      <w:r w:rsidR="000D373C" w:rsidRPr="00026EC1">
        <w:t>Les parties conviennent qu’un comité de programme est formé pour chacun des programmes menant au DEC que le Collège offre. Le comité comprend des enseignantes et enseignants des disciplines participantes au programme. Le comité peut aussi comprendre des membres des autres catégories de personnel. Les enseignantes et enseignants du comité sont désignés par leur département.</w:t>
      </w:r>
    </w:p>
    <w:p w14:paraId="2DB3CADD" w14:textId="0BBEBD01" w:rsidR="000D373C" w:rsidRPr="00026EC1" w:rsidRDefault="000D373C" w:rsidP="00A64613">
      <w:pPr>
        <w:keepNext w:val="0"/>
        <w:tabs>
          <w:tab w:val="left" w:pos="567"/>
        </w:tabs>
        <w:ind w:left="567" w:hanging="567"/>
      </w:pPr>
    </w:p>
    <w:p w14:paraId="657A4571" w14:textId="77777777" w:rsidR="00C7682D" w:rsidRPr="00026EC1" w:rsidRDefault="000D373C" w:rsidP="00A64613">
      <w:pPr>
        <w:keepNext w:val="0"/>
        <w:tabs>
          <w:tab w:val="left" w:pos="567"/>
        </w:tabs>
        <w:ind w:left="567" w:right="-19" w:hanging="567"/>
      </w:pPr>
      <w:r w:rsidRPr="00026EC1">
        <w:tab/>
      </w:r>
      <w:r w:rsidR="00C7682D" w:rsidRPr="00026EC1">
        <w:t>La durée du mandat ne peut excéder l’année d’enseignement pour laquelle les enseignantes ou les enseignants ont été désignés et ce mandat est renouvelable. Elles ou ils agissent à titre de représentantes ou de représentants de leur département ou de leur discipline, selon la composition du comité de programme.</w:t>
      </w:r>
    </w:p>
    <w:p w14:paraId="1EC6F2FE" w14:textId="77777777" w:rsidR="00CA2E8C" w:rsidRPr="00026EC1" w:rsidRDefault="00CA2E8C" w:rsidP="00A64613">
      <w:pPr>
        <w:keepNext w:val="0"/>
      </w:pPr>
    </w:p>
    <w:p w14:paraId="5164C62D" w14:textId="03848E25" w:rsidR="00CA2E8C" w:rsidRPr="004D3DC6" w:rsidRDefault="00275751" w:rsidP="00A64613">
      <w:pPr>
        <w:keepNext w:val="0"/>
        <w:tabs>
          <w:tab w:val="left" w:pos="567"/>
        </w:tabs>
        <w:ind w:left="567" w:hanging="567"/>
      </w:pPr>
      <w:r w:rsidRPr="00026EC1">
        <w:t>b)</w:t>
      </w:r>
      <w:r w:rsidRPr="00026EC1">
        <w:tab/>
      </w:r>
      <w:r w:rsidR="00CB6270" w:rsidRPr="004D3DC6">
        <w:t>Le</w:t>
      </w:r>
      <w:r w:rsidR="00CA2E8C" w:rsidRPr="004D3DC6">
        <w:t xml:space="preserve"> comité</w:t>
      </w:r>
      <w:r w:rsidR="000F12AD" w:rsidRPr="004D3DC6">
        <w:t xml:space="preserve"> de programme</w:t>
      </w:r>
      <w:r w:rsidR="00CA2E8C" w:rsidRPr="004D3DC6">
        <w:t xml:space="preserve"> a </w:t>
      </w:r>
      <w:r w:rsidR="000F12AD" w:rsidRPr="004D3DC6">
        <w:t xml:space="preserve">comme principales responsabilités </w:t>
      </w:r>
      <w:r w:rsidR="00CA2E8C" w:rsidRPr="004D3DC6">
        <w:t>de</w:t>
      </w:r>
      <w:r w:rsidR="00D8581B" w:rsidRPr="004D3DC6">
        <w:t> :</w:t>
      </w:r>
    </w:p>
    <w:p w14:paraId="22138644" w14:textId="77777777" w:rsidR="00CA2E8C" w:rsidRPr="004D3DC6" w:rsidRDefault="00CA2E8C" w:rsidP="00A64613">
      <w:pPr>
        <w:keepNext w:val="0"/>
      </w:pPr>
    </w:p>
    <w:p w14:paraId="1E40AABE" w14:textId="4B955BE4" w:rsidR="00CA2E8C" w:rsidRPr="004D3DC6" w:rsidRDefault="00275751" w:rsidP="00A64613">
      <w:pPr>
        <w:pStyle w:val="Texte1cm00000"/>
        <w:keepNext w:val="0"/>
        <w:tabs>
          <w:tab w:val="left" w:pos="1134"/>
        </w:tabs>
        <w:ind w:left="1134" w:hanging="567"/>
      </w:pPr>
      <w:r w:rsidRPr="004D3DC6">
        <w:rPr>
          <w:rFonts w:ascii="Times New Roman" w:hAnsi="Times New Roman"/>
        </w:rPr>
        <w:t>–</w:t>
      </w:r>
      <w:r w:rsidRPr="004D3DC6">
        <w:rPr>
          <w:rFonts w:ascii="Times New Roman" w:hAnsi="Times New Roman"/>
        </w:rPr>
        <w:tab/>
      </w:r>
      <w:r w:rsidR="00CA2E8C" w:rsidRPr="004D3DC6">
        <w:t>s</w:t>
      </w:r>
      <w:r w:rsidR="004A41E4" w:rsidRPr="004D3DC6">
        <w:t>’</w:t>
      </w:r>
      <w:r w:rsidR="00CA2E8C" w:rsidRPr="004D3DC6">
        <w:t>assurer de la qualité et de l</w:t>
      </w:r>
      <w:r w:rsidR="004A41E4" w:rsidRPr="004D3DC6">
        <w:t>’</w:t>
      </w:r>
      <w:r w:rsidR="00CA2E8C" w:rsidRPr="004D3DC6">
        <w:t>harmonisation pédagogique du programme, de l</w:t>
      </w:r>
      <w:r w:rsidR="004A41E4" w:rsidRPr="004D3DC6">
        <w:t>’</w:t>
      </w:r>
      <w:r w:rsidR="00CA2E8C" w:rsidRPr="004D3DC6">
        <w:t>intégration des apprentissages et de la cohérence interdisciplinaire;</w:t>
      </w:r>
    </w:p>
    <w:p w14:paraId="31E30355" w14:textId="77777777" w:rsidR="00CA2E8C" w:rsidRPr="004D3DC6" w:rsidRDefault="00CA2E8C" w:rsidP="00A64613">
      <w:pPr>
        <w:pStyle w:val="Texte1cm00000"/>
        <w:keepNext w:val="0"/>
        <w:tabs>
          <w:tab w:val="left" w:pos="1134"/>
        </w:tabs>
        <w:ind w:left="1134" w:hanging="567"/>
      </w:pPr>
    </w:p>
    <w:p w14:paraId="6D039238" w14:textId="16982141" w:rsidR="00CA2E8C" w:rsidRDefault="00275751" w:rsidP="00A64613">
      <w:pPr>
        <w:pStyle w:val="Texte1cm00000"/>
        <w:keepNext w:val="0"/>
        <w:tabs>
          <w:tab w:val="left" w:pos="1134"/>
        </w:tabs>
        <w:ind w:left="1134" w:hanging="567"/>
      </w:pPr>
      <w:r w:rsidRPr="004D3DC6">
        <w:rPr>
          <w:rFonts w:ascii="Times New Roman" w:hAnsi="Times New Roman"/>
        </w:rPr>
        <w:t>–</w:t>
      </w:r>
      <w:r w:rsidRPr="004D3DC6">
        <w:rPr>
          <w:rFonts w:ascii="Times New Roman" w:hAnsi="Times New Roman"/>
        </w:rPr>
        <w:tab/>
      </w:r>
      <w:r w:rsidR="00CA2E8C" w:rsidRPr="004D3DC6">
        <w:t>participer au développement, à l</w:t>
      </w:r>
      <w:r w:rsidR="004A41E4" w:rsidRPr="004D3DC6">
        <w:t>’</w:t>
      </w:r>
      <w:r w:rsidR="00CA2E8C" w:rsidRPr="004D3DC6">
        <w:t>implantation et à l</w:t>
      </w:r>
      <w:r w:rsidR="004A41E4" w:rsidRPr="004D3DC6">
        <w:t>’</w:t>
      </w:r>
      <w:r w:rsidR="00CA2E8C" w:rsidRPr="004D3DC6">
        <w:t>évaluation du programme</w:t>
      </w:r>
      <w:r w:rsidR="00B128EE" w:rsidRPr="004D3DC6">
        <w:t>.</w:t>
      </w:r>
    </w:p>
    <w:p w14:paraId="65407761" w14:textId="77777777" w:rsidR="009022EF" w:rsidRPr="004D3DC6" w:rsidRDefault="009022EF" w:rsidP="00A64613">
      <w:pPr>
        <w:pStyle w:val="Texte1cm00000"/>
        <w:keepNext w:val="0"/>
        <w:tabs>
          <w:tab w:val="left" w:pos="1134"/>
        </w:tabs>
        <w:ind w:left="1134" w:hanging="567"/>
      </w:pPr>
    </w:p>
    <w:p w14:paraId="2B695568" w14:textId="7394DF72" w:rsidR="00B128EE" w:rsidRPr="004D3DC6" w:rsidRDefault="00B128EE" w:rsidP="00A64613">
      <w:pPr>
        <w:keepNext w:val="0"/>
        <w:ind w:left="567"/>
        <w:textAlignment w:val="baseline"/>
        <w:rPr>
          <w:rFonts w:cs="Calibri"/>
          <w:szCs w:val="22"/>
          <w:lang w:eastAsia="fr-CA"/>
        </w:rPr>
      </w:pPr>
      <w:r w:rsidRPr="004D3DC6">
        <w:rPr>
          <w:rFonts w:cs="Calibri"/>
          <w:szCs w:val="22"/>
          <w:lang w:eastAsia="fr-CA"/>
        </w:rPr>
        <w:t>Pour s’acquitter de ses responsabilités, le comité vise le consensus dans la réalisation notamment des activités suivantes</w:t>
      </w:r>
      <w:r w:rsidR="00D8581B" w:rsidRPr="004D3DC6">
        <w:rPr>
          <w:rFonts w:cs="Calibri"/>
          <w:szCs w:val="22"/>
          <w:lang w:eastAsia="fr-CA"/>
        </w:rPr>
        <w:t> :</w:t>
      </w:r>
      <w:r w:rsidRPr="004D3DC6">
        <w:rPr>
          <w:rFonts w:cs="Calibri"/>
          <w:szCs w:val="22"/>
          <w:lang w:eastAsia="fr-CA"/>
        </w:rPr>
        <w:t> </w:t>
      </w:r>
    </w:p>
    <w:p w14:paraId="02FE30B4" w14:textId="77777777" w:rsidR="00B128EE" w:rsidRPr="004D3DC6" w:rsidRDefault="00B128EE" w:rsidP="00A64613">
      <w:pPr>
        <w:keepNext w:val="0"/>
        <w:ind w:left="687"/>
        <w:rPr>
          <w:rFonts w:eastAsia="Calibri" w:cs="Calibri"/>
          <w:szCs w:val="22"/>
        </w:rPr>
      </w:pPr>
    </w:p>
    <w:p w14:paraId="6C9F2C86" w14:textId="77777777" w:rsidR="00B128EE" w:rsidRPr="004D3DC6" w:rsidRDefault="00B128EE" w:rsidP="00A64613">
      <w:pPr>
        <w:keepNext w:val="0"/>
        <w:ind w:left="567"/>
        <w:rPr>
          <w:rFonts w:eastAsia="Calibri" w:cs="Calibri"/>
          <w:szCs w:val="22"/>
          <w:u w:val="single"/>
        </w:rPr>
      </w:pPr>
      <w:r w:rsidRPr="004D3DC6">
        <w:rPr>
          <w:rFonts w:eastAsia="Arial" w:cs="Calibri"/>
          <w:szCs w:val="22"/>
          <w:u w:val="single"/>
        </w:rPr>
        <w:t>À l’égard du comité de programme d’études</w:t>
      </w:r>
    </w:p>
    <w:p w14:paraId="317C074B" w14:textId="77777777" w:rsidR="00B128EE" w:rsidRPr="004D3DC6" w:rsidRDefault="00B128EE" w:rsidP="00A64613">
      <w:pPr>
        <w:keepNext w:val="0"/>
        <w:ind w:left="621"/>
        <w:rPr>
          <w:rFonts w:eastAsia="Arial" w:cs="Calibri"/>
          <w:szCs w:val="22"/>
        </w:rPr>
      </w:pPr>
    </w:p>
    <w:p w14:paraId="7E30A754" w14:textId="506054AC" w:rsidR="00B128EE" w:rsidRPr="004D3DC6" w:rsidRDefault="00B128EE" w:rsidP="00A64613">
      <w:pPr>
        <w:keepNext w:val="0"/>
        <w:tabs>
          <w:tab w:val="left" w:pos="993"/>
        </w:tabs>
        <w:spacing w:after="120"/>
        <w:ind w:left="567"/>
        <w:contextualSpacing/>
        <w:rPr>
          <w:rFonts w:eastAsia="Calibri" w:cs="Calibri"/>
        </w:rPr>
      </w:pPr>
      <w:r w:rsidRPr="004D3DC6">
        <w:rPr>
          <w:rFonts w:eastAsia="Calibri" w:cs="Calibri"/>
        </w:rPr>
        <w:t>1.</w:t>
      </w:r>
      <w:r w:rsidRPr="004D3DC6">
        <w:rPr>
          <w:rFonts w:eastAsia="Calibri" w:cs="Calibri"/>
        </w:rPr>
        <w:tab/>
        <w:t>Définir ses règles de régie interne et former des comités s’il y a lieu;</w:t>
      </w:r>
    </w:p>
    <w:p w14:paraId="44359E5D" w14:textId="77777777" w:rsidR="00B11F5D" w:rsidRPr="004D3DC6" w:rsidRDefault="00B11F5D" w:rsidP="00A64613">
      <w:pPr>
        <w:keepNext w:val="0"/>
        <w:tabs>
          <w:tab w:val="left" w:pos="993"/>
        </w:tabs>
        <w:spacing w:after="120"/>
        <w:ind w:left="567"/>
        <w:contextualSpacing/>
        <w:rPr>
          <w:rFonts w:eastAsia="Calibri" w:cs="Calibri"/>
        </w:rPr>
      </w:pPr>
    </w:p>
    <w:p w14:paraId="465CE256" w14:textId="7AB8037E" w:rsidR="00B128EE" w:rsidRPr="004D3DC6" w:rsidRDefault="00B128EE" w:rsidP="00A64613">
      <w:pPr>
        <w:keepNext w:val="0"/>
        <w:tabs>
          <w:tab w:val="left" w:pos="993"/>
        </w:tabs>
        <w:spacing w:after="120"/>
        <w:ind w:left="567"/>
        <w:contextualSpacing/>
        <w:rPr>
          <w:rFonts w:eastAsia="Calibri" w:cs="Calibri"/>
        </w:rPr>
      </w:pPr>
      <w:r w:rsidRPr="00A572E3">
        <w:rPr>
          <w:rFonts w:eastAsia="Calibri" w:cs="Calibri"/>
        </w:rPr>
        <w:t>2.</w:t>
      </w:r>
      <w:r w:rsidRPr="004D3DC6">
        <w:rPr>
          <w:rFonts w:eastAsia="Calibri" w:cs="Calibri"/>
        </w:rPr>
        <w:tab/>
        <w:t>Recueillir l’avis des départements visés;</w:t>
      </w:r>
    </w:p>
    <w:p w14:paraId="70E29C69" w14:textId="77777777" w:rsidR="00B11F5D" w:rsidRPr="004D3DC6" w:rsidRDefault="00B11F5D" w:rsidP="00A64613">
      <w:pPr>
        <w:keepNext w:val="0"/>
        <w:tabs>
          <w:tab w:val="left" w:pos="993"/>
        </w:tabs>
        <w:spacing w:after="120"/>
        <w:ind w:left="567"/>
        <w:contextualSpacing/>
        <w:rPr>
          <w:rFonts w:eastAsia="Calibri" w:cs="Calibri"/>
        </w:rPr>
      </w:pPr>
    </w:p>
    <w:p w14:paraId="5559027E" w14:textId="58091E77" w:rsidR="00B128EE" w:rsidRPr="004D3DC6" w:rsidRDefault="00B128EE" w:rsidP="00A64613">
      <w:pPr>
        <w:keepNext w:val="0"/>
        <w:tabs>
          <w:tab w:val="left" w:pos="993"/>
        </w:tabs>
        <w:spacing w:after="120"/>
        <w:ind w:left="567"/>
        <w:contextualSpacing/>
        <w:rPr>
          <w:rFonts w:eastAsia="Calibri" w:cs="Calibri"/>
        </w:rPr>
      </w:pPr>
      <w:r w:rsidRPr="004D3DC6">
        <w:rPr>
          <w:rFonts w:eastAsia="Calibri" w:cs="Calibri"/>
        </w:rPr>
        <w:t>3.</w:t>
      </w:r>
      <w:r w:rsidRPr="004D3DC6">
        <w:rPr>
          <w:rFonts w:eastAsia="Calibri" w:cs="Calibri"/>
        </w:rPr>
        <w:tab/>
        <w:t>Soumettre un plan de travail et déposer un rapport annuel;</w:t>
      </w:r>
    </w:p>
    <w:p w14:paraId="092C6B4C" w14:textId="77777777" w:rsidR="00B11F5D" w:rsidRPr="004D3DC6" w:rsidRDefault="00B11F5D" w:rsidP="00A64613">
      <w:pPr>
        <w:keepNext w:val="0"/>
        <w:tabs>
          <w:tab w:val="left" w:pos="993"/>
        </w:tabs>
        <w:spacing w:after="120"/>
        <w:ind w:left="993" w:hanging="426"/>
        <w:contextualSpacing/>
        <w:rPr>
          <w:rFonts w:eastAsia="Calibri" w:cs="Calibri"/>
        </w:rPr>
      </w:pPr>
    </w:p>
    <w:p w14:paraId="52C18439" w14:textId="4097588A" w:rsidR="00B128EE" w:rsidRPr="004D3DC6" w:rsidRDefault="00B128EE" w:rsidP="00A64613">
      <w:pPr>
        <w:keepNext w:val="0"/>
        <w:tabs>
          <w:tab w:val="left" w:pos="993"/>
        </w:tabs>
        <w:spacing w:after="120"/>
        <w:ind w:left="993" w:hanging="426"/>
        <w:contextualSpacing/>
        <w:rPr>
          <w:rFonts w:eastAsia="Calibri" w:cs="Calibri"/>
        </w:rPr>
      </w:pPr>
      <w:r w:rsidRPr="004D3DC6">
        <w:rPr>
          <w:rFonts w:eastAsia="Calibri" w:cs="Calibri"/>
        </w:rPr>
        <w:t>4.</w:t>
      </w:r>
      <w:r w:rsidRPr="004D3DC6">
        <w:rPr>
          <w:rFonts w:eastAsia="Calibri" w:cs="Calibri"/>
        </w:rPr>
        <w:tab/>
        <w:t>Participer, selon les pratiques locales et en collaboration avec les départements concernés, aux activités relatives à l’accueil et à l’intégration des étudiantes et des étudiants.</w:t>
      </w:r>
    </w:p>
    <w:p w14:paraId="6D2BC1E1" w14:textId="77777777" w:rsidR="003D57C4" w:rsidRDefault="003D57C4" w:rsidP="00A64613">
      <w:pPr>
        <w:keepNext w:val="0"/>
        <w:tabs>
          <w:tab w:val="left" w:pos="993"/>
        </w:tabs>
        <w:spacing w:after="120"/>
        <w:ind w:left="993" w:hanging="426"/>
        <w:contextualSpacing/>
        <w:rPr>
          <w:rFonts w:eastAsia="Calibri" w:cs="Calibri"/>
        </w:rPr>
        <w:sectPr w:rsidR="003D57C4" w:rsidSect="00522997">
          <w:headerReference w:type="default" r:id="rId24"/>
          <w:footnotePr>
            <w:numRestart w:val="eachPage"/>
          </w:footnotePr>
          <w:pgSz w:w="12240" w:h="15840" w:code="1"/>
          <w:pgMar w:top="720" w:right="1077" w:bottom="1242" w:left="1684" w:header="709" w:footer="709" w:gutter="0"/>
          <w:cols w:space="708"/>
          <w:docGrid w:linePitch="360"/>
        </w:sectPr>
      </w:pPr>
    </w:p>
    <w:p w14:paraId="64FA607D" w14:textId="77777777" w:rsidR="00B128EE" w:rsidRPr="004D3DC6" w:rsidRDefault="00B128EE" w:rsidP="00A64613">
      <w:pPr>
        <w:keepNext w:val="0"/>
        <w:ind w:left="567"/>
        <w:rPr>
          <w:rFonts w:eastAsia="Arial" w:cs="Calibri"/>
          <w:szCs w:val="22"/>
          <w:u w:val="single"/>
        </w:rPr>
      </w:pPr>
      <w:r w:rsidRPr="004D3DC6">
        <w:rPr>
          <w:rFonts w:eastAsia="Arial" w:cs="Calibri"/>
          <w:szCs w:val="22"/>
          <w:u w:val="single"/>
        </w:rPr>
        <w:t>À l’égard de la gestion du programme d’études</w:t>
      </w:r>
    </w:p>
    <w:p w14:paraId="745476D2" w14:textId="77777777" w:rsidR="00B128EE" w:rsidRPr="004D3DC6" w:rsidRDefault="00B128EE" w:rsidP="00A64613">
      <w:pPr>
        <w:keepNext w:val="0"/>
        <w:ind w:left="207"/>
        <w:rPr>
          <w:rFonts w:eastAsia="Arial" w:cs="Calibri"/>
          <w:szCs w:val="22"/>
          <w:u w:val="single"/>
        </w:rPr>
      </w:pPr>
    </w:p>
    <w:p w14:paraId="243911F5" w14:textId="6302C473" w:rsidR="003D57C4" w:rsidRPr="003D57C4" w:rsidRDefault="00B128EE" w:rsidP="004F71C1">
      <w:pPr>
        <w:pStyle w:val="ListParagraph"/>
        <w:numPr>
          <w:ilvl w:val="0"/>
          <w:numId w:val="35"/>
        </w:numPr>
        <w:tabs>
          <w:tab w:val="left" w:pos="993"/>
        </w:tabs>
        <w:rPr>
          <w:rFonts w:cs="Calibri"/>
        </w:rPr>
      </w:pPr>
      <w:r w:rsidRPr="003D57C4">
        <w:rPr>
          <w:rFonts w:cs="Calibri"/>
        </w:rPr>
        <w:t>S’approprier les objectifs et les standards du programme, tels que définis par le Ministère et en dégager une lecture commune;</w:t>
      </w:r>
    </w:p>
    <w:p w14:paraId="13E21315" w14:textId="77777777" w:rsidR="003D57C4" w:rsidRPr="003D57C4" w:rsidRDefault="003D57C4" w:rsidP="003D57C4">
      <w:pPr>
        <w:pStyle w:val="ListParagraph"/>
        <w:tabs>
          <w:tab w:val="left" w:pos="993"/>
        </w:tabs>
        <w:ind w:left="1271"/>
        <w:rPr>
          <w:rFonts w:cs="Calibri"/>
        </w:rPr>
      </w:pPr>
    </w:p>
    <w:p w14:paraId="4D3B8BE7" w14:textId="6F978E40" w:rsidR="00B128EE" w:rsidRPr="004D3DC6" w:rsidRDefault="004E277C" w:rsidP="00A64613">
      <w:pPr>
        <w:keepNext w:val="0"/>
        <w:tabs>
          <w:tab w:val="left" w:pos="993"/>
        </w:tabs>
        <w:ind w:left="1276" w:hanging="425"/>
        <w:rPr>
          <w:rFonts w:eastAsia="Calibri" w:cs="Calibri"/>
          <w:szCs w:val="22"/>
        </w:rPr>
      </w:pPr>
      <w:r w:rsidRPr="004D3DC6">
        <w:rPr>
          <w:rFonts w:eastAsia="Calibri" w:cs="Calibri"/>
        </w:rPr>
        <w:t>2.</w:t>
      </w:r>
      <w:r w:rsidRPr="004D3DC6">
        <w:rPr>
          <w:rFonts w:eastAsia="Calibri" w:cs="Calibri"/>
        </w:rPr>
        <w:tab/>
      </w:r>
      <w:r w:rsidR="00B128EE" w:rsidRPr="004D3DC6">
        <w:rPr>
          <w:rFonts w:eastAsia="Calibri" w:cs="Calibri"/>
        </w:rPr>
        <w:t>Déterminer le profil de sortie, associer les compétences du programme aux disciplines et ordonnancer les compétences</w:t>
      </w:r>
      <w:r w:rsidR="00B128EE" w:rsidRPr="004D3DC6">
        <w:rPr>
          <w:rFonts w:eastAsia="Calibri" w:cs="Calibri"/>
          <w:szCs w:val="22"/>
        </w:rPr>
        <w:t>;</w:t>
      </w:r>
    </w:p>
    <w:p w14:paraId="531043AC" w14:textId="77777777" w:rsidR="00B11F5D" w:rsidRPr="004D3DC6" w:rsidRDefault="00B11F5D" w:rsidP="00A64613">
      <w:pPr>
        <w:keepNext w:val="0"/>
        <w:tabs>
          <w:tab w:val="left" w:pos="993"/>
        </w:tabs>
        <w:ind w:left="1276" w:hanging="425"/>
        <w:rPr>
          <w:rFonts w:eastAsia="Calibri" w:cs="Calibri"/>
          <w:szCs w:val="22"/>
        </w:rPr>
      </w:pPr>
    </w:p>
    <w:p w14:paraId="0072F9FC" w14:textId="54289286" w:rsidR="00B128EE" w:rsidRPr="004D3DC6" w:rsidRDefault="004E277C" w:rsidP="00A64613">
      <w:pPr>
        <w:keepNext w:val="0"/>
        <w:tabs>
          <w:tab w:val="left" w:pos="993"/>
        </w:tabs>
        <w:ind w:left="1276" w:hanging="425"/>
        <w:rPr>
          <w:rFonts w:eastAsia="Calibri" w:cs="Calibri"/>
          <w:szCs w:val="22"/>
        </w:rPr>
      </w:pPr>
      <w:r w:rsidRPr="004D3DC6">
        <w:rPr>
          <w:rFonts w:eastAsia="Calibri" w:cs="Calibri"/>
          <w:szCs w:val="22"/>
        </w:rPr>
        <w:t>3.</w:t>
      </w:r>
      <w:r w:rsidRPr="004D3DC6">
        <w:rPr>
          <w:rFonts w:eastAsia="Calibri" w:cs="Calibri"/>
          <w:szCs w:val="22"/>
        </w:rPr>
        <w:tab/>
      </w:r>
      <w:r w:rsidR="00B128EE" w:rsidRPr="004D3DC6">
        <w:rPr>
          <w:rFonts w:eastAsia="Calibri" w:cs="Calibri"/>
          <w:szCs w:val="22"/>
        </w:rPr>
        <w:t xml:space="preserve">Élaborer la grille de cours et </w:t>
      </w:r>
      <w:r w:rsidR="00C809FA" w:rsidRPr="004D3DC6">
        <w:rPr>
          <w:rFonts w:eastAsia="Calibri" w:cs="Calibri"/>
          <w:szCs w:val="22"/>
        </w:rPr>
        <w:t xml:space="preserve">en </w:t>
      </w:r>
      <w:r w:rsidR="00B128EE" w:rsidRPr="004D3DC6">
        <w:rPr>
          <w:rFonts w:eastAsia="Calibri" w:cs="Calibri"/>
          <w:szCs w:val="22"/>
        </w:rPr>
        <w:t xml:space="preserve">recommander l’adoption au Collège; </w:t>
      </w:r>
    </w:p>
    <w:p w14:paraId="69A16262" w14:textId="77777777" w:rsidR="00B11F5D" w:rsidRPr="004D3DC6" w:rsidRDefault="00B11F5D" w:rsidP="00A64613">
      <w:pPr>
        <w:keepNext w:val="0"/>
        <w:tabs>
          <w:tab w:val="left" w:pos="993"/>
        </w:tabs>
        <w:ind w:left="1276" w:hanging="425"/>
        <w:rPr>
          <w:rFonts w:eastAsia="Calibri" w:cs="Calibri"/>
        </w:rPr>
      </w:pPr>
    </w:p>
    <w:p w14:paraId="55ECDC96" w14:textId="3200F41A" w:rsidR="00B128EE" w:rsidRPr="004D3DC6" w:rsidRDefault="004E277C" w:rsidP="00A64613">
      <w:pPr>
        <w:keepNext w:val="0"/>
        <w:tabs>
          <w:tab w:val="left" w:pos="993"/>
        </w:tabs>
        <w:ind w:left="1276" w:hanging="425"/>
        <w:rPr>
          <w:rFonts w:eastAsia="Calibri" w:cs="Calibri"/>
        </w:rPr>
      </w:pPr>
      <w:r w:rsidRPr="004D3DC6">
        <w:rPr>
          <w:rFonts w:eastAsia="Calibri" w:cs="Calibri"/>
        </w:rPr>
        <w:t>4.</w:t>
      </w:r>
      <w:r w:rsidRPr="004D3DC6">
        <w:rPr>
          <w:rFonts w:eastAsia="Calibri" w:cs="Calibri"/>
        </w:rPr>
        <w:tab/>
      </w:r>
      <w:r w:rsidR="00B128EE" w:rsidRPr="004D3DC6">
        <w:rPr>
          <w:rFonts w:eastAsia="Calibri" w:cs="Calibri"/>
        </w:rPr>
        <w:t>Recommander au Collège l’adoption des plans cadres ou de ce qui en tient lieu;</w:t>
      </w:r>
    </w:p>
    <w:p w14:paraId="41026F81" w14:textId="77777777" w:rsidR="00B11F5D" w:rsidRPr="004D3DC6" w:rsidRDefault="00B11F5D" w:rsidP="00A64613">
      <w:pPr>
        <w:keepNext w:val="0"/>
        <w:tabs>
          <w:tab w:val="left" w:pos="993"/>
        </w:tabs>
        <w:ind w:left="1276" w:hanging="425"/>
        <w:rPr>
          <w:rFonts w:eastAsia="Calibri" w:cs="Calibri"/>
          <w:szCs w:val="22"/>
        </w:rPr>
      </w:pPr>
    </w:p>
    <w:p w14:paraId="7AD74E7E" w14:textId="6F483ABE" w:rsidR="00B128EE" w:rsidRPr="004D3DC6" w:rsidRDefault="004E277C" w:rsidP="00A64613">
      <w:pPr>
        <w:keepNext w:val="0"/>
        <w:tabs>
          <w:tab w:val="left" w:pos="993"/>
        </w:tabs>
        <w:ind w:left="1276" w:hanging="425"/>
        <w:rPr>
          <w:rFonts w:eastAsia="Calibri" w:cs="Calibri"/>
          <w:szCs w:val="22"/>
        </w:rPr>
      </w:pPr>
      <w:r w:rsidRPr="004D3DC6">
        <w:rPr>
          <w:rFonts w:eastAsia="Calibri" w:cs="Calibri"/>
          <w:szCs w:val="22"/>
        </w:rPr>
        <w:t>5.</w:t>
      </w:r>
      <w:r w:rsidRPr="004D3DC6">
        <w:rPr>
          <w:rFonts w:eastAsia="Calibri" w:cs="Calibri"/>
          <w:szCs w:val="22"/>
        </w:rPr>
        <w:tab/>
      </w:r>
      <w:r w:rsidR="00B128EE" w:rsidRPr="004D3DC6">
        <w:rPr>
          <w:rFonts w:eastAsia="Calibri" w:cs="Calibri"/>
          <w:szCs w:val="22"/>
        </w:rPr>
        <w:t>Élaborer les balises de l’épreuve synthèse du programme, et en recommander l’adoption au Collège;</w:t>
      </w:r>
    </w:p>
    <w:p w14:paraId="622183BD" w14:textId="77777777" w:rsidR="00B11F5D" w:rsidRPr="004D3DC6" w:rsidRDefault="00B11F5D" w:rsidP="00A64613">
      <w:pPr>
        <w:keepNext w:val="0"/>
        <w:tabs>
          <w:tab w:val="left" w:pos="993"/>
        </w:tabs>
        <w:ind w:left="1276" w:hanging="425"/>
        <w:rPr>
          <w:rFonts w:eastAsia="Arial" w:cs="Calibri"/>
          <w:szCs w:val="22"/>
        </w:rPr>
      </w:pPr>
    </w:p>
    <w:p w14:paraId="30EB2193" w14:textId="157C71AC" w:rsidR="00B128EE" w:rsidRPr="004D3DC6" w:rsidRDefault="00BA4A3F" w:rsidP="00A64613">
      <w:pPr>
        <w:keepNext w:val="0"/>
        <w:tabs>
          <w:tab w:val="left" w:pos="993"/>
        </w:tabs>
        <w:ind w:left="1276" w:hanging="425"/>
        <w:rPr>
          <w:rFonts w:eastAsia="Calibri" w:cs="Calibri"/>
          <w:szCs w:val="22"/>
        </w:rPr>
      </w:pPr>
      <w:r w:rsidRPr="004D3DC6">
        <w:rPr>
          <w:rFonts w:eastAsia="Arial" w:cs="Calibri"/>
          <w:szCs w:val="22"/>
        </w:rPr>
        <w:t>6.</w:t>
      </w:r>
      <w:r w:rsidRPr="004D3DC6">
        <w:rPr>
          <w:rFonts w:eastAsia="Arial" w:cs="Calibri"/>
          <w:szCs w:val="22"/>
        </w:rPr>
        <w:tab/>
      </w:r>
      <w:r w:rsidR="00B128EE" w:rsidRPr="004D3DC6">
        <w:rPr>
          <w:rFonts w:eastAsia="Arial" w:cs="Calibri"/>
          <w:szCs w:val="22"/>
        </w:rPr>
        <w:t>Assurer un suivi du programme d’études au moment de son implantation;</w:t>
      </w:r>
    </w:p>
    <w:p w14:paraId="1C8158BA" w14:textId="77777777" w:rsidR="00B11F5D" w:rsidRPr="004D3DC6" w:rsidRDefault="00B11F5D" w:rsidP="00A64613">
      <w:pPr>
        <w:keepNext w:val="0"/>
        <w:tabs>
          <w:tab w:val="left" w:pos="993"/>
        </w:tabs>
        <w:ind w:left="1276" w:hanging="425"/>
        <w:rPr>
          <w:rFonts w:eastAsia="Calibri" w:cs="Calibri"/>
          <w:szCs w:val="22"/>
        </w:rPr>
      </w:pPr>
    </w:p>
    <w:p w14:paraId="4773CA29" w14:textId="3AC7C29A" w:rsidR="00B128EE" w:rsidRPr="004D3DC6" w:rsidRDefault="00BA4A3F" w:rsidP="00A64613">
      <w:pPr>
        <w:keepNext w:val="0"/>
        <w:tabs>
          <w:tab w:val="left" w:pos="993"/>
        </w:tabs>
        <w:ind w:left="1276" w:hanging="425"/>
        <w:rPr>
          <w:rFonts w:eastAsia="Calibri" w:cs="Calibri"/>
          <w:szCs w:val="22"/>
        </w:rPr>
      </w:pPr>
      <w:r w:rsidRPr="004D3DC6">
        <w:rPr>
          <w:rFonts w:eastAsia="Calibri" w:cs="Calibri"/>
          <w:szCs w:val="22"/>
        </w:rPr>
        <w:t>7.</w:t>
      </w:r>
      <w:r w:rsidRPr="004D3DC6">
        <w:rPr>
          <w:rFonts w:eastAsia="Calibri" w:cs="Calibri"/>
          <w:szCs w:val="22"/>
        </w:rPr>
        <w:tab/>
      </w:r>
      <w:r w:rsidR="00B128EE" w:rsidRPr="004D3DC6">
        <w:rPr>
          <w:rFonts w:eastAsia="Calibri" w:cs="Calibri"/>
          <w:szCs w:val="22"/>
        </w:rPr>
        <w:t xml:space="preserve">Participer à l’élaboration du devis d’évaluation du programme ou de ce qui en tient lieu et en recommander au Collège l’adoption; </w:t>
      </w:r>
    </w:p>
    <w:p w14:paraId="07BC4AAC" w14:textId="77777777" w:rsidR="00B11F5D" w:rsidRPr="004D3DC6" w:rsidRDefault="00B11F5D" w:rsidP="00A64613">
      <w:pPr>
        <w:keepNext w:val="0"/>
        <w:tabs>
          <w:tab w:val="left" w:pos="993"/>
        </w:tabs>
        <w:ind w:left="1276" w:hanging="425"/>
        <w:rPr>
          <w:rFonts w:eastAsia="Calibri" w:cs="Calibri"/>
          <w:szCs w:val="22"/>
        </w:rPr>
      </w:pPr>
    </w:p>
    <w:p w14:paraId="401F64DB" w14:textId="2992D307" w:rsidR="00B128EE" w:rsidRPr="004D3DC6" w:rsidRDefault="00BA4A3F" w:rsidP="00A64613">
      <w:pPr>
        <w:keepNext w:val="0"/>
        <w:tabs>
          <w:tab w:val="left" w:pos="993"/>
        </w:tabs>
        <w:ind w:left="1276" w:hanging="425"/>
        <w:rPr>
          <w:rFonts w:eastAsia="Calibri" w:cs="Calibri"/>
        </w:rPr>
      </w:pPr>
      <w:r w:rsidRPr="0F0AC8D1">
        <w:rPr>
          <w:rFonts w:eastAsia="Calibri" w:cs="Calibri"/>
        </w:rPr>
        <w:t>8.</w:t>
      </w:r>
      <w:r>
        <w:rPr>
          <w:rFonts w:eastAsia="Calibri"/>
        </w:rPr>
        <w:tab/>
      </w:r>
      <w:r w:rsidR="00B128EE" w:rsidRPr="0F0AC8D1">
        <w:rPr>
          <w:rFonts w:eastAsia="Calibri" w:cs="Calibri"/>
        </w:rPr>
        <w:t>Participer à la collecte et à l’analyse des données nécessaires à l’évaluation du programme et faire au Collège toute recommandation utile à son amélioration</w:t>
      </w:r>
      <w:r w:rsidR="030EFE11" w:rsidRPr="0F0AC8D1">
        <w:rPr>
          <w:rFonts w:eastAsia="Calibri" w:cs="Calibri"/>
        </w:rPr>
        <w:t>;</w:t>
      </w:r>
    </w:p>
    <w:p w14:paraId="7812CFA0" w14:textId="77777777" w:rsidR="00B11F5D" w:rsidRPr="004D3DC6" w:rsidRDefault="00B11F5D" w:rsidP="00A64613">
      <w:pPr>
        <w:keepNext w:val="0"/>
        <w:tabs>
          <w:tab w:val="left" w:pos="993"/>
        </w:tabs>
        <w:ind w:left="1276" w:hanging="425"/>
        <w:rPr>
          <w:rFonts w:eastAsia="Calibri" w:cs="Calibri"/>
          <w:szCs w:val="22"/>
        </w:rPr>
      </w:pPr>
    </w:p>
    <w:p w14:paraId="0F6CF6DC" w14:textId="5B4307C1" w:rsidR="00B128EE" w:rsidRPr="004D3DC6" w:rsidRDefault="00BA4A3F" w:rsidP="00A64613">
      <w:pPr>
        <w:keepNext w:val="0"/>
        <w:tabs>
          <w:tab w:val="left" w:pos="993"/>
        </w:tabs>
        <w:ind w:left="1276" w:hanging="425"/>
        <w:rPr>
          <w:rFonts w:eastAsia="Calibri" w:cs="Calibri"/>
        </w:rPr>
      </w:pPr>
      <w:r w:rsidRPr="0F0AC8D1">
        <w:rPr>
          <w:rFonts w:eastAsia="Calibri" w:cs="Calibri"/>
        </w:rPr>
        <w:t>9.</w:t>
      </w:r>
      <w:r>
        <w:rPr>
          <w:rFonts w:eastAsia="Calibri"/>
        </w:rPr>
        <w:tab/>
      </w:r>
      <w:r w:rsidR="00B128EE" w:rsidRPr="0F0AC8D1">
        <w:rPr>
          <w:rFonts w:eastAsia="Calibri" w:cs="Calibri"/>
        </w:rPr>
        <w:t>Rédiger le rapport d’évaluation du programme ou de ce qui en tient lieu et en recommander l’adoption au Collège</w:t>
      </w:r>
      <w:r w:rsidR="4EEFDCFC" w:rsidRPr="0F0AC8D1">
        <w:rPr>
          <w:rFonts w:eastAsia="Calibri" w:cs="Calibri"/>
        </w:rPr>
        <w:t>;</w:t>
      </w:r>
    </w:p>
    <w:p w14:paraId="0CEB9BE8" w14:textId="77777777" w:rsidR="00B11F5D" w:rsidRPr="004D3DC6" w:rsidRDefault="00B11F5D" w:rsidP="00A64613">
      <w:pPr>
        <w:keepNext w:val="0"/>
        <w:tabs>
          <w:tab w:val="left" w:pos="993"/>
        </w:tabs>
        <w:ind w:left="1276" w:hanging="425"/>
        <w:rPr>
          <w:rFonts w:eastAsia="Calibri" w:cs="Calibri"/>
          <w:szCs w:val="22"/>
        </w:rPr>
      </w:pPr>
    </w:p>
    <w:p w14:paraId="62470C78" w14:textId="0A63FF18" w:rsidR="00B128EE" w:rsidRPr="004D3DC6" w:rsidRDefault="00BA4A3F" w:rsidP="00A64613">
      <w:pPr>
        <w:keepNext w:val="0"/>
        <w:tabs>
          <w:tab w:val="left" w:pos="993"/>
        </w:tabs>
        <w:ind w:left="1276" w:hanging="425"/>
        <w:rPr>
          <w:rFonts w:eastAsia="Calibri" w:cs="Calibri"/>
        </w:rPr>
      </w:pPr>
      <w:r w:rsidRPr="0F0AC8D1">
        <w:rPr>
          <w:rFonts w:eastAsia="Calibri" w:cs="Calibri"/>
        </w:rPr>
        <w:t>10.</w:t>
      </w:r>
      <w:r>
        <w:rPr>
          <w:rFonts w:eastAsia="Calibri"/>
        </w:rPr>
        <w:tab/>
      </w:r>
      <w:r w:rsidR="00B128EE" w:rsidRPr="0F0AC8D1">
        <w:rPr>
          <w:rFonts w:eastAsia="Calibri" w:cs="Calibri"/>
        </w:rPr>
        <w:t>Élaborer un plan d’action en suivi du rapport d’évaluation ou de ce qui en tient lieu</w:t>
      </w:r>
      <w:r w:rsidR="7192C2FC" w:rsidRPr="0F0AC8D1">
        <w:rPr>
          <w:rFonts w:eastAsia="Calibri" w:cs="Calibri"/>
        </w:rPr>
        <w:t>.</w:t>
      </w:r>
      <w:r w:rsidR="00B128EE" w:rsidRPr="0F0AC8D1">
        <w:rPr>
          <w:rFonts w:eastAsia="Calibri" w:cs="Calibri"/>
        </w:rPr>
        <w:t xml:space="preserve"> </w:t>
      </w:r>
    </w:p>
    <w:p w14:paraId="00BC15D0" w14:textId="77777777" w:rsidR="00B128EE" w:rsidRPr="004D3DC6" w:rsidRDefault="00B128EE" w:rsidP="00A64613">
      <w:pPr>
        <w:keepNext w:val="0"/>
        <w:tabs>
          <w:tab w:val="left" w:pos="993"/>
        </w:tabs>
        <w:ind w:left="1196"/>
        <w:rPr>
          <w:rFonts w:eastAsia="Calibri" w:cs="Calibri"/>
          <w:szCs w:val="22"/>
        </w:rPr>
      </w:pPr>
    </w:p>
    <w:p w14:paraId="5AB63A6C" w14:textId="77777777" w:rsidR="00B128EE" w:rsidRPr="00134B9E" w:rsidRDefault="00B128EE" w:rsidP="00A64613">
      <w:pPr>
        <w:keepNext w:val="0"/>
        <w:ind w:left="708"/>
        <w:rPr>
          <w:rFonts w:eastAsia="Calibri" w:cs="Calibri"/>
          <w:szCs w:val="22"/>
        </w:rPr>
      </w:pPr>
      <w:r w:rsidRPr="004D3DC6">
        <w:rPr>
          <w:rFonts w:eastAsia="Calibri" w:cs="Calibri"/>
          <w:szCs w:val="22"/>
        </w:rPr>
        <w:t xml:space="preserve">Le cas échéant, la </w:t>
      </w:r>
      <w:r w:rsidRPr="004D3DC6">
        <w:rPr>
          <w:rFonts w:eastAsia="Calibri" w:cs="Calibri"/>
          <w:i/>
          <w:iCs/>
          <w:szCs w:val="22"/>
        </w:rPr>
        <w:t xml:space="preserve">Table de concertation de la formation générale </w:t>
      </w:r>
      <w:r w:rsidRPr="004D3DC6">
        <w:rPr>
          <w:rFonts w:eastAsia="Calibri" w:cs="Calibri"/>
          <w:szCs w:val="22"/>
        </w:rPr>
        <w:t xml:space="preserve">ou le </w:t>
      </w:r>
      <w:r w:rsidRPr="004D3DC6">
        <w:rPr>
          <w:rFonts w:eastAsia="Calibri" w:cs="Calibri"/>
          <w:i/>
          <w:iCs/>
          <w:szCs w:val="22"/>
        </w:rPr>
        <w:t xml:space="preserve">Comité de la formation générale </w:t>
      </w:r>
      <w:r w:rsidRPr="004D3DC6">
        <w:rPr>
          <w:rFonts w:eastAsia="Calibri" w:cs="Calibri"/>
          <w:szCs w:val="22"/>
        </w:rPr>
        <w:t>exerce les activités précédentes en faisant les adaptations nécessaires.</w:t>
      </w:r>
    </w:p>
    <w:p w14:paraId="11B016DA" w14:textId="77777777" w:rsidR="00B128EE" w:rsidRPr="00026EC1" w:rsidRDefault="00B128EE" w:rsidP="00A64613">
      <w:pPr>
        <w:keepNext w:val="0"/>
      </w:pPr>
    </w:p>
    <w:p w14:paraId="5619F129" w14:textId="77777777" w:rsidR="00CA2E8C" w:rsidRPr="00026EC1" w:rsidRDefault="00275751" w:rsidP="00A64613">
      <w:pPr>
        <w:keepNext w:val="0"/>
        <w:tabs>
          <w:tab w:val="left" w:pos="567"/>
        </w:tabs>
        <w:ind w:left="567" w:hanging="567"/>
      </w:pPr>
      <w:r w:rsidRPr="00026EC1">
        <w:t>c)</w:t>
      </w:r>
      <w:r w:rsidRPr="00026EC1">
        <w:tab/>
      </w:r>
      <w:r w:rsidR="00CA2E8C" w:rsidRPr="00026EC1">
        <w:t>Le comité désigne une personne qui assume la coordination du comité de programme. De façon générale, cette personne est une enseignante ou un enseignant membre du comité de programme. Le Collège peut révoquer, pour cause et à ce titre, la coordonnatrice ou le coordonnateur du comité de programme.</w:t>
      </w:r>
    </w:p>
    <w:p w14:paraId="3C45958D" w14:textId="77777777" w:rsidR="00CA2E8C" w:rsidRPr="00026EC1" w:rsidRDefault="00CA2E8C" w:rsidP="00A64613">
      <w:pPr>
        <w:keepNext w:val="0"/>
      </w:pPr>
    </w:p>
    <w:p w14:paraId="54870C07" w14:textId="71CDE426" w:rsidR="00CA2E8C" w:rsidRPr="00026EC1" w:rsidRDefault="00275751" w:rsidP="00A64613">
      <w:pPr>
        <w:keepNext w:val="0"/>
        <w:tabs>
          <w:tab w:val="left" w:pos="567"/>
        </w:tabs>
        <w:ind w:left="567" w:hanging="567"/>
      </w:pPr>
      <w:r w:rsidRPr="00026EC1">
        <w:t>d)</w:t>
      </w:r>
      <w:r w:rsidRPr="00026EC1">
        <w:tab/>
      </w:r>
      <w:r w:rsidR="00CA2E8C" w:rsidRPr="00026EC1">
        <w:t>La coordonnatrice ou le coordonnateur du comité de programme exerce les activités suivantes</w:t>
      </w:r>
      <w:r w:rsidR="00D8581B">
        <w:t> :</w:t>
      </w:r>
    </w:p>
    <w:p w14:paraId="5BE53F29" w14:textId="77777777" w:rsidR="00CA2E8C" w:rsidRPr="00026EC1" w:rsidRDefault="00CA2E8C" w:rsidP="00A64613">
      <w:pPr>
        <w:keepNext w:val="0"/>
      </w:pPr>
    </w:p>
    <w:p w14:paraId="04B4E0D7" w14:textId="77777777" w:rsidR="00CA2E8C" w:rsidRPr="00026EC1" w:rsidRDefault="00275751" w:rsidP="00A64613">
      <w:pPr>
        <w:pStyle w:val="Texte1cm00000"/>
        <w:keepNext w:val="0"/>
        <w:tabs>
          <w:tab w:val="left" w:pos="1134"/>
        </w:tabs>
        <w:ind w:left="1134" w:hanging="567"/>
      </w:pPr>
      <w:r w:rsidRPr="00026EC1">
        <w:rPr>
          <w:rFonts w:ascii="Times New Roman" w:hAnsi="Times New Roman"/>
        </w:rPr>
        <w:t>–</w:t>
      </w:r>
      <w:r w:rsidRPr="00026EC1">
        <w:rPr>
          <w:rFonts w:ascii="Times New Roman" w:hAnsi="Times New Roman"/>
        </w:rPr>
        <w:tab/>
      </w:r>
      <w:r w:rsidR="00CA2E8C" w:rsidRPr="00026EC1">
        <w:t>voir à la tenue des réunions et leur animation;</w:t>
      </w:r>
    </w:p>
    <w:p w14:paraId="2A223C86" w14:textId="77777777" w:rsidR="00CA2E8C" w:rsidRPr="00026EC1" w:rsidRDefault="00CA2E8C" w:rsidP="00A64613">
      <w:pPr>
        <w:pStyle w:val="Texte1cm00000"/>
        <w:keepNext w:val="0"/>
      </w:pPr>
    </w:p>
    <w:p w14:paraId="7E789ECB" w14:textId="6E75A0EB" w:rsidR="00CA2E8C" w:rsidRPr="00026EC1" w:rsidRDefault="00275751" w:rsidP="00A64613">
      <w:pPr>
        <w:pStyle w:val="Texte1cm00000"/>
        <w:keepNext w:val="0"/>
        <w:tabs>
          <w:tab w:val="left" w:pos="1134"/>
        </w:tabs>
        <w:ind w:left="1134" w:hanging="567"/>
      </w:pPr>
      <w:r w:rsidRPr="00026EC1">
        <w:rPr>
          <w:rFonts w:ascii="Times New Roman" w:hAnsi="Times New Roman"/>
        </w:rPr>
        <w:t>–</w:t>
      </w:r>
      <w:r w:rsidRPr="00026EC1">
        <w:rPr>
          <w:rFonts w:ascii="Times New Roman" w:hAnsi="Times New Roman"/>
        </w:rPr>
        <w:tab/>
      </w:r>
      <w:r w:rsidR="00CA2E8C" w:rsidRPr="00026EC1">
        <w:t>assurer le suivi des travaux du comité et de ceux des sous</w:t>
      </w:r>
      <w:r w:rsidR="00984A6F">
        <w:noBreakHyphen/>
      </w:r>
      <w:r w:rsidR="00CA2E8C" w:rsidRPr="00026EC1">
        <w:t xml:space="preserve">comités; </w:t>
      </w:r>
    </w:p>
    <w:p w14:paraId="7470C1D6" w14:textId="77777777" w:rsidR="00CA2E8C" w:rsidRPr="00026EC1" w:rsidRDefault="00CA2E8C" w:rsidP="00A64613">
      <w:pPr>
        <w:pStyle w:val="Texte1cm00000"/>
        <w:keepNext w:val="0"/>
      </w:pPr>
    </w:p>
    <w:p w14:paraId="24C924C2" w14:textId="77777777" w:rsidR="00CA2E8C" w:rsidRPr="00026EC1" w:rsidRDefault="00275751" w:rsidP="00A64613">
      <w:pPr>
        <w:pStyle w:val="Texte1cm00000"/>
        <w:keepNext w:val="0"/>
        <w:tabs>
          <w:tab w:val="left" w:pos="1134"/>
        </w:tabs>
        <w:ind w:left="1134" w:hanging="567"/>
      </w:pPr>
      <w:r w:rsidRPr="00026EC1">
        <w:rPr>
          <w:rFonts w:ascii="Times New Roman" w:hAnsi="Times New Roman"/>
        </w:rPr>
        <w:t>–</w:t>
      </w:r>
      <w:r w:rsidRPr="00026EC1">
        <w:rPr>
          <w:rFonts w:ascii="Times New Roman" w:hAnsi="Times New Roman"/>
        </w:rPr>
        <w:tab/>
      </w:r>
      <w:r w:rsidR="00CA2E8C" w:rsidRPr="00026EC1">
        <w:t>assurer les communications, nécessaires à la réalisation des mandats du comité de programme, avec le Collège et les départements, les autres instances, des individus ou des groupes extérieurs au programme;</w:t>
      </w:r>
    </w:p>
    <w:p w14:paraId="5393DD40" w14:textId="77777777" w:rsidR="00CA2E8C" w:rsidRPr="00026EC1" w:rsidRDefault="00CA2E8C" w:rsidP="00A64613">
      <w:pPr>
        <w:pStyle w:val="Texte1cm00000"/>
        <w:keepNext w:val="0"/>
      </w:pPr>
    </w:p>
    <w:p w14:paraId="6A9BB19F" w14:textId="77777777" w:rsidR="00CA2E8C" w:rsidRPr="00026EC1" w:rsidRDefault="00275751" w:rsidP="00A64613">
      <w:pPr>
        <w:pStyle w:val="Texte1cm00000"/>
        <w:keepNext w:val="0"/>
        <w:tabs>
          <w:tab w:val="left" w:pos="1134"/>
        </w:tabs>
        <w:ind w:left="1134" w:hanging="567"/>
      </w:pPr>
      <w:r w:rsidRPr="00026EC1">
        <w:rPr>
          <w:rFonts w:ascii="Times New Roman" w:hAnsi="Times New Roman"/>
        </w:rPr>
        <w:t>–</w:t>
      </w:r>
      <w:r w:rsidRPr="00026EC1">
        <w:rPr>
          <w:rFonts w:ascii="Times New Roman" w:hAnsi="Times New Roman"/>
        </w:rPr>
        <w:tab/>
      </w:r>
      <w:r w:rsidR="00CA2E8C" w:rsidRPr="00026EC1">
        <w:t>participer, selon les pratiques locales, à l</w:t>
      </w:r>
      <w:r w:rsidR="004A41E4" w:rsidRPr="00026EC1">
        <w:t>’</w:t>
      </w:r>
      <w:r w:rsidR="00CA2E8C" w:rsidRPr="00026EC1">
        <w:t>assemblée des coordonnatrices et coordonnateurs de programme;</w:t>
      </w:r>
    </w:p>
    <w:p w14:paraId="71FA04A3" w14:textId="77777777" w:rsidR="00CA2E8C" w:rsidRPr="00026EC1" w:rsidRDefault="00CA2E8C" w:rsidP="00A64613">
      <w:pPr>
        <w:pStyle w:val="Texte1cm00000"/>
        <w:keepNext w:val="0"/>
      </w:pPr>
    </w:p>
    <w:p w14:paraId="1F90E64A" w14:textId="77777777" w:rsidR="00CA2E8C" w:rsidRPr="00026EC1" w:rsidRDefault="00275751" w:rsidP="00A64613">
      <w:pPr>
        <w:pStyle w:val="Texte1cm00000"/>
        <w:keepNext w:val="0"/>
        <w:tabs>
          <w:tab w:val="left" w:pos="1134"/>
        </w:tabs>
        <w:ind w:left="1134" w:hanging="567"/>
      </w:pPr>
      <w:r w:rsidRPr="00026EC1">
        <w:rPr>
          <w:rFonts w:ascii="Times New Roman" w:hAnsi="Times New Roman"/>
        </w:rPr>
        <w:t>–</w:t>
      </w:r>
      <w:r w:rsidRPr="00026EC1">
        <w:rPr>
          <w:rFonts w:ascii="Times New Roman" w:hAnsi="Times New Roman"/>
        </w:rPr>
        <w:tab/>
      </w:r>
      <w:r w:rsidR="00CA2E8C" w:rsidRPr="00026EC1">
        <w:t>voir à la rédaction du plan de travail et du rapport annuel.</w:t>
      </w:r>
    </w:p>
    <w:p w14:paraId="14DF6F24" w14:textId="77777777" w:rsidR="00CA2E8C" w:rsidRPr="00026EC1" w:rsidRDefault="00CA2E8C" w:rsidP="00A64613">
      <w:pPr>
        <w:pStyle w:val="Texte1cm00000"/>
        <w:keepNext w:val="0"/>
      </w:pPr>
    </w:p>
    <w:p w14:paraId="5AB76BC7" w14:textId="77777777" w:rsidR="00CA2E8C" w:rsidRDefault="00CA2E8C" w:rsidP="00A64613">
      <w:pPr>
        <w:pStyle w:val="Texte1cm00000"/>
        <w:keepNext w:val="0"/>
      </w:pPr>
      <w:r w:rsidRPr="00026EC1">
        <w:t xml:space="preserve">Le cas échéant, la coordonnatrice ou le coordonnateur de la </w:t>
      </w:r>
      <w:r w:rsidRPr="00026EC1">
        <w:rPr>
          <w:i/>
        </w:rPr>
        <w:t xml:space="preserve">Table de concertation </w:t>
      </w:r>
      <w:r w:rsidRPr="00026EC1">
        <w:t xml:space="preserve">ou du </w:t>
      </w:r>
      <w:r w:rsidRPr="00026EC1">
        <w:rPr>
          <w:i/>
        </w:rPr>
        <w:t>Comité de la formation générale</w:t>
      </w:r>
      <w:r w:rsidRPr="00026EC1">
        <w:t xml:space="preserve"> exerce les activités précédentes en faisant les adaptations nécessaires.</w:t>
      </w:r>
    </w:p>
    <w:p w14:paraId="0838B8AC" w14:textId="77777777" w:rsidR="008C23C2" w:rsidRDefault="008C23C2" w:rsidP="00A64613">
      <w:pPr>
        <w:pStyle w:val="Texte1cm00000"/>
        <w:keepNext w:val="0"/>
      </w:pPr>
    </w:p>
    <w:p w14:paraId="5F195C51" w14:textId="122C581B" w:rsidR="008C23C2" w:rsidRPr="008C23C2" w:rsidRDefault="008C23C2" w:rsidP="00A64613">
      <w:pPr>
        <w:pStyle w:val="Texte1cm00000"/>
        <w:keepNext w:val="0"/>
        <w:ind w:left="0"/>
      </w:pPr>
      <w:r w:rsidRPr="004D3DC6">
        <w:t>Afin de permettre au comité de programme de réaliser certaines des activités prévues en</w:t>
      </w:r>
      <w:r w:rsidR="00F12229" w:rsidRPr="004D3DC6">
        <w:t> </w:t>
      </w:r>
      <w:r w:rsidRPr="004D3DC6">
        <w:t>b) de la présente clause, des ressources prévues à l’</w:t>
      </w:r>
      <w:r w:rsidR="00341F29" w:rsidRPr="004D3DC6">
        <w:t>A</w:t>
      </w:r>
      <w:r w:rsidRPr="004D3DC6">
        <w:t>nnexe I</w:t>
      </w:r>
      <w:r w:rsidR="00984A6F">
        <w:noBreakHyphen/>
      </w:r>
      <w:r w:rsidRPr="004D3DC6">
        <w:t>2 (volet 2 et colonne D) peuvent servir à ces fins</w:t>
      </w:r>
      <w:bookmarkStart w:id="318" w:name="page4"/>
      <w:bookmarkEnd w:id="318"/>
      <w:r w:rsidRPr="004D3DC6">
        <w:t>.</w:t>
      </w:r>
    </w:p>
    <w:p w14:paraId="49AE97DF"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4A05130A" w14:textId="77777777" w:rsidR="00CA2E8C" w:rsidRPr="00026EC1" w:rsidRDefault="00CA2E8C" w:rsidP="00A64613">
      <w:pPr>
        <w:keepNext w:val="0"/>
      </w:pPr>
    </w:p>
    <w:p w14:paraId="3FB835FB" w14:textId="16811AFF" w:rsidR="00CA2E8C" w:rsidRPr="00026EC1" w:rsidRDefault="00CA2E8C" w:rsidP="00A64613">
      <w:pPr>
        <w:pStyle w:val="NUMRODECLAUSE"/>
        <w:keepNext w:val="0"/>
      </w:pPr>
      <w:r w:rsidRPr="00026EC1">
        <w:t>4</w:t>
      </w:r>
      <w:r w:rsidR="00984A6F">
        <w:noBreakHyphen/>
      </w:r>
      <w:r w:rsidRPr="00026EC1">
        <w:t>1.03</w:t>
      </w:r>
    </w:p>
    <w:p w14:paraId="18FBC5BD" w14:textId="6DCA2B78" w:rsidR="00D00DBD" w:rsidRPr="00026EC1" w:rsidRDefault="00D00DBD" w:rsidP="00A64613">
      <w:pPr>
        <w:keepNext w:val="0"/>
        <w:ind w:right="-19"/>
      </w:pPr>
      <w:r w:rsidRPr="00026EC1">
        <w:t xml:space="preserve">Aux fins de la convention collective, </w:t>
      </w:r>
      <w:r w:rsidR="00BD7CA4">
        <w:t>sous réserve de la clause 8</w:t>
      </w:r>
      <w:r w:rsidR="00984A6F">
        <w:noBreakHyphen/>
      </w:r>
      <w:r w:rsidR="00BD7CA4">
        <w:t>7.10</w:t>
      </w:r>
      <w:r w:rsidRPr="00026EC1">
        <w:t>, le département est constitué de l’ensemble des enseignantes et enseignants de l’enseignement régulier d’une ou de plusieurs disciplines d’un Collège ou d’un Campus.</w:t>
      </w:r>
    </w:p>
    <w:p w14:paraId="0DDD9830" w14:textId="77777777" w:rsidR="00CA2E8C" w:rsidRPr="00026EC1" w:rsidRDefault="00CA2E8C" w:rsidP="00A64613">
      <w:pPr>
        <w:keepNext w:val="0"/>
      </w:pPr>
    </w:p>
    <w:p w14:paraId="09242994" w14:textId="199690F2" w:rsidR="00CA2E8C" w:rsidRPr="00026EC1" w:rsidRDefault="00CA2E8C" w:rsidP="00A64613">
      <w:pPr>
        <w:pStyle w:val="NUMRODECLAUSE"/>
        <w:keepNext w:val="0"/>
      </w:pPr>
      <w:r w:rsidRPr="00026EC1">
        <w:t>4</w:t>
      </w:r>
      <w:r w:rsidR="00984A6F">
        <w:noBreakHyphen/>
      </w:r>
      <w:r w:rsidRPr="00026EC1">
        <w:t>1.04</w:t>
      </w:r>
    </w:p>
    <w:p w14:paraId="4B5BD8D3" w14:textId="77777777" w:rsidR="00CA2E8C" w:rsidRPr="00026EC1" w:rsidRDefault="00CA2E8C" w:rsidP="00A64613">
      <w:pPr>
        <w:keepNext w:val="0"/>
      </w:pPr>
      <w:r w:rsidRPr="00026EC1">
        <w:t>Les critères relatifs à la création des départements et à la fixation de leur nombre sont établis par le Collège, après consultation de la Commission pédagogique.</w:t>
      </w:r>
    </w:p>
    <w:p w14:paraId="1D99EA20" w14:textId="77777777" w:rsidR="00CA2E8C" w:rsidRPr="00026EC1" w:rsidRDefault="00CA2E8C" w:rsidP="00A64613">
      <w:pPr>
        <w:keepNext w:val="0"/>
      </w:pPr>
    </w:p>
    <w:p w14:paraId="34B78E70" w14:textId="709AD30C" w:rsidR="00CA2E8C" w:rsidRPr="00026EC1" w:rsidRDefault="00CA2E8C" w:rsidP="00A64613">
      <w:pPr>
        <w:pStyle w:val="NUMRODECLAUSE"/>
        <w:keepNext w:val="0"/>
        <w:rPr>
          <w:i/>
          <w:iCs/>
        </w:rPr>
      </w:pPr>
      <w:r w:rsidRPr="00026EC1">
        <w:t>4</w:t>
      </w:r>
      <w:r w:rsidR="00984A6F">
        <w:noBreakHyphen/>
      </w:r>
      <w:r w:rsidRPr="00026EC1">
        <w:t>1.05</w:t>
      </w:r>
    </w:p>
    <w:p w14:paraId="00E03D1A" w14:textId="2CAD8A2A" w:rsidR="00CA2E8C" w:rsidRPr="00026EC1" w:rsidRDefault="00CA2E8C" w:rsidP="00A64613">
      <w:pPr>
        <w:keepNext w:val="0"/>
      </w:pPr>
      <w:r w:rsidRPr="00026EC1">
        <w:t>Les fonctions de l</w:t>
      </w:r>
      <w:r w:rsidR="004A41E4" w:rsidRPr="00026EC1">
        <w:t>’</w:t>
      </w:r>
      <w:r w:rsidRPr="00026EC1">
        <w:t>assemblée départementale s</w:t>
      </w:r>
      <w:r w:rsidR="004A41E4" w:rsidRPr="00026EC1">
        <w:t>’</w:t>
      </w:r>
      <w:r w:rsidRPr="00026EC1">
        <w:t>exercent en tenant compte</w:t>
      </w:r>
      <w:r w:rsidRPr="00026EC1">
        <w:rPr>
          <w:i/>
          <w:iCs/>
        </w:rPr>
        <w:t xml:space="preserve"> </w:t>
      </w:r>
      <w:r w:rsidRPr="00026EC1">
        <w:t xml:space="preserve">du plan stratégique de développement </w:t>
      </w:r>
      <w:r w:rsidRPr="00026EC1">
        <w:rPr>
          <w:shd w:val="clear" w:color="auto" w:fill="FFFFFF"/>
        </w:rPr>
        <w:t>(ce qui inclut, entre autres, le plan institutionnel de la réussite éducative)</w:t>
      </w:r>
      <w:r w:rsidRPr="00026EC1">
        <w:t>. Les fonctions de l</w:t>
      </w:r>
      <w:r w:rsidR="004A41E4" w:rsidRPr="00026EC1">
        <w:t>’</w:t>
      </w:r>
      <w:r w:rsidRPr="00026EC1">
        <w:t>assemblée départementale sont</w:t>
      </w:r>
      <w:r w:rsidR="000254AE" w:rsidRPr="00026EC1">
        <w:t xml:space="preserve"> </w:t>
      </w:r>
      <w:r w:rsidRPr="00026EC1">
        <w:t>les suivantes</w:t>
      </w:r>
      <w:r w:rsidR="00D8581B">
        <w:t> :</w:t>
      </w:r>
    </w:p>
    <w:p w14:paraId="3594BCD4" w14:textId="77777777" w:rsidR="00CA2E8C" w:rsidRPr="00026EC1" w:rsidRDefault="00CA2E8C" w:rsidP="00A64613">
      <w:pPr>
        <w:keepNext w:val="0"/>
        <w:rPr>
          <w:rFonts w:cs="Arial"/>
          <w:szCs w:val="24"/>
        </w:rPr>
      </w:pPr>
    </w:p>
    <w:p w14:paraId="261CD534" w14:textId="2BB8C80D" w:rsidR="00CA2E8C" w:rsidRPr="00026EC1" w:rsidRDefault="00275751" w:rsidP="00A64613">
      <w:pPr>
        <w:pStyle w:val="Paragraphedeliste1"/>
        <w:suppressAutoHyphens/>
        <w:spacing w:after="0"/>
        <w:ind w:left="567" w:hanging="567"/>
        <w:rPr>
          <w:rFonts w:ascii="Arial" w:hAnsi="Arial" w:cs="Arial"/>
          <w:bCs/>
          <w:szCs w:val="24"/>
        </w:rPr>
      </w:pPr>
      <w:r w:rsidRPr="00026EC1">
        <w:rPr>
          <w:rFonts w:ascii="Arial" w:hAnsi="Arial" w:cs="Times New Roman"/>
          <w:bCs/>
          <w:szCs w:val="24"/>
        </w:rPr>
        <w:t>1.</w:t>
      </w:r>
      <w:r w:rsidRPr="00026EC1">
        <w:rPr>
          <w:rFonts w:ascii="Arial" w:hAnsi="Arial" w:cs="Times New Roman"/>
          <w:bCs/>
          <w:szCs w:val="24"/>
        </w:rPr>
        <w:tab/>
      </w:r>
      <w:r w:rsidR="00CA2E8C" w:rsidRPr="00026EC1">
        <w:rPr>
          <w:rFonts w:ascii="Arial" w:hAnsi="Arial" w:cs="Arial"/>
          <w:szCs w:val="24"/>
        </w:rPr>
        <w:t xml:space="preserve">Celles exercées en complémentarité avec les travaux des comités de programme auxquels </w:t>
      </w:r>
      <w:r w:rsidR="00CA2E8C" w:rsidRPr="00574DFB">
        <w:rPr>
          <w:rFonts w:ascii="Arial" w:hAnsi="Arial" w:cs="Arial"/>
          <w:szCs w:val="24"/>
        </w:rPr>
        <w:t>sa</w:t>
      </w:r>
      <w:r w:rsidR="00CA2E8C" w:rsidRPr="00026EC1">
        <w:rPr>
          <w:rFonts w:ascii="Arial" w:hAnsi="Arial" w:cs="Arial"/>
          <w:szCs w:val="24"/>
        </w:rPr>
        <w:t xml:space="preserve"> </w:t>
      </w:r>
      <w:r w:rsidR="00574DFB" w:rsidRPr="00316277">
        <w:rPr>
          <w:rFonts w:ascii="Arial" w:hAnsi="Arial" w:cs="Arial"/>
          <w:szCs w:val="24"/>
        </w:rPr>
        <w:t>ou</w:t>
      </w:r>
      <w:r w:rsidR="00574DFB">
        <w:rPr>
          <w:rFonts w:ascii="Arial" w:hAnsi="Arial" w:cs="Arial"/>
          <w:szCs w:val="24"/>
        </w:rPr>
        <w:t xml:space="preserve"> </w:t>
      </w:r>
      <w:r w:rsidR="000C72FE" w:rsidRPr="00316277">
        <w:rPr>
          <w:rFonts w:ascii="Arial" w:hAnsi="Arial" w:cs="Arial"/>
          <w:szCs w:val="24"/>
        </w:rPr>
        <w:t>ses</w:t>
      </w:r>
      <w:r w:rsidR="000C72FE">
        <w:rPr>
          <w:rFonts w:ascii="Arial" w:hAnsi="Arial" w:cs="Arial"/>
          <w:szCs w:val="24"/>
        </w:rPr>
        <w:t xml:space="preserve"> </w:t>
      </w:r>
      <w:r w:rsidR="00CA2E8C" w:rsidRPr="00026EC1">
        <w:rPr>
          <w:rFonts w:ascii="Arial" w:hAnsi="Arial" w:cs="Arial"/>
          <w:szCs w:val="24"/>
        </w:rPr>
        <w:t>discipline</w:t>
      </w:r>
      <w:r w:rsidR="000C72FE" w:rsidRPr="00316277">
        <w:rPr>
          <w:rFonts w:ascii="Arial" w:hAnsi="Arial" w:cs="Arial"/>
          <w:szCs w:val="24"/>
        </w:rPr>
        <w:t>s</w:t>
      </w:r>
      <w:r w:rsidR="00CA2E8C" w:rsidRPr="00026EC1">
        <w:rPr>
          <w:rFonts w:ascii="Arial" w:hAnsi="Arial" w:cs="Arial"/>
          <w:szCs w:val="24"/>
        </w:rPr>
        <w:t xml:space="preserve"> participe</w:t>
      </w:r>
      <w:r w:rsidR="000C72FE" w:rsidRPr="00316277">
        <w:rPr>
          <w:rFonts w:ascii="Arial" w:hAnsi="Arial" w:cs="Arial"/>
          <w:szCs w:val="24"/>
        </w:rPr>
        <w:t>nt</w:t>
      </w:r>
      <w:r w:rsidR="00D8581B">
        <w:rPr>
          <w:rFonts w:ascii="Arial" w:hAnsi="Arial" w:cs="Arial"/>
          <w:szCs w:val="24"/>
        </w:rPr>
        <w:t> :</w:t>
      </w:r>
    </w:p>
    <w:p w14:paraId="3B2BF612" w14:textId="77777777" w:rsidR="00CA2E8C" w:rsidRPr="00026EC1" w:rsidRDefault="00CA2E8C" w:rsidP="00A64613">
      <w:pPr>
        <w:pStyle w:val="Texte1cm00000"/>
        <w:keepNext w:val="0"/>
      </w:pPr>
    </w:p>
    <w:p w14:paraId="208BE3A3" w14:textId="1B1DDFE1" w:rsidR="00CA2E8C" w:rsidRPr="00026EC1" w:rsidRDefault="00CA2E8C" w:rsidP="00A64613">
      <w:pPr>
        <w:pStyle w:val="Texte1cm00000"/>
        <w:keepNext w:val="0"/>
        <w:tabs>
          <w:tab w:val="left" w:pos="1134"/>
        </w:tabs>
        <w:ind w:left="1134" w:hanging="567"/>
      </w:pPr>
      <w:r w:rsidRPr="00026EC1">
        <w:t>1.1</w:t>
      </w:r>
      <w:r w:rsidRPr="00026EC1">
        <w:tab/>
        <w:t xml:space="preserve">donner des avis aux comités de programme auxquels sa </w:t>
      </w:r>
      <w:r w:rsidR="00830939" w:rsidRPr="00316277">
        <w:t>ou ses</w:t>
      </w:r>
      <w:r w:rsidR="00830939">
        <w:t xml:space="preserve"> </w:t>
      </w:r>
      <w:r w:rsidRPr="00026EC1">
        <w:t>discipline</w:t>
      </w:r>
      <w:r w:rsidR="00830939" w:rsidRPr="00316277">
        <w:t>s</w:t>
      </w:r>
      <w:r w:rsidRPr="00026EC1">
        <w:t xml:space="preserve"> participe</w:t>
      </w:r>
      <w:r w:rsidR="00830939" w:rsidRPr="00316277">
        <w:t>nt</w:t>
      </w:r>
      <w:r w:rsidRPr="00026EC1">
        <w:t xml:space="preserve"> ou contribue</w:t>
      </w:r>
      <w:r w:rsidR="00830939" w:rsidRPr="00316277">
        <w:t>nt</w:t>
      </w:r>
      <w:r w:rsidRPr="00026EC1">
        <w:t>;</w:t>
      </w:r>
    </w:p>
    <w:p w14:paraId="31A8A88D" w14:textId="77777777" w:rsidR="00CA2E8C" w:rsidRPr="00026EC1" w:rsidRDefault="00CA2E8C" w:rsidP="00A64613">
      <w:pPr>
        <w:pStyle w:val="Texte1cm00000"/>
        <w:keepNext w:val="0"/>
        <w:tabs>
          <w:tab w:val="left" w:pos="1134"/>
        </w:tabs>
        <w:ind w:left="1134" w:hanging="567"/>
      </w:pPr>
    </w:p>
    <w:p w14:paraId="2E56F5E0" w14:textId="55EE64EF" w:rsidR="00CA2E8C" w:rsidRPr="00026EC1" w:rsidRDefault="00CA2E8C" w:rsidP="00A64613">
      <w:pPr>
        <w:pStyle w:val="Texte1cm00000"/>
        <w:keepNext w:val="0"/>
        <w:tabs>
          <w:tab w:val="left" w:pos="1134"/>
        </w:tabs>
        <w:ind w:left="1134" w:hanging="567"/>
      </w:pPr>
      <w:r w:rsidRPr="00026EC1">
        <w:t>1.2</w:t>
      </w:r>
      <w:r w:rsidRPr="00026EC1">
        <w:tab/>
        <w:t>désigner les enseignantes et les enseignants appelés à siéger aux comités de programme auxquels sa</w:t>
      </w:r>
      <w:r w:rsidR="00030213">
        <w:t xml:space="preserve"> </w:t>
      </w:r>
      <w:r w:rsidR="00030213" w:rsidRPr="00316277">
        <w:t>ou ses</w:t>
      </w:r>
      <w:r w:rsidRPr="00026EC1">
        <w:t xml:space="preserve"> discipline</w:t>
      </w:r>
      <w:r w:rsidR="00030213" w:rsidRPr="00316277">
        <w:t>s</w:t>
      </w:r>
      <w:r w:rsidRPr="00026EC1">
        <w:t xml:space="preserve"> participe</w:t>
      </w:r>
      <w:r w:rsidR="00030213" w:rsidRPr="00316277">
        <w:t>nt</w:t>
      </w:r>
      <w:r w:rsidRPr="00026EC1">
        <w:t xml:space="preserve"> ou contribue</w:t>
      </w:r>
      <w:r w:rsidR="00030213" w:rsidRPr="00316277">
        <w:t>nt</w:t>
      </w:r>
      <w:r w:rsidRPr="00026EC1">
        <w:t>.</w:t>
      </w:r>
    </w:p>
    <w:p w14:paraId="5923653F" w14:textId="77777777" w:rsidR="00CA2E8C" w:rsidRPr="00026EC1" w:rsidRDefault="00CA2E8C" w:rsidP="00A64613">
      <w:pPr>
        <w:pStyle w:val="Texte1cm00000"/>
        <w:keepNext w:val="0"/>
        <w:tabs>
          <w:tab w:val="left" w:pos="1134"/>
        </w:tabs>
        <w:ind w:left="1134" w:hanging="567"/>
      </w:pPr>
    </w:p>
    <w:p w14:paraId="3DEFF7AE" w14:textId="77777777" w:rsidR="00CA2E8C" w:rsidRPr="00026EC1" w:rsidRDefault="00CA2E8C" w:rsidP="00A64613">
      <w:pPr>
        <w:pStyle w:val="Texte1cm00000"/>
        <w:keepNext w:val="0"/>
        <w:rPr>
          <w:szCs w:val="24"/>
        </w:rPr>
      </w:pPr>
      <w:r w:rsidRPr="00026EC1">
        <w:rPr>
          <w:szCs w:val="24"/>
        </w:rPr>
        <w:t>Le cas échéant, l</w:t>
      </w:r>
      <w:r w:rsidR="004A41E4" w:rsidRPr="00026EC1">
        <w:rPr>
          <w:szCs w:val="24"/>
        </w:rPr>
        <w:t>’</w:t>
      </w:r>
      <w:r w:rsidRPr="00026EC1">
        <w:rPr>
          <w:szCs w:val="24"/>
        </w:rPr>
        <w:t>enseignante ou l</w:t>
      </w:r>
      <w:r w:rsidR="004A41E4" w:rsidRPr="00026EC1">
        <w:rPr>
          <w:szCs w:val="24"/>
        </w:rPr>
        <w:t>’</w:t>
      </w:r>
      <w:r w:rsidRPr="00026EC1">
        <w:rPr>
          <w:szCs w:val="24"/>
        </w:rPr>
        <w:t>enseignant de la formation générale commune, membre d</w:t>
      </w:r>
      <w:r w:rsidR="004A41E4" w:rsidRPr="00026EC1">
        <w:rPr>
          <w:szCs w:val="24"/>
        </w:rPr>
        <w:t>’</w:t>
      </w:r>
      <w:r w:rsidRPr="00026EC1">
        <w:rPr>
          <w:szCs w:val="24"/>
        </w:rPr>
        <w:t>une Table de concertation ou d</w:t>
      </w:r>
      <w:r w:rsidR="004A41E4" w:rsidRPr="00026EC1">
        <w:rPr>
          <w:szCs w:val="24"/>
        </w:rPr>
        <w:t>’</w:t>
      </w:r>
      <w:r w:rsidRPr="00026EC1">
        <w:rPr>
          <w:szCs w:val="24"/>
        </w:rPr>
        <w:t>un Comité de la formation générale exerce les activités précédentes en faisant les adaptations nécessaires.</w:t>
      </w:r>
    </w:p>
    <w:p w14:paraId="2407D693" w14:textId="42B9B9F7" w:rsidR="004D3DC6" w:rsidRDefault="004D3DC6" w:rsidP="00A64613">
      <w:pPr>
        <w:keepNext w:val="0"/>
        <w:jc w:val="left"/>
        <w:rPr>
          <w:snapToGrid/>
          <w:szCs w:val="24"/>
          <w:lang w:eastAsia="en-US"/>
        </w:rPr>
      </w:pPr>
    </w:p>
    <w:p w14:paraId="08BB8B4A" w14:textId="4939ECF4" w:rsidR="00CA2E8C" w:rsidRPr="00026EC1" w:rsidRDefault="00275751" w:rsidP="00A64613">
      <w:pPr>
        <w:pStyle w:val="Paragraphedeliste1"/>
        <w:suppressAutoHyphens/>
        <w:spacing w:after="0"/>
        <w:ind w:left="567" w:hanging="567"/>
        <w:rPr>
          <w:rFonts w:ascii="Arial" w:hAnsi="Arial" w:cs="Arial"/>
          <w:szCs w:val="24"/>
        </w:rPr>
      </w:pPr>
      <w:r w:rsidRPr="00026EC1">
        <w:rPr>
          <w:rFonts w:ascii="Arial" w:hAnsi="Arial" w:cs="Times New Roman"/>
          <w:szCs w:val="24"/>
        </w:rPr>
        <w:t>2.</w:t>
      </w:r>
      <w:r w:rsidRPr="00026EC1">
        <w:rPr>
          <w:rFonts w:ascii="Arial" w:hAnsi="Arial" w:cs="Times New Roman"/>
          <w:szCs w:val="24"/>
        </w:rPr>
        <w:tab/>
      </w:r>
      <w:r w:rsidR="00CA2E8C" w:rsidRPr="00026EC1">
        <w:rPr>
          <w:rFonts w:ascii="Arial" w:hAnsi="Arial" w:cs="Arial"/>
          <w:szCs w:val="24"/>
        </w:rPr>
        <w:t>Celles découlant de la gestion pédagogique liée à l</w:t>
      </w:r>
      <w:r w:rsidR="004A41E4" w:rsidRPr="00026EC1">
        <w:rPr>
          <w:rFonts w:ascii="Arial" w:hAnsi="Arial" w:cs="Arial"/>
          <w:szCs w:val="24"/>
        </w:rPr>
        <w:t>’</w:t>
      </w:r>
      <w:r w:rsidR="00CA2E8C" w:rsidRPr="00026EC1">
        <w:rPr>
          <w:rFonts w:ascii="Arial" w:hAnsi="Arial" w:cs="Arial"/>
          <w:szCs w:val="24"/>
        </w:rPr>
        <w:t xml:space="preserve">enseignement de sa </w:t>
      </w:r>
      <w:r w:rsidR="00136446" w:rsidRPr="00316277">
        <w:rPr>
          <w:rFonts w:ascii="Arial" w:hAnsi="Arial" w:cs="Arial"/>
          <w:szCs w:val="24"/>
        </w:rPr>
        <w:t>ou ses</w:t>
      </w:r>
      <w:r w:rsidR="00136446">
        <w:rPr>
          <w:rFonts w:ascii="Arial" w:hAnsi="Arial" w:cs="Arial"/>
          <w:szCs w:val="24"/>
        </w:rPr>
        <w:t xml:space="preserve"> </w:t>
      </w:r>
      <w:r w:rsidR="00CA2E8C" w:rsidRPr="00026EC1">
        <w:rPr>
          <w:rFonts w:ascii="Arial" w:hAnsi="Arial" w:cs="Arial"/>
          <w:szCs w:val="24"/>
        </w:rPr>
        <w:t>discipline</w:t>
      </w:r>
      <w:r w:rsidR="00136446" w:rsidRPr="00316277">
        <w:rPr>
          <w:rFonts w:ascii="Arial" w:hAnsi="Arial" w:cs="Arial"/>
          <w:szCs w:val="24"/>
        </w:rPr>
        <w:t>s</w:t>
      </w:r>
      <w:r w:rsidR="00D8581B">
        <w:rPr>
          <w:rFonts w:ascii="Arial" w:hAnsi="Arial" w:cs="Arial"/>
          <w:szCs w:val="24"/>
        </w:rPr>
        <w:t> :</w:t>
      </w:r>
    </w:p>
    <w:p w14:paraId="1DDB39A0" w14:textId="77777777" w:rsidR="00CA2E8C" w:rsidRPr="00026EC1" w:rsidRDefault="00CA2E8C" w:rsidP="00A64613">
      <w:pPr>
        <w:pStyle w:val="Texte1cm00000"/>
        <w:keepNext w:val="0"/>
      </w:pPr>
    </w:p>
    <w:p w14:paraId="7E3E7B40"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w:t>
      </w:r>
      <w:r w:rsidRPr="00026EC1">
        <w:rPr>
          <w:rFonts w:cs="Arial"/>
          <w:szCs w:val="24"/>
        </w:rPr>
        <w:tab/>
        <w:t>définir les règles de régie interne du département et former des comités, s</w:t>
      </w:r>
      <w:r w:rsidR="004A41E4" w:rsidRPr="00026EC1">
        <w:rPr>
          <w:rFonts w:cs="Arial"/>
          <w:szCs w:val="24"/>
        </w:rPr>
        <w:t>’</w:t>
      </w:r>
      <w:r w:rsidRPr="00026EC1">
        <w:rPr>
          <w:rFonts w:cs="Arial"/>
          <w:szCs w:val="24"/>
        </w:rPr>
        <w:t xml:space="preserve">il y a lieu; </w:t>
      </w:r>
    </w:p>
    <w:p w14:paraId="3E0B3512" w14:textId="77777777" w:rsidR="00CA2E8C" w:rsidRPr="00026EC1" w:rsidRDefault="00CA2E8C" w:rsidP="00A64613">
      <w:pPr>
        <w:pStyle w:val="Texte1cm00000"/>
        <w:keepNext w:val="0"/>
      </w:pPr>
    </w:p>
    <w:p w14:paraId="4EFFBFE4"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2.2</w:t>
      </w:r>
      <w:r w:rsidRPr="00026EC1">
        <w:rPr>
          <w:rFonts w:cs="Arial"/>
          <w:szCs w:val="24"/>
        </w:rPr>
        <w:tab/>
        <w:t>répartir et pondérer les activités pédagogiques incluant les charges d</w:t>
      </w:r>
      <w:r w:rsidR="004A41E4" w:rsidRPr="00026EC1">
        <w:rPr>
          <w:rFonts w:cs="Arial"/>
          <w:szCs w:val="24"/>
        </w:rPr>
        <w:t>’</w:t>
      </w:r>
      <w:r w:rsidRPr="00026EC1">
        <w:rPr>
          <w:rFonts w:cs="Arial"/>
          <w:szCs w:val="24"/>
        </w:rPr>
        <w:t>enseignement, en fonction des ressources allouées, et des activités relatives aux services professionnels rendus;</w:t>
      </w:r>
    </w:p>
    <w:p w14:paraId="44716B30" w14:textId="77777777" w:rsidR="00B74B87" w:rsidRPr="00026EC1" w:rsidRDefault="00B74B87" w:rsidP="00A64613">
      <w:pPr>
        <w:pStyle w:val="Texte1cm00000"/>
        <w:keepNext w:val="0"/>
        <w:tabs>
          <w:tab w:val="left" w:pos="1134"/>
        </w:tabs>
        <w:ind w:left="1134" w:hanging="567"/>
        <w:rPr>
          <w:rFonts w:cs="Arial"/>
          <w:szCs w:val="24"/>
        </w:rPr>
      </w:pPr>
    </w:p>
    <w:p w14:paraId="4E29F6B7" w14:textId="1EB3CC0B" w:rsidR="00CA2E8C" w:rsidRPr="00026EC1" w:rsidRDefault="00CA2E8C" w:rsidP="00A64613">
      <w:pPr>
        <w:pStyle w:val="Texte1cm00000"/>
        <w:keepNext w:val="0"/>
        <w:tabs>
          <w:tab w:val="left" w:pos="1134"/>
        </w:tabs>
        <w:ind w:left="1134" w:hanging="567"/>
        <w:rPr>
          <w:rFonts w:cs="Arial"/>
          <w:bCs/>
          <w:szCs w:val="24"/>
        </w:rPr>
      </w:pPr>
      <w:r w:rsidRPr="00026EC1">
        <w:rPr>
          <w:rFonts w:cs="Arial"/>
          <w:bCs/>
          <w:szCs w:val="24"/>
        </w:rPr>
        <w:t>2.3</w:t>
      </w:r>
      <w:r w:rsidRPr="00026EC1">
        <w:rPr>
          <w:rFonts w:cs="Arial"/>
          <w:bCs/>
          <w:szCs w:val="24"/>
        </w:rPr>
        <w:tab/>
        <w:t>désigner les enseignantes et les enseignants appelés à siéger aux comités de sélection de l</w:t>
      </w:r>
      <w:r w:rsidR="004A41E4" w:rsidRPr="00026EC1">
        <w:rPr>
          <w:rFonts w:cs="Arial"/>
          <w:bCs/>
          <w:szCs w:val="24"/>
        </w:rPr>
        <w:t>’</w:t>
      </w:r>
      <w:r w:rsidRPr="00026EC1">
        <w:rPr>
          <w:rFonts w:cs="Arial"/>
          <w:bCs/>
          <w:szCs w:val="24"/>
        </w:rPr>
        <w:t>enseignement régulier conformément à l</w:t>
      </w:r>
      <w:r w:rsidR="004A41E4" w:rsidRPr="00026EC1">
        <w:rPr>
          <w:rFonts w:cs="Arial"/>
          <w:bCs/>
          <w:szCs w:val="24"/>
        </w:rPr>
        <w:t>’</w:t>
      </w:r>
      <w:r w:rsidRPr="00026EC1">
        <w:rPr>
          <w:rFonts w:cs="Arial"/>
          <w:bCs/>
          <w:szCs w:val="24"/>
        </w:rPr>
        <w:t>article</w:t>
      </w:r>
      <w:r w:rsidR="00831CEF" w:rsidRPr="00026EC1">
        <w:rPr>
          <w:rFonts w:cs="Arial"/>
          <w:bCs/>
          <w:szCs w:val="24"/>
        </w:rPr>
        <w:t> </w:t>
      </w:r>
      <w:r w:rsidRPr="00026EC1">
        <w:rPr>
          <w:rFonts w:cs="Arial"/>
          <w:bCs/>
          <w:szCs w:val="24"/>
        </w:rPr>
        <w:t>4</w:t>
      </w:r>
      <w:r w:rsidR="00984A6F">
        <w:rPr>
          <w:rFonts w:cs="Arial"/>
          <w:bCs/>
          <w:szCs w:val="24"/>
        </w:rPr>
        <w:noBreakHyphen/>
      </w:r>
      <w:r w:rsidRPr="00026EC1">
        <w:rPr>
          <w:rFonts w:cs="Arial"/>
          <w:bCs/>
          <w:szCs w:val="24"/>
        </w:rPr>
        <w:t>4.00 et, celle ou celui appelé à participer au mécanisme de sélection de la formation continue conformément à l</w:t>
      </w:r>
      <w:r w:rsidR="004A41E4" w:rsidRPr="00026EC1">
        <w:rPr>
          <w:rFonts w:cs="Arial"/>
          <w:bCs/>
          <w:szCs w:val="24"/>
        </w:rPr>
        <w:t>’</w:t>
      </w:r>
      <w:r w:rsidRPr="00026EC1">
        <w:rPr>
          <w:rFonts w:cs="Arial"/>
          <w:bCs/>
          <w:szCs w:val="24"/>
        </w:rPr>
        <w:t>article</w:t>
      </w:r>
      <w:r w:rsidR="00831CEF" w:rsidRPr="00026EC1">
        <w:rPr>
          <w:rFonts w:cs="Arial"/>
          <w:bCs/>
          <w:szCs w:val="24"/>
        </w:rPr>
        <w:t> </w:t>
      </w:r>
      <w:r w:rsidRPr="00026EC1">
        <w:rPr>
          <w:rFonts w:cs="Arial"/>
          <w:bCs/>
          <w:szCs w:val="24"/>
        </w:rPr>
        <w:t>8</w:t>
      </w:r>
      <w:r w:rsidR="00984A6F">
        <w:rPr>
          <w:rFonts w:cs="Arial"/>
          <w:bCs/>
          <w:szCs w:val="24"/>
        </w:rPr>
        <w:noBreakHyphen/>
      </w:r>
      <w:r w:rsidRPr="00026EC1">
        <w:rPr>
          <w:rFonts w:cs="Arial"/>
          <w:bCs/>
          <w:szCs w:val="24"/>
        </w:rPr>
        <w:t>7.00;</w:t>
      </w:r>
    </w:p>
    <w:p w14:paraId="3AEAA1FF" w14:textId="77777777" w:rsidR="00CA2E8C" w:rsidRPr="00026EC1" w:rsidRDefault="00CA2E8C" w:rsidP="00A64613">
      <w:pPr>
        <w:pStyle w:val="Texte1cm00000"/>
        <w:keepNext w:val="0"/>
      </w:pPr>
    </w:p>
    <w:p w14:paraId="56559378" w14:textId="77777777" w:rsidR="00CA2E8C" w:rsidRPr="00026EC1" w:rsidRDefault="00CA2E8C" w:rsidP="00A64613">
      <w:pPr>
        <w:pStyle w:val="Texte1cm00000"/>
        <w:keepNext w:val="0"/>
        <w:tabs>
          <w:tab w:val="left" w:pos="1134"/>
        </w:tabs>
        <w:ind w:left="1134" w:hanging="567"/>
        <w:rPr>
          <w:rFonts w:cs="Arial"/>
          <w:bCs/>
          <w:szCs w:val="24"/>
        </w:rPr>
      </w:pPr>
      <w:r w:rsidRPr="00026EC1">
        <w:rPr>
          <w:rFonts w:cs="Arial"/>
          <w:bCs/>
          <w:szCs w:val="24"/>
        </w:rPr>
        <w:t>2.4</w:t>
      </w:r>
      <w:r w:rsidRPr="00026EC1">
        <w:rPr>
          <w:rFonts w:cs="Arial"/>
          <w:bCs/>
          <w:szCs w:val="24"/>
        </w:rPr>
        <w:tab/>
        <w:t xml:space="preserve">désigner les enseignantes et les enseignants appelés à participer à des comités du </w:t>
      </w:r>
      <w:r w:rsidR="00660B72" w:rsidRPr="00026EC1">
        <w:rPr>
          <w:rFonts w:cs="Arial"/>
          <w:bCs/>
          <w:szCs w:val="24"/>
        </w:rPr>
        <w:t>Ministère</w:t>
      </w:r>
      <w:r w:rsidRPr="00026EC1">
        <w:rPr>
          <w:rFonts w:cs="Arial"/>
          <w:bCs/>
          <w:szCs w:val="24"/>
        </w:rPr>
        <w:t xml:space="preserve"> et en informer le Collège;</w:t>
      </w:r>
    </w:p>
    <w:p w14:paraId="2C0748A6" w14:textId="77777777" w:rsidR="00CA2E8C" w:rsidRPr="00026EC1" w:rsidRDefault="00CA2E8C" w:rsidP="00A64613">
      <w:pPr>
        <w:pStyle w:val="Texte1cm00000"/>
        <w:keepNext w:val="0"/>
      </w:pPr>
    </w:p>
    <w:p w14:paraId="2E7ACAEB"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2.5</w:t>
      </w:r>
      <w:r w:rsidRPr="00026EC1">
        <w:rPr>
          <w:rFonts w:cs="Arial"/>
          <w:szCs w:val="24"/>
        </w:rPr>
        <w:tab/>
        <w:t>recommander au Collège des choix de cours complémentaires;</w:t>
      </w:r>
    </w:p>
    <w:p w14:paraId="37C75F35" w14:textId="77777777" w:rsidR="00CA2E8C" w:rsidRPr="00026EC1" w:rsidRDefault="00CA2E8C" w:rsidP="00A64613">
      <w:pPr>
        <w:pStyle w:val="Texte1cm00000"/>
        <w:keepNext w:val="0"/>
      </w:pPr>
    </w:p>
    <w:p w14:paraId="769C32D1"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2.6</w:t>
      </w:r>
      <w:r w:rsidRPr="00026EC1">
        <w:rPr>
          <w:rFonts w:cs="Arial"/>
          <w:szCs w:val="24"/>
        </w:rPr>
        <w:tab/>
        <w:t>recommander au Collège et à la Commission pédagogique, s</w:t>
      </w:r>
      <w:r w:rsidR="004A41E4" w:rsidRPr="00026EC1">
        <w:rPr>
          <w:rFonts w:cs="Arial"/>
          <w:szCs w:val="24"/>
        </w:rPr>
        <w:t>’</w:t>
      </w:r>
      <w:r w:rsidRPr="00026EC1">
        <w:rPr>
          <w:rFonts w:cs="Arial"/>
          <w:szCs w:val="24"/>
        </w:rPr>
        <w:t>il y a lieu,</w:t>
      </w:r>
      <w:r w:rsidRPr="00026EC1">
        <w:rPr>
          <w:rFonts w:cs="Arial"/>
          <w:bCs/>
          <w:szCs w:val="24"/>
        </w:rPr>
        <w:t xml:space="preserve"> </w:t>
      </w:r>
      <w:r w:rsidRPr="00026EC1">
        <w:rPr>
          <w:rFonts w:cs="Arial"/>
          <w:szCs w:val="24"/>
        </w:rPr>
        <w:t>des conditions particulières d</w:t>
      </w:r>
      <w:r w:rsidR="004A41E4" w:rsidRPr="00026EC1">
        <w:rPr>
          <w:rFonts w:cs="Arial"/>
          <w:szCs w:val="24"/>
        </w:rPr>
        <w:t>’</w:t>
      </w:r>
      <w:r w:rsidRPr="00026EC1">
        <w:rPr>
          <w:rFonts w:cs="Arial"/>
          <w:szCs w:val="24"/>
        </w:rPr>
        <w:t xml:space="preserve">admission des étudiantes et des étudiants dans le cadre des conditions générales établies par le </w:t>
      </w:r>
      <w:r w:rsidRPr="00026EC1">
        <w:rPr>
          <w:rFonts w:cs="Arial"/>
          <w:i/>
          <w:szCs w:val="24"/>
        </w:rPr>
        <w:t>Règlement sur le régime des études collégiales</w:t>
      </w:r>
      <w:r w:rsidRPr="00026EC1">
        <w:rPr>
          <w:rFonts w:cs="Arial"/>
          <w:szCs w:val="24"/>
        </w:rPr>
        <w:t xml:space="preserve"> (RREC); </w:t>
      </w:r>
    </w:p>
    <w:p w14:paraId="61566F77" w14:textId="77777777" w:rsidR="00CA2E8C" w:rsidRPr="00026EC1" w:rsidRDefault="00CA2E8C" w:rsidP="00A64613">
      <w:pPr>
        <w:pStyle w:val="Texte1cm00000"/>
        <w:keepNext w:val="0"/>
      </w:pPr>
    </w:p>
    <w:p w14:paraId="4BFF05AA" w14:textId="308AB3DA"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2.7</w:t>
      </w:r>
      <w:r w:rsidRPr="00026EC1">
        <w:rPr>
          <w:rFonts w:cs="Arial"/>
          <w:szCs w:val="24"/>
        </w:rPr>
        <w:tab/>
        <w:t>donner son avis sur les projets de recyclage dans le cas des recyclages vers un poste réservé</w:t>
      </w:r>
      <w:r w:rsidR="00C9516F">
        <w:rPr>
          <w:rFonts w:cs="Arial"/>
          <w:szCs w:val="24"/>
        </w:rPr>
        <w:t xml:space="preserve"> </w:t>
      </w:r>
      <w:r w:rsidR="00C9516F" w:rsidRPr="00316277">
        <w:rPr>
          <w:rFonts w:cs="Arial"/>
          <w:szCs w:val="24"/>
        </w:rPr>
        <w:t xml:space="preserve">ou vers un poste </w:t>
      </w:r>
      <w:r w:rsidR="004214F1" w:rsidRPr="00316277">
        <w:rPr>
          <w:rFonts w:cs="Arial"/>
          <w:szCs w:val="24"/>
        </w:rPr>
        <w:t xml:space="preserve">différé et </w:t>
      </w:r>
      <w:r w:rsidR="00C9516F" w:rsidRPr="00316277">
        <w:rPr>
          <w:rFonts w:cs="Arial"/>
          <w:szCs w:val="24"/>
        </w:rPr>
        <w:t xml:space="preserve">réservé ainsi que </w:t>
      </w:r>
      <w:r w:rsidR="00C73CD2" w:rsidRPr="00316277">
        <w:rPr>
          <w:rFonts w:cs="Arial"/>
          <w:szCs w:val="24"/>
        </w:rPr>
        <w:t xml:space="preserve">sur </w:t>
      </w:r>
      <w:r w:rsidR="00C9516F" w:rsidRPr="00316277">
        <w:rPr>
          <w:rFonts w:cs="Arial"/>
          <w:szCs w:val="24"/>
        </w:rPr>
        <w:t>les projets de maintien de l’expertise</w:t>
      </w:r>
      <w:r w:rsidRPr="00026EC1">
        <w:rPr>
          <w:rFonts w:cs="Arial"/>
          <w:szCs w:val="24"/>
        </w:rPr>
        <w:t>;</w:t>
      </w:r>
    </w:p>
    <w:p w14:paraId="11893802" w14:textId="77777777" w:rsidR="00CA2E8C" w:rsidRPr="00026EC1" w:rsidRDefault="00CA2E8C" w:rsidP="00A64613">
      <w:pPr>
        <w:pStyle w:val="Texte1cm00000"/>
        <w:keepNext w:val="0"/>
      </w:pPr>
    </w:p>
    <w:p w14:paraId="583651C2"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2.8</w:t>
      </w:r>
      <w:r w:rsidRPr="00026EC1">
        <w:rPr>
          <w:rFonts w:cs="Arial"/>
          <w:szCs w:val="24"/>
        </w:rPr>
        <w:tab/>
        <w:t>faire des recommandations au comité de perfectionnement quant aux demandes déposées par le personnel enseignant;</w:t>
      </w:r>
    </w:p>
    <w:p w14:paraId="36EB5FAF" w14:textId="77777777" w:rsidR="00CA2E8C" w:rsidRPr="00026EC1" w:rsidRDefault="00CA2E8C" w:rsidP="00A64613">
      <w:pPr>
        <w:pStyle w:val="Texte1cm00000"/>
        <w:keepNext w:val="0"/>
      </w:pPr>
    </w:p>
    <w:p w14:paraId="7EC29F1A"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2.9</w:t>
      </w:r>
      <w:r w:rsidRPr="00026EC1">
        <w:rPr>
          <w:rFonts w:cs="Arial"/>
          <w:szCs w:val="24"/>
        </w:rPr>
        <w:tab/>
        <w:t>analyser les besoins en ressources humaines, matérielles et technologiques et faire des recommandations quant à l</w:t>
      </w:r>
      <w:r w:rsidR="004A41E4" w:rsidRPr="00026EC1">
        <w:rPr>
          <w:rFonts w:cs="Arial"/>
          <w:szCs w:val="24"/>
        </w:rPr>
        <w:t>’</w:t>
      </w:r>
      <w:r w:rsidRPr="00026EC1">
        <w:rPr>
          <w:rFonts w:cs="Arial"/>
          <w:szCs w:val="24"/>
        </w:rPr>
        <w:t>engagement du personnel de soutien (par exemple, technicienne ou technicien de travaux pratiques, apparitrice ou appariteur) ou à l</w:t>
      </w:r>
      <w:r w:rsidR="004A41E4" w:rsidRPr="00026EC1">
        <w:rPr>
          <w:rFonts w:cs="Arial"/>
          <w:szCs w:val="24"/>
        </w:rPr>
        <w:t>’</w:t>
      </w:r>
      <w:r w:rsidRPr="00026EC1">
        <w:rPr>
          <w:rFonts w:cs="Arial"/>
          <w:szCs w:val="24"/>
        </w:rPr>
        <w:t>achat de matériel;</w:t>
      </w:r>
    </w:p>
    <w:p w14:paraId="0B5EA32E" w14:textId="77777777" w:rsidR="00CA2E8C" w:rsidRPr="00026EC1" w:rsidRDefault="00CA2E8C" w:rsidP="00A64613">
      <w:pPr>
        <w:pStyle w:val="Texte1cm00000"/>
        <w:keepNext w:val="0"/>
      </w:pPr>
    </w:p>
    <w:p w14:paraId="48A6E391"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2.10</w:t>
      </w:r>
      <w:r w:rsidRPr="00026EC1">
        <w:rPr>
          <w:rFonts w:cs="Arial"/>
          <w:szCs w:val="24"/>
        </w:rPr>
        <w:tab/>
        <w:t>participer à l</w:t>
      </w:r>
      <w:r w:rsidR="004A41E4" w:rsidRPr="00026EC1">
        <w:rPr>
          <w:rFonts w:cs="Arial"/>
          <w:szCs w:val="24"/>
        </w:rPr>
        <w:t>’</w:t>
      </w:r>
      <w:r w:rsidRPr="00026EC1">
        <w:rPr>
          <w:rFonts w:cs="Arial"/>
          <w:szCs w:val="24"/>
        </w:rPr>
        <w:t>élaboration des prévisions budgétaires du département;</w:t>
      </w:r>
    </w:p>
    <w:p w14:paraId="457512EF" w14:textId="77777777" w:rsidR="00CA2E8C" w:rsidRPr="00026EC1" w:rsidRDefault="00CA2E8C" w:rsidP="00A64613">
      <w:pPr>
        <w:pStyle w:val="Texte1cm00000"/>
        <w:keepNext w:val="0"/>
      </w:pPr>
    </w:p>
    <w:p w14:paraId="37642BD3"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2.11</w:t>
      </w:r>
      <w:r w:rsidRPr="00026EC1">
        <w:rPr>
          <w:rFonts w:cs="Arial"/>
          <w:szCs w:val="24"/>
        </w:rPr>
        <w:tab/>
        <w:t xml:space="preserve">recommander au Collège et à la Commission pédagogique une politique visant à faire profiter la région des ressources départementales; </w:t>
      </w:r>
    </w:p>
    <w:p w14:paraId="18F1FEB1" w14:textId="77777777" w:rsidR="00CA2E8C" w:rsidRPr="00026EC1" w:rsidRDefault="00CA2E8C" w:rsidP="00A64613">
      <w:pPr>
        <w:pStyle w:val="Texte1cm00000"/>
        <w:keepNext w:val="0"/>
      </w:pPr>
    </w:p>
    <w:p w14:paraId="16C49941" w14:textId="77777777" w:rsidR="00CA2E8C" w:rsidRPr="00026EC1" w:rsidRDefault="00CA2E8C" w:rsidP="00A64613">
      <w:pPr>
        <w:pStyle w:val="Texte1cm00000"/>
        <w:keepNext w:val="0"/>
        <w:tabs>
          <w:tab w:val="left" w:pos="1134"/>
        </w:tabs>
        <w:ind w:left="1134" w:hanging="567"/>
        <w:rPr>
          <w:rFonts w:cs="Arial"/>
          <w:strike/>
          <w:szCs w:val="24"/>
        </w:rPr>
      </w:pPr>
      <w:r w:rsidRPr="00026EC1">
        <w:rPr>
          <w:rFonts w:cs="Arial"/>
          <w:szCs w:val="24"/>
        </w:rPr>
        <w:t>2.12</w:t>
      </w:r>
      <w:r w:rsidRPr="00026EC1">
        <w:rPr>
          <w:rFonts w:cs="Arial"/>
          <w:szCs w:val="24"/>
        </w:rPr>
        <w:tab/>
        <w:t>élaborer un plan annuel de travail, contribuer à sa réalisation et faire un rapport annuel;</w:t>
      </w:r>
      <w:r w:rsidRPr="00026EC1">
        <w:rPr>
          <w:rFonts w:cs="Arial"/>
          <w:strike/>
          <w:szCs w:val="24"/>
        </w:rPr>
        <w:t xml:space="preserve"> </w:t>
      </w:r>
    </w:p>
    <w:p w14:paraId="0F381AFF" w14:textId="30BE5380" w:rsidR="00CA2E8C" w:rsidRPr="00026EC1" w:rsidRDefault="00CA2E8C" w:rsidP="00A64613">
      <w:pPr>
        <w:pStyle w:val="Texte1cm00000"/>
        <w:keepNext w:val="0"/>
        <w:ind w:left="0"/>
      </w:pPr>
    </w:p>
    <w:p w14:paraId="52AD9F88" w14:textId="5073E4BE" w:rsidR="0017074B" w:rsidRDefault="00CA2E8C" w:rsidP="00A64613">
      <w:pPr>
        <w:pStyle w:val="Texte1cm00000"/>
        <w:keepNext w:val="0"/>
        <w:tabs>
          <w:tab w:val="left" w:pos="1134"/>
        </w:tabs>
        <w:ind w:left="1134" w:hanging="567"/>
        <w:rPr>
          <w:rFonts w:cs="Arial"/>
          <w:szCs w:val="24"/>
        </w:rPr>
      </w:pPr>
      <w:r w:rsidRPr="00026EC1">
        <w:rPr>
          <w:rFonts w:cs="Arial"/>
          <w:bCs/>
          <w:szCs w:val="24"/>
        </w:rPr>
        <w:t>2.13</w:t>
      </w:r>
      <w:r w:rsidRPr="00026EC1">
        <w:rPr>
          <w:rFonts w:cs="Arial"/>
          <w:bCs/>
          <w:szCs w:val="24"/>
        </w:rPr>
        <w:tab/>
        <w:t>définir les objectifs</w:t>
      </w:r>
      <w:r w:rsidRPr="00026EC1">
        <w:rPr>
          <w:rFonts w:cs="Arial"/>
          <w:szCs w:val="24"/>
        </w:rPr>
        <w:t xml:space="preserve">, </w:t>
      </w:r>
      <w:r w:rsidR="00885CC6" w:rsidRPr="00316277">
        <w:rPr>
          <w:rStyle w:val="ElevSoulign"/>
          <w:rFonts w:cs="Arial"/>
          <w:b w:val="0"/>
          <w:szCs w:val="24"/>
          <w:u w:val="none"/>
        </w:rPr>
        <w:t>se concerter sur</w:t>
      </w:r>
      <w:r w:rsidR="00885CC6" w:rsidRPr="0062360B">
        <w:rPr>
          <w:rFonts w:ascii="Arial Narrow" w:hAnsi="Arial Narrow"/>
          <w:szCs w:val="24"/>
        </w:rPr>
        <w:t xml:space="preserve"> </w:t>
      </w:r>
      <w:r w:rsidRPr="00026EC1">
        <w:rPr>
          <w:rFonts w:cs="Arial"/>
          <w:szCs w:val="24"/>
        </w:rPr>
        <w:t>les méthodes pédagogiques</w:t>
      </w:r>
      <w:r w:rsidR="008F30A0" w:rsidRPr="00316277">
        <w:rPr>
          <w:rFonts w:cs="Arial"/>
          <w:szCs w:val="24"/>
        </w:rPr>
        <w:t>,</w:t>
      </w:r>
      <w:r w:rsidR="005C66E3">
        <w:rPr>
          <w:rFonts w:cs="Arial"/>
          <w:szCs w:val="24"/>
        </w:rPr>
        <w:t xml:space="preserve"> </w:t>
      </w:r>
      <w:r w:rsidRPr="00026EC1">
        <w:rPr>
          <w:rFonts w:cs="Arial"/>
          <w:szCs w:val="24"/>
        </w:rPr>
        <w:t>établir les modes d</w:t>
      </w:r>
      <w:r w:rsidR="004A41E4" w:rsidRPr="00026EC1">
        <w:rPr>
          <w:rFonts w:cs="Arial"/>
          <w:szCs w:val="24"/>
        </w:rPr>
        <w:t>’</w:t>
      </w:r>
      <w:r w:rsidRPr="00026EC1">
        <w:rPr>
          <w:rFonts w:cs="Arial"/>
          <w:szCs w:val="24"/>
        </w:rPr>
        <w:t xml:space="preserve">évaluation </w:t>
      </w:r>
      <w:r w:rsidR="00885CC6" w:rsidRPr="00316277">
        <w:rPr>
          <w:rStyle w:val="ElevSoulign"/>
          <w:rFonts w:cs="Arial"/>
          <w:b w:val="0"/>
          <w:szCs w:val="24"/>
          <w:u w:val="none"/>
        </w:rPr>
        <w:t>et élaborer les plans cadres</w:t>
      </w:r>
      <w:r w:rsidR="00885CC6" w:rsidRPr="00316277">
        <w:rPr>
          <w:rStyle w:val="FootnoteReference"/>
          <w:rFonts w:cs="Arial"/>
          <w:bCs/>
          <w:szCs w:val="24"/>
        </w:rPr>
        <w:footnoteReference w:id="3"/>
      </w:r>
      <w:r w:rsidR="00885CC6" w:rsidRPr="00316277">
        <w:rPr>
          <w:rStyle w:val="ElevSoulign"/>
          <w:rFonts w:cs="Arial"/>
          <w:b w:val="0"/>
          <w:szCs w:val="24"/>
          <w:u w:val="none"/>
        </w:rPr>
        <w:t xml:space="preserve"> (ou ce qui en tient lieu</w:t>
      </w:r>
      <w:r w:rsidR="00885CC6" w:rsidRPr="00316277">
        <w:rPr>
          <w:rStyle w:val="ElevSoulign"/>
          <w:rFonts w:ascii="Arial Narrow" w:hAnsi="Arial Narrow"/>
          <w:b w:val="0"/>
          <w:szCs w:val="24"/>
        </w:rPr>
        <w:t>)</w:t>
      </w:r>
      <w:r w:rsidR="00885CC6" w:rsidRPr="0062360B">
        <w:rPr>
          <w:rFonts w:ascii="Arial Narrow" w:hAnsi="Arial Narrow"/>
          <w:szCs w:val="24"/>
        </w:rPr>
        <w:t xml:space="preserve"> </w:t>
      </w:r>
      <w:r w:rsidRPr="00026EC1">
        <w:rPr>
          <w:rFonts w:cs="Arial"/>
          <w:szCs w:val="24"/>
        </w:rPr>
        <w:t xml:space="preserve">propres à chacun des cours dont le département est responsable en tenant compte de la </w:t>
      </w:r>
      <w:r w:rsidRPr="00026EC1">
        <w:rPr>
          <w:rFonts w:cs="Arial"/>
          <w:i/>
          <w:szCs w:val="24"/>
        </w:rPr>
        <w:t>Politique institutionnelle d</w:t>
      </w:r>
      <w:r w:rsidR="004A41E4" w:rsidRPr="00026EC1">
        <w:rPr>
          <w:rFonts w:cs="Arial"/>
          <w:i/>
          <w:szCs w:val="24"/>
        </w:rPr>
        <w:t>’</w:t>
      </w:r>
      <w:r w:rsidRPr="00026EC1">
        <w:rPr>
          <w:rFonts w:cs="Arial"/>
          <w:i/>
          <w:szCs w:val="24"/>
        </w:rPr>
        <w:t>évaluation des apprentissages</w:t>
      </w:r>
      <w:r w:rsidR="00660B72" w:rsidRPr="00026EC1">
        <w:rPr>
          <w:rFonts w:cs="Arial"/>
          <w:i/>
          <w:szCs w:val="24"/>
        </w:rPr>
        <w:t xml:space="preserve"> </w:t>
      </w:r>
      <w:r w:rsidR="00660B72" w:rsidRPr="00026EC1">
        <w:rPr>
          <w:rFonts w:cs="Arial"/>
          <w:szCs w:val="24"/>
        </w:rPr>
        <w:t>(PIEA)</w:t>
      </w:r>
      <w:r w:rsidRPr="00026EC1">
        <w:rPr>
          <w:rFonts w:cs="Arial"/>
          <w:szCs w:val="24"/>
        </w:rPr>
        <w:t>;</w:t>
      </w:r>
    </w:p>
    <w:p w14:paraId="217F6774" w14:textId="77777777" w:rsidR="0017074B" w:rsidRDefault="0017074B" w:rsidP="00A64613">
      <w:pPr>
        <w:pStyle w:val="Texte1cm00000"/>
        <w:keepNext w:val="0"/>
        <w:tabs>
          <w:tab w:val="left" w:pos="1134"/>
        </w:tabs>
        <w:ind w:left="1134" w:hanging="567"/>
        <w:rPr>
          <w:rFonts w:cs="Arial"/>
          <w:szCs w:val="24"/>
        </w:rPr>
      </w:pPr>
    </w:p>
    <w:p w14:paraId="1827BAA0" w14:textId="69CE116D"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2.14</w:t>
      </w:r>
      <w:r w:rsidRPr="00026EC1">
        <w:rPr>
          <w:rFonts w:cs="Arial"/>
          <w:szCs w:val="24"/>
        </w:rPr>
        <w:tab/>
        <w:t>adopter les plans de cours préparés par les membres du département;</w:t>
      </w:r>
    </w:p>
    <w:p w14:paraId="472F406D" w14:textId="77777777" w:rsidR="00CA2E8C" w:rsidRPr="00026EC1" w:rsidRDefault="00CA2E8C" w:rsidP="00A64613">
      <w:pPr>
        <w:pStyle w:val="Texte1cm00000"/>
        <w:keepNext w:val="0"/>
        <w:rPr>
          <w:rFonts w:cs="Arial"/>
          <w:szCs w:val="24"/>
        </w:rPr>
      </w:pPr>
    </w:p>
    <w:p w14:paraId="7AC76731" w14:textId="54165A1B"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2.15</w:t>
      </w:r>
      <w:r w:rsidRPr="00026EC1">
        <w:rPr>
          <w:rFonts w:cs="Arial"/>
          <w:szCs w:val="24"/>
        </w:rPr>
        <w:tab/>
        <w:t>soumettre au Collège et à la Commission pédagogique des recommandations susceptibles d</w:t>
      </w:r>
      <w:r w:rsidR="004A41E4" w:rsidRPr="00026EC1">
        <w:rPr>
          <w:rFonts w:cs="Arial"/>
          <w:szCs w:val="24"/>
        </w:rPr>
        <w:t>’</w:t>
      </w:r>
      <w:r w:rsidRPr="00026EC1">
        <w:rPr>
          <w:rFonts w:cs="Arial"/>
          <w:szCs w:val="24"/>
        </w:rPr>
        <w:t>améliorer la qualité de l</w:t>
      </w:r>
      <w:r w:rsidR="004A41E4" w:rsidRPr="00026EC1">
        <w:rPr>
          <w:rFonts w:cs="Arial"/>
          <w:szCs w:val="24"/>
        </w:rPr>
        <w:t>’</w:t>
      </w:r>
      <w:r w:rsidRPr="00026EC1">
        <w:rPr>
          <w:rFonts w:cs="Arial"/>
          <w:szCs w:val="24"/>
        </w:rPr>
        <w:t>enseignement pour sa</w:t>
      </w:r>
      <w:r w:rsidR="00EC2361">
        <w:rPr>
          <w:rFonts w:cs="Arial"/>
          <w:szCs w:val="24"/>
        </w:rPr>
        <w:t xml:space="preserve"> </w:t>
      </w:r>
      <w:r w:rsidR="00EC2361" w:rsidRPr="00316277">
        <w:rPr>
          <w:rFonts w:cs="Arial"/>
          <w:szCs w:val="24"/>
        </w:rPr>
        <w:t>ou ses</w:t>
      </w:r>
      <w:r w:rsidRPr="00026EC1">
        <w:rPr>
          <w:rFonts w:cs="Arial"/>
          <w:szCs w:val="24"/>
        </w:rPr>
        <w:t xml:space="preserve"> discipline</w:t>
      </w:r>
      <w:r w:rsidR="00EC2361" w:rsidRPr="00316277">
        <w:rPr>
          <w:rFonts w:cs="Arial"/>
          <w:szCs w:val="24"/>
        </w:rPr>
        <w:t>s</w:t>
      </w:r>
      <w:r w:rsidRPr="00026EC1">
        <w:rPr>
          <w:rFonts w:cs="Arial"/>
          <w:szCs w:val="24"/>
        </w:rPr>
        <w:t>;</w:t>
      </w:r>
    </w:p>
    <w:p w14:paraId="4ECEBB96" w14:textId="77777777" w:rsidR="00495E9B" w:rsidRPr="00026EC1" w:rsidRDefault="00495E9B" w:rsidP="00A64613">
      <w:pPr>
        <w:pStyle w:val="Texte1cm00000"/>
        <w:keepNext w:val="0"/>
        <w:tabs>
          <w:tab w:val="left" w:pos="1134"/>
        </w:tabs>
        <w:ind w:left="1134" w:hanging="567"/>
        <w:rPr>
          <w:rFonts w:cs="Arial"/>
          <w:szCs w:val="24"/>
        </w:rPr>
      </w:pPr>
    </w:p>
    <w:p w14:paraId="6BFF3BD6"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2.16</w:t>
      </w:r>
      <w:r w:rsidRPr="00026EC1">
        <w:rPr>
          <w:rFonts w:cs="Arial"/>
          <w:szCs w:val="24"/>
        </w:rPr>
        <w:tab/>
        <w:t>sélectionner des milieux de stages et assumer, en concertation, l</w:t>
      </w:r>
      <w:r w:rsidR="004A41E4" w:rsidRPr="00026EC1">
        <w:rPr>
          <w:rFonts w:cs="Arial"/>
          <w:szCs w:val="24"/>
        </w:rPr>
        <w:t>’</w:t>
      </w:r>
      <w:r w:rsidRPr="00026EC1">
        <w:rPr>
          <w:rFonts w:cs="Arial"/>
          <w:szCs w:val="24"/>
        </w:rPr>
        <w:t xml:space="preserve">organisation pratique des stages; </w:t>
      </w:r>
    </w:p>
    <w:p w14:paraId="39A7727C" w14:textId="77777777" w:rsidR="00CA2E8C" w:rsidRPr="00026EC1" w:rsidRDefault="00CA2E8C" w:rsidP="00A64613">
      <w:pPr>
        <w:pStyle w:val="Texte1cm00000"/>
        <w:keepNext w:val="0"/>
        <w:rPr>
          <w:rFonts w:cs="Arial"/>
          <w:szCs w:val="24"/>
        </w:rPr>
      </w:pPr>
    </w:p>
    <w:p w14:paraId="67DFCEB2"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2.17</w:t>
      </w:r>
      <w:r w:rsidRPr="00026EC1">
        <w:rPr>
          <w:rFonts w:cs="Arial"/>
          <w:szCs w:val="24"/>
        </w:rPr>
        <w:tab/>
        <w:t>rechercher et mettre en place, dans le cadre des services professionnels rendus, des stratégies d</w:t>
      </w:r>
      <w:r w:rsidR="004A41E4" w:rsidRPr="00026EC1">
        <w:rPr>
          <w:rFonts w:cs="Arial"/>
          <w:szCs w:val="24"/>
        </w:rPr>
        <w:t>’</w:t>
      </w:r>
      <w:r w:rsidRPr="00026EC1">
        <w:rPr>
          <w:rFonts w:cs="Arial"/>
          <w:szCs w:val="24"/>
        </w:rPr>
        <w:t>encadrement afin d</w:t>
      </w:r>
      <w:r w:rsidR="004A41E4" w:rsidRPr="00026EC1">
        <w:rPr>
          <w:rFonts w:cs="Arial"/>
          <w:szCs w:val="24"/>
        </w:rPr>
        <w:t>’</w:t>
      </w:r>
      <w:r w:rsidRPr="00026EC1">
        <w:rPr>
          <w:rFonts w:cs="Arial"/>
          <w:szCs w:val="24"/>
        </w:rPr>
        <w:t>améliorer la réussite des étudiantes et des étudiants en tenant compte du plan institutionnel de réussite;</w:t>
      </w:r>
    </w:p>
    <w:p w14:paraId="10095FBA" w14:textId="77777777" w:rsidR="00B74B87" w:rsidRPr="00026EC1" w:rsidRDefault="00B74B87" w:rsidP="00A64613">
      <w:pPr>
        <w:pStyle w:val="Texte1cm00000"/>
        <w:keepNext w:val="0"/>
        <w:tabs>
          <w:tab w:val="left" w:pos="1134"/>
        </w:tabs>
        <w:ind w:left="1134" w:hanging="567"/>
        <w:rPr>
          <w:rFonts w:cs="Arial"/>
          <w:szCs w:val="24"/>
        </w:rPr>
      </w:pPr>
    </w:p>
    <w:p w14:paraId="52AA2CF9" w14:textId="77777777" w:rsidR="00CA2E8C" w:rsidRPr="00026EC1" w:rsidRDefault="00CA2E8C" w:rsidP="00A64613">
      <w:pPr>
        <w:pStyle w:val="Texte1cm00000"/>
        <w:keepNext w:val="0"/>
        <w:tabs>
          <w:tab w:val="left" w:pos="1134"/>
        </w:tabs>
        <w:ind w:left="1134" w:hanging="567"/>
        <w:rPr>
          <w:rFonts w:cs="Arial"/>
          <w:szCs w:val="24"/>
        </w:rPr>
      </w:pPr>
      <w:r w:rsidRPr="00026EC1">
        <w:rPr>
          <w:rFonts w:cs="Arial"/>
          <w:szCs w:val="24"/>
        </w:rPr>
        <w:t>2.18</w:t>
      </w:r>
      <w:r w:rsidRPr="00026EC1">
        <w:rPr>
          <w:rFonts w:cs="Arial"/>
          <w:szCs w:val="24"/>
        </w:rPr>
        <w:tab/>
        <w:t>assurer l</w:t>
      </w:r>
      <w:r w:rsidR="004A41E4" w:rsidRPr="00026EC1">
        <w:rPr>
          <w:rFonts w:cs="Arial"/>
          <w:szCs w:val="24"/>
        </w:rPr>
        <w:t>’</w:t>
      </w:r>
      <w:r w:rsidRPr="00026EC1">
        <w:rPr>
          <w:rFonts w:cs="Arial"/>
          <w:szCs w:val="24"/>
        </w:rPr>
        <w:t xml:space="preserve">assistance professionnelle </w:t>
      </w:r>
      <w:r w:rsidRPr="00026EC1">
        <w:rPr>
          <w:rFonts w:cs="Arial"/>
          <w:szCs w:val="24"/>
          <w:shd w:val="clear" w:color="auto" w:fill="FFFFFF"/>
        </w:rPr>
        <w:t xml:space="preserve">aux </w:t>
      </w:r>
      <w:r w:rsidRPr="00026EC1">
        <w:rPr>
          <w:rFonts w:cs="Arial"/>
          <w:szCs w:val="24"/>
        </w:rPr>
        <w:t>nouvelles enseignantes et nouveaux enseignants.</w:t>
      </w:r>
    </w:p>
    <w:p w14:paraId="658C3475" w14:textId="77777777" w:rsidR="00CA2E8C" w:rsidRPr="00026EC1" w:rsidRDefault="00CA2E8C" w:rsidP="00A64613">
      <w:pPr>
        <w:keepNext w:val="0"/>
      </w:pPr>
    </w:p>
    <w:p w14:paraId="4EC54AD7" w14:textId="1F3B1EA5" w:rsidR="00CA2E8C" w:rsidRPr="00026EC1" w:rsidRDefault="00CA2E8C" w:rsidP="00A64613">
      <w:pPr>
        <w:pStyle w:val="NUMRODECLAUSE"/>
        <w:keepNext w:val="0"/>
      </w:pPr>
      <w:r w:rsidRPr="00026EC1">
        <w:t>4</w:t>
      </w:r>
      <w:r w:rsidR="00984A6F">
        <w:noBreakHyphen/>
      </w:r>
      <w:r w:rsidRPr="00026EC1">
        <w:t>1.06</w:t>
      </w:r>
    </w:p>
    <w:p w14:paraId="01D4E7E3" w14:textId="21CF001F" w:rsidR="00CA2E8C" w:rsidRPr="00026EC1" w:rsidRDefault="00CA2E8C" w:rsidP="00A64613">
      <w:pPr>
        <w:keepNext w:val="0"/>
      </w:pPr>
      <w:r w:rsidRPr="00026EC1">
        <w:t>Les enseignantes et enseignants du département doivent désigner, au plus tard le 1</w:t>
      </w:r>
      <w:r w:rsidRPr="00026EC1">
        <w:rPr>
          <w:szCs w:val="24"/>
          <w:vertAlign w:val="superscript"/>
        </w:rPr>
        <w:t>er</w:t>
      </w:r>
      <w:r w:rsidRPr="00026EC1">
        <w:t xml:space="preserve"> avril, selon leur propre procédure, la coordonnatrice ou le coordonnateur du département pour l</w:t>
      </w:r>
      <w:r w:rsidR="004A41E4" w:rsidRPr="00026EC1">
        <w:t>’</w:t>
      </w:r>
      <w:r w:rsidRPr="00026EC1">
        <w:t>année d</w:t>
      </w:r>
      <w:r w:rsidR="004A41E4" w:rsidRPr="00026EC1">
        <w:t>’</w:t>
      </w:r>
      <w:r w:rsidRPr="00026EC1">
        <w:t>enseignement suivante. Elles et ils désignent, le cas échéant, d</w:t>
      </w:r>
      <w:r w:rsidR="004A41E4" w:rsidRPr="00026EC1">
        <w:t>’</w:t>
      </w:r>
      <w:r w:rsidRPr="00026EC1">
        <w:t>autres enseignantes et enseignants du département chargés d</w:t>
      </w:r>
      <w:r w:rsidR="004A41E4" w:rsidRPr="00026EC1">
        <w:t>’</w:t>
      </w:r>
      <w:r w:rsidRPr="00026EC1">
        <w:t>activités spécifiques parmi celles décrites à la clause</w:t>
      </w:r>
      <w:r w:rsidR="007F445F" w:rsidRPr="00026EC1">
        <w:t> </w:t>
      </w:r>
      <w:r w:rsidRPr="00026EC1">
        <w:t>4</w:t>
      </w:r>
      <w:r w:rsidR="00984A6F">
        <w:noBreakHyphen/>
      </w:r>
      <w:r w:rsidRPr="00026EC1">
        <w:t>1.10. Dans ce cas, le département peut répartir en conséquence les libérations prévues à la clause</w:t>
      </w:r>
      <w:r w:rsidR="007F445F" w:rsidRPr="00026EC1">
        <w:t> </w:t>
      </w:r>
      <w:r w:rsidRPr="00026EC1">
        <w:t>4</w:t>
      </w:r>
      <w:r w:rsidR="00984A6F">
        <w:noBreakHyphen/>
      </w:r>
      <w:r w:rsidRPr="00026EC1">
        <w:t>1.13. Il informe le Collège du nom de la coordonnatrice ou du coordonnateur et, le cas échéant, du nom des autres enseignantes et enseignants.</w:t>
      </w:r>
    </w:p>
    <w:p w14:paraId="5FD09168" w14:textId="77777777" w:rsidR="00CA2E8C" w:rsidRPr="00026EC1" w:rsidRDefault="00CA2E8C" w:rsidP="00A64613">
      <w:pPr>
        <w:keepNext w:val="0"/>
      </w:pPr>
    </w:p>
    <w:p w14:paraId="5F67277C" w14:textId="64D5FC42" w:rsidR="00CA2E8C" w:rsidRPr="00026EC1" w:rsidRDefault="00CA2E8C" w:rsidP="00A64613">
      <w:pPr>
        <w:pStyle w:val="NUMRODECLAUSE"/>
        <w:keepNext w:val="0"/>
      </w:pPr>
      <w:r w:rsidRPr="00026EC1">
        <w:t>4</w:t>
      </w:r>
      <w:r w:rsidR="00984A6F">
        <w:noBreakHyphen/>
      </w:r>
      <w:r w:rsidRPr="00026EC1">
        <w:t>1.07</w:t>
      </w:r>
    </w:p>
    <w:p w14:paraId="1362B5B0" w14:textId="1753C73D" w:rsidR="00CA2E8C" w:rsidRPr="00026EC1" w:rsidRDefault="00CA2E8C" w:rsidP="00A64613">
      <w:pPr>
        <w:keepNext w:val="0"/>
      </w:pPr>
      <w:r w:rsidRPr="00026EC1">
        <w:t>À défaut par les enseignantes et enseignants de désigner la coordonnatrice ou le coordonnateur du département</w:t>
      </w:r>
      <w:r w:rsidRPr="00026EC1">
        <w:rPr>
          <w:color w:val="0000FF"/>
        </w:rPr>
        <w:t>,</w:t>
      </w:r>
      <w:r w:rsidRPr="00026EC1">
        <w:t xml:space="preserve"> le Collège assume directement cette fonction et les clauses</w:t>
      </w:r>
      <w:r w:rsidR="007F445F" w:rsidRPr="00026EC1">
        <w:t> </w:t>
      </w:r>
      <w:r w:rsidRPr="00026EC1">
        <w:t>8</w:t>
      </w:r>
      <w:r w:rsidR="00984A6F">
        <w:noBreakHyphen/>
      </w:r>
      <w:r w:rsidRPr="00026EC1">
        <w:t>5.04 et 4</w:t>
      </w:r>
      <w:r w:rsidR="00984A6F">
        <w:noBreakHyphen/>
      </w:r>
      <w:r w:rsidRPr="00026EC1">
        <w:t>1.13 ne s</w:t>
      </w:r>
      <w:r w:rsidR="004A41E4" w:rsidRPr="00026EC1">
        <w:t>’</w:t>
      </w:r>
      <w:r w:rsidRPr="00026EC1">
        <w:t>appliquent pas pour ce département. Le Collège peut révoquer pour cause, et à ce titre, une coordonnatrice ou un coordonnateur. À la demande du département, le Collège peut aussi révoquer, et à ce titre, la coordonnatrice ou le coordonnateur.</w:t>
      </w:r>
    </w:p>
    <w:p w14:paraId="4CE0DB28" w14:textId="77777777" w:rsidR="00CA2E8C" w:rsidRPr="00026EC1" w:rsidRDefault="00CA2E8C" w:rsidP="00A64613">
      <w:pPr>
        <w:keepNext w:val="0"/>
        <w:shd w:val="clear" w:color="auto" w:fill="FFFFFF"/>
      </w:pPr>
    </w:p>
    <w:p w14:paraId="69446C8A" w14:textId="77777777" w:rsidR="00CA2E8C" w:rsidRPr="00026EC1" w:rsidRDefault="00CA2E8C" w:rsidP="00A64613">
      <w:pPr>
        <w:keepNext w:val="0"/>
        <w:shd w:val="clear" w:color="auto" w:fill="FFFFFF"/>
      </w:pPr>
      <w:r w:rsidRPr="00026EC1">
        <w:t>Les parties peuvent s</w:t>
      </w:r>
      <w:r w:rsidR="004A41E4" w:rsidRPr="00026EC1">
        <w:t>’</w:t>
      </w:r>
      <w:r w:rsidRPr="00026EC1">
        <w:t>entendre sur la désignation d</w:t>
      </w:r>
      <w:r w:rsidR="004A41E4" w:rsidRPr="00026EC1">
        <w:t>’</w:t>
      </w:r>
      <w:r w:rsidRPr="00026EC1">
        <w:t>une personne pour agir à titre de tutrice ou tuteur. Elles s</w:t>
      </w:r>
      <w:r w:rsidR="004A41E4" w:rsidRPr="00026EC1">
        <w:t>’</w:t>
      </w:r>
      <w:r w:rsidRPr="00026EC1">
        <w:t>entendent alors sur l</w:t>
      </w:r>
      <w:r w:rsidR="004A41E4" w:rsidRPr="00026EC1">
        <w:t>’</w:t>
      </w:r>
      <w:r w:rsidRPr="00026EC1">
        <w:t xml:space="preserve">utilisation des sommes </w:t>
      </w:r>
      <w:r w:rsidRPr="00026EC1">
        <w:rPr>
          <w:shd w:val="clear" w:color="auto" w:fill="FFFFFF"/>
        </w:rPr>
        <w:t>qui proviennent de l</w:t>
      </w:r>
      <w:r w:rsidR="004A41E4" w:rsidRPr="00026EC1">
        <w:rPr>
          <w:shd w:val="clear" w:color="auto" w:fill="FFFFFF"/>
        </w:rPr>
        <w:t>’</w:t>
      </w:r>
      <w:r w:rsidRPr="00026EC1">
        <w:rPr>
          <w:shd w:val="clear" w:color="auto" w:fill="FFFFFF"/>
        </w:rPr>
        <w:t>allocation aux fins de coordination départementale</w:t>
      </w:r>
      <w:r w:rsidRPr="00026EC1">
        <w:t>.</w:t>
      </w:r>
    </w:p>
    <w:p w14:paraId="0104D044" w14:textId="77777777" w:rsidR="00CA2E8C" w:rsidRPr="00026EC1" w:rsidRDefault="00CA2E8C" w:rsidP="00A64613">
      <w:pPr>
        <w:keepNext w:val="0"/>
      </w:pPr>
    </w:p>
    <w:p w14:paraId="30B663EC" w14:textId="55B321BD" w:rsidR="00CA2E8C" w:rsidRPr="00026EC1" w:rsidRDefault="00CA2E8C" w:rsidP="00A64613">
      <w:pPr>
        <w:pStyle w:val="NUMRODECLAUSE"/>
        <w:keepNext w:val="0"/>
      </w:pPr>
      <w:r w:rsidRPr="00026EC1">
        <w:t>4</w:t>
      </w:r>
      <w:r w:rsidR="00984A6F">
        <w:noBreakHyphen/>
      </w:r>
      <w:r w:rsidRPr="00026EC1">
        <w:t>1.08</w:t>
      </w:r>
    </w:p>
    <w:p w14:paraId="60241672" w14:textId="77777777" w:rsidR="00CA2E8C" w:rsidRDefault="00CA2E8C" w:rsidP="00A64613">
      <w:pPr>
        <w:keepNext w:val="0"/>
      </w:pPr>
      <w:r w:rsidRPr="00026EC1">
        <w:t>La coordonnatrice ou le coordonnateur du département est une enseignante ou un enseignant qui, au moment de son entrée en fonction, est à l</w:t>
      </w:r>
      <w:r w:rsidR="004A41E4" w:rsidRPr="00026EC1">
        <w:t>’</w:t>
      </w:r>
      <w:r w:rsidRPr="00026EC1">
        <w:t>emploi du Collège.</w:t>
      </w:r>
    </w:p>
    <w:p w14:paraId="6B4CD8DD" w14:textId="77777777" w:rsidR="00462060" w:rsidRPr="00026EC1" w:rsidRDefault="00462060" w:rsidP="00A64613">
      <w:pPr>
        <w:keepNext w:val="0"/>
      </w:pPr>
    </w:p>
    <w:p w14:paraId="7474B09B" w14:textId="7DC692DC" w:rsidR="00CA2E8C" w:rsidRDefault="00CA2E8C" w:rsidP="00A64613">
      <w:pPr>
        <w:keepNext w:val="0"/>
      </w:pPr>
      <w:r w:rsidRPr="00026EC1">
        <w:t>Toutefois, le fait de désigner une enseignante ou un enseignant mis en disponibilité ou non permanent ne peut avoir pour effet de dépasser le nombre d</w:t>
      </w:r>
      <w:r w:rsidR="004A41E4" w:rsidRPr="00026EC1">
        <w:t>’</w:t>
      </w:r>
      <w:r w:rsidRPr="00026EC1">
        <w:t>enseignantes et d</w:t>
      </w:r>
      <w:r w:rsidR="004A41E4" w:rsidRPr="00026EC1">
        <w:t>’</w:t>
      </w:r>
      <w:r w:rsidRPr="00026EC1">
        <w:t>enseignants alloué à la ou aux disciplines du département.</w:t>
      </w:r>
    </w:p>
    <w:p w14:paraId="45FCF8D5" w14:textId="77777777" w:rsidR="004214F1" w:rsidRDefault="004214F1" w:rsidP="00A64613">
      <w:pPr>
        <w:keepNext w:val="0"/>
      </w:pPr>
    </w:p>
    <w:p w14:paraId="3D4B7726" w14:textId="3C3D5514" w:rsidR="00CA2E8C" w:rsidRPr="00026EC1" w:rsidRDefault="00CA2E8C" w:rsidP="00A64613">
      <w:pPr>
        <w:pStyle w:val="NUMRODECLAUSE"/>
        <w:keepNext w:val="0"/>
      </w:pPr>
      <w:r w:rsidRPr="00026EC1">
        <w:t>4</w:t>
      </w:r>
      <w:r w:rsidR="00984A6F">
        <w:noBreakHyphen/>
      </w:r>
      <w:r w:rsidRPr="00026EC1">
        <w:t>1.09</w:t>
      </w:r>
    </w:p>
    <w:p w14:paraId="1326BA22" w14:textId="121A7A55" w:rsidR="00CA2E8C" w:rsidRDefault="00CA2E8C" w:rsidP="00A64613">
      <w:pPr>
        <w:keepNext w:val="0"/>
      </w:pPr>
      <w:r w:rsidRPr="00026EC1">
        <w:t>Le mandat de la coordonnatrice ou du coordonnateur du département est d</w:t>
      </w:r>
      <w:r w:rsidR="004A41E4" w:rsidRPr="00026EC1">
        <w:t>’</w:t>
      </w:r>
      <w:r w:rsidRPr="00026EC1">
        <w:t>un (1) an et est renouvelable.</w:t>
      </w:r>
    </w:p>
    <w:p w14:paraId="1CD3D8C3" w14:textId="77777777" w:rsidR="007F2419" w:rsidRPr="00026EC1" w:rsidRDefault="007F2419" w:rsidP="00A64613">
      <w:pPr>
        <w:keepNext w:val="0"/>
      </w:pPr>
    </w:p>
    <w:p w14:paraId="7E1A41AE" w14:textId="4A198229" w:rsidR="00CA2E8C" w:rsidRPr="00026EC1" w:rsidRDefault="00CA2E8C" w:rsidP="00A64613">
      <w:pPr>
        <w:pStyle w:val="NUMRODECLAUSE"/>
        <w:keepNext w:val="0"/>
      </w:pPr>
      <w:r w:rsidRPr="00026EC1">
        <w:t>4</w:t>
      </w:r>
      <w:r w:rsidR="00984A6F">
        <w:noBreakHyphen/>
      </w:r>
      <w:r w:rsidRPr="00026EC1">
        <w:t>1.10</w:t>
      </w:r>
    </w:p>
    <w:p w14:paraId="5056B2F6" w14:textId="43543B03" w:rsidR="00CA2E8C" w:rsidRPr="00026EC1" w:rsidRDefault="00CA2E8C" w:rsidP="00A64613">
      <w:pPr>
        <w:keepNext w:val="0"/>
        <w:rPr>
          <w:rFonts w:cs="Arial"/>
          <w:szCs w:val="24"/>
        </w:rPr>
      </w:pPr>
      <w:r w:rsidRPr="00026EC1">
        <w:rPr>
          <w:rFonts w:cs="Arial"/>
          <w:szCs w:val="24"/>
        </w:rPr>
        <w:t>La coordonnatrice ou le coordonnateur du département coordonne les activités requises pour la réalisation des fonctions du département prévues à la clause</w:t>
      </w:r>
      <w:r w:rsidR="007F445F" w:rsidRPr="00026EC1">
        <w:rPr>
          <w:rFonts w:cs="Arial"/>
          <w:szCs w:val="24"/>
        </w:rPr>
        <w:t> </w:t>
      </w:r>
      <w:r w:rsidRPr="00026EC1">
        <w:rPr>
          <w:rFonts w:cs="Arial"/>
          <w:szCs w:val="24"/>
        </w:rPr>
        <w:t>4</w:t>
      </w:r>
      <w:r w:rsidR="00984A6F">
        <w:rPr>
          <w:rFonts w:cs="Arial"/>
          <w:szCs w:val="24"/>
        </w:rPr>
        <w:noBreakHyphen/>
      </w:r>
      <w:r w:rsidRPr="00026EC1">
        <w:rPr>
          <w:rFonts w:cs="Arial"/>
          <w:szCs w:val="24"/>
        </w:rPr>
        <w:t>1.05 et remplit les tâches administratives inhérentes à sa fonction. À ces fins, la coordonnatrice ou le coordonnateur accomplit les tâches spécifiques suivantes</w:t>
      </w:r>
      <w:r w:rsidR="00D8581B">
        <w:rPr>
          <w:rFonts w:cs="Arial"/>
          <w:szCs w:val="24"/>
        </w:rPr>
        <w:t> :</w:t>
      </w:r>
    </w:p>
    <w:p w14:paraId="291C5FDC" w14:textId="77777777" w:rsidR="00CA2E8C" w:rsidRPr="00026EC1" w:rsidRDefault="00CA2E8C" w:rsidP="00A64613">
      <w:pPr>
        <w:keepNext w:val="0"/>
        <w:rPr>
          <w:rFonts w:cs="Arial"/>
          <w:szCs w:val="24"/>
        </w:rPr>
      </w:pPr>
    </w:p>
    <w:p w14:paraId="40964241" w14:textId="54041D2A" w:rsidR="00CA2E8C" w:rsidRPr="00026EC1" w:rsidRDefault="00CA2E8C" w:rsidP="00A64613">
      <w:pPr>
        <w:keepNext w:val="0"/>
        <w:spacing w:line="276" w:lineRule="auto"/>
        <w:rPr>
          <w:rFonts w:cs="Arial"/>
          <w:b/>
          <w:i/>
          <w:szCs w:val="24"/>
        </w:rPr>
      </w:pPr>
      <w:r w:rsidRPr="00026EC1">
        <w:rPr>
          <w:rFonts w:cs="Arial"/>
          <w:b/>
          <w:i/>
          <w:szCs w:val="24"/>
        </w:rPr>
        <w:t>Dans le cadre des activités liées à la régie interne</w:t>
      </w:r>
      <w:r w:rsidR="00D8581B">
        <w:rPr>
          <w:rFonts w:cs="Arial"/>
          <w:b/>
          <w:i/>
          <w:szCs w:val="24"/>
        </w:rPr>
        <w:t> :</w:t>
      </w:r>
    </w:p>
    <w:p w14:paraId="5F788E74" w14:textId="77777777" w:rsidR="00CA2E8C" w:rsidRPr="00026EC1" w:rsidRDefault="00CA2E8C" w:rsidP="00A64613">
      <w:pPr>
        <w:keepNext w:val="0"/>
      </w:pPr>
    </w:p>
    <w:p w14:paraId="2EFDE5FD" w14:textId="77777777" w:rsidR="00CA2E8C" w:rsidRPr="00026EC1" w:rsidRDefault="00275751" w:rsidP="00A64613">
      <w:pPr>
        <w:pStyle w:val="ListParagraph"/>
        <w:suppressAutoHyphens/>
        <w:ind w:left="567" w:hanging="567"/>
      </w:pPr>
      <w:r w:rsidRPr="00026EC1">
        <w:t>1.</w:t>
      </w:r>
      <w:r w:rsidRPr="00026EC1">
        <w:tab/>
      </w:r>
      <w:r w:rsidR="00CA2E8C" w:rsidRPr="00026EC1">
        <w:t>voir à la tenue des assemblées départementales et à leur animation;</w:t>
      </w:r>
    </w:p>
    <w:p w14:paraId="5D6CD953" w14:textId="77777777" w:rsidR="00CA2E8C" w:rsidRPr="00026EC1" w:rsidRDefault="00CA2E8C" w:rsidP="00A64613">
      <w:pPr>
        <w:keepNext w:val="0"/>
      </w:pPr>
    </w:p>
    <w:p w14:paraId="33DA2AC2" w14:textId="77777777" w:rsidR="00CA2E8C" w:rsidRPr="00026EC1" w:rsidRDefault="00275751" w:rsidP="00A64613">
      <w:pPr>
        <w:pStyle w:val="ListParagraph"/>
        <w:suppressAutoHyphens/>
        <w:ind w:left="567" w:hanging="567"/>
      </w:pPr>
      <w:r w:rsidRPr="00026EC1">
        <w:t>2.</w:t>
      </w:r>
      <w:r w:rsidRPr="00026EC1">
        <w:tab/>
      </w:r>
      <w:r w:rsidR="00CA2E8C" w:rsidRPr="00026EC1">
        <w:t>assurer le suivi des règles départementales en tenant compte des politiques institutionnelles;</w:t>
      </w:r>
    </w:p>
    <w:p w14:paraId="53A713A4" w14:textId="77777777" w:rsidR="00CA2E8C" w:rsidRPr="00026EC1" w:rsidRDefault="00CA2E8C" w:rsidP="00A64613">
      <w:pPr>
        <w:keepNext w:val="0"/>
      </w:pPr>
    </w:p>
    <w:p w14:paraId="4BA95923" w14:textId="77777777" w:rsidR="00CA2E8C" w:rsidRPr="00026EC1" w:rsidRDefault="00275751" w:rsidP="00A64613">
      <w:pPr>
        <w:pStyle w:val="ListParagraph"/>
        <w:suppressAutoHyphens/>
        <w:ind w:left="567" w:hanging="567"/>
      </w:pPr>
      <w:r w:rsidRPr="00026EC1">
        <w:t>3.</w:t>
      </w:r>
      <w:r w:rsidRPr="00026EC1">
        <w:tab/>
      </w:r>
      <w:r w:rsidR="00CA2E8C" w:rsidRPr="00026EC1">
        <w:t>préparer, pour soumettre à l</w:t>
      </w:r>
      <w:r w:rsidR="004A41E4" w:rsidRPr="00026EC1">
        <w:t>’</w:t>
      </w:r>
      <w:r w:rsidR="00CA2E8C" w:rsidRPr="00026EC1">
        <w:t>assemblée départementale, un projet de répartition des charges d</w:t>
      </w:r>
      <w:r w:rsidR="004A41E4" w:rsidRPr="00026EC1">
        <w:t>’</w:t>
      </w:r>
      <w:r w:rsidR="00CA2E8C" w:rsidRPr="00026EC1">
        <w:t>enseignement et des activités relatives aux services professionnels rendus</w:t>
      </w:r>
      <w:r w:rsidR="00CA2E8C" w:rsidRPr="00026EC1">
        <w:rPr>
          <w:shd w:val="clear" w:color="auto" w:fill="FFFFFF"/>
        </w:rPr>
        <w:t xml:space="preserve"> </w:t>
      </w:r>
      <w:r w:rsidR="00CA2E8C" w:rsidRPr="00026EC1">
        <w:t>à l</w:t>
      </w:r>
      <w:r w:rsidR="004A41E4" w:rsidRPr="00026EC1">
        <w:t>’</w:t>
      </w:r>
      <w:r w:rsidR="00CA2E8C" w:rsidRPr="00026EC1">
        <w:t>intérieur des normes fixées par la convention collective et par le Collège;</w:t>
      </w:r>
    </w:p>
    <w:p w14:paraId="3ACD7665" w14:textId="77777777" w:rsidR="00CA2E8C" w:rsidRPr="00026EC1" w:rsidRDefault="00CA2E8C" w:rsidP="00A64613">
      <w:pPr>
        <w:keepNext w:val="0"/>
      </w:pPr>
    </w:p>
    <w:p w14:paraId="7743E2FF" w14:textId="77777777" w:rsidR="00CA2E8C" w:rsidRPr="00026EC1" w:rsidRDefault="00275751" w:rsidP="00A64613">
      <w:pPr>
        <w:pStyle w:val="ListParagraph"/>
        <w:suppressAutoHyphens/>
        <w:ind w:left="567" w:hanging="567"/>
        <w:rPr>
          <w:bCs/>
        </w:rPr>
      </w:pPr>
      <w:r w:rsidRPr="00026EC1">
        <w:rPr>
          <w:bCs/>
        </w:rPr>
        <w:t>4.</w:t>
      </w:r>
      <w:r w:rsidRPr="00026EC1">
        <w:rPr>
          <w:bCs/>
        </w:rPr>
        <w:tab/>
      </w:r>
      <w:r w:rsidR="00CA2E8C" w:rsidRPr="00026EC1">
        <w:rPr>
          <w:bCs/>
        </w:rPr>
        <w:t>faciliter la circulation de l</w:t>
      </w:r>
      <w:r w:rsidR="004A41E4" w:rsidRPr="00026EC1">
        <w:rPr>
          <w:bCs/>
        </w:rPr>
        <w:t>’</w:t>
      </w:r>
      <w:r w:rsidR="00CA2E8C" w:rsidRPr="00026EC1">
        <w:rPr>
          <w:bCs/>
        </w:rPr>
        <w:t>information et la communication entre les membres du département;</w:t>
      </w:r>
    </w:p>
    <w:p w14:paraId="02683678" w14:textId="77777777" w:rsidR="00CA2E8C" w:rsidRPr="00026EC1" w:rsidRDefault="00CA2E8C" w:rsidP="00A64613">
      <w:pPr>
        <w:keepNext w:val="0"/>
      </w:pPr>
    </w:p>
    <w:p w14:paraId="72FE475F" w14:textId="77777777" w:rsidR="00CA2E8C" w:rsidRPr="00026EC1" w:rsidRDefault="00275751" w:rsidP="00A64613">
      <w:pPr>
        <w:pStyle w:val="ListParagraph"/>
        <w:suppressAutoHyphens/>
        <w:ind w:left="567" w:hanging="567"/>
        <w:rPr>
          <w:bCs/>
        </w:rPr>
      </w:pPr>
      <w:r w:rsidRPr="00026EC1">
        <w:rPr>
          <w:bCs/>
        </w:rPr>
        <w:t>5.</w:t>
      </w:r>
      <w:r w:rsidRPr="00026EC1">
        <w:rPr>
          <w:bCs/>
        </w:rPr>
        <w:tab/>
      </w:r>
      <w:r w:rsidR="00CA2E8C" w:rsidRPr="00026EC1">
        <w:rPr>
          <w:bCs/>
        </w:rPr>
        <w:t xml:space="preserve">acheminer les demandes du département à différentes instances du </w:t>
      </w:r>
      <w:r w:rsidR="004814A3" w:rsidRPr="00026EC1">
        <w:rPr>
          <w:bCs/>
        </w:rPr>
        <w:t>C</w:t>
      </w:r>
      <w:r w:rsidR="00CA2E8C" w:rsidRPr="00026EC1">
        <w:rPr>
          <w:bCs/>
        </w:rPr>
        <w:t>ollège ou à des organismes extérieurs;</w:t>
      </w:r>
    </w:p>
    <w:p w14:paraId="2005070B" w14:textId="77777777" w:rsidR="00CA2E8C" w:rsidRPr="00026EC1" w:rsidRDefault="00CA2E8C" w:rsidP="00A64613">
      <w:pPr>
        <w:keepNext w:val="0"/>
      </w:pPr>
    </w:p>
    <w:p w14:paraId="7BEC0164" w14:textId="77777777" w:rsidR="00CA2E8C" w:rsidRPr="00026EC1" w:rsidRDefault="00275751" w:rsidP="00A64613">
      <w:pPr>
        <w:pStyle w:val="ListParagraph"/>
        <w:suppressAutoHyphens/>
        <w:ind w:left="567" w:hanging="567"/>
      </w:pPr>
      <w:r w:rsidRPr="00026EC1">
        <w:t>6.</w:t>
      </w:r>
      <w:r w:rsidRPr="00026EC1">
        <w:tab/>
      </w:r>
      <w:r w:rsidR="00CA2E8C" w:rsidRPr="00026EC1">
        <w:rPr>
          <w:bCs/>
        </w:rPr>
        <w:t>donner suite aux diverses demandes adressées au département en provenance des étudiantes et des étudiants, des individus ou des organismes extérieurs, selon les orientations du département.</w:t>
      </w:r>
    </w:p>
    <w:p w14:paraId="27FE55B6" w14:textId="77777777" w:rsidR="00CA2E8C" w:rsidRPr="00026EC1" w:rsidRDefault="00CA2E8C" w:rsidP="00A64613">
      <w:pPr>
        <w:keepNext w:val="0"/>
      </w:pPr>
    </w:p>
    <w:p w14:paraId="632AEEAC" w14:textId="6F824015" w:rsidR="00CA2E8C" w:rsidRPr="00026EC1" w:rsidRDefault="00CA2E8C" w:rsidP="00A64613">
      <w:pPr>
        <w:keepNext w:val="0"/>
        <w:rPr>
          <w:rFonts w:cs="Arial"/>
          <w:b/>
          <w:i/>
          <w:szCs w:val="24"/>
        </w:rPr>
      </w:pPr>
      <w:r w:rsidRPr="00026EC1">
        <w:rPr>
          <w:rFonts w:cs="Arial"/>
          <w:b/>
          <w:i/>
          <w:szCs w:val="24"/>
        </w:rPr>
        <w:t>Dans le cadre des activités liées à la pédagogie</w:t>
      </w:r>
      <w:r w:rsidR="00D8581B">
        <w:rPr>
          <w:rFonts w:cs="Arial"/>
          <w:b/>
          <w:i/>
          <w:szCs w:val="24"/>
        </w:rPr>
        <w:t> :</w:t>
      </w:r>
    </w:p>
    <w:p w14:paraId="0113283C" w14:textId="77777777" w:rsidR="00CA2E8C" w:rsidRPr="00026EC1" w:rsidRDefault="00CA2E8C" w:rsidP="00A64613">
      <w:pPr>
        <w:keepNext w:val="0"/>
      </w:pPr>
    </w:p>
    <w:p w14:paraId="56FB40EA" w14:textId="77777777" w:rsidR="00CA2E8C" w:rsidRPr="00026EC1" w:rsidRDefault="00275751" w:rsidP="00A64613">
      <w:pPr>
        <w:pStyle w:val="ListParagraph"/>
        <w:suppressAutoHyphens/>
        <w:ind w:left="567" w:hanging="567"/>
        <w:rPr>
          <w:rFonts w:cs="Arial"/>
          <w:szCs w:val="24"/>
        </w:rPr>
      </w:pPr>
      <w:r w:rsidRPr="00026EC1">
        <w:rPr>
          <w:rFonts w:cs="Arial"/>
          <w:szCs w:val="24"/>
        </w:rPr>
        <w:t>1.</w:t>
      </w:r>
      <w:r w:rsidRPr="00026EC1">
        <w:rPr>
          <w:rFonts w:cs="Arial"/>
          <w:szCs w:val="24"/>
        </w:rPr>
        <w:tab/>
      </w:r>
      <w:r w:rsidR="00CA2E8C" w:rsidRPr="00026EC1">
        <w:rPr>
          <w:rFonts w:cs="Arial"/>
          <w:szCs w:val="24"/>
        </w:rPr>
        <w:t>effectuer le suivi nécessaire à la mise en place des activités relatives à l</w:t>
      </w:r>
      <w:r w:rsidR="004A41E4" w:rsidRPr="00026EC1">
        <w:rPr>
          <w:rFonts w:cs="Arial"/>
          <w:szCs w:val="24"/>
        </w:rPr>
        <w:t>’</w:t>
      </w:r>
      <w:r w:rsidR="00CA2E8C" w:rsidRPr="00026EC1">
        <w:rPr>
          <w:rFonts w:cs="Arial"/>
          <w:szCs w:val="24"/>
        </w:rPr>
        <w:t>accueil et à l</w:t>
      </w:r>
      <w:r w:rsidR="004A41E4" w:rsidRPr="00026EC1">
        <w:rPr>
          <w:rFonts w:cs="Arial"/>
          <w:szCs w:val="24"/>
        </w:rPr>
        <w:t>’</w:t>
      </w:r>
      <w:r w:rsidR="00CA2E8C" w:rsidRPr="00026EC1">
        <w:rPr>
          <w:rFonts w:cs="Arial"/>
          <w:szCs w:val="24"/>
        </w:rPr>
        <w:t>intégration des étudiantes et des étudiants dans le cadre des services professionnels rendus;</w:t>
      </w:r>
    </w:p>
    <w:p w14:paraId="7FF636E8" w14:textId="77777777" w:rsidR="00CA2E8C" w:rsidRPr="00026EC1" w:rsidRDefault="00CA2E8C" w:rsidP="00A64613">
      <w:pPr>
        <w:keepNext w:val="0"/>
      </w:pPr>
    </w:p>
    <w:p w14:paraId="23A56F26" w14:textId="77777777" w:rsidR="00CA2E8C" w:rsidRPr="00026EC1" w:rsidRDefault="00275751" w:rsidP="00A64613">
      <w:pPr>
        <w:pStyle w:val="ListParagraph"/>
        <w:suppressAutoHyphens/>
        <w:ind w:left="567" w:hanging="567"/>
        <w:rPr>
          <w:rFonts w:cs="Arial"/>
          <w:szCs w:val="24"/>
        </w:rPr>
      </w:pPr>
      <w:r w:rsidRPr="00026EC1">
        <w:rPr>
          <w:rFonts w:cs="Arial"/>
          <w:szCs w:val="24"/>
        </w:rPr>
        <w:t>2.</w:t>
      </w:r>
      <w:r w:rsidRPr="00026EC1">
        <w:rPr>
          <w:rFonts w:cs="Arial"/>
          <w:szCs w:val="24"/>
        </w:rPr>
        <w:tab/>
      </w:r>
      <w:r w:rsidR="00CA2E8C" w:rsidRPr="00026EC1">
        <w:t>voir</w:t>
      </w:r>
      <w:r w:rsidR="00CA2E8C" w:rsidRPr="00026EC1">
        <w:rPr>
          <w:rFonts w:cs="Arial"/>
          <w:szCs w:val="24"/>
        </w:rPr>
        <w:t xml:space="preserve"> à ce que les plans de cours soient adoptés;</w:t>
      </w:r>
    </w:p>
    <w:p w14:paraId="1F6453C2" w14:textId="77777777" w:rsidR="00CA2E8C" w:rsidRPr="00026EC1" w:rsidRDefault="00275751" w:rsidP="00A64613">
      <w:pPr>
        <w:pStyle w:val="ListParagraph"/>
        <w:suppressAutoHyphens/>
        <w:ind w:left="567" w:hanging="567"/>
        <w:rPr>
          <w:rFonts w:cs="Arial"/>
          <w:szCs w:val="24"/>
        </w:rPr>
      </w:pPr>
      <w:r w:rsidRPr="00026EC1">
        <w:rPr>
          <w:rFonts w:cs="Arial"/>
          <w:szCs w:val="24"/>
        </w:rPr>
        <w:t>3.</w:t>
      </w:r>
      <w:r w:rsidRPr="00026EC1">
        <w:rPr>
          <w:rFonts w:cs="Arial"/>
          <w:szCs w:val="24"/>
        </w:rPr>
        <w:tab/>
      </w:r>
      <w:r w:rsidR="00CA2E8C" w:rsidRPr="00026EC1">
        <w:rPr>
          <w:rFonts w:cs="Arial"/>
          <w:szCs w:val="24"/>
        </w:rPr>
        <w:t>effectuer le suivi nécessaire pour que l</w:t>
      </w:r>
      <w:r w:rsidR="004A41E4" w:rsidRPr="00026EC1">
        <w:rPr>
          <w:rFonts w:cs="Arial"/>
          <w:szCs w:val="24"/>
        </w:rPr>
        <w:t>’</w:t>
      </w:r>
      <w:r w:rsidR="00CA2E8C" w:rsidRPr="00026EC1">
        <w:rPr>
          <w:rFonts w:cs="Arial"/>
          <w:szCs w:val="24"/>
        </w:rPr>
        <w:t>ensemble des opérations liées à la prestation des cours, aux modalités d</w:t>
      </w:r>
      <w:r w:rsidR="004A41E4" w:rsidRPr="00026EC1">
        <w:rPr>
          <w:rFonts w:cs="Arial"/>
          <w:szCs w:val="24"/>
        </w:rPr>
        <w:t>’</w:t>
      </w:r>
      <w:r w:rsidR="00CA2E8C" w:rsidRPr="00026EC1">
        <w:rPr>
          <w:rFonts w:cs="Arial"/>
          <w:szCs w:val="24"/>
        </w:rPr>
        <w:t>évaluation, aux besoins en locaux et en équipements, aux horaires, aux stages,</w:t>
      </w:r>
      <w:r w:rsidR="000254AE" w:rsidRPr="00026EC1">
        <w:rPr>
          <w:rFonts w:cs="Arial"/>
          <w:szCs w:val="24"/>
        </w:rPr>
        <w:t xml:space="preserve"> </w:t>
      </w:r>
      <w:r w:rsidR="00CA2E8C" w:rsidRPr="00026EC1">
        <w:rPr>
          <w:rFonts w:cs="Arial"/>
          <w:szCs w:val="24"/>
        </w:rPr>
        <w:t>puisse se dérouler;</w:t>
      </w:r>
    </w:p>
    <w:p w14:paraId="66EDFA4A" w14:textId="77777777" w:rsidR="00CA2E8C" w:rsidRPr="00026EC1" w:rsidRDefault="00CA2E8C" w:rsidP="00A64613">
      <w:pPr>
        <w:keepNext w:val="0"/>
        <w:rPr>
          <w:rFonts w:cs="Arial"/>
          <w:szCs w:val="24"/>
        </w:rPr>
      </w:pPr>
    </w:p>
    <w:p w14:paraId="52A7C74B" w14:textId="2549CC02" w:rsidR="007F2419" w:rsidRDefault="00275751" w:rsidP="00A64613">
      <w:pPr>
        <w:pStyle w:val="ListParagraph"/>
        <w:suppressAutoHyphens/>
        <w:ind w:left="567" w:hanging="567"/>
        <w:rPr>
          <w:rFonts w:cs="Arial"/>
          <w:szCs w:val="24"/>
        </w:rPr>
      </w:pPr>
      <w:r w:rsidRPr="00026EC1">
        <w:rPr>
          <w:rFonts w:cs="Arial"/>
          <w:szCs w:val="24"/>
        </w:rPr>
        <w:t>4.</w:t>
      </w:r>
      <w:r w:rsidRPr="00026EC1">
        <w:rPr>
          <w:rFonts w:cs="Arial"/>
          <w:szCs w:val="24"/>
        </w:rPr>
        <w:tab/>
      </w:r>
      <w:r w:rsidR="00CA2E8C" w:rsidRPr="00026EC1">
        <w:rPr>
          <w:rFonts w:cs="Arial"/>
          <w:szCs w:val="24"/>
        </w:rPr>
        <w:t>effectuer le suivi nécessaire à la mise en place d</w:t>
      </w:r>
      <w:r w:rsidR="004A41E4" w:rsidRPr="00026EC1">
        <w:rPr>
          <w:rFonts w:cs="Arial"/>
          <w:szCs w:val="24"/>
        </w:rPr>
        <w:t>’</w:t>
      </w:r>
      <w:r w:rsidR="00CA2E8C" w:rsidRPr="00026EC1">
        <w:rPr>
          <w:rFonts w:cs="Arial"/>
          <w:szCs w:val="24"/>
        </w:rPr>
        <w:t>activités d</w:t>
      </w:r>
      <w:r w:rsidR="004A41E4" w:rsidRPr="00026EC1">
        <w:rPr>
          <w:rFonts w:cs="Arial"/>
          <w:szCs w:val="24"/>
        </w:rPr>
        <w:t>’</w:t>
      </w:r>
      <w:r w:rsidR="00CA2E8C" w:rsidRPr="00026EC1">
        <w:rPr>
          <w:rFonts w:cs="Arial"/>
          <w:szCs w:val="24"/>
        </w:rPr>
        <w:t>aide à la réussite dans le cadre des services professionnels rendus.</w:t>
      </w:r>
    </w:p>
    <w:p w14:paraId="1B242353" w14:textId="41D2BF51" w:rsidR="007F2419" w:rsidRDefault="007F2419">
      <w:pPr>
        <w:keepNext w:val="0"/>
        <w:suppressAutoHyphens w:val="0"/>
        <w:jc w:val="left"/>
        <w:rPr>
          <w:rFonts w:eastAsia="Calibri" w:cs="Arial"/>
          <w:snapToGrid/>
          <w:szCs w:val="24"/>
          <w:lang w:eastAsia="en-US"/>
        </w:rPr>
      </w:pPr>
    </w:p>
    <w:p w14:paraId="421D4075" w14:textId="4B4BD6B7" w:rsidR="00CA2E8C" w:rsidRPr="00026EC1" w:rsidRDefault="00CA2E8C" w:rsidP="00A64613">
      <w:pPr>
        <w:pStyle w:val="ListParagraph"/>
        <w:suppressAutoHyphens/>
        <w:ind w:left="567" w:hanging="567"/>
        <w:rPr>
          <w:rFonts w:cs="Arial"/>
          <w:b/>
          <w:i/>
          <w:szCs w:val="24"/>
        </w:rPr>
      </w:pPr>
      <w:r w:rsidRPr="00026EC1">
        <w:rPr>
          <w:rFonts w:cs="Arial"/>
          <w:b/>
          <w:i/>
          <w:szCs w:val="24"/>
        </w:rPr>
        <w:t>Dans le cadre des activités liées au budget et aux ressources matérielles</w:t>
      </w:r>
      <w:r w:rsidR="00D8581B">
        <w:rPr>
          <w:rFonts w:cs="Arial"/>
          <w:b/>
          <w:i/>
          <w:szCs w:val="24"/>
        </w:rPr>
        <w:t> :</w:t>
      </w:r>
    </w:p>
    <w:p w14:paraId="773EAD94" w14:textId="77777777" w:rsidR="00CA2E8C" w:rsidRPr="00026EC1" w:rsidRDefault="00CA2E8C" w:rsidP="00A64613">
      <w:pPr>
        <w:keepNext w:val="0"/>
      </w:pPr>
    </w:p>
    <w:p w14:paraId="3A96083E" w14:textId="77777777" w:rsidR="00CA2E8C" w:rsidRPr="00026EC1" w:rsidRDefault="00275751" w:rsidP="00A64613">
      <w:pPr>
        <w:pStyle w:val="ListParagraph"/>
        <w:suppressAutoHyphens/>
        <w:ind w:left="567" w:hanging="567"/>
        <w:rPr>
          <w:rFonts w:cs="Arial"/>
          <w:szCs w:val="24"/>
        </w:rPr>
      </w:pPr>
      <w:r w:rsidRPr="00026EC1">
        <w:rPr>
          <w:rFonts w:cs="Arial"/>
          <w:szCs w:val="24"/>
        </w:rPr>
        <w:t>1.</w:t>
      </w:r>
      <w:r w:rsidRPr="00026EC1">
        <w:rPr>
          <w:rFonts w:cs="Arial"/>
          <w:szCs w:val="24"/>
        </w:rPr>
        <w:tab/>
      </w:r>
      <w:r w:rsidR="00CA2E8C" w:rsidRPr="00026EC1">
        <w:rPr>
          <w:rFonts w:cs="Arial"/>
          <w:szCs w:val="24"/>
        </w:rPr>
        <w:t xml:space="preserve">participer aux prévisions budgétaires; </w:t>
      </w:r>
    </w:p>
    <w:p w14:paraId="28C70792" w14:textId="77777777" w:rsidR="00CA2E8C" w:rsidRPr="00026EC1" w:rsidRDefault="00CA2E8C" w:rsidP="00A64613">
      <w:pPr>
        <w:keepNext w:val="0"/>
        <w:rPr>
          <w:rFonts w:cs="Arial"/>
          <w:szCs w:val="24"/>
        </w:rPr>
      </w:pPr>
    </w:p>
    <w:p w14:paraId="767A25BB" w14:textId="14E2E769" w:rsidR="00CA2E8C" w:rsidRDefault="00275751" w:rsidP="00A64613">
      <w:pPr>
        <w:pStyle w:val="ListParagraph"/>
        <w:suppressAutoHyphens/>
        <w:ind w:left="567" w:hanging="567"/>
        <w:rPr>
          <w:rFonts w:cs="Arial"/>
          <w:szCs w:val="24"/>
        </w:rPr>
      </w:pPr>
      <w:r w:rsidRPr="00026EC1">
        <w:rPr>
          <w:rFonts w:cs="Arial"/>
          <w:szCs w:val="24"/>
        </w:rPr>
        <w:t>2.</w:t>
      </w:r>
      <w:r w:rsidRPr="00026EC1">
        <w:rPr>
          <w:rFonts w:cs="Arial"/>
          <w:szCs w:val="24"/>
        </w:rPr>
        <w:tab/>
      </w:r>
      <w:r w:rsidR="00CA2E8C" w:rsidRPr="00026EC1">
        <w:rPr>
          <w:rFonts w:cs="Arial"/>
          <w:szCs w:val="24"/>
        </w:rPr>
        <w:t>administrer les budgets de fonctionnement et d</w:t>
      </w:r>
      <w:r w:rsidR="004A41E4" w:rsidRPr="00026EC1">
        <w:rPr>
          <w:rFonts w:cs="Arial"/>
          <w:szCs w:val="24"/>
        </w:rPr>
        <w:t>’</w:t>
      </w:r>
      <w:r w:rsidR="00CA2E8C" w:rsidRPr="00026EC1">
        <w:rPr>
          <w:rFonts w:cs="Arial"/>
          <w:szCs w:val="24"/>
        </w:rPr>
        <w:t>investissement du département;</w:t>
      </w:r>
    </w:p>
    <w:p w14:paraId="5FD46D6D" w14:textId="77777777" w:rsidR="004214F1" w:rsidRDefault="004214F1" w:rsidP="00A64613">
      <w:pPr>
        <w:pStyle w:val="ListParagraph"/>
        <w:suppressAutoHyphens/>
        <w:ind w:left="567" w:hanging="567"/>
        <w:rPr>
          <w:rFonts w:cs="Arial"/>
          <w:szCs w:val="24"/>
        </w:rPr>
      </w:pPr>
    </w:p>
    <w:p w14:paraId="5D4C1483" w14:textId="77777777" w:rsidR="00CA2E8C" w:rsidRPr="00026EC1" w:rsidRDefault="00275751" w:rsidP="00A64613">
      <w:pPr>
        <w:pStyle w:val="ListParagraph"/>
        <w:suppressAutoHyphens/>
        <w:ind w:left="567" w:hanging="567"/>
        <w:rPr>
          <w:rFonts w:cs="Arial"/>
          <w:szCs w:val="24"/>
        </w:rPr>
      </w:pPr>
      <w:r w:rsidRPr="00026EC1">
        <w:rPr>
          <w:rFonts w:cs="Arial"/>
          <w:szCs w:val="24"/>
        </w:rPr>
        <w:t>3.</w:t>
      </w:r>
      <w:r w:rsidRPr="00026EC1">
        <w:rPr>
          <w:rFonts w:cs="Arial"/>
          <w:szCs w:val="24"/>
        </w:rPr>
        <w:tab/>
      </w:r>
      <w:r w:rsidR="00CA2E8C" w:rsidRPr="00026EC1">
        <w:rPr>
          <w:rFonts w:cs="Arial"/>
          <w:szCs w:val="24"/>
        </w:rPr>
        <w:t>recommander l</w:t>
      </w:r>
      <w:r w:rsidR="004A41E4" w:rsidRPr="00026EC1">
        <w:rPr>
          <w:rFonts w:cs="Arial"/>
          <w:szCs w:val="24"/>
        </w:rPr>
        <w:t>’</w:t>
      </w:r>
      <w:r w:rsidR="00CA2E8C" w:rsidRPr="00026EC1">
        <w:rPr>
          <w:rFonts w:cs="Arial"/>
          <w:szCs w:val="24"/>
        </w:rPr>
        <w:t>achat de matériel pédagogique et didactique (livres, revues, DVD, etc.) et proc</w:t>
      </w:r>
      <w:r w:rsidR="00660B72" w:rsidRPr="00026EC1">
        <w:rPr>
          <w:rFonts w:cs="Arial"/>
          <w:szCs w:val="24"/>
        </w:rPr>
        <w:t>é</w:t>
      </w:r>
      <w:r w:rsidR="00CA2E8C" w:rsidRPr="00026EC1">
        <w:rPr>
          <w:rFonts w:cs="Arial"/>
          <w:szCs w:val="24"/>
        </w:rPr>
        <w:t>de</w:t>
      </w:r>
      <w:r w:rsidR="00660B72" w:rsidRPr="00026EC1">
        <w:rPr>
          <w:rFonts w:cs="Arial"/>
          <w:szCs w:val="24"/>
        </w:rPr>
        <w:t>r</w:t>
      </w:r>
      <w:r w:rsidR="00CA2E8C" w:rsidRPr="00026EC1">
        <w:rPr>
          <w:rFonts w:cs="Arial"/>
          <w:szCs w:val="24"/>
        </w:rPr>
        <w:t>, en l</w:t>
      </w:r>
      <w:r w:rsidR="004A41E4" w:rsidRPr="00026EC1">
        <w:rPr>
          <w:rFonts w:cs="Arial"/>
          <w:szCs w:val="24"/>
        </w:rPr>
        <w:t>’</w:t>
      </w:r>
      <w:r w:rsidR="00CA2E8C" w:rsidRPr="00026EC1">
        <w:rPr>
          <w:rFonts w:cs="Arial"/>
          <w:szCs w:val="24"/>
        </w:rPr>
        <w:t>absence de personnel technique, aux requêtes d</w:t>
      </w:r>
      <w:r w:rsidR="004A41E4" w:rsidRPr="00026EC1">
        <w:rPr>
          <w:rFonts w:cs="Arial"/>
          <w:szCs w:val="24"/>
        </w:rPr>
        <w:t>’</w:t>
      </w:r>
      <w:r w:rsidR="00CA2E8C" w:rsidRPr="00026EC1">
        <w:rPr>
          <w:rFonts w:cs="Arial"/>
          <w:szCs w:val="24"/>
        </w:rPr>
        <w:t>achat;</w:t>
      </w:r>
    </w:p>
    <w:p w14:paraId="4ABBD9E1" w14:textId="77777777" w:rsidR="00CA2E8C" w:rsidRPr="00026EC1" w:rsidRDefault="00CA2E8C" w:rsidP="00A64613">
      <w:pPr>
        <w:keepNext w:val="0"/>
        <w:rPr>
          <w:rFonts w:cs="Arial"/>
          <w:szCs w:val="24"/>
        </w:rPr>
      </w:pPr>
    </w:p>
    <w:p w14:paraId="23A262FC" w14:textId="77777777" w:rsidR="00CA2E8C" w:rsidRPr="00026EC1" w:rsidRDefault="00275751" w:rsidP="00A64613">
      <w:pPr>
        <w:pStyle w:val="ListParagraph"/>
        <w:suppressAutoHyphens/>
        <w:ind w:left="567" w:hanging="567"/>
        <w:rPr>
          <w:rFonts w:cs="Arial"/>
          <w:szCs w:val="24"/>
        </w:rPr>
      </w:pPr>
      <w:r w:rsidRPr="00026EC1">
        <w:rPr>
          <w:rFonts w:cs="Arial"/>
          <w:szCs w:val="24"/>
        </w:rPr>
        <w:t>4.</w:t>
      </w:r>
      <w:r w:rsidRPr="00026EC1">
        <w:rPr>
          <w:rFonts w:cs="Arial"/>
          <w:szCs w:val="24"/>
        </w:rPr>
        <w:tab/>
      </w:r>
      <w:r w:rsidR="00CA2E8C" w:rsidRPr="00026EC1">
        <w:rPr>
          <w:rFonts w:cs="Arial"/>
          <w:szCs w:val="24"/>
        </w:rPr>
        <w:t>effectuer le suivi relatif</w:t>
      </w:r>
      <w:r w:rsidR="000254AE" w:rsidRPr="00026EC1">
        <w:rPr>
          <w:rFonts w:cs="Arial"/>
          <w:szCs w:val="24"/>
        </w:rPr>
        <w:t xml:space="preserve"> </w:t>
      </w:r>
      <w:r w:rsidR="00CA2E8C" w:rsidRPr="00026EC1">
        <w:rPr>
          <w:rFonts w:cs="Arial"/>
          <w:szCs w:val="24"/>
        </w:rPr>
        <w:t>aux projets de rénovation, à la détermination des besoins des locaux spécialisés ou encore à l</w:t>
      </w:r>
      <w:r w:rsidR="004A41E4" w:rsidRPr="00026EC1">
        <w:rPr>
          <w:rFonts w:cs="Arial"/>
          <w:szCs w:val="24"/>
        </w:rPr>
        <w:t>’</w:t>
      </w:r>
      <w:r w:rsidR="00CA2E8C" w:rsidRPr="00026EC1">
        <w:rPr>
          <w:rFonts w:cs="Arial"/>
          <w:szCs w:val="24"/>
        </w:rPr>
        <w:t xml:space="preserve">organisation matérielle des laboratoires. </w:t>
      </w:r>
    </w:p>
    <w:p w14:paraId="27BC13A6" w14:textId="77777777" w:rsidR="00CA2E8C" w:rsidRPr="00026EC1" w:rsidRDefault="00CA2E8C" w:rsidP="00A64613">
      <w:pPr>
        <w:keepNext w:val="0"/>
      </w:pPr>
    </w:p>
    <w:p w14:paraId="754A8052" w14:textId="39BB830C" w:rsidR="00CA2E8C" w:rsidRPr="00026EC1" w:rsidRDefault="00CA2E8C" w:rsidP="00A64613">
      <w:pPr>
        <w:keepNext w:val="0"/>
        <w:spacing w:line="276" w:lineRule="auto"/>
        <w:rPr>
          <w:rFonts w:cs="Arial"/>
          <w:b/>
          <w:i/>
          <w:szCs w:val="24"/>
        </w:rPr>
      </w:pPr>
      <w:r w:rsidRPr="00026EC1">
        <w:rPr>
          <w:rFonts w:cs="Arial"/>
          <w:b/>
          <w:i/>
          <w:szCs w:val="24"/>
        </w:rPr>
        <w:t>Dans le cadre des activités liées aux relations avec les pairs</w:t>
      </w:r>
      <w:r w:rsidR="00D8581B">
        <w:rPr>
          <w:rFonts w:cs="Arial"/>
          <w:b/>
          <w:i/>
          <w:szCs w:val="24"/>
        </w:rPr>
        <w:t> :</w:t>
      </w:r>
    </w:p>
    <w:p w14:paraId="4629D2C2" w14:textId="77777777" w:rsidR="00CA2E8C" w:rsidRPr="00026EC1" w:rsidRDefault="00CA2E8C" w:rsidP="00A64613">
      <w:pPr>
        <w:keepNext w:val="0"/>
      </w:pPr>
    </w:p>
    <w:p w14:paraId="4D8737D0" w14:textId="77777777" w:rsidR="00CA2E8C" w:rsidRPr="00026EC1" w:rsidRDefault="00275751" w:rsidP="00A64613">
      <w:pPr>
        <w:pStyle w:val="ListParagraph"/>
        <w:suppressAutoHyphens/>
        <w:ind w:left="567" w:hanging="567"/>
        <w:rPr>
          <w:rFonts w:cs="Arial"/>
          <w:bCs/>
          <w:szCs w:val="24"/>
        </w:rPr>
      </w:pPr>
      <w:r w:rsidRPr="00026EC1">
        <w:rPr>
          <w:rFonts w:cs="Arial"/>
          <w:bCs/>
          <w:szCs w:val="24"/>
        </w:rPr>
        <w:t>1.</w:t>
      </w:r>
      <w:r w:rsidRPr="00026EC1">
        <w:rPr>
          <w:rFonts w:cs="Arial"/>
          <w:bCs/>
          <w:szCs w:val="24"/>
        </w:rPr>
        <w:tab/>
      </w:r>
      <w:r w:rsidR="00CA2E8C" w:rsidRPr="00026EC1">
        <w:rPr>
          <w:rFonts w:cs="Arial"/>
          <w:bCs/>
          <w:szCs w:val="24"/>
        </w:rPr>
        <w:t>s</w:t>
      </w:r>
      <w:r w:rsidR="004A41E4" w:rsidRPr="00026EC1">
        <w:rPr>
          <w:rFonts w:cs="Arial"/>
          <w:bCs/>
          <w:szCs w:val="24"/>
        </w:rPr>
        <w:t>’</w:t>
      </w:r>
      <w:r w:rsidR="00CA2E8C" w:rsidRPr="00026EC1">
        <w:rPr>
          <w:rFonts w:cs="Arial"/>
          <w:bCs/>
          <w:szCs w:val="24"/>
        </w:rPr>
        <w:t xml:space="preserve">assurer que les enseignantes et les enseignants qui éprouvent des difficultés reçoivent une assistance; </w:t>
      </w:r>
    </w:p>
    <w:p w14:paraId="57751083" w14:textId="77777777" w:rsidR="00CA2E8C" w:rsidRPr="00026EC1" w:rsidRDefault="00CA2E8C" w:rsidP="00A64613">
      <w:pPr>
        <w:keepNext w:val="0"/>
        <w:rPr>
          <w:rFonts w:cs="Arial"/>
          <w:bCs/>
          <w:szCs w:val="24"/>
        </w:rPr>
      </w:pPr>
    </w:p>
    <w:p w14:paraId="41074549" w14:textId="77777777" w:rsidR="00CA2E8C" w:rsidRPr="00026EC1" w:rsidRDefault="00275751" w:rsidP="00A64613">
      <w:pPr>
        <w:pStyle w:val="ListParagraph"/>
        <w:suppressAutoHyphens/>
        <w:ind w:left="567" w:hanging="567"/>
        <w:rPr>
          <w:rFonts w:cs="Arial"/>
          <w:bCs/>
          <w:szCs w:val="24"/>
        </w:rPr>
      </w:pPr>
      <w:r w:rsidRPr="00026EC1">
        <w:rPr>
          <w:rFonts w:cs="Arial"/>
          <w:bCs/>
          <w:szCs w:val="24"/>
        </w:rPr>
        <w:t>2.</w:t>
      </w:r>
      <w:r w:rsidRPr="00026EC1">
        <w:rPr>
          <w:rFonts w:cs="Arial"/>
          <w:bCs/>
          <w:szCs w:val="24"/>
        </w:rPr>
        <w:tab/>
      </w:r>
      <w:r w:rsidR="00CA2E8C" w:rsidRPr="00026EC1">
        <w:rPr>
          <w:rFonts w:cs="Arial"/>
          <w:szCs w:val="24"/>
        </w:rPr>
        <w:t xml:space="preserve">effectuer le suivi afin que soit assurée </w:t>
      </w:r>
      <w:r w:rsidR="00CA2E8C" w:rsidRPr="00026EC1">
        <w:rPr>
          <w:rFonts w:cs="Arial"/>
          <w:bCs/>
          <w:szCs w:val="24"/>
        </w:rPr>
        <w:t>l</w:t>
      </w:r>
      <w:r w:rsidR="004A41E4" w:rsidRPr="00026EC1">
        <w:rPr>
          <w:rFonts w:cs="Arial"/>
          <w:bCs/>
          <w:szCs w:val="24"/>
        </w:rPr>
        <w:t>’</w:t>
      </w:r>
      <w:r w:rsidR="00CA2E8C" w:rsidRPr="00026EC1">
        <w:rPr>
          <w:rFonts w:cs="Arial"/>
          <w:bCs/>
          <w:szCs w:val="24"/>
        </w:rPr>
        <w:t>assistance professionnelle aux nouvelles enseignantes et nouveaux enseignants.</w:t>
      </w:r>
    </w:p>
    <w:p w14:paraId="4EF9D73D" w14:textId="77777777" w:rsidR="00CA2E8C" w:rsidRPr="00026EC1" w:rsidRDefault="00CA2E8C" w:rsidP="00A64613">
      <w:pPr>
        <w:keepNext w:val="0"/>
      </w:pPr>
    </w:p>
    <w:p w14:paraId="61C31134" w14:textId="1B1E74AB" w:rsidR="00CA2E8C" w:rsidRPr="00026EC1" w:rsidRDefault="00CA2E8C" w:rsidP="00A64613">
      <w:pPr>
        <w:keepNext w:val="0"/>
        <w:spacing w:line="276" w:lineRule="auto"/>
        <w:rPr>
          <w:rFonts w:cs="Arial"/>
          <w:b/>
          <w:i/>
          <w:szCs w:val="24"/>
        </w:rPr>
      </w:pPr>
      <w:r w:rsidRPr="00026EC1">
        <w:rPr>
          <w:rFonts w:cs="Arial"/>
          <w:b/>
          <w:i/>
          <w:szCs w:val="24"/>
        </w:rPr>
        <w:t>Dans le cadre des activités liées aux relations avec le personnel de soutien</w:t>
      </w:r>
      <w:r w:rsidR="00D8581B">
        <w:rPr>
          <w:rFonts w:cs="Arial"/>
          <w:b/>
          <w:i/>
          <w:szCs w:val="24"/>
        </w:rPr>
        <w:t> :</w:t>
      </w:r>
    </w:p>
    <w:p w14:paraId="1377F420" w14:textId="77777777" w:rsidR="00CA2E8C" w:rsidRPr="00026EC1" w:rsidRDefault="00CA2E8C" w:rsidP="00A64613">
      <w:pPr>
        <w:keepNext w:val="0"/>
      </w:pPr>
    </w:p>
    <w:p w14:paraId="7BDD293E" w14:textId="77777777" w:rsidR="00CA2E8C" w:rsidRPr="00026EC1" w:rsidRDefault="00275751" w:rsidP="00A64613">
      <w:pPr>
        <w:pStyle w:val="ListParagraph"/>
        <w:suppressAutoHyphens/>
        <w:ind w:left="567" w:hanging="567"/>
        <w:rPr>
          <w:rFonts w:cs="Arial"/>
          <w:szCs w:val="24"/>
        </w:rPr>
      </w:pPr>
      <w:r w:rsidRPr="00026EC1">
        <w:rPr>
          <w:rFonts w:cs="Arial"/>
          <w:szCs w:val="24"/>
        </w:rPr>
        <w:t>1.</w:t>
      </w:r>
      <w:r w:rsidRPr="00026EC1">
        <w:rPr>
          <w:rFonts w:cs="Arial"/>
          <w:szCs w:val="24"/>
        </w:rPr>
        <w:tab/>
      </w:r>
      <w:r w:rsidR="00CA2E8C" w:rsidRPr="00026EC1">
        <w:rPr>
          <w:rFonts w:cs="Arial"/>
          <w:szCs w:val="24"/>
        </w:rPr>
        <w:t>participer à l</w:t>
      </w:r>
      <w:r w:rsidR="004A41E4" w:rsidRPr="00026EC1">
        <w:rPr>
          <w:rFonts w:cs="Arial"/>
          <w:szCs w:val="24"/>
        </w:rPr>
        <w:t>’</w:t>
      </w:r>
      <w:r w:rsidR="00CA2E8C" w:rsidRPr="00026EC1">
        <w:rPr>
          <w:rFonts w:cs="Arial"/>
          <w:szCs w:val="24"/>
        </w:rPr>
        <w:t>élaboration des critères de sélection</w:t>
      </w:r>
      <w:r w:rsidR="000254AE" w:rsidRPr="00026EC1">
        <w:rPr>
          <w:rFonts w:cs="Arial"/>
          <w:szCs w:val="24"/>
        </w:rPr>
        <w:t xml:space="preserve"> </w:t>
      </w:r>
      <w:r w:rsidR="00CA2E8C" w:rsidRPr="00026EC1">
        <w:rPr>
          <w:rFonts w:cs="Arial"/>
          <w:szCs w:val="24"/>
        </w:rPr>
        <w:t>du personnel de soutien</w:t>
      </w:r>
      <w:r w:rsidR="000254AE" w:rsidRPr="00026EC1">
        <w:rPr>
          <w:rFonts w:cs="Arial"/>
          <w:szCs w:val="24"/>
        </w:rPr>
        <w:t xml:space="preserve"> </w:t>
      </w:r>
      <w:r w:rsidR="00CA2E8C" w:rsidRPr="00026EC1">
        <w:rPr>
          <w:rFonts w:cs="Arial"/>
          <w:szCs w:val="24"/>
        </w:rPr>
        <w:t>(par exemple, technicienne ou technicien de travaux pratiques, apparitrice ou appariteur);</w:t>
      </w:r>
    </w:p>
    <w:p w14:paraId="6E842383" w14:textId="77777777" w:rsidR="00CA2E8C" w:rsidRPr="00026EC1" w:rsidRDefault="00CA2E8C" w:rsidP="00A64613">
      <w:pPr>
        <w:keepNext w:val="0"/>
      </w:pPr>
    </w:p>
    <w:p w14:paraId="5E533952" w14:textId="77777777" w:rsidR="00CA2E8C" w:rsidRPr="00026EC1" w:rsidRDefault="00275751" w:rsidP="00A64613">
      <w:pPr>
        <w:pStyle w:val="ListParagraph"/>
        <w:suppressAutoHyphens/>
        <w:ind w:left="567" w:hanging="567"/>
        <w:rPr>
          <w:rFonts w:cs="Arial"/>
          <w:szCs w:val="24"/>
        </w:rPr>
      </w:pPr>
      <w:r w:rsidRPr="00026EC1">
        <w:rPr>
          <w:rFonts w:cs="Arial"/>
          <w:szCs w:val="24"/>
        </w:rPr>
        <w:t>2.</w:t>
      </w:r>
      <w:r w:rsidRPr="00026EC1">
        <w:rPr>
          <w:rFonts w:cs="Arial"/>
          <w:szCs w:val="24"/>
        </w:rPr>
        <w:tab/>
      </w:r>
      <w:r w:rsidR="00CA2E8C" w:rsidRPr="00026EC1">
        <w:rPr>
          <w:rFonts w:cs="Arial"/>
          <w:szCs w:val="24"/>
        </w:rPr>
        <w:t>participer à la planification de l</w:t>
      </w:r>
      <w:r w:rsidR="004A41E4" w:rsidRPr="00026EC1">
        <w:rPr>
          <w:rFonts w:cs="Arial"/>
          <w:szCs w:val="24"/>
        </w:rPr>
        <w:t>’</w:t>
      </w:r>
      <w:r w:rsidR="00CA2E8C" w:rsidRPr="00026EC1">
        <w:rPr>
          <w:rFonts w:cs="Arial"/>
          <w:szCs w:val="24"/>
        </w:rPr>
        <w:t>organisation des laboratoires avec le personnel de soutien (par exemple, technicienne ou technicien de travaux pratiques, apparitrice ou appariteur).</w:t>
      </w:r>
    </w:p>
    <w:p w14:paraId="39CAEBCF" w14:textId="77777777" w:rsidR="00CA2E8C" w:rsidRPr="00026EC1" w:rsidRDefault="00CA2E8C" w:rsidP="00A64613">
      <w:pPr>
        <w:keepNext w:val="0"/>
      </w:pPr>
    </w:p>
    <w:p w14:paraId="38C5490E" w14:textId="7FA643EF" w:rsidR="00CA2E8C" w:rsidRPr="00026EC1" w:rsidRDefault="00CA2E8C" w:rsidP="00A64613">
      <w:pPr>
        <w:keepNext w:val="0"/>
        <w:rPr>
          <w:rFonts w:cs="Arial"/>
          <w:b/>
          <w:i/>
          <w:szCs w:val="24"/>
        </w:rPr>
      </w:pPr>
      <w:r w:rsidRPr="00026EC1">
        <w:rPr>
          <w:rFonts w:cs="Arial"/>
          <w:b/>
          <w:i/>
          <w:szCs w:val="24"/>
        </w:rPr>
        <w:t xml:space="preserve">Dans le cadre des activités liées aux relations avec le </w:t>
      </w:r>
      <w:r w:rsidR="00630FFC" w:rsidRPr="00026EC1">
        <w:rPr>
          <w:rFonts w:cs="Arial"/>
          <w:b/>
          <w:i/>
          <w:szCs w:val="24"/>
        </w:rPr>
        <w:t>C</w:t>
      </w:r>
      <w:r w:rsidRPr="00026EC1">
        <w:rPr>
          <w:rFonts w:cs="Arial"/>
          <w:b/>
          <w:i/>
          <w:szCs w:val="24"/>
        </w:rPr>
        <w:t>ollège</w:t>
      </w:r>
      <w:r w:rsidR="00D8581B">
        <w:rPr>
          <w:rFonts w:cs="Arial"/>
          <w:b/>
          <w:i/>
          <w:szCs w:val="24"/>
        </w:rPr>
        <w:t> :</w:t>
      </w:r>
    </w:p>
    <w:p w14:paraId="0390644C" w14:textId="77777777" w:rsidR="00CA2E8C" w:rsidRPr="00026EC1" w:rsidRDefault="00CA2E8C" w:rsidP="00A64613">
      <w:pPr>
        <w:keepNext w:val="0"/>
      </w:pPr>
    </w:p>
    <w:p w14:paraId="556472A7" w14:textId="77777777" w:rsidR="00CA2E8C" w:rsidRPr="00026EC1" w:rsidRDefault="00275751" w:rsidP="00A64613">
      <w:pPr>
        <w:pStyle w:val="ListParagraph"/>
        <w:suppressAutoHyphens/>
        <w:ind w:left="567" w:hanging="567"/>
        <w:rPr>
          <w:rFonts w:cs="Arial"/>
          <w:szCs w:val="24"/>
        </w:rPr>
      </w:pPr>
      <w:r w:rsidRPr="00026EC1">
        <w:rPr>
          <w:rFonts w:cs="Arial"/>
          <w:szCs w:val="24"/>
        </w:rPr>
        <w:t>1.</w:t>
      </w:r>
      <w:r w:rsidRPr="00026EC1">
        <w:rPr>
          <w:rFonts w:cs="Arial"/>
          <w:szCs w:val="24"/>
        </w:rPr>
        <w:tab/>
      </w:r>
      <w:r w:rsidR="00CA2E8C" w:rsidRPr="00026EC1">
        <w:rPr>
          <w:rFonts w:cs="Arial"/>
          <w:szCs w:val="24"/>
        </w:rPr>
        <w:t>Participer, selon les pratiques locales, à l</w:t>
      </w:r>
      <w:r w:rsidR="004A41E4" w:rsidRPr="00026EC1">
        <w:rPr>
          <w:rFonts w:cs="Arial"/>
          <w:szCs w:val="24"/>
        </w:rPr>
        <w:t>’</w:t>
      </w:r>
      <w:r w:rsidR="00CA2E8C" w:rsidRPr="00026EC1">
        <w:rPr>
          <w:rFonts w:cs="Arial"/>
          <w:szCs w:val="24"/>
        </w:rPr>
        <w:t>assemblée des coordonnateurs et coordonnatrices de département;</w:t>
      </w:r>
    </w:p>
    <w:p w14:paraId="098F4F9B" w14:textId="77777777" w:rsidR="00CA2E8C" w:rsidRPr="00026EC1" w:rsidRDefault="00CA2E8C" w:rsidP="00A64613">
      <w:pPr>
        <w:keepNext w:val="0"/>
      </w:pPr>
    </w:p>
    <w:p w14:paraId="59EDA61A" w14:textId="30196E91" w:rsidR="00CA2E8C" w:rsidRPr="00026EC1" w:rsidRDefault="00275751" w:rsidP="00A64613">
      <w:pPr>
        <w:pStyle w:val="ListParagraph"/>
        <w:suppressAutoHyphens/>
        <w:ind w:left="567" w:hanging="567"/>
        <w:rPr>
          <w:rFonts w:cs="Arial"/>
          <w:szCs w:val="24"/>
        </w:rPr>
      </w:pPr>
      <w:r w:rsidRPr="00026EC1">
        <w:rPr>
          <w:rFonts w:cs="Arial"/>
          <w:szCs w:val="24"/>
        </w:rPr>
        <w:t>2.</w:t>
      </w:r>
      <w:r w:rsidRPr="00026EC1">
        <w:rPr>
          <w:rFonts w:cs="Arial"/>
          <w:szCs w:val="24"/>
        </w:rPr>
        <w:tab/>
      </w:r>
      <w:r w:rsidR="00CA2E8C" w:rsidRPr="00026EC1">
        <w:rPr>
          <w:rFonts w:cs="Arial"/>
          <w:szCs w:val="24"/>
        </w:rPr>
        <w:t>Assurer le suivi auprès de la direction des études des activités départementales suivantes</w:t>
      </w:r>
      <w:r w:rsidR="00D8581B">
        <w:rPr>
          <w:rFonts w:cs="Arial"/>
          <w:szCs w:val="24"/>
        </w:rPr>
        <w:t> :</w:t>
      </w:r>
      <w:r w:rsidR="00CA2E8C" w:rsidRPr="00026EC1">
        <w:rPr>
          <w:rFonts w:cs="Arial"/>
          <w:szCs w:val="24"/>
          <w:shd w:val="clear" w:color="auto" w:fill="FFFF71"/>
        </w:rPr>
        <w:t xml:space="preserve"> </w:t>
      </w:r>
    </w:p>
    <w:p w14:paraId="0D0A2783" w14:textId="77777777" w:rsidR="00CA2E8C" w:rsidRPr="00026EC1" w:rsidRDefault="00CA2E8C" w:rsidP="00A64613">
      <w:pPr>
        <w:keepNext w:val="0"/>
      </w:pPr>
    </w:p>
    <w:p w14:paraId="599A8DED" w14:textId="77777777" w:rsidR="00CA2E8C" w:rsidRPr="00026EC1" w:rsidRDefault="00275751" w:rsidP="00A64613">
      <w:pPr>
        <w:pStyle w:val="ListParagraph"/>
        <w:suppressAutoHyphens/>
        <w:ind w:left="1134" w:hanging="567"/>
        <w:contextualSpacing/>
        <w:rPr>
          <w:rFonts w:cs="Arial"/>
          <w:szCs w:val="24"/>
        </w:rPr>
      </w:pPr>
      <w:r w:rsidRPr="00026EC1">
        <w:rPr>
          <w:rFonts w:cs="Arial"/>
          <w:szCs w:val="24"/>
        </w:rPr>
        <w:t>a)</w:t>
      </w:r>
      <w:r w:rsidRPr="00026EC1">
        <w:rPr>
          <w:rFonts w:cs="Arial"/>
          <w:szCs w:val="24"/>
        </w:rPr>
        <w:tab/>
      </w:r>
      <w:r w:rsidR="00CA2E8C" w:rsidRPr="00026EC1">
        <w:rPr>
          <w:rFonts w:cs="Arial"/>
          <w:szCs w:val="24"/>
        </w:rPr>
        <w:t>répartir et pondérer les activités pédagogiques à l</w:t>
      </w:r>
      <w:r w:rsidR="004A41E4" w:rsidRPr="00026EC1">
        <w:rPr>
          <w:rFonts w:cs="Arial"/>
          <w:szCs w:val="24"/>
        </w:rPr>
        <w:t>’</w:t>
      </w:r>
      <w:r w:rsidR="00CA2E8C" w:rsidRPr="00026EC1">
        <w:rPr>
          <w:rFonts w:cs="Arial"/>
          <w:szCs w:val="24"/>
        </w:rPr>
        <w:t>intérieur des normes fixées par la convention collective et par le Collège;</w:t>
      </w:r>
    </w:p>
    <w:p w14:paraId="53412CFE" w14:textId="091B1EA0" w:rsidR="00CA2E8C" w:rsidRDefault="00275751" w:rsidP="00A64613">
      <w:pPr>
        <w:pStyle w:val="ListParagraph"/>
        <w:suppressAutoHyphens/>
        <w:ind w:left="1134" w:hanging="567"/>
        <w:contextualSpacing/>
        <w:rPr>
          <w:rFonts w:cs="Arial"/>
        </w:rPr>
      </w:pPr>
      <w:r w:rsidRPr="644CB4D9">
        <w:rPr>
          <w:rFonts w:cs="Arial"/>
        </w:rPr>
        <w:t>b)</w:t>
      </w:r>
      <w:r>
        <w:tab/>
      </w:r>
      <w:r w:rsidR="00CA2E8C" w:rsidRPr="644CB4D9">
        <w:rPr>
          <w:rFonts w:cs="Arial"/>
        </w:rPr>
        <w:t>s</w:t>
      </w:r>
      <w:r w:rsidR="004A41E4" w:rsidRPr="644CB4D9">
        <w:rPr>
          <w:rFonts w:cs="Arial"/>
        </w:rPr>
        <w:t>’</w:t>
      </w:r>
      <w:r w:rsidR="00CA2E8C" w:rsidRPr="644CB4D9">
        <w:rPr>
          <w:rFonts w:cs="Arial"/>
        </w:rPr>
        <w:t>assurer que soient définis les objectifs, appliquées les méthodes pédagogiques</w:t>
      </w:r>
      <w:r w:rsidR="001D5F65" w:rsidRPr="00316277">
        <w:rPr>
          <w:rFonts w:cs="Arial"/>
        </w:rPr>
        <w:t>,</w:t>
      </w:r>
      <w:r w:rsidR="00CA2E8C" w:rsidRPr="644CB4D9">
        <w:rPr>
          <w:rFonts w:cs="Arial"/>
        </w:rPr>
        <w:t xml:space="preserve"> établis les modes d</w:t>
      </w:r>
      <w:r w:rsidR="004A41E4" w:rsidRPr="644CB4D9">
        <w:rPr>
          <w:rFonts w:cs="Arial"/>
        </w:rPr>
        <w:t>’</w:t>
      </w:r>
      <w:r w:rsidR="00CA2E8C" w:rsidRPr="644CB4D9">
        <w:rPr>
          <w:rFonts w:cs="Arial"/>
        </w:rPr>
        <w:t xml:space="preserve">évaluation </w:t>
      </w:r>
      <w:r w:rsidR="00137553" w:rsidRPr="00316277">
        <w:rPr>
          <w:rStyle w:val="ElevSoulign"/>
          <w:rFonts w:cs="Arial"/>
          <w:b w:val="0"/>
          <w:szCs w:val="24"/>
          <w:u w:val="none"/>
        </w:rPr>
        <w:t>et élaborés les plans cadres (ou ce qui en tient lieu)</w:t>
      </w:r>
      <w:r w:rsidR="00137553" w:rsidRPr="00137553">
        <w:rPr>
          <w:rFonts w:cs="Arial"/>
          <w:szCs w:val="24"/>
        </w:rPr>
        <w:t xml:space="preserve"> </w:t>
      </w:r>
      <w:r w:rsidR="00CA2E8C" w:rsidRPr="644CB4D9">
        <w:rPr>
          <w:rFonts w:cs="Arial"/>
        </w:rPr>
        <w:t xml:space="preserve">propres à chacun des cours dont le département est responsable en tenant compte de la </w:t>
      </w:r>
      <w:r w:rsidR="00CA2E8C" w:rsidRPr="644CB4D9">
        <w:rPr>
          <w:rFonts w:cs="Arial"/>
          <w:i/>
        </w:rPr>
        <w:t>Politique institutionnelle d</w:t>
      </w:r>
      <w:r w:rsidR="004A41E4" w:rsidRPr="644CB4D9">
        <w:rPr>
          <w:rFonts w:cs="Arial"/>
          <w:i/>
        </w:rPr>
        <w:t>’</w:t>
      </w:r>
      <w:r w:rsidR="00CA2E8C" w:rsidRPr="644CB4D9">
        <w:rPr>
          <w:rFonts w:cs="Arial"/>
          <w:i/>
        </w:rPr>
        <w:t>évaluation des apprentissages</w:t>
      </w:r>
      <w:r w:rsidR="00630FFC" w:rsidRPr="644CB4D9">
        <w:rPr>
          <w:rFonts w:cs="Arial"/>
          <w:i/>
        </w:rPr>
        <w:t xml:space="preserve"> </w:t>
      </w:r>
      <w:r w:rsidR="00630FFC" w:rsidRPr="644CB4D9">
        <w:rPr>
          <w:rFonts w:cs="Arial"/>
        </w:rPr>
        <w:t>(PIEA)</w:t>
      </w:r>
      <w:r w:rsidR="00CA2E8C" w:rsidRPr="644CB4D9">
        <w:rPr>
          <w:rFonts w:cs="Arial"/>
        </w:rPr>
        <w:t>;</w:t>
      </w:r>
    </w:p>
    <w:p w14:paraId="18214CA6" w14:textId="3D8772D6" w:rsidR="00F41011" w:rsidRPr="00026EC1" w:rsidRDefault="00F41011" w:rsidP="00A64613">
      <w:pPr>
        <w:pStyle w:val="ListParagraph"/>
        <w:suppressAutoHyphens/>
        <w:ind w:left="1134" w:hanging="567"/>
        <w:contextualSpacing/>
        <w:rPr>
          <w:rFonts w:cs="Arial"/>
        </w:rPr>
      </w:pPr>
    </w:p>
    <w:p w14:paraId="5DD956D7" w14:textId="583B6D20" w:rsidR="00CA2E8C" w:rsidRDefault="00275751" w:rsidP="00A64613">
      <w:pPr>
        <w:pStyle w:val="ListParagraph"/>
        <w:suppressAutoHyphens/>
        <w:ind w:left="1134" w:hanging="567"/>
        <w:contextualSpacing/>
        <w:rPr>
          <w:rFonts w:cs="Arial"/>
          <w:szCs w:val="24"/>
        </w:rPr>
      </w:pPr>
      <w:r w:rsidRPr="00026EC1">
        <w:rPr>
          <w:rFonts w:cs="Arial"/>
          <w:szCs w:val="24"/>
        </w:rPr>
        <w:t>c)</w:t>
      </w:r>
      <w:r w:rsidRPr="00026EC1">
        <w:rPr>
          <w:rFonts w:cs="Arial"/>
          <w:szCs w:val="24"/>
        </w:rPr>
        <w:tab/>
      </w:r>
      <w:r w:rsidR="00CA2E8C" w:rsidRPr="00026EC1">
        <w:rPr>
          <w:rFonts w:cs="Arial"/>
          <w:szCs w:val="24"/>
        </w:rPr>
        <w:t>voir à ce que soient donnés tous les cours dont le département est responsable et en assurer la qualité et le contenu;</w:t>
      </w:r>
    </w:p>
    <w:p w14:paraId="7AD637DE" w14:textId="77777777" w:rsidR="004214F1" w:rsidRPr="00026EC1" w:rsidRDefault="004214F1" w:rsidP="00A64613">
      <w:pPr>
        <w:pStyle w:val="ListParagraph"/>
        <w:suppressAutoHyphens/>
        <w:ind w:left="1134" w:hanging="567"/>
        <w:contextualSpacing/>
        <w:rPr>
          <w:rFonts w:cs="Arial"/>
          <w:szCs w:val="24"/>
        </w:rPr>
      </w:pPr>
    </w:p>
    <w:p w14:paraId="7ACB367A" w14:textId="77777777" w:rsidR="00CA2E8C" w:rsidRPr="00026EC1" w:rsidRDefault="00275751" w:rsidP="00A64613">
      <w:pPr>
        <w:pStyle w:val="ListParagraph"/>
        <w:suppressAutoHyphens/>
        <w:ind w:left="1134" w:hanging="567"/>
        <w:contextualSpacing/>
        <w:rPr>
          <w:rFonts w:cs="Arial"/>
          <w:szCs w:val="24"/>
        </w:rPr>
      </w:pPr>
      <w:r w:rsidRPr="00026EC1">
        <w:rPr>
          <w:rFonts w:cs="Arial"/>
          <w:szCs w:val="24"/>
        </w:rPr>
        <w:t>d)</w:t>
      </w:r>
      <w:r w:rsidRPr="00026EC1">
        <w:rPr>
          <w:rFonts w:cs="Arial"/>
          <w:szCs w:val="24"/>
        </w:rPr>
        <w:tab/>
      </w:r>
      <w:r w:rsidR="00CA2E8C" w:rsidRPr="00026EC1">
        <w:rPr>
          <w:rFonts w:cs="Arial"/>
          <w:szCs w:val="24"/>
        </w:rPr>
        <w:t>procéder à l</w:t>
      </w:r>
      <w:r w:rsidR="004A41E4" w:rsidRPr="00026EC1">
        <w:rPr>
          <w:rFonts w:cs="Arial"/>
          <w:szCs w:val="24"/>
        </w:rPr>
        <w:t>’</w:t>
      </w:r>
      <w:r w:rsidR="00CA2E8C" w:rsidRPr="00026EC1">
        <w:rPr>
          <w:rFonts w:cs="Arial"/>
          <w:szCs w:val="24"/>
        </w:rPr>
        <w:t>élaboration des prévisions budgétaires du département;</w:t>
      </w:r>
    </w:p>
    <w:p w14:paraId="60F5E4B9" w14:textId="77777777" w:rsidR="002231D4" w:rsidRPr="00026EC1" w:rsidRDefault="002231D4" w:rsidP="00A64613">
      <w:pPr>
        <w:pStyle w:val="Texte1cm00000"/>
        <w:keepNext w:val="0"/>
      </w:pPr>
    </w:p>
    <w:p w14:paraId="54547788" w14:textId="072A3849" w:rsidR="00CA2E8C" w:rsidRDefault="00275751" w:rsidP="00A64613">
      <w:pPr>
        <w:pStyle w:val="ListParagraph"/>
        <w:suppressAutoHyphens/>
        <w:ind w:left="1134" w:hanging="567"/>
        <w:contextualSpacing/>
        <w:rPr>
          <w:rFonts w:cs="Arial"/>
          <w:szCs w:val="24"/>
        </w:rPr>
      </w:pPr>
      <w:r w:rsidRPr="00026EC1">
        <w:rPr>
          <w:rFonts w:cs="Arial"/>
          <w:szCs w:val="24"/>
        </w:rPr>
        <w:t>e)</w:t>
      </w:r>
      <w:r w:rsidRPr="00026EC1">
        <w:rPr>
          <w:rFonts w:cs="Arial"/>
          <w:szCs w:val="24"/>
        </w:rPr>
        <w:tab/>
      </w:r>
      <w:r w:rsidR="00CA2E8C" w:rsidRPr="00026EC1">
        <w:rPr>
          <w:rFonts w:cs="Arial"/>
          <w:szCs w:val="24"/>
        </w:rPr>
        <w:t>étudier, établir et maintenir, s</w:t>
      </w:r>
      <w:r w:rsidR="004A41E4" w:rsidRPr="00026EC1">
        <w:rPr>
          <w:rFonts w:cs="Arial"/>
          <w:szCs w:val="24"/>
        </w:rPr>
        <w:t>’</w:t>
      </w:r>
      <w:r w:rsidR="00CA2E8C" w:rsidRPr="00026EC1">
        <w:rPr>
          <w:rFonts w:cs="Arial"/>
          <w:szCs w:val="24"/>
        </w:rPr>
        <w:t>il y a lieu, des relations appropriées avec des établissements, des organismes et des entreprises compte tenu des moyens mis à sa disposition par le Collège;</w:t>
      </w:r>
    </w:p>
    <w:p w14:paraId="79BE0D13" w14:textId="77777777" w:rsidR="004214F1" w:rsidRPr="00026EC1" w:rsidRDefault="004214F1" w:rsidP="00A64613">
      <w:pPr>
        <w:pStyle w:val="ListParagraph"/>
        <w:suppressAutoHyphens/>
        <w:ind w:left="1134" w:hanging="567"/>
        <w:contextualSpacing/>
        <w:rPr>
          <w:rFonts w:cs="Arial"/>
          <w:szCs w:val="24"/>
        </w:rPr>
      </w:pPr>
    </w:p>
    <w:p w14:paraId="3EA4513E" w14:textId="48EE6151" w:rsidR="00CA2E8C" w:rsidRPr="00026EC1" w:rsidRDefault="00275751" w:rsidP="00A64613">
      <w:pPr>
        <w:pStyle w:val="ListParagraph"/>
        <w:suppressAutoHyphens/>
        <w:ind w:left="1134" w:hanging="567"/>
        <w:contextualSpacing/>
        <w:rPr>
          <w:rFonts w:cs="Arial"/>
          <w:szCs w:val="24"/>
        </w:rPr>
      </w:pPr>
      <w:r w:rsidRPr="00026EC1">
        <w:rPr>
          <w:rFonts w:cs="Arial"/>
          <w:szCs w:val="24"/>
        </w:rPr>
        <w:t>f)</w:t>
      </w:r>
      <w:r w:rsidRPr="00026EC1">
        <w:rPr>
          <w:rFonts w:cs="Arial"/>
          <w:szCs w:val="24"/>
        </w:rPr>
        <w:tab/>
      </w:r>
      <w:r w:rsidR="00CA2E8C" w:rsidRPr="00026EC1">
        <w:rPr>
          <w:rFonts w:cs="Arial"/>
          <w:szCs w:val="24"/>
        </w:rPr>
        <w:t>former un comité de révision de trois</w:t>
      </w:r>
      <w:r w:rsidR="007F2419">
        <w:rPr>
          <w:rFonts w:cs="Arial"/>
          <w:szCs w:val="24"/>
        </w:rPr>
        <w:t> </w:t>
      </w:r>
      <w:r w:rsidR="00CA2E8C" w:rsidRPr="00026EC1">
        <w:rPr>
          <w:rFonts w:cs="Arial"/>
          <w:szCs w:val="24"/>
        </w:rPr>
        <w:t>(3) personnes, dont l</w:t>
      </w:r>
      <w:r w:rsidR="004A41E4" w:rsidRPr="00026EC1">
        <w:rPr>
          <w:rFonts w:cs="Arial"/>
          <w:szCs w:val="24"/>
        </w:rPr>
        <w:t>’</w:t>
      </w:r>
      <w:r w:rsidR="00CA2E8C" w:rsidRPr="00026EC1">
        <w:rPr>
          <w:rFonts w:cs="Arial"/>
          <w:szCs w:val="24"/>
        </w:rPr>
        <w:t>enseignante ou l</w:t>
      </w:r>
      <w:r w:rsidR="004A41E4" w:rsidRPr="00026EC1">
        <w:rPr>
          <w:rFonts w:cs="Arial"/>
          <w:szCs w:val="24"/>
        </w:rPr>
        <w:t>’</w:t>
      </w:r>
      <w:r w:rsidR="00CA2E8C" w:rsidRPr="00026EC1">
        <w:rPr>
          <w:rFonts w:cs="Arial"/>
          <w:szCs w:val="24"/>
        </w:rPr>
        <w:t>enseignant concerné, habilitées à modifier, s</w:t>
      </w:r>
      <w:r w:rsidR="004A41E4" w:rsidRPr="00026EC1">
        <w:rPr>
          <w:rFonts w:cs="Arial"/>
          <w:szCs w:val="24"/>
        </w:rPr>
        <w:t>’</w:t>
      </w:r>
      <w:r w:rsidR="00CA2E8C" w:rsidRPr="00026EC1">
        <w:rPr>
          <w:rFonts w:cs="Arial"/>
          <w:szCs w:val="24"/>
        </w:rPr>
        <w:t>il y a lieu, les notes finales de l</w:t>
      </w:r>
      <w:r w:rsidR="004A41E4" w:rsidRPr="00026EC1">
        <w:rPr>
          <w:rFonts w:cs="Arial"/>
          <w:szCs w:val="24"/>
        </w:rPr>
        <w:t>’</w:t>
      </w:r>
      <w:r w:rsidR="00CA2E8C" w:rsidRPr="00026EC1">
        <w:rPr>
          <w:rFonts w:cs="Arial"/>
          <w:szCs w:val="24"/>
        </w:rPr>
        <w:t>étudiante ou de l</w:t>
      </w:r>
      <w:r w:rsidR="004A41E4" w:rsidRPr="00026EC1">
        <w:rPr>
          <w:rFonts w:cs="Arial"/>
          <w:szCs w:val="24"/>
        </w:rPr>
        <w:t>’</w:t>
      </w:r>
      <w:r w:rsidR="00CA2E8C" w:rsidRPr="00026EC1">
        <w:rPr>
          <w:rFonts w:cs="Arial"/>
          <w:szCs w:val="24"/>
        </w:rPr>
        <w:t>étudiant;</w:t>
      </w:r>
    </w:p>
    <w:p w14:paraId="40CD8B72" w14:textId="77777777" w:rsidR="002231D4" w:rsidRPr="00026EC1" w:rsidRDefault="002231D4" w:rsidP="00A64613">
      <w:pPr>
        <w:pStyle w:val="Texte1cm00000"/>
        <w:keepNext w:val="0"/>
      </w:pPr>
    </w:p>
    <w:p w14:paraId="286B58AD" w14:textId="77777777" w:rsidR="00CA2E8C" w:rsidRPr="00026EC1" w:rsidRDefault="00275751" w:rsidP="00A64613">
      <w:pPr>
        <w:pStyle w:val="ListParagraph"/>
        <w:suppressAutoHyphens/>
        <w:ind w:left="1134" w:hanging="567"/>
        <w:contextualSpacing/>
        <w:rPr>
          <w:rFonts w:cs="Arial"/>
          <w:szCs w:val="24"/>
        </w:rPr>
      </w:pPr>
      <w:r w:rsidRPr="00026EC1">
        <w:rPr>
          <w:rFonts w:cs="Arial"/>
          <w:szCs w:val="24"/>
        </w:rPr>
        <w:t>g)</w:t>
      </w:r>
      <w:r w:rsidRPr="00026EC1">
        <w:rPr>
          <w:rFonts w:cs="Arial"/>
          <w:szCs w:val="24"/>
        </w:rPr>
        <w:tab/>
      </w:r>
      <w:r w:rsidR="00CA2E8C" w:rsidRPr="00026EC1">
        <w:rPr>
          <w:rFonts w:cs="Arial"/>
          <w:szCs w:val="24"/>
        </w:rPr>
        <w:t>élaborer le plan de travail annuel du département, en assurer le suivi et faire un rapport annuel des activités départementales.</w:t>
      </w:r>
    </w:p>
    <w:p w14:paraId="3935AA88" w14:textId="77777777" w:rsidR="00CA2E8C" w:rsidRPr="00026EC1" w:rsidRDefault="00CA2E8C" w:rsidP="00A64613">
      <w:pPr>
        <w:keepNext w:val="0"/>
        <w:rPr>
          <w:rFonts w:eastAsia="Calibri"/>
          <w:snapToGrid/>
          <w:lang w:eastAsia="en-US"/>
        </w:rPr>
      </w:pPr>
    </w:p>
    <w:p w14:paraId="5ADBFA66" w14:textId="7B03FF5C" w:rsidR="00CA2E8C" w:rsidRPr="00026EC1" w:rsidRDefault="00CA2E8C" w:rsidP="00A64613">
      <w:pPr>
        <w:pStyle w:val="NUMRODECLAUSE"/>
        <w:keepNext w:val="0"/>
      </w:pPr>
      <w:r w:rsidRPr="00026EC1">
        <w:t>4</w:t>
      </w:r>
      <w:r w:rsidR="00984A6F">
        <w:noBreakHyphen/>
      </w:r>
      <w:r w:rsidRPr="00026EC1">
        <w:t>1.11</w:t>
      </w:r>
    </w:p>
    <w:p w14:paraId="4421F079" w14:textId="77777777" w:rsidR="00CA2E8C" w:rsidRPr="00026EC1" w:rsidRDefault="00CA2E8C" w:rsidP="00A64613">
      <w:pPr>
        <w:keepNext w:val="0"/>
      </w:pPr>
      <w:r w:rsidRPr="00026EC1">
        <w:t>La coordonnatrice ou le coordonnateur transmet au Collège le plan de travail et le rapport annuels du département. Les renseignements contenus dans ces documents ne peuvent servir à l</w:t>
      </w:r>
      <w:r w:rsidR="004A41E4" w:rsidRPr="00026EC1">
        <w:t>’</w:t>
      </w:r>
      <w:r w:rsidRPr="00026EC1">
        <w:t>évaluation des enseignantes et enseignants.</w:t>
      </w:r>
    </w:p>
    <w:p w14:paraId="65132E7E" w14:textId="77777777" w:rsidR="00CA2E8C" w:rsidRPr="00026EC1" w:rsidRDefault="00CA2E8C" w:rsidP="00A64613">
      <w:pPr>
        <w:keepNext w:val="0"/>
      </w:pPr>
    </w:p>
    <w:p w14:paraId="2BEB7E21" w14:textId="3517D8A7" w:rsidR="00CA2E8C" w:rsidRPr="00026EC1" w:rsidRDefault="00CA2E8C" w:rsidP="00A64613">
      <w:pPr>
        <w:keepNext w:val="0"/>
        <w:spacing w:line="276" w:lineRule="auto"/>
        <w:rPr>
          <w:bCs/>
        </w:rPr>
      </w:pPr>
      <w:r w:rsidRPr="00026EC1">
        <w:rPr>
          <w:bCs/>
        </w:rPr>
        <w:t>Le rapport annuel du département fait état</w:t>
      </w:r>
      <w:r w:rsidR="00D8581B">
        <w:rPr>
          <w:bCs/>
        </w:rPr>
        <w:t> :</w:t>
      </w:r>
      <w:r w:rsidRPr="00026EC1">
        <w:rPr>
          <w:bCs/>
        </w:rPr>
        <w:t xml:space="preserve"> </w:t>
      </w:r>
    </w:p>
    <w:p w14:paraId="0452701D" w14:textId="77777777" w:rsidR="00CA2E8C" w:rsidRPr="00026EC1" w:rsidRDefault="00CA2E8C" w:rsidP="00A64613">
      <w:pPr>
        <w:keepNext w:val="0"/>
        <w:spacing w:line="276" w:lineRule="auto"/>
        <w:rPr>
          <w:bCs/>
        </w:rPr>
      </w:pPr>
    </w:p>
    <w:p w14:paraId="69A3BDE2" w14:textId="77777777" w:rsidR="00CA2E8C" w:rsidRPr="00026EC1" w:rsidRDefault="00275751" w:rsidP="00A64613">
      <w:pPr>
        <w:pStyle w:val="Texte1cm00000"/>
        <w:keepNext w:val="0"/>
        <w:tabs>
          <w:tab w:val="left" w:pos="567"/>
        </w:tabs>
        <w:ind w:hanging="567"/>
      </w:pPr>
      <w:r w:rsidRPr="00026EC1">
        <w:rPr>
          <w:rFonts w:ascii="Times New Roman" w:hAnsi="Times New Roman"/>
        </w:rPr>
        <w:t>–</w:t>
      </w:r>
      <w:r w:rsidRPr="00026EC1">
        <w:rPr>
          <w:rFonts w:ascii="Times New Roman" w:hAnsi="Times New Roman"/>
        </w:rPr>
        <w:tab/>
      </w:r>
      <w:r w:rsidR="00CA2E8C" w:rsidRPr="00026EC1">
        <w:t>des activités inscrites au plan de travail qui précise les moyens mis en place pour leur réalisation;</w:t>
      </w:r>
    </w:p>
    <w:p w14:paraId="49B86D87" w14:textId="77777777" w:rsidR="002231D4" w:rsidRPr="00026EC1" w:rsidRDefault="002231D4" w:rsidP="00A64613">
      <w:pPr>
        <w:pStyle w:val="Texte1cm00000"/>
        <w:keepNext w:val="0"/>
        <w:tabs>
          <w:tab w:val="left" w:pos="567"/>
        </w:tabs>
        <w:ind w:left="0"/>
      </w:pPr>
    </w:p>
    <w:p w14:paraId="434EB97F" w14:textId="77777777" w:rsidR="00CA2E8C" w:rsidRPr="00026EC1" w:rsidRDefault="00275751" w:rsidP="00A64613">
      <w:pPr>
        <w:pStyle w:val="Texte1cm00000"/>
        <w:keepNext w:val="0"/>
        <w:tabs>
          <w:tab w:val="left" w:pos="567"/>
        </w:tabs>
        <w:ind w:hanging="567"/>
      </w:pPr>
      <w:r w:rsidRPr="00026EC1">
        <w:rPr>
          <w:rFonts w:ascii="Times New Roman" w:hAnsi="Times New Roman"/>
        </w:rPr>
        <w:t>–</w:t>
      </w:r>
      <w:r w:rsidRPr="00026EC1">
        <w:rPr>
          <w:rFonts w:ascii="Times New Roman" w:hAnsi="Times New Roman"/>
        </w:rPr>
        <w:tab/>
      </w:r>
      <w:r w:rsidR="00CA2E8C" w:rsidRPr="00026EC1">
        <w:t>les ajustements requis en cours de réalisation;</w:t>
      </w:r>
    </w:p>
    <w:p w14:paraId="3E2F14BA" w14:textId="77777777" w:rsidR="002231D4" w:rsidRPr="00026EC1" w:rsidRDefault="002231D4" w:rsidP="00A64613">
      <w:pPr>
        <w:pStyle w:val="Texte1cm00000"/>
        <w:keepNext w:val="0"/>
        <w:tabs>
          <w:tab w:val="left" w:pos="567"/>
        </w:tabs>
        <w:ind w:left="0"/>
      </w:pPr>
    </w:p>
    <w:p w14:paraId="2F3B0A60" w14:textId="77777777" w:rsidR="00CA2E8C" w:rsidRPr="00026EC1" w:rsidRDefault="00275751" w:rsidP="00A64613">
      <w:pPr>
        <w:pStyle w:val="Texte1cm00000"/>
        <w:keepNext w:val="0"/>
        <w:tabs>
          <w:tab w:val="left" w:pos="567"/>
        </w:tabs>
        <w:ind w:hanging="567"/>
      </w:pPr>
      <w:r w:rsidRPr="00026EC1">
        <w:rPr>
          <w:rFonts w:ascii="Times New Roman" w:hAnsi="Times New Roman"/>
        </w:rPr>
        <w:t>–</w:t>
      </w:r>
      <w:r w:rsidRPr="00026EC1">
        <w:rPr>
          <w:rFonts w:ascii="Times New Roman" w:hAnsi="Times New Roman"/>
        </w:rPr>
        <w:tab/>
      </w:r>
      <w:r w:rsidR="00CA2E8C" w:rsidRPr="00026EC1">
        <w:t>les recommandations pertinentes;</w:t>
      </w:r>
    </w:p>
    <w:p w14:paraId="0709C072" w14:textId="77777777" w:rsidR="002231D4" w:rsidRPr="00026EC1" w:rsidRDefault="002231D4" w:rsidP="00A64613">
      <w:pPr>
        <w:pStyle w:val="Texte1cm00000"/>
        <w:keepNext w:val="0"/>
        <w:tabs>
          <w:tab w:val="left" w:pos="567"/>
        </w:tabs>
        <w:ind w:left="0"/>
      </w:pPr>
    </w:p>
    <w:p w14:paraId="1C289867" w14:textId="395559B3" w:rsidR="00CA2E8C" w:rsidRPr="00026EC1" w:rsidRDefault="00275751" w:rsidP="00A64613">
      <w:pPr>
        <w:pStyle w:val="Texte1cm00000"/>
        <w:keepNext w:val="0"/>
        <w:tabs>
          <w:tab w:val="left" w:pos="567"/>
        </w:tabs>
        <w:ind w:hanging="567"/>
      </w:pPr>
      <w:r w:rsidRPr="00026EC1">
        <w:rPr>
          <w:rFonts w:ascii="Times New Roman" w:hAnsi="Times New Roman"/>
        </w:rPr>
        <w:t>–</w:t>
      </w:r>
      <w:r w:rsidRPr="00026EC1">
        <w:rPr>
          <w:rFonts w:ascii="Times New Roman" w:hAnsi="Times New Roman"/>
        </w:rPr>
        <w:tab/>
      </w:r>
      <w:r w:rsidR="00CA2E8C" w:rsidRPr="00026EC1">
        <w:t>les informations</w:t>
      </w:r>
      <w:r w:rsidR="00CA2E8C" w:rsidRPr="00026EC1">
        <w:rPr>
          <w:bCs/>
        </w:rPr>
        <w:t xml:space="preserve"> prévues </w:t>
      </w:r>
      <w:r w:rsidR="00855DD8" w:rsidRPr="00026EC1">
        <w:rPr>
          <w:bCs/>
        </w:rPr>
        <w:t>à l</w:t>
      </w:r>
      <w:r w:rsidR="004A41E4" w:rsidRPr="00026EC1">
        <w:rPr>
          <w:bCs/>
        </w:rPr>
        <w:t>’</w:t>
      </w:r>
      <w:r w:rsidR="00855DD8" w:rsidRPr="00026EC1">
        <w:rPr>
          <w:bCs/>
        </w:rPr>
        <w:t>alinéa </w:t>
      </w:r>
      <w:r w:rsidR="00CA2E8C" w:rsidRPr="00026EC1">
        <w:rPr>
          <w:bCs/>
        </w:rPr>
        <w:t>d)</w:t>
      </w:r>
      <w:r w:rsidR="00855DD8" w:rsidRPr="00026EC1">
        <w:rPr>
          <w:bCs/>
        </w:rPr>
        <w:t xml:space="preserve"> de la clause 8</w:t>
      </w:r>
      <w:r w:rsidR="00984A6F">
        <w:rPr>
          <w:bCs/>
        </w:rPr>
        <w:noBreakHyphen/>
      </w:r>
      <w:r w:rsidR="00855DD8" w:rsidRPr="00026EC1">
        <w:rPr>
          <w:bCs/>
        </w:rPr>
        <w:t>4.03</w:t>
      </w:r>
      <w:r w:rsidR="00CA2E8C" w:rsidRPr="00026EC1">
        <w:rPr>
          <w:bCs/>
        </w:rPr>
        <w:t>.</w:t>
      </w:r>
    </w:p>
    <w:p w14:paraId="5C6B69BA" w14:textId="77777777" w:rsidR="00CA2E8C" w:rsidRPr="00026EC1" w:rsidRDefault="00CA2E8C" w:rsidP="00A64613">
      <w:pPr>
        <w:keepNext w:val="0"/>
      </w:pPr>
    </w:p>
    <w:p w14:paraId="1FC3FB42" w14:textId="4B7280D4" w:rsidR="00CA2E8C" w:rsidRPr="00026EC1" w:rsidRDefault="00CA2E8C" w:rsidP="00A64613">
      <w:pPr>
        <w:pStyle w:val="NUMRODECLAUSE"/>
        <w:keepNext w:val="0"/>
      </w:pPr>
      <w:r w:rsidRPr="00026EC1">
        <w:t>4</w:t>
      </w:r>
      <w:r w:rsidR="00984A6F">
        <w:noBreakHyphen/>
      </w:r>
      <w:r w:rsidRPr="00026EC1">
        <w:t>1.12</w:t>
      </w:r>
    </w:p>
    <w:p w14:paraId="3C8AE207" w14:textId="77777777" w:rsidR="00CA2E8C" w:rsidRPr="00026EC1" w:rsidRDefault="00CA2E8C" w:rsidP="00A64613">
      <w:pPr>
        <w:keepNext w:val="0"/>
      </w:pPr>
      <w:r w:rsidRPr="00026EC1">
        <w:t>La sélection des centres hospitaliers ou des champs cliniques se fait en concertation avec le ou les départements concernés; il en est de même pour l</w:t>
      </w:r>
      <w:r w:rsidR="004A41E4" w:rsidRPr="00026EC1">
        <w:t>’</w:t>
      </w:r>
      <w:r w:rsidRPr="00026EC1">
        <w:t>organisation pratique des stages.</w:t>
      </w:r>
    </w:p>
    <w:p w14:paraId="370DF239" w14:textId="7BECC5D2" w:rsidR="00CA2E8C" w:rsidRPr="00026EC1" w:rsidRDefault="00CA2E8C" w:rsidP="00A64613">
      <w:pPr>
        <w:keepNext w:val="0"/>
      </w:pPr>
    </w:p>
    <w:p w14:paraId="2D1239B8" w14:textId="5D1881EE" w:rsidR="00CA2E8C" w:rsidRPr="00026EC1" w:rsidRDefault="00CA2E8C" w:rsidP="00A64613">
      <w:pPr>
        <w:pStyle w:val="NUMRODECLAUSE"/>
        <w:keepNext w:val="0"/>
      </w:pPr>
      <w:r w:rsidRPr="00026EC1">
        <w:t>4</w:t>
      </w:r>
      <w:r w:rsidR="00984A6F">
        <w:noBreakHyphen/>
      </w:r>
      <w:r w:rsidRPr="00026EC1">
        <w:t>1.13</w:t>
      </w:r>
    </w:p>
    <w:p w14:paraId="2F3D067C" w14:textId="7E816B0D" w:rsidR="00CA2E8C" w:rsidRPr="00026EC1" w:rsidRDefault="00275751" w:rsidP="00A64613">
      <w:pPr>
        <w:keepNext w:val="0"/>
        <w:tabs>
          <w:tab w:val="left" w:pos="567"/>
        </w:tabs>
        <w:ind w:left="567" w:hanging="567"/>
      </w:pPr>
      <w:r w:rsidRPr="00026EC1">
        <w:t>a)</w:t>
      </w:r>
      <w:r w:rsidRPr="00026EC1">
        <w:tab/>
      </w:r>
      <w:r w:rsidR="00CA2E8C" w:rsidRPr="00026EC1">
        <w:t>Aux fins du présent article, le Collège libère les enseignantes et enseignants à temps complet ou l</w:t>
      </w:r>
      <w:r w:rsidR="004A41E4" w:rsidRPr="00026EC1">
        <w:t>’</w:t>
      </w:r>
      <w:r w:rsidR="00CA2E8C" w:rsidRPr="00026EC1">
        <w:t>équivalent résultant de l</w:t>
      </w:r>
      <w:r w:rsidR="004A41E4" w:rsidRPr="00026EC1">
        <w:t>’</w:t>
      </w:r>
      <w:r w:rsidR="00CA2E8C" w:rsidRPr="00026EC1">
        <w:t>application de la clause</w:t>
      </w:r>
      <w:r w:rsidR="007F445F" w:rsidRPr="00026EC1">
        <w:t> </w:t>
      </w:r>
      <w:r w:rsidR="00CA2E8C" w:rsidRPr="00026EC1">
        <w:t>8</w:t>
      </w:r>
      <w:r w:rsidR="00984A6F">
        <w:noBreakHyphen/>
      </w:r>
      <w:r w:rsidR="00CA2E8C" w:rsidRPr="00026EC1">
        <w:t>5.04 pour assumer la charge de coordonnatrice ou coordonnateur du département et la coordination des départements qui dispensent l</w:t>
      </w:r>
      <w:r w:rsidR="004A41E4" w:rsidRPr="00026EC1">
        <w:t>’</w:t>
      </w:r>
      <w:r w:rsidR="00CA2E8C" w:rsidRPr="00026EC1">
        <w:t>enseignement professionnel sous forme de stages ou d</w:t>
      </w:r>
      <w:r w:rsidR="004A41E4" w:rsidRPr="00026EC1">
        <w:t>’</w:t>
      </w:r>
      <w:r w:rsidR="00CA2E8C" w:rsidRPr="00026EC1">
        <w:t xml:space="preserve">ateliers tel que cela est prévu aux </w:t>
      </w:r>
      <w:r w:rsidR="00CA2E8C" w:rsidRPr="00026EC1">
        <w:rPr>
          <w:i/>
          <w:iCs/>
        </w:rPr>
        <w:t>Cahiers de l</w:t>
      </w:r>
      <w:r w:rsidR="004A41E4" w:rsidRPr="00026EC1">
        <w:rPr>
          <w:i/>
          <w:iCs/>
        </w:rPr>
        <w:t>’</w:t>
      </w:r>
      <w:r w:rsidR="00CA2E8C" w:rsidRPr="00026EC1">
        <w:rPr>
          <w:i/>
          <w:iCs/>
        </w:rPr>
        <w:t>enseignement collégial</w:t>
      </w:r>
      <w:r w:rsidR="00CA2E8C" w:rsidRPr="00026EC1">
        <w:t>, sous réserve de la clause</w:t>
      </w:r>
      <w:r w:rsidR="007F445F" w:rsidRPr="00026EC1">
        <w:t> </w:t>
      </w:r>
      <w:r w:rsidR="00CA2E8C" w:rsidRPr="00026EC1">
        <w:t>8</w:t>
      </w:r>
      <w:r w:rsidR="00984A6F">
        <w:noBreakHyphen/>
      </w:r>
      <w:r w:rsidR="00CA2E8C" w:rsidRPr="00026EC1">
        <w:t>5.08.</w:t>
      </w:r>
    </w:p>
    <w:p w14:paraId="532E9731" w14:textId="77777777" w:rsidR="00CA2E8C" w:rsidRPr="00026EC1" w:rsidRDefault="00CA2E8C" w:rsidP="00A64613">
      <w:pPr>
        <w:keepNext w:val="0"/>
      </w:pPr>
    </w:p>
    <w:p w14:paraId="3D6B0BF7" w14:textId="09400A6F" w:rsidR="00CA2E8C" w:rsidRPr="00026EC1" w:rsidRDefault="00275751" w:rsidP="00A64613">
      <w:pPr>
        <w:keepNext w:val="0"/>
        <w:tabs>
          <w:tab w:val="left" w:pos="567"/>
        </w:tabs>
        <w:ind w:left="567" w:hanging="567"/>
      </w:pPr>
      <w:r w:rsidRPr="00026EC1">
        <w:t>b)</w:t>
      </w:r>
      <w:r w:rsidRPr="00026EC1">
        <w:tab/>
      </w:r>
      <w:r w:rsidR="00CA2E8C" w:rsidRPr="00026EC1">
        <w:t xml:space="preserve">Le </w:t>
      </w:r>
      <w:r w:rsidR="00FA0940" w:rsidRPr="00026EC1">
        <w:t>C</w:t>
      </w:r>
      <w:r w:rsidR="00CA2E8C" w:rsidRPr="00026EC1">
        <w:t>ollège répartit le dégrèvement de charge obtenu conformément à l</w:t>
      </w:r>
      <w:r w:rsidR="004A41E4" w:rsidRPr="00026EC1">
        <w:t>’</w:t>
      </w:r>
      <w:r w:rsidR="00CA2E8C" w:rsidRPr="00026EC1">
        <w:t>alinéa</w:t>
      </w:r>
      <w:r w:rsidR="00BD38A6" w:rsidRPr="00026EC1">
        <w:t> </w:t>
      </w:r>
      <w:r w:rsidR="00CA2E8C" w:rsidRPr="00026EC1">
        <w:t>a) de la présente clause, après avoir soumis la question au</w:t>
      </w:r>
      <w:r w:rsidR="00134CC3" w:rsidRPr="00026EC1">
        <w:t xml:space="preserve"> Comité des relations du travail</w:t>
      </w:r>
      <w:r w:rsidR="004E0823">
        <w:t> </w:t>
      </w:r>
      <w:r w:rsidR="00134CC3" w:rsidRPr="00026EC1">
        <w:t>(</w:t>
      </w:r>
      <w:r w:rsidR="00CA2E8C" w:rsidRPr="00026EC1">
        <w:t>CRT</w:t>
      </w:r>
      <w:r w:rsidR="00134CC3" w:rsidRPr="00026EC1">
        <w:t>)</w:t>
      </w:r>
      <w:r w:rsidR="00CA2E8C" w:rsidRPr="00026EC1">
        <w:t>. Ce dégrèvement peut varier d</w:t>
      </w:r>
      <w:r w:rsidR="004A41E4" w:rsidRPr="00026EC1">
        <w:t>’</w:t>
      </w:r>
      <w:r w:rsidR="00CA2E8C" w:rsidRPr="00026EC1">
        <w:t>un département à l</w:t>
      </w:r>
      <w:r w:rsidR="004A41E4" w:rsidRPr="00026EC1">
        <w:t>’</w:t>
      </w:r>
      <w:r w:rsidR="00CA2E8C" w:rsidRPr="00026EC1">
        <w:t>autre.</w:t>
      </w:r>
    </w:p>
    <w:p w14:paraId="4EB6E26A" w14:textId="3682BBD8" w:rsidR="00404F34" w:rsidRPr="00026EC1" w:rsidRDefault="007D5B96" w:rsidP="00A64613">
      <w:pPr>
        <w:pStyle w:val="Heading2"/>
        <w:keepNext w:val="0"/>
        <w:tabs>
          <w:tab w:val="clear" w:pos="1843"/>
          <w:tab w:val="clear" w:pos="2127"/>
          <w:tab w:val="left" w:pos="1701"/>
          <w:tab w:val="left" w:pos="1985"/>
        </w:tabs>
        <w:ind w:left="1701" w:hanging="1701"/>
        <w:rPr>
          <w:rFonts w:cs="Arial"/>
          <w:szCs w:val="24"/>
        </w:rPr>
      </w:pPr>
      <w:bookmarkStart w:id="319" w:name="_Toc133760768"/>
      <w:r w:rsidRPr="00026EC1">
        <w:br w:type="page"/>
      </w:r>
      <w:bookmarkStart w:id="320" w:name="_Toc393444595"/>
      <w:bookmarkStart w:id="321" w:name="_Toc393449546"/>
      <w:bookmarkStart w:id="322" w:name="_Toc393460915"/>
      <w:bookmarkStart w:id="323" w:name="_Toc393461193"/>
      <w:bookmarkStart w:id="324" w:name="_Toc393720754"/>
      <w:bookmarkStart w:id="325" w:name="_Toc393783915"/>
      <w:bookmarkStart w:id="326" w:name="_Toc393784054"/>
      <w:bookmarkStart w:id="327" w:name="_Toc168479508"/>
      <w:r w:rsidR="00404F34" w:rsidRPr="00026EC1">
        <w:rPr>
          <w:rFonts w:cs="Arial"/>
          <w:szCs w:val="24"/>
        </w:rPr>
        <w:t>Article</w:t>
      </w:r>
      <w:r w:rsidR="00BD38A6" w:rsidRPr="00026EC1">
        <w:rPr>
          <w:rFonts w:cs="Arial"/>
          <w:szCs w:val="24"/>
        </w:rPr>
        <w:t> </w:t>
      </w:r>
      <w:r w:rsidR="00404F34" w:rsidRPr="00026EC1">
        <w:rPr>
          <w:rFonts w:cs="Arial"/>
          <w:szCs w:val="24"/>
        </w:rPr>
        <w:t>4</w:t>
      </w:r>
      <w:r w:rsidR="00984A6F">
        <w:rPr>
          <w:rFonts w:cs="Arial"/>
          <w:szCs w:val="24"/>
        </w:rPr>
        <w:t>-</w:t>
      </w:r>
      <w:r w:rsidR="00404F34" w:rsidRPr="00026EC1">
        <w:rPr>
          <w:rFonts w:cs="Arial"/>
          <w:szCs w:val="24"/>
        </w:rPr>
        <w:t>2.00</w:t>
      </w:r>
      <w:r w:rsidR="00F66753" w:rsidRPr="00026EC1">
        <w:tab/>
      </w:r>
      <w:r w:rsidR="00984A6F">
        <w:t>-</w:t>
      </w:r>
      <w:r w:rsidR="00F66753" w:rsidRPr="00026EC1">
        <w:tab/>
      </w:r>
      <w:r w:rsidR="00404F34" w:rsidRPr="00026EC1">
        <w:rPr>
          <w:rFonts w:cs="Arial"/>
          <w:szCs w:val="24"/>
        </w:rPr>
        <w:t>Information</w:t>
      </w:r>
      <w:bookmarkEnd w:id="319"/>
      <w:bookmarkEnd w:id="320"/>
      <w:bookmarkEnd w:id="321"/>
      <w:bookmarkEnd w:id="322"/>
      <w:bookmarkEnd w:id="323"/>
      <w:bookmarkEnd w:id="324"/>
      <w:bookmarkEnd w:id="325"/>
      <w:bookmarkEnd w:id="326"/>
      <w:bookmarkEnd w:id="327"/>
    </w:p>
    <w:p w14:paraId="28A1C8FB" w14:textId="42976740" w:rsidR="004B76FD" w:rsidRPr="00026EC1" w:rsidRDefault="004B76FD" w:rsidP="00A64613">
      <w:pPr>
        <w:pStyle w:val="NUMRODECLAUSE"/>
        <w:keepNext w:val="0"/>
      </w:pPr>
      <w:r w:rsidRPr="00026EC1">
        <w:t>4</w:t>
      </w:r>
      <w:r w:rsidR="00984A6F">
        <w:noBreakHyphen/>
      </w:r>
      <w:r w:rsidRPr="00026EC1">
        <w:t>2.01</w:t>
      </w:r>
    </w:p>
    <w:p w14:paraId="61A80A44" w14:textId="77777777" w:rsidR="004B76FD" w:rsidRPr="00026EC1" w:rsidRDefault="004B76FD" w:rsidP="00A64613">
      <w:pPr>
        <w:keepNext w:val="0"/>
        <w:rPr>
          <w:rFonts w:cs="Arial"/>
          <w:szCs w:val="24"/>
        </w:rPr>
      </w:pPr>
      <w:r w:rsidRPr="00026EC1">
        <w:rPr>
          <w:rFonts w:cs="Arial"/>
          <w:szCs w:val="24"/>
        </w:rPr>
        <w:t>À moins d</w:t>
      </w:r>
      <w:r w:rsidR="004A41E4" w:rsidRPr="00026EC1">
        <w:rPr>
          <w:rFonts w:cs="Arial"/>
          <w:szCs w:val="24"/>
        </w:rPr>
        <w:t>’</w:t>
      </w:r>
      <w:r w:rsidRPr="00026EC1">
        <w:rPr>
          <w:rFonts w:cs="Arial"/>
          <w:szCs w:val="24"/>
        </w:rPr>
        <w:t>entente à l</w:t>
      </w:r>
      <w:r w:rsidR="004A41E4" w:rsidRPr="00026EC1">
        <w:rPr>
          <w:rFonts w:cs="Arial"/>
          <w:szCs w:val="24"/>
        </w:rPr>
        <w:t>’</w:t>
      </w:r>
      <w:r w:rsidRPr="00026EC1">
        <w:rPr>
          <w:rFonts w:cs="Arial"/>
          <w:szCs w:val="24"/>
        </w:rPr>
        <w:t>effet contraire entre les parties nationales, les informations transmises entre elles conformément à la convention collective le sont sur support informatique lorsque ces informations sont disponibles sous cette forme.</w:t>
      </w:r>
    </w:p>
    <w:p w14:paraId="069EBEAE"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1305C2E0" w14:textId="77777777" w:rsidR="004B76FD" w:rsidRPr="00026EC1" w:rsidRDefault="004B76FD" w:rsidP="00A64613">
      <w:pPr>
        <w:keepNext w:val="0"/>
        <w:rPr>
          <w:rFonts w:cs="Arial"/>
          <w:szCs w:val="24"/>
        </w:rPr>
      </w:pPr>
    </w:p>
    <w:p w14:paraId="5F11BE8D" w14:textId="2DE8870C" w:rsidR="004B76FD" w:rsidRPr="00026EC1" w:rsidRDefault="004B76FD" w:rsidP="00A64613">
      <w:pPr>
        <w:pStyle w:val="NUMRODECLAUSE"/>
        <w:keepNext w:val="0"/>
      </w:pPr>
      <w:r w:rsidRPr="00026EC1">
        <w:t>4</w:t>
      </w:r>
      <w:r w:rsidR="00984A6F">
        <w:noBreakHyphen/>
      </w:r>
      <w:r w:rsidRPr="00026EC1">
        <w:t>2.02</w:t>
      </w:r>
    </w:p>
    <w:p w14:paraId="46C80362" w14:textId="77777777" w:rsidR="004B76FD" w:rsidRPr="00026EC1" w:rsidRDefault="004B76FD" w:rsidP="00A64613">
      <w:pPr>
        <w:keepNext w:val="0"/>
        <w:rPr>
          <w:rFonts w:cs="Arial"/>
          <w:szCs w:val="24"/>
        </w:rPr>
      </w:pPr>
      <w:r w:rsidRPr="00026EC1">
        <w:rPr>
          <w:rFonts w:cs="Arial"/>
          <w:szCs w:val="24"/>
        </w:rPr>
        <w:t>Le Collège transmet au Syndicat et à la FNEEQ</w:t>
      </w:r>
      <w:r w:rsidR="00F07711" w:rsidRPr="00026EC1">
        <w:rPr>
          <w:rFonts w:cs="Arial"/>
          <w:szCs w:val="24"/>
        </w:rPr>
        <w:t> </w:t>
      </w:r>
      <w:r w:rsidRPr="00026EC1">
        <w:rPr>
          <w:rFonts w:cs="Arial"/>
          <w:szCs w:val="24"/>
        </w:rPr>
        <w:t>(CSN) la liste des enseignantes et enseignants, celle du personnel professionnel, celle du personnel de soutien et celle du personnel de direction ainsi que celle des membres du Conseil d</w:t>
      </w:r>
      <w:r w:rsidR="004A41E4" w:rsidRPr="00026EC1">
        <w:rPr>
          <w:rFonts w:cs="Arial"/>
          <w:szCs w:val="24"/>
        </w:rPr>
        <w:t>’</w:t>
      </w:r>
      <w:r w:rsidRPr="00026EC1">
        <w:rPr>
          <w:rFonts w:cs="Arial"/>
          <w:szCs w:val="24"/>
        </w:rPr>
        <w:t xml:space="preserve">administration. </w:t>
      </w:r>
    </w:p>
    <w:p w14:paraId="0236B07B" w14:textId="77777777" w:rsidR="004B76FD" w:rsidRPr="00026EC1" w:rsidRDefault="004B76FD" w:rsidP="00A64613">
      <w:pPr>
        <w:keepNext w:val="0"/>
        <w:rPr>
          <w:rFonts w:cs="Arial"/>
          <w:szCs w:val="24"/>
        </w:rPr>
      </w:pPr>
    </w:p>
    <w:p w14:paraId="071D050D" w14:textId="068D44D9" w:rsidR="004B76FD" w:rsidRPr="00026EC1" w:rsidRDefault="004B76FD" w:rsidP="00A64613">
      <w:pPr>
        <w:keepNext w:val="0"/>
        <w:rPr>
          <w:rFonts w:cs="Arial"/>
          <w:szCs w:val="24"/>
        </w:rPr>
      </w:pPr>
      <w:r w:rsidRPr="00026EC1">
        <w:rPr>
          <w:rFonts w:cs="Arial"/>
          <w:szCs w:val="24"/>
        </w:rPr>
        <w:t>La liste doit indiquer pour chaque enseignante et enseignant</w:t>
      </w:r>
      <w:r w:rsidR="00D8581B">
        <w:rPr>
          <w:rFonts w:cs="Arial"/>
          <w:szCs w:val="24"/>
        </w:rPr>
        <w:t> :</w:t>
      </w:r>
    </w:p>
    <w:p w14:paraId="7F577732" w14:textId="77777777" w:rsidR="004B76FD" w:rsidRPr="00026EC1" w:rsidRDefault="004B76FD" w:rsidP="00A64613">
      <w:pPr>
        <w:keepNext w:val="0"/>
        <w:rPr>
          <w:rFonts w:cs="Arial"/>
          <w:szCs w:val="24"/>
        </w:rPr>
      </w:pPr>
    </w:p>
    <w:p w14:paraId="5984C831" w14:textId="0CE8BBF6" w:rsidR="004B76FD" w:rsidRPr="00026EC1" w:rsidRDefault="00275751" w:rsidP="00A64613">
      <w:pPr>
        <w:keepNext w:val="0"/>
        <w:tabs>
          <w:tab w:val="left" w:pos="567"/>
        </w:tabs>
        <w:ind w:left="567" w:hanging="567"/>
        <w:rPr>
          <w:rFonts w:cs="Arial"/>
          <w:szCs w:val="24"/>
        </w:rPr>
      </w:pPr>
      <w:r w:rsidRPr="00026EC1">
        <w:rPr>
          <w:rFonts w:cs="Arial"/>
          <w:szCs w:val="24"/>
        </w:rPr>
        <w:t>a)</w:t>
      </w:r>
      <w:r w:rsidRPr="00026EC1">
        <w:rPr>
          <w:rFonts w:cs="Arial"/>
          <w:szCs w:val="24"/>
        </w:rPr>
        <w:tab/>
      </w:r>
      <w:r w:rsidR="004B76FD" w:rsidRPr="00026EC1">
        <w:rPr>
          <w:rFonts w:cs="Arial"/>
          <w:szCs w:val="24"/>
        </w:rPr>
        <w:t>les noms et prénoms (identification du campus, du pavillon ou du sous</w:t>
      </w:r>
      <w:r w:rsidR="00984A6F">
        <w:rPr>
          <w:rFonts w:cs="Arial"/>
          <w:szCs w:val="24"/>
        </w:rPr>
        <w:noBreakHyphen/>
      </w:r>
      <w:r w:rsidR="004B76FD" w:rsidRPr="00026EC1">
        <w:rPr>
          <w:rFonts w:cs="Arial"/>
          <w:szCs w:val="24"/>
        </w:rPr>
        <w:t>centre, le cas échéant);</w:t>
      </w:r>
    </w:p>
    <w:p w14:paraId="5600E747" w14:textId="77777777" w:rsidR="004B76FD" w:rsidRPr="00026EC1" w:rsidRDefault="004B76FD" w:rsidP="00A64613">
      <w:pPr>
        <w:keepNext w:val="0"/>
        <w:rPr>
          <w:rFonts w:cs="Arial"/>
          <w:szCs w:val="24"/>
        </w:rPr>
      </w:pPr>
    </w:p>
    <w:p w14:paraId="7BB562B6" w14:textId="77777777" w:rsidR="004B76FD" w:rsidRPr="00026EC1" w:rsidRDefault="00275751" w:rsidP="00A64613">
      <w:pPr>
        <w:keepNext w:val="0"/>
        <w:tabs>
          <w:tab w:val="left" w:pos="567"/>
        </w:tabs>
        <w:ind w:left="567" w:hanging="567"/>
        <w:rPr>
          <w:rFonts w:cs="Arial"/>
          <w:szCs w:val="24"/>
        </w:rPr>
      </w:pPr>
      <w:r w:rsidRPr="00026EC1">
        <w:rPr>
          <w:rFonts w:cs="Arial"/>
          <w:szCs w:val="24"/>
        </w:rPr>
        <w:t>b)</w:t>
      </w:r>
      <w:r w:rsidRPr="00026EC1">
        <w:rPr>
          <w:rFonts w:cs="Arial"/>
          <w:szCs w:val="24"/>
        </w:rPr>
        <w:tab/>
      </w:r>
      <w:r w:rsidR="004B76FD" w:rsidRPr="00026EC1">
        <w:rPr>
          <w:rFonts w:cs="Arial"/>
          <w:szCs w:val="24"/>
        </w:rPr>
        <w:t>la date de naissance;</w:t>
      </w:r>
    </w:p>
    <w:p w14:paraId="7898CABD" w14:textId="77777777" w:rsidR="004B76FD" w:rsidRPr="00026EC1" w:rsidRDefault="004B76FD" w:rsidP="00A64613">
      <w:pPr>
        <w:keepNext w:val="0"/>
        <w:rPr>
          <w:rFonts w:cs="Arial"/>
          <w:szCs w:val="24"/>
        </w:rPr>
      </w:pPr>
    </w:p>
    <w:p w14:paraId="18A6A0C9" w14:textId="63BA6041" w:rsidR="004B76FD" w:rsidRPr="00026EC1" w:rsidRDefault="00275751" w:rsidP="00A64613">
      <w:pPr>
        <w:keepNext w:val="0"/>
        <w:tabs>
          <w:tab w:val="left" w:pos="567"/>
        </w:tabs>
        <w:ind w:left="567" w:hanging="567"/>
        <w:rPr>
          <w:rFonts w:cs="Arial"/>
          <w:szCs w:val="24"/>
        </w:rPr>
      </w:pPr>
      <w:r w:rsidRPr="00026EC1">
        <w:rPr>
          <w:rFonts w:cs="Arial"/>
          <w:szCs w:val="24"/>
        </w:rPr>
        <w:t>c)</w:t>
      </w:r>
      <w:r w:rsidRPr="00026EC1">
        <w:rPr>
          <w:rFonts w:cs="Arial"/>
          <w:szCs w:val="24"/>
        </w:rPr>
        <w:tab/>
      </w:r>
      <w:r w:rsidR="004B76FD" w:rsidRPr="00026EC1">
        <w:rPr>
          <w:rFonts w:cs="Arial"/>
          <w:szCs w:val="24"/>
        </w:rPr>
        <w:t xml:space="preserve">le </w:t>
      </w:r>
      <w:r w:rsidR="004B76FD" w:rsidRPr="004D3DC6">
        <w:rPr>
          <w:rFonts w:cs="Arial"/>
          <w:szCs w:val="24"/>
        </w:rPr>
        <w:t>sexe</w:t>
      </w:r>
      <w:r w:rsidR="000B0002" w:rsidRPr="004D3DC6">
        <w:rPr>
          <w:rFonts w:cs="Arial"/>
          <w:szCs w:val="24"/>
        </w:rPr>
        <w:t xml:space="preserve"> / genre</w:t>
      </w:r>
      <w:r w:rsidR="004B76FD" w:rsidRPr="004D3DC6">
        <w:rPr>
          <w:rFonts w:cs="Arial"/>
          <w:szCs w:val="24"/>
        </w:rPr>
        <w:t>;</w:t>
      </w:r>
    </w:p>
    <w:p w14:paraId="4B72F6B1" w14:textId="77777777" w:rsidR="004B76FD" w:rsidRPr="00026EC1" w:rsidRDefault="004B76FD" w:rsidP="00A64613">
      <w:pPr>
        <w:keepNext w:val="0"/>
        <w:rPr>
          <w:rFonts w:cs="Arial"/>
          <w:szCs w:val="24"/>
        </w:rPr>
      </w:pPr>
    </w:p>
    <w:p w14:paraId="146EBC92" w14:textId="77777777" w:rsidR="004B76FD" w:rsidRPr="00026EC1" w:rsidRDefault="00275751" w:rsidP="00A64613">
      <w:pPr>
        <w:keepNext w:val="0"/>
        <w:tabs>
          <w:tab w:val="left" w:pos="567"/>
        </w:tabs>
        <w:ind w:left="567" w:hanging="567"/>
        <w:rPr>
          <w:rFonts w:cs="Arial"/>
          <w:szCs w:val="24"/>
        </w:rPr>
      </w:pPr>
      <w:r w:rsidRPr="00026EC1">
        <w:rPr>
          <w:rFonts w:cs="Arial"/>
          <w:szCs w:val="24"/>
        </w:rPr>
        <w:t>d)</w:t>
      </w:r>
      <w:r w:rsidRPr="00026EC1">
        <w:rPr>
          <w:rFonts w:cs="Arial"/>
          <w:szCs w:val="24"/>
        </w:rPr>
        <w:tab/>
      </w:r>
      <w:r w:rsidR="004B76FD" w:rsidRPr="00026EC1">
        <w:rPr>
          <w:rFonts w:cs="Arial"/>
          <w:szCs w:val="24"/>
        </w:rPr>
        <w:t>la citoyenneté;</w:t>
      </w:r>
    </w:p>
    <w:p w14:paraId="7744DF76" w14:textId="77777777" w:rsidR="004B76FD" w:rsidRPr="00026EC1" w:rsidRDefault="004B76FD" w:rsidP="00A64613">
      <w:pPr>
        <w:keepNext w:val="0"/>
        <w:rPr>
          <w:rFonts w:cs="Arial"/>
          <w:szCs w:val="24"/>
        </w:rPr>
      </w:pPr>
    </w:p>
    <w:p w14:paraId="283DBB70" w14:textId="77777777" w:rsidR="004B76FD" w:rsidRPr="00026EC1" w:rsidRDefault="00275751" w:rsidP="00A64613">
      <w:pPr>
        <w:keepNext w:val="0"/>
        <w:tabs>
          <w:tab w:val="left" w:pos="567"/>
        </w:tabs>
        <w:ind w:left="567" w:hanging="567"/>
        <w:rPr>
          <w:rFonts w:cs="Arial"/>
          <w:szCs w:val="24"/>
        </w:rPr>
      </w:pPr>
      <w:r w:rsidRPr="00026EC1">
        <w:rPr>
          <w:rFonts w:cs="Arial"/>
          <w:szCs w:val="24"/>
        </w:rPr>
        <w:t>e)</w:t>
      </w:r>
      <w:r w:rsidRPr="00026EC1">
        <w:rPr>
          <w:rFonts w:cs="Arial"/>
          <w:szCs w:val="24"/>
        </w:rPr>
        <w:tab/>
      </w:r>
      <w:r w:rsidR="004B76FD" w:rsidRPr="00026EC1">
        <w:rPr>
          <w:rFonts w:cs="Arial"/>
          <w:szCs w:val="24"/>
        </w:rPr>
        <w:t>l</w:t>
      </w:r>
      <w:r w:rsidR="004A41E4" w:rsidRPr="00026EC1">
        <w:rPr>
          <w:rFonts w:cs="Arial"/>
          <w:szCs w:val="24"/>
        </w:rPr>
        <w:t>’</w:t>
      </w:r>
      <w:r w:rsidR="004B76FD" w:rsidRPr="00026EC1">
        <w:rPr>
          <w:rFonts w:cs="Arial"/>
          <w:szCs w:val="24"/>
        </w:rPr>
        <w:t>adresse;</w:t>
      </w:r>
    </w:p>
    <w:p w14:paraId="634C7E0B" w14:textId="77777777" w:rsidR="004B76FD" w:rsidRPr="00026EC1" w:rsidRDefault="004B76FD" w:rsidP="00A64613">
      <w:pPr>
        <w:keepNext w:val="0"/>
        <w:rPr>
          <w:rFonts w:cs="Arial"/>
          <w:szCs w:val="24"/>
        </w:rPr>
      </w:pPr>
    </w:p>
    <w:p w14:paraId="088C5B58" w14:textId="322DAB4F" w:rsidR="004B76FD" w:rsidRPr="00026EC1" w:rsidRDefault="00495E9B" w:rsidP="00A64613">
      <w:pPr>
        <w:keepNext w:val="0"/>
        <w:tabs>
          <w:tab w:val="left" w:pos="567"/>
        </w:tabs>
        <w:rPr>
          <w:rFonts w:cs="Arial"/>
          <w:szCs w:val="24"/>
        </w:rPr>
      </w:pPr>
      <w:r w:rsidRPr="00026EC1">
        <w:rPr>
          <w:rFonts w:cs="Arial"/>
          <w:szCs w:val="24"/>
        </w:rPr>
        <w:t>f)</w:t>
      </w:r>
      <w:r w:rsidR="006628EC" w:rsidRPr="00026EC1">
        <w:rPr>
          <w:rFonts w:cs="Arial"/>
          <w:szCs w:val="24"/>
        </w:rPr>
        <w:tab/>
      </w:r>
      <w:r w:rsidR="004B76FD" w:rsidRPr="00026EC1">
        <w:rPr>
          <w:rFonts w:cs="Arial"/>
          <w:szCs w:val="24"/>
        </w:rPr>
        <w:t>le numéro de téléphone;</w:t>
      </w:r>
    </w:p>
    <w:p w14:paraId="0B98EF4D" w14:textId="77777777" w:rsidR="004B76FD" w:rsidRPr="00026EC1" w:rsidRDefault="004B76FD" w:rsidP="00A64613">
      <w:pPr>
        <w:keepNext w:val="0"/>
        <w:rPr>
          <w:rFonts w:cs="Arial"/>
          <w:szCs w:val="24"/>
        </w:rPr>
      </w:pPr>
    </w:p>
    <w:p w14:paraId="05211686" w14:textId="172CF131" w:rsidR="004B76FD" w:rsidRPr="00026EC1" w:rsidRDefault="00495E9B" w:rsidP="00A64613">
      <w:pPr>
        <w:keepNext w:val="0"/>
        <w:tabs>
          <w:tab w:val="left" w:pos="567"/>
        </w:tabs>
        <w:ind w:left="567" w:hanging="567"/>
        <w:rPr>
          <w:rFonts w:cs="Arial"/>
          <w:szCs w:val="24"/>
        </w:rPr>
      </w:pPr>
      <w:r w:rsidRPr="00026EC1">
        <w:rPr>
          <w:rFonts w:cs="Arial"/>
          <w:szCs w:val="24"/>
        </w:rPr>
        <w:t>g)</w:t>
      </w:r>
      <w:r w:rsidR="00275751" w:rsidRPr="00026EC1">
        <w:rPr>
          <w:rFonts w:cs="Arial"/>
          <w:szCs w:val="24"/>
        </w:rPr>
        <w:tab/>
      </w:r>
      <w:r w:rsidR="006628EC" w:rsidRPr="00026EC1">
        <w:rPr>
          <w:rFonts w:cs="Arial"/>
          <w:szCs w:val="24"/>
        </w:rPr>
        <w:t>la scolarité officielle</w:t>
      </w:r>
      <w:r w:rsidR="0095761C" w:rsidRPr="00026EC1">
        <w:rPr>
          <w:rFonts w:cs="Arial"/>
          <w:szCs w:val="24"/>
        </w:rPr>
        <w:t xml:space="preserve">, </w:t>
      </w:r>
      <w:r w:rsidR="009C68A2" w:rsidRPr="00026EC1">
        <w:rPr>
          <w:rFonts w:cs="Arial"/>
          <w:szCs w:val="24"/>
        </w:rPr>
        <w:t>incluant les diplômes de maîtrise et de doctorat</w:t>
      </w:r>
      <w:r w:rsidR="0095761C" w:rsidRPr="00026EC1">
        <w:rPr>
          <w:rFonts w:cs="Arial"/>
          <w:szCs w:val="24"/>
        </w:rPr>
        <w:t>;</w:t>
      </w:r>
    </w:p>
    <w:p w14:paraId="6169B2F9" w14:textId="77777777" w:rsidR="004B76FD" w:rsidRPr="00026EC1" w:rsidRDefault="004B76FD" w:rsidP="00A64613">
      <w:pPr>
        <w:keepNext w:val="0"/>
        <w:rPr>
          <w:rFonts w:cs="Arial"/>
          <w:szCs w:val="24"/>
        </w:rPr>
      </w:pPr>
    </w:p>
    <w:p w14:paraId="2F03DF50" w14:textId="1D11CC9E" w:rsidR="004B76FD" w:rsidRPr="00026EC1" w:rsidRDefault="00495E9B" w:rsidP="00A64613">
      <w:pPr>
        <w:keepNext w:val="0"/>
        <w:tabs>
          <w:tab w:val="left" w:pos="567"/>
        </w:tabs>
        <w:ind w:left="567" w:hanging="567"/>
        <w:rPr>
          <w:rFonts w:cs="Arial"/>
          <w:szCs w:val="24"/>
        </w:rPr>
      </w:pPr>
      <w:r w:rsidRPr="00026EC1">
        <w:rPr>
          <w:rFonts w:cs="Arial"/>
          <w:szCs w:val="24"/>
        </w:rPr>
        <w:t>h)</w:t>
      </w:r>
      <w:r w:rsidR="00275751" w:rsidRPr="00026EC1">
        <w:rPr>
          <w:rFonts w:cs="Arial"/>
          <w:szCs w:val="24"/>
        </w:rPr>
        <w:tab/>
      </w:r>
      <w:r w:rsidR="004B76FD" w:rsidRPr="00026EC1">
        <w:rPr>
          <w:rFonts w:cs="Arial"/>
          <w:szCs w:val="24"/>
        </w:rPr>
        <w:t>l</w:t>
      </w:r>
      <w:r w:rsidR="004A41E4" w:rsidRPr="00026EC1">
        <w:rPr>
          <w:rFonts w:cs="Arial"/>
          <w:szCs w:val="24"/>
        </w:rPr>
        <w:t>’</w:t>
      </w:r>
      <w:r w:rsidR="004B76FD" w:rsidRPr="00026EC1">
        <w:rPr>
          <w:rFonts w:cs="Arial"/>
          <w:szCs w:val="24"/>
        </w:rPr>
        <w:t>ancienneté, selon la liste officielle conformément aux dispositions de l</w:t>
      </w:r>
      <w:r w:rsidR="004A41E4" w:rsidRPr="00026EC1">
        <w:rPr>
          <w:rFonts w:cs="Arial"/>
          <w:szCs w:val="24"/>
        </w:rPr>
        <w:t>’</w:t>
      </w:r>
      <w:r w:rsidR="004B76FD" w:rsidRPr="00026EC1">
        <w:rPr>
          <w:rFonts w:cs="Arial"/>
          <w:szCs w:val="24"/>
        </w:rPr>
        <w:t>article</w:t>
      </w:r>
      <w:r w:rsidR="00831CEF" w:rsidRPr="00026EC1">
        <w:rPr>
          <w:rFonts w:cs="Arial"/>
          <w:szCs w:val="24"/>
        </w:rPr>
        <w:t> </w:t>
      </w:r>
      <w:r w:rsidR="004B76FD" w:rsidRPr="00026EC1">
        <w:rPr>
          <w:rFonts w:cs="Arial"/>
          <w:szCs w:val="24"/>
        </w:rPr>
        <w:t>5</w:t>
      </w:r>
      <w:r w:rsidR="00984A6F">
        <w:rPr>
          <w:rFonts w:cs="Arial"/>
          <w:szCs w:val="24"/>
        </w:rPr>
        <w:noBreakHyphen/>
      </w:r>
      <w:r w:rsidR="004B76FD" w:rsidRPr="00026EC1">
        <w:rPr>
          <w:rFonts w:cs="Arial"/>
          <w:szCs w:val="24"/>
        </w:rPr>
        <w:t>3.00;</w:t>
      </w:r>
    </w:p>
    <w:p w14:paraId="429AC645" w14:textId="77777777" w:rsidR="004B76FD" w:rsidRPr="00026EC1" w:rsidRDefault="004B76FD" w:rsidP="00A64613">
      <w:pPr>
        <w:keepNext w:val="0"/>
        <w:rPr>
          <w:rFonts w:cs="Arial"/>
          <w:szCs w:val="24"/>
        </w:rPr>
      </w:pPr>
    </w:p>
    <w:p w14:paraId="46B52679" w14:textId="3B8FD00A" w:rsidR="004B76FD" w:rsidRPr="00026EC1" w:rsidRDefault="00495E9B" w:rsidP="00A64613">
      <w:pPr>
        <w:keepNext w:val="0"/>
        <w:tabs>
          <w:tab w:val="left" w:pos="567"/>
        </w:tabs>
        <w:ind w:left="567" w:hanging="567"/>
        <w:rPr>
          <w:rFonts w:cs="Arial"/>
          <w:szCs w:val="24"/>
        </w:rPr>
      </w:pPr>
      <w:r w:rsidRPr="00026EC1">
        <w:rPr>
          <w:rFonts w:cs="Arial"/>
          <w:szCs w:val="24"/>
        </w:rPr>
        <w:t>i)</w:t>
      </w:r>
      <w:r w:rsidR="00275751" w:rsidRPr="00026EC1">
        <w:rPr>
          <w:rFonts w:cs="Arial"/>
          <w:szCs w:val="24"/>
        </w:rPr>
        <w:tab/>
      </w:r>
      <w:r w:rsidR="004B76FD" w:rsidRPr="00026EC1">
        <w:rPr>
          <w:rFonts w:cs="Arial"/>
          <w:szCs w:val="24"/>
        </w:rPr>
        <w:t>le statut</w:t>
      </w:r>
      <w:r w:rsidR="00D8581B">
        <w:rPr>
          <w:rFonts w:cs="Arial"/>
          <w:szCs w:val="24"/>
        </w:rPr>
        <w:t> :</w:t>
      </w:r>
      <w:r w:rsidR="004B76FD" w:rsidRPr="00026EC1">
        <w:rPr>
          <w:rFonts w:cs="Arial"/>
          <w:szCs w:val="24"/>
        </w:rPr>
        <w:t xml:space="preserve"> permanente ou permanent, non permanente ou non permanent, remplaçante ou remplaçant;</w:t>
      </w:r>
    </w:p>
    <w:p w14:paraId="2E91CEE4" w14:textId="77777777" w:rsidR="004B76FD" w:rsidRPr="00026EC1" w:rsidRDefault="004B76FD" w:rsidP="00A64613">
      <w:pPr>
        <w:keepNext w:val="0"/>
        <w:rPr>
          <w:rFonts w:cs="Arial"/>
          <w:szCs w:val="24"/>
        </w:rPr>
      </w:pPr>
    </w:p>
    <w:p w14:paraId="2ABADFFD" w14:textId="366E2BB7" w:rsidR="004B76FD" w:rsidRPr="00026EC1" w:rsidRDefault="00495E9B" w:rsidP="00A64613">
      <w:pPr>
        <w:keepNext w:val="0"/>
        <w:tabs>
          <w:tab w:val="left" w:pos="567"/>
        </w:tabs>
        <w:ind w:left="567" w:hanging="567"/>
        <w:rPr>
          <w:rFonts w:cs="Arial"/>
          <w:szCs w:val="24"/>
        </w:rPr>
      </w:pPr>
      <w:r w:rsidRPr="00026EC1">
        <w:rPr>
          <w:rFonts w:cs="Arial"/>
          <w:szCs w:val="24"/>
        </w:rPr>
        <w:t>j)</w:t>
      </w:r>
      <w:r w:rsidR="00275751" w:rsidRPr="00026EC1">
        <w:rPr>
          <w:rFonts w:cs="Arial"/>
          <w:szCs w:val="24"/>
        </w:rPr>
        <w:tab/>
      </w:r>
      <w:r w:rsidR="004B76FD" w:rsidRPr="00026EC1">
        <w:rPr>
          <w:rFonts w:cs="Arial"/>
          <w:szCs w:val="24"/>
        </w:rPr>
        <w:t>le titre</w:t>
      </w:r>
      <w:r w:rsidR="00D8581B">
        <w:rPr>
          <w:rFonts w:cs="Arial"/>
          <w:szCs w:val="24"/>
        </w:rPr>
        <w:t> :</w:t>
      </w:r>
      <w:r w:rsidR="004B76FD" w:rsidRPr="00026EC1">
        <w:rPr>
          <w:rFonts w:cs="Arial"/>
          <w:szCs w:val="24"/>
        </w:rPr>
        <w:t xml:space="preserve"> temps complet, temps partiel, chargée de cours ou chargé de cours;</w:t>
      </w:r>
    </w:p>
    <w:p w14:paraId="5E2FBA9C" w14:textId="77777777" w:rsidR="004B76FD" w:rsidRPr="00026EC1" w:rsidRDefault="004B76FD" w:rsidP="00A64613">
      <w:pPr>
        <w:keepNext w:val="0"/>
        <w:rPr>
          <w:rFonts w:cs="Arial"/>
          <w:szCs w:val="24"/>
        </w:rPr>
      </w:pPr>
    </w:p>
    <w:p w14:paraId="6816DA5F" w14:textId="7DB22624" w:rsidR="004B76FD" w:rsidRPr="00026EC1" w:rsidRDefault="00495E9B" w:rsidP="00A64613">
      <w:pPr>
        <w:keepNext w:val="0"/>
        <w:tabs>
          <w:tab w:val="left" w:pos="567"/>
        </w:tabs>
        <w:ind w:left="567" w:hanging="567"/>
        <w:rPr>
          <w:rFonts w:cs="Arial"/>
          <w:szCs w:val="24"/>
        </w:rPr>
      </w:pPr>
      <w:r w:rsidRPr="00026EC1">
        <w:rPr>
          <w:rFonts w:cs="Arial"/>
          <w:szCs w:val="24"/>
        </w:rPr>
        <w:t>k)</w:t>
      </w:r>
      <w:r w:rsidR="00275751" w:rsidRPr="00026EC1">
        <w:rPr>
          <w:rFonts w:cs="Arial"/>
          <w:szCs w:val="24"/>
        </w:rPr>
        <w:tab/>
      </w:r>
      <w:r w:rsidR="009C68A2" w:rsidRPr="00026EC1">
        <w:rPr>
          <w:rFonts w:cs="Arial"/>
          <w:szCs w:val="24"/>
        </w:rPr>
        <w:t>l’expérience totale accumulée conformément à l’article</w:t>
      </w:r>
      <w:r w:rsidR="007F2419">
        <w:rPr>
          <w:rFonts w:cs="Arial"/>
          <w:szCs w:val="24"/>
        </w:rPr>
        <w:t> </w:t>
      </w:r>
      <w:r w:rsidR="009C68A2" w:rsidRPr="00026EC1">
        <w:rPr>
          <w:rFonts w:cs="Arial"/>
          <w:szCs w:val="24"/>
        </w:rPr>
        <w:t>6</w:t>
      </w:r>
      <w:r w:rsidR="00984A6F">
        <w:rPr>
          <w:rFonts w:cs="Arial"/>
          <w:szCs w:val="24"/>
        </w:rPr>
        <w:noBreakHyphen/>
      </w:r>
      <w:r w:rsidR="009C68A2" w:rsidRPr="00026EC1">
        <w:rPr>
          <w:rFonts w:cs="Arial"/>
          <w:szCs w:val="24"/>
        </w:rPr>
        <w:t>2.00</w:t>
      </w:r>
      <w:r w:rsidR="004B76FD" w:rsidRPr="00026EC1">
        <w:rPr>
          <w:rFonts w:cs="Arial"/>
          <w:szCs w:val="24"/>
        </w:rPr>
        <w:t>;</w:t>
      </w:r>
    </w:p>
    <w:p w14:paraId="4FC45756" w14:textId="77777777" w:rsidR="004B76FD" w:rsidRPr="00026EC1" w:rsidRDefault="004B76FD" w:rsidP="00A64613">
      <w:pPr>
        <w:keepNext w:val="0"/>
        <w:rPr>
          <w:rFonts w:cs="Arial"/>
          <w:szCs w:val="24"/>
        </w:rPr>
      </w:pPr>
    </w:p>
    <w:p w14:paraId="3A575C81" w14:textId="77777777" w:rsidR="004B76FD" w:rsidRPr="00026EC1" w:rsidRDefault="00495E9B" w:rsidP="00A64613">
      <w:pPr>
        <w:keepNext w:val="0"/>
        <w:tabs>
          <w:tab w:val="left" w:pos="567"/>
        </w:tabs>
        <w:ind w:left="567" w:hanging="567"/>
        <w:rPr>
          <w:rFonts w:cs="Arial"/>
          <w:szCs w:val="24"/>
        </w:rPr>
      </w:pPr>
      <w:r w:rsidRPr="00026EC1">
        <w:rPr>
          <w:rFonts w:cs="Arial"/>
          <w:szCs w:val="24"/>
        </w:rPr>
        <w:t>l)</w:t>
      </w:r>
      <w:r w:rsidR="00275751" w:rsidRPr="00026EC1">
        <w:rPr>
          <w:rFonts w:cs="Arial"/>
          <w:szCs w:val="24"/>
        </w:rPr>
        <w:tab/>
      </w:r>
      <w:r w:rsidR="004B76FD" w:rsidRPr="00026EC1">
        <w:rPr>
          <w:rFonts w:cs="Arial"/>
          <w:szCs w:val="24"/>
        </w:rPr>
        <w:t xml:space="preserve">le salaire et </w:t>
      </w:r>
      <w:r w:rsidR="001F430E" w:rsidRPr="00026EC1">
        <w:rPr>
          <w:rFonts w:cs="Arial"/>
          <w:szCs w:val="24"/>
        </w:rPr>
        <w:t>l’échelon</w:t>
      </w:r>
      <w:r w:rsidR="004B76FD" w:rsidRPr="00026EC1">
        <w:rPr>
          <w:rFonts w:cs="Arial"/>
          <w:szCs w:val="24"/>
        </w:rPr>
        <w:t>;</w:t>
      </w:r>
    </w:p>
    <w:p w14:paraId="448487AC" w14:textId="77777777" w:rsidR="004B76FD" w:rsidRPr="00026EC1" w:rsidRDefault="004B76FD" w:rsidP="00A64613">
      <w:pPr>
        <w:keepNext w:val="0"/>
        <w:rPr>
          <w:rFonts w:cs="Arial"/>
          <w:szCs w:val="24"/>
        </w:rPr>
      </w:pPr>
    </w:p>
    <w:p w14:paraId="2B559DEA" w14:textId="0EEEE41F" w:rsidR="004B76FD" w:rsidRPr="00026EC1" w:rsidRDefault="00495E9B" w:rsidP="00A64613">
      <w:pPr>
        <w:keepNext w:val="0"/>
        <w:tabs>
          <w:tab w:val="left" w:pos="567"/>
        </w:tabs>
        <w:ind w:left="567" w:hanging="567"/>
        <w:rPr>
          <w:rFonts w:cs="Arial"/>
          <w:szCs w:val="24"/>
        </w:rPr>
      </w:pPr>
      <w:r w:rsidRPr="00026EC1">
        <w:rPr>
          <w:rFonts w:cs="Arial"/>
          <w:szCs w:val="24"/>
        </w:rPr>
        <w:t>m)</w:t>
      </w:r>
      <w:r w:rsidR="00275751" w:rsidRPr="00026EC1">
        <w:rPr>
          <w:rFonts w:cs="Arial"/>
          <w:szCs w:val="24"/>
        </w:rPr>
        <w:tab/>
      </w:r>
      <w:r w:rsidR="004B76FD" w:rsidRPr="00026EC1">
        <w:rPr>
          <w:rFonts w:cs="Arial"/>
          <w:szCs w:val="24"/>
        </w:rPr>
        <w:t>si l</w:t>
      </w:r>
      <w:r w:rsidR="004A41E4" w:rsidRPr="00026EC1">
        <w:rPr>
          <w:rFonts w:cs="Arial"/>
          <w:szCs w:val="24"/>
        </w:rPr>
        <w:t>’</w:t>
      </w:r>
      <w:r w:rsidR="004B76FD" w:rsidRPr="00026EC1">
        <w:rPr>
          <w:rFonts w:cs="Arial"/>
          <w:szCs w:val="24"/>
        </w:rPr>
        <w:t>enseignante ou l</w:t>
      </w:r>
      <w:r w:rsidR="004A41E4" w:rsidRPr="00026EC1">
        <w:rPr>
          <w:rFonts w:cs="Arial"/>
          <w:szCs w:val="24"/>
        </w:rPr>
        <w:t>’</w:t>
      </w:r>
      <w:r w:rsidR="004B76FD" w:rsidRPr="00026EC1">
        <w:rPr>
          <w:rFonts w:cs="Arial"/>
          <w:szCs w:val="24"/>
        </w:rPr>
        <w:t>enseignant est en congé, la nature et la durée du congé;</w:t>
      </w:r>
    </w:p>
    <w:p w14:paraId="0E97D7FA" w14:textId="77777777" w:rsidR="00B74B87" w:rsidRPr="00026EC1" w:rsidRDefault="00B74B87" w:rsidP="00A64613">
      <w:pPr>
        <w:keepNext w:val="0"/>
        <w:rPr>
          <w:rFonts w:cs="Arial"/>
          <w:szCs w:val="24"/>
        </w:rPr>
      </w:pPr>
    </w:p>
    <w:p w14:paraId="72454D9C" w14:textId="4EE397D9" w:rsidR="004B76FD" w:rsidRPr="00026EC1" w:rsidRDefault="00495E9B" w:rsidP="00A64613">
      <w:pPr>
        <w:keepNext w:val="0"/>
        <w:tabs>
          <w:tab w:val="left" w:pos="567"/>
        </w:tabs>
        <w:ind w:left="567" w:hanging="567"/>
        <w:rPr>
          <w:rFonts w:cs="Arial"/>
          <w:szCs w:val="24"/>
        </w:rPr>
      </w:pPr>
      <w:r w:rsidRPr="00026EC1">
        <w:rPr>
          <w:rFonts w:cs="Arial"/>
          <w:szCs w:val="24"/>
        </w:rPr>
        <w:t>n)</w:t>
      </w:r>
      <w:r w:rsidR="00275751" w:rsidRPr="00026EC1">
        <w:rPr>
          <w:rFonts w:cs="Arial"/>
          <w:szCs w:val="24"/>
        </w:rPr>
        <w:tab/>
      </w:r>
      <w:r w:rsidR="004B76FD" w:rsidRPr="00026EC1">
        <w:rPr>
          <w:rFonts w:cs="Arial"/>
          <w:szCs w:val="24"/>
        </w:rPr>
        <w:t>si l</w:t>
      </w:r>
      <w:r w:rsidR="004A41E4" w:rsidRPr="00026EC1">
        <w:rPr>
          <w:rFonts w:cs="Arial"/>
          <w:szCs w:val="24"/>
        </w:rPr>
        <w:t>’</w:t>
      </w:r>
      <w:r w:rsidR="004B76FD" w:rsidRPr="00026EC1">
        <w:rPr>
          <w:rFonts w:cs="Arial"/>
          <w:szCs w:val="24"/>
        </w:rPr>
        <w:t>enseignante ou l</w:t>
      </w:r>
      <w:r w:rsidR="004A41E4" w:rsidRPr="00026EC1">
        <w:rPr>
          <w:rFonts w:cs="Arial"/>
          <w:szCs w:val="24"/>
        </w:rPr>
        <w:t>’</w:t>
      </w:r>
      <w:r w:rsidR="004B76FD" w:rsidRPr="00026EC1">
        <w:rPr>
          <w:rFonts w:cs="Arial"/>
          <w:szCs w:val="24"/>
        </w:rPr>
        <w:t xml:space="preserve">enseignant est en assignation provisoire, </w:t>
      </w:r>
      <w:r w:rsidR="007B5E26" w:rsidRPr="00026EC1">
        <w:rPr>
          <w:rFonts w:cs="Arial"/>
          <w:szCs w:val="24"/>
        </w:rPr>
        <w:t xml:space="preserve">est </w:t>
      </w:r>
      <w:r w:rsidR="004B76FD" w:rsidRPr="00026EC1">
        <w:rPr>
          <w:rFonts w:cs="Arial"/>
          <w:szCs w:val="24"/>
        </w:rPr>
        <w:t>en prêt de services ou bénéficie d</w:t>
      </w:r>
      <w:r w:rsidR="004A41E4" w:rsidRPr="00026EC1">
        <w:rPr>
          <w:rFonts w:cs="Arial"/>
          <w:szCs w:val="24"/>
        </w:rPr>
        <w:t>’</w:t>
      </w:r>
      <w:r w:rsidR="004B76FD" w:rsidRPr="00026EC1">
        <w:rPr>
          <w:rFonts w:cs="Arial"/>
          <w:szCs w:val="24"/>
        </w:rPr>
        <w:t>une mesure d</w:t>
      </w:r>
      <w:r w:rsidR="004A41E4" w:rsidRPr="00026EC1">
        <w:rPr>
          <w:rFonts w:cs="Arial"/>
          <w:szCs w:val="24"/>
        </w:rPr>
        <w:t>’</w:t>
      </w:r>
      <w:r w:rsidR="004B76FD" w:rsidRPr="00026EC1">
        <w:rPr>
          <w:rFonts w:cs="Arial"/>
          <w:szCs w:val="24"/>
        </w:rPr>
        <w:t xml:space="preserve">employabilité </w:t>
      </w:r>
      <w:r w:rsidR="000D7F26" w:rsidRPr="00026EC1">
        <w:rPr>
          <w:rFonts w:cs="Arial"/>
          <w:szCs w:val="24"/>
        </w:rPr>
        <w:t>ou</w:t>
      </w:r>
      <w:r w:rsidR="004B76FD" w:rsidRPr="00026EC1">
        <w:rPr>
          <w:rFonts w:cs="Arial"/>
          <w:szCs w:val="24"/>
        </w:rPr>
        <w:t xml:space="preserve"> de cessation d</w:t>
      </w:r>
      <w:r w:rsidR="004A41E4" w:rsidRPr="00026EC1">
        <w:rPr>
          <w:rFonts w:cs="Arial"/>
          <w:szCs w:val="24"/>
        </w:rPr>
        <w:t>’</w:t>
      </w:r>
      <w:r w:rsidR="004B76FD" w:rsidRPr="00026EC1">
        <w:rPr>
          <w:rFonts w:cs="Arial"/>
          <w:szCs w:val="24"/>
        </w:rPr>
        <w:t>emploi.</w:t>
      </w:r>
    </w:p>
    <w:p w14:paraId="67BF57ED" w14:textId="77777777" w:rsidR="004B76FD" w:rsidRPr="00026EC1" w:rsidRDefault="004B76FD" w:rsidP="00A64613">
      <w:pPr>
        <w:keepNext w:val="0"/>
        <w:rPr>
          <w:rFonts w:cs="Arial"/>
          <w:szCs w:val="24"/>
        </w:rPr>
      </w:pPr>
    </w:p>
    <w:p w14:paraId="329CFB7C" w14:textId="1AB1A835" w:rsidR="004B76FD" w:rsidRPr="00026EC1" w:rsidRDefault="004B76FD" w:rsidP="00A64613">
      <w:pPr>
        <w:keepNext w:val="0"/>
        <w:rPr>
          <w:rFonts w:cs="Arial"/>
          <w:szCs w:val="24"/>
        </w:rPr>
      </w:pPr>
      <w:r w:rsidRPr="00026EC1">
        <w:rPr>
          <w:rFonts w:cs="Arial"/>
          <w:szCs w:val="24"/>
        </w:rPr>
        <w:t>Le Syndicat doit recevoir cette liste au plus tard vingt</w:t>
      </w:r>
      <w:r w:rsidR="00505124">
        <w:rPr>
          <w:rFonts w:cs="Arial"/>
          <w:szCs w:val="24"/>
        </w:rPr>
        <w:t> </w:t>
      </w:r>
      <w:r w:rsidRPr="00026EC1">
        <w:rPr>
          <w:rFonts w:cs="Arial"/>
          <w:szCs w:val="24"/>
        </w:rPr>
        <w:t>(20) jours ouvrables après le début de la première (1</w:t>
      </w:r>
      <w:r w:rsidRPr="00026EC1">
        <w:rPr>
          <w:rFonts w:cs="Arial"/>
          <w:szCs w:val="24"/>
          <w:vertAlign w:val="superscript"/>
        </w:rPr>
        <w:t>re</w:t>
      </w:r>
      <w:r w:rsidRPr="00026EC1">
        <w:rPr>
          <w:rFonts w:cs="Arial"/>
          <w:szCs w:val="24"/>
        </w:rPr>
        <w:t>) session. Copie de cette liste est simultanément transmise à la FNEEQ</w:t>
      </w:r>
      <w:r w:rsidR="00F07711" w:rsidRPr="00026EC1">
        <w:rPr>
          <w:rFonts w:cs="Arial"/>
          <w:szCs w:val="24"/>
        </w:rPr>
        <w:t> </w:t>
      </w:r>
      <w:r w:rsidRPr="00026EC1">
        <w:rPr>
          <w:rFonts w:cs="Arial"/>
          <w:szCs w:val="24"/>
        </w:rPr>
        <w:t>(CSN).</w:t>
      </w:r>
    </w:p>
    <w:p w14:paraId="4B689C76" w14:textId="77777777" w:rsidR="004B76FD" w:rsidRPr="00026EC1" w:rsidRDefault="004B76FD" w:rsidP="00A64613">
      <w:pPr>
        <w:keepNext w:val="0"/>
        <w:rPr>
          <w:rFonts w:cs="Arial"/>
          <w:szCs w:val="24"/>
        </w:rPr>
      </w:pPr>
    </w:p>
    <w:p w14:paraId="07474199" w14:textId="7A9F3505" w:rsidR="004B76FD" w:rsidRPr="00026EC1" w:rsidRDefault="004B76FD" w:rsidP="00A64613">
      <w:pPr>
        <w:keepNext w:val="0"/>
        <w:rPr>
          <w:rFonts w:cs="Arial"/>
          <w:szCs w:val="24"/>
        </w:rPr>
      </w:pPr>
      <w:r w:rsidRPr="00026EC1">
        <w:rPr>
          <w:rFonts w:cs="Arial"/>
          <w:szCs w:val="24"/>
        </w:rPr>
        <w:t>À la deuxième</w:t>
      </w:r>
      <w:r w:rsidR="00505124">
        <w:rPr>
          <w:rFonts w:cs="Arial"/>
          <w:szCs w:val="24"/>
        </w:rPr>
        <w:t> </w:t>
      </w:r>
      <w:r w:rsidRPr="00026EC1">
        <w:rPr>
          <w:rFonts w:cs="Arial"/>
          <w:szCs w:val="24"/>
        </w:rPr>
        <w:t>(2</w:t>
      </w:r>
      <w:r w:rsidRPr="00026EC1">
        <w:rPr>
          <w:rFonts w:cs="Arial"/>
          <w:szCs w:val="24"/>
          <w:vertAlign w:val="superscript"/>
        </w:rPr>
        <w:t>e</w:t>
      </w:r>
      <w:r w:rsidRPr="00026EC1">
        <w:rPr>
          <w:rFonts w:cs="Arial"/>
          <w:szCs w:val="24"/>
        </w:rPr>
        <w:t>) session et dans un délai identique, le Collège ne sera tenu de faire parvenir au Syndicat et à la FNEEQ</w:t>
      </w:r>
      <w:r w:rsidR="00F07711" w:rsidRPr="00026EC1">
        <w:rPr>
          <w:rFonts w:cs="Arial"/>
          <w:szCs w:val="24"/>
        </w:rPr>
        <w:t> </w:t>
      </w:r>
      <w:r w:rsidRPr="00026EC1">
        <w:rPr>
          <w:rFonts w:cs="Arial"/>
          <w:szCs w:val="24"/>
        </w:rPr>
        <w:t>(CSN) que les corrections à la liste déjà fournie à la première</w:t>
      </w:r>
      <w:r w:rsidR="00505124">
        <w:rPr>
          <w:rFonts w:cs="Arial"/>
          <w:szCs w:val="24"/>
        </w:rPr>
        <w:t> </w:t>
      </w:r>
      <w:r w:rsidRPr="00026EC1">
        <w:rPr>
          <w:rFonts w:cs="Arial"/>
          <w:szCs w:val="24"/>
        </w:rPr>
        <w:t>(1</w:t>
      </w:r>
      <w:r w:rsidRPr="00026EC1">
        <w:rPr>
          <w:rFonts w:cs="Arial"/>
          <w:szCs w:val="24"/>
          <w:vertAlign w:val="superscript"/>
        </w:rPr>
        <w:t>re</w:t>
      </w:r>
      <w:r w:rsidRPr="00026EC1">
        <w:rPr>
          <w:rFonts w:cs="Arial"/>
          <w:szCs w:val="24"/>
        </w:rPr>
        <w:t>) session.</w:t>
      </w:r>
    </w:p>
    <w:p w14:paraId="53AC3F2E" w14:textId="77777777" w:rsidR="004B76FD" w:rsidRPr="00026EC1" w:rsidRDefault="004B76FD" w:rsidP="00A64613">
      <w:pPr>
        <w:keepNext w:val="0"/>
        <w:rPr>
          <w:rFonts w:cs="Arial"/>
          <w:szCs w:val="24"/>
        </w:rPr>
      </w:pPr>
    </w:p>
    <w:p w14:paraId="1200B52F" w14:textId="77777777" w:rsidR="004B76FD" w:rsidRPr="00026EC1" w:rsidRDefault="004B76FD" w:rsidP="00A64613">
      <w:pPr>
        <w:keepNext w:val="0"/>
        <w:rPr>
          <w:rFonts w:cs="Arial"/>
          <w:szCs w:val="24"/>
        </w:rPr>
      </w:pPr>
      <w:r w:rsidRPr="00026EC1">
        <w:rPr>
          <w:rFonts w:cs="Arial"/>
          <w:szCs w:val="24"/>
        </w:rPr>
        <w:t>Le Collège informe le Syndicat et la FNEEQ</w:t>
      </w:r>
      <w:r w:rsidR="00F07711" w:rsidRPr="00026EC1">
        <w:rPr>
          <w:rFonts w:cs="Arial"/>
          <w:szCs w:val="24"/>
        </w:rPr>
        <w:t> </w:t>
      </w:r>
      <w:r w:rsidRPr="00026EC1">
        <w:rPr>
          <w:rFonts w:cs="Arial"/>
          <w:szCs w:val="24"/>
        </w:rPr>
        <w:t>(CSN) de toute démission et des demandes de mise à la retraite d</w:t>
      </w:r>
      <w:r w:rsidR="004A41E4" w:rsidRPr="00026EC1">
        <w:rPr>
          <w:rFonts w:cs="Arial"/>
          <w:szCs w:val="24"/>
        </w:rPr>
        <w:t>’</w:t>
      </w:r>
      <w:r w:rsidRPr="00026EC1">
        <w:rPr>
          <w:rFonts w:cs="Arial"/>
          <w:szCs w:val="24"/>
        </w:rPr>
        <w:t>enseignantes et d</w:t>
      </w:r>
      <w:r w:rsidR="004A41E4" w:rsidRPr="00026EC1">
        <w:rPr>
          <w:rFonts w:cs="Arial"/>
          <w:szCs w:val="24"/>
        </w:rPr>
        <w:t>’</w:t>
      </w:r>
      <w:r w:rsidRPr="00026EC1">
        <w:rPr>
          <w:rFonts w:cs="Arial"/>
          <w:szCs w:val="24"/>
        </w:rPr>
        <w:t>enseignants dès qu</w:t>
      </w:r>
      <w:r w:rsidR="004A41E4" w:rsidRPr="00026EC1">
        <w:rPr>
          <w:rFonts w:cs="Arial"/>
          <w:szCs w:val="24"/>
        </w:rPr>
        <w:t>’</w:t>
      </w:r>
      <w:r w:rsidRPr="00026EC1">
        <w:rPr>
          <w:rFonts w:cs="Arial"/>
          <w:szCs w:val="24"/>
        </w:rPr>
        <w:t>il en est saisi.</w:t>
      </w:r>
    </w:p>
    <w:p w14:paraId="40338E03" w14:textId="77777777" w:rsidR="004B76FD" w:rsidRPr="00026EC1" w:rsidRDefault="004B76FD" w:rsidP="00A64613">
      <w:pPr>
        <w:keepNext w:val="0"/>
        <w:rPr>
          <w:rFonts w:cs="Arial"/>
          <w:szCs w:val="24"/>
        </w:rPr>
      </w:pPr>
    </w:p>
    <w:p w14:paraId="14DBDCF0" w14:textId="4780475C" w:rsidR="004B76FD" w:rsidRPr="00026EC1" w:rsidRDefault="004B76FD" w:rsidP="00A64613">
      <w:pPr>
        <w:pStyle w:val="NUMRODECLAUSE"/>
        <w:keepNext w:val="0"/>
      </w:pPr>
      <w:r w:rsidRPr="00026EC1">
        <w:t>4</w:t>
      </w:r>
      <w:r w:rsidR="00984A6F">
        <w:noBreakHyphen/>
      </w:r>
      <w:r w:rsidRPr="00026EC1">
        <w:t>2.03</w:t>
      </w:r>
    </w:p>
    <w:p w14:paraId="51B7A07A" w14:textId="16810AF0" w:rsidR="004B76FD" w:rsidRPr="00026EC1" w:rsidRDefault="004B76FD" w:rsidP="00A64613">
      <w:pPr>
        <w:keepNext w:val="0"/>
        <w:rPr>
          <w:rFonts w:cs="Arial"/>
          <w:szCs w:val="24"/>
        </w:rPr>
      </w:pPr>
      <w:r w:rsidRPr="00026EC1">
        <w:rPr>
          <w:rFonts w:cs="Arial"/>
          <w:szCs w:val="24"/>
        </w:rPr>
        <w:t>Le Collège transmet au Syndicat deux</w:t>
      </w:r>
      <w:r w:rsidR="00505124">
        <w:rPr>
          <w:rFonts w:cs="Arial"/>
          <w:szCs w:val="24"/>
        </w:rPr>
        <w:t> </w:t>
      </w:r>
      <w:r w:rsidRPr="00026EC1">
        <w:rPr>
          <w:rFonts w:cs="Arial"/>
          <w:szCs w:val="24"/>
        </w:rPr>
        <w:t>(2) exemplaires de tout document relatif à la convention collective et de toute directive ou de tout document d</w:t>
      </w:r>
      <w:r w:rsidR="004A41E4" w:rsidRPr="00026EC1">
        <w:rPr>
          <w:rFonts w:cs="Arial"/>
          <w:szCs w:val="24"/>
        </w:rPr>
        <w:t>’</w:t>
      </w:r>
      <w:r w:rsidRPr="00026EC1">
        <w:rPr>
          <w:rFonts w:cs="Arial"/>
          <w:szCs w:val="24"/>
        </w:rPr>
        <w:t>ordre général à l</w:t>
      </w:r>
      <w:r w:rsidR="004A41E4" w:rsidRPr="00026EC1">
        <w:rPr>
          <w:rFonts w:cs="Arial"/>
          <w:szCs w:val="24"/>
        </w:rPr>
        <w:t>’</w:t>
      </w:r>
      <w:r w:rsidRPr="00026EC1">
        <w:rPr>
          <w:rFonts w:cs="Arial"/>
          <w:szCs w:val="24"/>
        </w:rPr>
        <w:t>intention des enseignantes et enseignants. Le Collège, de plus, affiche un exemplaire des mêmes documents.</w:t>
      </w:r>
    </w:p>
    <w:p w14:paraId="0C94587E" w14:textId="77777777" w:rsidR="004B76FD" w:rsidRPr="00026EC1" w:rsidRDefault="004B76FD" w:rsidP="00A64613">
      <w:pPr>
        <w:keepNext w:val="0"/>
        <w:rPr>
          <w:rFonts w:cs="Arial"/>
          <w:szCs w:val="24"/>
        </w:rPr>
      </w:pPr>
    </w:p>
    <w:p w14:paraId="32138A07" w14:textId="37444718" w:rsidR="004B76FD" w:rsidRPr="00026EC1" w:rsidRDefault="004B76FD" w:rsidP="00A64613">
      <w:pPr>
        <w:pStyle w:val="NUMRODECLAUSE"/>
        <w:keepNext w:val="0"/>
      </w:pPr>
      <w:r w:rsidRPr="00026EC1">
        <w:t>4</w:t>
      </w:r>
      <w:r w:rsidR="00984A6F">
        <w:noBreakHyphen/>
      </w:r>
      <w:r w:rsidRPr="00026EC1">
        <w:t>2.04</w:t>
      </w:r>
    </w:p>
    <w:p w14:paraId="32A3077C" w14:textId="77777777" w:rsidR="004B76FD" w:rsidRPr="00026EC1" w:rsidRDefault="004B76FD" w:rsidP="00A64613">
      <w:pPr>
        <w:keepNext w:val="0"/>
        <w:rPr>
          <w:rFonts w:cs="Arial"/>
          <w:szCs w:val="24"/>
        </w:rPr>
      </w:pPr>
      <w:r w:rsidRPr="00026EC1">
        <w:rPr>
          <w:rFonts w:cs="Arial"/>
          <w:szCs w:val="24"/>
        </w:rPr>
        <w:t>Toute directive relative à l</w:t>
      </w:r>
      <w:r w:rsidR="004A41E4" w:rsidRPr="00026EC1">
        <w:rPr>
          <w:rFonts w:cs="Arial"/>
          <w:szCs w:val="24"/>
        </w:rPr>
        <w:t>’</w:t>
      </w:r>
      <w:r w:rsidRPr="00026EC1">
        <w:rPr>
          <w:rFonts w:cs="Arial"/>
          <w:szCs w:val="24"/>
        </w:rPr>
        <w:t>interprétation de la convention collective et adressée par le Collège à un département est transmise en même temps au Syndicat.</w:t>
      </w:r>
    </w:p>
    <w:p w14:paraId="3362EAD4" w14:textId="77777777" w:rsidR="004B76FD" w:rsidRPr="00026EC1" w:rsidRDefault="004B76FD" w:rsidP="00A64613">
      <w:pPr>
        <w:keepNext w:val="0"/>
        <w:rPr>
          <w:rFonts w:cs="Arial"/>
          <w:szCs w:val="24"/>
        </w:rPr>
      </w:pPr>
    </w:p>
    <w:p w14:paraId="74D78521" w14:textId="242BA9DC" w:rsidR="004B76FD" w:rsidRPr="00026EC1" w:rsidRDefault="004B76FD" w:rsidP="00A64613">
      <w:pPr>
        <w:pStyle w:val="NUMRODECLAUSE"/>
        <w:keepNext w:val="0"/>
      </w:pPr>
      <w:r w:rsidRPr="00026EC1">
        <w:t>4</w:t>
      </w:r>
      <w:r w:rsidR="00984A6F">
        <w:noBreakHyphen/>
      </w:r>
      <w:r w:rsidRPr="00026EC1">
        <w:t>2.05</w:t>
      </w:r>
    </w:p>
    <w:p w14:paraId="0B1B3316" w14:textId="7E8EA347" w:rsidR="004B76FD" w:rsidRPr="00026EC1" w:rsidRDefault="004B76FD" w:rsidP="00A64613">
      <w:pPr>
        <w:keepNext w:val="0"/>
        <w:rPr>
          <w:rFonts w:cs="Arial"/>
          <w:szCs w:val="24"/>
        </w:rPr>
      </w:pPr>
      <w:r w:rsidRPr="00026EC1">
        <w:rPr>
          <w:rFonts w:cs="Arial"/>
          <w:szCs w:val="24"/>
        </w:rPr>
        <w:t>Le Collège fait parvenir au Syndicat deux</w:t>
      </w:r>
      <w:r w:rsidR="00505124">
        <w:rPr>
          <w:rFonts w:cs="Arial"/>
          <w:szCs w:val="24"/>
        </w:rPr>
        <w:t> </w:t>
      </w:r>
      <w:r w:rsidRPr="00026EC1">
        <w:rPr>
          <w:rFonts w:cs="Arial"/>
          <w:szCs w:val="24"/>
        </w:rPr>
        <w:t>(2) exemplaires de tout document non confidentiel remis aux membres des commissions, conseils et comités ou produits par ces organismes au sein desquels le Syndicat a désigné, nommé ou suggéré des membres ainsi qu</w:t>
      </w:r>
      <w:r w:rsidR="004A41E4" w:rsidRPr="00026EC1">
        <w:rPr>
          <w:rFonts w:cs="Arial"/>
          <w:szCs w:val="24"/>
        </w:rPr>
        <w:t>’</w:t>
      </w:r>
      <w:r w:rsidRPr="00026EC1">
        <w:rPr>
          <w:rFonts w:cs="Arial"/>
          <w:szCs w:val="24"/>
        </w:rPr>
        <w:t>une copie des avis de convocation, projets d</w:t>
      </w:r>
      <w:r w:rsidR="004A41E4" w:rsidRPr="00026EC1">
        <w:rPr>
          <w:rFonts w:cs="Arial"/>
          <w:szCs w:val="24"/>
        </w:rPr>
        <w:t>’</w:t>
      </w:r>
      <w:r w:rsidRPr="00026EC1">
        <w:rPr>
          <w:rFonts w:cs="Arial"/>
          <w:szCs w:val="24"/>
        </w:rPr>
        <w:t>ordre du jour et procès</w:t>
      </w:r>
      <w:r w:rsidR="00984A6F">
        <w:rPr>
          <w:rFonts w:cs="Arial"/>
          <w:szCs w:val="24"/>
        </w:rPr>
        <w:noBreakHyphen/>
      </w:r>
      <w:r w:rsidRPr="00026EC1">
        <w:rPr>
          <w:rFonts w:cs="Arial"/>
          <w:szCs w:val="24"/>
        </w:rPr>
        <w:t>verbaux du Conseil d</w:t>
      </w:r>
      <w:r w:rsidR="004A41E4" w:rsidRPr="00026EC1">
        <w:rPr>
          <w:rFonts w:cs="Arial"/>
          <w:szCs w:val="24"/>
        </w:rPr>
        <w:t>’</w:t>
      </w:r>
      <w:r w:rsidRPr="00026EC1">
        <w:rPr>
          <w:rFonts w:cs="Arial"/>
          <w:szCs w:val="24"/>
        </w:rPr>
        <w:t>administration.</w:t>
      </w:r>
    </w:p>
    <w:p w14:paraId="2D837C47" w14:textId="77777777" w:rsidR="004B76FD" w:rsidRPr="00026EC1" w:rsidRDefault="004B76FD" w:rsidP="00A64613">
      <w:pPr>
        <w:keepNext w:val="0"/>
        <w:rPr>
          <w:rFonts w:cs="Arial"/>
          <w:szCs w:val="24"/>
        </w:rPr>
      </w:pPr>
    </w:p>
    <w:p w14:paraId="28438CDB" w14:textId="3F9ACB96" w:rsidR="004B76FD" w:rsidRPr="00026EC1" w:rsidRDefault="004B76FD" w:rsidP="00A64613">
      <w:pPr>
        <w:pStyle w:val="NUMRODECLAUSE"/>
        <w:keepNext w:val="0"/>
      </w:pPr>
      <w:r w:rsidRPr="00026EC1">
        <w:t>4</w:t>
      </w:r>
      <w:r w:rsidR="00984A6F">
        <w:noBreakHyphen/>
      </w:r>
      <w:r w:rsidRPr="00026EC1">
        <w:t>2.06</w:t>
      </w:r>
    </w:p>
    <w:p w14:paraId="427F77F6" w14:textId="77777777" w:rsidR="004B76FD" w:rsidRPr="00026EC1" w:rsidRDefault="004B76FD" w:rsidP="00A64613">
      <w:pPr>
        <w:keepNext w:val="0"/>
        <w:rPr>
          <w:rFonts w:cs="Arial"/>
          <w:szCs w:val="24"/>
        </w:rPr>
      </w:pPr>
      <w:r w:rsidRPr="00026EC1">
        <w:rPr>
          <w:rFonts w:cs="Arial"/>
          <w:szCs w:val="24"/>
        </w:rPr>
        <w:t>Dans les trente (30) jours ouvrables qui suivent le début de chaque session, le Collège transmet, au Syndicat et à la FNEEQ</w:t>
      </w:r>
      <w:r w:rsidR="00F07711" w:rsidRPr="00026EC1">
        <w:rPr>
          <w:rFonts w:cs="Arial"/>
          <w:szCs w:val="24"/>
        </w:rPr>
        <w:t> </w:t>
      </w:r>
      <w:r w:rsidRPr="00026EC1">
        <w:rPr>
          <w:rFonts w:cs="Arial"/>
          <w:szCs w:val="24"/>
        </w:rPr>
        <w:t>(CSN), un exemplaire de la liste complète des étudiantes et étudiants réguliers ainsi que celle des étudiantes et étudiants à la formation continue qui suivent des cours intégrés à l</w:t>
      </w:r>
      <w:r w:rsidR="004A41E4" w:rsidRPr="00026EC1">
        <w:rPr>
          <w:rFonts w:cs="Arial"/>
          <w:szCs w:val="24"/>
        </w:rPr>
        <w:t>’</w:t>
      </w:r>
      <w:r w:rsidRPr="00026EC1">
        <w:rPr>
          <w:rFonts w:cs="Arial"/>
          <w:szCs w:val="24"/>
        </w:rPr>
        <w:t>horaire des étudiantes et étudiants réguliers et des cours auxquels elles ou ils sont inscrits.</w:t>
      </w:r>
    </w:p>
    <w:p w14:paraId="2F2A005E" w14:textId="77777777" w:rsidR="004B76FD" w:rsidRPr="00026EC1" w:rsidRDefault="004B76FD" w:rsidP="00A64613">
      <w:pPr>
        <w:keepNext w:val="0"/>
        <w:rPr>
          <w:rFonts w:cs="Arial"/>
          <w:szCs w:val="24"/>
        </w:rPr>
      </w:pPr>
    </w:p>
    <w:p w14:paraId="795CF47B" w14:textId="62CC95AE" w:rsidR="004B76FD" w:rsidRPr="00026EC1" w:rsidRDefault="004B76FD" w:rsidP="00A64613">
      <w:pPr>
        <w:pStyle w:val="NUMRODECLAUSE"/>
        <w:keepNext w:val="0"/>
      </w:pPr>
      <w:r w:rsidRPr="00026EC1">
        <w:t>4</w:t>
      </w:r>
      <w:r w:rsidR="00984A6F">
        <w:noBreakHyphen/>
      </w:r>
      <w:r w:rsidRPr="00026EC1">
        <w:t>2.07</w:t>
      </w:r>
    </w:p>
    <w:p w14:paraId="7E1C06D2" w14:textId="2A1E74F9" w:rsidR="00316277" w:rsidRDefault="004B76FD" w:rsidP="00A64613">
      <w:pPr>
        <w:keepNext w:val="0"/>
        <w:rPr>
          <w:rFonts w:cs="Arial"/>
          <w:szCs w:val="24"/>
        </w:rPr>
      </w:pPr>
      <w:r w:rsidRPr="00026EC1">
        <w:rPr>
          <w:rFonts w:cs="Arial"/>
          <w:szCs w:val="24"/>
        </w:rPr>
        <w:t>Le Collège fournit sans délai au Syndicat la liste complète des membres de tous les comités et commissions du Collège auxquels participent les enseignantes et enseignants. En outre, le Collège fournit la liste complète des membres de tous les comités et commissions qui existent au Collège et dont le mandat est de définir les objectifs généraux du Collège ou d</w:t>
      </w:r>
      <w:r w:rsidR="004A41E4" w:rsidRPr="00026EC1">
        <w:rPr>
          <w:rFonts w:cs="Arial"/>
          <w:szCs w:val="24"/>
        </w:rPr>
        <w:t>’</w:t>
      </w:r>
      <w:r w:rsidRPr="00026EC1">
        <w:rPr>
          <w:rFonts w:cs="Arial"/>
          <w:szCs w:val="24"/>
        </w:rPr>
        <w:t>un secteur donné.</w:t>
      </w:r>
    </w:p>
    <w:p w14:paraId="6D7A3E69" w14:textId="77777777" w:rsidR="00316277" w:rsidRDefault="00316277">
      <w:pPr>
        <w:keepNext w:val="0"/>
        <w:suppressAutoHyphens w:val="0"/>
        <w:jc w:val="left"/>
        <w:rPr>
          <w:rFonts w:cs="Arial"/>
          <w:szCs w:val="24"/>
        </w:rPr>
      </w:pPr>
      <w:r>
        <w:rPr>
          <w:rFonts w:cs="Arial"/>
          <w:szCs w:val="24"/>
        </w:rPr>
        <w:br w:type="page"/>
      </w:r>
    </w:p>
    <w:p w14:paraId="143E951C" w14:textId="078FB410" w:rsidR="004B76FD" w:rsidRPr="00026EC1" w:rsidRDefault="004B76FD" w:rsidP="00A64613">
      <w:pPr>
        <w:keepNext w:val="0"/>
        <w:rPr>
          <w:b/>
        </w:rPr>
      </w:pPr>
      <w:r w:rsidRPr="00026EC1">
        <w:rPr>
          <w:b/>
        </w:rPr>
        <w:t>4</w:t>
      </w:r>
      <w:r w:rsidR="00984A6F">
        <w:rPr>
          <w:b/>
        </w:rPr>
        <w:noBreakHyphen/>
      </w:r>
      <w:r w:rsidRPr="00026EC1">
        <w:rPr>
          <w:b/>
        </w:rPr>
        <w:t>2.08</w:t>
      </w:r>
    </w:p>
    <w:p w14:paraId="3FEB1F86" w14:textId="77777777" w:rsidR="004B76FD" w:rsidRPr="00026EC1" w:rsidRDefault="004B76FD" w:rsidP="00A64613">
      <w:pPr>
        <w:keepNext w:val="0"/>
        <w:rPr>
          <w:rFonts w:cs="Arial"/>
          <w:szCs w:val="24"/>
        </w:rPr>
      </w:pPr>
      <w:r w:rsidRPr="00026EC1">
        <w:rPr>
          <w:rFonts w:cs="Arial"/>
          <w:szCs w:val="24"/>
        </w:rPr>
        <w:t>Le Syndicat fournit au Collège la liste des membres de son Conseil exécutif ou de son organisme équivalent.</w:t>
      </w:r>
    </w:p>
    <w:p w14:paraId="3A25350B" w14:textId="77777777" w:rsidR="004B76FD" w:rsidRPr="00026EC1" w:rsidRDefault="004B76FD" w:rsidP="00A64613">
      <w:pPr>
        <w:keepNext w:val="0"/>
        <w:rPr>
          <w:rFonts w:cs="Arial"/>
          <w:szCs w:val="24"/>
        </w:rPr>
      </w:pPr>
    </w:p>
    <w:p w14:paraId="4070A6E9" w14:textId="77777777" w:rsidR="004B76FD" w:rsidRPr="00026EC1" w:rsidRDefault="004B76FD" w:rsidP="00A64613">
      <w:pPr>
        <w:keepNext w:val="0"/>
        <w:rPr>
          <w:rFonts w:cs="Arial"/>
          <w:szCs w:val="24"/>
        </w:rPr>
      </w:pPr>
      <w:r w:rsidRPr="00026EC1">
        <w:rPr>
          <w:rFonts w:cs="Arial"/>
          <w:szCs w:val="24"/>
        </w:rPr>
        <w:t>En cas de remplacement, le Collège est informé des nouvelles nominations.</w:t>
      </w:r>
    </w:p>
    <w:p w14:paraId="3CC01029" w14:textId="77777777" w:rsidR="00B74B87" w:rsidRPr="00026EC1" w:rsidRDefault="00B74B87" w:rsidP="00A64613">
      <w:pPr>
        <w:keepNext w:val="0"/>
        <w:rPr>
          <w:rFonts w:cs="Arial"/>
          <w:szCs w:val="24"/>
        </w:rPr>
      </w:pPr>
    </w:p>
    <w:p w14:paraId="2F38D4BB" w14:textId="7F6D03C9" w:rsidR="004B76FD" w:rsidRPr="00026EC1" w:rsidRDefault="004B76FD" w:rsidP="00A64613">
      <w:pPr>
        <w:pStyle w:val="NUMRODECLAUSE"/>
        <w:keepNext w:val="0"/>
      </w:pPr>
      <w:r w:rsidRPr="00026EC1">
        <w:t>4</w:t>
      </w:r>
      <w:r w:rsidR="00984A6F">
        <w:noBreakHyphen/>
      </w:r>
      <w:r w:rsidRPr="00026EC1">
        <w:t>2.09</w:t>
      </w:r>
    </w:p>
    <w:p w14:paraId="3245C9A0" w14:textId="012E20B5" w:rsidR="004B76FD" w:rsidRPr="00026EC1" w:rsidRDefault="004B76FD" w:rsidP="00A64613">
      <w:pPr>
        <w:keepNext w:val="0"/>
        <w:rPr>
          <w:rFonts w:cs="Arial"/>
          <w:szCs w:val="24"/>
        </w:rPr>
      </w:pPr>
      <w:r w:rsidRPr="00026EC1">
        <w:rPr>
          <w:rFonts w:cs="Arial"/>
          <w:szCs w:val="24"/>
        </w:rPr>
        <w:t>Deux</w:t>
      </w:r>
      <w:r w:rsidR="00630FFC" w:rsidRPr="00026EC1">
        <w:rPr>
          <w:rFonts w:cs="Arial"/>
          <w:szCs w:val="24"/>
        </w:rPr>
        <w:t xml:space="preserve"> (2)</w:t>
      </w:r>
      <w:r w:rsidRPr="00026EC1">
        <w:rPr>
          <w:rFonts w:cs="Arial"/>
          <w:szCs w:val="24"/>
        </w:rPr>
        <w:t xml:space="preserve"> fois par année, au plus tard le 15</w:t>
      </w:r>
      <w:r w:rsidR="00505124">
        <w:rPr>
          <w:rFonts w:cs="Arial"/>
          <w:szCs w:val="24"/>
        </w:rPr>
        <w:t> </w:t>
      </w:r>
      <w:r w:rsidRPr="00026EC1">
        <w:rPr>
          <w:rFonts w:cs="Arial"/>
          <w:szCs w:val="24"/>
        </w:rPr>
        <w:t>juin, pour la session d</w:t>
      </w:r>
      <w:r w:rsidR="004A41E4" w:rsidRPr="00026EC1">
        <w:rPr>
          <w:rFonts w:cs="Arial"/>
          <w:szCs w:val="24"/>
        </w:rPr>
        <w:t>’</w:t>
      </w:r>
      <w:r w:rsidRPr="00026EC1">
        <w:rPr>
          <w:rFonts w:cs="Arial"/>
          <w:szCs w:val="24"/>
        </w:rPr>
        <w:t>automne, et au plus tard le 15 décembre, pour la session d</w:t>
      </w:r>
      <w:r w:rsidR="004A41E4" w:rsidRPr="00026EC1">
        <w:rPr>
          <w:rFonts w:cs="Arial"/>
          <w:szCs w:val="24"/>
        </w:rPr>
        <w:t>’</w:t>
      </w:r>
      <w:r w:rsidRPr="00026EC1">
        <w:rPr>
          <w:rFonts w:cs="Arial"/>
          <w:szCs w:val="24"/>
        </w:rPr>
        <w:t>hiver, le Collège transmet au Syndicat la liste des priorités d</w:t>
      </w:r>
      <w:r w:rsidR="004A41E4" w:rsidRPr="00026EC1">
        <w:rPr>
          <w:rFonts w:cs="Arial"/>
          <w:szCs w:val="24"/>
        </w:rPr>
        <w:t>’</w:t>
      </w:r>
      <w:r w:rsidRPr="00026EC1">
        <w:rPr>
          <w:rFonts w:cs="Arial"/>
          <w:szCs w:val="24"/>
        </w:rPr>
        <w:t>engagement à l</w:t>
      </w:r>
      <w:r w:rsidR="004A41E4" w:rsidRPr="00026EC1">
        <w:rPr>
          <w:rFonts w:cs="Arial"/>
          <w:szCs w:val="24"/>
        </w:rPr>
        <w:t>’</w:t>
      </w:r>
      <w:r w:rsidRPr="00026EC1">
        <w:rPr>
          <w:rFonts w:cs="Arial"/>
          <w:szCs w:val="24"/>
        </w:rPr>
        <w:t>enseignement régulier et à la formation continue. Ces dates peuvent être modifiées par entente entre les parties.</w:t>
      </w:r>
    </w:p>
    <w:p w14:paraId="3A54C1BD" w14:textId="77777777" w:rsidR="004B76FD" w:rsidRPr="00026EC1" w:rsidRDefault="004B76FD" w:rsidP="00A64613">
      <w:pPr>
        <w:keepNext w:val="0"/>
        <w:rPr>
          <w:rFonts w:cs="Arial"/>
          <w:szCs w:val="24"/>
        </w:rPr>
      </w:pPr>
    </w:p>
    <w:p w14:paraId="6099357E" w14:textId="25EE5175" w:rsidR="004B76FD" w:rsidRPr="00026EC1" w:rsidRDefault="004B76FD" w:rsidP="00A64613">
      <w:pPr>
        <w:keepNext w:val="0"/>
        <w:rPr>
          <w:rFonts w:cs="Arial"/>
          <w:b/>
          <w:bCs/>
          <w:szCs w:val="24"/>
        </w:rPr>
      </w:pPr>
      <w:r w:rsidRPr="00026EC1">
        <w:rPr>
          <w:rFonts w:cs="Arial"/>
          <w:b/>
          <w:bCs/>
          <w:szCs w:val="24"/>
        </w:rPr>
        <w:t>4</w:t>
      </w:r>
      <w:r w:rsidR="00984A6F">
        <w:rPr>
          <w:rFonts w:cs="Arial"/>
          <w:b/>
          <w:bCs/>
          <w:szCs w:val="24"/>
        </w:rPr>
        <w:noBreakHyphen/>
      </w:r>
      <w:r w:rsidRPr="00026EC1">
        <w:rPr>
          <w:rFonts w:cs="Arial"/>
          <w:b/>
          <w:bCs/>
          <w:szCs w:val="24"/>
        </w:rPr>
        <w:t>2.10</w:t>
      </w:r>
    </w:p>
    <w:p w14:paraId="70A607B3" w14:textId="77777777" w:rsidR="00404F34" w:rsidRPr="00026EC1" w:rsidRDefault="004B76FD" w:rsidP="00A64613">
      <w:pPr>
        <w:keepNext w:val="0"/>
        <w:rPr>
          <w:rFonts w:cs="Arial"/>
          <w:szCs w:val="24"/>
        </w:rPr>
      </w:pPr>
      <w:r w:rsidRPr="00026EC1">
        <w:rPr>
          <w:rFonts w:cs="Arial"/>
          <w:szCs w:val="24"/>
          <w:shd w:val="clear" w:color="auto" w:fill="FFFFFF"/>
        </w:rPr>
        <w:t>Les informations prévues au présent article que le Collège doit faire parvenir au Syndicat et à la FNEEQ</w:t>
      </w:r>
      <w:r w:rsidR="00F07711" w:rsidRPr="00026EC1">
        <w:rPr>
          <w:rFonts w:cs="Arial"/>
          <w:szCs w:val="24"/>
          <w:shd w:val="clear" w:color="auto" w:fill="FFFFFF"/>
        </w:rPr>
        <w:t> </w:t>
      </w:r>
      <w:r w:rsidRPr="00026EC1">
        <w:rPr>
          <w:rFonts w:cs="Arial"/>
          <w:szCs w:val="24"/>
          <w:shd w:val="clear" w:color="auto" w:fill="FFFFFF"/>
        </w:rPr>
        <w:t xml:space="preserve">(CSN) </w:t>
      </w:r>
      <w:r w:rsidRPr="00026EC1">
        <w:rPr>
          <w:rFonts w:cs="Arial"/>
          <w:szCs w:val="24"/>
        </w:rPr>
        <w:t>sont acheminées sur support informatique, si elles sont disponibles sous cette forme. Toutefois, les parties peuvent s</w:t>
      </w:r>
      <w:r w:rsidR="004A41E4" w:rsidRPr="00026EC1">
        <w:rPr>
          <w:rFonts w:cs="Arial"/>
          <w:szCs w:val="24"/>
        </w:rPr>
        <w:t>’</w:t>
      </w:r>
      <w:r w:rsidRPr="00026EC1">
        <w:rPr>
          <w:rFonts w:cs="Arial"/>
          <w:szCs w:val="24"/>
        </w:rPr>
        <w:t>entendre pour que les informations soient également transmises sur supp</w:t>
      </w:r>
      <w:r w:rsidR="005A629E" w:rsidRPr="00026EC1">
        <w:rPr>
          <w:rFonts w:cs="Arial"/>
          <w:szCs w:val="24"/>
        </w:rPr>
        <w:t>ort papier.</w:t>
      </w:r>
    </w:p>
    <w:p w14:paraId="2C825191" w14:textId="441FF8E2"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328" w:name="_Toc393444596"/>
      <w:bookmarkStart w:id="329" w:name="_Toc393449547"/>
      <w:bookmarkStart w:id="330" w:name="_Toc393460916"/>
      <w:bookmarkStart w:id="331" w:name="_Toc393461194"/>
      <w:bookmarkStart w:id="332" w:name="_Toc393720755"/>
      <w:bookmarkStart w:id="333" w:name="_Toc393783916"/>
      <w:bookmarkStart w:id="334" w:name="_Toc393784055"/>
      <w:bookmarkStart w:id="335" w:name="_Toc168479509"/>
      <w:r w:rsidRPr="00026EC1">
        <w:t>Article</w:t>
      </w:r>
      <w:r w:rsidR="00831CEF" w:rsidRPr="00026EC1">
        <w:t> </w:t>
      </w:r>
      <w:r w:rsidRPr="00026EC1">
        <w:t>4</w:t>
      </w:r>
      <w:r w:rsidR="00984A6F">
        <w:t>-</w:t>
      </w:r>
      <w:r w:rsidRPr="00026EC1">
        <w:t>3.00</w:t>
      </w:r>
      <w:r w:rsidR="00F66753" w:rsidRPr="00026EC1">
        <w:tab/>
      </w:r>
      <w:r w:rsidR="00984A6F">
        <w:t>-</w:t>
      </w:r>
      <w:r w:rsidR="00F66753" w:rsidRPr="00026EC1">
        <w:tab/>
      </w:r>
      <w:r w:rsidRPr="00026EC1">
        <w:t>Comité des relations du travail</w:t>
      </w:r>
      <w:bookmarkEnd w:id="328"/>
      <w:bookmarkEnd w:id="329"/>
      <w:bookmarkEnd w:id="330"/>
      <w:bookmarkEnd w:id="331"/>
      <w:bookmarkEnd w:id="332"/>
      <w:bookmarkEnd w:id="333"/>
      <w:bookmarkEnd w:id="334"/>
      <w:bookmarkEnd w:id="335"/>
    </w:p>
    <w:p w14:paraId="1E80051D"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3050F06B" w14:textId="77777777" w:rsidR="00404F34" w:rsidRPr="00026EC1" w:rsidRDefault="00404F34" w:rsidP="00A64613">
      <w:pPr>
        <w:keepNext w:val="0"/>
      </w:pPr>
    </w:p>
    <w:p w14:paraId="2C240C45" w14:textId="617FBECC" w:rsidR="00404F34" w:rsidRPr="00026EC1" w:rsidRDefault="00404F34" w:rsidP="00A64613">
      <w:pPr>
        <w:pStyle w:val="NUMRODECLAUSE"/>
        <w:keepNext w:val="0"/>
      </w:pPr>
      <w:r w:rsidRPr="00026EC1">
        <w:t>4</w:t>
      </w:r>
      <w:r w:rsidR="00984A6F">
        <w:noBreakHyphen/>
      </w:r>
      <w:r w:rsidRPr="00026EC1">
        <w:t>3.01</w:t>
      </w:r>
    </w:p>
    <w:p w14:paraId="7DF76CE8" w14:textId="77777777" w:rsidR="00404F34" w:rsidRPr="00026EC1" w:rsidRDefault="00404F34" w:rsidP="00A64613">
      <w:pPr>
        <w:keepNext w:val="0"/>
      </w:pPr>
      <w:r w:rsidRPr="00026EC1">
        <w:t>Le CRT</w:t>
      </w:r>
      <w:r w:rsidR="006628EC" w:rsidRPr="00026EC1">
        <w:t xml:space="preserve"> </w:t>
      </w:r>
      <w:r w:rsidRPr="00026EC1">
        <w:t>est un comité permanent regroupant les parties. Il sert à discuter et à rechercher une entente sur toute question relative à l</w:t>
      </w:r>
      <w:r w:rsidR="004A41E4" w:rsidRPr="00026EC1">
        <w:t>’</w:t>
      </w:r>
      <w:r w:rsidRPr="00026EC1">
        <w:t>application et à l</w:t>
      </w:r>
      <w:r w:rsidR="004A41E4" w:rsidRPr="00026EC1">
        <w:t>’</w:t>
      </w:r>
      <w:r w:rsidRPr="00026EC1">
        <w:t>interprétation de la convention collective et aux conditions de travail.</w:t>
      </w:r>
    </w:p>
    <w:p w14:paraId="181A092E" w14:textId="77777777" w:rsidR="00404F34" w:rsidRPr="00026EC1" w:rsidRDefault="00404F34" w:rsidP="00A64613">
      <w:pPr>
        <w:keepNext w:val="0"/>
      </w:pPr>
    </w:p>
    <w:p w14:paraId="39DED7CB" w14:textId="0FC66B44" w:rsidR="00404F34" w:rsidRPr="00026EC1" w:rsidRDefault="00404F34" w:rsidP="00A64613">
      <w:pPr>
        <w:pStyle w:val="NUMRODECLAUSE"/>
        <w:keepNext w:val="0"/>
      </w:pPr>
      <w:r w:rsidRPr="00026EC1">
        <w:t>4</w:t>
      </w:r>
      <w:r w:rsidR="00984A6F">
        <w:noBreakHyphen/>
      </w:r>
      <w:r w:rsidRPr="00026EC1">
        <w:t>3.02</w:t>
      </w:r>
    </w:p>
    <w:p w14:paraId="3509556C" w14:textId="57F6BE0F" w:rsidR="00404F34" w:rsidRPr="00026EC1" w:rsidRDefault="00404F34" w:rsidP="00A64613">
      <w:pPr>
        <w:keepNext w:val="0"/>
      </w:pPr>
      <w:r w:rsidRPr="00026EC1">
        <w:t>Dans les trente (30) jours ouvrables qui suivent la date d</w:t>
      </w:r>
      <w:r w:rsidR="004A41E4" w:rsidRPr="00026EC1">
        <w:t>’</w:t>
      </w:r>
      <w:r w:rsidRPr="00026EC1">
        <w:t>entrée en vigueur des présentes dispositions, chaque partie nomme au moins trois</w:t>
      </w:r>
      <w:r w:rsidR="00505124">
        <w:t> </w:t>
      </w:r>
      <w:r w:rsidRPr="00026EC1">
        <w:t>(3) et au plus sept</w:t>
      </w:r>
      <w:r w:rsidR="00505124">
        <w:t> </w:t>
      </w:r>
      <w:r w:rsidRPr="00026EC1">
        <w:t>(7) représentantes ou représentants et en informe l</w:t>
      </w:r>
      <w:r w:rsidR="004A41E4" w:rsidRPr="00026EC1">
        <w:t>’</w:t>
      </w:r>
      <w:r w:rsidRPr="00026EC1">
        <w:t>autre par écrit.</w:t>
      </w:r>
    </w:p>
    <w:p w14:paraId="421EDF6F" w14:textId="77777777" w:rsidR="00404F34" w:rsidRPr="00026EC1" w:rsidRDefault="00404F34" w:rsidP="00A64613">
      <w:pPr>
        <w:keepNext w:val="0"/>
      </w:pPr>
    </w:p>
    <w:p w14:paraId="356E7EF0" w14:textId="77777777" w:rsidR="00404F34" w:rsidRPr="00026EC1" w:rsidRDefault="00404F34" w:rsidP="00A64613">
      <w:pPr>
        <w:keepNext w:val="0"/>
      </w:pPr>
      <w:r w:rsidRPr="00026EC1">
        <w:t>Si l</w:t>
      </w:r>
      <w:r w:rsidR="004A41E4" w:rsidRPr="00026EC1">
        <w:t>’</w:t>
      </w:r>
      <w:r w:rsidRPr="00026EC1">
        <w:t>une des parties procède au remplacement d</w:t>
      </w:r>
      <w:r w:rsidR="004A41E4" w:rsidRPr="00026EC1">
        <w:t>’</w:t>
      </w:r>
      <w:r w:rsidRPr="00026EC1">
        <w:t>une, d</w:t>
      </w:r>
      <w:r w:rsidR="004A41E4" w:rsidRPr="00026EC1">
        <w:t>’</w:t>
      </w:r>
      <w:r w:rsidRPr="00026EC1">
        <w:t>un ou de plusieurs de ses représentantes et représentants, elle informe par écrit l</w:t>
      </w:r>
      <w:r w:rsidR="004A41E4" w:rsidRPr="00026EC1">
        <w:t>’</w:t>
      </w:r>
      <w:r w:rsidRPr="00026EC1">
        <w:t>autre partie du nom de ces personnes.</w:t>
      </w:r>
    </w:p>
    <w:p w14:paraId="6B08A051" w14:textId="77777777" w:rsidR="00404F34" w:rsidRPr="00026EC1" w:rsidRDefault="00404F34" w:rsidP="00A64613">
      <w:pPr>
        <w:keepNext w:val="0"/>
      </w:pPr>
    </w:p>
    <w:p w14:paraId="44FB292E" w14:textId="0B959DF1" w:rsidR="00404F34" w:rsidRPr="00026EC1" w:rsidRDefault="00404F34" w:rsidP="00A64613">
      <w:pPr>
        <w:pStyle w:val="NUMRODECLAUSE"/>
        <w:keepNext w:val="0"/>
      </w:pPr>
      <w:r w:rsidRPr="00026EC1">
        <w:t>4</w:t>
      </w:r>
      <w:r w:rsidR="00984A6F">
        <w:noBreakHyphen/>
      </w:r>
      <w:r w:rsidRPr="00026EC1">
        <w:t>3.03</w:t>
      </w:r>
    </w:p>
    <w:p w14:paraId="726796F6" w14:textId="77777777" w:rsidR="00404F34" w:rsidRPr="00026EC1" w:rsidRDefault="00404F34" w:rsidP="00A64613">
      <w:pPr>
        <w:keepNext w:val="0"/>
      </w:pPr>
      <w:r w:rsidRPr="00026EC1">
        <w:t>Sous réserve des dispositions du présent article, le CRT est autonome quant à son fonctionnement.</w:t>
      </w:r>
    </w:p>
    <w:p w14:paraId="0B173FA0" w14:textId="77777777" w:rsidR="00404F34" w:rsidRPr="00026EC1" w:rsidRDefault="00404F34" w:rsidP="00A64613">
      <w:pPr>
        <w:keepNext w:val="0"/>
      </w:pPr>
    </w:p>
    <w:p w14:paraId="15F0921A" w14:textId="69AFE18B" w:rsidR="00404F34" w:rsidRPr="00026EC1" w:rsidRDefault="00404F34" w:rsidP="00A64613">
      <w:pPr>
        <w:pStyle w:val="NUMRODECLAUSE"/>
        <w:keepNext w:val="0"/>
      </w:pPr>
      <w:r w:rsidRPr="00026EC1">
        <w:t>4</w:t>
      </w:r>
      <w:r w:rsidR="00984A6F">
        <w:noBreakHyphen/>
      </w:r>
      <w:r w:rsidRPr="00026EC1">
        <w:t>3.04</w:t>
      </w:r>
    </w:p>
    <w:p w14:paraId="4921B308" w14:textId="77777777" w:rsidR="00404F34" w:rsidRPr="00026EC1" w:rsidRDefault="00404F34" w:rsidP="00A64613">
      <w:pPr>
        <w:keepNext w:val="0"/>
      </w:pPr>
      <w:r w:rsidRPr="00026EC1">
        <w:t>Le CRT se réunit à la demande de l</w:t>
      </w:r>
      <w:r w:rsidR="004A41E4" w:rsidRPr="00026EC1">
        <w:t>’</w:t>
      </w:r>
      <w:r w:rsidRPr="00026EC1">
        <w:t>une ou l</w:t>
      </w:r>
      <w:r w:rsidR="004A41E4" w:rsidRPr="00026EC1">
        <w:t>’</w:t>
      </w:r>
      <w:r w:rsidRPr="00026EC1">
        <w:t>autre des parties et le Collège le convoque. Aux fins des présentes, toute rencontre valide du CRT constitue une réunion.</w:t>
      </w:r>
    </w:p>
    <w:p w14:paraId="2CDE0D9A" w14:textId="77777777" w:rsidR="00404F34" w:rsidRPr="00026EC1" w:rsidRDefault="00404F34" w:rsidP="00A64613">
      <w:pPr>
        <w:keepNext w:val="0"/>
      </w:pPr>
    </w:p>
    <w:p w14:paraId="5DBCA2A9" w14:textId="2B91FA91" w:rsidR="00404F34" w:rsidRPr="00026EC1" w:rsidRDefault="00404F34" w:rsidP="00A64613">
      <w:pPr>
        <w:pStyle w:val="NUMRODECLAUSE"/>
        <w:keepNext w:val="0"/>
      </w:pPr>
      <w:r w:rsidRPr="00026EC1">
        <w:t>4</w:t>
      </w:r>
      <w:r w:rsidR="00984A6F">
        <w:noBreakHyphen/>
      </w:r>
      <w:r w:rsidRPr="00026EC1">
        <w:t>3.05</w:t>
      </w:r>
    </w:p>
    <w:p w14:paraId="28B925CE" w14:textId="1975EC06" w:rsidR="00404F34" w:rsidRPr="00026EC1" w:rsidRDefault="00404F34" w:rsidP="00A64613">
      <w:pPr>
        <w:keepNext w:val="0"/>
      </w:pPr>
      <w:r w:rsidRPr="00026EC1">
        <w:t>Le CRT doit se réunir dans les cinq</w:t>
      </w:r>
      <w:r w:rsidR="00505124">
        <w:t> </w:t>
      </w:r>
      <w:r w:rsidRPr="00026EC1">
        <w:t>(5) jours ouvrables qui suivent la réception d</w:t>
      </w:r>
      <w:r w:rsidR="004A41E4" w:rsidRPr="00026EC1">
        <w:t>’</w:t>
      </w:r>
      <w:r w:rsidRPr="00026EC1">
        <w:t>une telle demande. La partie qui demande une réunion du CRT ou qui fait inscrire un point à l</w:t>
      </w:r>
      <w:r w:rsidR="004A41E4" w:rsidRPr="00026EC1">
        <w:t>’</w:t>
      </w:r>
      <w:r w:rsidRPr="00026EC1">
        <w:t>ordre du jour, fournit à l</w:t>
      </w:r>
      <w:r w:rsidR="004A41E4" w:rsidRPr="00026EC1">
        <w:t>’</w:t>
      </w:r>
      <w:r w:rsidRPr="00026EC1">
        <w:t>autre partie, s</w:t>
      </w:r>
      <w:r w:rsidR="004A41E4" w:rsidRPr="00026EC1">
        <w:t>’</w:t>
      </w:r>
      <w:r w:rsidRPr="00026EC1">
        <w:t>il y a lieu, en même temps qu</w:t>
      </w:r>
      <w:r w:rsidR="004A41E4" w:rsidRPr="00026EC1">
        <w:t>’</w:t>
      </w:r>
      <w:r w:rsidRPr="00026EC1">
        <w:t>elle demande la réunion ou fait inscrire un point à l</w:t>
      </w:r>
      <w:r w:rsidR="004A41E4" w:rsidRPr="00026EC1">
        <w:t>’</w:t>
      </w:r>
      <w:r w:rsidRPr="00026EC1">
        <w:t>ordre du jour, la documentation qu</w:t>
      </w:r>
      <w:r w:rsidR="004A41E4" w:rsidRPr="00026EC1">
        <w:t>’</w:t>
      </w:r>
      <w:r w:rsidRPr="00026EC1">
        <w:t>elle possède et juge pertinente. Un avis écrit de convocation et le projet d</w:t>
      </w:r>
      <w:r w:rsidR="004A41E4" w:rsidRPr="00026EC1">
        <w:t>’</w:t>
      </w:r>
      <w:r w:rsidRPr="00026EC1">
        <w:t>ordre du jour comportant tout point que le Collège ou le Syndicat veut y inscrire doivent être transmis au Syndicat au moins quarante</w:t>
      </w:r>
      <w:r w:rsidR="00984A6F">
        <w:noBreakHyphen/>
      </w:r>
      <w:r w:rsidRPr="00026EC1">
        <w:t>huit</w:t>
      </w:r>
      <w:r w:rsidR="004E0823">
        <w:t> </w:t>
      </w:r>
      <w:r w:rsidRPr="00026EC1">
        <w:t>(48) heures avant cette réunion. Cet ordre du jour doit également être affiché à l</w:t>
      </w:r>
      <w:r w:rsidR="004A41E4" w:rsidRPr="00026EC1">
        <w:t>’</w:t>
      </w:r>
      <w:r w:rsidRPr="00026EC1">
        <w:t>intention de l</w:t>
      </w:r>
      <w:r w:rsidR="004A41E4" w:rsidRPr="00026EC1">
        <w:t>’</w:t>
      </w:r>
      <w:r w:rsidRPr="00026EC1">
        <w:t>ensemble des enseignantes et enseignants dans le même délai, en même temps qu</w:t>
      </w:r>
      <w:r w:rsidR="004A41E4" w:rsidRPr="00026EC1">
        <w:t>’</w:t>
      </w:r>
      <w:r w:rsidRPr="00026EC1">
        <w:t>il est transmis au Syndicat.</w:t>
      </w:r>
    </w:p>
    <w:p w14:paraId="61EC25B4" w14:textId="77777777" w:rsidR="00404F34" w:rsidRPr="00026EC1" w:rsidRDefault="00404F34" w:rsidP="00A64613">
      <w:pPr>
        <w:keepNext w:val="0"/>
      </w:pPr>
    </w:p>
    <w:p w14:paraId="3B6F4A60" w14:textId="184DB549" w:rsidR="00404F34" w:rsidRPr="00026EC1" w:rsidRDefault="00404F34" w:rsidP="00A64613">
      <w:pPr>
        <w:pStyle w:val="NUMRODECLAUSE"/>
        <w:keepNext w:val="0"/>
      </w:pPr>
      <w:r w:rsidRPr="00026EC1">
        <w:t>4</w:t>
      </w:r>
      <w:r w:rsidR="00984A6F">
        <w:noBreakHyphen/>
      </w:r>
      <w:r w:rsidRPr="00026EC1">
        <w:t>3.06</w:t>
      </w:r>
    </w:p>
    <w:p w14:paraId="37851280" w14:textId="3417B5BD" w:rsidR="00404F34" w:rsidRPr="00026EC1" w:rsidRDefault="00404F34" w:rsidP="00A64613">
      <w:pPr>
        <w:keepNext w:val="0"/>
      </w:pPr>
      <w:r w:rsidRPr="00026EC1">
        <w:t>À défaut par le Collège d</w:t>
      </w:r>
      <w:r w:rsidR="004A41E4" w:rsidRPr="00026EC1">
        <w:t>’</w:t>
      </w:r>
      <w:r w:rsidRPr="00026EC1">
        <w:t>envoyer au moins deux</w:t>
      </w:r>
      <w:r w:rsidR="00505124">
        <w:t> </w:t>
      </w:r>
      <w:r w:rsidRPr="00026EC1">
        <w:t>(2) représentantes ou représentants à la réunion dûment convoquée, il ne peut procéder sur les sujets inscrits à l</w:t>
      </w:r>
      <w:r w:rsidR="004A41E4" w:rsidRPr="00026EC1">
        <w:t>’</w:t>
      </w:r>
      <w:r w:rsidRPr="00026EC1">
        <w:t>ordre du jour.</w:t>
      </w:r>
    </w:p>
    <w:p w14:paraId="0723993C" w14:textId="77777777" w:rsidR="00404F34" w:rsidRPr="00026EC1" w:rsidRDefault="00404F34" w:rsidP="00A64613">
      <w:pPr>
        <w:keepNext w:val="0"/>
      </w:pPr>
    </w:p>
    <w:p w14:paraId="7BBA5960" w14:textId="03910A94" w:rsidR="00404F34" w:rsidRPr="00026EC1" w:rsidRDefault="00404F34" w:rsidP="00A64613">
      <w:pPr>
        <w:keepNext w:val="0"/>
      </w:pPr>
      <w:r w:rsidRPr="00026EC1">
        <w:t>À défaut par le Syndicat d</w:t>
      </w:r>
      <w:r w:rsidR="004A41E4" w:rsidRPr="00026EC1">
        <w:t>’</w:t>
      </w:r>
      <w:r w:rsidRPr="00026EC1">
        <w:t>envoyer au moins deux</w:t>
      </w:r>
      <w:r w:rsidR="00505124">
        <w:t> </w:t>
      </w:r>
      <w:r w:rsidRPr="00026EC1">
        <w:t>(2) représentantes ou représentants à la réunion dûment convoquée, cette réunion est automatiquement reportée à la troisième</w:t>
      </w:r>
      <w:r w:rsidR="004E0823">
        <w:t> </w:t>
      </w:r>
      <w:r w:rsidRPr="00026EC1">
        <w:t>(3</w:t>
      </w:r>
      <w:r w:rsidRPr="00026EC1">
        <w:rPr>
          <w:szCs w:val="24"/>
          <w:vertAlign w:val="superscript"/>
        </w:rPr>
        <w:t>e</w:t>
      </w:r>
      <w:r w:rsidRPr="00026EC1">
        <w:t>) journée ouvrable du moment (date et heure) prévu à l</w:t>
      </w:r>
      <w:r w:rsidR="004A41E4" w:rsidRPr="00026EC1">
        <w:t>’</w:t>
      </w:r>
      <w:r w:rsidRPr="00026EC1">
        <w:t>avis de convocation original. À défaut par le Syndicat d</w:t>
      </w:r>
      <w:r w:rsidR="004A41E4" w:rsidRPr="00026EC1">
        <w:t>’</w:t>
      </w:r>
      <w:r w:rsidRPr="00026EC1">
        <w:t>envoyer au moins deux (2) représentantes ou représentants dans ce dernier cas, le Collège peut procéder sur les sujets inscrits à l</w:t>
      </w:r>
      <w:r w:rsidR="004A41E4" w:rsidRPr="00026EC1">
        <w:t>’</w:t>
      </w:r>
      <w:r w:rsidRPr="00026EC1">
        <w:t>ordre du jour.</w:t>
      </w:r>
    </w:p>
    <w:p w14:paraId="3703BC20" w14:textId="77777777" w:rsidR="00404F34" w:rsidRPr="00026EC1" w:rsidRDefault="00404F34" w:rsidP="00A64613">
      <w:pPr>
        <w:keepNext w:val="0"/>
      </w:pPr>
    </w:p>
    <w:p w14:paraId="2554E208" w14:textId="77F4EA63" w:rsidR="00404F34" w:rsidRPr="00026EC1" w:rsidRDefault="00404F34" w:rsidP="00A64613">
      <w:pPr>
        <w:pStyle w:val="NUMRODECLAUSE"/>
        <w:keepNext w:val="0"/>
      </w:pPr>
      <w:r w:rsidRPr="00026EC1">
        <w:t>4</w:t>
      </w:r>
      <w:r w:rsidR="00984A6F">
        <w:noBreakHyphen/>
      </w:r>
      <w:r w:rsidRPr="00026EC1">
        <w:t>3.07</w:t>
      </w:r>
    </w:p>
    <w:p w14:paraId="44700E8B" w14:textId="5FE9C033" w:rsidR="00404F34" w:rsidRPr="00026EC1" w:rsidRDefault="00404F34" w:rsidP="00A64613">
      <w:pPr>
        <w:keepNext w:val="0"/>
      </w:pPr>
      <w:r w:rsidRPr="00026EC1">
        <w:t>Lorsque les parties n</w:t>
      </w:r>
      <w:r w:rsidR="004A41E4" w:rsidRPr="00026EC1">
        <w:t>’</w:t>
      </w:r>
      <w:r w:rsidRPr="00026EC1">
        <w:t>arrivent pas à une entente sur un sujet inscrit à l</w:t>
      </w:r>
      <w:r w:rsidR="004A41E4" w:rsidRPr="00026EC1">
        <w:t>’</w:t>
      </w:r>
      <w:r w:rsidRPr="00026EC1">
        <w:t>ordre du jour, le Collège procède, à moins que les parties au CRT ne s</w:t>
      </w:r>
      <w:r w:rsidR="004A41E4" w:rsidRPr="00026EC1">
        <w:t>’</w:t>
      </w:r>
      <w:r w:rsidRPr="00026EC1">
        <w:t>entendent pour un ajournement à une date dont elles conviennent. Le Collège dispose de dix</w:t>
      </w:r>
      <w:r w:rsidR="00505124">
        <w:t> </w:t>
      </w:r>
      <w:r w:rsidRPr="00026EC1">
        <w:t>(10) jours ouvrables après la réunion pour transmettre sa décision au Syndicat et, s</w:t>
      </w:r>
      <w:r w:rsidR="004A41E4" w:rsidRPr="00026EC1">
        <w:t>’</w:t>
      </w:r>
      <w:r w:rsidRPr="00026EC1">
        <w:t>il y a lieu, à l</w:t>
      </w:r>
      <w:r w:rsidR="004A41E4" w:rsidRPr="00026EC1">
        <w:t>’</w:t>
      </w:r>
      <w:r w:rsidRPr="00026EC1">
        <w:t>enseignante ou l</w:t>
      </w:r>
      <w:r w:rsidR="004A41E4" w:rsidRPr="00026EC1">
        <w:t>’</w:t>
      </w:r>
      <w:r w:rsidRPr="00026EC1">
        <w:t>enseignant concerné. Toutefois, il ne peut le faire avant le cinquième</w:t>
      </w:r>
      <w:r w:rsidR="00505124">
        <w:t> </w:t>
      </w:r>
      <w:r w:rsidRPr="00026EC1">
        <w:t>(5</w:t>
      </w:r>
      <w:r w:rsidRPr="00026EC1">
        <w:rPr>
          <w:szCs w:val="24"/>
          <w:vertAlign w:val="superscript"/>
        </w:rPr>
        <w:t>e</w:t>
      </w:r>
      <w:r w:rsidRPr="00026EC1">
        <w:t>) jour ouvrable qui suit la réunion, afin de permettre au Collège de réévaluer la position qu</w:t>
      </w:r>
      <w:r w:rsidR="004A41E4" w:rsidRPr="00026EC1">
        <w:t>’</w:t>
      </w:r>
      <w:r w:rsidRPr="00026EC1">
        <w:t>il a tenue au CRT et permettre au Syndicat de faire des représentations additionnelles sans que cela ait pour effet de modifier les délais prévus au présent article.</w:t>
      </w:r>
    </w:p>
    <w:p w14:paraId="19EAC8D5" w14:textId="77777777" w:rsidR="00404F34" w:rsidRPr="00026EC1" w:rsidRDefault="00404F34" w:rsidP="00A64613">
      <w:pPr>
        <w:keepNext w:val="0"/>
      </w:pPr>
    </w:p>
    <w:p w14:paraId="5F276127" w14:textId="29445AED" w:rsidR="00404F34" w:rsidRPr="00026EC1" w:rsidRDefault="00404F34" w:rsidP="00A64613">
      <w:pPr>
        <w:pStyle w:val="NUMRODECLAUSE"/>
        <w:keepNext w:val="0"/>
      </w:pPr>
      <w:r w:rsidRPr="00026EC1">
        <w:t>4</w:t>
      </w:r>
      <w:r w:rsidR="00984A6F">
        <w:noBreakHyphen/>
      </w:r>
      <w:r w:rsidRPr="00026EC1">
        <w:t>3.08</w:t>
      </w:r>
    </w:p>
    <w:p w14:paraId="04C703D7" w14:textId="1EE71E0B" w:rsidR="00404F34" w:rsidRPr="00026EC1" w:rsidRDefault="00404F34" w:rsidP="00A64613">
      <w:pPr>
        <w:keepNext w:val="0"/>
      </w:pPr>
      <w:r w:rsidRPr="00026EC1">
        <w:t>À défaut d</w:t>
      </w:r>
      <w:r w:rsidR="004A41E4" w:rsidRPr="00026EC1">
        <w:t>’</w:t>
      </w:r>
      <w:r w:rsidRPr="00026EC1">
        <w:t>entente consécutive à la rencontre du CRT, le Collège transmet sa position à l</w:t>
      </w:r>
      <w:r w:rsidR="004A41E4" w:rsidRPr="00026EC1">
        <w:t>’</w:t>
      </w:r>
      <w:r w:rsidRPr="00026EC1">
        <w:t>enseignante ou l</w:t>
      </w:r>
      <w:r w:rsidR="004A41E4" w:rsidRPr="00026EC1">
        <w:t>’</w:t>
      </w:r>
      <w:r w:rsidRPr="00026EC1">
        <w:t>enseignant concerné au moins deux</w:t>
      </w:r>
      <w:r w:rsidR="00505124">
        <w:t> </w:t>
      </w:r>
      <w:r w:rsidRPr="00026EC1">
        <w:t>(2) jours ouvrables avant qu</w:t>
      </w:r>
      <w:r w:rsidR="004A41E4" w:rsidRPr="00026EC1">
        <w:t>’</w:t>
      </w:r>
      <w:r w:rsidRPr="00026EC1">
        <w:t>il ne prenne une décision la ou le concernant.</w:t>
      </w:r>
    </w:p>
    <w:p w14:paraId="61EB0D72" w14:textId="77777777" w:rsidR="00404F34" w:rsidRPr="00026EC1" w:rsidRDefault="00404F34" w:rsidP="00A64613">
      <w:pPr>
        <w:keepNext w:val="0"/>
      </w:pPr>
    </w:p>
    <w:p w14:paraId="116FAD0D" w14:textId="291E04DB" w:rsidR="00404F34" w:rsidRPr="00026EC1" w:rsidRDefault="00404F34" w:rsidP="00A64613">
      <w:pPr>
        <w:pStyle w:val="NUMRODECLAUSE"/>
        <w:keepNext w:val="0"/>
      </w:pPr>
      <w:r w:rsidRPr="00026EC1">
        <w:t>4</w:t>
      </w:r>
      <w:r w:rsidR="00984A6F">
        <w:noBreakHyphen/>
      </w:r>
      <w:r w:rsidRPr="00026EC1">
        <w:t>3.09</w:t>
      </w:r>
    </w:p>
    <w:p w14:paraId="044E8F03" w14:textId="2FD6BB03" w:rsidR="00404F34" w:rsidRPr="00026EC1" w:rsidRDefault="00404F34" w:rsidP="00A64613">
      <w:pPr>
        <w:keepNext w:val="0"/>
      </w:pPr>
      <w:r w:rsidRPr="00026EC1">
        <w:t>Dans des circonstances exceptionnelles, telles que des décisions de politique générale, le Collège bénéficie d</w:t>
      </w:r>
      <w:r w:rsidR="004A41E4" w:rsidRPr="00026EC1">
        <w:t>’</w:t>
      </w:r>
      <w:r w:rsidRPr="00026EC1">
        <w:t>un délai plus long que celui prévu à la clause</w:t>
      </w:r>
      <w:r w:rsidR="007F445F" w:rsidRPr="00026EC1">
        <w:t> </w:t>
      </w:r>
      <w:r w:rsidRPr="00026EC1">
        <w:t>4</w:t>
      </w:r>
      <w:r w:rsidR="00984A6F">
        <w:noBreakHyphen/>
      </w:r>
      <w:r w:rsidRPr="00026EC1">
        <w:t>3.07.</w:t>
      </w:r>
    </w:p>
    <w:p w14:paraId="54D11DE9" w14:textId="77777777" w:rsidR="00404F34" w:rsidRPr="00026EC1" w:rsidRDefault="00404F34" w:rsidP="00A64613">
      <w:pPr>
        <w:keepNext w:val="0"/>
      </w:pPr>
    </w:p>
    <w:p w14:paraId="757559D8" w14:textId="036DFCBA" w:rsidR="00404F34" w:rsidRPr="00026EC1" w:rsidRDefault="00404F34" w:rsidP="00A64613">
      <w:pPr>
        <w:pStyle w:val="NUMRODECLAUSE"/>
        <w:keepNext w:val="0"/>
      </w:pPr>
      <w:r w:rsidRPr="00026EC1">
        <w:t>4</w:t>
      </w:r>
      <w:r w:rsidR="00984A6F">
        <w:noBreakHyphen/>
      </w:r>
      <w:r w:rsidRPr="00026EC1">
        <w:t>3.10</w:t>
      </w:r>
    </w:p>
    <w:p w14:paraId="3204AA62" w14:textId="5C3B1C2C" w:rsidR="00404F34" w:rsidRPr="00026EC1" w:rsidRDefault="00404F34" w:rsidP="00A64613">
      <w:pPr>
        <w:keepNext w:val="0"/>
      </w:pPr>
      <w:r w:rsidRPr="00026EC1">
        <w:t>Dans les cinq</w:t>
      </w:r>
      <w:r w:rsidR="00505124">
        <w:t> </w:t>
      </w:r>
      <w:r w:rsidRPr="00026EC1">
        <w:t>(5) jours ouvrables de l</w:t>
      </w:r>
      <w:r w:rsidR="004A41E4" w:rsidRPr="00026EC1">
        <w:t>’</w:t>
      </w:r>
      <w:r w:rsidRPr="00026EC1">
        <w:t>entente ou de la décision, le Collège affiche, à l</w:t>
      </w:r>
      <w:r w:rsidR="004A41E4" w:rsidRPr="00026EC1">
        <w:t>’</w:t>
      </w:r>
      <w:r w:rsidRPr="00026EC1">
        <w:t>intention de l</w:t>
      </w:r>
      <w:r w:rsidR="004A41E4" w:rsidRPr="00026EC1">
        <w:t>’</w:t>
      </w:r>
      <w:r w:rsidRPr="00026EC1">
        <w:t>ensemble des enseignantes et enseignants, toute entente ou décision de portée collective, à moins que les parties ne conviennent d</w:t>
      </w:r>
      <w:r w:rsidR="004A41E4" w:rsidRPr="00026EC1">
        <w:t>’</w:t>
      </w:r>
      <w:r w:rsidRPr="00026EC1">
        <w:t>en aviser individuellement chaque enseignante ou enseignant.</w:t>
      </w:r>
    </w:p>
    <w:p w14:paraId="78092F44" w14:textId="77777777" w:rsidR="00404F34" w:rsidRPr="00026EC1" w:rsidRDefault="00404F34" w:rsidP="00A64613">
      <w:pPr>
        <w:keepNext w:val="0"/>
      </w:pPr>
    </w:p>
    <w:p w14:paraId="1367305A" w14:textId="64B4BBAC" w:rsidR="00404F34" w:rsidRPr="00026EC1" w:rsidRDefault="00404F34" w:rsidP="00A64613">
      <w:pPr>
        <w:pStyle w:val="NUMRODECLAUSE"/>
        <w:keepNext w:val="0"/>
      </w:pPr>
      <w:r w:rsidRPr="00026EC1">
        <w:t>4</w:t>
      </w:r>
      <w:r w:rsidR="00984A6F">
        <w:noBreakHyphen/>
      </w:r>
      <w:r w:rsidRPr="00026EC1">
        <w:t>3.11</w:t>
      </w:r>
    </w:p>
    <w:p w14:paraId="78B6AEDB" w14:textId="48959C9D" w:rsidR="00404F34" w:rsidRPr="00026EC1" w:rsidRDefault="00404F34" w:rsidP="00A64613">
      <w:pPr>
        <w:keepNext w:val="0"/>
      </w:pPr>
      <w:r w:rsidRPr="00026EC1">
        <w:t>Pour se réunir validement, le Comité doit comprendre au moins deux</w:t>
      </w:r>
      <w:r w:rsidR="00505124">
        <w:t> </w:t>
      </w:r>
      <w:r w:rsidRPr="00026EC1">
        <w:t>(2) représentantes ou représentants de chacune des parties.</w:t>
      </w:r>
    </w:p>
    <w:p w14:paraId="135EF050" w14:textId="77777777" w:rsidR="00404F34" w:rsidRPr="00026EC1" w:rsidRDefault="00404F34" w:rsidP="00A64613">
      <w:pPr>
        <w:keepNext w:val="0"/>
      </w:pPr>
    </w:p>
    <w:p w14:paraId="3C35DE24" w14:textId="3983AD11" w:rsidR="00404F34" w:rsidRPr="00026EC1" w:rsidRDefault="00404F34" w:rsidP="00A64613">
      <w:pPr>
        <w:pStyle w:val="NUMRODECLAUSE"/>
        <w:keepNext w:val="0"/>
      </w:pPr>
      <w:r w:rsidRPr="00026EC1">
        <w:t>4</w:t>
      </w:r>
      <w:r w:rsidR="00984A6F">
        <w:noBreakHyphen/>
      </w:r>
      <w:r w:rsidRPr="00026EC1">
        <w:t>3.12</w:t>
      </w:r>
    </w:p>
    <w:p w14:paraId="7997E3F1" w14:textId="35D3473B" w:rsidR="00404F34" w:rsidRPr="00026EC1" w:rsidRDefault="00404F34" w:rsidP="00A64613">
      <w:pPr>
        <w:keepNext w:val="0"/>
      </w:pPr>
      <w:r w:rsidRPr="00026EC1">
        <w:t>Le procès</w:t>
      </w:r>
      <w:r w:rsidR="00984A6F">
        <w:noBreakHyphen/>
      </w:r>
      <w:r w:rsidRPr="00026EC1">
        <w:t>verbal d</w:t>
      </w:r>
      <w:r w:rsidR="004A41E4" w:rsidRPr="00026EC1">
        <w:t>’</w:t>
      </w:r>
      <w:r w:rsidRPr="00026EC1">
        <w:t>une réunion du CRT doit être adopté et signé par les parties au plus tard à la réunion suivante; il peut l</w:t>
      </w:r>
      <w:r w:rsidR="004A41E4" w:rsidRPr="00026EC1">
        <w:t>’</w:t>
      </w:r>
      <w:r w:rsidRPr="00026EC1">
        <w:t>être, en tout ou en partie, séance tenante. Le procès</w:t>
      </w:r>
      <w:r w:rsidR="00984A6F">
        <w:noBreakHyphen/>
      </w:r>
      <w:r w:rsidRPr="00026EC1">
        <w:t>verbal ne doit contenir que les attendus, les propositions et, s</w:t>
      </w:r>
      <w:r w:rsidR="004A41E4" w:rsidRPr="00026EC1">
        <w:t>’</w:t>
      </w:r>
      <w:r w:rsidRPr="00026EC1">
        <w:t>il y a lieu, les ententes.</w:t>
      </w:r>
    </w:p>
    <w:p w14:paraId="53107EB9" w14:textId="77777777" w:rsidR="00404F34" w:rsidRPr="00026EC1" w:rsidRDefault="00404F34" w:rsidP="00A64613">
      <w:pPr>
        <w:keepNext w:val="0"/>
      </w:pPr>
    </w:p>
    <w:p w14:paraId="3ADA67E2" w14:textId="6238D357" w:rsidR="00404F34" w:rsidRPr="00026EC1" w:rsidRDefault="00404F34" w:rsidP="00A64613">
      <w:pPr>
        <w:pStyle w:val="NUMRODECLAUSE"/>
        <w:keepNext w:val="0"/>
      </w:pPr>
      <w:r w:rsidRPr="00026EC1">
        <w:t>4</w:t>
      </w:r>
      <w:r w:rsidR="00984A6F">
        <w:noBreakHyphen/>
      </w:r>
      <w:r w:rsidRPr="00026EC1">
        <w:t>3.13</w:t>
      </w:r>
    </w:p>
    <w:p w14:paraId="67D0196C" w14:textId="4DBB2522"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dont le cas est discuté au CRT en est préalablement averti par écrit par le Collège. À sa demande, l</w:t>
      </w:r>
      <w:r w:rsidR="004A41E4" w:rsidRPr="00026EC1">
        <w:t>’</w:t>
      </w:r>
      <w:r w:rsidRPr="00026EC1">
        <w:t>enseignante ou l</w:t>
      </w:r>
      <w:r w:rsidR="004A41E4" w:rsidRPr="00026EC1">
        <w:t>’</w:t>
      </w:r>
      <w:r w:rsidRPr="00026EC1">
        <w:t>enseignant est entendu par le</w:t>
      </w:r>
      <w:r w:rsidR="00576DC4">
        <w:t> </w:t>
      </w:r>
      <w:r w:rsidRPr="00026EC1">
        <w:t>CRT. Cependant, lorsque le CRT étudie l</w:t>
      </w:r>
      <w:r w:rsidR="004A41E4" w:rsidRPr="00026EC1">
        <w:t>’</w:t>
      </w:r>
      <w:r w:rsidRPr="00026EC1">
        <w:t>éventualité d</w:t>
      </w:r>
      <w:r w:rsidR="004A41E4" w:rsidRPr="00026EC1">
        <w:t>’</w:t>
      </w:r>
      <w:r w:rsidRPr="00026EC1">
        <w:t>une réduction d</w:t>
      </w:r>
      <w:r w:rsidR="004A41E4" w:rsidRPr="00026EC1">
        <w:t>’</w:t>
      </w:r>
      <w:r w:rsidRPr="00026EC1">
        <w:t>effectifs enseignants en vertu de l</w:t>
      </w:r>
      <w:r w:rsidR="004A41E4" w:rsidRPr="00026EC1">
        <w:t>’</w:t>
      </w:r>
      <w:r w:rsidRPr="00026EC1">
        <w:t>alinéa</w:t>
      </w:r>
      <w:r w:rsidR="00BD38A6" w:rsidRPr="00026EC1">
        <w:t> </w:t>
      </w:r>
      <w:r w:rsidRPr="00026EC1">
        <w:t>a) de la clause</w:t>
      </w:r>
      <w:r w:rsidR="007F445F" w:rsidRPr="00026EC1">
        <w:t> </w:t>
      </w:r>
      <w:r w:rsidRPr="00026EC1">
        <w:t>4</w:t>
      </w:r>
      <w:r w:rsidR="00984A6F">
        <w:noBreakHyphen/>
      </w:r>
      <w:r w:rsidRPr="00026EC1">
        <w:t>3.14, le Collège n</w:t>
      </w:r>
      <w:r w:rsidR="004A41E4" w:rsidRPr="00026EC1">
        <w:t>’</w:t>
      </w:r>
      <w:r w:rsidRPr="00026EC1">
        <w:t>a pas à en informer individuellement chaque enseignante ou enseignant.</w:t>
      </w:r>
    </w:p>
    <w:p w14:paraId="113ECC22" w14:textId="673CA3FC" w:rsidR="00505124" w:rsidRDefault="00505124">
      <w:pPr>
        <w:keepNext w:val="0"/>
        <w:suppressAutoHyphens w:val="0"/>
        <w:jc w:val="left"/>
        <w:rPr>
          <w:rFonts w:cs="Arial"/>
          <w:b/>
        </w:rPr>
      </w:pPr>
      <w:r>
        <w:br w:type="page"/>
      </w:r>
    </w:p>
    <w:p w14:paraId="356C39A6" w14:textId="687E1832" w:rsidR="00404F34" w:rsidRPr="00026EC1" w:rsidRDefault="00404F34" w:rsidP="00A64613">
      <w:pPr>
        <w:pStyle w:val="NUMRODECLAUSE"/>
        <w:keepNext w:val="0"/>
      </w:pPr>
      <w:r w:rsidRPr="00026EC1">
        <w:t>4</w:t>
      </w:r>
      <w:r w:rsidR="00984A6F">
        <w:noBreakHyphen/>
      </w:r>
      <w:r w:rsidRPr="00026EC1">
        <w:t>3.14</w:t>
      </w:r>
    </w:p>
    <w:p w14:paraId="13EC60FC" w14:textId="54719960" w:rsidR="00404F34" w:rsidRPr="00026EC1" w:rsidRDefault="00404F34" w:rsidP="00A64613">
      <w:pPr>
        <w:keepNext w:val="0"/>
      </w:pPr>
      <w:r w:rsidRPr="00026EC1">
        <w:t>Avant de prendre une décision relative aux questions suivantes, le Collège doit convoquer le CRT</w:t>
      </w:r>
      <w:r w:rsidR="00D8581B">
        <w:t> :</w:t>
      </w:r>
    </w:p>
    <w:p w14:paraId="6E51688E" w14:textId="77777777" w:rsidR="00404F34" w:rsidRPr="00026EC1" w:rsidRDefault="00404F34" w:rsidP="00A64613">
      <w:pPr>
        <w:keepNext w:val="0"/>
      </w:pPr>
    </w:p>
    <w:p w14:paraId="4424F497" w14:textId="77777777" w:rsidR="00404F34" w:rsidRPr="00026EC1" w:rsidRDefault="00275751" w:rsidP="00A64613">
      <w:pPr>
        <w:keepNext w:val="0"/>
        <w:tabs>
          <w:tab w:val="left" w:pos="567"/>
        </w:tabs>
        <w:ind w:left="567" w:hanging="567"/>
      </w:pPr>
      <w:r w:rsidRPr="00026EC1">
        <w:t>a)</w:t>
      </w:r>
      <w:r w:rsidRPr="00026EC1">
        <w:tab/>
      </w:r>
      <w:r w:rsidR="00404F34" w:rsidRPr="00026EC1">
        <w:t>les mesures de transfert d</w:t>
      </w:r>
      <w:r w:rsidR="004A41E4" w:rsidRPr="00026EC1">
        <w:t>’</w:t>
      </w:r>
      <w:r w:rsidR="00404F34" w:rsidRPr="00026EC1">
        <w:t>enseignement, d</w:t>
      </w:r>
      <w:r w:rsidR="004A41E4" w:rsidRPr="00026EC1">
        <w:t>’</w:t>
      </w:r>
      <w:r w:rsidR="00404F34" w:rsidRPr="00026EC1">
        <w:t>entente avec d</w:t>
      </w:r>
      <w:r w:rsidR="004A41E4" w:rsidRPr="00026EC1">
        <w:t>’</w:t>
      </w:r>
      <w:r w:rsidR="00404F34" w:rsidRPr="00026EC1">
        <w:t>autres établissements d</w:t>
      </w:r>
      <w:r w:rsidR="004A41E4" w:rsidRPr="00026EC1">
        <w:t>’</w:t>
      </w:r>
      <w:r w:rsidR="00404F34" w:rsidRPr="00026EC1">
        <w:t>enseignement et de modifications de structures scolaires; les réductions d</w:t>
      </w:r>
      <w:r w:rsidR="004A41E4" w:rsidRPr="00026EC1">
        <w:t>’</w:t>
      </w:r>
      <w:r w:rsidR="00404F34" w:rsidRPr="00026EC1">
        <w:t>effectifs, la fermeture totale ou partielle de programme, l</w:t>
      </w:r>
      <w:r w:rsidR="004A41E4" w:rsidRPr="00026EC1">
        <w:t>’</w:t>
      </w:r>
      <w:r w:rsidR="00404F34" w:rsidRPr="00026EC1">
        <w:t>ouverture ou la cession totale ou partielle de programme, la régionalisation, l</w:t>
      </w:r>
      <w:r w:rsidR="004A41E4" w:rsidRPr="00026EC1">
        <w:t>’</w:t>
      </w:r>
      <w:r w:rsidR="00404F34" w:rsidRPr="00026EC1">
        <w:t>implantation de cours d</w:t>
      </w:r>
      <w:r w:rsidR="004A41E4" w:rsidRPr="00026EC1">
        <w:t>’</w:t>
      </w:r>
      <w:r w:rsidR="00404F34" w:rsidRPr="00026EC1">
        <w:t>établissement;</w:t>
      </w:r>
    </w:p>
    <w:p w14:paraId="58C81900" w14:textId="77777777" w:rsidR="00404F34" w:rsidRPr="00026EC1" w:rsidRDefault="00404F34" w:rsidP="00A64613">
      <w:pPr>
        <w:keepNext w:val="0"/>
      </w:pPr>
    </w:p>
    <w:p w14:paraId="0F73EE2B" w14:textId="77777777" w:rsidR="00404F34" w:rsidRPr="00026EC1" w:rsidRDefault="00275751" w:rsidP="00A64613">
      <w:pPr>
        <w:keepNext w:val="0"/>
        <w:tabs>
          <w:tab w:val="left" w:pos="567"/>
        </w:tabs>
        <w:ind w:left="567" w:hanging="567"/>
      </w:pPr>
      <w:r w:rsidRPr="00026EC1">
        <w:t>b)</w:t>
      </w:r>
      <w:r w:rsidRPr="00026EC1">
        <w:tab/>
      </w:r>
      <w:r w:rsidR="00404F34" w:rsidRPr="00026EC1">
        <w:t>les implications contractuelles résultant des mesures mentionnées à l</w:t>
      </w:r>
      <w:r w:rsidR="004A41E4" w:rsidRPr="00026EC1">
        <w:t>’</w:t>
      </w:r>
      <w:r w:rsidR="00404F34" w:rsidRPr="00026EC1">
        <w:t>alinéa</w:t>
      </w:r>
      <w:r w:rsidR="00BD38A6" w:rsidRPr="00026EC1">
        <w:t> </w:t>
      </w:r>
      <w:r w:rsidR="00404F34" w:rsidRPr="00026EC1">
        <w:t>a) de la présente clause;</w:t>
      </w:r>
    </w:p>
    <w:p w14:paraId="6D84A0F0" w14:textId="77777777" w:rsidR="00404F34" w:rsidRPr="00026EC1" w:rsidRDefault="00404F34" w:rsidP="00A64613">
      <w:pPr>
        <w:keepNext w:val="0"/>
      </w:pPr>
    </w:p>
    <w:p w14:paraId="141F15AB" w14:textId="77777777" w:rsidR="00404F34" w:rsidRPr="00026EC1" w:rsidRDefault="00275751" w:rsidP="00A64613">
      <w:pPr>
        <w:keepNext w:val="0"/>
        <w:tabs>
          <w:tab w:val="left" w:pos="567"/>
        </w:tabs>
        <w:ind w:left="567" w:hanging="567"/>
      </w:pPr>
      <w:r w:rsidRPr="00026EC1">
        <w:t>c)</w:t>
      </w:r>
      <w:r w:rsidRPr="00026EC1">
        <w:tab/>
      </w:r>
      <w:r w:rsidR="00404F34" w:rsidRPr="00026EC1">
        <w:t>toute modification aux conditions de travail entraînée par l</w:t>
      </w:r>
      <w:r w:rsidR="004A41E4" w:rsidRPr="00026EC1">
        <w:t>’</w:t>
      </w:r>
      <w:r w:rsidR="00404F34" w:rsidRPr="00026EC1">
        <w:t>application d</w:t>
      </w:r>
      <w:r w:rsidR="004A41E4" w:rsidRPr="00026EC1">
        <w:t>’</w:t>
      </w:r>
      <w:r w:rsidR="00404F34" w:rsidRPr="00026EC1">
        <w:t>une modification au régime pédagogique ou l</w:t>
      </w:r>
      <w:r w:rsidR="004A41E4" w:rsidRPr="00026EC1">
        <w:t>’</w:t>
      </w:r>
      <w:r w:rsidR="00404F34" w:rsidRPr="00026EC1">
        <w:t>utilisation de nouvelles méthodes ou techniques d</w:t>
      </w:r>
      <w:r w:rsidR="004A41E4" w:rsidRPr="00026EC1">
        <w:t>’</w:t>
      </w:r>
      <w:r w:rsidR="00404F34" w:rsidRPr="00026EC1">
        <w:t>enseignement;</w:t>
      </w:r>
    </w:p>
    <w:p w14:paraId="078F0BFA" w14:textId="77777777" w:rsidR="00404F34" w:rsidRPr="00026EC1" w:rsidRDefault="00404F34" w:rsidP="00A64613">
      <w:pPr>
        <w:keepNext w:val="0"/>
      </w:pPr>
    </w:p>
    <w:p w14:paraId="15CB3AE8" w14:textId="01E0808A" w:rsidR="00404F34" w:rsidRPr="00026EC1" w:rsidRDefault="00275751" w:rsidP="00A64613">
      <w:pPr>
        <w:keepNext w:val="0"/>
        <w:tabs>
          <w:tab w:val="left" w:pos="567"/>
        </w:tabs>
        <w:ind w:left="567" w:hanging="567"/>
      </w:pPr>
      <w:r w:rsidRPr="00026EC1">
        <w:t>d)</w:t>
      </w:r>
      <w:r w:rsidRPr="00026EC1">
        <w:tab/>
      </w:r>
      <w:r w:rsidR="00404F34" w:rsidRPr="00026EC1">
        <w:t>toute exception à la clause d</w:t>
      </w:r>
      <w:r w:rsidR="004A41E4" w:rsidRPr="00026EC1">
        <w:t>’</w:t>
      </w:r>
      <w:r w:rsidR="00404F34" w:rsidRPr="00026EC1">
        <w:t>exclusivité de service telle qu</w:t>
      </w:r>
      <w:r w:rsidR="004A41E4" w:rsidRPr="00026EC1">
        <w:t>’</w:t>
      </w:r>
      <w:r w:rsidR="00404F34" w:rsidRPr="00026EC1">
        <w:t>il est défini à la clause 5</w:t>
      </w:r>
      <w:r w:rsidR="00984A6F">
        <w:noBreakHyphen/>
      </w:r>
      <w:r w:rsidR="00404F34" w:rsidRPr="00026EC1">
        <w:t xml:space="preserve">1.15; </w:t>
      </w:r>
    </w:p>
    <w:p w14:paraId="309F9BE4" w14:textId="77777777" w:rsidR="00404F34" w:rsidRPr="00026EC1" w:rsidRDefault="00404F34" w:rsidP="00A64613">
      <w:pPr>
        <w:keepNext w:val="0"/>
      </w:pPr>
    </w:p>
    <w:p w14:paraId="762C49D9" w14:textId="77777777" w:rsidR="00404F34" w:rsidRPr="00026EC1" w:rsidRDefault="00275751" w:rsidP="00A64613">
      <w:pPr>
        <w:keepNext w:val="0"/>
        <w:tabs>
          <w:tab w:val="left" w:pos="567"/>
        </w:tabs>
        <w:ind w:left="567" w:hanging="567"/>
      </w:pPr>
      <w:r w:rsidRPr="00026EC1">
        <w:t>e)</w:t>
      </w:r>
      <w:r w:rsidRPr="00026EC1">
        <w:tab/>
      </w:r>
      <w:r w:rsidR="00404F34" w:rsidRPr="00026EC1">
        <w:t>toute demande de congé sans salaire non prévu à la convention collective;</w:t>
      </w:r>
    </w:p>
    <w:p w14:paraId="1C1A09BD" w14:textId="77777777" w:rsidR="00404F34" w:rsidRPr="00026EC1" w:rsidRDefault="00404F34" w:rsidP="00A64613">
      <w:pPr>
        <w:keepNext w:val="0"/>
      </w:pPr>
    </w:p>
    <w:p w14:paraId="2DF44D89" w14:textId="77777777" w:rsidR="00404F34" w:rsidRPr="00026EC1" w:rsidRDefault="00275751" w:rsidP="00A64613">
      <w:pPr>
        <w:keepNext w:val="0"/>
        <w:tabs>
          <w:tab w:val="left" w:pos="567"/>
        </w:tabs>
        <w:ind w:left="567" w:hanging="567"/>
      </w:pPr>
      <w:r w:rsidRPr="00026EC1">
        <w:t>f)</w:t>
      </w:r>
      <w:r w:rsidRPr="00026EC1">
        <w:tab/>
      </w:r>
      <w:r w:rsidR="00404F34" w:rsidRPr="00026EC1">
        <w:t>le congédiement d</w:t>
      </w:r>
      <w:r w:rsidR="004A41E4" w:rsidRPr="00026EC1">
        <w:t>’</w:t>
      </w:r>
      <w:r w:rsidR="00404F34" w:rsidRPr="00026EC1">
        <w:t>une enseignante ou d</w:t>
      </w:r>
      <w:r w:rsidR="004A41E4" w:rsidRPr="00026EC1">
        <w:t>’</w:t>
      </w:r>
      <w:r w:rsidR="00404F34" w:rsidRPr="00026EC1">
        <w:t>un enseignant;</w:t>
      </w:r>
    </w:p>
    <w:p w14:paraId="104F4B40" w14:textId="77777777" w:rsidR="00404F34" w:rsidRPr="00026EC1" w:rsidRDefault="00404F34" w:rsidP="00A64613">
      <w:pPr>
        <w:keepNext w:val="0"/>
      </w:pPr>
    </w:p>
    <w:p w14:paraId="4D069EDB" w14:textId="6519E84A" w:rsidR="00404F34" w:rsidRPr="00026EC1" w:rsidRDefault="00275751" w:rsidP="00A64613">
      <w:pPr>
        <w:keepNext w:val="0"/>
        <w:shd w:val="clear" w:color="auto" w:fill="FFFFFF"/>
        <w:tabs>
          <w:tab w:val="left" w:pos="567"/>
        </w:tabs>
        <w:ind w:left="567" w:hanging="567"/>
        <w:rPr>
          <w:bCs/>
        </w:rPr>
      </w:pPr>
      <w:r w:rsidRPr="00026EC1">
        <w:rPr>
          <w:bCs/>
        </w:rPr>
        <w:t>g)</w:t>
      </w:r>
      <w:r w:rsidRPr="00026EC1">
        <w:rPr>
          <w:bCs/>
        </w:rPr>
        <w:tab/>
      </w:r>
      <w:r w:rsidR="00404F34" w:rsidRPr="00026EC1">
        <w:t>l</w:t>
      </w:r>
      <w:r w:rsidR="004A41E4" w:rsidRPr="00026EC1">
        <w:t>’</w:t>
      </w:r>
      <w:r w:rsidR="00404F34" w:rsidRPr="00026EC1">
        <w:t>engagement d</w:t>
      </w:r>
      <w:r w:rsidR="004A41E4" w:rsidRPr="00026EC1">
        <w:t>’</w:t>
      </w:r>
      <w:r w:rsidR="00404F34" w:rsidRPr="00026EC1">
        <w:t>une enseignante ou d</w:t>
      </w:r>
      <w:r w:rsidR="004A41E4" w:rsidRPr="00026EC1">
        <w:t>’</w:t>
      </w:r>
      <w:r w:rsidR="00404F34" w:rsidRPr="00026EC1">
        <w:t>un enseignant à l</w:t>
      </w:r>
      <w:r w:rsidR="004A41E4" w:rsidRPr="00026EC1">
        <w:t>’</w:t>
      </w:r>
      <w:r w:rsidR="00404F34" w:rsidRPr="00026EC1">
        <w:t xml:space="preserve">enseignement régulier sauf pour les cas prévus aux priorités </w:t>
      </w:r>
      <w:r w:rsidR="00404F34" w:rsidRPr="00026EC1">
        <w:rPr>
          <w:bCs/>
        </w:rPr>
        <w:t>1, 2 premier</w:t>
      </w:r>
      <w:r w:rsidR="00505124">
        <w:rPr>
          <w:bCs/>
        </w:rPr>
        <w:t> </w:t>
      </w:r>
      <w:r w:rsidR="00404F34" w:rsidRPr="00026EC1">
        <w:rPr>
          <w:bCs/>
        </w:rPr>
        <w:t>(1</w:t>
      </w:r>
      <w:r w:rsidR="00404F34" w:rsidRPr="00026EC1">
        <w:rPr>
          <w:bCs/>
          <w:vertAlign w:val="superscript"/>
        </w:rPr>
        <w:t>er</w:t>
      </w:r>
      <w:r w:rsidR="00404F34" w:rsidRPr="00026EC1">
        <w:rPr>
          <w:bCs/>
        </w:rPr>
        <w:t>) paragraphe, 4</w:t>
      </w:r>
      <w:r w:rsidR="00743E35">
        <w:rPr>
          <w:bCs/>
        </w:rPr>
        <w:t> </w:t>
      </w:r>
      <w:r w:rsidR="00137553" w:rsidRPr="00316277">
        <w:rPr>
          <w:bCs/>
        </w:rPr>
        <w:t>premier (1</w:t>
      </w:r>
      <w:r w:rsidR="00137553" w:rsidRPr="00B12D5E">
        <w:rPr>
          <w:bCs/>
          <w:vertAlign w:val="superscript"/>
        </w:rPr>
        <w:t>er</w:t>
      </w:r>
      <w:r w:rsidR="00137553" w:rsidRPr="00316277">
        <w:rPr>
          <w:bCs/>
        </w:rPr>
        <w:t>) paragraphe</w:t>
      </w:r>
      <w:r w:rsidR="00404F34" w:rsidRPr="00026EC1">
        <w:rPr>
          <w:bCs/>
        </w:rPr>
        <w:t>, 5, 6 et 7 de l</w:t>
      </w:r>
      <w:r w:rsidR="004A41E4" w:rsidRPr="00026EC1">
        <w:rPr>
          <w:bCs/>
        </w:rPr>
        <w:t>’</w:t>
      </w:r>
      <w:r w:rsidR="00404F34" w:rsidRPr="00026EC1">
        <w:rPr>
          <w:bCs/>
        </w:rPr>
        <w:t>alinéa a) de la clause 5</w:t>
      </w:r>
      <w:r w:rsidR="00984A6F">
        <w:rPr>
          <w:bCs/>
        </w:rPr>
        <w:noBreakHyphen/>
      </w:r>
      <w:r w:rsidR="00404F34" w:rsidRPr="00026EC1">
        <w:rPr>
          <w:bCs/>
        </w:rPr>
        <w:t>4.17. Toutefois, dans le cas de la priorité 7, le Collège doit convoquer le CRT avant de prendre une décision relative à l</w:t>
      </w:r>
      <w:r w:rsidR="004A41E4" w:rsidRPr="00026EC1">
        <w:rPr>
          <w:bCs/>
        </w:rPr>
        <w:t>’</w:t>
      </w:r>
      <w:r w:rsidR="00404F34" w:rsidRPr="00026EC1">
        <w:rPr>
          <w:bCs/>
        </w:rPr>
        <w:t>engagement d</w:t>
      </w:r>
      <w:r w:rsidR="004A41E4" w:rsidRPr="00026EC1">
        <w:rPr>
          <w:bCs/>
        </w:rPr>
        <w:t>’</w:t>
      </w:r>
      <w:r w:rsidR="00404F34" w:rsidRPr="00026EC1">
        <w:rPr>
          <w:bCs/>
        </w:rPr>
        <w:t>une enseignante ou d</w:t>
      </w:r>
      <w:r w:rsidR="004A41E4" w:rsidRPr="00026EC1">
        <w:rPr>
          <w:bCs/>
        </w:rPr>
        <w:t>’</w:t>
      </w:r>
      <w:r w:rsidR="00404F34" w:rsidRPr="00026EC1">
        <w:rPr>
          <w:bCs/>
        </w:rPr>
        <w:t>un enseignant non permanent à temps partiel ou chargé de cours du Collège qui a à son crédit moins de trois</w:t>
      </w:r>
      <w:r w:rsidR="00505124">
        <w:rPr>
          <w:bCs/>
        </w:rPr>
        <w:t> </w:t>
      </w:r>
      <w:r w:rsidR="00404F34" w:rsidRPr="00026EC1">
        <w:rPr>
          <w:bCs/>
        </w:rPr>
        <w:t>(3) années d</w:t>
      </w:r>
      <w:r w:rsidR="004A41E4" w:rsidRPr="00026EC1">
        <w:rPr>
          <w:bCs/>
        </w:rPr>
        <w:t>’</w:t>
      </w:r>
      <w:r w:rsidR="00404F34" w:rsidRPr="00026EC1">
        <w:rPr>
          <w:bCs/>
        </w:rPr>
        <w:t>ancienneté</w:t>
      </w:r>
      <w:r w:rsidR="009727D4" w:rsidRPr="00026EC1">
        <w:rPr>
          <w:bCs/>
        </w:rPr>
        <w:t xml:space="preserve"> au dernier jour de l’année d’engagement précédant celle du poste à combler</w:t>
      </w:r>
      <w:r w:rsidR="00404F34" w:rsidRPr="00026EC1">
        <w:rPr>
          <w:bCs/>
        </w:rPr>
        <w:t>;</w:t>
      </w:r>
    </w:p>
    <w:p w14:paraId="120911C6" w14:textId="77777777" w:rsidR="00404F34" w:rsidRPr="00026EC1" w:rsidRDefault="00404F34" w:rsidP="00A64613">
      <w:pPr>
        <w:keepNext w:val="0"/>
      </w:pPr>
    </w:p>
    <w:p w14:paraId="00FBA716" w14:textId="7BEE22CC" w:rsidR="00404F34" w:rsidRPr="00026EC1" w:rsidRDefault="00275751" w:rsidP="00A64613">
      <w:pPr>
        <w:keepNext w:val="0"/>
        <w:tabs>
          <w:tab w:val="left" w:pos="567"/>
        </w:tabs>
        <w:ind w:left="567" w:hanging="567"/>
      </w:pPr>
      <w:r w:rsidRPr="00026EC1">
        <w:t>h)</w:t>
      </w:r>
      <w:r w:rsidRPr="00026EC1">
        <w:tab/>
      </w:r>
      <w:r w:rsidR="00404F34" w:rsidRPr="00026EC1">
        <w:t>toute mesure disciplinaire conformément à l</w:t>
      </w:r>
      <w:r w:rsidR="004A41E4" w:rsidRPr="00026EC1">
        <w:t>’</w:t>
      </w:r>
      <w:r w:rsidR="00404F34" w:rsidRPr="00026EC1">
        <w:t>article</w:t>
      </w:r>
      <w:r w:rsidR="00831CEF" w:rsidRPr="00026EC1">
        <w:t> </w:t>
      </w:r>
      <w:r w:rsidR="00404F34" w:rsidRPr="00026EC1">
        <w:t>5</w:t>
      </w:r>
      <w:r w:rsidR="00984A6F">
        <w:noBreakHyphen/>
      </w:r>
      <w:r w:rsidR="00404F34" w:rsidRPr="00026EC1">
        <w:t>18.00;</w:t>
      </w:r>
    </w:p>
    <w:p w14:paraId="5145956A" w14:textId="77777777" w:rsidR="00404F34" w:rsidRPr="00026EC1" w:rsidRDefault="00404F34" w:rsidP="00A64613">
      <w:pPr>
        <w:keepNext w:val="0"/>
      </w:pPr>
    </w:p>
    <w:p w14:paraId="7581D39B" w14:textId="6CE2286D" w:rsidR="00404F34" w:rsidRPr="00026EC1" w:rsidRDefault="00275751" w:rsidP="00A64613">
      <w:pPr>
        <w:keepNext w:val="0"/>
        <w:tabs>
          <w:tab w:val="left" w:pos="567"/>
        </w:tabs>
        <w:ind w:left="567" w:hanging="567"/>
      </w:pPr>
      <w:r w:rsidRPr="00026EC1">
        <w:t>i)</w:t>
      </w:r>
      <w:r w:rsidRPr="00026EC1">
        <w:tab/>
      </w:r>
      <w:r w:rsidR="00404F34" w:rsidRPr="00026EC1">
        <w:t xml:space="preserve">tout projet de tâche confié à une enseignante ou un enseignant mis en disponibilité, selon le </w:t>
      </w:r>
      <w:r w:rsidR="00404F34" w:rsidRPr="00026EC1">
        <w:rPr>
          <w:bCs/>
        </w:rPr>
        <w:t>premier</w:t>
      </w:r>
      <w:r w:rsidR="00505124">
        <w:rPr>
          <w:bCs/>
        </w:rPr>
        <w:t> </w:t>
      </w:r>
      <w:r w:rsidR="00404F34" w:rsidRPr="00026EC1">
        <w:rPr>
          <w:bCs/>
        </w:rPr>
        <w:t>(1</w:t>
      </w:r>
      <w:r w:rsidR="00404F34" w:rsidRPr="00026EC1">
        <w:rPr>
          <w:bCs/>
          <w:vertAlign w:val="superscript"/>
        </w:rPr>
        <w:t>er</w:t>
      </w:r>
      <w:r w:rsidR="00404F34" w:rsidRPr="00026EC1">
        <w:rPr>
          <w:bCs/>
        </w:rPr>
        <w:t>) paragraphe de l</w:t>
      </w:r>
      <w:r w:rsidR="004A41E4" w:rsidRPr="00026EC1">
        <w:rPr>
          <w:bCs/>
        </w:rPr>
        <w:t>’</w:t>
      </w:r>
      <w:r w:rsidR="00404F34" w:rsidRPr="00026EC1">
        <w:rPr>
          <w:bCs/>
        </w:rPr>
        <w:t>alinéa</w:t>
      </w:r>
      <w:r w:rsidR="00BD38A6" w:rsidRPr="00026EC1">
        <w:rPr>
          <w:bCs/>
        </w:rPr>
        <w:t> </w:t>
      </w:r>
      <w:r w:rsidR="00404F34" w:rsidRPr="00026EC1">
        <w:rPr>
          <w:bCs/>
        </w:rPr>
        <w:t>J) de la clause</w:t>
      </w:r>
      <w:r w:rsidR="007F445F" w:rsidRPr="00026EC1">
        <w:rPr>
          <w:bCs/>
        </w:rPr>
        <w:t> </w:t>
      </w:r>
      <w:r w:rsidR="00404F34" w:rsidRPr="00026EC1">
        <w:rPr>
          <w:bCs/>
        </w:rPr>
        <w:t>5</w:t>
      </w:r>
      <w:r w:rsidR="00984A6F">
        <w:rPr>
          <w:bCs/>
        </w:rPr>
        <w:noBreakHyphen/>
      </w:r>
      <w:r w:rsidR="00404F34" w:rsidRPr="00026EC1">
        <w:rPr>
          <w:bCs/>
        </w:rPr>
        <w:t>4.07</w:t>
      </w:r>
      <w:r w:rsidR="00404F34" w:rsidRPr="00026EC1">
        <w:t>;</w:t>
      </w:r>
    </w:p>
    <w:p w14:paraId="109FCD49" w14:textId="77777777" w:rsidR="00404F34" w:rsidRPr="00026EC1" w:rsidRDefault="00404F34" w:rsidP="00A64613">
      <w:pPr>
        <w:keepNext w:val="0"/>
      </w:pPr>
    </w:p>
    <w:p w14:paraId="5D931341" w14:textId="77777777" w:rsidR="00404F34" w:rsidRPr="00026EC1" w:rsidRDefault="00275751" w:rsidP="00A64613">
      <w:pPr>
        <w:keepNext w:val="0"/>
        <w:tabs>
          <w:tab w:val="left" w:pos="567"/>
        </w:tabs>
        <w:ind w:left="567" w:hanging="567"/>
      </w:pPr>
      <w:r w:rsidRPr="00026EC1">
        <w:t>j)</w:t>
      </w:r>
      <w:r w:rsidRPr="00026EC1">
        <w:tab/>
      </w:r>
      <w:r w:rsidR="00404F34" w:rsidRPr="00026EC1">
        <w:t>la détermination d</w:t>
      </w:r>
      <w:r w:rsidR="004A41E4" w:rsidRPr="00026EC1">
        <w:t>’</w:t>
      </w:r>
      <w:r w:rsidR="00404F34" w:rsidRPr="00026EC1">
        <w:t>une politique de suppléance;</w:t>
      </w:r>
    </w:p>
    <w:p w14:paraId="6E56851E" w14:textId="77777777" w:rsidR="00404F34" w:rsidRPr="00026EC1" w:rsidRDefault="00404F34" w:rsidP="00A64613">
      <w:pPr>
        <w:keepNext w:val="0"/>
      </w:pPr>
    </w:p>
    <w:p w14:paraId="083DCE4E" w14:textId="77777777" w:rsidR="00404F34" w:rsidRPr="00026EC1" w:rsidRDefault="00275751" w:rsidP="00A64613">
      <w:pPr>
        <w:keepNext w:val="0"/>
        <w:tabs>
          <w:tab w:val="left" w:pos="567"/>
        </w:tabs>
        <w:ind w:left="567" w:hanging="567"/>
      </w:pPr>
      <w:r w:rsidRPr="00026EC1">
        <w:t>k)</w:t>
      </w:r>
      <w:r w:rsidRPr="00026EC1">
        <w:tab/>
      </w:r>
      <w:r w:rsidR="00404F34" w:rsidRPr="00026EC1">
        <w:t>la détermination de la période des vacances des enseignantes et enseignants;</w:t>
      </w:r>
    </w:p>
    <w:p w14:paraId="46204A4C" w14:textId="77777777" w:rsidR="00404F34" w:rsidRPr="00026EC1" w:rsidRDefault="00404F34" w:rsidP="00A64613">
      <w:pPr>
        <w:keepNext w:val="0"/>
      </w:pPr>
    </w:p>
    <w:p w14:paraId="5FCF15C8" w14:textId="189700BF" w:rsidR="00404F34" w:rsidRPr="00026EC1" w:rsidRDefault="00275751" w:rsidP="00A64613">
      <w:pPr>
        <w:keepNext w:val="0"/>
        <w:tabs>
          <w:tab w:val="left" w:pos="567"/>
        </w:tabs>
        <w:ind w:left="567" w:hanging="567"/>
      </w:pPr>
      <w:r w:rsidRPr="00026EC1">
        <w:t>l)</w:t>
      </w:r>
      <w:r w:rsidRPr="00026EC1">
        <w:tab/>
      </w:r>
      <w:r w:rsidR="00404F34" w:rsidRPr="00026EC1">
        <w:t>un échange intercollèges au sens de l</w:t>
      </w:r>
      <w:r w:rsidR="004A41E4" w:rsidRPr="00026EC1">
        <w:t>’</w:t>
      </w:r>
      <w:r w:rsidR="00404F34" w:rsidRPr="00026EC1">
        <w:t>article</w:t>
      </w:r>
      <w:r w:rsidR="00831CEF" w:rsidRPr="00026EC1">
        <w:t> </w:t>
      </w:r>
      <w:r w:rsidR="00404F34" w:rsidRPr="00026EC1">
        <w:t>5</w:t>
      </w:r>
      <w:r w:rsidR="00984A6F">
        <w:noBreakHyphen/>
      </w:r>
      <w:r w:rsidR="00404F34" w:rsidRPr="00026EC1">
        <w:t>10.00;</w:t>
      </w:r>
    </w:p>
    <w:p w14:paraId="26838122" w14:textId="77777777" w:rsidR="00404F34" w:rsidRPr="00026EC1" w:rsidRDefault="00404F34" w:rsidP="00A64613">
      <w:pPr>
        <w:keepNext w:val="0"/>
      </w:pPr>
    </w:p>
    <w:p w14:paraId="1DFDC946" w14:textId="77777777" w:rsidR="00404F34" w:rsidRPr="00026EC1" w:rsidRDefault="00275751" w:rsidP="00A64613">
      <w:pPr>
        <w:keepNext w:val="0"/>
        <w:tabs>
          <w:tab w:val="left" w:pos="567"/>
        </w:tabs>
        <w:ind w:left="567" w:hanging="567"/>
      </w:pPr>
      <w:r w:rsidRPr="00026EC1">
        <w:t>m)</w:t>
      </w:r>
      <w:r w:rsidRPr="00026EC1">
        <w:tab/>
      </w:r>
      <w:r w:rsidR="00404F34" w:rsidRPr="00026EC1">
        <w:t>toute implication sur les conditions de travail résultant d</w:t>
      </w:r>
      <w:r w:rsidR="004A41E4" w:rsidRPr="00026EC1">
        <w:t>’</w:t>
      </w:r>
      <w:r w:rsidR="00404F34" w:rsidRPr="00026EC1">
        <w:t>un changement du nombre de départements;</w:t>
      </w:r>
    </w:p>
    <w:p w14:paraId="2C1F46B1" w14:textId="77777777" w:rsidR="00404F34" w:rsidRPr="00026EC1" w:rsidRDefault="00404F34" w:rsidP="00A64613">
      <w:pPr>
        <w:keepNext w:val="0"/>
      </w:pPr>
    </w:p>
    <w:p w14:paraId="46E7B9FC" w14:textId="77777777" w:rsidR="00404F34" w:rsidRDefault="00275751" w:rsidP="00A64613">
      <w:pPr>
        <w:keepNext w:val="0"/>
        <w:tabs>
          <w:tab w:val="left" w:pos="567"/>
        </w:tabs>
        <w:ind w:left="567" w:hanging="567"/>
      </w:pPr>
      <w:r w:rsidRPr="00026EC1">
        <w:t>n)</w:t>
      </w:r>
      <w:r w:rsidRPr="00026EC1">
        <w:tab/>
      </w:r>
      <w:r w:rsidR="00404F34" w:rsidRPr="00026EC1">
        <w:t>les implications contractuelles résultant d</w:t>
      </w:r>
      <w:r w:rsidR="004A41E4" w:rsidRPr="00026EC1">
        <w:t>’</w:t>
      </w:r>
      <w:r w:rsidR="00404F34" w:rsidRPr="00026EC1">
        <w:t>une libération à des fins non prévues à la convention collective;</w:t>
      </w:r>
    </w:p>
    <w:p w14:paraId="0E3D42E4" w14:textId="77777777" w:rsidR="00AD41CE" w:rsidRPr="00026EC1" w:rsidRDefault="00AD41CE" w:rsidP="00A64613">
      <w:pPr>
        <w:keepNext w:val="0"/>
        <w:tabs>
          <w:tab w:val="left" w:pos="567"/>
        </w:tabs>
        <w:ind w:left="567" w:hanging="567"/>
      </w:pPr>
    </w:p>
    <w:p w14:paraId="45E4B68D" w14:textId="64D1DB1E" w:rsidR="00404F34" w:rsidRPr="00026EC1" w:rsidRDefault="00275751" w:rsidP="00A64613">
      <w:pPr>
        <w:keepNext w:val="0"/>
        <w:tabs>
          <w:tab w:val="left" w:pos="567"/>
        </w:tabs>
        <w:ind w:left="567" w:hanging="567"/>
      </w:pPr>
      <w:r w:rsidRPr="00026EC1">
        <w:t>o)</w:t>
      </w:r>
      <w:r w:rsidRPr="00026EC1">
        <w:tab/>
      </w:r>
      <w:r w:rsidR="00404F34" w:rsidRPr="00026EC1">
        <w:t>le déplacement de la période de vacances d</w:t>
      </w:r>
      <w:r w:rsidR="004A41E4" w:rsidRPr="00026EC1">
        <w:t>’</w:t>
      </w:r>
      <w:r w:rsidR="00404F34" w:rsidRPr="00026EC1">
        <w:t>une enseignante ou d</w:t>
      </w:r>
      <w:r w:rsidR="004A41E4" w:rsidRPr="00026EC1">
        <w:t>’</w:t>
      </w:r>
      <w:r w:rsidR="00404F34" w:rsidRPr="00026EC1">
        <w:t>un enseignant prévu à la clause</w:t>
      </w:r>
      <w:r w:rsidR="007F445F" w:rsidRPr="00026EC1">
        <w:t> </w:t>
      </w:r>
      <w:r w:rsidR="00404F34" w:rsidRPr="00026EC1">
        <w:t>8</w:t>
      </w:r>
      <w:r w:rsidR="00984A6F">
        <w:noBreakHyphen/>
      </w:r>
      <w:r w:rsidR="00404F34" w:rsidRPr="00026EC1">
        <w:t>2.05;</w:t>
      </w:r>
    </w:p>
    <w:p w14:paraId="723C1BC2" w14:textId="77777777" w:rsidR="00404F34" w:rsidRPr="00026EC1" w:rsidRDefault="00404F34" w:rsidP="00A64613">
      <w:pPr>
        <w:keepNext w:val="0"/>
      </w:pPr>
    </w:p>
    <w:p w14:paraId="0701C7D5" w14:textId="5920EDA5" w:rsidR="00404F34" w:rsidRPr="00026EC1" w:rsidRDefault="00275751" w:rsidP="00A64613">
      <w:pPr>
        <w:keepNext w:val="0"/>
        <w:tabs>
          <w:tab w:val="left" w:pos="567"/>
        </w:tabs>
        <w:ind w:left="567" w:hanging="567"/>
      </w:pPr>
      <w:r w:rsidRPr="00026EC1">
        <w:t>p)</w:t>
      </w:r>
      <w:r w:rsidRPr="00026EC1">
        <w:tab/>
      </w:r>
      <w:r w:rsidR="00404F34" w:rsidRPr="00026EC1">
        <w:t>toute exception au principe du non</w:t>
      </w:r>
      <w:r w:rsidR="00984A6F">
        <w:noBreakHyphen/>
      </w:r>
      <w:r w:rsidR="00404F34" w:rsidRPr="00026EC1">
        <w:t>engagement d</w:t>
      </w:r>
      <w:r w:rsidR="004A41E4" w:rsidRPr="00026EC1">
        <w:t>’</w:t>
      </w:r>
      <w:r w:rsidR="00404F34" w:rsidRPr="00026EC1">
        <w:t>une personne en double emploi tel qu</w:t>
      </w:r>
      <w:r w:rsidR="004A41E4" w:rsidRPr="00026EC1">
        <w:t>’</w:t>
      </w:r>
      <w:r w:rsidR="00404F34" w:rsidRPr="00026EC1">
        <w:t>il est défini à la clause</w:t>
      </w:r>
      <w:r w:rsidR="007F445F" w:rsidRPr="00026EC1">
        <w:t> </w:t>
      </w:r>
      <w:r w:rsidR="00404F34" w:rsidRPr="00026EC1">
        <w:t>5</w:t>
      </w:r>
      <w:r w:rsidR="00984A6F">
        <w:noBreakHyphen/>
      </w:r>
      <w:r w:rsidR="00404F34" w:rsidRPr="00026EC1">
        <w:t>1.12</w:t>
      </w:r>
      <w:r w:rsidR="00855DD8" w:rsidRPr="00026EC1">
        <w:t>;</w:t>
      </w:r>
    </w:p>
    <w:p w14:paraId="6A5BEEA6" w14:textId="77777777" w:rsidR="00404F34" w:rsidRPr="00026EC1" w:rsidRDefault="00404F34" w:rsidP="0066096B">
      <w:pPr>
        <w:keepNext w:val="0"/>
      </w:pPr>
    </w:p>
    <w:p w14:paraId="63DF3FF4" w14:textId="6B9CE254" w:rsidR="000C2801" w:rsidRDefault="00275751" w:rsidP="0066096B">
      <w:pPr>
        <w:keepNext w:val="0"/>
        <w:tabs>
          <w:tab w:val="left" w:pos="567"/>
        </w:tabs>
        <w:ind w:left="567" w:hanging="567"/>
      </w:pPr>
      <w:r w:rsidRPr="00026EC1">
        <w:t>q)</w:t>
      </w:r>
      <w:r w:rsidRPr="00026EC1">
        <w:tab/>
      </w:r>
      <w:r w:rsidR="000C2801" w:rsidRPr="00026EC1">
        <w:t xml:space="preserve">la </w:t>
      </w:r>
      <w:r w:rsidR="00855DD8" w:rsidRPr="00026EC1">
        <w:t>C</w:t>
      </w:r>
      <w:r w:rsidR="000C2801" w:rsidRPr="00026EC1">
        <w:t>ommission pédagogique</w:t>
      </w:r>
      <w:r w:rsidR="002D0E30" w:rsidRPr="00026EC1">
        <w:t xml:space="preserve"> en vertu de la clause</w:t>
      </w:r>
      <w:r w:rsidR="0017763F" w:rsidRPr="00026EC1">
        <w:t> </w:t>
      </w:r>
      <w:r w:rsidR="002D0E30" w:rsidRPr="00026EC1">
        <w:t>4</w:t>
      </w:r>
      <w:r w:rsidR="00984A6F">
        <w:noBreakHyphen/>
      </w:r>
      <w:r w:rsidR="002D0E30" w:rsidRPr="00026EC1">
        <w:t>5.02</w:t>
      </w:r>
      <w:r w:rsidR="00D6635E" w:rsidRPr="00316277">
        <w:t>;</w:t>
      </w:r>
    </w:p>
    <w:p w14:paraId="0A3EBAFC" w14:textId="77777777" w:rsidR="00D6635E" w:rsidRPr="00026EC1" w:rsidRDefault="00D6635E" w:rsidP="0066096B">
      <w:pPr>
        <w:keepNext w:val="0"/>
        <w:tabs>
          <w:tab w:val="left" w:pos="567"/>
        </w:tabs>
        <w:ind w:left="567" w:hanging="567"/>
      </w:pPr>
    </w:p>
    <w:p w14:paraId="5D017789" w14:textId="6B0F0229" w:rsidR="00823A47" w:rsidRPr="00316277" w:rsidRDefault="00137553" w:rsidP="00823A47">
      <w:pPr>
        <w:pStyle w:val="N-FNEEQ-puce"/>
        <w:spacing w:before="0" w:after="0" w:line="240" w:lineRule="auto"/>
        <w:ind w:left="567" w:hanging="567"/>
        <w:rPr>
          <w:rStyle w:val="ElevSoulign"/>
          <w:rFonts w:ascii="Arial" w:hAnsi="Arial" w:cs="Arial"/>
          <w:b w:val="0"/>
          <w:color w:val="auto"/>
          <w:sz w:val="24"/>
          <w:szCs w:val="24"/>
          <w:u w:val="none"/>
        </w:rPr>
      </w:pPr>
      <w:r w:rsidRPr="00316277">
        <w:rPr>
          <w:rStyle w:val="ElevSoulign"/>
          <w:rFonts w:ascii="Arial" w:hAnsi="Arial" w:cs="Arial"/>
          <w:b w:val="0"/>
          <w:color w:val="auto"/>
          <w:sz w:val="24"/>
          <w:szCs w:val="24"/>
          <w:u w:val="none"/>
        </w:rPr>
        <w:t>r)</w:t>
      </w:r>
      <w:r w:rsidRPr="00137553">
        <w:rPr>
          <w:rFonts w:ascii="Arial" w:hAnsi="Arial" w:cs="Arial"/>
          <w:color w:val="auto"/>
          <w:sz w:val="24"/>
          <w:szCs w:val="24"/>
        </w:rPr>
        <w:tab/>
      </w:r>
      <w:r w:rsidRPr="00316277">
        <w:rPr>
          <w:rStyle w:val="ElevSoulign"/>
          <w:rFonts w:ascii="Arial" w:hAnsi="Arial" w:cs="Arial"/>
          <w:b w:val="0"/>
          <w:color w:val="auto"/>
          <w:sz w:val="24"/>
          <w:szCs w:val="24"/>
          <w:u w:val="none"/>
        </w:rPr>
        <w:t xml:space="preserve">la possibilité de réserver un poste différé suivant les dispositions </w:t>
      </w:r>
      <w:r w:rsidR="001C32FD" w:rsidRPr="00316277">
        <w:rPr>
          <w:rStyle w:val="ElevSoulign"/>
          <w:rFonts w:ascii="Arial" w:hAnsi="Arial" w:cs="Arial"/>
          <w:b w:val="0"/>
          <w:color w:val="auto"/>
          <w:sz w:val="24"/>
          <w:szCs w:val="24"/>
          <w:u w:val="none"/>
        </w:rPr>
        <w:t xml:space="preserve">prévues à </w:t>
      </w:r>
      <w:r w:rsidRPr="00316277">
        <w:rPr>
          <w:rStyle w:val="ElevSoulign"/>
          <w:rFonts w:ascii="Arial" w:hAnsi="Arial" w:cs="Arial"/>
          <w:b w:val="0"/>
          <w:color w:val="auto"/>
          <w:sz w:val="24"/>
          <w:szCs w:val="24"/>
          <w:u w:val="none"/>
        </w:rPr>
        <w:t>la clause</w:t>
      </w:r>
      <w:r w:rsidR="000E222D"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5-4.21</w:t>
      </w:r>
      <w:r w:rsidR="000E222D" w:rsidRPr="00316277">
        <w:rPr>
          <w:rStyle w:val="ElevSoulign"/>
          <w:rFonts w:ascii="Arial" w:hAnsi="Arial" w:cs="Arial"/>
          <w:b w:val="0"/>
          <w:color w:val="auto"/>
          <w:sz w:val="24"/>
          <w:szCs w:val="24"/>
          <w:u w:val="none"/>
        </w:rPr>
        <w:t>;</w:t>
      </w:r>
    </w:p>
    <w:p w14:paraId="4E868006" w14:textId="77777777" w:rsidR="00823A47" w:rsidRPr="00316277" w:rsidRDefault="00823A47" w:rsidP="00823A47">
      <w:pPr>
        <w:pStyle w:val="N-FNEEQ-puce"/>
        <w:spacing w:before="0" w:after="0" w:line="240" w:lineRule="auto"/>
        <w:ind w:left="567" w:hanging="567"/>
        <w:rPr>
          <w:rStyle w:val="ElevSoulign"/>
          <w:rFonts w:ascii="Arial" w:hAnsi="Arial" w:cs="Arial"/>
          <w:b w:val="0"/>
          <w:color w:val="auto"/>
          <w:sz w:val="24"/>
          <w:szCs w:val="24"/>
          <w:u w:val="none"/>
        </w:rPr>
      </w:pPr>
    </w:p>
    <w:p w14:paraId="540044D1" w14:textId="42C69B6E" w:rsidR="00137553" w:rsidRPr="00316277" w:rsidRDefault="00137553" w:rsidP="00316277">
      <w:pPr>
        <w:keepNext w:val="0"/>
        <w:tabs>
          <w:tab w:val="left" w:pos="567"/>
        </w:tabs>
        <w:ind w:left="567" w:hanging="567"/>
      </w:pPr>
      <w:r w:rsidRPr="00316277">
        <w:t>s)</w:t>
      </w:r>
      <w:r w:rsidRPr="00316277">
        <w:tab/>
        <w:t xml:space="preserve">une entente telle qu’un partenariat </w:t>
      </w:r>
      <w:r w:rsidR="001D2E8A" w:rsidRPr="00316277">
        <w:t>avec un autre</w:t>
      </w:r>
      <w:r w:rsidRPr="00316277">
        <w:t xml:space="preserve"> établissement</w:t>
      </w:r>
      <w:r w:rsidR="001D2E8A" w:rsidRPr="00316277">
        <w:t xml:space="preserve"> pour y donner de l’enseignement</w:t>
      </w:r>
      <w:r w:rsidR="00D07BAB" w:rsidRPr="00316277">
        <w:t>,</w:t>
      </w:r>
      <w:r w:rsidR="001D2E8A" w:rsidRPr="00316277">
        <w:t xml:space="preserve"> conformément</w:t>
      </w:r>
      <w:r w:rsidR="00CC50A9" w:rsidRPr="00316277">
        <w:t xml:space="preserve"> à la clause 10</w:t>
      </w:r>
      <w:r w:rsidR="00CC50A9" w:rsidRPr="00316277">
        <w:noBreakHyphen/>
        <w:t>1.11.</w:t>
      </w:r>
    </w:p>
    <w:p w14:paraId="06A551D4" w14:textId="77777777" w:rsidR="00DA342C" w:rsidRPr="00026EC1" w:rsidRDefault="00DA342C" w:rsidP="00316277">
      <w:pPr>
        <w:keepNext w:val="0"/>
        <w:tabs>
          <w:tab w:val="left" w:pos="567"/>
        </w:tabs>
        <w:ind w:left="567" w:hanging="567"/>
      </w:pPr>
    </w:p>
    <w:p w14:paraId="0F40F1DC" w14:textId="58027F3B" w:rsidR="00404F34" w:rsidRPr="00026EC1" w:rsidRDefault="00404F34" w:rsidP="00A64613">
      <w:pPr>
        <w:pStyle w:val="NUMRODECLAUSE"/>
        <w:keepNext w:val="0"/>
      </w:pPr>
      <w:r w:rsidRPr="00026EC1">
        <w:t>4</w:t>
      </w:r>
      <w:r w:rsidR="00984A6F">
        <w:noBreakHyphen/>
      </w:r>
      <w:r w:rsidRPr="00026EC1">
        <w:t>3.15</w:t>
      </w:r>
    </w:p>
    <w:p w14:paraId="498B2F1B" w14:textId="5199A576" w:rsidR="00404F34" w:rsidRPr="00026EC1" w:rsidRDefault="00404F34" w:rsidP="00A64613">
      <w:pPr>
        <w:keepNext w:val="0"/>
      </w:pPr>
      <w:r w:rsidRPr="00026EC1">
        <w:t>Le Collège doit convoquer le CRT sur tout litige que lui soumet le Syndicat, une enseignante ou un enseignant relativement</w:t>
      </w:r>
      <w:r w:rsidR="00D8581B">
        <w:t> :</w:t>
      </w:r>
    </w:p>
    <w:p w14:paraId="7B9B02C2" w14:textId="77777777" w:rsidR="00404F34" w:rsidRPr="00026EC1" w:rsidRDefault="00404F34" w:rsidP="00A64613">
      <w:pPr>
        <w:keepNext w:val="0"/>
      </w:pPr>
    </w:p>
    <w:p w14:paraId="04C5D885" w14:textId="77777777" w:rsidR="00404F34" w:rsidRPr="00026EC1" w:rsidRDefault="00275751" w:rsidP="00A64613">
      <w:pPr>
        <w:keepNext w:val="0"/>
        <w:tabs>
          <w:tab w:val="left" w:pos="567"/>
        </w:tabs>
        <w:ind w:left="567" w:hanging="567"/>
      </w:pPr>
      <w:r w:rsidRPr="00026EC1">
        <w:t>a)</w:t>
      </w:r>
      <w:r w:rsidRPr="00026EC1">
        <w:tab/>
      </w:r>
      <w:r w:rsidR="00404F34" w:rsidRPr="00026EC1">
        <w:t>à la tâche et à la charge d</w:t>
      </w:r>
      <w:r w:rsidR="004A41E4" w:rsidRPr="00026EC1">
        <w:t>’</w:t>
      </w:r>
      <w:r w:rsidR="00404F34" w:rsidRPr="00026EC1">
        <w:t>enseignement d</w:t>
      </w:r>
      <w:r w:rsidR="004A41E4" w:rsidRPr="00026EC1">
        <w:t>’</w:t>
      </w:r>
      <w:r w:rsidR="00404F34" w:rsidRPr="00026EC1">
        <w:t>une enseignante ou d</w:t>
      </w:r>
      <w:r w:rsidR="004A41E4" w:rsidRPr="00026EC1">
        <w:t>’</w:t>
      </w:r>
      <w:r w:rsidR="00404F34" w:rsidRPr="00026EC1">
        <w:t>un enseignant;</w:t>
      </w:r>
    </w:p>
    <w:p w14:paraId="35102C86" w14:textId="77777777" w:rsidR="00404F34" w:rsidRPr="00026EC1" w:rsidRDefault="00404F34" w:rsidP="00A64613">
      <w:pPr>
        <w:keepNext w:val="0"/>
      </w:pPr>
    </w:p>
    <w:p w14:paraId="4888F216" w14:textId="77777777" w:rsidR="00404F34" w:rsidRPr="00026EC1" w:rsidRDefault="00275751" w:rsidP="00A64613">
      <w:pPr>
        <w:keepNext w:val="0"/>
        <w:tabs>
          <w:tab w:val="left" w:pos="567"/>
        </w:tabs>
        <w:ind w:left="567" w:hanging="567"/>
      </w:pPr>
      <w:r w:rsidRPr="00026EC1">
        <w:t>b)</w:t>
      </w:r>
      <w:r w:rsidRPr="00026EC1">
        <w:tab/>
      </w:r>
      <w:r w:rsidR="00404F34" w:rsidRPr="00026EC1">
        <w:t>aux transferts;</w:t>
      </w:r>
    </w:p>
    <w:p w14:paraId="48BC14ED" w14:textId="77777777" w:rsidR="00404F34" w:rsidRPr="00026EC1" w:rsidRDefault="00404F34" w:rsidP="00A64613">
      <w:pPr>
        <w:keepNext w:val="0"/>
      </w:pPr>
    </w:p>
    <w:p w14:paraId="727BA741" w14:textId="77777777" w:rsidR="00404F34" w:rsidRPr="00026EC1" w:rsidRDefault="00275751" w:rsidP="00A64613">
      <w:pPr>
        <w:keepNext w:val="0"/>
        <w:tabs>
          <w:tab w:val="left" w:pos="567"/>
        </w:tabs>
        <w:ind w:left="567" w:hanging="567"/>
      </w:pPr>
      <w:r w:rsidRPr="00026EC1">
        <w:t>c)</w:t>
      </w:r>
      <w:r w:rsidRPr="00026EC1">
        <w:tab/>
      </w:r>
      <w:r w:rsidR="00404F34" w:rsidRPr="00026EC1">
        <w:t>à l</w:t>
      </w:r>
      <w:r w:rsidR="004A41E4" w:rsidRPr="00026EC1">
        <w:t>’</w:t>
      </w:r>
      <w:r w:rsidR="00404F34" w:rsidRPr="00026EC1">
        <w:t>attribution aux enseignantes et enseignants du Collège de cours à la formation continue, de cours d</w:t>
      </w:r>
      <w:r w:rsidR="004A41E4" w:rsidRPr="00026EC1">
        <w:t>’</w:t>
      </w:r>
      <w:r w:rsidR="00404F34" w:rsidRPr="00026EC1">
        <w:t xml:space="preserve">été ainsi que des cours de suppléance prolongée; </w:t>
      </w:r>
    </w:p>
    <w:p w14:paraId="0CCC5CAE" w14:textId="77777777" w:rsidR="00404F34" w:rsidRPr="00026EC1" w:rsidRDefault="00404F34" w:rsidP="00A64613">
      <w:pPr>
        <w:keepNext w:val="0"/>
      </w:pPr>
    </w:p>
    <w:p w14:paraId="170C40A0" w14:textId="77777777" w:rsidR="00404F34" w:rsidRPr="00026EC1" w:rsidRDefault="00275751" w:rsidP="00A64613">
      <w:pPr>
        <w:keepNext w:val="0"/>
        <w:tabs>
          <w:tab w:val="left" w:pos="567"/>
        </w:tabs>
        <w:ind w:left="567" w:hanging="567"/>
      </w:pPr>
      <w:r w:rsidRPr="00026EC1">
        <w:t>d)</w:t>
      </w:r>
      <w:r w:rsidRPr="00026EC1">
        <w:tab/>
      </w:r>
      <w:r w:rsidR="00404F34" w:rsidRPr="00026EC1">
        <w:t>à l</w:t>
      </w:r>
      <w:r w:rsidR="004A41E4" w:rsidRPr="00026EC1">
        <w:t>’</w:t>
      </w:r>
      <w:r w:rsidR="00404F34" w:rsidRPr="00026EC1">
        <w:t>évaluation de l</w:t>
      </w:r>
      <w:r w:rsidR="004A41E4" w:rsidRPr="00026EC1">
        <w:t>’</w:t>
      </w:r>
      <w:r w:rsidR="00404F34" w:rsidRPr="00026EC1">
        <w:t>expérience;</w:t>
      </w:r>
    </w:p>
    <w:p w14:paraId="4C18038E" w14:textId="77777777" w:rsidR="00404F34" w:rsidRPr="00026EC1" w:rsidRDefault="00404F34" w:rsidP="00A64613">
      <w:pPr>
        <w:keepNext w:val="0"/>
      </w:pPr>
    </w:p>
    <w:p w14:paraId="504D38B9" w14:textId="77777777" w:rsidR="00404F34" w:rsidRPr="00026EC1" w:rsidRDefault="00275751" w:rsidP="00A64613">
      <w:pPr>
        <w:keepNext w:val="0"/>
        <w:tabs>
          <w:tab w:val="left" w:pos="567"/>
        </w:tabs>
        <w:ind w:left="567" w:hanging="567"/>
      </w:pPr>
      <w:r w:rsidRPr="00026EC1">
        <w:t>e)</w:t>
      </w:r>
      <w:r w:rsidRPr="00026EC1">
        <w:tab/>
      </w:r>
      <w:r w:rsidR="00404F34" w:rsidRPr="00026EC1">
        <w:t>à la suite de la réinstallation d</w:t>
      </w:r>
      <w:r w:rsidR="004A41E4" w:rsidRPr="00026EC1">
        <w:t>’</w:t>
      </w:r>
      <w:r w:rsidR="00404F34" w:rsidRPr="00026EC1">
        <w:t>une enseignante ou d</w:t>
      </w:r>
      <w:r w:rsidR="004A41E4" w:rsidRPr="00026EC1">
        <w:t>’</w:t>
      </w:r>
      <w:r w:rsidR="00404F34" w:rsidRPr="00026EC1">
        <w:t>un enseignant;</w:t>
      </w:r>
    </w:p>
    <w:p w14:paraId="3D85FEC1" w14:textId="77777777" w:rsidR="00404F34" w:rsidRPr="00026EC1" w:rsidRDefault="00404F34" w:rsidP="00A64613">
      <w:pPr>
        <w:keepNext w:val="0"/>
      </w:pPr>
    </w:p>
    <w:p w14:paraId="588AFB04" w14:textId="5CCF14E9" w:rsidR="00404F34" w:rsidRPr="00026EC1" w:rsidRDefault="00275751" w:rsidP="00A64613">
      <w:pPr>
        <w:keepNext w:val="0"/>
        <w:tabs>
          <w:tab w:val="left" w:pos="567"/>
        </w:tabs>
        <w:ind w:left="567" w:hanging="567"/>
      </w:pPr>
      <w:r w:rsidRPr="00026EC1">
        <w:t>f)</w:t>
      </w:r>
      <w:r w:rsidRPr="00026EC1">
        <w:tab/>
      </w:r>
      <w:r w:rsidR="00404F34" w:rsidRPr="00026EC1">
        <w:t>à l</w:t>
      </w:r>
      <w:r w:rsidR="004A41E4" w:rsidRPr="00026EC1">
        <w:t>’</w:t>
      </w:r>
      <w:r w:rsidR="00404F34" w:rsidRPr="00026EC1">
        <w:t>application du régime des frais de déplacement et de séjour tel qu</w:t>
      </w:r>
      <w:r w:rsidR="004A41E4" w:rsidRPr="00026EC1">
        <w:t>’</w:t>
      </w:r>
      <w:r w:rsidR="00404F34" w:rsidRPr="00026EC1">
        <w:t>il est prévu à l</w:t>
      </w:r>
      <w:r w:rsidR="004A41E4" w:rsidRPr="00026EC1">
        <w:t>’</w:t>
      </w:r>
      <w:r w:rsidR="00404F34" w:rsidRPr="00026EC1">
        <w:t>article</w:t>
      </w:r>
      <w:r w:rsidR="00831CEF" w:rsidRPr="00026EC1">
        <w:t> </w:t>
      </w:r>
      <w:r w:rsidR="00404F34" w:rsidRPr="00026EC1">
        <w:t>6</w:t>
      </w:r>
      <w:r w:rsidR="00984A6F">
        <w:noBreakHyphen/>
      </w:r>
      <w:r w:rsidR="00404F34" w:rsidRPr="00026EC1">
        <w:t>7.00;</w:t>
      </w:r>
    </w:p>
    <w:p w14:paraId="66CCBE8A" w14:textId="77777777" w:rsidR="00404F34" w:rsidRPr="00026EC1" w:rsidRDefault="00404F34" w:rsidP="00A64613">
      <w:pPr>
        <w:keepNext w:val="0"/>
      </w:pPr>
    </w:p>
    <w:p w14:paraId="57B69829" w14:textId="77777777" w:rsidR="00404F34" w:rsidRPr="00026EC1" w:rsidRDefault="00275751" w:rsidP="00A64613">
      <w:pPr>
        <w:keepNext w:val="0"/>
        <w:tabs>
          <w:tab w:val="left" w:pos="567"/>
        </w:tabs>
        <w:ind w:left="567" w:hanging="567"/>
      </w:pPr>
      <w:r w:rsidRPr="00026EC1">
        <w:t>g)</w:t>
      </w:r>
      <w:r w:rsidRPr="00026EC1">
        <w:tab/>
      </w:r>
      <w:r w:rsidR="00404F34" w:rsidRPr="00026EC1">
        <w:t>aux implications contractuelles résultant d</w:t>
      </w:r>
      <w:r w:rsidR="004A41E4" w:rsidRPr="00026EC1">
        <w:t>’</w:t>
      </w:r>
      <w:r w:rsidR="00404F34" w:rsidRPr="00026EC1">
        <w:t>une perturbation ou d</w:t>
      </w:r>
      <w:r w:rsidR="004A41E4" w:rsidRPr="00026EC1">
        <w:t>’</w:t>
      </w:r>
      <w:r w:rsidR="00404F34" w:rsidRPr="00026EC1">
        <w:t>une interruption de la marche normale du Collège;</w:t>
      </w:r>
    </w:p>
    <w:p w14:paraId="12F8498B" w14:textId="77777777" w:rsidR="00404F34" w:rsidRPr="00026EC1" w:rsidRDefault="00404F34" w:rsidP="00A64613">
      <w:pPr>
        <w:keepNext w:val="0"/>
      </w:pPr>
    </w:p>
    <w:p w14:paraId="5A2A1B82" w14:textId="77777777" w:rsidR="00404F34" w:rsidRPr="00026EC1" w:rsidRDefault="00275751" w:rsidP="00A64613">
      <w:pPr>
        <w:keepNext w:val="0"/>
        <w:tabs>
          <w:tab w:val="left" w:pos="567"/>
        </w:tabs>
        <w:ind w:left="567" w:hanging="567"/>
      </w:pPr>
      <w:r w:rsidRPr="00026EC1">
        <w:t>h)</w:t>
      </w:r>
      <w:r w:rsidRPr="00026EC1">
        <w:tab/>
      </w:r>
      <w:r w:rsidR="00404F34" w:rsidRPr="00026EC1">
        <w:t>à une remarque défavorable ou une pièce incriminante versée au dossier d</w:t>
      </w:r>
      <w:r w:rsidR="004A41E4" w:rsidRPr="00026EC1">
        <w:t>’</w:t>
      </w:r>
      <w:r w:rsidR="00404F34" w:rsidRPr="00026EC1">
        <w:t>une enseignante ou d</w:t>
      </w:r>
      <w:r w:rsidR="004A41E4" w:rsidRPr="00026EC1">
        <w:t>’</w:t>
      </w:r>
      <w:r w:rsidR="00404F34" w:rsidRPr="00026EC1">
        <w:t>un enseignant;</w:t>
      </w:r>
    </w:p>
    <w:p w14:paraId="1C6E250B" w14:textId="77777777" w:rsidR="00404F34" w:rsidRPr="00026EC1" w:rsidRDefault="00404F34" w:rsidP="00A64613">
      <w:pPr>
        <w:keepNext w:val="0"/>
      </w:pPr>
    </w:p>
    <w:p w14:paraId="488FD02B" w14:textId="77777777" w:rsidR="00404F34" w:rsidRPr="00026EC1" w:rsidRDefault="00275751" w:rsidP="00A64613">
      <w:pPr>
        <w:keepNext w:val="0"/>
        <w:tabs>
          <w:tab w:val="left" w:pos="567"/>
        </w:tabs>
        <w:ind w:left="567" w:hanging="567"/>
      </w:pPr>
      <w:r w:rsidRPr="00026EC1">
        <w:t>i)</w:t>
      </w:r>
      <w:r w:rsidRPr="00026EC1">
        <w:tab/>
      </w:r>
      <w:r w:rsidR="00404F34" w:rsidRPr="00026EC1">
        <w:t>aux modalités de remboursement par l</w:t>
      </w:r>
      <w:r w:rsidR="004A41E4" w:rsidRPr="00026EC1">
        <w:t>’</w:t>
      </w:r>
      <w:r w:rsidR="00404F34" w:rsidRPr="00026EC1">
        <w:t>enseignante ou l</w:t>
      </w:r>
      <w:r w:rsidR="004A41E4" w:rsidRPr="00026EC1">
        <w:t>’</w:t>
      </w:r>
      <w:r w:rsidR="00404F34" w:rsidRPr="00026EC1">
        <w:t>enseignant d</w:t>
      </w:r>
      <w:r w:rsidR="004A41E4" w:rsidRPr="00026EC1">
        <w:t>’</w:t>
      </w:r>
      <w:r w:rsidR="00404F34" w:rsidRPr="00026EC1">
        <w:t>une somme résultant d</w:t>
      </w:r>
      <w:r w:rsidR="004A41E4" w:rsidRPr="00026EC1">
        <w:t>’</w:t>
      </w:r>
      <w:r w:rsidR="00404F34" w:rsidRPr="00026EC1">
        <w:t>une erreur sur la paye;</w:t>
      </w:r>
    </w:p>
    <w:p w14:paraId="5031CBCD" w14:textId="77777777" w:rsidR="00404F34" w:rsidRPr="00026EC1" w:rsidRDefault="00404F34" w:rsidP="00A64613">
      <w:pPr>
        <w:keepNext w:val="0"/>
      </w:pPr>
    </w:p>
    <w:p w14:paraId="21644A92" w14:textId="77777777" w:rsidR="00404F34" w:rsidRPr="00026EC1" w:rsidRDefault="00275751" w:rsidP="00A64613">
      <w:pPr>
        <w:keepNext w:val="0"/>
        <w:tabs>
          <w:tab w:val="left" w:pos="567"/>
        </w:tabs>
        <w:ind w:left="567" w:hanging="567"/>
      </w:pPr>
      <w:r w:rsidRPr="00026EC1">
        <w:t>j)</w:t>
      </w:r>
      <w:r w:rsidRPr="00026EC1">
        <w:tab/>
      </w:r>
      <w:r w:rsidR="00404F34" w:rsidRPr="00026EC1">
        <w:t>à toute implication sur les conditions de travail des questions discutées à la Commission pédagogique;</w:t>
      </w:r>
    </w:p>
    <w:p w14:paraId="1F8D8760" w14:textId="77777777" w:rsidR="00404F34" w:rsidRPr="00026EC1" w:rsidRDefault="00404F34" w:rsidP="00A64613">
      <w:pPr>
        <w:keepNext w:val="0"/>
      </w:pPr>
    </w:p>
    <w:p w14:paraId="138F3A88" w14:textId="41C0AE21" w:rsidR="00404F34" w:rsidRPr="00026EC1" w:rsidRDefault="00275751" w:rsidP="00A64613">
      <w:pPr>
        <w:keepNext w:val="0"/>
        <w:tabs>
          <w:tab w:val="left" w:pos="567"/>
        </w:tabs>
        <w:ind w:left="567" w:hanging="567"/>
      </w:pPr>
      <w:r w:rsidRPr="00026EC1">
        <w:t>k)</w:t>
      </w:r>
      <w:r w:rsidRPr="00026EC1">
        <w:tab/>
      </w:r>
      <w:r w:rsidR="00404F34" w:rsidRPr="00026EC1">
        <w:t>à l</w:t>
      </w:r>
      <w:r w:rsidR="004A41E4" w:rsidRPr="00026EC1">
        <w:t>’</w:t>
      </w:r>
      <w:r w:rsidR="00404F34" w:rsidRPr="00026EC1">
        <w:t>application du régime des frais de déménagement prévu à l</w:t>
      </w:r>
      <w:r w:rsidR="004A41E4" w:rsidRPr="00026EC1">
        <w:t>’</w:t>
      </w:r>
      <w:r w:rsidR="00630FFC" w:rsidRPr="00026EC1">
        <w:t>A</w:t>
      </w:r>
      <w:r w:rsidR="00404F34" w:rsidRPr="00026EC1">
        <w:t>nnexe</w:t>
      </w:r>
      <w:r w:rsidR="00477DEF" w:rsidRPr="00026EC1">
        <w:t> </w:t>
      </w:r>
      <w:r w:rsidR="00404F34" w:rsidRPr="00026EC1">
        <w:t>II</w:t>
      </w:r>
      <w:r w:rsidR="00984A6F">
        <w:noBreakHyphen/>
      </w:r>
      <w:r w:rsidR="00404F34" w:rsidRPr="00026EC1">
        <w:t>3;</w:t>
      </w:r>
    </w:p>
    <w:p w14:paraId="78C51FE9" w14:textId="77777777" w:rsidR="00404F34" w:rsidRPr="00026EC1" w:rsidRDefault="00404F34" w:rsidP="00A64613">
      <w:pPr>
        <w:keepNext w:val="0"/>
      </w:pPr>
    </w:p>
    <w:p w14:paraId="3D6629CD" w14:textId="1E4ABC3A" w:rsidR="00404F34" w:rsidRPr="00026EC1" w:rsidRDefault="00275751" w:rsidP="00A64613">
      <w:pPr>
        <w:keepNext w:val="0"/>
        <w:tabs>
          <w:tab w:val="left" w:pos="567"/>
        </w:tabs>
        <w:ind w:left="567" w:hanging="567"/>
      </w:pPr>
      <w:r w:rsidRPr="00026EC1">
        <w:t>l)</w:t>
      </w:r>
      <w:r w:rsidRPr="00026EC1">
        <w:tab/>
      </w:r>
      <w:r w:rsidR="00404F34" w:rsidRPr="00026EC1">
        <w:t>à un non</w:t>
      </w:r>
      <w:r w:rsidR="00984A6F">
        <w:noBreakHyphen/>
      </w:r>
      <w:r w:rsidR="00404F34" w:rsidRPr="00026EC1">
        <w:t>octroi de priorité mentionné à la clause</w:t>
      </w:r>
      <w:r w:rsidR="007F445F" w:rsidRPr="00026EC1">
        <w:t> </w:t>
      </w:r>
      <w:r w:rsidR="00404F34" w:rsidRPr="00026EC1">
        <w:t>5</w:t>
      </w:r>
      <w:r w:rsidR="00984A6F">
        <w:noBreakHyphen/>
      </w:r>
      <w:r w:rsidR="00404F34" w:rsidRPr="00026EC1">
        <w:t>1.07;</w:t>
      </w:r>
    </w:p>
    <w:p w14:paraId="135E7691" w14:textId="77777777" w:rsidR="00404F34" w:rsidRPr="00026EC1" w:rsidRDefault="00404F34" w:rsidP="00A64613">
      <w:pPr>
        <w:keepNext w:val="0"/>
      </w:pPr>
    </w:p>
    <w:p w14:paraId="29F74B07" w14:textId="7CA39345" w:rsidR="00404F34" w:rsidRPr="00026EC1" w:rsidRDefault="00275751" w:rsidP="00A64613">
      <w:pPr>
        <w:keepNext w:val="0"/>
        <w:tabs>
          <w:tab w:val="left" w:pos="567"/>
        </w:tabs>
        <w:ind w:left="567" w:hanging="567"/>
      </w:pPr>
      <w:r w:rsidRPr="00026EC1">
        <w:t>m)</w:t>
      </w:r>
      <w:r w:rsidRPr="00026EC1">
        <w:tab/>
      </w:r>
      <w:r w:rsidR="00D07BAB" w:rsidRPr="00316277">
        <w:t>à</w:t>
      </w:r>
      <w:r w:rsidR="00D07BAB">
        <w:t xml:space="preserve"> </w:t>
      </w:r>
      <w:r w:rsidR="00404F34" w:rsidRPr="00026EC1">
        <w:t>toute question relative aux droits d</w:t>
      </w:r>
      <w:r w:rsidR="004A41E4" w:rsidRPr="00026EC1">
        <w:t>’</w:t>
      </w:r>
      <w:r w:rsidR="00404F34" w:rsidRPr="00026EC1">
        <w:t xml:space="preserve">auteurs prévus à </w:t>
      </w:r>
      <w:r w:rsidR="00404F34" w:rsidRPr="00026EC1">
        <w:rPr>
          <w:shd w:val="clear" w:color="auto" w:fill="FFFFFF"/>
        </w:rPr>
        <w:t>la clause</w:t>
      </w:r>
      <w:r w:rsidR="007F445F" w:rsidRPr="00026EC1">
        <w:rPr>
          <w:shd w:val="clear" w:color="auto" w:fill="FFFFFF"/>
        </w:rPr>
        <w:t> </w:t>
      </w:r>
      <w:r w:rsidR="00404F34" w:rsidRPr="00026EC1">
        <w:rPr>
          <w:shd w:val="clear" w:color="auto" w:fill="FFFFFF"/>
        </w:rPr>
        <w:t>8</w:t>
      </w:r>
      <w:r w:rsidR="00984A6F">
        <w:rPr>
          <w:shd w:val="clear" w:color="auto" w:fill="FFFFFF"/>
        </w:rPr>
        <w:noBreakHyphen/>
      </w:r>
      <w:r w:rsidR="00404F34" w:rsidRPr="00026EC1">
        <w:rPr>
          <w:shd w:val="clear" w:color="auto" w:fill="FFFFFF"/>
        </w:rPr>
        <w:t>1.03</w:t>
      </w:r>
      <w:r w:rsidR="000E222D" w:rsidRPr="00316277">
        <w:t>;</w:t>
      </w:r>
    </w:p>
    <w:p w14:paraId="0F0627C8" w14:textId="520A943D" w:rsidR="00404F34" w:rsidRDefault="00404F34" w:rsidP="00A64613">
      <w:pPr>
        <w:keepNext w:val="0"/>
      </w:pPr>
    </w:p>
    <w:p w14:paraId="5BC3467F" w14:textId="023A8A0D" w:rsidR="00FF3DB3" w:rsidRPr="00FF3DB3" w:rsidRDefault="00FF3DB3" w:rsidP="00706217">
      <w:pPr>
        <w:pStyle w:val="N-FNEEQ"/>
        <w:tabs>
          <w:tab w:val="left" w:pos="567"/>
        </w:tabs>
        <w:spacing w:before="0" w:after="0" w:line="240" w:lineRule="auto"/>
        <w:ind w:left="0"/>
        <w:rPr>
          <w:rStyle w:val="ElevSoulign"/>
          <w:rFonts w:ascii="Arial" w:hAnsi="Arial" w:cs="Arial"/>
          <w:b w:val="0"/>
          <w:color w:val="auto"/>
          <w:sz w:val="24"/>
          <w:szCs w:val="24"/>
          <w:u w:val="none"/>
        </w:rPr>
      </w:pPr>
      <w:r w:rsidRPr="00316277">
        <w:rPr>
          <w:rStyle w:val="ElevSoulign"/>
          <w:rFonts w:ascii="Arial" w:hAnsi="Arial" w:cs="Arial"/>
          <w:b w:val="0"/>
          <w:color w:val="auto"/>
          <w:sz w:val="24"/>
          <w:szCs w:val="24"/>
          <w:u w:val="none"/>
        </w:rPr>
        <w:t>n)</w:t>
      </w:r>
      <w:r w:rsidRPr="00316277">
        <w:rPr>
          <w:rStyle w:val="ElevSoulign"/>
          <w:rFonts w:ascii="Arial" w:hAnsi="Arial" w:cs="Arial"/>
          <w:b w:val="0"/>
          <w:color w:val="auto"/>
          <w:sz w:val="24"/>
          <w:szCs w:val="24"/>
          <w:u w:val="none"/>
        </w:rPr>
        <w:tab/>
        <w:t xml:space="preserve">à l’offre de </w:t>
      </w:r>
      <w:r w:rsidR="00D07BAB" w:rsidRPr="00316277">
        <w:rPr>
          <w:rStyle w:val="ElevSoulign"/>
          <w:rFonts w:ascii="Arial" w:hAnsi="Arial" w:cs="Arial"/>
          <w:b w:val="0"/>
          <w:color w:val="auto"/>
          <w:sz w:val="24"/>
          <w:szCs w:val="24"/>
          <w:u w:val="none"/>
        </w:rPr>
        <w:t>formation</w:t>
      </w:r>
      <w:r w:rsidRPr="00316277">
        <w:rPr>
          <w:rStyle w:val="ElevSoulign"/>
          <w:rFonts w:ascii="Arial" w:hAnsi="Arial" w:cs="Arial"/>
          <w:b w:val="0"/>
          <w:color w:val="auto"/>
          <w:sz w:val="24"/>
          <w:szCs w:val="24"/>
          <w:u w:val="none"/>
        </w:rPr>
        <w:t xml:space="preserve"> crédité</w:t>
      </w:r>
      <w:r w:rsidR="00D07BAB" w:rsidRPr="00316277">
        <w:rPr>
          <w:rStyle w:val="ElevSoulign"/>
          <w:rFonts w:ascii="Arial" w:hAnsi="Arial" w:cs="Arial"/>
          <w:b w:val="0"/>
          <w:color w:val="auto"/>
          <w:sz w:val="24"/>
          <w:szCs w:val="24"/>
          <w:u w:val="none"/>
        </w:rPr>
        <w:t>e</w:t>
      </w:r>
      <w:r w:rsidRPr="00316277">
        <w:rPr>
          <w:rStyle w:val="ElevSoulign"/>
          <w:rFonts w:ascii="Arial" w:hAnsi="Arial" w:cs="Arial"/>
          <w:b w:val="0"/>
          <w:color w:val="auto"/>
          <w:sz w:val="24"/>
          <w:szCs w:val="24"/>
          <w:u w:val="none"/>
        </w:rPr>
        <w:t xml:space="preserve"> à la formation continue;</w:t>
      </w:r>
    </w:p>
    <w:p w14:paraId="4609E7DB" w14:textId="77777777" w:rsidR="00FF3DB3" w:rsidRPr="00FF3DB3" w:rsidRDefault="00FF3DB3" w:rsidP="00706217">
      <w:pPr>
        <w:pStyle w:val="N-FNEEQ"/>
        <w:tabs>
          <w:tab w:val="left" w:pos="284"/>
        </w:tabs>
        <w:spacing w:before="0" w:after="0" w:line="240" w:lineRule="auto"/>
        <w:ind w:left="0"/>
        <w:rPr>
          <w:rFonts w:ascii="Arial" w:hAnsi="Arial" w:cs="Arial"/>
          <w:b/>
          <w:bCs/>
          <w:color w:val="auto"/>
          <w:sz w:val="24"/>
          <w:szCs w:val="24"/>
        </w:rPr>
      </w:pPr>
    </w:p>
    <w:p w14:paraId="7AE5C4FE" w14:textId="5F5F245F" w:rsidR="00FF3DB3" w:rsidRPr="00FF3DB3" w:rsidRDefault="00FF3DB3" w:rsidP="00706217">
      <w:pPr>
        <w:keepNext w:val="0"/>
        <w:tabs>
          <w:tab w:val="left" w:pos="567"/>
        </w:tabs>
        <w:rPr>
          <w:rFonts w:cs="Arial"/>
        </w:rPr>
      </w:pPr>
      <w:r w:rsidRPr="00316277">
        <w:rPr>
          <w:rFonts w:cs="Arial"/>
        </w:rPr>
        <w:t>o)</w:t>
      </w:r>
      <w:r w:rsidRPr="00316277">
        <w:rPr>
          <w:rFonts w:cs="Arial"/>
        </w:rPr>
        <w:tab/>
      </w:r>
      <w:r w:rsidR="00D07BAB" w:rsidRPr="00316277">
        <w:rPr>
          <w:rFonts w:cs="Arial"/>
        </w:rPr>
        <w:t xml:space="preserve">aux conditions </w:t>
      </w:r>
      <w:r w:rsidRPr="00316277">
        <w:rPr>
          <w:rFonts w:eastAsiaTheme="minorHAnsi" w:cs="Arial"/>
        </w:rPr>
        <w:t xml:space="preserve">de travail </w:t>
      </w:r>
      <w:r w:rsidR="00D07BAB" w:rsidRPr="00316277">
        <w:rPr>
          <w:rFonts w:eastAsiaTheme="minorHAnsi" w:cs="Arial"/>
        </w:rPr>
        <w:t>relatives à</w:t>
      </w:r>
      <w:r w:rsidRPr="00316277">
        <w:rPr>
          <w:rFonts w:eastAsiaTheme="minorHAnsi" w:cs="Arial"/>
        </w:rPr>
        <w:t xml:space="preserve"> la formation à distance</w:t>
      </w:r>
      <w:r w:rsidR="000E222D" w:rsidRPr="00316277">
        <w:rPr>
          <w:rFonts w:eastAsiaTheme="minorHAnsi" w:cs="Arial"/>
        </w:rPr>
        <w:t>.</w:t>
      </w:r>
    </w:p>
    <w:p w14:paraId="7628FA8A" w14:textId="47EE2B6C" w:rsidR="00576DC4" w:rsidRDefault="00576DC4" w:rsidP="00A64613">
      <w:pPr>
        <w:keepNext w:val="0"/>
        <w:jc w:val="left"/>
        <w:rPr>
          <w:b/>
        </w:rPr>
      </w:pPr>
    </w:p>
    <w:p w14:paraId="7A30EE22" w14:textId="08B76108" w:rsidR="00404F34" w:rsidRPr="00026EC1" w:rsidRDefault="00404F34" w:rsidP="00A64613">
      <w:pPr>
        <w:keepNext w:val="0"/>
        <w:rPr>
          <w:b/>
        </w:rPr>
      </w:pPr>
      <w:r w:rsidRPr="00026EC1">
        <w:rPr>
          <w:b/>
        </w:rPr>
        <w:t>4</w:t>
      </w:r>
      <w:r w:rsidR="00984A6F">
        <w:rPr>
          <w:b/>
        </w:rPr>
        <w:noBreakHyphen/>
      </w:r>
      <w:r w:rsidRPr="00026EC1">
        <w:rPr>
          <w:b/>
        </w:rPr>
        <w:t>3.16</w:t>
      </w:r>
    </w:p>
    <w:p w14:paraId="422C7D52" w14:textId="17128D3A" w:rsidR="00404F34" w:rsidRPr="00026EC1" w:rsidRDefault="00404F34" w:rsidP="00A64613">
      <w:pPr>
        <w:keepNext w:val="0"/>
      </w:pPr>
      <w:r w:rsidRPr="00026EC1">
        <w:t>Tout grief soumis conformément à la clause</w:t>
      </w:r>
      <w:r w:rsidR="007F445F" w:rsidRPr="00026EC1">
        <w:t> </w:t>
      </w:r>
      <w:r w:rsidRPr="00026EC1">
        <w:t>9</w:t>
      </w:r>
      <w:r w:rsidR="00984A6F">
        <w:noBreakHyphen/>
      </w:r>
      <w:r w:rsidRPr="00026EC1">
        <w:t>1.03 peut être acheminé au CRT par le Collège ou le Syndicat. Dans ce cas, le CRT doit s</w:t>
      </w:r>
      <w:r w:rsidR="004A41E4" w:rsidRPr="00026EC1">
        <w:t>’</w:t>
      </w:r>
      <w:r w:rsidRPr="00026EC1">
        <w:t>en saisir immédiatement et tenter d</w:t>
      </w:r>
      <w:r w:rsidR="004A41E4" w:rsidRPr="00026EC1">
        <w:t>’</w:t>
      </w:r>
      <w:r w:rsidRPr="00026EC1">
        <w:t>arriver à une entente conformément aux dispositions du présent article.</w:t>
      </w:r>
    </w:p>
    <w:p w14:paraId="3FD08D14" w14:textId="77777777" w:rsidR="00404F34" w:rsidRPr="00026EC1" w:rsidRDefault="00404F34" w:rsidP="00A64613">
      <w:pPr>
        <w:keepNext w:val="0"/>
      </w:pPr>
    </w:p>
    <w:p w14:paraId="3EC10D62" w14:textId="23A7BBAB" w:rsidR="00404F34" w:rsidRPr="00026EC1" w:rsidRDefault="00404F34" w:rsidP="00A64613">
      <w:pPr>
        <w:pStyle w:val="NUMRODECLAUSE"/>
        <w:keepNext w:val="0"/>
      </w:pPr>
      <w:r w:rsidRPr="00026EC1">
        <w:t>4</w:t>
      </w:r>
      <w:r w:rsidR="00984A6F">
        <w:noBreakHyphen/>
      </w:r>
      <w:r w:rsidRPr="00026EC1">
        <w:t>3.17</w:t>
      </w:r>
    </w:p>
    <w:p w14:paraId="0F2B4FA2" w14:textId="77777777" w:rsidR="00404F34" w:rsidRPr="00026EC1" w:rsidRDefault="00404F34" w:rsidP="00A64613">
      <w:pPr>
        <w:keepNext w:val="0"/>
      </w:pPr>
      <w:r w:rsidRPr="00026EC1">
        <w:t>Une entente intervenue en vertu du présent article lie le Collège, le Syndicat et l</w:t>
      </w:r>
      <w:r w:rsidR="004A41E4" w:rsidRPr="00026EC1">
        <w:t>’</w:t>
      </w:r>
      <w:r w:rsidRPr="00026EC1">
        <w:t>enseignante ou l</w:t>
      </w:r>
      <w:r w:rsidR="004A41E4" w:rsidRPr="00026EC1">
        <w:t>’</w:t>
      </w:r>
      <w:r w:rsidRPr="00026EC1">
        <w:t>enseignant.</w:t>
      </w:r>
    </w:p>
    <w:p w14:paraId="0B9AA3F7" w14:textId="77777777" w:rsidR="00404F34" w:rsidRPr="00026EC1" w:rsidRDefault="00404F34" w:rsidP="00A64613">
      <w:pPr>
        <w:keepNext w:val="0"/>
        <w:jc w:val="left"/>
        <w:rPr>
          <w:bCs/>
        </w:rPr>
      </w:pPr>
    </w:p>
    <w:p w14:paraId="4690F15A" w14:textId="2D6CE4E7" w:rsidR="00B74B87" w:rsidRPr="00026EC1" w:rsidRDefault="00404F34" w:rsidP="00A64613">
      <w:pPr>
        <w:keepNext w:val="0"/>
      </w:pPr>
      <w:r w:rsidRPr="00026EC1">
        <w:t>Toutefois, une telle entente ne peut avoir pour effet de restreindre les droits de l</w:t>
      </w:r>
      <w:r w:rsidR="004A41E4" w:rsidRPr="00026EC1">
        <w:t>’</w:t>
      </w:r>
      <w:r w:rsidRPr="00026EC1">
        <w:t>enseignante ou de l</w:t>
      </w:r>
      <w:r w:rsidR="004A41E4" w:rsidRPr="00026EC1">
        <w:t>’</w:t>
      </w:r>
      <w:r w:rsidRPr="00026EC1">
        <w:t>enseignant prévus à la convention collective, sauf si celle</w:t>
      </w:r>
      <w:r w:rsidR="00984A6F">
        <w:noBreakHyphen/>
      </w:r>
      <w:r w:rsidRPr="00026EC1">
        <w:t>ci ou celui</w:t>
      </w:r>
      <w:r w:rsidR="00984A6F">
        <w:noBreakHyphen/>
      </w:r>
      <w:r w:rsidRPr="00026EC1">
        <w:t>ci est partie à l</w:t>
      </w:r>
      <w:r w:rsidR="004A41E4" w:rsidRPr="00026EC1">
        <w:t>’</w:t>
      </w:r>
      <w:r w:rsidRPr="00026EC1">
        <w:t>entente.</w:t>
      </w:r>
    </w:p>
    <w:p w14:paraId="4187F37F" w14:textId="702B4464" w:rsidR="00404F34" w:rsidRPr="00026EC1" w:rsidRDefault="00B74B87" w:rsidP="00A64613">
      <w:pPr>
        <w:pStyle w:val="Heading2"/>
        <w:keepNext w:val="0"/>
        <w:tabs>
          <w:tab w:val="clear" w:pos="1843"/>
          <w:tab w:val="clear" w:pos="2127"/>
          <w:tab w:val="left" w:pos="1701"/>
          <w:tab w:val="left" w:pos="1985"/>
        </w:tabs>
        <w:ind w:left="1701" w:hanging="1701"/>
      </w:pPr>
      <w:r w:rsidRPr="00026EC1">
        <w:br w:type="page"/>
      </w:r>
      <w:bookmarkStart w:id="336" w:name="_Toc393444597"/>
      <w:bookmarkStart w:id="337" w:name="_Toc393449548"/>
      <w:bookmarkStart w:id="338" w:name="_Toc393460917"/>
      <w:bookmarkStart w:id="339" w:name="_Toc393461195"/>
      <w:bookmarkStart w:id="340" w:name="_Toc393720756"/>
      <w:bookmarkStart w:id="341" w:name="_Toc393783917"/>
      <w:bookmarkStart w:id="342" w:name="_Toc393784056"/>
      <w:bookmarkStart w:id="343" w:name="_Toc168479510"/>
      <w:r w:rsidR="00404F34" w:rsidRPr="00026EC1">
        <w:t>Article</w:t>
      </w:r>
      <w:r w:rsidR="00BD38A6" w:rsidRPr="00026EC1">
        <w:t> </w:t>
      </w:r>
      <w:r w:rsidR="00404F34" w:rsidRPr="00026EC1">
        <w:t>4</w:t>
      </w:r>
      <w:r w:rsidR="00984A6F">
        <w:t>-</w:t>
      </w:r>
      <w:r w:rsidR="00404F34" w:rsidRPr="00026EC1">
        <w:t>4.00</w:t>
      </w:r>
      <w:r w:rsidR="00F66753" w:rsidRPr="00026EC1">
        <w:tab/>
      </w:r>
      <w:r w:rsidR="00984A6F">
        <w:t>-</w:t>
      </w:r>
      <w:r w:rsidR="00F66753" w:rsidRPr="00026EC1">
        <w:tab/>
      </w:r>
      <w:r w:rsidR="00404F34" w:rsidRPr="00026EC1">
        <w:t>Sélection des enseignantes et enseignants réguliers</w:t>
      </w:r>
      <w:bookmarkEnd w:id="336"/>
      <w:bookmarkEnd w:id="337"/>
      <w:bookmarkEnd w:id="338"/>
      <w:bookmarkEnd w:id="339"/>
      <w:bookmarkEnd w:id="340"/>
      <w:bookmarkEnd w:id="341"/>
      <w:bookmarkEnd w:id="342"/>
      <w:bookmarkEnd w:id="343"/>
    </w:p>
    <w:p w14:paraId="179514E6"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4D4F7327" w14:textId="77777777" w:rsidR="00BF56FA" w:rsidRPr="00026EC1" w:rsidRDefault="00BF56FA" w:rsidP="00A64613">
      <w:pPr>
        <w:keepNext w:val="0"/>
      </w:pPr>
    </w:p>
    <w:p w14:paraId="7C017076" w14:textId="2E62202B" w:rsidR="00BF56FA" w:rsidRPr="00026EC1" w:rsidRDefault="00BF56FA" w:rsidP="00A64613">
      <w:pPr>
        <w:pStyle w:val="NUMRODECLAUSE"/>
        <w:keepNext w:val="0"/>
      </w:pPr>
      <w:r w:rsidRPr="00026EC1">
        <w:t>4</w:t>
      </w:r>
      <w:r w:rsidR="00984A6F">
        <w:noBreakHyphen/>
      </w:r>
      <w:r w:rsidRPr="00026EC1">
        <w:t>4.01</w:t>
      </w:r>
    </w:p>
    <w:p w14:paraId="5E446224" w14:textId="063F3579" w:rsidR="00BF56FA" w:rsidRPr="00026EC1" w:rsidRDefault="00BF56FA" w:rsidP="00A64613">
      <w:pPr>
        <w:keepNext w:val="0"/>
      </w:pPr>
      <w:r w:rsidRPr="00026EC1">
        <w:t>Sous réserve des dispositions de l</w:t>
      </w:r>
      <w:r w:rsidR="004A41E4" w:rsidRPr="00026EC1">
        <w:t>’</w:t>
      </w:r>
      <w:r w:rsidRPr="00026EC1">
        <w:t>article</w:t>
      </w:r>
      <w:r w:rsidR="00831CEF" w:rsidRPr="00026EC1">
        <w:t> </w:t>
      </w:r>
      <w:r w:rsidRPr="00026EC1">
        <w:t>5</w:t>
      </w:r>
      <w:r w:rsidR="00984A6F">
        <w:noBreakHyphen/>
      </w:r>
      <w:r w:rsidRPr="00026EC1">
        <w:t>4.00, le Collège forme des comités de sélection dont le rôle est de lui recommander l</w:t>
      </w:r>
      <w:r w:rsidR="004A41E4" w:rsidRPr="00026EC1">
        <w:t>’</w:t>
      </w:r>
      <w:r w:rsidRPr="00026EC1">
        <w:t>engagement d</w:t>
      </w:r>
      <w:r w:rsidR="004A41E4" w:rsidRPr="00026EC1">
        <w:t>’</w:t>
      </w:r>
      <w:r w:rsidRPr="00026EC1">
        <w:t>enseignantes ou d</w:t>
      </w:r>
      <w:r w:rsidR="004A41E4" w:rsidRPr="00026EC1">
        <w:t>’</w:t>
      </w:r>
      <w:r w:rsidRPr="00026EC1">
        <w:t>enseignants.</w:t>
      </w:r>
    </w:p>
    <w:p w14:paraId="0075E1EA" w14:textId="77777777" w:rsidR="00BF56FA" w:rsidRPr="00026EC1" w:rsidRDefault="00BF56FA" w:rsidP="00A64613">
      <w:pPr>
        <w:keepNext w:val="0"/>
      </w:pPr>
    </w:p>
    <w:p w14:paraId="45687186" w14:textId="2471605A" w:rsidR="00BF56FA" w:rsidRPr="00026EC1" w:rsidRDefault="00BF56FA" w:rsidP="00A64613">
      <w:pPr>
        <w:pStyle w:val="NUMRODECLAUSE"/>
        <w:keepNext w:val="0"/>
      </w:pPr>
      <w:r w:rsidRPr="00026EC1">
        <w:t>4</w:t>
      </w:r>
      <w:r w:rsidR="00984A6F">
        <w:noBreakHyphen/>
      </w:r>
      <w:r w:rsidRPr="00026EC1">
        <w:t>4.02</w:t>
      </w:r>
    </w:p>
    <w:p w14:paraId="52D7FF44" w14:textId="1A641519" w:rsidR="00BF56FA" w:rsidRPr="00026EC1" w:rsidRDefault="00BF56FA" w:rsidP="00A64613">
      <w:pPr>
        <w:keepNext w:val="0"/>
      </w:pPr>
      <w:r w:rsidRPr="00026EC1">
        <w:t>Le comité de sélection est composé comme suit</w:t>
      </w:r>
      <w:r w:rsidR="00D8581B">
        <w:t> :</w:t>
      </w:r>
    </w:p>
    <w:p w14:paraId="4368B3FC" w14:textId="77777777" w:rsidR="00BF56FA" w:rsidRPr="00026EC1" w:rsidRDefault="00BF56FA" w:rsidP="00A64613">
      <w:pPr>
        <w:keepNext w:val="0"/>
      </w:pPr>
    </w:p>
    <w:p w14:paraId="22CDB40C" w14:textId="4CA0D7E8" w:rsidR="00BF56FA" w:rsidRPr="00026EC1" w:rsidRDefault="00275751" w:rsidP="00A64613">
      <w:pPr>
        <w:keepNext w:val="0"/>
        <w:tabs>
          <w:tab w:val="left" w:pos="567"/>
        </w:tabs>
        <w:ind w:left="567" w:hanging="567"/>
      </w:pPr>
      <w:r w:rsidRPr="00026EC1">
        <w:t>a)</w:t>
      </w:r>
      <w:r w:rsidRPr="00026EC1">
        <w:tab/>
      </w:r>
      <w:r w:rsidR="00BF56FA" w:rsidRPr="00026EC1">
        <w:t>de trois</w:t>
      </w:r>
      <w:r w:rsidR="00505124">
        <w:t> </w:t>
      </w:r>
      <w:r w:rsidR="00BF56FA" w:rsidRPr="00026EC1">
        <w:t>(3) enseignantes et enseignants choisis par les enseignantes et enseignants du département qui peuvent aussi désigner des substituts;</w:t>
      </w:r>
    </w:p>
    <w:p w14:paraId="4881009B" w14:textId="77777777" w:rsidR="00BF56FA" w:rsidRPr="00026EC1" w:rsidRDefault="00BF56FA" w:rsidP="00A64613">
      <w:pPr>
        <w:keepNext w:val="0"/>
      </w:pPr>
    </w:p>
    <w:p w14:paraId="180128C1" w14:textId="49ED0E14" w:rsidR="00BF56FA" w:rsidRPr="00026EC1" w:rsidRDefault="00275751" w:rsidP="00A64613">
      <w:pPr>
        <w:keepNext w:val="0"/>
        <w:tabs>
          <w:tab w:val="left" w:pos="567"/>
        </w:tabs>
        <w:ind w:left="567" w:hanging="567"/>
      </w:pPr>
      <w:r w:rsidRPr="00026EC1">
        <w:t>b)</w:t>
      </w:r>
      <w:r w:rsidRPr="00026EC1">
        <w:tab/>
      </w:r>
      <w:r w:rsidR="00BF56FA" w:rsidRPr="00026EC1">
        <w:t>de deux</w:t>
      </w:r>
      <w:r w:rsidR="00505124">
        <w:t> </w:t>
      </w:r>
      <w:r w:rsidR="00BF56FA" w:rsidRPr="00026EC1">
        <w:t>(2) personnes choisies par le Collège.</w:t>
      </w:r>
    </w:p>
    <w:p w14:paraId="7F8543E9" w14:textId="77777777" w:rsidR="00BF56FA" w:rsidRPr="00026EC1" w:rsidRDefault="00BF56FA" w:rsidP="00A64613">
      <w:pPr>
        <w:keepNext w:val="0"/>
      </w:pPr>
    </w:p>
    <w:p w14:paraId="368B2CA5" w14:textId="4CD99D43" w:rsidR="00BF56FA" w:rsidRPr="00026EC1" w:rsidRDefault="00BF56FA" w:rsidP="00A64613">
      <w:pPr>
        <w:pStyle w:val="NUMRODECLAUSE"/>
        <w:keepNext w:val="0"/>
      </w:pPr>
      <w:r w:rsidRPr="00026EC1">
        <w:t>4</w:t>
      </w:r>
      <w:r w:rsidR="00984A6F">
        <w:noBreakHyphen/>
      </w:r>
      <w:r w:rsidRPr="00026EC1">
        <w:t>4.03</w:t>
      </w:r>
    </w:p>
    <w:p w14:paraId="143C781B" w14:textId="77777777" w:rsidR="00BF56FA" w:rsidRPr="00026EC1" w:rsidRDefault="00BF56FA" w:rsidP="00A64613">
      <w:pPr>
        <w:keepNext w:val="0"/>
      </w:pPr>
      <w:r w:rsidRPr="00026EC1">
        <w:t>Toutes les candidatures ainsi que les attestations de compétence et d</w:t>
      </w:r>
      <w:r w:rsidR="004A41E4" w:rsidRPr="00026EC1">
        <w:t>’</w:t>
      </w:r>
      <w:r w:rsidRPr="00026EC1">
        <w:t>expérience y afférant doivent être soumises par le Collège au comité de sélection.</w:t>
      </w:r>
    </w:p>
    <w:p w14:paraId="6ED86631" w14:textId="77777777" w:rsidR="00BF56FA" w:rsidRPr="00026EC1" w:rsidRDefault="00BF56FA" w:rsidP="00A64613">
      <w:pPr>
        <w:keepNext w:val="0"/>
      </w:pPr>
    </w:p>
    <w:p w14:paraId="7ED56374" w14:textId="79FC3B26" w:rsidR="00BF56FA" w:rsidRPr="00026EC1" w:rsidRDefault="00BF56FA" w:rsidP="00A64613">
      <w:pPr>
        <w:pStyle w:val="NUMRODECLAUSE"/>
        <w:keepNext w:val="0"/>
      </w:pPr>
      <w:r w:rsidRPr="00026EC1">
        <w:t>4</w:t>
      </w:r>
      <w:r w:rsidR="00984A6F">
        <w:noBreakHyphen/>
      </w:r>
      <w:r w:rsidRPr="00026EC1">
        <w:t>4.04</w:t>
      </w:r>
    </w:p>
    <w:p w14:paraId="5B554A81" w14:textId="77777777" w:rsidR="00BF56FA" w:rsidRPr="00026EC1" w:rsidRDefault="00BF56FA" w:rsidP="00A64613">
      <w:pPr>
        <w:keepNext w:val="0"/>
      </w:pPr>
      <w:r w:rsidRPr="00026EC1">
        <w:t>Le comité fait ses recommandations au Collège et en informe le département.</w:t>
      </w:r>
    </w:p>
    <w:p w14:paraId="72183052" w14:textId="77777777" w:rsidR="00BF56FA" w:rsidRPr="00026EC1" w:rsidRDefault="00BF56FA" w:rsidP="00A64613">
      <w:pPr>
        <w:keepNext w:val="0"/>
      </w:pPr>
    </w:p>
    <w:p w14:paraId="2502A47D" w14:textId="39814B33" w:rsidR="00BF56FA" w:rsidRPr="00026EC1" w:rsidRDefault="00BF56FA" w:rsidP="00A64613">
      <w:pPr>
        <w:keepNext w:val="0"/>
      </w:pPr>
      <w:r w:rsidRPr="00026EC1">
        <w:t>Le comité doit fonder ses recommandations sur la prépondérance de la compétence professionnelle et des aptitudes pédagogiques, sous réserve des dispositions prévues à l</w:t>
      </w:r>
      <w:r w:rsidR="004A41E4" w:rsidRPr="00026EC1">
        <w:t>’</w:t>
      </w:r>
      <w:r w:rsidRPr="00026EC1">
        <w:t>article</w:t>
      </w:r>
      <w:r w:rsidR="00831CEF" w:rsidRPr="00026EC1">
        <w:t> </w:t>
      </w:r>
      <w:r w:rsidRPr="00026EC1">
        <w:t>2</w:t>
      </w:r>
      <w:r w:rsidR="00984A6F">
        <w:noBreakHyphen/>
      </w:r>
      <w:r w:rsidRPr="00026EC1">
        <w:t>4.00. Il établit l</w:t>
      </w:r>
      <w:r w:rsidR="004A41E4" w:rsidRPr="00026EC1">
        <w:t>’</w:t>
      </w:r>
      <w:r w:rsidRPr="00026EC1">
        <w:t>ordre d</w:t>
      </w:r>
      <w:r w:rsidR="004A41E4" w:rsidRPr="00026EC1">
        <w:t>’</w:t>
      </w:r>
      <w:r w:rsidRPr="00026EC1">
        <w:t>engagement des candidates et des candidats retenus.</w:t>
      </w:r>
    </w:p>
    <w:p w14:paraId="716D1C0F" w14:textId="77777777" w:rsidR="00BF56FA" w:rsidRPr="00026EC1" w:rsidRDefault="00BF56FA" w:rsidP="00A64613">
      <w:pPr>
        <w:keepNext w:val="0"/>
      </w:pPr>
    </w:p>
    <w:p w14:paraId="01DA64B0" w14:textId="08665BE4" w:rsidR="00BF56FA" w:rsidRPr="00026EC1" w:rsidRDefault="00BF56FA" w:rsidP="00A64613">
      <w:pPr>
        <w:pStyle w:val="NUMRODECLAUSE"/>
        <w:keepNext w:val="0"/>
      </w:pPr>
      <w:r w:rsidRPr="00026EC1">
        <w:t>4</w:t>
      </w:r>
      <w:r w:rsidR="00984A6F">
        <w:noBreakHyphen/>
      </w:r>
      <w:r w:rsidRPr="00026EC1">
        <w:t>4.05</w:t>
      </w:r>
    </w:p>
    <w:p w14:paraId="32556385" w14:textId="77777777" w:rsidR="00BF56FA" w:rsidRPr="00026EC1" w:rsidRDefault="00BF56FA" w:rsidP="00A64613">
      <w:pPr>
        <w:keepNext w:val="0"/>
      </w:pPr>
      <w:r w:rsidRPr="00026EC1">
        <w:t>Si la recommandation d</w:t>
      </w:r>
      <w:r w:rsidR="004A41E4" w:rsidRPr="00026EC1">
        <w:t>’</w:t>
      </w:r>
      <w:r w:rsidRPr="00026EC1">
        <w:t>engagement d</w:t>
      </w:r>
      <w:r w:rsidR="004A41E4" w:rsidRPr="00026EC1">
        <w:t>’</w:t>
      </w:r>
      <w:r w:rsidRPr="00026EC1">
        <w:t>une candidate ou d</w:t>
      </w:r>
      <w:r w:rsidR="004A41E4" w:rsidRPr="00026EC1">
        <w:t>’</w:t>
      </w:r>
      <w:r w:rsidRPr="00026EC1">
        <w:t>un candidat est unanime, le Collège est tenu d</w:t>
      </w:r>
      <w:r w:rsidR="004A41E4" w:rsidRPr="00026EC1">
        <w:t>’</w:t>
      </w:r>
      <w:r w:rsidRPr="00026EC1">
        <w:t>engager la candidate ou le candidat recommandé. Si elle n</w:t>
      </w:r>
      <w:r w:rsidR="004A41E4" w:rsidRPr="00026EC1">
        <w:t>’</w:t>
      </w:r>
      <w:r w:rsidRPr="00026EC1">
        <w:t>est pas unanime, le comité communique au Collège sa ou ses recommandations d</w:t>
      </w:r>
      <w:r w:rsidR="004A41E4" w:rsidRPr="00026EC1">
        <w:t>’</w:t>
      </w:r>
      <w:r w:rsidRPr="00026EC1">
        <w:t>engagement majoritaires motivées.</w:t>
      </w:r>
    </w:p>
    <w:p w14:paraId="10D7A5E9" w14:textId="77777777" w:rsidR="00BF56FA" w:rsidRPr="00026EC1" w:rsidRDefault="00BF56FA" w:rsidP="00A64613">
      <w:pPr>
        <w:keepNext w:val="0"/>
      </w:pPr>
    </w:p>
    <w:p w14:paraId="3C0495CA" w14:textId="7D3E0AE9" w:rsidR="00BF56FA" w:rsidRPr="00026EC1" w:rsidRDefault="00BF56FA" w:rsidP="00A64613">
      <w:pPr>
        <w:keepNext w:val="0"/>
      </w:pPr>
      <w:r w:rsidRPr="00026EC1">
        <w:t>Le Collège ne peut engager une enseignante ou un enseignant à moins que son engagement n</w:t>
      </w:r>
      <w:r w:rsidR="004A41E4" w:rsidRPr="00026EC1">
        <w:t>’</w:t>
      </w:r>
      <w:r w:rsidRPr="00026EC1">
        <w:t>ait été recommandé majoritairement par le comité, sous réserve des dispositions prévues à la convention collective concernant l</w:t>
      </w:r>
      <w:r w:rsidR="004A41E4" w:rsidRPr="00026EC1">
        <w:t>’</w:t>
      </w:r>
      <w:r w:rsidRPr="00026EC1">
        <w:t>ordre des priorités d</w:t>
      </w:r>
      <w:r w:rsidR="004A41E4" w:rsidRPr="00026EC1">
        <w:t>’</w:t>
      </w:r>
      <w:r w:rsidRPr="00026EC1">
        <w:t>engagement tel qu</w:t>
      </w:r>
      <w:r w:rsidR="004A41E4" w:rsidRPr="00026EC1">
        <w:t>’</w:t>
      </w:r>
      <w:r w:rsidRPr="00026EC1">
        <w:t>il est défini à l</w:t>
      </w:r>
      <w:r w:rsidR="004A41E4" w:rsidRPr="00026EC1">
        <w:t>’</w:t>
      </w:r>
      <w:r w:rsidRPr="00026EC1">
        <w:t>article</w:t>
      </w:r>
      <w:r w:rsidR="00831CEF" w:rsidRPr="00026EC1">
        <w:t> </w:t>
      </w:r>
      <w:r w:rsidRPr="00026EC1">
        <w:t>5</w:t>
      </w:r>
      <w:r w:rsidR="00984A6F">
        <w:noBreakHyphen/>
      </w:r>
      <w:r w:rsidRPr="00026EC1">
        <w:t>4.00.</w:t>
      </w:r>
    </w:p>
    <w:p w14:paraId="16F33E6D" w14:textId="77777777" w:rsidR="00BF56FA" w:rsidRPr="00026EC1" w:rsidRDefault="00BF56FA" w:rsidP="00A64613">
      <w:pPr>
        <w:keepNext w:val="0"/>
      </w:pPr>
    </w:p>
    <w:p w14:paraId="0CAE9F7C" w14:textId="32914556" w:rsidR="00BF56FA" w:rsidRPr="00026EC1" w:rsidRDefault="00BF56FA" w:rsidP="00A64613">
      <w:pPr>
        <w:pStyle w:val="NUMRODECLAUSE"/>
        <w:keepNext w:val="0"/>
      </w:pPr>
      <w:r w:rsidRPr="00026EC1">
        <w:t>4</w:t>
      </w:r>
      <w:r w:rsidR="00984A6F">
        <w:noBreakHyphen/>
      </w:r>
      <w:r w:rsidRPr="00026EC1">
        <w:t>4.06</w:t>
      </w:r>
    </w:p>
    <w:p w14:paraId="22292141" w14:textId="77777777" w:rsidR="00404F34" w:rsidRPr="00026EC1" w:rsidRDefault="00BF56FA" w:rsidP="00A64613">
      <w:pPr>
        <w:keepNext w:val="0"/>
      </w:pPr>
      <w:r w:rsidRPr="00026EC1">
        <w:t>À défaut du comité de s</w:t>
      </w:r>
      <w:r w:rsidR="004A41E4" w:rsidRPr="00026EC1">
        <w:t>’</w:t>
      </w:r>
      <w:r w:rsidRPr="00026EC1">
        <w:t>acquitter de ses fonctions, le Collège procède à l</w:t>
      </w:r>
      <w:r w:rsidR="004A41E4" w:rsidRPr="00026EC1">
        <w:t>’</w:t>
      </w:r>
      <w:r w:rsidRPr="00026EC1">
        <w:t>engagement des enseignantes et ensei</w:t>
      </w:r>
      <w:r w:rsidR="005A629E" w:rsidRPr="00026EC1">
        <w:t>gnants.</w:t>
      </w:r>
    </w:p>
    <w:p w14:paraId="1EED7FD9" w14:textId="006BC949" w:rsidR="000C2801"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344" w:name="_Toc535046595"/>
      <w:bookmarkStart w:id="345" w:name="_Toc203542771"/>
      <w:bookmarkStart w:id="346" w:name="_Toc393444598"/>
      <w:bookmarkStart w:id="347" w:name="_Toc393449549"/>
      <w:bookmarkStart w:id="348" w:name="_Toc393460918"/>
      <w:bookmarkStart w:id="349" w:name="_Toc393461196"/>
      <w:bookmarkStart w:id="350" w:name="_Toc393720757"/>
      <w:bookmarkStart w:id="351" w:name="_Toc393783918"/>
      <w:bookmarkStart w:id="352" w:name="_Toc393784057"/>
      <w:bookmarkStart w:id="353" w:name="_Toc168479511"/>
      <w:r w:rsidR="000C2801" w:rsidRPr="00026EC1">
        <w:t>Article</w:t>
      </w:r>
      <w:r w:rsidR="000F2D2C" w:rsidRPr="00026EC1">
        <w:t> </w:t>
      </w:r>
      <w:r w:rsidR="000C2801" w:rsidRPr="00026EC1">
        <w:t>4</w:t>
      </w:r>
      <w:r w:rsidR="00984A6F">
        <w:t>-</w:t>
      </w:r>
      <w:r w:rsidR="000C2801" w:rsidRPr="00026EC1">
        <w:t>5.00</w:t>
      </w:r>
      <w:r w:rsidR="00F66753" w:rsidRPr="00026EC1">
        <w:tab/>
      </w:r>
      <w:r w:rsidR="00984A6F">
        <w:t>-</w:t>
      </w:r>
      <w:r w:rsidR="00F66753" w:rsidRPr="00026EC1">
        <w:tab/>
      </w:r>
      <w:r w:rsidR="000C2801" w:rsidRPr="00026EC1">
        <w:t>Commission pédagogique</w:t>
      </w:r>
      <w:bookmarkEnd w:id="344"/>
      <w:bookmarkEnd w:id="345"/>
      <w:bookmarkEnd w:id="346"/>
      <w:bookmarkEnd w:id="347"/>
      <w:bookmarkEnd w:id="348"/>
      <w:bookmarkEnd w:id="349"/>
      <w:bookmarkEnd w:id="350"/>
      <w:bookmarkEnd w:id="351"/>
      <w:bookmarkEnd w:id="352"/>
      <w:bookmarkEnd w:id="353"/>
    </w:p>
    <w:p w14:paraId="184E7B61" w14:textId="77777777" w:rsidR="000C2801" w:rsidRPr="00026EC1" w:rsidRDefault="000C2801"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15E00006" w14:textId="77777777" w:rsidR="000C2801" w:rsidRPr="00026EC1" w:rsidRDefault="000C2801" w:rsidP="00A64613">
      <w:pPr>
        <w:keepNext w:val="0"/>
      </w:pPr>
    </w:p>
    <w:p w14:paraId="4D6D9A1B" w14:textId="153D8BC3" w:rsidR="000C2801" w:rsidRPr="00026EC1" w:rsidRDefault="000C2801" w:rsidP="00A64613">
      <w:pPr>
        <w:pStyle w:val="NUMRODECLAUSE"/>
        <w:keepNext w:val="0"/>
      </w:pPr>
      <w:r w:rsidRPr="00026EC1">
        <w:t>4</w:t>
      </w:r>
      <w:r w:rsidR="00984A6F">
        <w:noBreakHyphen/>
      </w:r>
      <w:r w:rsidRPr="00026EC1">
        <w:t>5.01</w:t>
      </w:r>
    </w:p>
    <w:p w14:paraId="00BDD2EE" w14:textId="32253C97" w:rsidR="000C2801" w:rsidRPr="00026EC1" w:rsidRDefault="000C2801" w:rsidP="00A64613">
      <w:pPr>
        <w:keepNext w:val="0"/>
        <w:rPr>
          <w:szCs w:val="24"/>
        </w:rPr>
      </w:pPr>
      <w:r w:rsidRPr="00026EC1">
        <w:rPr>
          <w:szCs w:val="24"/>
        </w:rPr>
        <w:t>L</w:t>
      </w:r>
      <w:r w:rsidR="004A41E4" w:rsidRPr="00026EC1">
        <w:rPr>
          <w:szCs w:val="24"/>
        </w:rPr>
        <w:t>’</w:t>
      </w:r>
      <w:r w:rsidRPr="00026EC1">
        <w:rPr>
          <w:szCs w:val="24"/>
        </w:rPr>
        <w:t>arrangement local, au sens de la clause</w:t>
      </w:r>
      <w:r w:rsidR="0017763F" w:rsidRPr="00026EC1">
        <w:rPr>
          <w:szCs w:val="24"/>
        </w:rPr>
        <w:t> </w:t>
      </w:r>
      <w:r w:rsidRPr="00026EC1">
        <w:rPr>
          <w:szCs w:val="24"/>
        </w:rPr>
        <w:t>4</w:t>
      </w:r>
      <w:r w:rsidR="00984A6F">
        <w:rPr>
          <w:szCs w:val="24"/>
        </w:rPr>
        <w:noBreakHyphen/>
      </w:r>
      <w:r w:rsidRPr="00026EC1">
        <w:rPr>
          <w:szCs w:val="24"/>
        </w:rPr>
        <w:t>5.17 de la convention collective échue le 30</w:t>
      </w:r>
      <w:r w:rsidR="00505124">
        <w:rPr>
          <w:szCs w:val="24"/>
        </w:rPr>
        <w:t> </w:t>
      </w:r>
      <w:r w:rsidRPr="00026EC1">
        <w:rPr>
          <w:szCs w:val="24"/>
        </w:rPr>
        <w:t>juin</w:t>
      </w:r>
      <w:r w:rsidR="00505124">
        <w:rPr>
          <w:szCs w:val="24"/>
        </w:rPr>
        <w:t> </w:t>
      </w:r>
      <w:r w:rsidRPr="00026EC1">
        <w:rPr>
          <w:szCs w:val="24"/>
        </w:rPr>
        <w:t>2002, lequel constitue une entente sur une matière locale au sens de l</w:t>
      </w:r>
      <w:r w:rsidR="004A41E4" w:rsidRPr="00026EC1">
        <w:rPr>
          <w:szCs w:val="24"/>
        </w:rPr>
        <w:t>’</w:t>
      </w:r>
      <w:r w:rsidRPr="00026EC1">
        <w:rPr>
          <w:szCs w:val="24"/>
        </w:rPr>
        <w:t>article</w:t>
      </w:r>
      <w:r w:rsidR="000F2D2C" w:rsidRPr="00026EC1">
        <w:rPr>
          <w:szCs w:val="24"/>
        </w:rPr>
        <w:t> </w:t>
      </w:r>
      <w:r w:rsidRPr="00026EC1">
        <w:rPr>
          <w:szCs w:val="24"/>
        </w:rPr>
        <w:t xml:space="preserve">58 de la </w:t>
      </w:r>
      <w:r w:rsidRPr="00026EC1">
        <w:rPr>
          <w:iCs/>
          <w:szCs w:val="24"/>
        </w:rPr>
        <w:t>Loi sur le régime de négociation des conventions collectives des secteurs public et parapublic</w:t>
      </w:r>
      <w:r w:rsidRPr="00026EC1">
        <w:rPr>
          <w:i/>
          <w:iCs/>
          <w:szCs w:val="24"/>
        </w:rPr>
        <w:t xml:space="preserve"> </w:t>
      </w:r>
      <w:r w:rsidRPr="00026EC1">
        <w:rPr>
          <w:szCs w:val="24"/>
        </w:rPr>
        <w:t>(</w:t>
      </w:r>
      <w:r w:rsidR="009F799E" w:rsidRPr="00026EC1">
        <w:rPr>
          <w:rFonts w:cs="Arial"/>
          <w:szCs w:val="24"/>
        </w:rPr>
        <w:t xml:space="preserve">RLRQ, chapitre </w:t>
      </w:r>
      <w:r w:rsidRPr="00026EC1">
        <w:rPr>
          <w:szCs w:val="24"/>
        </w:rPr>
        <w:t>R</w:t>
      </w:r>
      <w:r w:rsidR="00984A6F">
        <w:rPr>
          <w:szCs w:val="24"/>
        </w:rPr>
        <w:noBreakHyphen/>
      </w:r>
      <w:r w:rsidRPr="00026EC1">
        <w:rPr>
          <w:szCs w:val="24"/>
        </w:rPr>
        <w:t>8.2) est reconduit et fait partie intégrante de la convention collective. Cette entente peut être modifiée selon les dispositions des articles</w:t>
      </w:r>
      <w:r w:rsidR="000F2D2C" w:rsidRPr="00026EC1">
        <w:rPr>
          <w:szCs w:val="24"/>
        </w:rPr>
        <w:t> </w:t>
      </w:r>
      <w:r w:rsidRPr="00026EC1">
        <w:rPr>
          <w:szCs w:val="24"/>
        </w:rPr>
        <w:t>59 et suivants de ladite loi.</w:t>
      </w:r>
    </w:p>
    <w:p w14:paraId="0D51B521" w14:textId="77777777" w:rsidR="000C2801" w:rsidRPr="00026EC1" w:rsidRDefault="000C2801" w:rsidP="00A64613">
      <w:pPr>
        <w:keepNext w:val="0"/>
      </w:pPr>
    </w:p>
    <w:p w14:paraId="129E5D1A" w14:textId="77777777" w:rsidR="000C2801" w:rsidRPr="00026EC1" w:rsidRDefault="000C2801" w:rsidP="00A64613">
      <w:pPr>
        <w:keepNext w:val="0"/>
        <w:rPr>
          <w:szCs w:val="24"/>
        </w:rPr>
      </w:pPr>
      <w:r w:rsidRPr="00026EC1">
        <w:rPr>
          <w:szCs w:val="24"/>
        </w:rPr>
        <w:t>Il en est de même pour toute entente portant sur la Commission pédagogique.</w:t>
      </w:r>
    </w:p>
    <w:p w14:paraId="60667091" w14:textId="77777777" w:rsidR="000C2801" w:rsidRPr="00026EC1" w:rsidRDefault="000C2801" w:rsidP="00A64613">
      <w:pPr>
        <w:keepNext w:val="0"/>
      </w:pPr>
    </w:p>
    <w:p w14:paraId="54F9631F" w14:textId="588A108C" w:rsidR="000C2801" w:rsidRPr="00026EC1" w:rsidRDefault="000C2801" w:rsidP="00A64613">
      <w:pPr>
        <w:pStyle w:val="NUMRODECLAUSE"/>
        <w:keepNext w:val="0"/>
      </w:pPr>
      <w:r w:rsidRPr="00026EC1">
        <w:t>4</w:t>
      </w:r>
      <w:r w:rsidR="00984A6F">
        <w:noBreakHyphen/>
      </w:r>
      <w:r w:rsidRPr="00026EC1">
        <w:t>5.02</w:t>
      </w:r>
    </w:p>
    <w:p w14:paraId="7E5C88C1" w14:textId="5E81F44D" w:rsidR="000C2801" w:rsidRPr="00026EC1" w:rsidRDefault="000C2801" w:rsidP="00A64613">
      <w:pPr>
        <w:keepNext w:val="0"/>
        <w:shd w:val="clear" w:color="auto" w:fill="FFFFFF"/>
      </w:pPr>
      <w:r w:rsidRPr="00026EC1">
        <w:t xml:space="preserve">Pour le </w:t>
      </w:r>
      <w:r w:rsidR="00855DD8" w:rsidRPr="00026EC1">
        <w:t>C</w:t>
      </w:r>
      <w:r w:rsidRPr="00026EC1">
        <w:t xml:space="preserve">ollège dont le </w:t>
      </w:r>
      <w:r w:rsidR="00855DD8" w:rsidRPr="00026EC1">
        <w:t>S</w:t>
      </w:r>
      <w:r w:rsidRPr="00026EC1">
        <w:t>yndicat était visé par la convention collective FAC</w:t>
      </w:r>
      <w:r w:rsidR="00A90735">
        <w:t> </w:t>
      </w:r>
      <w:r w:rsidRPr="00026EC1">
        <w:t>2005</w:t>
      </w:r>
      <w:r w:rsidR="00984A6F">
        <w:noBreakHyphen/>
      </w:r>
      <w:r w:rsidRPr="00026EC1">
        <w:t>2010, l</w:t>
      </w:r>
      <w:r w:rsidR="004A41E4" w:rsidRPr="00026EC1">
        <w:t>’</w:t>
      </w:r>
      <w:r w:rsidRPr="00026EC1">
        <w:t>une ou l</w:t>
      </w:r>
      <w:r w:rsidR="004A41E4" w:rsidRPr="00026EC1">
        <w:t>’</w:t>
      </w:r>
      <w:r w:rsidRPr="00026EC1">
        <w:t>autre des dispositions suivantes s</w:t>
      </w:r>
      <w:r w:rsidR="004A41E4" w:rsidRPr="00026EC1">
        <w:t>’</w:t>
      </w:r>
      <w:r w:rsidRPr="00026EC1">
        <w:t>applique selon le cas</w:t>
      </w:r>
      <w:r w:rsidR="00D8581B">
        <w:t> :</w:t>
      </w:r>
    </w:p>
    <w:p w14:paraId="3EF754EA" w14:textId="77777777" w:rsidR="000C2801" w:rsidRPr="00026EC1" w:rsidRDefault="000C2801" w:rsidP="00A64613">
      <w:pPr>
        <w:keepNext w:val="0"/>
      </w:pPr>
    </w:p>
    <w:p w14:paraId="31817824" w14:textId="44D4F1FE" w:rsidR="000C2801" w:rsidRPr="00026EC1" w:rsidRDefault="00275751" w:rsidP="00A64613">
      <w:pPr>
        <w:keepNext w:val="0"/>
        <w:shd w:val="clear" w:color="auto" w:fill="FFFFFF"/>
        <w:ind w:left="567" w:hanging="567"/>
      </w:pPr>
      <w:r w:rsidRPr="00026EC1">
        <w:t>a)</w:t>
      </w:r>
      <w:r w:rsidRPr="00026EC1">
        <w:tab/>
      </w:r>
      <w:r w:rsidR="000C2801" w:rsidRPr="00026EC1">
        <w:t>Dans le cas où il y a un arrangement local au sens de la clause 4</w:t>
      </w:r>
      <w:r w:rsidR="00984A6F">
        <w:noBreakHyphen/>
      </w:r>
      <w:r w:rsidR="000C2801" w:rsidRPr="00026EC1">
        <w:t>5.17 de la convention collective FAC échue le 30</w:t>
      </w:r>
      <w:r w:rsidR="00505124">
        <w:t> </w:t>
      </w:r>
      <w:r w:rsidR="000C2801" w:rsidRPr="00026EC1">
        <w:t>juin</w:t>
      </w:r>
      <w:r w:rsidR="00505124">
        <w:t> </w:t>
      </w:r>
      <w:r w:rsidR="000C2801" w:rsidRPr="00026EC1">
        <w:t>1998</w:t>
      </w:r>
      <w:r w:rsidR="00D8581B">
        <w:t> :</w:t>
      </w:r>
      <w:r w:rsidR="000C2801" w:rsidRPr="00026EC1">
        <w:t xml:space="preserve"> </w:t>
      </w:r>
    </w:p>
    <w:p w14:paraId="4EEABC78" w14:textId="77777777" w:rsidR="000C2801" w:rsidRPr="00026EC1" w:rsidRDefault="000C2801" w:rsidP="00A64613">
      <w:pPr>
        <w:keepNext w:val="0"/>
      </w:pPr>
    </w:p>
    <w:p w14:paraId="1E4D14B3" w14:textId="3D42E47A" w:rsidR="000C2801" w:rsidRPr="00026EC1" w:rsidRDefault="00275751" w:rsidP="00A64613">
      <w:pPr>
        <w:keepNext w:val="0"/>
        <w:ind w:left="1134" w:hanging="567"/>
        <w:rPr>
          <w:szCs w:val="24"/>
        </w:rPr>
      </w:pPr>
      <w:r w:rsidRPr="00026EC1">
        <w:rPr>
          <w:rFonts w:ascii="Symbol" w:hAnsi="Symbol"/>
          <w:szCs w:val="24"/>
        </w:rPr>
        <w:t></w:t>
      </w:r>
      <w:r w:rsidRPr="00026EC1">
        <w:rPr>
          <w:rFonts w:ascii="Symbol" w:hAnsi="Symbol"/>
          <w:szCs w:val="24"/>
        </w:rPr>
        <w:tab/>
      </w:r>
      <w:r w:rsidR="000C2801" w:rsidRPr="00026EC1">
        <w:rPr>
          <w:szCs w:val="24"/>
        </w:rPr>
        <w:t>l</w:t>
      </w:r>
      <w:r w:rsidR="004A41E4" w:rsidRPr="00026EC1">
        <w:rPr>
          <w:szCs w:val="24"/>
        </w:rPr>
        <w:t>’</w:t>
      </w:r>
      <w:r w:rsidR="000C2801" w:rsidRPr="00026EC1">
        <w:rPr>
          <w:szCs w:val="24"/>
        </w:rPr>
        <w:t>arrangement local, au sens de la clause</w:t>
      </w:r>
      <w:r w:rsidR="0017763F" w:rsidRPr="00026EC1">
        <w:rPr>
          <w:szCs w:val="24"/>
        </w:rPr>
        <w:t> </w:t>
      </w:r>
      <w:r w:rsidR="000C2801" w:rsidRPr="00026EC1">
        <w:rPr>
          <w:szCs w:val="24"/>
        </w:rPr>
        <w:t>4</w:t>
      </w:r>
      <w:r w:rsidR="00984A6F">
        <w:rPr>
          <w:szCs w:val="24"/>
        </w:rPr>
        <w:noBreakHyphen/>
      </w:r>
      <w:r w:rsidR="000C2801" w:rsidRPr="00026EC1">
        <w:rPr>
          <w:szCs w:val="24"/>
        </w:rPr>
        <w:t>5.17 de la convention collective FAC échue le 30 juin 1998, lequel constitue une entente sur une matière locale au sens de l</w:t>
      </w:r>
      <w:r w:rsidR="004A41E4" w:rsidRPr="00026EC1">
        <w:rPr>
          <w:szCs w:val="24"/>
        </w:rPr>
        <w:t>’</w:t>
      </w:r>
      <w:r w:rsidR="000C2801" w:rsidRPr="00026EC1">
        <w:rPr>
          <w:szCs w:val="24"/>
        </w:rPr>
        <w:t>article</w:t>
      </w:r>
      <w:r w:rsidR="000F2D2C" w:rsidRPr="00026EC1">
        <w:rPr>
          <w:szCs w:val="24"/>
        </w:rPr>
        <w:t> </w:t>
      </w:r>
      <w:r w:rsidR="000C2801" w:rsidRPr="00026EC1">
        <w:rPr>
          <w:szCs w:val="24"/>
        </w:rPr>
        <w:t xml:space="preserve">58 de la </w:t>
      </w:r>
      <w:r w:rsidR="000C2801" w:rsidRPr="00026EC1">
        <w:rPr>
          <w:iCs/>
          <w:szCs w:val="24"/>
        </w:rPr>
        <w:t>Loi sur le régime de négociation des conventions collectives des secteurs public et parapublic</w:t>
      </w:r>
      <w:r w:rsidR="000C2801" w:rsidRPr="00026EC1">
        <w:rPr>
          <w:i/>
          <w:iCs/>
          <w:szCs w:val="24"/>
        </w:rPr>
        <w:t xml:space="preserve"> </w:t>
      </w:r>
      <w:r w:rsidR="000C2801" w:rsidRPr="00026EC1">
        <w:rPr>
          <w:szCs w:val="24"/>
        </w:rPr>
        <w:t>(</w:t>
      </w:r>
      <w:r w:rsidR="009F799E" w:rsidRPr="00026EC1">
        <w:rPr>
          <w:rFonts w:cs="Arial"/>
          <w:szCs w:val="24"/>
        </w:rPr>
        <w:t xml:space="preserve">RLRQ, chapitre </w:t>
      </w:r>
      <w:r w:rsidR="000C2801" w:rsidRPr="00026EC1">
        <w:rPr>
          <w:szCs w:val="24"/>
        </w:rPr>
        <w:t>R</w:t>
      </w:r>
      <w:r w:rsidR="00984A6F">
        <w:rPr>
          <w:szCs w:val="24"/>
        </w:rPr>
        <w:noBreakHyphen/>
      </w:r>
      <w:r w:rsidR="000C2801" w:rsidRPr="00026EC1">
        <w:rPr>
          <w:szCs w:val="24"/>
        </w:rPr>
        <w:t>8.2) est reconduit et fait partie intégrante de la convention collective. Cette entente peut être modifiée selon les dispositions des articles</w:t>
      </w:r>
      <w:r w:rsidR="000F2D2C" w:rsidRPr="00026EC1">
        <w:rPr>
          <w:szCs w:val="24"/>
        </w:rPr>
        <w:t> </w:t>
      </w:r>
      <w:r w:rsidR="000C2801" w:rsidRPr="00026EC1">
        <w:rPr>
          <w:szCs w:val="24"/>
        </w:rPr>
        <w:t>59 et suivants de ladite loi.</w:t>
      </w:r>
    </w:p>
    <w:p w14:paraId="0E1FC6FC" w14:textId="77777777" w:rsidR="000C2801" w:rsidRPr="00026EC1" w:rsidRDefault="000C2801" w:rsidP="00A64613">
      <w:pPr>
        <w:keepNext w:val="0"/>
      </w:pPr>
    </w:p>
    <w:p w14:paraId="74216E9C" w14:textId="29E0303E" w:rsidR="000C2801" w:rsidRPr="00026EC1" w:rsidRDefault="00275751" w:rsidP="00A64613">
      <w:pPr>
        <w:keepNext w:val="0"/>
        <w:shd w:val="clear" w:color="auto" w:fill="FFFFFF"/>
        <w:ind w:left="567" w:hanging="567"/>
      </w:pPr>
      <w:r w:rsidRPr="00026EC1">
        <w:t>b)</w:t>
      </w:r>
      <w:r w:rsidRPr="00026EC1">
        <w:tab/>
      </w:r>
      <w:r w:rsidR="000C2801" w:rsidRPr="00026EC1">
        <w:t>Dans le cas où il existe une entente locale en vigueur à la date d</w:t>
      </w:r>
      <w:r w:rsidR="004A41E4" w:rsidRPr="00026EC1">
        <w:t>’</w:t>
      </w:r>
      <w:r w:rsidR="000C2801" w:rsidRPr="00026EC1">
        <w:t>échéance de la convention collective FAC 2005</w:t>
      </w:r>
      <w:r w:rsidR="00984A6F">
        <w:noBreakHyphen/>
      </w:r>
      <w:r w:rsidR="000C2801" w:rsidRPr="00026EC1">
        <w:t>2010</w:t>
      </w:r>
      <w:r w:rsidR="00D8581B">
        <w:t> :</w:t>
      </w:r>
    </w:p>
    <w:p w14:paraId="419D584C" w14:textId="77777777" w:rsidR="000C2801" w:rsidRPr="00026EC1" w:rsidRDefault="000C2801" w:rsidP="00A64613">
      <w:pPr>
        <w:keepNext w:val="0"/>
      </w:pPr>
    </w:p>
    <w:p w14:paraId="4C513EBD" w14:textId="3F25E21E" w:rsidR="000C2801" w:rsidRPr="00026EC1" w:rsidRDefault="00275751" w:rsidP="00A64613">
      <w:pPr>
        <w:keepNext w:val="0"/>
        <w:shd w:val="clear" w:color="auto" w:fill="FFFFFF"/>
        <w:ind w:left="1134" w:hanging="567"/>
      </w:pPr>
      <w:r w:rsidRPr="00026EC1">
        <w:rPr>
          <w:rFonts w:ascii="Symbol" w:hAnsi="Symbol"/>
        </w:rPr>
        <w:t></w:t>
      </w:r>
      <w:r w:rsidRPr="00026EC1">
        <w:rPr>
          <w:rFonts w:ascii="Symbol" w:hAnsi="Symbol"/>
        </w:rPr>
        <w:tab/>
      </w:r>
      <w:r w:rsidR="000C2801" w:rsidRPr="00026EC1">
        <w:t>l</w:t>
      </w:r>
      <w:r w:rsidR="004A41E4" w:rsidRPr="00026EC1">
        <w:t>’</w:t>
      </w:r>
      <w:r w:rsidR="000C2801" w:rsidRPr="00026EC1">
        <w:t>entente locale en vigueur à la date d</w:t>
      </w:r>
      <w:r w:rsidR="004A41E4" w:rsidRPr="00026EC1">
        <w:t>’</w:t>
      </w:r>
      <w:r w:rsidR="000C2801" w:rsidRPr="00026EC1">
        <w:t>échéance de la convention collective FAC 2005</w:t>
      </w:r>
      <w:r w:rsidR="00984A6F">
        <w:noBreakHyphen/>
      </w:r>
      <w:r w:rsidR="000C2801" w:rsidRPr="00026EC1">
        <w:t>2010 constitue une entente au sens de la clause 4</w:t>
      </w:r>
      <w:r w:rsidR="00984A6F">
        <w:noBreakHyphen/>
      </w:r>
      <w:r w:rsidR="000C2801" w:rsidRPr="00026EC1">
        <w:t>3.17 de la convention collective FNEEQ (CSN) et peut être modifiée par les parties selon les modalités prévues à l</w:t>
      </w:r>
      <w:r w:rsidR="004A41E4" w:rsidRPr="00026EC1">
        <w:t>’</w:t>
      </w:r>
      <w:r w:rsidR="000C2801" w:rsidRPr="00026EC1">
        <w:t>article 4</w:t>
      </w:r>
      <w:r w:rsidR="00984A6F">
        <w:noBreakHyphen/>
      </w:r>
      <w:r w:rsidR="000C2801" w:rsidRPr="00026EC1">
        <w:t>3.00.</w:t>
      </w:r>
    </w:p>
    <w:p w14:paraId="63E0BE69" w14:textId="77777777" w:rsidR="000C2801" w:rsidRPr="00026EC1" w:rsidRDefault="000C2801" w:rsidP="00A64613">
      <w:pPr>
        <w:keepNext w:val="0"/>
        <w:shd w:val="clear" w:color="auto" w:fill="FFFFFF"/>
      </w:pPr>
    </w:p>
    <w:p w14:paraId="3FF5B59C" w14:textId="5F8F2889" w:rsidR="000C2801" w:rsidRPr="00026EC1" w:rsidRDefault="00275751" w:rsidP="00A64613">
      <w:pPr>
        <w:keepNext w:val="0"/>
        <w:shd w:val="clear" w:color="auto" w:fill="FFFFFF"/>
        <w:ind w:left="567" w:hanging="567"/>
      </w:pPr>
      <w:r w:rsidRPr="00026EC1">
        <w:t>c)</w:t>
      </w:r>
      <w:r w:rsidRPr="00026EC1">
        <w:tab/>
      </w:r>
      <w:r w:rsidR="000C2801" w:rsidRPr="00026EC1">
        <w:t>Dans tous les autres cas, les pratiques locales en vigueur à la date d</w:t>
      </w:r>
      <w:r w:rsidR="004A41E4" w:rsidRPr="00026EC1">
        <w:t>’</w:t>
      </w:r>
      <w:r w:rsidR="000C2801" w:rsidRPr="00026EC1">
        <w:t>échéance de la convention collective FAC 2005</w:t>
      </w:r>
      <w:r w:rsidR="00984A6F">
        <w:noBreakHyphen/>
      </w:r>
      <w:r w:rsidR="000C2801" w:rsidRPr="00026EC1">
        <w:t>2010 sont reconduites et, dans ce collège, la clause</w:t>
      </w:r>
      <w:r w:rsidR="002D0E30" w:rsidRPr="00026EC1">
        <w:t> </w:t>
      </w:r>
      <w:r w:rsidR="000C2801" w:rsidRPr="00026EC1">
        <w:t>4</w:t>
      </w:r>
      <w:r w:rsidR="00984A6F">
        <w:noBreakHyphen/>
      </w:r>
      <w:r w:rsidR="000C2801" w:rsidRPr="00026EC1">
        <w:t>3.14 de la convention collective FNEEQ (CSN) est modifiée pour y ajouter ce qui suit</w:t>
      </w:r>
      <w:r w:rsidR="00D8581B">
        <w:t> :</w:t>
      </w:r>
    </w:p>
    <w:p w14:paraId="5044F7FD" w14:textId="77777777" w:rsidR="000C2801" w:rsidRPr="00026EC1" w:rsidRDefault="000C2801" w:rsidP="00A64613">
      <w:pPr>
        <w:keepNext w:val="0"/>
      </w:pPr>
    </w:p>
    <w:p w14:paraId="54265102" w14:textId="7B1471C8" w:rsidR="00271EF7" w:rsidRDefault="00275751" w:rsidP="00A64613">
      <w:pPr>
        <w:keepNext w:val="0"/>
        <w:shd w:val="clear" w:color="auto" w:fill="FFFFFF"/>
        <w:ind w:left="1134" w:hanging="567"/>
        <w:sectPr w:rsidR="00271EF7" w:rsidSect="00522997">
          <w:headerReference w:type="default" r:id="rId25"/>
          <w:footnotePr>
            <w:numRestart w:val="eachPage"/>
          </w:footnotePr>
          <w:pgSz w:w="12240" w:h="15840" w:code="1"/>
          <w:pgMar w:top="720" w:right="1077" w:bottom="1242" w:left="1684" w:header="709" w:footer="709" w:gutter="0"/>
          <w:cols w:space="708"/>
          <w:docGrid w:linePitch="360"/>
        </w:sectPr>
      </w:pPr>
      <w:r w:rsidRPr="00026EC1">
        <w:rPr>
          <w:rFonts w:ascii="Symbol" w:hAnsi="Symbol"/>
        </w:rPr>
        <w:t></w:t>
      </w:r>
      <w:r w:rsidRPr="00026EC1">
        <w:rPr>
          <w:rFonts w:ascii="Symbol" w:hAnsi="Symbol"/>
        </w:rPr>
        <w:tab/>
      </w:r>
      <w:r w:rsidR="000C2801" w:rsidRPr="00026EC1">
        <w:t>q) la Commission pédagogique</w:t>
      </w:r>
      <w:r w:rsidR="00855DD8" w:rsidRPr="00026EC1">
        <w:t xml:space="preserve"> </w:t>
      </w:r>
      <w:r w:rsidR="002D0E30" w:rsidRPr="00026EC1">
        <w:t>en vertu de la clause</w:t>
      </w:r>
      <w:r w:rsidR="0017763F" w:rsidRPr="00026EC1">
        <w:t> </w:t>
      </w:r>
      <w:r w:rsidR="002D0E30" w:rsidRPr="00026EC1">
        <w:t>4</w:t>
      </w:r>
      <w:r w:rsidR="00984A6F">
        <w:noBreakHyphen/>
      </w:r>
      <w:r w:rsidR="002D0E30" w:rsidRPr="00026EC1">
        <w:t>5.02</w:t>
      </w:r>
      <w:r w:rsidR="00855DD8" w:rsidRPr="00026EC1">
        <w:t>.</w:t>
      </w:r>
    </w:p>
    <w:p w14:paraId="407D4CDE" w14:textId="54996974" w:rsidR="00404F34" w:rsidRPr="00026EC1" w:rsidRDefault="00404F34" w:rsidP="00A64613">
      <w:pPr>
        <w:pStyle w:val="Heading1"/>
        <w:keepNext w:val="0"/>
        <w:tabs>
          <w:tab w:val="left" w:pos="1701"/>
          <w:tab w:val="left" w:pos="1985"/>
        </w:tabs>
        <w:ind w:left="2127" w:hanging="2127"/>
      </w:pPr>
      <w:bookmarkStart w:id="354" w:name="_Toc535046596"/>
      <w:bookmarkStart w:id="355" w:name="_Toc133760769"/>
      <w:bookmarkStart w:id="356" w:name="_Toc133916917"/>
      <w:bookmarkStart w:id="357" w:name="_Toc134437185"/>
      <w:bookmarkStart w:id="358" w:name="_Toc393449550"/>
      <w:r w:rsidRPr="00026EC1">
        <w:t>CHAPITRE 5</w:t>
      </w:r>
      <w:r w:rsidR="00F66753" w:rsidRPr="00026EC1">
        <w:tab/>
      </w:r>
      <w:r w:rsidR="00984A6F">
        <w:t>-</w:t>
      </w:r>
      <w:r w:rsidR="00F66753" w:rsidRPr="00026EC1">
        <w:tab/>
      </w:r>
      <w:r w:rsidRPr="00026EC1">
        <w:t>EMPLOI ET AVANTAGES SOCIAUX</w:t>
      </w:r>
      <w:bookmarkEnd w:id="354"/>
      <w:bookmarkEnd w:id="355"/>
      <w:bookmarkEnd w:id="356"/>
      <w:bookmarkEnd w:id="357"/>
      <w:bookmarkEnd w:id="358"/>
      <w:r w:rsidR="00576DC4" w:rsidRPr="0035151D">
        <w:fldChar w:fldCharType="begin"/>
      </w:r>
      <w:r w:rsidR="00576DC4" w:rsidRPr="0035151D">
        <w:instrText xml:space="preserve"> TC " </w:instrText>
      </w:r>
      <w:bookmarkStart w:id="359" w:name="_Toc94949715"/>
      <w:bookmarkStart w:id="360" w:name="_Toc94952723"/>
      <w:bookmarkStart w:id="361" w:name="_Toc94954627"/>
      <w:bookmarkStart w:id="362" w:name="_Toc94966304"/>
      <w:bookmarkStart w:id="363" w:name="_Toc95035182"/>
      <w:bookmarkStart w:id="364" w:name="_Toc95035325"/>
      <w:bookmarkStart w:id="365" w:name="_Toc95035468"/>
      <w:bookmarkStart w:id="366" w:name="_Toc95035613"/>
      <w:bookmarkStart w:id="367" w:name="_Toc157589238"/>
      <w:bookmarkStart w:id="368" w:name="_Toc161323685"/>
      <w:bookmarkStart w:id="369" w:name="_Toc163483027"/>
      <w:bookmarkStart w:id="370" w:name="_Toc163483626"/>
      <w:bookmarkStart w:id="371" w:name="_Toc163483816"/>
      <w:bookmarkStart w:id="372" w:name="_Toc167870785"/>
      <w:bookmarkStart w:id="373" w:name="_Toc167870949"/>
      <w:bookmarkStart w:id="374" w:name="_Toc167871105"/>
      <w:bookmarkStart w:id="375" w:name="_Toc167871281"/>
      <w:bookmarkStart w:id="376" w:name="_Toc168049349"/>
      <w:bookmarkStart w:id="377" w:name="_Toc168401513"/>
      <w:bookmarkStart w:id="378" w:name="_Toc168402129"/>
      <w:bookmarkStart w:id="379" w:name="_Toc168409564"/>
      <w:bookmarkStart w:id="380" w:name="_Toc168410318"/>
      <w:bookmarkStart w:id="381" w:name="_Toc168410564"/>
      <w:bookmarkStart w:id="382" w:name="_Toc168410805"/>
      <w:bookmarkStart w:id="383" w:name="_Toc168479512"/>
      <w:r w:rsidR="00576DC4" w:rsidRPr="0035151D">
        <w:instrText xml:space="preserve">CHAPITRE </w:instrText>
      </w:r>
      <w:r w:rsidR="00576DC4">
        <w:instrText>5</w:instrText>
      </w:r>
      <w:r w:rsidR="00576DC4" w:rsidRPr="0035151D">
        <w:instrText xml:space="preserve">  </w:instrText>
      </w:r>
      <w:r w:rsidR="00984A6F">
        <w:noBreakHyphen/>
      </w:r>
      <w:r w:rsidR="00576DC4" w:rsidRPr="0035151D">
        <w:instrText xml:space="preserve">  </w:instrText>
      </w:r>
      <w:r w:rsidR="00576DC4">
        <w:instrText>emploi et avantages sociaux</w:instrTex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00576DC4" w:rsidRPr="0035151D">
        <w:instrText>"\N</w:instrText>
      </w:r>
      <w:r w:rsidR="00576DC4" w:rsidRPr="0035151D">
        <w:fldChar w:fldCharType="end"/>
      </w:r>
    </w:p>
    <w:p w14:paraId="3693A4E5" w14:textId="059E7639" w:rsidR="002237A0" w:rsidRPr="00026EC1" w:rsidRDefault="002237A0" w:rsidP="00A64613">
      <w:pPr>
        <w:pStyle w:val="Heading2"/>
        <w:keepNext w:val="0"/>
        <w:tabs>
          <w:tab w:val="clear" w:pos="1843"/>
          <w:tab w:val="clear" w:pos="2127"/>
          <w:tab w:val="left" w:pos="1701"/>
          <w:tab w:val="left" w:pos="1985"/>
        </w:tabs>
        <w:ind w:left="1701" w:hanging="1701"/>
        <w:rPr>
          <w:rFonts w:cs="Arial"/>
        </w:rPr>
      </w:pPr>
      <w:bookmarkStart w:id="384" w:name="_Toc393444600"/>
      <w:bookmarkStart w:id="385" w:name="_Toc393449551"/>
      <w:bookmarkStart w:id="386" w:name="_Toc393460920"/>
      <w:bookmarkStart w:id="387" w:name="_Toc393461198"/>
      <w:bookmarkStart w:id="388" w:name="_Toc393720759"/>
      <w:bookmarkStart w:id="389" w:name="_Toc393783920"/>
      <w:bookmarkStart w:id="390" w:name="_Toc393784059"/>
      <w:bookmarkStart w:id="391" w:name="_Toc168479513"/>
      <w:bookmarkStart w:id="392" w:name="_Toc535046598"/>
      <w:bookmarkStart w:id="393" w:name="_Toc133760771"/>
      <w:bookmarkStart w:id="394" w:name="_Toc393444601"/>
      <w:bookmarkStart w:id="395" w:name="_Toc393449552"/>
      <w:bookmarkStart w:id="396" w:name="_Toc393460921"/>
      <w:bookmarkStart w:id="397" w:name="_Toc393461199"/>
      <w:bookmarkStart w:id="398" w:name="_Toc393720760"/>
      <w:bookmarkStart w:id="399" w:name="_Toc393783921"/>
      <w:bookmarkStart w:id="400" w:name="_Toc393784060"/>
      <w:r w:rsidRPr="00026EC1">
        <w:rPr>
          <w:rFonts w:cs="Arial"/>
        </w:rPr>
        <w:t>Article 5</w:t>
      </w:r>
      <w:r w:rsidR="00984A6F">
        <w:rPr>
          <w:rFonts w:cs="Arial"/>
        </w:rPr>
        <w:t>-</w:t>
      </w:r>
      <w:r w:rsidRPr="00026EC1">
        <w:rPr>
          <w:rFonts w:cs="Arial"/>
        </w:rPr>
        <w:t>1.00</w:t>
      </w:r>
      <w:r w:rsidRPr="00026EC1">
        <w:tab/>
      </w:r>
      <w:r w:rsidR="00984A6F">
        <w:t>-</w:t>
      </w:r>
      <w:r w:rsidRPr="00026EC1">
        <w:tab/>
      </w:r>
      <w:r w:rsidRPr="00026EC1">
        <w:rPr>
          <w:rFonts w:cs="Arial"/>
        </w:rPr>
        <w:t>Engagement</w:t>
      </w:r>
      <w:bookmarkEnd w:id="384"/>
      <w:bookmarkEnd w:id="385"/>
      <w:bookmarkEnd w:id="386"/>
      <w:bookmarkEnd w:id="387"/>
      <w:bookmarkEnd w:id="388"/>
      <w:bookmarkEnd w:id="389"/>
      <w:bookmarkEnd w:id="390"/>
      <w:bookmarkEnd w:id="391"/>
    </w:p>
    <w:p w14:paraId="312AEC3C" w14:textId="420F3A65" w:rsidR="002237A0" w:rsidRPr="00026EC1" w:rsidRDefault="002237A0" w:rsidP="00A64613">
      <w:pPr>
        <w:pStyle w:val="NUMRODECLAUSE"/>
        <w:keepNext w:val="0"/>
      </w:pPr>
      <w:r w:rsidRPr="00026EC1">
        <w:t>5</w:t>
      </w:r>
      <w:r w:rsidR="00984A6F">
        <w:noBreakHyphen/>
      </w:r>
      <w:r w:rsidRPr="00026EC1">
        <w:t>1.01</w:t>
      </w:r>
    </w:p>
    <w:p w14:paraId="56B58E17" w14:textId="77777777" w:rsidR="002237A0" w:rsidRPr="00026EC1" w:rsidRDefault="002237A0" w:rsidP="00A64613">
      <w:pPr>
        <w:keepNext w:val="0"/>
        <w:rPr>
          <w:rFonts w:cs="Arial"/>
        </w:rPr>
      </w:pPr>
      <w:r w:rsidRPr="00026EC1">
        <w:rPr>
          <w:rFonts w:cs="Arial"/>
        </w:rPr>
        <w:t>Sous réserve des modalités et mécanismes de la sécurité d’emploi, l’engagement de l’enseignante ou de l’enseignant permanent se renouvelle automatiquement d’année en année.</w:t>
      </w:r>
    </w:p>
    <w:p w14:paraId="0E18EF76" w14:textId="77777777" w:rsidR="002237A0" w:rsidRPr="00026EC1" w:rsidRDefault="002237A0" w:rsidP="00A64613">
      <w:pPr>
        <w:keepNext w:val="0"/>
        <w:rPr>
          <w:rFonts w:cs="Arial"/>
        </w:rPr>
      </w:pPr>
    </w:p>
    <w:p w14:paraId="6DA732F1" w14:textId="7B18E47E" w:rsidR="002237A0" w:rsidRPr="00026EC1" w:rsidRDefault="002237A0" w:rsidP="00A64613">
      <w:pPr>
        <w:pStyle w:val="NUMRODECLAUSE"/>
        <w:keepNext w:val="0"/>
      </w:pPr>
      <w:r w:rsidRPr="00026EC1">
        <w:t>5</w:t>
      </w:r>
      <w:r w:rsidR="00984A6F">
        <w:noBreakHyphen/>
      </w:r>
      <w:r w:rsidRPr="00026EC1">
        <w:t>1.02</w:t>
      </w:r>
    </w:p>
    <w:p w14:paraId="425A46C7" w14:textId="0282A8B7" w:rsidR="002237A0" w:rsidRPr="00D40540" w:rsidRDefault="002237A0" w:rsidP="00A64613">
      <w:pPr>
        <w:keepNext w:val="0"/>
        <w:rPr>
          <w:rFonts w:cs="Arial"/>
        </w:rPr>
      </w:pPr>
      <w:r w:rsidRPr="00026EC1">
        <w:rPr>
          <w:rFonts w:cs="Arial"/>
        </w:rPr>
        <w:t xml:space="preserve">L’engagement </w:t>
      </w:r>
      <w:r w:rsidRPr="00D40540">
        <w:rPr>
          <w:rFonts w:cs="Arial"/>
        </w:rPr>
        <w:t>de l’enseignante ou de l’enseignant à temps complet non permanent, de l’enseignante ou de l’enseignant à temps partiel, de l’enseignante ou de l’enseignant chargé de cours et de l’enseignante ou de l’enseignant qui réalise des activités autres que celles prévues dans sa tâche d’enseignement prend fin automatiquement, sans avis ni procédure, au terme de son contrat.</w:t>
      </w:r>
    </w:p>
    <w:p w14:paraId="1C5A2A9E" w14:textId="77777777" w:rsidR="002237A0" w:rsidRPr="00D40540" w:rsidRDefault="002237A0" w:rsidP="00A64613">
      <w:pPr>
        <w:keepNext w:val="0"/>
        <w:rPr>
          <w:rFonts w:cs="Arial"/>
        </w:rPr>
      </w:pPr>
    </w:p>
    <w:p w14:paraId="4A21BF92" w14:textId="2C6DA453" w:rsidR="002237A0" w:rsidRPr="00D40540" w:rsidRDefault="002237A0" w:rsidP="00A64613">
      <w:pPr>
        <w:keepNext w:val="0"/>
        <w:rPr>
          <w:rFonts w:cs="Arial"/>
        </w:rPr>
      </w:pPr>
      <w:r w:rsidRPr="00D40540">
        <w:rPr>
          <w:rFonts w:cs="Arial"/>
        </w:rPr>
        <w:t>Toutefois, l’enseignante ou l’enseignant non permanent peut se désister d’une charge d’enseignement qui lui a été préalablement confiée, sans conséquence sur son lien d’emploi</w:t>
      </w:r>
      <w:r w:rsidR="00D8581B" w:rsidRPr="00D40540">
        <w:rPr>
          <w:rFonts w:cs="Arial"/>
        </w:rPr>
        <w:t> :</w:t>
      </w:r>
      <w:r w:rsidRPr="00D40540">
        <w:rPr>
          <w:rFonts w:cs="Arial"/>
        </w:rPr>
        <w:t xml:space="preserve"> </w:t>
      </w:r>
    </w:p>
    <w:p w14:paraId="0BBF2B85" w14:textId="77777777" w:rsidR="002237A0" w:rsidRPr="00D40540" w:rsidRDefault="002237A0" w:rsidP="00A64613">
      <w:pPr>
        <w:keepNext w:val="0"/>
        <w:rPr>
          <w:rFonts w:cs="Arial"/>
        </w:rPr>
      </w:pPr>
    </w:p>
    <w:p w14:paraId="3FF53AE0" w14:textId="52AD5958" w:rsidR="002237A0" w:rsidRDefault="00984A6F" w:rsidP="00A64613">
      <w:pPr>
        <w:keepNext w:val="0"/>
        <w:ind w:left="851" w:hanging="142"/>
        <w:rPr>
          <w:rFonts w:cs="Arial"/>
        </w:rPr>
      </w:pPr>
      <w:r>
        <w:rPr>
          <w:rFonts w:cs="Arial"/>
        </w:rPr>
        <w:noBreakHyphen/>
      </w:r>
      <w:r w:rsidR="002237A0" w:rsidRPr="00D40540">
        <w:rPr>
          <w:rFonts w:cs="Arial"/>
        </w:rPr>
        <w:t xml:space="preserve"> À l’enseignement régulier, au plus tard quatre</w:t>
      </w:r>
      <w:r w:rsidR="00505124">
        <w:rPr>
          <w:rFonts w:cs="Arial"/>
        </w:rPr>
        <w:t> </w:t>
      </w:r>
      <w:r w:rsidR="002237A0" w:rsidRPr="00D40540">
        <w:rPr>
          <w:rFonts w:cs="Arial"/>
        </w:rPr>
        <w:t xml:space="preserve">(4) semaines avant le début des cours tel que fixé au calendrier scolaire; </w:t>
      </w:r>
    </w:p>
    <w:p w14:paraId="111B7811" w14:textId="77777777" w:rsidR="00AC02EC" w:rsidRPr="00D40540" w:rsidRDefault="00AC02EC" w:rsidP="00A64613">
      <w:pPr>
        <w:keepNext w:val="0"/>
        <w:ind w:left="851" w:hanging="142"/>
        <w:rPr>
          <w:rFonts w:cs="Arial"/>
        </w:rPr>
      </w:pPr>
    </w:p>
    <w:p w14:paraId="3DE067A3" w14:textId="1E5C4AA3" w:rsidR="002237A0" w:rsidRPr="00D40540" w:rsidRDefault="00984A6F" w:rsidP="00A64613">
      <w:pPr>
        <w:keepNext w:val="0"/>
        <w:ind w:left="851" w:hanging="142"/>
        <w:rPr>
          <w:rFonts w:cs="Arial"/>
        </w:rPr>
      </w:pPr>
      <w:r>
        <w:rPr>
          <w:rFonts w:cs="Arial"/>
        </w:rPr>
        <w:noBreakHyphen/>
      </w:r>
      <w:r w:rsidR="002237A0" w:rsidRPr="00D40540">
        <w:rPr>
          <w:rFonts w:cs="Arial"/>
        </w:rPr>
        <w:t xml:space="preserve"> À la formation continue et aux cours d’été, au plus tard quatre</w:t>
      </w:r>
      <w:r w:rsidR="00505124">
        <w:rPr>
          <w:rFonts w:cs="Arial"/>
        </w:rPr>
        <w:t> </w:t>
      </w:r>
      <w:r w:rsidR="002237A0" w:rsidRPr="00D40540">
        <w:rPr>
          <w:rFonts w:cs="Arial"/>
        </w:rPr>
        <w:t xml:space="preserve">(4) semaines avant le début du cours. </w:t>
      </w:r>
    </w:p>
    <w:p w14:paraId="64F49DE5" w14:textId="77777777" w:rsidR="002237A0" w:rsidRPr="00D40540" w:rsidRDefault="002237A0" w:rsidP="00A64613">
      <w:pPr>
        <w:keepNext w:val="0"/>
        <w:rPr>
          <w:rFonts w:cs="Arial"/>
        </w:rPr>
      </w:pPr>
    </w:p>
    <w:p w14:paraId="175A578D" w14:textId="77777777" w:rsidR="002237A0" w:rsidRPr="00F5576D" w:rsidRDefault="002237A0" w:rsidP="00A64613">
      <w:pPr>
        <w:keepNext w:val="0"/>
        <w:rPr>
          <w:rFonts w:cs="Arial"/>
        </w:rPr>
      </w:pPr>
      <w:r w:rsidRPr="00D40540">
        <w:rPr>
          <w:rFonts w:cs="Arial"/>
        </w:rPr>
        <w:t>Les parties peuvent convenir d’un autre délai.</w:t>
      </w:r>
    </w:p>
    <w:p w14:paraId="7FDD6B46" w14:textId="77777777" w:rsidR="002237A0" w:rsidRPr="00026EC1" w:rsidRDefault="002237A0" w:rsidP="00A64613">
      <w:pPr>
        <w:keepNext w:val="0"/>
        <w:rPr>
          <w:rFonts w:cs="Arial"/>
        </w:rPr>
      </w:pPr>
    </w:p>
    <w:p w14:paraId="6C695F54" w14:textId="2E52FA3C" w:rsidR="002237A0" w:rsidRPr="00026EC1" w:rsidRDefault="002237A0" w:rsidP="00A64613">
      <w:pPr>
        <w:pStyle w:val="NUMRODECLAUSE"/>
        <w:keepNext w:val="0"/>
      </w:pPr>
      <w:r w:rsidRPr="00026EC1">
        <w:t>5</w:t>
      </w:r>
      <w:r w:rsidR="00984A6F">
        <w:noBreakHyphen/>
      </w:r>
      <w:r w:rsidRPr="00026EC1">
        <w:t>1.03</w:t>
      </w:r>
    </w:p>
    <w:p w14:paraId="217AFFF2" w14:textId="55ED9873" w:rsidR="002237A0" w:rsidRPr="00026EC1" w:rsidRDefault="002237A0" w:rsidP="00A64613">
      <w:pPr>
        <w:keepNext w:val="0"/>
        <w:tabs>
          <w:tab w:val="left" w:pos="567"/>
        </w:tabs>
        <w:ind w:left="567" w:hanging="567"/>
        <w:rPr>
          <w:rFonts w:cs="Arial"/>
        </w:rPr>
      </w:pPr>
      <w:r w:rsidRPr="00026EC1">
        <w:rPr>
          <w:rFonts w:cs="Arial"/>
        </w:rPr>
        <w:t>a)</w:t>
      </w:r>
      <w:r w:rsidRPr="00026EC1">
        <w:rPr>
          <w:rFonts w:cs="Arial"/>
        </w:rPr>
        <w:tab/>
        <w:t>Dans le cas d’une charge annuelle de zéro virgule cinquante (0,50) susceptible d’être assumée dans la même session par une seule enseignante ou un seul enseignant, le Collège engage une enseignante ou un enseignant avec un contrat pleine charge session et lui verse un demi</w:t>
      </w:r>
      <w:r w:rsidR="00984A6F">
        <w:rPr>
          <w:rFonts w:cs="Arial"/>
        </w:rPr>
        <w:noBreakHyphen/>
      </w:r>
      <w:r w:rsidRPr="00026EC1">
        <w:rPr>
          <w:rFonts w:cs="Arial"/>
        </w:rPr>
        <w:t>salaire annuel.</w:t>
      </w:r>
    </w:p>
    <w:p w14:paraId="06B9A615" w14:textId="77777777" w:rsidR="002237A0" w:rsidRPr="00026EC1" w:rsidRDefault="002237A0" w:rsidP="00A64613">
      <w:pPr>
        <w:keepNext w:val="0"/>
        <w:rPr>
          <w:rFonts w:cs="Arial"/>
        </w:rPr>
      </w:pPr>
    </w:p>
    <w:p w14:paraId="1B252BD4" w14:textId="2D28FE01" w:rsidR="002237A0" w:rsidRPr="00026EC1" w:rsidRDefault="002237A0" w:rsidP="00A64613">
      <w:pPr>
        <w:pStyle w:val="Texte1cm"/>
        <w:keepNext w:val="0"/>
        <w:rPr>
          <w:rFonts w:cs="Arial"/>
        </w:rPr>
      </w:pPr>
      <w:r w:rsidRPr="00026EC1">
        <w:rPr>
          <w:rFonts w:cs="Arial"/>
        </w:rPr>
        <w:t>La charge de travail de cette enseignante ou de cet enseignant est comptabilisée selon l’Annexe I</w:t>
      </w:r>
      <w:r w:rsidR="00984A6F">
        <w:rPr>
          <w:rFonts w:cs="Arial"/>
        </w:rPr>
        <w:noBreakHyphen/>
      </w:r>
      <w:r w:rsidRPr="00026EC1">
        <w:rPr>
          <w:rFonts w:cs="Arial"/>
        </w:rPr>
        <w:t>1. Lorsque cette charge est supérieure à quarante</w:t>
      </w:r>
      <w:r w:rsidR="00984A6F">
        <w:rPr>
          <w:rFonts w:cs="Arial"/>
        </w:rPr>
        <w:noBreakHyphen/>
      </w:r>
      <w:r w:rsidRPr="00026EC1">
        <w:rPr>
          <w:rFonts w:cs="Arial"/>
        </w:rPr>
        <w:t>quatre (44) unités, la partie excédentaire est rémunérée conformément à la clause 6</w:t>
      </w:r>
      <w:r w:rsidR="00984A6F">
        <w:rPr>
          <w:rFonts w:cs="Arial"/>
        </w:rPr>
        <w:noBreakHyphen/>
      </w:r>
      <w:r w:rsidRPr="00026EC1">
        <w:rPr>
          <w:rFonts w:cs="Arial"/>
        </w:rPr>
        <w:t>1.03 à l’aide de la relation suivante</w:t>
      </w:r>
      <w:r w:rsidR="00D8581B">
        <w:rPr>
          <w:rFonts w:cs="Arial"/>
        </w:rPr>
        <w:t> :</w:t>
      </w:r>
    </w:p>
    <w:p w14:paraId="7C0F2054" w14:textId="77777777" w:rsidR="002237A0" w:rsidRPr="00026EC1" w:rsidRDefault="002237A0" w:rsidP="00A64613">
      <w:pPr>
        <w:keepNext w:val="0"/>
        <w:rPr>
          <w:rFonts w:cs="Arial"/>
        </w:rPr>
      </w:pPr>
    </w:p>
    <w:tbl>
      <w:tblPr>
        <w:tblW w:w="0" w:type="auto"/>
        <w:tblCellMar>
          <w:left w:w="70" w:type="dxa"/>
          <w:right w:w="70" w:type="dxa"/>
        </w:tblCellMar>
        <w:tblLook w:val="0000" w:firstRow="0" w:lastRow="0" w:firstColumn="0" w:lastColumn="0" w:noHBand="0" w:noVBand="0"/>
      </w:tblPr>
      <w:tblGrid>
        <w:gridCol w:w="1510"/>
        <w:gridCol w:w="3600"/>
        <w:gridCol w:w="720"/>
        <w:gridCol w:w="1260"/>
        <w:gridCol w:w="2235"/>
      </w:tblGrid>
      <w:tr w:rsidR="002237A0" w:rsidRPr="00026EC1" w14:paraId="67B595FA" w14:textId="77777777" w:rsidTr="007F0FF6">
        <w:tc>
          <w:tcPr>
            <w:tcW w:w="1510" w:type="dxa"/>
          </w:tcPr>
          <w:p w14:paraId="6B583F2F" w14:textId="77777777" w:rsidR="002237A0" w:rsidRPr="00026EC1" w:rsidRDefault="002237A0" w:rsidP="00A64613">
            <w:pPr>
              <w:keepNext w:val="0"/>
              <w:rPr>
                <w:rFonts w:cs="Arial"/>
              </w:rPr>
            </w:pPr>
          </w:p>
        </w:tc>
        <w:tc>
          <w:tcPr>
            <w:tcW w:w="3600" w:type="dxa"/>
          </w:tcPr>
          <w:p w14:paraId="337CD3E7" w14:textId="77777777" w:rsidR="002237A0" w:rsidRPr="00026EC1" w:rsidRDefault="002237A0" w:rsidP="00A64613">
            <w:pPr>
              <w:pStyle w:val="CommentText"/>
              <w:keepNext w:val="0"/>
              <w:tabs>
                <w:tab w:val="clear" w:pos="3969"/>
              </w:tabs>
              <w:rPr>
                <w:rFonts w:cs="Arial"/>
              </w:rPr>
            </w:pPr>
            <w:r w:rsidRPr="00026EC1">
              <w:rPr>
                <w:rFonts w:cs="Arial"/>
              </w:rPr>
              <w:t>nombre de périodes de cours</w:t>
            </w:r>
          </w:p>
        </w:tc>
        <w:tc>
          <w:tcPr>
            <w:tcW w:w="720" w:type="dxa"/>
          </w:tcPr>
          <w:p w14:paraId="56DA1910" w14:textId="77777777" w:rsidR="002237A0" w:rsidRPr="00026EC1" w:rsidRDefault="002237A0" w:rsidP="00A64613">
            <w:pPr>
              <w:pStyle w:val="Header"/>
              <w:keepNext w:val="0"/>
              <w:spacing w:after="0"/>
              <w:rPr>
                <w:rFonts w:cs="Arial"/>
              </w:rPr>
            </w:pPr>
            <w:r w:rsidRPr="00026EC1">
              <w:rPr>
                <w:rFonts w:cs="Arial"/>
              </w:rPr>
              <w:t>=</w:t>
            </w:r>
          </w:p>
        </w:tc>
        <w:tc>
          <w:tcPr>
            <w:tcW w:w="1260" w:type="dxa"/>
            <w:tcBorders>
              <w:bottom w:val="single" w:sz="4" w:space="0" w:color="auto"/>
            </w:tcBorders>
          </w:tcPr>
          <w:p w14:paraId="080053FB" w14:textId="16E7D18D" w:rsidR="002237A0" w:rsidRPr="00026EC1" w:rsidRDefault="002237A0" w:rsidP="00A64613">
            <w:pPr>
              <w:pStyle w:val="Header"/>
              <w:keepNext w:val="0"/>
              <w:spacing w:after="0"/>
              <w:rPr>
                <w:rFonts w:cs="Arial"/>
              </w:rPr>
            </w:pPr>
            <w:r w:rsidRPr="00026EC1">
              <w:rPr>
                <w:rFonts w:cs="Arial"/>
              </w:rPr>
              <w:t xml:space="preserve">(CI </w:t>
            </w:r>
            <w:r w:rsidR="00984A6F">
              <w:rPr>
                <w:rFonts w:cs="Arial"/>
              </w:rPr>
              <w:noBreakHyphen/>
            </w:r>
            <w:r w:rsidRPr="00026EC1">
              <w:rPr>
                <w:rFonts w:cs="Arial"/>
              </w:rPr>
              <w:t xml:space="preserve"> 44)</w:t>
            </w:r>
          </w:p>
        </w:tc>
        <w:tc>
          <w:tcPr>
            <w:tcW w:w="2235" w:type="dxa"/>
          </w:tcPr>
          <w:p w14:paraId="0FA27D82" w14:textId="77777777" w:rsidR="002237A0" w:rsidRPr="00026EC1" w:rsidRDefault="002237A0" w:rsidP="00A64613">
            <w:pPr>
              <w:keepNext w:val="0"/>
              <w:rPr>
                <w:rFonts w:cs="Arial"/>
              </w:rPr>
            </w:pPr>
            <w:r w:rsidRPr="00026EC1">
              <w:rPr>
                <w:rFonts w:cs="Arial"/>
              </w:rPr>
              <w:t>x  15</w:t>
            </w:r>
          </w:p>
        </w:tc>
      </w:tr>
      <w:tr w:rsidR="002237A0" w:rsidRPr="00026EC1" w14:paraId="0977D55A" w14:textId="77777777" w:rsidTr="007F0FF6">
        <w:tc>
          <w:tcPr>
            <w:tcW w:w="1510" w:type="dxa"/>
          </w:tcPr>
          <w:p w14:paraId="3C47890A" w14:textId="77777777" w:rsidR="002237A0" w:rsidRPr="00026EC1" w:rsidRDefault="002237A0" w:rsidP="00A64613">
            <w:pPr>
              <w:keepNext w:val="0"/>
              <w:rPr>
                <w:rFonts w:cs="Arial"/>
              </w:rPr>
            </w:pPr>
          </w:p>
        </w:tc>
        <w:tc>
          <w:tcPr>
            <w:tcW w:w="3600" w:type="dxa"/>
          </w:tcPr>
          <w:p w14:paraId="1F6109B8" w14:textId="77777777" w:rsidR="002237A0" w:rsidRPr="00026EC1" w:rsidRDefault="002237A0" w:rsidP="00A64613">
            <w:pPr>
              <w:keepNext w:val="0"/>
              <w:rPr>
                <w:rFonts w:cs="Arial"/>
              </w:rPr>
            </w:pPr>
            <w:r w:rsidRPr="00026EC1">
              <w:rPr>
                <w:rFonts w:cs="Arial"/>
              </w:rPr>
              <w:t>rémunérées à titre de</w:t>
            </w:r>
          </w:p>
        </w:tc>
        <w:tc>
          <w:tcPr>
            <w:tcW w:w="720" w:type="dxa"/>
          </w:tcPr>
          <w:p w14:paraId="68BE9D73" w14:textId="77777777" w:rsidR="002237A0" w:rsidRPr="00026EC1" w:rsidRDefault="002237A0" w:rsidP="00A64613">
            <w:pPr>
              <w:keepNext w:val="0"/>
              <w:rPr>
                <w:rFonts w:cs="Arial"/>
              </w:rPr>
            </w:pPr>
          </w:p>
        </w:tc>
        <w:tc>
          <w:tcPr>
            <w:tcW w:w="1260" w:type="dxa"/>
            <w:tcBorders>
              <w:top w:val="single" w:sz="4" w:space="0" w:color="auto"/>
            </w:tcBorders>
          </w:tcPr>
          <w:p w14:paraId="73AB3B29" w14:textId="77777777" w:rsidR="002237A0" w:rsidRPr="00026EC1" w:rsidRDefault="002237A0" w:rsidP="00A64613">
            <w:pPr>
              <w:pStyle w:val="Header"/>
              <w:keepNext w:val="0"/>
              <w:spacing w:after="0"/>
              <w:rPr>
                <w:rFonts w:cs="Arial"/>
              </w:rPr>
            </w:pPr>
            <w:r w:rsidRPr="00026EC1">
              <w:rPr>
                <w:rFonts w:cs="Arial"/>
              </w:rPr>
              <w:t>3</w:t>
            </w:r>
          </w:p>
        </w:tc>
        <w:tc>
          <w:tcPr>
            <w:tcW w:w="2235" w:type="dxa"/>
          </w:tcPr>
          <w:p w14:paraId="0B0993CD" w14:textId="77777777" w:rsidR="002237A0" w:rsidRPr="00026EC1" w:rsidRDefault="002237A0" w:rsidP="00A64613">
            <w:pPr>
              <w:keepNext w:val="0"/>
              <w:rPr>
                <w:rFonts w:cs="Arial"/>
              </w:rPr>
            </w:pPr>
          </w:p>
        </w:tc>
      </w:tr>
      <w:tr w:rsidR="002237A0" w:rsidRPr="00026EC1" w14:paraId="412710FA" w14:textId="77777777" w:rsidTr="007F0FF6">
        <w:tc>
          <w:tcPr>
            <w:tcW w:w="1510" w:type="dxa"/>
          </w:tcPr>
          <w:p w14:paraId="554081CF" w14:textId="77777777" w:rsidR="002237A0" w:rsidRPr="00026EC1" w:rsidRDefault="002237A0" w:rsidP="00A64613">
            <w:pPr>
              <w:keepNext w:val="0"/>
              <w:rPr>
                <w:rFonts w:cs="Arial"/>
              </w:rPr>
            </w:pPr>
          </w:p>
        </w:tc>
        <w:tc>
          <w:tcPr>
            <w:tcW w:w="3600" w:type="dxa"/>
          </w:tcPr>
          <w:p w14:paraId="26C0D12B" w14:textId="77777777" w:rsidR="002237A0" w:rsidRPr="00026EC1" w:rsidRDefault="002237A0" w:rsidP="00A64613">
            <w:pPr>
              <w:keepNext w:val="0"/>
              <w:rPr>
                <w:rFonts w:cs="Arial"/>
              </w:rPr>
            </w:pPr>
            <w:r w:rsidRPr="00026EC1">
              <w:rPr>
                <w:rFonts w:cs="Arial"/>
              </w:rPr>
              <w:t>charge additionnelle</w:t>
            </w:r>
          </w:p>
        </w:tc>
        <w:tc>
          <w:tcPr>
            <w:tcW w:w="720" w:type="dxa"/>
          </w:tcPr>
          <w:p w14:paraId="4E2538D6" w14:textId="77777777" w:rsidR="002237A0" w:rsidRPr="00026EC1" w:rsidRDefault="002237A0" w:rsidP="00A64613">
            <w:pPr>
              <w:keepNext w:val="0"/>
              <w:rPr>
                <w:rFonts w:cs="Arial"/>
              </w:rPr>
            </w:pPr>
          </w:p>
        </w:tc>
        <w:tc>
          <w:tcPr>
            <w:tcW w:w="3495" w:type="dxa"/>
            <w:gridSpan w:val="2"/>
          </w:tcPr>
          <w:p w14:paraId="050237E5" w14:textId="77777777" w:rsidR="002237A0" w:rsidRPr="00026EC1" w:rsidRDefault="002237A0" w:rsidP="00A64613">
            <w:pPr>
              <w:keepNext w:val="0"/>
              <w:rPr>
                <w:rFonts w:cs="Arial"/>
              </w:rPr>
            </w:pPr>
          </w:p>
        </w:tc>
      </w:tr>
    </w:tbl>
    <w:p w14:paraId="5060501B" w14:textId="77777777" w:rsidR="00224F30" w:rsidRDefault="00224F30" w:rsidP="00A64613">
      <w:pPr>
        <w:keepNext w:val="0"/>
        <w:rPr>
          <w:rFonts w:cs="Arial"/>
        </w:rPr>
        <w:sectPr w:rsidR="00224F30" w:rsidSect="00522997">
          <w:headerReference w:type="default" r:id="rId26"/>
          <w:footnotePr>
            <w:numRestart w:val="eachPage"/>
          </w:footnotePr>
          <w:pgSz w:w="12240" w:h="15840" w:code="1"/>
          <w:pgMar w:top="720" w:right="1077" w:bottom="1242" w:left="1684" w:header="709" w:footer="709" w:gutter="0"/>
          <w:cols w:space="708"/>
          <w:docGrid w:linePitch="360"/>
        </w:sectPr>
      </w:pPr>
    </w:p>
    <w:p w14:paraId="63A7B645" w14:textId="0B034FAC" w:rsidR="00224F30" w:rsidRDefault="002237A0" w:rsidP="00224F30">
      <w:pPr>
        <w:pStyle w:val="Texte1cm"/>
        <w:keepNext w:val="0"/>
        <w:rPr>
          <w:rFonts w:cs="Arial"/>
        </w:rPr>
      </w:pPr>
      <w:r w:rsidRPr="00026EC1">
        <w:rPr>
          <w:rFonts w:cs="Arial"/>
        </w:rPr>
        <w:t>Si l’enseignante ou l’enseignant ayant reçu une telle rémunération additionnelle devient enseignante ou enseignant à temps complet, elle ou il reçoit, sous réserve des dispositions de l’alinéa d) de la clause 8</w:t>
      </w:r>
      <w:r w:rsidR="00984A6F">
        <w:rPr>
          <w:rFonts w:cs="Arial"/>
        </w:rPr>
        <w:noBreakHyphen/>
      </w:r>
      <w:r w:rsidRPr="00026EC1">
        <w:rPr>
          <w:rFonts w:cs="Arial"/>
        </w:rPr>
        <w:t>6.01, un plein salaire annuel.</w:t>
      </w:r>
    </w:p>
    <w:p w14:paraId="40B90A12" w14:textId="77777777" w:rsidR="00224F30" w:rsidRDefault="00224F30" w:rsidP="00224F30">
      <w:pPr>
        <w:pStyle w:val="Texte1cm"/>
        <w:keepNext w:val="0"/>
        <w:rPr>
          <w:rFonts w:cs="Arial"/>
        </w:rPr>
      </w:pPr>
    </w:p>
    <w:p w14:paraId="500B2C8A" w14:textId="3408628A" w:rsidR="002237A0" w:rsidRPr="00026EC1" w:rsidRDefault="002237A0" w:rsidP="00224F30">
      <w:pPr>
        <w:pStyle w:val="Texte1cm"/>
        <w:keepNext w:val="0"/>
        <w:ind w:hanging="567"/>
        <w:rPr>
          <w:rFonts w:cs="Arial"/>
        </w:rPr>
      </w:pPr>
      <w:r w:rsidRPr="00026EC1">
        <w:rPr>
          <w:rFonts w:cs="Arial"/>
        </w:rPr>
        <w:t>b)</w:t>
      </w:r>
      <w:r w:rsidRPr="00026EC1">
        <w:rPr>
          <w:rFonts w:cs="Arial"/>
        </w:rPr>
        <w:tab/>
        <w:t>L’enseignante ou l’enseignant à temps partiel engagé par contrat pour une pleine charge session à la session d’automne, qui signe dans une même année d’engagement un contrat pour une pleine charge session à la session d’hiver, devient enseignante ou enseignant à temps complet.</w:t>
      </w:r>
    </w:p>
    <w:p w14:paraId="57B899B3" w14:textId="77777777" w:rsidR="002237A0" w:rsidRPr="00026EC1" w:rsidRDefault="002237A0" w:rsidP="00A64613">
      <w:pPr>
        <w:keepNext w:val="0"/>
        <w:rPr>
          <w:rFonts w:cs="Arial"/>
        </w:rPr>
      </w:pPr>
    </w:p>
    <w:p w14:paraId="5FED539F" w14:textId="78DA81D2" w:rsidR="002237A0" w:rsidRPr="00026EC1" w:rsidRDefault="002237A0" w:rsidP="00A64613">
      <w:pPr>
        <w:keepNext w:val="0"/>
        <w:tabs>
          <w:tab w:val="left" w:pos="567"/>
        </w:tabs>
        <w:ind w:left="567" w:hanging="567"/>
        <w:rPr>
          <w:rFonts w:cs="Arial"/>
        </w:rPr>
      </w:pPr>
      <w:r w:rsidRPr="00026EC1">
        <w:rPr>
          <w:rFonts w:cs="Arial"/>
        </w:rPr>
        <w:t>c)</w:t>
      </w:r>
      <w:r w:rsidRPr="00026EC1">
        <w:rPr>
          <w:rFonts w:cs="Arial"/>
        </w:rPr>
        <w:tab/>
        <w:t>L’enseignante ou l’enseignant engagé à temps partiel dont la charge individuelle annuelle telle qu’elle est définie à la clause 8</w:t>
      </w:r>
      <w:r w:rsidR="00984A6F">
        <w:rPr>
          <w:rFonts w:cs="Arial"/>
        </w:rPr>
        <w:noBreakHyphen/>
      </w:r>
      <w:r w:rsidRPr="00026EC1">
        <w:rPr>
          <w:rFonts w:cs="Arial"/>
        </w:rPr>
        <w:t>6.01 atteint quatre</w:t>
      </w:r>
      <w:r w:rsidR="00984A6F">
        <w:rPr>
          <w:rFonts w:cs="Arial"/>
        </w:rPr>
        <w:noBreakHyphen/>
      </w:r>
      <w:r w:rsidRPr="00026EC1">
        <w:rPr>
          <w:rFonts w:cs="Arial"/>
        </w:rPr>
        <w:t>vingts (80) unités au cours d’une année d’engagement devient enseignante ou enseignant à temps complet.</w:t>
      </w:r>
    </w:p>
    <w:p w14:paraId="2EADF4AC" w14:textId="77777777" w:rsidR="002237A0" w:rsidRPr="00026EC1" w:rsidRDefault="002237A0" w:rsidP="00A64613">
      <w:pPr>
        <w:keepNext w:val="0"/>
        <w:rPr>
          <w:rFonts w:cs="Arial"/>
        </w:rPr>
      </w:pPr>
    </w:p>
    <w:p w14:paraId="62903244" w14:textId="5EE5377E" w:rsidR="002237A0" w:rsidRPr="00026EC1" w:rsidRDefault="002237A0" w:rsidP="00A64613">
      <w:pPr>
        <w:keepNext w:val="0"/>
        <w:tabs>
          <w:tab w:val="left" w:pos="567"/>
        </w:tabs>
        <w:ind w:left="567" w:hanging="567"/>
        <w:rPr>
          <w:rFonts w:cs="Arial"/>
        </w:rPr>
      </w:pPr>
      <w:r w:rsidRPr="00026EC1">
        <w:rPr>
          <w:rFonts w:cs="Arial"/>
        </w:rPr>
        <w:t>d)</w:t>
      </w:r>
      <w:r w:rsidRPr="00026EC1">
        <w:rPr>
          <w:rFonts w:cs="Arial"/>
        </w:rPr>
        <w:tab/>
        <w:t>L’enseignante ou l’enseignant à temps partiel ayant une charge de cinquante (50) unités ou plus à l’enseignement régulier qui donne aussi des cours à la formation continue, des cours d’été ou de la suppléance devient enseignante ou enseignant à temps complet si ces cours, lorsque comptabilisés selon l’Annexe I</w:t>
      </w:r>
      <w:r w:rsidR="00984A6F">
        <w:rPr>
          <w:rFonts w:cs="Arial"/>
        </w:rPr>
        <w:noBreakHyphen/>
      </w:r>
      <w:r w:rsidRPr="00026EC1">
        <w:rPr>
          <w:rFonts w:cs="Arial"/>
        </w:rPr>
        <w:t>1, lui permettent d’atteindre une charge de quatre</w:t>
      </w:r>
      <w:r w:rsidR="00984A6F">
        <w:rPr>
          <w:rFonts w:cs="Arial"/>
        </w:rPr>
        <w:noBreakHyphen/>
      </w:r>
      <w:r w:rsidRPr="00026EC1">
        <w:rPr>
          <w:rFonts w:cs="Arial"/>
        </w:rPr>
        <w:t>vingts (80) unités et qu’elle ou il ne l’atteindrait pas autrement.</w:t>
      </w:r>
    </w:p>
    <w:p w14:paraId="50E534FE" w14:textId="77777777" w:rsidR="002237A0" w:rsidRPr="00026EC1" w:rsidRDefault="002237A0" w:rsidP="00A64613">
      <w:pPr>
        <w:pStyle w:val="Texte1cm"/>
        <w:keepNext w:val="0"/>
        <w:rPr>
          <w:rFonts w:cs="Arial"/>
        </w:rPr>
      </w:pPr>
    </w:p>
    <w:p w14:paraId="042EC965" w14:textId="77777777" w:rsidR="002237A0" w:rsidRPr="00026EC1" w:rsidRDefault="002237A0" w:rsidP="00A64613">
      <w:pPr>
        <w:pStyle w:val="Texte1cm"/>
        <w:keepNext w:val="0"/>
        <w:rPr>
          <w:rFonts w:cs="Arial"/>
        </w:rPr>
      </w:pPr>
      <w:r w:rsidRPr="00026EC1">
        <w:rPr>
          <w:rFonts w:cs="Arial"/>
        </w:rPr>
        <w:t>Aux fins exclusives du présent alinéa, la fraction d’ETC obtenue par le rapport</w:t>
      </w:r>
    </w:p>
    <w:p w14:paraId="11F0E85C" w14:textId="77777777" w:rsidR="002237A0" w:rsidRPr="00026EC1" w:rsidRDefault="002237A0" w:rsidP="00A64613">
      <w:pPr>
        <w:keepNext w:val="0"/>
        <w:rPr>
          <w:rFonts w:cs="Arial"/>
        </w:rPr>
      </w:pPr>
      <w:r w:rsidRPr="00026EC1">
        <w:rPr>
          <w:rFonts w:cs="Arial"/>
          <w:noProof/>
          <w:lang w:val="fr-FR"/>
        </w:rPr>
        <mc:AlternateContent>
          <mc:Choice Requires="wps">
            <w:drawing>
              <wp:anchor distT="0" distB="0" distL="114300" distR="114300" simplePos="0" relativeHeight="251658247" behindDoc="0" locked="0" layoutInCell="1" allowOverlap="1" wp14:anchorId="391CD554" wp14:editId="2230BEA0">
                <wp:simplePos x="0" y="0"/>
                <wp:positionH relativeFrom="column">
                  <wp:posOffset>5666740</wp:posOffset>
                </wp:positionH>
                <wp:positionV relativeFrom="paragraph">
                  <wp:posOffset>120015</wp:posOffset>
                </wp:positionV>
                <wp:extent cx="114300" cy="457200"/>
                <wp:effectExtent l="8890" t="5715" r="10160" b="1333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8E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margin-left:446.2pt;margin-top:9.45pt;width:9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"/>
            </w:pict>
          </mc:Fallback>
        </mc:AlternateContent>
      </w:r>
      <w:r w:rsidRPr="00026EC1">
        <w:rPr>
          <w:rFonts w:cs="Arial"/>
          <w:noProof/>
          <w:lang w:val="fr-FR"/>
        </w:rPr>
        <mc:AlternateContent>
          <mc:Choice Requires="wps">
            <w:drawing>
              <wp:anchor distT="0" distB="0" distL="114300" distR="114300" simplePos="0" relativeHeight="251658246" behindDoc="0" locked="0" layoutInCell="1" allowOverlap="1" wp14:anchorId="430DC210" wp14:editId="01DAB3A9">
                <wp:simplePos x="0" y="0"/>
                <wp:positionH relativeFrom="column">
                  <wp:posOffset>1828800</wp:posOffset>
                </wp:positionH>
                <wp:positionV relativeFrom="paragraph">
                  <wp:posOffset>114300</wp:posOffset>
                </wp:positionV>
                <wp:extent cx="114300" cy="45720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FDF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2in;margin-top:9pt;width:9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"/>
            </w:pict>
          </mc:Fallback>
        </mc:AlternateContent>
      </w:r>
    </w:p>
    <w:tbl>
      <w:tblPr>
        <w:tblW w:w="0" w:type="auto"/>
        <w:tblInd w:w="599" w:type="dxa"/>
        <w:tblCellMar>
          <w:left w:w="70" w:type="dxa"/>
          <w:right w:w="70" w:type="dxa"/>
        </w:tblCellMar>
        <w:tblLook w:val="0000" w:firstRow="0" w:lastRow="0" w:firstColumn="0" w:lastColumn="0" w:noHBand="0" w:noVBand="0"/>
      </w:tblPr>
      <w:tblGrid>
        <w:gridCol w:w="1901"/>
        <w:gridCol w:w="450"/>
        <w:gridCol w:w="2702"/>
        <w:gridCol w:w="358"/>
        <w:gridCol w:w="3240"/>
      </w:tblGrid>
      <w:tr w:rsidR="002237A0" w:rsidRPr="00026EC1" w14:paraId="5E067AA1" w14:textId="77777777" w:rsidTr="007F0FF6">
        <w:tc>
          <w:tcPr>
            <w:tcW w:w="1901" w:type="dxa"/>
            <w:tcBorders>
              <w:bottom w:val="single" w:sz="4" w:space="0" w:color="auto"/>
            </w:tcBorders>
          </w:tcPr>
          <w:p w14:paraId="620EBB88" w14:textId="77777777" w:rsidR="002237A0" w:rsidRPr="00026EC1" w:rsidRDefault="002237A0" w:rsidP="00A64613">
            <w:pPr>
              <w:pStyle w:val="Header"/>
              <w:keepNext w:val="0"/>
              <w:spacing w:after="80"/>
              <w:rPr>
                <w:rFonts w:cs="Arial"/>
              </w:rPr>
            </w:pPr>
            <w:r w:rsidRPr="00026EC1">
              <w:rPr>
                <w:rFonts w:cs="Arial"/>
              </w:rPr>
              <w:t>son salaire à temps complet</w:t>
            </w:r>
          </w:p>
        </w:tc>
        <w:tc>
          <w:tcPr>
            <w:tcW w:w="450" w:type="dxa"/>
            <w:tcBorders>
              <w:bottom w:val="single" w:sz="4" w:space="0" w:color="auto"/>
            </w:tcBorders>
            <w:vAlign w:val="center"/>
          </w:tcPr>
          <w:p w14:paraId="6A3D2D64" w14:textId="745BC487" w:rsidR="002237A0" w:rsidRPr="00026EC1" w:rsidRDefault="00984A6F" w:rsidP="00A64613">
            <w:pPr>
              <w:keepNext w:val="0"/>
              <w:spacing w:after="80"/>
              <w:jc w:val="center"/>
              <w:rPr>
                <w:rFonts w:cs="Arial"/>
              </w:rPr>
            </w:pPr>
            <w:r>
              <w:rPr>
                <w:rFonts w:cs="Arial"/>
              </w:rPr>
              <w:noBreakHyphen/>
            </w:r>
          </w:p>
        </w:tc>
        <w:tc>
          <w:tcPr>
            <w:tcW w:w="2702" w:type="dxa"/>
            <w:tcBorders>
              <w:bottom w:val="single" w:sz="4" w:space="0" w:color="auto"/>
            </w:tcBorders>
          </w:tcPr>
          <w:p w14:paraId="48033F20" w14:textId="77777777" w:rsidR="002237A0" w:rsidRPr="00026EC1" w:rsidRDefault="002237A0" w:rsidP="00A64613">
            <w:pPr>
              <w:pStyle w:val="CommentText"/>
              <w:keepNext w:val="0"/>
              <w:tabs>
                <w:tab w:val="clear" w:pos="3969"/>
              </w:tabs>
              <w:spacing w:after="80"/>
              <w:jc w:val="left"/>
              <w:rPr>
                <w:rFonts w:cs="Arial"/>
              </w:rPr>
            </w:pPr>
            <w:r w:rsidRPr="00026EC1">
              <w:rPr>
                <w:rFonts w:cs="Arial"/>
              </w:rPr>
              <w:t>son salaire pour sa charge à temps partiel</w:t>
            </w:r>
          </w:p>
        </w:tc>
        <w:tc>
          <w:tcPr>
            <w:tcW w:w="358" w:type="dxa"/>
            <w:tcBorders>
              <w:bottom w:val="single" w:sz="4" w:space="0" w:color="auto"/>
            </w:tcBorders>
            <w:vAlign w:val="center"/>
          </w:tcPr>
          <w:p w14:paraId="3F999ABF" w14:textId="77777777" w:rsidR="002237A0" w:rsidRPr="00026EC1" w:rsidRDefault="002237A0" w:rsidP="00A64613">
            <w:pPr>
              <w:keepNext w:val="0"/>
              <w:spacing w:after="80"/>
              <w:jc w:val="center"/>
              <w:rPr>
                <w:rFonts w:cs="Arial"/>
              </w:rPr>
            </w:pPr>
            <w:r w:rsidRPr="00026EC1">
              <w:rPr>
                <w:rFonts w:cs="Arial"/>
              </w:rPr>
              <w:t>+</w:t>
            </w:r>
          </w:p>
        </w:tc>
        <w:tc>
          <w:tcPr>
            <w:tcW w:w="3240" w:type="dxa"/>
            <w:tcBorders>
              <w:bottom w:val="single" w:sz="4" w:space="0" w:color="auto"/>
            </w:tcBorders>
          </w:tcPr>
          <w:p w14:paraId="02D26F5A" w14:textId="77777777" w:rsidR="002237A0" w:rsidRPr="00026EC1" w:rsidRDefault="002237A0" w:rsidP="00A64613">
            <w:pPr>
              <w:keepNext w:val="0"/>
              <w:spacing w:after="80"/>
              <w:jc w:val="left"/>
              <w:rPr>
                <w:rFonts w:cs="Arial"/>
              </w:rPr>
            </w:pPr>
            <w:r w:rsidRPr="00026EC1">
              <w:rPr>
                <w:rFonts w:cs="Arial"/>
              </w:rPr>
              <w:t xml:space="preserve">son salaire comme </w:t>
            </w:r>
            <w:r w:rsidRPr="00026EC1">
              <w:rPr>
                <w:rFonts w:cs="Arial"/>
              </w:rPr>
              <w:br/>
              <w:t>chargée ou chargé de cours</w:t>
            </w:r>
          </w:p>
        </w:tc>
      </w:tr>
      <w:tr w:rsidR="002237A0" w:rsidRPr="00026EC1" w14:paraId="1641F5E4" w14:textId="77777777" w:rsidTr="007F0FF6">
        <w:trPr>
          <w:cantSplit/>
          <w:trHeight w:val="410"/>
        </w:trPr>
        <w:tc>
          <w:tcPr>
            <w:tcW w:w="8651" w:type="dxa"/>
            <w:gridSpan w:val="5"/>
            <w:tcBorders>
              <w:top w:val="single" w:sz="4" w:space="0" w:color="auto"/>
            </w:tcBorders>
          </w:tcPr>
          <w:p w14:paraId="399B4F67" w14:textId="77777777" w:rsidR="002237A0" w:rsidRPr="00026EC1" w:rsidRDefault="002237A0" w:rsidP="00A64613">
            <w:pPr>
              <w:pStyle w:val="Header"/>
              <w:keepNext w:val="0"/>
              <w:spacing w:after="0"/>
              <w:rPr>
                <w:rFonts w:cs="Arial"/>
              </w:rPr>
            </w:pPr>
            <w:r w:rsidRPr="00026EC1">
              <w:rPr>
                <w:rFonts w:cs="Arial"/>
              </w:rPr>
              <w:t>son salaire à temps complet</w:t>
            </w:r>
          </w:p>
        </w:tc>
      </w:tr>
    </w:tbl>
    <w:p w14:paraId="7B82ECA3" w14:textId="77777777" w:rsidR="002237A0" w:rsidRPr="00026EC1" w:rsidRDefault="002237A0" w:rsidP="00A64613">
      <w:pPr>
        <w:keepNext w:val="0"/>
        <w:rPr>
          <w:rFonts w:cs="Arial"/>
        </w:rPr>
      </w:pPr>
    </w:p>
    <w:p w14:paraId="68BD2DFC" w14:textId="38B2036A" w:rsidR="002237A0" w:rsidRPr="00026EC1" w:rsidRDefault="002237A0" w:rsidP="00A64613">
      <w:pPr>
        <w:pStyle w:val="Texte1cm"/>
        <w:keepNext w:val="0"/>
        <w:rPr>
          <w:rFonts w:cs="Arial"/>
        </w:rPr>
      </w:pPr>
      <w:r w:rsidRPr="00026EC1">
        <w:rPr>
          <w:rFonts w:cs="Arial"/>
        </w:rPr>
        <w:t>est comblée à même les ressources prévues à l’article 8</w:t>
      </w:r>
      <w:r w:rsidR="00984A6F">
        <w:rPr>
          <w:rFonts w:cs="Arial"/>
        </w:rPr>
        <w:noBreakHyphen/>
      </w:r>
      <w:r w:rsidRPr="00026EC1">
        <w:rPr>
          <w:rFonts w:cs="Arial"/>
        </w:rPr>
        <w:t>5.00.</w:t>
      </w:r>
    </w:p>
    <w:p w14:paraId="3C9A17A8" w14:textId="77777777" w:rsidR="002237A0" w:rsidRPr="00026EC1" w:rsidRDefault="002237A0" w:rsidP="00A64613">
      <w:pPr>
        <w:keepNext w:val="0"/>
        <w:rPr>
          <w:rFonts w:cs="Arial"/>
        </w:rPr>
      </w:pPr>
    </w:p>
    <w:p w14:paraId="7E8A4C36" w14:textId="669301D0" w:rsidR="002237A0" w:rsidRPr="00026EC1" w:rsidRDefault="002237A0" w:rsidP="00A64613">
      <w:pPr>
        <w:pStyle w:val="NUMRODECLAUSE"/>
        <w:keepNext w:val="0"/>
      </w:pPr>
      <w:r w:rsidRPr="00026EC1">
        <w:t>5</w:t>
      </w:r>
      <w:r w:rsidR="00984A6F">
        <w:noBreakHyphen/>
      </w:r>
      <w:r w:rsidRPr="00026EC1">
        <w:t>1.04</w:t>
      </w:r>
    </w:p>
    <w:p w14:paraId="1A9ABF10" w14:textId="532ED905" w:rsidR="002237A0" w:rsidRPr="00026EC1" w:rsidRDefault="002237A0" w:rsidP="00A64613">
      <w:pPr>
        <w:keepNext w:val="0"/>
        <w:rPr>
          <w:rFonts w:cs="Arial"/>
        </w:rPr>
      </w:pPr>
      <w:r w:rsidRPr="00026EC1">
        <w:rPr>
          <w:rFonts w:cs="Arial"/>
        </w:rPr>
        <w:t>Sous réserve des règles prévues à l’article 5</w:t>
      </w:r>
      <w:r w:rsidR="00984A6F">
        <w:rPr>
          <w:rFonts w:cs="Arial"/>
        </w:rPr>
        <w:noBreakHyphen/>
      </w:r>
      <w:r w:rsidRPr="00026EC1">
        <w:rPr>
          <w:rFonts w:cs="Arial"/>
        </w:rPr>
        <w:t>4.00 pour l’affectation des enseignantes et enseignants non replacés, le Collège ne peut obliger une enseignante ou un enseignant à enseigner une discipline non prévue à son contrat.</w:t>
      </w:r>
    </w:p>
    <w:p w14:paraId="3DA07DA3" w14:textId="77777777" w:rsidR="002237A0" w:rsidRPr="00026EC1" w:rsidRDefault="002237A0" w:rsidP="00A64613">
      <w:pPr>
        <w:keepNext w:val="0"/>
        <w:rPr>
          <w:rFonts w:cs="Arial"/>
        </w:rPr>
      </w:pPr>
    </w:p>
    <w:p w14:paraId="5100B23A" w14:textId="4256A2DB" w:rsidR="002237A0" w:rsidRPr="00026EC1" w:rsidRDefault="002237A0" w:rsidP="00A64613">
      <w:pPr>
        <w:pStyle w:val="NUMRODECLAUSE"/>
        <w:keepNext w:val="0"/>
      </w:pPr>
      <w:r w:rsidRPr="00026EC1">
        <w:t>5</w:t>
      </w:r>
      <w:r w:rsidR="00984A6F">
        <w:noBreakHyphen/>
      </w:r>
      <w:r w:rsidRPr="00026EC1">
        <w:t>1.05</w:t>
      </w:r>
    </w:p>
    <w:p w14:paraId="22C23702" w14:textId="3B0B7DEF" w:rsidR="002237A0" w:rsidRPr="00026EC1" w:rsidRDefault="002237A0" w:rsidP="00A64613">
      <w:pPr>
        <w:keepNext w:val="0"/>
        <w:rPr>
          <w:rFonts w:cs="Arial"/>
        </w:rPr>
      </w:pPr>
      <w:r w:rsidRPr="00026EC1">
        <w:rPr>
          <w:rFonts w:cs="Arial"/>
        </w:rPr>
        <w:t>Aux fins d’application locale de l’article 8</w:t>
      </w:r>
      <w:r w:rsidR="00984A6F">
        <w:rPr>
          <w:rFonts w:cs="Arial"/>
        </w:rPr>
        <w:noBreakHyphen/>
      </w:r>
      <w:r w:rsidRPr="00026EC1">
        <w:rPr>
          <w:rFonts w:cs="Arial"/>
        </w:rPr>
        <w:t>5.00 et des clauses 5</w:t>
      </w:r>
      <w:r w:rsidR="00984A6F">
        <w:rPr>
          <w:rFonts w:cs="Arial"/>
        </w:rPr>
        <w:noBreakHyphen/>
      </w:r>
      <w:r w:rsidRPr="00026EC1">
        <w:rPr>
          <w:rFonts w:cs="Arial"/>
        </w:rPr>
        <w:t>1.04, 5</w:t>
      </w:r>
      <w:r w:rsidR="00984A6F">
        <w:rPr>
          <w:rFonts w:cs="Arial"/>
        </w:rPr>
        <w:noBreakHyphen/>
      </w:r>
      <w:r w:rsidRPr="00026EC1">
        <w:rPr>
          <w:rFonts w:cs="Arial"/>
        </w:rPr>
        <w:t>3.04, 5</w:t>
      </w:r>
      <w:r w:rsidR="00984A6F">
        <w:rPr>
          <w:rFonts w:cs="Arial"/>
        </w:rPr>
        <w:noBreakHyphen/>
      </w:r>
      <w:r w:rsidRPr="00026EC1">
        <w:rPr>
          <w:rFonts w:cs="Arial"/>
        </w:rPr>
        <w:t>4.05 et 5</w:t>
      </w:r>
      <w:r w:rsidR="00984A6F">
        <w:rPr>
          <w:rFonts w:cs="Arial"/>
        </w:rPr>
        <w:noBreakHyphen/>
      </w:r>
      <w:r w:rsidRPr="00026EC1">
        <w:rPr>
          <w:rFonts w:cs="Arial"/>
        </w:rPr>
        <w:t>4.06 de la convention collective, les disciplines énumérées à l’Annexe I</w:t>
      </w:r>
      <w:r w:rsidR="00984A6F">
        <w:rPr>
          <w:rFonts w:cs="Arial"/>
        </w:rPr>
        <w:noBreakHyphen/>
      </w:r>
      <w:r w:rsidRPr="00026EC1">
        <w:rPr>
          <w:rFonts w:cs="Arial"/>
        </w:rPr>
        <w:t>3 peuvent être fractionnées ou regroupées pour tenir compte des spécialités propres à un Collège, conformément aux dispositions de l’Annexe I</w:t>
      </w:r>
      <w:r w:rsidR="00984A6F">
        <w:rPr>
          <w:rFonts w:cs="Arial"/>
        </w:rPr>
        <w:noBreakHyphen/>
      </w:r>
      <w:r w:rsidRPr="00026EC1">
        <w:rPr>
          <w:rFonts w:cs="Arial"/>
        </w:rPr>
        <w:t>4.</w:t>
      </w:r>
    </w:p>
    <w:p w14:paraId="0FC51CB3" w14:textId="77777777" w:rsidR="002237A0" w:rsidRPr="00026EC1" w:rsidRDefault="002237A0" w:rsidP="00A64613">
      <w:pPr>
        <w:keepNext w:val="0"/>
        <w:rPr>
          <w:rFonts w:cs="Arial"/>
        </w:rPr>
      </w:pPr>
    </w:p>
    <w:p w14:paraId="17EAB1C2" w14:textId="4F023691" w:rsidR="002237A0" w:rsidRPr="00026EC1" w:rsidRDefault="002237A0" w:rsidP="00A64613">
      <w:pPr>
        <w:keepNext w:val="0"/>
        <w:rPr>
          <w:rFonts w:cs="Arial"/>
        </w:rPr>
      </w:pPr>
      <w:r w:rsidRPr="00026EC1">
        <w:rPr>
          <w:rFonts w:cs="Arial"/>
        </w:rPr>
        <w:t>Toutefois, les inscriptions sur les listes du Bureau de placement se font conformément à la liste de l’Annexe I</w:t>
      </w:r>
      <w:r w:rsidR="00984A6F">
        <w:rPr>
          <w:rFonts w:cs="Arial"/>
        </w:rPr>
        <w:noBreakHyphen/>
      </w:r>
      <w:r w:rsidRPr="00026EC1">
        <w:rPr>
          <w:rFonts w:cs="Arial"/>
        </w:rPr>
        <w:t>3 et les modalités de la sécurité d’emploi s’appliquent alors en conséquence.</w:t>
      </w:r>
    </w:p>
    <w:p w14:paraId="21B211D5" w14:textId="186A9596" w:rsidR="00224F30" w:rsidRDefault="00224F30">
      <w:pPr>
        <w:keepNext w:val="0"/>
        <w:suppressAutoHyphens w:val="0"/>
        <w:jc w:val="left"/>
        <w:rPr>
          <w:rFonts w:cs="Arial"/>
        </w:rPr>
      </w:pPr>
      <w:r>
        <w:rPr>
          <w:rFonts w:cs="Arial"/>
        </w:rPr>
        <w:br w:type="page"/>
      </w:r>
    </w:p>
    <w:p w14:paraId="4762CE41" w14:textId="0FB5676F" w:rsidR="002237A0" w:rsidRPr="00026EC1" w:rsidRDefault="002237A0" w:rsidP="00A64613">
      <w:pPr>
        <w:pStyle w:val="NUMRODECLAUSE"/>
        <w:keepNext w:val="0"/>
      </w:pPr>
      <w:r w:rsidRPr="00026EC1">
        <w:t>5</w:t>
      </w:r>
      <w:r w:rsidR="00984A6F">
        <w:noBreakHyphen/>
      </w:r>
      <w:r w:rsidRPr="00026EC1">
        <w:t>1.06</w:t>
      </w:r>
    </w:p>
    <w:p w14:paraId="348F5E18" w14:textId="77777777" w:rsidR="002237A0" w:rsidRPr="00026EC1" w:rsidRDefault="002237A0" w:rsidP="00A64613">
      <w:pPr>
        <w:keepNext w:val="0"/>
        <w:rPr>
          <w:rFonts w:cs="Arial"/>
        </w:rPr>
      </w:pPr>
      <w:r w:rsidRPr="00026EC1">
        <w:rPr>
          <w:rFonts w:cs="Arial"/>
        </w:rPr>
        <w:t>L’enseignante ou l’enseignant permanent peut démissionner pour l’année d’enseignement suivante moyennant un avis écrit donné au Collège au plus tard le 1</w:t>
      </w:r>
      <w:r w:rsidRPr="00026EC1">
        <w:rPr>
          <w:rFonts w:cs="Arial"/>
          <w:vertAlign w:val="superscript"/>
        </w:rPr>
        <w:t>er</w:t>
      </w:r>
      <w:r w:rsidRPr="00026EC1">
        <w:rPr>
          <w:rFonts w:cs="Arial"/>
        </w:rPr>
        <w:t> avril.</w:t>
      </w:r>
    </w:p>
    <w:p w14:paraId="7B198752" w14:textId="77777777" w:rsidR="002237A0" w:rsidRPr="00026EC1" w:rsidRDefault="002237A0" w:rsidP="00A64613">
      <w:pPr>
        <w:keepNext w:val="0"/>
        <w:rPr>
          <w:rFonts w:cs="Arial"/>
        </w:rPr>
      </w:pPr>
    </w:p>
    <w:p w14:paraId="1D69555E" w14:textId="6E31A461" w:rsidR="002237A0" w:rsidRPr="00026EC1" w:rsidRDefault="002237A0" w:rsidP="00A64613">
      <w:pPr>
        <w:keepNext w:val="0"/>
        <w:rPr>
          <w:rFonts w:cs="Arial"/>
        </w:rPr>
      </w:pPr>
      <w:r w:rsidRPr="00026EC1">
        <w:rPr>
          <w:rFonts w:cs="Arial"/>
        </w:rPr>
        <w:t>Après cette date, cette enseignante ou cet enseignant ne peut ainsi démissionner sans le consentement du Collège. Le Collège ne retient pas son consentement de façon déraisonnable. S’il y a arbitrage, le tribunal a le pouvoir de décider le bien</w:t>
      </w:r>
      <w:r w:rsidR="00984A6F">
        <w:rPr>
          <w:rFonts w:cs="Arial"/>
        </w:rPr>
        <w:noBreakHyphen/>
      </w:r>
      <w:r w:rsidRPr="00026EC1">
        <w:rPr>
          <w:rFonts w:cs="Arial"/>
        </w:rPr>
        <w:t>fondé du grief et des motifs respectifs en tenant compte des circonstances; il peut en outre accorder une indemnité à la partie lésée. L’enseignante ou l’enseignant qui donne un tel avis demeure à l’emploi du Collège et touche son salaire jusqu’à la date de son départ.</w:t>
      </w:r>
    </w:p>
    <w:p w14:paraId="6CFCC54C" w14:textId="77777777" w:rsidR="002237A0" w:rsidRPr="00026EC1" w:rsidRDefault="002237A0" w:rsidP="00A64613">
      <w:pPr>
        <w:keepNext w:val="0"/>
        <w:rPr>
          <w:rFonts w:cs="Arial"/>
        </w:rPr>
      </w:pPr>
    </w:p>
    <w:p w14:paraId="3829DFC2" w14:textId="0F54A2E4" w:rsidR="002237A0" w:rsidRPr="00026EC1" w:rsidRDefault="002237A0" w:rsidP="00A64613">
      <w:pPr>
        <w:pStyle w:val="NUMRODECLAUSE"/>
        <w:keepNext w:val="0"/>
      </w:pPr>
      <w:r w:rsidRPr="00026EC1">
        <w:t>5</w:t>
      </w:r>
      <w:r w:rsidR="00984A6F">
        <w:noBreakHyphen/>
      </w:r>
      <w:r w:rsidRPr="00026EC1">
        <w:t>1.07</w:t>
      </w:r>
    </w:p>
    <w:p w14:paraId="3979E5BA" w14:textId="5F0C444A" w:rsidR="002237A0" w:rsidRPr="00026EC1" w:rsidRDefault="002237A0" w:rsidP="00A64613">
      <w:pPr>
        <w:keepNext w:val="0"/>
        <w:rPr>
          <w:rFonts w:cs="Arial"/>
        </w:rPr>
      </w:pPr>
      <w:r w:rsidRPr="00026EC1">
        <w:rPr>
          <w:rFonts w:cs="Arial"/>
        </w:rPr>
        <w:t>Avant le 1</w:t>
      </w:r>
      <w:r w:rsidRPr="00026EC1">
        <w:rPr>
          <w:rFonts w:cs="Arial"/>
          <w:vertAlign w:val="superscript"/>
        </w:rPr>
        <w:t>er</w:t>
      </w:r>
      <w:r w:rsidRPr="00026EC1">
        <w:rPr>
          <w:rFonts w:cs="Arial"/>
        </w:rPr>
        <w:t> juin, le Collège fait connaître par écrit à l’enseignante ou l’enseignant non permanent les motifs précis retenus contre elle ou lui pour le non</w:t>
      </w:r>
      <w:r w:rsidR="00984A6F">
        <w:rPr>
          <w:rFonts w:cs="Arial"/>
        </w:rPr>
        <w:noBreakHyphen/>
      </w:r>
      <w:r w:rsidRPr="00026EC1">
        <w:rPr>
          <w:rFonts w:cs="Arial"/>
        </w:rPr>
        <w:t>octroi de la priorité d’emploi prévue à la clause 5</w:t>
      </w:r>
      <w:r w:rsidR="00984A6F">
        <w:rPr>
          <w:rFonts w:cs="Arial"/>
        </w:rPr>
        <w:noBreakHyphen/>
      </w:r>
      <w:r w:rsidRPr="00026EC1">
        <w:rPr>
          <w:rFonts w:cs="Arial"/>
        </w:rPr>
        <w:t>4.17.</w:t>
      </w:r>
    </w:p>
    <w:p w14:paraId="146ED8A8" w14:textId="77777777" w:rsidR="002237A0" w:rsidRPr="00026EC1" w:rsidRDefault="002237A0" w:rsidP="00A64613">
      <w:pPr>
        <w:keepNext w:val="0"/>
        <w:rPr>
          <w:rFonts w:cs="Arial"/>
        </w:rPr>
      </w:pPr>
    </w:p>
    <w:p w14:paraId="7B7A4E77" w14:textId="77777777" w:rsidR="002237A0" w:rsidRPr="00026EC1" w:rsidRDefault="002237A0" w:rsidP="00A64613">
      <w:pPr>
        <w:keepNext w:val="0"/>
        <w:rPr>
          <w:rFonts w:cs="Arial"/>
        </w:rPr>
      </w:pPr>
      <w:r w:rsidRPr="00026EC1">
        <w:rPr>
          <w:rFonts w:cs="Arial"/>
        </w:rPr>
        <w:t>Le Collège fait parvenir en même temps au Syndicat une copie de cet avis.</w:t>
      </w:r>
    </w:p>
    <w:p w14:paraId="1E21163B" w14:textId="77777777" w:rsidR="002237A0" w:rsidRPr="00026EC1" w:rsidRDefault="002237A0" w:rsidP="00A64613">
      <w:pPr>
        <w:keepNext w:val="0"/>
        <w:rPr>
          <w:rFonts w:cs="Arial"/>
        </w:rPr>
      </w:pPr>
    </w:p>
    <w:p w14:paraId="765E9798" w14:textId="6BFF76FD" w:rsidR="002237A0" w:rsidRPr="00026EC1" w:rsidRDefault="002237A0" w:rsidP="00A64613">
      <w:pPr>
        <w:pStyle w:val="NUMRODECLAUSE"/>
        <w:keepNext w:val="0"/>
      </w:pPr>
      <w:r w:rsidRPr="00026EC1">
        <w:t>5</w:t>
      </w:r>
      <w:r w:rsidR="00984A6F">
        <w:noBreakHyphen/>
      </w:r>
      <w:r w:rsidRPr="00026EC1">
        <w:t>1.08</w:t>
      </w:r>
    </w:p>
    <w:p w14:paraId="25EA8AF8" w14:textId="636EFBCF" w:rsidR="002237A0" w:rsidRPr="00026EC1" w:rsidRDefault="002237A0" w:rsidP="00A64613">
      <w:pPr>
        <w:keepNext w:val="0"/>
        <w:rPr>
          <w:rFonts w:cs="Arial"/>
        </w:rPr>
      </w:pPr>
      <w:r w:rsidRPr="00026EC1">
        <w:rPr>
          <w:rFonts w:cs="Arial"/>
        </w:rPr>
        <w:t>Le non</w:t>
      </w:r>
      <w:r w:rsidR="00984A6F">
        <w:rPr>
          <w:rFonts w:cs="Arial"/>
        </w:rPr>
        <w:noBreakHyphen/>
      </w:r>
      <w:r w:rsidRPr="00026EC1">
        <w:rPr>
          <w:rFonts w:cs="Arial"/>
        </w:rPr>
        <w:t>octroi de la priorité d’emploi prévue à la clause 5</w:t>
      </w:r>
      <w:r w:rsidR="00984A6F">
        <w:rPr>
          <w:rFonts w:cs="Arial"/>
        </w:rPr>
        <w:noBreakHyphen/>
      </w:r>
      <w:r w:rsidRPr="00026EC1">
        <w:rPr>
          <w:rFonts w:cs="Arial"/>
        </w:rPr>
        <w:t>4.17 à une enseignante ou à un enseignant non permanent qui, selon la première des éventualités suivantes, a</w:t>
      </w:r>
      <w:r w:rsidR="00D8581B">
        <w:rPr>
          <w:rFonts w:cs="Arial"/>
        </w:rPr>
        <w:t> :</w:t>
      </w:r>
      <w:r w:rsidRPr="00026EC1">
        <w:rPr>
          <w:rFonts w:cs="Arial"/>
          <w:bCs/>
        </w:rPr>
        <w:t xml:space="preserve"> </w:t>
      </w:r>
    </w:p>
    <w:p w14:paraId="31E22389" w14:textId="77777777" w:rsidR="002237A0" w:rsidRPr="00026EC1" w:rsidRDefault="002237A0" w:rsidP="00A64613">
      <w:pPr>
        <w:keepNext w:val="0"/>
        <w:rPr>
          <w:rFonts w:cs="Arial"/>
        </w:rPr>
      </w:pPr>
    </w:p>
    <w:p w14:paraId="4B7A17A2" w14:textId="4616E9F3" w:rsidR="002237A0" w:rsidRPr="00026EC1" w:rsidRDefault="002237A0" w:rsidP="00A64613">
      <w:pPr>
        <w:keepNext w:val="0"/>
        <w:tabs>
          <w:tab w:val="left" w:pos="567"/>
        </w:tabs>
        <w:ind w:left="567" w:hanging="567"/>
        <w:rPr>
          <w:rFonts w:cs="Arial"/>
        </w:rPr>
      </w:pPr>
      <w:r w:rsidRPr="00026EC1">
        <w:rPr>
          <w:rFonts w:cs="Arial"/>
        </w:rPr>
        <w:t>a)</w:t>
      </w:r>
      <w:r w:rsidRPr="00026EC1">
        <w:rPr>
          <w:rFonts w:cs="Arial"/>
        </w:rPr>
        <w:tab/>
        <w:t>occupé une charge d’enseignement à temps complet jusqu’au terme de celle</w:t>
      </w:r>
      <w:r w:rsidR="00984A6F">
        <w:rPr>
          <w:rFonts w:cs="Arial"/>
        </w:rPr>
        <w:noBreakHyphen/>
      </w:r>
      <w:r w:rsidRPr="00026EC1">
        <w:rPr>
          <w:rFonts w:cs="Arial"/>
        </w:rPr>
        <w:t>ci;</w:t>
      </w:r>
    </w:p>
    <w:p w14:paraId="25E98C07" w14:textId="77777777" w:rsidR="002237A0" w:rsidRPr="00026EC1" w:rsidRDefault="002237A0" w:rsidP="00A64613">
      <w:pPr>
        <w:keepNext w:val="0"/>
        <w:rPr>
          <w:rFonts w:cs="Arial"/>
        </w:rPr>
      </w:pPr>
    </w:p>
    <w:p w14:paraId="0BADAAC8" w14:textId="22064775" w:rsidR="002237A0" w:rsidRPr="00026EC1" w:rsidRDefault="002237A0" w:rsidP="00A64613">
      <w:pPr>
        <w:keepNext w:val="0"/>
        <w:tabs>
          <w:tab w:val="left" w:pos="567"/>
        </w:tabs>
        <w:ind w:left="567" w:hanging="567"/>
        <w:rPr>
          <w:rFonts w:cs="Arial"/>
        </w:rPr>
      </w:pPr>
      <w:r w:rsidRPr="00026EC1">
        <w:rPr>
          <w:rFonts w:cs="Arial"/>
        </w:rPr>
        <w:t>b)</w:t>
      </w:r>
      <w:r w:rsidRPr="00026EC1">
        <w:rPr>
          <w:rFonts w:cs="Arial"/>
        </w:rPr>
        <w:tab/>
        <w:t>occupé une charge d’enseignement équivalente au moins à zéro virgule cinquante</w:t>
      </w:r>
      <w:r w:rsidR="00505124">
        <w:rPr>
          <w:rFonts w:cs="Arial"/>
        </w:rPr>
        <w:t> </w:t>
      </w:r>
      <w:r w:rsidRPr="00026EC1">
        <w:rPr>
          <w:rFonts w:cs="Arial"/>
        </w:rPr>
        <w:t xml:space="preserve">(0,50) équivalent temps complet par année pendant deux (2) années d’engagement consécutives; </w:t>
      </w:r>
    </w:p>
    <w:p w14:paraId="207D8403" w14:textId="77777777" w:rsidR="002237A0" w:rsidRPr="00026EC1" w:rsidRDefault="002237A0" w:rsidP="00A64613">
      <w:pPr>
        <w:keepNext w:val="0"/>
        <w:rPr>
          <w:rFonts w:cs="Arial"/>
        </w:rPr>
      </w:pPr>
    </w:p>
    <w:p w14:paraId="0A3E3A44" w14:textId="77777777" w:rsidR="002237A0" w:rsidRPr="00026EC1" w:rsidRDefault="002237A0" w:rsidP="00A64613">
      <w:pPr>
        <w:keepNext w:val="0"/>
        <w:tabs>
          <w:tab w:val="left" w:pos="567"/>
        </w:tabs>
        <w:ind w:left="567" w:hanging="567"/>
        <w:rPr>
          <w:rFonts w:cs="Arial"/>
        </w:rPr>
      </w:pPr>
      <w:r w:rsidRPr="00026EC1">
        <w:rPr>
          <w:rFonts w:cs="Arial"/>
        </w:rPr>
        <w:t>c)</w:t>
      </w:r>
      <w:r w:rsidRPr="00026EC1">
        <w:rPr>
          <w:rFonts w:cs="Arial"/>
        </w:rPr>
        <w:tab/>
        <w:t>cumulé une année et demie (1,5) d’ancienneté;</w:t>
      </w:r>
    </w:p>
    <w:p w14:paraId="104DE7A5" w14:textId="77777777" w:rsidR="002237A0" w:rsidRPr="00026EC1" w:rsidRDefault="002237A0" w:rsidP="00A64613">
      <w:pPr>
        <w:keepNext w:val="0"/>
        <w:rPr>
          <w:rFonts w:cs="Arial"/>
        </w:rPr>
      </w:pPr>
    </w:p>
    <w:p w14:paraId="17BC6D7A" w14:textId="77777777" w:rsidR="002237A0" w:rsidRPr="00026EC1" w:rsidRDefault="002237A0" w:rsidP="00A64613">
      <w:pPr>
        <w:keepNext w:val="0"/>
        <w:rPr>
          <w:rFonts w:cs="Arial"/>
        </w:rPr>
      </w:pPr>
      <w:r w:rsidRPr="00026EC1">
        <w:rPr>
          <w:rFonts w:cs="Arial"/>
        </w:rPr>
        <w:t>est matière à grief.</w:t>
      </w:r>
    </w:p>
    <w:p w14:paraId="32C08E34" w14:textId="77777777" w:rsidR="002237A0" w:rsidRPr="00026EC1" w:rsidRDefault="002237A0" w:rsidP="00A64613">
      <w:pPr>
        <w:keepNext w:val="0"/>
        <w:rPr>
          <w:rFonts w:cs="Arial"/>
        </w:rPr>
      </w:pPr>
    </w:p>
    <w:p w14:paraId="201C332A" w14:textId="77777777" w:rsidR="002237A0" w:rsidRPr="00026EC1" w:rsidRDefault="002237A0" w:rsidP="00A64613">
      <w:pPr>
        <w:keepNext w:val="0"/>
        <w:rPr>
          <w:rFonts w:cs="Arial"/>
        </w:rPr>
      </w:pPr>
      <w:r w:rsidRPr="00026EC1">
        <w:rPr>
          <w:rFonts w:cs="Arial"/>
        </w:rPr>
        <w:t>En cas de grief en vertu de la présente clause, il appartient au Collège d’établir que sa décision de ne pas octroyer à l’enseignante ou à l’enseignant la priorité d’emploi l’est pour cause juste.</w:t>
      </w:r>
    </w:p>
    <w:p w14:paraId="74E396AA" w14:textId="77777777" w:rsidR="002237A0" w:rsidRPr="00026EC1" w:rsidRDefault="002237A0" w:rsidP="00A64613">
      <w:pPr>
        <w:keepNext w:val="0"/>
        <w:rPr>
          <w:rFonts w:cs="Arial"/>
        </w:rPr>
      </w:pPr>
    </w:p>
    <w:p w14:paraId="5A17F1BD" w14:textId="5B077FE5" w:rsidR="002237A0" w:rsidRPr="00026EC1" w:rsidRDefault="002237A0" w:rsidP="00A64613">
      <w:pPr>
        <w:keepNext w:val="0"/>
        <w:rPr>
          <w:rFonts w:cs="Arial"/>
          <w:bCs/>
        </w:rPr>
      </w:pPr>
      <w:r w:rsidRPr="00026EC1">
        <w:rPr>
          <w:rFonts w:cs="Arial"/>
        </w:rPr>
        <w:t>Le non</w:t>
      </w:r>
      <w:r w:rsidR="00984A6F">
        <w:rPr>
          <w:rFonts w:cs="Arial"/>
        </w:rPr>
        <w:noBreakHyphen/>
      </w:r>
      <w:r w:rsidRPr="00026EC1">
        <w:rPr>
          <w:rFonts w:cs="Arial"/>
        </w:rPr>
        <w:t>octroi de la priorité d’emploi prévue à la clause 5</w:t>
      </w:r>
      <w:r w:rsidR="00984A6F">
        <w:rPr>
          <w:rFonts w:cs="Arial"/>
        </w:rPr>
        <w:noBreakHyphen/>
      </w:r>
      <w:r w:rsidRPr="00026EC1">
        <w:rPr>
          <w:rFonts w:cs="Arial"/>
        </w:rPr>
        <w:t>4.17 à une enseignante ou à un enseignant non permanent qui ne répond pas à l’une ou l’autre des éventualités qui précèdent n’est pas matière à grief.</w:t>
      </w:r>
    </w:p>
    <w:p w14:paraId="63A1D4C5" w14:textId="77777777" w:rsidR="002237A0" w:rsidRPr="00026EC1" w:rsidRDefault="002237A0" w:rsidP="00A64613">
      <w:pPr>
        <w:keepNext w:val="0"/>
        <w:rPr>
          <w:rFonts w:cs="Arial"/>
        </w:rPr>
      </w:pPr>
    </w:p>
    <w:p w14:paraId="526C8619" w14:textId="3F240FF9" w:rsidR="002237A0" w:rsidRPr="00026EC1" w:rsidRDefault="002237A0" w:rsidP="00A64613">
      <w:pPr>
        <w:pStyle w:val="NUMRODECLAUSE"/>
        <w:keepNext w:val="0"/>
      </w:pPr>
      <w:r w:rsidRPr="00026EC1">
        <w:t>5</w:t>
      </w:r>
      <w:r w:rsidR="00984A6F">
        <w:noBreakHyphen/>
      </w:r>
      <w:r w:rsidRPr="00026EC1">
        <w:t>1.09</w:t>
      </w:r>
    </w:p>
    <w:p w14:paraId="28614294" w14:textId="52F8B262" w:rsidR="002237A0" w:rsidRPr="00026EC1" w:rsidRDefault="002237A0" w:rsidP="00A64613">
      <w:pPr>
        <w:keepNext w:val="0"/>
        <w:rPr>
          <w:rFonts w:cs="Arial"/>
        </w:rPr>
      </w:pPr>
      <w:r w:rsidRPr="00026EC1">
        <w:rPr>
          <w:rFonts w:cs="Arial"/>
        </w:rPr>
        <w:t>L’enseignante ou l’enseignant visé à la clause 1</w:t>
      </w:r>
      <w:r w:rsidR="00984A6F">
        <w:rPr>
          <w:rFonts w:cs="Arial"/>
        </w:rPr>
        <w:noBreakHyphen/>
      </w:r>
      <w:r w:rsidRPr="00026EC1">
        <w:rPr>
          <w:rFonts w:cs="Arial"/>
        </w:rPr>
        <w:t>2.14 est averti par écrit de son statut de remplaçante ou de remplaçant au moment où sa candidature est retenue.</w:t>
      </w:r>
    </w:p>
    <w:p w14:paraId="3643E4E8" w14:textId="77777777" w:rsidR="002237A0" w:rsidRPr="00026EC1" w:rsidRDefault="002237A0" w:rsidP="00A64613">
      <w:pPr>
        <w:keepNext w:val="0"/>
        <w:rPr>
          <w:rFonts w:cs="Arial"/>
        </w:rPr>
      </w:pPr>
    </w:p>
    <w:p w14:paraId="65B17A83" w14:textId="19BD80BE" w:rsidR="002237A0" w:rsidRPr="00026EC1" w:rsidRDefault="002237A0" w:rsidP="00A64613">
      <w:pPr>
        <w:pStyle w:val="NUMRODECLAUSE"/>
        <w:keepNext w:val="0"/>
        <w:rPr>
          <w:strike/>
        </w:rPr>
      </w:pPr>
      <w:r w:rsidRPr="00026EC1">
        <w:t>5</w:t>
      </w:r>
      <w:r w:rsidR="00984A6F">
        <w:noBreakHyphen/>
      </w:r>
      <w:r w:rsidRPr="00026EC1">
        <w:t>1.10</w:t>
      </w:r>
    </w:p>
    <w:p w14:paraId="64B5D272" w14:textId="46445632" w:rsidR="002237A0" w:rsidRPr="00026EC1" w:rsidRDefault="002237A0" w:rsidP="00A64613">
      <w:pPr>
        <w:keepNext w:val="0"/>
        <w:rPr>
          <w:rFonts w:cs="Arial"/>
        </w:rPr>
      </w:pPr>
      <w:r w:rsidRPr="00026EC1">
        <w:rPr>
          <w:rFonts w:cs="Arial"/>
        </w:rPr>
        <w:t>Lorsqu’il y a une charge d’enseignement à pourvoir dans le Collège, le personnel enseignant en est informé par un avis diffusé par le biais de support électronique accessible par Internet. Cet avis contient au moins la nature de la charge, la discipline visée</w:t>
      </w:r>
      <w:r w:rsidR="00D07BAB" w:rsidRPr="00316277">
        <w:rPr>
          <w:rStyle w:val="ElevSoulign"/>
          <w:rFonts w:cs="Arial"/>
          <w:b w:val="0"/>
          <w:szCs w:val="24"/>
          <w:u w:val="none"/>
        </w:rPr>
        <w:t>, le mode d’enseignement de chaque cours</w:t>
      </w:r>
      <w:r w:rsidR="00D07BAB">
        <w:rPr>
          <w:rStyle w:val="ElevSoulign"/>
          <w:rFonts w:cs="Arial"/>
          <w:b w:val="0"/>
          <w:szCs w:val="24"/>
          <w:u w:val="none"/>
        </w:rPr>
        <w:t xml:space="preserve"> </w:t>
      </w:r>
      <w:r w:rsidR="00D07BAB" w:rsidRPr="00D07BAB">
        <w:rPr>
          <w:rStyle w:val="ElevSoulign"/>
          <w:rFonts w:cs="Arial"/>
          <w:b w:val="0"/>
          <w:szCs w:val="24"/>
          <w:u w:val="none"/>
        </w:rPr>
        <w:t>et</w:t>
      </w:r>
      <w:r w:rsidR="00D07BAB">
        <w:rPr>
          <w:rStyle w:val="ElevSoulign"/>
          <w:rFonts w:cs="Arial"/>
          <w:b w:val="0"/>
          <w:szCs w:val="24"/>
          <w:u w:val="none"/>
        </w:rPr>
        <w:t xml:space="preserve"> </w:t>
      </w:r>
      <w:r w:rsidR="009545C1" w:rsidRPr="004214F1">
        <w:rPr>
          <w:rStyle w:val="ElevSoulign"/>
          <w:rFonts w:cs="Arial"/>
          <w:b w:val="0"/>
          <w:szCs w:val="24"/>
          <w:u w:val="none"/>
        </w:rPr>
        <w:t>le</w:t>
      </w:r>
      <w:r w:rsidR="00C6000A" w:rsidRPr="004214F1">
        <w:rPr>
          <w:rStyle w:val="ElevSoulign"/>
          <w:rFonts w:cs="Arial"/>
          <w:b w:val="0"/>
          <w:szCs w:val="24"/>
          <w:u w:val="none"/>
        </w:rPr>
        <w:t>s exigences normalement requises</w:t>
      </w:r>
      <w:r w:rsidRPr="00026EC1">
        <w:rPr>
          <w:rFonts w:cs="Arial"/>
        </w:rPr>
        <w:t>.</w:t>
      </w:r>
      <w:r w:rsidR="008B2EE2">
        <w:rPr>
          <w:rFonts w:cs="Arial"/>
        </w:rPr>
        <w:t xml:space="preserve"> </w:t>
      </w:r>
      <w:r w:rsidRPr="00026EC1">
        <w:rPr>
          <w:rFonts w:cs="Arial"/>
        </w:rPr>
        <w:t>Une copie de cet avis est remise en même temps au Syndicat et transmise à l’enseignante en congé de maternité.</w:t>
      </w:r>
    </w:p>
    <w:p w14:paraId="2E575DF8" w14:textId="77777777" w:rsidR="002237A0" w:rsidRPr="00026EC1" w:rsidRDefault="002237A0" w:rsidP="00A64613">
      <w:pPr>
        <w:keepNext w:val="0"/>
        <w:rPr>
          <w:rFonts w:cs="Arial"/>
        </w:rPr>
      </w:pPr>
    </w:p>
    <w:p w14:paraId="68BCC4EA" w14:textId="5B4D79C5" w:rsidR="002237A0" w:rsidRDefault="002237A0" w:rsidP="00A64613">
      <w:pPr>
        <w:keepNext w:val="0"/>
        <w:rPr>
          <w:rFonts w:cs="Arial"/>
        </w:rPr>
      </w:pPr>
      <w:r w:rsidRPr="00026EC1">
        <w:rPr>
          <w:rFonts w:cs="Arial"/>
        </w:rPr>
        <w:t>Dans les dix (10) jours qui suivent l’affichage, une enseignante ou un enseignant peut poser sa candidature par écrit au Collège. Ce délai est réduit à cinq</w:t>
      </w:r>
      <w:r w:rsidR="00505124">
        <w:rPr>
          <w:rFonts w:cs="Arial"/>
        </w:rPr>
        <w:t> </w:t>
      </w:r>
      <w:r w:rsidRPr="00026EC1">
        <w:rPr>
          <w:rFonts w:cs="Arial"/>
        </w:rPr>
        <w:t>(5) jours ouvrables pour une charge d’enseignement à pourvoir pendant la session en cours.</w:t>
      </w:r>
    </w:p>
    <w:p w14:paraId="7B19C32B" w14:textId="77777777" w:rsidR="00174BD1" w:rsidRPr="00026EC1" w:rsidRDefault="00174BD1" w:rsidP="00A64613">
      <w:pPr>
        <w:keepNext w:val="0"/>
        <w:rPr>
          <w:rFonts w:cs="Arial"/>
        </w:rPr>
      </w:pPr>
    </w:p>
    <w:p w14:paraId="6F40A539" w14:textId="33FA6FC2" w:rsidR="002237A0" w:rsidRPr="00026EC1" w:rsidRDefault="002237A0" w:rsidP="00A64613">
      <w:pPr>
        <w:pStyle w:val="NUMRODECLAUSE"/>
        <w:keepNext w:val="0"/>
      </w:pPr>
      <w:r w:rsidRPr="00026EC1">
        <w:t>5</w:t>
      </w:r>
      <w:r w:rsidR="00984A6F">
        <w:noBreakHyphen/>
      </w:r>
      <w:r w:rsidRPr="00026EC1">
        <w:t>1.11</w:t>
      </w:r>
    </w:p>
    <w:p w14:paraId="1E0F6E93" w14:textId="2002BE86" w:rsidR="002237A0" w:rsidRPr="00026EC1" w:rsidRDefault="002237A0" w:rsidP="00A64613">
      <w:pPr>
        <w:keepNext w:val="0"/>
        <w:rPr>
          <w:rFonts w:cs="Arial"/>
        </w:rPr>
      </w:pPr>
      <w:r w:rsidRPr="00026EC1">
        <w:rPr>
          <w:rFonts w:cs="Arial"/>
        </w:rPr>
        <w:t>Nonobstant les dispositions prévues à la clause</w:t>
      </w:r>
      <w:r w:rsidR="00505124">
        <w:rPr>
          <w:rFonts w:cs="Arial"/>
        </w:rPr>
        <w:t> </w:t>
      </w:r>
      <w:r w:rsidRPr="00026EC1">
        <w:rPr>
          <w:rFonts w:cs="Arial"/>
        </w:rPr>
        <w:t>5</w:t>
      </w:r>
      <w:r w:rsidR="00984A6F">
        <w:rPr>
          <w:rFonts w:cs="Arial"/>
        </w:rPr>
        <w:noBreakHyphen/>
      </w:r>
      <w:r w:rsidRPr="00026EC1">
        <w:rPr>
          <w:rFonts w:cs="Arial"/>
        </w:rPr>
        <w:t>1.10, les parties peuvent convenir d’une offre générale de services. Dans ce cas, le collège n’a pas à procéder à l’affichage si une enseignante ou un enseignant bénéficie d’une priorité d’emploi prévue aux alinéas</w:t>
      </w:r>
      <w:r w:rsidR="00505124">
        <w:rPr>
          <w:rFonts w:cs="Arial"/>
        </w:rPr>
        <w:t> </w:t>
      </w:r>
      <w:r w:rsidRPr="00026EC1">
        <w:rPr>
          <w:rFonts w:cs="Arial"/>
        </w:rPr>
        <w:t>a), b), d) ou e) de la clause</w:t>
      </w:r>
      <w:r w:rsidR="00505124">
        <w:rPr>
          <w:rFonts w:cs="Arial"/>
        </w:rPr>
        <w:t> </w:t>
      </w:r>
      <w:r w:rsidRPr="00026EC1">
        <w:rPr>
          <w:rFonts w:cs="Arial"/>
        </w:rPr>
        <w:t>5</w:t>
      </w:r>
      <w:r w:rsidR="00984A6F">
        <w:rPr>
          <w:rFonts w:cs="Arial"/>
        </w:rPr>
        <w:noBreakHyphen/>
      </w:r>
      <w:r w:rsidRPr="00026EC1">
        <w:rPr>
          <w:rFonts w:cs="Arial"/>
        </w:rPr>
        <w:t>4.17.</w:t>
      </w:r>
    </w:p>
    <w:p w14:paraId="5111C269" w14:textId="77777777" w:rsidR="002237A0" w:rsidRPr="00026EC1" w:rsidRDefault="002237A0" w:rsidP="00A64613">
      <w:pPr>
        <w:keepNext w:val="0"/>
        <w:rPr>
          <w:rFonts w:cs="Arial"/>
        </w:rPr>
      </w:pPr>
    </w:p>
    <w:p w14:paraId="315C1B26" w14:textId="77777777" w:rsidR="002237A0" w:rsidRPr="00026EC1" w:rsidRDefault="002237A0" w:rsidP="00A64613">
      <w:pPr>
        <w:keepNext w:val="0"/>
        <w:rPr>
          <w:rFonts w:cs="Arial"/>
        </w:rPr>
      </w:pPr>
      <w:r w:rsidRPr="00026EC1">
        <w:rPr>
          <w:rFonts w:cs="Arial"/>
        </w:rPr>
        <w:t>Les parties peuvent également convenir de l’information à transmettre au Syndicat et aux enseignantes et enseignants concernant les charges d’enseignement à pourvoir.</w:t>
      </w:r>
    </w:p>
    <w:p w14:paraId="358A54F3" w14:textId="77777777" w:rsidR="002237A0" w:rsidRPr="00026EC1" w:rsidRDefault="002237A0" w:rsidP="00A64613">
      <w:pPr>
        <w:keepNext w:val="0"/>
        <w:rPr>
          <w:rFonts w:cs="Arial"/>
        </w:rPr>
      </w:pPr>
    </w:p>
    <w:p w14:paraId="16E9C772" w14:textId="77777777" w:rsidR="002237A0" w:rsidRPr="00026EC1" w:rsidRDefault="002237A0" w:rsidP="00A64613">
      <w:pPr>
        <w:keepNext w:val="0"/>
        <w:rPr>
          <w:rFonts w:cs="Arial"/>
        </w:rPr>
      </w:pPr>
      <w:r w:rsidRPr="00026EC1">
        <w:rPr>
          <w:rFonts w:cs="Arial"/>
        </w:rPr>
        <w:t>Le collège doit faire connaître, pour chacune des disciplines, les exigences normalement requises pour l’obtention d’une charge d’enseignement.</w:t>
      </w:r>
    </w:p>
    <w:p w14:paraId="219519BD" w14:textId="77777777" w:rsidR="002237A0" w:rsidRPr="00026EC1" w:rsidRDefault="002237A0" w:rsidP="00A64613">
      <w:pPr>
        <w:keepNext w:val="0"/>
        <w:rPr>
          <w:rFonts w:cs="Arial"/>
        </w:rPr>
      </w:pPr>
    </w:p>
    <w:p w14:paraId="70091969" w14:textId="431AAC86" w:rsidR="002237A0" w:rsidRPr="00026EC1" w:rsidRDefault="002237A0" w:rsidP="00A64613">
      <w:pPr>
        <w:keepNext w:val="0"/>
        <w:rPr>
          <w:rFonts w:cs="Arial"/>
        </w:rPr>
      </w:pPr>
      <w:r w:rsidRPr="00026EC1">
        <w:rPr>
          <w:rFonts w:cs="Arial"/>
        </w:rPr>
        <w:t>Pour se prévaloir de la priorité d’emploi prévue aux alinéas</w:t>
      </w:r>
      <w:r w:rsidR="00505124">
        <w:rPr>
          <w:rFonts w:cs="Arial"/>
        </w:rPr>
        <w:t> </w:t>
      </w:r>
      <w:r w:rsidRPr="00026EC1">
        <w:rPr>
          <w:rFonts w:cs="Arial"/>
        </w:rPr>
        <w:t>a), b), d) ou e) de la clause</w:t>
      </w:r>
      <w:r w:rsidR="009E6755">
        <w:rPr>
          <w:rFonts w:cs="Arial"/>
        </w:rPr>
        <w:t> </w:t>
      </w:r>
      <w:r w:rsidRPr="00026EC1">
        <w:rPr>
          <w:rFonts w:cs="Arial"/>
        </w:rPr>
        <w:t>5</w:t>
      </w:r>
      <w:r w:rsidR="00984A6F">
        <w:rPr>
          <w:rFonts w:cs="Arial"/>
        </w:rPr>
        <w:noBreakHyphen/>
      </w:r>
      <w:r w:rsidRPr="00026EC1">
        <w:rPr>
          <w:rFonts w:cs="Arial"/>
        </w:rPr>
        <w:t xml:space="preserve">4.17, l’enseignante ou l’enseignant non permanent du collège doit, pour une année d’engagement donnée, manifester son intention par avis écrit. </w:t>
      </w:r>
    </w:p>
    <w:p w14:paraId="2820C25D" w14:textId="77777777" w:rsidR="002237A0" w:rsidRPr="00026EC1" w:rsidRDefault="002237A0" w:rsidP="00A64613">
      <w:pPr>
        <w:keepNext w:val="0"/>
        <w:rPr>
          <w:rFonts w:cs="Arial"/>
        </w:rPr>
      </w:pPr>
    </w:p>
    <w:p w14:paraId="0BCD2EF3" w14:textId="2A55A77E" w:rsidR="002237A0" w:rsidRPr="00D07BAB" w:rsidRDefault="002237A0" w:rsidP="00A64613">
      <w:pPr>
        <w:keepNext w:val="0"/>
        <w:rPr>
          <w:b/>
          <w:bCs/>
        </w:rPr>
      </w:pPr>
      <w:r w:rsidRPr="00D07BAB">
        <w:rPr>
          <w:b/>
          <w:bCs/>
        </w:rPr>
        <w:t>Les dispositions de la clause</w:t>
      </w:r>
      <w:r w:rsidR="00505124" w:rsidRPr="00D07BAB">
        <w:rPr>
          <w:b/>
          <w:bCs/>
        </w:rPr>
        <w:t> </w:t>
      </w:r>
      <w:r w:rsidRPr="00D07BAB">
        <w:rPr>
          <w:b/>
          <w:bCs/>
        </w:rPr>
        <w:t>5</w:t>
      </w:r>
      <w:r w:rsidR="00984A6F" w:rsidRPr="00D07BAB">
        <w:rPr>
          <w:b/>
          <w:bCs/>
        </w:rPr>
        <w:noBreakHyphen/>
      </w:r>
      <w:r w:rsidRPr="00D07BAB">
        <w:rPr>
          <w:b/>
          <w:bCs/>
        </w:rPr>
        <w:t xml:space="preserve">1.11 peuvent faire l’objet d’un arrangement local entre les parties (RLRQ, chapitre </w:t>
      </w:r>
      <w:r w:rsidR="00D27692" w:rsidRPr="00316277">
        <w:rPr>
          <w:b/>
          <w:bCs/>
        </w:rPr>
        <w:t>R</w:t>
      </w:r>
      <w:r w:rsidR="00984A6F" w:rsidRPr="00D07BAB">
        <w:rPr>
          <w:b/>
          <w:bCs/>
        </w:rPr>
        <w:noBreakHyphen/>
      </w:r>
      <w:r w:rsidRPr="00D07BAB">
        <w:rPr>
          <w:b/>
          <w:bCs/>
        </w:rPr>
        <w:t>8.2, a.70).</w:t>
      </w:r>
    </w:p>
    <w:p w14:paraId="598EC67D" w14:textId="77777777" w:rsidR="002237A0" w:rsidRPr="00026EC1" w:rsidRDefault="002237A0" w:rsidP="00A64613">
      <w:pPr>
        <w:pStyle w:val="NUMRODECLAUSE"/>
        <w:keepNext w:val="0"/>
      </w:pPr>
    </w:p>
    <w:p w14:paraId="55619BAD" w14:textId="795652DE" w:rsidR="002237A0" w:rsidRPr="00026EC1" w:rsidRDefault="002237A0" w:rsidP="00A64613">
      <w:pPr>
        <w:pStyle w:val="NUMRODECLAUSE"/>
        <w:keepNext w:val="0"/>
      </w:pPr>
      <w:r w:rsidRPr="00026EC1">
        <w:t>5</w:t>
      </w:r>
      <w:r w:rsidR="00984A6F">
        <w:noBreakHyphen/>
      </w:r>
      <w:r w:rsidRPr="00026EC1">
        <w:t>1.12</w:t>
      </w:r>
    </w:p>
    <w:p w14:paraId="1C9E15C4" w14:textId="77777777" w:rsidR="002237A0" w:rsidRPr="00026EC1" w:rsidRDefault="002237A0" w:rsidP="00A64613">
      <w:pPr>
        <w:keepNext w:val="0"/>
        <w:rPr>
          <w:rFonts w:cs="Arial"/>
        </w:rPr>
      </w:pPr>
      <w:r w:rsidRPr="00026EC1">
        <w:rPr>
          <w:rFonts w:cs="Arial"/>
        </w:rPr>
        <w:t>À moins de difficultés de recrutement, la personne détenant un emploi à temps complet ne peut avoir accès à une charge d’enseignement.</w:t>
      </w:r>
    </w:p>
    <w:p w14:paraId="77B5B27A" w14:textId="77777777" w:rsidR="002237A0" w:rsidRPr="00026EC1" w:rsidRDefault="002237A0" w:rsidP="00A64613">
      <w:pPr>
        <w:keepNext w:val="0"/>
        <w:rPr>
          <w:rFonts w:cs="Arial"/>
        </w:rPr>
      </w:pPr>
    </w:p>
    <w:p w14:paraId="108CEDF5" w14:textId="77777777" w:rsidR="002237A0" w:rsidRPr="00026EC1" w:rsidRDefault="002237A0" w:rsidP="00A64613">
      <w:pPr>
        <w:keepNext w:val="0"/>
        <w:rPr>
          <w:rFonts w:cs="Arial"/>
        </w:rPr>
      </w:pPr>
      <w:r w:rsidRPr="00026EC1">
        <w:rPr>
          <w:rFonts w:cs="Arial"/>
        </w:rPr>
        <w:t>L’enseignante ou l’enseignant à temps partiel engagé pour une pleine charge session n’est pas considéré comme détenant un emploi à temps complet.</w:t>
      </w:r>
    </w:p>
    <w:p w14:paraId="09917865" w14:textId="77777777" w:rsidR="002237A0" w:rsidRPr="00026EC1" w:rsidRDefault="002237A0" w:rsidP="00A64613">
      <w:pPr>
        <w:keepNext w:val="0"/>
        <w:rPr>
          <w:rFonts w:cs="Arial"/>
        </w:rPr>
      </w:pPr>
    </w:p>
    <w:p w14:paraId="2CC46A7F" w14:textId="072AE9F3" w:rsidR="002237A0" w:rsidRPr="00026EC1" w:rsidRDefault="002237A0" w:rsidP="00A64613">
      <w:pPr>
        <w:keepNext w:val="0"/>
        <w:rPr>
          <w:rFonts w:cs="Arial"/>
        </w:rPr>
      </w:pPr>
      <w:r w:rsidRPr="00026EC1">
        <w:rPr>
          <w:rFonts w:cs="Arial"/>
        </w:rPr>
        <w:t>À moins d’entente à l’effet contraire entre les parties, la vérification du cumul d’emplois, au Collège ou ailleurs, se fait à partir d’une déclaration de la personne à l’aide du formulaire prévu à l’Annexe II</w:t>
      </w:r>
      <w:r w:rsidR="00984A6F">
        <w:rPr>
          <w:rFonts w:cs="Arial"/>
        </w:rPr>
        <w:noBreakHyphen/>
      </w:r>
      <w:r w:rsidRPr="00026EC1">
        <w:rPr>
          <w:rFonts w:cs="Arial"/>
        </w:rPr>
        <w:t>6. Le Collège remet au Syndicat une copie de la déclaration de la candidate ou du candidat retenu.</w:t>
      </w:r>
    </w:p>
    <w:p w14:paraId="06365FA2" w14:textId="77777777" w:rsidR="002237A0" w:rsidRPr="00026EC1" w:rsidRDefault="002237A0" w:rsidP="00A64613">
      <w:pPr>
        <w:keepNext w:val="0"/>
        <w:rPr>
          <w:rFonts w:cs="Arial"/>
        </w:rPr>
      </w:pPr>
    </w:p>
    <w:p w14:paraId="6EFF86FE" w14:textId="699853B8" w:rsidR="002237A0" w:rsidRPr="00026EC1" w:rsidRDefault="002237A0" w:rsidP="00A64613">
      <w:pPr>
        <w:pStyle w:val="NUMRODECLAUSE"/>
        <w:keepNext w:val="0"/>
      </w:pPr>
      <w:r w:rsidRPr="00026EC1">
        <w:t>5</w:t>
      </w:r>
      <w:r w:rsidR="00984A6F">
        <w:noBreakHyphen/>
      </w:r>
      <w:r w:rsidRPr="00026EC1">
        <w:t>1.13</w:t>
      </w:r>
    </w:p>
    <w:p w14:paraId="5BEAA081" w14:textId="5D1489E3" w:rsidR="002237A0" w:rsidRPr="00026EC1" w:rsidRDefault="002237A0" w:rsidP="00A64613">
      <w:pPr>
        <w:keepNext w:val="0"/>
        <w:rPr>
          <w:rFonts w:cs="Arial"/>
        </w:rPr>
      </w:pPr>
      <w:r w:rsidRPr="00026EC1">
        <w:rPr>
          <w:rFonts w:cs="Arial"/>
        </w:rPr>
        <w:t>Sauf dans le cas d’un remplacement de gré à gré, sous réserve de l’alinéa I) de la clause 5</w:t>
      </w:r>
      <w:r w:rsidR="00984A6F">
        <w:rPr>
          <w:rFonts w:cs="Arial"/>
        </w:rPr>
        <w:noBreakHyphen/>
      </w:r>
      <w:r w:rsidRPr="00026EC1">
        <w:rPr>
          <w:rFonts w:cs="Arial"/>
        </w:rPr>
        <w:t>4.07 et de l’alinéa d) de la clause 5</w:t>
      </w:r>
      <w:r w:rsidR="00984A6F">
        <w:rPr>
          <w:rFonts w:cs="Arial"/>
        </w:rPr>
        <w:noBreakHyphen/>
      </w:r>
      <w:r w:rsidRPr="00026EC1">
        <w:rPr>
          <w:rFonts w:cs="Arial"/>
        </w:rPr>
        <w:t>1.03, l’enseignante ou l’enseignant qui fait de la suppléance est rémunéré</w:t>
      </w:r>
      <w:r w:rsidR="00D8581B">
        <w:rPr>
          <w:rFonts w:cs="Arial"/>
        </w:rPr>
        <w:t> :</w:t>
      </w:r>
    </w:p>
    <w:p w14:paraId="531C53CC" w14:textId="77777777" w:rsidR="002237A0" w:rsidRPr="00026EC1" w:rsidRDefault="002237A0" w:rsidP="00A64613">
      <w:pPr>
        <w:keepNext w:val="0"/>
        <w:rPr>
          <w:rFonts w:cs="Arial"/>
        </w:rPr>
      </w:pPr>
    </w:p>
    <w:p w14:paraId="00C79846" w14:textId="4767D4ED" w:rsidR="005C66E3" w:rsidRDefault="002237A0" w:rsidP="00A64613">
      <w:pPr>
        <w:keepNext w:val="0"/>
        <w:tabs>
          <w:tab w:val="left" w:pos="567"/>
        </w:tabs>
        <w:ind w:left="567" w:hanging="567"/>
        <w:rPr>
          <w:rFonts w:cs="Arial"/>
        </w:rPr>
      </w:pPr>
      <w:r w:rsidRPr="00026EC1">
        <w:rPr>
          <w:rFonts w:cs="Arial"/>
        </w:rPr>
        <w:t>a)</w:t>
      </w:r>
      <w:r w:rsidRPr="00026EC1">
        <w:rPr>
          <w:rFonts w:cs="Arial"/>
        </w:rPr>
        <w:tab/>
      </w:r>
      <w:r w:rsidRPr="00A26F62">
        <w:rPr>
          <w:rFonts w:cs="Arial"/>
        </w:rPr>
        <w:t>au taux horaire déterminé</w:t>
      </w:r>
      <w:r w:rsidRPr="00026EC1">
        <w:rPr>
          <w:rFonts w:cs="Arial"/>
        </w:rPr>
        <w:t xml:space="preserve"> conformément à l’article 6</w:t>
      </w:r>
      <w:r w:rsidR="00984A6F">
        <w:rPr>
          <w:rFonts w:cs="Arial"/>
        </w:rPr>
        <w:noBreakHyphen/>
      </w:r>
      <w:r w:rsidRPr="00026EC1">
        <w:rPr>
          <w:rFonts w:cs="Arial"/>
        </w:rPr>
        <w:t>5.00 et à l’Annexe VI</w:t>
      </w:r>
      <w:r w:rsidR="00984A6F">
        <w:rPr>
          <w:rFonts w:cs="Arial"/>
        </w:rPr>
        <w:noBreakHyphen/>
      </w:r>
      <w:r w:rsidRPr="00026EC1">
        <w:rPr>
          <w:rFonts w:cs="Arial"/>
        </w:rPr>
        <w:t>1;</w:t>
      </w:r>
    </w:p>
    <w:p w14:paraId="7560612F" w14:textId="77777777" w:rsidR="005C66E3" w:rsidRDefault="005C66E3">
      <w:pPr>
        <w:keepNext w:val="0"/>
        <w:suppressAutoHyphens w:val="0"/>
        <w:jc w:val="left"/>
        <w:rPr>
          <w:rFonts w:cs="Arial"/>
        </w:rPr>
      </w:pPr>
      <w:r>
        <w:rPr>
          <w:rFonts w:cs="Arial"/>
        </w:rPr>
        <w:br w:type="page"/>
      </w:r>
    </w:p>
    <w:p w14:paraId="20B5C0E9" w14:textId="33ADDD3F" w:rsidR="009930F9" w:rsidRPr="00F43360" w:rsidRDefault="002237A0" w:rsidP="00F43360">
      <w:pPr>
        <w:keepNext w:val="0"/>
        <w:tabs>
          <w:tab w:val="left" w:pos="567"/>
        </w:tabs>
        <w:ind w:left="567" w:hanging="567"/>
        <w:rPr>
          <w:rFonts w:cs="Arial"/>
        </w:rPr>
      </w:pPr>
      <w:r w:rsidRPr="00026EC1">
        <w:rPr>
          <w:rFonts w:cs="Arial"/>
        </w:rPr>
        <w:t>b)</w:t>
      </w:r>
      <w:r w:rsidRPr="00026EC1">
        <w:rPr>
          <w:rFonts w:cs="Arial"/>
        </w:rPr>
        <w:tab/>
        <w:t>à temps partiel, selon les modalités de la clause 6</w:t>
      </w:r>
      <w:r w:rsidR="00984A6F">
        <w:rPr>
          <w:rFonts w:cs="Arial"/>
        </w:rPr>
        <w:noBreakHyphen/>
      </w:r>
      <w:r w:rsidRPr="00026EC1">
        <w:rPr>
          <w:rFonts w:cs="Arial"/>
        </w:rPr>
        <w:t>1.02, à compter de la onzième</w:t>
      </w:r>
      <w:r w:rsidR="00505124">
        <w:rPr>
          <w:rFonts w:cs="Arial"/>
        </w:rPr>
        <w:t> </w:t>
      </w:r>
      <w:r w:rsidRPr="00026EC1">
        <w:rPr>
          <w:rFonts w:cs="Arial"/>
        </w:rPr>
        <w:t>(11</w:t>
      </w:r>
      <w:r w:rsidRPr="00026EC1">
        <w:rPr>
          <w:rFonts w:cs="Arial"/>
          <w:vertAlign w:val="superscript"/>
        </w:rPr>
        <w:t>e</w:t>
      </w:r>
      <w:r w:rsidRPr="00026EC1">
        <w:rPr>
          <w:rFonts w:cs="Arial"/>
        </w:rPr>
        <w:t>) journée ouvrable de suppléance ou avant, selon les modalités intervenues entre les parties, sur une même charge d’enseignement, si elle ou il fournit la disponibilité conformément à l’alinéa b) de la clause 8</w:t>
      </w:r>
      <w:r w:rsidR="00984A6F">
        <w:rPr>
          <w:rFonts w:cs="Arial"/>
        </w:rPr>
        <w:noBreakHyphen/>
      </w:r>
      <w:r w:rsidRPr="00026EC1">
        <w:rPr>
          <w:rFonts w:cs="Arial"/>
        </w:rPr>
        <w:t xml:space="preserve">3.01. </w:t>
      </w:r>
    </w:p>
    <w:p w14:paraId="7A397024" w14:textId="5CDD98BB" w:rsidR="002237A0" w:rsidRPr="00026EC1" w:rsidRDefault="002237A0" w:rsidP="00A64613">
      <w:pPr>
        <w:pStyle w:val="Article59delaloi37"/>
        <w:keepNext w:val="0"/>
      </w:pPr>
      <w:r w:rsidRPr="00026EC1">
        <w:t>Les dispositions suivantes sont l’objet d’une recommandation des parties nationales et sont soumises à l’application de l’article 59 de la Loi sur le régime de négociation des conventions collectives dans les secteurs public et parapublic, si elles sont agréées et signées par les parties locales.</w:t>
      </w:r>
    </w:p>
    <w:p w14:paraId="1BA6F03B" w14:textId="77BC1BBD" w:rsidR="002237A0" w:rsidRDefault="002237A0" w:rsidP="003E29ED">
      <w:pPr>
        <w:keepNext w:val="0"/>
        <w:rPr>
          <w:rFonts w:cs="Arial"/>
        </w:rPr>
      </w:pPr>
    </w:p>
    <w:p w14:paraId="6DBA46A3" w14:textId="77777777" w:rsidR="009930F9" w:rsidRPr="00F43360" w:rsidRDefault="009930F9" w:rsidP="00F43360">
      <w:pPr>
        <w:pStyle w:val="Default"/>
        <w:suppressAutoHyphens/>
        <w:jc w:val="both"/>
        <w:rPr>
          <w:rFonts w:ascii="Arial" w:hAnsi="Arial" w:cs="Arial"/>
          <w:b/>
          <w:bCs/>
          <w:color w:val="auto"/>
        </w:rPr>
      </w:pPr>
      <w:r w:rsidRPr="00F43360">
        <w:rPr>
          <w:rFonts w:ascii="Arial" w:hAnsi="Arial" w:cs="Arial"/>
          <w:b/>
          <w:bCs/>
          <w:color w:val="auto"/>
        </w:rPr>
        <w:t>5-1.14</w:t>
      </w:r>
    </w:p>
    <w:p w14:paraId="2D7303C5" w14:textId="24162536" w:rsidR="002237A0" w:rsidRPr="00026EC1" w:rsidRDefault="002237A0" w:rsidP="00F43360">
      <w:pPr>
        <w:keepNext w:val="0"/>
        <w:rPr>
          <w:rFonts w:cs="Arial"/>
        </w:rPr>
      </w:pPr>
      <w:r w:rsidRPr="00026EC1">
        <w:rPr>
          <w:rFonts w:cs="Arial"/>
        </w:rPr>
        <w:t>L’engagement d’une enseignante ou d’un enseignant se fait, par contrat écrit, sur le formulaire prévu à l’Annexe VIII</w:t>
      </w:r>
      <w:r w:rsidR="00984A6F">
        <w:rPr>
          <w:rFonts w:cs="Arial"/>
        </w:rPr>
        <w:noBreakHyphen/>
      </w:r>
      <w:r w:rsidRPr="00026EC1">
        <w:rPr>
          <w:rFonts w:cs="Arial"/>
        </w:rPr>
        <w:t>1. Une copie intégrale du contrat signé est remise immédiatement au Syndicat.</w:t>
      </w:r>
    </w:p>
    <w:p w14:paraId="306468EB" w14:textId="77777777" w:rsidR="002237A0" w:rsidRPr="00026EC1" w:rsidRDefault="002237A0" w:rsidP="00F43360">
      <w:pPr>
        <w:keepNext w:val="0"/>
        <w:rPr>
          <w:rFonts w:cs="Arial"/>
        </w:rPr>
      </w:pPr>
    </w:p>
    <w:p w14:paraId="1719DCBC" w14:textId="5D3D7EE8" w:rsidR="002237A0" w:rsidRPr="00026EC1" w:rsidRDefault="002237A0" w:rsidP="00A64613">
      <w:pPr>
        <w:keepNext w:val="0"/>
        <w:rPr>
          <w:rFonts w:cs="Arial"/>
        </w:rPr>
      </w:pPr>
      <w:r w:rsidRPr="00026EC1">
        <w:rPr>
          <w:rFonts w:cs="Arial"/>
        </w:rPr>
        <w:t>Lorsqu’une enseignante ou un enseignant à temps partiel devient enseignante ou enseignant à temps complet en vertu de la clause 5</w:t>
      </w:r>
      <w:r w:rsidR="00984A6F">
        <w:rPr>
          <w:rFonts w:cs="Arial"/>
        </w:rPr>
        <w:noBreakHyphen/>
      </w:r>
      <w:r w:rsidRPr="00026EC1">
        <w:rPr>
          <w:rFonts w:cs="Arial"/>
        </w:rPr>
        <w:t>1.03, le Collège lui fait signer un contrat à temps complet qui annule et remplace le ou les contrats précédents déjà signés, lequel contrat indique de façon explicite que l’enseignante ou l’enseignant a acquis le titre de temps complet en vertu de la clause 5</w:t>
      </w:r>
      <w:r w:rsidR="00984A6F">
        <w:rPr>
          <w:rFonts w:cs="Arial"/>
        </w:rPr>
        <w:noBreakHyphen/>
      </w:r>
      <w:r w:rsidRPr="00026EC1">
        <w:rPr>
          <w:rFonts w:cs="Arial"/>
        </w:rPr>
        <w:t>1.03.</w:t>
      </w:r>
    </w:p>
    <w:p w14:paraId="5635D836" w14:textId="77777777" w:rsidR="002237A0" w:rsidRPr="00026EC1" w:rsidRDefault="002237A0" w:rsidP="00A64613">
      <w:pPr>
        <w:keepNext w:val="0"/>
        <w:rPr>
          <w:rFonts w:cs="Arial"/>
        </w:rPr>
      </w:pPr>
    </w:p>
    <w:p w14:paraId="6AB46722" w14:textId="2AFCDEBB" w:rsidR="002237A0" w:rsidRPr="00F43360" w:rsidRDefault="002237A0" w:rsidP="00A64613">
      <w:pPr>
        <w:pStyle w:val="NUMRODECLAUSE"/>
        <w:keepNext w:val="0"/>
      </w:pPr>
      <w:r w:rsidRPr="00F43360">
        <w:t>5</w:t>
      </w:r>
      <w:r w:rsidR="00984A6F" w:rsidRPr="00F43360">
        <w:noBreakHyphen/>
      </w:r>
      <w:r w:rsidRPr="00F43360">
        <w:t>1.15</w:t>
      </w:r>
    </w:p>
    <w:p w14:paraId="25E56330" w14:textId="77777777" w:rsidR="002237A0" w:rsidRPr="00026EC1" w:rsidRDefault="002237A0" w:rsidP="00A64613">
      <w:pPr>
        <w:keepNext w:val="0"/>
        <w:rPr>
          <w:rFonts w:cs="Arial"/>
        </w:rPr>
      </w:pPr>
      <w:r w:rsidRPr="00026EC1">
        <w:rPr>
          <w:rFonts w:cs="Arial"/>
        </w:rPr>
        <w:t>L’enseignante ou l’enseignant s’engage à fournir un travail exclusif au Collège pendant ses heures de disponibilité. Après avoir soumis la question au CRT, le Collège peut permettre à l’enseignante ou à l’enseignant d’accomplir pendant ces heures un travail rémunéré autre que son enseignement au Collège. Dans ce cas, l’autorisation doit être donnée par écrit.</w:t>
      </w:r>
    </w:p>
    <w:p w14:paraId="6C1AE820" w14:textId="77777777" w:rsidR="002237A0" w:rsidRPr="00F43360" w:rsidRDefault="002237A0" w:rsidP="00A64613">
      <w:pPr>
        <w:pStyle w:val="NUMRODECLAUSE"/>
        <w:keepNext w:val="0"/>
      </w:pPr>
    </w:p>
    <w:p w14:paraId="5F47FC99" w14:textId="723ED889" w:rsidR="002237A0" w:rsidRPr="00F43360" w:rsidRDefault="002237A0" w:rsidP="00A64613">
      <w:pPr>
        <w:pStyle w:val="NUMRODECLAUSE"/>
        <w:keepNext w:val="0"/>
      </w:pPr>
      <w:r w:rsidRPr="00F43360">
        <w:t>5</w:t>
      </w:r>
      <w:r w:rsidR="00984A6F" w:rsidRPr="00F43360">
        <w:noBreakHyphen/>
      </w:r>
      <w:r w:rsidRPr="00F43360">
        <w:t>1.16</w:t>
      </w:r>
    </w:p>
    <w:p w14:paraId="67B265DA" w14:textId="66679834" w:rsidR="002237A0" w:rsidRPr="00026EC1" w:rsidRDefault="002237A0" w:rsidP="00A64613">
      <w:pPr>
        <w:keepNext w:val="0"/>
        <w:rPr>
          <w:rFonts w:cs="Arial"/>
        </w:rPr>
      </w:pPr>
      <w:r w:rsidRPr="00026EC1">
        <w:rPr>
          <w:rFonts w:cs="Arial"/>
        </w:rPr>
        <w:t>Sous réserve des dispositions de l’article 5</w:t>
      </w:r>
      <w:r w:rsidR="00984A6F">
        <w:rPr>
          <w:rFonts w:cs="Arial"/>
        </w:rPr>
        <w:noBreakHyphen/>
      </w:r>
      <w:r w:rsidRPr="00026EC1">
        <w:rPr>
          <w:rFonts w:cs="Arial"/>
        </w:rPr>
        <w:t xml:space="preserve">4.00, le Collège engage des enseignantes et enseignants à temps complet à l’enseignement régulier. Pour combler des charges inférieures à une </w:t>
      </w:r>
      <w:r w:rsidRPr="007A6846">
        <w:rPr>
          <w:rFonts w:cs="Arial"/>
        </w:rPr>
        <w:t>charge à temps complet, le Collège engage des enseignantes et enseignants à temps partiel. Toutefois, pour une charge inférieure à une charge à temps complet, sous réserve de difficultés de recrutement</w:t>
      </w:r>
      <w:r w:rsidRPr="00026EC1">
        <w:rPr>
          <w:rFonts w:cs="Arial"/>
        </w:rPr>
        <w:t xml:space="preserve"> ou de difficultés d’ordre pédagogique, confirmées par les pratiques antérieures, le Collège ne peut engager des enseignantes et enseignants chargés de cours que par entente entre les parties.</w:t>
      </w:r>
    </w:p>
    <w:p w14:paraId="41FA4818" w14:textId="77777777" w:rsidR="002237A0" w:rsidRPr="00026EC1" w:rsidRDefault="002237A0" w:rsidP="00A64613">
      <w:pPr>
        <w:keepNext w:val="0"/>
        <w:rPr>
          <w:rFonts w:cs="Arial"/>
        </w:rPr>
      </w:pPr>
    </w:p>
    <w:p w14:paraId="39AC89C6" w14:textId="2D5CF1B2" w:rsidR="002237A0" w:rsidRPr="00F43360" w:rsidRDefault="002237A0" w:rsidP="00A64613">
      <w:pPr>
        <w:pStyle w:val="NUMRODECLAUSE"/>
        <w:keepNext w:val="0"/>
      </w:pPr>
      <w:r w:rsidRPr="00F43360">
        <w:t>5</w:t>
      </w:r>
      <w:r w:rsidR="00984A6F" w:rsidRPr="00F43360">
        <w:noBreakHyphen/>
      </w:r>
      <w:r w:rsidRPr="00F43360">
        <w:t>1.1</w:t>
      </w:r>
      <w:r w:rsidR="003E29ED" w:rsidRPr="00F43360">
        <w:t>7</w:t>
      </w:r>
    </w:p>
    <w:p w14:paraId="2A89D2A5" w14:textId="7CA44320" w:rsidR="005C66E3" w:rsidRDefault="002237A0" w:rsidP="00A64613">
      <w:pPr>
        <w:keepNext w:val="0"/>
        <w:rPr>
          <w:rFonts w:cs="Arial"/>
        </w:rPr>
      </w:pPr>
      <w:r w:rsidRPr="00026EC1">
        <w:rPr>
          <w:rFonts w:cs="Arial"/>
        </w:rPr>
        <w:t>Avant la signature du premier</w:t>
      </w:r>
      <w:r w:rsidR="00505124">
        <w:rPr>
          <w:rFonts w:cs="Arial"/>
        </w:rPr>
        <w:t> </w:t>
      </w:r>
      <w:r w:rsidRPr="00026EC1">
        <w:rPr>
          <w:rFonts w:cs="Arial"/>
        </w:rPr>
        <w:t>(1</w:t>
      </w:r>
      <w:r w:rsidRPr="00026EC1">
        <w:rPr>
          <w:rFonts w:cs="Arial"/>
          <w:vertAlign w:val="superscript"/>
        </w:rPr>
        <w:t>er</w:t>
      </w:r>
      <w:r w:rsidRPr="00026EC1">
        <w:rPr>
          <w:rFonts w:cs="Arial"/>
        </w:rPr>
        <w:t>) contrat d’engagement de l’enseignante ou de l’enseignant au Collège, ce dernier l’avise par écrit que la convention collective est accessible sur le site internet du Comité patronal de négociation des collèges (CPNC) et en précise l’adresse électronique</w:t>
      </w:r>
      <w:r w:rsidRPr="00026EC1">
        <w:rPr>
          <w:rStyle w:val="FootnoteReference"/>
          <w:rFonts w:cs="Arial"/>
        </w:rPr>
        <w:footnoteReference w:id="4"/>
      </w:r>
      <w:r w:rsidRPr="00026EC1">
        <w:rPr>
          <w:rFonts w:cs="Arial"/>
        </w:rPr>
        <w:t>; à défaut de quoi ce contrat peut être déclaré nul et non avenu par cette enseignante ou cet enseignant.</w:t>
      </w:r>
    </w:p>
    <w:p w14:paraId="44B01723" w14:textId="77777777" w:rsidR="005C66E3" w:rsidRDefault="005C66E3">
      <w:pPr>
        <w:keepNext w:val="0"/>
        <w:suppressAutoHyphens w:val="0"/>
        <w:jc w:val="left"/>
        <w:rPr>
          <w:rFonts w:cs="Arial"/>
        </w:rPr>
      </w:pPr>
      <w:r>
        <w:rPr>
          <w:rFonts w:cs="Arial"/>
        </w:rPr>
        <w:br w:type="page"/>
      </w:r>
    </w:p>
    <w:p w14:paraId="0462CAFA" w14:textId="38A993C7" w:rsidR="002237A0" w:rsidRDefault="002237A0" w:rsidP="00A64613">
      <w:pPr>
        <w:keepNext w:val="0"/>
        <w:rPr>
          <w:rFonts w:cs="Arial"/>
        </w:rPr>
      </w:pPr>
      <w:r w:rsidRPr="00026EC1">
        <w:rPr>
          <w:rFonts w:cs="Arial"/>
        </w:rPr>
        <w:t>De la même façon, l’enseignante ou l’enseignant fournit les documents attestant ses qualifications et son expérience avant la signature de son contrat d’engagement à défaut de quoi le contrat est conditionnel et ne devient valide que lors de la présentation de ces documents. L’enseignante ou l’enseignant et le Collège peuvent convenir par écrit d’un délai pour la remise de ces documents, délai au terme duquel le contrat conditionnel devient nul et non avenu à moins que le retard ne soit dû à l’établissement qui émet ces documents.</w:t>
      </w:r>
    </w:p>
    <w:p w14:paraId="5C970C9D" w14:textId="77777777" w:rsidR="004214F1" w:rsidRPr="00026EC1" w:rsidRDefault="004214F1" w:rsidP="00A64613">
      <w:pPr>
        <w:keepNext w:val="0"/>
        <w:rPr>
          <w:rFonts w:cs="Arial"/>
        </w:rPr>
      </w:pPr>
    </w:p>
    <w:p w14:paraId="065F845A" w14:textId="77777777" w:rsidR="002237A0" w:rsidRPr="00026EC1" w:rsidRDefault="002237A0" w:rsidP="00A64613">
      <w:pPr>
        <w:keepNext w:val="0"/>
        <w:rPr>
          <w:rFonts w:cs="Arial"/>
        </w:rPr>
      </w:pPr>
      <w:r w:rsidRPr="00026EC1">
        <w:rPr>
          <w:rFonts w:cs="Arial"/>
        </w:rPr>
        <w:t>Lors de la signature du contrat, le Collège remet à l’enseignante ou à l’enseignant, sous pli séparé, une copie de la présente clause.</w:t>
      </w:r>
    </w:p>
    <w:p w14:paraId="19652D9D" w14:textId="77777777" w:rsidR="002237A0" w:rsidRPr="00026EC1" w:rsidRDefault="002237A0" w:rsidP="00A64613">
      <w:pPr>
        <w:keepNext w:val="0"/>
        <w:rPr>
          <w:rFonts w:cs="Arial"/>
        </w:rPr>
      </w:pPr>
    </w:p>
    <w:p w14:paraId="095044D8" w14:textId="4C4A7A3D" w:rsidR="003E29ED" w:rsidRPr="00F43360" w:rsidRDefault="003E29ED" w:rsidP="003E29ED">
      <w:pPr>
        <w:pStyle w:val="NUMRODECLAUSE"/>
        <w:keepNext w:val="0"/>
      </w:pPr>
      <w:r w:rsidRPr="00F43360">
        <w:t>5</w:t>
      </w:r>
      <w:r w:rsidRPr="00F43360">
        <w:noBreakHyphen/>
        <w:t>1.18</w:t>
      </w:r>
    </w:p>
    <w:p w14:paraId="116E8DA6" w14:textId="4BC59C8A" w:rsidR="002237A0" w:rsidRPr="00026EC1" w:rsidRDefault="002237A0" w:rsidP="00A64613">
      <w:pPr>
        <w:keepNext w:val="0"/>
        <w:rPr>
          <w:rFonts w:cs="Arial"/>
        </w:rPr>
      </w:pPr>
      <w:r w:rsidRPr="00026EC1">
        <w:rPr>
          <w:rFonts w:cs="Arial"/>
        </w:rPr>
        <w:t>Aux fins de l’engagement des enseignantes et enseignants et aux fins d’application locale des clauses 4</w:t>
      </w:r>
      <w:r w:rsidR="00984A6F">
        <w:rPr>
          <w:rFonts w:cs="Arial"/>
        </w:rPr>
        <w:noBreakHyphen/>
      </w:r>
      <w:r w:rsidRPr="00026EC1">
        <w:rPr>
          <w:rFonts w:cs="Arial"/>
        </w:rPr>
        <w:t>1.04 et 5</w:t>
      </w:r>
      <w:r w:rsidR="00984A6F">
        <w:rPr>
          <w:rFonts w:cs="Arial"/>
        </w:rPr>
        <w:noBreakHyphen/>
      </w:r>
      <w:r w:rsidRPr="00026EC1">
        <w:rPr>
          <w:rFonts w:cs="Arial"/>
        </w:rPr>
        <w:t>3.04 de la convention collective, les disciplines énumérées à l’Annexe I</w:t>
      </w:r>
      <w:r w:rsidR="00984A6F">
        <w:rPr>
          <w:rFonts w:cs="Arial"/>
        </w:rPr>
        <w:noBreakHyphen/>
      </w:r>
      <w:r w:rsidRPr="00026EC1">
        <w:rPr>
          <w:rFonts w:cs="Arial"/>
        </w:rPr>
        <w:t>3 peuvent être fractionnées ou regroupées pour tenir compte des spécialités propres à un Collège, le tout conformément aux dispositions de l’Annexe I</w:t>
      </w:r>
      <w:r w:rsidR="00984A6F">
        <w:rPr>
          <w:rFonts w:cs="Arial"/>
        </w:rPr>
        <w:noBreakHyphen/>
      </w:r>
      <w:r w:rsidRPr="00026EC1">
        <w:rPr>
          <w:rFonts w:cs="Arial"/>
        </w:rPr>
        <w:t>4.</w:t>
      </w:r>
    </w:p>
    <w:p w14:paraId="593CCA02" w14:textId="77777777" w:rsidR="002237A0" w:rsidRPr="00026EC1" w:rsidRDefault="002237A0" w:rsidP="00A64613">
      <w:pPr>
        <w:keepNext w:val="0"/>
        <w:rPr>
          <w:rFonts w:cs="Arial"/>
        </w:rPr>
      </w:pPr>
    </w:p>
    <w:p w14:paraId="29345839" w14:textId="77777777" w:rsidR="00816D9A" w:rsidRDefault="002237A0" w:rsidP="00F43360">
      <w:pPr>
        <w:keepNext w:val="0"/>
      </w:pPr>
      <w:r w:rsidRPr="00026EC1">
        <w:rPr>
          <w:rFonts w:cs="Arial"/>
        </w:rPr>
        <w:t>Toutefois, les inscriptions sur les listes du Bureau de placement ne peuvent se faire que conformément à la liste en Annexe I</w:t>
      </w:r>
      <w:r w:rsidR="00984A6F">
        <w:rPr>
          <w:rFonts w:cs="Arial"/>
        </w:rPr>
        <w:noBreakHyphen/>
      </w:r>
      <w:r w:rsidRPr="00026EC1">
        <w:rPr>
          <w:rFonts w:cs="Arial"/>
        </w:rPr>
        <w:t>3 et les modalités de la sécurité d’emploi s’appliquent alors en conséquence.</w:t>
      </w:r>
      <w:r w:rsidRPr="00026EC1">
        <w:br w:type="page"/>
      </w:r>
    </w:p>
    <w:p w14:paraId="43E78E84" w14:textId="2AFABDD0" w:rsidR="00816D9A" w:rsidRDefault="00816D9A" w:rsidP="00816D9A">
      <w:pPr>
        <w:pStyle w:val="Heading2"/>
        <w:keepNext w:val="0"/>
        <w:tabs>
          <w:tab w:val="clear" w:pos="1843"/>
          <w:tab w:val="clear" w:pos="2127"/>
          <w:tab w:val="left" w:pos="1701"/>
          <w:tab w:val="left" w:pos="1985"/>
        </w:tabs>
        <w:ind w:left="1701" w:hanging="1701"/>
      </w:pPr>
      <w:bookmarkStart w:id="401" w:name="_Toc168479514"/>
      <w:r w:rsidRPr="00026EC1">
        <w:t>Article 5</w:t>
      </w:r>
      <w:r>
        <w:t>-2</w:t>
      </w:r>
      <w:r w:rsidRPr="00026EC1">
        <w:t>.00</w:t>
      </w:r>
      <w:r w:rsidRPr="00026EC1">
        <w:tab/>
      </w:r>
      <w:r>
        <w:t>-</w:t>
      </w:r>
      <w:r w:rsidRPr="00026EC1">
        <w:tab/>
      </w:r>
      <w:r>
        <w:t>Permanence</w:t>
      </w:r>
      <w:bookmarkEnd w:id="401"/>
    </w:p>
    <w:bookmarkEnd w:id="392"/>
    <w:bookmarkEnd w:id="393"/>
    <w:bookmarkEnd w:id="394"/>
    <w:bookmarkEnd w:id="395"/>
    <w:bookmarkEnd w:id="396"/>
    <w:bookmarkEnd w:id="397"/>
    <w:bookmarkEnd w:id="398"/>
    <w:bookmarkEnd w:id="399"/>
    <w:bookmarkEnd w:id="400"/>
    <w:p w14:paraId="1DAA0CA7" w14:textId="5C9B2D7C" w:rsidR="00404F34" w:rsidRPr="00026EC1" w:rsidRDefault="00404F34" w:rsidP="00A64613">
      <w:pPr>
        <w:pStyle w:val="NUMRODECLAUSE"/>
        <w:keepNext w:val="0"/>
        <w:rPr>
          <w:bCs/>
        </w:rPr>
      </w:pPr>
      <w:r w:rsidRPr="00026EC1">
        <w:t>5</w:t>
      </w:r>
      <w:r w:rsidR="00984A6F">
        <w:noBreakHyphen/>
      </w:r>
      <w:r w:rsidRPr="00026EC1">
        <w:t>2.01</w:t>
      </w:r>
    </w:p>
    <w:p w14:paraId="1FB41792" w14:textId="7916FFF8" w:rsidR="00404F34" w:rsidRPr="00026EC1" w:rsidRDefault="00404F34" w:rsidP="00A64613">
      <w:pPr>
        <w:keepNext w:val="0"/>
        <w:rPr>
          <w:bCs/>
        </w:rPr>
      </w:pPr>
      <w:r w:rsidRPr="00026EC1">
        <w:rPr>
          <w:bCs/>
        </w:rPr>
        <w:t>Pour acquérir la permanence, il faut être enseignante ou enseignant à temps complet et satisfaire aux dispositions prévues au présent article sous réserve de l</w:t>
      </w:r>
      <w:r w:rsidR="004A41E4" w:rsidRPr="00026EC1">
        <w:rPr>
          <w:bCs/>
        </w:rPr>
        <w:t>’</w:t>
      </w:r>
      <w:r w:rsidRPr="00026EC1">
        <w:rPr>
          <w:bCs/>
        </w:rPr>
        <w:t>alinéa</w:t>
      </w:r>
      <w:r w:rsidR="00BD38A6" w:rsidRPr="00026EC1">
        <w:rPr>
          <w:bCs/>
        </w:rPr>
        <w:t> </w:t>
      </w:r>
      <w:r w:rsidRPr="00026EC1">
        <w:rPr>
          <w:bCs/>
        </w:rPr>
        <w:t>c) de la clause</w:t>
      </w:r>
      <w:r w:rsidR="007F445F" w:rsidRPr="00026EC1">
        <w:rPr>
          <w:bCs/>
        </w:rPr>
        <w:t> </w:t>
      </w:r>
      <w:r w:rsidRPr="00026EC1">
        <w:rPr>
          <w:bCs/>
        </w:rPr>
        <w:t>5</w:t>
      </w:r>
      <w:r w:rsidR="00984A6F">
        <w:rPr>
          <w:bCs/>
        </w:rPr>
        <w:noBreakHyphen/>
      </w:r>
      <w:r w:rsidRPr="00026EC1">
        <w:rPr>
          <w:bCs/>
        </w:rPr>
        <w:t>4.16.</w:t>
      </w:r>
    </w:p>
    <w:p w14:paraId="5AF8F8A8" w14:textId="77777777" w:rsidR="00404F34" w:rsidRPr="00026EC1" w:rsidRDefault="00404F34" w:rsidP="00A64613">
      <w:pPr>
        <w:keepNext w:val="0"/>
        <w:rPr>
          <w:bCs/>
        </w:rPr>
      </w:pPr>
    </w:p>
    <w:p w14:paraId="1C681CDA" w14:textId="3CFE4D02" w:rsidR="00404F34" w:rsidRPr="00026EC1" w:rsidRDefault="00404F34" w:rsidP="00A64613">
      <w:pPr>
        <w:pStyle w:val="NUMRODECLAUSE"/>
        <w:keepNext w:val="0"/>
      </w:pPr>
      <w:r w:rsidRPr="00026EC1">
        <w:t>5</w:t>
      </w:r>
      <w:r w:rsidR="00984A6F">
        <w:noBreakHyphen/>
      </w:r>
      <w:r w:rsidRPr="00026EC1">
        <w:t>2.02</w:t>
      </w:r>
    </w:p>
    <w:p w14:paraId="6127862C" w14:textId="69CECF37" w:rsidR="00404F34" w:rsidRPr="00026EC1" w:rsidRDefault="00404F34" w:rsidP="00D14DE1">
      <w:pPr>
        <w:keepNext w:val="0"/>
        <w:tabs>
          <w:tab w:val="left" w:pos="0"/>
        </w:tabs>
      </w:pPr>
      <w:r w:rsidRPr="00026EC1">
        <w:t>L</w:t>
      </w:r>
      <w:r w:rsidR="004A41E4" w:rsidRPr="00026EC1">
        <w:t>’</w:t>
      </w:r>
      <w:r w:rsidRPr="00026EC1">
        <w:t>enseignante ou l</w:t>
      </w:r>
      <w:r w:rsidR="004A41E4" w:rsidRPr="00026EC1">
        <w:t>’</w:t>
      </w:r>
      <w:r w:rsidRPr="00026EC1">
        <w:t>enseignant à temps complet acquiert sa permanence au début d</w:t>
      </w:r>
      <w:r w:rsidR="004A41E4" w:rsidRPr="00026EC1">
        <w:t>’</w:t>
      </w:r>
      <w:r w:rsidRPr="00026EC1">
        <w:t>un contrat d</w:t>
      </w:r>
      <w:r w:rsidR="004A41E4" w:rsidRPr="00026EC1">
        <w:t>’</w:t>
      </w:r>
      <w:r w:rsidRPr="00026EC1">
        <w:t>engagement au Collège à titre d</w:t>
      </w:r>
      <w:r w:rsidR="004A41E4" w:rsidRPr="00026EC1">
        <w:t>’</w:t>
      </w:r>
      <w:r w:rsidRPr="00026EC1">
        <w:t>enseignante ou d</w:t>
      </w:r>
      <w:r w:rsidR="004A41E4" w:rsidRPr="00026EC1">
        <w:t>’</w:t>
      </w:r>
      <w:r w:rsidRPr="00026EC1">
        <w:t>enseignant à temps complet dans un poste disponible obtenu au cours de l</w:t>
      </w:r>
      <w:r w:rsidR="004A41E4" w:rsidRPr="00026EC1">
        <w:t>’</w:t>
      </w:r>
      <w:r w:rsidRPr="00026EC1">
        <w:t>une ou l</w:t>
      </w:r>
      <w:r w:rsidR="004A41E4" w:rsidRPr="00026EC1">
        <w:t>’</w:t>
      </w:r>
      <w:r w:rsidRPr="00026EC1">
        <w:t>autre des deux (2) années d</w:t>
      </w:r>
      <w:r w:rsidR="004A41E4" w:rsidRPr="00026EC1">
        <w:t>’</w:t>
      </w:r>
      <w:r w:rsidRPr="00026EC1">
        <w:t>engagement qui suivent l</w:t>
      </w:r>
      <w:r w:rsidR="004A41E4" w:rsidRPr="00026EC1">
        <w:t>’</w:t>
      </w:r>
      <w:r w:rsidRPr="00026EC1">
        <w:t>occupation au Collège par cette enseignante ou cet enseignant d</w:t>
      </w:r>
      <w:r w:rsidR="004A41E4" w:rsidRPr="00026EC1">
        <w:t>’</w:t>
      </w:r>
      <w:r w:rsidRPr="00026EC1">
        <w:t>un poste disponible pendant deux (2) années consécutives.</w:t>
      </w:r>
    </w:p>
    <w:p w14:paraId="4DBDF7DA" w14:textId="77777777" w:rsidR="00404F34" w:rsidRPr="00026EC1" w:rsidRDefault="00404F34" w:rsidP="00A64613">
      <w:pPr>
        <w:keepNext w:val="0"/>
      </w:pPr>
    </w:p>
    <w:p w14:paraId="0BDA49C7" w14:textId="78E2A9D1" w:rsidR="00404F34" w:rsidRPr="00026EC1" w:rsidRDefault="00404F34" w:rsidP="00A64613">
      <w:pPr>
        <w:pStyle w:val="NUMRODECLAUSE"/>
        <w:keepNext w:val="0"/>
        <w:rPr>
          <w:strike/>
        </w:rPr>
      </w:pPr>
      <w:r w:rsidRPr="00026EC1">
        <w:t>5</w:t>
      </w:r>
      <w:r w:rsidR="00984A6F">
        <w:noBreakHyphen/>
      </w:r>
      <w:r w:rsidRPr="00026EC1">
        <w:t>2.03</w:t>
      </w:r>
    </w:p>
    <w:p w14:paraId="504D1A21" w14:textId="77777777" w:rsidR="00404F34" w:rsidRPr="00026EC1" w:rsidRDefault="00404F34" w:rsidP="00A64613">
      <w:pPr>
        <w:keepNext w:val="0"/>
      </w:pPr>
      <w:r w:rsidRPr="00026EC1">
        <w:t>Le Collège maintient le statut de permanente ou de permanent à l</w:t>
      </w:r>
      <w:r w:rsidR="004A41E4" w:rsidRPr="00026EC1">
        <w:t>’</w:t>
      </w:r>
      <w:r w:rsidRPr="00026EC1">
        <w:t>enseignante ou l</w:t>
      </w:r>
      <w:r w:rsidR="004A41E4" w:rsidRPr="00026EC1">
        <w:t>’</w:t>
      </w:r>
      <w:r w:rsidRPr="00026EC1">
        <w:t>enseignant dont le travail n</w:t>
      </w:r>
      <w:r w:rsidR="004A41E4" w:rsidRPr="00026EC1">
        <w:t>’</w:t>
      </w:r>
      <w:r w:rsidRPr="00026EC1">
        <w:t>est pas entièrement consacré à l</w:t>
      </w:r>
      <w:r w:rsidR="004A41E4" w:rsidRPr="00026EC1">
        <w:t>’</w:t>
      </w:r>
      <w:r w:rsidRPr="00026EC1">
        <w:t>enseignement ou qui est libéré par le Collège pour un congé dûment autorisé suivant les modalités prévues à la convention collective.</w:t>
      </w:r>
    </w:p>
    <w:p w14:paraId="38F03EBA" w14:textId="77777777" w:rsidR="00404F34" w:rsidRPr="00026EC1" w:rsidRDefault="00404F34" w:rsidP="00A64613">
      <w:pPr>
        <w:keepNext w:val="0"/>
      </w:pPr>
    </w:p>
    <w:p w14:paraId="73A33E22" w14:textId="636CDD41" w:rsidR="00404F34" w:rsidRPr="00026EC1" w:rsidRDefault="00404F34" w:rsidP="00A64613">
      <w:pPr>
        <w:pStyle w:val="NUMRODECLAUSE"/>
        <w:keepNext w:val="0"/>
        <w:rPr>
          <w:strike/>
        </w:rPr>
      </w:pPr>
      <w:r w:rsidRPr="00026EC1">
        <w:t>5</w:t>
      </w:r>
      <w:r w:rsidR="00984A6F">
        <w:noBreakHyphen/>
      </w:r>
      <w:r w:rsidRPr="00026EC1">
        <w:t>2.04</w:t>
      </w:r>
    </w:p>
    <w:p w14:paraId="58939304"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permanent dans les établissements auxquels le Collège succède acquiert la permanence au Collège dès l</w:t>
      </w:r>
      <w:r w:rsidR="004A41E4" w:rsidRPr="00026EC1">
        <w:t>’</w:t>
      </w:r>
      <w:r w:rsidRPr="00026EC1">
        <w:t>obtention de son transfert.</w:t>
      </w:r>
    </w:p>
    <w:p w14:paraId="307BD340" w14:textId="77777777" w:rsidR="00404F34" w:rsidRPr="00026EC1" w:rsidRDefault="00404F34" w:rsidP="00A64613">
      <w:pPr>
        <w:keepNext w:val="0"/>
      </w:pPr>
    </w:p>
    <w:p w14:paraId="19640D14" w14:textId="225F1149" w:rsidR="00404F34" w:rsidRPr="00026EC1" w:rsidRDefault="00404F34" w:rsidP="00A64613">
      <w:pPr>
        <w:pStyle w:val="NUMRODECLAUSE"/>
        <w:keepNext w:val="0"/>
        <w:rPr>
          <w:strike/>
        </w:rPr>
      </w:pPr>
      <w:r w:rsidRPr="00026EC1">
        <w:t>5</w:t>
      </w:r>
      <w:r w:rsidR="00984A6F">
        <w:noBreakHyphen/>
      </w:r>
      <w:r w:rsidRPr="00026EC1">
        <w:t>2.05</w:t>
      </w:r>
    </w:p>
    <w:p w14:paraId="2E566F0A"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permanent d</w:t>
      </w:r>
      <w:r w:rsidR="004A41E4" w:rsidRPr="00026EC1">
        <w:t>’</w:t>
      </w:r>
      <w:r w:rsidRPr="00026EC1">
        <w:t xml:space="preserve">un autre </w:t>
      </w:r>
      <w:r w:rsidR="00855DD8" w:rsidRPr="00026EC1">
        <w:t>C</w:t>
      </w:r>
      <w:r w:rsidRPr="00026EC1">
        <w:t>ollège ou d</w:t>
      </w:r>
      <w:r w:rsidR="004A41E4" w:rsidRPr="00026EC1">
        <w:t>’</w:t>
      </w:r>
      <w:r w:rsidRPr="00026EC1">
        <w:t>une maison d</w:t>
      </w:r>
      <w:r w:rsidR="004A41E4" w:rsidRPr="00026EC1">
        <w:t>’</w:t>
      </w:r>
      <w:r w:rsidRPr="00026EC1">
        <w:t>enseignement du Gouvernement qui n</w:t>
      </w:r>
      <w:r w:rsidR="004A41E4" w:rsidRPr="00026EC1">
        <w:t>’</w:t>
      </w:r>
      <w:r w:rsidRPr="00026EC1">
        <w:t>a pas été congédié par ce Collège ou le Gouvernement et qui est engagé l</w:t>
      </w:r>
      <w:r w:rsidR="004A41E4" w:rsidRPr="00026EC1">
        <w:t>’</w:t>
      </w:r>
      <w:r w:rsidRPr="00026EC1">
        <w:t>année d</w:t>
      </w:r>
      <w:r w:rsidR="004A41E4" w:rsidRPr="00026EC1">
        <w:t>’</w:t>
      </w:r>
      <w:r w:rsidRPr="00026EC1">
        <w:t>enseignement suivant son départ comme enseignante ou enseignant à temps complet obtient la permanence dès son engag</w:t>
      </w:r>
      <w:r w:rsidR="00BA79F8" w:rsidRPr="00026EC1">
        <w:t>ement dans un poste disponible.</w:t>
      </w:r>
    </w:p>
    <w:p w14:paraId="44EEA401" w14:textId="51EFE401" w:rsidR="00404F34" w:rsidRPr="00026EC1" w:rsidRDefault="00B74B87" w:rsidP="00A64613">
      <w:pPr>
        <w:pStyle w:val="NUMRODECLAUSE"/>
        <w:keepNext w:val="0"/>
      </w:pPr>
      <w:r w:rsidRPr="00026EC1">
        <w:br w:type="page"/>
      </w:r>
      <w:r w:rsidR="00404F34" w:rsidRPr="00026EC1">
        <w:t>5</w:t>
      </w:r>
      <w:r w:rsidR="00984A6F">
        <w:noBreakHyphen/>
      </w:r>
      <w:r w:rsidR="00404F34" w:rsidRPr="00026EC1">
        <w:t>2.06</w:t>
      </w:r>
    </w:p>
    <w:p w14:paraId="12169E3F"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acquiert sa permanence dès l</w:t>
      </w:r>
      <w:r w:rsidR="004A41E4" w:rsidRPr="00026EC1">
        <w:t>’</w:t>
      </w:r>
      <w:r w:rsidRPr="00026EC1">
        <w:t>entrée en vigueur d</w:t>
      </w:r>
      <w:r w:rsidR="004A41E4" w:rsidRPr="00026EC1">
        <w:t>’</w:t>
      </w:r>
      <w:r w:rsidRPr="00026EC1">
        <w:t>un contrat d</w:t>
      </w:r>
      <w:r w:rsidR="004A41E4" w:rsidRPr="00026EC1">
        <w:t>’</w:t>
      </w:r>
      <w:r w:rsidRPr="00026EC1">
        <w:t>engagement au Collège à titre d</w:t>
      </w:r>
      <w:r w:rsidR="004A41E4" w:rsidRPr="00026EC1">
        <w:t>’</w:t>
      </w:r>
      <w:r w:rsidRPr="00026EC1">
        <w:t>enseignante ou d</w:t>
      </w:r>
      <w:r w:rsidR="004A41E4" w:rsidRPr="00026EC1">
        <w:t>’</w:t>
      </w:r>
      <w:r w:rsidRPr="00026EC1">
        <w:t>enseignant à temps complet dans un poste disponible obtenu au cours de l</w:t>
      </w:r>
      <w:r w:rsidR="004A41E4" w:rsidRPr="00026EC1">
        <w:t>’</w:t>
      </w:r>
      <w:r w:rsidRPr="00026EC1">
        <w:t>une ou l</w:t>
      </w:r>
      <w:r w:rsidR="004A41E4" w:rsidRPr="00026EC1">
        <w:t>’</w:t>
      </w:r>
      <w:r w:rsidRPr="00026EC1">
        <w:t>autre des deux (2) années d</w:t>
      </w:r>
      <w:r w:rsidR="004A41E4" w:rsidRPr="00026EC1">
        <w:t>’</w:t>
      </w:r>
      <w:r w:rsidRPr="00026EC1">
        <w:t>engagement qui suivent l</w:t>
      </w:r>
      <w:r w:rsidR="004A41E4" w:rsidRPr="00026EC1">
        <w:t>’</w:t>
      </w:r>
      <w:r w:rsidRPr="00026EC1">
        <w:t>occupation au Collège pendant trois (3) années consécutives de charges à temps complet dont au moins deux (2) à l</w:t>
      </w:r>
      <w:r w:rsidR="004A41E4" w:rsidRPr="00026EC1">
        <w:t>’</w:t>
      </w:r>
      <w:r w:rsidRPr="00026EC1">
        <w:t>enseignement régulier.</w:t>
      </w:r>
    </w:p>
    <w:p w14:paraId="08C18F3D" w14:textId="77777777" w:rsidR="00B74B87" w:rsidRPr="00026EC1" w:rsidRDefault="00B74B87" w:rsidP="00A64613">
      <w:pPr>
        <w:keepNext w:val="0"/>
      </w:pPr>
    </w:p>
    <w:p w14:paraId="04A0BB0E" w14:textId="6A30B86A" w:rsidR="00404F34" w:rsidRPr="00026EC1" w:rsidRDefault="00404F34" w:rsidP="00A64613">
      <w:pPr>
        <w:pStyle w:val="NUMRODECLAUSE"/>
        <w:keepNext w:val="0"/>
      </w:pPr>
      <w:r w:rsidRPr="00026EC1">
        <w:t>5</w:t>
      </w:r>
      <w:r w:rsidR="00984A6F">
        <w:noBreakHyphen/>
      </w:r>
      <w:r w:rsidRPr="00026EC1">
        <w:t>2.07</w:t>
      </w:r>
    </w:p>
    <w:p w14:paraId="2534BBCA" w14:textId="59D29D42"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acquiert sa permanence au début de son deuxième (2</w:t>
      </w:r>
      <w:r w:rsidRPr="00026EC1">
        <w:rPr>
          <w:vertAlign w:val="superscript"/>
        </w:rPr>
        <w:t>e</w:t>
      </w:r>
      <w:r w:rsidRPr="00026EC1">
        <w:t>) contrat consécutif d</w:t>
      </w:r>
      <w:r w:rsidR="004A41E4" w:rsidRPr="00026EC1">
        <w:t>’</w:t>
      </w:r>
      <w:r w:rsidRPr="00026EC1">
        <w:t>engagement à titre d</w:t>
      </w:r>
      <w:r w:rsidR="004A41E4" w:rsidRPr="00026EC1">
        <w:t>’</w:t>
      </w:r>
      <w:r w:rsidRPr="00026EC1">
        <w:t>enseignante ou d</w:t>
      </w:r>
      <w:r w:rsidR="004A41E4" w:rsidRPr="00026EC1">
        <w:t>’</w:t>
      </w:r>
      <w:r w:rsidRPr="00026EC1">
        <w:t>enseignant à temps complet à l</w:t>
      </w:r>
      <w:r w:rsidR="004A41E4" w:rsidRPr="00026EC1">
        <w:t>’</w:t>
      </w:r>
      <w:r w:rsidRPr="00026EC1">
        <w:t>emploi du même Collège dans un poste disponible si, préalablement à l</w:t>
      </w:r>
      <w:r w:rsidR="004A41E4" w:rsidRPr="00026EC1">
        <w:t>’</w:t>
      </w:r>
      <w:r w:rsidRPr="00026EC1">
        <w:t>entrée en vigueur du premier (1</w:t>
      </w:r>
      <w:r w:rsidRPr="00026EC1">
        <w:rPr>
          <w:vertAlign w:val="superscript"/>
        </w:rPr>
        <w:t>er</w:t>
      </w:r>
      <w:r w:rsidRPr="00026EC1">
        <w:t>) de ces deux (2) contrats consécutifs d</w:t>
      </w:r>
      <w:r w:rsidR="004A41E4" w:rsidRPr="00026EC1">
        <w:t>’</w:t>
      </w:r>
      <w:r w:rsidRPr="00026EC1">
        <w:t>engagement à titre d</w:t>
      </w:r>
      <w:r w:rsidR="004A41E4" w:rsidRPr="00026EC1">
        <w:t>’</w:t>
      </w:r>
      <w:r w:rsidRPr="00026EC1">
        <w:t>enseignante ou d</w:t>
      </w:r>
      <w:r w:rsidR="004A41E4" w:rsidRPr="00026EC1">
        <w:t>’</w:t>
      </w:r>
      <w:r w:rsidRPr="00026EC1">
        <w:t>enseignant à temps complet à l</w:t>
      </w:r>
      <w:r w:rsidR="004A41E4" w:rsidRPr="00026EC1">
        <w:t>’</w:t>
      </w:r>
      <w:r w:rsidRPr="00026EC1">
        <w:t>emploi du Collège dans un poste disponible, elle ou il a à son crédit au moins trois (3) années d</w:t>
      </w:r>
      <w:r w:rsidR="004A41E4" w:rsidRPr="00026EC1">
        <w:t>’</w:t>
      </w:r>
      <w:r w:rsidRPr="00026EC1">
        <w:t>ancienneté 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w:t>
      </w:r>
    </w:p>
    <w:p w14:paraId="7314F498" w14:textId="77777777" w:rsidR="00404F34" w:rsidRPr="00026EC1" w:rsidRDefault="00404F34" w:rsidP="00A64613">
      <w:pPr>
        <w:keepNext w:val="0"/>
      </w:pPr>
    </w:p>
    <w:p w14:paraId="05F85E9D" w14:textId="7E076073" w:rsidR="00404F34" w:rsidRPr="00026EC1" w:rsidRDefault="00404F34" w:rsidP="00A64613">
      <w:pPr>
        <w:pStyle w:val="NUMRODECLAUSE"/>
        <w:keepNext w:val="0"/>
      </w:pPr>
      <w:r w:rsidRPr="00026EC1">
        <w:t>5</w:t>
      </w:r>
      <w:r w:rsidR="00984A6F">
        <w:noBreakHyphen/>
      </w:r>
      <w:r w:rsidRPr="00026EC1">
        <w:t>2.08</w:t>
      </w:r>
    </w:p>
    <w:p w14:paraId="24525606" w14:textId="7897328C"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acquiert sa permanence dès l</w:t>
      </w:r>
      <w:r w:rsidR="004A41E4" w:rsidRPr="00026EC1">
        <w:t>’</w:t>
      </w:r>
      <w:r w:rsidRPr="00026EC1">
        <w:t>entrée en vigueur d</w:t>
      </w:r>
      <w:r w:rsidR="004A41E4" w:rsidRPr="00026EC1">
        <w:t>’</w:t>
      </w:r>
      <w:r w:rsidRPr="00026EC1">
        <w:t>un contrat d</w:t>
      </w:r>
      <w:r w:rsidR="004A41E4" w:rsidRPr="00026EC1">
        <w:t>’</w:t>
      </w:r>
      <w:r w:rsidRPr="00026EC1">
        <w:t>engagement au Collège à titre d</w:t>
      </w:r>
      <w:r w:rsidR="004A41E4" w:rsidRPr="00026EC1">
        <w:t>’</w:t>
      </w:r>
      <w:r w:rsidRPr="00026EC1">
        <w:t>enseignante ou d</w:t>
      </w:r>
      <w:r w:rsidR="004A41E4" w:rsidRPr="00026EC1">
        <w:t>’</w:t>
      </w:r>
      <w:r w:rsidRPr="00026EC1">
        <w:t>enseignant à temps complet dans un poste disponible, si préalablement elle ou il a à son crédit au moins cinq (5) années d</w:t>
      </w:r>
      <w:r w:rsidR="004A41E4" w:rsidRPr="00026EC1">
        <w:t>’</w:t>
      </w:r>
      <w:r w:rsidRPr="00026EC1">
        <w:t>ancienneté 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00BA79F8" w:rsidRPr="00026EC1">
        <w:t>4.00.</w:t>
      </w:r>
    </w:p>
    <w:p w14:paraId="21F38FB5" w14:textId="77777777" w:rsidR="00A23A76" w:rsidRDefault="00A23A76" w:rsidP="00A23A76">
      <w:pPr>
        <w:keepNext w:val="0"/>
      </w:pPr>
    </w:p>
    <w:p w14:paraId="3EDFBF79" w14:textId="59307AE3" w:rsidR="00A23A76" w:rsidRPr="00316277" w:rsidRDefault="00A23A76" w:rsidP="00A23A76">
      <w:pPr>
        <w:pStyle w:val="NUMRODECLAUSE"/>
        <w:keepNext w:val="0"/>
        <w:rPr>
          <w:rStyle w:val="Strong"/>
          <w:b/>
          <w:bCs w:val="0"/>
        </w:rPr>
      </w:pPr>
      <w:r w:rsidRPr="00316277">
        <w:rPr>
          <w:rStyle w:val="Strong"/>
          <w:b/>
          <w:bCs w:val="0"/>
        </w:rPr>
        <w:t>5-2.09</w:t>
      </w:r>
    </w:p>
    <w:p w14:paraId="28C164A4" w14:textId="10C71AB0" w:rsidR="00A23A76" w:rsidRPr="00316277" w:rsidRDefault="00A23A76" w:rsidP="00B7635A">
      <w:pPr>
        <w:pStyle w:val="N-FNEEQ"/>
        <w:spacing w:before="0" w:after="0"/>
        <w:ind w:left="0"/>
        <w:rPr>
          <w:rFonts w:ascii="Arial" w:hAnsi="Arial" w:cs="Arial"/>
          <w:color w:val="auto"/>
          <w:sz w:val="24"/>
          <w:szCs w:val="24"/>
        </w:rPr>
      </w:pPr>
      <w:r w:rsidRPr="00316277">
        <w:rPr>
          <w:rFonts w:ascii="Arial" w:hAnsi="Arial" w:cs="Arial"/>
          <w:color w:val="auto"/>
          <w:sz w:val="24"/>
          <w:szCs w:val="24"/>
        </w:rPr>
        <w:t>Le contrat au cours duquel l’enseignante ou l’enseignant bénéficie de tout congé, absence ou libération, à temps complet, d’une durée d’une</w:t>
      </w:r>
      <w:r w:rsidR="002D5F5B" w:rsidRPr="00316277">
        <w:rPr>
          <w:rFonts w:ascii="Arial" w:hAnsi="Arial" w:cs="Arial"/>
          <w:color w:val="auto"/>
          <w:sz w:val="24"/>
          <w:szCs w:val="24"/>
        </w:rPr>
        <w:t> </w:t>
      </w:r>
      <w:r w:rsidRPr="00316277">
        <w:rPr>
          <w:rStyle w:val="Strong"/>
          <w:rFonts w:ascii="Arial" w:hAnsi="Arial" w:cs="Arial"/>
          <w:b w:val="0"/>
          <w:color w:val="auto"/>
          <w:sz w:val="24"/>
          <w:szCs w:val="24"/>
        </w:rPr>
        <w:t xml:space="preserve">(1) </w:t>
      </w:r>
      <w:r w:rsidRPr="00316277">
        <w:rPr>
          <w:rFonts w:ascii="Arial" w:hAnsi="Arial" w:cs="Arial"/>
          <w:color w:val="auto"/>
          <w:sz w:val="24"/>
          <w:szCs w:val="24"/>
        </w:rPr>
        <w:t xml:space="preserve">session ou plus, demeure un contrat consécutif </w:t>
      </w:r>
      <w:r w:rsidRPr="00316277">
        <w:rPr>
          <w:rStyle w:val="ElevSoulign"/>
          <w:rFonts w:ascii="Arial" w:hAnsi="Arial" w:cs="Arial"/>
          <w:b w:val="0"/>
          <w:color w:val="auto"/>
          <w:sz w:val="24"/>
          <w:szCs w:val="24"/>
          <w:u w:val="none"/>
        </w:rPr>
        <w:t>aux fins des clauses</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5-2.02, 5</w:t>
      </w:r>
      <w:r w:rsidRPr="00316277">
        <w:rPr>
          <w:rStyle w:val="ElevSoulign"/>
          <w:rFonts w:ascii="Arial" w:hAnsi="Arial" w:cs="Arial"/>
          <w:b w:val="0"/>
          <w:color w:val="auto"/>
          <w:sz w:val="24"/>
          <w:szCs w:val="24"/>
          <w:u w:val="none"/>
        </w:rPr>
        <w:noBreakHyphen/>
        <w:t>2.06 et 5-2.07</w:t>
      </w:r>
      <w:r w:rsidRPr="00316277">
        <w:rPr>
          <w:rFonts w:ascii="Arial" w:hAnsi="Arial" w:cs="Arial"/>
          <w:color w:val="auto"/>
          <w:sz w:val="24"/>
          <w:szCs w:val="24"/>
        </w:rPr>
        <w:t>, mais n’est pas crédité pour l’acquisition de la permanence.</w:t>
      </w:r>
    </w:p>
    <w:p w14:paraId="415781F7" w14:textId="77777777" w:rsidR="00B7635A" w:rsidRPr="00316277" w:rsidRDefault="00B7635A" w:rsidP="00B7635A">
      <w:pPr>
        <w:pStyle w:val="N-FNEEQ"/>
        <w:spacing w:before="0" w:after="0"/>
        <w:ind w:left="0"/>
        <w:rPr>
          <w:rFonts w:ascii="Arial" w:hAnsi="Arial" w:cs="Arial"/>
          <w:color w:val="auto"/>
          <w:sz w:val="24"/>
          <w:szCs w:val="24"/>
        </w:rPr>
      </w:pPr>
    </w:p>
    <w:p w14:paraId="1E3EBFB2" w14:textId="5521CB21" w:rsidR="00A23A76" w:rsidRPr="00316277" w:rsidRDefault="00A23A76" w:rsidP="00B7635A">
      <w:pPr>
        <w:pStyle w:val="N-FNEEQ"/>
        <w:spacing w:before="0" w:after="0"/>
        <w:ind w:left="0"/>
        <w:rPr>
          <w:rStyle w:val="ElevSoulign"/>
          <w:rFonts w:ascii="Arial" w:hAnsi="Arial" w:cs="Arial"/>
          <w:b w:val="0"/>
          <w:color w:val="auto"/>
          <w:sz w:val="24"/>
          <w:szCs w:val="24"/>
          <w:u w:val="none"/>
        </w:rPr>
      </w:pPr>
      <w:r w:rsidRPr="00316277">
        <w:rPr>
          <w:rStyle w:val="ElevSoulign"/>
          <w:rFonts w:ascii="Arial" w:hAnsi="Arial" w:cs="Arial"/>
          <w:b w:val="0"/>
          <w:color w:val="auto"/>
          <w:sz w:val="24"/>
          <w:szCs w:val="24"/>
          <w:u w:val="none"/>
        </w:rPr>
        <w:t>Malgré le paragraphe précédent, n’ont pas pour effet de retarder l’acquisition de la permanence :</w:t>
      </w:r>
    </w:p>
    <w:p w14:paraId="0C7A8822" w14:textId="77777777" w:rsidR="00B7635A" w:rsidRPr="00316277" w:rsidRDefault="00B7635A" w:rsidP="00B7635A">
      <w:pPr>
        <w:pStyle w:val="N-FNEEQ"/>
        <w:spacing w:before="0" w:after="0"/>
        <w:ind w:left="0"/>
        <w:rPr>
          <w:rStyle w:val="ElevSoulign"/>
          <w:rFonts w:ascii="Arial" w:hAnsi="Arial" w:cs="Arial"/>
          <w:b w:val="0"/>
          <w:color w:val="auto"/>
          <w:sz w:val="24"/>
          <w:szCs w:val="24"/>
          <w:u w:val="none"/>
        </w:rPr>
      </w:pPr>
    </w:p>
    <w:p w14:paraId="684CDA84" w14:textId="50CF2D43" w:rsidR="00A23A76" w:rsidRPr="00316277" w:rsidRDefault="00A23A76" w:rsidP="00B7635A">
      <w:pPr>
        <w:pStyle w:val="N-FNEEQ-puce"/>
        <w:spacing w:before="0" w:after="0"/>
        <w:ind w:left="567" w:hanging="567"/>
        <w:rPr>
          <w:rStyle w:val="ElevSoulign"/>
          <w:rFonts w:ascii="Arial" w:hAnsi="Arial" w:cs="Arial"/>
          <w:b w:val="0"/>
          <w:color w:val="auto"/>
          <w:sz w:val="24"/>
          <w:szCs w:val="24"/>
          <w:u w:val="none"/>
        </w:rPr>
      </w:pPr>
      <w:r w:rsidRPr="00316277">
        <w:rPr>
          <w:rStyle w:val="ElevSoulign"/>
          <w:rFonts w:ascii="Arial" w:hAnsi="Arial" w:cs="Arial"/>
          <w:b w:val="0"/>
          <w:color w:val="auto"/>
          <w:sz w:val="24"/>
          <w:szCs w:val="24"/>
          <w:u w:val="none"/>
        </w:rPr>
        <w:t>-</w:t>
      </w:r>
      <w:r w:rsidRPr="00316277">
        <w:rPr>
          <w:rFonts w:ascii="Arial" w:hAnsi="Arial" w:cs="Arial"/>
          <w:color w:val="auto"/>
          <w:sz w:val="24"/>
          <w:szCs w:val="24"/>
        </w:rPr>
        <w:tab/>
      </w:r>
      <w:r w:rsidRPr="00316277">
        <w:rPr>
          <w:rStyle w:val="ElevSoulign"/>
          <w:rFonts w:ascii="Arial" w:hAnsi="Arial" w:cs="Arial"/>
          <w:b w:val="0"/>
          <w:color w:val="auto"/>
          <w:sz w:val="24"/>
          <w:szCs w:val="24"/>
          <w:u w:val="none"/>
        </w:rPr>
        <w:t>Un congé de maternité de même que les prolongations prévues à la clause</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5-6.09;</w:t>
      </w:r>
    </w:p>
    <w:p w14:paraId="37084A71" w14:textId="77777777" w:rsidR="00B7635A" w:rsidRPr="00316277" w:rsidRDefault="00B7635A" w:rsidP="00B7635A">
      <w:pPr>
        <w:pStyle w:val="N-FNEEQ-puce"/>
        <w:spacing w:before="0" w:after="0"/>
        <w:ind w:left="567" w:hanging="567"/>
        <w:rPr>
          <w:rStyle w:val="ElevSoulign"/>
          <w:rFonts w:ascii="Arial" w:hAnsi="Arial" w:cs="Arial"/>
          <w:b w:val="0"/>
          <w:color w:val="auto"/>
          <w:sz w:val="24"/>
          <w:szCs w:val="24"/>
          <w:u w:val="none"/>
        </w:rPr>
      </w:pPr>
    </w:p>
    <w:p w14:paraId="6767E566" w14:textId="49E2A98D" w:rsidR="00A23A76" w:rsidRPr="00A23A76" w:rsidRDefault="00A23A76" w:rsidP="00B7635A">
      <w:pPr>
        <w:pStyle w:val="N-FNEEQ-puce"/>
        <w:spacing w:before="0" w:after="0"/>
        <w:ind w:left="567" w:hanging="567"/>
        <w:rPr>
          <w:rStyle w:val="ElevSoulign"/>
          <w:rFonts w:ascii="Arial" w:hAnsi="Arial" w:cs="Arial"/>
          <w:b w:val="0"/>
          <w:bCs w:val="0"/>
          <w:color w:val="auto"/>
          <w:sz w:val="24"/>
          <w:szCs w:val="24"/>
          <w:u w:val="none"/>
        </w:rPr>
      </w:pPr>
      <w:r w:rsidRPr="00316277">
        <w:rPr>
          <w:rStyle w:val="ElevSoulign"/>
          <w:rFonts w:ascii="Arial" w:hAnsi="Arial" w:cs="Arial"/>
          <w:b w:val="0"/>
          <w:color w:val="auto"/>
          <w:sz w:val="24"/>
          <w:szCs w:val="24"/>
          <w:u w:val="none"/>
        </w:rPr>
        <w:t>-</w:t>
      </w:r>
      <w:r w:rsidRPr="00316277">
        <w:rPr>
          <w:rStyle w:val="ElevSoulign"/>
          <w:rFonts w:ascii="Arial" w:hAnsi="Arial" w:cs="Arial"/>
          <w:b w:val="0"/>
          <w:color w:val="auto"/>
          <w:sz w:val="24"/>
          <w:szCs w:val="24"/>
          <w:u w:val="none"/>
        </w:rPr>
        <w:tab/>
        <w:t>Un congé à temps complet, d’une durée d’une</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(1) session ou plus, en vertu des dispositions relatives aux droits parentaux et à l’invalidité, si, au moment prévu de l’acquisition de la permanence, l’enseignante ou l’enseignant a occupé une charge d’enseignement à temps complet, ou au moins une</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(1) charge de zéro virgule cinq</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(0,5) équivalent temps complet par année pendant deux</w:t>
      </w:r>
      <w:r w:rsidR="0045134E" w:rsidRPr="00316277">
        <w:rPr>
          <w:rStyle w:val="ElevSoulign"/>
          <w:rFonts w:ascii="Arial" w:hAnsi="Arial" w:cs="Arial"/>
          <w:b w:val="0"/>
          <w:color w:val="auto"/>
          <w:sz w:val="24"/>
          <w:szCs w:val="24"/>
          <w:u w:val="none"/>
        </w:rPr>
        <w:t> </w:t>
      </w:r>
      <w:r w:rsidRPr="00316277">
        <w:rPr>
          <w:rStyle w:val="ElevSoulign"/>
          <w:rFonts w:ascii="Arial" w:hAnsi="Arial" w:cs="Arial"/>
          <w:b w:val="0"/>
          <w:color w:val="auto"/>
          <w:sz w:val="24"/>
          <w:szCs w:val="24"/>
          <w:u w:val="none"/>
        </w:rPr>
        <w:t>(2) années d’engagement consécutives.</w:t>
      </w:r>
    </w:p>
    <w:p w14:paraId="2D22B40F" w14:textId="443153C8" w:rsidR="002237A0" w:rsidRPr="00026EC1" w:rsidRDefault="00404F34" w:rsidP="00A64613">
      <w:pPr>
        <w:pStyle w:val="Heading2"/>
        <w:keepNext w:val="0"/>
        <w:tabs>
          <w:tab w:val="clear" w:pos="1843"/>
          <w:tab w:val="clear" w:pos="2127"/>
          <w:tab w:val="left" w:pos="1701"/>
          <w:tab w:val="left" w:pos="1985"/>
        </w:tabs>
        <w:ind w:left="2127" w:hanging="2127"/>
      </w:pPr>
      <w:r w:rsidRPr="00026EC1">
        <w:br w:type="page"/>
      </w:r>
      <w:bookmarkStart w:id="402" w:name="_Toc535046599"/>
      <w:bookmarkStart w:id="403" w:name="_Toc133760772"/>
      <w:bookmarkStart w:id="404" w:name="_Toc393444602"/>
      <w:bookmarkStart w:id="405" w:name="_Toc393449553"/>
      <w:bookmarkStart w:id="406" w:name="_Toc393460922"/>
      <w:bookmarkStart w:id="407" w:name="_Toc393461200"/>
      <w:bookmarkStart w:id="408" w:name="_Toc393720761"/>
      <w:bookmarkStart w:id="409" w:name="_Toc393783922"/>
      <w:bookmarkStart w:id="410" w:name="_Toc393784061"/>
    </w:p>
    <w:p w14:paraId="05BAE55F" w14:textId="39B63EE0" w:rsidR="00404F34" w:rsidRPr="00026EC1" w:rsidRDefault="00404F34" w:rsidP="00D6635E">
      <w:pPr>
        <w:pStyle w:val="Heading2"/>
        <w:keepNext w:val="0"/>
        <w:tabs>
          <w:tab w:val="clear" w:pos="1843"/>
          <w:tab w:val="clear" w:pos="2127"/>
          <w:tab w:val="left" w:pos="1701"/>
          <w:tab w:val="left" w:pos="1985"/>
        </w:tabs>
        <w:ind w:left="1701" w:hanging="1701"/>
      </w:pPr>
      <w:bookmarkStart w:id="411" w:name="_Toc168479515"/>
      <w:r w:rsidRPr="00026EC1">
        <w:t>Article 5</w:t>
      </w:r>
      <w:r w:rsidR="00984A6F">
        <w:t>-</w:t>
      </w:r>
      <w:r w:rsidRPr="00026EC1">
        <w:t>3.00</w:t>
      </w:r>
      <w:r w:rsidR="00F66753" w:rsidRPr="00026EC1">
        <w:tab/>
      </w:r>
      <w:r w:rsidR="00984A6F">
        <w:t>-</w:t>
      </w:r>
      <w:r w:rsidR="00F66753" w:rsidRPr="00026EC1">
        <w:tab/>
      </w:r>
      <w:r w:rsidRPr="00026EC1">
        <w:t>Ancienneté</w:t>
      </w:r>
      <w:bookmarkEnd w:id="402"/>
      <w:bookmarkEnd w:id="403"/>
      <w:bookmarkEnd w:id="404"/>
      <w:bookmarkEnd w:id="405"/>
      <w:bookmarkEnd w:id="406"/>
      <w:bookmarkEnd w:id="407"/>
      <w:bookmarkEnd w:id="408"/>
      <w:bookmarkEnd w:id="409"/>
      <w:bookmarkEnd w:id="410"/>
      <w:bookmarkEnd w:id="411"/>
    </w:p>
    <w:p w14:paraId="496C99C5" w14:textId="76A1345E" w:rsidR="00F97DEF" w:rsidRPr="00026EC1" w:rsidRDefault="00F97DEF" w:rsidP="00A64613">
      <w:pPr>
        <w:pStyle w:val="NUMRODECLAUSE"/>
        <w:keepNext w:val="0"/>
      </w:pPr>
      <w:r w:rsidRPr="00026EC1">
        <w:t>5</w:t>
      </w:r>
      <w:r w:rsidR="00984A6F">
        <w:noBreakHyphen/>
      </w:r>
      <w:r w:rsidRPr="00026EC1">
        <w:t>3.01</w:t>
      </w:r>
    </w:p>
    <w:p w14:paraId="665406FC" w14:textId="2709229E" w:rsidR="00F97DEF" w:rsidRPr="00026EC1" w:rsidRDefault="00F97DEF" w:rsidP="00A64613">
      <w:pPr>
        <w:keepNext w:val="0"/>
      </w:pPr>
      <w:r w:rsidRPr="00026EC1">
        <w:t>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seule l</w:t>
      </w:r>
      <w:r w:rsidR="004A41E4" w:rsidRPr="00026EC1">
        <w:t>’</w:t>
      </w:r>
      <w:r w:rsidRPr="00026EC1">
        <w:t>ancienneté calculée selon les clauses</w:t>
      </w:r>
      <w:r w:rsidR="0061766F" w:rsidRPr="00026EC1">
        <w:t> </w:t>
      </w:r>
      <w:r w:rsidRPr="00026EC1">
        <w:t>5</w:t>
      </w:r>
      <w:r w:rsidR="00984A6F">
        <w:noBreakHyphen/>
      </w:r>
      <w:r w:rsidRPr="00026EC1">
        <w:t>3.02, 5</w:t>
      </w:r>
      <w:r w:rsidR="00984A6F">
        <w:noBreakHyphen/>
      </w:r>
      <w:r w:rsidRPr="00026EC1">
        <w:t>3.03, 5</w:t>
      </w:r>
      <w:r w:rsidR="00984A6F">
        <w:noBreakHyphen/>
      </w:r>
      <w:r w:rsidRPr="00026EC1">
        <w:t>3.06, 5</w:t>
      </w:r>
      <w:r w:rsidR="00984A6F">
        <w:noBreakHyphen/>
      </w:r>
      <w:r w:rsidRPr="00026EC1">
        <w:t>3.07 et 5</w:t>
      </w:r>
      <w:r w:rsidR="00984A6F">
        <w:noBreakHyphen/>
      </w:r>
      <w:r w:rsidRPr="00026EC1">
        <w:t xml:space="preserve">3.08 est utilisée. </w:t>
      </w:r>
    </w:p>
    <w:p w14:paraId="409CEB61" w14:textId="77777777" w:rsidR="00F97DEF" w:rsidRPr="00026EC1" w:rsidRDefault="00F97DEF" w:rsidP="00A64613">
      <w:pPr>
        <w:keepNext w:val="0"/>
      </w:pPr>
    </w:p>
    <w:p w14:paraId="5EFECF6A" w14:textId="6F8DAAB4" w:rsidR="00F97DEF" w:rsidRPr="00026EC1" w:rsidRDefault="00F97DEF" w:rsidP="00A64613">
      <w:pPr>
        <w:keepNext w:val="0"/>
      </w:pPr>
      <w:r w:rsidRPr="00026EC1">
        <w:t>Une liste d</w:t>
      </w:r>
      <w:r w:rsidR="004A41E4" w:rsidRPr="00026EC1">
        <w:t>’</w:t>
      </w:r>
      <w:r w:rsidRPr="00026EC1">
        <w:t>ancienneté est publiée le 15</w:t>
      </w:r>
      <w:r w:rsidR="00337C3B">
        <w:t> </w:t>
      </w:r>
      <w:r w:rsidRPr="00026EC1">
        <w:t>octobre de chaque année d</w:t>
      </w:r>
      <w:r w:rsidR="004A41E4" w:rsidRPr="00026EC1">
        <w:t>’</w:t>
      </w:r>
      <w:r w:rsidRPr="00026EC1">
        <w:t>engagement. Cette liste comprend, pour chaque enseignante et enseignant, l</w:t>
      </w:r>
      <w:r w:rsidR="004A41E4" w:rsidRPr="00026EC1">
        <w:t>’</w:t>
      </w:r>
      <w:r w:rsidRPr="00026EC1">
        <w:t>ancienneté calculée jusqu</w:t>
      </w:r>
      <w:r w:rsidR="004A41E4" w:rsidRPr="00026EC1">
        <w:t>’</w:t>
      </w:r>
      <w:r w:rsidRPr="00026EC1">
        <w:t>au dernier jour de l</w:t>
      </w:r>
      <w:r w:rsidR="004A41E4" w:rsidRPr="00026EC1">
        <w:t>’</w:t>
      </w:r>
      <w:r w:rsidRPr="00026EC1">
        <w:t>année d</w:t>
      </w:r>
      <w:r w:rsidR="004A41E4" w:rsidRPr="00026EC1">
        <w:t>’</w:t>
      </w:r>
      <w:r w:rsidRPr="00026EC1">
        <w:t>engagement précédant celle au cours de laquelle une liste est publiée.</w:t>
      </w:r>
    </w:p>
    <w:p w14:paraId="7067F3EA" w14:textId="77777777" w:rsidR="00F97DEF" w:rsidRPr="00026EC1" w:rsidRDefault="00F97DEF" w:rsidP="00A64613">
      <w:pPr>
        <w:keepNext w:val="0"/>
      </w:pPr>
    </w:p>
    <w:p w14:paraId="5F05531D" w14:textId="77777777" w:rsidR="00F97DEF" w:rsidRPr="00026EC1" w:rsidRDefault="00F97DEF" w:rsidP="00A64613">
      <w:pPr>
        <w:keepNext w:val="0"/>
      </w:pPr>
      <w:r w:rsidRPr="00026EC1">
        <w:t>Toutefois, pour l</w:t>
      </w:r>
      <w:r w:rsidR="004A41E4" w:rsidRPr="00026EC1">
        <w:t>’</w:t>
      </w:r>
      <w:r w:rsidRPr="00026EC1">
        <w:t>enseignante ou l</w:t>
      </w:r>
      <w:r w:rsidR="004A41E4" w:rsidRPr="00026EC1">
        <w:t>’</w:t>
      </w:r>
      <w:r w:rsidRPr="00026EC1">
        <w:t>enseignant à l</w:t>
      </w:r>
      <w:r w:rsidR="004A41E4" w:rsidRPr="00026EC1">
        <w:t>’</w:t>
      </w:r>
      <w:r w:rsidRPr="00026EC1">
        <w:t>emploi du Collège qui n</w:t>
      </w:r>
      <w:r w:rsidR="004A41E4" w:rsidRPr="00026EC1">
        <w:t>’</w:t>
      </w:r>
      <w:r w:rsidRPr="00026EC1">
        <w:t>a aucune ancienneté aux fins de la publication de la liste d</w:t>
      </w:r>
      <w:r w:rsidR="004A41E4" w:rsidRPr="00026EC1">
        <w:t>’</w:t>
      </w:r>
      <w:r w:rsidRPr="00026EC1">
        <w:t>ancienneté, la date officielle d</w:t>
      </w:r>
      <w:r w:rsidR="004A41E4" w:rsidRPr="00026EC1">
        <w:t>’</w:t>
      </w:r>
      <w:r w:rsidRPr="00026EC1">
        <w:t>embauche est utilisée en lieu et place de l</w:t>
      </w:r>
      <w:r w:rsidR="004A41E4" w:rsidRPr="00026EC1">
        <w:t>’</w:t>
      </w:r>
      <w:r w:rsidRPr="00026EC1">
        <w:t>ancienneté jusqu</w:t>
      </w:r>
      <w:r w:rsidR="004A41E4" w:rsidRPr="00026EC1">
        <w:t>’</w:t>
      </w:r>
      <w:r w:rsidRPr="00026EC1">
        <w:t>à la publication de la liste de l</w:t>
      </w:r>
      <w:r w:rsidR="004A41E4" w:rsidRPr="00026EC1">
        <w:t>’</w:t>
      </w:r>
      <w:r w:rsidRPr="00026EC1">
        <w:t>année suivante.</w:t>
      </w:r>
    </w:p>
    <w:p w14:paraId="6A526A28" w14:textId="77777777" w:rsidR="00F97DEF" w:rsidRPr="00026EC1" w:rsidRDefault="00F97DEF" w:rsidP="00A64613">
      <w:pPr>
        <w:keepNext w:val="0"/>
      </w:pPr>
    </w:p>
    <w:p w14:paraId="76BF6C93" w14:textId="0E722944" w:rsidR="00F97DEF" w:rsidRPr="00026EC1" w:rsidRDefault="00F97DEF" w:rsidP="00A64613">
      <w:pPr>
        <w:keepNext w:val="0"/>
      </w:pPr>
      <w:r w:rsidRPr="00026EC1">
        <w:t>Aux fins de la publication de la liste d</w:t>
      </w:r>
      <w:r w:rsidR="004A41E4" w:rsidRPr="00026EC1">
        <w:t>’</w:t>
      </w:r>
      <w:r w:rsidRPr="00026EC1">
        <w:t>ancienneté, la date officielle d</w:t>
      </w:r>
      <w:r w:rsidR="004A41E4" w:rsidRPr="00026EC1">
        <w:t>’</w:t>
      </w:r>
      <w:r w:rsidRPr="00026EC1">
        <w:t>embauche d</w:t>
      </w:r>
      <w:r w:rsidR="004A41E4" w:rsidRPr="00026EC1">
        <w:t>’</w:t>
      </w:r>
      <w:r w:rsidRPr="00026EC1">
        <w:t>une enseignante ou d</w:t>
      </w:r>
      <w:r w:rsidR="004A41E4" w:rsidRPr="00026EC1">
        <w:t>’</w:t>
      </w:r>
      <w:r w:rsidRPr="00026EC1">
        <w:t>un enseignant est déterminée selon la première des deux éventualités suivantes</w:t>
      </w:r>
      <w:r w:rsidR="00D8581B">
        <w:t> :</w:t>
      </w:r>
    </w:p>
    <w:p w14:paraId="28B540C2" w14:textId="77777777" w:rsidR="00F97DEF" w:rsidRPr="00026EC1" w:rsidRDefault="00F97DEF" w:rsidP="00A64613">
      <w:pPr>
        <w:keepNext w:val="0"/>
      </w:pPr>
    </w:p>
    <w:p w14:paraId="4C8227F8" w14:textId="1E693126" w:rsidR="00F97DEF" w:rsidRPr="00026EC1" w:rsidRDefault="00275751" w:rsidP="00A64613">
      <w:pPr>
        <w:keepNext w:val="0"/>
        <w:ind w:left="567" w:hanging="567"/>
      </w:pPr>
      <w:r w:rsidRPr="00026EC1">
        <w:rPr>
          <w:rFonts w:ascii="Symbol" w:hAnsi="Symbol"/>
        </w:rPr>
        <w:t></w:t>
      </w:r>
      <w:r w:rsidRPr="00026EC1">
        <w:rPr>
          <w:rFonts w:ascii="Symbol" w:hAnsi="Symbol"/>
        </w:rPr>
        <w:tab/>
      </w:r>
      <w:r w:rsidR="00F97DEF" w:rsidRPr="00026EC1">
        <w:t>la date de début du premier</w:t>
      </w:r>
      <w:r w:rsidR="00505124">
        <w:t> </w:t>
      </w:r>
      <w:r w:rsidR="00F97DEF" w:rsidRPr="00026EC1">
        <w:t>(1</w:t>
      </w:r>
      <w:r w:rsidR="00F97DEF" w:rsidRPr="00026EC1">
        <w:rPr>
          <w:vertAlign w:val="superscript"/>
        </w:rPr>
        <w:t>er</w:t>
      </w:r>
      <w:r w:rsidR="00F97DEF" w:rsidRPr="00026EC1">
        <w:t>) contrat d</w:t>
      </w:r>
      <w:r w:rsidR="004A41E4" w:rsidRPr="00026EC1">
        <w:t>’</w:t>
      </w:r>
      <w:r w:rsidR="00F97DEF" w:rsidRPr="00026EC1">
        <w:t>engagement au Collège;</w:t>
      </w:r>
    </w:p>
    <w:p w14:paraId="38443899" w14:textId="4474A6BC" w:rsidR="00F97DEF" w:rsidRPr="00026EC1" w:rsidRDefault="00275751" w:rsidP="00A64613">
      <w:pPr>
        <w:keepNext w:val="0"/>
        <w:ind w:left="567" w:hanging="567"/>
      </w:pPr>
      <w:r w:rsidRPr="00026EC1">
        <w:rPr>
          <w:rFonts w:ascii="Symbol" w:hAnsi="Symbol"/>
        </w:rPr>
        <w:t></w:t>
      </w:r>
      <w:r w:rsidRPr="00026EC1">
        <w:rPr>
          <w:rFonts w:ascii="Symbol" w:hAnsi="Symbol"/>
        </w:rPr>
        <w:tab/>
      </w:r>
      <w:r w:rsidR="00F97DEF" w:rsidRPr="00026EC1">
        <w:t>la date du premier</w:t>
      </w:r>
      <w:r w:rsidR="00505124">
        <w:t> </w:t>
      </w:r>
      <w:r w:rsidR="00F97DEF" w:rsidRPr="00026EC1">
        <w:t>(1</w:t>
      </w:r>
      <w:r w:rsidR="00F97DEF" w:rsidRPr="00026EC1">
        <w:rPr>
          <w:vertAlign w:val="superscript"/>
        </w:rPr>
        <w:t>er</w:t>
      </w:r>
      <w:r w:rsidR="00F97DEF" w:rsidRPr="00026EC1">
        <w:t>) jour rémunéré au Collège.</w:t>
      </w:r>
    </w:p>
    <w:p w14:paraId="2C3C27D1" w14:textId="77777777" w:rsidR="00F97DEF" w:rsidRPr="00026EC1" w:rsidRDefault="00F97DEF" w:rsidP="00A64613">
      <w:pPr>
        <w:keepNext w:val="0"/>
        <w:ind w:left="567" w:hanging="567"/>
      </w:pPr>
    </w:p>
    <w:p w14:paraId="1AD0356D" w14:textId="230CF0F8" w:rsidR="00F97DEF" w:rsidRPr="00026EC1" w:rsidRDefault="00F97DEF" w:rsidP="00A64613">
      <w:pPr>
        <w:pStyle w:val="NUMRODECLAUSE"/>
        <w:keepNext w:val="0"/>
      </w:pPr>
      <w:r w:rsidRPr="00026EC1">
        <w:t>5</w:t>
      </w:r>
      <w:r w:rsidR="00984A6F">
        <w:noBreakHyphen/>
      </w:r>
      <w:r w:rsidRPr="00026EC1">
        <w:t>3.02</w:t>
      </w:r>
    </w:p>
    <w:p w14:paraId="409E486D" w14:textId="3A656147" w:rsidR="00F97DEF" w:rsidRPr="00026EC1" w:rsidRDefault="00F97DEF" w:rsidP="00A64613">
      <w:pPr>
        <w:keepNext w:val="0"/>
      </w:pPr>
      <w:r w:rsidRPr="00026EC1">
        <w:t>À l</w:t>
      </w:r>
      <w:r w:rsidR="004A41E4" w:rsidRPr="00026EC1">
        <w:t>’</w:t>
      </w:r>
      <w:r w:rsidRPr="00026EC1">
        <w:t>entrée en vigueur de la convention collective, la liste d</w:t>
      </w:r>
      <w:r w:rsidR="004A41E4" w:rsidRPr="00026EC1">
        <w:t>’</w:t>
      </w:r>
      <w:r w:rsidRPr="00026EC1">
        <w:t>ancienneté aux fins d</w:t>
      </w:r>
      <w:r w:rsidR="004A41E4" w:rsidRPr="00026EC1">
        <w:t>’</w:t>
      </w:r>
      <w:r w:rsidRPr="00026EC1">
        <w:t>application et d</w:t>
      </w:r>
      <w:r w:rsidR="004A41E4" w:rsidRPr="00026EC1">
        <w:t>’</w:t>
      </w:r>
      <w:r w:rsidRPr="00026EC1">
        <w:t>interprétation de l</w:t>
      </w:r>
      <w:r w:rsidR="004A41E4" w:rsidRPr="00026EC1">
        <w:t>’</w:t>
      </w:r>
      <w:r w:rsidRPr="00026EC1">
        <w:t>article</w:t>
      </w:r>
      <w:r w:rsidR="00BD38A6" w:rsidRPr="00026EC1">
        <w:t> </w:t>
      </w:r>
      <w:r w:rsidRPr="00026EC1">
        <w:t>5</w:t>
      </w:r>
      <w:r w:rsidR="00984A6F">
        <w:noBreakHyphen/>
      </w:r>
      <w:r w:rsidRPr="00026EC1">
        <w:t>4.00, est la liste officielle d</w:t>
      </w:r>
      <w:r w:rsidR="004A41E4" w:rsidRPr="00026EC1">
        <w:t>’</w:t>
      </w:r>
      <w:r w:rsidRPr="00026EC1">
        <w:t xml:space="preserve">ancienneté </w:t>
      </w:r>
      <w:r w:rsidR="00B91D78">
        <w:t xml:space="preserve">en vigueur </w:t>
      </w:r>
      <w:r w:rsidRPr="00026EC1">
        <w:t xml:space="preserve">établie selon les stipulations </w:t>
      </w:r>
      <w:r w:rsidR="005000D9">
        <w:t xml:space="preserve">de la convention collective </w:t>
      </w:r>
      <w:r w:rsidR="009B12AE" w:rsidRPr="000F7424">
        <w:t>2015</w:t>
      </w:r>
      <w:r w:rsidR="00984A6F">
        <w:noBreakHyphen/>
      </w:r>
      <w:r w:rsidR="009B12AE" w:rsidRPr="000F7424">
        <w:t>2020</w:t>
      </w:r>
      <w:r w:rsidRPr="000F7424">
        <w:t>.</w:t>
      </w:r>
      <w:r w:rsidRPr="00026EC1">
        <w:t xml:space="preserve"> Cette liste demeure en vigueur jusqu</w:t>
      </w:r>
      <w:r w:rsidR="004A41E4" w:rsidRPr="00026EC1">
        <w:t>’</w:t>
      </w:r>
      <w:r w:rsidRPr="00026EC1">
        <w:t xml:space="preserve">à la publication de la </w:t>
      </w:r>
      <w:r w:rsidR="005000D9">
        <w:t xml:space="preserve">prochaine </w:t>
      </w:r>
      <w:r w:rsidRPr="00026EC1">
        <w:t>liste d</w:t>
      </w:r>
      <w:r w:rsidR="004A41E4" w:rsidRPr="00026EC1">
        <w:t>’</w:t>
      </w:r>
      <w:r w:rsidRPr="00026EC1">
        <w:t>ancienneté.</w:t>
      </w:r>
    </w:p>
    <w:p w14:paraId="134D4F6C" w14:textId="77777777" w:rsidR="00F97DEF" w:rsidRDefault="00F97DEF" w:rsidP="00A64613">
      <w:pPr>
        <w:keepNext w:val="0"/>
      </w:pPr>
    </w:p>
    <w:p w14:paraId="17ECA333" w14:textId="33DC55EE" w:rsidR="00B91D78" w:rsidRPr="00F472F0" w:rsidRDefault="00B91D78" w:rsidP="00A64613">
      <w:pPr>
        <w:keepNext w:val="0"/>
      </w:pPr>
      <w:r w:rsidRPr="00B91D78">
        <w:t>À chaque année,</w:t>
      </w:r>
      <w:r w:rsidRPr="00F472F0">
        <w:t xml:space="preserve"> pour la confection de la liste d’ancienneté aux fins d’application et d’interprétation de l’article 5</w:t>
      </w:r>
      <w:r w:rsidR="00984A6F">
        <w:noBreakHyphen/>
      </w:r>
      <w:r w:rsidRPr="00F472F0">
        <w:t>4.00, le Collège calcule l’ancienneté de l’année d’engagement précédente de la façon prévue aux clauses 5</w:t>
      </w:r>
      <w:r w:rsidR="00984A6F">
        <w:noBreakHyphen/>
      </w:r>
      <w:r w:rsidRPr="00F472F0">
        <w:t>3.03, 5</w:t>
      </w:r>
      <w:r w:rsidR="00984A6F">
        <w:noBreakHyphen/>
      </w:r>
      <w:r w:rsidRPr="00F472F0">
        <w:t>3.06, 5</w:t>
      </w:r>
      <w:r w:rsidR="00984A6F">
        <w:noBreakHyphen/>
      </w:r>
      <w:r w:rsidRPr="00F472F0">
        <w:t>3.07 et 5</w:t>
      </w:r>
      <w:r w:rsidR="00984A6F">
        <w:noBreakHyphen/>
      </w:r>
      <w:r w:rsidRPr="00F472F0">
        <w:t>3.08. Cette ancienneté s’ajoute à celle reconnue par la liste officielle d’ancienneté du 15 octobre de l’année d’engagement précédente.</w:t>
      </w:r>
    </w:p>
    <w:p w14:paraId="6C3DA182" w14:textId="77777777" w:rsidR="00B91D78" w:rsidRDefault="00B91D78" w:rsidP="00A64613">
      <w:pPr>
        <w:keepNext w:val="0"/>
      </w:pPr>
    </w:p>
    <w:p w14:paraId="1369EB18" w14:textId="7938F8DF" w:rsidR="00F97DEF" w:rsidRPr="00026EC1" w:rsidRDefault="00F97DEF" w:rsidP="00A64613">
      <w:pPr>
        <w:pStyle w:val="NUMRODECLAUSE"/>
        <w:keepNext w:val="0"/>
      </w:pPr>
      <w:r w:rsidRPr="00026EC1">
        <w:t>5</w:t>
      </w:r>
      <w:r w:rsidR="00984A6F">
        <w:noBreakHyphen/>
      </w:r>
      <w:r w:rsidRPr="00026EC1">
        <w:t>3.03</w:t>
      </w:r>
    </w:p>
    <w:p w14:paraId="616CBCBA" w14:textId="221438D6" w:rsidR="00F97DEF" w:rsidRPr="00026EC1" w:rsidRDefault="00F97DEF" w:rsidP="00A64613">
      <w:pPr>
        <w:keepNext w:val="0"/>
      </w:pPr>
      <w:r w:rsidRPr="00026EC1">
        <w:t>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le calcul de l</w:t>
      </w:r>
      <w:r w:rsidR="004A41E4" w:rsidRPr="00026EC1">
        <w:t>’</w:t>
      </w:r>
      <w:r w:rsidRPr="00026EC1">
        <w:t>ancienneté se fait de la manière suivante</w:t>
      </w:r>
      <w:r w:rsidR="00D8581B">
        <w:t> :</w:t>
      </w:r>
      <w:r w:rsidRPr="00026EC1">
        <w:t xml:space="preserve"> </w:t>
      </w:r>
    </w:p>
    <w:p w14:paraId="23911093" w14:textId="77777777" w:rsidR="00F97DEF" w:rsidRPr="00026EC1" w:rsidRDefault="00F97DEF" w:rsidP="00A64613">
      <w:pPr>
        <w:keepNext w:val="0"/>
      </w:pPr>
    </w:p>
    <w:p w14:paraId="0F35AB8D" w14:textId="3B9E7782" w:rsidR="00F97DEF" w:rsidRPr="00026EC1" w:rsidRDefault="00275751" w:rsidP="00A64613">
      <w:pPr>
        <w:keepNext w:val="0"/>
        <w:tabs>
          <w:tab w:val="left" w:pos="567"/>
        </w:tabs>
        <w:ind w:left="567" w:hanging="567"/>
      </w:pPr>
      <w:r w:rsidRPr="00026EC1">
        <w:t>a)</w:t>
      </w:r>
      <w:r w:rsidRPr="00026EC1">
        <w:tab/>
      </w:r>
      <w:r w:rsidR="00F97DEF" w:rsidRPr="00026EC1">
        <w:t>pour l</w:t>
      </w:r>
      <w:r w:rsidR="004A41E4" w:rsidRPr="00026EC1">
        <w:t>’</w:t>
      </w:r>
      <w:r w:rsidR="00F97DEF" w:rsidRPr="00026EC1">
        <w:t>enseignante ou l</w:t>
      </w:r>
      <w:r w:rsidR="004A41E4" w:rsidRPr="00026EC1">
        <w:t>’</w:t>
      </w:r>
      <w:r w:rsidR="00F97DEF" w:rsidRPr="00026EC1">
        <w:t>enseignant à temps complet</w:t>
      </w:r>
      <w:r w:rsidR="00D8581B">
        <w:t> :</w:t>
      </w:r>
      <w:r w:rsidR="00F97DEF" w:rsidRPr="00026EC1">
        <w:t xml:space="preserve"> une (1) année d</w:t>
      </w:r>
      <w:r w:rsidR="004A41E4" w:rsidRPr="00026EC1">
        <w:t>’</w:t>
      </w:r>
      <w:r w:rsidR="00F97DEF" w:rsidRPr="00026EC1">
        <w:t>engagement vaut une (1) année d</w:t>
      </w:r>
      <w:r w:rsidR="004A41E4" w:rsidRPr="00026EC1">
        <w:t>’</w:t>
      </w:r>
      <w:r w:rsidR="00F97DEF" w:rsidRPr="00026EC1">
        <w:t>ancienneté;</w:t>
      </w:r>
    </w:p>
    <w:p w14:paraId="1902F307" w14:textId="77777777" w:rsidR="00F97DEF" w:rsidRPr="00026EC1" w:rsidRDefault="00F97DEF" w:rsidP="00A64613">
      <w:pPr>
        <w:keepNext w:val="0"/>
      </w:pPr>
    </w:p>
    <w:p w14:paraId="21320CDE" w14:textId="1802512E" w:rsidR="00F97DEF" w:rsidRPr="00026EC1" w:rsidRDefault="00275751" w:rsidP="00A64613">
      <w:pPr>
        <w:keepNext w:val="0"/>
        <w:tabs>
          <w:tab w:val="left" w:pos="567"/>
        </w:tabs>
        <w:ind w:left="567" w:hanging="567"/>
      </w:pPr>
      <w:r w:rsidRPr="00026EC1">
        <w:t>b)</w:t>
      </w:r>
      <w:r w:rsidRPr="00026EC1">
        <w:tab/>
      </w:r>
      <w:r w:rsidR="00F97DEF" w:rsidRPr="00026EC1">
        <w:t>pour l</w:t>
      </w:r>
      <w:r w:rsidR="004A41E4" w:rsidRPr="00026EC1">
        <w:t>’</w:t>
      </w:r>
      <w:r w:rsidR="00F97DEF" w:rsidRPr="00026EC1">
        <w:t>enseignante ou l</w:t>
      </w:r>
      <w:r w:rsidR="004A41E4" w:rsidRPr="00026EC1">
        <w:t>’</w:t>
      </w:r>
      <w:r w:rsidR="00F97DEF" w:rsidRPr="00026EC1">
        <w:t>enseignant à temps partiel</w:t>
      </w:r>
      <w:r w:rsidR="00D8581B">
        <w:t> :</w:t>
      </w:r>
      <w:r w:rsidR="00F97DEF" w:rsidRPr="00026EC1">
        <w:t xml:space="preserve"> au prorata de sa charge d</w:t>
      </w:r>
      <w:r w:rsidR="004A41E4" w:rsidRPr="00026EC1">
        <w:t>’</w:t>
      </w:r>
      <w:r w:rsidR="00F97DEF" w:rsidRPr="00026EC1">
        <w:t>enseignement exprimée en équivalent temps complet conformément à la clause 8</w:t>
      </w:r>
      <w:r w:rsidR="00984A6F">
        <w:noBreakHyphen/>
      </w:r>
      <w:r w:rsidR="00F97DEF" w:rsidRPr="00026EC1">
        <w:t>5.12;</w:t>
      </w:r>
    </w:p>
    <w:p w14:paraId="18245267" w14:textId="77777777" w:rsidR="00F97DEF" w:rsidRPr="00026EC1" w:rsidRDefault="00F97DEF" w:rsidP="00A64613">
      <w:pPr>
        <w:keepNext w:val="0"/>
      </w:pPr>
    </w:p>
    <w:p w14:paraId="447A0445" w14:textId="5B3AF342" w:rsidR="00F97DEF" w:rsidRPr="007A29B2" w:rsidRDefault="00275751" w:rsidP="00A64613">
      <w:pPr>
        <w:keepNext w:val="0"/>
        <w:tabs>
          <w:tab w:val="left" w:pos="567"/>
        </w:tabs>
        <w:ind w:left="567" w:hanging="567"/>
      </w:pPr>
      <w:r w:rsidRPr="00026EC1">
        <w:t>c)</w:t>
      </w:r>
      <w:r w:rsidRPr="00026EC1">
        <w:tab/>
      </w:r>
      <w:r w:rsidR="00F97DEF" w:rsidRPr="00026EC1">
        <w:t>pour l</w:t>
      </w:r>
      <w:r w:rsidR="004A41E4" w:rsidRPr="00026EC1">
        <w:t>’</w:t>
      </w:r>
      <w:r w:rsidR="00F97DEF" w:rsidRPr="00026EC1">
        <w:t>enseignante ou l</w:t>
      </w:r>
      <w:r w:rsidR="004A41E4" w:rsidRPr="00026EC1">
        <w:t>’</w:t>
      </w:r>
      <w:r w:rsidR="00F97DEF" w:rsidRPr="00026EC1">
        <w:t xml:space="preserve">enseignant </w:t>
      </w:r>
      <w:r w:rsidR="00F97DEF" w:rsidRPr="007A29B2">
        <w:t xml:space="preserve">rémunéré </w:t>
      </w:r>
      <w:r w:rsidR="00F5692F" w:rsidRPr="007A29B2">
        <w:t xml:space="preserve">selon </w:t>
      </w:r>
      <w:r w:rsidR="00636915" w:rsidRPr="007A29B2">
        <w:t xml:space="preserve">les taux horaires et </w:t>
      </w:r>
      <w:r w:rsidR="00F94E0F" w:rsidRPr="007A29B2">
        <w:t>les échelles de traitement prévues au tableau B de l’</w:t>
      </w:r>
      <w:r w:rsidR="004D55A3" w:rsidRPr="007A29B2">
        <w:t>A</w:t>
      </w:r>
      <w:r w:rsidR="00F94E0F" w:rsidRPr="007A29B2">
        <w:t>nnexe</w:t>
      </w:r>
      <w:r w:rsidR="0073641D" w:rsidRPr="007A29B2">
        <w:t> </w:t>
      </w:r>
      <w:r w:rsidR="00F94E0F" w:rsidRPr="007A29B2">
        <w:t>VI</w:t>
      </w:r>
      <w:r w:rsidR="00984A6F">
        <w:noBreakHyphen/>
      </w:r>
      <w:r w:rsidR="0053358C" w:rsidRPr="007A29B2">
        <w:t>1</w:t>
      </w:r>
      <w:r w:rsidR="00F97DEF" w:rsidRPr="007A29B2">
        <w:t>, sauf pour les périodes de suppléance de courte durée</w:t>
      </w:r>
      <w:r w:rsidR="00D8581B" w:rsidRPr="007A29B2">
        <w:t> :</w:t>
      </w:r>
      <w:r w:rsidR="00F97DEF" w:rsidRPr="007A29B2">
        <w:t xml:space="preserve"> quatre cent cinquante (450) périodes d</w:t>
      </w:r>
      <w:r w:rsidR="004A41E4" w:rsidRPr="007A29B2">
        <w:t>’</w:t>
      </w:r>
      <w:r w:rsidR="00F97DEF" w:rsidRPr="007A29B2">
        <w:t>enseignement valent une (1) année d</w:t>
      </w:r>
      <w:r w:rsidR="004A41E4" w:rsidRPr="007A29B2">
        <w:t>’</w:t>
      </w:r>
      <w:r w:rsidR="00F97DEF" w:rsidRPr="007A29B2">
        <w:t>ancienneté</w:t>
      </w:r>
      <w:r w:rsidR="007C2DCC" w:rsidRPr="007A29B2">
        <w:t>;</w:t>
      </w:r>
    </w:p>
    <w:p w14:paraId="7FEBF2D2" w14:textId="77777777" w:rsidR="00DD5B8D" w:rsidRPr="007A29B2" w:rsidRDefault="00DD5B8D" w:rsidP="00A64613">
      <w:pPr>
        <w:keepNext w:val="0"/>
        <w:tabs>
          <w:tab w:val="left" w:pos="567"/>
        </w:tabs>
        <w:ind w:left="567" w:hanging="567"/>
      </w:pPr>
    </w:p>
    <w:p w14:paraId="2B59B37B" w14:textId="3AD8864F" w:rsidR="00713943" w:rsidRPr="008F53FC" w:rsidRDefault="00B3409C" w:rsidP="00A64613">
      <w:pPr>
        <w:keepNext w:val="0"/>
        <w:tabs>
          <w:tab w:val="left" w:pos="567"/>
        </w:tabs>
        <w:ind w:left="567" w:hanging="567"/>
      </w:pPr>
      <w:r w:rsidRPr="007A29B2">
        <w:t>d)</w:t>
      </w:r>
      <w:r w:rsidRPr="007A29B2">
        <w:tab/>
      </w:r>
      <w:r w:rsidR="00693CBE" w:rsidRPr="007A29B2">
        <w:t>pour l’</w:t>
      </w:r>
      <w:r w:rsidR="00713943" w:rsidRPr="007A29B2">
        <w:t xml:space="preserve">enseignante ou l’enseignant </w:t>
      </w:r>
      <w:r w:rsidR="00443076" w:rsidRPr="007A29B2">
        <w:t xml:space="preserve">qui </w:t>
      </w:r>
      <w:r w:rsidR="006D2612" w:rsidRPr="007A29B2">
        <w:t xml:space="preserve">effectue des activités </w:t>
      </w:r>
      <w:r w:rsidR="00060744" w:rsidRPr="007A29B2">
        <w:t xml:space="preserve">prévues </w:t>
      </w:r>
      <w:r w:rsidR="00060744" w:rsidRPr="00D07BAB">
        <w:t>à la</w:t>
      </w:r>
      <w:r w:rsidR="00060744" w:rsidRPr="007A29B2">
        <w:t xml:space="preserve"> clause</w:t>
      </w:r>
      <w:r w:rsidR="008B26BB" w:rsidRPr="007A29B2">
        <w:t> </w:t>
      </w:r>
      <w:r w:rsidR="00060744" w:rsidRPr="007A29B2">
        <w:t>6</w:t>
      </w:r>
      <w:r w:rsidR="00E60A32" w:rsidRPr="007A29B2">
        <w:rPr>
          <w:rFonts w:ascii="Cambria Math" w:hAnsi="Cambria Math"/>
        </w:rPr>
        <w:t>‑</w:t>
      </w:r>
      <w:r w:rsidR="00060744" w:rsidRPr="007A29B2">
        <w:t>1.04</w:t>
      </w:r>
      <w:r w:rsidR="006E0DF0" w:rsidRPr="007A29B2">
        <w:t>,</w:t>
      </w:r>
      <w:r w:rsidR="00060744" w:rsidRPr="007A29B2">
        <w:t xml:space="preserve"> </w:t>
      </w:r>
      <w:r w:rsidR="0035413A" w:rsidRPr="007A29B2">
        <w:t>il n’y a pas de</w:t>
      </w:r>
      <w:r w:rsidR="00955886" w:rsidRPr="007A29B2">
        <w:t xml:space="preserve"> cumul d’ancienneté</w:t>
      </w:r>
      <w:r w:rsidR="00D25769" w:rsidRPr="007A29B2">
        <w:t>.</w:t>
      </w:r>
    </w:p>
    <w:p w14:paraId="0A239EBD" w14:textId="77777777" w:rsidR="008F53FC" w:rsidRDefault="008F53FC" w:rsidP="00A64613">
      <w:pPr>
        <w:keepNext w:val="0"/>
      </w:pPr>
    </w:p>
    <w:p w14:paraId="3B20AB90" w14:textId="77777777" w:rsidR="00F97DEF" w:rsidRPr="00026EC1" w:rsidRDefault="00F97DEF" w:rsidP="00A64613">
      <w:pPr>
        <w:keepNext w:val="0"/>
      </w:pPr>
      <w:r w:rsidRPr="00026EC1">
        <w:t>Une enseignante ou un enseignant ne peut accumuler plus d</w:t>
      </w:r>
      <w:r w:rsidR="004A41E4" w:rsidRPr="00026EC1">
        <w:t>’</w:t>
      </w:r>
      <w:r w:rsidRPr="00026EC1">
        <w:t>une (1) année d</w:t>
      </w:r>
      <w:r w:rsidR="004A41E4" w:rsidRPr="00026EC1">
        <w:t>’</w:t>
      </w:r>
      <w:r w:rsidRPr="00026EC1">
        <w:t>ancienneté par année d</w:t>
      </w:r>
      <w:r w:rsidR="004A41E4" w:rsidRPr="00026EC1">
        <w:t>’</w:t>
      </w:r>
      <w:r w:rsidRPr="00026EC1">
        <w:t>engagement.</w:t>
      </w:r>
    </w:p>
    <w:p w14:paraId="6F628355" w14:textId="77777777" w:rsidR="00F97DEF" w:rsidRPr="00026EC1" w:rsidRDefault="00F97DEF" w:rsidP="00A64613">
      <w:pPr>
        <w:keepNext w:val="0"/>
      </w:pPr>
    </w:p>
    <w:p w14:paraId="315553C8" w14:textId="4A37690A" w:rsidR="00F97DEF" w:rsidRPr="00026EC1" w:rsidRDefault="00F97DEF" w:rsidP="00A64613">
      <w:pPr>
        <w:pStyle w:val="NUMRODECLAUSE"/>
        <w:keepNext w:val="0"/>
        <w:rPr>
          <w:i/>
          <w:u w:val="single"/>
        </w:rPr>
      </w:pPr>
      <w:r w:rsidRPr="00026EC1">
        <w:t>5</w:t>
      </w:r>
      <w:r w:rsidR="00984A6F">
        <w:noBreakHyphen/>
      </w:r>
      <w:r w:rsidR="00991652" w:rsidRPr="00026EC1">
        <w:t>3.04</w:t>
      </w:r>
    </w:p>
    <w:p w14:paraId="317BFBE5" w14:textId="1769246C" w:rsidR="00F97DEF" w:rsidRPr="00026EC1" w:rsidRDefault="00F97DEF" w:rsidP="00A64613">
      <w:pPr>
        <w:keepNext w:val="0"/>
      </w:pPr>
      <w:r w:rsidRPr="00026EC1">
        <w:t>La liste d</w:t>
      </w:r>
      <w:r w:rsidR="004A41E4" w:rsidRPr="00026EC1">
        <w:t>’</w:t>
      </w:r>
      <w:r w:rsidRPr="00026EC1">
        <w:t>ancienneté 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est établie par discipline et par ordre d</w:t>
      </w:r>
      <w:r w:rsidR="004A41E4" w:rsidRPr="00026EC1">
        <w:t>’</w:t>
      </w:r>
      <w:r w:rsidRPr="00026EC1">
        <w:t>ancienneté et, à ancienneté égale, par ordre d</w:t>
      </w:r>
      <w:r w:rsidR="004A41E4" w:rsidRPr="00026EC1">
        <w:t>’</w:t>
      </w:r>
      <w:r w:rsidRPr="00026EC1">
        <w:t>expérience et, à expérience égale, par ordre de scolarité.</w:t>
      </w:r>
    </w:p>
    <w:p w14:paraId="7C7B4AAB" w14:textId="77777777" w:rsidR="00F97DEF" w:rsidRPr="00026EC1" w:rsidRDefault="00F97DEF" w:rsidP="00A64613">
      <w:pPr>
        <w:keepNext w:val="0"/>
      </w:pPr>
    </w:p>
    <w:p w14:paraId="20EC7118" w14:textId="77777777" w:rsidR="00D13E0E" w:rsidRDefault="00F97DEF" w:rsidP="00A64613">
      <w:pPr>
        <w:keepNext w:val="0"/>
      </w:pPr>
      <w:r w:rsidRPr="00026EC1">
        <w:t>Toutefois, pour l</w:t>
      </w:r>
      <w:r w:rsidR="004A41E4" w:rsidRPr="00026EC1">
        <w:t>’</w:t>
      </w:r>
      <w:r w:rsidRPr="00026EC1">
        <w:t>enseignante ou l</w:t>
      </w:r>
      <w:r w:rsidR="004A41E4" w:rsidRPr="00026EC1">
        <w:t>’</w:t>
      </w:r>
      <w:r w:rsidRPr="00026EC1">
        <w:t>enseignant qui n</w:t>
      </w:r>
      <w:r w:rsidR="004A41E4" w:rsidRPr="00026EC1">
        <w:t>’</w:t>
      </w:r>
      <w:r w:rsidRPr="00026EC1">
        <w:t>a aucune ancienneté, cette liste est établie par discipline et par ordre de date officielle d</w:t>
      </w:r>
      <w:r w:rsidR="004A41E4" w:rsidRPr="00026EC1">
        <w:t>’</w:t>
      </w:r>
      <w:r w:rsidRPr="00026EC1">
        <w:t>embauche et, à date égale, par ordre de date de la recommandation du comité de sélection et, à date égale, par ordre d</w:t>
      </w:r>
      <w:r w:rsidR="004A41E4" w:rsidRPr="00026EC1">
        <w:t>’</w:t>
      </w:r>
      <w:r w:rsidRPr="00026EC1">
        <w:t>engagement déterminé par le comité de sélection.</w:t>
      </w:r>
    </w:p>
    <w:p w14:paraId="29BB59A5" w14:textId="77777777" w:rsidR="00D13E0E" w:rsidRDefault="00D13E0E" w:rsidP="00A64613">
      <w:pPr>
        <w:keepNext w:val="0"/>
      </w:pPr>
    </w:p>
    <w:p w14:paraId="136AE410" w14:textId="77777777" w:rsidR="00F97DEF" w:rsidRPr="00026EC1" w:rsidRDefault="00D01F64" w:rsidP="00A64613">
      <w:pPr>
        <w:keepNext w:val="0"/>
      </w:pPr>
      <w:r>
        <w:t>L</w:t>
      </w:r>
      <w:r w:rsidR="00F97DEF" w:rsidRPr="00026EC1">
        <w:t>a liste d</w:t>
      </w:r>
      <w:r w:rsidR="004A41E4" w:rsidRPr="00026EC1">
        <w:t>’</w:t>
      </w:r>
      <w:r w:rsidR="00F97DEF" w:rsidRPr="00026EC1">
        <w:t>ancienneté est transmise à chaque enseignante et enseignant, au Syndicat et à la FNEE</w:t>
      </w:r>
      <w:r w:rsidR="00BA79F8" w:rsidRPr="00026EC1">
        <w:t>Q (CSN) et est affichée le 15 </w:t>
      </w:r>
      <w:r w:rsidR="00F97DEF" w:rsidRPr="00026EC1">
        <w:t>octobre de chaque année d</w:t>
      </w:r>
      <w:r w:rsidR="004A41E4" w:rsidRPr="00026EC1">
        <w:t>’</w:t>
      </w:r>
      <w:r w:rsidR="00F97DEF" w:rsidRPr="00026EC1">
        <w:t>engagement. La période d</w:t>
      </w:r>
      <w:r w:rsidR="004A41E4" w:rsidRPr="00026EC1">
        <w:t>’</w:t>
      </w:r>
      <w:r w:rsidR="00F97DEF" w:rsidRPr="00026EC1">
        <w:t>affichage de la liste est de vingt (20) jours ouvrables. À l</w:t>
      </w:r>
      <w:r w:rsidR="004A41E4" w:rsidRPr="00026EC1">
        <w:t>’</w:t>
      </w:r>
      <w:r w:rsidR="00F97DEF" w:rsidRPr="00026EC1">
        <w:t>expiration de cette période, la liste devient officielle, sous réserve des contestations survenues durant la période d</w:t>
      </w:r>
      <w:r w:rsidR="004A41E4" w:rsidRPr="00026EC1">
        <w:t>’</w:t>
      </w:r>
      <w:r w:rsidR="00F97DEF" w:rsidRPr="00026EC1">
        <w:t>affichage.</w:t>
      </w:r>
    </w:p>
    <w:p w14:paraId="06BBFA7B" w14:textId="77777777" w:rsidR="00F97DEF" w:rsidRPr="00026EC1" w:rsidRDefault="00F97DEF" w:rsidP="00A64613">
      <w:pPr>
        <w:keepNext w:val="0"/>
      </w:pPr>
    </w:p>
    <w:p w14:paraId="7484EACA" w14:textId="1D759D38" w:rsidR="00F97DEF" w:rsidRPr="00026EC1" w:rsidRDefault="00F97DEF" w:rsidP="00A64613">
      <w:pPr>
        <w:keepNext w:val="0"/>
      </w:pPr>
      <w:r w:rsidRPr="00026EC1">
        <w:t>Si l</w:t>
      </w:r>
      <w:r w:rsidR="004A41E4" w:rsidRPr="00026EC1">
        <w:t>’</w:t>
      </w:r>
      <w:r w:rsidRPr="00026EC1">
        <w:t>ancienneté ou la date officielle d</w:t>
      </w:r>
      <w:r w:rsidR="004A41E4" w:rsidRPr="00026EC1">
        <w:t>’</w:t>
      </w:r>
      <w:r w:rsidRPr="00026EC1">
        <w:t>embauche d</w:t>
      </w:r>
      <w:r w:rsidR="004A41E4" w:rsidRPr="00026EC1">
        <w:t>’</w:t>
      </w:r>
      <w:r w:rsidRPr="00026EC1">
        <w:t>une enseignante ou d</w:t>
      </w:r>
      <w:r w:rsidR="004A41E4" w:rsidRPr="00026EC1">
        <w:t>’</w:t>
      </w:r>
      <w:r w:rsidRPr="00026EC1">
        <w:t>un enseignant est corrigée à la suite d</w:t>
      </w:r>
      <w:r w:rsidR="004A41E4" w:rsidRPr="00026EC1">
        <w:t>’</w:t>
      </w:r>
      <w:r w:rsidRPr="00026EC1">
        <w:t>une contestation, la liste est immédiatement corrigée. Ces corrections ne peuvent avoir d</w:t>
      </w:r>
      <w:r w:rsidR="004A41E4" w:rsidRPr="00026EC1">
        <w:t>’</w:t>
      </w:r>
      <w:r w:rsidRPr="00026EC1">
        <w:t>effet rétroactif au</w:t>
      </w:r>
      <w:r w:rsidR="00984A6F">
        <w:noBreakHyphen/>
      </w:r>
      <w:r w:rsidRPr="00026EC1">
        <w:t>delà de la date d</w:t>
      </w:r>
      <w:r w:rsidR="004A41E4" w:rsidRPr="00026EC1">
        <w:t>’</w:t>
      </w:r>
      <w:r w:rsidRPr="00026EC1">
        <w:t>entrée en vigueur de la présente convention collective.</w:t>
      </w:r>
    </w:p>
    <w:p w14:paraId="2A304ABC" w14:textId="77777777" w:rsidR="00F97DEF" w:rsidRPr="00026EC1" w:rsidRDefault="00F97DEF" w:rsidP="00A64613">
      <w:pPr>
        <w:keepNext w:val="0"/>
      </w:pPr>
    </w:p>
    <w:p w14:paraId="19AFD1CF" w14:textId="77777777" w:rsidR="00F97DEF" w:rsidRPr="00026EC1" w:rsidRDefault="00F97DEF" w:rsidP="00A64613">
      <w:pPr>
        <w:keepNext w:val="0"/>
      </w:pPr>
      <w:r w:rsidRPr="00026EC1">
        <w:t>La liste d</w:t>
      </w:r>
      <w:r w:rsidR="004A41E4" w:rsidRPr="00026EC1">
        <w:t>’</w:t>
      </w:r>
      <w:r w:rsidRPr="00026EC1">
        <w:t>ancienneté est en vigueur au moment de sa publication et le demeure jusqu</w:t>
      </w:r>
      <w:r w:rsidR="004A41E4" w:rsidRPr="00026EC1">
        <w:t>’</w:t>
      </w:r>
      <w:r w:rsidRPr="00026EC1">
        <w:t>à la publication de la prochaine liste d</w:t>
      </w:r>
      <w:r w:rsidR="004A41E4" w:rsidRPr="00026EC1">
        <w:t>’</w:t>
      </w:r>
      <w:r w:rsidRPr="00026EC1">
        <w:t>ancienneté, sous réserve des contestations survenues durant la période d</w:t>
      </w:r>
      <w:r w:rsidR="004A41E4" w:rsidRPr="00026EC1">
        <w:t>’</w:t>
      </w:r>
      <w:r w:rsidRPr="00026EC1">
        <w:t>affichage.</w:t>
      </w:r>
    </w:p>
    <w:p w14:paraId="0910BEEE" w14:textId="77777777" w:rsidR="00F97DEF" w:rsidRPr="00026EC1" w:rsidRDefault="00F97DEF" w:rsidP="00A64613">
      <w:pPr>
        <w:keepNext w:val="0"/>
      </w:pPr>
    </w:p>
    <w:p w14:paraId="627963EF" w14:textId="2FD3C3AF" w:rsidR="00F97DEF" w:rsidRPr="00026EC1" w:rsidRDefault="00F97DEF" w:rsidP="00A64613">
      <w:pPr>
        <w:pStyle w:val="NUMRODECLAUSE"/>
        <w:keepNext w:val="0"/>
      </w:pPr>
      <w:r w:rsidRPr="00026EC1">
        <w:t>5</w:t>
      </w:r>
      <w:r w:rsidR="00984A6F">
        <w:noBreakHyphen/>
      </w:r>
      <w:r w:rsidRPr="00026EC1">
        <w:t>3.05</w:t>
      </w:r>
    </w:p>
    <w:p w14:paraId="65FBBFDB" w14:textId="21B5ABB9" w:rsidR="00F97DEF" w:rsidRPr="00026EC1" w:rsidRDefault="00F97DEF" w:rsidP="00A64613">
      <w:pPr>
        <w:keepNext w:val="0"/>
      </w:pPr>
      <w:r w:rsidRPr="00026EC1">
        <w:t>Les corrections à la liste d</w:t>
      </w:r>
      <w:r w:rsidR="004A41E4" w:rsidRPr="00026EC1">
        <w:t>’</w:t>
      </w:r>
      <w:r w:rsidRPr="00026EC1">
        <w:t>ancienneté établie 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sont affichées et transmises au Syndicat et à la FNEEQ (CSN).</w:t>
      </w:r>
    </w:p>
    <w:p w14:paraId="05FC3451" w14:textId="77777777" w:rsidR="00F97DEF" w:rsidRPr="00026EC1" w:rsidRDefault="00F97DEF" w:rsidP="00A64613">
      <w:pPr>
        <w:keepNext w:val="0"/>
      </w:pPr>
    </w:p>
    <w:p w14:paraId="376FAF4A" w14:textId="2766EBBA" w:rsidR="00F97DEF" w:rsidRPr="00026EC1" w:rsidRDefault="00F97DEF" w:rsidP="00A64613">
      <w:pPr>
        <w:pStyle w:val="NUMRODECLAUSE"/>
        <w:keepNext w:val="0"/>
      </w:pPr>
      <w:r w:rsidRPr="00026EC1">
        <w:t>5</w:t>
      </w:r>
      <w:r w:rsidR="00984A6F">
        <w:noBreakHyphen/>
      </w:r>
      <w:r w:rsidRPr="00026EC1">
        <w:t>3.06</w:t>
      </w:r>
    </w:p>
    <w:p w14:paraId="52A475A2" w14:textId="42949DDF" w:rsidR="00F97DEF" w:rsidRPr="00026EC1" w:rsidRDefault="00F97DEF" w:rsidP="00A64613">
      <w:pPr>
        <w:keepNext w:val="0"/>
      </w:pPr>
      <w:r w:rsidRPr="00026EC1">
        <w:t>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l</w:t>
      </w:r>
      <w:r w:rsidR="004A41E4" w:rsidRPr="00026EC1">
        <w:t>’</w:t>
      </w:r>
      <w:r w:rsidRPr="00026EC1">
        <w:t>ancienneté continue de s</w:t>
      </w:r>
      <w:r w:rsidR="004A41E4" w:rsidRPr="00026EC1">
        <w:t>’</w:t>
      </w:r>
      <w:r w:rsidRPr="00026EC1">
        <w:t>accumuler</w:t>
      </w:r>
      <w:r w:rsidR="00D8581B">
        <w:t> :</w:t>
      </w:r>
    </w:p>
    <w:p w14:paraId="0A41BA32" w14:textId="77777777" w:rsidR="00F97DEF" w:rsidRPr="00026EC1" w:rsidRDefault="00F97DEF" w:rsidP="00A64613">
      <w:pPr>
        <w:keepNext w:val="0"/>
      </w:pPr>
    </w:p>
    <w:p w14:paraId="1690CAB0" w14:textId="03F0C5A5" w:rsidR="00F97F2E" w:rsidRPr="00026EC1" w:rsidRDefault="00275751" w:rsidP="00A64613">
      <w:pPr>
        <w:keepNext w:val="0"/>
        <w:ind w:left="567" w:hanging="567"/>
        <w:rPr>
          <w:rFonts w:cs="Arial"/>
          <w:szCs w:val="24"/>
        </w:rPr>
      </w:pPr>
      <w:r w:rsidRPr="00026EC1">
        <w:t>a)</w:t>
      </w:r>
      <w:r w:rsidRPr="00026EC1">
        <w:tab/>
      </w:r>
      <w:r w:rsidR="00F97DEF" w:rsidRPr="00026EC1">
        <w:t>durant une absence due soit à un accident du travail, soit à une maladie professionnelle reconnus comme tels par la</w:t>
      </w:r>
      <w:r w:rsidR="00F97F2E" w:rsidRPr="5791C160">
        <w:rPr>
          <w:rFonts w:cs="Arial"/>
        </w:rPr>
        <w:t xml:space="preserve"> Commission des normes, de l’équité, de la santé et de la sécurité du travail</w:t>
      </w:r>
      <w:r w:rsidR="00D90D85">
        <w:rPr>
          <w:rFonts w:cs="Arial"/>
        </w:rPr>
        <w:t> </w:t>
      </w:r>
      <w:r w:rsidR="00F97F2E" w:rsidRPr="5791C160">
        <w:rPr>
          <w:rFonts w:cs="Arial"/>
        </w:rPr>
        <w:t>(CNESST);</w:t>
      </w:r>
    </w:p>
    <w:p w14:paraId="17251E5D" w14:textId="77777777" w:rsidR="00F97DEF" w:rsidRPr="00026EC1" w:rsidRDefault="00275751" w:rsidP="00A64613">
      <w:pPr>
        <w:keepNext w:val="0"/>
        <w:tabs>
          <w:tab w:val="left" w:pos="567"/>
        </w:tabs>
        <w:ind w:left="567" w:hanging="567"/>
      </w:pPr>
      <w:r w:rsidRPr="00026EC1">
        <w:t>b)</w:t>
      </w:r>
      <w:r w:rsidRPr="00026EC1">
        <w:tab/>
      </w:r>
      <w:r w:rsidR="00F97DEF" w:rsidRPr="00026EC1">
        <w:t>durant un congé de perfectionnement avec ou sans salaire;</w:t>
      </w:r>
    </w:p>
    <w:p w14:paraId="060AA0DE" w14:textId="77777777" w:rsidR="00F97DEF" w:rsidRPr="00026EC1" w:rsidRDefault="00F97DEF" w:rsidP="00A64613">
      <w:pPr>
        <w:keepNext w:val="0"/>
      </w:pPr>
    </w:p>
    <w:p w14:paraId="60CA1846" w14:textId="77777777" w:rsidR="00F97DEF" w:rsidRPr="00026EC1" w:rsidRDefault="00275751" w:rsidP="00A64613">
      <w:pPr>
        <w:keepNext w:val="0"/>
        <w:tabs>
          <w:tab w:val="left" w:pos="567"/>
        </w:tabs>
        <w:ind w:left="567" w:hanging="567"/>
      </w:pPr>
      <w:r w:rsidRPr="00026EC1">
        <w:t>c)</w:t>
      </w:r>
      <w:r w:rsidRPr="00026EC1">
        <w:tab/>
      </w:r>
      <w:r w:rsidR="00F97DEF" w:rsidRPr="00026EC1">
        <w:t>durant un congé pour activités professionnelles prévu à la convention collective;</w:t>
      </w:r>
    </w:p>
    <w:p w14:paraId="4412150A" w14:textId="77777777" w:rsidR="00F97DEF" w:rsidRPr="00026EC1" w:rsidRDefault="00F97DEF" w:rsidP="00A64613">
      <w:pPr>
        <w:keepNext w:val="0"/>
      </w:pPr>
    </w:p>
    <w:p w14:paraId="04BDF1C9" w14:textId="77777777" w:rsidR="00F97DEF" w:rsidRPr="00026EC1" w:rsidRDefault="00275751" w:rsidP="00A64613">
      <w:pPr>
        <w:keepNext w:val="0"/>
        <w:tabs>
          <w:tab w:val="left" w:pos="567"/>
        </w:tabs>
        <w:ind w:left="567" w:hanging="567"/>
      </w:pPr>
      <w:r w:rsidRPr="00026EC1">
        <w:t>d)</w:t>
      </w:r>
      <w:r w:rsidRPr="00026EC1">
        <w:tab/>
      </w:r>
      <w:r w:rsidR="00F97DEF" w:rsidRPr="00026EC1">
        <w:t>durant un congé, une absence ou une libération pour activités syndicales prévus à la convention collective;</w:t>
      </w:r>
    </w:p>
    <w:p w14:paraId="05F154A2" w14:textId="77777777" w:rsidR="00F97DEF" w:rsidRPr="00026EC1" w:rsidRDefault="00F97DEF" w:rsidP="00A64613">
      <w:pPr>
        <w:keepNext w:val="0"/>
      </w:pPr>
    </w:p>
    <w:p w14:paraId="16488F90" w14:textId="7A7E77EF" w:rsidR="00F97DEF" w:rsidRPr="00026EC1" w:rsidRDefault="00275751" w:rsidP="00A64613">
      <w:pPr>
        <w:keepNext w:val="0"/>
        <w:tabs>
          <w:tab w:val="left" w:pos="567"/>
        </w:tabs>
        <w:ind w:left="567" w:hanging="567"/>
      </w:pPr>
      <w:r w:rsidRPr="00026EC1">
        <w:t>e)</w:t>
      </w:r>
      <w:r w:rsidRPr="00026EC1">
        <w:tab/>
      </w:r>
      <w:r w:rsidR="00F97DEF" w:rsidRPr="00026EC1">
        <w:t>durant un congé prévu à l</w:t>
      </w:r>
      <w:r w:rsidR="004A41E4" w:rsidRPr="00026EC1">
        <w:t>’</w:t>
      </w:r>
      <w:r w:rsidR="00F97DEF" w:rsidRPr="00026EC1">
        <w:t>article 5</w:t>
      </w:r>
      <w:r w:rsidR="00984A6F">
        <w:noBreakHyphen/>
      </w:r>
      <w:r w:rsidR="00F97DEF" w:rsidRPr="00026EC1">
        <w:t>6.00 et selon les modalités qui y sont stipulées;</w:t>
      </w:r>
    </w:p>
    <w:p w14:paraId="78B85070" w14:textId="77777777" w:rsidR="00F97DEF" w:rsidRPr="00026EC1" w:rsidRDefault="00F97DEF" w:rsidP="00A64613">
      <w:pPr>
        <w:keepNext w:val="0"/>
      </w:pPr>
    </w:p>
    <w:p w14:paraId="51F2E3AE" w14:textId="11FFEBA0" w:rsidR="00F97DEF" w:rsidRPr="00026EC1" w:rsidRDefault="00275751" w:rsidP="00A64613">
      <w:pPr>
        <w:keepNext w:val="0"/>
        <w:tabs>
          <w:tab w:val="left" w:pos="567"/>
        </w:tabs>
        <w:ind w:left="567" w:hanging="567"/>
      </w:pPr>
      <w:r w:rsidRPr="00026EC1">
        <w:t>f)</w:t>
      </w:r>
      <w:r w:rsidRPr="00026EC1">
        <w:tab/>
      </w:r>
      <w:r w:rsidR="00F97DEF" w:rsidRPr="00026EC1">
        <w:t>durant un congé prévu à la clause</w:t>
      </w:r>
      <w:r w:rsidR="0061766F" w:rsidRPr="00026EC1">
        <w:t> </w:t>
      </w:r>
      <w:r w:rsidR="00F97DEF" w:rsidRPr="00026EC1">
        <w:t>5</w:t>
      </w:r>
      <w:r w:rsidR="00984A6F">
        <w:noBreakHyphen/>
      </w:r>
      <w:r w:rsidR="00F97DEF" w:rsidRPr="00026EC1">
        <w:t>9.06</w:t>
      </w:r>
      <w:r w:rsidR="00855DD8" w:rsidRPr="00026EC1">
        <w:t>;</w:t>
      </w:r>
    </w:p>
    <w:p w14:paraId="6E1561F3" w14:textId="77777777" w:rsidR="00F97DEF" w:rsidRPr="00026EC1" w:rsidRDefault="00F97DEF" w:rsidP="00A64613">
      <w:pPr>
        <w:keepNext w:val="0"/>
      </w:pPr>
    </w:p>
    <w:p w14:paraId="455B9C04" w14:textId="6192BEC2" w:rsidR="00F97DEF" w:rsidRPr="00026EC1" w:rsidRDefault="00275751" w:rsidP="00A64613">
      <w:pPr>
        <w:keepNext w:val="0"/>
        <w:tabs>
          <w:tab w:val="left" w:pos="567"/>
        </w:tabs>
        <w:ind w:left="567" w:hanging="567"/>
      </w:pPr>
      <w:r w:rsidRPr="00026EC1">
        <w:t>g)</w:t>
      </w:r>
      <w:r w:rsidRPr="00026EC1">
        <w:tab/>
      </w:r>
      <w:r w:rsidR="00F97DEF" w:rsidRPr="00026EC1">
        <w:t>durant les périodes d</w:t>
      </w:r>
      <w:r w:rsidR="004A41E4" w:rsidRPr="00026EC1">
        <w:t>’</w:t>
      </w:r>
      <w:r w:rsidR="00F97DEF" w:rsidRPr="00026EC1">
        <w:t>invalidité couvertes par la clause 5</w:t>
      </w:r>
      <w:r w:rsidR="00984A6F">
        <w:noBreakHyphen/>
      </w:r>
      <w:r w:rsidR="00F97DEF" w:rsidRPr="00026EC1">
        <w:t>5.17 et l</w:t>
      </w:r>
      <w:r w:rsidR="004A41E4" w:rsidRPr="00026EC1">
        <w:t>’</w:t>
      </w:r>
      <w:r w:rsidR="00F97DEF" w:rsidRPr="00026EC1">
        <w:t>alinéa c) de la clause 5</w:t>
      </w:r>
      <w:r w:rsidR="00984A6F">
        <w:noBreakHyphen/>
      </w:r>
      <w:r w:rsidR="00F97DEF" w:rsidRPr="00026EC1">
        <w:t>4.16;</w:t>
      </w:r>
    </w:p>
    <w:p w14:paraId="667D1F4A" w14:textId="77777777" w:rsidR="00F97DEF" w:rsidRPr="00026EC1" w:rsidRDefault="00F97DEF" w:rsidP="00A64613">
      <w:pPr>
        <w:keepNext w:val="0"/>
      </w:pPr>
    </w:p>
    <w:p w14:paraId="692651EA" w14:textId="77777777" w:rsidR="00F97DEF" w:rsidRPr="00026EC1" w:rsidRDefault="00275751" w:rsidP="00A64613">
      <w:pPr>
        <w:keepNext w:val="0"/>
        <w:tabs>
          <w:tab w:val="left" w:pos="567"/>
        </w:tabs>
        <w:ind w:left="567" w:hanging="567"/>
      </w:pPr>
      <w:r w:rsidRPr="00026EC1">
        <w:t>h)</w:t>
      </w:r>
      <w:r w:rsidRPr="00026EC1">
        <w:tab/>
      </w:r>
      <w:r w:rsidR="00F97DEF" w:rsidRPr="00026EC1">
        <w:t>durant la suspension de l</w:t>
      </w:r>
      <w:r w:rsidR="004A41E4" w:rsidRPr="00026EC1">
        <w:t>’</w:t>
      </w:r>
      <w:r w:rsidR="00F97DEF" w:rsidRPr="00026EC1">
        <w:t>enseignante ou de l</w:t>
      </w:r>
      <w:r w:rsidR="004A41E4" w:rsidRPr="00026EC1">
        <w:t>’</w:t>
      </w:r>
      <w:r w:rsidR="00F97DEF" w:rsidRPr="00026EC1">
        <w:t>enseignant;</w:t>
      </w:r>
    </w:p>
    <w:p w14:paraId="7E217DC2" w14:textId="77777777" w:rsidR="00F97DEF" w:rsidRPr="00026EC1" w:rsidRDefault="00F97DEF" w:rsidP="00A64613">
      <w:pPr>
        <w:keepNext w:val="0"/>
      </w:pPr>
    </w:p>
    <w:p w14:paraId="65E27010" w14:textId="77777777" w:rsidR="00F97DEF" w:rsidRPr="00026EC1" w:rsidRDefault="00275751" w:rsidP="00A64613">
      <w:pPr>
        <w:keepNext w:val="0"/>
        <w:tabs>
          <w:tab w:val="left" w:pos="567"/>
        </w:tabs>
        <w:ind w:left="567" w:hanging="567"/>
      </w:pPr>
      <w:r w:rsidRPr="00026EC1">
        <w:t>i)</w:t>
      </w:r>
      <w:r w:rsidRPr="00026EC1">
        <w:tab/>
      </w:r>
      <w:r w:rsidR="00F97DEF" w:rsidRPr="00026EC1">
        <w:t>durant une période de mise en disponibilité et tant que le nom de l</w:t>
      </w:r>
      <w:r w:rsidR="004A41E4" w:rsidRPr="00026EC1">
        <w:t>’</w:t>
      </w:r>
      <w:r w:rsidR="00F97DEF" w:rsidRPr="00026EC1">
        <w:t>enseignante ou de l</w:t>
      </w:r>
      <w:r w:rsidR="004A41E4" w:rsidRPr="00026EC1">
        <w:t>’</w:t>
      </w:r>
      <w:r w:rsidR="00F97DEF" w:rsidRPr="00026EC1">
        <w:t>enseignant demeure inscrit sur les listes du Bureau de placement;</w:t>
      </w:r>
    </w:p>
    <w:p w14:paraId="3AF207EE" w14:textId="77777777" w:rsidR="00F97DEF" w:rsidRPr="00026EC1" w:rsidRDefault="00F97DEF" w:rsidP="00A64613">
      <w:pPr>
        <w:keepNext w:val="0"/>
      </w:pPr>
    </w:p>
    <w:p w14:paraId="7227016F" w14:textId="77777777" w:rsidR="00F97DEF" w:rsidRPr="00026EC1" w:rsidRDefault="00275751" w:rsidP="00A64613">
      <w:pPr>
        <w:keepNext w:val="0"/>
        <w:tabs>
          <w:tab w:val="left" w:pos="567"/>
        </w:tabs>
        <w:ind w:left="567" w:hanging="567"/>
      </w:pPr>
      <w:r w:rsidRPr="00026EC1">
        <w:t>j)</w:t>
      </w:r>
      <w:r w:rsidRPr="00026EC1">
        <w:tab/>
      </w:r>
      <w:r w:rsidR="00F97DEF" w:rsidRPr="00026EC1">
        <w:t>durant un congé pour l</w:t>
      </w:r>
      <w:r w:rsidR="004A41E4" w:rsidRPr="00026EC1">
        <w:t>’</w:t>
      </w:r>
      <w:r w:rsidR="00F97DEF" w:rsidRPr="00026EC1">
        <w:t>exercice d</w:t>
      </w:r>
      <w:r w:rsidR="004A41E4" w:rsidRPr="00026EC1">
        <w:t>’</w:t>
      </w:r>
      <w:r w:rsidR="00F97DEF" w:rsidRPr="00026EC1">
        <w:t>une charge publique d</w:t>
      </w:r>
      <w:r w:rsidR="004A41E4" w:rsidRPr="00026EC1">
        <w:t>’</w:t>
      </w:r>
      <w:r w:rsidR="00F97DEF" w:rsidRPr="00026EC1">
        <w:t>une (1) session ou moins;</w:t>
      </w:r>
    </w:p>
    <w:p w14:paraId="5D6F0691" w14:textId="77777777" w:rsidR="00C947A0" w:rsidRPr="00026EC1" w:rsidRDefault="00C947A0" w:rsidP="00A64613">
      <w:pPr>
        <w:keepNext w:val="0"/>
        <w:tabs>
          <w:tab w:val="left" w:pos="567"/>
        </w:tabs>
        <w:ind w:left="567" w:hanging="567"/>
      </w:pPr>
    </w:p>
    <w:p w14:paraId="075BE3A3" w14:textId="0F6AB57D" w:rsidR="00F97DEF" w:rsidRPr="00026EC1" w:rsidRDefault="00275751" w:rsidP="00A64613">
      <w:pPr>
        <w:keepNext w:val="0"/>
        <w:tabs>
          <w:tab w:val="left" w:pos="567"/>
        </w:tabs>
        <w:ind w:left="567" w:hanging="567"/>
      </w:pPr>
      <w:r w:rsidRPr="00026EC1">
        <w:t>k)</w:t>
      </w:r>
      <w:r w:rsidRPr="00026EC1">
        <w:tab/>
      </w:r>
      <w:r w:rsidR="00F97DEF" w:rsidRPr="00026EC1">
        <w:t>durant la première</w:t>
      </w:r>
      <w:r w:rsidR="00D90D85">
        <w:t> </w:t>
      </w:r>
      <w:r w:rsidR="00ED01CE" w:rsidRPr="00026EC1">
        <w:t>(1</w:t>
      </w:r>
      <w:r w:rsidR="00ED01CE" w:rsidRPr="00026EC1">
        <w:rPr>
          <w:vertAlign w:val="superscript"/>
        </w:rPr>
        <w:t>re</w:t>
      </w:r>
      <w:r w:rsidR="00ED01CE" w:rsidRPr="00026EC1">
        <w:t>)</w:t>
      </w:r>
      <w:r w:rsidR="00F97DEF" w:rsidRPr="00026EC1">
        <w:t xml:space="preserve"> année d</w:t>
      </w:r>
      <w:r w:rsidR="004A41E4" w:rsidRPr="00026EC1">
        <w:t>’</w:t>
      </w:r>
      <w:r w:rsidR="00F97DEF" w:rsidRPr="00026EC1">
        <w:t>un congé sans salaire à temps complet prévu à l</w:t>
      </w:r>
      <w:r w:rsidR="004A41E4" w:rsidRPr="00026EC1">
        <w:t>’</w:t>
      </w:r>
      <w:r w:rsidR="00F97DEF" w:rsidRPr="00026EC1">
        <w:t>article</w:t>
      </w:r>
      <w:r w:rsidR="0061766F" w:rsidRPr="00026EC1">
        <w:t> </w:t>
      </w:r>
      <w:r w:rsidR="00F97DEF" w:rsidRPr="00026EC1">
        <w:t>5</w:t>
      </w:r>
      <w:r w:rsidR="00984A6F">
        <w:noBreakHyphen/>
      </w:r>
      <w:r w:rsidR="00F97DEF" w:rsidRPr="00026EC1">
        <w:t>15.00 et, dans le cas de l</w:t>
      </w:r>
      <w:r w:rsidR="004A41E4" w:rsidRPr="00026EC1">
        <w:t>’</w:t>
      </w:r>
      <w:r w:rsidR="00F97DEF" w:rsidRPr="00026EC1">
        <w:t>enseignante ou l</w:t>
      </w:r>
      <w:r w:rsidR="004A41E4" w:rsidRPr="00026EC1">
        <w:t>’</w:t>
      </w:r>
      <w:r w:rsidR="00F97DEF" w:rsidRPr="00026EC1">
        <w:t>enseignant visé par la clause</w:t>
      </w:r>
      <w:r w:rsidR="0061766F" w:rsidRPr="00026EC1">
        <w:t> </w:t>
      </w:r>
      <w:r w:rsidR="00F97DEF" w:rsidRPr="00026EC1">
        <w:t>5</w:t>
      </w:r>
      <w:r w:rsidR="00984A6F">
        <w:noBreakHyphen/>
      </w:r>
      <w:r w:rsidR="00F97DEF" w:rsidRPr="00026EC1">
        <w:t>4.24, durant la totalité de son congé sans salaire jusqu</w:t>
      </w:r>
      <w:r w:rsidR="004A41E4" w:rsidRPr="00026EC1">
        <w:t>’</w:t>
      </w:r>
      <w:r w:rsidR="00F97DEF" w:rsidRPr="00026EC1">
        <w:t>à une durée maximale de cinq</w:t>
      </w:r>
      <w:r w:rsidR="00D90D85">
        <w:t> </w:t>
      </w:r>
      <w:r w:rsidR="00F97DEF" w:rsidRPr="00026EC1">
        <w:t>(5) ans;</w:t>
      </w:r>
    </w:p>
    <w:p w14:paraId="6B389A76" w14:textId="77777777" w:rsidR="00F97DEF" w:rsidRPr="00026EC1" w:rsidRDefault="00F97DEF" w:rsidP="00A64613">
      <w:pPr>
        <w:keepNext w:val="0"/>
      </w:pPr>
    </w:p>
    <w:p w14:paraId="758A8E2F" w14:textId="4B1D9A85" w:rsidR="00F97DEF" w:rsidRPr="00026EC1" w:rsidRDefault="00275751" w:rsidP="00A64613">
      <w:pPr>
        <w:keepNext w:val="0"/>
        <w:tabs>
          <w:tab w:val="left" w:pos="567"/>
        </w:tabs>
        <w:ind w:left="567" w:hanging="567"/>
      </w:pPr>
      <w:r w:rsidRPr="00026EC1">
        <w:t>l)</w:t>
      </w:r>
      <w:r w:rsidRPr="00026EC1">
        <w:tab/>
      </w:r>
      <w:r w:rsidR="00F97DEF" w:rsidRPr="00026EC1">
        <w:t>durant les deux (2) premières années d</w:t>
      </w:r>
      <w:r w:rsidR="004A41E4" w:rsidRPr="00026EC1">
        <w:t>’</w:t>
      </w:r>
      <w:r w:rsidR="00F97DEF" w:rsidRPr="00026EC1">
        <w:t>un congé mi</w:t>
      </w:r>
      <w:r w:rsidR="00984A6F">
        <w:noBreakHyphen/>
      </w:r>
      <w:r w:rsidR="00F97DEF" w:rsidRPr="00026EC1">
        <w:t>temps prévu à la convention collective. Par la suite, l</w:t>
      </w:r>
      <w:r w:rsidR="004A41E4" w:rsidRPr="00026EC1">
        <w:t>’</w:t>
      </w:r>
      <w:r w:rsidR="00F97DEF" w:rsidRPr="00026EC1">
        <w:t>ancienneté s</w:t>
      </w:r>
      <w:r w:rsidR="004A41E4" w:rsidRPr="00026EC1">
        <w:t>’</w:t>
      </w:r>
      <w:r w:rsidR="00F97DEF" w:rsidRPr="00026EC1">
        <w:t>accumule à raison d</w:t>
      </w:r>
      <w:r w:rsidR="004A41E4" w:rsidRPr="00026EC1">
        <w:t>’</w:t>
      </w:r>
      <w:r w:rsidR="00F97DEF" w:rsidRPr="00026EC1">
        <w:t>une demi</w:t>
      </w:r>
      <w:r w:rsidR="00984A6F">
        <w:noBreakHyphen/>
      </w:r>
      <w:r w:rsidR="00F97DEF" w:rsidRPr="00026EC1">
        <w:t>année par année de congé mi</w:t>
      </w:r>
      <w:r w:rsidR="00984A6F">
        <w:noBreakHyphen/>
      </w:r>
      <w:r w:rsidR="00F97DEF" w:rsidRPr="00026EC1">
        <w:t>temps;</w:t>
      </w:r>
    </w:p>
    <w:p w14:paraId="5F7DA1E0" w14:textId="77777777" w:rsidR="00F97DEF" w:rsidRPr="00026EC1" w:rsidRDefault="00F97DEF" w:rsidP="00A64613">
      <w:pPr>
        <w:keepNext w:val="0"/>
      </w:pPr>
    </w:p>
    <w:p w14:paraId="71B7F181" w14:textId="77777777" w:rsidR="00F97DEF" w:rsidRPr="00026EC1" w:rsidRDefault="00275751" w:rsidP="00A64613">
      <w:pPr>
        <w:keepNext w:val="0"/>
        <w:tabs>
          <w:tab w:val="left" w:pos="567"/>
        </w:tabs>
        <w:ind w:left="567" w:hanging="567"/>
      </w:pPr>
      <w:r w:rsidRPr="00026EC1">
        <w:t>m)</w:t>
      </w:r>
      <w:r w:rsidRPr="00026EC1">
        <w:tab/>
      </w:r>
      <w:r w:rsidR="00F97DEF" w:rsidRPr="00026EC1">
        <w:t>durant un congé spécial ou un jour férié;</w:t>
      </w:r>
    </w:p>
    <w:p w14:paraId="38B8C79E" w14:textId="77777777" w:rsidR="00F97DEF" w:rsidRPr="00026EC1" w:rsidRDefault="00F97DEF" w:rsidP="00A64613">
      <w:pPr>
        <w:keepNext w:val="0"/>
      </w:pPr>
    </w:p>
    <w:p w14:paraId="23CEC5A7" w14:textId="11D73CF6" w:rsidR="00F97DEF" w:rsidRPr="00026EC1" w:rsidRDefault="00275751" w:rsidP="00A64613">
      <w:pPr>
        <w:keepNext w:val="0"/>
        <w:tabs>
          <w:tab w:val="left" w:pos="567"/>
        </w:tabs>
        <w:ind w:left="567" w:hanging="567"/>
      </w:pPr>
      <w:r w:rsidRPr="00026EC1">
        <w:t>n)</w:t>
      </w:r>
      <w:r w:rsidRPr="00026EC1">
        <w:tab/>
      </w:r>
      <w:r w:rsidR="00F97DEF" w:rsidRPr="00026EC1">
        <w:t>durant la participation au régime de congé à traitement différé ou anticipé prévu à l</w:t>
      </w:r>
      <w:r w:rsidR="004A41E4" w:rsidRPr="00026EC1">
        <w:t>’</w:t>
      </w:r>
      <w:r w:rsidR="00F97DEF" w:rsidRPr="00026EC1">
        <w:t>article 5</w:t>
      </w:r>
      <w:r w:rsidR="00984A6F">
        <w:noBreakHyphen/>
      </w:r>
      <w:r w:rsidR="00F97DEF" w:rsidRPr="00026EC1">
        <w:t>12.00;</w:t>
      </w:r>
    </w:p>
    <w:p w14:paraId="4E81558F" w14:textId="77777777" w:rsidR="00F97DEF" w:rsidRPr="00026EC1" w:rsidRDefault="00F97DEF" w:rsidP="00A64613">
      <w:pPr>
        <w:keepNext w:val="0"/>
      </w:pPr>
    </w:p>
    <w:p w14:paraId="52BC2A23" w14:textId="052358C8" w:rsidR="00F97DEF" w:rsidRPr="00026EC1" w:rsidRDefault="00275751" w:rsidP="00A64613">
      <w:pPr>
        <w:keepNext w:val="0"/>
        <w:tabs>
          <w:tab w:val="left" w:pos="567"/>
        </w:tabs>
        <w:ind w:left="567" w:hanging="567"/>
      </w:pPr>
      <w:r w:rsidRPr="00026EC1">
        <w:t>o)</w:t>
      </w:r>
      <w:r w:rsidRPr="00026EC1">
        <w:tab/>
      </w:r>
      <w:r w:rsidR="00F97DEF" w:rsidRPr="00026EC1">
        <w:t>durant une assignation provisoire en vertu de l</w:t>
      </w:r>
      <w:r w:rsidR="004A41E4" w:rsidRPr="00026EC1">
        <w:t>’</w:t>
      </w:r>
      <w:r w:rsidR="00F97DEF" w:rsidRPr="00026EC1">
        <w:t>article 5</w:t>
      </w:r>
      <w:r w:rsidR="00984A6F">
        <w:noBreakHyphen/>
      </w:r>
      <w:r w:rsidR="00F97DEF" w:rsidRPr="00026EC1">
        <w:t>11.00;</w:t>
      </w:r>
    </w:p>
    <w:p w14:paraId="17A95CBB" w14:textId="77777777" w:rsidR="00F97DEF" w:rsidRPr="00026EC1" w:rsidRDefault="00F97DEF" w:rsidP="00A64613">
      <w:pPr>
        <w:keepNext w:val="0"/>
      </w:pPr>
    </w:p>
    <w:p w14:paraId="57572782" w14:textId="18F1F118" w:rsidR="00F97DEF" w:rsidRPr="00026EC1" w:rsidRDefault="00275751" w:rsidP="00A64613">
      <w:pPr>
        <w:keepNext w:val="0"/>
        <w:tabs>
          <w:tab w:val="left" w:pos="567"/>
        </w:tabs>
        <w:ind w:left="567" w:hanging="567"/>
      </w:pPr>
      <w:r w:rsidRPr="00026EC1">
        <w:t>p)</w:t>
      </w:r>
      <w:r w:rsidRPr="00026EC1">
        <w:tab/>
      </w:r>
      <w:r w:rsidR="00F97DEF" w:rsidRPr="00026EC1">
        <w:t>durant un échange avec une institution d</w:t>
      </w:r>
      <w:r w:rsidR="004A41E4" w:rsidRPr="00026EC1">
        <w:t>’</w:t>
      </w:r>
      <w:r w:rsidR="00F97DEF" w:rsidRPr="00026EC1">
        <w:t>enseignement hors Québec en vertu de l</w:t>
      </w:r>
      <w:r w:rsidR="004A41E4" w:rsidRPr="00026EC1">
        <w:t>’</w:t>
      </w:r>
      <w:r w:rsidR="00F97DEF" w:rsidRPr="00026EC1">
        <w:t>article 5</w:t>
      </w:r>
      <w:r w:rsidR="00984A6F">
        <w:noBreakHyphen/>
      </w:r>
      <w:r w:rsidR="00F97DEF" w:rsidRPr="00026EC1">
        <w:t>13.00;</w:t>
      </w:r>
    </w:p>
    <w:p w14:paraId="45937B32" w14:textId="77777777" w:rsidR="00F97DEF" w:rsidRPr="00026EC1" w:rsidRDefault="00F97DEF" w:rsidP="00A64613">
      <w:pPr>
        <w:keepNext w:val="0"/>
      </w:pPr>
    </w:p>
    <w:p w14:paraId="5ED1434B" w14:textId="751BA6DC" w:rsidR="005C66E3" w:rsidRDefault="00275751" w:rsidP="00A64613">
      <w:pPr>
        <w:keepNext w:val="0"/>
        <w:tabs>
          <w:tab w:val="left" w:pos="567"/>
        </w:tabs>
        <w:ind w:left="567" w:hanging="567"/>
      </w:pPr>
      <w:r w:rsidRPr="00026EC1">
        <w:t>q)</w:t>
      </w:r>
      <w:r w:rsidRPr="00026EC1">
        <w:tab/>
      </w:r>
      <w:r w:rsidR="00F97DEF" w:rsidRPr="00026EC1">
        <w:t>durant le prêt de service</w:t>
      </w:r>
      <w:r w:rsidR="00ED01CE" w:rsidRPr="00026EC1">
        <w:t>s</w:t>
      </w:r>
      <w:r w:rsidR="00F97DEF" w:rsidRPr="00026EC1">
        <w:t xml:space="preserve"> prévu à l</w:t>
      </w:r>
      <w:r w:rsidR="004A41E4" w:rsidRPr="00026EC1">
        <w:t>’</w:t>
      </w:r>
      <w:r w:rsidR="00F97DEF" w:rsidRPr="00026EC1">
        <w:t>article</w:t>
      </w:r>
      <w:r w:rsidR="00BD38A6" w:rsidRPr="00026EC1">
        <w:t> </w:t>
      </w:r>
      <w:r w:rsidR="00F97DEF" w:rsidRPr="00026EC1">
        <w:t>5</w:t>
      </w:r>
      <w:r w:rsidR="00984A6F">
        <w:noBreakHyphen/>
      </w:r>
      <w:r w:rsidR="00F97DEF" w:rsidRPr="00026EC1">
        <w:t>21.00 jusqu</w:t>
      </w:r>
      <w:r w:rsidR="004A41E4" w:rsidRPr="00026EC1">
        <w:t>’</w:t>
      </w:r>
      <w:r w:rsidR="00F97DEF" w:rsidRPr="00026EC1">
        <w:t>à une durée maximale de cinq</w:t>
      </w:r>
      <w:r w:rsidR="00D90D85">
        <w:t> </w:t>
      </w:r>
      <w:r w:rsidR="00F97DEF" w:rsidRPr="00026EC1">
        <w:t>(5) ans</w:t>
      </w:r>
      <w:r w:rsidR="005C66E3">
        <w:t>;</w:t>
      </w:r>
    </w:p>
    <w:p w14:paraId="20A61939" w14:textId="0020961C" w:rsidR="00721B09" w:rsidRPr="00026EC1" w:rsidRDefault="00721B09" w:rsidP="00A64613">
      <w:pPr>
        <w:keepNext w:val="0"/>
        <w:tabs>
          <w:tab w:val="left" w:pos="567"/>
        </w:tabs>
        <w:ind w:left="567" w:hanging="567"/>
      </w:pPr>
      <w:r w:rsidRPr="007A29B2">
        <w:t>r)</w:t>
      </w:r>
      <w:r w:rsidRPr="007A29B2">
        <w:tab/>
      </w:r>
      <w:r w:rsidR="00D45E88" w:rsidRPr="007A29B2">
        <w:t>durant un congé sans salaire non prévu à la convention collective</w:t>
      </w:r>
      <w:r w:rsidR="00675C2C">
        <w:t>, pris au cours de la session d’hiver 2021,</w:t>
      </w:r>
      <w:r w:rsidR="00D45E88" w:rsidRPr="007A29B2">
        <w:t xml:space="preserve"> en lien avec la crise sanitaire</w:t>
      </w:r>
      <w:r w:rsidR="0095696D" w:rsidRPr="007A29B2">
        <w:rPr>
          <w:rStyle w:val="FootnoteReference"/>
        </w:rPr>
        <w:footnoteReference w:id="5"/>
      </w:r>
      <w:r w:rsidR="005C66E3">
        <w:t>.</w:t>
      </w:r>
    </w:p>
    <w:p w14:paraId="3DFEC454" w14:textId="77777777" w:rsidR="00F97DEF" w:rsidRPr="00026EC1" w:rsidRDefault="00F97DEF" w:rsidP="00A64613">
      <w:pPr>
        <w:keepNext w:val="0"/>
      </w:pPr>
    </w:p>
    <w:p w14:paraId="71BEA6C0" w14:textId="33480320" w:rsidR="00F97DEF" w:rsidRPr="00026EC1" w:rsidRDefault="00F97DEF" w:rsidP="00A64613">
      <w:pPr>
        <w:pStyle w:val="NUMRODECLAUSE"/>
        <w:keepNext w:val="0"/>
      </w:pPr>
      <w:r w:rsidRPr="00026EC1">
        <w:t>5</w:t>
      </w:r>
      <w:r w:rsidR="00984A6F">
        <w:noBreakHyphen/>
      </w:r>
      <w:r w:rsidRPr="00026EC1">
        <w:t>3.07</w:t>
      </w:r>
    </w:p>
    <w:p w14:paraId="3A100498" w14:textId="3A28AE82" w:rsidR="00F97DEF" w:rsidRPr="00026EC1" w:rsidRDefault="00F97DEF" w:rsidP="00A64613">
      <w:pPr>
        <w:keepNext w:val="0"/>
      </w:pPr>
      <w:r w:rsidRPr="00026EC1">
        <w:t>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l</w:t>
      </w:r>
      <w:r w:rsidR="004A41E4" w:rsidRPr="00026EC1">
        <w:t>’</w:t>
      </w:r>
      <w:r w:rsidRPr="00026EC1">
        <w:t>ancienneté cesse de s</w:t>
      </w:r>
      <w:r w:rsidR="004A41E4" w:rsidRPr="00026EC1">
        <w:t>’</w:t>
      </w:r>
      <w:r w:rsidRPr="00026EC1">
        <w:t>accumuler</w:t>
      </w:r>
      <w:r w:rsidR="005A2D77" w:rsidRPr="00026EC1">
        <w:t>,</w:t>
      </w:r>
      <w:r w:rsidRPr="00026EC1">
        <w:t xml:space="preserve"> mais demeure au crédit de l</w:t>
      </w:r>
      <w:r w:rsidR="004A41E4" w:rsidRPr="00026EC1">
        <w:t>’</w:t>
      </w:r>
      <w:r w:rsidRPr="00026EC1">
        <w:t>enseignante ou de l</w:t>
      </w:r>
      <w:r w:rsidR="004A41E4" w:rsidRPr="00026EC1">
        <w:t>’</w:t>
      </w:r>
      <w:r w:rsidRPr="00026EC1">
        <w:t>enseignant</w:t>
      </w:r>
      <w:r w:rsidR="00D8581B">
        <w:t> :</w:t>
      </w:r>
    </w:p>
    <w:p w14:paraId="138D03FA" w14:textId="77777777" w:rsidR="00F97DEF" w:rsidRPr="00026EC1" w:rsidRDefault="00F97DEF" w:rsidP="00A64613">
      <w:pPr>
        <w:keepNext w:val="0"/>
      </w:pPr>
    </w:p>
    <w:p w14:paraId="23DE4F9C" w14:textId="77777777" w:rsidR="00F97DEF" w:rsidRPr="00026EC1" w:rsidRDefault="00275751" w:rsidP="00A64613">
      <w:pPr>
        <w:keepNext w:val="0"/>
        <w:tabs>
          <w:tab w:val="left" w:pos="567"/>
        </w:tabs>
        <w:ind w:left="567" w:hanging="567"/>
      </w:pPr>
      <w:r w:rsidRPr="00026EC1">
        <w:t>a)</w:t>
      </w:r>
      <w:r w:rsidRPr="00026EC1">
        <w:tab/>
      </w:r>
      <w:r w:rsidR="00F97DEF" w:rsidRPr="00026EC1">
        <w:t>pendant un congé pour l</w:t>
      </w:r>
      <w:r w:rsidR="004A41E4" w:rsidRPr="00026EC1">
        <w:t>’</w:t>
      </w:r>
      <w:r w:rsidR="00F97DEF" w:rsidRPr="00026EC1">
        <w:t>exercice d</w:t>
      </w:r>
      <w:r w:rsidR="004A41E4" w:rsidRPr="00026EC1">
        <w:t>’</w:t>
      </w:r>
      <w:r w:rsidR="00F97DEF" w:rsidRPr="00026EC1">
        <w:t>une charge publique de plus d</w:t>
      </w:r>
      <w:r w:rsidR="004A41E4" w:rsidRPr="00026EC1">
        <w:t>’</w:t>
      </w:r>
      <w:r w:rsidR="00F97DEF" w:rsidRPr="00026EC1">
        <w:t>une (1) session;</w:t>
      </w:r>
    </w:p>
    <w:p w14:paraId="22A0D995" w14:textId="77777777" w:rsidR="00F97DEF" w:rsidRPr="00026EC1" w:rsidRDefault="00F97DEF" w:rsidP="00A64613">
      <w:pPr>
        <w:keepNext w:val="0"/>
      </w:pPr>
    </w:p>
    <w:p w14:paraId="0FC7EEAA" w14:textId="430188D2" w:rsidR="00F97DEF" w:rsidRPr="00026EC1" w:rsidRDefault="00275751" w:rsidP="00A64613">
      <w:pPr>
        <w:keepNext w:val="0"/>
        <w:tabs>
          <w:tab w:val="left" w:pos="567"/>
        </w:tabs>
        <w:ind w:left="567" w:hanging="567"/>
      </w:pPr>
      <w:r w:rsidRPr="00026EC1">
        <w:t>b)</w:t>
      </w:r>
      <w:r w:rsidRPr="00026EC1">
        <w:tab/>
      </w:r>
      <w:r w:rsidR="00F97DEF" w:rsidRPr="00026EC1">
        <w:t>pendant un congé sans salaire non visé à la clause 5</w:t>
      </w:r>
      <w:r w:rsidR="00984A6F">
        <w:noBreakHyphen/>
      </w:r>
      <w:r w:rsidR="00F97DEF" w:rsidRPr="00026EC1">
        <w:t>3.06;</w:t>
      </w:r>
    </w:p>
    <w:p w14:paraId="041BB8D1" w14:textId="77777777" w:rsidR="00F97DEF" w:rsidRPr="00026EC1" w:rsidRDefault="00F97DEF" w:rsidP="00A64613">
      <w:pPr>
        <w:keepNext w:val="0"/>
      </w:pPr>
    </w:p>
    <w:p w14:paraId="368DE139" w14:textId="4124B5FE" w:rsidR="00F97DEF" w:rsidRPr="00026EC1" w:rsidRDefault="00275751" w:rsidP="00A64613">
      <w:pPr>
        <w:keepNext w:val="0"/>
        <w:tabs>
          <w:tab w:val="left" w:pos="567"/>
        </w:tabs>
        <w:ind w:left="567" w:hanging="567"/>
      </w:pPr>
      <w:r w:rsidRPr="00026EC1">
        <w:t>c)</w:t>
      </w:r>
      <w:r w:rsidRPr="00026EC1">
        <w:tab/>
      </w:r>
      <w:r w:rsidR="00F97DEF" w:rsidRPr="00026EC1">
        <w:t>après l</w:t>
      </w:r>
      <w:r w:rsidR="004A41E4" w:rsidRPr="00026EC1">
        <w:t>’</w:t>
      </w:r>
      <w:r w:rsidR="00F97DEF" w:rsidRPr="00026EC1">
        <w:t>application des dispositions de l</w:t>
      </w:r>
      <w:r w:rsidR="004A41E4" w:rsidRPr="00026EC1">
        <w:t>’</w:t>
      </w:r>
      <w:r w:rsidR="00F97DEF" w:rsidRPr="00026EC1">
        <w:t>alinéa</w:t>
      </w:r>
      <w:bookmarkStart w:id="412" w:name="OLE_LINK3"/>
      <w:r w:rsidR="00F97DEF" w:rsidRPr="00026EC1">
        <w:t> </w:t>
      </w:r>
      <w:bookmarkEnd w:id="412"/>
      <w:r w:rsidR="005A2D77" w:rsidRPr="00026EC1">
        <w:t>g</w:t>
      </w:r>
      <w:r w:rsidR="00F97DEF" w:rsidRPr="00026EC1">
        <w:t>)</w:t>
      </w:r>
      <w:r w:rsidR="00757E12" w:rsidRPr="00026EC1">
        <w:t xml:space="preserve"> </w:t>
      </w:r>
      <w:r w:rsidR="00F97DEF" w:rsidRPr="00026EC1">
        <w:t>de la clause 5</w:t>
      </w:r>
      <w:r w:rsidR="00984A6F">
        <w:noBreakHyphen/>
      </w:r>
      <w:r w:rsidR="00F97DEF" w:rsidRPr="00026EC1">
        <w:t>3.06;</w:t>
      </w:r>
    </w:p>
    <w:p w14:paraId="7C06237E" w14:textId="77777777" w:rsidR="00F97DEF" w:rsidRPr="00026EC1" w:rsidRDefault="00F97DEF" w:rsidP="00A64613">
      <w:pPr>
        <w:keepNext w:val="0"/>
      </w:pPr>
    </w:p>
    <w:p w14:paraId="128C862C" w14:textId="54D9538D" w:rsidR="00F97DEF" w:rsidRPr="00026EC1" w:rsidRDefault="00275751" w:rsidP="00A64613">
      <w:pPr>
        <w:keepNext w:val="0"/>
        <w:tabs>
          <w:tab w:val="left" w:pos="567"/>
        </w:tabs>
        <w:ind w:left="567" w:hanging="567"/>
      </w:pPr>
      <w:r w:rsidRPr="00026EC1">
        <w:t>d)</w:t>
      </w:r>
      <w:r w:rsidRPr="00026EC1">
        <w:tab/>
      </w:r>
      <w:r w:rsidR="00F97DEF" w:rsidRPr="00026EC1">
        <w:t>durant l</w:t>
      </w:r>
      <w:r w:rsidR="004A41E4" w:rsidRPr="00026EC1">
        <w:t>’</w:t>
      </w:r>
      <w:r w:rsidR="00F97DEF" w:rsidRPr="00026EC1">
        <w:t>occupation d</w:t>
      </w:r>
      <w:r w:rsidR="004A41E4" w:rsidRPr="00026EC1">
        <w:t>’</w:t>
      </w:r>
      <w:r w:rsidR="00F97DEF" w:rsidRPr="00026EC1">
        <w:t>une fonction pédagogique non couverte par l</w:t>
      </w:r>
      <w:r w:rsidR="004A41E4" w:rsidRPr="00026EC1">
        <w:t>’</w:t>
      </w:r>
      <w:r w:rsidR="00F97DEF" w:rsidRPr="00026EC1">
        <w:t>accréditation, sauf dans le cas prévu à l</w:t>
      </w:r>
      <w:r w:rsidR="004A41E4" w:rsidRPr="00026EC1">
        <w:t>’</w:t>
      </w:r>
      <w:r w:rsidR="00F97DEF" w:rsidRPr="00026EC1">
        <w:t>alinéa </w:t>
      </w:r>
      <w:r w:rsidR="005A2D77" w:rsidRPr="00026EC1">
        <w:t>o</w:t>
      </w:r>
      <w:r w:rsidR="00F97DEF" w:rsidRPr="00026EC1">
        <w:t>) de la clause 5</w:t>
      </w:r>
      <w:r w:rsidR="00984A6F">
        <w:noBreakHyphen/>
      </w:r>
      <w:r w:rsidR="00F97DEF" w:rsidRPr="00026EC1">
        <w:t>3.06;</w:t>
      </w:r>
    </w:p>
    <w:p w14:paraId="340400F4" w14:textId="77777777" w:rsidR="00F97DEF" w:rsidRPr="00026EC1" w:rsidRDefault="00F97DEF" w:rsidP="00A64613">
      <w:pPr>
        <w:keepNext w:val="0"/>
      </w:pPr>
    </w:p>
    <w:p w14:paraId="18A5689C" w14:textId="02EB2AF3" w:rsidR="00F97DEF" w:rsidRDefault="00275751" w:rsidP="00A64613">
      <w:pPr>
        <w:keepNext w:val="0"/>
        <w:tabs>
          <w:tab w:val="left" w:pos="567"/>
        </w:tabs>
        <w:ind w:left="567" w:hanging="567"/>
      </w:pPr>
      <w:r w:rsidRPr="00026EC1">
        <w:t>e)</w:t>
      </w:r>
      <w:r w:rsidRPr="00026EC1">
        <w:tab/>
      </w:r>
      <w:r w:rsidR="00F97DEF" w:rsidRPr="00026EC1">
        <w:t>pendant les trois (3) années qui suivent immédiatement celle pendant laquelle l</w:t>
      </w:r>
      <w:r w:rsidR="004A41E4" w:rsidRPr="00026EC1">
        <w:t>’</w:t>
      </w:r>
      <w:r w:rsidR="00F97DEF" w:rsidRPr="00026EC1">
        <w:t>enseignante ou l</w:t>
      </w:r>
      <w:r w:rsidR="004A41E4" w:rsidRPr="00026EC1">
        <w:t>’</w:t>
      </w:r>
      <w:r w:rsidR="00F97DEF" w:rsidRPr="00026EC1">
        <w:t>enseignant non permanent assumait une charge d</w:t>
      </w:r>
      <w:r w:rsidR="004A41E4" w:rsidRPr="00026EC1">
        <w:t>’</w:t>
      </w:r>
      <w:r w:rsidR="00F97DEF" w:rsidRPr="00026EC1">
        <w:t>enseignement, sauf dans les cas prévus à la clause 5</w:t>
      </w:r>
      <w:r w:rsidR="00984A6F">
        <w:noBreakHyphen/>
      </w:r>
      <w:r w:rsidR="00F97DEF" w:rsidRPr="00026EC1">
        <w:t>4.18 où le délai est prolongé à cinq (5) années.</w:t>
      </w:r>
    </w:p>
    <w:p w14:paraId="1CAAE597" w14:textId="77777777" w:rsidR="00D13E0E" w:rsidRPr="00026EC1" w:rsidRDefault="00D13E0E" w:rsidP="00A64613">
      <w:pPr>
        <w:keepNext w:val="0"/>
        <w:tabs>
          <w:tab w:val="left" w:pos="567"/>
        </w:tabs>
        <w:ind w:left="567" w:hanging="567"/>
      </w:pPr>
    </w:p>
    <w:p w14:paraId="63369F2E" w14:textId="04D2C258" w:rsidR="00F97DEF" w:rsidRPr="00026EC1" w:rsidRDefault="00F97DEF" w:rsidP="00A64613">
      <w:pPr>
        <w:pStyle w:val="NUMRODECLAUSE"/>
        <w:keepNext w:val="0"/>
      </w:pPr>
      <w:r w:rsidRPr="00026EC1">
        <w:t>5</w:t>
      </w:r>
      <w:r w:rsidR="00984A6F">
        <w:noBreakHyphen/>
      </w:r>
      <w:r w:rsidRPr="00026EC1">
        <w:t>3.08</w:t>
      </w:r>
    </w:p>
    <w:p w14:paraId="418592EF" w14:textId="6B36983B" w:rsidR="00F97DEF" w:rsidRPr="00026EC1" w:rsidRDefault="00F97DEF" w:rsidP="00A64613">
      <w:pPr>
        <w:keepNext w:val="0"/>
      </w:pPr>
      <w:r w:rsidRPr="00026EC1">
        <w:t>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Pr="00026EC1">
        <w:t>4.00, l</w:t>
      </w:r>
      <w:r w:rsidR="004A41E4" w:rsidRPr="00026EC1">
        <w:t>’</w:t>
      </w:r>
      <w:r w:rsidRPr="00026EC1">
        <w:t>ancienneté accumulée se perd</w:t>
      </w:r>
      <w:r w:rsidR="00D8581B">
        <w:t> :</w:t>
      </w:r>
    </w:p>
    <w:p w14:paraId="3C62B1E4" w14:textId="77777777" w:rsidR="00F97DEF" w:rsidRPr="00026EC1" w:rsidRDefault="00F97DEF" w:rsidP="00A64613">
      <w:pPr>
        <w:keepNext w:val="0"/>
      </w:pPr>
    </w:p>
    <w:p w14:paraId="314F5437" w14:textId="77777777" w:rsidR="00F97DEF" w:rsidRPr="00026EC1" w:rsidRDefault="00275751" w:rsidP="00A64613">
      <w:pPr>
        <w:keepNext w:val="0"/>
        <w:ind w:left="567" w:hanging="567"/>
      </w:pPr>
      <w:r w:rsidRPr="00026EC1">
        <w:t>a)</w:t>
      </w:r>
      <w:r w:rsidRPr="00026EC1">
        <w:tab/>
      </w:r>
      <w:r w:rsidR="00F97DEF" w:rsidRPr="00026EC1">
        <w:t>par une démission, sauf dans le cas du transfert volontaire d</w:t>
      </w:r>
      <w:r w:rsidR="004A41E4" w:rsidRPr="00026EC1">
        <w:t>’</w:t>
      </w:r>
      <w:r w:rsidR="00F97DEF" w:rsidRPr="00026EC1">
        <w:t>une enseignante ou d</w:t>
      </w:r>
      <w:r w:rsidR="004A41E4" w:rsidRPr="00026EC1">
        <w:t>’</w:t>
      </w:r>
      <w:r w:rsidR="00F97DEF" w:rsidRPr="00026EC1">
        <w:t>un enseignant à un autre collège;</w:t>
      </w:r>
    </w:p>
    <w:p w14:paraId="4B5E9A65" w14:textId="77777777" w:rsidR="00F97DEF" w:rsidRPr="00026EC1" w:rsidRDefault="00F97DEF" w:rsidP="00A64613">
      <w:pPr>
        <w:keepNext w:val="0"/>
        <w:ind w:left="567" w:hanging="567"/>
      </w:pPr>
    </w:p>
    <w:p w14:paraId="0755FB6C" w14:textId="77777777" w:rsidR="00F97DEF" w:rsidRPr="00026EC1" w:rsidRDefault="00275751" w:rsidP="00A64613">
      <w:pPr>
        <w:keepNext w:val="0"/>
        <w:ind w:left="567" w:hanging="567"/>
      </w:pPr>
      <w:r w:rsidRPr="00026EC1">
        <w:t>b)</w:t>
      </w:r>
      <w:r w:rsidRPr="00026EC1">
        <w:tab/>
      </w:r>
      <w:r w:rsidR="00F97DEF" w:rsidRPr="00026EC1">
        <w:t>par un congédiement;</w:t>
      </w:r>
    </w:p>
    <w:p w14:paraId="089B12D6" w14:textId="77777777" w:rsidR="00F97DEF" w:rsidRPr="00026EC1" w:rsidRDefault="00F97DEF" w:rsidP="00A64613">
      <w:pPr>
        <w:keepNext w:val="0"/>
        <w:ind w:left="567" w:hanging="567"/>
      </w:pPr>
    </w:p>
    <w:p w14:paraId="402E62D9" w14:textId="12AC6235" w:rsidR="00F97DEF" w:rsidRPr="00026EC1" w:rsidRDefault="00275751" w:rsidP="00A64613">
      <w:pPr>
        <w:keepNext w:val="0"/>
        <w:ind w:left="567" w:hanging="567"/>
      </w:pPr>
      <w:r w:rsidRPr="00026EC1">
        <w:t>c)</w:t>
      </w:r>
      <w:r w:rsidRPr="00026EC1">
        <w:tab/>
      </w:r>
      <w:r w:rsidR="00F97DEF" w:rsidRPr="00026EC1">
        <w:t>par le fait de ne pas avoir été engagé par le Collège durant la période prévue à l</w:t>
      </w:r>
      <w:r w:rsidR="004A41E4" w:rsidRPr="00026EC1">
        <w:t>’</w:t>
      </w:r>
      <w:r w:rsidR="00F97DEF" w:rsidRPr="00026EC1">
        <w:t>alinéa e) de la clause 5</w:t>
      </w:r>
      <w:r w:rsidR="00984A6F">
        <w:noBreakHyphen/>
      </w:r>
      <w:r w:rsidR="00F97DEF" w:rsidRPr="00026EC1">
        <w:t>3.07.</w:t>
      </w:r>
    </w:p>
    <w:p w14:paraId="4E930722" w14:textId="77777777" w:rsidR="00F97DEF" w:rsidRPr="00026EC1" w:rsidRDefault="00F97DEF" w:rsidP="00A64613">
      <w:pPr>
        <w:keepNext w:val="0"/>
      </w:pPr>
    </w:p>
    <w:p w14:paraId="79857731" w14:textId="0C6E8C39" w:rsidR="00F97DEF" w:rsidRPr="00026EC1" w:rsidRDefault="00F97DEF" w:rsidP="00A64613">
      <w:pPr>
        <w:pStyle w:val="NUMRODECLAUSE"/>
        <w:keepNext w:val="0"/>
      </w:pPr>
      <w:r w:rsidRPr="00026EC1">
        <w:t>5</w:t>
      </w:r>
      <w:r w:rsidR="00984A6F">
        <w:noBreakHyphen/>
      </w:r>
      <w:r w:rsidRPr="00026EC1">
        <w:t>3.09</w:t>
      </w:r>
    </w:p>
    <w:p w14:paraId="103A9CD2" w14:textId="652A23F9" w:rsidR="00404F34" w:rsidRPr="00026EC1" w:rsidRDefault="00F97DEF" w:rsidP="00A64613">
      <w:pPr>
        <w:keepNext w:val="0"/>
      </w:pPr>
      <w:r w:rsidRPr="00026EC1">
        <w:t>Les délais prévus à la clause 5</w:t>
      </w:r>
      <w:r w:rsidR="00984A6F">
        <w:noBreakHyphen/>
      </w:r>
      <w:r w:rsidRPr="00026EC1">
        <w:t>3.04 ne peuvent avoir pour effet de priver une enseignante ou un enseignant des droits que lui procure son ancienneté aux fins d</w:t>
      </w:r>
      <w:r w:rsidR="004A41E4" w:rsidRPr="00026EC1">
        <w:t>’</w:t>
      </w:r>
      <w:r w:rsidRPr="00026EC1">
        <w:t>application et d</w:t>
      </w:r>
      <w:r w:rsidR="004A41E4" w:rsidRPr="00026EC1">
        <w:t>’</w:t>
      </w:r>
      <w:r w:rsidRPr="00026EC1">
        <w:t>interprétation de l</w:t>
      </w:r>
      <w:r w:rsidR="004A41E4" w:rsidRPr="00026EC1">
        <w:t>’</w:t>
      </w:r>
      <w:r w:rsidRPr="00026EC1">
        <w:t>article 5</w:t>
      </w:r>
      <w:r w:rsidR="00984A6F">
        <w:noBreakHyphen/>
      </w:r>
      <w:r w:rsidR="00BA79F8" w:rsidRPr="00026EC1">
        <w:t>4.00.</w:t>
      </w:r>
    </w:p>
    <w:p w14:paraId="339EEE3F" w14:textId="00E5C563"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413" w:name="_Toc535046600"/>
      <w:bookmarkStart w:id="414" w:name="_Toc133760773"/>
      <w:bookmarkStart w:id="415" w:name="_Toc393444603"/>
      <w:bookmarkStart w:id="416" w:name="_Toc393449554"/>
      <w:bookmarkStart w:id="417" w:name="_Toc393460923"/>
      <w:bookmarkStart w:id="418" w:name="_Toc393461201"/>
      <w:bookmarkStart w:id="419" w:name="_Toc393720762"/>
      <w:bookmarkStart w:id="420" w:name="_Toc393783923"/>
      <w:bookmarkStart w:id="421" w:name="_Toc393784062"/>
      <w:bookmarkStart w:id="422" w:name="_Toc168479516"/>
      <w:r w:rsidRPr="00026EC1">
        <w:t>Article 5</w:t>
      </w:r>
      <w:r w:rsidR="00984A6F">
        <w:t>-</w:t>
      </w:r>
      <w:r w:rsidRPr="00026EC1">
        <w:t>4.00</w:t>
      </w:r>
      <w:r w:rsidR="00F66753" w:rsidRPr="00026EC1">
        <w:tab/>
      </w:r>
      <w:r w:rsidR="00984A6F">
        <w:t>-</w:t>
      </w:r>
      <w:r w:rsidR="00F66753" w:rsidRPr="00026EC1">
        <w:tab/>
      </w:r>
      <w:r w:rsidRPr="00026EC1">
        <w:t>Modalités de la sécurité d</w:t>
      </w:r>
      <w:r w:rsidR="004A41E4" w:rsidRPr="00026EC1">
        <w:t>’</w:t>
      </w:r>
      <w:r w:rsidRPr="00026EC1">
        <w:t>emploi</w:t>
      </w:r>
      <w:bookmarkEnd w:id="413"/>
      <w:bookmarkEnd w:id="414"/>
      <w:bookmarkEnd w:id="415"/>
      <w:bookmarkEnd w:id="416"/>
      <w:bookmarkEnd w:id="417"/>
      <w:bookmarkEnd w:id="418"/>
      <w:bookmarkEnd w:id="419"/>
      <w:bookmarkEnd w:id="420"/>
      <w:bookmarkEnd w:id="421"/>
      <w:bookmarkEnd w:id="422"/>
    </w:p>
    <w:p w14:paraId="2C97C0F7" w14:textId="7274A00C" w:rsidR="00DF6239" w:rsidRPr="00026EC1" w:rsidRDefault="00DF6239" w:rsidP="00337C3B">
      <w:pPr>
        <w:pStyle w:val="NUMRODECLAUSE"/>
        <w:keepNext w:val="0"/>
        <w:tabs>
          <w:tab w:val="clear" w:pos="868"/>
          <w:tab w:val="left" w:pos="1134"/>
        </w:tabs>
      </w:pPr>
      <w:r w:rsidRPr="00026EC1">
        <w:t>5</w:t>
      </w:r>
      <w:r w:rsidR="00984A6F">
        <w:noBreakHyphen/>
      </w:r>
      <w:r w:rsidRPr="00026EC1">
        <w:t>4.01</w:t>
      </w:r>
      <w:r w:rsidR="00631F35">
        <w:tab/>
      </w:r>
      <w:r w:rsidR="002C0893" w:rsidRPr="00316277">
        <w:rPr>
          <w:u w:val="single"/>
        </w:rPr>
        <w:t>Dispositions générales</w:t>
      </w:r>
    </w:p>
    <w:p w14:paraId="54D28F55" w14:textId="77777777" w:rsidR="00DF6239" w:rsidRPr="00026EC1" w:rsidRDefault="00DF6239" w:rsidP="00A64613">
      <w:pPr>
        <w:keepNext w:val="0"/>
      </w:pPr>
      <w:r w:rsidRPr="00026EC1">
        <w:t>Les règles énoncées au présent article ont pour but de déterminer le régime de sécurité d</w:t>
      </w:r>
      <w:r w:rsidR="004A41E4" w:rsidRPr="00026EC1">
        <w:t>’</w:t>
      </w:r>
      <w:r w:rsidRPr="00026EC1">
        <w:t>emploi applicable à l</w:t>
      </w:r>
      <w:r w:rsidR="004A41E4" w:rsidRPr="00026EC1">
        <w:t>’</w:t>
      </w:r>
      <w:r w:rsidRPr="00026EC1">
        <w:t>enseignante ou à l</w:t>
      </w:r>
      <w:r w:rsidR="004A41E4" w:rsidRPr="00026EC1">
        <w:t>’</w:t>
      </w:r>
      <w:r w:rsidRPr="00026EC1">
        <w:t>enseignant à temps complet permanent et de favoriser une meilleure utilisation des effectifs enseignants dans le réseau des cégeps.</w:t>
      </w:r>
    </w:p>
    <w:p w14:paraId="2CD19449" w14:textId="77777777" w:rsidR="00DF6239" w:rsidRPr="00026EC1" w:rsidRDefault="00DF6239" w:rsidP="00A64613">
      <w:pPr>
        <w:keepNext w:val="0"/>
      </w:pPr>
    </w:p>
    <w:p w14:paraId="7F327747" w14:textId="77777777" w:rsidR="00DF6239" w:rsidRPr="00026EC1" w:rsidRDefault="00DF6239"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d</w:t>
      </w:r>
      <w:r w:rsidR="004A41E4" w:rsidRPr="00026EC1">
        <w:t>’</w:t>
      </w:r>
      <w:r w:rsidRPr="00026EC1">
        <w:t>une absence, d</w:t>
      </w:r>
      <w:r w:rsidR="004A41E4" w:rsidRPr="00026EC1">
        <w:t>’</w:t>
      </w:r>
      <w:r w:rsidRPr="00026EC1">
        <w:t>une libération ou d</w:t>
      </w:r>
      <w:r w:rsidR="004A41E4" w:rsidRPr="00026EC1">
        <w:t>’</w:t>
      </w:r>
      <w:r w:rsidRPr="00026EC1">
        <w:t>une assignation provisoire demeure soumis aux dispositions du présent article.</w:t>
      </w:r>
    </w:p>
    <w:p w14:paraId="4E16D8ED" w14:textId="77777777" w:rsidR="00DF6239" w:rsidRPr="00026EC1" w:rsidRDefault="00DF6239" w:rsidP="00A64613">
      <w:pPr>
        <w:keepNext w:val="0"/>
      </w:pPr>
    </w:p>
    <w:p w14:paraId="5D8CD8EF" w14:textId="7852B6E6" w:rsidR="00DF6239" w:rsidRPr="00026EC1" w:rsidRDefault="00DF6239" w:rsidP="00A64613">
      <w:pPr>
        <w:keepNext w:val="0"/>
      </w:pPr>
      <w:r w:rsidRPr="00026EC1">
        <w:t>Aux fins du présent article, le terme «</w:t>
      </w:r>
      <w:r w:rsidR="001041C3" w:rsidRPr="00026EC1">
        <w:t> </w:t>
      </w:r>
      <w:r w:rsidRPr="00026EC1">
        <w:t>zone</w:t>
      </w:r>
      <w:r w:rsidR="001041C3" w:rsidRPr="00026EC1">
        <w:t> </w:t>
      </w:r>
      <w:r w:rsidRPr="00026EC1">
        <w:t xml:space="preserve">» est compris, pour chacun des </w:t>
      </w:r>
      <w:r w:rsidR="00855DD8" w:rsidRPr="00026EC1">
        <w:t>C</w:t>
      </w:r>
      <w:r w:rsidRPr="00026EC1">
        <w:t>ollèges, comme l</w:t>
      </w:r>
      <w:r w:rsidR="004A41E4" w:rsidRPr="00026EC1">
        <w:t>’</w:t>
      </w:r>
      <w:r w:rsidRPr="00026EC1">
        <w:t xml:space="preserve">ensemble des </w:t>
      </w:r>
      <w:r w:rsidR="00855DD8" w:rsidRPr="00026EC1">
        <w:t>C</w:t>
      </w:r>
      <w:r w:rsidRPr="00026EC1">
        <w:t>ollèges qui lui sont rattachés, tel qu</w:t>
      </w:r>
      <w:r w:rsidR="004A41E4" w:rsidRPr="00026EC1">
        <w:t>’</w:t>
      </w:r>
      <w:r w:rsidRPr="00026EC1">
        <w:t>il est indiqué à l</w:t>
      </w:r>
      <w:r w:rsidR="004A41E4" w:rsidRPr="00026EC1">
        <w:t>’</w:t>
      </w:r>
      <w:r w:rsidR="00ED01CE" w:rsidRPr="00026EC1">
        <w:t>A</w:t>
      </w:r>
      <w:r w:rsidRPr="00026EC1">
        <w:t>nnexe II</w:t>
      </w:r>
      <w:r w:rsidR="00984A6F">
        <w:noBreakHyphen/>
      </w:r>
      <w:r w:rsidRPr="00026EC1">
        <w:t>1 de la convention collective.</w:t>
      </w:r>
    </w:p>
    <w:p w14:paraId="7F6B24AF" w14:textId="77777777" w:rsidR="00DF6239" w:rsidRPr="00026EC1" w:rsidRDefault="00DF6239" w:rsidP="00A64613">
      <w:pPr>
        <w:keepNext w:val="0"/>
      </w:pPr>
    </w:p>
    <w:p w14:paraId="4C6B41F0" w14:textId="5B74F8CF" w:rsidR="00DF6239" w:rsidRPr="00026EC1" w:rsidRDefault="00DF6239" w:rsidP="00A64613">
      <w:pPr>
        <w:keepNext w:val="0"/>
      </w:pPr>
      <w:r w:rsidRPr="00026EC1">
        <w:t>Aux fins du présent article, le terme «</w:t>
      </w:r>
      <w:r w:rsidR="001041C3" w:rsidRPr="00026EC1">
        <w:t> </w:t>
      </w:r>
      <w:r w:rsidRPr="00026EC1">
        <w:t>secteur</w:t>
      </w:r>
      <w:r w:rsidR="001041C3" w:rsidRPr="00026EC1">
        <w:t> </w:t>
      </w:r>
      <w:r w:rsidRPr="00026EC1">
        <w:t>» est compris, pour chacun des Collèges, comme l</w:t>
      </w:r>
      <w:r w:rsidR="004A41E4" w:rsidRPr="00026EC1">
        <w:t>’</w:t>
      </w:r>
      <w:r w:rsidRPr="00026EC1">
        <w:t xml:space="preserve">ensemble des </w:t>
      </w:r>
      <w:r w:rsidR="00855DD8" w:rsidRPr="00026EC1">
        <w:t>C</w:t>
      </w:r>
      <w:r w:rsidRPr="00026EC1">
        <w:t>ollèges qui lui sont rattachés, tel qu</w:t>
      </w:r>
      <w:r w:rsidR="004A41E4" w:rsidRPr="00026EC1">
        <w:t>’</w:t>
      </w:r>
      <w:r w:rsidRPr="00026EC1">
        <w:t>il est indiqué à l</w:t>
      </w:r>
      <w:r w:rsidR="004A41E4" w:rsidRPr="00026EC1">
        <w:t>’</w:t>
      </w:r>
      <w:r w:rsidR="00ED01CE" w:rsidRPr="00026EC1">
        <w:t>A</w:t>
      </w:r>
      <w:r w:rsidRPr="00026EC1">
        <w:t>nnexe II</w:t>
      </w:r>
      <w:r w:rsidR="00984A6F">
        <w:noBreakHyphen/>
      </w:r>
      <w:r w:rsidRPr="00026EC1">
        <w:t xml:space="preserve">2 de la convention collective. </w:t>
      </w:r>
    </w:p>
    <w:p w14:paraId="49CD7179" w14:textId="77777777" w:rsidR="00DF6239" w:rsidRPr="00026EC1" w:rsidRDefault="00DF6239" w:rsidP="00A64613">
      <w:pPr>
        <w:keepNext w:val="0"/>
      </w:pPr>
    </w:p>
    <w:p w14:paraId="69870E43" w14:textId="3B09FFFE" w:rsidR="00DF6239" w:rsidRPr="00026EC1" w:rsidRDefault="00DF6239" w:rsidP="00A64613">
      <w:pPr>
        <w:keepNext w:val="0"/>
        <w:rPr>
          <w:bCs/>
        </w:rPr>
      </w:pPr>
      <w:r w:rsidRPr="00026EC1">
        <w:t>Aux fins des clauses</w:t>
      </w:r>
      <w:r w:rsidR="0061766F" w:rsidRPr="00026EC1">
        <w:t> </w:t>
      </w:r>
      <w:r w:rsidRPr="00026EC1">
        <w:t>5</w:t>
      </w:r>
      <w:r w:rsidR="00984A6F">
        <w:noBreakHyphen/>
      </w:r>
      <w:r w:rsidRPr="00026EC1">
        <w:t>4.07 et 5</w:t>
      </w:r>
      <w:r w:rsidR="00984A6F">
        <w:noBreakHyphen/>
      </w:r>
      <w:r w:rsidRPr="00026EC1">
        <w:t>4.17, un programme est fermé à compter de la date d</w:t>
      </w:r>
      <w:r w:rsidR="004A41E4" w:rsidRPr="00026EC1">
        <w:t>’</w:t>
      </w:r>
      <w:r w:rsidRPr="00026EC1">
        <w:t>adoption de la résolution à cet effet par le conseil d</w:t>
      </w:r>
      <w:r w:rsidR="004A41E4" w:rsidRPr="00026EC1">
        <w:t>’</w:t>
      </w:r>
      <w:r w:rsidRPr="00026EC1">
        <w:t>administration du Collège.</w:t>
      </w:r>
    </w:p>
    <w:p w14:paraId="7D3B2256" w14:textId="77777777" w:rsidR="00DF6239" w:rsidRPr="00026EC1" w:rsidRDefault="00DF6239" w:rsidP="00A64613">
      <w:pPr>
        <w:keepNext w:val="0"/>
      </w:pPr>
    </w:p>
    <w:p w14:paraId="60A14310" w14:textId="2A68F2EB" w:rsidR="00DF6239" w:rsidRPr="00026EC1" w:rsidRDefault="00DF6239" w:rsidP="00337C3B">
      <w:pPr>
        <w:pStyle w:val="NUMRODECLAUSE"/>
        <w:keepNext w:val="0"/>
        <w:tabs>
          <w:tab w:val="clear" w:pos="868"/>
          <w:tab w:val="clear" w:pos="4500"/>
          <w:tab w:val="left" w:pos="1134"/>
        </w:tabs>
      </w:pPr>
      <w:r w:rsidRPr="00026EC1">
        <w:t>5</w:t>
      </w:r>
      <w:r w:rsidR="00984A6F">
        <w:noBreakHyphen/>
      </w:r>
      <w:r w:rsidRPr="00026EC1">
        <w:t>4.02</w:t>
      </w:r>
      <w:r w:rsidR="00631F35">
        <w:tab/>
      </w:r>
      <w:r w:rsidR="00280FA9" w:rsidRPr="00316277">
        <w:rPr>
          <w:u w:val="single"/>
        </w:rPr>
        <w:t>Délai de consultation du CRT</w:t>
      </w:r>
    </w:p>
    <w:p w14:paraId="2596A68A" w14:textId="29C6F3D6" w:rsidR="00DF6239" w:rsidRPr="00026EC1" w:rsidRDefault="00DF6239" w:rsidP="00A64613">
      <w:pPr>
        <w:keepNext w:val="0"/>
      </w:pPr>
      <w:r w:rsidRPr="00026EC1">
        <w:t>Dès que le Collège, aux fins de l</w:t>
      </w:r>
      <w:r w:rsidR="004A41E4" w:rsidRPr="00026EC1">
        <w:t>’</w:t>
      </w:r>
      <w:r w:rsidRPr="00026EC1">
        <w:t>enseignement régulier, entreprend des pourparlers en vue de la modification, de la cession ou du transfert des responsabilités administratives ou pédagogiques à une commission scolaire</w:t>
      </w:r>
      <w:r w:rsidR="009A3424">
        <w:t xml:space="preserve"> </w:t>
      </w:r>
      <w:r w:rsidR="009A3424" w:rsidRPr="00316277">
        <w:t>ou à un centre de service</w:t>
      </w:r>
      <w:r w:rsidR="00337C3B" w:rsidRPr="00316277">
        <w:t>s</w:t>
      </w:r>
      <w:r w:rsidR="009A3424" w:rsidRPr="00316277">
        <w:t xml:space="preserve"> scolaire</w:t>
      </w:r>
      <w:r w:rsidRPr="00026EC1">
        <w:t xml:space="preserve"> ou à une corporation publique ou privée ou qu</w:t>
      </w:r>
      <w:r w:rsidR="004A41E4" w:rsidRPr="00026EC1">
        <w:t>’</w:t>
      </w:r>
      <w:r w:rsidRPr="00026EC1">
        <w:t>il entreprend de modifier ses structures scolaires ou ses programmes scolaires, un tel transfert, cession ou modification est obligatoirement étudié au CRT au moins quatre (4) mois avant que le transfert, la cession ou la modification ne prenne effet.</w:t>
      </w:r>
    </w:p>
    <w:p w14:paraId="1F7FBAED" w14:textId="77777777" w:rsidR="00DF6239" w:rsidRPr="00026EC1" w:rsidRDefault="00DF6239" w:rsidP="00A64613">
      <w:pPr>
        <w:keepNext w:val="0"/>
      </w:pPr>
    </w:p>
    <w:p w14:paraId="0232D1D2" w14:textId="1B86BB1A" w:rsidR="00DF6239" w:rsidRPr="00026EC1" w:rsidRDefault="00DF6239" w:rsidP="00A64613">
      <w:pPr>
        <w:pStyle w:val="NUMRODECLAUSE"/>
        <w:keepNext w:val="0"/>
      </w:pPr>
      <w:r w:rsidRPr="00026EC1">
        <w:t>5</w:t>
      </w:r>
      <w:r w:rsidR="00984A6F">
        <w:noBreakHyphen/>
      </w:r>
      <w:r w:rsidRPr="00026EC1">
        <w:t>4.03</w:t>
      </w:r>
    </w:p>
    <w:p w14:paraId="0190AF8C" w14:textId="5DC0CC31" w:rsidR="002B6C90" w:rsidRPr="00C04A8F" w:rsidRDefault="002B6C90" w:rsidP="00864798">
      <w:pPr>
        <w:pStyle w:val="ListParagraph"/>
        <w:numPr>
          <w:ilvl w:val="0"/>
          <w:numId w:val="59"/>
        </w:numPr>
        <w:tabs>
          <w:tab w:val="left" w:pos="567"/>
        </w:tabs>
        <w:ind w:left="567" w:hanging="567"/>
        <w:rPr>
          <w:u w:val="single"/>
        </w:rPr>
      </w:pPr>
      <w:r w:rsidRPr="00316277">
        <w:rPr>
          <w:b/>
          <w:bCs/>
          <w:u w:val="single"/>
        </w:rPr>
        <w:t>Cession ou transfert à un</w:t>
      </w:r>
      <w:r w:rsidR="006E2DE2" w:rsidRPr="00316277">
        <w:rPr>
          <w:b/>
          <w:bCs/>
          <w:u w:val="single"/>
        </w:rPr>
        <w:t xml:space="preserve"> </w:t>
      </w:r>
      <w:r w:rsidRPr="00316277">
        <w:rPr>
          <w:b/>
          <w:bCs/>
          <w:u w:val="single"/>
        </w:rPr>
        <w:t>tiers</w:t>
      </w:r>
    </w:p>
    <w:p w14:paraId="72A80FD8" w14:textId="1AC48E38" w:rsidR="00DF6239" w:rsidRPr="00026EC1" w:rsidRDefault="00DF6239" w:rsidP="002B6C90">
      <w:pPr>
        <w:keepNext w:val="0"/>
        <w:tabs>
          <w:tab w:val="left" w:pos="567"/>
        </w:tabs>
        <w:ind w:left="567"/>
      </w:pPr>
      <w:r w:rsidRPr="00026EC1">
        <w:t>Avant toute cession ou tout transfert total ou partiel d</w:t>
      </w:r>
      <w:r w:rsidR="004A41E4" w:rsidRPr="00026EC1">
        <w:t>’</w:t>
      </w:r>
      <w:r w:rsidRPr="00026EC1">
        <w:t>enseignement, le Collège tente d</w:t>
      </w:r>
      <w:r w:rsidR="004A41E4" w:rsidRPr="00026EC1">
        <w:t>’</w:t>
      </w:r>
      <w:r w:rsidRPr="00026EC1">
        <w:t>obtenir des tiers visés l</w:t>
      </w:r>
      <w:r w:rsidR="004A41E4" w:rsidRPr="00026EC1">
        <w:t>’</w:t>
      </w:r>
      <w:r w:rsidRPr="00026EC1">
        <w:t>engagement de respecter les conditions d</w:t>
      </w:r>
      <w:r w:rsidR="004A41E4" w:rsidRPr="00026EC1">
        <w:t>’</w:t>
      </w:r>
      <w:r w:rsidRPr="00026EC1">
        <w:t>emploi et de travail des enseignantes et enseignants qui pourraient être touchés.</w:t>
      </w:r>
    </w:p>
    <w:p w14:paraId="3474D845" w14:textId="77777777" w:rsidR="00DF6239" w:rsidRPr="00026EC1" w:rsidRDefault="00DF6239" w:rsidP="00A64613">
      <w:pPr>
        <w:pStyle w:val="Texte1cm"/>
        <w:keepNext w:val="0"/>
      </w:pPr>
    </w:p>
    <w:p w14:paraId="019990C8" w14:textId="77777777" w:rsidR="00DF6239" w:rsidRPr="00026EC1" w:rsidRDefault="00DF6239" w:rsidP="00A64613">
      <w:pPr>
        <w:pStyle w:val="Texte1cm"/>
        <w:keepNext w:val="0"/>
      </w:pPr>
      <w:r w:rsidRPr="00026EC1">
        <w:t>Si les tiers concernés ne prennent pas l</w:t>
      </w:r>
      <w:r w:rsidR="004A41E4" w:rsidRPr="00026EC1">
        <w:t>’</w:t>
      </w:r>
      <w:r w:rsidRPr="00026EC1">
        <w:t>engagement de respecter les conditions d</w:t>
      </w:r>
      <w:r w:rsidR="004A41E4" w:rsidRPr="00026EC1">
        <w:t>’</w:t>
      </w:r>
      <w:r w:rsidRPr="00026EC1">
        <w:t>emploi et de travail des enseignantes et enseignants touchés ou si la cession ou le transfert entraîne un déplacement hors de la zone du Collège où enseigne l</w:t>
      </w:r>
      <w:r w:rsidR="004A41E4" w:rsidRPr="00026EC1">
        <w:t>’</w:t>
      </w:r>
      <w:r w:rsidRPr="00026EC1">
        <w:t>enseignante ou l</w:t>
      </w:r>
      <w:r w:rsidR="004A41E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idRPr="00026EC1">
        <w:t>’</w:t>
      </w:r>
      <w:r w:rsidRPr="00026EC1">
        <w:t>employeur pour l</w:t>
      </w:r>
      <w:r w:rsidR="004A41E4" w:rsidRPr="00026EC1">
        <w:t>’</w:t>
      </w:r>
      <w:r w:rsidRPr="00026EC1">
        <w:t>une ou l</w:t>
      </w:r>
      <w:r w:rsidR="004A41E4" w:rsidRPr="00026EC1">
        <w:t>’</w:t>
      </w:r>
      <w:r w:rsidRPr="00026EC1">
        <w:t>autre de ces raisons bénéficie des modalités de la sécurité d</w:t>
      </w:r>
      <w:r w:rsidR="004A41E4" w:rsidRPr="00026EC1">
        <w:t>’</w:t>
      </w:r>
      <w:r w:rsidRPr="00026EC1">
        <w:t>emploi.</w:t>
      </w:r>
    </w:p>
    <w:p w14:paraId="7B540798" w14:textId="77777777" w:rsidR="00DF6239" w:rsidRPr="00026EC1" w:rsidRDefault="00DF6239" w:rsidP="00A64613">
      <w:pPr>
        <w:pStyle w:val="Texte1cm"/>
        <w:keepNext w:val="0"/>
      </w:pPr>
    </w:p>
    <w:p w14:paraId="4736A1A6" w14:textId="7439E36A" w:rsidR="006E2DE2" w:rsidRPr="006E2DE2" w:rsidRDefault="006E2DE2" w:rsidP="00864798">
      <w:pPr>
        <w:pStyle w:val="ListParagraph"/>
        <w:numPr>
          <w:ilvl w:val="0"/>
          <w:numId w:val="59"/>
        </w:numPr>
        <w:tabs>
          <w:tab w:val="left" w:pos="567"/>
        </w:tabs>
        <w:ind w:left="567" w:hanging="567"/>
        <w:rPr>
          <w:u w:val="single"/>
        </w:rPr>
      </w:pPr>
      <w:r w:rsidRPr="00316277">
        <w:rPr>
          <w:b/>
          <w:bCs/>
          <w:u w:val="single"/>
        </w:rPr>
        <w:t>Fermeture, régionalisation ou modification</w:t>
      </w:r>
    </w:p>
    <w:p w14:paraId="61B4423C" w14:textId="6DB155D4" w:rsidR="00DF6239" w:rsidRPr="00026EC1" w:rsidRDefault="00DF6239" w:rsidP="006E2DE2">
      <w:pPr>
        <w:pStyle w:val="ListParagraph"/>
        <w:tabs>
          <w:tab w:val="left" w:pos="567"/>
        </w:tabs>
        <w:ind w:left="567"/>
      </w:pPr>
      <w:r w:rsidRPr="00026EC1">
        <w:t>Lorsqu</w:t>
      </w:r>
      <w:r w:rsidR="004A41E4" w:rsidRPr="00026EC1">
        <w:t>’</w:t>
      </w:r>
      <w:r w:rsidRPr="00026EC1">
        <w:t>une fermeture totale d</w:t>
      </w:r>
      <w:r w:rsidR="004A41E4" w:rsidRPr="00026EC1">
        <w:t>’</w:t>
      </w:r>
      <w:r w:rsidRPr="00026EC1">
        <w:t>un Collège, une fermeture totale ou partielle d</w:t>
      </w:r>
      <w:r w:rsidR="004A41E4" w:rsidRPr="00026EC1">
        <w:t>’</w:t>
      </w:r>
      <w:r w:rsidRPr="00026EC1">
        <w:t>un programme, une régionalisation totale ou partielle de programmes, des modifications au régime des études, ou des modifications aux programmes d</w:t>
      </w:r>
      <w:r w:rsidR="004A41E4" w:rsidRPr="00026EC1">
        <w:t>’</w:t>
      </w:r>
      <w:r w:rsidRPr="00026EC1">
        <w:t>enseignement décidées par l</w:t>
      </w:r>
      <w:r w:rsidR="004A41E4" w:rsidRPr="00026EC1">
        <w:t>’</w:t>
      </w:r>
      <w:r w:rsidRPr="00026EC1">
        <w:t>autorité compétente occasionnent un surplus d</w:t>
      </w:r>
      <w:r w:rsidR="004A41E4" w:rsidRPr="00026EC1">
        <w:t>’</w:t>
      </w:r>
      <w:r w:rsidRPr="00026EC1">
        <w:t>enseignantes ou d</w:t>
      </w:r>
      <w:r w:rsidR="004A41E4" w:rsidRPr="00026EC1">
        <w:t>’</w:t>
      </w:r>
      <w:r w:rsidRPr="00026EC1">
        <w:t>enseignants permanents ou des pertes d</w:t>
      </w:r>
      <w:r w:rsidR="004A41E4" w:rsidRPr="00026EC1">
        <w:t>’</w:t>
      </w:r>
      <w:r w:rsidRPr="00026EC1">
        <w:t>emploi pour des enseignantes ou enseignants non permanents dans un Collège, les parties nationales, dans le cadre de la clause 2</w:t>
      </w:r>
      <w:r w:rsidR="00984A6F">
        <w:noBreakHyphen/>
      </w:r>
      <w:r w:rsidRPr="00026EC1">
        <w:t>2.03, peuvent convenir de modalités particulières pour régler ces cas de surplus d</w:t>
      </w:r>
      <w:r w:rsidR="004A41E4" w:rsidRPr="00026EC1">
        <w:t>’</w:t>
      </w:r>
      <w:r w:rsidRPr="00026EC1">
        <w:t>enseignantes ou d</w:t>
      </w:r>
      <w:r w:rsidR="004A41E4" w:rsidRPr="00026EC1">
        <w:t>’</w:t>
      </w:r>
      <w:r w:rsidRPr="00026EC1">
        <w:t>enseignants ou des pertes d</w:t>
      </w:r>
      <w:r w:rsidR="004A41E4" w:rsidRPr="00026EC1">
        <w:t>’</w:t>
      </w:r>
      <w:r w:rsidRPr="00026EC1">
        <w:t>emploi. À défaut d</w:t>
      </w:r>
      <w:r w:rsidR="004A41E4" w:rsidRPr="00026EC1">
        <w:t>’</w:t>
      </w:r>
      <w:r w:rsidRPr="00026EC1">
        <w:t>entente, les modalités de la sécurité d</w:t>
      </w:r>
      <w:r w:rsidR="004A41E4" w:rsidRPr="00026EC1">
        <w:t>’</w:t>
      </w:r>
      <w:r w:rsidRPr="00026EC1">
        <w:t>emploi prévues à la convention collective s</w:t>
      </w:r>
      <w:r w:rsidR="004A41E4" w:rsidRPr="00026EC1">
        <w:t>’</w:t>
      </w:r>
      <w:r w:rsidRPr="00026EC1">
        <w:t>appliquent intégralement aux enseignantes et enseignants touchés, selon les dispositions relatives aux enseignantes et enseignants permanents ou non permanents.</w:t>
      </w:r>
    </w:p>
    <w:p w14:paraId="5B5DF274" w14:textId="77777777" w:rsidR="00DF6239" w:rsidRPr="00026EC1" w:rsidRDefault="00DF6239" w:rsidP="00A64613">
      <w:pPr>
        <w:keepNext w:val="0"/>
      </w:pPr>
    </w:p>
    <w:p w14:paraId="3E2B333E" w14:textId="22B7CC3E" w:rsidR="00DF6239" w:rsidRPr="00026EC1" w:rsidRDefault="00DF6239" w:rsidP="00A64613">
      <w:pPr>
        <w:pStyle w:val="NUMRODECLAUSE"/>
        <w:keepNext w:val="0"/>
      </w:pPr>
      <w:r w:rsidRPr="00026EC1">
        <w:t>5</w:t>
      </w:r>
      <w:r w:rsidR="00984A6F">
        <w:noBreakHyphen/>
      </w:r>
      <w:r w:rsidRPr="00026EC1">
        <w:t>4.04</w:t>
      </w:r>
      <w:r w:rsidR="00631F35">
        <w:tab/>
      </w:r>
      <w:r w:rsidR="00C04A8F" w:rsidRPr="00316277">
        <w:rPr>
          <w:u w:val="single"/>
        </w:rPr>
        <w:t>Convocation du CRT avant de procéder à des mises en disponibilité</w:t>
      </w:r>
    </w:p>
    <w:p w14:paraId="1A59A8F8" w14:textId="77777777" w:rsidR="00DF6239" w:rsidRPr="00026EC1" w:rsidRDefault="00DF6239" w:rsidP="00A64613">
      <w:pPr>
        <w:keepNext w:val="0"/>
      </w:pPr>
      <w:r w:rsidRPr="00026EC1">
        <w:t>Lorsque le Collège doit réduire le nombre de ses enseignantes ou enseignants permanents, à l</w:t>
      </w:r>
      <w:r w:rsidR="004A41E4" w:rsidRPr="00026EC1">
        <w:t>’</w:t>
      </w:r>
      <w:r w:rsidRPr="00026EC1">
        <w:t>intérieur des disciplines touchées, il convoque le CRT avant de procéder à des mises en disponibilité.</w:t>
      </w:r>
    </w:p>
    <w:p w14:paraId="7CB3E498" w14:textId="77777777" w:rsidR="00DF6239" w:rsidRPr="00026EC1" w:rsidRDefault="00DF6239" w:rsidP="00A64613">
      <w:pPr>
        <w:keepNext w:val="0"/>
      </w:pPr>
    </w:p>
    <w:p w14:paraId="1C558565" w14:textId="5FD12AD7" w:rsidR="00DF6239" w:rsidRPr="00026EC1" w:rsidRDefault="00DF6239" w:rsidP="00A64613">
      <w:pPr>
        <w:pStyle w:val="NUMRODECLAUSE"/>
        <w:keepNext w:val="0"/>
      </w:pPr>
      <w:r w:rsidRPr="00026EC1">
        <w:t>5</w:t>
      </w:r>
      <w:r w:rsidR="00984A6F">
        <w:noBreakHyphen/>
      </w:r>
      <w:r w:rsidRPr="00026EC1">
        <w:t>4.05</w:t>
      </w:r>
      <w:r w:rsidR="00631F35">
        <w:tab/>
      </w:r>
      <w:r w:rsidR="00C04A8F" w:rsidRPr="00316277">
        <w:rPr>
          <w:u w:val="single"/>
        </w:rPr>
        <w:t>Détermination du nombre d’enseig</w:t>
      </w:r>
      <w:r w:rsidR="001F32FD" w:rsidRPr="00316277">
        <w:rPr>
          <w:u w:val="single"/>
        </w:rPr>
        <w:t>nantes et d’enseignants mis en disponibilité</w:t>
      </w:r>
    </w:p>
    <w:p w14:paraId="17EB3601" w14:textId="2586A0CC" w:rsidR="00DF6239" w:rsidRPr="00026EC1" w:rsidRDefault="00DF6239" w:rsidP="00A64613">
      <w:pPr>
        <w:keepNext w:val="0"/>
      </w:pPr>
      <w:r w:rsidRPr="00026EC1">
        <w:t>Le nombre d</w:t>
      </w:r>
      <w:r w:rsidR="004A41E4" w:rsidRPr="00026EC1">
        <w:t>’</w:t>
      </w:r>
      <w:r w:rsidRPr="00026EC1">
        <w:t>enseignantes et d</w:t>
      </w:r>
      <w:r w:rsidR="004A41E4" w:rsidRPr="00026EC1">
        <w:t>’</w:t>
      </w:r>
      <w:r w:rsidRPr="00026EC1">
        <w:t>enseignants en surplus, à l</w:t>
      </w:r>
      <w:r w:rsidR="004A41E4" w:rsidRPr="00026EC1">
        <w:t>’</w:t>
      </w:r>
      <w:r w:rsidRPr="00026EC1">
        <w:t>intérieur d</w:t>
      </w:r>
      <w:r w:rsidR="004A41E4" w:rsidRPr="00026EC1">
        <w:t>’</w:t>
      </w:r>
      <w:r w:rsidRPr="00026EC1">
        <w:t>une discipline (ou ce qui a été convenu à ce titre conformément à la clause 5</w:t>
      </w:r>
      <w:r w:rsidR="00984A6F">
        <w:noBreakHyphen/>
      </w:r>
      <w:r w:rsidRPr="00026EC1">
        <w:t>1.05), est établi par la différence positive entre</w:t>
      </w:r>
      <w:r w:rsidR="00D8581B">
        <w:t> :</w:t>
      </w:r>
    </w:p>
    <w:p w14:paraId="358394B0" w14:textId="77777777" w:rsidR="00DF6239" w:rsidRPr="00026EC1" w:rsidRDefault="00DF6239" w:rsidP="00A64613">
      <w:pPr>
        <w:keepNext w:val="0"/>
      </w:pPr>
    </w:p>
    <w:p w14:paraId="13EBF2FD" w14:textId="77777777" w:rsidR="00DF6239" w:rsidRPr="00026EC1" w:rsidRDefault="00275751" w:rsidP="00A64613">
      <w:pPr>
        <w:keepNext w:val="0"/>
        <w:tabs>
          <w:tab w:val="left" w:pos="567"/>
        </w:tabs>
        <w:ind w:left="567" w:hanging="567"/>
      </w:pPr>
      <w:r w:rsidRPr="00026EC1">
        <w:t>a)</w:t>
      </w:r>
      <w:r w:rsidRPr="00026EC1">
        <w:tab/>
      </w:r>
      <w:r w:rsidR="00DF6239" w:rsidRPr="00026EC1">
        <w:t>d</w:t>
      </w:r>
      <w:r w:rsidR="004A41E4" w:rsidRPr="00026EC1">
        <w:t>’</w:t>
      </w:r>
      <w:r w:rsidR="00DF6239" w:rsidRPr="00026EC1">
        <w:t>une part, le nombre d</w:t>
      </w:r>
      <w:r w:rsidR="004A41E4" w:rsidRPr="00026EC1">
        <w:t>’</w:t>
      </w:r>
      <w:r w:rsidR="00DF6239" w:rsidRPr="00026EC1">
        <w:t>enseignantes et d</w:t>
      </w:r>
      <w:r w:rsidR="004A41E4" w:rsidRPr="00026EC1">
        <w:t>’</w:t>
      </w:r>
      <w:r w:rsidR="00DF6239" w:rsidRPr="00026EC1">
        <w:t>enseignants permanents à l</w:t>
      </w:r>
      <w:r w:rsidR="004A41E4" w:rsidRPr="00026EC1">
        <w:t>’</w:t>
      </w:r>
      <w:r w:rsidR="00DF6239" w:rsidRPr="00026EC1">
        <w:t>emploi du Collège dans cette discipline, une année donnée;</w:t>
      </w:r>
    </w:p>
    <w:p w14:paraId="5DD59F96" w14:textId="77777777" w:rsidR="00DF6239" w:rsidRPr="00026EC1" w:rsidRDefault="00DF6239" w:rsidP="00A64613">
      <w:pPr>
        <w:keepNext w:val="0"/>
      </w:pPr>
    </w:p>
    <w:p w14:paraId="675828DD" w14:textId="77777777" w:rsidR="00DF6239" w:rsidRPr="00026EC1" w:rsidRDefault="00DF6239" w:rsidP="00A64613">
      <w:pPr>
        <w:pStyle w:val="Texte1cm"/>
        <w:keepNext w:val="0"/>
      </w:pPr>
      <w:r w:rsidRPr="00026EC1">
        <w:t>et</w:t>
      </w:r>
    </w:p>
    <w:p w14:paraId="3C248B4A" w14:textId="77777777" w:rsidR="00DF6239" w:rsidRPr="00026EC1" w:rsidRDefault="00DF6239" w:rsidP="00A64613">
      <w:pPr>
        <w:keepNext w:val="0"/>
      </w:pPr>
    </w:p>
    <w:p w14:paraId="61006A07" w14:textId="23E0FB27" w:rsidR="00DF6239" w:rsidRPr="00026EC1" w:rsidRDefault="00275751" w:rsidP="00A64613">
      <w:pPr>
        <w:keepNext w:val="0"/>
        <w:tabs>
          <w:tab w:val="left" w:pos="567"/>
        </w:tabs>
        <w:ind w:left="567" w:hanging="567"/>
      </w:pPr>
      <w:r w:rsidRPr="00026EC1">
        <w:t>b)</w:t>
      </w:r>
      <w:r w:rsidRPr="00026EC1">
        <w:tab/>
      </w:r>
      <w:r w:rsidR="00DF6239" w:rsidRPr="00026EC1">
        <w:t>d</w:t>
      </w:r>
      <w:r w:rsidR="004A41E4" w:rsidRPr="00026EC1">
        <w:t>’</w:t>
      </w:r>
      <w:r w:rsidR="00DF6239" w:rsidRPr="00026EC1">
        <w:t>autre part, la somme du nombre de postes déterminé à la clause 8</w:t>
      </w:r>
      <w:r w:rsidR="00984A6F">
        <w:noBreakHyphen/>
      </w:r>
      <w:r w:rsidR="00DF6239" w:rsidRPr="00026EC1">
        <w:t>5.09 et du nombre de charges d</w:t>
      </w:r>
      <w:r w:rsidR="004A41E4" w:rsidRPr="00026EC1">
        <w:t>’</w:t>
      </w:r>
      <w:r w:rsidR="00DF6239" w:rsidRPr="00026EC1">
        <w:t>enseignement à temps complet prévu pour la discipline visée pour l</w:t>
      </w:r>
      <w:r w:rsidR="004A41E4" w:rsidRPr="00026EC1">
        <w:t>’</w:t>
      </w:r>
      <w:r w:rsidR="00DF6239" w:rsidRPr="00026EC1">
        <w:t>année d</w:t>
      </w:r>
      <w:r w:rsidR="004A41E4" w:rsidRPr="00026EC1">
        <w:t>’</w:t>
      </w:r>
      <w:r w:rsidR="00DF6239" w:rsidRPr="00026EC1">
        <w:t>enseignement suivante.</w:t>
      </w:r>
    </w:p>
    <w:p w14:paraId="67F067B5" w14:textId="77777777" w:rsidR="00DF6239" w:rsidRPr="00026EC1" w:rsidRDefault="00DF6239" w:rsidP="00A64613">
      <w:pPr>
        <w:keepNext w:val="0"/>
      </w:pPr>
    </w:p>
    <w:p w14:paraId="0CC76A71" w14:textId="77777777" w:rsidR="00DF6239" w:rsidRPr="00026EC1" w:rsidRDefault="00DF6239" w:rsidP="00A64613">
      <w:pPr>
        <w:keepNext w:val="0"/>
      </w:pPr>
      <w:r w:rsidRPr="00026EC1">
        <w:t>La somme mentionnée à l</w:t>
      </w:r>
      <w:r w:rsidR="004A41E4" w:rsidRPr="00026EC1">
        <w:t>’</w:t>
      </w:r>
      <w:r w:rsidRPr="00026EC1">
        <w:t>alinéa b) est augmentée, s</w:t>
      </w:r>
      <w:r w:rsidR="004A41E4" w:rsidRPr="00026EC1">
        <w:t>’</w:t>
      </w:r>
      <w:r w:rsidRPr="00026EC1">
        <w:t>il y a lieu, du nombre d</w:t>
      </w:r>
      <w:r w:rsidR="004A41E4" w:rsidRPr="00026EC1">
        <w:t>’</w:t>
      </w:r>
      <w:r w:rsidRPr="00026EC1">
        <w:t>enseignantes ou d</w:t>
      </w:r>
      <w:r w:rsidR="004A41E4" w:rsidRPr="00026EC1">
        <w:t>’</w:t>
      </w:r>
      <w:r w:rsidRPr="00026EC1">
        <w:t>enseignants visés à l</w:t>
      </w:r>
      <w:r w:rsidR="004A41E4" w:rsidRPr="00026EC1">
        <w:t>’</w:t>
      </w:r>
      <w:r w:rsidRPr="00026EC1">
        <w:t>alinéa a) qui seraient mis en disponibilité</w:t>
      </w:r>
      <w:r w:rsidR="005A2D77" w:rsidRPr="00026EC1">
        <w:t>,</w:t>
      </w:r>
      <w:r w:rsidRPr="00026EC1">
        <w:t xml:space="preserve"> mais sont assurés d</w:t>
      </w:r>
      <w:r w:rsidR="004A41E4" w:rsidRPr="00026EC1">
        <w:t>’</w:t>
      </w:r>
      <w:r w:rsidRPr="00026EC1">
        <w:t>obtenir leur plein salaire du Collège, compte tenu de leur charge d</w:t>
      </w:r>
      <w:r w:rsidR="004A41E4" w:rsidRPr="00026EC1">
        <w:t>’</w:t>
      </w:r>
      <w:r w:rsidRPr="00026EC1">
        <w:t>enseignement prévue et des autres fonctions qu</w:t>
      </w:r>
      <w:r w:rsidR="004A41E4" w:rsidRPr="00026EC1">
        <w:t>’</w:t>
      </w:r>
      <w:r w:rsidRPr="00026EC1">
        <w:t>elles ou ils acceptent d</w:t>
      </w:r>
      <w:r w:rsidR="004A41E4" w:rsidRPr="00026EC1">
        <w:t>’</w:t>
      </w:r>
      <w:r w:rsidRPr="00026EC1">
        <w:t>occuper, à la condition que cela n</w:t>
      </w:r>
      <w:r w:rsidR="004A41E4" w:rsidRPr="00026EC1">
        <w:t>’</w:t>
      </w:r>
      <w:r w:rsidRPr="00026EC1">
        <w:t>ait pas pour effet de mettre en disponibilité ou de maintenir en disponibilité, dans la discipline visée, une enseignante ou un enseignant ayant plus d</w:t>
      </w:r>
      <w:r w:rsidR="004A41E4" w:rsidRPr="00026EC1">
        <w:t>’</w:t>
      </w:r>
      <w:r w:rsidRPr="00026EC1">
        <w:t>ancienneté ou, à ancienneté égale, ayant plus d</w:t>
      </w:r>
      <w:r w:rsidR="004A41E4" w:rsidRPr="00026EC1">
        <w:t>’</w:t>
      </w:r>
      <w:r w:rsidRPr="00026EC1">
        <w:t>expérience et, à expérience égale, ayant plus de scolarité.</w:t>
      </w:r>
    </w:p>
    <w:p w14:paraId="594B22CD" w14:textId="77777777" w:rsidR="00DF6239" w:rsidRPr="00026EC1" w:rsidRDefault="00DF6239" w:rsidP="00A64613">
      <w:pPr>
        <w:keepNext w:val="0"/>
      </w:pPr>
    </w:p>
    <w:p w14:paraId="328303B1" w14:textId="399D5BDE" w:rsidR="002F1801" w:rsidRDefault="00DF6239" w:rsidP="00A64613">
      <w:pPr>
        <w:keepNext w:val="0"/>
      </w:pPr>
      <w:r w:rsidRPr="00026EC1">
        <w:t>Afin de limiter le nombre de mises en disponibilité ou pour des raisons particulières liées aux difficultés de recrutement, à la nature de l</w:t>
      </w:r>
      <w:r w:rsidR="004A41E4" w:rsidRPr="00026EC1">
        <w:t>’</w:t>
      </w:r>
      <w:r w:rsidRPr="00026EC1">
        <w:t>enseignement ou aux pratiques antérieures, le Collège peut, après entente entre les parties, créer ou maintenir un poste dans une discipline en regroupant des charges résiduelles d</w:t>
      </w:r>
      <w:r w:rsidR="004A41E4" w:rsidRPr="00026EC1">
        <w:t>’</w:t>
      </w:r>
      <w:r w:rsidRPr="00026EC1">
        <w:t>enseignement de plusieurs disciplines. L</w:t>
      </w:r>
      <w:r w:rsidR="004A41E4" w:rsidRPr="00026EC1">
        <w:t>’</w:t>
      </w:r>
      <w:r w:rsidRPr="00026EC1">
        <w:t>entente précise la discipline du poste ainsi créé ou maintenu.</w:t>
      </w:r>
    </w:p>
    <w:p w14:paraId="64DA2192" w14:textId="77777777" w:rsidR="002F1801" w:rsidRDefault="002F1801">
      <w:pPr>
        <w:keepNext w:val="0"/>
        <w:suppressAutoHyphens w:val="0"/>
        <w:jc w:val="left"/>
      </w:pPr>
      <w:r>
        <w:br w:type="page"/>
      </w:r>
    </w:p>
    <w:p w14:paraId="6C983592" w14:textId="3FB3CCDC" w:rsidR="00DF6239" w:rsidRPr="00026EC1" w:rsidRDefault="00DF6239" w:rsidP="00A64613">
      <w:pPr>
        <w:pStyle w:val="NUMRODECLAUSE"/>
        <w:keepNext w:val="0"/>
      </w:pPr>
      <w:r w:rsidRPr="00026EC1">
        <w:t>5</w:t>
      </w:r>
      <w:r w:rsidR="00984A6F">
        <w:noBreakHyphen/>
      </w:r>
      <w:r w:rsidRPr="00026EC1">
        <w:t>4.06</w:t>
      </w:r>
    </w:p>
    <w:p w14:paraId="45C53819" w14:textId="4A089B2B" w:rsidR="004A3763" w:rsidRPr="002F1801" w:rsidRDefault="00275751" w:rsidP="00A64613">
      <w:pPr>
        <w:keepNext w:val="0"/>
        <w:tabs>
          <w:tab w:val="left" w:pos="567"/>
        </w:tabs>
        <w:ind w:left="567" w:hanging="567"/>
        <w:rPr>
          <w:b/>
          <w:bCs/>
          <w:u w:val="single"/>
        </w:rPr>
      </w:pPr>
      <w:r w:rsidRPr="00026EC1">
        <w:t>A)</w:t>
      </w:r>
      <w:r w:rsidRPr="00026EC1">
        <w:tab/>
      </w:r>
      <w:r w:rsidR="004A3763" w:rsidRPr="00316277">
        <w:rPr>
          <w:b/>
          <w:bCs/>
          <w:u w:val="single"/>
        </w:rPr>
        <w:t>Avis de mise en disponibilité</w:t>
      </w:r>
    </w:p>
    <w:p w14:paraId="264C186D" w14:textId="23C488EA" w:rsidR="00DF6239" w:rsidRPr="00026EC1" w:rsidRDefault="00DF6239" w:rsidP="002F1801">
      <w:pPr>
        <w:keepNext w:val="0"/>
        <w:tabs>
          <w:tab w:val="left" w:pos="567"/>
        </w:tabs>
        <w:ind w:left="567"/>
      </w:pPr>
      <w:r w:rsidRPr="00026EC1">
        <w:t>Lorsque, dans une discipline donnée, par l</w:t>
      </w:r>
      <w:r w:rsidR="004A41E4" w:rsidRPr="00026EC1">
        <w:t>’</w:t>
      </w:r>
      <w:r w:rsidRPr="00026EC1">
        <w:t>application de la clause 5</w:t>
      </w:r>
      <w:r w:rsidR="00984A6F">
        <w:noBreakHyphen/>
      </w:r>
      <w:r w:rsidRPr="00026EC1">
        <w:t>4.05, il y a un surplus d</w:t>
      </w:r>
      <w:r w:rsidR="004A41E4" w:rsidRPr="00026EC1">
        <w:t>’</w:t>
      </w:r>
      <w:r w:rsidRPr="00026EC1">
        <w:t>enseignantes ou d</w:t>
      </w:r>
      <w:r w:rsidR="004A41E4" w:rsidRPr="00026EC1">
        <w:t>’</w:t>
      </w:r>
      <w:r w:rsidRPr="00026EC1">
        <w:t>enseignants, le Collège procède à la mise en disponibilité d</w:t>
      </w:r>
      <w:r w:rsidR="004A41E4" w:rsidRPr="00026EC1">
        <w:t>’</w:t>
      </w:r>
      <w:r w:rsidRPr="00026EC1">
        <w:t>enseignantes ou d</w:t>
      </w:r>
      <w:r w:rsidR="004A41E4" w:rsidRPr="00026EC1">
        <w:t>’</w:t>
      </w:r>
      <w:r w:rsidRPr="00026EC1">
        <w:t>enseignants permanents. Le Collège commence d</w:t>
      </w:r>
      <w:r w:rsidR="004A41E4" w:rsidRPr="00026EC1">
        <w:t>’</w:t>
      </w:r>
      <w:r w:rsidRPr="00026EC1">
        <w:t>abord par celle ou celui qui a le moins d</w:t>
      </w:r>
      <w:r w:rsidR="004A41E4" w:rsidRPr="00026EC1">
        <w:t>’</w:t>
      </w:r>
      <w:r w:rsidRPr="00026EC1">
        <w:t>ancienneté au dernier jour de l</w:t>
      </w:r>
      <w:r w:rsidR="004A41E4" w:rsidRPr="00026EC1">
        <w:t>’</w:t>
      </w:r>
      <w:r w:rsidRPr="00026EC1">
        <w:t>année d</w:t>
      </w:r>
      <w:r w:rsidR="004A41E4" w:rsidRPr="00026EC1">
        <w:t>’</w:t>
      </w:r>
      <w:r w:rsidRPr="00026EC1">
        <w:t>engagement en cours et, à ancienneté égale, par celle ou celui qui a le moins d</w:t>
      </w:r>
      <w:r w:rsidR="004A41E4" w:rsidRPr="00026EC1">
        <w:t>’</w:t>
      </w:r>
      <w:r w:rsidRPr="00026EC1">
        <w:t>expérience et, à expérience égale, par celle ou celui qui a le moins de scolarité, selon les critères prévus à la convention collective et sous réserve, s</w:t>
      </w:r>
      <w:r w:rsidR="004A41E4" w:rsidRPr="00026EC1">
        <w:t>’</w:t>
      </w:r>
      <w:r w:rsidRPr="00026EC1">
        <w:t>il y a lieu, du programme d</w:t>
      </w:r>
      <w:r w:rsidR="004A41E4" w:rsidRPr="00026EC1">
        <w:t>’</w:t>
      </w:r>
      <w:r w:rsidRPr="00026EC1">
        <w:t>accès à l</w:t>
      </w:r>
      <w:r w:rsidR="004A41E4" w:rsidRPr="00026EC1">
        <w:t>’</w:t>
      </w:r>
      <w:r w:rsidRPr="00026EC1">
        <w:t>égalité en emploi établi conformément à l</w:t>
      </w:r>
      <w:r w:rsidR="004A41E4" w:rsidRPr="00026EC1">
        <w:t>’</w:t>
      </w:r>
      <w:r w:rsidRPr="00026EC1">
        <w:t>article 2</w:t>
      </w:r>
      <w:r w:rsidR="00984A6F">
        <w:noBreakHyphen/>
      </w:r>
      <w:r w:rsidRPr="00026EC1">
        <w:t>4.00.</w:t>
      </w:r>
    </w:p>
    <w:p w14:paraId="5051E723" w14:textId="77777777" w:rsidR="00DF6239" w:rsidRPr="00026EC1" w:rsidRDefault="00DF6239" w:rsidP="00A64613">
      <w:pPr>
        <w:keepNext w:val="0"/>
      </w:pPr>
    </w:p>
    <w:p w14:paraId="711D05E0" w14:textId="77777777"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qui doit être mis en disponibilité en vertu de la présente clause reçoit un avis écrit à ce sujet entre le 1er mai et le 31 mai. Le Collège n</w:t>
      </w:r>
      <w:r w:rsidR="004A41E4" w:rsidRPr="00026EC1">
        <w:t>’</w:t>
      </w:r>
      <w:r w:rsidRPr="00026EC1">
        <w:t>a pas à signifier cet avis à l</w:t>
      </w:r>
      <w:r w:rsidR="004A41E4" w:rsidRPr="00026EC1">
        <w:t>’</w:t>
      </w:r>
      <w:r w:rsidRPr="00026EC1">
        <w:t xml:space="preserve">enseignante ou </w:t>
      </w:r>
      <w:r w:rsidRPr="00026EC1">
        <w:rPr>
          <w:bCs/>
        </w:rPr>
        <w:t>à</w:t>
      </w:r>
      <w:r w:rsidRPr="00026EC1">
        <w:t xml:space="preserve"> l</w:t>
      </w:r>
      <w:r w:rsidR="004A41E4" w:rsidRPr="00026EC1">
        <w:t>’</w:t>
      </w:r>
      <w:r w:rsidRPr="00026EC1">
        <w:t>enseignant qui a déjà été mis en disponibilité et qui l</w:t>
      </w:r>
      <w:r w:rsidR="004A41E4" w:rsidRPr="00026EC1">
        <w:t>’</w:t>
      </w:r>
      <w:r w:rsidRPr="00026EC1">
        <w:t>est demeuré.</w:t>
      </w:r>
    </w:p>
    <w:p w14:paraId="5D31FD6A" w14:textId="77777777" w:rsidR="008E49AE" w:rsidRPr="00316277" w:rsidRDefault="008E49AE" w:rsidP="00A64613">
      <w:pPr>
        <w:keepNext w:val="0"/>
        <w:rPr>
          <w:b/>
          <w:bCs/>
          <w:u w:val="single"/>
        </w:rPr>
      </w:pPr>
    </w:p>
    <w:p w14:paraId="01774C41" w14:textId="7A3D080B" w:rsidR="00DF6239" w:rsidRDefault="008E49AE" w:rsidP="008E49AE">
      <w:pPr>
        <w:keepNext w:val="0"/>
        <w:ind w:firstLine="567"/>
        <w:rPr>
          <w:strike/>
        </w:rPr>
      </w:pPr>
      <w:r w:rsidRPr="00316277">
        <w:rPr>
          <w:b/>
          <w:bCs/>
          <w:u w:val="single"/>
        </w:rPr>
        <w:t xml:space="preserve">Annulation de </w:t>
      </w:r>
      <w:r w:rsidR="00E05F19" w:rsidRPr="00316277">
        <w:rPr>
          <w:b/>
          <w:bCs/>
          <w:u w:val="single"/>
        </w:rPr>
        <w:t xml:space="preserve">la </w:t>
      </w:r>
      <w:r w:rsidRPr="00316277">
        <w:rPr>
          <w:b/>
          <w:bCs/>
          <w:u w:val="single"/>
        </w:rPr>
        <w:t>mise en disponibilité</w:t>
      </w:r>
    </w:p>
    <w:p w14:paraId="58B5000D" w14:textId="794215C1" w:rsidR="00DF6239" w:rsidRPr="00026EC1" w:rsidRDefault="00275751" w:rsidP="008E49AE">
      <w:pPr>
        <w:keepNext w:val="0"/>
        <w:ind w:left="567" w:hanging="567"/>
      </w:pPr>
      <w:r w:rsidRPr="00026EC1">
        <w:t>B)</w:t>
      </w:r>
      <w:r w:rsidRPr="00026EC1">
        <w:tab/>
      </w:r>
      <w:r w:rsidR="00DF6239" w:rsidRPr="00026EC1">
        <w:t>Au plus tard le 30 octobre suivant, le Collège annule la mise en disponibilité de l</w:t>
      </w:r>
      <w:r w:rsidR="004A41E4" w:rsidRPr="00026EC1">
        <w:t>’</w:t>
      </w:r>
      <w:r w:rsidR="00DF6239" w:rsidRPr="00026EC1">
        <w:t>enseignante ou de l</w:t>
      </w:r>
      <w:r w:rsidR="004A41E4" w:rsidRPr="00026EC1">
        <w:t>’</w:t>
      </w:r>
      <w:r w:rsidR="00DF6239" w:rsidRPr="00026EC1">
        <w:t>enseignant visé s</w:t>
      </w:r>
      <w:r w:rsidR="004A41E4" w:rsidRPr="00026EC1">
        <w:t>’</w:t>
      </w:r>
      <w:r w:rsidR="00DF6239" w:rsidRPr="00026EC1">
        <w:t>il constate que la prévision de surplus de personnel dans la discipline visée, établie conformément à la clause 5</w:t>
      </w:r>
      <w:r w:rsidR="00984A6F">
        <w:noBreakHyphen/>
      </w:r>
      <w:r w:rsidR="00DF6239" w:rsidRPr="00026EC1">
        <w:t>4.05 ne s</w:t>
      </w:r>
      <w:r w:rsidR="004A41E4" w:rsidRPr="00026EC1">
        <w:t>’</w:t>
      </w:r>
      <w:r w:rsidR="00DF6239" w:rsidRPr="00026EC1">
        <w:t>est pas réalisée, en ce qui concerne le nombre de postes déterminé par l</w:t>
      </w:r>
      <w:r w:rsidR="004A41E4" w:rsidRPr="00026EC1">
        <w:t>’</w:t>
      </w:r>
      <w:r w:rsidR="00DF6239" w:rsidRPr="00026EC1">
        <w:t>application de la clause 8</w:t>
      </w:r>
      <w:r w:rsidR="00984A6F">
        <w:noBreakHyphen/>
      </w:r>
      <w:r w:rsidR="00DF6239" w:rsidRPr="00026EC1">
        <w:t>5.09.</w:t>
      </w:r>
    </w:p>
    <w:p w14:paraId="32CFD388" w14:textId="77777777" w:rsidR="00DF6239" w:rsidRPr="00026EC1" w:rsidRDefault="00DF6239" w:rsidP="00A64613">
      <w:pPr>
        <w:pStyle w:val="Texte1cm"/>
        <w:keepNext w:val="0"/>
      </w:pPr>
    </w:p>
    <w:p w14:paraId="69F2E16B" w14:textId="77777777" w:rsidR="00DF6239" w:rsidRPr="00026EC1" w:rsidRDefault="00DF6239" w:rsidP="00A64613">
      <w:pPr>
        <w:pStyle w:val="Texte1cm"/>
        <w:keepNext w:val="0"/>
      </w:pPr>
      <w:r w:rsidRPr="00026EC1">
        <w:t>Jusqu</w:t>
      </w:r>
      <w:r w:rsidR="004A41E4" w:rsidRPr="00026EC1">
        <w:t>’</w:t>
      </w:r>
      <w:r w:rsidRPr="00026EC1">
        <w:t>au 30 octobre également, le Collège annule la mise en disponibilité de l</w:t>
      </w:r>
      <w:r w:rsidR="004A41E4" w:rsidRPr="00026EC1">
        <w:t>’</w:t>
      </w:r>
      <w:r w:rsidRPr="00026EC1">
        <w:t>enseignante ou de l</w:t>
      </w:r>
      <w:r w:rsidR="004A41E4" w:rsidRPr="00026EC1">
        <w:t>’</w:t>
      </w:r>
      <w:r w:rsidRPr="00026EC1">
        <w:t>enseignant qui obtient une charge d</w:t>
      </w:r>
      <w:r w:rsidR="004A41E4" w:rsidRPr="00026EC1">
        <w:t>’</w:t>
      </w:r>
      <w:r w:rsidRPr="00026EC1">
        <w:t>enseignement à temps complet, à moins qu</w:t>
      </w:r>
      <w:r w:rsidR="004A41E4" w:rsidRPr="00026EC1">
        <w:t>’</w:t>
      </w:r>
      <w:r w:rsidRPr="00026EC1">
        <w:t>elle ou il fasse une demande à l</w:t>
      </w:r>
      <w:r w:rsidR="004A41E4" w:rsidRPr="00026EC1">
        <w:t>’</w:t>
      </w:r>
      <w:r w:rsidRPr="00026EC1">
        <w:t>effet contraire au plus tard sept (7) jours après l</w:t>
      </w:r>
      <w:r w:rsidR="004A41E4" w:rsidRPr="00026EC1">
        <w:t>’</w:t>
      </w:r>
      <w:r w:rsidRPr="00026EC1">
        <w:t>obtention ou l</w:t>
      </w:r>
      <w:r w:rsidR="004A41E4" w:rsidRPr="00026EC1">
        <w:t>’</w:t>
      </w:r>
      <w:r w:rsidRPr="00026EC1">
        <w:t>atteinte de cette charge.</w:t>
      </w:r>
    </w:p>
    <w:p w14:paraId="25BEBDFC" w14:textId="77777777" w:rsidR="00DF6239" w:rsidRPr="00026EC1" w:rsidRDefault="00DF6239" w:rsidP="00A64613">
      <w:pPr>
        <w:pStyle w:val="Texte1cm"/>
        <w:keepNext w:val="0"/>
      </w:pPr>
    </w:p>
    <w:p w14:paraId="218B268B" w14:textId="169E0A24"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qui demande le maintien de sa mise en disponibilité peut, jusqu</w:t>
      </w:r>
      <w:r w:rsidR="004A41E4" w:rsidRPr="00026EC1">
        <w:t>’</w:t>
      </w:r>
      <w:r w:rsidRPr="00026EC1">
        <w:t>au 30 octobre, en demander l</w:t>
      </w:r>
      <w:r w:rsidR="004A41E4" w:rsidRPr="00026EC1">
        <w:t>’</w:t>
      </w:r>
      <w:r w:rsidRPr="00026EC1">
        <w:t>annulation, sous réserve des dispositions prévues à l</w:t>
      </w:r>
      <w:r w:rsidR="004A41E4" w:rsidRPr="00026EC1">
        <w:t>’</w:t>
      </w:r>
      <w:r w:rsidRPr="00026EC1">
        <w:t>alinéa H) de la clause 5</w:t>
      </w:r>
      <w:r w:rsidR="00984A6F">
        <w:noBreakHyphen/>
      </w:r>
      <w:r w:rsidRPr="00026EC1">
        <w:t>4.07.</w:t>
      </w:r>
    </w:p>
    <w:p w14:paraId="72526C99" w14:textId="77777777" w:rsidR="00DF6239" w:rsidRPr="00026EC1" w:rsidRDefault="00DF6239" w:rsidP="00A64613">
      <w:pPr>
        <w:pStyle w:val="Texte1cm"/>
        <w:keepNext w:val="0"/>
      </w:pPr>
    </w:p>
    <w:p w14:paraId="5F1D1C12" w14:textId="3C58A4CB" w:rsidR="00DF6239" w:rsidRDefault="00275751" w:rsidP="00A64613">
      <w:pPr>
        <w:keepNext w:val="0"/>
        <w:tabs>
          <w:tab w:val="left" w:pos="567"/>
        </w:tabs>
        <w:ind w:left="567" w:hanging="567"/>
      </w:pPr>
      <w:r w:rsidRPr="00026EC1">
        <w:t>C)</w:t>
      </w:r>
      <w:r w:rsidRPr="00026EC1">
        <w:tab/>
      </w:r>
      <w:r w:rsidR="00DF6239" w:rsidRPr="00026EC1">
        <w:t>Après le 30 octobre, le Collège annule la mise en disponibilité de l</w:t>
      </w:r>
      <w:r w:rsidR="004A41E4" w:rsidRPr="00026EC1">
        <w:t>’</w:t>
      </w:r>
      <w:r w:rsidR="00DF6239" w:rsidRPr="00026EC1">
        <w:t>enseignante ou de l</w:t>
      </w:r>
      <w:r w:rsidR="004A41E4" w:rsidRPr="00026EC1">
        <w:t>’</w:t>
      </w:r>
      <w:r w:rsidR="00DF6239" w:rsidRPr="00026EC1">
        <w:t>enseignant qui est ou devient à temps complet. Cette annulation se fait dès l</w:t>
      </w:r>
      <w:r w:rsidR="004A41E4" w:rsidRPr="00026EC1">
        <w:t>’</w:t>
      </w:r>
      <w:r w:rsidR="00DF6239" w:rsidRPr="00026EC1">
        <w:t>obtention ou l</w:t>
      </w:r>
      <w:r w:rsidR="004A41E4" w:rsidRPr="00026EC1">
        <w:t>’</w:t>
      </w:r>
      <w:r w:rsidR="00DF6239" w:rsidRPr="00026EC1">
        <w:t>atteinte d</w:t>
      </w:r>
      <w:r w:rsidR="004A41E4" w:rsidRPr="00026EC1">
        <w:t>’</w:t>
      </w:r>
      <w:r w:rsidR="00DF6239" w:rsidRPr="00026EC1">
        <w:t>une charge d</w:t>
      </w:r>
      <w:r w:rsidR="004A41E4" w:rsidRPr="00026EC1">
        <w:t>’</w:t>
      </w:r>
      <w:r w:rsidR="00DF6239" w:rsidRPr="00026EC1">
        <w:t>enseignement à temps complet. Toutefois, dans ce cas, si l</w:t>
      </w:r>
      <w:r w:rsidR="004A41E4" w:rsidRPr="00026EC1">
        <w:t>’</w:t>
      </w:r>
      <w:r w:rsidR="00DF6239" w:rsidRPr="00026EC1">
        <w:t>annulation de la mise en disponibilité est faite après le 1</w:t>
      </w:r>
      <w:r w:rsidR="00DF6239" w:rsidRPr="00026EC1">
        <w:rPr>
          <w:vertAlign w:val="superscript"/>
        </w:rPr>
        <w:t>er</w:t>
      </w:r>
      <w:r w:rsidR="00DF6239" w:rsidRPr="00026EC1">
        <w:t> mai,</w:t>
      </w:r>
      <w:r w:rsidR="00DF6239" w:rsidRPr="00026EC1">
        <w:rPr>
          <w:bCs/>
        </w:rPr>
        <w:t xml:space="preserve"> </w:t>
      </w:r>
      <w:r w:rsidR="00DF6239" w:rsidRPr="00026EC1">
        <w:t>celle</w:t>
      </w:r>
      <w:r w:rsidR="00984A6F">
        <w:noBreakHyphen/>
      </w:r>
      <w:r w:rsidR="00DF6239" w:rsidRPr="00026EC1">
        <w:t>ci ne vaut que pour l</w:t>
      </w:r>
      <w:r w:rsidR="004A41E4" w:rsidRPr="00026EC1">
        <w:t>’</w:t>
      </w:r>
      <w:r w:rsidR="00DF6239" w:rsidRPr="00026EC1">
        <w:t>année d</w:t>
      </w:r>
      <w:r w:rsidR="004A41E4" w:rsidRPr="00026EC1">
        <w:t>’</w:t>
      </w:r>
      <w:r w:rsidR="00DF6239" w:rsidRPr="00026EC1">
        <w:t>engagement pendant laquelle la charge a été occupée et ne peut avoir pour effet d</w:t>
      </w:r>
      <w:r w:rsidR="004A41E4" w:rsidRPr="00026EC1">
        <w:t>’</w:t>
      </w:r>
      <w:r w:rsidR="00DF6239" w:rsidRPr="00026EC1">
        <w:t>annuler la mise en disponibilité pour l</w:t>
      </w:r>
      <w:r w:rsidR="004A41E4" w:rsidRPr="00026EC1">
        <w:t>’</w:t>
      </w:r>
      <w:r w:rsidR="00DF6239" w:rsidRPr="00026EC1">
        <w:t>année d</w:t>
      </w:r>
      <w:r w:rsidR="004A41E4" w:rsidRPr="00026EC1">
        <w:t>’</w:t>
      </w:r>
      <w:r w:rsidR="00DF6239" w:rsidRPr="00026EC1">
        <w:t>engagement suivante.</w:t>
      </w:r>
    </w:p>
    <w:p w14:paraId="2FB6D40B" w14:textId="77777777" w:rsidR="00D6635E" w:rsidRPr="00026EC1" w:rsidRDefault="00D6635E" w:rsidP="00A64613">
      <w:pPr>
        <w:keepNext w:val="0"/>
        <w:tabs>
          <w:tab w:val="left" w:pos="567"/>
        </w:tabs>
        <w:ind w:left="567" w:hanging="567"/>
      </w:pPr>
    </w:p>
    <w:p w14:paraId="01A9F7AA" w14:textId="7FDDF54B" w:rsidR="00A32AEB" w:rsidRPr="000C61F8" w:rsidRDefault="00A32AEB" w:rsidP="00A32AEB">
      <w:pPr>
        <w:pStyle w:val="N-FNEEQ-Dcal"/>
        <w:spacing w:before="0" w:after="0"/>
        <w:ind w:left="567"/>
        <w:rPr>
          <w:rStyle w:val="ElevSoulign"/>
          <w:rFonts w:ascii="Arial" w:hAnsi="Arial" w:cs="Arial"/>
          <w:b w:val="0"/>
          <w:bCs w:val="0"/>
          <w:color w:val="auto"/>
          <w:sz w:val="24"/>
          <w:szCs w:val="24"/>
          <w:u w:val="none"/>
        </w:rPr>
      </w:pPr>
      <w:r w:rsidRPr="00316277">
        <w:rPr>
          <w:rStyle w:val="ElevSoulign"/>
          <w:rFonts w:ascii="Arial" w:hAnsi="Arial" w:cs="Arial"/>
          <w:b w:val="0"/>
          <w:color w:val="auto"/>
          <w:sz w:val="24"/>
          <w:szCs w:val="24"/>
          <w:u w:val="none"/>
        </w:rPr>
        <w:t xml:space="preserve">Cet alinéa s’applique également à l’enseignante ou l’enseignant qui aurait obtenu ou atteint une charge d’enseignement à temps complet </w:t>
      </w:r>
      <w:r w:rsidR="00337C3B" w:rsidRPr="00316277">
        <w:rPr>
          <w:rStyle w:val="ElevSoulign"/>
          <w:rFonts w:ascii="Arial" w:hAnsi="Arial" w:cs="Arial"/>
          <w:b w:val="0"/>
          <w:color w:val="auto"/>
          <w:sz w:val="24"/>
          <w:szCs w:val="24"/>
          <w:u w:val="none"/>
        </w:rPr>
        <w:t xml:space="preserve">si elle ou il </w:t>
      </w:r>
      <w:r w:rsidRPr="00316277">
        <w:rPr>
          <w:rStyle w:val="ElevSoulign"/>
          <w:rFonts w:ascii="Arial" w:hAnsi="Arial" w:cs="Arial"/>
          <w:b w:val="0"/>
          <w:color w:val="auto"/>
          <w:sz w:val="24"/>
          <w:szCs w:val="24"/>
          <w:u w:val="none"/>
        </w:rPr>
        <w:t>n’avait pas été déplacé sur une charge annuelle de remplacement.</w:t>
      </w:r>
    </w:p>
    <w:p w14:paraId="554CE2E9" w14:textId="77777777" w:rsidR="00A32AEB" w:rsidRPr="00026EC1" w:rsidRDefault="00A32AEB" w:rsidP="00A64613">
      <w:pPr>
        <w:pStyle w:val="Texte1cm"/>
        <w:keepNext w:val="0"/>
      </w:pPr>
    </w:p>
    <w:p w14:paraId="51350EB3" w14:textId="13F16ABD" w:rsidR="00DF6239" w:rsidRDefault="00275751" w:rsidP="00A64613">
      <w:pPr>
        <w:keepNext w:val="0"/>
        <w:tabs>
          <w:tab w:val="left" w:pos="567"/>
        </w:tabs>
        <w:ind w:left="567" w:hanging="567"/>
      </w:pPr>
      <w:r w:rsidRPr="00026EC1">
        <w:t>D)</w:t>
      </w:r>
      <w:r w:rsidRPr="00026EC1">
        <w:tab/>
      </w:r>
      <w:r w:rsidR="00DF6239" w:rsidRPr="00026EC1">
        <w:t>De plus, en tout temps, le Collège annule la mise en disponibilité de l</w:t>
      </w:r>
      <w:r w:rsidR="004A41E4" w:rsidRPr="00026EC1">
        <w:t>’</w:t>
      </w:r>
      <w:r w:rsidR="00DF6239" w:rsidRPr="00026EC1">
        <w:t>enseignante ou de l</w:t>
      </w:r>
      <w:r w:rsidR="004A41E4" w:rsidRPr="00026EC1">
        <w:t>’</w:t>
      </w:r>
      <w:r w:rsidR="00DF6239" w:rsidRPr="00026EC1">
        <w:t>enseignant qui est assuré d</w:t>
      </w:r>
      <w:r w:rsidR="004A41E4" w:rsidRPr="00026EC1">
        <w:t>’</w:t>
      </w:r>
      <w:r w:rsidR="00DF6239" w:rsidRPr="00026EC1">
        <w:t>obtenir son plein salaire du Collège, compte tenu de toute charge d</w:t>
      </w:r>
      <w:r w:rsidR="004A41E4" w:rsidRPr="00026EC1">
        <w:t>’</w:t>
      </w:r>
      <w:r w:rsidR="00DF6239" w:rsidRPr="00026EC1">
        <w:t>enseignement dont elle ou il est assuré et des fonctions qu</w:t>
      </w:r>
      <w:r w:rsidR="004A41E4" w:rsidRPr="00026EC1">
        <w:t>’</w:t>
      </w:r>
      <w:r w:rsidR="00DF6239" w:rsidRPr="00026EC1">
        <w:t>elle ou il accepte d</w:t>
      </w:r>
      <w:r w:rsidR="004A41E4" w:rsidRPr="00026EC1">
        <w:t>’</w:t>
      </w:r>
      <w:r w:rsidR="00DF6239" w:rsidRPr="00026EC1">
        <w:t>occuper à la condition qu</w:t>
      </w:r>
      <w:r w:rsidR="004A41E4" w:rsidRPr="00026EC1">
        <w:t>’</w:t>
      </w:r>
      <w:r w:rsidR="00DF6239" w:rsidRPr="00026EC1">
        <w:t>il n</w:t>
      </w:r>
      <w:r w:rsidR="004A41E4" w:rsidRPr="00026EC1">
        <w:t>’</w:t>
      </w:r>
      <w:r w:rsidR="00DF6239" w:rsidRPr="00026EC1">
        <w:t>y ait, dans sa discipline, d</w:t>
      </w:r>
      <w:r w:rsidR="004A41E4" w:rsidRPr="00026EC1">
        <w:t>’</w:t>
      </w:r>
      <w:r w:rsidR="00DF6239" w:rsidRPr="00026EC1">
        <w:t>enseignantes ou d</w:t>
      </w:r>
      <w:r w:rsidR="004A41E4" w:rsidRPr="00026EC1">
        <w:t>’</w:t>
      </w:r>
      <w:r w:rsidR="00DF6239" w:rsidRPr="00026EC1">
        <w:t>enseignants mis en disponibilité ayant plus d</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en cours ou, à ancienneté égale, ayant plus d</w:t>
      </w:r>
      <w:r w:rsidR="004A41E4" w:rsidRPr="00026EC1">
        <w:t>’</w:t>
      </w:r>
      <w:r w:rsidR="00DF6239" w:rsidRPr="00026EC1">
        <w:t>expérience ou, à expérience égale, ayant plus de scolarité. Toutefois, dans ce cas, si l</w:t>
      </w:r>
      <w:r w:rsidR="004A41E4" w:rsidRPr="00026EC1">
        <w:t>’</w:t>
      </w:r>
      <w:r w:rsidR="00DF6239" w:rsidRPr="00026EC1">
        <w:t>annulation de la mise en disponibilité est faite après le 1</w:t>
      </w:r>
      <w:r w:rsidR="00DF6239" w:rsidRPr="00026EC1">
        <w:rPr>
          <w:vertAlign w:val="superscript"/>
        </w:rPr>
        <w:t>er</w:t>
      </w:r>
      <w:r w:rsidR="00DF6239" w:rsidRPr="00026EC1">
        <w:t> mai, celle</w:t>
      </w:r>
      <w:r w:rsidR="00984A6F">
        <w:noBreakHyphen/>
      </w:r>
      <w:r w:rsidR="00DF6239" w:rsidRPr="00026EC1">
        <w:t>ci ne vaut que pour l</w:t>
      </w:r>
      <w:r w:rsidR="004A41E4" w:rsidRPr="00026EC1">
        <w:t>’</w:t>
      </w:r>
      <w:r w:rsidR="00DF6239" w:rsidRPr="00026EC1">
        <w:t>année d</w:t>
      </w:r>
      <w:r w:rsidR="004A41E4" w:rsidRPr="00026EC1">
        <w:t>’</w:t>
      </w:r>
      <w:r w:rsidR="00DF6239" w:rsidRPr="00026EC1">
        <w:t>engagement pendant laquelle le plein salaire a été atteint et ne peut avoir pour effet d</w:t>
      </w:r>
      <w:r w:rsidR="004A41E4" w:rsidRPr="00026EC1">
        <w:t>’</w:t>
      </w:r>
      <w:r w:rsidR="00DF6239" w:rsidRPr="00026EC1">
        <w:t>annuler la mise en disponibilité pour l</w:t>
      </w:r>
      <w:r w:rsidR="004A41E4" w:rsidRPr="00026EC1">
        <w:t>’</w:t>
      </w:r>
      <w:r w:rsidR="00DF6239" w:rsidRPr="00026EC1">
        <w:t>année d</w:t>
      </w:r>
      <w:r w:rsidR="004A41E4" w:rsidRPr="00026EC1">
        <w:t>’</w:t>
      </w:r>
      <w:r w:rsidR="00DF6239" w:rsidRPr="00026EC1">
        <w:t>engagement suivante.</w:t>
      </w:r>
    </w:p>
    <w:p w14:paraId="145B3F3C" w14:textId="77777777" w:rsidR="006368EE" w:rsidRDefault="006368EE" w:rsidP="00A64613">
      <w:pPr>
        <w:keepNext w:val="0"/>
        <w:tabs>
          <w:tab w:val="left" w:pos="567"/>
        </w:tabs>
        <w:ind w:left="567" w:hanging="567"/>
      </w:pPr>
    </w:p>
    <w:p w14:paraId="2F5214B5" w14:textId="77777777" w:rsidR="00337C3B" w:rsidRPr="006E0E22" w:rsidRDefault="00275751" w:rsidP="00337C3B">
      <w:pPr>
        <w:keepNext w:val="0"/>
        <w:ind w:left="567" w:hanging="567"/>
        <w:rPr>
          <w:b/>
          <w:bCs/>
          <w:u w:val="single"/>
        </w:rPr>
      </w:pPr>
      <w:r w:rsidRPr="00026EC1">
        <w:t>E)</w:t>
      </w:r>
      <w:r w:rsidRPr="00026EC1">
        <w:tab/>
      </w:r>
      <w:r w:rsidR="00337C3B" w:rsidRPr="00316277">
        <w:rPr>
          <w:b/>
          <w:bCs/>
          <w:u w:val="single"/>
        </w:rPr>
        <w:t>Avis au Bureau de placement</w:t>
      </w:r>
    </w:p>
    <w:p w14:paraId="3B9F1603" w14:textId="37DAF0F7" w:rsidR="00DF6239" w:rsidRPr="00026EC1" w:rsidRDefault="00DF6239" w:rsidP="00337C3B">
      <w:pPr>
        <w:keepNext w:val="0"/>
        <w:tabs>
          <w:tab w:val="left" w:pos="567"/>
        </w:tabs>
        <w:ind w:left="567"/>
      </w:pPr>
      <w:r w:rsidRPr="00026EC1">
        <w:t>S</w:t>
      </w:r>
      <w:r w:rsidR="004A41E4" w:rsidRPr="00026EC1">
        <w:t>’</w:t>
      </w:r>
      <w:r w:rsidRPr="00026EC1">
        <w:t>il y a annulation de la mise en disponibilité d</w:t>
      </w:r>
      <w:r w:rsidR="004A41E4" w:rsidRPr="00026EC1">
        <w:t>’</w:t>
      </w:r>
      <w:r w:rsidRPr="00026EC1">
        <w:t>une enseignante ou d</w:t>
      </w:r>
      <w:r w:rsidR="004A41E4" w:rsidRPr="00026EC1">
        <w:t>’</w:t>
      </w:r>
      <w:r w:rsidRPr="00026EC1">
        <w:t>un enseignant, le Collège en avise le Bureau de placement qui raye le nom de l</w:t>
      </w:r>
      <w:r w:rsidR="004A41E4" w:rsidRPr="00026EC1">
        <w:t>’</w:t>
      </w:r>
      <w:r w:rsidRPr="00026EC1">
        <w:t>enseignante ou de l</w:t>
      </w:r>
      <w:r w:rsidR="004A41E4" w:rsidRPr="00026EC1">
        <w:t>’</w:t>
      </w:r>
      <w:r w:rsidRPr="00026EC1">
        <w:t>enseignant de ses listes.</w:t>
      </w:r>
    </w:p>
    <w:p w14:paraId="611C4023" w14:textId="0DFCBFBC" w:rsidR="00D90D85" w:rsidRDefault="00D90D85">
      <w:pPr>
        <w:keepNext w:val="0"/>
        <w:suppressAutoHyphens w:val="0"/>
        <w:jc w:val="left"/>
      </w:pPr>
    </w:p>
    <w:p w14:paraId="13D570C2" w14:textId="1B96954E" w:rsidR="00DF6239" w:rsidRPr="00026EC1" w:rsidRDefault="00DF6239" w:rsidP="00A64613">
      <w:pPr>
        <w:pStyle w:val="NUMRODECLAUSE"/>
        <w:keepNext w:val="0"/>
      </w:pPr>
      <w:r w:rsidRPr="00026EC1">
        <w:t>5</w:t>
      </w:r>
      <w:r w:rsidR="00984A6F">
        <w:noBreakHyphen/>
      </w:r>
      <w:r w:rsidRPr="00026EC1">
        <w:t>4.07</w:t>
      </w:r>
    </w:p>
    <w:p w14:paraId="7E53877B" w14:textId="5B5E7A49" w:rsidR="00DF6239" w:rsidRPr="00026EC1" w:rsidRDefault="00DF6239" w:rsidP="00A64613">
      <w:pPr>
        <w:keepNext w:val="0"/>
      </w:pPr>
      <w:r w:rsidRPr="00026EC1">
        <w:t>Les dispositions suivantes s</w:t>
      </w:r>
      <w:r w:rsidR="004A41E4" w:rsidRPr="00026EC1">
        <w:t>’</w:t>
      </w:r>
      <w:r w:rsidRPr="00026EC1">
        <w:t>appliquent à l</w:t>
      </w:r>
      <w:r w:rsidR="004A41E4" w:rsidRPr="00026EC1">
        <w:t>’</w:t>
      </w:r>
      <w:r w:rsidRPr="00026EC1">
        <w:t>enseignante ou l</w:t>
      </w:r>
      <w:r w:rsidR="004A41E4" w:rsidRPr="00026EC1">
        <w:t>’</w:t>
      </w:r>
      <w:r w:rsidRPr="00026EC1">
        <w:t>enseignant permanent mis en disponibilité</w:t>
      </w:r>
      <w:r w:rsidR="00D8581B">
        <w:t> :</w:t>
      </w:r>
    </w:p>
    <w:p w14:paraId="6581850C" w14:textId="77777777" w:rsidR="00DF6239" w:rsidRPr="00026EC1" w:rsidRDefault="00DF6239" w:rsidP="00A64613">
      <w:pPr>
        <w:keepNext w:val="0"/>
      </w:pPr>
    </w:p>
    <w:p w14:paraId="35FBB09C" w14:textId="73C54858" w:rsidR="00CE74F2" w:rsidRPr="00CE74F2" w:rsidRDefault="00275751" w:rsidP="00A64613">
      <w:pPr>
        <w:keepNext w:val="0"/>
        <w:tabs>
          <w:tab w:val="left" w:pos="567"/>
        </w:tabs>
        <w:ind w:left="567" w:hanging="567"/>
        <w:rPr>
          <w:u w:val="single"/>
        </w:rPr>
      </w:pPr>
      <w:r w:rsidRPr="00026EC1">
        <w:t>A)</w:t>
      </w:r>
      <w:r w:rsidRPr="00026EC1">
        <w:tab/>
      </w:r>
      <w:r w:rsidR="00CE74F2" w:rsidRPr="00316277">
        <w:rPr>
          <w:b/>
          <w:bCs/>
          <w:u w:val="single"/>
        </w:rPr>
        <w:t>Droit</w:t>
      </w:r>
      <w:r w:rsidR="00CE74F2" w:rsidRPr="00316277">
        <w:rPr>
          <w:u w:val="single"/>
        </w:rPr>
        <w:t xml:space="preserve"> </w:t>
      </w:r>
      <w:r w:rsidR="00CE74F2" w:rsidRPr="00316277">
        <w:rPr>
          <w:b/>
          <w:bCs/>
          <w:u w:val="single"/>
        </w:rPr>
        <w:t>de retour</w:t>
      </w:r>
    </w:p>
    <w:p w14:paraId="34DA17DE" w14:textId="7EA25DF6" w:rsidR="00DF6239" w:rsidRPr="00026EC1" w:rsidRDefault="00DF6239" w:rsidP="00CE74F2">
      <w:pPr>
        <w:keepNext w:val="0"/>
        <w:tabs>
          <w:tab w:val="left" w:pos="567"/>
        </w:tabs>
        <w:ind w:left="567"/>
      </w:pPr>
      <w:r w:rsidRPr="00026EC1">
        <w:t>Jusqu</w:t>
      </w:r>
      <w:r w:rsidR="004A41E4" w:rsidRPr="00026EC1">
        <w:t>’</w:t>
      </w:r>
      <w:r w:rsidRPr="00026EC1">
        <w:t>à cinq (5) jours ouvrables après le début des cours dans son Collège d</w:t>
      </w:r>
      <w:r w:rsidR="004A41E4" w:rsidRPr="00026EC1">
        <w:t>’</w:t>
      </w:r>
      <w:r w:rsidRPr="00026EC1">
        <w:t>origine, l</w:t>
      </w:r>
      <w:r w:rsidR="004A41E4" w:rsidRPr="00026EC1">
        <w:t>’</w:t>
      </w:r>
      <w:r w:rsidRPr="00026EC1">
        <w:t>année de son replacement, l</w:t>
      </w:r>
      <w:r w:rsidR="004A41E4" w:rsidRPr="00026EC1">
        <w:t>’</w:t>
      </w:r>
      <w:r w:rsidRPr="00026EC1">
        <w:t>enseignante ou l</w:t>
      </w:r>
      <w:r w:rsidR="004A41E4" w:rsidRPr="00026EC1">
        <w:t>’</w:t>
      </w:r>
      <w:r w:rsidRPr="00026EC1">
        <w:t>enseignant conserve un droit de retour à son Collège dans un poste disponible, soit dans sa discipline, soit dans une autre discipline si elle ou il pose sa candidature et si elle ou il répond aux exigences normalement requises pour le poste. Dans ce dernier cas, le Collège peut procéder à l</w:t>
      </w:r>
      <w:r w:rsidR="004A41E4" w:rsidRPr="00026EC1">
        <w:t>’</w:t>
      </w:r>
      <w:r w:rsidRPr="00026EC1">
        <w:t>engagement même à l</w:t>
      </w:r>
      <w:r w:rsidR="004A41E4" w:rsidRPr="00026EC1">
        <w:t>’</w:t>
      </w:r>
      <w:r w:rsidRPr="00026EC1">
        <w:t>encontre ou en l</w:t>
      </w:r>
      <w:r w:rsidR="004A41E4" w:rsidRPr="00026EC1">
        <w:t>’</w:t>
      </w:r>
      <w:r w:rsidRPr="00026EC1">
        <w:t>absence de recommandation du comité ou mécanisme de sélection prévu à la convention collective.</w:t>
      </w:r>
    </w:p>
    <w:p w14:paraId="2DD278D1" w14:textId="77777777" w:rsidR="00DF6239" w:rsidRPr="00026EC1" w:rsidRDefault="00DF6239" w:rsidP="00A64613">
      <w:pPr>
        <w:pStyle w:val="Texte1cm"/>
        <w:keepNext w:val="0"/>
      </w:pPr>
    </w:p>
    <w:p w14:paraId="7E71A33E" w14:textId="5862AF58" w:rsidR="00DF6239" w:rsidRPr="00026EC1" w:rsidRDefault="00DF6239" w:rsidP="00A64613">
      <w:pPr>
        <w:pStyle w:val="Texte1cm"/>
        <w:keepNext w:val="0"/>
      </w:pPr>
      <w:r w:rsidRPr="00026EC1">
        <w:t>Par la suite</w:t>
      </w:r>
      <w:r w:rsidR="00A32AEB" w:rsidRPr="00316277">
        <w:t>,</w:t>
      </w:r>
      <w:r w:rsidRPr="00026EC1">
        <w:t xml:space="preserve"> l</w:t>
      </w:r>
      <w:r w:rsidR="004A41E4" w:rsidRPr="00026EC1">
        <w:t>’</w:t>
      </w:r>
      <w:r w:rsidRPr="00026EC1">
        <w:t>année de son replacement</w:t>
      </w:r>
      <w:r w:rsidR="000B167A" w:rsidRPr="00316277">
        <w:rPr>
          <w:rFonts w:cs="Arial"/>
          <w:b/>
          <w:szCs w:val="24"/>
        </w:rPr>
        <w:t xml:space="preserve"> </w:t>
      </w:r>
      <w:r w:rsidR="000B167A" w:rsidRPr="00316277">
        <w:rPr>
          <w:rStyle w:val="ElevSoulign"/>
          <w:rFonts w:cs="Arial"/>
          <w:b w:val="0"/>
          <w:szCs w:val="24"/>
          <w:u w:val="none"/>
        </w:rPr>
        <w:t>et l’année suivante</w:t>
      </w:r>
      <w:r w:rsidRPr="00316277">
        <w:t>,</w:t>
      </w:r>
      <w:r w:rsidRPr="00026EC1">
        <w:t xml:space="preserve"> l</w:t>
      </w:r>
      <w:r w:rsidR="004A41E4" w:rsidRPr="00026EC1">
        <w:t>’</w:t>
      </w:r>
      <w:r w:rsidRPr="00026EC1">
        <w:t>enseignante ou l</w:t>
      </w:r>
      <w:r w:rsidR="004A41E4" w:rsidRPr="00026EC1">
        <w:t>’</w:t>
      </w:r>
      <w:r w:rsidRPr="00026EC1">
        <w:t>enseignant qui exerce son droit de retour dans un poste disponible n</w:t>
      </w:r>
      <w:r w:rsidR="004A41E4" w:rsidRPr="00026EC1">
        <w:t>’</w:t>
      </w:r>
      <w:r w:rsidRPr="00026EC1">
        <w:t>occupe ce poste dans son Collège qu</w:t>
      </w:r>
      <w:r w:rsidR="004A41E4" w:rsidRPr="00026EC1">
        <w:t>’</w:t>
      </w:r>
      <w:r w:rsidRPr="00026EC1">
        <w:t>au début de la session suivante.</w:t>
      </w:r>
    </w:p>
    <w:p w14:paraId="68908000" w14:textId="77777777" w:rsidR="00DF6239" w:rsidRPr="00026EC1" w:rsidRDefault="00DF6239" w:rsidP="00A64613">
      <w:pPr>
        <w:pStyle w:val="Texte1cm"/>
        <w:keepNext w:val="0"/>
      </w:pPr>
    </w:p>
    <w:p w14:paraId="0A8B7138" w14:textId="7F6B8A69" w:rsidR="00DF6239" w:rsidRPr="00026EC1" w:rsidRDefault="00DF6239" w:rsidP="00A64613">
      <w:pPr>
        <w:pStyle w:val="Texte1cm"/>
        <w:keepNext w:val="0"/>
      </w:pPr>
      <w:r w:rsidRPr="00026EC1">
        <w:t>De plus, l</w:t>
      </w:r>
      <w:r w:rsidR="004A41E4" w:rsidRPr="00026EC1">
        <w:t>’</w:t>
      </w:r>
      <w:r w:rsidRPr="00026EC1">
        <w:t>enseignante ou l</w:t>
      </w:r>
      <w:r w:rsidR="004A41E4" w:rsidRPr="00026EC1">
        <w:t>’</w:t>
      </w:r>
      <w:r w:rsidRPr="00026EC1">
        <w:t>enseignant qui, l</w:t>
      </w:r>
      <w:r w:rsidR="004A41E4" w:rsidRPr="00026EC1">
        <w:t>’</w:t>
      </w:r>
      <w:r w:rsidRPr="00026EC1">
        <w:t>année de son replacement</w:t>
      </w:r>
      <w:r w:rsidR="00A32AEB">
        <w:t xml:space="preserve"> </w:t>
      </w:r>
      <w:r w:rsidR="00A32AEB" w:rsidRPr="00316277">
        <w:t>ou l’année suivante</w:t>
      </w:r>
      <w:r w:rsidRPr="00316277">
        <w:t>,</w:t>
      </w:r>
      <w:r w:rsidRPr="00026EC1">
        <w:t xml:space="preserve"> désire exercer son droit de retour dans un poste disponible inscrit aux listes du Bureau de placement prévues aux alinéas B) et C) ci</w:t>
      </w:r>
      <w:r w:rsidR="00984A6F">
        <w:noBreakHyphen/>
      </w:r>
      <w:r w:rsidRPr="00026EC1">
        <w:t>dessous en informe le Bureau de placement par écrit avant le 1</w:t>
      </w:r>
      <w:r w:rsidRPr="00026EC1">
        <w:rPr>
          <w:vertAlign w:val="superscript"/>
        </w:rPr>
        <w:t>er</w:t>
      </w:r>
      <w:r w:rsidRPr="00026EC1">
        <w:t> mai de cette année.</w:t>
      </w:r>
    </w:p>
    <w:p w14:paraId="2283366E" w14:textId="77777777" w:rsidR="00DF6239" w:rsidRPr="00026EC1" w:rsidRDefault="00DF6239" w:rsidP="00A64613">
      <w:pPr>
        <w:pStyle w:val="Texte1cm"/>
        <w:keepNext w:val="0"/>
      </w:pPr>
    </w:p>
    <w:p w14:paraId="1ECBDF92" w14:textId="670D4DFF" w:rsidR="00DF6239" w:rsidRPr="00026EC1" w:rsidRDefault="00DF6239" w:rsidP="00A64613">
      <w:pPr>
        <w:pStyle w:val="Texte1cm"/>
        <w:keepNext w:val="0"/>
      </w:pPr>
      <w:r w:rsidRPr="00026EC1">
        <w:t>Toutefois, l</w:t>
      </w:r>
      <w:r w:rsidR="004A41E4" w:rsidRPr="00026EC1">
        <w:t>’</w:t>
      </w:r>
      <w:r w:rsidRPr="00026EC1">
        <w:t>enseignante ou l</w:t>
      </w:r>
      <w:r w:rsidR="004A41E4" w:rsidRPr="00026EC1">
        <w:t>’</w:t>
      </w:r>
      <w:r w:rsidRPr="00026EC1">
        <w:t>enseignant qui est replacé en conformité avec le sous</w:t>
      </w:r>
      <w:r w:rsidR="00984A6F">
        <w:noBreakHyphen/>
      </w:r>
      <w:r w:rsidRPr="00026EC1">
        <w:t>alinéa</w:t>
      </w:r>
      <w:r w:rsidR="00757E12" w:rsidRPr="00026EC1">
        <w:t> </w:t>
      </w:r>
      <w:r w:rsidRPr="00026EC1">
        <w:t>6 (deuxième (2</w:t>
      </w:r>
      <w:r w:rsidRPr="00026EC1">
        <w:rPr>
          <w:vertAlign w:val="superscript"/>
        </w:rPr>
        <w:t>e</w:t>
      </w:r>
      <w:r w:rsidRPr="00026EC1">
        <w:t>)</w:t>
      </w:r>
      <w:r w:rsidR="00597067">
        <w:t> </w:t>
      </w:r>
      <w:r w:rsidRPr="00026EC1">
        <w:t>paragraphe)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w:t>
      </w:r>
      <w:r w:rsidRPr="00026EC1">
        <w:rPr>
          <w:bCs/>
        </w:rPr>
        <w:t xml:space="preserve"> </w:t>
      </w:r>
      <w:r w:rsidRPr="00026EC1">
        <w:t>ne bénéficie pas du droit de retour prévu au présent alinéa. De plus, elle ou il est réputé ne plus être à l</w:t>
      </w:r>
      <w:r w:rsidR="004A41E4" w:rsidRPr="00026EC1">
        <w:t>’</w:t>
      </w:r>
      <w:r w:rsidRPr="00026EC1">
        <w:t>emploi de son ancien Collège à compter de l</w:t>
      </w:r>
      <w:r w:rsidR="004A41E4" w:rsidRPr="00026EC1">
        <w:t>’</w:t>
      </w:r>
      <w:r w:rsidRPr="00026EC1">
        <w:t>entrée en vigueur de son contrat dans son nouveau Collège.</w:t>
      </w:r>
    </w:p>
    <w:p w14:paraId="0E4CB411" w14:textId="77777777" w:rsidR="00DF6239" w:rsidRPr="00026EC1" w:rsidRDefault="00DF6239" w:rsidP="00A64613">
      <w:pPr>
        <w:pStyle w:val="Texte1cm"/>
        <w:keepNext w:val="0"/>
      </w:pPr>
    </w:p>
    <w:p w14:paraId="12588D19" w14:textId="609498A9" w:rsidR="008E16D8" w:rsidRDefault="00275751" w:rsidP="00A64613">
      <w:pPr>
        <w:keepNext w:val="0"/>
        <w:tabs>
          <w:tab w:val="left" w:pos="567"/>
        </w:tabs>
        <w:ind w:left="567" w:hanging="567"/>
      </w:pPr>
      <w:r w:rsidRPr="00026EC1">
        <w:t>B)</w:t>
      </w:r>
      <w:r w:rsidRPr="00026EC1">
        <w:tab/>
      </w:r>
      <w:r w:rsidR="008E16D8" w:rsidRPr="00316277">
        <w:rPr>
          <w:b/>
          <w:bCs/>
          <w:u w:val="single"/>
        </w:rPr>
        <w:t>Première (1</w:t>
      </w:r>
      <w:r w:rsidR="008E16D8" w:rsidRPr="00316277">
        <w:rPr>
          <w:b/>
          <w:bCs/>
          <w:u w:val="single"/>
          <w:vertAlign w:val="superscript"/>
        </w:rPr>
        <w:t>re</w:t>
      </w:r>
      <w:r w:rsidR="008E16D8" w:rsidRPr="00316277">
        <w:rPr>
          <w:b/>
          <w:bCs/>
          <w:u w:val="single"/>
        </w:rPr>
        <w:t xml:space="preserve">) liste – </w:t>
      </w:r>
      <w:r w:rsidR="008E49AE" w:rsidRPr="00316277">
        <w:rPr>
          <w:b/>
          <w:bCs/>
          <w:u w:val="single"/>
        </w:rPr>
        <w:t>I</w:t>
      </w:r>
      <w:r w:rsidR="008E16D8" w:rsidRPr="00316277">
        <w:rPr>
          <w:b/>
          <w:bCs/>
          <w:u w:val="single"/>
        </w:rPr>
        <w:t>nformations transmises par le Bureau de placement</w:t>
      </w:r>
    </w:p>
    <w:p w14:paraId="2FA4A35A" w14:textId="2C74A7DD" w:rsidR="00DF6239" w:rsidRPr="00026EC1" w:rsidRDefault="00DF6239" w:rsidP="008E16D8">
      <w:pPr>
        <w:keepNext w:val="0"/>
        <w:tabs>
          <w:tab w:val="left" w:pos="567"/>
        </w:tabs>
        <w:ind w:left="567"/>
      </w:pPr>
      <w:r w:rsidRPr="00026EC1">
        <w:t xml:space="preserve">Le Bureau de placement fait parvenir, au plus tard le </w:t>
      </w:r>
      <w:r w:rsidRPr="00026EC1">
        <w:rPr>
          <w:bCs/>
        </w:rPr>
        <w:t>10 juin</w:t>
      </w:r>
      <w:r w:rsidRPr="00026EC1">
        <w:t>, à chaque enseignante ou enseignant mis en disponibilité inscrit au Bureau, une même liste indiquant</w:t>
      </w:r>
      <w:r w:rsidR="00D8581B">
        <w:t> :</w:t>
      </w:r>
    </w:p>
    <w:p w14:paraId="5A1B8FDB" w14:textId="77777777" w:rsidR="00DF6239" w:rsidRPr="00026EC1" w:rsidRDefault="00DF6239" w:rsidP="00A64613">
      <w:pPr>
        <w:keepNext w:val="0"/>
      </w:pPr>
    </w:p>
    <w:p w14:paraId="6E6AAE6E" w14:textId="77777777" w:rsidR="00DF6239" w:rsidRPr="00026EC1" w:rsidRDefault="00275751" w:rsidP="00A64613">
      <w:pPr>
        <w:keepNext w:val="0"/>
        <w:tabs>
          <w:tab w:val="left" w:pos="1134"/>
        </w:tabs>
        <w:ind w:left="1134" w:hanging="567"/>
      </w:pPr>
      <w:r w:rsidRPr="00026EC1">
        <w:t>1)</w:t>
      </w:r>
      <w:r w:rsidRPr="00026EC1">
        <w:tab/>
      </w:r>
      <w:r w:rsidR="00DF6239" w:rsidRPr="00026EC1">
        <w:t>les postes d</w:t>
      </w:r>
      <w:r w:rsidR="004A41E4" w:rsidRPr="00026EC1">
        <w:t>’</w:t>
      </w:r>
      <w:r w:rsidR="00DF6239" w:rsidRPr="00026EC1">
        <w:t>enseignement disponibles de même que les charges annuelles de remplacement à temps complet par Collège et par discipline en indiquant la langue d</w:t>
      </w:r>
      <w:r w:rsidR="004A41E4" w:rsidRPr="00026EC1">
        <w:t>’</w:t>
      </w:r>
      <w:r w:rsidR="00DF6239" w:rsidRPr="00026EC1">
        <w:t xml:space="preserve">enseignement; </w:t>
      </w:r>
    </w:p>
    <w:p w14:paraId="0DB2A50E" w14:textId="77777777" w:rsidR="00DF6239" w:rsidRPr="00026EC1" w:rsidRDefault="00DF6239" w:rsidP="00A64613">
      <w:pPr>
        <w:keepNext w:val="0"/>
      </w:pPr>
    </w:p>
    <w:p w14:paraId="1972BD90" w14:textId="77777777" w:rsidR="00DF6239" w:rsidRPr="00026EC1" w:rsidRDefault="00275751" w:rsidP="00A64613">
      <w:pPr>
        <w:keepNext w:val="0"/>
        <w:tabs>
          <w:tab w:val="left" w:pos="1134"/>
        </w:tabs>
        <w:ind w:left="1134" w:hanging="567"/>
      </w:pPr>
      <w:r w:rsidRPr="00026EC1">
        <w:t>2)</w:t>
      </w:r>
      <w:r w:rsidRPr="00026EC1">
        <w:tab/>
      </w:r>
      <w:r w:rsidR="00DF6239" w:rsidRPr="00026EC1">
        <w:t>le nom des enseignantes et enseignants mis en disponibilité, de celles et ceux qui désirent exercer leur droit de retour et, pour chacune d</w:t>
      </w:r>
      <w:r w:rsidR="004A41E4" w:rsidRPr="00026EC1">
        <w:t>’</w:t>
      </w:r>
      <w:r w:rsidR="00DF6239" w:rsidRPr="00026EC1">
        <w:t>elles et chacun d</w:t>
      </w:r>
      <w:r w:rsidR="004A41E4" w:rsidRPr="00026EC1">
        <w:t>’</w:t>
      </w:r>
      <w:r w:rsidR="00DF6239" w:rsidRPr="00026EC1">
        <w:t>eux, son ancienneté au dernier jour de l</w:t>
      </w:r>
      <w:r w:rsidR="004A41E4" w:rsidRPr="00026EC1">
        <w:t>’</w:t>
      </w:r>
      <w:r w:rsidR="00DF6239" w:rsidRPr="00026EC1">
        <w:t>année d</w:t>
      </w:r>
      <w:r w:rsidR="004A41E4" w:rsidRPr="00026EC1">
        <w:t>’</w:t>
      </w:r>
      <w:r w:rsidR="00DF6239" w:rsidRPr="00026EC1">
        <w:t>engagement en cours, son expérience, sa scolarité, sa discipline, son Collège et sa langue d</w:t>
      </w:r>
      <w:r w:rsidR="004A41E4" w:rsidRPr="00026EC1">
        <w:t>’</w:t>
      </w:r>
      <w:r w:rsidR="00DF6239" w:rsidRPr="00026EC1">
        <w:t>enseignement.</w:t>
      </w:r>
    </w:p>
    <w:p w14:paraId="61DF0EFC" w14:textId="77777777" w:rsidR="00DF6239" w:rsidRPr="00026EC1" w:rsidRDefault="00DF6239" w:rsidP="00A64613">
      <w:pPr>
        <w:pStyle w:val="Texte1cm"/>
        <w:keepNext w:val="0"/>
      </w:pPr>
    </w:p>
    <w:p w14:paraId="454EB2F0" w14:textId="77777777" w:rsidR="00DF6239" w:rsidRPr="00026EC1" w:rsidRDefault="00DF6239" w:rsidP="00A64613">
      <w:pPr>
        <w:pStyle w:val="Texte1cm"/>
        <w:keepNext w:val="0"/>
      </w:pPr>
      <w:r w:rsidRPr="00026EC1">
        <w:t xml:space="preserve">De même, le Bureau de placement fait parvenir à chacun des Collèges et des Syndicats, au plus tard le </w:t>
      </w:r>
      <w:r w:rsidRPr="00026EC1">
        <w:rPr>
          <w:bCs/>
        </w:rPr>
        <w:t>10 juin</w:t>
      </w:r>
      <w:r w:rsidRPr="00026EC1">
        <w:t>, le nom des enseignantes et enseignants non permanents à temps complet et, pour chacune d</w:t>
      </w:r>
      <w:r w:rsidR="004A41E4" w:rsidRPr="00026EC1">
        <w:t>’</w:t>
      </w:r>
      <w:r w:rsidRPr="00026EC1">
        <w:t>elles et chacun d</w:t>
      </w:r>
      <w:r w:rsidR="004A41E4" w:rsidRPr="00026EC1">
        <w:t>’</w:t>
      </w:r>
      <w:r w:rsidRPr="00026EC1">
        <w:t>eux, son ancienneté au dernier jour de l</w:t>
      </w:r>
      <w:r w:rsidR="004A41E4" w:rsidRPr="00026EC1">
        <w:t>’</w:t>
      </w:r>
      <w:r w:rsidRPr="00026EC1">
        <w:t>année d</w:t>
      </w:r>
      <w:r w:rsidR="004A41E4" w:rsidRPr="00026EC1">
        <w:t>’</w:t>
      </w:r>
      <w:r w:rsidRPr="00026EC1">
        <w:t>engagement en cours, son expérience, sa scolarité, sa discipline, son Collège et sa langue d</w:t>
      </w:r>
      <w:r w:rsidR="004A41E4" w:rsidRPr="00026EC1">
        <w:t>’</w:t>
      </w:r>
      <w:r w:rsidRPr="00026EC1">
        <w:t>enseignement.</w:t>
      </w:r>
    </w:p>
    <w:p w14:paraId="77336F69" w14:textId="77777777" w:rsidR="00DF6239" w:rsidRPr="00026EC1" w:rsidRDefault="00DF6239" w:rsidP="00A64613">
      <w:pPr>
        <w:pStyle w:val="Texte1cm"/>
        <w:keepNext w:val="0"/>
      </w:pPr>
    </w:p>
    <w:p w14:paraId="1EF46548" w14:textId="15098F03" w:rsidR="004B4428" w:rsidRDefault="00275751" w:rsidP="00A64613">
      <w:pPr>
        <w:keepNext w:val="0"/>
        <w:tabs>
          <w:tab w:val="left" w:pos="567"/>
        </w:tabs>
        <w:ind w:left="567" w:hanging="567"/>
      </w:pPr>
      <w:r w:rsidRPr="00026EC1">
        <w:t>C)</w:t>
      </w:r>
      <w:r w:rsidRPr="00026EC1">
        <w:tab/>
      </w:r>
      <w:r w:rsidR="004B4428" w:rsidRPr="00316277">
        <w:rPr>
          <w:b/>
          <w:bCs/>
          <w:u w:val="single"/>
        </w:rPr>
        <w:t>Deuxième (</w:t>
      </w:r>
      <w:r w:rsidR="00AB1886" w:rsidRPr="00316277">
        <w:rPr>
          <w:b/>
          <w:bCs/>
          <w:u w:val="single"/>
        </w:rPr>
        <w:t>2</w:t>
      </w:r>
      <w:r w:rsidR="004B4428" w:rsidRPr="00316277">
        <w:rPr>
          <w:b/>
          <w:bCs/>
          <w:u w:val="single"/>
          <w:vertAlign w:val="superscript"/>
        </w:rPr>
        <w:t>e</w:t>
      </w:r>
      <w:r w:rsidR="004B4428" w:rsidRPr="00316277">
        <w:rPr>
          <w:b/>
          <w:bCs/>
          <w:u w:val="single"/>
        </w:rPr>
        <w:t>) et troisième (3</w:t>
      </w:r>
      <w:r w:rsidR="004B4428" w:rsidRPr="00316277">
        <w:rPr>
          <w:b/>
          <w:bCs/>
          <w:u w:val="single"/>
          <w:vertAlign w:val="superscript"/>
        </w:rPr>
        <w:t>e</w:t>
      </w:r>
      <w:r w:rsidR="004B4428" w:rsidRPr="00316277">
        <w:rPr>
          <w:b/>
          <w:bCs/>
          <w:u w:val="single"/>
        </w:rPr>
        <w:t xml:space="preserve">) liste – </w:t>
      </w:r>
      <w:r w:rsidR="008E49AE" w:rsidRPr="00316277">
        <w:rPr>
          <w:b/>
          <w:bCs/>
          <w:u w:val="single"/>
        </w:rPr>
        <w:t>I</w:t>
      </w:r>
      <w:r w:rsidR="00AB1886" w:rsidRPr="00316277">
        <w:rPr>
          <w:b/>
          <w:bCs/>
          <w:u w:val="single"/>
        </w:rPr>
        <w:t>nformations transmises par le Bureau de placement</w:t>
      </w:r>
    </w:p>
    <w:p w14:paraId="0B460144" w14:textId="27130004" w:rsidR="00DF6239" w:rsidRPr="00026EC1" w:rsidRDefault="00DF6239" w:rsidP="004B4428">
      <w:pPr>
        <w:keepNext w:val="0"/>
        <w:tabs>
          <w:tab w:val="left" w:pos="567"/>
        </w:tabs>
        <w:ind w:left="567"/>
      </w:pPr>
      <w:r w:rsidRPr="00026EC1">
        <w:t>Par la suite, le Bureau de placement expédie une deuxième (2</w:t>
      </w:r>
      <w:r w:rsidRPr="00026EC1">
        <w:rPr>
          <w:vertAlign w:val="superscript"/>
        </w:rPr>
        <w:t>e</w:t>
      </w:r>
      <w:r w:rsidRPr="00026EC1">
        <w:t>) liste au plus tard le</w:t>
      </w:r>
      <w:r w:rsidR="00CA0440">
        <w:t> </w:t>
      </w:r>
      <w:r w:rsidRPr="00026EC1">
        <w:rPr>
          <w:bCs/>
        </w:rPr>
        <w:t>10</w:t>
      </w:r>
      <w:r w:rsidR="00D90D85">
        <w:rPr>
          <w:bCs/>
        </w:rPr>
        <w:t> </w:t>
      </w:r>
      <w:r w:rsidRPr="00026EC1">
        <w:rPr>
          <w:bCs/>
        </w:rPr>
        <w:t>août</w:t>
      </w:r>
      <w:r w:rsidRPr="00026EC1">
        <w:t xml:space="preserve"> qui ne contient que les renseignements prévus au sous</w:t>
      </w:r>
      <w:r w:rsidR="00984A6F">
        <w:noBreakHyphen/>
      </w:r>
      <w:r w:rsidRPr="00026EC1">
        <w:t>alinéa 1) de l</w:t>
      </w:r>
      <w:r w:rsidR="004A41E4" w:rsidRPr="00026EC1">
        <w:t>’</w:t>
      </w:r>
      <w:r w:rsidRPr="00026EC1">
        <w:t>alinéa B) de la présente clause.</w:t>
      </w:r>
    </w:p>
    <w:p w14:paraId="17AB3365" w14:textId="77777777" w:rsidR="00DF6239" w:rsidRPr="00026EC1" w:rsidRDefault="00DF6239" w:rsidP="00A64613">
      <w:pPr>
        <w:pStyle w:val="Texte1cm"/>
        <w:keepNext w:val="0"/>
      </w:pPr>
    </w:p>
    <w:p w14:paraId="1DDF6B2E" w14:textId="77777777" w:rsidR="00DF6239" w:rsidRPr="00026EC1" w:rsidRDefault="00DF6239" w:rsidP="00A64613">
      <w:pPr>
        <w:pStyle w:val="Texte1cm"/>
        <w:keepNext w:val="0"/>
        <w:rPr>
          <w:bCs/>
        </w:rPr>
      </w:pPr>
      <w:r w:rsidRPr="00026EC1">
        <w:t>Enfin, il expédie au plus tard le 7 octobre une troisième (3</w:t>
      </w:r>
      <w:r w:rsidRPr="00026EC1">
        <w:rPr>
          <w:vertAlign w:val="superscript"/>
        </w:rPr>
        <w:t>e</w:t>
      </w:r>
      <w:r w:rsidRPr="00026EC1">
        <w:t>) liste des postes disponibles par Collège et par discipline en indiquant la langue d</w:t>
      </w:r>
      <w:r w:rsidR="004A41E4" w:rsidRPr="00026EC1">
        <w:t>’</w:t>
      </w:r>
      <w:r w:rsidRPr="00026EC1">
        <w:t xml:space="preserve">enseignement. </w:t>
      </w:r>
    </w:p>
    <w:p w14:paraId="1F1F941D" w14:textId="77777777" w:rsidR="00DF6239" w:rsidRPr="00026EC1" w:rsidRDefault="00DF6239" w:rsidP="00A64613">
      <w:pPr>
        <w:pStyle w:val="Texte1cm"/>
        <w:keepNext w:val="0"/>
      </w:pPr>
    </w:p>
    <w:p w14:paraId="2658B9CD" w14:textId="7C299131" w:rsidR="00122C12" w:rsidRDefault="00275751" w:rsidP="00A64613">
      <w:pPr>
        <w:keepNext w:val="0"/>
        <w:tabs>
          <w:tab w:val="left" w:pos="567"/>
        </w:tabs>
        <w:ind w:left="567" w:hanging="567"/>
        <w:rPr>
          <w:b/>
          <w:bCs/>
          <w:u w:val="single"/>
        </w:rPr>
      </w:pPr>
      <w:r w:rsidRPr="00026EC1">
        <w:t>D)</w:t>
      </w:r>
      <w:r w:rsidRPr="00026EC1">
        <w:tab/>
      </w:r>
      <w:r w:rsidR="00122C12" w:rsidRPr="00316277">
        <w:rPr>
          <w:b/>
          <w:bCs/>
          <w:u w:val="single"/>
        </w:rPr>
        <w:t>Droits et obligations de l’enseignante ou l’enseignant mis en disponibilité</w:t>
      </w:r>
    </w:p>
    <w:p w14:paraId="1E4ACF91" w14:textId="77777777" w:rsidR="00936881" w:rsidRDefault="00936881" w:rsidP="00A64613">
      <w:pPr>
        <w:keepNext w:val="0"/>
        <w:tabs>
          <w:tab w:val="left" w:pos="567"/>
        </w:tabs>
        <w:ind w:left="567" w:hanging="567"/>
      </w:pPr>
    </w:p>
    <w:p w14:paraId="4BDDE474" w14:textId="634D4244" w:rsidR="00936881" w:rsidRPr="00936881" w:rsidRDefault="00936881" w:rsidP="00122C12">
      <w:pPr>
        <w:keepNext w:val="0"/>
        <w:tabs>
          <w:tab w:val="left" w:pos="567"/>
        </w:tabs>
        <w:ind w:left="567"/>
        <w:rPr>
          <w:b/>
          <w:bCs/>
          <w:u w:val="single"/>
        </w:rPr>
      </w:pPr>
      <w:r w:rsidRPr="00316277">
        <w:rPr>
          <w:b/>
          <w:bCs/>
          <w:u w:val="single"/>
        </w:rPr>
        <w:t>Poste – Replacement sur une base volontaire</w:t>
      </w:r>
    </w:p>
    <w:p w14:paraId="1981CC31" w14:textId="296D6126" w:rsidR="00DF6239" w:rsidRPr="00026EC1" w:rsidRDefault="00DF6239" w:rsidP="00122C12">
      <w:pPr>
        <w:keepNext w:val="0"/>
        <w:tabs>
          <w:tab w:val="left" w:pos="567"/>
        </w:tabs>
        <w:ind w:left="567"/>
      </w:pPr>
      <w:r w:rsidRPr="00026EC1">
        <w:t>L</w:t>
      </w:r>
      <w:r w:rsidR="004A41E4" w:rsidRPr="00026EC1">
        <w:t>’</w:t>
      </w:r>
      <w:r w:rsidRPr="00026EC1">
        <w:t>enseignante ou l</w:t>
      </w:r>
      <w:r w:rsidR="004A41E4" w:rsidRPr="00026EC1">
        <w:t>’</w:t>
      </w:r>
      <w:r w:rsidRPr="00026EC1">
        <w:t>enseignant fait connaître son intention d</w:t>
      </w:r>
      <w:r w:rsidR="004A41E4" w:rsidRPr="00026EC1">
        <w:t>’</w:t>
      </w:r>
      <w:r w:rsidRPr="00026EC1">
        <w:t>être replacé sur une base volontaire en conformité avec les sous</w:t>
      </w:r>
      <w:r w:rsidR="00984A6F">
        <w:noBreakHyphen/>
      </w:r>
      <w:r w:rsidRPr="00026EC1">
        <w:t>alinéas</w:t>
      </w:r>
      <w:r w:rsidR="000F2D2C" w:rsidRPr="00026EC1">
        <w:t> </w:t>
      </w:r>
      <w:r w:rsidRPr="00026EC1">
        <w:t>4</w:t>
      </w:r>
      <w:r w:rsidR="00A32AEB">
        <w:t xml:space="preserve"> </w:t>
      </w:r>
      <w:r w:rsidR="008E49AE" w:rsidRPr="00316277">
        <w:t>(</w:t>
      </w:r>
      <w:r w:rsidR="00A32AEB" w:rsidRPr="00316277">
        <w:t>premier</w:t>
      </w:r>
      <w:r w:rsidR="003C0C34" w:rsidRPr="00316277">
        <w:t> </w:t>
      </w:r>
      <w:r w:rsidR="00A32AEB" w:rsidRPr="00316277">
        <w:t>(1</w:t>
      </w:r>
      <w:r w:rsidR="00A32AEB" w:rsidRPr="00316277">
        <w:rPr>
          <w:vertAlign w:val="superscript"/>
        </w:rPr>
        <w:t>er</w:t>
      </w:r>
      <w:r w:rsidR="00A32AEB" w:rsidRPr="00316277">
        <w:t>) paragraphe</w:t>
      </w:r>
      <w:r w:rsidR="008E49AE" w:rsidRPr="00316277">
        <w:t>)</w:t>
      </w:r>
      <w:r w:rsidRPr="00026EC1">
        <w:t xml:space="preserve"> et 5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Elle ou il exprime son choix pour un ou des postes disponibles dans la zone de son Collège ou, dans un Collège d</w:t>
      </w:r>
      <w:r w:rsidR="004A41E4" w:rsidRPr="00026EC1">
        <w:t>’</w:t>
      </w:r>
      <w:r w:rsidRPr="00026EC1">
        <w:t xml:space="preserve">une autre zone, dans sa discipline, en indiquant son ordre de préférence. </w:t>
      </w:r>
    </w:p>
    <w:p w14:paraId="23833B5C" w14:textId="77777777" w:rsidR="00DF6239" w:rsidRPr="00026EC1" w:rsidRDefault="00DF6239" w:rsidP="00A64613">
      <w:pPr>
        <w:pStyle w:val="Texte1cm"/>
        <w:keepNext w:val="0"/>
      </w:pPr>
    </w:p>
    <w:p w14:paraId="7C88FDCD" w14:textId="671FFE1A"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fait connaître son intention d</w:t>
      </w:r>
      <w:r w:rsidR="004A41E4" w:rsidRPr="00026EC1">
        <w:t>’</w:t>
      </w:r>
      <w:r w:rsidRPr="00026EC1">
        <w:t>être replacé sur une base volontaire en conformité avec les sous</w:t>
      </w:r>
      <w:r w:rsidR="00984A6F">
        <w:noBreakHyphen/>
      </w:r>
      <w:r w:rsidRPr="00026EC1">
        <w:t>alinéas</w:t>
      </w:r>
      <w:r w:rsidR="00757E12" w:rsidRPr="00026EC1">
        <w:t> </w:t>
      </w:r>
      <w:r w:rsidRPr="00026EC1">
        <w:t>10 à 13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Elle ou il exprime son choix pour un ou des postes disponibles dans la zone de son collège ou, dans un collège d</w:t>
      </w:r>
      <w:r w:rsidR="004A41E4" w:rsidRPr="00026EC1">
        <w:t>’</w:t>
      </w:r>
      <w:r w:rsidRPr="00026EC1">
        <w:t>une autre zone, dans une autre discipline, en indiquant son ordre de préférence. Toutefois, pour l</w:t>
      </w:r>
      <w:r w:rsidR="004A41E4" w:rsidRPr="00026EC1">
        <w:t>’</w:t>
      </w:r>
      <w:r w:rsidRPr="00026EC1">
        <w:t>enseignante ou l</w:t>
      </w:r>
      <w:r w:rsidR="004A41E4" w:rsidRPr="00026EC1">
        <w:t>’</w:t>
      </w:r>
      <w:r w:rsidRPr="00026EC1">
        <w:t>enseignant qui bénéficie d</w:t>
      </w:r>
      <w:r w:rsidR="004A41E4" w:rsidRPr="00026EC1">
        <w:t>’</w:t>
      </w:r>
      <w:r w:rsidRPr="00026EC1">
        <w:t>un recyclage en vertu de la clause</w:t>
      </w:r>
      <w:r w:rsidR="0061766F" w:rsidRPr="00026EC1">
        <w:t> </w:t>
      </w:r>
      <w:r w:rsidRPr="00026EC1">
        <w:t>5</w:t>
      </w:r>
      <w:r w:rsidR="00984A6F">
        <w:noBreakHyphen/>
      </w:r>
      <w:r w:rsidRPr="00026EC1">
        <w:t>4.22 et qui est visé par les sous</w:t>
      </w:r>
      <w:r w:rsidR="00984A6F">
        <w:noBreakHyphen/>
      </w:r>
      <w:r w:rsidRPr="00026EC1">
        <w:t>alinéas</w:t>
      </w:r>
      <w:r w:rsidR="00757E12" w:rsidRPr="00026EC1">
        <w:t> </w:t>
      </w:r>
      <w:r w:rsidRPr="00026EC1">
        <w:t>11 et 13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ces choix peuvent être signifiés uniquement pour les postes disponibles lors de la parution de la première</w:t>
      </w:r>
      <w:r w:rsidR="00D90D85">
        <w:t> </w:t>
      </w:r>
      <w:r w:rsidRPr="00026EC1">
        <w:t>(1</w:t>
      </w:r>
      <w:r w:rsidRPr="00026EC1">
        <w:rPr>
          <w:vertAlign w:val="superscript"/>
        </w:rPr>
        <w:t>re</w:t>
      </w:r>
      <w:r w:rsidRPr="00026EC1">
        <w:t>) liste.</w:t>
      </w:r>
    </w:p>
    <w:p w14:paraId="2E7DA952" w14:textId="77777777" w:rsidR="00DF6239" w:rsidRDefault="00DF6239" w:rsidP="00F475F1">
      <w:pPr>
        <w:pStyle w:val="Texte1cm"/>
        <w:keepNext w:val="0"/>
      </w:pPr>
    </w:p>
    <w:p w14:paraId="2172DAE4" w14:textId="43D1F295" w:rsidR="00F475F1" w:rsidRPr="00F475F1" w:rsidRDefault="00F475F1" w:rsidP="00F475F1">
      <w:pPr>
        <w:pStyle w:val="Texte1cm"/>
        <w:keepNext w:val="0"/>
        <w:rPr>
          <w:b/>
          <w:bCs/>
          <w:u w:val="single"/>
        </w:rPr>
      </w:pPr>
      <w:r w:rsidRPr="00316277">
        <w:rPr>
          <w:b/>
          <w:bCs/>
          <w:u w:val="single"/>
        </w:rPr>
        <w:t>Poste – Collège de la même zone</w:t>
      </w:r>
    </w:p>
    <w:p w14:paraId="25D56E68" w14:textId="390CA407" w:rsidR="00DF6239" w:rsidRPr="00026EC1" w:rsidRDefault="00DF6239" w:rsidP="00A64613">
      <w:pPr>
        <w:pStyle w:val="Texte1cm"/>
        <w:keepNext w:val="0"/>
        <w:rPr>
          <w:strike/>
        </w:rPr>
      </w:pPr>
      <w:r w:rsidRPr="00026EC1">
        <w:t>L</w:t>
      </w:r>
      <w:r w:rsidR="004A41E4" w:rsidRPr="00026EC1">
        <w:t>’</w:t>
      </w:r>
      <w:r w:rsidRPr="00026EC1">
        <w:t>enseignante ou l</w:t>
      </w:r>
      <w:r w:rsidR="004A41E4" w:rsidRPr="00026EC1">
        <w:t>’</w:t>
      </w:r>
      <w:r w:rsidRPr="00026EC1">
        <w:t>enseignant visé par le sous</w:t>
      </w:r>
      <w:r w:rsidR="00984A6F">
        <w:noBreakHyphen/>
      </w:r>
      <w:r w:rsidRPr="00026EC1">
        <w:t>alinéa</w:t>
      </w:r>
      <w:r w:rsidR="00757E12" w:rsidRPr="00026EC1">
        <w:t> </w:t>
      </w:r>
      <w:r w:rsidRPr="00026EC1">
        <w:t>6 (premier (1</w:t>
      </w:r>
      <w:r w:rsidRPr="00026EC1">
        <w:rPr>
          <w:vertAlign w:val="superscript"/>
        </w:rPr>
        <w:t>er</w:t>
      </w:r>
      <w:r w:rsidRPr="00026EC1">
        <w:t>) paragraphe) de l</w:t>
      </w:r>
      <w:r w:rsidR="004A41E4" w:rsidRPr="00026EC1">
        <w:t>’</w:t>
      </w:r>
      <w:r w:rsidRPr="00026EC1">
        <w:t>alinéa a) de la clause</w:t>
      </w:r>
      <w:r w:rsidR="0061766F" w:rsidRPr="00026EC1">
        <w:t> </w:t>
      </w:r>
      <w:r w:rsidRPr="00026EC1">
        <w:t>5</w:t>
      </w:r>
      <w:r w:rsidR="00984A6F">
        <w:noBreakHyphen/>
      </w:r>
      <w:r w:rsidRPr="00026EC1">
        <w:t>4.17, exprime son choix en indiquant son ordre de préférence pour les postes disponibles dans la zone où est situé son Collège, dans sa discipline.</w:t>
      </w:r>
    </w:p>
    <w:p w14:paraId="07F9476E" w14:textId="53A405EC" w:rsidR="00DF6239" w:rsidRDefault="00DF6239" w:rsidP="00A64613">
      <w:pPr>
        <w:pStyle w:val="Texte1cm"/>
        <w:keepNext w:val="0"/>
        <w:rPr>
          <w:strike/>
        </w:rPr>
      </w:pPr>
    </w:p>
    <w:p w14:paraId="20FF2FF3" w14:textId="44143942" w:rsidR="008E49AE" w:rsidRPr="00F475F1" w:rsidRDefault="008E49AE" w:rsidP="008E49AE">
      <w:pPr>
        <w:pStyle w:val="Texte1cm"/>
        <w:keepNext w:val="0"/>
        <w:rPr>
          <w:b/>
          <w:bCs/>
          <w:u w:val="single"/>
        </w:rPr>
      </w:pPr>
      <w:r w:rsidRPr="00316277">
        <w:rPr>
          <w:b/>
          <w:bCs/>
          <w:u w:val="single"/>
        </w:rPr>
        <w:t>Poste – Collège d’une autre zone</w:t>
      </w:r>
    </w:p>
    <w:p w14:paraId="0135EA8E" w14:textId="2A46ED41"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visé par le sous</w:t>
      </w:r>
      <w:r w:rsidR="00984A6F">
        <w:noBreakHyphen/>
      </w:r>
      <w:r w:rsidRPr="00026EC1">
        <w:t>alinéa</w:t>
      </w:r>
      <w:r w:rsidR="00757E12" w:rsidRPr="00026EC1">
        <w:t> </w:t>
      </w:r>
      <w:r w:rsidRPr="00026EC1">
        <w:t>6 (deuxième (2</w:t>
      </w:r>
      <w:r w:rsidRPr="00026EC1">
        <w:rPr>
          <w:vertAlign w:val="superscript"/>
        </w:rPr>
        <w:t>e</w:t>
      </w:r>
      <w:r w:rsidRPr="00026EC1">
        <w:t>) paragraphe)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exprime son choix en indiquant son ordre de préférence pour les postes disponibles dans un Collège d</w:t>
      </w:r>
      <w:r w:rsidR="004A41E4" w:rsidRPr="00026EC1">
        <w:t>’</w:t>
      </w:r>
      <w:r w:rsidRPr="00026EC1">
        <w:t>une autre zone, dans sa discipline.</w:t>
      </w:r>
    </w:p>
    <w:p w14:paraId="0C7407C8" w14:textId="77777777" w:rsidR="00DF6239" w:rsidRDefault="00DF6239" w:rsidP="00A64613">
      <w:pPr>
        <w:pStyle w:val="Texte1cm"/>
        <w:keepNext w:val="0"/>
      </w:pPr>
    </w:p>
    <w:p w14:paraId="77A50896" w14:textId="77777777" w:rsidR="00BC691F" w:rsidRPr="00026EC1" w:rsidRDefault="00BC691F" w:rsidP="00BC691F">
      <w:pPr>
        <w:pStyle w:val="Texte1cm"/>
        <w:keepNext w:val="0"/>
        <w:rPr>
          <w:strike/>
        </w:rPr>
      </w:pPr>
      <w:r w:rsidRPr="00316277">
        <w:rPr>
          <w:b/>
          <w:bCs/>
          <w:u w:val="single"/>
        </w:rPr>
        <w:t>Poste – Collège du secteur</w:t>
      </w:r>
    </w:p>
    <w:p w14:paraId="5A5B2DFE" w14:textId="650DB603" w:rsidR="00DF6239" w:rsidRPr="00026EC1" w:rsidRDefault="00DF6239" w:rsidP="00A64613">
      <w:pPr>
        <w:pStyle w:val="Texte1cm"/>
        <w:keepNext w:val="0"/>
        <w:rPr>
          <w:bCs/>
        </w:rPr>
      </w:pPr>
      <w:r w:rsidRPr="00026EC1">
        <w:t>L</w:t>
      </w:r>
      <w:r w:rsidR="004A41E4" w:rsidRPr="00026EC1">
        <w:t>’</w:t>
      </w:r>
      <w:r w:rsidRPr="00026EC1">
        <w:t>enseignante ou l</w:t>
      </w:r>
      <w:r w:rsidR="004A41E4" w:rsidRPr="00026EC1">
        <w:t>’</w:t>
      </w:r>
      <w:r w:rsidRPr="00026EC1">
        <w:t>enseignant visé par le sous</w:t>
      </w:r>
      <w:r w:rsidR="00984A6F">
        <w:noBreakHyphen/>
      </w:r>
      <w:r w:rsidRPr="00026EC1">
        <w:t>alinéa</w:t>
      </w:r>
      <w:r w:rsidR="00757E12" w:rsidRPr="00026EC1">
        <w:t> </w:t>
      </w:r>
      <w:r w:rsidRPr="00026EC1">
        <w:t>6 (troisième (3</w:t>
      </w:r>
      <w:r w:rsidRPr="00026EC1">
        <w:rPr>
          <w:vertAlign w:val="superscript"/>
        </w:rPr>
        <w:t>e</w:t>
      </w:r>
      <w:r w:rsidRPr="00026EC1">
        <w:t>) paragraphe)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exprime son choix en indiquant son ordre de préférence pour les postes disponibles dans un autre Collège du secteur, dans sa discipline.</w:t>
      </w:r>
    </w:p>
    <w:p w14:paraId="7700404D" w14:textId="77777777" w:rsidR="00DF6239" w:rsidRDefault="00DF6239" w:rsidP="00A64613">
      <w:pPr>
        <w:pStyle w:val="Texte1cm"/>
        <w:keepNext w:val="0"/>
      </w:pPr>
    </w:p>
    <w:p w14:paraId="6EDAE449" w14:textId="77777777" w:rsidR="00BC691F" w:rsidRPr="00F475F1" w:rsidRDefault="00BC691F" w:rsidP="00BC691F">
      <w:pPr>
        <w:pStyle w:val="Texte1cm"/>
        <w:keepNext w:val="0"/>
        <w:rPr>
          <w:b/>
          <w:bCs/>
          <w:u w:val="single"/>
        </w:rPr>
      </w:pPr>
      <w:r w:rsidRPr="00316277">
        <w:rPr>
          <w:b/>
          <w:bCs/>
          <w:u w:val="single"/>
        </w:rPr>
        <w:t>Charge annuelle de remplacement à temps complet – Collège de la même zone</w:t>
      </w:r>
    </w:p>
    <w:p w14:paraId="5FAFB605" w14:textId="29DC3938" w:rsidR="00DF6239" w:rsidRPr="00026EC1" w:rsidRDefault="00DF6239" w:rsidP="00A64613">
      <w:pPr>
        <w:pStyle w:val="Texte1cm"/>
        <w:keepNext w:val="0"/>
      </w:pPr>
      <w:r w:rsidRPr="00026EC1">
        <w:t>Aux fins de l</w:t>
      </w:r>
      <w:r w:rsidR="004A41E4" w:rsidRPr="00026EC1">
        <w:t>’</w:t>
      </w:r>
      <w:r w:rsidRPr="00026EC1">
        <w:t>alinéa</w:t>
      </w:r>
      <w:r w:rsidR="00757E12" w:rsidRPr="00026EC1">
        <w:t> </w:t>
      </w:r>
      <w:r w:rsidRPr="00026EC1">
        <w:t>b) de la clause</w:t>
      </w:r>
      <w:r w:rsidR="0061766F" w:rsidRPr="00026EC1">
        <w:t> </w:t>
      </w:r>
      <w:r w:rsidRPr="00026EC1">
        <w:t>5</w:t>
      </w:r>
      <w:r w:rsidR="00984A6F">
        <w:noBreakHyphen/>
      </w:r>
      <w:r w:rsidRPr="00026EC1">
        <w:t>4.17, l</w:t>
      </w:r>
      <w:r w:rsidR="004A41E4" w:rsidRPr="00026EC1">
        <w:t>’</w:t>
      </w:r>
      <w:r w:rsidRPr="00026EC1">
        <w:t>enseignante ou l</w:t>
      </w:r>
      <w:r w:rsidR="004A41E4" w:rsidRPr="00026EC1">
        <w:t>’</w:t>
      </w:r>
      <w:r w:rsidRPr="00026EC1">
        <w:t>enseignant exprime son choix en indiquant son ordre de préférence pour les charges annuelles de remplacement à temps complet dans les collèges de la zone où est situé son Collège, dans sa discipline. Si elle ou il le désire, elle ou il exprime aussi son choix pour une charge annuelle de remplacement dans une autre discipline.</w:t>
      </w:r>
    </w:p>
    <w:p w14:paraId="72E6B4F5" w14:textId="77777777" w:rsidR="00DF6239" w:rsidRDefault="00DF6239" w:rsidP="00A64613">
      <w:pPr>
        <w:pStyle w:val="Texte1cm"/>
        <w:keepNext w:val="0"/>
      </w:pPr>
    </w:p>
    <w:p w14:paraId="61996800" w14:textId="6C7A3EAA" w:rsidR="00BC691F" w:rsidRPr="00026EC1" w:rsidRDefault="00BC691F" w:rsidP="00BC691F">
      <w:pPr>
        <w:pStyle w:val="Texte1cm"/>
        <w:keepNext w:val="0"/>
        <w:rPr>
          <w:strike/>
        </w:rPr>
      </w:pPr>
      <w:r w:rsidRPr="00316277">
        <w:rPr>
          <w:b/>
          <w:bCs/>
          <w:u w:val="single"/>
        </w:rPr>
        <w:t>Délai pour signifier un choix au Bureau de placement</w:t>
      </w:r>
    </w:p>
    <w:p w14:paraId="17B8FE5D" w14:textId="77777777" w:rsidR="00DF6239" w:rsidRDefault="00DF6239" w:rsidP="00A64613">
      <w:pPr>
        <w:pStyle w:val="Texte1cm"/>
        <w:keepNext w:val="0"/>
      </w:pPr>
      <w:r w:rsidRPr="00026EC1">
        <w:t>Ces choix sont signifiés par écrit au Bureau de placement au plus tard sept (7) jours après la réception d</w:t>
      </w:r>
      <w:r w:rsidR="004A41E4" w:rsidRPr="00026EC1">
        <w:t>’</w:t>
      </w:r>
      <w:r w:rsidRPr="00026EC1">
        <w:t>une des listes mentionnées aux alinéas B) et C) de la présente clause.</w:t>
      </w:r>
    </w:p>
    <w:p w14:paraId="2F02E3DE" w14:textId="77777777" w:rsidR="00F077A0" w:rsidRDefault="00F077A0" w:rsidP="00A64613">
      <w:pPr>
        <w:pStyle w:val="Texte1cm"/>
        <w:keepNext w:val="0"/>
      </w:pPr>
    </w:p>
    <w:p w14:paraId="6BE95D67" w14:textId="239602A1" w:rsidR="00BC691F" w:rsidRPr="00026EC1" w:rsidRDefault="00BC691F" w:rsidP="00A64613">
      <w:pPr>
        <w:pStyle w:val="Texte1cm"/>
        <w:keepNext w:val="0"/>
      </w:pPr>
      <w:r w:rsidRPr="00316277">
        <w:rPr>
          <w:b/>
          <w:bCs/>
          <w:u w:val="single"/>
        </w:rPr>
        <w:t>Enseignante ou enseignant soustrait des mécanismes de replacement</w:t>
      </w:r>
    </w:p>
    <w:p w14:paraId="1CEC8A53" w14:textId="137329F5"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mis en disponibilité qui est assuré, compte tenu de toute charge d</w:t>
      </w:r>
      <w:r w:rsidR="004A41E4" w:rsidRPr="00026EC1">
        <w:t>’</w:t>
      </w:r>
      <w:r w:rsidRPr="00026EC1">
        <w:t>enseignement dont elle ou il est assuré et des autres fonctions qu</w:t>
      </w:r>
      <w:r w:rsidR="004A41E4" w:rsidRPr="00026EC1">
        <w:t>’</w:t>
      </w:r>
      <w:r w:rsidRPr="00026EC1">
        <w:t>elle ou il accepte d</w:t>
      </w:r>
      <w:r w:rsidR="004A41E4" w:rsidRPr="00026EC1">
        <w:t>’</w:t>
      </w:r>
      <w:r w:rsidRPr="00026EC1">
        <w:t>occuper, d</w:t>
      </w:r>
      <w:r w:rsidR="004A41E4" w:rsidRPr="00026EC1">
        <w:t>’</w:t>
      </w:r>
      <w:r w:rsidRPr="00026EC1">
        <w:t>obtenir du Collège un salaire au moins égal à sa protection salariale calculée au prorata d</w:t>
      </w:r>
      <w:r w:rsidR="004A41E4" w:rsidRPr="00026EC1">
        <w:t>’</w:t>
      </w:r>
      <w:r w:rsidRPr="00026EC1">
        <w:t>une charge individuelle de quatre</w:t>
      </w:r>
      <w:r w:rsidR="00984A6F">
        <w:noBreakHyphen/>
      </w:r>
      <w:r w:rsidRPr="00026EC1">
        <w:t>vingts (80) unités de travail n</w:t>
      </w:r>
      <w:r w:rsidR="004A41E4" w:rsidRPr="00026EC1">
        <w:t>’</w:t>
      </w:r>
      <w:r w:rsidRPr="00026EC1">
        <w:t>est pas tenu de se replacer ou de se déplacer sur une charge annuelle de remplacement à temps complet dans un autre Collège et n</w:t>
      </w:r>
      <w:r w:rsidR="004A41E4" w:rsidRPr="00026EC1">
        <w:t>’</w:t>
      </w:r>
      <w:r w:rsidRPr="00026EC1">
        <w:t>est pas tenu d</w:t>
      </w:r>
      <w:r w:rsidR="004A41E4" w:rsidRPr="00026EC1">
        <w:t>’</w:t>
      </w:r>
      <w:r w:rsidRPr="00026EC1">
        <w:t>exprimer les choix identifiés aux paragraphes précédents. Dans ce cas, le Collège transmet au Bureau de placement le nom de cette enseignante ou de cet enseignant.</w:t>
      </w:r>
    </w:p>
    <w:p w14:paraId="3983615A" w14:textId="77777777" w:rsidR="00DF6239" w:rsidRPr="00026EC1" w:rsidRDefault="00DF6239" w:rsidP="00A64613">
      <w:pPr>
        <w:pStyle w:val="Texte1cm"/>
        <w:keepNext w:val="0"/>
      </w:pPr>
    </w:p>
    <w:p w14:paraId="003A9350" w14:textId="754D7AA9" w:rsidR="00FC1A1E" w:rsidRDefault="00DF6239" w:rsidP="00A64613">
      <w:pPr>
        <w:pStyle w:val="Texte1cm"/>
        <w:keepNext w:val="0"/>
      </w:pPr>
      <w:r w:rsidRPr="00026EC1">
        <w:t>De plus, l</w:t>
      </w:r>
      <w:r w:rsidR="004A41E4" w:rsidRPr="00026EC1">
        <w:t>’</w:t>
      </w:r>
      <w:r w:rsidRPr="00026EC1">
        <w:t>enseignante ou l</w:t>
      </w:r>
      <w:r w:rsidR="004A41E4" w:rsidRPr="00026EC1">
        <w:t>’</w:t>
      </w:r>
      <w:r w:rsidRPr="00026EC1">
        <w:t>enseignant mis en disponibilité est soustrait des mécanismes de replacement, si elle ou il est visé par la clause 5</w:t>
      </w:r>
      <w:r w:rsidR="00984A6F">
        <w:noBreakHyphen/>
      </w:r>
      <w:r w:rsidRPr="00026EC1">
        <w:t>5.17, à compter de l</w:t>
      </w:r>
      <w:r w:rsidR="004A41E4" w:rsidRPr="00026EC1">
        <w:t>’</w:t>
      </w:r>
      <w:r w:rsidRPr="00026EC1">
        <w:t>expiration de la période de cent quatre (104) semaines qui y est mentionnée, ou par l</w:t>
      </w:r>
      <w:r w:rsidR="004A41E4" w:rsidRPr="00026EC1">
        <w:t>’</w:t>
      </w:r>
      <w:r w:rsidRPr="00026EC1">
        <w:t>alinéa H) des clauses 5</w:t>
      </w:r>
      <w:r w:rsidR="00984A6F">
        <w:noBreakHyphen/>
      </w:r>
      <w:r w:rsidRPr="00026EC1">
        <w:t>4.21 et 5</w:t>
      </w:r>
      <w:r w:rsidR="00984A6F">
        <w:noBreakHyphen/>
      </w:r>
      <w:r w:rsidRPr="00026EC1">
        <w:t>4.22; elle ou il n</w:t>
      </w:r>
      <w:r w:rsidR="004A41E4" w:rsidRPr="00026EC1">
        <w:t>’</w:t>
      </w:r>
      <w:r w:rsidRPr="00026EC1">
        <w:t>est pas tenu de se replacer ou de se déplacer sur une charge annuelle de remplacement à temps complet dans un autre Collège et n</w:t>
      </w:r>
      <w:r w:rsidR="004A41E4" w:rsidRPr="00026EC1">
        <w:t>’</w:t>
      </w:r>
      <w:r w:rsidRPr="00026EC1">
        <w:t>est pas tenu d</w:t>
      </w:r>
      <w:r w:rsidR="004A41E4" w:rsidRPr="00026EC1">
        <w:t>’</w:t>
      </w:r>
      <w:r w:rsidRPr="00026EC1">
        <w:t>exprimer les choix identifiés aux paragraphes précédents. Dans ce cas, le Collège transmet au Bureau de placement le nom de cette enseignante ou de cet enseignant.</w:t>
      </w:r>
    </w:p>
    <w:p w14:paraId="3867ABE4" w14:textId="77777777" w:rsidR="00FC1A1E" w:rsidRDefault="00FC1A1E">
      <w:pPr>
        <w:keepNext w:val="0"/>
        <w:suppressAutoHyphens w:val="0"/>
        <w:jc w:val="left"/>
      </w:pPr>
      <w:r>
        <w:br w:type="page"/>
      </w:r>
    </w:p>
    <w:p w14:paraId="1FE36ED9" w14:textId="4EAC275A" w:rsidR="00BC691F" w:rsidRDefault="00275751" w:rsidP="00A64613">
      <w:pPr>
        <w:keepNext w:val="0"/>
        <w:tabs>
          <w:tab w:val="left" w:pos="567"/>
        </w:tabs>
        <w:ind w:left="567" w:hanging="567"/>
      </w:pPr>
      <w:r w:rsidRPr="00026EC1">
        <w:t>E)</w:t>
      </w:r>
      <w:r w:rsidRPr="00026EC1">
        <w:tab/>
      </w:r>
      <w:r w:rsidR="00BC691F" w:rsidRPr="00316277">
        <w:rPr>
          <w:b/>
          <w:bCs/>
          <w:u w:val="single"/>
        </w:rPr>
        <w:t>Postes offerts par le Bureau de placement</w:t>
      </w:r>
    </w:p>
    <w:p w14:paraId="38224AC5" w14:textId="4CEFA03F" w:rsidR="00DF6239" w:rsidRPr="00026EC1" w:rsidRDefault="00DF6239" w:rsidP="008E49AE">
      <w:pPr>
        <w:keepNext w:val="0"/>
        <w:tabs>
          <w:tab w:val="left" w:pos="567"/>
        </w:tabs>
        <w:ind w:left="567"/>
      </w:pPr>
      <w:r w:rsidRPr="00026EC1">
        <w:t>Les postes sont ensuite offerts par le Bureau de placement en appliquant, au choix exprimé par l</w:t>
      </w:r>
      <w:r w:rsidR="004A41E4" w:rsidRPr="00026EC1">
        <w:t>’</w:t>
      </w:r>
      <w:r w:rsidRPr="00026EC1">
        <w:t>enseignante ou l</w:t>
      </w:r>
      <w:r w:rsidR="004A41E4" w:rsidRPr="00026EC1">
        <w:t>’</w:t>
      </w:r>
      <w:r w:rsidRPr="00026EC1">
        <w:t>enseignant, l</w:t>
      </w:r>
      <w:r w:rsidR="004A41E4" w:rsidRPr="00026EC1">
        <w:t>’</w:t>
      </w:r>
      <w:r w:rsidRPr="00026EC1">
        <w:t>ordre d</w:t>
      </w:r>
      <w:r w:rsidR="004A41E4" w:rsidRPr="00026EC1">
        <w:t>’</w:t>
      </w:r>
      <w:r w:rsidRPr="00026EC1">
        <w:t>engagement prévu à l</w:t>
      </w:r>
      <w:r w:rsidR="004A41E4" w:rsidRPr="00026EC1">
        <w:t>’</w:t>
      </w:r>
      <w:r w:rsidRPr="00026EC1">
        <w:t>alinéa a) de la clause 5</w:t>
      </w:r>
      <w:r w:rsidR="00984A6F">
        <w:noBreakHyphen/>
      </w:r>
      <w:r w:rsidRPr="00026EC1">
        <w:t>4.17 et en respectant les dispositions suivantes</w:t>
      </w:r>
      <w:r w:rsidR="00D8581B">
        <w:t> :</w:t>
      </w:r>
    </w:p>
    <w:p w14:paraId="169B430F" w14:textId="77777777" w:rsidR="00DF6239" w:rsidRPr="00026EC1" w:rsidRDefault="00DF6239" w:rsidP="00A64613">
      <w:pPr>
        <w:pStyle w:val="Texte1cm"/>
        <w:keepNext w:val="0"/>
      </w:pPr>
    </w:p>
    <w:p w14:paraId="5D68419B" w14:textId="7FE00B03" w:rsidR="00DF6239" w:rsidRPr="00026EC1" w:rsidRDefault="00275751" w:rsidP="00A64613">
      <w:pPr>
        <w:keepNext w:val="0"/>
        <w:tabs>
          <w:tab w:val="left" w:pos="1134"/>
        </w:tabs>
        <w:ind w:left="1134" w:hanging="567"/>
      </w:pPr>
      <w:r w:rsidRPr="00026EC1">
        <w:t>1.</w:t>
      </w:r>
      <w:r w:rsidRPr="00026EC1">
        <w:tab/>
      </w:r>
      <w:r w:rsidR="00DF6239" w:rsidRPr="00026EC1">
        <w:t>Pour l</w:t>
      </w:r>
      <w:r w:rsidR="004A41E4" w:rsidRPr="00026EC1">
        <w:t>’</w:t>
      </w:r>
      <w:r w:rsidR="00DF6239" w:rsidRPr="00026EC1">
        <w:t>application du sous</w:t>
      </w:r>
      <w:r w:rsidR="00984A6F">
        <w:noBreakHyphen/>
      </w:r>
      <w:r w:rsidR="00DF6239" w:rsidRPr="00026EC1">
        <w:t>alinéa</w:t>
      </w:r>
      <w:r w:rsidR="00757E12" w:rsidRPr="00026EC1">
        <w:t> </w:t>
      </w:r>
      <w:r w:rsidR="00DF6239" w:rsidRPr="00026EC1">
        <w:t>6 de l</w:t>
      </w:r>
      <w:r w:rsidR="004A41E4" w:rsidRPr="00026EC1">
        <w:t>’</w:t>
      </w:r>
      <w:r w:rsidR="00DF6239" w:rsidRPr="00026EC1">
        <w:t>alinéa</w:t>
      </w:r>
      <w:r w:rsidR="00757E12" w:rsidRPr="00026EC1">
        <w:t> </w:t>
      </w:r>
      <w:r w:rsidR="00DF6239" w:rsidRPr="00026EC1">
        <w:t>a) de la clause</w:t>
      </w:r>
      <w:r w:rsidR="0061766F" w:rsidRPr="00026EC1">
        <w:t> </w:t>
      </w:r>
      <w:r w:rsidR="00DF6239" w:rsidRPr="00026EC1">
        <w:t>5</w:t>
      </w:r>
      <w:r w:rsidR="00984A6F">
        <w:noBreakHyphen/>
      </w:r>
      <w:r w:rsidR="00DF6239" w:rsidRPr="00026EC1">
        <w:t>4.17</w:t>
      </w:r>
      <w:r w:rsidR="00D8581B">
        <w:t> :</w:t>
      </w:r>
    </w:p>
    <w:p w14:paraId="03A9C921" w14:textId="77777777" w:rsidR="00DF6239" w:rsidRPr="00026EC1" w:rsidRDefault="00DF6239" w:rsidP="00A64613">
      <w:pPr>
        <w:pStyle w:val="Texte1cm"/>
        <w:keepNext w:val="0"/>
      </w:pPr>
    </w:p>
    <w:p w14:paraId="2395A718" w14:textId="6F3A59D7" w:rsidR="00DF6239" w:rsidRPr="00026EC1" w:rsidRDefault="00275751" w:rsidP="00A64613">
      <w:pPr>
        <w:keepNext w:val="0"/>
        <w:tabs>
          <w:tab w:val="left" w:pos="1701"/>
        </w:tabs>
        <w:ind w:left="1701" w:hanging="567"/>
      </w:pPr>
      <w:r w:rsidRPr="00026EC1">
        <w:t>a)</w:t>
      </w:r>
      <w:r w:rsidRPr="00026EC1">
        <w:tab/>
      </w:r>
      <w:r w:rsidR="00DF6239" w:rsidRPr="00026EC1">
        <w:t>au deuxième</w:t>
      </w:r>
      <w:r w:rsidR="00597067">
        <w:t> </w:t>
      </w:r>
      <w:r w:rsidR="00DF6239" w:rsidRPr="00026EC1">
        <w:t>(2</w:t>
      </w:r>
      <w:r w:rsidR="00DF6239" w:rsidRPr="00026EC1">
        <w:rPr>
          <w:vertAlign w:val="superscript"/>
        </w:rPr>
        <w:t>e</w:t>
      </w:r>
      <w:r w:rsidR="00DF6239" w:rsidRPr="00026EC1">
        <w:t>) paragraphe, le Bureau de placement désigne 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collège d</w:t>
      </w:r>
      <w:r w:rsidR="004A41E4" w:rsidRPr="00026EC1">
        <w:t>’</w:t>
      </w:r>
      <w:r w:rsidR="00DF6239" w:rsidRPr="00026EC1">
        <w:t>une autre zone dans la discipline porteuse de la formation spécifique d</w:t>
      </w:r>
      <w:r w:rsidR="004A41E4" w:rsidRPr="00026EC1">
        <w:t>’</w:t>
      </w:r>
      <w:r w:rsidR="00DF6239" w:rsidRPr="00026EC1">
        <w:t>un programme fermé, conformément au sous</w:t>
      </w:r>
      <w:r w:rsidR="00984A6F">
        <w:noBreakHyphen/>
      </w:r>
      <w:r w:rsidR="00DF6239" w:rsidRPr="00026EC1">
        <w:t>alinéa</w:t>
      </w:r>
      <w:r w:rsidR="00757E12" w:rsidRPr="00026EC1">
        <w:t> </w:t>
      </w:r>
      <w:r w:rsidR="00DF6239" w:rsidRPr="00026EC1">
        <w:t>1 de l</w:t>
      </w:r>
      <w:r w:rsidR="004A41E4" w:rsidRPr="00026EC1">
        <w:t>’</w:t>
      </w:r>
      <w:r w:rsidR="00DF6239" w:rsidRPr="00026EC1">
        <w:t>alinéa</w:t>
      </w:r>
      <w:r w:rsidR="00757E12" w:rsidRPr="00026EC1">
        <w:t> </w:t>
      </w:r>
      <w:r w:rsidR="00DF6239" w:rsidRPr="00026EC1">
        <w:t>F) de la présente clause.</w:t>
      </w:r>
    </w:p>
    <w:p w14:paraId="3F380EB9" w14:textId="77777777" w:rsidR="00DF6239" w:rsidRPr="00026EC1" w:rsidRDefault="00DF6239" w:rsidP="00A64613">
      <w:pPr>
        <w:pStyle w:val="Texte3cm"/>
        <w:keepNext w:val="0"/>
      </w:pPr>
    </w:p>
    <w:p w14:paraId="6499A23A" w14:textId="68CF1784" w:rsidR="00DF6239" w:rsidRPr="00026EC1" w:rsidRDefault="00DF6239" w:rsidP="00A64613">
      <w:pPr>
        <w:pStyle w:val="Texte3cm"/>
        <w:keepNext w:val="0"/>
      </w:pPr>
      <w:r w:rsidRPr="00026EC1">
        <w:t>L</w:t>
      </w:r>
      <w:r w:rsidR="004A41E4" w:rsidRPr="00026EC1">
        <w:t>’</w:t>
      </w:r>
      <w:r w:rsidRPr="00026EC1">
        <w:t>enseignante ou l</w:t>
      </w:r>
      <w:r w:rsidR="004A41E4" w:rsidRPr="00026EC1">
        <w:t>’</w:t>
      </w:r>
      <w:r w:rsidRPr="00026EC1">
        <w:t>enseignant ainsi désigné par le Bureau de placement est celle ou celui mis en disponibilité depuis le plus grand nombre d</w:t>
      </w:r>
      <w:r w:rsidR="004A41E4" w:rsidRPr="00026EC1">
        <w:t>’</w:t>
      </w:r>
      <w:r w:rsidRPr="00026EC1">
        <w:t>années parmi celles ou ceux qui ont reçu leur avis de mise en disponibilité depuis au moins deux</w:t>
      </w:r>
      <w:r w:rsidR="00597067">
        <w:t> </w:t>
      </w:r>
      <w:r w:rsidRPr="00026EC1">
        <w:t xml:space="preserve">(2) ans. </w:t>
      </w:r>
    </w:p>
    <w:p w14:paraId="74F16ECC" w14:textId="77777777" w:rsidR="00DF6239" w:rsidRPr="00026EC1" w:rsidRDefault="00DF6239" w:rsidP="00A64613">
      <w:pPr>
        <w:pStyle w:val="Texte3cm"/>
        <w:keepNext w:val="0"/>
      </w:pPr>
    </w:p>
    <w:p w14:paraId="6D347F3E" w14:textId="77777777" w:rsidR="00DF6239" w:rsidRPr="00026EC1" w:rsidRDefault="00DF6239" w:rsidP="00A64613">
      <w:pPr>
        <w:pStyle w:val="Texte3cm"/>
        <w:keepNext w:val="0"/>
      </w:pPr>
      <w:r w:rsidRPr="00026EC1">
        <w:t>Lorsque plusieurs enseignantes ou enseignants sont mis en disponibilité depuis le même nombre d</w:t>
      </w:r>
      <w:r w:rsidR="004A41E4" w:rsidRPr="00026EC1">
        <w:t>’</w:t>
      </w:r>
      <w:r w:rsidRPr="00026EC1">
        <w:t>années, le Bureau de placement désigne celle ou celui qui a le moins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et, à ancienneté égale, celle ou celui qui a le moins d</w:t>
      </w:r>
      <w:r w:rsidR="004A41E4" w:rsidRPr="00026EC1">
        <w:t>’</w:t>
      </w:r>
      <w:r w:rsidRPr="00026EC1">
        <w:t>expérience et, à expérience égale, celle ou celui qui a le moins de scolarité.</w:t>
      </w:r>
    </w:p>
    <w:p w14:paraId="12026689" w14:textId="77777777" w:rsidR="00DF6239" w:rsidRPr="00026EC1" w:rsidRDefault="00DF6239" w:rsidP="00A64613">
      <w:pPr>
        <w:pStyle w:val="Texte3cm"/>
        <w:keepNext w:val="0"/>
      </w:pPr>
    </w:p>
    <w:p w14:paraId="012456BD" w14:textId="7D38E573" w:rsidR="00DF6239" w:rsidRDefault="00275751" w:rsidP="00A64613">
      <w:pPr>
        <w:keepNext w:val="0"/>
        <w:tabs>
          <w:tab w:val="left" w:pos="1701"/>
        </w:tabs>
        <w:ind w:left="1701" w:hanging="567"/>
      </w:pPr>
      <w:r w:rsidRPr="00026EC1">
        <w:t>b)</w:t>
      </w:r>
      <w:r w:rsidRPr="00026EC1">
        <w:tab/>
      </w:r>
      <w:r w:rsidR="00DF6239" w:rsidRPr="00026EC1">
        <w:t>au troisième</w:t>
      </w:r>
      <w:r w:rsidR="00597067">
        <w:t> </w:t>
      </w:r>
      <w:r w:rsidR="00DF6239" w:rsidRPr="00026EC1">
        <w:t>(3</w:t>
      </w:r>
      <w:r w:rsidR="00DF6239" w:rsidRPr="00FF29C4">
        <w:rPr>
          <w:vertAlign w:val="superscript"/>
        </w:rPr>
        <w:t>e</w:t>
      </w:r>
      <w:r w:rsidR="00DF6239" w:rsidRPr="00026EC1">
        <w:t>) paragraphe, le Bureau de placement désigne 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du même secteur, conformément au sous</w:t>
      </w:r>
      <w:r w:rsidR="00984A6F">
        <w:noBreakHyphen/>
      </w:r>
      <w:r w:rsidR="00DF6239" w:rsidRPr="00026EC1">
        <w:t>alinéa 1 de l</w:t>
      </w:r>
      <w:r w:rsidR="004A41E4" w:rsidRPr="00026EC1">
        <w:t>’</w:t>
      </w:r>
      <w:r w:rsidR="00DF6239" w:rsidRPr="00026EC1">
        <w:t>alinéa F) de la présente clause.</w:t>
      </w:r>
    </w:p>
    <w:p w14:paraId="310A6E77" w14:textId="77777777" w:rsidR="00877099" w:rsidRPr="00026EC1" w:rsidRDefault="00877099" w:rsidP="00A64613">
      <w:pPr>
        <w:keepNext w:val="0"/>
        <w:tabs>
          <w:tab w:val="left" w:pos="1701"/>
        </w:tabs>
        <w:ind w:left="1701" w:hanging="567"/>
      </w:pPr>
    </w:p>
    <w:p w14:paraId="6A203047" w14:textId="2B6817AF" w:rsidR="00DF6239" w:rsidRPr="00026EC1" w:rsidRDefault="00DF6239" w:rsidP="00A64613">
      <w:pPr>
        <w:pStyle w:val="Texte3cm"/>
        <w:keepNext w:val="0"/>
      </w:pPr>
      <w:r w:rsidRPr="00026EC1">
        <w:t>L</w:t>
      </w:r>
      <w:r w:rsidR="004A41E4" w:rsidRPr="00026EC1">
        <w:t>’</w:t>
      </w:r>
      <w:r w:rsidRPr="00026EC1">
        <w:t>enseignante ou l</w:t>
      </w:r>
      <w:r w:rsidR="004A41E4" w:rsidRPr="00026EC1">
        <w:t>’</w:t>
      </w:r>
      <w:r w:rsidRPr="00026EC1">
        <w:t>enseignant ainsi désigné par le Bureau de placement est celle ou celui mis en disponibilité depuis le plus grand nombre d</w:t>
      </w:r>
      <w:r w:rsidR="004A41E4" w:rsidRPr="00026EC1">
        <w:t>’</w:t>
      </w:r>
      <w:r w:rsidRPr="00026EC1">
        <w:t>années parmi celles et ceux qui ont reçu leur avis de mise en disponibilité depuis au moins deux</w:t>
      </w:r>
      <w:r w:rsidR="00597067">
        <w:t> </w:t>
      </w:r>
      <w:r w:rsidRPr="00026EC1">
        <w:t>(2) ans.</w:t>
      </w:r>
    </w:p>
    <w:p w14:paraId="6FE906A8" w14:textId="77777777" w:rsidR="00DF6239" w:rsidRPr="00026EC1" w:rsidRDefault="00DF6239" w:rsidP="00A64613">
      <w:pPr>
        <w:pStyle w:val="Texte3cm"/>
        <w:keepNext w:val="0"/>
        <w:ind w:left="0"/>
        <w:rPr>
          <w:strike/>
        </w:rPr>
      </w:pPr>
    </w:p>
    <w:p w14:paraId="59B151CB" w14:textId="77777777" w:rsidR="00DF6239" w:rsidRPr="00026EC1" w:rsidRDefault="00DF6239" w:rsidP="00A64613">
      <w:pPr>
        <w:pStyle w:val="Texte3cm"/>
        <w:keepNext w:val="0"/>
      </w:pPr>
      <w:r w:rsidRPr="00026EC1">
        <w:t>Lorsque plusieurs enseignantes ou enseignants sont mis en disponibilité depuis le même nombre d</w:t>
      </w:r>
      <w:r w:rsidR="004A41E4" w:rsidRPr="00026EC1">
        <w:t>’</w:t>
      </w:r>
      <w:r w:rsidRPr="00026EC1">
        <w:t>années, le Bureau de placement désigne celle ou celui qui a le moins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et, à ancienneté égale, celle ou celui qui a le moins d</w:t>
      </w:r>
      <w:r w:rsidR="004A41E4" w:rsidRPr="00026EC1">
        <w:t>’</w:t>
      </w:r>
      <w:r w:rsidRPr="00026EC1">
        <w:t>expérience et, à expérience égale, celle ou celui qui a le moins de scolarité.</w:t>
      </w:r>
    </w:p>
    <w:p w14:paraId="029BAED8" w14:textId="77777777" w:rsidR="00DF6239" w:rsidRPr="00026EC1" w:rsidRDefault="00DF6239" w:rsidP="00A64613">
      <w:pPr>
        <w:pStyle w:val="Texte3cm"/>
        <w:keepNext w:val="0"/>
        <w:ind w:left="0"/>
      </w:pPr>
    </w:p>
    <w:p w14:paraId="298F3CA2" w14:textId="1F704DB9" w:rsidR="00DF6239" w:rsidRPr="00026EC1" w:rsidRDefault="00275751" w:rsidP="00A64613">
      <w:pPr>
        <w:keepNext w:val="0"/>
        <w:tabs>
          <w:tab w:val="left" w:pos="1134"/>
        </w:tabs>
        <w:ind w:left="1134" w:hanging="567"/>
      </w:pPr>
      <w:r w:rsidRPr="00026EC1">
        <w:t>2.</w:t>
      </w:r>
      <w:r w:rsidRPr="00026EC1">
        <w:tab/>
      </w:r>
      <w:r w:rsidR="00DF6239" w:rsidRPr="00026EC1">
        <w:t>Lorsqu</w:t>
      </w:r>
      <w:r w:rsidR="004A41E4" w:rsidRPr="00026EC1">
        <w:t>’</w:t>
      </w:r>
      <w:r w:rsidR="00DF6239" w:rsidRPr="00026EC1">
        <w:t>une enseignante ou un enseignant mis en disponibilité assuré d</w:t>
      </w:r>
      <w:r w:rsidR="004A41E4" w:rsidRPr="00026EC1">
        <w:t>’</w:t>
      </w:r>
      <w:r w:rsidR="00DF6239" w:rsidRPr="00026EC1">
        <w:t>une charge d</w:t>
      </w:r>
      <w:r w:rsidR="004A41E4" w:rsidRPr="00026EC1">
        <w:t>’</w:t>
      </w:r>
      <w:r w:rsidR="00DF6239" w:rsidRPr="00026EC1">
        <w:t>enseignement au moins égale à sa protection salariale calculée au prorata d</w:t>
      </w:r>
      <w:r w:rsidR="004A41E4" w:rsidRPr="00026EC1">
        <w:t>’</w:t>
      </w:r>
      <w:r w:rsidR="00DF6239" w:rsidRPr="00026EC1">
        <w:t>une charge individuelle de quatre</w:t>
      </w:r>
      <w:r w:rsidR="00984A6F">
        <w:noBreakHyphen/>
      </w:r>
      <w:r w:rsidR="00DF6239" w:rsidRPr="00026EC1">
        <w:t>vingts (80) unités de travail a effectué un choix conformément à l</w:t>
      </w:r>
      <w:r w:rsidR="004A41E4" w:rsidRPr="00026EC1">
        <w:t>’</w:t>
      </w:r>
      <w:r w:rsidR="00DF6239" w:rsidRPr="00026EC1">
        <w:t>alinéa D), le Bureau de placement ne peut lui offrir un poste ou une charge annuelle de remplacement que si ce poste ou cette charge correspond à son choix; si aucun choix n</w:t>
      </w:r>
      <w:r w:rsidR="004A41E4" w:rsidRPr="00026EC1">
        <w:t>’</w:t>
      </w:r>
      <w:r w:rsidR="00DF6239" w:rsidRPr="00026EC1">
        <w:t>a été exprimé, le Bureau de placement ne lui offre aucun poste ou charge annuelle de remplacement.</w:t>
      </w:r>
    </w:p>
    <w:p w14:paraId="7715D41D" w14:textId="77777777" w:rsidR="00DF6239" w:rsidRPr="00026EC1" w:rsidRDefault="00DF6239" w:rsidP="00A64613">
      <w:pPr>
        <w:keepNext w:val="0"/>
        <w:ind w:left="567"/>
      </w:pPr>
    </w:p>
    <w:p w14:paraId="1B775566" w14:textId="53C4E7F8" w:rsidR="00DF6239" w:rsidRPr="00026EC1" w:rsidRDefault="00275751" w:rsidP="00A64613">
      <w:pPr>
        <w:keepNext w:val="0"/>
        <w:tabs>
          <w:tab w:val="left" w:pos="1134"/>
        </w:tabs>
        <w:ind w:left="1134" w:hanging="567"/>
      </w:pPr>
      <w:r w:rsidRPr="00026EC1">
        <w:t>3.</w:t>
      </w:r>
      <w:r w:rsidRPr="00026EC1">
        <w:tab/>
      </w:r>
      <w:r w:rsidR="00DF6239" w:rsidRPr="00026EC1">
        <w:t>Les droits et obligations de l</w:t>
      </w:r>
      <w:r w:rsidR="004A41E4" w:rsidRPr="00026EC1">
        <w:t>’</w:t>
      </w:r>
      <w:r w:rsidR="00DF6239" w:rsidRPr="00026EC1">
        <w:t>enseignante ou l</w:t>
      </w:r>
      <w:r w:rsidR="004A41E4" w:rsidRPr="00026EC1">
        <w:t>’</w:t>
      </w:r>
      <w:r w:rsidR="00DF6239" w:rsidRPr="00026EC1">
        <w:t>enseignant de la discipline porteuse de la formation spécifique d</w:t>
      </w:r>
      <w:r w:rsidR="004A41E4" w:rsidRPr="00026EC1">
        <w:t>’</w:t>
      </w:r>
      <w:r w:rsidR="00DF6239" w:rsidRPr="00026EC1">
        <w:t>un programme fermé qui a reçu son avis de mise en disponibilité depuis moins de deux</w:t>
      </w:r>
      <w:r w:rsidR="00597067">
        <w:t> </w:t>
      </w:r>
      <w:r w:rsidR="00DF6239" w:rsidRPr="00026EC1">
        <w:t>(2) ans, sont ceux de 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sans égard au fait que le programme est fermé.</w:t>
      </w:r>
    </w:p>
    <w:p w14:paraId="4C13DD15" w14:textId="77777777" w:rsidR="00DF6239" w:rsidRPr="00026EC1" w:rsidRDefault="00DF6239" w:rsidP="00A64613">
      <w:pPr>
        <w:keepNext w:val="0"/>
        <w:ind w:left="567"/>
      </w:pPr>
    </w:p>
    <w:p w14:paraId="31153CDB" w14:textId="77777777" w:rsidR="00DF6239" w:rsidRPr="00026EC1" w:rsidRDefault="00275751" w:rsidP="00A64613">
      <w:pPr>
        <w:keepNext w:val="0"/>
        <w:tabs>
          <w:tab w:val="left" w:pos="1134"/>
        </w:tabs>
        <w:ind w:left="1134" w:hanging="567"/>
      </w:pPr>
      <w:r w:rsidRPr="00026EC1">
        <w:t>4.</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dans une discipline de la formation spécifique d</w:t>
      </w:r>
      <w:r w:rsidR="004A41E4" w:rsidRPr="00026EC1">
        <w:t>’</w:t>
      </w:r>
      <w:r w:rsidR="00DF6239" w:rsidRPr="00026EC1">
        <w:t>un programme fermé autre que la discipline porteuse, a les droits et obligations d</w:t>
      </w:r>
      <w:r w:rsidR="004A41E4" w:rsidRPr="00026EC1">
        <w:t>’</w:t>
      </w:r>
      <w:r w:rsidR="00DF6239" w:rsidRPr="00026EC1">
        <w:t>une enseignante ou d</w:t>
      </w:r>
      <w:r w:rsidR="004A41E4" w:rsidRPr="00026EC1">
        <w:t>’</w:t>
      </w:r>
      <w:r w:rsidR="00DF6239" w:rsidRPr="00026EC1">
        <w:t>un enseignant mis en disponibilité sans égard au fait que le programme est fermé.</w:t>
      </w:r>
    </w:p>
    <w:p w14:paraId="16CC6950" w14:textId="77777777" w:rsidR="00DF6239" w:rsidRPr="00026EC1" w:rsidRDefault="00DF6239" w:rsidP="00A64613">
      <w:pPr>
        <w:keepNext w:val="0"/>
        <w:ind w:left="567"/>
      </w:pPr>
    </w:p>
    <w:p w14:paraId="23F86294" w14:textId="5315D65D" w:rsidR="0075496B" w:rsidRDefault="00275751" w:rsidP="00A64613">
      <w:pPr>
        <w:keepNext w:val="0"/>
        <w:tabs>
          <w:tab w:val="left" w:pos="567"/>
        </w:tabs>
        <w:ind w:left="567" w:hanging="567"/>
      </w:pPr>
      <w:r w:rsidRPr="00026EC1">
        <w:t>F)</w:t>
      </w:r>
      <w:r w:rsidRPr="00026EC1">
        <w:tab/>
      </w:r>
      <w:r w:rsidR="0075496B" w:rsidRPr="00316277">
        <w:rPr>
          <w:b/>
          <w:bCs/>
          <w:u w:val="single"/>
        </w:rPr>
        <w:t>Délai de réponse et droits et obligations à la suite d’une offre du Bureau de placement</w:t>
      </w:r>
    </w:p>
    <w:p w14:paraId="3AF0EE0A" w14:textId="2F0D1556" w:rsidR="00DF6239" w:rsidRPr="00026EC1" w:rsidRDefault="00DF6239" w:rsidP="0075496B">
      <w:pPr>
        <w:keepNext w:val="0"/>
        <w:tabs>
          <w:tab w:val="left" w:pos="567"/>
        </w:tabs>
        <w:ind w:left="567"/>
      </w:pPr>
      <w:r w:rsidRPr="00026EC1">
        <w:t>L</w:t>
      </w:r>
      <w:r w:rsidR="004A41E4" w:rsidRPr="00026EC1">
        <w:t>’</w:t>
      </w:r>
      <w:r w:rsidRPr="00026EC1">
        <w:t>enseignante ou l</w:t>
      </w:r>
      <w:r w:rsidR="004A41E4" w:rsidRPr="00026EC1">
        <w:t>’</w:t>
      </w:r>
      <w:r w:rsidRPr="00026EC1">
        <w:t>enseignant à qui le Bureau de placement offre un poste disponible dans son Collège ou dans un autre Collège dispose d</w:t>
      </w:r>
      <w:r w:rsidR="004A41E4" w:rsidRPr="00026EC1">
        <w:t>’</w:t>
      </w:r>
      <w:r w:rsidRPr="00026EC1">
        <w:t>un délai de sept (7) jours à la suite de la réception de l</w:t>
      </w:r>
      <w:r w:rsidR="004A41E4" w:rsidRPr="00026EC1">
        <w:t>’</w:t>
      </w:r>
      <w:r w:rsidRPr="00026EC1">
        <w:t>avis écrit à cet effet pour faire connaître sa réponse par écrit. À moins de dispositions contraires prévues au présent article et si le poste offert répond aux conditions prévues au sous</w:t>
      </w:r>
      <w:r w:rsidR="00984A6F">
        <w:noBreakHyphen/>
      </w:r>
      <w:r w:rsidRPr="00026EC1">
        <w:t>alinéa 1 ou 2 ci</w:t>
      </w:r>
      <w:r w:rsidR="00984A6F">
        <w:noBreakHyphen/>
      </w:r>
      <w:r w:rsidRPr="00026EC1">
        <w:t>dessous, selon le cas, l</w:t>
      </w:r>
      <w:r w:rsidR="004A41E4" w:rsidRPr="00026EC1">
        <w:t>’</w:t>
      </w:r>
      <w:r w:rsidRPr="00026EC1">
        <w:t>enseignante ou l</w:t>
      </w:r>
      <w:r w:rsidR="004A41E4" w:rsidRPr="00026EC1">
        <w:t>’</w:t>
      </w:r>
      <w:r w:rsidRPr="00026EC1">
        <w:t>enseignant accepte un poste, soit dans un Collège de sa zone, soit dans un Collège d</w:t>
      </w:r>
      <w:r w:rsidR="004A41E4" w:rsidRPr="00026EC1">
        <w:t>’</w:t>
      </w:r>
      <w:r w:rsidRPr="00026EC1">
        <w:t>une autre zone en conformité avec l</w:t>
      </w:r>
      <w:r w:rsidR="004A41E4" w:rsidRPr="00026EC1">
        <w:t>’</w:t>
      </w:r>
      <w:r w:rsidRPr="00026EC1">
        <w:t>alinéa</w:t>
      </w:r>
      <w:r w:rsidR="00757E12" w:rsidRPr="00026EC1">
        <w:t> </w:t>
      </w:r>
      <w:r w:rsidRPr="00026EC1">
        <w:t>E) de la présente clause</w:t>
      </w:r>
      <w:r w:rsidR="00D8581B">
        <w:t> :</w:t>
      </w:r>
    </w:p>
    <w:p w14:paraId="47E8D684" w14:textId="77777777" w:rsidR="00DF6239" w:rsidRPr="00026EC1" w:rsidRDefault="00DF6239" w:rsidP="00A64613">
      <w:pPr>
        <w:pStyle w:val="Texte1cm"/>
        <w:keepNext w:val="0"/>
      </w:pPr>
    </w:p>
    <w:p w14:paraId="25D99EF4" w14:textId="28B3B116" w:rsidR="00163A6D" w:rsidRPr="00163A6D" w:rsidRDefault="00377F35" w:rsidP="00864798">
      <w:pPr>
        <w:pStyle w:val="ListParagraph"/>
        <w:numPr>
          <w:ilvl w:val="0"/>
          <w:numId w:val="60"/>
        </w:numPr>
        <w:tabs>
          <w:tab w:val="left" w:pos="1134"/>
        </w:tabs>
        <w:rPr>
          <w:b/>
          <w:bCs/>
          <w:u w:val="single"/>
        </w:rPr>
      </w:pPr>
      <w:r w:rsidRPr="00316277">
        <w:rPr>
          <w:b/>
          <w:bCs/>
          <w:u w:val="single"/>
        </w:rPr>
        <w:t>Poste offert dans la discipline</w:t>
      </w:r>
    </w:p>
    <w:p w14:paraId="4A7A5A79" w14:textId="2CD5EC5E" w:rsidR="00DF6239" w:rsidRPr="00026EC1" w:rsidRDefault="00DF6239" w:rsidP="00163A6D">
      <w:pPr>
        <w:pStyle w:val="ListParagraph"/>
        <w:tabs>
          <w:tab w:val="left" w:pos="1134"/>
        </w:tabs>
        <w:ind w:left="1127"/>
      </w:pPr>
      <w:r w:rsidRPr="00026EC1">
        <w:t>Le poste d</w:t>
      </w:r>
      <w:r w:rsidR="004A41E4" w:rsidRPr="00026EC1">
        <w:t>’</w:t>
      </w:r>
      <w:r w:rsidRPr="00026EC1">
        <w:t>enseignement offert est disponible et correspond à la discipline pour laquelle l</w:t>
      </w:r>
      <w:r w:rsidR="004A41E4" w:rsidRPr="00026EC1">
        <w:t>’</w:t>
      </w:r>
      <w:r w:rsidRPr="00026EC1">
        <w:t>enseignante ou l</w:t>
      </w:r>
      <w:r w:rsidR="004A41E4" w:rsidRPr="00026EC1">
        <w:t>’</w:t>
      </w:r>
      <w:r w:rsidRPr="00026EC1">
        <w:t>enseignant a été engagé ou, sous réserve du dernier paragraphe de la clause 5</w:t>
      </w:r>
      <w:r w:rsidR="00984A6F">
        <w:noBreakHyphen/>
      </w:r>
      <w:r w:rsidRPr="00026EC1">
        <w:t>4.17, qu</w:t>
      </w:r>
      <w:r w:rsidR="004A41E4" w:rsidRPr="00026EC1">
        <w:t>’</w:t>
      </w:r>
      <w:r w:rsidRPr="00026EC1">
        <w:t>elle ou il enseignait l</w:t>
      </w:r>
      <w:r w:rsidR="004A41E4" w:rsidRPr="00026EC1">
        <w:t>’</w:t>
      </w:r>
      <w:r w:rsidRPr="00026EC1">
        <w:t>année de sa mise en disponibilité et l</w:t>
      </w:r>
      <w:r w:rsidR="004A41E4" w:rsidRPr="00026EC1">
        <w:t>’</w:t>
      </w:r>
      <w:r w:rsidRPr="00026EC1">
        <w:t>enseignement se donne dans la langue utilisée au moment de sa mise en disponibilité, à moins que l</w:t>
      </w:r>
      <w:r w:rsidR="004A41E4" w:rsidRPr="00026EC1">
        <w:t>’</w:t>
      </w:r>
      <w:r w:rsidRPr="00026EC1">
        <w:t>enseignante ou que l</w:t>
      </w:r>
      <w:r w:rsidR="004A41E4" w:rsidRPr="00026EC1">
        <w:t>’</w:t>
      </w:r>
      <w:r w:rsidRPr="00026EC1">
        <w:t xml:space="preserve">enseignant ne désire aussi enseigner dans une autre langue. Le Collège accepte cette enseignante ou cet enseignant. </w:t>
      </w:r>
    </w:p>
    <w:p w14:paraId="52EDA999" w14:textId="77777777" w:rsidR="00DF6239" w:rsidRPr="00026EC1" w:rsidRDefault="00DF6239" w:rsidP="00A64613">
      <w:pPr>
        <w:pStyle w:val="Texte1cm"/>
        <w:keepNext w:val="0"/>
      </w:pPr>
    </w:p>
    <w:p w14:paraId="291B1C78" w14:textId="2DD7A1C1" w:rsidR="005A2D64" w:rsidRDefault="00275751" w:rsidP="00A64613">
      <w:pPr>
        <w:keepNext w:val="0"/>
        <w:tabs>
          <w:tab w:val="left" w:pos="1134"/>
        </w:tabs>
        <w:ind w:left="1134" w:hanging="567"/>
      </w:pPr>
      <w:r w:rsidRPr="00026EC1">
        <w:t>2.</w:t>
      </w:r>
      <w:r w:rsidRPr="00026EC1">
        <w:tab/>
      </w:r>
      <w:r w:rsidR="005A2D64" w:rsidRPr="00316277">
        <w:rPr>
          <w:b/>
          <w:bCs/>
          <w:u w:val="single"/>
        </w:rPr>
        <w:t>Poste offert en changement de discipline ou dans une autre langue d’enseignement</w:t>
      </w:r>
    </w:p>
    <w:p w14:paraId="02904407" w14:textId="5792783A" w:rsidR="00DF6239" w:rsidRPr="00026EC1" w:rsidRDefault="00DF6239" w:rsidP="005A2D64">
      <w:pPr>
        <w:keepNext w:val="0"/>
        <w:tabs>
          <w:tab w:val="left" w:pos="1134"/>
        </w:tabs>
        <w:ind w:left="1134"/>
      </w:pPr>
      <w:r w:rsidRPr="00026EC1">
        <w:t>Le poste d</w:t>
      </w:r>
      <w:r w:rsidR="004A41E4" w:rsidRPr="00026EC1">
        <w:t>’</w:t>
      </w:r>
      <w:r w:rsidRPr="00026EC1">
        <w:t>enseignement offert est disponible</w:t>
      </w:r>
      <w:r w:rsidR="005A2D77" w:rsidRPr="00026EC1">
        <w:t>,</w:t>
      </w:r>
      <w:r w:rsidRPr="00026EC1">
        <w:t xml:space="preserve"> mais ne correspond pas à la discipline pour laquelle l</w:t>
      </w:r>
      <w:r w:rsidR="004A41E4" w:rsidRPr="00026EC1">
        <w:t>’</w:t>
      </w:r>
      <w:r w:rsidRPr="00026EC1">
        <w:t>enseignante ou l</w:t>
      </w:r>
      <w:r w:rsidR="004A41E4" w:rsidRPr="00026EC1">
        <w:t>’</w:t>
      </w:r>
      <w:r w:rsidRPr="00026EC1">
        <w:t>enseignant a été engagé ou qu</w:t>
      </w:r>
      <w:r w:rsidR="004A41E4" w:rsidRPr="00026EC1">
        <w:t>’</w:t>
      </w:r>
      <w:r w:rsidRPr="00026EC1">
        <w:t>elle ou il enseignait l</w:t>
      </w:r>
      <w:r w:rsidR="004A41E4" w:rsidRPr="00026EC1">
        <w:t>’</w:t>
      </w:r>
      <w:r w:rsidRPr="00026EC1">
        <w:t>année de sa mise en disponibilité, l</w:t>
      </w:r>
      <w:r w:rsidR="004A41E4" w:rsidRPr="00026EC1">
        <w:t>’</w:t>
      </w:r>
      <w:r w:rsidRPr="00026EC1">
        <w:t>enseignement se donne dans la langue utilisée au moment de sa mise en disponibilité à moins qu</w:t>
      </w:r>
      <w:r w:rsidR="004A41E4" w:rsidRPr="00026EC1">
        <w:t>’</w:t>
      </w:r>
      <w:r w:rsidRPr="00026EC1">
        <w:t>elle ou il ne désire aussi enseigner dans une autre langue, et soit le Bureau de placement, soit l</w:t>
      </w:r>
      <w:r w:rsidR="004A41E4" w:rsidRPr="00026EC1">
        <w:t>’</w:t>
      </w:r>
      <w:r w:rsidRPr="00026EC1">
        <w:t>enseignante ou l</w:t>
      </w:r>
      <w:r w:rsidR="004A41E4" w:rsidRPr="00026EC1">
        <w:t>’</w:t>
      </w:r>
      <w:r w:rsidRPr="00026EC1">
        <w:t>enseignant estime qu</w:t>
      </w:r>
      <w:r w:rsidR="004A41E4" w:rsidRPr="00026EC1">
        <w:t>’</w:t>
      </w:r>
      <w:r w:rsidRPr="00026EC1">
        <w:t>elle ou il répond aux exigences du poste.</w:t>
      </w:r>
    </w:p>
    <w:p w14:paraId="738E742A" w14:textId="77777777" w:rsidR="00DF6239" w:rsidRPr="00026EC1" w:rsidRDefault="00DF6239" w:rsidP="00A64613">
      <w:pPr>
        <w:pStyle w:val="Texte2cm"/>
        <w:keepNext w:val="0"/>
      </w:pPr>
    </w:p>
    <w:p w14:paraId="3B0B753C" w14:textId="77777777" w:rsidR="00DF6239" w:rsidRPr="00026EC1" w:rsidRDefault="00DF6239" w:rsidP="00A64613">
      <w:pPr>
        <w:pStyle w:val="Texte2cm"/>
        <w:keepNext w:val="0"/>
      </w:pPr>
      <w:r w:rsidRPr="00026EC1">
        <w:t>Dans ce cas, le Collège reçoit l</w:t>
      </w:r>
      <w:r w:rsidR="004A41E4" w:rsidRPr="00026EC1">
        <w:t>’</w:t>
      </w:r>
      <w:r w:rsidRPr="00026EC1">
        <w:t>enseignante ou l</w:t>
      </w:r>
      <w:r w:rsidR="004A41E4" w:rsidRPr="00026EC1">
        <w:t>’</w:t>
      </w:r>
      <w:r w:rsidRPr="00026EC1">
        <w:t>enseignant concerné et la ou le réfère au comité ou mécanisme de sélection prévu à la convention collective pour examiner si elle ou il répond aux exigences normalement requises pour le poste; les frais de déplacement sont payables par son Collège d</w:t>
      </w:r>
      <w:r w:rsidR="004A41E4" w:rsidRPr="00026EC1">
        <w:t>’</w:t>
      </w:r>
      <w:r w:rsidRPr="00026EC1">
        <w:t>origine.</w:t>
      </w:r>
    </w:p>
    <w:p w14:paraId="419D40A9" w14:textId="77777777" w:rsidR="00DF6239" w:rsidRPr="00026EC1" w:rsidRDefault="00DF6239" w:rsidP="00A64613">
      <w:pPr>
        <w:pStyle w:val="Texte2cm"/>
        <w:keepNext w:val="0"/>
      </w:pPr>
    </w:p>
    <w:p w14:paraId="48C66045" w14:textId="77777777" w:rsidR="00DF6239" w:rsidRPr="00026EC1" w:rsidRDefault="00DF6239" w:rsidP="00A64613">
      <w:pPr>
        <w:pStyle w:val="Texte2cm"/>
        <w:keepNext w:val="0"/>
      </w:pPr>
      <w:r w:rsidRPr="00026EC1">
        <w:t>Lorsque le Collège estime que la candidate ou le candidat référé répond aux exigences normalement requises pour le poste, même à l</w:t>
      </w:r>
      <w:r w:rsidR="004A41E4" w:rsidRPr="00026EC1">
        <w:t>’</w:t>
      </w:r>
      <w:r w:rsidRPr="00026EC1">
        <w:t>encontre ou en l</w:t>
      </w:r>
      <w:r w:rsidR="004A41E4" w:rsidRPr="00026EC1">
        <w:t>’</w:t>
      </w:r>
      <w:r w:rsidRPr="00026EC1">
        <w:t>absence de recommandation du comité ou mécanisme de sélection prévu à la convention collective, il l</w:t>
      </w:r>
      <w:r w:rsidR="004A41E4" w:rsidRPr="00026EC1">
        <w:t>’</w:t>
      </w:r>
      <w:r w:rsidRPr="00026EC1">
        <w:t>engage. Dans le cas contraire, le Bureau de placement applique à nouveau à l</w:t>
      </w:r>
      <w:r w:rsidR="004A41E4" w:rsidRPr="00026EC1">
        <w:t>’</w:t>
      </w:r>
      <w:r w:rsidRPr="00026EC1">
        <w:t>enseignante ou l</w:t>
      </w:r>
      <w:r w:rsidR="004A41E4" w:rsidRPr="00026EC1">
        <w:t>’</w:t>
      </w:r>
      <w:r w:rsidRPr="00026EC1">
        <w:t>enseignant les dispositions prévues au présent alinéa.</w:t>
      </w:r>
    </w:p>
    <w:p w14:paraId="7D681ED7" w14:textId="77777777" w:rsidR="00DF6239" w:rsidRPr="00026EC1" w:rsidRDefault="00DF6239" w:rsidP="00A64613">
      <w:pPr>
        <w:pStyle w:val="Texte2cm"/>
        <w:keepNext w:val="0"/>
      </w:pPr>
    </w:p>
    <w:p w14:paraId="1E740DE7" w14:textId="5D544AFA" w:rsidR="00DF6239" w:rsidRDefault="00DF6239" w:rsidP="00A64613">
      <w:pPr>
        <w:pStyle w:val="Texte2cm"/>
        <w:keepNext w:val="0"/>
      </w:pPr>
      <w:r w:rsidRPr="00026EC1">
        <w:t>Dans le cas de l</w:t>
      </w:r>
      <w:r w:rsidR="004A41E4" w:rsidRPr="00026EC1">
        <w:t>’</w:t>
      </w:r>
      <w:r w:rsidRPr="00026EC1">
        <w:t>enseignante ou de l</w:t>
      </w:r>
      <w:r w:rsidR="004A41E4" w:rsidRPr="00026EC1">
        <w:t>’</w:t>
      </w:r>
      <w:r w:rsidRPr="00026EC1">
        <w:t>enseignant visé par les sous</w:t>
      </w:r>
      <w:r w:rsidR="00984A6F">
        <w:noBreakHyphen/>
      </w:r>
      <w:r w:rsidRPr="00026EC1">
        <w:t>alinéas</w:t>
      </w:r>
      <w:r w:rsidR="00757E12" w:rsidRPr="00026EC1">
        <w:t> </w:t>
      </w:r>
      <w:r w:rsidRPr="00026EC1">
        <w:t>11 et 13 de la priorité d</w:t>
      </w:r>
      <w:r w:rsidR="004A41E4" w:rsidRPr="00026EC1">
        <w:t>’</w:t>
      </w:r>
      <w:r w:rsidRPr="00026EC1">
        <w:t>engagement prévue à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le Collège reçoit l</w:t>
      </w:r>
      <w:r w:rsidR="004A41E4" w:rsidRPr="00026EC1">
        <w:t>’</w:t>
      </w:r>
      <w:r w:rsidRPr="00026EC1">
        <w:t>enseignante ou l</w:t>
      </w:r>
      <w:r w:rsidR="004A41E4" w:rsidRPr="00026EC1">
        <w:t>’</w:t>
      </w:r>
      <w:r w:rsidRPr="00026EC1">
        <w:t>enseignant concerné et la ou le réfère au comité de sélection prévu à la convention collective pour examiner si le projet de recyclage soumis par l</w:t>
      </w:r>
      <w:r w:rsidR="004A41E4" w:rsidRPr="00026EC1">
        <w:t>’</w:t>
      </w:r>
      <w:r w:rsidRPr="00026EC1">
        <w:t>enseignante ou l</w:t>
      </w:r>
      <w:r w:rsidR="004A41E4" w:rsidRPr="00026EC1">
        <w:t>’</w:t>
      </w:r>
      <w:r w:rsidRPr="00026EC1">
        <w:t>enseignant lui permettra de répondre aux exigences normalement requises pour le poste; les frais de déplacement sont payables par son collège d</w:t>
      </w:r>
      <w:r w:rsidR="004A41E4" w:rsidRPr="00026EC1">
        <w:t>’</w:t>
      </w:r>
      <w:r w:rsidRPr="00026EC1">
        <w:t>origine.</w:t>
      </w:r>
    </w:p>
    <w:p w14:paraId="06938B6D" w14:textId="77777777" w:rsidR="005804D0" w:rsidRPr="00026EC1" w:rsidRDefault="005804D0" w:rsidP="00A64613">
      <w:pPr>
        <w:pStyle w:val="Texte2cm"/>
        <w:keepNext w:val="0"/>
      </w:pPr>
    </w:p>
    <w:p w14:paraId="65460AB1" w14:textId="5B79B17C" w:rsidR="00DF6239" w:rsidRPr="00026EC1" w:rsidRDefault="00664BFA" w:rsidP="008E49AE">
      <w:pPr>
        <w:pStyle w:val="Texte2cm"/>
        <w:keepNext w:val="0"/>
        <w:ind w:left="567"/>
      </w:pPr>
      <w:r w:rsidRPr="00316277">
        <w:rPr>
          <w:b/>
          <w:bCs/>
          <w:u w:val="single"/>
        </w:rPr>
        <w:t xml:space="preserve">Occupation d’un poste </w:t>
      </w:r>
      <w:r w:rsidR="008E49AE" w:rsidRPr="00316277">
        <w:rPr>
          <w:b/>
          <w:bCs/>
          <w:u w:val="single"/>
        </w:rPr>
        <w:t xml:space="preserve">ou d’une charge annuelle de remplacement </w:t>
      </w:r>
      <w:r w:rsidR="005804D0" w:rsidRPr="00316277">
        <w:rPr>
          <w:b/>
          <w:bCs/>
          <w:u w:val="single"/>
        </w:rPr>
        <w:t>reportée à la session d’hiver</w:t>
      </w:r>
    </w:p>
    <w:p w14:paraId="4B1515D8" w14:textId="77777777"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mis en disponibilité dans la discipline porteuse de la formation spécifique d</w:t>
      </w:r>
      <w:r w:rsidR="004A41E4" w:rsidRPr="00026EC1">
        <w:t>’</w:t>
      </w:r>
      <w:r w:rsidRPr="00026EC1">
        <w:t>un programme unique dans la zone du Collège et qui est fermé, qui est visé par les alinéas</w:t>
      </w:r>
      <w:r w:rsidR="00757E12" w:rsidRPr="00026EC1">
        <w:t> </w:t>
      </w:r>
      <w:r w:rsidRPr="00026EC1">
        <w:t>E) et L) de la présente clause, accepte le poste</w:t>
      </w:r>
      <w:r w:rsidR="005A2D77" w:rsidRPr="00026EC1">
        <w:t>,</w:t>
      </w:r>
      <w:r w:rsidRPr="00026EC1">
        <w:t xml:space="preserve"> mais n</w:t>
      </w:r>
      <w:r w:rsidR="004A41E4" w:rsidRPr="00026EC1">
        <w:t>’</w:t>
      </w:r>
      <w:r w:rsidRPr="00026EC1">
        <w:t>est pas tenu de l</w:t>
      </w:r>
      <w:r w:rsidR="004A41E4" w:rsidRPr="00026EC1">
        <w:t>’</w:t>
      </w:r>
      <w:r w:rsidRPr="00026EC1">
        <w:t>occuper avant la session d</w:t>
      </w:r>
      <w:r w:rsidR="004A41E4" w:rsidRPr="00026EC1">
        <w:t>’</w:t>
      </w:r>
      <w:r w:rsidRPr="00026EC1">
        <w:t>hiver.</w:t>
      </w:r>
    </w:p>
    <w:p w14:paraId="02F3EEBE" w14:textId="77777777" w:rsidR="00DF6239" w:rsidRPr="00026EC1" w:rsidRDefault="00DF6239" w:rsidP="00A64613">
      <w:pPr>
        <w:pStyle w:val="Texte1cm"/>
        <w:keepNext w:val="0"/>
      </w:pPr>
    </w:p>
    <w:p w14:paraId="631A9862" w14:textId="0BE8EC04"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visé au présent alinéa à qui le Bureau de placement a offert un poste</w:t>
      </w:r>
      <w:r w:rsidR="00A32AEB">
        <w:t xml:space="preserve"> </w:t>
      </w:r>
      <w:r w:rsidR="00A32AEB" w:rsidRPr="00316277">
        <w:t>ou une charge annuelle de remplacement</w:t>
      </w:r>
      <w:r w:rsidRPr="00026EC1">
        <w:t xml:space="preserve"> dans un autre Collège</w:t>
      </w:r>
      <w:r w:rsidR="005A2D77" w:rsidRPr="00026EC1">
        <w:t>,</w:t>
      </w:r>
      <w:r w:rsidRPr="00026EC1">
        <w:t xml:space="preserve"> mais pour qui une pleine charge d</w:t>
      </w:r>
      <w:r w:rsidR="004A41E4" w:rsidRPr="00026EC1">
        <w:t>’</w:t>
      </w:r>
      <w:r w:rsidRPr="00026EC1">
        <w:t>enseignement à l</w:t>
      </w:r>
      <w:r w:rsidR="004A41E4" w:rsidRPr="00026EC1">
        <w:t>’</w:t>
      </w:r>
      <w:r w:rsidRPr="00026EC1">
        <w:t>automne est disponible dans son Collège d</w:t>
      </w:r>
      <w:r w:rsidR="004A41E4" w:rsidRPr="00026EC1">
        <w:t>’</w:t>
      </w:r>
      <w:r w:rsidRPr="00026EC1">
        <w:t>origine au même moment n</w:t>
      </w:r>
      <w:r w:rsidR="004A41E4" w:rsidRPr="00026EC1">
        <w:t>’</w:t>
      </w:r>
      <w:r w:rsidRPr="00026EC1">
        <w:t>occupe le poste</w:t>
      </w:r>
      <w:r w:rsidR="00A32AEB">
        <w:t xml:space="preserve"> </w:t>
      </w:r>
      <w:r w:rsidR="00A32AEB" w:rsidRPr="00316277">
        <w:t>ou la charge annuelle de remplacement</w:t>
      </w:r>
      <w:r w:rsidRPr="00026EC1">
        <w:t xml:space="preserve"> offert qu</w:t>
      </w:r>
      <w:r w:rsidR="004A41E4" w:rsidRPr="00026EC1">
        <w:t>’</w:t>
      </w:r>
      <w:r w:rsidRPr="00026EC1">
        <w:t>à la session d</w:t>
      </w:r>
      <w:r w:rsidR="004A41E4" w:rsidRPr="00026EC1">
        <w:t>’</w:t>
      </w:r>
      <w:r w:rsidRPr="00026EC1">
        <w:t>hiver. Cependant, malgré l</w:t>
      </w:r>
      <w:r w:rsidR="004A41E4" w:rsidRPr="00026EC1">
        <w:t>’</w:t>
      </w:r>
      <w:r w:rsidRPr="00026EC1">
        <w:t xml:space="preserve">alinéa G) de la présente clause, sa mise en disponibilité et son replacement </w:t>
      </w:r>
      <w:r w:rsidR="00A32AEB" w:rsidRPr="00316277">
        <w:t>ou son déplacement sur une charge annuelle de remplacement</w:t>
      </w:r>
      <w:r w:rsidR="00A32AEB">
        <w:t xml:space="preserve"> </w:t>
      </w:r>
      <w:r w:rsidRPr="00026EC1">
        <w:t>sont annulés si les conditions prévues à l</w:t>
      </w:r>
      <w:r w:rsidR="004A41E4" w:rsidRPr="00026EC1">
        <w:t>’</w:t>
      </w:r>
      <w:r w:rsidRPr="00026EC1">
        <w:t>un des alinéa</w:t>
      </w:r>
      <w:r w:rsidR="0038286A">
        <w:t>s</w:t>
      </w:r>
      <w:r w:rsidRPr="00026EC1">
        <w:t> B), C) et D) de la clause 5</w:t>
      </w:r>
      <w:r w:rsidR="00984A6F">
        <w:noBreakHyphen/>
      </w:r>
      <w:r w:rsidRPr="00026EC1">
        <w:t>4.06 se réalisent pour elle ou lui, au plus tard le 10 décembre, dans son Collège d</w:t>
      </w:r>
      <w:r w:rsidR="004A41E4" w:rsidRPr="00026EC1">
        <w:t>’</w:t>
      </w:r>
      <w:r w:rsidRPr="00026EC1">
        <w:t>origine.</w:t>
      </w:r>
    </w:p>
    <w:p w14:paraId="0E54CBA3" w14:textId="77777777" w:rsidR="00DF6239" w:rsidRPr="00026EC1" w:rsidRDefault="00DF6239" w:rsidP="00A64613">
      <w:pPr>
        <w:pStyle w:val="Texte1cm"/>
        <w:keepNext w:val="0"/>
      </w:pPr>
    </w:p>
    <w:p w14:paraId="6614E323" w14:textId="77777777" w:rsidR="00DF6239" w:rsidRPr="00026EC1" w:rsidRDefault="00DF6239" w:rsidP="00A64613">
      <w:pPr>
        <w:pStyle w:val="Texte1cm"/>
        <w:keepNext w:val="0"/>
      </w:pPr>
      <w:r w:rsidRPr="00026EC1">
        <w:t>De plus, l</w:t>
      </w:r>
      <w:r w:rsidR="004A41E4" w:rsidRPr="00026EC1">
        <w:t>’</w:t>
      </w:r>
      <w:r w:rsidRPr="00026EC1">
        <w:t>enseignante ou l</w:t>
      </w:r>
      <w:r w:rsidR="004A41E4" w:rsidRPr="00026EC1">
        <w:t>’</w:t>
      </w:r>
      <w:r w:rsidRPr="00026EC1">
        <w:t>enseignant visé au présent alinéa à qui le Bureau de placement offre un poste dans un autre Collège après le début des cours dans ce Collège l</w:t>
      </w:r>
      <w:r w:rsidR="004A41E4" w:rsidRPr="00026EC1">
        <w:t>’</w:t>
      </w:r>
      <w:r w:rsidRPr="00026EC1">
        <w:t>accepte</w:t>
      </w:r>
      <w:r w:rsidR="005A2D77" w:rsidRPr="00026EC1">
        <w:t>,</w:t>
      </w:r>
      <w:r w:rsidRPr="00026EC1">
        <w:t xml:space="preserve"> mais n</w:t>
      </w:r>
      <w:r w:rsidR="004A41E4" w:rsidRPr="00026EC1">
        <w:t>’</w:t>
      </w:r>
      <w:r w:rsidRPr="00026EC1">
        <w:t>est pas tenu de l</w:t>
      </w:r>
      <w:r w:rsidR="004A41E4" w:rsidRPr="00026EC1">
        <w:t>’</w:t>
      </w:r>
      <w:r w:rsidRPr="00026EC1">
        <w:t>occuper avant la session suivante. Pendant cette période d</w:t>
      </w:r>
      <w:r w:rsidR="004A41E4" w:rsidRPr="00026EC1">
        <w:t>’</w:t>
      </w:r>
      <w:r w:rsidRPr="00026EC1">
        <w:t>attente, elle ou il conserve son lien d</w:t>
      </w:r>
      <w:r w:rsidR="004A41E4" w:rsidRPr="00026EC1">
        <w:t>’</w:t>
      </w:r>
      <w:r w:rsidRPr="00026EC1">
        <w:t>emploi avec son Collège d</w:t>
      </w:r>
      <w:r w:rsidR="004A41E4" w:rsidRPr="00026EC1">
        <w:t>’</w:t>
      </w:r>
      <w:r w:rsidRPr="00026EC1">
        <w:t>origine et sa protection salariale conformément à l</w:t>
      </w:r>
      <w:r w:rsidR="004A41E4" w:rsidRPr="00026EC1">
        <w:t>’</w:t>
      </w:r>
      <w:r w:rsidRPr="00026EC1">
        <w:t>alinéa I) de la présente clause. Elle ou il doit accepter toute affectation qu</w:t>
      </w:r>
      <w:r w:rsidR="004A41E4" w:rsidRPr="00026EC1">
        <w:t>’</w:t>
      </w:r>
      <w:r w:rsidRPr="00026EC1">
        <w:t>une enseignante ou un enseignant mis en disponibilité non replacé est tenu d</w:t>
      </w:r>
      <w:r w:rsidR="004A41E4" w:rsidRPr="00026EC1">
        <w:t>’</w:t>
      </w:r>
      <w:r w:rsidRPr="00026EC1">
        <w:t>accepter.</w:t>
      </w:r>
    </w:p>
    <w:p w14:paraId="4A5A9506" w14:textId="77777777" w:rsidR="00DF6239" w:rsidRPr="00026EC1" w:rsidRDefault="00DF6239" w:rsidP="00A64613">
      <w:pPr>
        <w:pStyle w:val="Texte1cm"/>
        <w:keepNext w:val="0"/>
      </w:pPr>
    </w:p>
    <w:p w14:paraId="7655AFE6" w14:textId="55FF29A5" w:rsidR="000E7F39" w:rsidRDefault="000E7F39" w:rsidP="00A64613">
      <w:pPr>
        <w:pStyle w:val="Texte1cm"/>
        <w:keepNext w:val="0"/>
      </w:pPr>
      <w:r w:rsidRPr="00316277">
        <w:rPr>
          <w:b/>
          <w:bCs/>
          <w:u w:val="single"/>
        </w:rPr>
        <w:t>Obligation d’accepter une char</w:t>
      </w:r>
      <w:r w:rsidR="00DF378E" w:rsidRPr="00316277">
        <w:rPr>
          <w:b/>
          <w:bCs/>
          <w:u w:val="single"/>
        </w:rPr>
        <w:t>ge annuelle de remplacement à temps complet</w:t>
      </w:r>
    </w:p>
    <w:p w14:paraId="1013E2D2" w14:textId="34E95459" w:rsidR="00DF6239" w:rsidRPr="00026EC1" w:rsidRDefault="00DF6239" w:rsidP="00A64613">
      <w:pPr>
        <w:pStyle w:val="Texte1cm"/>
        <w:keepNext w:val="0"/>
      </w:pPr>
      <w:r w:rsidRPr="00026EC1">
        <w:t>À moins qu</w:t>
      </w:r>
      <w:r w:rsidR="004A41E4" w:rsidRPr="00026EC1">
        <w:t>’</w:t>
      </w:r>
      <w:r w:rsidRPr="00026EC1">
        <w:t>elle ou il ne soit déjà assuré d</w:t>
      </w:r>
      <w:r w:rsidR="004A41E4" w:rsidRPr="00026EC1">
        <w:t>’</w:t>
      </w:r>
      <w:r w:rsidRPr="00026EC1">
        <w:t>une charge d</w:t>
      </w:r>
      <w:r w:rsidR="004A41E4" w:rsidRPr="00026EC1">
        <w:t>’</w:t>
      </w:r>
      <w:r w:rsidRPr="00026EC1">
        <w:t>enseignement au moins égale à sa protection salariale calculée au prorata d</w:t>
      </w:r>
      <w:r w:rsidR="004A41E4" w:rsidRPr="00026EC1">
        <w:t>’</w:t>
      </w:r>
      <w:r w:rsidRPr="00026EC1">
        <w:t>une charge individuelle de quatre</w:t>
      </w:r>
      <w:r w:rsidR="00984A6F">
        <w:noBreakHyphen/>
      </w:r>
      <w:r w:rsidRPr="00026EC1">
        <w:t>vingts (80) unités de travail dans son Collège, l</w:t>
      </w:r>
      <w:r w:rsidR="004A41E4" w:rsidRPr="00026EC1">
        <w:t>’</w:t>
      </w:r>
      <w:r w:rsidRPr="00026EC1">
        <w:t>enseignante ou l</w:t>
      </w:r>
      <w:r w:rsidR="004A41E4" w:rsidRPr="00026EC1">
        <w:t>’</w:t>
      </w:r>
      <w:r w:rsidRPr="00026EC1">
        <w:t>enseignant non replacé est tenu d</w:t>
      </w:r>
      <w:r w:rsidR="004A41E4" w:rsidRPr="00026EC1">
        <w:t>’</w:t>
      </w:r>
      <w:r w:rsidRPr="00026EC1">
        <w:t>accepter une charge annuelle de remplacement à temps complet dans un Collège de la zone où est situé son Collège. Cependant, quand une enseignante ou un enseignant permanent inscrit sur la liste du Bureau de placement est affecté à une telle charge dans un autre Collège, son nom demeure sur la liste du Bureau de placement et elle ou il retourne dans son Collège d</w:t>
      </w:r>
      <w:r w:rsidR="004A41E4" w:rsidRPr="00026EC1">
        <w:t>’</w:t>
      </w:r>
      <w:r w:rsidRPr="00026EC1">
        <w:t>origine à la fin de l</w:t>
      </w:r>
      <w:r w:rsidR="004A41E4" w:rsidRPr="00026EC1">
        <w:t>’</w:t>
      </w:r>
      <w:r w:rsidRPr="00026EC1">
        <w:t>année d</w:t>
      </w:r>
      <w:r w:rsidR="004A41E4" w:rsidRPr="00026EC1">
        <w:t>’</w:t>
      </w:r>
      <w:r w:rsidRPr="00026EC1">
        <w:t>enseignement.</w:t>
      </w:r>
    </w:p>
    <w:p w14:paraId="65F14B62" w14:textId="77777777" w:rsidR="00DF6239" w:rsidRDefault="00DF6239" w:rsidP="00A64613">
      <w:pPr>
        <w:pStyle w:val="Texte1cm"/>
        <w:keepNext w:val="0"/>
      </w:pPr>
    </w:p>
    <w:p w14:paraId="1547BEC9" w14:textId="3E564EAF" w:rsidR="005738EE" w:rsidRPr="00026EC1" w:rsidRDefault="005738EE" w:rsidP="00A64613">
      <w:pPr>
        <w:pStyle w:val="Texte1cm"/>
        <w:keepNext w:val="0"/>
      </w:pPr>
      <w:r w:rsidRPr="00316277">
        <w:rPr>
          <w:b/>
          <w:bCs/>
          <w:u w:val="single"/>
        </w:rPr>
        <w:t>Pos</w:t>
      </w:r>
      <w:r w:rsidR="00C875D3" w:rsidRPr="00316277">
        <w:rPr>
          <w:b/>
          <w:bCs/>
          <w:u w:val="single"/>
        </w:rPr>
        <w:t>sibilité d’occuper un pos</w:t>
      </w:r>
      <w:r w:rsidRPr="00316277">
        <w:rPr>
          <w:b/>
          <w:bCs/>
          <w:u w:val="single"/>
        </w:rPr>
        <w:t>te</w:t>
      </w:r>
      <w:r w:rsidR="00C875D3" w:rsidRPr="00316277">
        <w:rPr>
          <w:b/>
          <w:bCs/>
          <w:u w:val="single"/>
        </w:rPr>
        <w:t xml:space="preserve"> d’une zone différente</w:t>
      </w:r>
    </w:p>
    <w:p w14:paraId="74E5D82C" w14:textId="77777777" w:rsidR="00DF6239" w:rsidRPr="00026EC1" w:rsidRDefault="00DF6239" w:rsidP="00A64613">
      <w:pPr>
        <w:pStyle w:val="Texte1cm"/>
        <w:keepNext w:val="0"/>
      </w:pPr>
      <w:r w:rsidRPr="00026EC1">
        <w:t>Sous réserve du premier (1</w:t>
      </w:r>
      <w:r w:rsidRPr="00026EC1">
        <w:rPr>
          <w:vertAlign w:val="superscript"/>
        </w:rPr>
        <w:t>er</w:t>
      </w:r>
      <w:r w:rsidRPr="00026EC1">
        <w:t>) paragraphe du présent alinéa, une enseignante ou un enseignant n</w:t>
      </w:r>
      <w:r w:rsidR="004A41E4" w:rsidRPr="00026EC1">
        <w:t>’</w:t>
      </w:r>
      <w:r w:rsidRPr="00026EC1">
        <w:t>est jamais tenu d</w:t>
      </w:r>
      <w:r w:rsidR="004A41E4" w:rsidRPr="00026EC1">
        <w:t>’</w:t>
      </w:r>
      <w:r w:rsidRPr="00026EC1">
        <w:t>accepter un poste dans un Collège d</w:t>
      </w:r>
      <w:r w:rsidR="004A41E4" w:rsidRPr="00026EC1">
        <w:t>’</w:t>
      </w:r>
      <w:r w:rsidRPr="00026EC1">
        <w:t>une zone différente de celle qui est déterminée par le Collège où elle ou il enseignait lors de sa première mise en disponibilité. Si l</w:t>
      </w:r>
      <w:r w:rsidR="004A41E4" w:rsidRPr="00026EC1">
        <w:t>’</w:t>
      </w:r>
      <w:r w:rsidRPr="00026EC1">
        <w:t>enseignante ou l</w:t>
      </w:r>
      <w:r w:rsidR="004A41E4" w:rsidRPr="00026EC1">
        <w:t>’</w:t>
      </w:r>
      <w:r w:rsidRPr="00026EC1">
        <w:t>enseignant accepte un poste dans un Collège d</w:t>
      </w:r>
      <w:r w:rsidR="004A41E4" w:rsidRPr="00026EC1">
        <w:t>’</w:t>
      </w:r>
      <w:r w:rsidRPr="00026EC1">
        <w:t>une autre zone, elle ou il ne peut être tenu d</w:t>
      </w:r>
      <w:r w:rsidR="004A41E4" w:rsidRPr="00026EC1">
        <w:t>’</w:t>
      </w:r>
      <w:r w:rsidRPr="00026EC1">
        <w:t>accepter un poste hors de cette nouvelle zone, sous réserve du premier (1</w:t>
      </w:r>
      <w:r w:rsidRPr="00026EC1">
        <w:rPr>
          <w:vertAlign w:val="superscript"/>
        </w:rPr>
        <w:t>er</w:t>
      </w:r>
      <w:r w:rsidRPr="00026EC1">
        <w:t>) paragraphe du présent alinéa.</w:t>
      </w:r>
    </w:p>
    <w:p w14:paraId="30A30D91" w14:textId="77777777" w:rsidR="00DF6239" w:rsidRDefault="00DF6239" w:rsidP="00A64613">
      <w:pPr>
        <w:pStyle w:val="Texte1cm"/>
        <w:keepNext w:val="0"/>
      </w:pPr>
    </w:p>
    <w:p w14:paraId="7DADB2F6" w14:textId="7F0BB3B6" w:rsidR="009A5DCD" w:rsidRPr="00026EC1" w:rsidRDefault="00A91EDF" w:rsidP="00A64613">
      <w:pPr>
        <w:pStyle w:val="Texte1cm"/>
        <w:keepNext w:val="0"/>
      </w:pPr>
      <w:r w:rsidRPr="00316277">
        <w:rPr>
          <w:b/>
          <w:bCs/>
          <w:u w:val="single"/>
        </w:rPr>
        <w:t>Attribution lorsque plusieurs candidates ou candidats bénéficient de la même priorité d’engagement</w:t>
      </w:r>
    </w:p>
    <w:p w14:paraId="7A4C37A2" w14:textId="325529D5" w:rsidR="00DF6239" w:rsidRPr="00026EC1" w:rsidRDefault="00DF6239" w:rsidP="00A64613">
      <w:pPr>
        <w:pStyle w:val="Texte1cm"/>
        <w:keepNext w:val="0"/>
      </w:pPr>
      <w:r w:rsidRPr="00026EC1">
        <w:t>Dans le cas de la priorité prévue aux sous</w:t>
      </w:r>
      <w:r w:rsidR="00984A6F">
        <w:noBreakHyphen/>
      </w:r>
      <w:r w:rsidRPr="00026EC1">
        <w:t>alinéas</w:t>
      </w:r>
      <w:r w:rsidR="00757E12" w:rsidRPr="00026EC1">
        <w:t> </w:t>
      </w:r>
      <w:r w:rsidRPr="00026EC1">
        <w:t>2, 4</w:t>
      </w:r>
      <w:r w:rsidR="003C0C34">
        <w:t> </w:t>
      </w:r>
      <w:r w:rsidR="00337C3B" w:rsidRPr="00316277">
        <w:t>(</w:t>
      </w:r>
      <w:r w:rsidR="003216CF" w:rsidRPr="00316277">
        <w:t>premier</w:t>
      </w:r>
      <w:r w:rsidR="003C0C34" w:rsidRPr="00316277">
        <w:t> </w:t>
      </w:r>
      <w:r w:rsidR="003216CF" w:rsidRPr="00316277">
        <w:t>(1</w:t>
      </w:r>
      <w:r w:rsidR="003216CF" w:rsidRPr="00316277">
        <w:rPr>
          <w:vertAlign w:val="superscript"/>
        </w:rPr>
        <w:t>er</w:t>
      </w:r>
      <w:r w:rsidR="003216CF" w:rsidRPr="00316277">
        <w:t>) paragraphe</w:t>
      </w:r>
      <w:r w:rsidR="00337C3B" w:rsidRPr="00316277">
        <w:t>)</w:t>
      </w:r>
      <w:r w:rsidRPr="00026EC1">
        <w:t>, 5, et 10 à 13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lorsque plusieurs enseignantes ou enseignants mis en disponibilité bénéficient de la même priorité d</w:t>
      </w:r>
      <w:r w:rsidR="004A41E4" w:rsidRPr="00026EC1">
        <w:t>’</w:t>
      </w:r>
      <w:r w:rsidRPr="00026EC1">
        <w:t>engagement, l</w:t>
      </w:r>
      <w:r w:rsidR="004A41E4" w:rsidRPr="00026EC1">
        <w:t>’</w:t>
      </w:r>
      <w:r w:rsidRPr="00026EC1">
        <w:t>enseignante ou l</w:t>
      </w:r>
      <w:r w:rsidR="004A41E4" w:rsidRPr="00026EC1">
        <w:t>’</w:t>
      </w:r>
      <w:r w:rsidRPr="00026EC1">
        <w:t>enseignant ayant le plus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est tenu d</w:t>
      </w:r>
      <w:r w:rsidR="004A41E4" w:rsidRPr="00026EC1">
        <w:t>’</w:t>
      </w:r>
      <w:r w:rsidRPr="00026EC1">
        <w:t>accepter le poste.</w:t>
      </w:r>
    </w:p>
    <w:p w14:paraId="58FF3863" w14:textId="77777777" w:rsidR="00F66753" w:rsidRPr="00026EC1" w:rsidRDefault="00F66753" w:rsidP="00A64613">
      <w:pPr>
        <w:pStyle w:val="Texte1cm"/>
        <w:keepNext w:val="0"/>
      </w:pPr>
    </w:p>
    <w:p w14:paraId="52231597" w14:textId="3E4C7D09" w:rsidR="00DF6239" w:rsidRPr="00026EC1" w:rsidRDefault="00DF6239" w:rsidP="00A64613">
      <w:pPr>
        <w:pStyle w:val="Texte1cm"/>
        <w:keepNext w:val="0"/>
      </w:pPr>
      <w:r w:rsidRPr="00026EC1">
        <w:t>Dans le cas des autres priorités prévues aux alinéas</w:t>
      </w:r>
      <w:r w:rsidR="00757E12" w:rsidRPr="00026EC1">
        <w:t> </w:t>
      </w:r>
      <w:r w:rsidRPr="00026EC1">
        <w:t>a) et b) de la clause</w:t>
      </w:r>
      <w:r w:rsidR="0061766F" w:rsidRPr="00026EC1">
        <w:t> </w:t>
      </w:r>
      <w:r w:rsidRPr="00026EC1">
        <w:t>5</w:t>
      </w:r>
      <w:r w:rsidR="00984A6F">
        <w:noBreakHyphen/>
      </w:r>
      <w:r w:rsidRPr="00026EC1">
        <w:t>4.17, lorsque plusieurs enseignantes ou enseignants mis en disponibilité bénéficient de la même priorité d</w:t>
      </w:r>
      <w:r w:rsidR="004A41E4" w:rsidRPr="00026EC1">
        <w:t>’</w:t>
      </w:r>
      <w:r w:rsidRPr="00026EC1">
        <w:t>engagement, seule l</w:t>
      </w:r>
      <w:r w:rsidR="004A41E4" w:rsidRPr="00026EC1">
        <w:t>’</w:t>
      </w:r>
      <w:r w:rsidRPr="00026EC1">
        <w:t>enseignante ou seul l</w:t>
      </w:r>
      <w:r w:rsidR="004A41E4" w:rsidRPr="00026EC1">
        <w:t>’</w:t>
      </w:r>
      <w:r w:rsidRPr="00026EC1">
        <w:t>enseignant ayant le moins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est tenu d</w:t>
      </w:r>
      <w:r w:rsidR="004A41E4" w:rsidRPr="00026EC1">
        <w:t>’</w:t>
      </w:r>
      <w:r w:rsidRPr="00026EC1">
        <w:t>accepter le poste ou la charge annuelle de remplacement à temps complet qui lui est offert.</w:t>
      </w:r>
    </w:p>
    <w:p w14:paraId="270023B7" w14:textId="77777777" w:rsidR="00DF6239" w:rsidRPr="00026EC1" w:rsidRDefault="00DF6239" w:rsidP="00A64613">
      <w:pPr>
        <w:pStyle w:val="Texte1cm"/>
        <w:keepNext w:val="0"/>
      </w:pPr>
    </w:p>
    <w:p w14:paraId="07B0172F" w14:textId="1A0AF875" w:rsidR="0063337D" w:rsidRDefault="00275751" w:rsidP="00A64613">
      <w:pPr>
        <w:keepNext w:val="0"/>
        <w:tabs>
          <w:tab w:val="left" w:pos="567"/>
        </w:tabs>
        <w:ind w:left="567" w:hanging="567"/>
      </w:pPr>
      <w:r w:rsidRPr="00026EC1">
        <w:t>G)</w:t>
      </w:r>
      <w:r w:rsidRPr="00026EC1">
        <w:tab/>
      </w:r>
      <w:r w:rsidR="00DF1358" w:rsidRPr="00316277">
        <w:rPr>
          <w:b/>
          <w:bCs/>
          <w:u w:val="single"/>
        </w:rPr>
        <w:t>Transfert des droits de l’enseignante ou l’enseignant replacé sur poste</w:t>
      </w:r>
    </w:p>
    <w:p w14:paraId="4B66DF7F" w14:textId="11D3DC1E" w:rsidR="00DF6239" w:rsidRPr="00026EC1" w:rsidRDefault="00DF6239" w:rsidP="0063337D">
      <w:pPr>
        <w:keepNext w:val="0"/>
        <w:tabs>
          <w:tab w:val="left" w:pos="567"/>
        </w:tabs>
        <w:ind w:left="567"/>
      </w:pPr>
      <w:r w:rsidRPr="00026EC1">
        <w:t>L</w:t>
      </w:r>
      <w:r w:rsidR="004A41E4" w:rsidRPr="00026EC1">
        <w:t>’</w:t>
      </w:r>
      <w:r w:rsidRPr="00026EC1">
        <w:t>enseignante ou l</w:t>
      </w:r>
      <w:r w:rsidR="004A41E4" w:rsidRPr="00026EC1">
        <w:t>’</w:t>
      </w:r>
      <w:r w:rsidRPr="00026EC1">
        <w:t>enseignant replacé selon les dispositions de la présente clause transfère, lorsqu</w:t>
      </w:r>
      <w:r w:rsidR="004A41E4" w:rsidRPr="00026EC1">
        <w:t>’</w:t>
      </w:r>
      <w:r w:rsidRPr="00026EC1">
        <w:t>elle ou il passe à son nouveau Collège, tous ses droits, dans la mesure où ils sont compatibles avec les dispositions de la convention collective en vigueur au Collège qui l</w:t>
      </w:r>
      <w:r w:rsidR="004A41E4" w:rsidRPr="00026EC1">
        <w:t>’</w:t>
      </w:r>
      <w:r w:rsidRPr="00026EC1">
        <w:t>engage. De plus, elle ou il est réputé ne plus être à l</w:t>
      </w:r>
      <w:r w:rsidR="004A41E4" w:rsidRPr="00026EC1">
        <w:t>’</w:t>
      </w:r>
      <w:r w:rsidRPr="00026EC1">
        <w:t>emploi de son ancien Collège à partir du moment où le délai de cinq (5) jours prévu au premier (1</w:t>
      </w:r>
      <w:r w:rsidRPr="00026EC1">
        <w:rPr>
          <w:vertAlign w:val="superscript"/>
        </w:rPr>
        <w:t>er</w:t>
      </w:r>
      <w:r w:rsidRPr="00026EC1">
        <w:t>) paragraphe de l</w:t>
      </w:r>
      <w:r w:rsidR="004A41E4" w:rsidRPr="00026EC1">
        <w:t>’</w:t>
      </w:r>
      <w:r w:rsidRPr="00026EC1">
        <w:t>alinéa A) de la présente clause, pour son droit de retour, est expiré.</w:t>
      </w:r>
    </w:p>
    <w:p w14:paraId="4498F7EF" w14:textId="77777777" w:rsidR="00DF6239" w:rsidRPr="00026EC1" w:rsidRDefault="00DF6239" w:rsidP="00A64613">
      <w:pPr>
        <w:pStyle w:val="Texte1cm"/>
        <w:keepNext w:val="0"/>
      </w:pPr>
    </w:p>
    <w:p w14:paraId="7D5ECB23" w14:textId="21B6071C" w:rsidR="00553AB3" w:rsidRDefault="00275751" w:rsidP="00A64613">
      <w:pPr>
        <w:keepNext w:val="0"/>
        <w:tabs>
          <w:tab w:val="left" w:pos="567"/>
        </w:tabs>
        <w:ind w:left="567" w:hanging="567"/>
      </w:pPr>
      <w:r w:rsidRPr="00026EC1">
        <w:t>H)</w:t>
      </w:r>
      <w:r w:rsidRPr="00026EC1">
        <w:tab/>
      </w:r>
      <w:r w:rsidR="00553AB3" w:rsidRPr="00316277">
        <w:rPr>
          <w:b/>
          <w:bCs/>
          <w:u w:val="single"/>
        </w:rPr>
        <w:t>Perte de la sécurité d’emploi</w:t>
      </w:r>
    </w:p>
    <w:p w14:paraId="3B6C5BC6" w14:textId="0B9F67D3" w:rsidR="00DF6239" w:rsidRPr="00026EC1" w:rsidRDefault="00DF6239" w:rsidP="00553AB3">
      <w:pPr>
        <w:keepNext w:val="0"/>
        <w:tabs>
          <w:tab w:val="left" w:pos="567"/>
        </w:tabs>
        <w:ind w:left="567"/>
      </w:pPr>
      <w:r w:rsidRPr="00026EC1">
        <w:t>Le nom de l</w:t>
      </w:r>
      <w:r w:rsidR="004A41E4" w:rsidRPr="00026EC1">
        <w:t>’</w:t>
      </w:r>
      <w:r w:rsidRPr="00026EC1">
        <w:t>enseignante ou de l</w:t>
      </w:r>
      <w:r w:rsidR="004A41E4" w:rsidRPr="00026EC1">
        <w:t>’</w:t>
      </w:r>
      <w:r w:rsidRPr="00026EC1">
        <w:t>enseignant qui refuse un poste ou une charge annuelle de remplacement à temps complet qui satisfait aux conditions de l</w:t>
      </w:r>
      <w:r w:rsidR="004A41E4" w:rsidRPr="00026EC1">
        <w:t>’</w:t>
      </w:r>
      <w:r w:rsidRPr="00026EC1">
        <w:t>alinéa F) de la présente clause est rayé de la liste des enseignantes et enseignants bénéficiant de la sécurité d</w:t>
      </w:r>
      <w:r w:rsidR="004A41E4" w:rsidRPr="00026EC1">
        <w:t>’</w:t>
      </w:r>
      <w:r w:rsidRPr="00026EC1">
        <w:t>emploi et elle ou il est réputé ne plus être à l</w:t>
      </w:r>
      <w:r w:rsidR="004A41E4" w:rsidRPr="00026EC1">
        <w:t>’</w:t>
      </w:r>
      <w:r w:rsidRPr="00026EC1">
        <w:t>emploi du Collège. Il en est de même si l</w:t>
      </w:r>
      <w:r w:rsidR="004A41E4" w:rsidRPr="00026EC1">
        <w:t>’</w:t>
      </w:r>
      <w:r w:rsidRPr="00026EC1">
        <w:t>enseignante ou l</w:t>
      </w:r>
      <w:r w:rsidR="004A41E4" w:rsidRPr="00026EC1">
        <w:t>’</w:t>
      </w:r>
      <w:r w:rsidRPr="00026EC1">
        <w:t>enseignant ne communique pas avec le Collège dans les sept (7) jours de la réception de l</w:t>
      </w:r>
      <w:r w:rsidR="004A41E4" w:rsidRPr="00026EC1">
        <w:t>’</w:t>
      </w:r>
      <w:r w:rsidRPr="00026EC1">
        <w:t>avis prévu à l</w:t>
      </w:r>
      <w:r w:rsidR="004A41E4" w:rsidRPr="00026EC1">
        <w:t>’</w:t>
      </w:r>
      <w:r w:rsidRPr="00026EC1">
        <w:t>alinéa F) de la présente clause. Cependant, le Collège tient compte des circonstances qui justifieraient le non</w:t>
      </w:r>
      <w:r w:rsidR="00984A6F">
        <w:noBreakHyphen/>
      </w:r>
      <w:r w:rsidRPr="00026EC1">
        <w:t>respect de ces délais. L</w:t>
      </w:r>
      <w:r w:rsidR="004A41E4" w:rsidRPr="00026EC1">
        <w:t>’</w:t>
      </w:r>
      <w:r w:rsidRPr="00026EC1">
        <w:t>enseignante ou l</w:t>
      </w:r>
      <w:r w:rsidR="004A41E4" w:rsidRPr="00026EC1">
        <w:t>’</w:t>
      </w:r>
      <w:r w:rsidRPr="00026EC1">
        <w:t>enseignant conserve toutefois son droit de grief jusqu</w:t>
      </w:r>
      <w:r w:rsidR="004A41E4" w:rsidRPr="00026EC1">
        <w:t>’</w:t>
      </w:r>
      <w:r w:rsidRPr="00026EC1">
        <w:t>à l</w:t>
      </w:r>
      <w:r w:rsidR="004A41E4" w:rsidRPr="00026EC1">
        <w:t>’</w:t>
      </w:r>
      <w:r w:rsidRPr="00026EC1">
        <w:t>expiration des délais prévus à la clause 9</w:t>
      </w:r>
      <w:r w:rsidR="00984A6F">
        <w:noBreakHyphen/>
      </w:r>
      <w:r w:rsidRPr="00026EC1">
        <w:t>1.03.</w:t>
      </w:r>
    </w:p>
    <w:p w14:paraId="47098D80" w14:textId="77777777" w:rsidR="00DF6239" w:rsidRPr="00026EC1" w:rsidRDefault="00DF6239" w:rsidP="00A64613">
      <w:pPr>
        <w:pStyle w:val="Texte1cm"/>
        <w:keepNext w:val="0"/>
      </w:pPr>
    </w:p>
    <w:p w14:paraId="548647C8" w14:textId="0F829853" w:rsidR="00DF6239" w:rsidRPr="00026EC1" w:rsidRDefault="00DF6239" w:rsidP="00A64613">
      <w:pPr>
        <w:pStyle w:val="Texte1cm"/>
        <w:keepNext w:val="0"/>
      </w:pPr>
      <w:r w:rsidRPr="00026EC1">
        <w:t>Toutefois, les dispositions du présent alinéa</w:t>
      </w:r>
      <w:r w:rsidR="00757E12" w:rsidRPr="00026EC1">
        <w:t xml:space="preserve"> </w:t>
      </w:r>
      <w:r w:rsidRPr="00026EC1">
        <w:t>ne s</w:t>
      </w:r>
      <w:r w:rsidR="004A41E4" w:rsidRPr="00026EC1">
        <w:t>’</w:t>
      </w:r>
      <w:r w:rsidRPr="00026EC1">
        <w:t>appliquent pas à l</w:t>
      </w:r>
      <w:r w:rsidR="004A41E4" w:rsidRPr="00026EC1">
        <w:t>’</w:t>
      </w:r>
      <w:r w:rsidRPr="00026EC1">
        <w:t>enseignante ou l</w:t>
      </w:r>
      <w:r w:rsidR="004A41E4" w:rsidRPr="00026EC1">
        <w:t>’</w:t>
      </w:r>
      <w:r w:rsidRPr="00026EC1">
        <w:t>enseignant visé par l</w:t>
      </w:r>
      <w:r w:rsidR="004A41E4" w:rsidRPr="00026EC1">
        <w:t>’</w:t>
      </w:r>
      <w:r w:rsidRPr="00026EC1">
        <w:t>avant</w:t>
      </w:r>
      <w:r w:rsidR="00984A6F">
        <w:noBreakHyphen/>
      </w:r>
      <w:r w:rsidRPr="00026EC1">
        <w:t>dernier paragraphe de l</w:t>
      </w:r>
      <w:r w:rsidR="004A41E4" w:rsidRPr="00026EC1">
        <w:t>’</w:t>
      </w:r>
      <w:r w:rsidRPr="00026EC1">
        <w:t>alinéa D) ci</w:t>
      </w:r>
      <w:r w:rsidR="00984A6F">
        <w:noBreakHyphen/>
      </w:r>
      <w:r w:rsidRPr="00026EC1">
        <w:t>haut, si le poste ou la charge offert ne correspond pas au choix qu</w:t>
      </w:r>
      <w:r w:rsidR="004A41E4" w:rsidRPr="00026EC1">
        <w:t>’</w:t>
      </w:r>
      <w:r w:rsidRPr="00026EC1">
        <w:t>elle ou il a exprimé ou si elle ou il n</w:t>
      </w:r>
      <w:r w:rsidR="004A41E4" w:rsidRPr="00026EC1">
        <w:t>’</w:t>
      </w:r>
      <w:r w:rsidRPr="00026EC1">
        <w:t>a pas exprimé de choix.</w:t>
      </w:r>
    </w:p>
    <w:p w14:paraId="3E7CAD28" w14:textId="77777777" w:rsidR="00DF6239" w:rsidRDefault="00DF6239" w:rsidP="00A64613">
      <w:pPr>
        <w:pStyle w:val="Texte1cm"/>
        <w:keepNext w:val="0"/>
      </w:pPr>
    </w:p>
    <w:p w14:paraId="4EA344E7" w14:textId="034EB285" w:rsidR="00F5070A" w:rsidRPr="00316277" w:rsidRDefault="00F5070A" w:rsidP="008E3B40">
      <w:pPr>
        <w:keepNext w:val="0"/>
        <w:spacing w:line="276" w:lineRule="auto"/>
        <w:ind w:firstLine="567"/>
        <w:rPr>
          <w:rFonts w:cs="Arial"/>
          <w:b/>
          <w:bCs/>
          <w:u w:val="single"/>
        </w:rPr>
      </w:pPr>
      <w:r w:rsidRPr="00316277">
        <w:rPr>
          <w:rFonts w:cs="Arial"/>
          <w:b/>
          <w:bCs/>
          <w:u w:val="single"/>
        </w:rPr>
        <w:t>Renonciation à la protection salariale</w:t>
      </w:r>
    </w:p>
    <w:p w14:paraId="500BA7C7" w14:textId="28810653" w:rsidR="00DF6239" w:rsidRPr="00026EC1" w:rsidRDefault="00DF6239" w:rsidP="00A64613">
      <w:pPr>
        <w:pStyle w:val="Texte1cm"/>
        <w:keepNext w:val="0"/>
      </w:pPr>
      <w:r w:rsidRPr="00026EC1">
        <w:t>De plus, les dispositions du présent alinéa ne s</w:t>
      </w:r>
      <w:r w:rsidR="004A41E4" w:rsidRPr="00026EC1">
        <w:t>’</w:t>
      </w:r>
      <w:r w:rsidRPr="00026EC1">
        <w:t>appliquent pas à l</w:t>
      </w:r>
      <w:r w:rsidR="004A41E4" w:rsidRPr="00026EC1">
        <w:t>’</w:t>
      </w:r>
      <w:r w:rsidRPr="00026EC1">
        <w:t>enseignante ou l</w:t>
      </w:r>
      <w:r w:rsidR="004A41E4" w:rsidRPr="00026EC1">
        <w:t>’</w:t>
      </w:r>
      <w:r w:rsidRPr="00026EC1">
        <w:t>enseignant, visé par l</w:t>
      </w:r>
      <w:r w:rsidR="004A41E4" w:rsidRPr="00026EC1">
        <w:t>’</w:t>
      </w:r>
      <w:r w:rsidRPr="00026EC1">
        <w:t>alinéa</w:t>
      </w:r>
      <w:r w:rsidR="00757E12" w:rsidRPr="00026EC1">
        <w:t> </w:t>
      </w:r>
      <w:r w:rsidRPr="00026EC1">
        <w:t>E) de la présente clause, mis en disponibilité dans la discipline porteuse de la formation spécifique d</w:t>
      </w:r>
      <w:r w:rsidR="004A41E4" w:rsidRPr="00026EC1">
        <w:t>’</w:t>
      </w:r>
      <w:r w:rsidRPr="00026EC1">
        <w:t>un programme unique dans la zone du Collège et qui est fermé, si elle ou il avise, par écrit, le Collège et le Bureau de placement, dans les sept (7) jours de la réception de l</w:t>
      </w:r>
      <w:r w:rsidR="004A41E4" w:rsidRPr="00026EC1">
        <w:t>’</w:t>
      </w:r>
      <w:r w:rsidRPr="00026EC1">
        <w:t>avis prévu à l</w:t>
      </w:r>
      <w:r w:rsidR="004A41E4" w:rsidRPr="00026EC1">
        <w:t>’</w:t>
      </w:r>
      <w:r w:rsidRPr="00026EC1">
        <w:t>alinéa F), qu</w:t>
      </w:r>
      <w:r w:rsidR="004A41E4" w:rsidRPr="00026EC1">
        <w:t>’</w:t>
      </w:r>
      <w:r w:rsidRPr="00026EC1">
        <w:t>elle ou il renonce à sa protection salariale jusqu</w:t>
      </w:r>
      <w:r w:rsidR="004A41E4" w:rsidRPr="00026EC1">
        <w:t>’</w:t>
      </w:r>
      <w:r w:rsidRPr="00026EC1">
        <w:t>à ce qu</w:t>
      </w:r>
      <w:r w:rsidR="004A41E4" w:rsidRPr="00026EC1">
        <w:t>’</w:t>
      </w:r>
      <w:r w:rsidRPr="00026EC1">
        <w:t>elle ou il accepte un poste disponible offert par le Bureau de placement. Dans ce cas</w:t>
      </w:r>
      <w:r w:rsidR="00D8581B">
        <w:t> :</w:t>
      </w:r>
      <w:r w:rsidRPr="00026EC1">
        <w:t xml:space="preserve"> </w:t>
      </w:r>
    </w:p>
    <w:p w14:paraId="6A306BBC" w14:textId="77777777" w:rsidR="00DF6239" w:rsidRPr="00026EC1" w:rsidRDefault="00DF6239" w:rsidP="00A64613">
      <w:pPr>
        <w:pStyle w:val="Texte1cm"/>
        <w:keepNext w:val="0"/>
      </w:pPr>
    </w:p>
    <w:p w14:paraId="5EA20175" w14:textId="38F1EB1E" w:rsidR="00DF6239" w:rsidRPr="00026EC1" w:rsidRDefault="00275751" w:rsidP="00A64613">
      <w:pPr>
        <w:pStyle w:val="Texte1cm"/>
        <w:keepNext w:val="0"/>
        <w:tabs>
          <w:tab w:val="left" w:pos="1134"/>
        </w:tabs>
        <w:ind w:left="1134" w:hanging="567"/>
      </w:pPr>
      <w:r w:rsidRPr="00026EC1">
        <w:t>a)</w:t>
      </w:r>
      <w:r w:rsidRPr="00026EC1">
        <w:tab/>
      </w:r>
      <w:r w:rsidR="00DF6239" w:rsidRPr="00026EC1">
        <w:t>l</w:t>
      </w:r>
      <w:r w:rsidR="004A41E4" w:rsidRPr="00026EC1">
        <w:t>’</w:t>
      </w:r>
      <w:r w:rsidR="00DF6239" w:rsidRPr="00026EC1">
        <w:t>enseignante ou l</w:t>
      </w:r>
      <w:r w:rsidR="004A41E4" w:rsidRPr="00026EC1">
        <w:t>’</w:t>
      </w:r>
      <w:r w:rsidR="00DF6239" w:rsidRPr="00026EC1">
        <w:t>enseignant n</w:t>
      </w:r>
      <w:r w:rsidR="004A41E4" w:rsidRPr="00026EC1">
        <w:t>’</w:t>
      </w:r>
      <w:r w:rsidR="00DF6239" w:rsidRPr="00026EC1">
        <w:t>a plus droit à sa protection salariale à compter</w:t>
      </w:r>
      <w:r w:rsidR="00D8581B">
        <w:t> :</w:t>
      </w:r>
    </w:p>
    <w:p w14:paraId="081ED081" w14:textId="77777777" w:rsidR="00DF6239" w:rsidRPr="00026EC1" w:rsidRDefault="00DF6239" w:rsidP="00A64613">
      <w:pPr>
        <w:pStyle w:val="Texte1cm"/>
        <w:keepNext w:val="0"/>
        <w:ind w:left="540"/>
      </w:pPr>
    </w:p>
    <w:p w14:paraId="2131A707" w14:textId="77777777" w:rsidR="00DF6239" w:rsidRPr="00026EC1" w:rsidRDefault="00275751" w:rsidP="00A64613">
      <w:pPr>
        <w:keepNext w:val="0"/>
        <w:tabs>
          <w:tab w:val="left" w:pos="1701"/>
        </w:tabs>
        <w:ind w:left="1701" w:hanging="567"/>
      </w:pPr>
      <w:r w:rsidRPr="00026EC1">
        <w:rPr>
          <w:rFonts w:ascii="Symbol" w:hAnsi="Symbol"/>
        </w:rPr>
        <w:t></w:t>
      </w:r>
      <w:r w:rsidRPr="00026EC1">
        <w:rPr>
          <w:rFonts w:ascii="Symbol" w:hAnsi="Symbol"/>
        </w:rPr>
        <w:tab/>
      </w:r>
      <w:r w:rsidR="00DF6239" w:rsidRPr="00026EC1">
        <w:t>du début de l</w:t>
      </w:r>
      <w:r w:rsidR="004A41E4" w:rsidRPr="00026EC1">
        <w:t>’</w:t>
      </w:r>
      <w:r w:rsidR="00DF6239" w:rsidRPr="00026EC1">
        <w:t>année d</w:t>
      </w:r>
      <w:r w:rsidR="004A41E4" w:rsidRPr="00026EC1">
        <w:t>’</w:t>
      </w:r>
      <w:r w:rsidR="00DF6239" w:rsidRPr="00026EC1">
        <w:t>engagement visée par le poste offert à la première (1</w:t>
      </w:r>
      <w:r w:rsidR="00DF6239" w:rsidRPr="00026EC1">
        <w:rPr>
          <w:vertAlign w:val="superscript"/>
        </w:rPr>
        <w:t>re</w:t>
      </w:r>
      <w:r w:rsidR="00DF6239" w:rsidRPr="00026EC1">
        <w:t>) ou à la deuxième (2</w:t>
      </w:r>
      <w:r w:rsidR="00DF6239" w:rsidRPr="00026EC1">
        <w:rPr>
          <w:vertAlign w:val="superscript"/>
        </w:rPr>
        <w:t>e</w:t>
      </w:r>
      <w:r w:rsidR="00DF6239" w:rsidRPr="00026EC1">
        <w:t>) liste;</w:t>
      </w:r>
    </w:p>
    <w:p w14:paraId="08E179EF" w14:textId="77777777" w:rsidR="00DF6239" w:rsidRPr="00026EC1" w:rsidRDefault="00DF6239" w:rsidP="00A64613">
      <w:pPr>
        <w:pStyle w:val="Texte1cm"/>
        <w:keepNext w:val="0"/>
        <w:ind w:left="1701"/>
      </w:pPr>
    </w:p>
    <w:p w14:paraId="4D0F76C0" w14:textId="77777777" w:rsidR="00DF6239" w:rsidRPr="00026EC1" w:rsidRDefault="00DF6239" w:rsidP="00A64613">
      <w:pPr>
        <w:pStyle w:val="Texte1cm"/>
        <w:keepNext w:val="0"/>
        <w:ind w:left="1701"/>
      </w:pPr>
      <w:r w:rsidRPr="00026EC1">
        <w:t xml:space="preserve">ou </w:t>
      </w:r>
    </w:p>
    <w:p w14:paraId="654B950A" w14:textId="77777777" w:rsidR="00DF6239" w:rsidRPr="00026EC1" w:rsidRDefault="00DF6239" w:rsidP="00A64613">
      <w:pPr>
        <w:pStyle w:val="Texte1cm"/>
        <w:keepNext w:val="0"/>
        <w:ind w:left="1701"/>
      </w:pPr>
    </w:p>
    <w:p w14:paraId="1FA1930D" w14:textId="77777777" w:rsidR="00DF6239" w:rsidRPr="00026EC1" w:rsidRDefault="00275751" w:rsidP="00A64613">
      <w:pPr>
        <w:keepNext w:val="0"/>
        <w:tabs>
          <w:tab w:val="left" w:pos="1701"/>
        </w:tabs>
        <w:ind w:left="1701" w:hanging="567"/>
      </w:pPr>
      <w:r w:rsidRPr="00026EC1">
        <w:rPr>
          <w:rFonts w:ascii="Symbol" w:hAnsi="Symbol"/>
        </w:rPr>
        <w:t></w:t>
      </w:r>
      <w:r w:rsidRPr="00026EC1">
        <w:rPr>
          <w:rFonts w:ascii="Symbol" w:hAnsi="Symbol"/>
        </w:rPr>
        <w:tab/>
      </w:r>
      <w:r w:rsidR="00DF6239" w:rsidRPr="00026EC1">
        <w:t>du 15 octobre pour le poste offert à la troisième (3</w:t>
      </w:r>
      <w:r w:rsidR="00DF6239" w:rsidRPr="00026EC1">
        <w:rPr>
          <w:vertAlign w:val="superscript"/>
        </w:rPr>
        <w:t>e</w:t>
      </w:r>
      <w:r w:rsidR="00DF6239" w:rsidRPr="00026EC1">
        <w:t>) liste</w:t>
      </w:r>
      <w:r w:rsidR="00ED01CE" w:rsidRPr="00026EC1">
        <w:t>;</w:t>
      </w:r>
    </w:p>
    <w:p w14:paraId="14931B37" w14:textId="77777777" w:rsidR="00DF6239" w:rsidRPr="00026EC1" w:rsidRDefault="00DF6239" w:rsidP="00A64613">
      <w:pPr>
        <w:pStyle w:val="Texte1cm"/>
        <w:keepNext w:val="0"/>
        <w:tabs>
          <w:tab w:val="left" w:pos="900"/>
        </w:tabs>
        <w:ind w:left="540"/>
      </w:pPr>
    </w:p>
    <w:p w14:paraId="6A87B703" w14:textId="758EBA5A" w:rsidR="00DF6239" w:rsidRPr="00026EC1" w:rsidRDefault="00275751" w:rsidP="00A64613">
      <w:pPr>
        <w:pStyle w:val="Texte1cm"/>
        <w:keepNext w:val="0"/>
        <w:tabs>
          <w:tab w:val="left" w:pos="1134"/>
        </w:tabs>
        <w:ind w:left="1134" w:hanging="567"/>
      </w:pPr>
      <w:r w:rsidRPr="00026EC1">
        <w:t>b)</w:t>
      </w:r>
      <w:r w:rsidRPr="00026EC1">
        <w:tab/>
      </w:r>
      <w:r w:rsidR="00DF6239" w:rsidRPr="00026EC1">
        <w:t>les modalités prévues aux clauses</w:t>
      </w:r>
      <w:r w:rsidR="0061766F" w:rsidRPr="00026EC1">
        <w:t> </w:t>
      </w:r>
      <w:r w:rsidR="00DF6239" w:rsidRPr="00026EC1">
        <w:t>5</w:t>
      </w:r>
      <w:r w:rsidR="00984A6F">
        <w:noBreakHyphen/>
      </w:r>
      <w:r w:rsidR="00DF6239" w:rsidRPr="00026EC1">
        <w:t>15.01 et 5</w:t>
      </w:r>
      <w:r w:rsidR="00984A6F">
        <w:noBreakHyphen/>
      </w:r>
      <w:r w:rsidR="00DF6239" w:rsidRPr="00026EC1">
        <w:t>15.02 s</w:t>
      </w:r>
      <w:r w:rsidR="004A41E4" w:rsidRPr="00026EC1">
        <w:t>’</w:t>
      </w:r>
      <w:r w:rsidR="00DF6239" w:rsidRPr="00026EC1">
        <w:t>appliquent comme s</w:t>
      </w:r>
      <w:r w:rsidR="004A41E4" w:rsidRPr="00026EC1">
        <w:t>’</w:t>
      </w:r>
      <w:r w:rsidR="00DF6239" w:rsidRPr="00026EC1">
        <w:t>il s</w:t>
      </w:r>
      <w:r w:rsidR="004A41E4" w:rsidRPr="00026EC1">
        <w:t>’</w:t>
      </w:r>
      <w:r w:rsidR="00DF6239" w:rsidRPr="00026EC1">
        <w:t>agissait d</w:t>
      </w:r>
      <w:r w:rsidR="004A41E4" w:rsidRPr="00026EC1">
        <w:t>’</w:t>
      </w:r>
      <w:r w:rsidR="00DF6239" w:rsidRPr="00026EC1">
        <w:t>un congé sans salaire à compter de la date où la protection salariale n</w:t>
      </w:r>
      <w:r w:rsidR="004A41E4" w:rsidRPr="00026EC1">
        <w:t>’</w:t>
      </w:r>
      <w:r w:rsidR="00DF6239" w:rsidRPr="00026EC1">
        <w:t>est plus versée, à l</w:t>
      </w:r>
      <w:r w:rsidR="004A41E4" w:rsidRPr="00026EC1">
        <w:t>’</w:t>
      </w:r>
      <w:r w:rsidR="00DF6239" w:rsidRPr="00026EC1">
        <w:t>exception de l</w:t>
      </w:r>
      <w:r w:rsidR="004A41E4" w:rsidRPr="00026EC1">
        <w:t>’</w:t>
      </w:r>
      <w:r w:rsidR="00DF6239" w:rsidRPr="00026EC1">
        <w:t>ancienneté qui continue de s</w:t>
      </w:r>
      <w:r w:rsidR="004A41E4" w:rsidRPr="00026EC1">
        <w:t>’</w:t>
      </w:r>
      <w:r w:rsidR="00DF6239" w:rsidRPr="00026EC1">
        <w:t>accumuler comme si elle ou il était à temps complet;</w:t>
      </w:r>
    </w:p>
    <w:p w14:paraId="7384EA78" w14:textId="77777777" w:rsidR="00DF6239" w:rsidRPr="00026EC1" w:rsidRDefault="00DF6239" w:rsidP="00A64613">
      <w:pPr>
        <w:pStyle w:val="Texte1cm"/>
        <w:keepNext w:val="0"/>
        <w:tabs>
          <w:tab w:val="left" w:pos="900"/>
        </w:tabs>
        <w:ind w:left="540"/>
      </w:pPr>
    </w:p>
    <w:p w14:paraId="4D23EB83" w14:textId="77777777" w:rsidR="00DF6239" w:rsidRPr="00026EC1" w:rsidRDefault="00275751" w:rsidP="00A64613">
      <w:pPr>
        <w:pStyle w:val="Texte1cm"/>
        <w:keepNext w:val="0"/>
        <w:tabs>
          <w:tab w:val="left" w:pos="1134"/>
        </w:tabs>
        <w:ind w:left="1134" w:hanging="567"/>
      </w:pPr>
      <w:r w:rsidRPr="00026EC1">
        <w:t>c)</w:t>
      </w:r>
      <w:r w:rsidRPr="00026EC1">
        <w:tab/>
      </w:r>
      <w:r w:rsidR="00DF6239" w:rsidRPr="00026EC1">
        <w:t>elle ou il peut effectuer un choix conformément à l</w:t>
      </w:r>
      <w:r w:rsidR="004A41E4" w:rsidRPr="00026EC1">
        <w:t>’</w:t>
      </w:r>
      <w:r w:rsidR="00DF6239" w:rsidRPr="00026EC1">
        <w:t>alinéa</w:t>
      </w:r>
      <w:r w:rsidR="00757E12" w:rsidRPr="00026EC1">
        <w:t> </w:t>
      </w:r>
      <w:r w:rsidR="00DF6239" w:rsidRPr="00026EC1">
        <w:t>D) de la présente clause et le Bureau de placement ne peut lui offrir un poste que si ce poste correspond au choix; si aucun choix n</w:t>
      </w:r>
      <w:r w:rsidR="004A41E4" w:rsidRPr="00026EC1">
        <w:t>’</w:t>
      </w:r>
      <w:r w:rsidR="00DF6239" w:rsidRPr="00026EC1">
        <w:t>est exprimé, le Bureau de placement ne lui offre aucun poste.</w:t>
      </w:r>
    </w:p>
    <w:p w14:paraId="760EEC69" w14:textId="77777777" w:rsidR="00DF6239" w:rsidRPr="00026EC1" w:rsidRDefault="00DF6239" w:rsidP="00A64613">
      <w:pPr>
        <w:keepNext w:val="0"/>
      </w:pPr>
    </w:p>
    <w:p w14:paraId="3E88D635" w14:textId="2E2D35B2" w:rsidR="00996193" w:rsidRDefault="00275751" w:rsidP="00A64613">
      <w:pPr>
        <w:keepNext w:val="0"/>
        <w:tabs>
          <w:tab w:val="left" w:pos="567"/>
        </w:tabs>
        <w:ind w:left="567" w:hanging="567"/>
      </w:pPr>
      <w:r w:rsidRPr="00026EC1">
        <w:t>I)</w:t>
      </w:r>
      <w:r w:rsidRPr="00026EC1">
        <w:tab/>
      </w:r>
      <w:r w:rsidR="00964935" w:rsidRPr="00316277">
        <w:rPr>
          <w:b/>
          <w:bCs/>
          <w:u w:val="single"/>
        </w:rPr>
        <w:t>Enseignante ou enseignant ni replacé sur poste ni affecté à une charge annuelle de remplaceme</w:t>
      </w:r>
      <w:r w:rsidR="003E0EA7" w:rsidRPr="00316277">
        <w:rPr>
          <w:b/>
          <w:bCs/>
          <w:u w:val="single"/>
        </w:rPr>
        <w:t>nt à temps complet</w:t>
      </w:r>
    </w:p>
    <w:p w14:paraId="35906098" w14:textId="65DF31DD" w:rsidR="00DF6239" w:rsidRPr="00026EC1" w:rsidRDefault="00DF6239" w:rsidP="00996193">
      <w:pPr>
        <w:keepNext w:val="0"/>
        <w:tabs>
          <w:tab w:val="left" w:pos="567"/>
        </w:tabs>
        <w:ind w:left="567"/>
      </w:pPr>
      <w:r w:rsidRPr="00026EC1">
        <w:t>L</w:t>
      </w:r>
      <w:r w:rsidR="004A41E4" w:rsidRPr="00026EC1">
        <w:t>’</w:t>
      </w:r>
      <w:r w:rsidRPr="00026EC1">
        <w:t>enseignante ou l</w:t>
      </w:r>
      <w:r w:rsidR="004A41E4" w:rsidRPr="00026EC1">
        <w:t>’</w:t>
      </w:r>
      <w:r w:rsidRPr="00026EC1">
        <w:t>enseignant mis en disponibilité pour qui ni le Collège ni le Bureau de placement n</w:t>
      </w:r>
      <w:r w:rsidR="004A41E4" w:rsidRPr="00026EC1">
        <w:t>’</w:t>
      </w:r>
      <w:r w:rsidRPr="00026EC1">
        <w:t>a trouvé de poste disponible au terme de l</w:t>
      </w:r>
      <w:r w:rsidR="004A41E4" w:rsidRPr="00026EC1">
        <w:t>’</w:t>
      </w:r>
      <w:r w:rsidRPr="00026EC1">
        <w:t>année d</w:t>
      </w:r>
      <w:r w:rsidR="004A41E4" w:rsidRPr="00026EC1">
        <w:t>’</w:t>
      </w:r>
      <w:r w:rsidRPr="00026EC1">
        <w:t>engagement où lui a été signifiée sa mise en disponibilité conserve son lien d</w:t>
      </w:r>
      <w:r w:rsidR="004A41E4" w:rsidRPr="00026EC1">
        <w:t>’</w:t>
      </w:r>
      <w:r w:rsidRPr="00026EC1">
        <w:t>emploi avec le Collège et tous les droits qu</w:t>
      </w:r>
      <w:r w:rsidR="004A41E4" w:rsidRPr="00026EC1">
        <w:t>’</w:t>
      </w:r>
      <w:r w:rsidRPr="00026EC1">
        <w:t>elle ou il peut faire valoir aux fins d</w:t>
      </w:r>
      <w:r w:rsidR="004A41E4" w:rsidRPr="00026EC1">
        <w:t>’</w:t>
      </w:r>
      <w:r w:rsidRPr="00026EC1">
        <w:t>un replacement tant qu</w:t>
      </w:r>
      <w:r w:rsidR="004A41E4" w:rsidRPr="00026EC1">
        <w:t>’</w:t>
      </w:r>
      <w:r w:rsidRPr="00026EC1">
        <w:t>elle ou il n</w:t>
      </w:r>
      <w:r w:rsidR="004A41E4" w:rsidRPr="00026EC1">
        <w:t>’</w:t>
      </w:r>
      <w:r w:rsidRPr="00026EC1">
        <w:t>est pas replacé.</w:t>
      </w:r>
    </w:p>
    <w:p w14:paraId="7ED68926" w14:textId="77777777" w:rsidR="00DF6239" w:rsidRPr="00026EC1" w:rsidRDefault="00DF6239" w:rsidP="00A64613">
      <w:pPr>
        <w:pStyle w:val="Texte1cm00000"/>
        <w:keepNext w:val="0"/>
      </w:pPr>
    </w:p>
    <w:p w14:paraId="07586028" w14:textId="515C848C" w:rsidR="00DF6239" w:rsidRPr="00026EC1" w:rsidRDefault="00DF6239" w:rsidP="00A64613">
      <w:pPr>
        <w:pStyle w:val="Texte1cm00000"/>
        <w:keepNext w:val="0"/>
      </w:pPr>
      <w:r w:rsidRPr="00026EC1">
        <w:t>Toutefois, sous réserve de l</w:t>
      </w:r>
      <w:r w:rsidR="004A41E4" w:rsidRPr="00026EC1">
        <w:t>’</w:t>
      </w:r>
      <w:r w:rsidRPr="00026EC1">
        <w:t>enseignante ou l</w:t>
      </w:r>
      <w:r w:rsidR="004A41E4" w:rsidRPr="00026EC1">
        <w:t>’</w:t>
      </w:r>
      <w:r w:rsidRPr="00026EC1">
        <w:t>enseignant qui renonce à sa protection salariale selon l</w:t>
      </w:r>
      <w:r w:rsidR="004A41E4" w:rsidRPr="00026EC1">
        <w:t>’</w:t>
      </w:r>
      <w:r w:rsidRPr="00026EC1">
        <w:t>alinéa</w:t>
      </w:r>
      <w:r w:rsidR="00757E12" w:rsidRPr="00026EC1">
        <w:t> </w:t>
      </w:r>
      <w:r w:rsidRPr="00026EC1">
        <w:t>H) de la présente clause, durant l</w:t>
      </w:r>
      <w:r w:rsidR="004A41E4" w:rsidRPr="00026EC1">
        <w:t>’</w:t>
      </w:r>
      <w:r w:rsidRPr="00026EC1">
        <w:t>année d</w:t>
      </w:r>
      <w:r w:rsidR="004A41E4" w:rsidRPr="00026EC1">
        <w:t>’</w:t>
      </w:r>
      <w:r w:rsidRPr="00026EC1">
        <w:t>engagement qui suit celle où lui a été signifiée sa mise en disponibilité et tant qu</w:t>
      </w:r>
      <w:r w:rsidR="004A41E4" w:rsidRPr="00026EC1">
        <w:t>’</w:t>
      </w:r>
      <w:r w:rsidRPr="00026EC1">
        <w:t>elle ou il n</w:t>
      </w:r>
      <w:r w:rsidR="004A41E4" w:rsidRPr="00026EC1">
        <w:t>’</w:t>
      </w:r>
      <w:r w:rsidRPr="00026EC1">
        <w:t>est pas replacé dans un poste disponible, l</w:t>
      </w:r>
      <w:r w:rsidR="004A41E4" w:rsidRPr="00026EC1">
        <w:t>’</w:t>
      </w:r>
      <w:r w:rsidRPr="00026EC1">
        <w:t>enseignante ou l</w:t>
      </w:r>
      <w:r w:rsidR="004A41E4" w:rsidRPr="00026EC1">
        <w:t>’</w:t>
      </w:r>
      <w:r w:rsidRPr="00026EC1">
        <w:t>enseignant reçoit un salaire égal à quatre</w:t>
      </w:r>
      <w:r w:rsidR="00984A6F">
        <w:noBreakHyphen/>
      </w:r>
      <w:r w:rsidRPr="00026EC1">
        <w:t>vingts pour cent (80</w:t>
      </w:r>
      <w:r w:rsidR="00714A15">
        <w:t> %</w:t>
      </w:r>
      <w:r w:rsidRPr="00026EC1">
        <w:t>) du salaire déterminé par sa scolarité et son expérience.</w:t>
      </w:r>
      <w:r w:rsidR="00CC1DCD" w:rsidRPr="00026EC1">
        <w:t xml:space="preserve"> </w:t>
      </w:r>
      <w:r w:rsidRPr="00026EC1">
        <w:t>Pour l</w:t>
      </w:r>
      <w:r w:rsidR="004A41E4" w:rsidRPr="00026EC1">
        <w:t>’</w:t>
      </w:r>
      <w:r w:rsidRPr="00026EC1">
        <w:t>enseignante ou l</w:t>
      </w:r>
      <w:r w:rsidR="004A41E4" w:rsidRPr="00026EC1">
        <w:t>’</w:t>
      </w:r>
      <w:r w:rsidRPr="00026EC1">
        <w:t>enseignant mis en disponibilité admissible à la retraite sans réduction actuarielle, elle ou il reçoit un salaire égal à soixante pour cent</w:t>
      </w:r>
      <w:r w:rsidR="008B12F1">
        <w:t> </w:t>
      </w:r>
      <w:r w:rsidRPr="00026EC1">
        <w:t>(60</w:t>
      </w:r>
      <w:r w:rsidR="00714A15">
        <w:t> %</w:t>
      </w:r>
      <w:r w:rsidRPr="00026EC1">
        <w:t>) de son salaire déterminé par sa scolarité et son expérience.</w:t>
      </w:r>
    </w:p>
    <w:p w14:paraId="646DA0FE" w14:textId="77777777" w:rsidR="00DF6239" w:rsidRPr="00026EC1" w:rsidRDefault="00DF6239" w:rsidP="00A64613">
      <w:pPr>
        <w:pStyle w:val="Texte1cm00000"/>
        <w:keepNext w:val="0"/>
      </w:pPr>
    </w:p>
    <w:p w14:paraId="5CC60E88" w14:textId="27A24575" w:rsidR="00DF6239" w:rsidRPr="00026EC1" w:rsidRDefault="00DF6239" w:rsidP="00A64613">
      <w:pPr>
        <w:pStyle w:val="Texte1cm00000"/>
        <w:keepNext w:val="0"/>
      </w:pPr>
      <w:r w:rsidRPr="00026EC1">
        <w:t>Lorsque l</w:t>
      </w:r>
      <w:r w:rsidR="004A41E4" w:rsidRPr="00026EC1">
        <w:t>’</w:t>
      </w:r>
      <w:r w:rsidRPr="00026EC1">
        <w:t>enseignante ou l</w:t>
      </w:r>
      <w:r w:rsidR="004A41E4" w:rsidRPr="00026EC1">
        <w:t>’</w:t>
      </w:r>
      <w:r w:rsidRPr="00026EC1">
        <w:t>enseignant n</w:t>
      </w:r>
      <w:r w:rsidR="004A41E4" w:rsidRPr="00026EC1">
        <w:t>’</w:t>
      </w:r>
      <w:r w:rsidRPr="00026EC1">
        <w:t>est ni replacé, ni affecté à une charge annuelle de remplacement à temps complet, elle ou il est tenu d</w:t>
      </w:r>
      <w:r w:rsidR="004A41E4" w:rsidRPr="00026EC1">
        <w:t>’</w:t>
      </w:r>
      <w:r w:rsidRPr="00026EC1">
        <w:t>accepter toute charge d</w:t>
      </w:r>
      <w:r w:rsidR="004A41E4" w:rsidRPr="00026EC1">
        <w:t>’</w:t>
      </w:r>
      <w:r w:rsidRPr="00026EC1">
        <w:t>enseignement dans son Collège, à défaut de quoi son nom est rayé de la liste des enseignantes et enseignants bénéficiant de la sécurité d</w:t>
      </w:r>
      <w:r w:rsidR="004A41E4" w:rsidRPr="00026EC1">
        <w:t>’</w:t>
      </w:r>
      <w:r w:rsidRPr="00026EC1">
        <w:t>emploi et elle ou il est réputé ne plus être à l</w:t>
      </w:r>
      <w:r w:rsidR="004A41E4" w:rsidRPr="00026EC1">
        <w:t>’</w:t>
      </w:r>
      <w:r w:rsidRPr="00026EC1">
        <w:t>emploi du Collège. Cette charge d</w:t>
      </w:r>
      <w:r w:rsidR="004A41E4" w:rsidRPr="00026EC1">
        <w:t>’</w:t>
      </w:r>
      <w:r w:rsidRPr="00026EC1">
        <w:t>enseignement peut comprendre des cours d</w:t>
      </w:r>
      <w:r w:rsidR="004A41E4" w:rsidRPr="00026EC1">
        <w:t>’</w:t>
      </w:r>
      <w:r w:rsidRPr="00026EC1">
        <w:t>été si ces cours se terminent avant le 24 juin; dans ce cas, les cours d</w:t>
      </w:r>
      <w:r w:rsidR="004A41E4" w:rsidRPr="00026EC1">
        <w:t>’</w:t>
      </w:r>
      <w:r w:rsidRPr="00026EC1">
        <w:t>été sont considérés comme des cours de la session d</w:t>
      </w:r>
      <w:r w:rsidR="004A41E4" w:rsidRPr="00026EC1">
        <w:t>’</w:t>
      </w:r>
      <w:r w:rsidRPr="00026EC1">
        <w:t>hiver aux fins de calcul de la charge individuelle et l</w:t>
      </w:r>
      <w:r w:rsidR="004A41E4" w:rsidRPr="00026EC1">
        <w:t>’</w:t>
      </w:r>
      <w:r w:rsidRPr="00026EC1">
        <w:t>enseignante ou l</w:t>
      </w:r>
      <w:r w:rsidR="004A41E4" w:rsidRPr="00026EC1">
        <w:t>’</w:t>
      </w:r>
      <w:r w:rsidRPr="00026EC1">
        <w:t>enseignant est tenu de les donner jusqu</w:t>
      </w:r>
      <w:r w:rsidR="004A41E4" w:rsidRPr="00026EC1">
        <w:t>’</w:t>
      </w:r>
      <w:r w:rsidRPr="00026EC1">
        <w:t>à la fin. Toutefois, cette enseignante ou cet enseignant n</w:t>
      </w:r>
      <w:r w:rsidR="004A41E4" w:rsidRPr="00026EC1">
        <w:t>’</w:t>
      </w:r>
      <w:r w:rsidRPr="00026EC1">
        <w:t>est pas tenu d</w:t>
      </w:r>
      <w:r w:rsidR="004A41E4" w:rsidRPr="00026EC1">
        <w:t>’</w:t>
      </w:r>
      <w:r w:rsidRPr="00026EC1">
        <w:t>accepter une charge supérieure à celle correspondant à sa protection salariale calculée au prorata d</w:t>
      </w:r>
      <w:r w:rsidR="004A41E4" w:rsidRPr="00026EC1">
        <w:t>’</w:t>
      </w:r>
      <w:r w:rsidRPr="00026EC1">
        <w:t>une charge individuelle de quatre</w:t>
      </w:r>
      <w:r w:rsidR="00984A6F">
        <w:noBreakHyphen/>
      </w:r>
      <w:r w:rsidRPr="00026EC1">
        <w:t>vingts (80) unités.</w:t>
      </w:r>
    </w:p>
    <w:p w14:paraId="35286494" w14:textId="77777777" w:rsidR="00DF6239" w:rsidRPr="00026EC1" w:rsidRDefault="00DF6239" w:rsidP="00A64613">
      <w:pPr>
        <w:pStyle w:val="Texte1cm00000"/>
        <w:keepNext w:val="0"/>
      </w:pPr>
    </w:p>
    <w:p w14:paraId="69A74E31" w14:textId="12D6B4C9" w:rsidR="00DF6239" w:rsidRPr="00026EC1" w:rsidRDefault="00DF6239" w:rsidP="00A64613">
      <w:pPr>
        <w:pStyle w:val="Texte1cm00000"/>
        <w:keepNext w:val="0"/>
      </w:pPr>
      <w:r w:rsidRPr="00026EC1">
        <w:t>Malgré ce qui précède, l</w:t>
      </w:r>
      <w:r w:rsidR="004A41E4" w:rsidRPr="00026EC1">
        <w:t>’</w:t>
      </w:r>
      <w:r w:rsidRPr="00026EC1">
        <w:t>enseignante ou l</w:t>
      </w:r>
      <w:r w:rsidR="004A41E4" w:rsidRPr="00026EC1">
        <w:t>’</w:t>
      </w:r>
      <w:r w:rsidRPr="00026EC1">
        <w:t>enseignant qui accepte d</w:t>
      </w:r>
      <w:r w:rsidR="004A41E4" w:rsidRPr="00026EC1">
        <w:t>’</w:t>
      </w:r>
      <w:r w:rsidRPr="00026EC1">
        <w:t>assumer une charge d</w:t>
      </w:r>
      <w:r w:rsidR="004A41E4" w:rsidRPr="00026EC1">
        <w:t>’</w:t>
      </w:r>
      <w:r w:rsidRPr="00026EC1">
        <w:t>enseignement qui lui assure, en vertu des autres dispositions pertinentes de la convention collective, un salaire supérieur à celui ci</w:t>
      </w:r>
      <w:r w:rsidR="00984A6F">
        <w:noBreakHyphen/>
      </w:r>
      <w:r w:rsidRPr="00026EC1">
        <w:t>haut prévu, reçoit alors le salaire auquel elle ou il a droit conformément à l</w:t>
      </w:r>
      <w:r w:rsidR="004A41E4" w:rsidRPr="00026EC1">
        <w:t>’</w:t>
      </w:r>
      <w:r w:rsidRPr="00026EC1">
        <w:t>article 6</w:t>
      </w:r>
      <w:r w:rsidR="00984A6F">
        <w:noBreakHyphen/>
      </w:r>
      <w:r w:rsidRPr="00026EC1">
        <w:t>1.00, au prorata de la charge individuelle qu</w:t>
      </w:r>
      <w:r w:rsidR="004A41E4" w:rsidRPr="00026EC1">
        <w:t>’</w:t>
      </w:r>
      <w:r w:rsidRPr="00026EC1">
        <w:t>elle ou il assume par rapport à une charge individuelle de quatre</w:t>
      </w:r>
      <w:r w:rsidR="00984A6F">
        <w:noBreakHyphen/>
      </w:r>
      <w:r w:rsidRPr="00026EC1">
        <w:t>vingts (80) unités.</w:t>
      </w:r>
    </w:p>
    <w:p w14:paraId="526F9221" w14:textId="77777777" w:rsidR="00DF6239" w:rsidRPr="00026EC1" w:rsidRDefault="00DF6239" w:rsidP="00A64613">
      <w:pPr>
        <w:pStyle w:val="Texte1cm00000"/>
        <w:keepNext w:val="0"/>
      </w:pPr>
    </w:p>
    <w:p w14:paraId="1D45DE26" w14:textId="713156B3" w:rsidR="00DF6239" w:rsidRPr="00026EC1" w:rsidRDefault="00DF6239" w:rsidP="00A64613">
      <w:pPr>
        <w:pStyle w:val="Texte1cm00000"/>
        <w:keepNext w:val="0"/>
      </w:pPr>
      <w:r w:rsidRPr="00026EC1">
        <w:t>De plus, lorsque la charge d</w:t>
      </w:r>
      <w:r w:rsidR="004A41E4" w:rsidRPr="00026EC1">
        <w:t>’</w:t>
      </w:r>
      <w:r w:rsidRPr="00026EC1">
        <w:t>enseignement empiète sur la période de vacances de l</w:t>
      </w:r>
      <w:r w:rsidR="004A41E4" w:rsidRPr="00026EC1">
        <w:t>’</w:t>
      </w:r>
      <w:r w:rsidRPr="00026EC1">
        <w:t>enseignante ou de l</w:t>
      </w:r>
      <w:r w:rsidR="004A41E4" w:rsidRPr="00026EC1">
        <w:t>’</w:t>
      </w:r>
      <w:r w:rsidRPr="00026EC1">
        <w:t>enseignant, les dispositions de la clause </w:t>
      </w:r>
      <w:r w:rsidRPr="0025293E">
        <w:t>6</w:t>
      </w:r>
      <w:r w:rsidR="00984A6F">
        <w:noBreakHyphen/>
      </w:r>
      <w:r w:rsidRPr="0025293E">
        <w:t>1.</w:t>
      </w:r>
      <w:r w:rsidRPr="00D66C48">
        <w:t>0</w:t>
      </w:r>
      <w:r w:rsidR="00695C4E" w:rsidRPr="00D66C48">
        <w:t>8</w:t>
      </w:r>
      <w:r w:rsidRPr="00D66C48">
        <w:t xml:space="preserve"> s</w:t>
      </w:r>
      <w:r w:rsidR="004A41E4" w:rsidRPr="00D66C48">
        <w:t>’</w:t>
      </w:r>
      <w:r w:rsidRPr="00D66C48">
        <w:t>appliquent</w:t>
      </w:r>
      <w:r w:rsidRPr="00026EC1">
        <w:t>.</w:t>
      </w:r>
    </w:p>
    <w:p w14:paraId="1C680956" w14:textId="77777777" w:rsidR="00DF6239" w:rsidRPr="00026EC1" w:rsidRDefault="00DF6239" w:rsidP="00A64613">
      <w:pPr>
        <w:pStyle w:val="Texte1cm00000"/>
        <w:keepNext w:val="0"/>
      </w:pPr>
    </w:p>
    <w:p w14:paraId="5E3ADE30" w14:textId="5528B810" w:rsidR="00DF6239" w:rsidRPr="00026EC1" w:rsidRDefault="00DF6239" w:rsidP="00A64613">
      <w:pPr>
        <w:pStyle w:val="Texte1cm00000"/>
        <w:keepNext w:val="0"/>
      </w:pPr>
      <w:r w:rsidRPr="00026EC1">
        <w:t>La charge totale de l</w:t>
      </w:r>
      <w:r w:rsidR="004A41E4" w:rsidRPr="00026EC1">
        <w:t>’</w:t>
      </w:r>
      <w:r w:rsidRPr="00026EC1">
        <w:t>enseignante ou l</w:t>
      </w:r>
      <w:r w:rsidR="004A41E4" w:rsidRPr="00026EC1">
        <w:t>’</w:t>
      </w:r>
      <w:r w:rsidRPr="00026EC1">
        <w:t>enseignant visé par le présent alinéa</w:t>
      </w:r>
      <w:r w:rsidR="00757E12" w:rsidRPr="00026EC1">
        <w:t xml:space="preserve"> </w:t>
      </w:r>
      <w:r w:rsidRPr="00026EC1">
        <w:t>qui assume une charge d</w:t>
      </w:r>
      <w:r w:rsidR="004A41E4" w:rsidRPr="00026EC1">
        <w:t>’</w:t>
      </w:r>
      <w:r w:rsidRPr="00026EC1">
        <w:t>enseignement à la formation continue est calculée selon la clause 8</w:t>
      </w:r>
      <w:r w:rsidR="00984A6F">
        <w:noBreakHyphen/>
      </w:r>
      <w:r w:rsidRPr="00026EC1">
        <w:t>6.02. Cette enseignante ou cet enseignant peut de plus substituer partiellement ou totalement sa charge avec celle d</w:t>
      </w:r>
      <w:r w:rsidR="004A41E4" w:rsidRPr="00026EC1">
        <w:t>’</w:t>
      </w:r>
      <w:r w:rsidRPr="00026EC1">
        <w:t>une autre enseignante ou d</w:t>
      </w:r>
      <w:r w:rsidR="004A41E4" w:rsidRPr="00026EC1">
        <w:t>’</w:t>
      </w:r>
      <w:r w:rsidRPr="00026EC1">
        <w:t>un autre enseignant à l</w:t>
      </w:r>
      <w:r w:rsidR="004A41E4" w:rsidRPr="00026EC1">
        <w:t>’</w:t>
      </w:r>
      <w:r w:rsidRPr="00026EC1">
        <w:t>enseignement régulier, après avoir obtenu l</w:t>
      </w:r>
      <w:r w:rsidR="004A41E4" w:rsidRPr="00026EC1">
        <w:t>’</w:t>
      </w:r>
      <w:r w:rsidRPr="00026EC1">
        <w:t>accord du Collège qui en avise le département.</w:t>
      </w:r>
    </w:p>
    <w:p w14:paraId="136ACF40" w14:textId="77777777" w:rsidR="00DF6239" w:rsidRPr="00026EC1" w:rsidRDefault="00991F47" w:rsidP="00A64613">
      <w:pPr>
        <w:pStyle w:val="Texte1cm00000"/>
        <w:keepNext w:val="0"/>
      </w:pPr>
      <w:r w:rsidRPr="00026EC1">
        <w:br w:type="page"/>
      </w:r>
    </w:p>
    <w:p w14:paraId="61A0703C" w14:textId="1B3D9D05" w:rsidR="00C327BD" w:rsidRDefault="00275751" w:rsidP="00A64613">
      <w:pPr>
        <w:keepNext w:val="0"/>
        <w:tabs>
          <w:tab w:val="left" w:pos="567"/>
        </w:tabs>
        <w:ind w:left="567" w:hanging="567"/>
      </w:pPr>
      <w:r w:rsidRPr="00026EC1">
        <w:t>J)</w:t>
      </w:r>
      <w:r w:rsidRPr="00026EC1">
        <w:tab/>
      </w:r>
      <w:r w:rsidR="00C15818" w:rsidRPr="00316277">
        <w:rPr>
          <w:rFonts w:cs="Arial"/>
          <w:b/>
          <w:u w:val="single"/>
        </w:rPr>
        <w:t>Enseignante ou enseignant ayant une charge inférieure à sa protection salariale dans son collège d’origine</w:t>
      </w:r>
    </w:p>
    <w:p w14:paraId="039D8EBD" w14:textId="0037395E" w:rsidR="00DF6239" w:rsidRPr="00026EC1" w:rsidRDefault="00DF6239" w:rsidP="00C327BD">
      <w:pPr>
        <w:keepNext w:val="0"/>
        <w:tabs>
          <w:tab w:val="left" w:pos="567"/>
        </w:tabs>
        <w:ind w:left="567"/>
      </w:pPr>
      <w:r w:rsidRPr="00026EC1">
        <w:t>À moins que l</w:t>
      </w:r>
      <w:r w:rsidR="004A41E4" w:rsidRPr="00026EC1">
        <w:t>’</w:t>
      </w:r>
      <w:r w:rsidRPr="00026EC1">
        <w:t>enseignante ou l</w:t>
      </w:r>
      <w:r w:rsidR="004A41E4" w:rsidRPr="00026EC1">
        <w:t>’</w:t>
      </w:r>
      <w:r w:rsidRPr="00026EC1">
        <w:t>enseignant mis en disponibilité et non replacé ne soit déjà assuré, compte tenu de toute charge d</w:t>
      </w:r>
      <w:r w:rsidR="004A41E4" w:rsidRPr="00026EC1">
        <w:t>’</w:t>
      </w:r>
      <w:r w:rsidRPr="00026EC1">
        <w:t>enseignement dont elle ou il est assuré et des autres fonctions qu</w:t>
      </w:r>
      <w:r w:rsidR="004A41E4" w:rsidRPr="00026EC1">
        <w:t>’</w:t>
      </w:r>
      <w:r w:rsidRPr="00026EC1">
        <w:t>elle ou il accepte d</w:t>
      </w:r>
      <w:r w:rsidR="004A41E4" w:rsidRPr="00026EC1">
        <w:t>’</w:t>
      </w:r>
      <w:r w:rsidRPr="00026EC1">
        <w:t>occuper, d</w:t>
      </w:r>
      <w:r w:rsidR="004A41E4" w:rsidRPr="00026EC1">
        <w:t>’</w:t>
      </w:r>
      <w:r w:rsidRPr="00026EC1">
        <w:t>obtenir du Collège un salaire au moins égal à sa protection salariale calculée au prorata d</w:t>
      </w:r>
      <w:r w:rsidR="004A41E4" w:rsidRPr="00026EC1">
        <w:t>’</w:t>
      </w:r>
      <w:r w:rsidRPr="00026EC1">
        <w:t>une charge individuelle de quatre</w:t>
      </w:r>
      <w:r w:rsidR="00984A6F">
        <w:noBreakHyphen/>
      </w:r>
      <w:r w:rsidRPr="00026EC1">
        <w:t>vingts (80) unités de travail, le Collège peut lui confier, jusqu</w:t>
      </w:r>
      <w:r w:rsidR="004A41E4" w:rsidRPr="00026EC1">
        <w:t>’</w:t>
      </w:r>
      <w:r w:rsidRPr="00026EC1">
        <w:t>à concurrence de la charge et du salaire correspondants ci</w:t>
      </w:r>
      <w:r w:rsidR="00984A6F">
        <w:noBreakHyphen/>
      </w:r>
      <w:r w:rsidRPr="00026EC1">
        <w:t>avant mentionnés, une ou des activités de la tâche décrites à l</w:t>
      </w:r>
      <w:r w:rsidR="004A41E4" w:rsidRPr="00026EC1">
        <w:t>’</w:t>
      </w:r>
      <w:r w:rsidRPr="00026EC1">
        <w:t>alinéa a) de la clause 8</w:t>
      </w:r>
      <w:r w:rsidR="00984A6F">
        <w:noBreakHyphen/>
      </w:r>
      <w:r w:rsidRPr="00026EC1">
        <w:t>4.01 ou, conformément aux mécanismes de désignation prévus à la convention collective, une ou des fonctions ou activités décrites à l</w:t>
      </w:r>
      <w:r w:rsidR="004A41E4" w:rsidRPr="00026EC1">
        <w:t>’</w:t>
      </w:r>
      <w:r w:rsidRPr="00026EC1">
        <w:t>alinéa b) de cette clause ou, si elle ou il possède les compétences requises, une ou des fonctions ou activités décrites à l</w:t>
      </w:r>
      <w:r w:rsidR="004A41E4" w:rsidRPr="00026EC1">
        <w:t>’</w:t>
      </w:r>
      <w:r w:rsidRPr="00026EC1">
        <w:t>alinéa c) de cette clause. La charge individuelle correspondante, pour une session donnée, est calculée selon l</w:t>
      </w:r>
      <w:r w:rsidR="004A41E4" w:rsidRPr="00026EC1">
        <w:t>’</w:t>
      </w:r>
      <w:r w:rsidR="00ED01CE" w:rsidRPr="00026EC1">
        <w:t>A</w:t>
      </w:r>
      <w:r w:rsidRPr="00026EC1">
        <w:t>nnexe I</w:t>
      </w:r>
      <w:r w:rsidR="00984A6F">
        <w:noBreakHyphen/>
      </w:r>
      <w:r w:rsidRPr="00026EC1">
        <w:t>1.</w:t>
      </w:r>
    </w:p>
    <w:p w14:paraId="4E799CE2" w14:textId="77777777" w:rsidR="00DF6239" w:rsidRPr="00026EC1" w:rsidRDefault="00DF6239" w:rsidP="00A64613">
      <w:pPr>
        <w:pStyle w:val="Texte1cm00000"/>
        <w:keepNext w:val="0"/>
      </w:pPr>
    </w:p>
    <w:p w14:paraId="2A847B18" w14:textId="7C5FA1C2" w:rsidR="00DF6239" w:rsidRPr="00026EC1" w:rsidRDefault="00DF6239" w:rsidP="00A64613">
      <w:pPr>
        <w:pStyle w:val="Texte1cm00000"/>
        <w:keepNext w:val="0"/>
      </w:pPr>
      <w:r w:rsidRPr="00026EC1">
        <w:t>Avant de confier à l</w:t>
      </w:r>
      <w:r w:rsidR="004A41E4" w:rsidRPr="00026EC1">
        <w:t>’</w:t>
      </w:r>
      <w:r w:rsidRPr="00026EC1">
        <w:t>enseignante ou l</w:t>
      </w:r>
      <w:r w:rsidR="004A41E4" w:rsidRPr="00026EC1">
        <w:t>’</w:t>
      </w:r>
      <w:r w:rsidRPr="00026EC1">
        <w:t>enseignant visé une telle fonction ou activité, excepté s</w:t>
      </w:r>
      <w:r w:rsidR="004A41E4" w:rsidRPr="00026EC1">
        <w:t>’</w:t>
      </w:r>
      <w:r w:rsidRPr="00026EC1">
        <w:t>il s</w:t>
      </w:r>
      <w:r w:rsidR="004A41E4" w:rsidRPr="00026EC1">
        <w:t>’</w:t>
      </w:r>
      <w:r w:rsidRPr="00026EC1">
        <w:t>agit d</w:t>
      </w:r>
      <w:r w:rsidR="004A41E4" w:rsidRPr="00026EC1">
        <w:t>’</w:t>
      </w:r>
      <w:r w:rsidRPr="00026EC1">
        <w:t>une charge d</w:t>
      </w:r>
      <w:r w:rsidR="004A41E4" w:rsidRPr="00026EC1">
        <w:t>’</w:t>
      </w:r>
      <w:r w:rsidRPr="00026EC1">
        <w:t>enseignement, le Collège et le Syndicat disposent de trois (3) semaines pour chercher à en venir à une entente sur un projet d</w:t>
      </w:r>
      <w:r w:rsidR="004A41E4" w:rsidRPr="00026EC1">
        <w:t>’</w:t>
      </w:r>
      <w:r w:rsidRPr="00026EC1">
        <w:t>utilisation proposé soit par le Collège soit par un département et sur la date du début de l</w:t>
      </w:r>
      <w:r w:rsidR="004A41E4" w:rsidRPr="00026EC1">
        <w:t>’</w:t>
      </w:r>
      <w:r w:rsidRPr="00026EC1">
        <w:t>affectation. À défaut d</w:t>
      </w:r>
      <w:r w:rsidR="004A41E4" w:rsidRPr="00026EC1">
        <w:t>’</w:t>
      </w:r>
      <w:r w:rsidRPr="00026EC1">
        <w:t>accord et ce délai expiré, le Collège peut procéder à l</w:t>
      </w:r>
      <w:r w:rsidR="004A41E4" w:rsidRPr="00026EC1">
        <w:t>’</w:t>
      </w:r>
      <w:r w:rsidRPr="00026EC1">
        <w:t>affectation de l</w:t>
      </w:r>
      <w:r w:rsidR="004A41E4" w:rsidRPr="00026EC1">
        <w:t>’</w:t>
      </w:r>
      <w:r w:rsidRPr="00026EC1">
        <w:t>enseignante ou de l</w:t>
      </w:r>
      <w:r w:rsidR="004A41E4" w:rsidRPr="00026EC1">
        <w:t>’</w:t>
      </w:r>
      <w:r w:rsidRPr="00026EC1">
        <w:t>enseignant dans le cadre des fonctions ou activités indiquées au paragraphe précédent, sans que son consentement prévu à l</w:t>
      </w:r>
      <w:r w:rsidR="004A41E4" w:rsidRPr="00026EC1">
        <w:t>’</w:t>
      </w:r>
      <w:r w:rsidRPr="00026EC1">
        <w:t>alinéa c) de la clause 8</w:t>
      </w:r>
      <w:r w:rsidR="00984A6F">
        <w:noBreakHyphen/>
      </w:r>
      <w:r w:rsidRPr="00026EC1">
        <w:t>4.01 ne soit requis. Dans ce cas, l</w:t>
      </w:r>
      <w:r w:rsidR="004A41E4" w:rsidRPr="00026EC1">
        <w:t>’</w:t>
      </w:r>
      <w:r w:rsidRPr="00026EC1">
        <w:t>enseignante ou l</w:t>
      </w:r>
      <w:r w:rsidR="004A41E4" w:rsidRPr="00026EC1">
        <w:t>’</w:t>
      </w:r>
      <w:r w:rsidRPr="00026EC1">
        <w:t>enseignant en est informé cinq (5) jours ouvrables avant le début de son affectation.</w:t>
      </w:r>
    </w:p>
    <w:p w14:paraId="37731E43" w14:textId="77777777" w:rsidR="00DF6239" w:rsidRPr="00026EC1" w:rsidRDefault="00DF6239" w:rsidP="00A64613">
      <w:pPr>
        <w:pStyle w:val="Texte1cm00000"/>
        <w:keepNext w:val="0"/>
      </w:pPr>
    </w:p>
    <w:p w14:paraId="565CC24F" w14:textId="77777777" w:rsidR="00DF6239" w:rsidRDefault="00DF6239" w:rsidP="00A64613">
      <w:pPr>
        <w:pStyle w:val="Texte1cm00000"/>
        <w:keepNext w:val="0"/>
      </w:pPr>
      <w:r w:rsidRPr="00026EC1">
        <w:t>Toutefois, s</w:t>
      </w:r>
      <w:r w:rsidR="004A41E4" w:rsidRPr="00026EC1">
        <w:t>’</w:t>
      </w:r>
      <w:r w:rsidRPr="00026EC1">
        <w:t>il faut combler une charge d</w:t>
      </w:r>
      <w:r w:rsidR="004A41E4" w:rsidRPr="00026EC1">
        <w:t>’</w:t>
      </w:r>
      <w:r w:rsidRPr="00026EC1">
        <w:t>enseignement conformément à l</w:t>
      </w:r>
      <w:r w:rsidR="004A41E4" w:rsidRPr="00026EC1">
        <w:t>’</w:t>
      </w:r>
      <w:r w:rsidRPr="00026EC1">
        <w:t>alinéa I) après l</w:t>
      </w:r>
      <w:r w:rsidR="004A41E4" w:rsidRPr="00026EC1">
        <w:t>’</w:t>
      </w:r>
      <w:r w:rsidRPr="00026EC1">
        <w:t>affectation prévue au paragraphe précédent, l</w:t>
      </w:r>
      <w:r w:rsidR="004A41E4" w:rsidRPr="00026EC1">
        <w:t>’</w:t>
      </w:r>
      <w:r w:rsidRPr="00026EC1">
        <w:t>enseignante ou l</w:t>
      </w:r>
      <w:r w:rsidR="004A41E4" w:rsidRPr="00026EC1">
        <w:t>’</w:t>
      </w:r>
      <w:r w:rsidRPr="00026EC1">
        <w:t>enseignant est tenu de l</w:t>
      </w:r>
      <w:r w:rsidR="004A41E4" w:rsidRPr="00026EC1">
        <w:t>’</w:t>
      </w:r>
      <w:r w:rsidRPr="00026EC1">
        <w:t>accepter. Dans ce cas, elle ou il occupe cette charge cinq (5) jours ouvrables après que le Collège l</w:t>
      </w:r>
      <w:r w:rsidR="004A41E4" w:rsidRPr="00026EC1">
        <w:t>’</w:t>
      </w:r>
      <w:r w:rsidRPr="00026EC1">
        <w:t>en ait informé.</w:t>
      </w:r>
    </w:p>
    <w:p w14:paraId="4BB9244D" w14:textId="77777777" w:rsidR="006D6FDF" w:rsidRDefault="006D6FDF" w:rsidP="00A64613">
      <w:pPr>
        <w:pStyle w:val="Texte1cm00000"/>
        <w:keepNext w:val="0"/>
      </w:pPr>
    </w:p>
    <w:p w14:paraId="3EAB0F21" w14:textId="07E7817D" w:rsidR="00FB2EB2" w:rsidRDefault="00275751" w:rsidP="00A64613">
      <w:pPr>
        <w:keepNext w:val="0"/>
        <w:tabs>
          <w:tab w:val="left" w:pos="567"/>
        </w:tabs>
        <w:ind w:left="567" w:hanging="567"/>
      </w:pPr>
      <w:r w:rsidRPr="00026EC1">
        <w:t>K)</w:t>
      </w:r>
      <w:r w:rsidRPr="00026EC1">
        <w:tab/>
      </w:r>
      <w:r w:rsidR="00FB2EB2" w:rsidRPr="00316277">
        <w:rPr>
          <w:b/>
          <w:bCs/>
          <w:u w:val="single"/>
        </w:rPr>
        <w:t>Replacement intrasectoriel</w:t>
      </w:r>
    </w:p>
    <w:p w14:paraId="2963D279" w14:textId="45C50A11" w:rsidR="00DF6239" w:rsidRPr="00026EC1" w:rsidRDefault="00DF6239" w:rsidP="00FB2EB2">
      <w:pPr>
        <w:keepNext w:val="0"/>
        <w:tabs>
          <w:tab w:val="left" w:pos="567"/>
        </w:tabs>
        <w:ind w:left="567"/>
      </w:pPr>
      <w:r w:rsidRPr="00026EC1">
        <w:t>De plus, l</w:t>
      </w:r>
      <w:r w:rsidR="004A41E4" w:rsidRPr="00026EC1">
        <w:t>’</w:t>
      </w:r>
      <w:r w:rsidRPr="00026EC1">
        <w:t>enseignante ou l</w:t>
      </w:r>
      <w:r w:rsidR="004A41E4" w:rsidRPr="00026EC1">
        <w:t>’</w:t>
      </w:r>
      <w:r w:rsidRPr="00026EC1">
        <w:t>enseignant mis en disponibilité bénéficie des dispositions de la clause 5</w:t>
      </w:r>
      <w:r w:rsidR="00984A6F">
        <w:noBreakHyphen/>
      </w:r>
      <w:r w:rsidRPr="00026EC1">
        <w:t>4.25.</w:t>
      </w:r>
    </w:p>
    <w:p w14:paraId="758E3935" w14:textId="77777777" w:rsidR="00DF6239" w:rsidRPr="00026EC1" w:rsidRDefault="00DF6239" w:rsidP="00A64613">
      <w:pPr>
        <w:keepNext w:val="0"/>
      </w:pPr>
    </w:p>
    <w:p w14:paraId="2BCF638B" w14:textId="0DA8CF38" w:rsidR="00DA6A8B" w:rsidRPr="00DF3A5F" w:rsidRDefault="00275751" w:rsidP="00A64613">
      <w:pPr>
        <w:keepNext w:val="0"/>
        <w:tabs>
          <w:tab w:val="left" w:pos="567"/>
        </w:tabs>
        <w:ind w:left="567" w:hanging="567"/>
        <w:rPr>
          <w:b/>
          <w:bCs/>
          <w:u w:val="single"/>
        </w:rPr>
      </w:pPr>
      <w:r w:rsidRPr="00026EC1">
        <w:t>L)</w:t>
      </w:r>
      <w:r w:rsidRPr="00026EC1">
        <w:tab/>
      </w:r>
      <w:r w:rsidR="0071393C" w:rsidRPr="00316277">
        <w:rPr>
          <w:b/>
          <w:bCs/>
          <w:u w:val="single"/>
        </w:rPr>
        <w:t>Programme unique fermé dans la zone</w:t>
      </w:r>
    </w:p>
    <w:p w14:paraId="6C358A81" w14:textId="1F12B5A6" w:rsidR="00DF6239" w:rsidRPr="00026EC1" w:rsidRDefault="00DF6239" w:rsidP="0071393C">
      <w:pPr>
        <w:keepNext w:val="0"/>
        <w:tabs>
          <w:tab w:val="left" w:pos="567"/>
        </w:tabs>
        <w:ind w:left="567"/>
      </w:pPr>
      <w:r w:rsidRPr="00026EC1">
        <w:t>Dans le cas d</w:t>
      </w:r>
      <w:r w:rsidR="004A41E4" w:rsidRPr="00026EC1">
        <w:t>’</w:t>
      </w:r>
      <w:r w:rsidRPr="00026EC1">
        <w:t>un programme unique dans la zone du Collège et qui est fermé, au plus tard le 1</w:t>
      </w:r>
      <w:r w:rsidRPr="00026EC1">
        <w:rPr>
          <w:vertAlign w:val="superscript"/>
        </w:rPr>
        <w:t>er</w:t>
      </w:r>
      <w:r w:rsidR="00597067">
        <w:t> </w:t>
      </w:r>
      <w:r w:rsidRPr="00026EC1">
        <w:t>juin de l</w:t>
      </w:r>
      <w:r w:rsidR="004A41E4" w:rsidRPr="00026EC1">
        <w:t>’</w:t>
      </w:r>
      <w:r w:rsidRPr="00026EC1">
        <w:t>année d</w:t>
      </w:r>
      <w:r w:rsidR="004A41E4" w:rsidRPr="00026EC1">
        <w:t>’</w:t>
      </w:r>
      <w:r w:rsidRPr="00026EC1">
        <w:t>engagement au cours de laquelle ce programme est fermé, l</w:t>
      </w:r>
      <w:r w:rsidR="004A41E4" w:rsidRPr="00026EC1">
        <w:t>’</w:t>
      </w:r>
      <w:r w:rsidRPr="00026EC1">
        <w:t>enseignante ou l</w:t>
      </w:r>
      <w:r w:rsidR="004A41E4" w:rsidRPr="00026EC1">
        <w:t>’</w:t>
      </w:r>
      <w:r w:rsidRPr="00026EC1">
        <w:t>enseignant dans la discipline porteuse de la formation spécifique de ce programme qui est mis en disponibilité ou qui a déjà été mis en disponibilité et qui l</w:t>
      </w:r>
      <w:r w:rsidR="004A41E4" w:rsidRPr="00026EC1">
        <w:t>’</w:t>
      </w:r>
      <w:r w:rsidRPr="00026EC1">
        <w:t>est demeuré, est informé une seule fois, par écrit, que le programme est fermé. De même, l</w:t>
      </w:r>
      <w:r w:rsidR="004A41E4" w:rsidRPr="00026EC1">
        <w:t>’</w:t>
      </w:r>
      <w:r w:rsidRPr="00026EC1">
        <w:t>enseignante ou l</w:t>
      </w:r>
      <w:r w:rsidR="004A41E4" w:rsidRPr="00026EC1">
        <w:t>’</w:t>
      </w:r>
      <w:r w:rsidRPr="00026EC1">
        <w:t>enseignant qui est mis en disponibilité au cours des années d</w:t>
      </w:r>
      <w:r w:rsidR="004A41E4" w:rsidRPr="00026EC1">
        <w:t>’</w:t>
      </w:r>
      <w:r w:rsidRPr="00026EC1">
        <w:t>engagement qui suivent en est informé de la même façon.</w:t>
      </w:r>
    </w:p>
    <w:p w14:paraId="5D0F7890" w14:textId="77777777" w:rsidR="00DF6239" w:rsidRPr="00026EC1" w:rsidRDefault="00DF6239" w:rsidP="00A64613">
      <w:pPr>
        <w:pStyle w:val="Texte1cm00000"/>
        <w:keepNext w:val="0"/>
      </w:pPr>
    </w:p>
    <w:p w14:paraId="35911656" w14:textId="3DDB83F0" w:rsidR="00DF6239" w:rsidRPr="00026EC1" w:rsidRDefault="00DF6239" w:rsidP="00A64613">
      <w:pPr>
        <w:pStyle w:val="Texte1cm00000"/>
        <w:keepNext w:val="0"/>
      </w:pPr>
      <w:r w:rsidRPr="00026EC1">
        <w:t>Au plus tard six</w:t>
      </w:r>
      <w:r w:rsidR="00597067">
        <w:t> </w:t>
      </w:r>
      <w:r w:rsidRPr="00026EC1">
        <w:t>(6) mois suivant la date où elle ou il a été informé conformément au paragraphe précédent, l</w:t>
      </w:r>
      <w:r w:rsidR="004A41E4" w:rsidRPr="00026EC1">
        <w:t>’</w:t>
      </w:r>
      <w:r w:rsidRPr="00026EC1">
        <w:t>enseignante ou l</w:t>
      </w:r>
      <w:r w:rsidR="004A41E4" w:rsidRPr="00026EC1">
        <w:t>’</w:t>
      </w:r>
      <w:r w:rsidRPr="00026EC1">
        <w:t>enseignant mis en disponibilité, peut, si elle ou il le désire, choisir l</w:t>
      </w:r>
      <w:r w:rsidR="004A41E4" w:rsidRPr="00026EC1">
        <w:t>’</w:t>
      </w:r>
      <w:r w:rsidRPr="00026EC1">
        <w:t>une des mesures suivantes</w:t>
      </w:r>
      <w:r w:rsidR="00D8581B">
        <w:t> :</w:t>
      </w:r>
    </w:p>
    <w:p w14:paraId="5BBF84E0" w14:textId="4CFDA432" w:rsidR="00DF6239" w:rsidRPr="00026EC1" w:rsidRDefault="00DF6239" w:rsidP="004F71C1">
      <w:pPr>
        <w:pStyle w:val="Texte1cm"/>
        <w:keepNext w:val="0"/>
        <w:numPr>
          <w:ilvl w:val="0"/>
          <w:numId w:val="19"/>
        </w:numPr>
        <w:tabs>
          <w:tab w:val="left" w:pos="1134"/>
        </w:tabs>
      </w:pPr>
      <w:r w:rsidRPr="00026EC1">
        <w:t>Sur demande écrite et contre remise de sa démission, le versement d</w:t>
      </w:r>
      <w:r w:rsidR="004A41E4" w:rsidRPr="00026EC1">
        <w:t>’</w:t>
      </w:r>
      <w:r w:rsidRPr="00026EC1">
        <w:t>une indemnité de cessation d</w:t>
      </w:r>
      <w:r w:rsidR="004A41E4" w:rsidRPr="00026EC1">
        <w:t>’</w:t>
      </w:r>
      <w:r w:rsidRPr="00026EC1">
        <w:t>emploi égale à un</w:t>
      </w:r>
      <w:r w:rsidR="00597067">
        <w:t> </w:t>
      </w:r>
      <w:r w:rsidRPr="00026EC1">
        <w:t>(1) mois de salaire (déterminé par sa scolarité et son expérience) pour chaque année de service à l</w:t>
      </w:r>
      <w:r w:rsidR="004A41E4" w:rsidRPr="00026EC1">
        <w:t>’</w:t>
      </w:r>
      <w:r w:rsidRPr="00026EC1">
        <w:t>emploi du Collège à titre d</w:t>
      </w:r>
      <w:r w:rsidR="004A41E4" w:rsidRPr="00026EC1">
        <w:t>’</w:t>
      </w:r>
      <w:r w:rsidRPr="00026EC1">
        <w:t>enseignante ou d</w:t>
      </w:r>
      <w:r w:rsidR="004A41E4" w:rsidRPr="00026EC1">
        <w:t>’</w:t>
      </w:r>
      <w:r w:rsidRPr="00026EC1">
        <w:t>enseignant jusqu</w:t>
      </w:r>
      <w:r w:rsidR="004A41E4" w:rsidRPr="00026EC1">
        <w:t>’</w:t>
      </w:r>
      <w:r w:rsidRPr="00026EC1">
        <w:t>à concurrence de douze</w:t>
      </w:r>
      <w:r w:rsidR="008B12F1">
        <w:t> </w:t>
      </w:r>
      <w:r w:rsidRPr="00026EC1">
        <w:t>(12) mois de salaire. Le montant de cette indemnité se calcule à compter du début de l</w:t>
      </w:r>
      <w:r w:rsidR="004A41E4" w:rsidRPr="00026EC1">
        <w:t>’</w:t>
      </w:r>
      <w:r w:rsidRPr="00026EC1">
        <w:t>année d</w:t>
      </w:r>
      <w:r w:rsidR="004A41E4" w:rsidRPr="00026EC1">
        <w:t>’</w:t>
      </w:r>
      <w:r w:rsidRPr="00026EC1">
        <w:t>engagement qui suit l</w:t>
      </w:r>
      <w:r w:rsidR="004A41E4" w:rsidRPr="00026EC1">
        <w:t>’</w:t>
      </w:r>
      <w:r w:rsidRPr="00026EC1">
        <w:t>avis prévu au premier</w:t>
      </w:r>
      <w:r w:rsidR="00597067">
        <w:t> </w:t>
      </w:r>
      <w:r w:rsidRPr="00026EC1">
        <w:t>(1</w:t>
      </w:r>
      <w:r w:rsidRPr="00026EC1">
        <w:rPr>
          <w:vertAlign w:val="superscript"/>
        </w:rPr>
        <w:t>er</w:t>
      </w:r>
      <w:r w:rsidRPr="00026EC1">
        <w:t>) paragraphe du présent alinéa.</w:t>
      </w:r>
    </w:p>
    <w:p w14:paraId="5D597E28" w14:textId="77777777" w:rsidR="00991F47" w:rsidRPr="00026EC1" w:rsidRDefault="00991F47" w:rsidP="00A64613">
      <w:pPr>
        <w:pStyle w:val="Texte1cm"/>
        <w:keepNext w:val="0"/>
        <w:tabs>
          <w:tab w:val="left" w:pos="1134"/>
        </w:tabs>
      </w:pPr>
    </w:p>
    <w:p w14:paraId="4D49BD3E" w14:textId="2261EBFA" w:rsidR="00DF6239" w:rsidRPr="00026EC1" w:rsidRDefault="00275751" w:rsidP="00A64613">
      <w:pPr>
        <w:pStyle w:val="Texte1cm"/>
        <w:keepNext w:val="0"/>
        <w:tabs>
          <w:tab w:val="left" w:pos="1134"/>
        </w:tabs>
        <w:ind w:left="1134" w:hanging="567"/>
      </w:pPr>
      <w:r w:rsidRPr="00026EC1">
        <w:t>2.</w:t>
      </w:r>
      <w:r w:rsidRPr="00026EC1">
        <w:tab/>
      </w:r>
      <w:r w:rsidR="00DF6239" w:rsidRPr="00026EC1">
        <w:t>Un recyclage vers un poste réservé selon la clause</w:t>
      </w:r>
      <w:r w:rsidR="0017763F" w:rsidRPr="00026EC1">
        <w:t> </w:t>
      </w:r>
      <w:r w:rsidR="00DF6239" w:rsidRPr="00026EC1">
        <w:t>5</w:t>
      </w:r>
      <w:r w:rsidR="00984A6F">
        <w:noBreakHyphen/>
      </w:r>
      <w:r w:rsidR="00DF6239" w:rsidRPr="00026EC1">
        <w:t>4.21</w:t>
      </w:r>
      <w:r w:rsidR="00ED01CE" w:rsidRPr="00026EC1">
        <w:t>.</w:t>
      </w:r>
    </w:p>
    <w:p w14:paraId="20EDBEE7" w14:textId="77777777" w:rsidR="00DF6239" w:rsidRPr="00026EC1" w:rsidRDefault="00DF6239" w:rsidP="00A64613">
      <w:pPr>
        <w:pStyle w:val="Texte1cm"/>
        <w:keepNext w:val="0"/>
        <w:ind w:left="0"/>
      </w:pPr>
    </w:p>
    <w:p w14:paraId="5BC1736A" w14:textId="0D21B7F5" w:rsidR="00DF6239" w:rsidRPr="00026EC1" w:rsidRDefault="00275751" w:rsidP="00A64613">
      <w:pPr>
        <w:pStyle w:val="Texte1cm"/>
        <w:keepNext w:val="0"/>
        <w:tabs>
          <w:tab w:val="left" w:pos="1134"/>
        </w:tabs>
        <w:ind w:left="1134" w:hanging="567"/>
      </w:pPr>
      <w:r w:rsidRPr="00026EC1">
        <w:t>3.</w:t>
      </w:r>
      <w:r w:rsidRPr="00026EC1">
        <w:tab/>
      </w:r>
      <w:r w:rsidR="00DF6239" w:rsidRPr="00026EC1">
        <w:t>Un congé de préretraite, selon les modalités de la clause</w:t>
      </w:r>
      <w:r w:rsidR="0061766F" w:rsidRPr="00026EC1">
        <w:t> </w:t>
      </w:r>
      <w:r w:rsidR="00DF6239" w:rsidRPr="00026EC1">
        <w:t>5</w:t>
      </w:r>
      <w:r w:rsidR="00984A6F">
        <w:noBreakHyphen/>
      </w:r>
      <w:r w:rsidR="00DF6239" w:rsidRPr="00026EC1">
        <w:t>4.15, lequel lui est accordé si elle ou il est admissible à la retraite ou à la retraite anticipée à la fin de ce congé en vertu de l</w:t>
      </w:r>
      <w:r w:rsidR="004A41E4" w:rsidRPr="00026EC1">
        <w:t>’</w:t>
      </w:r>
      <w:r w:rsidR="00DF6239" w:rsidRPr="00026EC1">
        <w:t>un des régimes de retraite en vigueur dans les secteurs public et parapublic. Ce congé commence à compter du début de l</w:t>
      </w:r>
      <w:r w:rsidR="004A41E4" w:rsidRPr="00026EC1">
        <w:t>’</w:t>
      </w:r>
      <w:r w:rsidR="00DF6239" w:rsidRPr="00026EC1">
        <w:t>année d</w:t>
      </w:r>
      <w:r w:rsidR="004A41E4" w:rsidRPr="00026EC1">
        <w:t>’</w:t>
      </w:r>
      <w:r w:rsidR="00DF6239" w:rsidRPr="00026EC1">
        <w:t>engagement qui suit l</w:t>
      </w:r>
      <w:r w:rsidR="004A41E4" w:rsidRPr="00026EC1">
        <w:t>’</w:t>
      </w:r>
      <w:r w:rsidR="00DF6239" w:rsidRPr="00026EC1">
        <w:t>avis prévu au premier</w:t>
      </w:r>
      <w:r w:rsidR="00597067">
        <w:t> </w:t>
      </w:r>
      <w:r w:rsidR="00DF6239" w:rsidRPr="00026EC1">
        <w:t>(1</w:t>
      </w:r>
      <w:r w:rsidR="00DF6239" w:rsidRPr="00026EC1">
        <w:rPr>
          <w:vertAlign w:val="superscript"/>
        </w:rPr>
        <w:t>er</w:t>
      </w:r>
      <w:r w:rsidR="00DF6239" w:rsidRPr="00026EC1">
        <w:t>) paragraphe du présent alinéa.</w:t>
      </w:r>
    </w:p>
    <w:p w14:paraId="27759EFF" w14:textId="77777777" w:rsidR="00DF6239" w:rsidRPr="00026EC1" w:rsidRDefault="00DF6239" w:rsidP="00A64613">
      <w:pPr>
        <w:pStyle w:val="Texte1cm"/>
        <w:keepNext w:val="0"/>
        <w:ind w:left="0"/>
      </w:pPr>
    </w:p>
    <w:p w14:paraId="66616F48" w14:textId="4F1F6C16" w:rsidR="00DF6239" w:rsidRPr="00026EC1" w:rsidRDefault="00DF6239" w:rsidP="00A64613">
      <w:pPr>
        <w:pStyle w:val="Texte1cm"/>
        <w:keepNext w:val="0"/>
      </w:pPr>
      <w:r w:rsidRPr="00026EC1">
        <w:t>La décision de l</w:t>
      </w:r>
      <w:r w:rsidR="004A41E4" w:rsidRPr="00026EC1">
        <w:t>’</w:t>
      </w:r>
      <w:r w:rsidRPr="00026EC1">
        <w:t>enseignante ou de l</w:t>
      </w:r>
      <w:r w:rsidR="004A41E4" w:rsidRPr="00026EC1">
        <w:t>’</w:t>
      </w:r>
      <w:r w:rsidRPr="00026EC1">
        <w:t>enseignant visé par le présent alinéa est finale et son choix n</w:t>
      </w:r>
      <w:r w:rsidR="004A41E4" w:rsidRPr="00026EC1">
        <w:t>’</w:t>
      </w:r>
      <w:r w:rsidRPr="00026EC1">
        <w:t>est exercé qu</w:t>
      </w:r>
      <w:r w:rsidR="004A41E4" w:rsidRPr="00026EC1">
        <w:t>’</w:t>
      </w:r>
      <w:r w:rsidRPr="00026EC1">
        <w:t>une seule fois au cours de la période visée au deuxième</w:t>
      </w:r>
      <w:r w:rsidR="00597067">
        <w:t> </w:t>
      </w:r>
      <w:r w:rsidRPr="00026EC1">
        <w:t>(2</w:t>
      </w:r>
      <w:r w:rsidRPr="007D467A">
        <w:rPr>
          <w:vertAlign w:val="superscript"/>
        </w:rPr>
        <w:t>e</w:t>
      </w:r>
      <w:r w:rsidRPr="00026EC1">
        <w:t>) paragraphe du présent alinéa.</w:t>
      </w:r>
    </w:p>
    <w:p w14:paraId="42F70468" w14:textId="77777777" w:rsidR="00DF6239" w:rsidRPr="00026EC1" w:rsidRDefault="00DF6239" w:rsidP="00A64613">
      <w:pPr>
        <w:pStyle w:val="Texte1cm"/>
        <w:keepNext w:val="0"/>
        <w:ind w:left="0"/>
      </w:pPr>
    </w:p>
    <w:p w14:paraId="1970EF29" w14:textId="332BB5BF" w:rsidR="00DF6239" w:rsidRPr="00026EC1" w:rsidRDefault="00DF6239" w:rsidP="00A64613">
      <w:pPr>
        <w:pStyle w:val="NUMRODECLAUSE"/>
        <w:keepNext w:val="0"/>
      </w:pPr>
      <w:r w:rsidRPr="00026EC1">
        <w:t>5</w:t>
      </w:r>
      <w:r w:rsidR="00984A6F">
        <w:noBreakHyphen/>
      </w:r>
      <w:r w:rsidRPr="00026EC1">
        <w:t>4.08</w:t>
      </w:r>
      <w:r w:rsidR="00CC0F7A">
        <w:tab/>
      </w:r>
      <w:r w:rsidR="008B7AB1" w:rsidRPr="00316277">
        <w:rPr>
          <w:u w:val="single"/>
        </w:rPr>
        <w:t>Enseignante ou enseigna</w:t>
      </w:r>
      <w:r w:rsidR="00204722" w:rsidRPr="00316277">
        <w:rPr>
          <w:u w:val="single"/>
        </w:rPr>
        <w:t>n</w:t>
      </w:r>
      <w:r w:rsidR="008B7AB1" w:rsidRPr="00316277">
        <w:rPr>
          <w:u w:val="single"/>
        </w:rPr>
        <w:t>t non permanent à temps complet</w:t>
      </w:r>
    </w:p>
    <w:p w14:paraId="1C93C885" w14:textId="42EA95C2" w:rsidR="00DF6239" w:rsidRPr="00026EC1" w:rsidRDefault="00DF6239" w:rsidP="00A64613">
      <w:pPr>
        <w:keepNext w:val="0"/>
      </w:pPr>
      <w:r w:rsidRPr="00026EC1">
        <w:t>L</w:t>
      </w:r>
      <w:r w:rsidR="004A41E4" w:rsidRPr="00026EC1">
        <w:t>’</w:t>
      </w:r>
      <w:r w:rsidRPr="00026EC1">
        <w:t>enseignante ou l</w:t>
      </w:r>
      <w:r w:rsidR="004A41E4" w:rsidRPr="00026EC1">
        <w:t>’</w:t>
      </w:r>
      <w:r w:rsidRPr="00026EC1">
        <w:t>enseignant non permanent à temps complet bénéficie des dispositions suivantes à compter du 1</w:t>
      </w:r>
      <w:r w:rsidRPr="00026EC1">
        <w:rPr>
          <w:vertAlign w:val="superscript"/>
        </w:rPr>
        <w:t>er</w:t>
      </w:r>
      <w:r w:rsidRPr="00026EC1">
        <w:t> avril de l</w:t>
      </w:r>
      <w:r w:rsidR="004A41E4" w:rsidRPr="00026EC1">
        <w:t>’</w:t>
      </w:r>
      <w:r w:rsidRPr="00026EC1">
        <w:t>année de son contrat d</w:t>
      </w:r>
      <w:r w:rsidR="004A41E4" w:rsidRPr="00026EC1">
        <w:t>’</w:t>
      </w:r>
      <w:r w:rsidRPr="00026EC1">
        <w:t>engagement jusqu</w:t>
      </w:r>
      <w:r w:rsidR="004A41E4" w:rsidRPr="00026EC1">
        <w:t>’</w:t>
      </w:r>
      <w:r w:rsidRPr="00026EC1">
        <w:t>au 30 avril de la deuxième (2</w:t>
      </w:r>
      <w:r w:rsidRPr="00026EC1">
        <w:rPr>
          <w:vertAlign w:val="superscript"/>
        </w:rPr>
        <w:t>e</w:t>
      </w:r>
      <w:r w:rsidRPr="00026EC1">
        <w:t>) année qui suit l</w:t>
      </w:r>
      <w:r w:rsidR="004A41E4" w:rsidRPr="00026EC1">
        <w:t>’</w:t>
      </w:r>
      <w:r w:rsidRPr="00026EC1">
        <w:t>échéance de ce contrat</w:t>
      </w:r>
      <w:r w:rsidR="00D8581B">
        <w:t> :</w:t>
      </w:r>
    </w:p>
    <w:p w14:paraId="6C805AE0" w14:textId="77777777" w:rsidR="00DF6239" w:rsidRPr="00026EC1" w:rsidRDefault="00DF6239" w:rsidP="00A64613">
      <w:pPr>
        <w:keepNext w:val="0"/>
      </w:pPr>
    </w:p>
    <w:p w14:paraId="132B24EF" w14:textId="77777777" w:rsidR="00DF6239" w:rsidRPr="00026EC1" w:rsidRDefault="00275751" w:rsidP="00A64613">
      <w:pPr>
        <w:keepNext w:val="0"/>
        <w:tabs>
          <w:tab w:val="left" w:pos="567"/>
        </w:tabs>
        <w:ind w:left="567" w:hanging="567"/>
      </w:pPr>
      <w:r w:rsidRPr="00026EC1">
        <w:t>a)</w:t>
      </w:r>
      <w:r w:rsidRPr="00026EC1">
        <w:tab/>
      </w:r>
      <w:r w:rsidR="00DF6239" w:rsidRPr="00026EC1">
        <w:t>le nom de chaque enseignante et enseignant est transmis avant le 31 mai de son année d</w:t>
      </w:r>
      <w:r w:rsidR="004A41E4" w:rsidRPr="00026EC1">
        <w:t>’</w:t>
      </w:r>
      <w:r w:rsidR="00DF6239" w:rsidRPr="00026EC1">
        <w:t>engagement et inscrit au Bureau de placement; le Bureau dresse une liste des noms de ces enseignantes et enseignants visés et la transmet à chacun des Collèges et des Syndicats;</w:t>
      </w:r>
    </w:p>
    <w:p w14:paraId="7934AB7A" w14:textId="77777777" w:rsidR="00DF6239" w:rsidRPr="00026EC1" w:rsidRDefault="00DF6239" w:rsidP="00A64613">
      <w:pPr>
        <w:keepNext w:val="0"/>
      </w:pPr>
    </w:p>
    <w:p w14:paraId="74A37289" w14:textId="77777777" w:rsidR="00DF6239" w:rsidRPr="00026EC1" w:rsidRDefault="00275751" w:rsidP="00A64613">
      <w:pPr>
        <w:keepNext w:val="0"/>
        <w:tabs>
          <w:tab w:val="left" w:pos="567"/>
        </w:tabs>
        <w:ind w:left="567" w:hanging="567"/>
      </w:pPr>
      <w:r w:rsidRPr="00026EC1">
        <w:t>b)</w:t>
      </w:r>
      <w:r w:rsidRPr="00026EC1">
        <w:tab/>
      </w:r>
      <w:r w:rsidR="00DF6239" w:rsidRPr="00026EC1">
        <w:t>à sa demande, l</w:t>
      </w:r>
      <w:r w:rsidR="004A41E4" w:rsidRPr="00026EC1">
        <w:t>’</w:t>
      </w:r>
      <w:r w:rsidR="00DF6239" w:rsidRPr="00026EC1">
        <w:t>enseignante ou l</w:t>
      </w:r>
      <w:r w:rsidR="004A41E4" w:rsidRPr="00026EC1">
        <w:t>’</w:t>
      </w:r>
      <w:r w:rsidR="00DF6239" w:rsidRPr="00026EC1">
        <w:t>enseignant non permanent à temps complet reçoit les listes des postes et des charges annuelles de remplacement de sa ou de ses disciplines;</w:t>
      </w:r>
    </w:p>
    <w:p w14:paraId="3D6DDE7E" w14:textId="77777777" w:rsidR="00DF6239" w:rsidRPr="00026EC1" w:rsidRDefault="00DF6239" w:rsidP="00A64613">
      <w:pPr>
        <w:keepNext w:val="0"/>
      </w:pPr>
    </w:p>
    <w:p w14:paraId="3AFD50D4" w14:textId="063594AF" w:rsidR="00DF6239" w:rsidRPr="00026EC1" w:rsidRDefault="00275751" w:rsidP="00A64613">
      <w:pPr>
        <w:keepNext w:val="0"/>
        <w:tabs>
          <w:tab w:val="left" w:pos="567"/>
        </w:tabs>
        <w:ind w:left="567" w:hanging="567"/>
      </w:pPr>
      <w:r w:rsidRPr="00026EC1">
        <w:t>c)</w:t>
      </w:r>
      <w:r w:rsidRPr="00026EC1">
        <w:tab/>
      </w:r>
      <w:r w:rsidR="00DF6239" w:rsidRPr="00026EC1">
        <w:t>elle ou il obtient de son Collège le formulaire nécessaire pour poser sa candidature et ainsi bénéficier des priorités 9 et 14 prévues à l</w:t>
      </w:r>
      <w:r w:rsidR="004A41E4" w:rsidRPr="00026EC1">
        <w:t>’</w:t>
      </w:r>
      <w:r w:rsidR="00DF6239" w:rsidRPr="00026EC1">
        <w:t>alinéa a) de la clause 5</w:t>
      </w:r>
      <w:r w:rsidR="00984A6F">
        <w:noBreakHyphen/>
      </w:r>
      <w:r w:rsidR="00DF6239" w:rsidRPr="00026EC1">
        <w:t>4.17;</w:t>
      </w:r>
    </w:p>
    <w:p w14:paraId="2312B2AE" w14:textId="77777777" w:rsidR="00DF6239" w:rsidRPr="00026EC1" w:rsidRDefault="00DF6239" w:rsidP="00A64613">
      <w:pPr>
        <w:keepNext w:val="0"/>
      </w:pPr>
    </w:p>
    <w:p w14:paraId="1F5D72A3" w14:textId="6701DCE6" w:rsidR="00DF6239" w:rsidRPr="00026EC1" w:rsidRDefault="00275751" w:rsidP="00A64613">
      <w:pPr>
        <w:keepNext w:val="0"/>
        <w:tabs>
          <w:tab w:val="left" w:pos="567"/>
        </w:tabs>
        <w:ind w:left="567" w:hanging="567"/>
      </w:pPr>
      <w:r w:rsidRPr="00026EC1">
        <w:t>d)</w:t>
      </w:r>
      <w:r w:rsidRPr="00026EC1">
        <w:tab/>
      </w:r>
      <w:r w:rsidR="00DF6239" w:rsidRPr="00026EC1">
        <w:t>l</w:t>
      </w:r>
      <w:r w:rsidR="004A41E4" w:rsidRPr="00026EC1">
        <w:t>’</w:t>
      </w:r>
      <w:r w:rsidR="00DF6239" w:rsidRPr="00026EC1">
        <w:t>enseignante ou l</w:t>
      </w:r>
      <w:r w:rsidR="004A41E4" w:rsidRPr="00026EC1">
        <w:t>’</w:t>
      </w:r>
      <w:r w:rsidR="00DF6239" w:rsidRPr="00026EC1">
        <w:t>enseignant bénéficiant des priorités 9 et 14 de l</w:t>
      </w:r>
      <w:r w:rsidR="004A41E4" w:rsidRPr="00026EC1">
        <w:t>’</w:t>
      </w:r>
      <w:r w:rsidR="00DF6239" w:rsidRPr="00026EC1">
        <w:t>alinéa a) de la clause 5</w:t>
      </w:r>
      <w:r w:rsidR="00984A6F">
        <w:noBreakHyphen/>
      </w:r>
      <w:r w:rsidR="00DF6239" w:rsidRPr="00026EC1">
        <w:t>4.17 pose sa candidature par écrit aux postes ou charges de son choix auprès des Collèges visés dans les sept (7) jours qui suivent la date où une liste est rendue disponible sur un site Internet conformément à l</w:t>
      </w:r>
      <w:r w:rsidR="004A41E4" w:rsidRPr="00026EC1">
        <w:t>’</w:t>
      </w:r>
      <w:r w:rsidR="00DF6239" w:rsidRPr="00026EC1">
        <w:t>alinéa b) de la clause 5</w:t>
      </w:r>
      <w:r w:rsidR="00984A6F">
        <w:noBreakHyphen/>
      </w:r>
      <w:r w:rsidR="00DF6239" w:rsidRPr="00026EC1">
        <w:t>4.11.</w:t>
      </w:r>
    </w:p>
    <w:p w14:paraId="5F039E3F" w14:textId="1ADCC98A" w:rsidR="00DF6239" w:rsidRPr="00026EC1" w:rsidRDefault="00991F47" w:rsidP="00A64613">
      <w:pPr>
        <w:keepNext w:val="0"/>
        <w:rPr>
          <w:b/>
        </w:rPr>
      </w:pPr>
      <w:r w:rsidRPr="00026EC1">
        <w:br w:type="page"/>
      </w:r>
      <w:r w:rsidR="00DF6239" w:rsidRPr="00026EC1">
        <w:rPr>
          <w:b/>
        </w:rPr>
        <w:t>5</w:t>
      </w:r>
      <w:r w:rsidR="00984A6F">
        <w:rPr>
          <w:b/>
        </w:rPr>
        <w:noBreakHyphen/>
      </w:r>
      <w:r w:rsidR="00DF6239" w:rsidRPr="00026EC1">
        <w:rPr>
          <w:b/>
        </w:rPr>
        <w:t>4.09</w:t>
      </w:r>
      <w:r w:rsidR="00CC0F7A">
        <w:rPr>
          <w:b/>
        </w:rPr>
        <w:tab/>
      </w:r>
      <w:r w:rsidR="00A50279" w:rsidRPr="00316277">
        <w:rPr>
          <w:b/>
          <w:u w:val="single"/>
        </w:rPr>
        <w:t>Obligation</w:t>
      </w:r>
      <w:r w:rsidR="003E0421" w:rsidRPr="00316277">
        <w:rPr>
          <w:b/>
          <w:u w:val="single"/>
        </w:rPr>
        <w:t>s du Collège</w:t>
      </w:r>
    </w:p>
    <w:p w14:paraId="28DAB838" w14:textId="159D4458" w:rsidR="00DF6239" w:rsidRPr="00026EC1" w:rsidRDefault="00DF6239" w:rsidP="00A64613">
      <w:pPr>
        <w:keepNext w:val="0"/>
      </w:pPr>
      <w:r w:rsidRPr="00026EC1">
        <w:t>Chacun des Collèges du réseau</w:t>
      </w:r>
      <w:r w:rsidR="00D8581B">
        <w:t> :</w:t>
      </w:r>
    </w:p>
    <w:p w14:paraId="69DA144F" w14:textId="77777777" w:rsidR="00DF6239" w:rsidRPr="00026EC1" w:rsidRDefault="00DF6239" w:rsidP="00A64613">
      <w:pPr>
        <w:keepNext w:val="0"/>
      </w:pPr>
    </w:p>
    <w:p w14:paraId="6E49FDFA" w14:textId="4BEEED6B" w:rsidR="00DF6239" w:rsidRPr="00026EC1" w:rsidRDefault="00275751" w:rsidP="00A64613">
      <w:pPr>
        <w:keepNext w:val="0"/>
        <w:tabs>
          <w:tab w:val="left" w:pos="567"/>
        </w:tabs>
        <w:ind w:left="567" w:hanging="567"/>
      </w:pPr>
      <w:r w:rsidRPr="00026EC1">
        <w:t>a)</w:t>
      </w:r>
      <w:r w:rsidRPr="00026EC1">
        <w:tab/>
      </w:r>
      <w:r w:rsidR="00DF6239" w:rsidRPr="00026EC1">
        <w:t>transmet au Bureau de placement, au plus tard le 31</w:t>
      </w:r>
      <w:r w:rsidR="00597067">
        <w:t> </w:t>
      </w:r>
      <w:r w:rsidR="00DF6239" w:rsidRPr="00026EC1">
        <w:t>mai, la liste des noms des enseignantes et enseignants non permanents, l</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en cours ainsi que les autres renseignements demandés par le Bureau de placement;</w:t>
      </w:r>
    </w:p>
    <w:p w14:paraId="27A15383" w14:textId="77777777" w:rsidR="00DF6239" w:rsidRPr="00026EC1" w:rsidRDefault="00DF6239" w:rsidP="00A64613">
      <w:pPr>
        <w:keepNext w:val="0"/>
      </w:pPr>
    </w:p>
    <w:p w14:paraId="730D8D72" w14:textId="7130349E" w:rsidR="00DF6239" w:rsidRPr="00026EC1" w:rsidRDefault="00275751" w:rsidP="00A64613">
      <w:pPr>
        <w:keepNext w:val="0"/>
        <w:tabs>
          <w:tab w:val="left" w:pos="567"/>
        </w:tabs>
        <w:ind w:left="567" w:hanging="567"/>
      </w:pPr>
      <w:r w:rsidRPr="00026EC1">
        <w:t>b)</w:t>
      </w:r>
      <w:r w:rsidRPr="00026EC1">
        <w:tab/>
      </w:r>
      <w:r w:rsidR="00DF6239" w:rsidRPr="00026EC1">
        <w:t xml:space="preserve">transmet au Bureau de placement, au plus tard le </w:t>
      </w:r>
      <w:r w:rsidR="00DF6239" w:rsidRPr="00026EC1">
        <w:rPr>
          <w:bCs/>
        </w:rPr>
        <w:t>31 mai</w:t>
      </w:r>
      <w:r w:rsidR="00DF6239" w:rsidRPr="00026EC1">
        <w:t>, la liste des noms des enseignantes et enseignants mis en disponibilité, l</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en cours ainsi que les autres renseignements demandés par celui</w:t>
      </w:r>
      <w:r w:rsidR="00984A6F">
        <w:noBreakHyphen/>
      </w:r>
      <w:r w:rsidR="00DF6239" w:rsidRPr="00026EC1">
        <w:t>ci;</w:t>
      </w:r>
    </w:p>
    <w:p w14:paraId="69F84BD8" w14:textId="77777777" w:rsidR="00DF6239" w:rsidRPr="00026EC1" w:rsidRDefault="00DF6239" w:rsidP="00A64613">
      <w:pPr>
        <w:keepNext w:val="0"/>
      </w:pPr>
    </w:p>
    <w:p w14:paraId="75827A01" w14:textId="77777777" w:rsidR="00DF6239" w:rsidRPr="00026EC1" w:rsidRDefault="00275751" w:rsidP="00A64613">
      <w:pPr>
        <w:keepNext w:val="0"/>
        <w:tabs>
          <w:tab w:val="left" w:pos="567"/>
        </w:tabs>
        <w:ind w:left="567" w:hanging="567"/>
      </w:pPr>
      <w:r w:rsidRPr="00026EC1">
        <w:t>c)</w:t>
      </w:r>
      <w:r w:rsidRPr="00026EC1">
        <w:tab/>
      </w:r>
      <w:r w:rsidR="00DF6239" w:rsidRPr="00026EC1">
        <w:t xml:space="preserve">transmet au Bureau de placement, au plus tard le </w:t>
      </w:r>
      <w:r w:rsidR="00DF6239" w:rsidRPr="00026EC1">
        <w:rPr>
          <w:bCs/>
        </w:rPr>
        <w:t>31 mai</w:t>
      </w:r>
      <w:r w:rsidR="00DF6239" w:rsidRPr="00026EC1">
        <w:t>, la liste des postes d</w:t>
      </w:r>
      <w:r w:rsidR="004A41E4" w:rsidRPr="00026EC1">
        <w:t>’</w:t>
      </w:r>
      <w:r w:rsidR="00DF6239" w:rsidRPr="00026EC1">
        <w:t>enseignement disponibles à cette date pour l</w:t>
      </w:r>
      <w:r w:rsidR="004A41E4" w:rsidRPr="00026EC1">
        <w:t>’</w:t>
      </w:r>
      <w:r w:rsidR="00DF6239" w:rsidRPr="00026EC1">
        <w:t>année d</w:t>
      </w:r>
      <w:r w:rsidR="004A41E4" w:rsidRPr="00026EC1">
        <w:t>’</w:t>
      </w:r>
      <w:r w:rsidR="00DF6239" w:rsidRPr="00026EC1">
        <w:t>enseignement suivante. La même procédure s</w:t>
      </w:r>
      <w:r w:rsidR="004A41E4" w:rsidRPr="00026EC1">
        <w:t>’</w:t>
      </w:r>
      <w:r w:rsidR="00DF6239" w:rsidRPr="00026EC1">
        <w:t>applique jusqu</w:t>
      </w:r>
      <w:r w:rsidR="004A41E4" w:rsidRPr="00026EC1">
        <w:t>’</w:t>
      </w:r>
      <w:r w:rsidR="00DF6239" w:rsidRPr="00026EC1">
        <w:t>au 30 septembre chaque fois que le Collège doit combler un poste;</w:t>
      </w:r>
    </w:p>
    <w:p w14:paraId="298F5EB8" w14:textId="77777777" w:rsidR="00DF6239" w:rsidRPr="00026EC1" w:rsidRDefault="00DF6239" w:rsidP="00A64613">
      <w:pPr>
        <w:keepNext w:val="0"/>
      </w:pPr>
    </w:p>
    <w:p w14:paraId="7C31711D" w14:textId="77777777" w:rsidR="00DF6239" w:rsidRPr="00026EC1" w:rsidRDefault="00275751" w:rsidP="00A64613">
      <w:pPr>
        <w:keepNext w:val="0"/>
        <w:tabs>
          <w:tab w:val="left" w:pos="567"/>
        </w:tabs>
        <w:ind w:left="567" w:hanging="567"/>
      </w:pPr>
      <w:r w:rsidRPr="00026EC1">
        <w:t>d)</w:t>
      </w:r>
      <w:r w:rsidRPr="00026EC1">
        <w:tab/>
      </w:r>
      <w:r w:rsidR="00DF6239" w:rsidRPr="00026EC1">
        <w:t xml:space="preserve">transmet au Bureau de placement, au plus tard le </w:t>
      </w:r>
      <w:r w:rsidR="00DF6239" w:rsidRPr="00026EC1">
        <w:rPr>
          <w:bCs/>
        </w:rPr>
        <w:t>31 mai</w:t>
      </w:r>
      <w:r w:rsidR="00DF6239" w:rsidRPr="00026EC1">
        <w:t>, la liste des charges annuelles de remplacement à temps complet disponibles à cette date pour l</w:t>
      </w:r>
      <w:r w:rsidR="004A41E4" w:rsidRPr="00026EC1">
        <w:t>’</w:t>
      </w:r>
      <w:r w:rsidR="00DF6239" w:rsidRPr="00026EC1">
        <w:t>année d</w:t>
      </w:r>
      <w:r w:rsidR="004A41E4" w:rsidRPr="00026EC1">
        <w:t>’</w:t>
      </w:r>
      <w:r w:rsidR="00DF6239" w:rsidRPr="00026EC1">
        <w:t>enseignement suivante. La même procédure s</w:t>
      </w:r>
      <w:r w:rsidR="004A41E4" w:rsidRPr="00026EC1">
        <w:t>’</w:t>
      </w:r>
      <w:r w:rsidR="00DF6239" w:rsidRPr="00026EC1">
        <w:t>applique jusqu</w:t>
      </w:r>
      <w:r w:rsidR="004A41E4" w:rsidRPr="00026EC1">
        <w:t>’</w:t>
      </w:r>
      <w:r w:rsidR="00DF6239" w:rsidRPr="00026EC1">
        <w:t xml:space="preserve">au </w:t>
      </w:r>
      <w:r w:rsidR="00DF6239" w:rsidRPr="00026EC1">
        <w:rPr>
          <w:bCs/>
        </w:rPr>
        <w:t>5 août</w:t>
      </w:r>
      <w:r w:rsidR="00DF6239" w:rsidRPr="00026EC1">
        <w:t xml:space="preserve"> chaque fois que le Collège doit combler une telle charge </w:t>
      </w:r>
      <w:r w:rsidR="00DF6239" w:rsidRPr="00026EC1">
        <w:rPr>
          <w:bCs/>
        </w:rPr>
        <w:t>à pourvoir;</w:t>
      </w:r>
    </w:p>
    <w:p w14:paraId="0FCD4F30" w14:textId="77777777" w:rsidR="00DF6239" w:rsidRPr="00026EC1" w:rsidRDefault="00DF6239" w:rsidP="00A64613">
      <w:pPr>
        <w:keepNext w:val="0"/>
      </w:pPr>
    </w:p>
    <w:p w14:paraId="52639C68" w14:textId="77777777" w:rsidR="00DF6239" w:rsidRPr="00026EC1" w:rsidRDefault="00275751" w:rsidP="00A64613">
      <w:pPr>
        <w:keepNext w:val="0"/>
        <w:tabs>
          <w:tab w:val="left" w:pos="567"/>
        </w:tabs>
        <w:ind w:left="567" w:hanging="567"/>
      </w:pPr>
      <w:r w:rsidRPr="00026EC1">
        <w:t>e)</w:t>
      </w:r>
      <w:r w:rsidRPr="00026EC1">
        <w:tab/>
      </w:r>
      <w:r w:rsidR="00DF6239" w:rsidRPr="00026EC1">
        <w:t>informe le Bureau de placement de l</w:t>
      </w:r>
      <w:r w:rsidR="004A41E4" w:rsidRPr="00026EC1">
        <w:t>’</w:t>
      </w:r>
      <w:r w:rsidR="00DF6239" w:rsidRPr="00026EC1">
        <w:t>acceptation d</w:t>
      </w:r>
      <w:r w:rsidR="004A41E4" w:rsidRPr="00026EC1">
        <w:t>’</w:t>
      </w:r>
      <w:r w:rsidR="00DF6239" w:rsidRPr="00026EC1">
        <w:t>un poste par une enseignante ou un enseignant du Collège inscrit au Bureau de placement;</w:t>
      </w:r>
    </w:p>
    <w:p w14:paraId="527435EB" w14:textId="77777777" w:rsidR="00DF6239" w:rsidRPr="00026EC1" w:rsidRDefault="00DF6239" w:rsidP="00A64613">
      <w:pPr>
        <w:pStyle w:val="ListParagraph"/>
        <w:suppressAutoHyphens/>
      </w:pPr>
    </w:p>
    <w:p w14:paraId="4F45670A" w14:textId="77777777" w:rsidR="00DF6239" w:rsidRPr="00026EC1" w:rsidRDefault="00275751" w:rsidP="00A64613">
      <w:pPr>
        <w:keepNext w:val="0"/>
        <w:tabs>
          <w:tab w:val="left" w:pos="567"/>
        </w:tabs>
        <w:ind w:left="567" w:hanging="567"/>
      </w:pPr>
      <w:r w:rsidRPr="00026EC1">
        <w:t>f)</w:t>
      </w:r>
      <w:r w:rsidRPr="00026EC1">
        <w:tab/>
      </w:r>
      <w:r w:rsidR="00DF6239" w:rsidRPr="00026EC1">
        <w:t>informe le Bureau de placement de l</w:t>
      </w:r>
      <w:r w:rsidR="004A41E4" w:rsidRPr="00026EC1">
        <w:t>’</w:t>
      </w:r>
      <w:r w:rsidR="00DF6239" w:rsidRPr="00026EC1">
        <w:t>acceptation ou du refus d</w:t>
      </w:r>
      <w:r w:rsidR="004A41E4" w:rsidRPr="00026EC1">
        <w:t>’</w:t>
      </w:r>
      <w:r w:rsidR="00DF6239" w:rsidRPr="00026EC1">
        <w:t>une enseignante ou d</w:t>
      </w:r>
      <w:r w:rsidR="004A41E4" w:rsidRPr="00026EC1">
        <w:t>’</w:t>
      </w:r>
      <w:r w:rsidR="00DF6239" w:rsidRPr="00026EC1">
        <w:t>un enseignant référé par le Bureau de placement;</w:t>
      </w:r>
    </w:p>
    <w:p w14:paraId="348ECF56" w14:textId="77777777" w:rsidR="00DF6239" w:rsidRPr="00026EC1" w:rsidRDefault="00DF6239" w:rsidP="00A64613">
      <w:pPr>
        <w:keepNext w:val="0"/>
      </w:pPr>
    </w:p>
    <w:p w14:paraId="65B4F4E0" w14:textId="11D71E76" w:rsidR="00DF6239" w:rsidRPr="00026EC1" w:rsidRDefault="00275751" w:rsidP="00A64613">
      <w:pPr>
        <w:keepNext w:val="0"/>
        <w:tabs>
          <w:tab w:val="left" w:pos="567"/>
        </w:tabs>
        <w:ind w:left="567" w:hanging="567"/>
      </w:pPr>
      <w:r w:rsidRPr="00026EC1">
        <w:t>g)</w:t>
      </w:r>
      <w:r w:rsidRPr="00026EC1">
        <w:tab/>
      </w:r>
      <w:r w:rsidR="00DF6239" w:rsidRPr="00026EC1">
        <w:t>informe le Bureau de placement du nom de l</w:t>
      </w:r>
      <w:r w:rsidR="004A41E4" w:rsidRPr="00026EC1">
        <w:t>’</w:t>
      </w:r>
      <w:r w:rsidR="00DF6239" w:rsidRPr="00026EC1">
        <w:t>enseignante ou de l</w:t>
      </w:r>
      <w:r w:rsidR="004A41E4" w:rsidRPr="00026EC1">
        <w:t>’</w:t>
      </w:r>
      <w:r w:rsidR="00DF6239" w:rsidRPr="00026EC1">
        <w:t>enseignant mis en disponibilité visé par le cinquième (5</w:t>
      </w:r>
      <w:r w:rsidR="00DF6239" w:rsidRPr="00026EC1">
        <w:rPr>
          <w:vertAlign w:val="superscript"/>
        </w:rPr>
        <w:t>e</w:t>
      </w:r>
      <w:r w:rsidR="00DF6239" w:rsidRPr="00026EC1">
        <w:t>) ou le sixième (6</w:t>
      </w:r>
      <w:r w:rsidR="00DF6239" w:rsidRPr="00026EC1">
        <w:rPr>
          <w:vertAlign w:val="superscript"/>
        </w:rPr>
        <w:t>e</w:t>
      </w:r>
      <w:r w:rsidR="00DF6239" w:rsidRPr="00026EC1">
        <w:t>) paragraphe de l</w:t>
      </w:r>
      <w:r w:rsidR="004A41E4" w:rsidRPr="00026EC1">
        <w:t>’</w:t>
      </w:r>
      <w:r w:rsidR="00DF6239" w:rsidRPr="00026EC1">
        <w:t>alinéa D) de la clause 5</w:t>
      </w:r>
      <w:r w:rsidR="00984A6F">
        <w:noBreakHyphen/>
      </w:r>
      <w:r w:rsidR="00DF6239" w:rsidRPr="00026EC1">
        <w:t>4.07 ou par le troisième (3</w:t>
      </w:r>
      <w:r w:rsidR="00DF6239" w:rsidRPr="00026EC1">
        <w:rPr>
          <w:vertAlign w:val="superscript"/>
        </w:rPr>
        <w:t>e</w:t>
      </w:r>
      <w:r w:rsidR="00DF6239" w:rsidRPr="00026EC1">
        <w:t>) paragraphe de l</w:t>
      </w:r>
      <w:r w:rsidR="004A41E4" w:rsidRPr="00026EC1">
        <w:t>’</w:t>
      </w:r>
      <w:r w:rsidR="00DF6239" w:rsidRPr="00026EC1">
        <w:t>alinéa</w:t>
      </w:r>
      <w:r w:rsidR="00757E12" w:rsidRPr="00026EC1">
        <w:t> </w:t>
      </w:r>
      <w:r w:rsidR="00DF6239" w:rsidRPr="00026EC1">
        <w:t>H de la clause</w:t>
      </w:r>
      <w:r w:rsidR="0061766F" w:rsidRPr="00026EC1">
        <w:t> </w:t>
      </w:r>
      <w:r w:rsidR="00DF6239" w:rsidRPr="00026EC1">
        <w:t>5</w:t>
      </w:r>
      <w:r w:rsidR="00984A6F">
        <w:noBreakHyphen/>
      </w:r>
      <w:r w:rsidR="00DF6239" w:rsidRPr="00026EC1">
        <w:t>4.07;</w:t>
      </w:r>
    </w:p>
    <w:p w14:paraId="6A231F06" w14:textId="77777777" w:rsidR="00DF6239" w:rsidRPr="00026EC1" w:rsidRDefault="00DF6239" w:rsidP="00A64613">
      <w:pPr>
        <w:keepNext w:val="0"/>
      </w:pPr>
    </w:p>
    <w:p w14:paraId="606A075D" w14:textId="77777777" w:rsidR="00DF6239" w:rsidRPr="00026EC1" w:rsidRDefault="00275751" w:rsidP="00A64613">
      <w:pPr>
        <w:keepNext w:val="0"/>
        <w:tabs>
          <w:tab w:val="left" w:pos="567"/>
        </w:tabs>
        <w:ind w:left="567" w:hanging="567"/>
      </w:pPr>
      <w:r w:rsidRPr="00026EC1">
        <w:t>h)</w:t>
      </w:r>
      <w:r w:rsidRPr="00026EC1">
        <w:tab/>
      </w:r>
      <w:r w:rsidR="00DF6239" w:rsidRPr="00026EC1">
        <w:t>informe le Bureau de placement de l</w:t>
      </w:r>
      <w:r w:rsidR="004A41E4" w:rsidRPr="00026EC1">
        <w:t>’</w:t>
      </w:r>
      <w:r w:rsidR="00DF6239" w:rsidRPr="00026EC1">
        <w:t>acceptation d</w:t>
      </w:r>
      <w:r w:rsidR="004A41E4" w:rsidRPr="00026EC1">
        <w:t>’</w:t>
      </w:r>
      <w:r w:rsidR="00DF6239" w:rsidRPr="00026EC1">
        <w:t>une charge annuelle de remplacement ou d</w:t>
      </w:r>
      <w:r w:rsidR="004A41E4" w:rsidRPr="00026EC1">
        <w:t>’</w:t>
      </w:r>
      <w:r w:rsidR="00DF6239" w:rsidRPr="00026EC1">
        <w:t>une charge à temps complet à la formation continue par une enseignante ou un enseignant du Collège inscrit au Bureau de placement.</w:t>
      </w:r>
    </w:p>
    <w:p w14:paraId="5EA960FC" w14:textId="77777777" w:rsidR="00DF6239" w:rsidRPr="00026EC1" w:rsidRDefault="00DF6239" w:rsidP="00A64613">
      <w:pPr>
        <w:keepNext w:val="0"/>
      </w:pPr>
    </w:p>
    <w:p w14:paraId="22FA9A76" w14:textId="017883B3" w:rsidR="00DF6239" w:rsidRPr="00026EC1" w:rsidRDefault="00DF6239" w:rsidP="00935226">
      <w:pPr>
        <w:pStyle w:val="NUMRODECLAUSE"/>
        <w:keepNext w:val="0"/>
        <w:tabs>
          <w:tab w:val="clear" w:pos="868"/>
          <w:tab w:val="left" w:pos="993"/>
        </w:tabs>
        <w:ind w:left="851" w:hanging="851"/>
      </w:pPr>
      <w:r w:rsidRPr="00026EC1">
        <w:t>5</w:t>
      </w:r>
      <w:r w:rsidR="00984A6F">
        <w:noBreakHyphen/>
      </w:r>
      <w:r w:rsidRPr="00026EC1">
        <w:t>4.10</w:t>
      </w:r>
      <w:r w:rsidR="00CC0F7A">
        <w:tab/>
      </w:r>
      <w:r w:rsidR="00935226" w:rsidRPr="00316277">
        <w:rPr>
          <w:bCs/>
          <w:u w:val="single"/>
        </w:rPr>
        <w:t>Dates auxquelles le Collège peut procéder à l’engagement et obligations d’inscriptions au Bureau de placement par le Collège</w:t>
      </w:r>
    </w:p>
    <w:p w14:paraId="03045E76" w14:textId="77777777" w:rsidR="00DF6239" w:rsidRPr="00026EC1" w:rsidRDefault="00DF6239" w:rsidP="00A64613">
      <w:pPr>
        <w:keepNext w:val="0"/>
      </w:pPr>
      <w:r w:rsidRPr="00026EC1">
        <w:t>À compter du 27 juin, le Collège peut combler les postes disponibles et les charges annuelles de remplacement à temps complet pour l</w:t>
      </w:r>
      <w:r w:rsidR="004A41E4" w:rsidRPr="00026EC1">
        <w:t>’</w:t>
      </w:r>
      <w:r w:rsidRPr="00026EC1">
        <w:t>année d</w:t>
      </w:r>
      <w:r w:rsidR="004A41E4" w:rsidRPr="00026EC1">
        <w:t>’</w:t>
      </w:r>
      <w:r w:rsidRPr="00026EC1">
        <w:t>enseignement suivante, conformément au processus d</w:t>
      </w:r>
      <w:r w:rsidR="004A41E4" w:rsidRPr="00026EC1">
        <w:t>’</w:t>
      </w:r>
      <w:r w:rsidRPr="00026EC1">
        <w:t>engagement prévu à la convention collective, sous réserve des stipulations du présent article.</w:t>
      </w:r>
    </w:p>
    <w:p w14:paraId="59A8942E" w14:textId="77777777" w:rsidR="00DF6239" w:rsidRPr="00026EC1" w:rsidRDefault="00355AFE" w:rsidP="00A64613">
      <w:pPr>
        <w:keepNext w:val="0"/>
      </w:pPr>
      <w:r>
        <w:br w:type="page"/>
      </w:r>
    </w:p>
    <w:p w14:paraId="33499536" w14:textId="77777777" w:rsidR="00DF6239" w:rsidRPr="00026EC1" w:rsidRDefault="00DF6239" w:rsidP="00A64613">
      <w:pPr>
        <w:keepNext w:val="0"/>
      </w:pPr>
      <w:r w:rsidRPr="00026EC1">
        <w:t>Toutefois, à compter du 20 juin, le Collège peut combler un poste disponible ou une charge annuelle de remplacement à temps complet si le Bureau de placement l</w:t>
      </w:r>
      <w:r w:rsidR="004A41E4" w:rsidRPr="00026EC1">
        <w:t>’</w:t>
      </w:r>
      <w:r w:rsidRPr="00026EC1">
        <w:t>a informé qu</w:t>
      </w:r>
      <w:r w:rsidR="004A41E4" w:rsidRPr="00026EC1">
        <w:t>’</w:t>
      </w:r>
      <w:r w:rsidRPr="00026EC1">
        <w:t>aucune enseignante ni aucun enseignant mis en disponibilité n</w:t>
      </w:r>
      <w:r w:rsidR="004A41E4" w:rsidRPr="00026EC1">
        <w:t>’</w:t>
      </w:r>
      <w:r w:rsidRPr="00026EC1">
        <w:t>est disponible pour combler le poste ou la charge annuelle de remplacement.</w:t>
      </w:r>
    </w:p>
    <w:p w14:paraId="28EE03B2" w14:textId="77777777" w:rsidR="00DF6239" w:rsidRPr="00026EC1" w:rsidRDefault="00DF6239" w:rsidP="00A64613">
      <w:pPr>
        <w:keepNext w:val="0"/>
      </w:pPr>
    </w:p>
    <w:p w14:paraId="4E109DA7" w14:textId="77777777" w:rsidR="00355AFE" w:rsidRDefault="00DF6239" w:rsidP="00A64613">
      <w:pPr>
        <w:keepNext w:val="0"/>
      </w:pPr>
      <w:r w:rsidRPr="00026EC1">
        <w:t>Le Collège ne peut engager d</w:t>
      </w:r>
      <w:r w:rsidR="004A41E4" w:rsidRPr="00026EC1">
        <w:t>’</w:t>
      </w:r>
      <w:r w:rsidRPr="00026EC1">
        <w:t>enseignantes ou d</w:t>
      </w:r>
      <w:r w:rsidR="004A41E4" w:rsidRPr="00026EC1">
        <w:t>’</w:t>
      </w:r>
      <w:r w:rsidRPr="00026EC1">
        <w:t>enseignants pour combler les postes disponibles et les charges annuelles de remplacement à temps complet que si ces postes et ces charges sont inscrits au Bureau de placement.</w:t>
      </w:r>
    </w:p>
    <w:p w14:paraId="6E7CEF46" w14:textId="77777777" w:rsidR="00355AFE" w:rsidRDefault="00355AFE" w:rsidP="00A64613">
      <w:pPr>
        <w:keepNext w:val="0"/>
      </w:pPr>
    </w:p>
    <w:p w14:paraId="49F447F1" w14:textId="5AFAF40C" w:rsidR="00DF6239" w:rsidRPr="000457D7" w:rsidRDefault="00DF6239" w:rsidP="00A64613">
      <w:pPr>
        <w:pStyle w:val="NUMRODECLAUSE"/>
        <w:keepNext w:val="0"/>
      </w:pPr>
      <w:r w:rsidRPr="000457D7">
        <w:t>5</w:t>
      </w:r>
      <w:r w:rsidR="00984A6F">
        <w:noBreakHyphen/>
      </w:r>
      <w:r w:rsidRPr="000457D7">
        <w:t>4.11</w:t>
      </w:r>
      <w:r w:rsidRPr="000457D7">
        <w:tab/>
      </w:r>
      <w:r w:rsidR="00161863" w:rsidRPr="00316277">
        <w:rPr>
          <w:u w:val="single"/>
        </w:rPr>
        <w:t>Fonction</w:t>
      </w:r>
      <w:r w:rsidR="00B9550F" w:rsidRPr="00316277">
        <w:rPr>
          <w:u w:val="single"/>
        </w:rPr>
        <w:t>s</w:t>
      </w:r>
      <w:r w:rsidR="00161863" w:rsidRPr="00316277">
        <w:rPr>
          <w:u w:val="single"/>
        </w:rPr>
        <w:t xml:space="preserve"> du</w:t>
      </w:r>
      <w:r w:rsidR="00161863" w:rsidRPr="00161863">
        <w:rPr>
          <w:u w:val="single"/>
        </w:rPr>
        <w:t xml:space="preserve"> </w:t>
      </w:r>
      <w:r w:rsidRPr="00147EA0">
        <w:rPr>
          <w:u w:val="single"/>
        </w:rPr>
        <w:t>Bureau de placement</w:t>
      </w:r>
    </w:p>
    <w:p w14:paraId="3B78B79A" w14:textId="1D91E34F" w:rsidR="00DF6239" w:rsidRPr="00026EC1" w:rsidRDefault="00DF6239" w:rsidP="00A64613">
      <w:pPr>
        <w:keepNext w:val="0"/>
      </w:pPr>
      <w:r w:rsidRPr="00026EC1">
        <w:t>Le Bureau de placement est un organisme patronal qui effectue les opérations requises au placement des enseignantes et enseignants du réseau collégial conformément au présent article notamment, il remplit les fonctions suivantes</w:t>
      </w:r>
      <w:r w:rsidR="00D8581B">
        <w:t> :</w:t>
      </w:r>
    </w:p>
    <w:p w14:paraId="21285AA0" w14:textId="77777777" w:rsidR="00DF6239" w:rsidRPr="00026EC1" w:rsidRDefault="00DF6239" w:rsidP="00A64613">
      <w:pPr>
        <w:keepNext w:val="0"/>
      </w:pPr>
    </w:p>
    <w:p w14:paraId="24297123" w14:textId="77777777" w:rsidR="00DF6239" w:rsidRPr="00026EC1" w:rsidRDefault="00275751" w:rsidP="00A64613">
      <w:pPr>
        <w:keepNext w:val="0"/>
        <w:tabs>
          <w:tab w:val="left" w:pos="567"/>
        </w:tabs>
        <w:snapToGrid w:val="0"/>
        <w:ind w:left="567" w:hanging="567"/>
      </w:pPr>
      <w:r w:rsidRPr="00026EC1">
        <w:t>a)</w:t>
      </w:r>
      <w:r w:rsidRPr="00026EC1">
        <w:tab/>
      </w:r>
      <w:r w:rsidR="00DF6239" w:rsidRPr="00026EC1">
        <w:t>il dresse les listes et recueille les renseignements nécessaires à l</w:t>
      </w:r>
      <w:r w:rsidR="004A41E4" w:rsidRPr="00026EC1">
        <w:t>’</w:t>
      </w:r>
      <w:r w:rsidR="00DF6239" w:rsidRPr="00026EC1">
        <w:t xml:space="preserve">application du présent article; </w:t>
      </w:r>
    </w:p>
    <w:p w14:paraId="64E60A5A" w14:textId="77777777" w:rsidR="00DF6239" w:rsidRPr="00026EC1" w:rsidRDefault="00DF6239" w:rsidP="00A64613">
      <w:pPr>
        <w:keepNext w:val="0"/>
      </w:pPr>
    </w:p>
    <w:p w14:paraId="68281933" w14:textId="40616428" w:rsidR="00DF6239" w:rsidRPr="00026EC1" w:rsidRDefault="00275751" w:rsidP="00A64613">
      <w:pPr>
        <w:keepNext w:val="0"/>
        <w:tabs>
          <w:tab w:val="left" w:pos="567"/>
        </w:tabs>
        <w:snapToGrid w:val="0"/>
        <w:ind w:left="567" w:hanging="567"/>
      </w:pPr>
      <w:r w:rsidRPr="00026EC1">
        <w:t>b)</w:t>
      </w:r>
      <w:r w:rsidRPr="00026EC1">
        <w:tab/>
      </w:r>
      <w:r w:rsidR="00DF6239" w:rsidRPr="00026EC1">
        <w:t>il transmet, à l</w:t>
      </w:r>
      <w:r w:rsidR="004A41E4" w:rsidRPr="00026EC1">
        <w:t>’</w:t>
      </w:r>
      <w:r w:rsidR="00DF6239" w:rsidRPr="00026EC1">
        <w:t>enseignante ou l</w:t>
      </w:r>
      <w:r w:rsidR="004A41E4" w:rsidRPr="00026EC1">
        <w:t>’</w:t>
      </w:r>
      <w:r w:rsidR="00DF6239" w:rsidRPr="00026EC1">
        <w:t>enseignant mis en disponibilité et à l</w:t>
      </w:r>
      <w:r w:rsidR="004A41E4" w:rsidRPr="00026EC1">
        <w:t>’</w:t>
      </w:r>
      <w:r w:rsidR="00DF6239" w:rsidRPr="00026EC1">
        <w:t>enseignante ou l</w:t>
      </w:r>
      <w:r w:rsidR="004A41E4" w:rsidRPr="00026EC1">
        <w:t>’</w:t>
      </w:r>
      <w:r w:rsidR="00DF6239" w:rsidRPr="00026EC1">
        <w:t>enseignant visé à l</w:t>
      </w:r>
      <w:r w:rsidR="004A41E4" w:rsidRPr="00026EC1">
        <w:t>’</w:t>
      </w:r>
      <w:r w:rsidR="00DF6239" w:rsidRPr="00026EC1">
        <w:t>alinéa b) de la clause 5</w:t>
      </w:r>
      <w:r w:rsidR="00984A6F">
        <w:noBreakHyphen/>
      </w:r>
      <w:r w:rsidR="00DF6239" w:rsidRPr="00026EC1">
        <w:t>4.08, les listes prévues aux sous</w:t>
      </w:r>
      <w:r w:rsidR="00984A6F">
        <w:noBreakHyphen/>
      </w:r>
      <w:r w:rsidR="00DF6239" w:rsidRPr="00026EC1">
        <w:t>alinéas 1) et 2) de l</w:t>
      </w:r>
      <w:r w:rsidR="004A41E4" w:rsidRPr="00026EC1">
        <w:t>’</w:t>
      </w:r>
      <w:r w:rsidR="00DF6239" w:rsidRPr="00026EC1">
        <w:t>alinéa B) et à l</w:t>
      </w:r>
      <w:r w:rsidR="004A41E4" w:rsidRPr="00026EC1">
        <w:t>’</w:t>
      </w:r>
      <w:r w:rsidR="00DF6239" w:rsidRPr="00026EC1">
        <w:t>alinéa C) de la clause 5</w:t>
      </w:r>
      <w:r w:rsidR="00984A6F">
        <w:noBreakHyphen/>
      </w:r>
      <w:r w:rsidR="00DF6239" w:rsidRPr="00026EC1">
        <w:t>4.07 et, au même moment, les rend disponibles sur un site Internet; il transmet au Syndicat, à la</w:t>
      </w:r>
      <w:r w:rsidR="00643016">
        <w:t> </w:t>
      </w:r>
      <w:r w:rsidR="00DF6239" w:rsidRPr="00026EC1">
        <w:t>FNEEQ (CSN), au Collège, à la Fédération des cégeps et au Ministère, les listes et les renseignements recueillis prévus au présent article; de plus, il transmet le résultat de toutes les opérations de replacement au plus tard le 15 novembre à l</w:t>
      </w:r>
      <w:r w:rsidR="004A41E4" w:rsidRPr="00026EC1">
        <w:t>’</w:t>
      </w:r>
      <w:r w:rsidR="00DF6239" w:rsidRPr="00026EC1">
        <w:t>enseignante ou l</w:t>
      </w:r>
      <w:r w:rsidR="004A41E4" w:rsidRPr="00026EC1">
        <w:t>’</w:t>
      </w:r>
      <w:r w:rsidR="00DF6239" w:rsidRPr="00026EC1">
        <w:t>enseignant mis en disponibilité ainsi qu</w:t>
      </w:r>
      <w:r w:rsidR="004A41E4" w:rsidRPr="00026EC1">
        <w:t>’</w:t>
      </w:r>
      <w:r w:rsidR="00DF6239" w:rsidRPr="00026EC1">
        <w:t>aux organismes ci</w:t>
      </w:r>
      <w:r w:rsidR="00984A6F">
        <w:noBreakHyphen/>
      </w:r>
      <w:r w:rsidR="00DF6239" w:rsidRPr="00026EC1">
        <w:t>haut mentionnés; ce bilan contient les choix, les refus et les replacements des enseignantes et enseignants mis en disponibilité;</w:t>
      </w:r>
    </w:p>
    <w:p w14:paraId="655BB90E" w14:textId="77777777" w:rsidR="00DF6239" w:rsidRPr="00026EC1" w:rsidRDefault="00DF6239" w:rsidP="00A64613">
      <w:pPr>
        <w:keepNext w:val="0"/>
      </w:pPr>
    </w:p>
    <w:p w14:paraId="0AD72DC6" w14:textId="4DB939E3" w:rsidR="00DF6239" w:rsidRPr="00026EC1" w:rsidRDefault="00275751" w:rsidP="00A64613">
      <w:pPr>
        <w:keepNext w:val="0"/>
        <w:tabs>
          <w:tab w:val="left" w:pos="567"/>
        </w:tabs>
        <w:snapToGrid w:val="0"/>
        <w:ind w:left="567" w:hanging="567"/>
      </w:pPr>
      <w:r w:rsidRPr="00026EC1">
        <w:t>c)</w:t>
      </w:r>
      <w:r w:rsidRPr="00026EC1">
        <w:tab/>
      </w:r>
      <w:r w:rsidR="00DF6239" w:rsidRPr="00026EC1">
        <w:t>aux fins de replacement des enseignantes et enseignants mis en disponibilité, il fait la vérification et, s</w:t>
      </w:r>
      <w:r w:rsidR="004A41E4" w:rsidRPr="00026EC1">
        <w:t>’</w:t>
      </w:r>
      <w:r w:rsidR="00DF6239" w:rsidRPr="00026EC1">
        <w:t>il y a lieu, la correction de l</w:t>
      </w:r>
      <w:r w:rsidR="004A41E4" w:rsidRPr="00026EC1">
        <w:t>’</w:t>
      </w:r>
      <w:r w:rsidR="00DF6239" w:rsidRPr="00026EC1">
        <w:t>ancienneté en s</w:t>
      </w:r>
      <w:r w:rsidR="004A41E4" w:rsidRPr="00026EC1">
        <w:t>’</w:t>
      </w:r>
      <w:r w:rsidR="00DF6239" w:rsidRPr="00026EC1">
        <w:t>assurant que le calcul de l</w:t>
      </w:r>
      <w:r w:rsidR="004A41E4" w:rsidRPr="00026EC1">
        <w:t>’</w:t>
      </w:r>
      <w:r w:rsidR="00DF6239" w:rsidRPr="00026EC1">
        <w:t>ancienneté reconnue à une enseignante ou un enseignant est conforme aux règles de la convention collective en vigueur au moment où cette ancienneté a été acquise. Il applique, le cas échéant, les dispositions de l</w:t>
      </w:r>
      <w:r w:rsidR="004A41E4" w:rsidRPr="00026EC1">
        <w:t>’</w:t>
      </w:r>
      <w:r w:rsidR="00242EC4" w:rsidRPr="00026EC1">
        <w:t>A</w:t>
      </w:r>
      <w:r w:rsidR="00DF6239" w:rsidRPr="00026EC1">
        <w:t>nnexe II</w:t>
      </w:r>
      <w:r w:rsidR="00984A6F">
        <w:noBreakHyphen/>
      </w:r>
      <w:r w:rsidR="00DF6239" w:rsidRPr="00026EC1">
        <w:t>5;</w:t>
      </w:r>
    </w:p>
    <w:p w14:paraId="7C03B6AE" w14:textId="77777777" w:rsidR="00DF6239" w:rsidRPr="00026EC1" w:rsidRDefault="00DF6239" w:rsidP="00A64613">
      <w:pPr>
        <w:keepNext w:val="0"/>
      </w:pPr>
    </w:p>
    <w:p w14:paraId="3584226E" w14:textId="77777777" w:rsidR="00DF6239" w:rsidRPr="00026EC1" w:rsidRDefault="00275751" w:rsidP="00A64613">
      <w:pPr>
        <w:keepNext w:val="0"/>
        <w:tabs>
          <w:tab w:val="left" w:pos="567"/>
        </w:tabs>
        <w:snapToGrid w:val="0"/>
        <w:ind w:left="567" w:hanging="567"/>
      </w:pPr>
      <w:r w:rsidRPr="00026EC1">
        <w:t>d)</w:t>
      </w:r>
      <w:r w:rsidRPr="00026EC1">
        <w:tab/>
      </w:r>
      <w:r w:rsidR="00DF6239" w:rsidRPr="00026EC1">
        <w:t>de plus et aux mêmes fins, dans le cas des disciplines à spécialités multiples, il établit, à l</w:t>
      </w:r>
      <w:r w:rsidR="004A41E4" w:rsidRPr="00026EC1">
        <w:t>’</w:t>
      </w:r>
      <w:r w:rsidR="00DF6239" w:rsidRPr="00026EC1">
        <w:t>intérieur d</w:t>
      </w:r>
      <w:r w:rsidR="004A41E4" w:rsidRPr="00026EC1">
        <w:t>’</w:t>
      </w:r>
      <w:r w:rsidR="00DF6239" w:rsidRPr="00026EC1">
        <w:t>une discipline, les spécialités qu</w:t>
      </w:r>
      <w:r w:rsidR="004A41E4" w:rsidRPr="00026EC1">
        <w:t>’</w:t>
      </w:r>
      <w:r w:rsidR="00DF6239" w:rsidRPr="00026EC1">
        <w:t>une enseignante ou un enseignant dont le nom est inscrit sur la liste est apte à enseigner;</w:t>
      </w:r>
    </w:p>
    <w:p w14:paraId="29299B1F" w14:textId="77777777" w:rsidR="00DF6239" w:rsidRPr="00026EC1" w:rsidRDefault="00DF6239" w:rsidP="00A64613">
      <w:pPr>
        <w:keepNext w:val="0"/>
      </w:pPr>
    </w:p>
    <w:p w14:paraId="3C30C0D7" w14:textId="3F30CB01" w:rsidR="00DF6239" w:rsidRPr="00026EC1" w:rsidRDefault="00275751" w:rsidP="00A64613">
      <w:pPr>
        <w:keepNext w:val="0"/>
        <w:tabs>
          <w:tab w:val="left" w:pos="567"/>
        </w:tabs>
        <w:snapToGrid w:val="0"/>
        <w:ind w:left="567" w:hanging="567"/>
      </w:pPr>
      <w:r w:rsidRPr="00026EC1">
        <w:t>e)</w:t>
      </w:r>
      <w:r w:rsidRPr="00026EC1">
        <w:tab/>
      </w:r>
      <w:r w:rsidR="00DF6239" w:rsidRPr="00026EC1">
        <w:t>il transmet au comité paritaire de placement le résultat des vérifications de l</w:t>
      </w:r>
      <w:r w:rsidR="004A41E4" w:rsidRPr="00026EC1">
        <w:t>’</w:t>
      </w:r>
      <w:r w:rsidR="00DF6239" w:rsidRPr="00026EC1">
        <w:t>ancienneté et des corrections effectuées de même que les résultats concernant l</w:t>
      </w:r>
      <w:r w:rsidR="004A41E4" w:rsidRPr="00026EC1">
        <w:t>’</w:t>
      </w:r>
      <w:r w:rsidR="00DF6239" w:rsidRPr="00026EC1">
        <w:t>établissement des spécialités à l</w:t>
      </w:r>
      <w:r w:rsidR="004A41E4" w:rsidRPr="00026EC1">
        <w:t>’</w:t>
      </w:r>
      <w:r w:rsidR="00DF6239" w:rsidRPr="00026EC1">
        <w:t>intérieur d</w:t>
      </w:r>
      <w:r w:rsidR="004A41E4" w:rsidRPr="00026EC1">
        <w:t>’</w:t>
      </w:r>
      <w:r w:rsidR="00DF6239" w:rsidRPr="00026EC1">
        <w:t>une discipline. Le comité paritaire examine ces résultats et se prononce sur ceux</w:t>
      </w:r>
      <w:r w:rsidR="00984A6F">
        <w:noBreakHyphen/>
      </w:r>
      <w:r w:rsidR="00DF6239" w:rsidRPr="00026EC1">
        <w:t>ci. À défaut d</w:t>
      </w:r>
      <w:r w:rsidR="004A41E4" w:rsidRPr="00026EC1">
        <w:t>’</w:t>
      </w:r>
      <w:r w:rsidR="00DF6239" w:rsidRPr="00026EC1">
        <w:t>accord, la présidente ou le président rend une décision sans appel.</w:t>
      </w:r>
    </w:p>
    <w:p w14:paraId="3562C402" w14:textId="755DBB2A" w:rsidR="00DF6239" w:rsidRPr="00026EC1" w:rsidRDefault="00355AFE" w:rsidP="00A64613">
      <w:pPr>
        <w:pStyle w:val="NUMRODECLAUSE"/>
        <w:keepNext w:val="0"/>
      </w:pPr>
      <w:r>
        <w:br w:type="page"/>
      </w:r>
      <w:r w:rsidR="00DF6239" w:rsidRPr="00355AFE">
        <w:t>5</w:t>
      </w:r>
      <w:r w:rsidR="00984A6F">
        <w:noBreakHyphen/>
      </w:r>
      <w:r w:rsidR="00DF6239" w:rsidRPr="00355AFE">
        <w:t>4.12</w:t>
      </w:r>
      <w:r w:rsidR="00DF6239" w:rsidRPr="00355AFE">
        <w:tab/>
      </w:r>
      <w:r w:rsidR="00DF6239" w:rsidRPr="00147EA0">
        <w:rPr>
          <w:u w:val="single"/>
        </w:rPr>
        <w:t>Comité paritaire de placement</w:t>
      </w:r>
    </w:p>
    <w:p w14:paraId="29065AA4" w14:textId="6308D115" w:rsidR="00DF6239" w:rsidRPr="00026EC1" w:rsidRDefault="00DF6239" w:rsidP="00A64613">
      <w:pPr>
        <w:keepNext w:val="0"/>
      </w:pPr>
      <w:r w:rsidRPr="00026EC1">
        <w:t>Les parties nationales mettent sur pied un comité paritaire de placement</w:t>
      </w:r>
      <w:r w:rsidR="00D8581B">
        <w:t> :</w:t>
      </w:r>
    </w:p>
    <w:p w14:paraId="73D01E37" w14:textId="77777777" w:rsidR="00DF6239" w:rsidRPr="00026EC1" w:rsidRDefault="00DF6239" w:rsidP="00A64613">
      <w:pPr>
        <w:keepNext w:val="0"/>
      </w:pPr>
    </w:p>
    <w:p w14:paraId="12241F9E" w14:textId="2A296376" w:rsidR="00DF6239" w:rsidRPr="00026EC1" w:rsidRDefault="00275751" w:rsidP="00A64613">
      <w:pPr>
        <w:keepNext w:val="0"/>
        <w:tabs>
          <w:tab w:val="left" w:pos="567"/>
        </w:tabs>
        <w:ind w:left="567" w:hanging="567"/>
      </w:pPr>
      <w:r w:rsidRPr="00026EC1">
        <w:t>a)</w:t>
      </w:r>
      <w:r w:rsidRPr="00026EC1">
        <w:tab/>
      </w:r>
      <w:r w:rsidR="00DF6239" w:rsidRPr="00026EC1">
        <w:t>le comité paritaire est formé de représentantes ou représentants de la</w:t>
      </w:r>
      <w:r w:rsidR="00643016">
        <w:t> </w:t>
      </w:r>
      <w:r w:rsidR="00DF6239" w:rsidRPr="00026EC1">
        <w:t>FNEEQ (CSN), du Ministère, de la Fédération des cégeps et de la FEC (CSQ);</w:t>
      </w:r>
    </w:p>
    <w:p w14:paraId="0EDD98CA" w14:textId="77777777" w:rsidR="00DF6239" w:rsidRPr="00026EC1" w:rsidRDefault="00DF6239" w:rsidP="00A64613">
      <w:pPr>
        <w:keepNext w:val="0"/>
      </w:pPr>
    </w:p>
    <w:p w14:paraId="663B2D2F" w14:textId="77777777" w:rsidR="00DF6239" w:rsidRPr="00026EC1" w:rsidRDefault="00275751" w:rsidP="00A64613">
      <w:pPr>
        <w:keepNext w:val="0"/>
        <w:tabs>
          <w:tab w:val="left" w:pos="567"/>
        </w:tabs>
        <w:ind w:left="567" w:hanging="567"/>
      </w:pPr>
      <w:r w:rsidRPr="00026EC1">
        <w:t>b)</w:t>
      </w:r>
      <w:r w:rsidRPr="00026EC1">
        <w:tab/>
      </w:r>
      <w:r w:rsidR="00DF6239" w:rsidRPr="00026EC1">
        <w:t>après l</w:t>
      </w:r>
      <w:r w:rsidR="004A41E4" w:rsidRPr="00026EC1">
        <w:t>’</w:t>
      </w:r>
      <w:r w:rsidR="00DF6239" w:rsidRPr="00026EC1">
        <w:t>entrée en vigueur de la convention collective, les parties au comité s</w:t>
      </w:r>
      <w:r w:rsidR="004A41E4" w:rsidRPr="00026EC1">
        <w:t>’</w:t>
      </w:r>
      <w:r w:rsidR="00DF6239" w:rsidRPr="00026EC1">
        <w:t>entendent sur le choix d</w:t>
      </w:r>
      <w:r w:rsidR="004A41E4" w:rsidRPr="00026EC1">
        <w:t>’</w:t>
      </w:r>
      <w:r w:rsidR="00DF6239" w:rsidRPr="00026EC1">
        <w:t>une présidente ou d</w:t>
      </w:r>
      <w:r w:rsidR="004A41E4" w:rsidRPr="00026EC1">
        <w:t>’</w:t>
      </w:r>
      <w:r w:rsidR="00DF6239" w:rsidRPr="00026EC1">
        <w:t>un président; en cas de démission ou d</w:t>
      </w:r>
      <w:r w:rsidR="004A41E4" w:rsidRPr="00026EC1">
        <w:t>’</w:t>
      </w:r>
      <w:r w:rsidR="00DF6239" w:rsidRPr="00026EC1">
        <w:t>incapacité d</w:t>
      </w:r>
      <w:r w:rsidR="004A41E4" w:rsidRPr="00026EC1">
        <w:t>’</w:t>
      </w:r>
      <w:r w:rsidR="00DF6239" w:rsidRPr="00026EC1">
        <w:t>agir de la présidente ou du président, les parties au comité s</w:t>
      </w:r>
      <w:r w:rsidR="004A41E4" w:rsidRPr="00026EC1">
        <w:t>’</w:t>
      </w:r>
      <w:r w:rsidR="00DF6239" w:rsidRPr="00026EC1">
        <w:t>entendent pour lui trouver une remplaçante ou un remplaçant.</w:t>
      </w:r>
    </w:p>
    <w:p w14:paraId="07415FEF" w14:textId="77777777" w:rsidR="00DF6239" w:rsidRPr="00026EC1" w:rsidRDefault="00DF6239" w:rsidP="00A64613">
      <w:pPr>
        <w:pStyle w:val="Texte1cm"/>
        <w:keepNext w:val="0"/>
      </w:pPr>
    </w:p>
    <w:p w14:paraId="720A10F7" w14:textId="5ACC7989" w:rsidR="00DF6239" w:rsidRPr="00026EC1" w:rsidRDefault="00DF6239" w:rsidP="00A64613">
      <w:pPr>
        <w:pStyle w:val="Texte1cm"/>
        <w:keepNext w:val="0"/>
      </w:pPr>
      <w:r w:rsidRPr="00026EC1">
        <w:t>En cas de mésentente quant au choix de la présidente ou du président dans les quatre</w:t>
      </w:r>
      <w:r w:rsidR="00984A6F">
        <w:noBreakHyphen/>
      </w:r>
      <w:r w:rsidRPr="00026EC1">
        <w:t>vingt</w:t>
      </w:r>
      <w:r w:rsidR="00984A6F">
        <w:noBreakHyphen/>
      </w:r>
      <w:r w:rsidRPr="00026EC1">
        <w:t>dix (90) jours de l</w:t>
      </w:r>
      <w:r w:rsidR="004A41E4" w:rsidRPr="00026EC1">
        <w:t>’</w:t>
      </w:r>
      <w:r w:rsidRPr="00026EC1">
        <w:t>entrée en vigueur de la convention collective, celle</w:t>
      </w:r>
      <w:r w:rsidR="00984A6F">
        <w:noBreakHyphen/>
      </w:r>
      <w:r w:rsidRPr="00026EC1">
        <w:t>ci ou celui</w:t>
      </w:r>
      <w:r w:rsidR="00984A6F">
        <w:noBreakHyphen/>
      </w:r>
      <w:r w:rsidRPr="00026EC1">
        <w:t xml:space="preserve">ci est nommé par </w:t>
      </w:r>
      <w:r w:rsidR="00794EF5" w:rsidRPr="00026EC1">
        <w:rPr>
          <w:rFonts w:cs="Arial"/>
          <w:szCs w:val="24"/>
        </w:rPr>
        <w:t>la ou le ministre du Travail</w:t>
      </w:r>
      <w:r w:rsidR="00826F7F" w:rsidRPr="00026EC1">
        <w:rPr>
          <w:rFonts w:cs="Arial"/>
          <w:szCs w:val="24"/>
        </w:rPr>
        <w:t>.</w:t>
      </w:r>
    </w:p>
    <w:p w14:paraId="0739B5F7" w14:textId="77777777" w:rsidR="00DF6239" w:rsidRPr="00026EC1" w:rsidRDefault="00DF6239" w:rsidP="00A64613">
      <w:pPr>
        <w:pStyle w:val="Texte1cm"/>
        <w:keepNext w:val="0"/>
      </w:pPr>
    </w:p>
    <w:p w14:paraId="4C067D4D" w14:textId="721B9039" w:rsidR="00DF6239" w:rsidRPr="00026EC1" w:rsidRDefault="00DF6239" w:rsidP="00A64613">
      <w:pPr>
        <w:pStyle w:val="Texte1cm"/>
        <w:keepNext w:val="0"/>
      </w:pPr>
      <w:r w:rsidRPr="00026EC1">
        <w:t>En cas de mésentente quant au choix de la remplaçante ou du remplaçant de la présidente ou du président du comité paritaire de placement dans les trente (30) jours de sa démission ou de son incapacité d</w:t>
      </w:r>
      <w:r w:rsidR="004A41E4" w:rsidRPr="00026EC1">
        <w:t>’</w:t>
      </w:r>
      <w:r w:rsidRPr="00026EC1">
        <w:t>agir, celle</w:t>
      </w:r>
      <w:r w:rsidR="00984A6F">
        <w:noBreakHyphen/>
      </w:r>
      <w:r w:rsidRPr="00026EC1">
        <w:t>ci ou celui</w:t>
      </w:r>
      <w:r w:rsidR="00984A6F">
        <w:noBreakHyphen/>
      </w:r>
      <w:r w:rsidRPr="00026EC1">
        <w:t xml:space="preserve">ci est nommé par </w:t>
      </w:r>
      <w:r w:rsidR="00794EF5" w:rsidRPr="00026EC1">
        <w:rPr>
          <w:rFonts w:cs="Arial"/>
          <w:szCs w:val="24"/>
        </w:rPr>
        <w:t>la ou le ministre du Travail</w:t>
      </w:r>
      <w:r w:rsidR="008A5797" w:rsidRPr="00026EC1">
        <w:rPr>
          <w:rFonts w:cs="Arial"/>
          <w:szCs w:val="24"/>
        </w:rPr>
        <w:t>.</w:t>
      </w:r>
    </w:p>
    <w:p w14:paraId="3001D222" w14:textId="77777777" w:rsidR="00ED01CE" w:rsidRPr="00026EC1" w:rsidRDefault="00ED01CE" w:rsidP="00A64613">
      <w:pPr>
        <w:keepNext w:val="0"/>
      </w:pPr>
    </w:p>
    <w:p w14:paraId="50E7300D" w14:textId="77777777" w:rsidR="00DF6239" w:rsidRPr="00026EC1" w:rsidRDefault="00275751" w:rsidP="00A64613">
      <w:pPr>
        <w:keepNext w:val="0"/>
        <w:tabs>
          <w:tab w:val="left" w:pos="567"/>
        </w:tabs>
        <w:ind w:left="567" w:hanging="567"/>
      </w:pPr>
      <w:r w:rsidRPr="00026EC1">
        <w:t>c)</w:t>
      </w:r>
      <w:r w:rsidRPr="00026EC1">
        <w:tab/>
      </w:r>
      <w:r w:rsidR="00DF6239" w:rsidRPr="00026EC1">
        <w:t>le comité paritaire de placement se réunit sur demande d</w:t>
      </w:r>
      <w:r w:rsidR="004A41E4" w:rsidRPr="00026EC1">
        <w:t>’</w:t>
      </w:r>
      <w:r w:rsidR="00DF6239" w:rsidRPr="00026EC1">
        <w:t>une des parties au comité;</w:t>
      </w:r>
    </w:p>
    <w:p w14:paraId="502B4A6C" w14:textId="77777777" w:rsidR="00DF6239" w:rsidRPr="00026EC1" w:rsidRDefault="00DF6239" w:rsidP="00A64613">
      <w:pPr>
        <w:keepNext w:val="0"/>
      </w:pPr>
    </w:p>
    <w:p w14:paraId="27D2FA10" w14:textId="77777777" w:rsidR="00DF6239" w:rsidRPr="00026EC1" w:rsidRDefault="00275751" w:rsidP="00A64613">
      <w:pPr>
        <w:keepNext w:val="0"/>
        <w:tabs>
          <w:tab w:val="left" w:pos="567"/>
        </w:tabs>
        <w:ind w:left="567" w:hanging="567"/>
      </w:pPr>
      <w:r w:rsidRPr="00026EC1">
        <w:t>d)</w:t>
      </w:r>
      <w:r w:rsidRPr="00026EC1">
        <w:tab/>
      </w:r>
      <w:r w:rsidR="00DF6239" w:rsidRPr="00026EC1">
        <w:t>le comité paritaire de placement décide de ses propres règlements; il obtient du Bureau de placement tous les renseignements qu</w:t>
      </w:r>
      <w:r w:rsidR="004A41E4" w:rsidRPr="00026EC1">
        <w:t>’</w:t>
      </w:r>
      <w:r w:rsidR="00DF6239" w:rsidRPr="00026EC1">
        <w:t>il juge opportuns; la ou le responsable du Bureau de placement assiste aux réunions du comité paritaire de placement</w:t>
      </w:r>
      <w:r w:rsidR="005A2D77" w:rsidRPr="00026EC1">
        <w:t>,</w:t>
      </w:r>
      <w:r w:rsidR="00DF6239" w:rsidRPr="00026EC1">
        <w:t xml:space="preserve"> mais n</w:t>
      </w:r>
      <w:r w:rsidR="004A41E4" w:rsidRPr="00026EC1">
        <w:t>’</w:t>
      </w:r>
      <w:r w:rsidR="00DF6239" w:rsidRPr="00026EC1">
        <w:t>en fait pas partie et n</w:t>
      </w:r>
      <w:r w:rsidR="004A41E4" w:rsidRPr="00026EC1">
        <w:t>’</w:t>
      </w:r>
      <w:r w:rsidR="00DF6239" w:rsidRPr="00026EC1">
        <w:t>a pas droit de vote;</w:t>
      </w:r>
    </w:p>
    <w:p w14:paraId="63CFEFB5" w14:textId="77777777" w:rsidR="00DF6239" w:rsidRPr="00026EC1" w:rsidRDefault="00DF6239" w:rsidP="00A64613">
      <w:pPr>
        <w:keepNext w:val="0"/>
      </w:pPr>
    </w:p>
    <w:p w14:paraId="3B2BDFED" w14:textId="77777777" w:rsidR="00DF6239" w:rsidRPr="00026EC1" w:rsidRDefault="00275751" w:rsidP="00A64613">
      <w:pPr>
        <w:keepNext w:val="0"/>
        <w:tabs>
          <w:tab w:val="left" w:pos="567"/>
        </w:tabs>
        <w:ind w:left="567" w:hanging="567"/>
      </w:pPr>
      <w:r w:rsidRPr="00026EC1">
        <w:t>e)</w:t>
      </w:r>
      <w:r w:rsidRPr="00026EC1">
        <w:tab/>
      </w:r>
      <w:r w:rsidR="00DF6239" w:rsidRPr="00026EC1">
        <w:t>les salaires des représentantes ou représentants au comité paritaire sont payés par leur employeur; chacune des parties au comité défraie les dépenses encourues par ses représentantes ou représentants;</w:t>
      </w:r>
    </w:p>
    <w:p w14:paraId="1D3A5387" w14:textId="77777777" w:rsidR="00DF6239" w:rsidRPr="00026EC1" w:rsidRDefault="00DF6239" w:rsidP="00A64613">
      <w:pPr>
        <w:keepNext w:val="0"/>
      </w:pPr>
    </w:p>
    <w:p w14:paraId="61A32002" w14:textId="078520BF" w:rsidR="00DF6239" w:rsidRPr="00026EC1" w:rsidRDefault="00275751" w:rsidP="00A64613">
      <w:pPr>
        <w:keepNext w:val="0"/>
        <w:tabs>
          <w:tab w:val="left" w:pos="567"/>
        </w:tabs>
        <w:ind w:left="567" w:hanging="567"/>
      </w:pPr>
      <w:r w:rsidRPr="00026EC1">
        <w:t>f)</w:t>
      </w:r>
      <w:r w:rsidRPr="00026EC1">
        <w:tab/>
      </w:r>
      <w:r w:rsidR="00DF6239" w:rsidRPr="00026EC1">
        <w:t>le comité paritaire de placement a comme mandat</w:t>
      </w:r>
      <w:r w:rsidR="00D8581B">
        <w:t> :</w:t>
      </w:r>
    </w:p>
    <w:p w14:paraId="4A0FCEE2" w14:textId="77777777" w:rsidR="00DF6239" w:rsidRPr="00026EC1" w:rsidRDefault="00DF6239" w:rsidP="00A64613">
      <w:pPr>
        <w:keepNext w:val="0"/>
      </w:pPr>
    </w:p>
    <w:p w14:paraId="5B808BFE" w14:textId="77777777" w:rsidR="00DF6239" w:rsidRPr="00026EC1" w:rsidRDefault="00275751" w:rsidP="00A64613">
      <w:pPr>
        <w:keepNext w:val="0"/>
        <w:tabs>
          <w:tab w:val="left" w:pos="1134"/>
        </w:tabs>
        <w:ind w:left="1134" w:hanging="567"/>
      </w:pPr>
      <w:r w:rsidRPr="00026EC1">
        <w:t>1.</w:t>
      </w:r>
      <w:r w:rsidRPr="00026EC1">
        <w:tab/>
      </w:r>
      <w:r w:rsidR="00DF6239" w:rsidRPr="00026EC1">
        <w:t>de surveiller les intérêts des parties aux présentes en matière de placement de personnel;</w:t>
      </w:r>
    </w:p>
    <w:p w14:paraId="6D876B95" w14:textId="77777777" w:rsidR="00ED01CE" w:rsidRPr="00026EC1" w:rsidRDefault="00ED01CE" w:rsidP="00A64613">
      <w:pPr>
        <w:keepNext w:val="0"/>
      </w:pPr>
    </w:p>
    <w:p w14:paraId="7F372AF0" w14:textId="77777777" w:rsidR="00DF6239" w:rsidRPr="00026EC1" w:rsidRDefault="00275751" w:rsidP="00A64613">
      <w:pPr>
        <w:keepNext w:val="0"/>
        <w:tabs>
          <w:tab w:val="left" w:pos="1134"/>
        </w:tabs>
        <w:ind w:left="1134" w:hanging="567"/>
      </w:pPr>
      <w:r w:rsidRPr="00026EC1">
        <w:t>2.</w:t>
      </w:r>
      <w:r w:rsidRPr="00026EC1">
        <w:tab/>
      </w:r>
      <w:r w:rsidR="00DF6239" w:rsidRPr="00026EC1">
        <w:t>de conseiller le Bureau de placement dans l</w:t>
      </w:r>
      <w:r w:rsidR="004A41E4" w:rsidRPr="00026EC1">
        <w:t>’</w:t>
      </w:r>
      <w:r w:rsidR="00DF6239" w:rsidRPr="00026EC1">
        <w:t>exécution de son mandat;</w:t>
      </w:r>
    </w:p>
    <w:p w14:paraId="0277241D" w14:textId="77777777" w:rsidR="00DF6239" w:rsidRPr="00026EC1" w:rsidRDefault="00DF6239" w:rsidP="00A64613">
      <w:pPr>
        <w:keepNext w:val="0"/>
      </w:pPr>
    </w:p>
    <w:p w14:paraId="2FB127CE" w14:textId="01767C3B" w:rsidR="00DF6239" w:rsidRPr="00026EC1" w:rsidRDefault="00275751" w:rsidP="00A64613">
      <w:pPr>
        <w:keepNext w:val="0"/>
        <w:tabs>
          <w:tab w:val="left" w:pos="1134"/>
        </w:tabs>
        <w:ind w:left="1134" w:hanging="567"/>
      </w:pPr>
      <w:r w:rsidRPr="00026EC1">
        <w:t>3.</w:t>
      </w:r>
      <w:r w:rsidRPr="00026EC1">
        <w:tab/>
      </w:r>
      <w:r w:rsidR="00DF6239" w:rsidRPr="00026EC1">
        <w:t>d</w:t>
      </w:r>
      <w:r w:rsidR="004A41E4" w:rsidRPr="00026EC1">
        <w:t>’</w:t>
      </w:r>
      <w:r w:rsidR="00DF6239" w:rsidRPr="00026EC1">
        <w:t>effectuer les opérations qui lui sont confiées en vertu de l</w:t>
      </w:r>
      <w:r w:rsidR="004A41E4" w:rsidRPr="00026EC1">
        <w:t>’</w:t>
      </w:r>
      <w:r w:rsidR="00DF6239" w:rsidRPr="00026EC1">
        <w:t>alinéa e) de la clause 5</w:t>
      </w:r>
      <w:r w:rsidR="00984A6F">
        <w:noBreakHyphen/>
      </w:r>
      <w:r w:rsidR="00DF6239" w:rsidRPr="00026EC1">
        <w:t>4.11;</w:t>
      </w:r>
    </w:p>
    <w:p w14:paraId="3A50D751" w14:textId="77777777" w:rsidR="00DF6239" w:rsidRPr="00026EC1" w:rsidRDefault="00DF6239" w:rsidP="00A64613">
      <w:pPr>
        <w:keepNext w:val="0"/>
      </w:pPr>
    </w:p>
    <w:p w14:paraId="4A6101DC" w14:textId="531A0485" w:rsidR="0076558E" w:rsidRDefault="00275751" w:rsidP="00B9550F">
      <w:pPr>
        <w:keepNext w:val="0"/>
        <w:tabs>
          <w:tab w:val="left" w:pos="1134"/>
        </w:tabs>
        <w:ind w:left="1134" w:hanging="567"/>
      </w:pPr>
      <w:r w:rsidRPr="00026EC1">
        <w:t>4.</w:t>
      </w:r>
      <w:r w:rsidRPr="00026EC1">
        <w:tab/>
      </w:r>
      <w:r w:rsidR="00DF6239" w:rsidRPr="00026EC1">
        <w:t>d</w:t>
      </w:r>
      <w:r w:rsidR="004A41E4" w:rsidRPr="00026EC1">
        <w:t>’</w:t>
      </w:r>
      <w:r w:rsidR="00DF6239" w:rsidRPr="00026EC1">
        <w:t>effectuer les opérations qui lui sont confiées en vertu des clauses 5</w:t>
      </w:r>
      <w:r w:rsidR="00984A6F">
        <w:noBreakHyphen/>
      </w:r>
      <w:r w:rsidR="00DF6239" w:rsidRPr="00026EC1">
        <w:t>4.21</w:t>
      </w:r>
      <w:r w:rsidR="00B9550F" w:rsidRPr="00316277">
        <w:t>,</w:t>
      </w:r>
      <w:r w:rsidR="00DF6239" w:rsidRPr="00026EC1">
        <w:t xml:space="preserve">  5</w:t>
      </w:r>
      <w:r w:rsidR="00984A6F">
        <w:noBreakHyphen/>
      </w:r>
      <w:r w:rsidR="00DF6239" w:rsidRPr="00026EC1">
        <w:t>4.22</w:t>
      </w:r>
      <w:r w:rsidR="00B9550F" w:rsidRPr="00316277">
        <w:t>, 7-6.03 et 7-7.05</w:t>
      </w:r>
      <w:r w:rsidR="00DF6239" w:rsidRPr="00026EC1">
        <w:t>. Dans ce cas, seules les représentantes et seuls les représentants de la FNEEQ (CSN), du Ministère, de la Fédération des cégeps et la présidente ou le président participent aux rencontres.</w:t>
      </w:r>
    </w:p>
    <w:p w14:paraId="3FCD5D15" w14:textId="77777777" w:rsidR="0076558E" w:rsidRDefault="0076558E">
      <w:pPr>
        <w:keepNext w:val="0"/>
        <w:suppressAutoHyphens w:val="0"/>
        <w:jc w:val="left"/>
      </w:pPr>
      <w:r>
        <w:br w:type="page"/>
      </w:r>
    </w:p>
    <w:p w14:paraId="0D7920F6" w14:textId="74C72CD6" w:rsidR="00DF6239" w:rsidRPr="00026EC1" w:rsidRDefault="00DF6239" w:rsidP="00A64613">
      <w:pPr>
        <w:pStyle w:val="NUMRODECLAUSE"/>
        <w:keepNext w:val="0"/>
      </w:pPr>
      <w:r w:rsidRPr="00026EC1">
        <w:t>5</w:t>
      </w:r>
      <w:r w:rsidR="00984A6F">
        <w:noBreakHyphen/>
      </w:r>
      <w:r w:rsidRPr="00026EC1">
        <w:t>4.13</w:t>
      </w:r>
      <w:r w:rsidRPr="00026EC1">
        <w:tab/>
      </w:r>
      <w:r w:rsidRPr="00147EA0">
        <w:rPr>
          <w:u w:val="single"/>
        </w:rPr>
        <w:t>Frais de déménagement</w:t>
      </w:r>
    </w:p>
    <w:p w14:paraId="7AF2284C" w14:textId="3E62EDE6" w:rsidR="00DF6239" w:rsidRPr="00026EC1" w:rsidRDefault="00DF6239" w:rsidP="00A64613">
      <w:pPr>
        <w:keepNext w:val="0"/>
      </w:pPr>
      <w:r w:rsidRPr="00026EC1">
        <w:t>L</w:t>
      </w:r>
      <w:r w:rsidR="004A41E4" w:rsidRPr="00026EC1">
        <w:t>’</w:t>
      </w:r>
      <w:r w:rsidRPr="00026EC1">
        <w:t>enseignante ou l</w:t>
      </w:r>
      <w:r w:rsidR="004A41E4" w:rsidRPr="00026EC1">
        <w:t>’</w:t>
      </w:r>
      <w:r w:rsidRPr="00026EC1">
        <w:t>enseignant mis en disponibilité qui déménage à la suite de l</w:t>
      </w:r>
      <w:r w:rsidR="004A41E4" w:rsidRPr="00026EC1">
        <w:t>’</w:t>
      </w:r>
      <w:r w:rsidRPr="00026EC1">
        <w:t>application des règles énumérées à la clause 5</w:t>
      </w:r>
      <w:r w:rsidR="00984A6F">
        <w:noBreakHyphen/>
      </w:r>
      <w:r w:rsidRPr="00026EC1">
        <w:t>4.07 bénéficie des frais de déménagement prévus à l</w:t>
      </w:r>
      <w:r w:rsidR="004A41E4" w:rsidRPr="00026EC1">
        <w:t>’</w:t>
      </w:r>
      <w:r w:rsidR="00ED01CE" w:rsidRPr="00026EC1">
        <w:t>A</w:t>
      </w:r>
      <w:r w:rsidRPr="00026EC1">
        <w:t>nnexe II</w:t>
      </w:r>
      <w:r w:rsidR="00984A6F">
        <w:noBreakHyphen/>
      </w:r>
      <w:r w:rsidRPr="00026EC1">
        <w:t>3,</w:t>
      </w:r>
      <w:r w:rsidRPr="00026EC1">
        <w:rPr>
          <w:bCs/>
        </w:rPr>
        <w:t xml:space="preserve"> </w:t>
      </w:r>
      <w:r w:rsidRPr="00026EC1">
        <w:t>à l</w:t>
      </w:r>
      <w:r w:rsidR="004A41E4" w:rsidRPr="00026EC1">
        <w:t>’</w:t>
      </w:r>
      <w:r w:rsidRPr="00026EC1">
        <w:t>exception de l</w:t>
      </w:r>
      <w:r w:rsidR="004A41E4" w:rsidRPr="00026EC1">
        <w:t>’</w:t>
      </w:r>
      <w:r w:rsidRPr="00026EC1">
        <w:t>enseignante ou l</w:t>
      </w:r>
      <w:r w:rsidR="004A41E4" w:rsidRPr="00026EC1">
        <w:t>’</w:t>
      </w:r>
      <w:r w:rsidRPr="00026EC1">
        <w:t>enseignant replacé selon les alinéas</w:t>
      </w:r>
      <w:r w:rsidR="00757E12" w:rsidRPr="00026EC1">
        <w:t> </w:t>
      </w:r>
      <w:r w:rsidRPr="00026EC1">
        <w:t>5, 6 (troisième</w:t>
      </w:r>
      <w:r w:rsidR="00597067">
        <w:t> </w:t>
      </w:r>
      <w:r w:rsidRPr="00026EC1">
        <w:t>(3</w:t>
      </w:r>
      <w:r w:rsidRPr="00026EC1">
        <w:rPr>
          <w:vertAlign w:val="superscript"/>
        </w:rPr>
        <w:t>e</w:t>
      </w:r>
      <w:r w:rsidRPr="00026EC1">
        <w:t>) paragraphe), 12 et 13 de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4.17 qui exerce un droit de retour conformément à l</w:t>
      </w:r>
      <w:r w:rsidR="004A41E4" w:rsidRPr="00026EC1">
        <w:t>’</w:t>
      </w:r>
      <w:r w:rsidRPr="00026EC1">
        <w:t>alinéa</w:t>
      </w:r>
      <w:r w:rsidR="00757E12" w:rsidRPr="00026EC1">
        <w:t> </w:t>
      </w:r>
      <w:r w:rsidRPr="00026EC1">
        <w:t>A) de la clause</w:t>
      </w:r>
      <w:r w:rsidR="0061766F" w:rsidRPr="00026EC1">
        <w:t> </w:t>
      </w:r>
      <w:r w:rsidRPr="00026EC1">
        <w:t>5</w:t>
      </w:r>
      <w:r w:rsidR="00984A6F">
        <w:noBreakHyphen/>
      </w:r>
      <w:r w:rsidRPr="00026EC1">
        <w:t>4.07.</w:t>
      </w:r>
    </w:p>
    <w:p w14:paraId="3700EEE2" w14:textId="77777777" w:rsidR="00DF6239" w:rsidRPr="00026EC1" w:rsidRDefault="00DF6239" w:rsidP="00A64613">
      <w:pPr>
        <w:keepNext w:val="0"/>
      </w:pPr>
    </w:p>
    <w:p w14:paraId="39D936EF" w14:textId="77777777" w:rsidR="00156453" w:rsidRPr="00026EC1" w:rsidRDefault="00DF6239" w:rsidP="00A64613">
      <w:pPr>
        <w:keepNext w:val="0"/>
      </w:pPr>
      <w:r w:rsidRPr="00026EC1">
        <w:t>Un tel remboursement n</w:t>
      </w:r>
      <w:r w:rsidR="004A41E4" w:rsidRPr="00026EC1">
        <w:t>’</w:t>
      </w:r>
      <w:r w:rsidRPr="00026EC1">
        <w:t>est habituellement possible que si le nouveau Collège est situé en dehors de la zone de son Collège d</w:t>
      </w:r>
      <w:r w:rsidR="004A41E4" w:rsidRPr="00026EC1">
        <w:t>’</w:t>
      </w:r>
      <w:r w:rsidRPr="00026EC1">
        <w:t>origine; cependant, ce dernier peut aussi autoriser le remboursement dans d</w:t>
      </w:r>
      <w:r w:rsidR="004A41E4" w:rsidRPr="00026EC1">
        <w:t>’</w:t>
      </w:r>
      <w:r w:rsidRPr="00026EC1">
        <w:t>autres cas.</w:t>
      </w:r>
    </w:p>
    <w:p w14:paraId="5D1D38B4" w14:textId="77777777" w:rsidR="00E6406A" w:rsidRPr="00026EC1" w:rsidRDefault="00E6406A" w:rsidP="00A64613">
      <w:pPr>
        <w:keepNext w:val="0"/>
      </w:pPr>
    </w:p>
    <w:p w14:paraId="45152EFA" w14:textId="282C3530" w:rsidR="00DF6239" w:rsidRPr="00026EC1" w:rsidRDefault="00DF6239" w:rsidP="00A64613">
      <w:pPr>
        <w:pStyle w:val="NUMRODECLAUSE"/>
        <w:keepNext w:val="0"/>
      </w:pPr>
      <w:r w:rsidRPr="00026EC1">
        <w:t>5</w:t>
      </w:r>
      <w:r w:rsidR="00984A6F">
        <w:noBreakHyphen/>
      </w:r>
      <w:r w:rsidRPr="00026EC1">
        <w:t>4.14</w:t>
      </w:r>
      <w:r w:rsidRPr="00026EC1">
        <w:tab/>
      </w:r>
      <w:r w:rsidR="00FD110F" w:rsidRPr="00316277">
        <w:rPr>
          <w:u w:val="single"/>
        </w:rPr>
        <w:t>Régimes de retraite</w:t>
      </w:r>
    </w:p>
    <w:p w14:paraId="58B801A3" w14:textId="77777777" w:rsidR="00DF6239" w:rsidRPr="00026EC1" w:rsidRDefault="00DF6239" w:rsidP="00A64613">
      <w:pPr>
        <w:keepNext w:val="0"/>
      </w:pPr>
      <w:r w:rsidRPr="00026EC1">
        <w:t>Aux fins des régimes de retraite, chaque année de mise en d</w:t>
      </w:r>
      <w:r w:rsidR="00BA79F8" w:rsidRPr="00026EC1">
        <w:t>isponibilité constitue une (1) </w:t>
      </w:r>
      <w:r w:rsidRPr="00026EC1">
        <w:t>année de service.</w:t>
      </w:r>
    </w:p>
    <w:p w14:paraId="2623BBBC" w14:textId="77777777" w:rsidR="00DF6239" w:rsidRPr="00026EC1" w:rsidRDefault="00DF6239" w:rsidP="00A64613">
      <w:pPr>
        <w:keepNext w:val="0"/>
      </w:pPr>
    </w:p>
    <w:p w14:paraId="43E5D5E4" w14:textId="25AC7162" w:rsidR="00DF6239" w:rsidRPr="00026EC1" w:rsidRDefault="00DF6239" w:rsidP="00A64613">
      <w:pPr>
        <w:pStyle w:val="NUMRODECLAUSE"/>
        <w:keepNext w:val="0"/>
      </w:pPr>
      <w:r w:rsidRPr="00026EC1">
        <w:t>5</w:t>
      </w:r>
      <w:r w:rsidR="00984A6F">
        <w:noBreakHyphen/>
      </w:r>
      <w:r w:rsidRPr="00026EC1">
        <w:t>4.15</w:t>
      </w:r>
      <w:r w:rsidRPr="00026EC1">
        <w:tab/>
      </w:r>
      <w:r w:rsidRPr="00147EA0">
        <w:rPr>
          <w:u w:val="single"/>
        </w:rPr>
        <w:t>Le congé de préretraite</w:t>
      </w:r>
    </w:p>
    <w:p w14:paraId="634B6750" w14:textId="292FD4BB" w:rsidR="00DF6239" w:rsidRPr="00026EC1" w:rsidRDefault="00275751" w:rsidP="00A64613">
      <w:pPr>
        <w:keepNext w:val="0"/>
        <w:tabs>
          <w:tab w:val="left" w:pos="567"/>
        </w:tabs>
        <w:ind w:left="567" w:hanging="567"/>
      </w:pPr>
      <w:r w:rsidRPr="00026EC1">
        <w:t>a)</w:t>
      </w:r>
      <w:r w:rsidRPr="00026EC1">
        <w:tab/>
      </w:r>
      <w:r w:rsidR="00DF6239" w:rsidRPr="00026EC1">
        <w:t>Dans le but d</w:t>
      </w:r>
      <w:r w:rsidR="004A41E4" w:rsidRPr="00026EC1">
        <w:t>’</w:t>
      </w:r>
      <w:r w:rsidR="00DF6239" w:rsidRPr="00026EC1">
        <w:t>annuler ou d</w:t>
      </w:r>
      <w:r w:rsidR="004A41E4" w:rsidRPr="00026EC1">
        <w:t>’</w:t>
      </w:r>
      <w:r w:rsidR="00DF6239" w:rsidRPr="00026EC1">
        <w:t>éviter une mise en disponibilité et à la demande de l</w:t>
      </w:r>
      <w:r w:rsidR="004A41E4" w:rsidRPr="00026EC1">
        <w:t>’</w:t>
      </w:r>
      <w:r w:rsidR="00DF6239" w:rsidRPr="00026EC1">
        <w:t>enseignante ou de l</w:t>
      </w:r>
      <w:r w:rsidR="004A41E4" w:rsidRPr="00026EC1">
        <w:t>’</w:t>
      </w:r>
      <w:r w:rsidR="00DF6239" w:rsidRPr="00026EC1">
        <w:t>enseignant, le Collège peut lui accorder un congé de préretraite si elle ou il répond aux conditions suivantes</w:t>
      </w:r>
      <w:r w:rsidR="00D8581B">
        <w:t> :</w:t>
      </w:r>
      <w:r w:rsidR="00DF6239" w:rsidRPr="00026EC1">
        <w:t xml:space="preserve"> être enseignante ou enseignant permanent et être admissible à la retraite ou à la retraite anticipée à la fin de ce congé en vertu de l</w:t>
      </w:r>
      <w:r w:rsidR="004A41E4" w:rsidRPr="00026EC1">
        <w:t>’</w:t>
      </w:r>
      <w:r w:rsidR="00DF6239" w:rsidRPr="00026EC1">
        <w:t>un des régimes de retraite en vigueur dans les secteurs public et parapublic.</w:t>
      </w:r>
    </w:p>
    <w:p w14:paraId="5EC75FF2" w14:textId="77777777" w:rsidR="00DF6239" w:rsidRPr="00026EC1" w:rsidRDefault="00DF6239" w:rsidP="00A64613">
      <w:pPr>
        <w:keepNext w:val="0"/>
      </w:pPr>
    </w:p>
    <w:p w14:paraId="21B8B8BB" w14:textId="77777777" w:rsidR="00DF6239" w:rsidRPr="00026EC1" w:rsidRDefault="00275751" w:rsidP="00A64613">
      <w:pPr>
        <w:keepNext w:val="0"/>
        <w:tabs>
          <w:tab w:val="left" w:pos="567"/>
        </w:tabs>
        <w:ind w:left="567" w:hanging="567"/>
      </w:pPr>
      <w:r w:rsidRPr="00026EC1">
        <w:t>b)</w:t>
      </w:r>
      <w:r w:rsidRPr="00026EC1">
        <w:tab/>
      </w:r>
      <w:r w:rsidR="00DF6239" w:rsidRPr="00026EC1">
        <w:t>Le congé de préretraite est un congé d</w:t>
      </w:r>
      <w:r w:rsidR="004A41E4" w:rsidRPr="00026EC1">
        <w:t>’</w:t>
      </w:r>
      <w:r w:rsidR="00DF6239" w:rsidRPr="00026EC1">
        <w:t>une (1) année complète avec plein salaire. Cette année de préretraite compte comme une (1) année de service aux fins de l</w:t>
      </w:r>
      <w:r w:rsidR="004A41E4" w:rsidRPr="00026EC1">
        <w:t>’</w:t>
      </w:r>
      <w:r w:rsidR="00DF6239" w:rsidRPr="00026EC1">
        <w:t>un ou l</w:t>
      </w:r>
      <w:r w:rsidR="004A41E4" w:rsidRPr="00026EC1">
        <w:t>’</w:t>
      </w:r>
      <w:r w:rsidR="00DF6239" w:rsidRPr="00026EC1">
        <w:t>autre des régimes de retraite en vigueur dans les secteurs public et parapublic.</w:t>
      </w:r>
    </w:p>
    <w:p w14:paraId="4693B467" w14:textId="77777777" w:rsidR="00DF6239" w:rsidRPr="00026EC1" w:rsidRDefault="00DF6239" w:rsidP="00A64613">
      <w:pPr>
        <w:keepNext w:val="0"/>
      </w:pPr>
    </w:p>
    <w:p w14:paraId="2B7C9E6C" w14:textId="77777777" w:rsidR="00DF6239" w:rsidRPr="00026EC1" w:rsidRDefault="00DF6239" w:rsidP="00A64613">
      <w:pPr>
        <w:pStyle w:val="Texte1cm"/>
        <w:keepNext w:val="0"/>
      </w:pPr>
      <w:r w:rsidRPr="00026EC1">
        <w:t>Durant ce congé, l</w:t>
      </w:r>
      <w:r w:rsidR="004A41E4" w:rsidRPr="00026EC1">
        <w:t>’</w:t>
      </w:r>
      <w:r w:rsidRPr="00026EC1">
        <w:t>enseignante ou l</w:t>
      </w:r>
      <w:r w:rsidR="004A41E4" w:rsidRPr="00026EC1">
        <w:t>’</w:t>
      </w:r>
      <w:r w:rsidRPr="00026EC1">
        <w:t>enseignant bénéficie de tous les droits et avantages prévus à la convention collective pourvu qu</w:t>
      </w:r>
      <w:r w:rsidR="004A41E4" w:rsidRPr="00026EC1">
        <w:t>’</w:t>
      </w:r>
      <w:r w:rsidRPr="00026EC1">
        <w:t>ils soient compatibles avec la nature du congé.</w:t>
      </w:r>
    </w:p>
    <w:p w14:paraId="66D66841" w14:textId="77777777" w:rsidR="00DF6239" w:rsidRPr="00026EC1" w:rsidRDefault="00DF6239" w:rsidP="00A64613">
      <w:pPr>
        <w:keepNext w:val="0"/>
      </w:pPr>
    </w:p>
    <w:p w14:paraId="4A6A6958" w14:textId="77777777" w:rsidR="00DF6239" w:rsidRPr="00026EC1" w:rsidRDefault="00275751" w:rsidP="00A64613">
      <w:pPr>
        <w:keepNext w:val="0"/>
        <w:tabs>
          <w:tab w:val="left" w:pos="567"/>
        </w:tabs>
        <w:ind w:left="567" w:hanging="567"/>
      </w:pPr>
      <w:r w:rsidRPr="00026EC1">
        <w:t>c)</w:t>
      </w:r>
      <w:r w:rsidRPr="00026EC1">
        <w:tab/>
      </w:r>
      <w:r w:rsidR="00DF6239" w:rsidRPr="00026EC1">
        <w:t>À la fin de son congé de préretraite, l</w:t>
      </w:r>
      <w:r w:rsidR="004A41E4" w:rsidRPr="00026EC1">
        <w:t>’</w:t>
      </w:r>
      <w:r w:rsidR="00DF6239" w:rsidRPr="00026EC1">
        <w:t>enseignante ou l</w:t>
      </w:r>
      <w:r w:rsidR="004A41E4" w:rsidRPr="00026EC1">
        <w:t>’</w:t>
      </w:r>
      <w:r w:rsidR="00DF6239" w:rsidRPr="00026EC1">
        <w:t>enseignant prend sa retraite.</w:t>
      </w:r>
    </w:p>
    <w:p w14:paraId="6F5825BD" w14:textId="77777777" w:rsidR="00DF6239" w:rsidRPr="00026EC1" w:rsidRDefault="00DF6239" w:rsidP="00A64613">
      <w:pPr>
        <w:keepNext w:val="0"/>
      </w:pPr>
    </w:p>
    <w:p w14:paraId="23ACBC86" w14:textId="77777777" w:rsidR="00DF6239" w:rsidRPr="00026EC1" w:rsidRDefault="00275751" w:rsidP="00A64613">
      <w:pPr>
        <w:keepNext w:val="0"/>
        <w:tabs>
          <w:tab w:val="left" w:pos="567"/>
        </w:tabs>
        <w:ind w:left="567" w:hanging="567"/>
      </w:pPr>
      <w:r w:rsidRPr="00026EC1">
        <w:t>d)</w:t>
      </w:r>
      <w:r w:rsidRPr="00026EC1">
        <w:tab/>
      </w:r>
      <w:r w:rsidR="00DF6239" w:rsidRPr="00026EC1">
        <w:t>La présente clause est sans préjudice aux droits de l</w:t>
      </w:r>
      <w:r w:rsidR="004A41E4" w:rsidRPr="00026EC1">
        <w:t>’</w:t>
      </w:r>
      <w:r w:rsidR="00DF6239" w:rsidRPr="00026EC1">
        <w:t>enseignante ou de l</w:t>
      </w:r>
      <w:r w:rsidR="004A41E4" w:rsidRPr="00026EC1">
        <w:t>’</w:t>
      </w:r>
      <w:r w:rsidR="00DF6239" w:rsidRPr="00026EC1">
        <w:t>enseignant qui bénéficie déjà d</w:t>
      </w:r>
      <w:r w:rsidR="004A41E4" w:rsidRPr="00026EC1">
        <w:t>’</w:t>
      </w:r>
      <w:r w:rsidR="00DF6239" w:rsidRPr="00026EC1">
        <w:t>un droit de congé de préretraite.</w:t>
      </w:r>
    </w:p>
    <w:p w14:paraId="34C913B5" w14:textId="77777777" w:rsidR="00DF6239" w:rsidRPr="00026EC1" w:rsidRDefault="00DF6239" w:rsidP="00A64613">
      <w:pPr>
        <w:keepNext w:val="0"/>
      </w:pPr>
    </w:p>
    <w:p w14:paraId="2105D4FB" w14:textId="2FDC7FD4" w:rsidR="00ED01CE" w:rsidRPr="00026EC1" w:rsidRDefault="00ED01CE" w:rsidP="00A64613">
      <w:pPr>
        <w:pStyle w:val="NUMRODECLAUSE"/>
        <w:keepNext w:val="0"/>
      </w:pPr>
      <w:r w:rsidRPr="00026EC1">
        <w:t>5</w:t>
      </w:r>
      <w:r w:rsidR="00984A6F">
        <w:noBreakHyphen/>
      </w:r>
      <w:r w:rsidRPr="00026EC1">
        <w:t>4.16</w:t>
      </w:r>
      <w:r w:rsidR="0079606B">
        <w:tab/>
      </w:r>
      <w:r w:rsidR="0079606B" w:rsidRPr="00316277">
        <w:rPr>
          <w:u w:val="single"/>
        </w:rPr>
        <w:t>Application de la priorité d’emploi</w:t>
      </w:r>
    </w:p>
    <w:p w14:paraId="77C86CEF" w14:textId="72501035" w:rsidR="00AE29B8" w:rsidRPr="00026EC1" w:rsidRDefault="00275751" w:rsidP="00A64613">
      <w:pPr>
        <w:keepNext w:val="0"/>
        <w:tabs>
          <w:tab w:val="left" w:pos="567"/>
        </w:tabs>
        <w:ind w:left="567" w:hanging="567"/>
      </w:pPr>
      <w:r w:rsidRPr="00026EC1">
        <w:t>a)</w:t>
      </w:r>
      <w:r w:rsidRPr="00026EC1">
        <w:tab/>
      </w:r>
      <w:r w:rsidR="00AE29B8" w:rsidRPr="00026EC1">
        <w:t>Pour une année donnée, l’enseignante ou l’enseignant à l’emploi du Collège peut faire valoir sa priorité prévue à la clause 5</w:t>
      </w:r>
      <w:r w:rsidR="00984A6F">
        <w:noBreakHyphen/>
      </w:r>
      <w:r w:rsidR="00AE29B8" w:rsidRPr="00026EC1">
        <w:t>4.17 jusqu’à concurrence d’un équivalent temps complet de un (1). Le présent paragraphe ne peut avoir pour effet d’obliger le Collège à attribuer à une enseignante ou un enseignant une charge individuelle qui excède cinquante</w:t>
      </w:r>
      <w:r w:rsidR="00984A6F">
        <w:noBreakHyphen/>
      </w:r>
      <w:r w:rsidR="00AE29B8" w:rsidRPr="00026EC1">
        <w:t>cinq (55) unités pour une session donnée.</w:t>
      </w:r>
    </w:p>
    <w:p w14:paraId="5F07FF2A" w14:textId="46A0483A" w:rsidR="00AE29B8" w:rsidRPr="00026EC1" w:rsidRDefault="00AE29B8" w:rsidP="00A64613">
      <w:pPr>
        <w:keepNext w:val="0"/>
        <w:tabs>
          <w:tab w:val="left" w:pos="567"/>
        </w:tabs>
        <w:ind w:left="567" w:hanging="567"/>
      </w:pPr>
    </w:p>
    <w:p w14:paraId="50D4CF4A" w14:textId="233CD873" w:rsidR="00AE29B8" w:rsidRPr="00026EC1" w:rsidRDefault="00AE29B8" w:rsidP="00A64613">
      <w:pPr>
        <w:keepNext w:val="0"/>
        <w:tabs>
          <w:tab w:val="left" w:pos="567"/>
        </w:tabs>
        <w:ind w:left="567" w:hanging="567"/>
      </w:pPr>
      <w:r w:rsidRPr="00026EC1">
        <w:tab/>
      </w:r>
      <w:r w:rsidR="0033196A" w:rsidRPr="00026EC1">
        <w:t>Pour les priorités d’emploi prévues à l’alinéa</w:t>
      </w:r>
      <w:r w:rsidR="00597067">
        <w:t> </w:t>
      </w:r>
      <w:r w:rsidR="0033196A" w:rsidRPr="00026EC1">
        <w:t>b) de la clause</w:t>
      </w:r>
      <w:r w:rsidR="00597067">
        <w:t> </w:t>
      </w:r>
      <w:r w:rsidR="0033196A" w:rsidRPr="00026EC1">
        <w:t>5</w:t>
      </w:r>
      <w:r w:rsidR="00984A6F">
        <w:noBreakHyphen/>
      </w:r>
      <w:r w:rsidR="0033196A" w:rsidRPr="00026EC1">
        <w:t xml:space="preserve">4.17, </w:t>
      </w:r>
      <w:r w:rsidR="00C37429" w:rsidRPr="00316277">
        <w:t>l’enseignante ou l’enseignant non permanent qui détient une charge d’enseignement à temps partiel peut refuser tout ajout de cours</w:t>
      </w:r>
      <w:r w:rsidR="00C37429" w:rsidRPr="00C37429">
        <w:t xml:space="preserve"> </w:t>
      </w:r>
      <w:r w:rsidR="0033196A" w:rsidRPr="00026EC1">
        <w:t xml:space="preserve">à la charge d’enseignement qui lui a été préalablement octroyée, sauf si cet ajout permet la création d’un poste. </w:t>
      </w:r>
    </w:p>
    <w:p w14:paraId="0F212C58" w14:textId="77777777" w:rsidR="00ED01CE" w:rsidRPr="00026EC1" w:rsidRDefault="00ED01CE" w:rsidP="00A64613">
      <w:pPr>
        <w:keepNext w:val="0"/>
        <w:tabs>
          <w:tab w:val="left" w:pos="567"/>
        </w:tabs>
        <w:ind w:left="567" w:hanging="567"/>
      </w:pPr>
    </w:p>
    <w:p w14:paraId="06AED303" w14:textId="75E00C0D" w:rsidR="00ED01CE" w:rsidRPr="00026EC1" w:rsidRDefault="00ED01CE" w:rsidP="00A64613">
      <w:pPr>
        <w:pStyle w:val="Texte1cm"/>
        <w:keepNext w:val="0"/>
      </w:pPr>
      <w:r w:rsidRPr="00026EC1">
        <w:t>De plus, l</w:t>
      </w:r>
      <w:r w:rsidR="004A41E4" w:rsidRPr="00026EC1">
        <w:t>’</w:t>
      </w:r>
      <w:r w:rsidRPr="00026EC1">
        <w:t>exercice d</w:t>
      </w:r>
      <w:r w:rsidR="004A41E4" w:rsidRPr="00026EC1">
        <w:t>’</w:t>
      </w:r>
      <w:r w:rsidRPr="00026EC1">
        <w:t>une priorité prévue aux alinéas d) et e) de la clause 5</w:t>
      </w:r>
      <w:r w:rsidR="00984A6F">
        <w:noBreakHyphen/>
      </w:r>
      <w:r w:rsidRPr="00026EC1">
        <w:t>4.17 par l</w:t>
      </w:r>
      <w:r w:rsidR="004A41E4" w:rsidRPr="00026EC1">
        <w:t>’</w:t>
      </w:r>
      <w:r w:rsidRPr="00026EC1">
        <w:t>enseignante ou l</w:t>
      </w:r>
      <w:r w:rsidR="004A41E4" w:rsidRPr="00026EC1">
        <w:t>’</w:t>
      </w:r>
      <w:r w:rsidRPr="00026EC1">
        <w:t>enseignant non permanent ne peut avoir pour effet d</w:t>
      </w:r>
      <w:r w:rsidR="004A41E4" w:rsidRPr="00026EC1">
        <w:t>’</w:t>
      </w:r>
      <w:r w:rsidRPr="00026EC1">
        <w:t>obliger le Collège à lui attribuer une charge totale supérieure à zéro</w:t>
      </w:r>
      <w:r w:rsidR="005432F0" w:rsidRPr="00026EC1">
        <w:t xml:space="preserve"> </w:t>
      </w:r>
      <w:r w:rsidRPr="00026EC1">
        <w:t>virgule</w:t>
      </w:r>
      <w:r w:rsidR="005432F0" w:rsidRPr="00026EC1">
        <w:t xml:space="preserve"> </w:t>
      </w:r>
      <w:r w:rsidRPr="00026EC1">
        <w:t>six</w:t>
      </w:r>
      <w:r w:rsidR="005432F0" w:rsidRPr="00026EC1">
        <w:t xml:space="preserve"> </w:t>
      </w:r>
      <w:r w:rsidRPr="00026EC1">
        <w:t>mille</w:t>
      </w:r>
      <w:r w:rsidR="005432F0" w:rsidRPr="00026EC1">
        <w:t xml:space="preserve"> </w:t>
      </w:r>
      <w:r w:rsidRPr="00026EC1">
        <w:t>huit</w:t>
      </w:r>
      <w:r w:rsidR="005432F0" w:rsidRPr="00026EC1">
        <w:t xml:space="preserve"> </w:t>
      </w:r>
      <w:r w:rsidRPr="00026EC1">
        <w:t>cent soixante</w:t>
      </w:r>
      <w:r w:rsidR="00984A6F">
        <w:noBreakHyphen/>
      </w:r>
      <w:r w:rsidRPr="00026EC1">
        <w:t>quinze</w:t>
      </w:r>
      <w:r w:rsidR="001F5B69">
        <w:t> </w:t>
      </w:r>
      <w:r w:rsidRPr="00026EC1">
        <w:t>(0,6875) au cours d</w:t>
      </w:r>
      <w:r w:rsidR="004A41E4" w:rsidRPr="00026EC1">
        <w:t>’</w:t>
      </w:r>
      <w:r w:rsidRPr="00026EC1">
        <w:t>une même session ou supérieure à un (1) pour une année d</w:t>
      </w:r>
      <w:r w:rsidR="004A41E4" w:rsidRPr="00026EC1">
        <w:t>’</w:t>
      </w:r>
      <w:r w:rsidRPr="00026EC1">
        <w:t>enseignement calculée à l</w:t>
      </w:r>
      <w:r w:rsidR="004A41E4" w:rsidRPr="00026EC1">
        <w:t>’</w:t>
      </w:r>
      <w:r w:rsidRPr="00026EC1">
        <w:t>aide de la relation suivante</w:t>
      </w:r>
      <w:r w:rsidR="00D8581B">
        <w:t> :</w:t>
      </w:r>
    </w:p>
    <w:p w14:paraId="7BE1BF8D" w14:textId="77777777" w:rsidR="00ED01CE" w:rsidRPr="00026EC1" w:rsidRDefault="00ED01CE" w:rsidP="00A64613">
      <w:pPr>
        <w:keepNext w:val="0"/>
      </w:pPr>
    </w:p>
    <w:tbl>
      <w:tblPr>
        <w:tblW w:w="0" w:type="auto"/>
        <w:tblInd w:w="790" w:type="dxa"/>
        <w:tblCellMar>
          <w:left w:w="70" w:type="dxa"/>
          <w:right w:w="70" w:type="dxa"/>
        </w:tblCellMar>
        <w:tblLook w:val="0000" w:firstRow="0" w:lastRow="0" w:firstColumn="0" w:lastColumn="0" w:noHBand="0" w:noVBand="0"/>
      </w:tblPr>
      <w:tblGrid>
        <w:gridCol w:w="2520"/>
        <w:gridCol w:w="420"/>
        <w:gridCol w:w="1865"/>
        <w:gridCol w:w="775"/>
        <w:gridCol w:w="2700"/>
      </w:tblGrid>
      <w:tr w:rsidR="00ED01CE" w:rsidRPr="00026EC1" w14:paraId="0F43198C" w14:textId="77777777" w:rsidTr="00ED01CE">
        <w:trPr>
          <w:cantSplit/>
        </w:trPr>
        <w:tc>
          <w:tcPr>
            <w:tcW w:w="2520" w:type="dxa"/>
            <w:vMerge w:val="restart"/>
            <w:vAlign w:val="bottom"/>
          </w:tcPr>
          <w:p w14:paraId="1E7E7D89" w14:textId="77777777" w:rsidR="00ED01CE" w:rsidRPr="00026EC1" w:rsidRDefault="00ED01CE" w:rsidP="00A64613">
            <w:pPr>
              <w:pStyle w:val="Header"/>
              <w:keepNext w:val="0"/>
              <w:spacing w:after="0"/>
            </w:pPr>
            <w:r w:rsidRPr="00026EC1">
              <w:t>charge totale de l</w:t>
            </w:r>
            <w:r w:rsidR="004A41E4" w:rsidRPr="00026EC1">
              <w:t>’</w:t>
            </w:r>
            <w:r w:rsidRPr="00026EC1">
              <w:t>enseignante ou de l</w:t>
            </w:r>
            <w:r w:rsidR="004A41E4" w:rsidRPr="00026EC1">
              <w:t>’</w:t>
            </w:r>
            <w:r w:rsidRPr="00026EC1">
              <w:t>enseignant visé</w:t>
            </w:r>
          </w:p>
        </w:tc>
        <w:tc>
          <w:tcPr>
            <w:tcW w:w="420" w:type="dxa"/>
          </w:tcPr>
          <w:p w14:paraId="75A2A73D" w14:textId="77777777" w:rsidR="00ED01CE" w:rsidRPr="00026EC1" w:rsidRDefault="00ED01CE" w:rsidP="00A64613">
            <w:pPr>
              <w:keepNext w:val="0"/>
            </w:pPr>
          </w:p>
        </w:tc>
        <w:tc>
          <w:tcPr>
            <w:tcW w:w="1865" w:type="dxa"/>
          </w:tcPr>
          <w:p w14:paraId="7BF6D162" w14:textId="77777777" w:rsidR="00ED01CE" w:rsidRPr="00026EC1" w:rsidRDefault="00ED01CE" w:rsidP="00A64613">
            <w:pPr>
              <w:keepNext w:val="0"/>
            </w:pPr>
          </w:p>
        </w:tc>
        <w:tc>
          <w:tcPr>
            <w:tcW w:w="775" w:type="dxa"/>
          </w:tcPr>
          <w:p w14:paraId="46CB911D" w14:textId="77777777" w:rsidR="00ED01CE" w:rsidRPr="00026EC1" w:rsidRDefault="00ED01CE" w:rsidP="00A64613">
            <w:pPr>
              <w:keepNext w:val="0"/>
            </w:pPr>
          </w:p>
        </w:tc>
        <w:tc>
          <w:tcPr>
            <w:tcW w:w="2700" w:type="dxa"/>
            <w:vMerge w:val="restart"/>
            <w:tcBorders>
              <w:bottom w:val="single" w:sz="4" w:space="0" w:color="auto"/>
            </w:tcBorders>
          </w:tcPr>
          <w:p w14:paraId="0A8AF0C3" w14:textId="77777777" w:rsidR="00ED01CE" w:rsidRPr="00026EC1" w:rsidRDefault="00ED01CE" w:rsidP="00A64613">
            <w:pPr>
              <w:pStyle w:val="Header"/>
              <w:keepNext w:val="0"/>
              <w:spacing w:after="0"/>
            </w:pPr>
            <w:r w:rsidRPr="00026EC1">
              <w:t>nombre de périodes à titre de chargée ou de chargé de cours</w:t>
            </w:r>
          </w:p>
        </w:tc>
      </w:tr>
      <w:tr w:rsidR="00ED01CE" w:rsidRPr="00026EC1" w14:paraId="2877D684" w14:textId="77777777" w:rsidTr="00ED01CE">
        <w:trPr>
          <w:cantSplit/>
        </w:trPr>
        <w:tc>
          <w:tcPr>
            <w:tcW w:w="2520" w:type="dxa"/>
            <w:vMerge/>
          </w:tcPr>
          <w:p w14:paraId="1C37C5E3" w14:textId="77777777" w:rsidR="00ED01CE" w:rsidRPr="00026EC1" w:rsidRDefault="00ED01CE" w:rsidP="00A64613">
            <w:pPr>
              <w:keepNext w:val="0"/>
              <w:jc w:val="center"/>
            </w:pPr>
          </w:p>
        </w:tc>
        <w:tc>
          <w:tcPr>
            <w:tcW w:w="420" w:type="dxa"/>
            <w:vAlign w:val="bottom"/>
          </w:tcPr>
          <w:p w14:paraId="22AF4785" w14:textId="77777777" w:rsidR="00ED01CE" w:rsidRPr="00026EC1" w:rsidRDefault="00ED01CE" w:rsidP="00A64613">
            <w:pPr>
              <w:pStyle w:val="Header"/>
              <w:keepNext w:val="0"/>
              <w:spacing w:after="0"/>
            </w:pPr>
            <w:r w:rsidRPr="00026EC1">
              <w:t>=</w:t>
            </w:r>
          </w:p>
        </w:tc>
        <w:tc>
          <w:tcPr>
            <w:tcW w:w="1865" w:type="dxa"/>
            <w:tcBorders>
              <w:bottom w:val="single" w:sz="4" w:space="0" w:color="auto"/>
            </w:tcBorders>
            <w:vAlign w:val="bottom"/>
          </w:tcPr>
          <w:p w14:paraId="395779AE" w14:textId="77777777" w:rsidR="00ED01CE" w:rsidRPr="00026EC1" w:rsidRDefault="00ED01CE" w:rsidP="00A64613">
            <w:pPr>
              <w:pStyle w:val="Header"/>
              <w:keepNext w:val="0"/>
              <w:spacing w:after="0"/>
            </w:pPr>
            <w:r w:rsidRPr="00026EC1">
              <w:t>CI</w:t>
            </w:r>
          </w:p>
        </w:tc>
        <w:tc>
          <w:tcPr>
            <w:tcW w:w="775" w:type="dxa"/>
            <w:vAlign w:val="bottom"/>
          </w:tcPr>
          <w:p w14:paraId="6BE3E32C" w14:textId="77777777" w:rsidR="00ED01CE" w:rsidRPr="00026EC1" w:rsidRDefault="00ED01CE" w:rsidP="00A64613">
            <w:pPr>
              <w:pStyle w:val="Header"/>
              <w:keepNext w:val="0"/>
              <w:spacing w:after="0"/>
            </w:pPr>
            <w:r w:rsidRPr="00026EC1">
              <w:t>+</w:t>
            </w:r>
          </w:p>
        </w:tc>
        <w:tc>
          <w:tcPr>
            <w:tcW w:w="2700" w:type="dxa"/>
            <w:vMerge/>
            <w:tcBorders>
              <w:bottom w:val="single" w:sz="4" w:space="0" w:color="auto"/>
            </w:tcBorders>
          </w:tcPr>
          <w:p w14:paraId="208EFC75" w14:textId="77777777" w:rsidR="00ED01CE" w:rsidRPr="00026EC1" w:rsidRDefault="00ED01CE" w:rsidP="00A64613">
            <w:pPr>
              <w:keepNext w:val="0"/>
            </w:pPr>
          </w:p>
        </w:tc>
      </w:tr>
      <w:tr w:rsidR="00ED01CE" w:rsidRPr="00026EC1" w14:paraId="21221DB9" w14:textId="77777777" w:rsidTr="00ED01CE">
        <w:trPr>
          <w:cantSplit/>
        </w:trPr>
        <w:tc>
          <w:tcPr>
            <w:tcW w:w="2520" w:type="dxa"/>
            <w:vMerge/>
          </w:tcPr>
          <w:p w14:paraId="186D60C5" w14:textId="77777777" w:rsidR="00ED01CE" w:rsidRPr="00026EC1" w:rsidRDefault="00ED01CE" w:rsidP="00A64613">
            <w:pPr>
              <w:keepNext w:val="0"/>
              <w:jc w:val="center"/>
            </w:pPr>
          </w:p>
        </w:tc>
        <w:tc>
          <w:tcPr>
            <w:tcW w:w="420" w:type="dxa"/>
          </w:tcPr>
          <w:p w14:paraId="37261EBD" w14:textId="77777777" w:rsidR="00ED01CE" w:rsidRPr="00026EC1" w:rsidRDefault="00ED01CE" w:rsidP="00A64613">
            <w:pPr>
              <w:keepNext w:val="0"/>
            </w:pPr>
          </w:p>
        </w:tc>
        <w:tc>
          <w:tcPr>
            <w:tcW w:w="1865" w:type="dxa"/>
            <w:tcBorders>
              <w:top w:val="single" w:sz="4" w:space="0" w:color="auto"/>
            </w:tcBorders>
          </w:tcPr>
          <w:p w14:paraId="4C7602D7" w14:textId="77777777" w:rsidR="00ED01CE" w:rsidRPr="00026EC1" w:rsidRDefault="00ED01CE" w:rsidP="00A64613">
            <w:pPr>
              <w:pStyle w:val="Header"/>
              <w:keepNext w:val="0"/>
              <w:spacing w:after="0"/>
            </w:pPr>
            <w:r w:rsidRPr="00026EC1">
              <w:t>80</w:t>
            </w:r>
          </w:p>
        </w:tc>
        <w:tc>
          <w:tcPr>
            <w:tcW w:w="775" w:type="dxa"/>
          </w:tcPr>
          <w:p w14:paraId="6657C533" w14:textId="77777777" w:rsidR="00ED01CE" w:rsidRPr="00026EC1" w:rsidRDefault="00ED01CE" w:rsidP="00A64613">
            <w:pPr>
              <w:keepNext w:val="0"/>
            </w:pPr>
          </w:p>
        </w:tc>
        <w:tc>
          <w:tcPr>
            <w:tcW w:w="2700" w:type="dxa"/>
            <w:tcBorders>
              <w:top w:val="single" w:sz="4" w:space="0" w:color="auto"/>
            </w:tcBorders>
          </w:tcPr>
          <w:p w14:paraId="50352039" w14:textId="77777777" w:rsidR="00ED01CE" w:rsidRPr="00026EC1" w:rsidRDefault="00ED01CE" w:rsidP="00A64613">
            <w:pPr>
              <w:pStyle w:val="Header"/>
              <w:keepNext w:val="0"/>
              <w:spacing w:after="0"/>
            </w:pPr>
            <w:r w:rsidRPr="00026EC1">
              <w:t>525</w:t>
            </w:r>
          </w:p>
        </w:tc>
      </w:tr>
    </w:tbl>
    <w:p w14:paraId="34DB1514" w14:textId="77777777" w:rsidR="00ED01CE" w:rsidRPr="00026EC1" w:rsidRDefault="00ED01CE" w:rsidP="00A64613">
      <w:pPr>
        <w:keepNext w:val="0"/>
      </w:pPr>
    </w:p>
    <w:p w14:paraId="53C4760F" w14:textId="45FDFDF8" w:rsidR="00ED01CE" w:rsidRPr="00026EC1" w:rsidRDefault="00275751" w:rsidP="00A64613">
      <w:pPr>
        <w:keepNext w:val="0"/>
        <w:tabs>
          <w:tab w:val="left" w:pos="567"/>
        </w:tabs>
        <w:ind w:left="567" w:hanging="567"/>
      </w:pPr>
      <w:r w:rsidRPr="00026EC1">
        <w:t>b)</w:t>
      </w:r>
      <w:r w:rsidRPr="00026EC1">
        <w:tab/>
      </w:r>
      <w:r w:rsidR="00ED01CE" w:rsidRPr="00026EC1">
        <w:t>Aux fins des priorités d</w:t>
      </w:r>
      <w:r w:rsidR="004A41E4" w:rsidRPr="00026EC1">
        <w:t>’</w:t>
      </w:r>
      <w:r w:rsidR="00ED01CE" w:rsidRPr="00026EC1">
        <w:t>emploi, l</w:t>
      </w:r>
      <w:r w:rsidR="004A41E4" w:rsidRPr="00026EC1">
        <w:t>’</w:t>
      </w:r>
      <w:r w:rsidR="00ED01CE" w:rsidRPr="00026EC1">
        <w:t>enseignante ou l</w:t>
      </w:r>
      <w:r w:rsidR="004A41E4" w:rsidRPr="00026EC1">
        <w:t>’</w:t>
      </w:r>
      <w:r w:rsidR="00ED01CE" w:rsidRPr="00026EC1">
        <w:t>enseignant non permanent qui donne des cours à la formation continue, des cours d</w:t>
      </w:r>
      <w:r w:rsidR="004A41E4" w:rsidRPr="00026EC1">
        <w:t>’</w:t>
      </w:r>
      <w:r w:rsidR="00ED01CE" w:rsidRPr="00026EC1">
        <w:t>été ou de la suppléance et dont la charge totale établie selon la relation suivante</w:t>
      </w:r>
      <w:r w:rsidR="00D8581B">
        <w:t> :</w:t>
      </w:r>
    </w:p>
    <w:p w14:paraId="32F1F677" w14:textId="77777777" w:rsidR="00ED01CE" w:rsidRPr="00026EC1" w:rsidRDefault="00ED01CE" w:rsidP="00A64613">
      <w:pPr>
        <w:keepNext w:val="0"/>
      </w:pPr>
    </w:p>
    <w:tbl>
      <w:tblPr>
        <w:tblW w:w="0" w:type="auto"/>
        <w:tblInd w:w="1330" w:type="dxa"/>
        <w:tblCellMar>
          <w:left w:w="70" w:type="dxa"/>
          <w:right w:w="70" w:type="dxa"/>
        </w:tblCellMar>
        <w:tblLook w:val="0000" w:firstRow="0" w:lastRow="0" w:firstColumn="0" w:lastColumn="0" w:noHBand="0" w:noVBand="0"/>
      </w:tblPr>
      <w:tblGrid>
        <w:gridCol w:w="535"/>
        <w:gridCol w:w="725"/>
        <w:gridCol w:w="4140"/>
        <w:gridCol w:w="1080"/>
        <w:gridCol w:w="540"/>
      </w:tblGrid>
      <w:tr w:rsidR="00ED01CE" w:rsidRPr="00026EC1" w14:paraId="65EE0CC5" w14:textId="77777777" w:rsidTr="00ED01CE">
        <w:trPr>
          <w:cantSplit/>
        </w:trPr>
        <w:tc>
          <w:tcPr>
            <w:tcW w:w="535" w:type="dxa"/>
            <w:tcBorders>
              <w:bottom w:val="single" w:sz="4" w:space="0" w:color="auto"/>
            </w:tcBorders>
          </w:tcPr>
          <w:p w14:paraId="078904FB" w14:textId="77777777" w:rsidR="00ED01CE" w:rsidRPr="00026EC1" w:rsidRDefault="00ED01CE" w:rsidP="00A64613">
            <w:pPr>
              <w:pStyle w:val="Header"/>
              <w:keepNext w:val="0"/>
              <w:spacing w:after="0"/>
            </w:pPr>
            <w:r w:rsidRPr="00026EC1">
              <w:t>CI</w:t>
            </w:r>
          </w:p>
        </w:tc>
        <w:tc>
          <w:tcPr>
            <w:tcW w:w="725" w:type="dxa"/>
            <w:vMerge w:val="restart"/>
            <w:vAlign w:val="center"/>
          </w:tcPr>
          <w:p w14:paraId="2E90CB2E" w14:textId="77777777" w:rsidR="00ED01CE" w:rsidRPr="00026EC1" w:rsidRDefault="00ED01CE" w:rsidP="00A64613">
            <w:pPr>
              <w:pStyle w:val="Header"/>
              <w:keepNext w:val="0"/>
              <w:spacing w:after="0"/>
            </w:pPr>
            <w:r w:rsidRPr="00026EC1">
              <w:t>+</w:t>
            </w:r>
          </w:p>
        </w:tc>
        <w:tc>
          <w:tcPr>
            <w:tcW w:w="4140" w:type="dxa"/>
            <w:tcBorders>
              <w:bottom w:val="single" w:sz="4" w:space="0" w:color="auto"/>
            </w:tcBorders>
          </w:tcPr>
          <w:p w14:paraId="03CF6DD2" w14:textId="77777777" w:rsidR="00ED01CE" w:rsidRPr="00026EC1" w:rsidRDefault="00ED01CE" w:rsidP="00A64613">
            <w:pPr>
              <w:pStyle w:val="Header"/>
              <w:keepNext w:val="0"/>
              <w:spacing w:after="0"/>
            </w:pPr>
            <w:r w:rsidRPr="00026EC1">
              <w:t>Nombre de périodes d</w:t>
            </w:r>
            <w:r w:rsidR="004A41E4" w:rsidRPr="00026EC1">
              <w:t>’</w:t>
            </w:r>
            <w:r w:rsidRPr="00026EC1">
              <w:t>enseignement</w:t>
            </w:r>
          </w:p>
        </w:tc>
        <w:tc>
          <w:tcPr>
            <w:tcW w:w="1080" w:type="dxa"/>
            <w:vMerge w:val="restart"/>
            <w:vAlign w:val="center"/>
          </w:tcPr>
          <w:p w14:paraId="47B4B70E" w14:textId="77777777" w:rsidR="00ED01CE" w:rsidRPr="00026EC1" w:rsidRDefault="00ED01CE" w:rsidP="00A64613">
            <w:pPr>
              <w:pStyle w:val="Header"/>
              <w:keepNext w:val="0"/>
              <w:spacing w:after="0"/>
            </w:pPr>
            <w:r w:rsidRPr="00026EC1">
              <w:t>atteint</w:t>
            </w:r>
          </w:p>
        </w:tc>
        <w:tc>
          <w:tcPr>
            <w:tcW w:w="540" w:type="dxa"/>
            <w:vMerge w:val="restart"/>
            <w:vAlign w:val="center"/>
          </w:tcPr>
          <w:p w14:paraId="7ADF5C8A" w14:textId="77777777" w:rsidR="00ED01CE" w:rsidRPr="00026EC1" w:rsidRDefault="00ED01CE" w:rsidP="00A64613">
            <w:pPr>
              <w:pStyle w:val="Header"/>
              <w:keepNext w:val="0"/>
              <w:spacing w:after="0"/>
            </w:pPr>
            <w:r w:rsidRPr="00026EC1">
              <w:t>1</w:t>
            </w:r>
          </w:p>
        </w:tc>
      </w:tr>
      <w:tr w:rsidR="00ED01CE" w:rsidRPr="00026EC1" w14:paraId="5DE0C4E8" w14:textId="77777777" w:rsidTr="00ED01CE">
        <w:trPr>
          <w:cantSplit/>
        </w:trPr>
        <w:tc>
          <w:tcPr>
            <w:tcW w:w="535" w:type="dxa"/>
            <w:tcBorders>
              <w:top w:val="single" w:sz="4" w:space="0" w:color="auto"/>
            </w:tcBorders>
          </w:tcPr>
          <w:p w14:paraId="786CDE78" w14:textId="77777777" w:rsidR="00ED01CE" w:rsidRPr="00026EC1" w:rsidRDefault="00ED01CE" w:rsidP="00A64613">
            <w:pPr>
              <w:keepNext w:val="0"/>
              <w:jc w:val="center"/>
            </w:pPr>
            <w:r w:rsidRPr="00026EC1">
              <w:t>80</w:t>
            </w:r>
          </w:p>
        </w:tc>
        <w:tc>
          <w:tcPr>
            <w:tcW w:w="725" w:type="dxa"/>
            <w:vMerge/>
          </w:tcPr>
          <w:p w14:paraId="039F99EF" w14:textId="77777777" w:rsidR="00ED01CE" w:rsidRPr="00026EC1" w:rsidRDefault="00ED01CE" w:rsidP="00A64613">
            <w:pPr>
              <w:keepNext w:val="0"/>
            </w:pPr>
          </w:p>
        </w:tc>
        <w:tc>
          <w:tcPr>
            <w:tcW w:w="4140" w:type="dxa"/>
            <w:tcBorders>
              <w:top w:val="single" w:sz="4" w:space="0" w:color="auto"/>
            </w:tcBorders>
          </w:tcPr>
          <w:p w14:paraId="1CE10E83" w14:textId="77777777" w:rsidR="00ED01CE" w:rsidRPr="00026EC1" w:rsidRDefault="00ED01CE" w:rsidP="00A64613">
            <w:pPr>
              <w:keepNext w:val="0"/>
              <w:jc w:val="center"/>
            </w:pPr>
            <w:r w:rsidRPr="00026EC1">
              <w:t>525</w:t>
            </w:r>
          </w:p>
        </w:tc>
        <w:tc>
          <w:tcPr>
            <w:tcW w:w="1080" w:type="dxa"/>
            <w:vMerge/>
            <w:vAlign w:val="center"/>
          </w:tcPr>
          <w:p w14:paraId="00F68346" w14:textId="77777777" w:rsidR="00ED01CE" w:rsidRPr="00026EC1" w:rsidRDefault="00ED01CE" w:rsidP="00A64613">
            <w:pPr>
              <w:keepNext w:val="0"/>
              <w:jc w:val="center"/>
            </w:pPr>
          </w:p>
        </w:tc>
        <w:tc>
          <w:tcPr>
            <w:tcW w:w="540" w:type="dxa"/>
            <w:vMerge/>
          </w:tcPr>
          <w:p w14:paraId="0C16B314" w14:textId="77777777" w:rsidR="00ED01CE" w:rsidRPr="00026EC1" w:rsidRDefault="00ED01CE" w:rsidP="00A64613">
            <w:pPr>
              <w:pStyle w:val="Header"/>
              <w:keepNext w:val="0"/>
              <w:spacing w:after="0"/>
            </w:pPr>
          </w:p>
        </w:tc>
      </w:tr>
    </w:tbl>
    <w:p w14:paraId="12EED7EE" w14:textId="77777777" w:rsidR="00ED01CE" w:rsidRPr="00026EC1" w:rsidRDefault="00ED01CE" w:rsidP="00A64613">
      <w:pPr>
        <w:keepNext w:val="0"/>
      </w:pPr>
    </w:p>
    <w:p w14:paraId="6FDE86F2" w14:textId="77777777" w:rsidR="00ED01CE" w:rsidRPr="00026EC1" w:rsidRDefault="00ED01CE" w:rsidP="00A64613">
      <w:pPr>
        <w:pStyle w:val="Texte1cm"/>
        <w:keepNext w:val="0"/>
      </w:pPr>
      <w:r w:rsidRPr="00026EC1">
        <w:t>obtient le titre d</w:t>
      </w:r>
      <w:r w:rsidR="004A41E4" w:rsidRPr="00026EC1">
        <w:t>’</w:t>
      </w:r>
      <w:r w:rsidRPr="00026EC1">
        <w:t>enseignante ou d</w:t>
      </w:r>
      <w:r w:rsidR="004A41E4" w:rsidRPr="00026EC1">
        <w:t>’</w:t>
      </w:r>
      <w:r w:rsidRPr="00026EC1">
        <w:t>enseignant à temps complet.</w:t>
      </w:r>
    </w:p>
    <w:p w14:paraId="46EBE8AD" w14:textId="77777777" w:rsidR="00ED01CE" w:rsidRPr="00026EC1" w:rsidRDefault="00ED01CE" w:rsidP="00A64613">
      <w:pPr>
        <w:keepNext w:val="0"/>
      </w:pPr>
    </w:p>
    <w:p w14:paraId="0C363F36" w14:textId="15CDA3D9" w:rsidR="006C09B4" w:rsidRPr="006C09B4" w:rsidRDefault="00275751" w:rsidP="00A64613">
      <w:pPr>
        <w:keepNext w:val="0"/>
        <w:tabs>
          <w:tab w:val="left" w:pos="567"/>
        </w:tabs>
        <w:ind w:left="567" w:hanging="567"/>
        <w:rPr>
          <w:b/>
          <w:bCs/>
        </w:rPr>
      </w:pPr>
      <w:r w:rsidRPr="00026EC1">
        <w:t>c)</w:t>
      </w:r>
      <w:r w:rsidRPr="00026EC1">
        <w:tab/>
      </w:r>
      <w:r w:rsidR="006C09B4" w:rsidRPr="00316277">
        <w:rPr>
          <w:b/>
          <w:bCs/>
        </w:rPr>
        <w:t>Enseignante ou enseignant non permanent en invalidité</w:t>
      </w:r>
    </w:p>
    <w:p w14:paraId="3C9F4703" w14:textId="2DCD299D" w:rsidR="006C09B4" w:rsidRDefault="006C09B4" w:rsidP="00A64613">
      <w:pPr>
        <w:keepNext w:val="0"/>
        <w:tabs>
          <w:tab w:val="left" w:pos="567"/>
        </w:tabs>
        <w:ind w:left="567" w:hanging="567"/>
      </w:pPr>
    </w:p>
    <w:p w14:paraId="634A0AF0" w14:textId="45740ABE" w:rsidR="00ED01CE" w:rsidRPr="00026EC1" w:rsidRDefault="006C09B4" w:rsidP="00A64613">
      <w:pPr>
        <w:keepNext w:val="0"/>
        <w:tabs>
          <w:tab w:val="left" w:pos="567"/>
        </w:tabs>
        <w:ind w:left="567" w:hanging="567"/>
      </w:pPr>
      <w:r>
        <w:tab/>
      </w:r>
      <w:r w:rsidR="00ED01CE" w:rsidRPr="00026EC1">
        <w:t>L</w:t>
      </w:r>
      <w:r w:rsidR="004A41E4" w:rsidRPr="00026EC1">
        <w:t>’</w:t>
      </w:r>
      <w:r w:rsidR="00ED01CE" w:rsidRPr="00026EC1">
        <w:t>enseignante ou l</w:t>
      </w:r>
      <w:r w:rsidR="004A41E4" w:rsidRPr="00026EC1">
        <w:t>’</w:t>
      </w:r>
      <w:r w:rsidR="00ED01CE" w:rsidRPr="00026EC1">
        <w:t>enseignant non permanent en invalidité peut faire valoir sa priorité d</w:t>
      </w:r>
      <w:r w:rsidR="004A41E4" w:rsidRPr="00026EC1">
        <w:t>’</w:t>
      </w:r>
      <w:r w:rsidR="00ED01CE" w:rsidRPr="00026EC1">
        <w:t>emploi prévue à la clause 5</w:t>
      </w:r>
      <w:r w:rsidR="00984A6F">
        <w:noBreakHyphen/>
      </w:r>
      <w:r w:rsidR="00ED01CE" w:rsidRPr="00026EC1">
        <w:t>4.17.</w:t>
      </w:r>
    </w:p>
    <w:p w14:paraId="2A928E14" w14:textId="77777777" w:rsidR="00ED01CE" w:rsidRPr="00026EC1" w:rsidRDefault="00ED01CE" w:rsidP="00A64613">
      <w:pPr>
        <w:keepNext w:val="0"/>
      </w:pPr>
    </w:p>
    <w:p w14:paraId="53615687" w14:textId="77777777" w:rsidR="007E189C" w:rsidRPr="00026EC1" w:rsidRDefault="007E189C" w:rsidP="00A64613">
      <w:pPr>
        <w:pStyle w:val="Texte1cm00000"/>
        <w:keepNext w:val="0"/>
      </w:pPr>
      <w:r w:rsidRPr="00026EC1">
        <w:t>Pendant sa période d’invalidité, le poste ou la charge obtenu en vertu de sa priorité lui est réservé jusqu’à son retour au travail. À compter de cette date, l’enseignante ou l’enseignant occupe le poste ou la charge.</w:t>
      </w:r>
    </w:p>
    <w:p w14:paraId="58415AE6" w14:textId="77777777" w:rsidR="007E189C" w:rsidRPr="00026EC1" w:rsidRDefault="007E189C" w:rsidP="00A64613">
      <w:pPr>
        <w:pStyle w:val="Texte1cm00000"/>
        <w:keepNext w:val="0"/>
      </w:pPr>
    </w:p>
    <w:p w14:paraId="5E490BEF" w14:textId="34B97F0A" w:rsidR="007E189C" w:rsidRPr="00026EC1" w:rsidRDefault="007E189C" w:rsidP="00A64613">
      <w:pPr>
        <w:pStyle w:val="Texte1cm00000"/>
        <w:keepNext w:val="0"/>
      </w:pPr>
      <w:r w:rsidRPr="00026EC1">
        <w:t>Toutefois, l’ancienneté associée à ce poste ou à cette charge lui est reconnue comme si elle ou il l’avait occupé, jusqu’à concurrence de cent quatre</w:t>
      </w:r>
      <w:r w:rsidR="001F5B69">
        <w:t> </w:t>
      </w:r>
      <w:r w:rsidRPr="00026EC1">
        <w:t>(104) semaines consécutives.</w:t>
      </w:r>
    </w:p>
    <w:p w14:paraId="335BBC9F" w14:textId="77777777" w:rsidR="007E189C" w:rsidRPr="00026EC1" w:rsidRDefault="007E189C" w:rsidP="00A64613">
      <w:pPr>
        <w:pStyle w:val="Texte1cm00000"/>
        <w:keepNext w:val="0"/>
      </w:pPr>
    </w:p>
    <w:p w14:paraId="615FEFB5" w14:textId="77777777" w:rsidR="007E189C" w:rsidRPr="00026EC1" w:rsidRDefault="007E189C" w:rsidP="00A64613">
      <w:pPr>
        <w:pStyle w:val="Texte1cm00000"/>
        <w:keepNext w:val="0"/>
      </w:pPr>
      <w:r w:rsidRPr="00026EC1">
        <w:t>De plus, cette ancienneté n’est pas créditée aux fins de l’acquisition de la permanence.</w:t>
      </w:r>
    </w:p>
    <w:p w14:paraId="387BEBB0" w14:textId="77777777" w:rsidR="007E189C" w:rsidRPr="00026EC1" w:rsidRDefault="007E189C" w:rsidP="00A64613">
      <w:pPr>
        <w:pStyle w:val="Texte1cm00000"/>
        <w:keepNext w:val="0"/>
      </w:pPr>
    </w:p>
    <w:p w14:paraId="050D9F39" w14:textId="25A3314B" w:rsidR="007E189C" w:rsidRDefault="007E189C" w:rsidP="00A64613">
      <w:pPr>
        <w:pStyle w:val="Texte1cm00000"/>
        <w:keepNext w:val="0"/>
        <w:rPr>
          <w:sz w:val="23"/>
          <w:szCs w:val="23"/>
        </w:rPr>
      </w:pPr>
      <w:r w:rsidRPr="00026EC1">
        <w:rPr>
          <w:szCs w:val="24"/>
        </w:rPr>
        <w:t>La prestation d’assurance</w:t>
      </w:r>
      <w:r w:rsidR="00FF62A7" w:rsidRPr="00026EC1">
        <w:rPr>
          <w:szCs w:val="24"/>
        </w:rPr>
        <w:t xml:space="preserve"> </w:t>
      </w:r>
      <w:r w:rsidRPr="00026EC1">
        <w:rPr>
          <w:szCs w:val="24"/>
        </w:rPr>
        <w:t>traitement lui est versée en fonction du poste ou de la charge qui lui est réservée jusqu’à concurrence de cent quatre</w:t>
      </w:r>
      <w:r w:rsidR="001F5B69">
        <w:rPr>
          <w:szCs w:val="24"/>
        </w:rPr>
        <w:t> </w:t>
      </w:r>
      <w:r w:rsidRPr="00026EC1">
        <w:rPr>
          <w:szCs w:val="24"/>
        </w:rPr>
        <w:t>(104) semaines consécutives</w:t>
      </w:r>
      <w:r w:rsidRPr="00026EC1">
        <w:rPr>
          <w:sz w:val="23"/>
          <w:szCs w:val="23"/>
        </w:rPr>
        <w:t>.</w:t>
      </w:r>
    </w:p>
    <w:p w14:paraId="48FC03D0" w14:textId="77777777" w:rsidR="006C6AD1" w:rsidRDefault="006C6AD1" w:rsidP="00A64613">
      <w:pPr>
        <w:pStyle w:val="Texte1cm00000"/>
        <w:keepNext w:val="0"/>
        <w:rPr>
          <w:sz w:val="23"/>
          <w:szCs w:val="23"/>
        </w:rPr>
      </w:pPr>
    </w:p>
    <w:p w14:paraId="426CFEB8" w14:textId="53C91F59" w:rsidR="00DF6239" w:rsidRPr="00026EC1" w:rsidRDefault="00DF6239" w:rsidP="00A64613">
      <w:pPr>
        <w:pStyle w:val="NUMRODECLAUSE"/>
        <w:keepNext w:val="0"/>
      </w:pPr>
      <w:r w:rsidRPr="00026EC1">
        <w:t>5</w:t>
      </w:r>
      <w:r w:rsidR="00984A6F">
        <w:noBreakHyphen/>
      </w:r>
      <w:r w:rsidRPr="00026EC1">
        <w:t>4.17</w:t>
      </w:r>
      <w:r w:rsidR="000906A1">
        <w:tab/>
      </w:r>
      <w:r w:rsidR="000906A1" w:rsidRPr="00316277">
        <w:rPr>
          <w:u w:val="single"/>
        </w:rPr>
        <w:t>Ordre de priorité</w:t>
      </w:r>
    </w:p>
    <w:p w14:paraId="1D0160AD" w14:textId="1967A5A5" w:rsidR="005C66E3" w:rsidRDefault="00DF6239" w:rsidP="00A64613">
      <w:pPr>
        <w:keepNext w:val="0"/>
      </w:pPr>
      <w:r w:rsidRPr="00026EC1">
        <w:t>À moins de stipulations à l</w:t>
      </w:r>
      <w:r w:rsidR="004A41E4" w:rsidRPr="00026EC1">
        <w:t>’</w:t>
      </w:r>
      <w:r w:rsidRPr="00026EC1">
        <w:t>effet contraire, l</w:t>
      </w:r>
      <w:r w:rsidR="004A41E4" w:rsidRPr="00026EC1">
        <w:t>’</w:t>
      </w:r>
      <w:r w:rsidRPr="00026EC1">
        <w:t>ancienneté utilisée par le Collège aux fins d</w:t>
      </w:r>
      <w:r w:rsidR="004A41E4" w:rsidRPr="00026EC1">
        <w:t>’</w:t>
      </w:r>
      <w:r w:rsidRPr="00026EC1">
        <w:t>application et d</w:t>
      </w:r>
      <w:r w:rsidR="004A41E4" w:rsidRPr="00026EC1">
        <w:t>’</w:t>
      </w:r>
      <w:r w:rsidRPr="00026EC1">
        <w:t>interprétation de la présente clause est celle de la liste d</w:t>
      </w:r>
      <w:r w:rsidR="004A41E4" w:rsidRPr="00026EC1">
        <w:t>’</w:t>
      </w:r>
      <w:r w:rsidRPr="00026EC1">
        <w:t>ancienneté prévue à l</w:t>
      </w:r>
      <w:r w:rsidR="004A41E4" w:rsidRPr="00026EC1">
        <w:t>’</w:t>
      </w:r>
      <w:r w:rsidRPr="00026EC1">
        <w:t>article</w:t>
      </w:r>
      <w:r w:rsidR="00BD38A6" w:rsidRPr="00026EC1">
        <w:t> </w:t>
      </w:r>
      <w:r w:rsidRPr="00026EC1">
        <w:t>5</w:t>
      </w:r>
      <w:r w:rsidR="00984A6F">
        <w:noBreakHyphen/>
      </w:r>
      <w:r w:rsidRPr="00026EC1">
        <w:t>3.00.</w:t>
      </w:r>
    </w:p>
    <w:p w14:paraId="384A5A26" w14:textId="77777777" w:rsidR="005C66E3" w:rsidRDefault="005C66E3">
      <w:pPr>
        <w:keepNext w:val="0"/>
        <w:suppressAutoHyphens w:val="0"/>
        <w:jc w:val="left"/>
      </w:pPr>
      <w:r>
        <w:br w:type="page"/>
      </w:r>
    </w:p>
    <w:p w14:paraId="26076D15" w14:textId="77777777" w:rsidR="00DF6239" w:rsidRPr="00026EC1" w:rsidRDefault="00275751" w:rsidP="00A64613">
      <w:pPr>
        <w:keepNext w:val="0"/>
        <w:tabs>
          <w:tab w:val="left" w:pos="567"/>
        </w:tabs>
        <w:ind w:left="567" w:hanging="567"/>
        <w:rPr>
          <w:b/>
          <w:bCs/>
          <w:u w:val="single"/>
        </w:rPr>
      </w:pPr>
      <w:r w:rsidRPr="00026EC1">
        <w:rPr>
          <w:b/>
          <w:bCs/>
        </w:rPr>
        <w:t>a)</w:t>
      </w:r>
      <w:r w:rsidRPr="00026EC1">
        <w:rPr>
          <w:b/>
          <w:bCs/>
        </w:rPr>
        <w:tab/>
      </w:r>
      <w:r w:rsidR="00DF6239" w:rsidRPr="00026EC1">
        <w:rPr>
          <w:b/>
          <w:bCs/>
          <w:u w:val="single"/>
        </w:rPr>
        <w:t>Ordre de priorité d</w:t>
      </w:r>
      <w:r w:rsidR="004A41E4" w:rsidRPr="00026EC1">
        <w:rPr>
          <w:b/>
          <w:bCs/>
          <w:u w:val="single"/>
        </w:rPr>
        <w:t>’</w:t>
      </w:r>
      <w:r w:rsidR="00DF6239" w:rsidRPr="00026EC1">
        <w:rPr>
          <w:b/>
          <w:bCs/>
          <w:u w:val="single"/>
        </w:rPr>
        <w:t>engagement pour un poste</w:t>
      </w:r>
    </w:p>
    <w:p w14:paraId="05F0812B" w14:textId="40B23FD6" w:rsidR="00DF6239" w:rsidRPr="00026EC1" w:rsidRDefault="00DF6239" w:rsidP="00A64613">
      <w:pPr>
        <w:pStyle w:val="Texte1cm"/>
        <w:keepNext w:val="0"/>
      </w:pPr>
      <w:r w:rsidRPr="00026EC1">
        <w:t>Lorsque le Collège comble un poste d</w:t>
      </w:r>
      <w:r w:rsidR="004A41E4" w:rsidRPr="00026EC1">
        <w:t>’</w:t>
      </w:r>
      <w:r w:rsidRPr="00026EC1">
        <w:t>enseignement disponible, il procède à l</w:t>
      </w:r>
      <w:r w:rsidR="004A41E4" w:rsidRPr="00026EC1">
        <w:t>’</w:t>
      </w:r>
      <w:r w:rsidRPr="00026EC1">
        <w:t>engagement de la candidate ou du candidat selon l</w:t>
      </w:r>
      <w:r w:rsidR="004A41E4" w:rsidRPr="00026EC1">
        <w:t>’</w:t>
      </w:r>
      <w:r w:rsidRPr="00026EC1">
        <w:t>ordre de priorité ci</w:t>
      </w:r>
      <w:r w:rsidR="00984A6F">
        <w:noBreakHyphen/>
      </w:r>
      <w:r w:rsidRPr="00026EC1">
        <w:t>dessous.</w:t>
      </w:r>
    </w:p>
    <w:p w14:paraId="76980D7C" w14:textId="77777777" w:rsidR="00DF6239" w:rsidRPr="00026EC1" w:rsidRDefault="00DF6239" w:rsidP="00A64613">
      <w:pPr>
        <w:pStyle w:val="Texte1cm"/>
        <w:keepNext w:val="0"/>
      </w:pPr>
    </w:p>
    <w:p w14:paraId="424A3719" w14:textId="1CB2E281" w:rsidR="00DF6239" w:rsidRPr="00026EC1" w:rsidRDefault="00DF6239" w:rsidP="00A64613">
      <w:pPr>
        <w:pStyle w:val="Texte1cm"/>
        <w:keepNext w:val="0"/>
      </w:pPr>
      <w:r w:rsidRPr="00026EC1">
        <w:t>Si plusieurs candidates et candidats ont la même priorité sur le même poste, dans la même discipline, le Collège procède, sans passer par le comité ou mécanisme de sélection prévu à la convention collective, à l</w:t>
      </w:r>
      <w:r w:rsidR="004A41E4" w:rsidRPr="00026EC1">
        <w:t>’</w:t>
      </w:r>
      <w:r w:rsidRPr="00026EC1">
        <w:t>engagement de celle ou de celui qui a le plus d</w:t>
      </w:r>
      <w:r w:rsidR="004A41E4" w:rsidRPr="00026EC1">
        <w:t>’</w:t>
      </w:r>
      <w:r w:rsidRPr="00026EC1">
        <w:t>ancienneté et, à ancienneté égale, de celle ou de celui qui a le plus d</w:t>
      </w:r>
      <w:r w:rsidR="004A41E4" w:rsidRPr="00026EC1">
        <w:t>’</w:t>
      </w:r>
      <w:r w:rsidRPr="00026EC1">
        <w:t>expérience et, à expérience égale, de celle ou de celui qui a le plus de scolarité, sous réserve, s</w:t>
      </w:r>
      <w:r w:rsidR="004A41E4" w:rsidRPr="00026EC1">
        <w:t>’</w:t>
      </w:r>
      <w:r w:rsidRPr="00026EC1">
        <w:t>il y a lieu, du programme d</w:t>
      </w:r>
      <w:r w:rsidR="004A41E4" w:rsidRPr="00026EC1">
        <w:t>’</w:t>
      </w:r>
      <w:r w:rsidRPr="00026EC1">
        <w:t>accès à l</w:t>
      </w:r>
      <w:r w:rsidR="004A41E4" w:rsidRPr="00026EC1">
        <w:t>’</w:t>
      </w:r>
      <w:r w:rsidRPr="00026EC1">
        <w:t>égalité en emploi établi conformément à l</w:t>
      </w:r>
      <w:r w:rsidR="004A41E4" w:rsidRPr="00026EC1">
        <w:t>’</w:t>
      </w:r>
      <w:r w:rsidRPr="00026EC1">
        <w:t>article 2</w:t>
      </w:r>
      <w:r w:rsidR="00984A6F">
        <w:noBreakHyphen/>
      </w:r>
      <w:r w:rsidRPr="00026EC1">
        <w:t>4.00, au regard de la priorité</w:t>
      </w:r>
      <w:r w:rsidR="00B9550F" w:rsidRPr="00316277">
        <w:t xml:space="preserve"> 4 (deuxième (2</w:t>
      </w:r>
      <w:r w:rsidR="00B9550F" w:rsidRPr="00316277">
        <w:rPr>
          <w:vertAlign w:val="superscript"/>
        </w:rPr>
        <w:t>e</w:t>
      </w:r>
      <w:r w:rsidR="00B9550F" w:rsidRPr="00316277">
        <w:t>) paragraphe),</w:t>
      </w:r>
      <w:r w:rsidRPr="00026EC1">
        <w:t xml:space="preserve"> 6 (quatrième (4</w:t>
      </w:r>
      <w:r w:rsidRPr="00026EC1">
        <w:rPr>
          <w:vertAlign w:val="superscript"/>
        </w:rPr>
        <w:t>e</w:t>
      </w:r>
      <w:r w:rsidRPr="00026EC1">
        <w:t>) paragraph</w:t>
      </w:r>
      <w:r w:rsidR="001576BA">
        <w:t>e) et des priorités 7 à 9, 14 à 19</w:t>
      </w:r>
      <w:r w:rsidRPr="00026EC1">
        <w:rPr>
          <w:i/>
          <w:iCs/>
        </w:rPr>
        <w:t xml:space="preserve">. </w:t>
      </w:r>
      <w:r w:rsidRPr="00026EC1">
        <w:t>Cependant, lorsque l</w:t>
      </w:r>
      <w:r w:rsidR="004A41E4" w:rsidRPr="00026EC1">
        <w:t>’</w:t>
      </w:r>
      <w:r w:rsidRPr="00026EC1">
        <w:t>ancienneté, l</w:t>
      </w:r>
      <w:r w:rsidR="004A41E4" w:rsidRPr="00026EC1">
        <w:t>’</w:t>
      </w:r>
      <w:r w:rsidRPr="00026EC1">
        <w:t>expérience et la scolarité sont identiques, le Bureau de placement transmet au Collège visé les dossiers des candidates et candidats aux fins de sélection par le comité ou mécanisme de sélection prévu à la convention collective.</w:t>
      </w:r>
    </w:p>
    <w:p w14:paraId="34308709" w14:textId="77777777" w:rsidR="00DF6239" w:rsidRPr="00026EC1" w:rsidRDefault="00DF6239" w:rsidP="00A64613">
      <w:pPr>
        <w:pStyle w:val="Texte1cm"/>
        <w:keepNext w:val="0"/>
      </w:pPr>
    </w:p>
    <w:p w14:paraId="44B92CA6" w14:textId="77777777" w:rsidR="00DF6239" w:rsidRPr="00026EC1" w:rsidRDefault="00DF6239" w:rsidP="00A64613">
      <w:pPr>
        <w:pStyle w:val="Texte1cm"/>
        <w:keepNext w:val="0"/>
      </w:pPr>
      <w:r w:rsidRPr="00026EC1">
        <w:t>Toutefois, si plusieurs candidates et candidats n</w:t>
      </w:r>
      <w:r w:rsidR="004A41E4" w:rsidRPr="00026EC1">
        <w:t>’</w:t>
      </w:r>
      <w:r w:rsidRPr="00026EC1">
        <w:t>ayant aucune ancienneté ont la même priorité sur le même poste, dans la même discipline, le Collège procède à l</w:t>
      </w:r>
      <w:r w:rsidR="004A41E4" w:rsidRPr="00026EC1">
        <w:t>’</w:t>
      </w:r>
      <w:r w:rsidRPr="00026EC1">
        <w:t xml:space="preserve">engagement de celle ou </w:t>
      </w:r>
      <w:r w:rsidR="00ED01CE" w:rsidRPr="00026EC1">
        <w:t xml:space="preserve">de </w:t>
      </w:r>
      <w:r w:rsidRPr="00026EC1">
        <w:t>celui dont la date officielle d</w:t>
      </w:r>
      <w:r w:rsidR="004A41E4" w:rsidRPr="00026EC1">
        <w:t>’</w:t>
      </w:r>
      <w:r w:rsidRPr="00026EC1">
        <w:t xml:space="preserve">embauche est la plus ancienne et, à date égale, </w:t>
      </w:r>
      <w:r w:rsidR="005A2D77" w:rsidRPr="00026EC1">
        <w:t xml:space="preserve">de </w:t>
      </w:r>
      <w:r w:rsidRPr="00026EC1">
        <w:t>cel</w:t>
      </w:r>
      <w:r w:rsidR="005A2D77" w:rsidRPr="00026EC1">
        <w:t>le</w:t>
      </w:r>
      <w:r w:rsidRPr="00026EC1">
        <w:t xml:space="preserve"> ou </w:t>
      </w:r>
      <w:r w:rsidR="005A2D77" w:rsidRPr="00026EC1">
        <w:t xml:space="preserve">de </w:t>
      </w:r>
      <w:r w:rsidRPr="00026EC1">
        <w:t>ce</w:t>
      </w:r>
      <w:r w:rsidR="005A2D77" w:rsidRPr="00026EC1">
        <w:t>lui</w:t>
      </w:r>
      <w:r w:rsidRPr="00026EC1">
        <w:t xml:space="preserve"> dont la date de la recommandation du comité de sélection est la plus ancienne et, à date égale, selon l</w:t>
      </w:r>
      <w:r w:rsidR="004A41E4" w:rsidRPr="00026EC1">
        <w:t>’</w:t>
      </w:r>
      <w:r w:rsidRPr="00026EC1">
        <w:t>ordre d</w:t>
      </w:r>
      <w:r w:rsidR="004A41E4" w:rsidRPr="00026EC1">
        <w:t>’</w:t>
      </w:r>
      <w:r w:rsidRPr="00026EC1">
        <w:t>engagement déterminé par le comité de sélection, sans égard à la charge d</w:t>
      </w:r>
      <w:r w:rsidR="004A41E4" w:rsidRPr="00026EC1">
        <w:t>’</w:t>
      </w:r>
      <w:r w:rsidRPr="00026EC1">
        <w:t xml:space="preserve">enseignement qui lui est attribuée. </w:t>
      </w:r>
    </w:p>
    <w:p w14:paraId="0EF2C7FB" w14:textId="77777777" w:rsidR="00957CC4" w:rsidRPr="00026EC1" w:rsidRDefault="00957CC4" w:rsidP="00A64613">
      <w:pPr>
        <w:pStyle w:val="Texte1cm"/>
        <w:keepNext w:val="0"/>
      </w:pPr>
    </w:p>
    <w:p w14:paraId="12EE9C56" w14:textId="100F8127" w:rsidR="00DF6239" w:rsidRPr="00026EC1" w:rsidRDefault="00DF6239" w:rsidP="00A64613">
      <w:pPr>
        <w:pStyle w:val="Texte1cm"/>
        <w:keepNext w:val="0"/>
      </w:pPr>
      <w:r w:rsidRPr="00026EC1">
        <w:t>Lorsqu</w:t>
      </w:r>
      <w:r w:rsidR="004A41E4" w:rsidRPr="00026EC1">
        <w:t>’</w:t>
      </w:r>
      <w:r w:rsidRPr="00026EC1">
        <w:t>il s</w:t>
      </w:r>
      <w:r w:rsidR="004A41E4" w:rsidRPr="00026EC1">
        <w:t>’</w:t>
      </w:r>
      <w:r w:rsidRPr="00026EC1">
        <w:t>agit d</w:t>
      </w:r>
      <w:r w:rsidR="004A41E4" w:rsidRPr="00026EC1">
        <w:t>’</w:t>
      </w:r>
      <w:r w:rsidRPr="00026EC1">
        <w:t>un changement de discipline, les dispositions du sous</w:t>
      </w:r>
      <w:r w:rsidR="00984A6F">
        <w:noBreakHyphen/>
      </w:r>
      <w:r w:rsidRPr="00026EC1">
        <w:t>alinéa 2 de l</w:t>
      </w:r>
      <w:r w:rsidR="004A41E4" w:rsidRPr="00026EC1">
        <w:t>’</w:t>
      </w:r>
      <w:r w:rsidRPr="00026EC1">
        <w:t>alinéa F) de la clause 5</w:t>
      </w:r>
      <w:r w:rsidR="00984A6F">
        <w:noBreakHyphen/>
      </w:r>
      <w:r w:rsidRPr="00026EC1">
        <w:t>4.07 s</w:t>
      </w:r>
      <w:r w:rsidR="004A41E4" w:rsidRPr="00026EC1">
        <w:t>’</w:t>
      </w:r>
      <w:r w:rsidRPr="00026EC1">
        <w:t>appliquent.</w:t>
      </w:r>
    </w:p>
    <w:p w14:paraId="66F052E6" w14:textId="77777777" w:rsidR="00DF6239" w:rsidRPr="00026EC1" w:rsidRDefault="00DF6239" w:rsidP="00A64613">
      <w:pPr>
        <w:pStyle w:val="Texte1cm"/>
        <w:keepNext w:val="0"/>
      </w:pPr>
    </w:p>
    <w:p w14:paraId="2CA94295" w14:textId="77777777" w:rsidR="00DF6239" w:rsidRPr="00026EC1" w:rsidRDefault="00DF6239" w:rsidP="00A64613">
      <w:pPr>
        <w:pStyle w:val="Texte1cm"/>
        <w:keepNext w:val="0"/>
      </w:pPr>
      <w:r w:rsidRPr="00026EC1">
        <w:t>Un poste ne peut être refusé à une enseignante ou un enseignant non permanent de la discipline visée qui a à son crédit au moins trois (3) années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si sa candidature n</w:t>
      </w:r>
      <w:r w:rsidR="004A41E4" w:rsidRPr="00026EC1">
        <w:t>’</w:t>
      </w:r>
      <w:r w:rsidRPr="00026EC1">
        <w:t>a pas été analysée par le comité de sélection.</w:t>
      </w:r>
    </w:p>
    <w:p w14:paraId="746C1FB9" w14:textId="77777777" w:rsidR="00DF6239" w:rsidRPr="00026EC1" w:rsidRDefault="00DF6239" w:rsidP="00A64613">
      <w:pPr>
        <w:pStyle w:val="Texte1cm"/>
        <w:keepNext w:val="0"/>
      </w:pPr>
    </w:p>
    <w:p w14:paraId="7309F4FD" w14:textId="015D178E" w:rsidR="008F690F" w:rsidRPr="00026EC1" w:rsidRDefault="008F690F" w:rsidP="00A64613">
      <w:pPr>
        <w:pStyle w:val="Texte1cm"/>
        <w:keepNext w:val="0"/>
      </w:pPr>
      <w:r w:rsidRPr="00026EC1">
        <w:t>L’enseignante ou l’enseignant visé par une offre générale de service, convenue conformément à la clause</w:t>
      </w:r>
      <w:r w:rsidR="001F5B69">
        <w:t> </w:t>
      </w:r>
      <w:r w:rsidRPr="00026EC1">
        <w:t>5</w:t>
      </w:r>
      <w:r w:rsidR="00984A6F">
        <w:noBreakHyphen/>
      </w:r>
      <w:r w:rsidRPr="00026EC1">
        <w:t>1.11, n’a pas à poser sa candidature par écrit.</w:t>
      </w:r>
    </w:p>
    <w:p w14:paraId="6008869E" w14:textId="77777777" w:rsidR="00D82DA7" w:rsidRPr="00026EC1" w:rsidRDefault="00D82DA7" w:rsidP="00A64613">
      <w:pPr>
        <w:pStyle w:val="Texte1cm"/>
        <w:keepNext w:val="0"/>
      </w:pPr>
    </w:p>
    <w:p w14:paraId="42214D37" w14:textId="24727974" w:rsidR="00DF6239" w:rsidRPr="00026EC1" w:rsidRDefault="00DF6239" w:rsidP="00A64613">
      <w:pPr>
        <w:pStyle w:val="Texte1cm"/>
        <w:keepNext w:val="0"/>
      </w:pPr>
      <w:r w:rsidRPr="00026EC1">
        <w:t>L</w:t>
      </w:r>
      <w:r w:rsidR="004A41E4" w:rsidRPr="00026EC1">
        <w:t>’</w:t>
      </w:r>
      <w:r w:rsidRPr="00026EC1">
        <w:t>ordre d</w:t>
      </w:r>
      <w:r w:rsidR="004A41E4" w:rsidRPr="00026EC1">
        <w:t>’</w:t>
      </w:r>
      <w:r w:rsidRPr="00026EC1">
        <w:t>engagement est le suivant</w:t>
      </w:r>
      <w:r w:rsidR="00D8581B">
        <w:t> :</w:t>
      </w:r>
    </w:p>
    <w:p w14:paraId="129C0D73" w14:textId="77777777" w:rsidR="00DF6239" w:rsidRPr="00026EC1" w:rsidRDefault="00DF6239" w:rsidP="00A64613">
      <w:pPr>
        <w:pStyle w:val="Texte1cm"/>
        <w:keepNext w:val="0"/>
      </w:pPr>
    </w:p>
    <w:p w14:paraId="07BCBFC9" w14:textId="74E12AD2" w:rsidR="00DF6239" w:rsidRPr="00026EC1" w:rsidRDefault="00275751" w:rsidP="00A64613">
      <w:pPr>
        <w:keepNext w:val="0"/>
        <w:tabs>
          <w:tab w:val="left" w:pos="1134"/>
        </w:tabs>
        <w:ind w:left="1134" w:hanging="567"/>
      </w:pPr>
      <w:r w:rsidRPr="00026EC1">
        <w:t>1.</w:t>
      </w:r>
      <w:r w:rsidRPr="00026EC1">
        <w:tab/>
      </w:r>
      <w:r w:rsidR="00DF6239" w:rsidRPr="00026EC1">
        <w:t>l</w:t>
      </w:r>
      <w:r w:rsidR="004A41E4" w:rsidRPr="00026EC1">
        <w:t>’</w:t>
      </w:r>
      <w:r w:rsidR="00DF6239" w:rsidRPr="00026EC1">
        <w:t>enseignante ou l</w:t>
      </w:r>
      <w:r w:rsidR="004A41E4" w:rsidRPr="00026EC1">
        <w:t>’</w:t>
      </w:r>
      <w:r w:rsidR="00DF6239" w:rsidRPr="00026EC1">
        <w:t>enseignant du Collège visé par l</w:t>
      </w:r>
      <w:r w:rsidR="004A41E4" w:rsidRPr="00026EC1">
        <w:t>’</w:t>
      </w:r>
      <w:r w:rsidR="00DF6239" w:rsidRPr="00026EC1">
        <w:t>alinéa A) ou I) de la clause 5</w:t>
      </w:r>
      <w:r w:rsidR="00984A6F">
        <w:noBreakHyphen/>
      </w:r>
      <w:r w:rsidR="00DF6239" w:rsidRPr="00026EC1">
        <w:t>4.07, pour un poste dans sa discipline;</w:t>
      </w:r>
    </w:p>
    <w:p w14:paraId="6F162EAD" w14:textId="77777777" w:rsidR="00DF6239" w:rsidRPr="00026EC1" w:rsidRDefault="00DF6239" w:rsidP="00A64613">
      <w:pPr>
        <w:pStyle w:val="Texte1cm00000"/>
        <w:keepNext w:val="0"/>
      </w:pPr>
    </w:p>
    <w:p w14:paraId="41098694" w14:textId="6AFA447C" w:rsidR="00DF6239" w:rsidRPr="00026EC1" w:rsidRDefault="00275751" w:rsidP="00A64613">
      <w:pPr>
        <w:keepNext w:val="0"/>
        <w:tabs>
          <w:tab w:val="left" w:pos="1134"/>
        </w:tabs>
        <w:ind w:left="1134" w:hanging="567"/>
      </w:pPr>
      <w:r w:rsidRPr="00026EC1">
        <w:t>2.</w:t>
      </w:r>
      <w:r w:rsidRPr="00026EC1">
        <w:tab/>
      </w:r>
      <w:r w:rsidR="00DF6239" w:rsidRPr="00026EC1">
        <w:t>l</w:t>
      </w:r>
      <w:r w:rsidR="004A41E4" w:rsidRPr="00026EC1">
        <w:t>’</w:t>
      </w:r>
      <w:r w:rsidR="00DF6239" w:rsidRPr="00026EC1">
        <w:t>enseignante ou l</w:t>
      </w:r>
      <w:r w:rsidR="004A41E4" w:rsidRPr="00026EC1">
        <w:t>’</w:t>
      </w:r>
      <w:r w:rsidR="00DF6239" w:rsidRPr="00026EC1">
        <w:t>enseignant du Collège visé par l</w:t>
      </w:r>
      <w:r w:rsidR="004A41E4" w:rsidRPr="00026EC1">
        <w:t>’</w:t>
      </w:r>
      <w:r w:rsidR="00DF6239" w:rsidRPr="00026EC1">
        <w:t>alinéa A) ou par l</w:t>
      </w:r>
      <w:r w:rsidR="004A41E4" w:rsidRPr="00026EC1">
        <w:t>’</w:t>
      </w:r>
      <w:r w:rsidR="00DF6239" w:rsidRPr="00026EC1">
        <w:t>alinéa I) de la clause 5</w:t>
      </w:r>
      <w:r w:rsidR="00984A6F">
        <w:noBreakHyphen/>
      </w:r>
      <w:r w:rsidR="00DF6239" w:rsidRPr="00026EC1">
        <w:t>4.07, pour un poste dans une autre discipline</w:t>
      </w:r>
    </w:p>
    <w:p w14:paraId="257CAC9D" w14:textId="77777777" w:rsidR="00DF6239" w:rsidRPr="00026EC1" w:rsidRDefault="00DF6239" w:rsidP="00A64613">
      <w:pPr>
        <w:pStyle w:val="Texte2cm"/>
        <w:keepNext w:val="0"/>
      </w:pPr>
    </w:p>
    <w:p w14:paraId="3AF6DC80" w14:textId="77777777" w:rsidR="00DF6239" w:rsidRPr="00026EC1" w:rsidRDefault="00DF6239" w:rsidP="00A64613">
      <w:pPr>
        <w:keepNext w:val="0"/>
        <w:ind w:left="1134"/>
      </w:pPr>
      <w:r w:rsidRPr="00026EC1">
        <w:t>ou</w:t>
      </w:r>
    </w:p>
    <w:p w14:paraId="2B75EFB2" w14:textId="77777777" w:rsidR="00DF6239" w:rsidRPr="00026EC1" w:rsidRDefault="00DF6239" w:rsidP="00A64613">
      <w:pPr>
        <w:pStyle w:val="Texte2cm"/>
        <w:keepNext w:val="0"/>
      </w:pPr>
    </w:p>
    <w:p w14:paraId="6679474B" w14:textId="77777777" w:rsidR="00DF6239" w:rsidRPr="00026EC1" w:rsidRDefault="00DF6239" w:rsidP="00A64613">
      <w:pPr>
        <w:keepNext w:val="0"/>
        <w:ind w:left="1134"/>
      </w:pPr>
      <w:r w:rsidRPr="00026EC1">
        <w:t>l</w:t>
      </w:r>
      <w:r w:rsidR="004A41E4" w:rsidRPr="00026EC1">
        <w:t>’</w:t>
      </w:r>
      <w:r w:rsidRPr="00026EC1">
        <w:t>enseignante ou l</w:t>
      </w:r>
      <w:r w:rsidR="004A41E4" w:rsidRPr="00026EC1">
        <w:t>’</w:t>
      </w:r>
      <w:r w:rsidRPr="00026EC1">
        <w:t>enseignant permanent du Collège d</w:t>
      </w:r>
      <w:r w:rsidR="004A41E4" w:rsidRPr="00026EC1">
        <w:t>’</w:t>
      </w:r>
      <w:r w:rsidRPr="00026EC1">
        <w:t>une discipline où il y a une enseignante ou un enseignant mis en disponibilité, pour un poste dans une autre discipline, si elle ou il pose sa candidature par écrit dans les délais prévus à la convention collective;</w:t>
      </w:r>
    </w:p>
    <w:p w14:paraId="55B0FAF6" w14:textId="77777777" w:rsidR="00DF6239" w:rsidRPr="00026EC1" w:rsidRDefault="00DF6239" w:rsidP="00A64613">
      <w:pPr>
        <w:keepNext w:val="0"/>
        <w:ind w:left="567"/>
      </w:pPr>
    </w:p>
    <w:p w14:paraId="01988CBB" w14:textId="206D1B86" w:rsidR="00DF6239" w:rsidRPr="00026EC1" w:rsidRDefault="00275751" w:rsidP="00A64613">
      <w:pPr>
        <w:keepNext w:val="0"/>
        <w:tabs>
          <w:tab w:val="left" w:pos="1134"/>
        </w:tabs>
        <w:ind w:left="1134" w:hanging="567"/>
      </w:pPr>
      <w:r w:rsidRPr="00026EC1">
        <w:t>3.</w:t>
      </w:r>
      <w:r w:rsidRPr="00026EC1">
        <w:tab/>
      </w:r>
      <w:r w:rsidR="00DF6239" w:rsidRPr="00026EC1">
        <w:t>l</w:t>
      </w:r>
      <w:r w:rsidR="004A41E4" w:rsidRPr="00026EC1">
        <w:t>’</w:t>
      </w:r>
      <w:r w:rsidR="00DF6239" w:rsidRPr="00026EC1">
        <w:t>enseignante ou l</w:t>
      </w:r>
      <w:r w:rsidR="004A41E4" w:rsidRPr="00026EC1">
        <w:t>’</w:t>
      </w:r>
      <w:r w:rsidR="00DF6239" w:rsidRPr="00026EC1">
        <w:t>enseignant permanent du Collège pour qui le Collège réserve un poste en application de l</w:t>
      </w:r>
      <w:r w:rsidR="004A41E4" w:rsidRPr="00026EC1">
        <w:t>’</w:t>
      </w:r>
      <w:r w:rsidR="00DF6239" w:rsidRPr="00026EC1">
        <w:t>alinéa E) de la clause 5</w:t>
      </w:r>
      <w:r w:rsidR="00984A6F">
        <w:noBreakHyphen/>
      </w:r>
      <w:r w:rsidR="00DF6239" w:rsidRPr="00026EC1">
        <w:t>4.21;</w:t>
      </w:r>
    </w:p>
    <w:p w14:paraId="545BA1D9" w14:textId="77777777" w:rsidR="00DF6239" w:rsidRPr="00026EC1" w:rsidRDefault="00DF6239" w:rsidP="00A64613">
      <w:pPr>
        <w:pStyle w:val="Texte1cm"/>
        <w:keepNext w:val="0"/>
      </w:pPr>
    </w:p>
    <w:p w14:paraId="5A5CD959" w14:textId="7406F6EC" w:rsidR="00DF6239" w:rsidRDefault="00275751" w:rsidP="003B3A05">
      <w:pPr>
        <w:keepNext w:val="0"/>
        <w:tabs>
          <w:tab w:val="left" w:pos="1134"/>
        </w:tabs>
        <w:ind w:left="1134" w:hanging="567"/>
      </w:pPr>
      <w:r w:rsidRPr="00026EC1">
        <w:t>4.</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 1 de l</w:t>
      </w:r>
      <w:r w:rsidR="004A41E4" w:rsidRPr="00026EC1">
        <w:t>’</w:t>
      </w:r>
      <w:r w:rsidR="00DF6239" w:rsidRPr="00026EC1">
        <w:t>alinéa F) de la clause 5</w:t>
      </w:r>
      <w:r w:rsidR="00984A6F">
        <w:noBreakHyphen/>
      </w:r>
      <w:r w:rsidR="00DF6239" w:rsidRPr="00026EC1">
        <w:t>4.07, pour un poste dans sa discipline;</w:t>
      </w:r>
    </w:p>
    <w:p w14:paraId="4A3BA562" w14:textId="77777777" w:rsidR="003B3A05" w:rsidRDefault="003B3A05" w:rsidP="003B3A05">
      <w:pPr>
        <w:keepNext w:val="0"/>
        <w:tabs>
          <w:tab w:val="left" w:pos="1134"/>
        </w:tabs>
        <w:ind w:left="1134" w:hanging="567"/>
      </w:pPr>
    </w:p>
    <w:p w14:paraId="6929A25B" w14:textId="26510474" w:rsidR="00C37429" w:rsidRDefault="003B3A05" w:rsidP="003B3A05">
      <w:pPr>
        <w:pStyle w:val="N-FNEEQ"/>
        <w:spacing w:before="0" w:after="0" w:line="240" w:lineRule="auto"/>
        <w:ind w:left="567" w:firstLine="567"/>
        <w:rPr>
          <w:rFonts w:ascii="Arial" w:eastAsia="Times New Roman" w:hAnsi="Arial" w:cs="Times New Roman"/>
          <w:snapToGrid w:val="0"/>
          <w:color w:val="auto"/>
          <w:sz w:val="24"/>
          <w:lang w:eastAsia="fr-FR"/>
        </w:rPr>
      </w:pPr>
      <w:r>
        <w:rPr>
          <w:rFonts w:ascii="Arial" w:eastAsia="Times New Roman" w:hAnsi="Arial" w:cs="Times New Roman"/>
          <w:snapToGrid w:val="0"/>
          <w:color w:val="auto"/>
          <w:sz w:val="24"/>
          <w:lang w:eastAsia="fr-FR"/>
        </w:rPr>
        <w:t>o</w:t>
      </w:r>
      <w:r w:rsidR="00C37429" w:rsidRPr="00C37429">
        <w:rPr>
          <w:rFonts w:ascii="Arial" w:eastAsia="Times New Roman" w:hAnsi="Arial" w:cs="Times New Roman"/>
          <w:snapToGrid w:val="0"/>
          <w:color w:val="auto"/>
          <w:sz w:val="24"/>
          <w:lang w:eastAsia="fr-FR"/>
        </w:rPr>
        <w:t>u</w:t>
      </w:r>
    </w:p>
    <w:p w14:paraId="77C68AF6" w14:textId="77777777" w:rsidR="003B3A05" w:rsidRDefault="003B3A05" w:rsidP="003B3A05">
      <w:pPr>
        <w:pStyle w:val="N-FNEEQ"/>
        <w:spacing w:before="0" w:after="0" w:line="240" w:lineRule="auto"/>
        <w:ind w:left="567" w:firstLine="567"/>
        <w:rPr>
          <w:rFonts w:ascii="Arial" w:eastAsia="Times New Roman" w:hAnsi="Arial" w:cs="Times New Roman"/>
          <w:snapToGrid w:val="0"/>
          <w:color w:val="auto"/>
          <w:sz w:val="24"/>
          <w:lang w:eastAsia="fr-FR"/>
        </w:rPr>
      </w:pPr>
    </w:p>
    <w:p w14:paraId="370B16A1" w14:textId="065910F5" w:rsidR="00DF6239" w:rsidRDefault="00C37429" w:rsidP="003B3A05">
      <w:pPr>
        <w:pStyle w:val="Titre-Cl-FNEEQ"/>
        <w:keepNext w:val="0"/>
        <w:spacing w:before="0" w:after="0" w:line="240" w:lineRule="auto"/>
        <w:ind w:left="1134"/>
        <w:rPr>
          <w:rFonts w:ascii="Arial" w:eastAsia="Times New Roman" w:hAnsi="Arial" w:cs="Times New Roman"/>
          <w:b w:val="0"/>
          <w:bCs w:val="0"/>
          <w:snapToGrid w:val="0"/>
          <w:color w:val="auto"/>
          <w:sz w:val="24"/>
          <w:szCs w:val="20"/>
          <w:lang w:eastAsia="fr-FR"/>
        </w:rPr>
      </w:pPr>
      <w:r w:rsidRPr="00316277">
        <w:rPr>
          <w:rFonts w:ascii="Arial" w:eastAsia="Times New Roman" w:hAnsi="Arial" w:cs="Times New Roman"/>
          <w:b w:val="0"/>
          <w:bCs w:val="0"/>
          <w:snapToGrid w:val="0"/>
          <w:color w:val="auto"/>
          <w:sz w:val="24"/>
          <w:szCs w:val="20"/>
          <w:lang w:eastAsia="fr-FR"/>
        </w:rPr>
        <w:t>l’enseignante ou l’enseignant non permanent du Collège qui a à son crédit au moins dix (10) années d’ancienneté au dernier jour de l’année d’engagement précédant celle du poste à combler pour les trois</w:t>
      </w:r>
      <w:r w:rsidR="005C4B75" w:rsidRPr="00316277">
        <w:rPr>
          <w:rFonts w:ascii="Arial" w:eastAsia="Times New Roman" w:hAnsi="Arial" w:cs="Times New Roman"/>
          <w:b w:val="0"/>
          <w:bCs w:val="0"/>
          <w:snapToGrid w:val="0"/>
          <w:color w:val="auto"/>
          <w:sz w:val="24"/>
          <w:szCs w:val="20"/>
          <w:lang w:eastAsia="fr-FR"/>
        </w:rPr>
        <w:t> </w:t>
      </w:r>
      <w:r w:rsidRPr="00316277">
        <w:rPr>
          <w:rFonts w:ascii="Arial" w:eastAsia="Times New Roman" w:hAnsi="Arial" w:cs="Times New Roman"/>
          <w:b w:val="0"/>
          <w:bCs w:val="0"/>
          <w:snapToGrid w:val="0"/>
          <w:color w:val="auto"/>
          <w:sz w:val="24"/>
          <w:szCs w:val="20"/>
          <w:lang w:eastAsia="fr-FR"/>
        </w:rPr>
        <w:t>(3) années qui suivent l’échéance de son dernier contrat dans la discipline du poste, si elle ou il pose sa candidature par écrit dans les délais prévus à la convention collective ;</w:t>
      </w:r>
    </w:p>
    <w:p w14:paraId="21EC4A5E" w14:textId="77777777" w:rsidR="003B3A05" w:rsidRPr="0093302F" w:rsidRDefault="003B3A05" w:rsidP="003B3A05">
      <w:pPr>
        <w:pStyle w:val="Titre-Cl-FNEEQ"/>
        <w:keepNext w:val="0"/>
        <w:spacing w:before="0" w:after="0" w:line="240" w:lineRule="auto"/>
        <w:ind w:left="1134"/>
        <w:rPr>
          <w:color w:val="auto"/>
        </w:rPr>
      </w:pPr>
    </w:p>
    <w:p w14:paraId="3F6FFC86" w14:textId="3CCAAB29" w:rsidR="00DF6239" w:rsidRPr="00026EC1" w:rsidRDefault="00275751" w:rsidP="00A64613">
      <w:pPr>
        <w:keepNext w:val="0"/>
        <w:tabs>
          <w:tab w:val="left" w:pos="1134"/>
        </w:tabs>
        <w:ind w:left="1134" w:hanging="567"/>
      </w:pPr>
      <w:r w:rsidRPr="00026EC1">
        <w:t>5.</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collège d</w:t>
      </w:r>
      <w:r w:rsidR="004A41E4" w:rsidRPr="00026EC1">
        <w:t>’</w:t>
      </w:r>
      <w:r w:rsidR="00DF6239" w:rsidRPr="00026EC1">
        <w:t>une autre zone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 1 de l</w:t>
      </w:r>
      <w:r w:rsidR="004A41E4" w:rsidRPr="00026EC1">
        <w:t>’</w:t>
      </w:r>
      <w:r w:rsidR="00DF6239" w:rsidRPr="00026EC1">
        <w:t>alinéa F) de la clause 5</w:t>
      </w:r>
      <w:r w:rsidR="00984A6F">
        <w:noBreakHyphen/>
      </w:r>
      <w:r w:rsidR="00DF6239" w:rsidRPr="00026EC1">
        <w:t>4.07, pour un poste dans sa discipline;</w:t>
      </w:r>
    </w:p>
    <w:p w14:paraId="463778F2" w14:textId="77777777" w:rsidR="00DF6239" w:rsidRPr="00026EC1" w:rsidRDefault="00DF6239" w:rsidP="00A64613">
      <w:pPr>
        <w:keepNext w:val="0"/>
        <w:ind w:left="567"/>
      </w:pPr>
    </w:p>
    <w:p w14:paraId="5927B4B4" w14:textId="0CFE8897" w:rsidR="00DF6239" w:rsidRPr="00026EC1" w:rsidRDefault="00275751" w:rsidP="00A64613">
      <w:pPr>
        <w:keepNext w:val="0"/>
        <w:tabs>
          <w:tab w:val="left" w:pos="1134"/>
        </w:tabs>
        <w:ind w:left="1134" w:hanging="567"/>
      </w:pPr>
      <w:r w:rsidRPr="00026EC1">
        <w:t>6.</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dont le nom est transmis au Collège par le Bureau de placement</w:t>
      </w:r>
      <w:r w:rsidR="00DF6239" w:rsidRPr="00026EC1">
        <w:rPr>
          <w:bCs/>
        </w:rPr>
        <w:t xml:space="preserve"> </w:t>
      </w:r>
      <w:r w:rsidR="00DF6239" w:rsidRPr="00026EC1">
        <w:t>selon les dispositions du sous</w:t>
      </w:r>
      <w:r w:rsidR="00984A6F">
        <w:noBreakHyphen/>
      </w:r>
      <w:r w:rsidR="00DF6239" w:rsidRPr="00026EC1">
        <w:t>alinéa 1 de l</w:t>
      </w:r>
      <w:r w:rsidR="004A41E4" w:rsidRPr="00026EC1">
        <w:t>’</w:t>
      </w:r>
      <w:r w:rsidR="00DF6239" w:rsidRPr="00026EC1">
        <w:t>alinéa F) de la clause 5</w:t>
      </w:r>
      <w:r w:rsidR="00984A6F">
        <w:noBreakHyphen/>
      </w:r>
      <w:r w:rsidR="00DF6239" w:rsidRPr="00026EC1">
        <w:t>4.07, pour un poste dans sa discipline</w:t>
      </w:r>
    </w:p>
    <w:p w14:paraId="634C4098" w14:textId="77777777" w:rsidR="00DF6239" w:rsidRPr="00026EC1" w:rsidRDefault="00DF6239" w:rsidP="00A64613">
      <w:pPr>
        <w:pStyle w:val="Texte2cm"/>
        <w:keepNext w:val="0"/>
        <w:ind w:left="0"/>
      </w:pPr>
    </w:p>
    <w:p w14:paraId="7F56F3F0" w14:textId="77777777" w:rsidR="00DF6239" w:rsidRPr="00026EC1" w:rsidRDefault="00DF6239" w:rsidP="00A64613">
      <w:pPr>
        <w:pStyle w:val="Texte2cm"/>
        <w:keepNext w:val="0"/>
      </w:pPr>
      <w:r w:rsidRPr="00026EC1">
        <w:t>ou</w:t>
      </w:r>
    </w:p>
    <w:p w14:paraId="45D92D88" w14:textId="77777777" w:rsidR="00DF6239" w:rsidRPr="00026EC1" w:rsidRDefault="00DF6239" w:rsidP="00A64613">
      <w:pPr>
        <w:pStyle w:val="Texte2cm"/>
        <w:keepNext w:val="0"/>
        <w:ind w:left="0"/>
      </w:pPr>
    </w:p>
    <w:p w14:paraId="37B49140" w14:textId="4AEA2316" w:rsidR="00DF6239" w:rsidRPr="00026EC1" w:rsidRDefault="00DF6239" w:rsidP="00A64613">
      <w:pPr>
        <w:pStyle w:val="Texte2cm"/>
        <w:keepNext w:val="0"/>
      </w:pPr>
      <w:r w:rsidRPr="00026EC1">
        <w:t>l</w:t>
      </w:r>
      <w:r w:rsidR="004A41E4" w:rsidRPr="00026EC1">
        <w:t>’</w:t>
      </w:r>
      <w:r w:rsidRPr="00026EC1">
        <w:t>enseignante ou l</w:t>
      </w:r>
      <w:r w:rsidR="004A41E4" w:rsidRPr="00026EC1">
        <w:t>’</w:t>
      </w:r>
      <w:r w:rsidRPr="00026EC1">
        <w:t>enseignant mis en disponibilité d</w:t>
      </w:r>
      <w:r w:rsidR="004A41E4" w:rsidRPr="00026EC1">
        <w:t>’</w:t>
      </w:r>
      <w:r w:rsidRPr="00026EC1">
        <w:t>un collège d</w:t>
      </w:r>
      <w:r w:rsidR="004A41E4" w:rsidRPr="00026EC1">
        <w:t>’</w:t>
      </w:r>
      <w:r w:rsidRPr="00026EC1">
        <w:t>une autre zone dans la discipline porteuse de la formation spécifique d</w:t>
      </w:r>
      <w:r w:rsidR="004A41E4" w:rsidRPr="00026EC1">
        <w:t>’</w:t>
      </w:r>
      <w:r w:rsidRPr="00026EC1">
        <w:t>un programme fermé dont le nom est transmis au Collège par le Bureau de placement selon l</w:t>
      </w:r>
      <w:r w:rsidR="004A41E4" w:rsidRPr="00026EC1">
        <w:t>’</w:t>
      </w:r>
      <w:r w:rsidRPr="00026EC1">
        <w:t>alinéa E) de la clause 5</w:t>
      </w:r>
      <w:r w:rsidR="00984A6F">
        <w:noBreakHyphen/>
      </w:r>
      <w:r w:rsidRPr="00026EC1">
        <w:t>4.07, pour un poste dans sa discipline</w:t>
      </w:r>
    </w:p>
    <w:p w14:paraId="25350BBC" w14:textId="77777777" w:rsidR="00DF6239" w:rsidRPr="00026EC1" w:rsidRDefault="00DF6239" w:rsidP="00A64613">
      <w:pPr>
        <w:pStyle w:val="Texte2cm"/>
        <w:keepNext w:val="0"/>
        <w:ind w:left="0"/>
      </w:pPr>
    </w:p>
    <w:p w14:paraId="7F0FE9B5" w14:textId="0524A9F6" w:rsidR="00DF6239" w:rsidRDefault="00DF6239" w:rsidP="00A64613">
      <w:pPr>
        <w:pStyle w:val="Texte2cm"/>
        <w:keepNext w:val="0"/>
      </w:pPr>
      <w:r w:rsidRPr="00026EC1">
        <w:t>ou</w:t>
      </w:r>
    </w:p>
    <w:p w14:paraId="6A98E369" w14:textId="77777777" w:rsidR="003B3A05" w:rsidRPr="00026EC1" w:rsidRDefault="003B3A05" w:rsidP="00A64613">
      <w:pPr>
        <w:pStyle w:val="Texte2cm"/>
        <w:keepNext w:val="0"/>
      </w:pPr>
    </w:p>
    <w:p w14:paraId="48A5085F" w14:textId="34956A1C" w:rsidR="00DF6239" w:rsidRPr="00026EC1" w:rsidRDefault="00DF6239" w:rsidP="00A64613">
      <w:pPr>
        <w:pStyle w:val="Texte2cm"/>
        <w:keepNext w:val="0"/>
      </w:pPr>
      <w:r w:rsidRPr="00026EC1">
        <w:t>l</w:t>
      </w:r>
      <w:r w:rsidR="004A41E4" w:rsidRPr="00026EC1">
        <w:t>’</w:t>
      </w:r>
      <w:r w:rsidRPr="00026EC1">
        <w:t>enseignante ou l</w:t>
      </w:r>
      <w:r w:rsidR="004A41E4" w:rsidRPr="00026EC1">
        <w:t>’</w:t>
      </w:r>
      <w:r w:rsidRPr="00026EC1">
        <w:t>enseignant mis en disponibilité d</w:t>
      </w:r>
      <w:r w:rsidR="004A41E4" w:rsidRPr="00026EC1">
        <w:t>’</w:t>
      </w:r>
      <w:r w:rsidRPr="00026EC1">
        <w:t>un autre collège du secteur, dont le nom est transmis au Collège par le Bureau de placement selon les dispositions de l</w:t>
      </w:r>
      <w:r w:rsidR="004A41E4" w:rsidRPr="00026EC1">
        <w:t>’</w:t>
      </w:r>
      <w:r w:rsidRPr="00026EC1">
        <w:t>alinéa E) de la clause 5</w:t>
      </w:r>
      <w:r w:rsidR="00984A6F">
        <w:noBreakHyphen/>
      </w:r>
      <w:r w:rsidRPr="00026EC1">
        <w:t>4.07, pour un poste dans sa discipline</w:t>
      </w:r>
    </w:p>
    <w:p w14:paraId="69E95C7B" w14:textId="77777777" w:rsidR="003B4D0F" w:rsidRDefault="003B4D0F" w:rsidP="00A64613">
      <w:pPr>
        <w:pStyle w:val="Texte2cm"/>
        <w:keepNext w:val="0"/>
      </w:pPr>
    </w:p>
    <w:p w14:paraId="5265AC38" w14:textId="24F1C398" w:rsidR="00DF6239" w:rsidRPr="00026EC1" w:rsidRDefault="00DF6239" w:rsidP="00A64613">
      <w:pPr>
        <w:pStyle w:val="Texte2cm"/>
        <w:keepNext w:val="0"/>
      </w:pPr>
      <w:r w:rsidRPr="00026EC1">
        <w:t>ou</w:t>
      </w:r>
    </w:p>
    <w:p w14:paraId="30172001" w14:textId="70488586" w:rsidR="00DF6239" w:rsidRPr="00026EC1" w:rsidRDefault="00DF6239" w:rsidP="00A64613">
      <w:pPr>
        <w:pStyle w:val="Texte2cm"/>
        <w:keepNext w:val="0"/>
      </w:pPr>
      <w:r w:rsidRPr="00026EC1">
        <w:t>l</w:t>
      </w:r>
      <w:r w:rsidR="004A41E4" w:rsidRPr="00026EC1">
        <w:t>’</w:t>
      </w:r>
      <w:r w:rsidRPr="00026EC1">
        <w:t>enseignante ou l</w:t>
      </w:r>
      <w:r w:rsidR="004A41E4" w:rsidRPr="00026EC1">
        <w:t>’</w:t>
      </w:r>
      <w:r w:rsidRPr="00026EC1">
        <w:t xml:space="preserve">enseignant non permanent du Collège qui a à son crédit au moins </w:t>
      </w:r>
      <w:r w:rsidR="00E023B7" w:rsidRPr="00316277">
        <w:t>sept</w:t>
      </w:r>
      <w:r w:rsidR="005C4B75" w:rsidRPr="00316277">
        <w:t> </w:t>
      </w:r>
      <w:r w:rsidR="00E023B7" w:rsidRPr="00316277">
        <w:t>(7)</w:t>
      </w:r>
      <w:r w:rsidR="00E023B7">
        <w:t xml:space="preserve"> </w:t>
      </w:r>
      <w:r w:rsidRPr="00026EC1">
        <w:t>années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du poste à combler pour les trois (3) années qui suivent l</w:t>
      </w:r>
      <w:r w:rsidR="004A41E4" w:rsidRPr="00026EC1">
        <w:t>’</w:t>
      </w:r>
      <w:r w:rsidRPr="00026EC1">
        <w:t>échéance de son dernier contrat dans la discipline du poste, si elle ou il pose sa candidature par écrit dans les délais prévus à la convention collective;</w:t>
      </w:r>
    </w:p>
    <w:p w14:paraId="02339651" w14:textId="77777777" w:rsidR="00DF6239" w:rsidRPr="00026EC1" w:rsidRDefault="00DF6239" w:rsidP="00A64613">
      <w:pPr>
        <w:pStyle w:val="Texte1cm"/>
        <w:keepNext w:val="0"/>
        <w:ind w:left="0"/>
      </w:pPr>
    </w:p>
    <w:p w14:paraId="101A4DA3" w14:textId="7A72A102" w:rsidR="00DF6239" w:rsidRPr="00026EC1" w:rsidRDefault="00275751" w:rsidP="00A64613">
      <w:pPr>
        <w:keepNext w:val="0"/>
        <w:tabs>
          <w:tab w:val="left" w:pos="1134"/>
        </w:tabs>
        <w:ind w:left="1134" w:hanging="567"/>
      </w:pPr>
      <w:r w:rsidRPr="00026EC1">
        <w:t>7.</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du Collège qui a à son crédit moins de</w:t>
      </w:r>
      <w:r w:rsidR="00E023B7" w:rsidRPr="00026EC1">
        <w:t xml:space="preserve"> </w:t>
      </w:r>
      <w:r w:rsidR="00E023B7" w:rsidRPr="00316277">
        <w:t>sept</w:t>
      </w:r>
      <w:r w:rsidR="005C4B75" w:rsidRPr="00316277">
        <w:t> </w:t>
      </w:r>
      <w:r w:rsidR="00E023B7" w:rsidRPr="00316277">
        <w:t>(7)</w:t>
      </w:r>
      <w:r w:rsidR="00DF6239" w:rsidRPr="00026EC1">
        <w:t xml:space="preserve"> années d</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précédant celle du poste à combler, pour les trois (3) années qui suivent l</w:t>
      </w:r>
      <w:r w:rsidR="004A41E4" w:rsidRPr="00026EC1">
        <w:t>’</w:t>
      </w:r>
      <w:r w:rsidR="00DF6239" w:rsidRPr="00026EC1">
        <w:t>échéance de son dernier contrat dans la discipline du poste, si elle ou il pose sa candidature par écrit dans les délais prévus à la convention collective;</w:t>
      </w:r>
    </w:p>
    <w:p w14:paraId="5C212023" w14:textId="388DD8B7" w:rsidR="00DF6239" w:rsidRPr="00026EC1" w:rsidRDefault="00DF6239" w:rsidP="00E023B7">
      <w:pPr>
        <w:keepNext w:val="0"/>
        <w:tabs>
          <w:tab w:val="left" w:pos="2955"/>
        </w:tabs>
        <w:ind w:left="567"/>
      </w:pPr>
    </w:p>
    <w:p w14:paraId="7DDAB8DA" w14:textId="77777777" w:rsidR="00DF6239" w:rsidRPr="00026EC1" w:rsidRDefault="00275751" w:rsidP="00A64613">
      <w:pPr>
        <w:keepNext w:val="0"/>
        <w:tabs>
          <w:tab w:val="left" w:pos="1134"/>
        </w:tabs>
        <w:ind w:left="1134" w:hanging="567"/>
      </w:pPr>
      <w:r w:rsidRPr="00026EC1">
        <w:t>8.</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à temps complet du Collège, pour un poste dans une autre discipline, si elle ou il pose sa candidature par écrit dans les délais prévus à la convention collective;</w:t>
      </w:r>
    </w:p>
    <w:p w14:paraId="4AF270BD" w14:textId="77777777" w:rsidR="00DF6239" w:rsidRPr="00026EC1" w:rsidRDefault="00DF6239" w:rsidP="00A64613">
      <w:pPr>
        <w:keepNext w:val="0"/>
        <w:ind w:left="567"/>
      </w:pPr>
    </w:p>
    <w:p w14:paraId="51DBF214" w14:textId="66C37BDE" w:rsidR="00DF6239" w:rsidRPr="00026EC1" w:rsidRDefault="00275751" w:rsidP="00A64613">
      <w:pPr>
        <w:keepNext w:val="0"/>
        <w:tabs>
          <w:tab w:val="left" w:pos="1134"/>
        </w:tabs>
        <w:ind w:left="1134" w:hanging="567"/>
      </w:pPr>
      <w:r w:rsidRPr="00026EC1">
        <w:t>9.</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à temps complet d</w:t>
      </w:r>
      <w:r w:rsidR="004A41E4" w:rsidRPr="00026EC1">
        <w:t>’</w:t>
      </w:r>
      <w:r w:rsidR="00DF6239" w:rsidRPr="00026EC1">
        <w:t>un autre Collège, tant que son nom demeure inscrit sur les listes du Bureau de placement, pour un poste dans la discipline de son contrat à temps complet, si elle ou il pose sa candidature dans les délais prévus à la convention collective sur le formulaire prévu à l</w:t>
      </w:r>
      <w:r w:rsidR="004A41E4" w:rsidRPr="00026EC1">
        <w:t>’</w:t>
      </w:r>
      <w:r w:rsidR="00B53403" w:rsidRPr="00026EC1">
        <w:t>A</w:t>
      </w:r>
      <w:r w:rsidR="00DF6239" w:rsidRPr="00026EC1">
        <w:t>nnexe II</w:t>
      </w:r>
      <w:r w:rsidR="00984A6F">
        <w:noBreakHyphen/>
      </w:r>
      <w:r w:rsidR="00DF6239" w:rsidRPr="00026EC1">
        <w:t>4;</w:t>
      </w:r>
    </w:p>
    <w:p w14:paraId="7DE2C6EC" w14:textId="77777777" w:rsidR="009510B7" w:rsidRPr="00026EC1" w:rsidRDefault="009510B7" w:rsidP="00A64613">
      <w:pPr>
        <w:keepNext w:val="0"/>
      </w:pPr>
    </w:p>
    <w:p w14:paraId="7FF64DE2" w14:textId="25B0CA8C" w:rsidR="00DF6239" w:rsidRPr="00026EC1" w:rsidRDefault="00275751" w:rsidP="00A64613">
      <w:pPr>
        <w:keepNext w:val="0"/>
        <w:tabs>
          <w:tab w:val="left" w:pos="1134"/>
        </w:tabs>
        <w:ind w:left="1134" w:hanging="567"/>
      </w:pPr>
      <w:r w:rsidRPr="00026EC1">
        <w:t>10.</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 2 de l</w:t>
      </w:r>
      <w:r w:rsidR="004A41E4" w:rsidRPr="00026EC1">
        <w:t>’</w:t>
      </w:r>
      <w:r w:rsidR="00DF6239" w:rsidRPr="00026EC1">
        <w:t>alinéa F) de la clause 5</w:t>
      </w:r>
      <w:r w:rsidR="00984A6F">
        <w:noBreakHyphen/>
      </w:r>
      <w:r w:rsidR="00DF6239" w:rsidRPr="00026EC1">
        <w:t>4.07, pour un poste dans une autre discipline;</w:t>
      </w:r>
    </w:p>
    <w:p w14:paraId="2716C493" w14:textId="77777777" w:rsidR="00DF6239" w:rsidRPr="00026EC1" w:rsidRDefault="00DF6239" w:rsidP="00A64613">
      <w:pPr>
        <w:keepNext w:val="0"/>
        <w:ind w:left="567"/>
        <w:rPr>
          <w:bCs/>
        </w:rPr>
      </w:pPr>
    </w:p>
    <w:p w14:paraId="2F7FFD6A" w14:textId="2523BC46" w:rsidR="00DF6239" w:rsidRDefault="00275751" w:rsidP="00A64613">
      <w:pPr>
        <w:keepNext w:val="0"/>
        <w:tabs>
          <w:tab w:val="left" w:pos="1134"/>
        </w:tabs>
        <w:ind w:left="1134" w:hanging="567"/>
      </w:pPr>
      <w:r w:rsidRPr="00026EC1">
        <w:t>11.</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qui bénéficie d</w:t>
      </w:r>
      <w:r w:rsidR="004A41E4" w:rsidRPr="00026EC1">
        <w:t>’</w:t>
      </w:r>
      <w:r w:rsidR="00DF6239" w:rsidRPr="00026EC1">
        <w:t>un recyclage vers un poste réservé dans un autre collège selon les modalités prévues à la clause</w:t>
      </w:r>
      <w:r w:rsidR="0061766F" w:rsidRPr="00026EC1">
        <w:t> </w:t>
      </w:r>
      <w:r w:rsidR="00DF6239" w:rsidRPr="00026EC1">
        <w:t>5</w:t>
      </w:r>
      <w:r w:rsidR="00984A6F">
        <w:noBreakHyphen/>
      </w:r>
      <w:r w:rsidR="00DF6239" w:rsidRPr="00026EC1">
        <w:t>4.22 et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w:t>
      </w:r>
      <w:r w:rsidR="00757E12" w:rsidRPr="00026EC1">
        <w:t> </w:t>
      </w:r>
      <w:r w:rsidR="00DF6239" w:rsidRPr="00026EC1">
        <w:t>2 de l</w:t>
      </w:r>
      <w:r w:rsidR="004A41E4" w:rsidRPr="00026EC1">
        <w:t>’</w:t>
      </w:r>
      <w:r w:rsidR="00DF6239" w:rsidRPr="00026EC1">
        <w:t>alinéa</w:t>
      </w:r>
      <w:r w:rsidR="00757E12" w:rsidRPr="00026EC1">
        <w:t> </w:t>
      </w:r>
      <w:r w:rsidR="00DF6239" w:rsidRPr="00026EC1">
        <w:t>F) de la clause</w:t>
      </w:r>
      <w:r w:rsidR="0061766F" w:rsidRPr="00026EC1">
        <w:t> </w:t>
      </w:r>
      <w:r w:rsidR="00DF6239" w:rsidRPr="00026EC1">
        <w:t>5</w:t>
      </w:r>
      <w:r w:rsidR="00984A6F">
        <w:noBreakHyphen/>
      </w:r>
      <w:r w:rsidR="00DF6239" w:rsidRPr="00026EC1">
        <w:t>4.07 pour un poste dans une autre discipline;</w:t>
      </w:r>
    </w:p>
    <w:p w14:paraId="5C29A652" w14:textId="77777777" w:rsidR="00F077A0" w:rsidRPr="00026EC1" w:rsidRDefault="00F077A0" w:rsidP="00A64613">
      <w:pPr>
        <w:keepNext w:val="0"/>
        <w:tabs>
          <w:tab w:val="left" w:pos="1134"/>
        </w:tabs>
        <w:ind w:left="1134" w:hanging="567"/>
      </w:pPr>
    </w:p>
    <w:p w14:paraId="44DE7753" w14:textId="03DBCD6D" w:rsidR="00DF6239" w:rsidRPr="00026EC1" w:rsidRDefault="00275751" w:rsidP="00A64613">
      <w:pPr>
        <w:keepNext w:val="0"/>
        <w:tabs>
          <w:tab w:val="left" w:pos="1134"/>
        </w:tabs>
        <w:ind w:left="1134" w:hanging="567"/>
        <w:rPr>
          <w:bCs/>
        </w:rPr>
      </w:pPr>
      <w:r w:rsidRPr="00026EC1">
        <w:rPr>
          <w:bCs/>
        </w:rPr>
        <w:t>12.</w:t>
      </w:r>
      <w:r w:rsidRPr="00026EC1">
        <w:rPr>
          <w:bCs/>
        </w:rPr>
        <w:tab/>
      </w:r>
      <w:r w:rsidR="00DF6239" w:rsidRPr="00026EC1">
        <w:rPr>
          <w:bCs/>
        </w:rPr>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collège d</w:t>
      </w:r>
      <w:r w:rsidR="004A41E4" w:rsidRPr="00026EC1">
        <w:t>’</w:t>
      </w:r>
      <w:r w:rsidR="00DF6239" w:rsidRPr="00026EC1">
        <w:t>une autre zone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w:t>
      </w:r>
      <w:r w:rsidR="00757E12" w:rsidRPr="00026EC1">
        <w:t> </w:t>
      </w:r>
      <w:r w:rsidR="00DF6239" w:rsidRPr="00026EC1">
        <w:t>2 de l</w:t>
      </w:r>
      <w:r w:rsidR="004A41E4" w:rsidRPr="00026EC1">
        <w:t>’</w:t>
      </w:r>
      <w:r w:rsidR="00DF6239" w:rsidRPr="00026EC1">
        <w:t>alinéa</w:t>
      </w:r>
      <w:r w:rsidR="00757E12" w:rsidRPr="00026EC1">
        <w:t> </w:t>
      </w:r>
      <w:r w:rsidR="00DF6239" w:rsidRPr="00026EC1">
        <w:t>F) de la clause</w:t>
      </w:r>
      <w:r w:rsidR="0061766F" w:rsidRPr="00026EC1">
        <w:t> </w:t>
      </w:r>
      <w:r w:rsidR="00DF6239" w:rsidRPr="00026EC1">
        <w:t>5</w:t>
      </w:r>
      <w:r w:rsidR="00984A6F">
        <w:noBreakHyphen/>
      </w:r>
      <w:r w:rsidR="00DF6239" w:rsidRPr="00026EC1">
        <w:t>4.07 pour un poste dans une autre discipline;</w:t>
      </w:r>
    </w:p>
    <w:p w14:paraId="25947555" w14:textId="77777777" w:rsidR="00DF6239" w:rsidRPr="00026EC1" w:rsidRDefault="00DF6239" w:rsidP="00A64613">
      <w:pPr>
        <w:keepNext w:val="0"/>
        <w:ind w:left="567"/>
        <w:rPr>
          <w:bCs/>
        </w:rPr>
      </w:pPr>
    </w:p>
    <w:p w14:paraId="4B6610F9" w14:textId="3EA11847" w:rsidR="00DF6239" w:rsidRDefault="00275751" w:rsidP="00A64613">
      <w:pPr>
        <w:keepNext w:val="0"/>
        <w:tabs>
          <w:tab w:val="left" w:pos="1134"/>
        </w:tabs>
        <w:ind w:left="1134" w:hanging="567"/>
      </w:pPr>
      <w:r w:rsidRPr="00026EC1">
        <w:rPr>
          <w:bCs/>
        </w:rPr>
        <w:t>13.</w:t>
      </w:r>
      <w:r w:rsidRPr="00026EC1">
        <w:rPr>
          <w:bCs/>
        </w:rPr>
        <w:tab/>
      </w:r>
      <w:r w:rsidR="00DF6239" w:rsidRPr="00026EC1">
        <w:rPr>
          <w:bCs/>
        </w:rPr>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collège d</w:t>
      </w:r>
      <w:r w:rsidR="004A41E4" w:rsidRPr="00026EC1">
        <w:t>’</w:t>
      </w:r>
      <w:r w:rsidR="00DF6239" w:rsidRPr="00026EC1">
        <w:t>une autre zone qui bénéficie d</w:t>
      </w:r>
      <w:r w:rsidR="004A41E4" w:rsidRPr="00026EC1">
        <w:t>’</w:t>
      </w:r>
      <w:r w:rsidR="00DF6239" w:rsidRPr="00026EC1">
        <w:t>un recyclage vers un poste réservé dans un autre collège selon les modalités prévues à la clause</w:t>
      </w:r>
      <w:r w:rsidR="0061766F" w:rsidRPr="00026EC1">
        <w:t> </w:t>
      </w:r>
      <w:r w:rsidR="00DF6239" w:rsidRPr="00026EC1">
        <w:t>5</w:t>
      </w:r>
      <w:r w:rsidR="00984A6F">
        <w:noBreakHyphen/>
      </w:r>
      <w:r w:rsidR="00DF6239" w:rsidRPr="00026EC1">
        <w:t>4.22 et qui fait connaître son intention d</w:t>
      </w:r>
      <w:r w:rsidR="004A41E4" w:rsidRPr="00026EC1">
        <w:t>’</w:t>
      </w:r>
      <w:r w:rsidR="00DF6239" w:rsidRPr="00026EC1">
        <w:t>être replacé sur une base volontaire, dont le nom est transmis au Collège par le Bureau de placement selon les dispositions du sous</w:t>
      </w:r>
      <w:r w:rsidR="00984A6F">
        <w:noBreakHyphen/>
      </w:r>
      <w:r w:rsidR="00DF6239" w:rsidRPr="00026EC1">
        <w:t>alinéa</w:t>
      </w:r>
      <w:r w:rsidR="00757E12" w:rsidRPr="00026EC1">
        <w:t> </w:t>
      </w:r>
      <w:r w:rsidR="00DF6239" w:rsidRPr="00026EC1">
        <w:t>2 de l</w:t>
      </w:r>
      <w:r w:rsidR="004A41E4" w:rsidRPr="00026EC1">
        <w:t>’</w:t>
      </w:r>
      <w:r w:rsidR="00DF6239" w:rsidRPr="00026EC1">
        <w:t>alinéa</w:t>
      </w:r>
      <w:r w:rsidR="00757E12" w:rsidRPr="00026EC1">
        <w:t> </w:t>
      </w:r>
      <w:r w:rsidR="00DF6239" w:rsidRPr="00026EC1">
        <w:t>F) de la clause</w:t>
      </w:r>
      <w:r w:rsidR="0061766F" w:rsidRPr="00026EC1">
        <w:t> </w:t>
      </w:r>
      <w:r w:rsidR="00DF6239" w:rsidRPr="00026EC1">
        <w:t>5</w:t>
      </w:r>
      <w:r w:rsidR="00984A6F">
        <w:noBreakHyphen/>
      </w:r>
      <w:r w:rsidR="00DF6239" w:rsidRPr="00026EC1">
        <w:t>4.07 pour un poste dans une autre discipline;</w:t>
      </w:r>
    </w:p>
    <w:p w14:paraId="6E06CA2E" w14:textId="6926611D" w:rsidR="00DF6239" w:rsidRPr="00026EC1" w:rsidRDefault="00275751" w:rsidP="00A64613">
      <w:pPr>
        <w:keepNext w:val="0"/>
        <w:tabs>
          <w:tab w:val="left" w:pos="1134"/>
        </w:tabs>
        <w:ind w:left="1134" w:hanging="567"/>
      </w:pPr>
      <w:r w:rsidRPr="00026EC1">
        <w:t>14.</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à temps complet d</w:t>
      </w:r>
      <w:r w:rsidR="004A41E4" w:rsidRPr="00026EC1">
        <w:t>’</w:t>
      </w:r>
      <w:r w:rsidR="00DF6239" w:rsidRPr="00026EC1">
        <w:t>un autre Collège, tant que son nom demeure inscrit sur les listes du Bureau de placement, pour un poste dans une autre discipline, si elle ou il pose sa candidature dans les délais prévus à la convention collective sur le formulaire prévu à l</w:t>
      </w:r>
      <w:r w:rsidR="004A41E4" w:rsidRPr="00026EC1">
        <w:t>’</w:t>
      </w:r>
      <w:r w:rsidR="00B53403" w:rsidRPr="00026EC1">
        <w:t>A</w:t>
      </w:r>
      <w:r w:rsidR="00DF6239" w:rsidRPr="00026EC1">
        <w:t>nnexe II</w:t>
      </w:r>
      <w:r w:rsidR="00984A6F">
        <w:noBreakHyphen/>
      </w:r>
      <w:r w:rsidR="00DF6239" w:rsidRPr="00026EC1">
        <w:t>4;</w:t>
      </w:r>
    </w:p>
    <w:p w14:paraId="15873FF3" w14:textId="4886B7E3" w:rsidR="00DF6239" w:rsidRPr="00026EC1" w:rsidRDefault="00DF6239" w:rsidP="00A64613">
      <w:pPr>
        <w:keepNext w:val="0"/>
        <w:ind w:left="1276" w:hanging="709"/>
      </w:pPr>
    </w:p>
    <w:p w14:paraId="00ACFCDC" w14:textId="77777777" w:rsidR="00DF6239" w:rsidRPr="00026EC1" w:rsidRDefault="00D82DA7" w:rsidP="00A64613">
      <w:pPr>
        <w:keepNext w:val="0"/>
        <w:tabs>
          <w:tab w:val="left" w:pos="1134"/>
        </w:tabs>
        <w:ind w:left="1134" w:hanging="567"/>
      </w:pPr>
      <w:r w:rsidRPr="00026EC1">
        <w:t>15.</w:t>
      </w:r>
      <w:r w:rsidR="006628EC" w:rsidRPr="00026EC1">
        <w:tab/>
      </w:r>
      <w:r w:rsidR="00DF6239" w:rsidRPr="00026EC1">
        <w:t>la professionnelle ou le professionnel mis en disponibilité du Collège et l</w:t>
      </w:r>
      <w:r w:rsidR="004A41E4" w:rsidRPr="00026EC1">
        <w:t>’</w:t>
      </w:r>
      <w:r w:rsidR="00DF6239" w:rsidRPr="00026EC1">
        <w:t>employée ou l</w:t>
      </w:r>
      <w:r w:rsidR="004A41E4" w:rsidRPr="00026EC1">
        <w:t>’</w:t>
      </w:r>
      <w:r w:rsidR="00DF6239" w:rsidRPr="00026EC1">
        <w:t>employé de soutien mis en disponibilité du Collège, si elle ou il a manifesté par écrit au Collège son intention d</w:t>
      </w:r>
      <w:r w:rsidR="004A41E4" w:rsidRPr="00026EC1">
        <w:t>’</w:t>
      </w:r>
      <w:r w:rsidR="00DF6239" w:rsidRPr="00026EC1">
        <w:t>occuper un poste dans cette discipline; le Collège la ou le réfère au comité ou mécanisme de sélection prévu à la convention collective;</w:t>
      </w:r>
    </w:p>
    <w:p w14:paraId="076D4484" w14:textId="77777777" w:rsidR="00DF6239" w:rsidRPr="00026EC1" w:rsidRDefault="00DF6239" w:rsidP="00A64613">
      <w:pPr>
        <w:keepNext w:val="0"/>
        <w:ind w:left="1276" w:hanging="709"/>
      </w:pPr>
    </w:p>
    <w:p w14:paraId="05EA1F19" w14:textId="77777777" w:rsidR="00DF6239" w:rsidRPr="00026EC1" w:rsidRDefault="00D82DA7" w:rsidP="00A64613">
      <w:pPr>
        <w:keepNext w:val="0"/>
        <w:tabs>
          <w:tab w:val="left" w:pos="1134"/>
        </w:tabs>
        <w:ind w:left="1134" w:hanging="567"/>
      </w:pPr>
      <w:r w:rsidRPr="00026EC1">
        <w:t>16.</w:t>
      </w:r>
      <w:r w:rsidR="006628EC" w:rsidRPr="00026EC1">
        <w:tab/>
      </w:r>
      <w:r w:rsidR="00DF6239" w:rsidRPr="00026EC1">
        <w:t>l</w:t>
      </w:r>
      <w:r w:rsidR="004A41E4" w:rsidRPr="00026EC1">
        <w:t>’</w:t>
      </w:r>
      <w:r w:rsidR="00DF6239" w:rsidRPr="00026EC1">
        <w:t>enseignante ou l</w:t>
      </w:r>
      <w:r w:rsidR="004A41E4" w:rsidRPr="00026EC1">
        <w:t>’</w:t>
      </w:r>
      <w:r w:rsidR="00DF6239" w:rsidRPr="00026EC1">
        <w:t>enseignant permanent du Collège, pour un poste dans une autre discipline, si elle ou il pose sa candidature par écrit dans les délais prévus à la convention collective;</w:t>
      </w:r>
    </w:p>
    <w:p w14:paraId="01B7C855" w14:textId="77777777" w:rsidR="00DF6239" w:rsidRPr="00026EC1" w:rsidRDefault="00DF6239" w:rsidP="00A64613">
      <w:pPr>
        <w:keepNext w:val="0"/>
        <w:ind w:left="1276" w:hanging="709"/>
      </w:pPr>
    </w:p>
    <w:p w14:paraId="028D103B" w14:textId="6C656C09" w:rsidR="00DF6239" w:rsidRPr="00026EC1" w:rsidRDefault="00D82DA7" w:rsidP="003B4D0F">
      <w:pPr>
        <w:keepNext w:val="0"/>
        <w:tabs>
          <w:tab w:val="left" w:pos="1134"/>
        </w:tabs>
        <w:ind w:left="1134" w:hanging="567"/>
      </w:pPr>
      <w:r w:rsidRPr="00026EC1">
        <w:t>17.</w:t>
      </w:r>
      <w:r w:rsidR="003B4D0F">
        <w:tab/>
      </w:r>
      <w:r w:rsidR="00DF6239" w:rsidRPr="00026EC1">
        <w:t>la ou le cadre qui a déjà été enseignante ou enseignant permanent au Collège, pour chacune des trois (3) années qui suivent l</w:t>
      </w:r>
      <w:r w:rsidR="004A41E4" w:rsidRPr="00026EC1">
        <w:t>’</w:t>
      </w:r>
      <w:r w:rsidR="00DF6239" w:rsidRPr="00026EC1">
        <w:t>année de sa nomination à une fonction de cadre, si elle ou il pose sa candidature par écrit dans les délais prévus à la convention collective;</w:t>
      </w:r>
    </w:p>
    <w:p w14:paraId="78B44AC3" w14:textId="77777777" w:rsidR="00DF6239" w:rsidRPr="00026EC1" w:rsidRDefault="00DF6239" w:rsidP="00A64613">
      <w:pPr>
        <w:keepNext w:val="0"/>
        <w:ind w:left="1276" w:hanging="709"/>
      </w:pPr>
    </w:p>
    <w:p w14:paraId="37A5112F" w14:textId="77777777" w:rsidR="00DF6239" w:rsidRPr="00026EC1" w:rsidRDefault="00D82DA7" w:rsidP="00A64613">
      <w:pPr>
        <w:keepNext w:val="0"/>
        <w:tabs>
          <w:tab w:val="left" w:pos="1134"/>
        </w:tabs>
        <w:ind w:left="1134" w:hanging="567"/>
      </w:pPr>
      <w:r w:rsidRPr="00026EC1">
        <w:t>18.</w:t>
      </w:r>
      <w:r w:rsidR="006628EC" w:rsidRPr="00026EC1">
        <w:tab/>
      </w:r>
      <w:r w:rsidR="00DF6239" w:rsidRPr="00026EC1">
        <w:t>l</w:t>
      </w:r>
      <w:r w:rsidR="004A41E4" w:rsidRPr="00026EC1">
        <w:t>’</w:t>
      </w:r>
      <w:r w:rsidR="00DF6239" w:rsidRPr="00026EC1">
        <w:t>employée ou l</w:t>
      </w:r>
      <w:r w:rsidR="004A41E4" w:rsidRPr="00026EC1">
        <w:t>’</w:t>
      </w:r>
      <w:r w:rsidR="00DF6239" w:rsidRPr="00026EC1">
        <w:t>employé d</w:t>
      </w:r>
      <w:r w:rsidR="004A41E4" w:rsidRPr="00026EC1">
        <w:t>’</w:t>
      </w:r>
      <w:r w:rsidR="00DF6239" w:rsidRPr="00026EC1">
        <w:t>une autre catégorie de personnel que le Collège désire assigner provisoirement à une tâche d</w:t>
      </w:r>
      <w:r w:rsidR="004A41E4" w:rsidRPr="00026EC1">
        <w:t>’</w:t>
      </w:r>
      <w:r w:rsidR="00DF6239" w:rsidRPr="00026EC1">
        <w:t>enseignement en vertu des dispositions relatives à l</w:t>
      </w:r>
      <w:r w:rsidR="004A41E4" w:rsidRPr="00026EC1">
        <w:t>’</w:t>
      </w:r>
      <w:r w:rsidR="00DF6239" w:rsidRPr="00026EC1">
        <w:t>assignation provisoire applicables à cette autre catégorie de personnel; le Collège la ou le réfère au comité ou mécanisme de sélection prévu à la convention collective;</w:t>
      </w:r>
    </w:p>
    <w:p w14:paraId="529119B4" w14:textId="77777777" w:rsidR="00DF6239" w:rsidRPr="00026EC1" w:rsidRDefault="00DF6239" w:rsidP="00A64613">
      <w:pPr>
        <w:keepNext w:val="0"/>
        <w:ind w:left="1276" w:hanging="709"/>
      </w:pPr>
    </w:p>
    <w:p w14:paraId="2394023B" w14:textId="70AEEDB2" w:rsidR="00DF6239" w:rsidRPr="00026EC1" w:rsidRDefault="00D82DA7" w:rsidP="00A64613">
      <w:pPr>
        <w:keepNext w:val="0"/>
        <w:tabs>
          <w:tab w:val="left" w:pos="1134"/>
        </w:tabs>
        <w:ind w:left="1134" w:hanging="567"/>
      </w:pPr>
      <w:r w:rsidRPr="00026EC1">
        <w:t>19.</w:t>
      </w:r>
      <w:r w:rsidR="006628EC" w:rsidRPr="00026EC1">
        <w:tab/>
      </w:r>
      <w:r w:rsidR="00DF6239" w:rsidRPr="00026EC1">
        <w:t>l</w:t>
      </w:r>
      <w:r w:rsidR="004A41E4" w:rsidRPr="00026EC1">
        <w:t>’</w:t>
      </w:r>
      <w:r w:rsidR="00DF6239" w:rsidRPr="00026EC1">
        <w:t>enseignante ou l</w:t>
      </w:r>
      <w:r w:rsidR="004A41E4" w:rsidRPr="00026EC1">
        <w:t>’</w:t>
      </w:r>
      <w:r w:rsidR="00DF6239" w:rsidRPr="00026EC1">
        <w:t>enseignant au niveau secondaire mis en disponibilité d</w:t>
      </w:r>
      <w:r w:rsidR="004A41E4" w:rsidRPr="00026EC1">
        <w:t>’</w:t>
      </w:r>
      <w:r w:rsidR="00DF6239" w:rsidRPr="00026EC1">
        <w:t>une commission scolaire</w:t>
      </w:r>
      <w:r w:rsidR="007119B1">
        <w:t xml:space="preserve"> </w:t>
      </w:r>
      <w:r w:rsidR="007119B1" w:rsidRPr="00316277">
        <w:t>ou d’un centre de service</w:t>
      </w:r>
      <w:r w:rsidR="00B9550F" w:rsidRPr="00316277">
        <w:t>s</w:t>
      </w:r>
      <w:r w:rsidR="007119B1" w:rsidRPr="00316277">
        <w:t xml:space="preserve"> scolaire</w:t>
      </w:r>
      <w:r w:rsidR="00DF6239" w:rsidRPr="00026EC1">
        <w:t>, que le Bureau de placement réfère au Collège selon les dispositions de la clause 5</w:t>
      </w:r>
      <w:r w:rsidR="00984A6F">
        <w:noBreakHyphen/>
      </w:r>
      <w:r w:rsidR="007B1DBA" w:rsidRPr="00026EC1">
        <w:t>4.25.</w:t>
      </w:r>
    </w:p>
    <w:p w14:paraId="0026643C" w14:textId="4994BDEB" w:rsidR="00DF6239" w:rsidRPr="00026EC1" w:rsidRDefault="00DF6239" w:rsidP="00A64613">
      <w:pPr>
        <w:keepNext w:val="0"/>
        <w:tabs>
          <w:tab w:val="left" w:pos="1134"/>
        </w:tabs>
        <w:ind w:left="1134" w:hanging="567"/>
      </w:pPr>
    </w:p>
    <w:p w14:paraId="5BDFFA42" w14:textId="73495987" w:rsidR="00DF6239" w:rsidRPr="00026EC1" w:rsidRDefault="00275751" w:rsidP="00A64613">
      <w:pPr>
        <w:keepNext w:val="0"/>
        <w:tabs>
          <w:tab w:val="left" w:pos="567"/>
        </w:tabs>
        <w:ind w:left="567" w:hanging="567"/>
        <w:rPr>
          <w:b/>
          <w:bCs/>
          <w:u w:val="single"/>
        </w:rPr>
      </w:pPr>
      <w:r w:rsidRPr="00026EC1">
        <w:rPr>
          <w:b/>
          <w:bCs/>
        </w:rPr>
        <w:t>b)</w:t>
      </w:r>
      <w:r w:rsidRPr="00026EC1">
        <w:rPr>
          <w:b/>
          <w:bCs/>
        </w:rPr>
        <w:tab/>
      </w:r>
      <w:r w:rsidR="00DF6239" w:rsidRPr="00026EC1">
        <w:rPr>
          <w:b/>
          <w:bCs/>
          <w:u w:val="single"/>
        </w:rPr>
        <w:t>Ordre de priorité d</w:t>
      </w:r>
      <w:r w:rsidR="004A41E4" w:rsidRPr="00026EC1">
        <w:rPr>
          <w:b/>
          <w:bCs/>
          <w:u w:val="single"/>
        </w:rPr>
        <w:t>’</w:t>
      </w:r>
      <w:r w:rsidR="00DF6239" w:rsidRPr="00026EC1">
        <w:rPr>
          <w:b/>
          <w:bCs/>
          <w:u w:val="single"/>
        </w:rPr>
        <w:t xml:space="preserve">engagement pour une autre charge </w:t>
      </w:r>
      <w:r w:rsidR="00E05F19" w:rsidRPr="00316277">
        <w:rPr>
          <w:b/>
          <w:bCs/>
          <w:u w:val="single"/>
        </w:rPr>
        <w:t>d</w:t>
      </w:r>
      <w:r w:rsidR="004A41E4" w:rsidRPr="00026EC1">
        <w:rPr>
          <w:b/>
          <w:bCs/>
          <w:u w:val="single"/>
        </w:rPr>
        <w:t>’</w:t>
      </w:r>
      <w:r w:rsidR="00DF6239" w:rsidRPr="00026EC1">
        <w:rPr>
          <w:b/>
          <w:bCs/>
          <w:u w:val="single"/>
        </w:rPr>
        <w:t xml:space="preserve">enseignement </w:t>
      </w:r>
      <w:r w:rsidR="00E05F19" w:rsidRPr="00316277">
        <w:rPr>
          <w:b/>
          <w:bCs/>
          <w:u w:val="single"/>
        </w:rPr>
        <w:t>à l’enseignement</w:t>
      </w:r>
      <w:r w:rsidR="00E05F19">
        <w:rPr>
          <w:b/>
          <w:bCs/>
          <w:u w:val="single"/>
        </w:rPr>
        <w:t xml:space="preserve"> </w:t>
      </w:r>
      <w:r w:rsidR="00DF6239" w:rsidRPr="00026EC1">
        <w:rPr>
          <w:b/>
          <w:bCs/>
          <w:u w:val="single"/>
        </w:rPr>
        <w:t>régulier</w:t>
      </w:r>
    </w:p>
    <w:p w14:paraId="3A90931D" w14:textId="784250E8" w:rsidR="00DF6239" w:rsidRPr="00026EC1" w:rsidRDefault="00DF6239" w:rsidP="00A64613">
      <w:pPr>
        <w:pStyle w:val="Texte1cm"/>
        <w:keepNext w:val="0"/>
      </w:pPr>
      <w:r w:rsidRPr="00026EC1">
        <w:t>Lorsque le Collège comble une charge quelconque d</w:t>
      </w:r>
      <w:r w:rsidR="004A41E4" w:rsidRPr="00026EC1">
        <w:t>’</w:t>
      </w:r>
      <w:r w:rsidRPr="00026EC1">
        <w:t>enseignement à l</w:t>
      </w:r>
      <w:r w:rsidR="004A41E4" w:rsidRPr="00026EC1">
        <w:t>’</w:t>
      </w:r>
      <w:r w:rsidRPr="00026EC1">
        <w:t>enseignement régulier, à l</w:t>
      </w:r>
      <w:r w:rsidR="004A41E4" w:rsidRPr="00026EC1">
        <w:t>’</w:t>
      </w:r>
      <w:r w:rsidRPr="00026EC1">
        <w:t>exclusion d</w:t>
      </w:r>
      <w:r w:rsidR="004A41E4" w:rsidRPr="00026EC1">
        <w:t>’</w:t>
      </w:r>
      <w:r w:rsidRPr="00026EC1">
        <w:t>un poste, il procède à l</w:t>
      </w:r>
      <w:r w:rsidR="004A41E4" w:rsidRPr="00026EC1">
        <w:t>’</w:t>
      </w:r>
      <w:r w:rsidRPr="00026EC1">
        <w:t>engagement de la candidate ou du candidat selon l</w:t>
      </w:r>
      <w:r w:rsidR="004A41E4" w:rsidRPr="00026EC1">
        <w:t>’</w:t>
      </w:r>
      <w:r w:rsidRPr="00026EC1">
        <w:t>ordre de priorité ci</w:t>
      </w:r>
      <w:r w:rsidR="00984A6F">
        <w:noBreakHyphen/>
      </w:r>
      <w:r w:rsidRPr="00026EC1">
        <w:t>dessous.</w:t>
      </w:r>
    </w:p>
    <w:p w14:paraId="57689F4B" w14:textId="77777777" w:rsidR="00DF6239" w:rsidRPr="00026EC1" w:rsidRDefault="00DF6239" w:rsidP="00A64613">
      <w:pPr>
        <w:pStyle w:val="Texte1cm"/>
        <w:keepNext w:val="0"/>
      </w:pPr>
    </w:p>
    <w:p w14:paraId="63B3DF54" w14:textId="20CFAC1C" w:rsidR="00DF6239" w:rsidRPr="00026EC1" w:rsidRDefault="00DF6239" w:rsidP="00A64613">
      <w:pPr>
        <w:pStyle w:val="Texte1cm"/>
        <w:keepNext w:val="0"/>
      </w:pPr>
      <w:r w:rsidRPr="00026EC1">
        <w:t>Si plusieurs candidates et candidats ont la même priorité sur la même charge d</w:t>
      </w:r>
      <w:r w:rsidR="004A41E4" w:rsidRPr="00026EC1">
        <w:t>’</w:t>
      </w:r>
      <w:r w:rsidRPr="00026EC1">
        <w:t>enseignement, dans la même discipline, le Collège procède, sans passer par le comité ou mécanisme de sélection prévu à la convention collective, à l</w:t>
      </w:r>
      <w:r w:rsidR="004A41E4" w:rsidRPr="00026EC1">
        <w:t>’</w:t>
      </w:r>
      <w:r w:rsidRPr="00026EC1">
        <w:t>engagement de celle ou de celui qui a le plus d</w:t>
      </w:r>
      <w:r w:rsidR="004A41E4" w:rsidRPr="00026EC1">
        <w:t>’</w:t>
      </w:r>
      <w:r w:rsidRPr="00026EC1">
        <w:t>ancienneté et, à ancienneté égale, de celle ou de celui qui a le plus d</w:t>
      </w:r>
      <w:r w:rsidR="004A41E4" w:rsidRPr="00026EC1">
        <w:t>’</w:t>
      </w:r>
      <w:r w:rsidRPr="00026EC1">
        <w:t>expérience et, à expérience égale, de celle ou de celui qui a le plus de scolarité, sous réserve, s</w:t>
      </w:r>
      <w:r w:rsidR="004A41E4" w:rsidRPr="00026EC1">
        <w:t>’</w:t>
      </w:r>
      <w:r w:rsidRPr="00026EC1">
        <w:t>il y a lieu, du programme d</w:t>
      </w:r>
      <w:r w:rsidR="004A41E4" w:rsidRPr="00026EC1">
        <w:t>’</w:t>
      </w:r>
      <w:r w:rsidRPr="00026EC1">
        <w:t>accès à l</w:t>
      </w:r>
      <w:r w:rsidR="004A41E4" w:rsidRPr="00026EC1">
        <w:t>’</w:t>
      </w:r>
      <w:r w:rsidRPr="00026EC1">
        <w:t>égalité en emploi établi conformément à l</w:t>
      </w:r>
      <w:r w:rsidR="004A41E4" w:rsidRPr="00026EC1">
        <w:t>’</w:t>
      </w:r>
      <w:r w:rsidRPr="00026EC1">
        <w:t>article 2</w:t>
      </w:r>
      <w:r w:rsidR="00984A6F">
        <w:noBreakHyphen/>
      </w:r>
      <w:r w:rsidRPr="00026EC1">
        <w:t>4.00, au regard du premier (1</w:t>
      </w:r>
      <w:r w:rsidRPr="00026EC1">
        <w:rPr>
          <w:vertAlign w:val="superscript"/>
        </w:rPr>
        <w:t>er</w:t>
      </w:r>
      <w:r w:rsidRPr="00026EC1">
        <w:t xml:space="preserve">) paragraphe de la priorité 3 et des priorités 5 à </w:t>
      </w:r>
      <w:r w:rsidR="001576BA">
        <w:t>7</w:t>
      </w:r>
      <w:r w:rsidRPr="00026EC1">
        <w:t>. Cependant lorsque l</w:t>
      </w:r>
      <w:r w:rsidR="004A41E4" w:rsidRPr="00026EC1">
        <w:t>’</w:t>
      </w:r>
      <w:r w:rsidRPr="00026EC1">
        <w:t>ancienneté, l</w:t>
      </w:r>
      <w:r w:rsidR="004A41E4" w:rsidRPr="00026EC1">
        <w:t>’</w:t>
      </w:r>
      <w:r w:rsidRPr="00026EC1">
        <w:t>expérience et la scolarité sont identiques, le Collège transmet les dossiers des candidates et candidats aux fins de sélection par le comité ou mécanisme de sélection prévu à la convention collective.</w:t>
      </w:r>
    </w:p>
    <w:p w14:paraId="068B869D" w14:textId="77777777" w:rsidR="00DF6239" w:rsidRPr="00026EC1" w:rsidRDefault="00DF6239" w:rsidP="00A64613">
      <w:pPr>
        <w:pStyle w:val="Texte1cm"/>
        <w:keepNext w:val="0"/>
      </w:pPr>
    </w:p>
    <w:p w14:paraId="31B7FA7F" w14:textId="77777777" w:rsidR="00DF6239" w:rsidRPr="00026EC1" w:rsidRDefault="00DF6239" w:rsidP="00A64613">
      <w:pPr>
        <w:pStyle w:val="Texte1cm"/>
        <w:keepNext w:val="0"/>
      </w:pPr>
      <w:r w:rsidRPr="00026EC1">
        <w:t>Toutefois, si plusieurs candidates et candidats n</w:t>
      </w:r>
      <w:r w:rsidR="004A41E4" w:rsidRPr="00026EC1">
        <w:t>’</w:t>
      </w:r>
      <w:r w:rsidRPr="00026EC1">
        <w:t>ayant aucune ancienneté ont la même priorité sur la même charge, dans la même discipline, le Collège procède à l</w:t>
      </w:r>
      <w:r w:rsidR="004A41E4" w:rsidRPr="00026EC1">
        <w:t>’</w:t>
      </w:r>
      <w:r w:rsidRPr="00026EC1">
        <w:t xml:space="preserve">engagement de celle ou </w:t>
      </w:r>
      <w:r w:rsidR="00B53403" w:rsidRPr="00026EC1">
        <w:t xml:space="preserve">de </w:t>
      </w:r>
      <w:r w:rsidRPr="00026EC1">
        <w:t>celui dont la date officielle d</w:t>
      </w:r>
      <w:r w:rsidR="004A41E4" w:rsidRPr="00026EC1">
        <w:t>’</w:t>
      </w:r>
      <w:r w:rsidRPr="00026EC1">
        <w:t xml:space="preserve">embauche est la plus ancienne et, à date égale, </w:t>
      </w:r>
      <w:r w:rsidR="005A2D77" w:rsidRPr="00026EC1">
        <w:t>de celle</w:t>
      </w:r>
      <w:r w:rsidRPr="00026EC1">
        <w:t xml:space="preserve"> ou </w:t>
      </w:r>
      <w:r w:rsidR="005A2D77" w:rsidRPr="00026EC1">
        <w:t xml:space="preserve">de </w:t>
      </w:r>
      <w:r w:rsidRPr="00026EC1">
        <w:t>cel</w:t>
      </w:r>
      <w:r w:rsidR="005A2D77" w:rsidRPr="00026EC1">
        <w:t>ui</w:t>
      </w:r>
      <w:r w:rsidRPr="00026EC1">
        <w:t xml:space="preserve"> dont la date de la recommandation du comité de sélection est la plus ancienne et, à date égale, selon l</w:t>
      </w:r>
      <w:r w:rsidR="004A41E4" w:rsidRPr="00026EC1">
        <w:t>’</w:t>
      </w:r>
      <w:r w:rsidRPr="00026EC1">
        <w:t>ordre d</w:t>
      </w:r>
      <w:r w:rsidR="004A41E4" w:rsidRPr="00026EC1">
        <w:t>’</w:t>
      </w:r>
      <w:r w:rsidRPr="00026EC1">
        <w:t>engagement déterminé par le comité de sélection, sans égard à la charge d</w:t>
      </w:r>
      <w:r w:rsidR="004A41E4" w:rsidRPr="00026EC1">
        <w:t>’</w:t>
      </w:r>
      <w:r w:rsidRPr="00026EC1">
        <w:t xml:space="preserve">enseignement qui lui est attribuée. </w:t>
      </w:r>
    </w:p>
    <w:p w14:paraId="7A119C38" w14:textId="77777777" w:rsidR="00DF6239" w:rsidRPr="00026EC1" w:rsidRDefault="00DF6239" w:rsidP="00A64613">
      <w:pPr>
        <w:pStyle w:val="Texte1cm"/>
        <w:keepNext w:val="0"/>
      </w:pPr>
    </w:p>
    <w:p w14:paraId="10A3187E" w14:textId="333A3F96" w:rsidR="00DF6239" w:rsidRPr="00026EC1" w:rsidRDefault="00DF6239" w:rsidP="00A64613">
      <w:pPr>
        <w:pStyle w:val="Texte1cm"/>
        <w:keepNext w:val="0"/>
      </w:pPr>
      <w:r w:rsidRPr="00026EC1">
        <w:t>Lorsqu</w:t>
      </w:r>
      <w:r w:rsidR="004A41E4" w:rsidRPr="00026EC1">
        <w:t>’</w:t>
      </w:r>
      <w:r w:rsidRPr="00026EC1">
        <w:t>il s</w:t>
      </w:r>
      <w:r w:rsidR="004A41E4" w:rsidRPr="00026EC1">
        <w:t>’</w:t>
      </w:r>
      <w:r w:rsidRPr="00026EC1">
        <w:t>agit d</w:t>
      </w:r>
      <w:r w:rsidR="004A41E4" w:rsidRPr="00026EC1">
        <w:t>’</w:t>
      </w:r>
      <w:r w:rsidRPr="00026EC1">
        <w:t>un changement de discipline, les dispositions du sous</w:t>
      </w:r>
      <w:r w:rsidR="00984A6F">
        <w:noBreakHyphen/>
      </w:r>
      <w:r w:rsidRPr="00026EC1">
        <w:t>alinéa 2 de l</w:t>
      </w:r>
      <w:r w:rsidR="004A41E4" w:rsidRPr="00026EC1">
        <w:t>’</w:t>
      </w:r>
      <w:r w:rsidRPr="00026EC1">
        <w:t>alinéa F) de la clause 5</w:t>
      </w:r>
      <w:r w:rsidR="00984A6F">
        <w:noBreakHyphen/>
      </w:r>
      <w:r w:rsidRPr="00026EC1">
        <w:t>4.07 s</w:t>
      </w:r>
      <w:r w:rsidR="004A41E4" w:rsidRPr="00026EC1">
        <w:t>’</w:t>
      </w:r>
      <w:r w:rsidRPr="00026EC1">
        <w:t>appliquent en y apportant les adaptations nécessaires.</w:t>
      </w:r>
    </w:p>
    <w:p w14:paraId="5BEF4EE5" w14:textId="77777777" w:rsidR="00DF6239" w:rsidRPr="00026EC1" w:rsidRDefault="00DF6239" w:rsidP="00A64613">
      <w:pPr>
        <w:pStyle w:val="Texte1cm"/>
        <w:keepNext w:val="0"/>
      </w:pPr>
    </w:p>
    <w:p w14:paraId="06B29F15" w14:textId="77777777" w:rsidR="00DF6239" w:rsidRPr="00026EC1" w:rsidRDefault="00DF6239" w:rsidP="00A64613">
      <w:pPr>
        <w:pStyle w:val="Texte1cm"/>
        <w:keepNext w:val="0"/>
      </w:pPr>
      <w:r w:rsidRPr="00026EC1">
        <w:t>Une charge d</w:t>
      </w:r>
      <w:r w:rsidR="004A41E4" w:rsidRPr="00026EC1">
        <w:t>’</w:t>
      </w:r>
      <w:r w:rsidRPr="00026EC1">
        <w:t>enseignement visée par le présent alinéa</w:t>
      </w:r>
      <w:r w:rsidR="00757E12" w:rsidRPr="00026EC1">
        <w:t xml:space="preserve"> </w:t>
      </w:r>
      <w:r w:rsidRPr="00026EC1">
        <w:t>ne peut être refusée à une enseignante ou un enseignant non permanent de la discipline visée qui a à son crédit au moins trois (3) années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de la charge à combler, si sa candidature n</w:t>
      </w:r>
      <w:r w:rsidR="004A41E4" w:rsidRPr="00026EC1">
        <w:t>’</w:t>
      </w:r>
      <w:r w:rsidRPr="00026EC1">
        <w:t>a pas été analysée par le comité de sélection.</w:t>
      </w:r>
    </w:p>
    <w:p w14:paraId="0D8D8DB9" w14:textId="77777777" w:rsidR="00DF6239" w:rsidRPr="00026EC1" w:rsidRDefault="00DF6239" w:rsidP="00A64613">
      <w:pPr>
        <w:pStyle w:val="Texte1cm"/>
        <w:keepNext w:val="0"/>
      </w:pPr>
    </w:p>
    <w:p w14:paraId="0A82A251" w14:textId="6D1EC6A6" w:rsidR="001420A9" w:rsidRPr="00026EC1" w:rsidRDefault="008F690F" w:rsidP="00A64613">
      <w:pPr>
        <w:pStyle w:val="Texte1cm"/>
        <w:keepNext w:val="0"/>
      </w:pPr>
      <w:r w:rsidRPr="00026EC1">
        <w:t>L’enseignante ou l’enseignant visé par une offre générale de service, convenue conformément à la clause</w:t>
      </w:r>
      <w:r w:rsidR="001F5B69">
        <w:t> </w:t>
      </w:r>
      <w:r w:rsidRPr="00026EC1">
        <w:t>5</w:t>
      </w:r>
      <w:r w:rsidR="00984A6F">
        <w:noBreakHyphen/>
      </w:r>
      <w:r w:rsidRPr="00026EC1">
        <w:t>1.11, n’a pas à poser sa candidature par écrit.</w:t>
      </w:r>
      <w:r w:rsidR="001420A9" w:rsidRPr="00026EC1">
        <w:t xml:space="preserve"> </w:t>
      </w:r>
    </w:p>
    <w:p w14:paraId="5099A211" w14:textId="77777777" w:rsidR="00D82DA7" w:rsidRPr="00026EC1" w:rsidRDefault="00D82DA7" w:rsidP="00A64613">
      <w:pPr>
        <w:pStyle w:val="Texte1cm"/>
        <w:keepNext w:val="0"/>
      </w:pPr>
    </w:p>
    <w:p w14:paraId="30EB3933" w14:textId="58FDCC2D" w:rsidR="00DF6239" w:rsidRPr="00026EC1" w:rsidRDefault="00DF6239" w:rsidP="00A64613">
      <w:pPr>
        <w:pStyle w:val="Texte1cm"/>
        <w:keepNext w:val="0"/>
      </w:pPr>
      <w:r w:rsidRPr="00026EC1">
        <w:t>L</w:t>
      </w:r>
      <w:r w:rsidR="004A41E4" w:rsidRPr="00026EC1">
        <w:t>’</w:t>
      </w:r>
      <w:r w:rsidRPr="00026EC1">
        <w:t>ordre d</w:t>
      </w:r>
      <w:r w:rsidR="004A41E4" w:rsidRPr="00026EC1">
        <w:t>’</w:t>
      </w:r>
      <w:r w:rsidRPr="00026EC1">
        <w:t>engagement est le suivant</w:t>
      </w:r>
      <w:r w:rsidR="00D8581B">
        <w:t> :</w:t>
      </w:r>
    </w:p>
    <w:p w14:paraId="4AFE16E5" w14:textId="77777777" w:rsidR="00DF6239" w:rsidRPr="00026EC1" w:rsidRDefault="00DF6239" w:rsidP="00A64613">
      <w:pPr>
        <w:pStyle w:val="Texte1cm"/>
        <w:keepNext w:val="0"/>
      </w:pPr>
    </w:p>
    <w:p w14:paraId="10C11FF8" w14:textId="31A33AA4" w:rsidR="00DF6239" w:rsidRPr="00026EC1" w:rsidRDefault="00275751" w:rsidP="00A64613">
      <w:pPr>
        <w:keepNext w:val="0"/>
        <w:tabs>
          <w:tab w:val="left" w:pos="1134"/>
        </w:tabs>
        <w:ind w:left="1134" w:hanging="567"/>
      </w:pPr>
      <w:r w:rsidRPr="00026EC1">
        <w:t>1.</w:t>
      </w:r>
      <w:r w:rsidRPr="00026EC1">
        <w:tab/>
      </w:r>
      <w:r w:rsidR="00DF6239" w:rsidRPr="00026EC1">
        <w:t>l</w:t>
      </w:r>
      <w:r w:rsidR="004A41E4" w:rsidRPr="00026EC1">
        <w:t>’</w:t>
      </w:r>
      <w:r w:rsidR="00DF6239" w:rsidRPr="00026EC1">
        <w:t>enseignante ou l</w:t>
      </w:r>
      <w:r w:rsidR="004A41E4" w:rsidRPr="00026EC1">
        <w:t>’</w:t>
      </w:r>
      <w:r w:rsidR="00DF6239" w:rsidRPr="00026EC1">
        <w:t>enseignant du Collège visé par l</w:t>
      </w:r>
      <w:r w:rsidR="004A41E4" w:rsidRPr="00026EC1">
        <w:t>’</w:t>
      </w:r>
      <w:r w:rsidR="00DF6239" w:rsidRPr="00026EC1">
        <w:t>alinéa I) de la clause 5</w:t>
      </w:r>
      <w:r w:rsidR="00984A6F">
        <w:noBreakHyphen/>
      </w:r>
      <w:r w:rsidR="00DF6239" w:rsidRPr="00026EC1">
        <w:t>4.07, pour une charge dans sa discipline, sous réserve de difficultés d</w:t>
      </w:r>
      <w:r w:rsidR="004A41E4" w:rsidRPr="00026EC1">
        <w:t>’</w:t>
      </w:r>
      <w:r w:rsidR="00DF6239" w:rsidRPr="00026EC1">
        <w:t>ordre pédagogique;</w:t>
      </w:r>
    </w:p>
    <w:p w14:paraId="5BF4193A" w14:textId="77777777" w:rsidR="00DF6239" w:rsidRPr="00026EC1" w:rsidRDefault="00DF6239" w:rsidP="00A64613">
      <w:pPr>
        <w:pStyle w:val="Texte1cm"/>
        <w:keepNext w:val="0"/>
      </w:pPr>
    </w:p>
    <w:p w14:paraId="3E789F63" w14:textId="77777777" w:rsidR="00DF6239" w:rsidRPr="00026EC1" w:rsidRDefault="00275751" w:rsidP="00A64613">
      <w:pPr>
        <w:keepNext w:val="0"/>
        <w:tabs>
          <w:tab w:val="left" w:pos="1134"/>
        </w:tabs>
        <w:ind w:left="1134" w:hanging="567"/>
      </w:pPr>
      <w:r w:rsidRPr="00026EC1">
        <w:t>2.</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w:t>
      </w:r>
      <w:r w:rsidR="004A41E4" w:rsidRPr="00026EC1">
        <w:t>’</w:t>
      </w:r>
      <w:r w:rsidR="00DF6239" w:rsidRPr="00026EC1">
        <w:t>un autre Collège de la même zone dont le nom est transmis au Collège par le Bureau de placement, pour une charge annuelle de remplacement à temps complet dans sa discipline, sous réserve de difficultés d</w:t>
      </w:r>
      <w:r w:rsidR="004A41E4" w:rsidRPr="00026EC1">
        <w:t>’</w:t>
      </w:r>
      <w:r w:rsidR="00DF6239" w:rsidRPr="00026EC1">
        <w:t>ordre pédagogique</w:t>
      </w:r>
    </w:p>
    <w:p w14:paraId="34876039" w14:textId="77777777" w:rsidR="00DF6239" w:rsidRPr="00026EC1" w:rsidRDefault="00DF6239" w:rsidP="00A64613">
      <w:pPr>
        <w:pStyle w:val="Texte2cm"/>
        <w:keepNext w:val="0"/>
      </w:pPr>
    </w:p>
    <w:p w14:paraId="48833A95" w14:textId="77777777" w:rsidR="00DF6239" w:rsidRPr="00026EC1" w:rsidRDefault="00DF6239" w:rsidP="00A64613">
      <w:pPr>
        <w:pStyle w:val="Texte2cm"/>
        <w:keepNext w:val="0"/>
      </w:pPr>
      <w:r w:rsidRPr="00026EC1">
        <w:t>ou</w:t>
      </w:r>
    </w:p>
    <w:p w14:paraId="6D6B31BB" w14:textId="77777777" w:rsidR="00DF6239" w:rsidRPr="00026EC1" w:rsidRDefault="00DF6239" w:rsidP="00A64613">
      <w:pPr>
        <w:pStyle w:val="Texte2cm"/>
        <w:keepNext w:val="0"/>
      </w:pPr>
    </w:p>
    <w:p w14:paraId="445FB756" w14:textId="5FFC769E" w:rsidR="00DF6239" w:rsidRPr="00026EC1" w:rsidRDefault="00DF6239" w:rsidP="00A64613">
      <w:pPr>
        <w:pStyle w:val="Texte2cm"/>
        <w:keepNext w:val="0"/>
      </w:pPr>
      <w:r w:rsidRPr="00026EC1">
        <w:t>l</w:t>
      </w:r>
      <w:r w:rsidR="004A41E4" w:rsidRPr="00026EC1">
        <w:t>’</w:t>
      </w:r>
      <w:r w:rsidRPr="00026EC1">
        <w:t>enseignante ou l</w:t>
      </w:r>
      <w:r w:rsidR="004A41E4" w:rsidRPr="00026EC1">
        <w:t>’</w:t>
      </w:r>
      <w:r w:rsidRPr="00026EC1">
        <w:t>enseignant non permanent du Collège qui a à son crédit au moins</w:t>
      </w:r>
      <w:r w:rsidR="004A5173">
        <w:t xml:space="preserve"> </w:t>
      </w:r>
      <w:r w:rsidR="004A5173" w:rsidRPr="00316277">
        <w:t>sept (7)</w:t>
      </w:r>
      <w:r w:rsidRPr="00026EC1">
        <w:t xml:space="preserve"> années d</w:t>
      </w:r>
      <w:r w:rsidR="004A41E4" w:rsidRPr="00026EC1">
        <w:t>’</w:t>
      </w:r>
      <w:r w:rsidRPr="00026EC1">
        <w:t>ancienneté au dernier jour de l</w:t>
      </w:r>
      <w:r w:rsidR="004A41E4" w:rsidRPr="00026EC1">
        <w:t>’</w:t>
      </w:r>
      <w:r w:rsidRPr="00026EC1">
        <w:t>année d</w:t>
      </w:r>
      <w:r w:rsidR="004A41E4" w:rsidRPr="00026EC1">
        <w:t>’</w:t>
      </w:r>
      <w:r w:rsidRPr="00026EC1">
        <w:t>engagement précédant celle de la charge à combler, pour les trois (3) années qui suivent l</w:t>
      </w:r>
      <w:r w:rsidR="004A41E4" w:rsidRPr="00026EC1">
        <w:t>’</w:t>
      </w:r>
      <w:r w:rsidRPr="00026EC1">
        <w:t>échéance de son dernier contrat dans la discipline de la charge d</w:t>
      </w:r>
      <w:r w:rsidR="004A41E4" w:rsidRPr="00026EC1">
        <w:t>’</w:t>
      </w:r>
      <w:r w:rsidRPr="00026EC1">
        <w:t>enseignement, si elle ou il pose sa candidature par écrit dans les délais prévus à la convention collective;</w:t>
      </w:r>
    </w:p>
    <w:p w14:paraId="2709475E" w14:textId="50CDBE10" w:rsidR="00DF6239" w:rsidRPr="00026EC1" w:rsidRDefault="00DF6239" w:rsidP="00A64613">
      <w:pPr>
        <w:keepNext w:val="0"/>
      </w:pPr>
    </w:p>
    <w:p w14:paraId="2A03B4EC" w14:textId="77777777" w:rsidR="00DF6239" w:rsidRPr="00026EC1" w:rsidRDefault="00275751" w:rsidP="00A64613">
      <w:pPr>
        <w:keepNext w:val="0"/>
        <w:tabs>
          <w:tab w:val="left" w:pos="1134"/>
        </w:tabs>
        <w:ind w:left="1134" w:hanging="567"/>
      </w:pPr>
      <w:r w:rsidRPr="00026EC1">
        <w:t>3.</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du Collège qui a à son crédit au moins trois (3) ans d</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précédant celle de la charge à combler, pour les trois (3) années qui suivent l</w:t>
      </w:r>
      <w:r w:rsidR="004A41E4" w:rsidRPr="00026EC1">
        <w:t>’</w:t>
      </w:r>
      <w:r w:rsidR="00DF6239" w:rsidRPr="00026EC1">
        <w:t>échéance de son dernier contrat dans la discipline de la charge d</w:t>
      </w:r>
      <w:r w:rsidR="004A41E4" w:rsidRPr="00026EC1">
        <w:t>’</w:t>
      </w:r>
      <w:r w:rsidR="00DF6239" w:rsidRPr="00026EC1">
        <w:t>enseignement, si elle ou il pose sa candidature par écrit dans les délais prévus à la convention collective</w:t>
      </w:r>
    </w:p>
    <w:p w14:paraId="6B40780E" w14:textId="77777777" w:rsidR="00DF6239" w:rsidRPr="00026EC1" w:rsidRDefault="00DF6239" w:rsidP="00A64613">
      <w:pPr>
        <w:pStyle w:val="Texte2cm"/>
        <w:keepNext w:val="0"/>
      </w:pPr>
    </w:p>
    <w:p w14:paraId="234AA560" w14:textId="77777777" w:rsidR="00DF6239" w:rsidRDefault="00F077A0" w:rsidP="00A64613">
      <w:pPr>
        <w:pStyle w:val="Texte2cm"/>
        <w:keepNext w:val="0"/>
      </w:pPr>
      <w:r>
        <w:t>o</w:t>
      </w:r>
      <w:r w:rsidR="00DF6239" w:rsidRPr="00026EC1">
        <w:t>u</w:t>
      </w:r>
    </w:p>
    <w:p w14:paraId="01B72A1F" w14:textId="77777777" w:rsidR="00F077A0" w:rsidRPr="00026EC1" w:rsidRDefault="00F077A0" w:rsidP="00A64613">
      <w:pPr>
        <w:pStyle w:val="Texte2cm"/>
        <w:keepNext w:val="0"/>
      </w:pPr>
    </w:p>
    <w:p w14:paraId="6AD79D5C" w14:textId="1CEC7CE4" w:rsidR="00DF6239" w:rsidRDefault="00DF6239" w:rsidP="00A64613">
      <w:pPr>
        <w:pStyle w:val="Texte2cm"/>
        <w:keepNext w:val="0"/>
      </w:pPr>
      <w:r w:rsidRPr="00026EC1">
        <w:t>l</w:t>
      </w:r>
      <w:r w:rsidR="004A41E4" w:rsidRPr="00026EC1">
        <w:t>’</w:t>
      </w:r>
      <w:r w:rsidRPr="00026EC1">
        <w:t>enseignante ou l</w:t>
      </w:r>
      <w:r w:rsidR="004A41E4" w:rsidRPr="00026EC1">
        <w:t>’</w:t>
      </w:r>
      <w:r w:rsidRPr="00026EC1">
        <w:t>enseignant du Collège visé par l</w:t>
      </w:r>
      <w:r w:rsidR="004A41E4" w:rsidRPr="00026EC1">
        <w:t>’</w:t>
      </w:r>
      <w:r w:rsidRPr="00026EC1">
        <w:t>alinéa I) de la clause 5</w:t>
      </w:r>
      <w:r w:rsidR="00984A6F">
        <w:noBreakHyphen/>
      </w:r>
      <w:r w:rsidRPr="00026EC1">
        <w:t>4.07, pour une charge dans une autre discipline;</w:t>
      </w:r>
    </w:p>
    <w:p w14:paraId="377FF2EC" w14:textId="77777777" w:rsidR="00B9550F" w:rsidRPr="00026EC1" w:rsidRDefault="00B9550F" w:rsidP="00A64613">
      <w:pPr>
        <w:pStyle w:val="Texte2cm"/>
        <w:keepNext w:val="0"/>
      </w:pPr>
    </w:p>
    <w:p w14:paraId="1DFE2572" w14:textId="77777777" w:rsidR="00DF6239" w:rsidRPr="00026EC1" w:rsidRDefault="00275751" w:rsidP="00A64613">
      <w:pPr>
        <w:keepNext w:val="0"/>
        <w:tabs>
          <w:tab w:val="left" w:pos="1134"/>
        </w:tabs>
        <w:ind w:left="1134" w:hanging="567"/>
      </w:pPr>
      <w:r w:rsidRPr="00026EC1">
        <w:t>4.</w:t>
      </w:r>
      <w:r w:rsidRPr="00026EC1">
        <w:tab/>
      </w:r>
      <w:r w:rsidR="00DF6239" w:rsidRPr="00026EC1">
        <w:t>l</w:t>
      </w:r>
      <w:r w:rsidR="004A41E4" w:rsidRPr="00026EC1">
        <w:t>’</w:t>
      </w:r>
      <w:r w:rsidR="00DF6239" w:rsidRPr="00026EC1">
        <w:t>enseignante ou l</w:t>
      </w:r>
      <w:r w:rsidR="004A41E4" w:rsidRPr="00026EC1">
        <w:t>’</w:t>
      </w:r>
      <w:r w:rsidR="00DF6239" w:rsidRPr="00026EC1">
        <w:t>enseignant permanent du Collège d</w:t>
      </w:r>
      <w:r w:rsidR="004A41E4" w:rsidRPr="00026EC1">
        <w:t>’</w:t>
      </w:r>
      <w:r w:rsidR="00DF6239" w:rsidRPr="00026EC1">
        <w:t>une discipline où il y a une enseignante ou un enseignant mis en disponibilité, pour une charge dans une autre discipline, si elle ou il pose sa candidature par écrit dans les délais prévus à la convention collective;</w:t>
      </w:r>
    </w:p>
    <w:p w14:paraId="39EF58C3" w14:textId="77777777" w:rsidR="00DF6239" w:rsidRPr="00026EC1" w:rsidRDefault="00DF6239" w:rsidP="00A64613">
      <w:pPr>
        <w:pStyle w:val="Texte2cm"/>
        <w:keepNext w:val="0"/>
      </w:pPr>
    </w:p>
    <w:p w14:paraId="2E2CFC38" w14:textId="77777777" w:rsidR="00E6406A" w:rsidRPr="00026EC1" w:rsidRDefault="00E6406A" w:rsidP="00A20EE2">
      <w:pPr>
        <w:keepNext w:val="0"/>
        <w:tabs>
          <w:tab w:val="left" w:pos="1134"/>
        </w:tabs>
        <w:ind w:left="1134" w:right="-19" w:hanging="567"/>
      </w:pPr>
      <w:r w:rsidRPr="00026EC1">
        <w:t xml:space="preserve">5. </w:t>
      </w:r>
      <w:r w:rsidRPr="00026EC1">
        <w:tab/>
        <w:t>l’enseignante ou l’enseignant non permanent à temps complet ou à temps partiel du Collège qui a accumulé moins de trois (3) années d’ancienneté au dernier jour de l’année d’engagement précédant celle de la charge à combler, tant qu’il ne s’est pas écoulé trois (3) années depuis l’échéance de son dernier contrat dans la discipline de la charge d’enseignement, si elle ou il pose sa candidature par écrit dans les délais prévus à la convention collective;</w:t>
      </w:r>
    </w:p>
    <w:p w14:paraId="0ED4BFD9" w14:textId="77777777" w:rsidR="00E6406A" w:rsidRPr="00026EC1" w:rsidRDefault="00E6406A" w:rsidP="00A20EE2">
      <w:pPr>
        <w:pStyle w:val="Texte2cm"/>
        <w:keepNext w:val="0"/>
        <w:ind w:right="-19"/>
      </w:pPr>
    </w:p>
    <w:p w14:paraId="12D09099" w14:textId="77777777" w:rsidR="00E6406A" w:rsidRPr="00026EC1" w:rsidRDefault="00E6406A" w:rsidP="00A20EE2">
      <w:pPr>
        <w:keepNext w:val="0"/>
        <w:tabs>
          <w:tab w:val="left" w:pos="1134"/>
        </w:tabs>
        <w:ind w:left="1134" w:right="-19" w:hanging="567"/>
      </w:pPr>
      <w:r w:rsidRPr="00026EC1">
        <w:t>6.</w:t>
      </w:r>
      <w:r w:rsidRPr="00026EC1">
        <w:tab/>
        <w:t>l’employée ou l’employé d’une autre catégorie de personnel que le Collège désire assigner provisoirement à une tâche d’enseignement en vertu des dispositions relatives à l’assignation provisoire applicables à cette autre catégorie de personnel; le Collège la ou le réfère au comité ou mécanisme de sélection prévu à la convention collective;</w:t>
      </w:r>
    </w:p>
    <w:p w14:paraId="6647E9DD" w14:textId="77777777" w:rsidR="00E6406A" w:rsidRPr="00026EC1" w:rsidRDefault="00E6406A" w:rsidP="00A20EE2">
      <w:pPr>
        <w:pStyle w:val="Texte2cm"/>
        <w:keepNext w:val="0"/>
        <w:ind w:right="-19"/>
      </w:pPr>
    </w:p>
    <w:p w14:paraId="6FE3AA89" w14:textId="77777777" w:rsidR="00E6406A" w:rsidRPr="00026EC1" w:rsidRDefault="00E6406A" w:rsidP="00A20EE2">
      <w:pPr>
        <w:keepNext w:val="0"/>
        <w:tabs>
          <w:tab w:val="left" w:pos="1134"/>
        </w:tabs>
        <w:ind w:left="1134" w:right="-19" w:hanging="567"/>
      </w:pPr>
      <w:r w:rsidRPr="00026EC1">
        <w:t>7.</w:t>
      </w:r>
      <w:r w:rsidRPr="00026EC1">
        <w:tab/>
        <w:t>l’enseignante ou l’enseignant non permanent à temps complet du Collège, pour une charge dans une autre discipline, pour l’année d’enseignement suivant l’échéance de son contrat, si elle ou il pose sa candidature par écrit dans les délais prévus à la convention collective.</w:t>
      </w:r>
    </w:p>
    <w:p w14:paraId="0C122F27" w14:textId="77777777" w:rsidR="00DF6239" w:rsidRPr="00026EC1" w:rsidRDefault="00DF6239" w:rsidP="00A64613">
      <w:pPr>
        <w:keepNext w:val="0"/>
      </w:pPr>
    </w:p>
    <w:p w14:paraId="30A79581" w14:textId="77777777" w:rsidR="00DF6239" w:rsidRPr="00026EC1" w:rsidRDefault="00275751" w:rsidP="00A64613">
      <w:pPr>
        <w:keepNext w:val="0"/>
        <w:tabs>
          <w:tab w:val="left" w:pos="567"/>
        </w:tabs>
        <w:ind w:left="567" w:hanging="567"/>
        <w:rPr>
          <w:b/>
          <w:bCs/>
          <w:u w:val="single"/>
        </w:rPr>
      </w:pPr>
      <w:r w:rsidRPr="00026EC1">
        <w:rPr>
          <w:b/>
          <w:bCs/>
        </w:rPr>
        <w:t>c)</w:t>
      </w:r>
      <w:r w:rsidRPr="00026EC1">
        <w:rPr>
          <w:b/>
          <w:bCs/>
        </w:rPr>
        <w:tab/>
      </w:r>
      <w:r w:rsidR="00DF6239" w:rsidRPr="00026EC1">
        <w:rPr>
          <w:b/>
          <w:bCs/>
          <w:u w:val="single"/>
        </w:rPr>
        <w:t>Autres candidatures</w:t>
      </w:r>
    </w:p>
    <w:p w14:paraId="281F4165" w14:textId="4CF1039E" w:rsidR="00DF6239" w:rsidRPr="00026EC1" w:rsidRDefault="00DF6239" w:rsidP="00A64613">
      <w:pPr>
        <w:pStyle w:val="Texte1cm"/>
        <w:keepNext w:val="0"/>
      </w:pPr>
      <w:r w:rsidRPr="00026EC1">
        <w:t>Ensuite, sans limiter la portée des alinéas a) et b) de la présente clause, le Collège, avant d</w:t>
      </w:r>
      <w:r w:rsidR="004A41E4" w:rsidRPr="00026EC1">
        <w:t>’</w:t>
      </w:r>
      <w:r w:rsidRPr="00026EC1">
        <w:t>engager toute autre candidate ou tout autre candidat pour un poste ou une charge à l</w:t>
      </w:r>
      <w:r w:rsidR="004A41E4" w:rsidRPr="00026EC1">
        <w:t>’</w:t>
      </w:r>
      <w:r w:rsidRPr="00026EC1">
        <w:t>enseignement régulier, tient compte des candidatures suivantes qui doivent être soumises par écrit, dans les délais prévus à la convention collective</w:t>
      </w:r>
      <w:r w:rsidR="00D8581B">
        <w:t> :</w:t>
      </w:r>
    </w:p>
    <w:p w14:paraId="521C76C3" w14:textId="77777777" w:rsidR="00DF6239" w:rsidRPr="00026EC1" w:rsidRDefault="00DF6239" w:rsidP="00A64613">
      <w:pPr>
        <w:keepNext w:val="0"/>
      </w:pPr>
    </w:p>
    <w:p w14:paraId="29050416" w14:textId="77777777" w:rsidR="00DF6239"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DF6239" w:rsidRPr="00026EC1">
        <w:t>l</w:t>
      </w:r>
      <w:r w:rsidR="004A41E4" w:rsidRPr="00026EC1">
        <w:t>’</w:t>
      </w:r>
      <w:r w:rsidR="00DF6239" w:rsidRPr="00026EC1">
        <w:t>enseignante ou l</w:t>
      </w:r>
      <w:r w:rsidR="004A41E4" w:rsidRPr="00026EC1">
        <w:t>’</w:t>
      </w:r>
      <w:r w:rsidR="00DF6239" w:rsidRPr="00026EC1">
        <w:t>enseignant non permanent à temps complet d</w:t>
      </w:r>
      <w:r w:rsidR="004A41E4" w:rsidRPr="00026EC1">
        <w:t>’</w:t>
      </w:r>
      <w:r w:rsidR="00DF6239" w:rsidRPr="00026EC1">
        <w:t>un autre Collège l</w:t>
      </w:r>
      <w:r w:rsidR="004A41E4" w:rsidRPr="00026EC1">
        <w:t>’</w:t>
      </w:r>
      <w:r w:rsidR="00DF6239" w:rsidRPr="00026EC1">
        <w:t>année d</w:t>
      </w:r>
      <w:r w:rsidR="004A41E4" w:rsidRPr="00026EC1">
        <w:t>’</w:t>
      </w:r>
      <w:r w:rsidR="00DF6239" w:rsidRPr="00026EC1">
        <w:t>enseignement précédente;</w:t>
      </w:r>
    </w:p>
    <w:p w14:paraId="407A9363" w14:textId="77777777" w:rsidR="00DF6239" w:rsidRPr="00026EC1" w:rsidRDefault="00DF6239" w:rsidP="00A64613">
      <w:pPr>
        <w:keepNext w:val="0"/>
      </w:pPr>
    </w:p>
    <w:p w14:paraId="39751D2C" w14:textId="77777777" w:rsidR="00DF6239"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DF6239" w:rsidRPr="00026EC1">
        <w:t>l</w:t>
      </w:r>
      <w:r w:rsidR="004A41E4" w:rsidRPr="00026EC1">
        <w:t>’</w:t>
      </w:r>
      <w:r w:rsidR="00DF6239" w:rsidRPr="00026EC1">
        <w:t>enseignante ou l</w:t>
      </w:r>
      <w:r w:rsidR="004A41E4" w:rsidRPr="00026EC1">
        <w:t>’</w:t>
      </w:r>
      <w:r w:rsidR="00DF6239" w:rsidRPr="00026EC1">
        <w:t>enseignant chargé de cours à l</w:t>
      </w:r>
      <w:r w:rsidR="004A41E4" w:rsidRPr="00026EC1">
        <w:t>’</w:t>
      </w:r>
      <w:r w:rsidR="00DF6239" w:rsidRPr="00026EC1">
        <w:t>emploi du Collège;</w:t>
      </w:r>
    </w:p>
    <w:p w14:paraId="5CED0383" w14:textId="77777777" w:rsidR="00DF6239" w:rsidRPr="00026EC1" w:rsidRDefault="00DF6239" w:rsidP="00A64613">
      <w:pPr>
        <w:keepNext w:val="0"/>
      </w:pPr>
    </w:p>
    <w:p w14:paraId="0BACB353" w14:textId="28B8448F" w:rsidR="00DF6239"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DF6239" w:rsidRPr="00026EC1">
        <w:t>l</w:t>
      </w:r>
      <w:r w:rsidR="004A41E4" w:rsidRPr="00026EC1">
        <w:t>’</w:t>
      </w:r>
      <w:r w:rsidR="00DF6239" w:rsidRPr="00026EC1">
        <w:t>enseignante ou l</w:t>
      </w:r>
      <w:r w:rsidR="004A41E4" w:rsidRPr="00026EC1">
        <w:t>’</w:t>
      </w:r>
      <w:r w:rsidR="00DF6239" w:rsidRPr="00026EC1">
        <w:t>enseignant à l</w:t>
      </w:r>
      <w:r w:rsidR="004A41E4" w:rsidRPr="00026EC1">
        <w:t>’</w:t>
      </w:r>
      <w:r w:rsidR="00DF6239" w:rsidRPr="00026EC1">
        <w:t>emploi du Collège qui désire changer de discipline;</w:t>
      </w:r>
    </w:p>
    <w:p w14:paraId="402AE84F" w14:textId="77777777" w:rsidR="00207FD3" w:rsidRPr="00026EC1" w:rsidRDefault="00207FD3" w:rsidP="00A64613">
      <w:pPr>
        <w:keepNext w:val="0"/>
        <w:tabs>
          <w:tab w:val="left" w:pos="1134"/>
        </w:tabs>
        <w:ind w:left="1134" w:hanging="567"/>
      </w:pPr>
    </w:p>
    <w:p w14:paraId="6940513D" w14:textId="063C9F5B" w:rsidR="00DF6239"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DF6239" w:rsidRPr="00026EC1">
        <w:t>l</w:t>
      </w:r>
      <w:r w:rsidR="004A41E4" w:rsidRPr="00026EC1">
        <w:t>’</w:t>
      </w:r>
      <w:r w:rsidR="00DF6239" w:rsidRPr="00026EC1">
        <w:t>enseignante ou l</w:t>
      </w:r>
      <w:r w:rsidR="004A41E4" w:rsidRPr="00026EC1">
        <w:t>’</w:t>
      </w:r>
      <w:r w:rsidR="00DF6239" w:rsidRPr="00026EC1">
        <w:t>enseignant venant d</w:t>
      </w:r>
      <w:r w:rsidR="004A41E4" w:rsidRPr="00026EC1">
        <w:t>’</w:t>
      </w:r>
      <w:r w:rsidR="00DF6239" w:rsidRPr="00026EC1">
        <w:t>un autre Collège.</w:t>
      </w:r>
    </w:p>
    <w:p w14:paraId="5EBA0CDF" w14:textId="77777777" w:rsidR="00A20EE2" w:rsidRDefault="00A20EE2" w:rsidP="00A64613">
      <w:pPr>
        <w:keepNext w:val="0"/>
        <w:tabs>
          <w:tab w:val="left" w:pos="1134"/>
        </w:tabs>
        <w:ind w:left="1134" w:hanging="567"/>
      </w:pPr>
    </w:p>
    <w:p w14:paraId="49B36F7E" w14:textId="134F6DF1" w:rsidR="00DF6239" w:rsidRPr="00026EC1" w:rsidRDefault="00275751" w:rsidP="00A64613">
      <w:pPr>
        <w:keepNext w:val="0"/>
        <w:tabs>
          <w:tab w:val="left" w:pos="567"/>
        </w:tabs>
        <w:ind w:left="567" w:hanging="567"/>
        <w:rPr>
          <w:b/>
          <w:bCs/>
          <w:u w:val="single"/>
        </w:rPr>
      </w:pPr>
      <w:r w:rsidRPr="00026EC1">
        <w:rPr>
          <w:b/>
          <w:bCs/>
        </w:rPr>
        <w:t>d)</w:t>
      </w:r>
      <w:r w:rsidRPr="00026EC1">
        <w:rPr>
          <w:b/>
          <w:bCs/>
        </w:rPr>
        <w:tab/>
      </w:r>
      <w:r w:rsidR="00DF6239" w:rsidRPr="00026EC1">
        <w:rPr>
          <w:b/>
          <w:bCs/>
          <w:u w:val="single"/>
        </w:rPr>
        <w:t>Ordre de priorité d</w:t>
      </w:r>
      <w:r w:rsidR="004A41E4" w:rsidRPr="00026EC1">
        <w:rPr>
          <w:b/>
          <w:bCs/>
          <w:u w:val="single"/>
        </w:rPr>
        <w:t>’</w:t>
      </w:r>
      <w:r w:rsidR="00DF6239" w:rsidRPr="00026EC1">
        <w:rPr>
          <w:b/>
          <w:bCs/>
          <w:u w:val="single"/>
        </w:rPr>
        <w:t xml:space="preserve">engagement pour une charge </w:t>
      </w:r>
      <w:r w:rsidR="00D86B24" w:rsidRPr="00316277">
        <w:rPr>
          <w:b/>
          <w:bCs/>
          <w:u w:val="single"/>
        </w:rPr>
        <w:t>d’enseignement</w:t>
      </w:r>
      <w:r w:rsidR="00D86B24">
        <w:rPr>
          <w:b/>
          <w:bCs/>
          <w:u w:val="single"/>
        </w:rPr>
        <w:t xml:space="preserve"> </w:t>
      </w:r>
      <w:r w:rsidR="00DF6239" w:rsidRPr="00026EC1">
        <w:rPr>
          <w:b/>
          <w:bCs/>
          <w:u w:val="single"/>
        </w:rPr>
        <w:t>à la formation continue</w:t>
      </w:r>
    </w:p>
    <w:p w14:paraId="03C908C6" w14:textId="0D5EF6AF" w:rsidR="00DF6239" w:rsidRPr="00026EC1" w:rsidRDefault="00DF6239" w:rsidP="00A64613">
      <w:pPr>
        <w:pStyle w:val="Texte1cm"/>
        <w:keepNext w:val="0"/>
      </w:pPr>
      <w:r w:rsidRPr="00026EC1">
        <w:t>Lorsque le Collège comble une charge quelconque d</w:t>
      </w:r>
      <w:r w:rsidR="004A41E4" w:rsidRPr="00026EC1">
        <w:t>’</w:t>
      </w:r>
      <w:r w:rsidRPr="00026EC1">
        <w:t>enseignement à la formation continue, il procède à l</w:t>
      </w:r>
      <w:r w:rsidR="004A41E4" w:rsidRPr="00026EC1">
        <w:t>’</w:t>
      </w:r>
      <w:r w:rsidRPr="00026EC1">
        <w:t>engagement de la candidate ou du candidat selon l</w:t>
      </w:r>
      <w:r w:rsidR="004A41E4" w:rsidRPr="00026EC1">
        <w:t>’</w:t>
      </w:r>
      <w:r w:rsidRPr="00026EC1">
        <w:t>ordre de priorité ci</w:t>
      </w:r>
      <w:r w:rsidR="00984A6F">
        <w:noBreakHyphen/>
      </w:r>
      <w:r w:rsidRPr="00026EC1">
        <w:t>dessous.</w:t>
      </w:r>
    </w:p>
    <w:p w14:paraId="526238CB" w14:textId="77777777" w:rsidR="00DF6239" w:rsidRPr="00026EC1" w:rsidRDefault="00DF6239" w:rsidP="00A64613">
      <w:pPr>
        <w:pStyle w:val="Texte1cm"/>
        <w:keepNext w:val="0"/>
      </w:pPr>
    </w:p>
    <w:p w14:paraId="1D29ABAD" w14:textId="5AD38A65" w:rsidR="00DF6239" w:rsidRPr="00026EC1" w:rsidRDefault="00DF6239" w:rsidP="00A64613">
      <w:pPr>
        <w:pStyle w:val="Texte1cm"/>
        <w:keepNext w:val="0"/>
      </w:pPr>
      <w:r w:rsidRPr="00026EC1">
        <w:t>Si plusieurs candidates et candidats ont la même priorité sur la même charge d</w:t>
      </w:r>
      <w:r w:rsidR="004A41E4" w:rsidRPr="00026EC1">
        <w:t>’</w:t>
      </w:r>
      <w:r w:rsidRPr="00026EC1">
        <w:t>enseignement, dans la même discipline, le Collège procède, sans passer par le mécanisme de sélection prévu à la clause 8</w:t>
      </w:r>
      <w:r w:rsidR="00984A6F">
        <w:noBreakHyphen/>
      </w:r>
      <w:r w:rsidRPr="00026EC1">
        <w:t>7.03, à l</w:t>
      </w:r>
      <w:r w:rsidR="004A41E4" w:rsidRPr="00026EC1">
        <w:t>’</w:t>
      </w:r>
      <w:r w:rsidRPr="00026EC1">
        <w:t>engagement de celle ou de celui qui a le plus d</w:t>
      </w:r>
      <w:r w:rsidR="004A41E4" w:rsidRPr="00026EC1">
        <w:t>’</w:t>
      </w:r>
      <w:r w:rsidRPr="00026EC1">
        <w:t>ancienneté et, à ancienneté égale, de celle ou de celui qui a le plus d</w:t>
      </w:r>
      <w:r w:rsidR="004A41E4" w:rsidRPr="00026EC1">
        <w:t>’</w:t>
      </w:r>
      <w:r w:rsidRPr="00026EC1">
        <w:t>expérience et, à expérience égale, de celle ou de celui qui a le plus de scolarité, sous réserve, s</w:t>
      </w:r>
      <w:r w:rsidR="004A41E4" w:rsidRPr="00026EC1">
        <w:t>’</w:t>
      </w:r>
      <w:r w:rsidRPr="00026EC1">
        <w:t>il y a lieu, du programme d</w:t>
      </w:r>
      <w:r w:rsidR="004A41E4" w:rsidRPr="00026EC1">
        <w:t>’</w:t>
      </w:r>
      <w:r w:rsidRPr="00026EC1">
        <w:t>accès à l</w:t>
      </w:r>
      <w:r w:rsidR="004A41E4" w:rsidRPr="00026EC1">
        <w:t>’</w:t>
      </w:r>
      <w:r w:rsidRPr="00026EC1">
        <w:t>égalité en emploi établi conformément à l</w:t>
      </w:r>
      <w:r w:rsidR="004A41E4" w:rsidRPr="00026EC1">
        <w:t>’</w:t>
      </w:r>
      <w:r w:rsidRPr="00026EC1">
        <w:t>article 2</w:t>
      </w:r>
      <w:r w:rsidR="00984A6F">
        <w:noBreakHyphen/>
      </w:r>
      <w:r w:rsidRPr="00026EC1">
        <w:t>4.00, au regard de la priorité 2. Cependant, lorsque l</w:t>
      </w:r>
      <w:r w:rsidR="004A41E4" w:rsidRPr="00026EC1">
        <w:t>’</w:t>
      </w:r>
      <w:r w:rsidRPr="00026EC1">
        <w:t>ancienneté, l</w:t>
      </w:r>
      <w:r w:rsidR="004A41E4" w:rsidRPr="00026EC1">
        <w:t>’</w:t>
      </w:r>
      <w:r w:rsidRPr="00026EC1">
        <w:t>expérience et la scolarité sont identiques, la sélection est faite conformément aux dispositions de la clause 8</w:t>
      </w:r>
      <w:r w:rsidR="00984A6F">
        <w:noBreakHyphen/>
      </w:r>
      <w:r w:rsidRPr="00026EC1">
        <w:t>7.03.</w:t>
      </w:r>
    </w:p>
    <w:p w14:paraId="62ABBCD9" w14:textId="77777777" w:rsidR="00DF6239" w:rsidRPr="00026EC1" w:rsidRDefault="00DF6239" w:rsidP="00A64613">
      <w:pPr>
        <w:pStyle w:val="Texte1cm"/>
        <w:keepNext w:val="0"/>
      </w:pPr>
    </w:p>
    <w:p w14:paraId="7178C917" w14:textId="77777777" w:rsidR="00DF6239" w:rsidRPr="00026EC1" w:rsidRDefault="00DF6239" w:rsidP="00A64613">
      <w:pPr>
        <w:pStyle w:val="Texte1cm"/>
        <w:keepNext w:val="0"/>
      </w:pPr>
      <w:r w:rsidRPr="00026EC1">
        <w:t>Toutefois, si plusieurs candidates et candidats n</w:t>
      </w:r>
      <w:r w:rsidR="004A41E4" w:rsidRPr="00026EC1">
        <w:t>’</w:t>
      </w:r>
      <w:r w:rsidRPr="00026EC1">
        <w:t>ayant aucune ancienneté ont la même priorité sur la même charge, dans la même discipline, le Collège procède à l</w:t>
      </w:r>
      <w:r w:rsidR="004A41E4" w:rsidRPr="00026EC1">
        <w:t>’</w:t>
      </w:r>
      <w:r w:rsidRPr="00026EC1">
        <w:t xml:space="preserve">engagement de celle ou </w:t>
      </w:r>
      <w:r w:rsidR="00B53403" w:rsidRPr="00026EC1">
        <w:t xml:space="preserve">de </w:t>
      </w:r>
      <w:r w:rsidRPr="00026EC1">
        <w:t>celui dont la date officielle d</w:t>
      </w:r>
      <w:r w:rsidR="004A41E4" w:rsidRPr="00026EC1">
        <w:t>’</w:t>
      </w:r>
      <w:r w:rsidRPr="00026EC1">
        <w:t xml:space="preserve">embauche est la plus ancienne et, à date égale, </w:t>
      </w:r>
      <w:r w:rsidR="005A2D77" w:rsidRPr="00026EC1">
        <w:t>de celle ou de celui</w:t>
      </w:r>
      <w:r w:rsidRPr="00026EC1">
        <w:t xml:space="preserve"> dont la date de recommandation déterminé par le mécanisme de sélection de la formation continue est la plus ancienne et, à date égale, selon l</w:t>
      </w:r>
      <w:r w:rsidR="004A41E4" w:rsidRPr="00026EC1">
        <w:t>’</w:t>
      </w:r>
      <w:r w:rsidRPr="00026EC1">
        <w:t>ordre d</w:t>
      </w:r>
      <w:r w:rsidR="004A41E4" w:rsidRPr="00026EC1">
        <w:t>’</w:t>
      </w:r>
      <w:r w:rsidRPr="00026EC1">
        <w:t>engagement déterminé lors de la sélection, sans égard à la charge d</w:t>
      </w:r>
      <w:r w:rsidR="004A41E4" w:rsidRPr="00026EC1">
        <w:t>’</w:t>
      </w:r>
      <w:r w:rsidRPr="00026EC1">
        <w:t xml:space="preserve">enseignement qui lui est attribuée. </w:t>
      </w:r>
    </w:p>
    <w:p w14:paraId="41C765A6" w14:textId="77777777" w:rsidR="00DF6239" w:rsidRPr="00026EC1" w:rsidRDefault="00DF6239" w:rsidP="00A64613">
      <w:pPr>
        <w:pStyle w:val="Texte1cm"/>
        <w:keepNext w:val="0"/>
      </w:pPr>
    </w:p>
    <w:p w14:paraId="19937988" w14:textId="126D2DE3" w:rsidR="00E40787" w:rsidRPr="00026EC1" w:rsidRDefault="00E40787" w:rsidP="00A64613">
      <w:pPr>
        <w:pStyle w:val="Texte1cm"/>
        <w:keepNext w:val="0"/>
      </w:pPr>
      <w:r w:rsidRPr="00026EC1">
        <w:t>L’enseignante ou l’enseignant visé par une offre générale de service, convenue conformément à la clause</w:t>
      </w:r>
      <w:r w:rsidR="001F5B69">
        <w:t> </w:t>
      </w:r>
      <w:r w:rsidRPr="00026EC1">
        <w:t>5</w:t>
      </w:r>
      <w:r w:rsidR="00984A6F">
        <w:noBreakHyphen/>
      </w:r>
      <w:r w:rsidRPr="00026EC1">
        <w:t>1.11, n’a pas à poser sa candidature par écrit.</w:t>
      </w:r>
    </w:p>
    <w:p w14:paraId="49AA2348" w14:textId="77777777" w:rsidR="00E40787" w:rsidRPr="00026EC1" w:rsidRDefault="00E40787" w:rsidP="00A64613">
      <w:pPr>
        <w:pStyle w:val="Texte1cm"/>
        <w:keepNext w:val="0"/>
      </w:pPr>
    </w:p>
    <w:p w14:paraId="1F1868EF" w14:textId="7958B602" w:rsidR="00DF6239" w:rsidRPr="00026EC1" w:rsidRDefault="00DF6239" w:rsidP="00A64613">
      <w:pPr>
        <w:pStyle w:val="Texte1cm"/>
        <w:keepNext w:val="0"/>
      </w:pPr>
      <w:r w:rsidRPr="00026EC1">
        <w:t>L</w:t>
      </w:r>
      <w:r w:rsidR="004A41E4" w:rsidRPr="00026EC1">
        <w:t>’</w:t>
      </w:r>
      <w:r w:rsidRPr="00026EC1">
        <w:t>ordre d</w:t>
      </w:r>
      <w:r w:rsidR="004A41E4" w:rsidRPr="00026EC1">
        <w:t>’</w:t>
      </w:r>
      <w:r w:rsidRPr="00026EC1">
        <w:t>engagement est le suivant et s</w:t>
      </w:r>
      <w:r w:rsidR="004A41E4" w:rsidRPr="00026EC1">
        <w:t>’</w:t>
      </w:r>
      <w:r w:rsidRPr="00026EC1">
        <w:t>applique jusqu</w:t>
      </w:r>
      <w:r w:rsidR="004A41E4" w:rsidRPr="00026EC1">
        <w:t>’</w:t>
      </w:r>
      <w:r w:rsidRPr="00026EC1">
        <w:t>à concurrence d</w:t>
      </w:r>
      <w:r w:rsidR="004A41E4" w:rsidRPr="00026EC1">
        <w:t>’</w:t>
      </w:r>
      <w:r w:rsidRPr="00026EC1">
        <w:t>un équivalent à temps complet de un (1)</w:t>
      </w:r>
      <w:r w:rsidR="00D8581B">
        <w:t> :</w:t>
      </w:r>
    </w:p>
    <w:p w14:paraId="067E6242" w14:textId="77777777" w:rsidR="00DF6239" w:rsidRPr="00026EC1" w:rsidRDefault="00DF6239" w:rsidP="00A64613">
      <w:pPr>
        <w:pStyle w:val="Texte1cm"/>
        <w:keepNext w:val="0"/>
      </w:pPr>
    </w:p>
    <w:p w14:paraId="398C31C1" w14:textId="0FE5C37C" w:rsidR="00DF6239" w:rsidRPr="00026EC1" w:rsidRDefault="00275751" w:rsidP="00A64613">
      <w:pPr>
        <w:keepNext w:val="0"/>
        <w:tabs>
          <w:tab w:val="left" w:pos="1134"/>
        </w:tabs>
        <w:ind w:left="1134" w:hanging="567"/>
      </w:pPr>
      <w:r w:rsidRPr="00026EC1">
        <w:t>1.</w:t>
      </w:r>
      <w:r w:rsidRPr="00026EC1">
        <w:tab/>
      </w:r>
      <w:r w:rsidR="00DF6239" w:rsidRPr="00026EC1">
        <w:t>sous réserve de l</w:t>
      </w:r>
      <w:r w:rsidR="004A41E4" w:rsidRPr="00026EC1">
        <w:t>’</w:t>
      </w:r>
      <w:r w:rsidR="00DF6239" w:rsidRPr="00026EC1">
        <w:t>alinéa I) de la clause 5</w:t>
      </w:r>
      <w:r w:rsidR="00984A6F">
        <w:noBreakHyphen/>
      </w:r>
      <w:r w:rsidR="00DF6239" w:rsidRPr="00026EC1">
        <w:t>4.07, l</w:t>
      </w:r>
      <w:r w:rsidR="004A41E4" w:rsidRPr="00026EC1">
        <w:t>’</w:t>
      </w:r>
      <w:r w:rsidR="00DF6239" w:rsidRPr="00026EC1">
        <w:t>enseignante ou l</w:t>
      </w:r>
      <w:r w:rsidR="004A41E4" w:rsidRPr="00026EC1">
        <w:t>’</w:t>
      </w:r>
      <w:r w:rsidR="00DF6239" w:rsidRPr="00026EC1">
        <w:t>enseignant mis en disponibilité du Collège pour une charge dans sa discipline, si elle ou il pose sa candidature dans les délais prévus à la convention collective;</w:t>
      </w:r>
    </w:p>
    <w:p w14:paraId="525D804B" w14:textId="77777777" w:rsidR="00DF6239" w:rsidRPr="00026EC1" w:rsidRDefault="00DF6239" w:rsidP="00A64613">
      <w:pPr>
        <w:pStyle w:val="Texte1cm"/>
        <w:keepNext w:val="0"/>
      </w:pPr>
    </w:p>
    <w:p w14:paraId="680FAC83" w14:textId="77777777" w:rsidR="00DF6239" w:rsidRPr="00026EC1" w:rsidRDefault="00275751" w:rsidP="00A64613">
      <w:pPr>
        <w:keepNext w:val="0"/>
        <w:tabs>
          <w:tab w:val="left" w:pos="1134"/>
        </w:tabs>
        <w:ind w:left="1134" w:hanging="567"/>
      </w:pPr>
      <w:r w:rsidRPr="00026EC1">
        <w:t>2.</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du Collège pour une charge dans sa discipline, sous réserve de difficultés pédagogiques, pour les trois (3) années qui suivent l</w:t>
      </w:r>
      <w:r w:rsidR="004A41E4" w:rsidRPr="00026EC1">
        <w:t>’</w:t>
      </w:r>
      <w:r w:rsidR="00DF6239" w:rsidRPr="00026EC1">
        <w:t>échéance de son dernier contrat dans la discipline de la charge d</w:t>
      </w:r>
      <w:r w:rsidR="004A41E4" w:rsidRPr="00026EC1">
        <w:t>’</w:t>
      </w:r>
      <w:r w:rsidR="00DF6239" w:rsidRPr="00026EC1">
        <w:t>enseignement, si elle ou il pose sa candidature par écrit dans les délais prévus à la convention collective.</w:t>
      </w:r>
    </w:p>
    <w:p w14:paraId="66B1B7E0" w14:textId="7167C427" w:rsidR="003B4D0F" w:rsidRDefault="00DF6239" w:rsidP="00A64613">
      <w:pPr>
        <w:pStyle w:val="Texte1cm"/>
        <w:keepNext w:val="0"/>
      </w:pPr>
      <w:r w:rsidRPr="00026EC1">
        <w:t>Sous réserve de l</w:t>
      </w:r>
      <w:r w:rsidR="004A41E4" w:rsidRPr="00026EC1">
        <w:t>’</w:t>
      </w:r>
      <w:r w:rsidRPr="00026EC1">
        <w:t>alinéa I) de la clause 5</w:t>
      </w:r>
      <w:r w:rsidR="00984A6F">
        <w:noBreakHyphen/>
      </w:r>
      <w:r w:rsidRPr="00026EC1">
        <w:t>4.07 et des clauses 5</w:t>
      </w:r>
      <w:r w:rsidR="00984A6F">
        <w:noBreakHyphen/>
      </w:r>
      <w:r w:rsidRPr="00026EC1">
        <w:t>1.03 et 8</w:t>
      </w:r>
      <w:r w:rsidR="00984A6F">
        <w:noBreakHyphen/>
      </w:r>
      <w:r w:rsidRPr="00026EC1">
        <w:t>7.07, l</w:t>
      </w:r>
      <w:r w:rsidR="004A41E4" w:rsidRPr="00026EC1">
        <w:t>’</w:t>
      </w:r>
      <w:r w:rsidRPr="00026EC1">
        <w:t>enseignante ou l</w:t>
      </w:r>
      <w:r w:rsidR="004A41E4" w:rsidRPr="00026EC1">
        <w:t>’</w:t>
      </w:r>
      <w:r w:rsidRPr="00026EC1">
        <w:t>enseignant est rémunéré comme chargé de cours.</w:t>
      </w:r>
    </w:p>
    <w:p w14:paraId="34DCF152" w14:textId="77777777" w:rsidR="003B4D0F" w:rsidRDefault="003B4D0F">
      <w:pPr>
        <w:keepNext w:val="0"/>
        <w:suppressAutoHyphens w:val="0"/>
        <w:jc w:val="left"/>
      </w:pPr>
      <w:r>
        <w:br w:type="page"/>
      </w:r>
    </w:p>
    <w:p w14:paraId="40491D31" w14:textId="77777777" w:rsidR="00DF6239" w:rsidRPr="00026EC1" w:rsidRDefault="00275751" w:rsidP="00A64613">
      <w:pPr>
        <w:keepNext w:val="0"/>
        <w:tabs>
          <w:tab w:val="left" w:pos="567"/>
        </w:tabs>
        <w:ind w:left="567" w:hanging="567"/>
        <w:rPr>
          <w:b/>
          <w:bCs/>
          <w:u w:val="single"/>
        </w:rPr>
      </w:pPr>
      <w:r w:rsidRPr="00026EC1">
        <w:rPr>
          <w:b/>
          <w:bCs/>
        </w:rPr>
        <w:t>e)</w:t>
      </w:r>
      <w:r w:rsidRPr="00026EC1">
        <w:rPr>
          <w:b/>
          <w:bCs/>
        </w:rPr>
        <w:tab/>
      </w:r>
      <w:r w:rsidR="00DF6239" w:rsidRPr="00026EC1">
        <w:rPr>
          <w:b/>
          <w:bCs/>
          <w:u w:val="single"/>
        </w:rPr>
        <w:t>Ordre de priorité d</w:t>
      </w:r>
      <w:r w:rsidR="004A41E4" w:rsidRPr="00026EC1">
        <w:rPr>
          <w:b/>
          <w:bCs/>
          <w:u w:val="single"/>
        </w:rPr>
        <w:t>’</w:t>
      </w:r>
      <w:r w:rsidR="00DF6239" w:rsidRPr="00026EC1">
        <w:rPr>
          <w:b/>
          <w:bCs/>
          <w:u w:val="single"/>
        </w:rPr>
        <w:t>engagement aux cours d</w:t>
      </w:r>
      <w:r w:rsidR="004A41E4" w:rsidRPr="00026EC1">
        <w:rPr>
          <w:b/>
          <w:bCs/>
          <w:u w:val="single"/>
        </w:rPr>
        <w:t>’</w:t>
      </w:r>
      <w:r w:rsidR="00DF6239" w:rsidRPr="00026EC1">
        <w:rPr>
          <w:b/>
          <w:bCs/>
          <w:u w:val="single"/>
        </w:rPr>
        <w:t>été</w:t>
      </w:r>
    </w:p>
    <w:p w14:paraId="4FF1BB9D" w14:textId="27DEB18F" w:rsidR="00DF6239" w:rsidRPr="00026EC1" w:rsidRDefault="00DF6239" w:rsidP="00A64613">
      <w:pPr>
        <w:pStyle w:val="Texte1cm"/>
        <w:keepNext w:val="0"/>
      </w:pPr>
      <w:r w:rsidRPr="00026EC1">
        <w:t>Lorsque le Collège comble une charge quelconque d</w:t>
      </w:r>
      <w:r w:rsidR="004A41E4" w:rsidRPr="00026EC1">
        <w:t>’</w:t>
      </w:r>
      <w:r w:rsidRPr="00026EC1">
        <w:t>enseignement pour les cours d</w:t>
      </w:r>
      <w:r w:rsidR="004A41E4" w:rsidRPr="00026EC1">
        <w:t>’</w:t>
      </w:r>
      <w:r w:rsidRPr="00026EC1">
        <w:t>été, il procède à l</w:t>
      </w:r>
      <w:r w:rsidR="004A41E4" w:rsidRPr="00026EC1">
        <w:t>’</w:t>
      </w:r>
      <w:r w:rsidRPr="00026EC1">
        <w:t>engagement de la candidate ou du candidat selon l</w:t>
      </w:r>
      <w:r w:rsidR="004A41E4" w:rsidRPr="00026EC1">
        <w:t>’</w:t>
      </w:r>
      <w:r w:rsidRPr="00026EC1">
        <w:t>ordre de priorité ci</w:t>
      </w:r>
      <w:r w:rsidR="00984A6F">
        <w:noBreakHyphen/>
      </w:r>
      <w:r w:rsidRPr="00026EC1">
        <w:t>dessous.</w:t>
      </w:r>
    </w:p>
    <w:p w14:paraId="1F5A8C38" w14:textId="50253848" w:rsidR="00DF6239" w:rsidRPr="00026EC1" w:rsidRDefault="00DF6239" w:rsidP="00A64613">
      <w:pPr>
        <w:pStyle w:val="Texte1cm"/>
        <w:keepNext w:val="0"/>
      </w:pPr>
      <w:r w:rsidRPr="00026EC1">
        <w:t>Si plusieurs candidates et candidats ont la même priorité pour la même charge d</w:t>
      </w:r>
      <w:r w:rsidR="004A41E4" w:rsidRPr="00026EC1">
        <w:t>’</w:t>
      </w:r>
      <w:r w:rsidRPr="00026EC1">
        <w:t>enseignement, dans la même discipline, le Collège procède à l</w:t>
      </w:r>
      <w:r w:rsidR="004A41E4" w:rsidRPr="00026EC1">
        <w:t>’</w:t>
      </w:r>
      <w:r w:rsidRPr="00026EC1">
        <w:t>engagement de celle ou de celui qui a le plus d</w:t>
      </w:r>
      <w:r w:rsidR="004A41E4" w:rsidRPr="00026EC1">
        <w:t>’</w:t>
      </w:r>
      <w:r w:rsidRPr="00026EC1">
        <w:t>ancienneté et, à ancienneté égale, de celle ou de celui qui a le plus d</w:t>
      </w:r>
      <w:r w:rsidR="004A41E4" w:rsidRPr="00026EC1">
        <w:t>’</w:t>
      </w:r>
      <w:r w:rsidRPr="00026EC1">
        <w:t>expérience et, à expérience égale, de celle ou de celui qui a le plus de scolarité, sous réserve, s</w:t>
      </w:r>
      <w:r w:rsidR="004A41E4" w:rsidRPr="00026EC1">
        <w:t>’</w:t>
      </w:r>
      <w:r w:rsidRPr="00026EC1">
        <w:t>il y a lieu, du programme d</w:t>
      </w:r>
      <w:r w:rsidR="004A41E4" w:rsidRPr="00026EC1">
        <w:t>’</w:t>
      </w:r>
      <w:r w:rsidRPr="00026EC1">
        <w:t>accès à l</w:t>
      </w:r>
      <w:r w:rsidR="004A41E4" w:rsidRPr="00026EC1">
        <w:t>’</w:t>
      </w:r>
      <w:r w:rsidRPr="00026EC1">
        <w:t>égalité en emploi établi conformément à l</w:t>
      </w:r>
      <w:r w:rsidR="004A41E4" w:rsidRPr="00026EC1">
        <w:t>’</w:t>
      </w:r>
      <w:r w:rsidRPr="00026EC1">
        <w:t>article 2</w:t>
      </w:r>
      <w:r w:rsidR="00984A6F">
        <w:noBreakHyphen/>
      </w:r>
      <w:r w:rsidRPr="00026EC1">
        <w:t>4.00, au regard de la priorité 2.</w:t>
      </w:r>
    </w:p>
    <w:p w14:paraId="6FC21370" w14:textId="77777777" w:rsidR="00DF6239" w:rsidRPr="00026EC1" w:rsidRDefault="00DF6239" w:rsidP="00A64613">
      <w:pPr>
        <w:pStyle w:val="Texte1cm"/>
        <w:keepNext w:val="0"/>
      </w:pPr>
    </w:p>
    <w:p w14:paraId="03709A64" w14:textId="77777777" w:rsidR="00DF6239" w:rsidRPr="00026EC1" w:rsidRDefault="00DF6239" w:rsidP="00A64613">
      <w:pPr>
        <w:pStyle w:val="Texte1cm"/>
        <w:keepNext w:val="0"/>
      </w:pPr>
      <w:r w:rsidRPr="00026EC1">
        <w:t>Toutefois, si plusieurs candidates et candidats n</w:t>
      </w:r>
      <w:r w:rsidR="004A41E4" w:rsidRPr="00026EC1">
        <w:t>’</w:t>
      </w:r>
      <w:r w:rsidRPr="00026EC1">
        <w:t>ayant aucune ancienneté ont la même priorité sur la même charge, dans la même discipline, le Collège procède à l</w:t>
      </w:r>
      <w:r w:rsidR="004A41E4" w:rsidRPr="00026EC1">
        <w:t>’</w:t>
      </w:r>
      <w:r w:rsidRPr="00026EC1">
        <w:t xml:space="preserve">engagement de celle ou </w:t>
      </w:r>
      <w:r w:rsidR="00B53403" w:rsidRPr="00026EC1">
        <w:t xml:space="preserve">de </w:t>
      </w:r>
      <w:r w:rsidRPr="00026EC1">
        <w:t>celui dont la date officielle d</w:t>
      </w:r>
      <w:r w:rsidR="004A41E4" w:rsidRPr="00026EC1">
        <w:t>’</w:t>
      </w:r>
      <w:r w:rsidRPr="00026EC1">
        <w:t xml:space="preserve">embauche est la plus ancienne et, à date égale, </w:t>
      </w:r>
      <w:r w:rsidR="005A2D77" w:rsidRPr="00026EC1">
        <w:t>de celle ou de celui</w:t>
      </w:r>
      <w:r w:rsidRPr="00026EC1">
        <w:t xml:space="preserve"> dont la date de la recommandation du comité de sélection est la plus ancienne et, à date égale, selon l</w:t>
      </w:r>
      <w:r w:rsidR="004A41E4" w:rsidRPr="00026EC1">
        <w:t>’</w:t>
      </w:r>
      <w:r w:rsidRPr="00026EC1">
        <w:t>ordre d</w:t>
      </w:r>
      <w:r w:rsidR="004A41E4" w:rsidRPr="00026EC1">
        <w:t>’</w:t>
      </w:r>
      <w:r w:rsidRPr="00026EC1">
        <w:t>engagement déterminé par le comité de sélection, sans égard à la charge d</w:t>
      </w:r>
      <w:r w:rsidR="004A41E4" w:rsidRPr="00026EC1">
        <w:t>’</w:t>
      </w:r>
      <w:r w:rsidRPr="00026EC1">
        <w:t xml:space="preserve">enseignement qui lui est attribuée. </w:t>
      </w:r>
    </w:p>
    <w:p w14:paraId="11DF949F" w14:textId="77777777" w:rsidR="00DF6239" w:rsidRPr="00026EC1" w:rsidRDefault="00DF6239" w:rsidP="00A64613">
      <w:pPr>
        <w:pStyle w:val="Texte1cm"/>
        <w:keepNext w:val="0"/>
      </w:pPr>
    </w:p>
    <w:p w14:paraId="49554445" w14:textId="261325B9" w:rsidR="00E40787" w:rsidRPr="00026EC1" w:rsidRDefault="00E40787" w:rsidP="00A64613">
      <w:pPr>
        <w:pStyle w:val="Texte1cm"/>
        <w:keepNext w:val="0"/>
      </w:pPr>
      <w:r w:rsidRPr="00026EC1">
        <w:t>L’enseignante ou l’enseignant visé par une offre générale de service, convenue conformément à la clause</w:t>
      </w:r>
      <w:r w:rsidR="001F5B69">
        <w:t> </w:t>
      </w:r>
      <w:r w:rsidRPr="00026EC1">
        <w:t>5</w:t>
      </w:r>
      <w:r w:rsidR="00984A6F">
        <w:noBreakHyphen/>
      </w:r>
      <w:r w:rsidRPr="00026EC1">
        <w:t>1.11, n’a pas à poser sa candidature par écrit.</w:t>
      </w:r>
    </w:p>
    <w:p w14:paraId="6728E0DB" w14:textId="77777777" w:rsidR="00E40787" w:rsidRPr="00026EC1" w:rsidRDefault="00E40787" w:rsidP="00A64613">
      <w:pPr>
        <w:pStyle w:val="Texte1cm"/>
        <w:keepNext w:val="0"/>
      </w:pPr>
    </w:p>
    <w:p w14:paraId="264730F0" w14:textId="78351410" w:rsidR="00DF6239" w:rsidRPr="00026EC1" w:rsidRDefault="00DF6239" w:rsidP="00A64613">
      <w:pPr>
        <w:pStyle w:val="Texte1cm"/>
        <w:keepNext w:val="0"/>
      </w:pPr>
      <w:r w:rsidRPr="00026EC1">
        <w:t>L</w:t>
      </w:r>
      <w:r w:rsidR="004A41E4" w:rsidRPr="00026EC1">
        <w:t>’</w:t>
      </w:r>
      <w:r w:rsidRPr="00026EC1">
        <w:t>ordre d</w:t>
      </w:r>
      <w:r w:rsidR="004A41E4" w:rsidRPr="00026EC1">
        <w:t>’</w:t>
      </w:r>
      <w:r w:rsidRPr="00026EC1">
        <w:t>engagement est le suivant et s</w:t>
      </w:r>
      <w:r w:rsidR="004A41E4" w:rsidRPr="00026EC1">
        <w:t>’</w:t>
      </w:r>
      <w:r w:rsidRPr="00026EC1">
        <w:t>applique jusqu</w:t>
      </w:r>
      <w:r w:rsidR="004A41E4" w:rsidRPr="00026EC1">
        <w:t>’</w:t>
      </w:r>
      <w:r w:rsidRPr="00026EC1">
        <w:t>à concurrence d</w:t>
      </w:r>
      <w:r w:rsidR="004A41E4" w:rsidRPr="00026EC1">
        <w:t>’</w:t>
      </w:r>
      <w:r w:rsidRPr="00026EC1">
        <w:t>un équivalent à temps complet de un (1)</w:t>
      </w:r>
      <w:r w:rsidR="00D8581B">
        <w:t> :</w:t>
      </w:r>
    </w:p>
    <w:p w14:paraId="142D38F0" w14:textId="77777777" w:rsidR="00DF6239" w:rsidRPr="00026EC1" w:rsidRDefault="00DF6239" w:rsidP="00A64613">
      <w:pPr>
        <w:pStyle w:val="Texte1cm"/>
        <w:keepNext w:val="0"/>
      </w:pPr>
    </w:p>
    <w:p w14:paraId="25EE092F" w14:textId="1D64FB29" w:rsidR="00DF6239" w:rsidRPr="00026EC1" w:rsidRDefault="00275751" w:rsidP="00A64613">
      <w:pPr>
        <w:keepNext w:val="0"/>
        <w:tabs>
          <w:tab w:val="left" w:pos="1134"/>
        </w:tabs>
        <w:ind w:left="1134" w:hanging="567"/>
      </w:pPr>
      <w:r w:rsidRPr="00026EC1">
        <w:t>1.</w:t>
      </w:r>
      <w:r w:rsidRPr="00026EC1">
        <w:tab/>
      </w:r>
      <w:r w:rsidR="00DF6239" w:rsidRPr="00026EC1">
        <w:t>sous réserve de l</w:t>
      </w:r>
      <w:r w:rsidR="004A41E4" w:rsidRPr="00026EC1">
        <w:t>’</w:t>
      </w:r>
      <w:r w:rsidR="00DF6239" w:rsidRPr="00026EC1">
        <w:t>alinéa I) de la clause 5</w:t>
      </w:r>
      <w:r w:rsidR="00984A6F">
        <w:noBreakHyphen/>
      </w:r>
      <w:r w:rsidR="00DF6239" w:rsidRPr="00026EC1">
        <w:t>4.07, l</w:t>
      </w:r>
      <w:r w:rsidR="004A41E4" w:rsidRPr="00026EC1">
        <w:t>’</w:t>
      </w:r>
      <w:r w:rsidR="00DF6239" w:rsidRPr="00026EC1">
        <w:t>enseignante ou l</w:t>
      </w:r>
      <w:r w:rsidR="004A41E4" w:rsidRPr="00026EC1">
        <w:t>’</w:t>
      </w:r>
      <w:r w:rsidR="00DF6239" w:rsidRPr="00026EC1">
        <w:t>enseignant mis en disponibilité du Collège pour une charge dans sa discipline, si elle ou il pose sa candidature dans les délais prévus à la convention collective;</w:t>
      </w:r>
    </w:p>
    <w:p w14:paraId="37E31A2E" w14:textId="77777777" w:rsidR="00DF6239" w:rsidRPr="00026EC1" w:rsidRDefault="00DF6239" w:rsidP="00A64613">
      <w:pPr>
        <w:pStyle w:val="Texte1cm"/>
        <w:keepNext w:val="0"/>
      </w:pPr>
    </w:p>
    <w:p w14:paraId="1E7022D7" w14:textId="77777777" w:rsidR="00DF6239" w:rsidRPr="00026EC1" w:rsidRDefault="00275751" w:rsidP="00A64613">
      <w:pPr>
        <w:keepNext w:val="0"/>
        <w:tabs>
          <w:tab w:val="left" w:pos="1134"/>
        </w:tabs>
        <w:ind w:left="1134" w:hanging="567"/>
      </w:pPr>
      <w:r w:rsidRPr="00026EC1">
        <w:t>2.</w:t>
      </w:r>
      <w:r w:rsidRPr="00026EC1">
        <w:tab/>
      </w:r>
      <w:r w:rsidR="00DF6239" w:rsidRPr="00026EC1">
        <w:t>l</w:t>
      </w:r>
      <w:r w:rsidR="004A41E4" w:rsidRPr="00026EC1">
        <w:t>’</w:t>
      </w:r>
      <w:r w:rsidR="00DF6239" w:rsidRPr="00026EC1">
        <w:t>enseignante ou l</w:t>
      </w:r>
      <w:r w:rsidR="004A41E4" w:rsidRPr="00026EC1">
        <w:t>’</w:t>
      </w:r>
      <w:r w:rsidR="00DF6239" w:rsidRPr="00026EC1">
        <w:t>enseignant non permanent du Collège ayant une priorité d</w:t>
      </w:r>
      <w:r w:rsidR="004A41E4" w:rsidRPr="00026EC1">
        <w:t>’</w:t>
      </w:r>
      <w:r w:rsidR="00DF6239" w:rsidRPr="00026EC1">
        <w:t>emploi à l</w:t>
      </w:r>
      <w:r w:rsidR="004A41E4" w:rsidRPr="00026EC1">
        <w:t>’</w:t>
      </w:r>
      <w:r w:rsidR="00DF6239" w:rsidRPr="00026EC1">
        <w:t>enseignement régulier, pour une charge dans sa discipline, si elle ou il pose sa candidature par écrit dans les délais prévus à la convention collective.</w:t>
      </w:r>
    </w:p>
    <w:p w14:paraId="4EF55A8F" w14:textId="77777777" w:rsidR="00EC11D1" w:rsidRPr="00026EC1" w:rsidRDefault="00EC11D1" w:rsidP="00A64613">
      <w:pPr>
        <w:pStyle w:val="Texte1cm"/>
        <w:keepNext w:val="0"/>
      </w:pPr>
    </w:p>
    <w:p w14:paraId="35A01297" w14:textId="5BF867DD" w:rsidR="00DF6239" w:rsidRPr="00026EC1" w:rsidRDefault="00DF6239" w:rsidP="00A64613">
      <w:pPr>
        <w:pStyle w:val="Texte1cm"/>
        <w:keepNext w:val="0"/>
      </w:pPr>
      <w:r w:rsidRPr="00026EC1">
        <w:t>Sous réserve de l</w:t>
      </w:r>
      <w:r w:rsidR="004A41E4" w:rsidRPr="00026EC1">
        <w:t>’</w:t>
      </w:r>
      <w:r w:rsidRPr="00026EC1">
        <w:t>alinéa I) de la clause 5</w:t>
      </w:r>
      <w:r w:rsidR="00984A6F">
        <w:noBreakHyphen/>
      </w:r>
      <w:r w:rsidRPr="00026EC1">
        <w:t>4.07 et de la clause 5</w:t>
      </w:r>
      <w:r w:rsidR="00984A6F">
        <w:noBreakHyphen/>
      </w:r>
      <w:r w:rsidRPr="00026EC1">
        <w:t>1.03, l</w:t>
      </w:r>
      <w:r w:rsidR="004A41E4" w:rsidRPr="00026EC1">
        <w:t>’</w:t>
      </w:r>
      <w:r w:rsidRPr="00026EC1">
        <w:t>enseignante ou l</w:t>
      </w:r>
      <w:r w:rsidR="004A41E4" w:rsidRPr="00026EC1">
        <w:t>’</w:t>
      </w:r>
      <w:r w:rsidRPr="00026EC1">
        <w:t>enseignant est rémunéré comme chargé de cours.</w:t>
      </w:r>
    </w:p>
    <w:p w14:paraId="58F6013F" w14:textId="77777777" w:rsidR="00DF6239" w:rsidRDefault="00DF6239" w:rsidP="00A64613">
      <w:pPr>
        <w:keepNext w:val="0"/>
      </w:pPr>
    </w:p>
    <w:p w14:paraId="31F3E80E" w14:textId="77777777" w:rsidR="00B60694" w:rsidRPr="009466E9" w:rsidRDefault="00B60694" w:rsidP="00A64613">
      <w:pPr>
        <w:keepNext w:val="0"/>
        <w:tabs>
          <w:tab w:val="left" w:pos="567"/>
        </w:tabs>
        <w:ind w:left="567" w:hanging="567"/>
        <w:rPr>
          <w:b/>
          <w:bCs/>
          <w:u w:val="single"/>
        </w:rPr>
      </w:pPr>
      <w:r w:rsidRPr="009466E9">
        <w:rPr>
          <w:b/>
          <w:bCs/>
        </w:rPr>
        <w:t>f)</w:t>
      </w:r>
      <w:r w:rsidRPr="009466E9">
        <w:rPr>
          <w:b/>
          <w:bCs/>
        </w:rPr>
        <w:tab/>
      </w:r>
      <w:r w:rsidRPr="009466E9">
        <w:rPr>
          <w:b/>
          <w:bCs/>
          <w:u w:val="single"/>
        </w:rPr>
        <w:t>Activités dans le cadre de la reconnaissance des acquis et des compétences</w:t>
      </w:r>
    </w:p>
    <w:p w14:paraId="751A280A" w14:textId="77777777" w:rsidR="00B60694" w:rsidRPr="009466E9" w:rsidRDefault="00B60694" w:rsidP="00A64613">
      <w:pPr>
        <w:keepNext w:val="0"/>
        <w:tabs>
          <w:tab w:val="left" w:pos="567"/>
        </w:tabs>
        <w:ind w:left="567" w:hanging="567"/>
        <w:rPr>
          <w:b/>
          <w:bCs/>
          <w:u w:val="single"/>
        </w:rPr>
      </w:pPr>
    </w:p>
    <w:p w14:paraId="2DF958F2" w14:textId="7CA8FB46" w:rsidR="00F32442" w:rsidRPr="009466E9" w:rsidRDefault="00F32442" w:rsidP="00A64613">
      <w:pPr>
        <w:pStyle w:val="Texte1cm00000"/>
        <w:keepNext w:val="0"/>
        <w:tabs>
          <w:tab w:val="left" w:pos="709"/>
        </w:tabs>
      </w:pPr>
      <w:r w:rsidRPr="009466E9">
        <w:t>Le Collège offre</w:t>
      </w:r>
      <w:r w:rsidR="00700EAF" w:rsidRPr="009466E9">
        <w:t>,</w:t>
      </w:r>
      <w:r w:rsidRPr="009466E9">
        <w:t xml:space="preserve"> en premier lieu</w:t>
      </w:r>
      <w:r w:rsidR="00700EAF" w:rsidRPr="009466E9">
        <w:t>,</w:t>
      </w:r>
      <w:r w:rsidRPr="009466E9">
        <w:t xml:space="preserve"> à l’enseignante ou l’enseignant mis en disponibilité </w:t>
      </w:r>
      <w:r w:rsidR="00191A65" w:rsidRPr="009466E9">
        <w:t>et</w:t>
      </w:r>
      <w:r w:rsidR="006071BB" w:rsidRPr="009466E9">
        <w:t>,</w:t>
      </w:r>
      <w:r w:rsidR="00191A65" w:rsidRPr="009466E9">
        <w:t xml:space="preserve"> </w:t>
      </w:r>
      <w:r w:rsidR="00A70689" w:rsidRPr="009466E9">
        <w:t>ensui</w:t>
      </w:r>
      <w:r w:rsidR="00191A65" w:rsidRPr="009466E9">
        <w:t>te</w:t>
      </w:r>
      <w:r w:rsidR="006071BB" w:rsidRPr="009466E9">
        <w:t>,</w:t>
      </w:r>
      <w:r w:rsidRPr="009466E9">
        <w:t xml:space="preserve"> à l’enseignante ou l’enseignant </w:t>
      </w:r>
      <w:r w:rsidR="00607824" w:rsidRPr="009466E9">
        <w:t>non permanent</w:t>
      </w:r>
      <w:r w:rsidR="005C79D4" w:rsidRPr="009466E9">
        <w:t xml:space="preserve"> </w:t>
      </w:r>
      <w:r w:rsidRPr="006C6AD1">
        <w:t xml:space="preserve">n’ayant pas atteint </w:t>
      </w:r>
      <w:r w:rsidRPr="009466E9">
        <w:t xml:space="preserve">un </w:t>
      </w:r>
      <w:r w:rsidR="005C79D4" w:rsidRPr="009466E9">
        <w:t>temps complet</w:t>
      </w:r>
      <w:r w:rsidR="006C6AD1">
        <w:t xml:space="preserve"> </w:t>
      </w:r>
      <w:r w:rsidR="006C6AD1" w:rsidRPr="00316277">
        <w:t>et ayant manifesté son intérêt conformément à la clause 8-9.02</w:t>
      </w:r>
      <w:r w:rsidR="00700EAF" w:rsidRPr="009466E9">
        <w:t>,</w:t>
      </w:r>
      <w:r w:rsidR="005C79D4" w:rsidRPr="009466E9">
        <w:t xml:space="preserve"> les</w:t>
      </w:r>
      <w:r w:rsidRPr="009466E9">
        <w:t xml:space="preserve"> activités d’enseignement relevant de la reconnaissance des acquis et des compétences (RAC) dans sa discipline.</w:t>
      </w:r>
    </w:p>
    <w:p w14:paraId="6253D982" w14:textId="77777777" w:rsidR="00F32442" w:rsidRDefault="00F32442" w:rsidP="00A64613">
      <w:pPr>
        <w:keepNext w:val="0"/>
      </w:pPr>
    </w:p>
    <w:p w14:paraId="709AB848" w14:textId="2AF121F5" w:rsidR="00DF6239" w:rsidRDefault="00DF6239" w:rsidP="00A64613">
      <w:pPr>
        <w:keepNext w:val="0"/>
      </w:pPr>
      <w:r w:rsidRPr="00026EC1">
        <w:t>L</w:t>
      </w:r>
      <w:r w:rsidR="004A41E4" w:rsidRPr="00026EC1">
        <w:t>’</w:t>
      </w:r>
      <w:r w:rsidRPr="00026EC1">
        <w:t>enseignante ou l</w:t>
      </w:r>
      <w:r w:rsidR="004A41E4" w:rsidRPr="00026EC1">
        <w:t>’</w:t>
      </w:r>
      <w:r w:rsidRPr="00026EC1">
        <w:t>enseignant mis en disponibilité ou l</w:t>
      </w:r>
      <w:r w:rsidR="004A41E4" w:rsidRPr="00026EC1">
        <w:t>’</w:t>
      </w:r>
      <w:r w:rsidRPr="00026EC1">
        <w:t>enseignante ou l</w:t>
      </w:r>
      <w:r w:rsidR="004A41E4" w:rsidRPr="00026EC1">
        <w:t>’</w:t>
      </w:r>
      <w:r w:rsidRPr="00026EC1">
        <w:t>enseignant permanent de la discipline où il y a une enseignante ou enseignant mis en disponibilité, qui a une charge d</w:t>
      </w:r>
      <w:r w:rsidR="004A41E4" w:rsidRPr="00026EC1">
        <w:t>’</w:t>
      </w:r>
      <w:r w:rsidRPr="00026EC1">
        <w:t>enseignement à l</w:t>
      </w:r>
      <w:r w:rsidR="004A41E4" w:rsidRPr="00026EC1">
        <w:t>’</w:t>
      </w:r>
      <w:r w:rsidRPr="00026EC1">
        <w:t>enseignement régulier, à l</w:t>
      </w:r>
      <w:r w:rsidR="004A41E4" w:rsidRPr="00026EC1">
        <w:t>’</w:t>
      </w:r>
      <w:r w:rsidRPr="00026EC1">
        <w:t>exclusion d</w:t>
      </w:r>
      <w:r w:rsidR="004A41E4" w:rsidRPr="00026EC1">
        <w:t>’</w:t>
      </w:r>
      <w:r w:rsidRPr="00026EC1">
        <w:t>un poste, ou à la formation continue ou aux cours d</w:t>
      </w:r>
      <w:r w:rsidR="004A41E4" w:rsidRPr="00026EC1">
        <w:t>’</w:t>
      </w:r>
      <w:r w:rsidRPr="00026EC1">
        <w:t>été dans une discipline autre que celle prévue à son contrat ou celle qu</w:t>
      </w:r>
      <w:r w:rsidR="004A41E4" w:rsidRPr="00026EC1">
        <w:t>’</w:t>
      </w:r>
      <w:r w:rsidRPr="00026EC1">
        <w:t>elle ou il enseignait l</w:t>
      </w:r>
      <w:r w:rsidR="004A41E4" w:rsidRPr="00026EC1">
        <w:t>’</w:t>
      </w:r>
      <w:r w:rsidRPr="00026EC1">
        <w:t>année de sa mise en disponibilité n</w:t>
      </w:r>
      <w:r w:rsidR="004A41E4" w:rsidRPr="00026EC1">
        <w:t>’</w:t>
      </w:r>
      <w:r w:rsidRPr="00026EC1">
        <w:t>est pas réputé avoir enseigné dans cette nouvelle discipline aux fins de replacement.</w:t>
      </w:r>
    </w:p>
    <w:p w14:paraId="45174932" w14:textId="77777777" w:rsidR="00345D21" w:rsidRDefault="00345D21" w:rsidP="00A64613">
      <w:pPr>
        <w:keepNext w:val="0"/>
      </w:pPr>
    </w:p>
    <w:p w14:paraId="7A9C9FA8" w14:textId="5F9F064F" w:rsidR="00DF6239" w:rsidRPr="00355AFE" w:rsidRDefault="00DF6239" w:rsidP="00A64613">
      <w:pPr>
        <w:keepNext w:val="0"/>
        <w:tabs>
          <w:tab w:val="left" w:pos="851"/>
        </w:tabs>
        <w:rPr>
          <w:b/>
        </w:rPr>
      </w:pPr>
      <w:r w:rsidRPr="00355AFE">
        <w:rPr>
          <w:b/>
        </w:rPr>
        <w:t>5</w:t>
      </w:r>
      <w:r w:rsidR="00984A6F">
        <w:rPr>
          <w:b/>
        </w:rPr>
        <w:noBreakHyphen/>
      </w:r>
      <w:r w:rsidRPr="00355AFE">
        <w:rPr>
          <w:b/>
        </w:rPr>
        <w:t>4.18</w:t>
      </w:r>
      <w:r w:rsidR="00345D21">
        <w:rPr>
          <w:b/>
        </w:rPr>
        <w:tab/>
      </w:r>
      <w:r w:rsidR="00345D21" w:rsidRPr="00316277">
        <w:rPr>
          <w:b/>
          <w:u w:val="single"/>
        </w:rPr>
        <w:t>Prolongation de la priorité d’emploi</w:t>
      </w:r>
    </w:p>
    <w:p w14:paraId="65A5F9D3" w14:textId="370E0F86" w:rsidR="00DF6239" w:rsidRDefault="00DF6239" w:rsidP="00A64613">
      <w:pPr>
        <w:keepNext w:val="0"/>
      </w:pPr>
      <w:r w:rsidRPr="00026EC1">
        <w:t>La période de trois (3) années prévue à l</w:t>
      </w:r>
      <w:r w:rsidR="004A41E4" w:rsidRPr="00026EC1">
        <w:t>’</w:t>
      </w:r>
      <w:r w:rsidRPr="00026EC1">
        <w:t>alinéa e) de la clause 5</w:t>
      </w:r>
      <w:r w:rsidR="00984A6F">
        <w:noBreakHyphen/>
      </w:r>
      <w:r w:rsidRPr="00026EC1">
        <w:t>3.07 et aux priorités d</w:t>
      </w:r>
      <w:r w:rsidR="004A41E4" w:rsidRPr="00026EC1">
        <w:t>’</w:t>
      </w:r>
      <w:r w:rsidRPr="00026EC1">
        <w:t>emploi prévues à la clause 5</w:t>
      </w:r>
      <w:r w:rsidR="00984A6F">
        <w:noBreakHyphen/>
      </w:r>
      <w:r w:rsidRPr="00026EC1">
        <w:t>4.17 et la période de deux (2) années prévue à la clause 5</w:t>
      </w:r>
      <w:r w:rsidR="00984A6F">
        <w:noBreakHyphen/>
      </w:r>
      <w:r w:rsidRPr="00026EC1">
        <w:t>4.08 sont prolongées à cinq (5) années pour les enseignantes et enseignants non permanents dans la discipline de l</w:t>
      </w:r>
      <w:r w:rsidR="004A41E4" w:rsidRPr="00026EC1">
        <w:t>’</w:t>
      </w:r>
      <w:r w:rsidRPr="00026EC1">
        <w:t>enseignante ou de l</w:t>
      </w:r>
      <w:r w:rsidR="004A41E4" w:rsidRPr="00026EC1">
        <w:t>’</w:t>
      </w:r>
      <w:r w:rsidRPr="00026EC1">
        <w:t>enseignant qui a obtenu un recyclage vers un poste réservé, de même que dans la discipline où un poste est réservé conformément aux dispositions de la clause 5</w:t>
      </w:r>
      <w:r w:rsidR="00984A6F">
        <w:noBreakHyphen/>
      </w:r>
      <w:r w:rsidRPr="00026EC1">
        <w:t>4.21.</w:t>
      </w:r>
    </w:p>
    <w:p w14:paraId="31764EA3" w14:textId="77777777" w:rsidR="00A20EE2" w:rsidRPr="00026EC1" w:rsidRDefault="00A20EE2" w:rsidP="00A64613">
      <w:pPr>
        <w:keepNext w:val="0"/>
      </w:pPr>
    </w:p>
    <w:p w14:paraId="337649DC" w14:textId="3573D633" w:rsidR="00DF6239" w:rsidRPr="00026EC1" w:rsidRDefault="00DF6239" w:rsidP="00A64613">
      <w:pPr>
        <w:keepNext w:val="0"/>
      </w:pPr>
      <w:r w:rsidRPr="00026EC1">
        <w:t>Cette prolongation de la période de priorité d</w:t>
      </w:r>
      <w:r w:rsidR="004A41E4" w:rsidRPr="00026EC1">
        <w:t>’</w:t>
      </w:r>
      <w:r w:rsidRPr="00026EC1">
        <w:t>emploi est effective</w:t>
      </w:r>
      <w:r w:rsidR="00D8581B">
        <w:t> :</w:t>
      </w:r>
    </w:p>
    <w:p w14:paraId="5BFC509E" w14:textId="77777777" w:rsidR="00DF6239" w:rsidRPr="00026EC1" w:rsidRDefault="00DF6239" w:rsidP="00A64613">
      <w:pPr>
        <w:keepNext w:val="0"/>
      </w:pPr>
    </w:p>
    <w:p w14:paraId="79AD931D" w14:textId="21D5E379" w:rsidR="00DF6239" w:rsidRPr="00026EC1" w:rsidRDefault="00275751" w:rsidP="00A64613">
      <w:pPr>
        <w:keepNext w:val="0"/>
        <w:tabs>
          <w:tab w:val="left" w:pos="567"/>
        </w:tabs>
        <w:ind w:left="567" w:hanging="567"/>
      </w:pPr>
      <w:r w:rsidRPr="00026EC1">
        <w:t>a)</w:t>
      </w:r>
      <w:r w:rsidRPr="00026EC1">
        <w:tab/>
      </w:r>
      <w:r w:rsidR="00DF6239" w:rsidRPr="00026EC1">
        <w:t>pour les priorités détenues en vertu d</w:t>
      </w:r>
      <w:r w:rsidR="004A41E4" w:rsidRPr="00026EC1">
        <w:t>’</w:t>
      </w:r>
      <w:r w:rsidR="00DF6239" w:rsidRPr="00026EC1">
        <w:t>un contrat d</w:t>
      </w:r>
      <w:r w:rsidR="004A41E4" w:rsidRPr="00026EC1">
        <w:t>’</w:t>
      </w:r>
      <w:r w:rsidR="00DF6239" w:rsidRPr="00026EC1">
        <w:t>engagement en cours au moment où le recyclage est accordé</w:t>
      </w:r>
      <w:r w:rsidR="00D8581B">
        <w:t> :</w:t>
      </w:r>
      <w:r w:rsidR="00DF6239" w:rsidRPr="00026EC1">
        <w:t xml:space="preserve"> à la date d</w:t>
      </w:r>
      <w:r w:rsidR="004A41E4" w:rsidRPr="00026EC1">
        <w:t>’</w:t>
      </w:r>
      <w:r w:rsidR="00DF6239" w:rsidRPr="00026EC1">
        <w:t>échéance de ce contrat;</w:t>
      </w:r>
    </w:p>
    <w:p w14:paraId="12F1B7F3" w14:textId="77777777" w:rsidR="00DF6239" w:rsidRPr="00026EC1" w:rsidRDefault="00DF6239" w:rsidP="00A64613">
      <w:pPr>
        <w:keepNext w:val="0"/>
      </w:pPr>
    </w:p>
    <w:p w14:paraId="5E2A94DB" w14:textId="5F60F0E6" w:rsidR="00DF6239" w:rsidRPr="00026EC1" w:rsidRDefault="00275751" w:rsidP="00A64613">
      <w:pPr>
        <w:keepNext w:val="0"/>
        <w:tabs>
          <w:tab w:val="left" w:pos="567"/>
        </w:tabs>
        <w:ind w:left="567" w:hanging="567"/>
      </w:pPr>
      <w:r w:rsidRPr="00026EC1">
        <w:t>b)</w:t>
      </w:r>
      <w:r w:rsidRPr="00026EC1">
        <w:tab/>
      </w:r>
      <w:r w:rsidR="00DF6239" w:rsidRPr="00026EC1">
        <w:t>pour les priorités détenues en vertu d</w:t>
      </w:r>
      <w:r w:rsidR="004A41E4" w:rsidRPr="00026EC1">
        <w:t>’</w:t>
      </w:r>
      <w:r w:rsidR="00DF6239" w:rsidRPr="00026EC1">
        <w:t>un contrat d</w:t>
      </w:r>
      <w:r w:rsidR="004A41E4" w:rsidRPr="00026EC1">
        <w:t>’</w:t>
      </w:r>
      <w:r w:rsidR="00DF6239" w:rsidRPr="00026EC1">
        <w:t>engagement échu au moment où le recyclage est accordé</w:t>
      </w:r>
      <w:r w:rsidR="00D8581B">
        <w:t> :</w:t>
      </w:r>
      <w:r w:rsidR="00DF6239" w:rsidRPr="00026EC1">
        <w:t xml:space="preserve"> à la date où le recyclage est accordé.</w:t>
      </w:r>
    </w:p>
    <w:p w14:paraId="229D7C83" w14:textId="77777777" w:rsidR="00DF6239" w:rsidRPr="00026EC1" w:rsidRDefault="00DF6239" w:rsidP="00A64613">
      <w:pPr>
        <w:keepNext w:val="0"/>
      </w:pPr>
    </w:p>
    <w:p w14:paraId="0EBE7719" w14:textId="0FE99D24" w:rsidR="00DF6239" w:rsidRPr="00026EC1" w:rsidRDefault="00DF6239" w:rsidP="00A64613">
      <w:pPr>
        <w:pStyle w:val="NUMRODECLAUSE"/>
        <w:keepNext w:val="0"/>
      </w:pPr>
      <w:r w:rsidRPr="00026EC1">
        <w:t>5</w:t>
      </w:r>
      <w:r w:rsidR="00984A6F">
        <w:noBreakHyphen/>
      </w:r>
      <w:r w:rsidRPr="00026EC1">
        <w:t>4.19</w:t>
      </w:r>
      <w:r w:rsidR="009E76E6">
        <w:tab/>
      </w:r>
      <w:r w:rsidR="009E76E6" w:rsidRPr="00316277">
        <w:rPr>
          <w:u w:val="single"/>
        </w:rPr>
        <w:t>Scission d’une charge d’</w:t>
      </w:r>
      <w:r w:rsidR="006C6AD1" w:rsidRPr="00316277">
        <w:rPr>
          <w:u w:val="single"/>
        </w:rPr>
        <w:t>e</w:t>
      </w:r>
      <w:r w:rsidR="009E76E6" w:rsidRPr="00316277">
        <w:rPr>
          <w:u w:val="single"/>
        </w:rPr>
        <w:t>nseignement</w:t>
      </w:r>
    </w:p>
    <w:p w14:paraId="3BEBB4D4" w14:textId="436D8BE5" w:rsidR="00DF6239" w:rsidRPr="009466E9" w:rsidRDefault="00DF6239" w:rsidP="00A64613">
      <w:pPr>
        <w:keepNext w:val="0"/>
      </w:pPr>
      <w:r w:rsidRPr="00026EC1">
        <w:t>Aux fins d</w:t>
      </w:r>
      <w:r w:rsidR="004A41E4" w:rsidRPr="00026EC1">
        <w:t>’</w:t>
      </w:r>
      <w:r w:rsidRPr="00026EC1">
        <w:t>application du présent article, dans la mesure où le nombre d</w:t>
      </w:r>
      <w:r w:rsidR="004A41E4" w:rsidRPr="00026EC1">
        <w:t>’</w:t>
      </w:r>
      <w:r w:rsidRPr="00026EC1">
        <w:t>enseignantes et d</w:t>
      </w:r>
      <w:r w:rsidR="004A41E4" w:rsidRPr="00026EC1">
        <w:t>’</w:t>
      </w:r>
      <w:r w:rsidRPr="00026EC1">
        <w:t>enseignants alloué à une discipline le permet, le Collège évite, dans tous les cas où c</w:t>
      </w:r>
      <w:r w:rsidR="004A41E4" w:rsidRPr="00026EC1">
        <w:t>’</w:t>
      </w:r>
      <w:r w:rsidRPr="00026EC1">
        <w:t xml:space="preserve">est possible, de scinder des charges </w:t>
      </w:r>
      <w:r w:rsidRPr="009466E9">
        <w:t>d</w:t>
      </w:r>
      <w:r w:rsidR="004A41E4" w:rsidRPr="009466E9">
        <w:t>’</w:t>
      </w:r>
      <w:r w:rsidRPr="009466E9">
        <w:t xml:space="preserve">enseignement </w:t>
      </w:r>
      <w:r w:rsidR="00F97AB3" w:rsidRPr="009466E9">
        <w:t>à temps complet ou des pleines charges session</w:t>
      </w:r>
      <w:r w:rsidRPr="009466E9">
        <w:t>.</w:t>
      </w:r>
    </w:p>
    <w:p w14:paraId="6F2341E2" w14:textId="77777777" w:rsidR="007B6DA7" w:rsidRPr="009466E9" w:rsidRDefault="007B6DA7" w:rsidP="00A64613">
      <w:pPr>
        <w:keepNext w:val="0"/>
      </w:pPr>
    </w:p>
    <w:p w14:paraId="5E43CC12" w14:textId="21BB138E" w:rsidR="007B6DA7" w:rsidRDefault="007B6DA7" w:rsidP="00A64613">
      <w:pPr>
        <w:keepNext w:val="0"/>
      </w:pPr>
      <w:r w:rsidRPr="009466E9">
        <w:t>Toutefois, le Collège favorise l’atteinte d’une pleine charge session ou d’un</w:t>
      </w:r>
      <w:r w:rsidR="00412F1A" w:rsidRPr="009466E9">
        <w:t>e charge à</w:t>
      </w:r>
      <w:r w:rsidRPr="009466E9">
        <w:t xml:space="preserve"> temps complet par une enseignante ou un enseignant</w:t>
      </w:r>
      <w:r w:rsidR="004A5173">
        <w:t xml:space="preserve"> </w:t>
      </w:r>
      <w:r w:rsidR="004A5173" w:rsidRPr="00316277">
        <w:t>non permanent</w:t>
      </w:r>
      <w:r w:rsidRPr="009466E9">
        <w:t xml:space="preserve"> à l’emploi du </w:t>
      </w:r>
      <w:r w:rsidR="008435EA" w:rsidRPr="009466E9">
        <w:t>C</w:t>
      </w:r>
      <w:r w:rsidRPr="009466E9">
        <w:t>ollège en scindant une charge d’enseignement sous réserve de l’alinéa</w:t>
      </w:r>
      <w:r w:rsidR="004A5173">
        <w:t> </w:t>
      </w:r>
      <w:r w:rsidRPr="009466E9">
        <w:t>a) de la clause 5</w:t>
      </w:r>
      <w:r w:rsidR="00984A6F">
        <w:noBreakHyphen/>
      </w:r>
      <w:r w:rsidRPr="009466E9">
        <w:t>4.16.</w:t>
      </w:r>
    </w:p>
    <w:p w14:paraId="4C499B2B" w14:textId="77777777" w:rsidR="004A5173" w:rsidRPr="00316277" w:rsidRDefault="004A5173" w:rsidP="004A5173">
      <w:pPr>
        <w:pStyle w:val="N-FNEEQ"/>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De plus, à la demande de l’enseignante ou l’enseignant non permanent qui détient une charge d’enseignement inférieure à une pleine charge session dans un autre collège, le Collège scinde une charge d’enseignement pour la même session, à l’exception d’une pleine charge session ou d’une charge à temps complet.</w:t>
      </w:r>
    </w:p>
    <w:p w14:paraId="35C1937C" w14:textId="77777777" w:rsidR="007B6DA7" w:rsidRPr="00026EC1" w:rsidRDefault="007B6DA7" w:rsidP="00A64613">
      <w:pPr>
        <w:keepNext w:val="0"/>
      </w:pPr>
    </w:p>
    <w:p w14:paraId="02C82F92" w14:textId="18887D95" w:rsidR="00F94A2B" w:rsidRPr="00026EC1" w:rsidRDefault="00DF6239" w:rsidP="00F94A2B">
      <w:pPr>
        <w:pStyle w:val="NUMRODECLAUSE"/>
        <w:keepNext w:val="0"/>
      </w:pPr>
      <w:r w:rsidRPr="00026EC1">
        <w:t>5</w:t>
      </w:r>
      <w:r w:rsidR="00984A6F">
        <w:noBreakHyphen/>
      </w:r>
      <w:r w:rsidRPr="00026EC1">
        <w:t>4.20</w:t>
      </w:r>
      <w:r w:rsidR="00F94A2B">
        <w:tab/>
      </w:r>
      <w:r w:rsidR="00F94A2B" w:rsidRPr="00316277">
        <w:rPr>
          <w:u w:val="single"/>
        </w:rPr>
        <w:t>Autres catégories de personnel - permanence</w:t>
      </w:r>
    </w:p>
    <w:p w14:paraId="2226BB10" w14:textId="43193B27" w:rsidR="00207FD3" w:rsidRDefault="00DF6239" w:rsidP="00A64613">
      <w:pPr>
        <w:keepNext w:val="0"/>
      </w:pPr>
      <w:r w:rsidRPr="00026EC1">
        <w:t>La professionnelle ou le professionnel mis en disponibilité ou l</w:t>
      </w:r>
      <w:r w:rsidR="004A41E4" w:rsidRPr="00026EC1">
        <w:t>’</w:t>
      </w:r>
      <w:r w:rsidRPr="00026EC1">
        <w:t>employée ou l</w:t>
      </w:r>
      <w:r w:rsidR="004A41E4" w:rsidRPr="00026EC1">
        <w:t>’</w:t>
      </w:r>
      <w:r w:rsidRPr="00026EC1">
        <w:t>employé de soutien mis en disponibilité engagé dans un poste d</w:t>
      </w:r>
      <w:r w:rsidR="004A41E4" w:rsidRPr="00026EC1">
        <w:t>’</w:t>
      </w:r>
      <w:r w:rsidRPr="00026EC1">
        <w:t>enseignement devient enseignante ou enseignant permanent. Elle ou il conserve son crédit de jours de congé de maladie non monnayables. Son salaire est déterminé conformément à l</w:t>
      </w:r>
      <w:r w:rsidR="004A41E4" w:rsidRPr="00026EC1">
        <w:t>’</w:t>
      </w:r>
      <w:r w:rsidRPr="00026EC1">
        <w:t>article 6</w:t>
      </w:r>
      <w:r w:rsidR="00984A6F">
        <w:noBreakHyphen/>
      </w:r>
      <w:r w:rsidRPr="00026EC1">
        <w:t>1.00.</w:t>
      </w:r>
    </w:p>
    <w:p w14:paraId="39FF1F82" w14:textId="77777777" w:rsidR="00207FD3" w:rsidRDefault="00207FD3">
      <w:pPr>
        <w:keepNext w:val="0"/>
        <w:suppressAutoHyphens w:val="0"/>
        <w:jc w:val="left"/>
      </w:pPr>
      <w:r>
        <w:br w:type="page"/>
      </w:r>
    </w:p>
    <w:p w14:paraId="1EF4E030" w14:textId="272D181A" w:rsidR="00DF6239" w:rsidRDefault="00DF6239" w:rsidP="00A64613">
      <w:pPr>
        <w:pStyle w:val="NUMRODECLAUSE"/>
        <w:keepNext w:val="0"/>
        <w:rPr>
          <w:u w:val="single"/>
        </w:rPr>
      </w:pPr>
      <w:r w:rsidRPr="00026EC1">
        <w:t>5</w:t>
      </w:r>
      <w:r w:rsidR="00984A6F">
        <w:noBreakHyphen/>
      </w:r>
      <w:r w:rsidRPr="00026EC1">
        <w:t>4.21</w:t>
      </w:r>
      <w:r w:rsidRPr="00026EC1">
        <w:tab/>
      </w:r>
      <w:r w:rsidRPr="00147EA0">
        <w:rPr>
          <w:u w:val="single"/>
        </w:rPr>
        <w:t>Recyclage vers un poste réservé</w:t>
      </w:r>
      <w:r w:rsidR="00EE7C71">
        <w:rPr>
          <w:u w:val="single"/>
        </w:rPr>
        <w:t xml:space="preserve"> </w:t>
      </w:r>
      <w:r w:rsidR="00EE7C71" w:rsidRPr="00316277">
        <w:rPr>
          <w:u w:val="single"/>
        </w:rPr>
        <w:t>ou un poste différé et réservé</w:t>
      </w:r>
    </w:p>
    <w:p w14:paraId="08026E4C" w14:textId="77777777" w:rsidR="00A20EE2" w:rsidRPr="00147EA0" w:rsidRDefault="00A20EE2" w:rsidP="00A64613">
      <w:pPr>
        <w:pStyle w:val="NUMRODECLAUSE"/>
        <w:keepNext w:val="0"/>
        <w:rPr>
          <w:u w:val="single"/>
        </w:rPr>
      </w:pPr>
    </w:p>
    <w:p w14:paraId="67B15E4F" w14:textId="1CCFFFB2" w:rsidR="00EE7C71" w:rsidRPr="00316277" w:rsidRDefault="00DF6239" w:rsidP="00F420CB">
      <w:pPr>
        <w:pStyle w:val="ListParagraph"/>
        <w:numPr>
          <w:ilvl w:val="0"/>
          <w:numId w:val="38"/>
        </w:numPr>
        <w:tabs>
          <w:tab w:val="left" w:pos="567"/>
        </w:tabs>
        <w:ind w:hanging="930"/>
      </w:pPr>
      <w:r w:rsidRPr="00026EC1">
        <w:t>Le programme de recyclage prévu à la présente clause</w:t>
      </w:r>
      <w:r w:rsidR="00D940AE">
        <w:t xml:space="preserve"> </w:t>
      </w:r>
      <w:r w:rsidR="00D940AE" w:rsidRPr="00316277">
        <w:t>est accessible</w:t>
      </w:r>
      <w:r w:rsidR="00EE7C71" w:rsidRPr="00316277">
        <w:t>, dans l’ordre suivant :</w:t>
      </w:r>
    </w:p>
    <w:p w14:paraId="72911C03" w14:textId="77777777" w:rsidR="00A20EE2" w:rsidRPr="00316277" w:rsidRDefault="00A20EE2" w:rsidP="00A20EE2">
      <w:pPr>
        <w:pStyle w:val="ListParagraph"/>
        <w:tabs>
          <w:tab w:val="left" w:pos="567"/>
        </w:tabs>
        <w:ind w:left="930"/>
      </w:pPr>
    </w:p>
    <w:p w14:paraId="33496416" w14:textId="735F7EDC" w:rsidR="00DF6239" w:rsidRDefault="00EE7C71" w:rsidP="00F62742">
      <w:pPr>
        <w:pStyle w:val="ListParagraph"/>
        <w:numPr>
          <w:ilvl w:val="0"/>
          <w:numId w:val="39"/>
        </w:numPr>
        <w:tabs>
          <w:tab w:val="left" w:pos="567"/>
        </w:tabs>
        <w:ind w:left="851" w:hanging="284"/>
      </w:pPr>
      <w:r w:rsidRPr="00316277">
        <w:t>Poste réservé :</w:t>
      </w:r>
      <w:r>
        <w:t xml:space="preserve"> </w:t>
      </w:r>
      <w:r w:rsidRPr="00316277">
        <w:t>À</w:t>
      </w:r>
      <w:r>
        <w:t xml:space="preserve"> </w:t>
      </w:r>
      <w:r w:rsidR="00DF6239" w:rsidRPr="00026EC1">
        <w:t>l</w:t>
      </w:r>
      <w:r w:rsidR="004A41E4" w:rsidRPr="00026EC1">
        <w:t>’</w:t>
      </w:r>
      <w:r w:rsidR="00DF6239" w:rsidRPr="00026EC1">
        <w:t xml:space="preserve">enseignante ou </w:t>
      </w:r>
      <w:r w:rsidRPr="00316277">
        <w:t>à</w:t>
      </w:r>
      <w:r>
        <w:t xml:space="preserve"> </w:t>
      </w:r>
      <w:r w:rsidR="00DF6239" w:rsidRPr="00026EC1">
        <w:t>l</w:t>
      </w:r>
      <w:r w:rsidR="004A41E4" w:rsidRPr="00026EC1">
        <w:t>’</w:t>
      </w:r>
      <w:r w:rsidR="00DF6239" w:rsidRPr="00026EC1">
        <w:t>enseignant mis en disponibilité de même qu</w:t>
      </w:r>
      <w:r w:rsidR="004A41E4" w:rsidRPr="00026EC1">
        <w:t>’</w:t>
      </w:r>
      <w:r w:rsidR="00DF6239" w:rsidRPr="00026EC1">
        <w:t>à l</w:t>
      </w:r>
      <w:r w:rsidR="004A41E4" w:rsidRPr="00026EC1">
        <w:t>’</w:t>
      </w:r>
      <w:r w:rsidR="00DF6239" w:rsidRPr="00026EC1">
        <w:t>enseignante ou</w:t>
      </w:r>
      <w:r w:rsidR="006C6AD1">
        <w:t xml:space="preserve"> </w:t>
      </w:r>
      <w:r w:rsidR="006C6AD1" w:rsidRPr="00316277">
        <w:t>à</w:t>
      </w:r>
      <w:r w:rsidR="00DF6239" w:rsidRPr="00026EC1">
        <w:t xml:space="preserve"> l</w:t>
      </w:r>
      <w:r w:rsidR="004A41E4" w:rsidRPr="00026EC1">
        <w:t>’</w:t>
      </w:r>
      <w:r w:rsidR="00DF6239" w:rsidRPr="00026EC1">
        <w:t>enseignant permanent non mis en disponibilité</w:t>
      </w:r>
      <w:r w:rsidR="006C6AD1" w:rsidRPr="00316277">
        <w:t>,</w:t>
      </w:r>
      <w:r w:rsidR="00DF6239" w:rsidRPr="00026EC1">
        <w:t xml:space="preserve"> à la condition que le recyclage ait pour effet d</w:t>
      </w:r>
      <w:r w:rsidR="004A41E4" w:rsidRPr="00026EC1">
        <w:t>’</w:t>
      </w:r>
      <w:r w:rsidR="00DF6239" w:rsidRPr="00026EC1">
        <w:t>annuler ou d</w:t>
      </w:r>
      <w:r w:rsidR="004A41E4" w:rsidRPr="00026EC1">
        <w:t>’</w:t>
      </w:r>
      <w:r w:rsidR="00DF6239" w:rsidRPr="00026EC1">
        <w:t>éviter une mise en disponibilité</w:t>
      </w:r>
      <w:r w:rsidR="001032F7" w:rsidRPr="00316277">
        <w:t xml:space="preserve">, </w:t>
      </w:r>
      <w:r w:rsidRPr="00316277">
        <w:t>et pour qui le Collège prévoit réserver un poste</w:t>
      </w:r>
      <w:r w:rsidRPr="005F6A9F">
        <w:t>.</w:t>
      </w:r>
    </w:p>
    <w:p w14:paraId="2A26D023" w14:textId="77777777" w:rsidR="00F62742" w:rsidRDefault="00F62742" w:rsidP="00F62742">
      <w:pPr>
        <w:pStyle w:val="ListParagraph"/>
        <w:tabs>
          <w:tab w:val="left" w:pos="567"/>
        </w:tabs>
        <w:ind w:left="851"/>
      </w:pPr>
    </w:p>
    <w:p w14:paraId="67560E7C" w14:textId="2E0BA110" w:rsidR="00EE7C71" w:rsidRPr="00316277" w:rsidRDefault="00EE7C71" w:rsidP="00F62742">
      <w:pPr>
        <w:pStyle w:val="N-FNEEQ-puce2"/>
        <w:numPr>
          <w:ilvl w:val="0"/>
          <w:numId w:val="39"/>
        </w:numPr>
        <w:spacing w:before="0" w:after="0"/>
        <w:ind w:left="851" w:hanging="284"/>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Poste différé et réservé : À l’enseignante ou à l’enseignant mis en disponibilité pour qui le Collège prévoit réserver un poste différé justifié par l’anticipation, dans les deux</w:t>
      </w:r>
      <w:r w:rsidR="0093302F"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(2) prochaines années d’engagement, de l’ouverture d’au moins un poste dans une autre spécialité de sa discipline ou dans une autre discipline en raison de l’une des situations suivantes :</w:t>
      </w:r>
    </w:p>
    <w:p w14:paraId="0F2EAE32" w14:textId="77777777" w:rsidR="00F62742" w:rsidRPr="00316277" w:rsidRDefault="00F62742" w:rsidP="00F62742">
      <w:pPr>
        <w:pStyle w:val="N-FNEEQ-puce2"/>
        <w:spacing w:before="0" w:after="0"/>
        <w:ind w:left="851" w:firstLine="0"/>
        <w:rPr>
          <w:rFonts w:ascii="Arial" w:eastAsia="Times New Roman" w:hAnsi="Arial" w:cs="Times New Roman"/>
          <w:snapToGrid w:val="0"/>
          <w:color w:val="auto"/>
          <w:sz w:val="24"/>
          <w:lang w:eastAsia="fr-FR"/>
        </w:rPr>
      </w:pPr>
    </w:p>
    <w:p w14:paraId="6B769691" w14:textId="0CDD5D4E" w:rsidR="00EE7C71" w:rsidRPr="00316277" w:rsidRDefault="00EE7C71" w:rsidP="00F62742">
      <w:pPr>
        <w:pStyle w:val="N-FNEEQ-Puce3"/>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ab/>
        <w:t>L’implantation d’un nouveau programme;</w:t>
      </w:r>
    </w:p>
    <w:p w14:paraId="23512219" w14:textId="77777777" w:rsidR="00F62742" w:rsidRPr="00316277" w:rsidRDefault="00F62742" w:rsidP="00F62742">
      <w:pPr>
        <w:pStyle w:val="N-FNEEQ-Puce3"/>
        <w:spacing w:before="0" w:after="0"/>
        <w:ind w:left="1134" w:hanging="283"/>
        <w:rPr>
          <w:rFonts w:ascii="Arial" w:eastAsia="Times New Roman" w:hAnsi="Arial" w:cs="Times New Roman"/>
          <w:snapToGrid w:val="0"/>
          <w:color w:val="auto"/>
          <w:sz w:val="24"/>
          <w:lang w:eastAsia="fr-FR"/>
        </w:rPr>
      </w:pPr>
    </w:p>
    <w:p w14:paraId="3F7B2B9E" w14:textId="1AC03960" w:rsidR="00EE7C71" w:rsidRDefault="00EE7C71" w:rsidP="00F62742">
      <w:pPr>
        <w:pStyle w:val="N-FNEEQ-Puce3"/>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ab/>
        <w:t>Une prise de retraite éventuelle.</w:t>
      </w:r>
    </w:p>
    <w:p w14:paraId="5B65D76A" w14:textId="77777777" w:rsidR="00D14DE1" w:rsidRPr="00EE7C71" w:rsidRDefault="00D14DE1" w:rsidP="00F62742">
      <w:pPr>
        <w:pStyle w:val="N-FNEEQ-Puce3"/>
        <w:spacing w:before="0" w:after="0"/>
        <w:ind w:left="1134" w:hanging="283"/>
        <w:rPr>
          <w:rFonts w:ascii="Arial" w:eastAsia="Times New Roman" w:hAnsi="Arial" w:cs="Times New Roman"/>
          <w:snapToGrid w:val="0"/>
          <w:color w:val="auto"/>
          <w:sz w:val="24"/>
          <w:lang w:eastAsia="fr-FR"/>
        </w:rPr>
      </w:pPr>
    </w:p>
    <w:p w14:paraId="613E7D1D" w14:textId="37401DE1"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mis en disponibilité ayant le plus d</w:t>
      </w:r>
      <w:r w:rsidR="004A41E4" w:rsidRPr="00026EC1">
        <w:t>’</w:t>
      </w:r>
      <w:r w:rsidRPr="00026EC1">
        <w:t>ancienneté au dernier jour de l</w:t>
      </w:r>
      <w:r w:rsidR="004A41E4" w:rsidRPr="00026EC1">
        <w:t>’</w:t>
      </w:r>
      <w:r w:rsidRPr="00026EC1">
        <w:t>année d</w:t>
      </w:r>
      <w:r w:rsidR="004A41E4" w:rsidRPr="00026EC1">
        <w:t>’</w:t>
      </w:r>
      <w:r w:rsidRPr="00026EC1">
        <w:t>engagement de l</w:t>
      </w:r>
      <w:r w:rsidR="004A41E4" w:rsidRPr="00026EC1">
        <w:t>’</w:t>
      </w:r>
      <w:r w:rsidRPr="00026EC1">
        <w:t>octroi du recyclage et, à ancienneté égale, celle ou celui ayant le plus d</w:t>
      </w:r>
      <w:r w:rsidR="004A41E4" w:rsidRPr="00026EC1">
        <w:t>’</w:t>
      </w:r>
      <w:r w:rsidRPr="00026EC1">
        <w:t xml:space="preserve">expérience et, à expérience égale, celle ou celui ayant le plus de scolarité peut échanger son statut de mis en disponibilité avec une enseignante ou un enseignant permanent non mis en disponibilité qui en fait la </w:t>
      </w:r>
      <w:r w:rsidR="004B01D2">
        <w:t>d</w:t>
      </w:r>
      <w:r w:rsidRPr="00026EC1">
        <w:t>emande. Cette substitution prend effet au plus tard le 15</w:t>
      </w:r>
      <w:r w:rsidR="001F5B69">
        <w:t> </w:t>
      </w:r>
      <w:r w:rsidRPr="00026EC1">
        <w:t>juin de l</w:t>
      </w:r>
      <w:r w:rsidR="004A41E4" w:rsidRPr="00026EC1">
        <w:t>’</w:t>
      </w:r>
      <w:r w:rsidRPr="00026EC1">
        <w:t>année d</w:t>
      </w:r>
      <w:r w:rsidR="004A41E4" w:rsidRPr="00026EC1">
        <w:t>’</w:t>
      </w:r>
      <w:r w:rsidRPr="00026EC1">
        <w:t>engagement où le recyclage est accordé et l</w:t>
      </w:r>
      <w:r w:rsidR="004A41E4" w:rsidRPr="00026EC1">
        <w:t>’</w:t>
      </w:r>
      <w:r w:rsidRPr="00026EC1">
        <w:t>enseignante ou l</w:t>
      </w:r>
      <w:r w:rsidR="004A41E4" w:rsidRPr="00026EC1">
        <w:t>’</w:t>
      </w:r>
      <w:r w:rsidRPr="00026EC1">
        <w:t>enseignant ayant demandé une telle substitution est alors réputé avoir reçu son avis de mise en disponibilité prévu à la clause</w:t>
      </w:r>
      <w:r w:rsidR="0061766F" w:rsidRPr="00026EC1">
        <w:t> </w:t>
      </w:r>
      <w:r w:rsidRPr="00026EC1">
        <w:t>5</w:t>
      </w:r>
      <w:r w:rsidR="00984A6F">
        <w:noBreakHyphen/>
      </w:r>
      <w:r w:rsidRPr="00026EC1">
        <w:t>4.06 à compter de cette date.</w:t>
      </w:r>
    </w:p>
    <w:p w14:paraId="1DB04C35" w14:textId="77777777" w:rsidR="00264883" w:rsidRDefault="00264883" w:rsidP="00A64613">
      <w:pPr>
        <w:pStyle w:val="Texte1cm"/>
        <w:keepNext w:val="0"/>
      </w:pPr>
    </w:p>
    <w:p w14:paraId="3552B886" w14:textId="7E97B965" w:rsidR="00DF6239" w:rsidRPr="00026EC1" w:rsidRDefault="00DF6239" w:rsidP="00A64613">
      <w:pPr>
        <w:pStyle w:val="Texte1cm"/>
        <w:keepNext w:val="0"/>
      </w:pPr>
      <w:r w:rsidRPr="00026EC1">
        <w:t>Si plus d</w:t>
      </w:r>
      <w:r w:rsidR="004A41E4" w:rsidRPr="00026EC1">
        <w:t>’</w:t>
      </w:r>
      <w:r w:rsidRPr="00026EC1">
        <w:t>une enseignante ou d</w:t>
      </w:r>
      <w:r w:rsidR="004A41E4" w:rsidRPr="00026EC1">
        <w:t>’</w:t>
      </w:r>
      <w:r w:rsidRPr="00026EC1">
        <w:t xml:space="preserve">un enseignant permanent non mis en disponibilité fait une demande, le Collège donne suite à la demande de substitution de celle ou </w:t>
      </w:r>
      <w:r w:rsidR="00B53403" w:rsidRPr="00026EC1">
        <w:t xml:space="preserve">de </w:t>
      </w:r>
      <w:r w:rsidRPr="00026EC1">
        <w:t>celui qui a le plus d</w:t>
      </w:r>
      <w:r w:rsidR="004A41E4" w:rsidRPr="00026EC1">
        <w:t>’</w:t>
      </w:r>
      <w:r w:rsidRPr="00026EC1">
        <w:t>ancienneté au dernier jour de l</w:t>
      </w:r>
      <w:r w:rsidR="004A41E4" w:rsidRPr="00026EC1">
        <w:t>’</w:t>
      </w:r>
      <w:r w:rsidRPr="00026EC1">
        <w:t>année d</w:t>
      </w:r>
      <w:r w:rsidR="004A41E4" w:rsidRPr="00026EC1">
        <w:t>’</w:t>
      </w:r>
      <w:r w:rsidRPr="00026EC1">
        <w:t>engagement de l</w:t>
      </w:r>
      <w:r w:rsidR="004A41E4" w:rsidRPr="00026EC1">
        <w:t>’</w:t>
      </w:r>
      <w:r w:rsidRPr="00026EC1">
        <w:t xml:space="preserve">octroi du recyclage et, à ancienneté égale, </w:t>
      </w:r>
      <w:r w:rsidR="003E1207" w:rsidRPr="00026EC1">
        <w:t>de</w:t>
      </w:r>
      <w:r w:rsidRPr="00026EC1">
        <w:t xml:space="preserve"> celle ou</w:t>
      </w:r>
      <w:r w:rsidR="003E1207" w:rsidRPr="00026EC1">
        <w:t xml:space="preserve"> de</w:t>
      </w:r>
      <w:r w:rsidRPr="00026EC1">
        <w:t xml:space="preserve"> celui qui a le plus d</w:t>
      </w:r>
      <w:r w:rsidR="004A41E4" w:rsidRPr="00026EC1">
        <w:t>’</w:t>
      </w:r>
      <w:r w:rsidRPr="00026EC1">
        <w:t xml:space="preserve">expérience et, à expérience égale, </w:t>
      </w:r>
      <w:r w:rsidR="003E1207" w:rsidRPr="00026EC1">
        <w:t>de</w:t>
      </w:r>
      <w:r w:rsidRPr="00026EC1">
        <w:t xml:space="preserve"> celle ou</w:t>
      </w:r>
      <w:r w:rsidR="003E1207" w:rsidRPr="00026EC1">
        <w:t xml:space="preserve"> de</w:t>
      </w:r>
      <w:r w:rsidRPr="00026EC1">
        <w:t xml:space="preserve"> celui qui a le plus de scolarité. </w:t>
      </w:r>
    </w:p>
    <w:p w14:paraId="417DB13D" w14:textId="77777777" w:rsidR="00DF6239" w:rsidRPr="00026EC1" w:rsidRDefault="00DF6239" w:rsidP="00A64613">
      <w:pPr>
        <w:pStyle w:val="Texte1cm"/>
        <w:keepNext w:val="0"/>
      </w:pPr>
    </w:p>
    <w:p w14:paraId="0E0552B8" w14:textId="3EAF6D4D" w:rsidR="00DF6239" w:rsidRPr="00026EC1" w:rsidRDefault="00275751" w:rsidP="00A64613">
      <w:pPr>
        <w:keepNext w:val="0"/>
        <w:tabs>
          <w:tab w:val="left" w:pos="567"/>
        </w:tabs>
        <w:ind w:left="567" w:hanging="567"/>
      </w:pPr>
      <w:r w:rsidRPr="00026EC1">
        <w:t>B)</w:t>
      </w:r>
      <w:r w:rsidRPr="00026EC1">
        <w:tab/>
      </w:r>
      <w:r w:rsidR="00DF6239" w:rsidRPr="00026EC1">
        <w:t>Le recyclage d</w:t>
      </w:r>
      <w:r w:rsidR="004A41E4" w:rsidRPr="00026EC1">
        <w:t>’</w:t>
      </w:r>
      <w:r w:rsidR="00DF6239" w:rsidRPr="00026EC1">
        <w:t>une enseignante ou d</w:t>
      </w:r>
      <w:r w:rsidR="004A41E4" w:rsidRPr="00026EC1">
        <w:t>’</w:t>
      </w:r>
      <w:r w:rsidR="00DF6239" w:rsidRPr="00026EC1">
        <w:t>un enseignant mis en disponibilité doit lui permettre d</w:t>
      </w:r>
      <w:r w:rsidR="004A41E4" w:rsidRPr="00026EC1">
        <w:t>’</w:t>
      </w:r>
      <w:r w:rsidR="00DF6239" w:rsidRPr="00026EC1">
        <w:t>acquérir la compétence requise pour enseigner dans une autre spécialité de sa discipline selon l</w:t>
      </w:r>
      <w:r w:rsidR="004A41E4" w:rsidRPr="00026EC1">
        <w:t>’</w:t>
      </w:r>
      <w:r w:rsidR="00DF6239" w:rsidRPr="00026EC1">
        <w:t>alinéa</w:t>
      </w:r>
      <w:r w:rsidR="00757E12" w:rsidRPr="00026EC1">
        <w:t> </w:t>
      </w:r>
      <w:r w:rsidR="00DF6239" w:rsidRPr="00026EC1">
        <w:t>d) de la clause</w:t>
      </w:r>
      <w:r w:rsidR="0061766F" w:rsidRPr="00026EC1">
        <w:t> </w:t>
      </w:r>
      <w:r w:rsidR="00DF6239" w:rsidRPr="00026EC1">
        <w:t>5</w:t>
      </w:r>
      <w:r w:rsidR="00984A6F">
        <w:noBreakHyphen/>
      </w:r>
      <w:r w:rsidR="00DF6239" w:rsidRPr="00026EC1">
        <w:t>4.11 ou dans une autre discipline que celle pour laquelle elle ou il a été engagé ou qu</w:t>
      </w:r>
      <w:r w:rsidR="004A41E4" w:rsidRPr="00026EC1">
        <w:t>’</w:t>
      </w:r>
      <w:r w:rsidR="00DF6239" w:rsidRPr="00026EC1">
        <w:t>elle ou il enseignait l</w:t>
      </w:r>
      <w:r w:rsidR="004A41E4" w:rsidRPr="00026EC1">
        <w:t>’</w:t>
      </w:r>
      <w:r w:rsidR="00DF6239" w:rsidRPr="00026EC1">
        <w:t>année de sa mise en disponibilité.</w:t>
      </w:r>
    </w:p>
    <w:p w14:paraId="7D432359" w14:textId="77777777" w:rsidR="00DF6239" w:rsidRPr="00026EC1" w:rsidRDefault="00DF6239" w:rsidP="00A64613">
      <w:pPr>
        <w:pStyle w:val="Texte1cm"/>
        <w:keepNext w:val="0"/>
      </w:pPr>
    </w:p>
    <w:p w14:paraId="13B00A9D" w14:textId="1D5A66FB" w:rsidR="00DF6239" w:rsidRPr="00026EC1" w:rsidRDefault="00DF6239" w:rsidP="00A64613">
      <w:pPr>
        <w:pStyle w:val="Texte1cm"/>
        <w:keepNext w:val="0"/>
      </w:pPr>
      <w:r w:rsidRPr="00026EC1">
        <w:t>Le recyclage d</w:t>
      </w:r>
      <w:r w:rsidR="004A41E4" w:rsidRPr="00026EC1">
        <w:t>’</w:t>
      </w:r>
      <w:r w:rsidRPr="00026EC1">
        <w:t>une enseignante ou d</w:t>
      </w:r>
      <w:r w:rsidR="004A41E4" w:rsidRPr="00026EC1">
        <w:t>’</w:t>
      </w:r>
      <w:r w:rsidRPr="00026EC1">
        <w:t>un enseignant non mis en disponibilité ayant demandé une substitution doit lui permettre d</w:t>
      </w:r>
      <w:r w:rsidR="004A41E4" w:rsidRPr="00026EC1">
        <w:t>’</w:t>
      </w:r>
      <w:r w:rsidRPr="00026EC1">
        <w:t>acquérir la compétence requise pour enseigner dans une autre spécialité de sa discipline selon l</w:t>
      </w:r>
      <w:r w:rsidR="004A41E4" w:rsidRPr="00026EC1">
        <w:t>’</w:t>
      </w:r>
      <w:r w:rsidRPr="00026EC1">
        <w:t>alinéa</w:t>
      </w:r>
      <w:r w:rsidR="00757E12" w:rsidRPr="00026EC1">
        <w:t> </w:t>
      </w:r>
      <w:r w:rsidRPr="00026EC1">
        <w:t>d) de la clause</w:t>
      </w:r>
      <w:r w:rsidR="0061766F" w:rsidRPr="00026EC1">
        <w:t> </w:t>
      </w:r>
      <w:r w:rsidRPr="00026EC1">
        <w:t>5</w:t>
      </w:r>
      <w:r w:rsidR="00984A6F">
        <w:noBreakHyphen/>
      </w:r>
      <w:r w:rsidRPr="00026EC1">
        <w:t>4.11 ou dans une autre discipline que celle pour laquelle elle ou il a été engagé ou qu</w:t>
      </w:r>
      <w:r w:rsidR="004A41E4" w:rsidRPr="00026EC1">
        <w:t>’</w:t>
      </w:r>
      <w:r w:rsidRPr="00026EC1">
        <w:t>elle ou il enseignait l</w:t>
      </w:r>
      <w:r w:rsidR="004A41E4" w:rsidRPr="00026EC1">
        <w:t>’</w:t>
      </w:r>
      <w:r w:rsidRPr="00026EC1">
        <w:t>année où la demande de recyclage a été présentée.</w:t>
      </w:r>
    </w:p>
    <w:p w14:paraId="6393F77C" w14:textId="77777777" w:rsidR="00DF6239" w:rsidRPr="00026EC1" w:rsidRDefault="00DF6239" w:rsidP="00A64613">
      <w:pPr>
        <w:pStyle w:val="Texte1cm"/>
        <w:keepNext w:val="0"/>
      </w:pPr>
    </w:p>
    <w:p w14:paraId="3E8A30B4" w14:textId="36F3BE28" w:rsidR="00DF6239" w:rsidRPr="00026EC1" w:rsidRDefault="00275751" w:rsidP="00A64613">
      <w:pPr>
        <w:keepNext w:val="0"/>
        <w:tabs>
          <w:tab w:val="left" w:pos="567"/>
        </w:tabs>
        <w:ind w:left="567" w:hanging="567"/>
      </w:pPr>
      <w:r w:rsidRPr="00026EC1">
        <w:t>C)</w:t>
      </w:r>
      <w:r w:rsidRPr="00026EC1">
        <w:tab/>
      </w:r>
      <w:r w:rsidR="00DF6239" w:rsidRPr="00026EC1">
        <w:t>Pour une année donnée, le nombre total d</w:t>
      </w:r>
      <w:r w:rsidR="004A41E4" w:rsidRPr="00026EC1">
        <w:t>’</w:t>
      </w:r>
      <w:r w:rsidR="00DF6239" w:rsidRPr="00026EC1">
        <w:t>enseignantes et d</w:t>
      </w:r>
      <w:r w:rsidR="004A41E4" w:rsidRPr="00026EC1">
        <w:t>’</w:t>
      </w:r>
      <w:r w:rsidR="00DF6239" w:rsidRPr="00026EC1">
        <w:t>enseignants en recyclage en vertu de la présente clause pour les Collèges dont les Syndicats sont affiliés à la FNEEQ (CSN) est de vingt</w:t>
      </w:r>
      <w:r w:rsidR="00984A6F">
        <w:noBreakHyphen/>
      </w:r>
      <w:r w:rsidR="00DF6239" w:rsidRPr="00026EC1">
        <w:t>quatre virgule quatre</w:t>
      </w:r>
      <w:r w:rsidR="00984A6F">
        <w:noBreakHyphen/>
      </w:r>
      <w:r w:rsidR="00DF6239" w:rsidRPr="00026EC1">
        <w:t>vingt</w:t>
      </w:r>
      <w:r w:rsidR="00984A6F">
        <w:noBreakHyphen/>
      </w:r>
      <w:r w:rsidR="00DF6239" w:rsidRPr="00026EC1">
        <w:t>cinq (24,85) enseignantes ou enseignants</w:t>
      </w:r>
      <w:r w:rsidR="00CC1DCD" w:rsidRPr="00026EC1">
        <w:t xml:space="preserve"> </w:t>
      </w:r>
      <w:r w:rsidR="00DF6239" w:rsidRPr="00026EC1">
        <w:t>à temps complet ou l</w:t>
      </w:r>
      <w:r w:rsidR="004A41E4" w:rsidRPr="00026EC1">
        <w:t>’</w:t>
      </w:r>
      <w:r w:rsidR="00DF6239" w:rsidRPr="00026EC1">
        <w:t>équivalent. Aux fins de l</w:t>
      </w:r>
      <w:r w:rsidR="004A41E4" w:rsidRPr="00026EC1">
        <w:t>’</w:t>
      </w:r>
      <w:r w:rsidR="00DF6239" w:rsidRPr="00026EC1">
        <w:t>application de la présente clause, chaque enseignante ou enseignant qui est en recyclage est comptabilisé pour une valeur de zéro virgule cinquante (0,50) ETC par session.</w:t>
      </w:r>
    </w:p>
    <w:p w14:paraId="567B4F5E" w14:textId="77777777" w:rsidR="00DF6239" w:rsidRPr="00026EC1" w:rsidRDefault="00DF6239" w:rsidP="00A64613">
      <w:pPr>
        <w:pStyle w:val="Texte1cm"/>
        <w:keepNext w:val="0"/>
      </w:pPr>
    </w:p>
    <w:p w14:paraId="53A0AB27" w14:textId="77777777" w:rsidR="00DF6239" w:rsidRPr="00026EC1" w:rsidRDefault="00DF6239" w:rsidP="00A64613">
      <w:pPr>
        <w:pStyle w:val="Texte1cm"/>
        <w:keepNext w:val="0"/>
      </w:pPr>
      <w:r w:rsidRPr="00026EC1">
        <w:t>Les ressources non utilisées une année donnée sont transférées à l</w:t>
      </w:r>
      <w:r w:rsidR="004A41E4" w:rsidRPr="00026EC1">
        <w:t>’</w:t>
      </w:r>
      <w:r w:rsidRPr="00026EC1">
        <w:t>année suivante et s</w:t>
      </w:r>
      <w:r w:rsidR="004A41E4" w:rsidRPr="00026EC1">
        <w:t>’</w:t>
      </w:r>
      <w:r w:rsidRPr="00026EC1">
        <w:t>ajoutent aux ressources prévues au paragraphe précédent.</w:t>
      </w:r>
    </w:p>
    <w:p w14:paraId="55D2E77C" w14:textId="77777777" w:rsidR="00DF6239" w:rsidRPr="00026EC1" w:rsidRDefault="00DF6239" w:rsidP="00A64613">
      <w:pPr>
        <w:pStyle w:val="Texte1cm"/>
        <w:keepNext w:val="0"/>
      </w:pPr>
    </w:p>
    <w:p w14:paraId="1707649A" w14:textId="5A921789" w:rsidR="00DF6239" w:rsidRPr="00026EC1" w:rsidRDefault="00DF6239" w:rsidP="00A64613">
      <w:pPr>
        <w:pStyle w:val="Texte1cm"/>
        <w:keepNext w:val="0"/>
      </w:pPr>
      <w:r w:rsidRPr="00026EC1">
        <w:t>De plus, pour une année donnée, le Ministère peut ajouter des ressources afin d</w:t>
      </w:r>
      <w:r w:rsidR="004A41E4" w:rsidRPr="00026EC1">
        <w:t>’</w:t>
      </w:r>
      <w:r w:rsidRPr="00026EC1">
        <w:t>augmenter le nombre de recyclages. Cependant ces ressources additionnelles de même que les recyclages qui y sont associés ne sont pas comptabilisés dans les vingt</w:t>
      </w:r>
      <w:r w:rsidR="00984A6F">
        <w:noBreakHyphen/>
      </w:r>
      <w:r w:rsidRPr="00026EC1">
        <w:t>quatre virgule quatre</w:t>
      </w:r>
      <w:r w:rsidR="00984A6F">
        <w:noBreakHyphen/>
      </w:r>
      <w:r w:rsidRPr="00026EC1">
        <w:t>vingt</w:t>
      </w:r>
      <w:r w:rsidR="00984A6F">
        <w:noBreakHyphen/>
      </w:r>
      <w:r w:rsidRPr="00026EC1">
        <w:t>cinq (24,85) enseignantes ou enseignants</w:t>
      </w:r>
      <w:r w:rsidR="00CC1DCD" w:rsidRPr="00026EC1">
        <w:t xml:space="preserve"> </w:t>
      </w:r>
      <w:r w:rsidRPr="00026EC1">
        <w:t>à temps complet ou l</w:t>
      </w:r>
      <w:r w:rsidR="004A41E4" w:rsidRPr="00026EC1">
        <w:t>’</w:t>
      </w:r>
      <w:r w:rsidRPr="00026EC1">
        <w:t>équivalent et ne sont pas transférables à l</w:t>
      </w:r>
      <w:r w:rsidR="004A41E4" w:rsidRPr="00026EC1">
        <w:t>’</w:t>
      </w:r>
      <w:r w:rsidRPr="00026EC1">
        <w:t>année suivante.</w:t>
      </w:r>
    </w:p>
    <w:p w14:paraId="11AB38A5" w14:textId="77777777" w:rsidR="00DF6239" w:rsidRPr="00026EC1" w:rsidRDefault="00DF6239" w:rsidP="00A64613">
      <w:pPr>
        <w:pStyle w:val="Texte1cm"/>
        <w:keepNext w:val="0"/>
      </w:pPr>
    </w:p>
    <w:p w14:paraId="70A8DD77" w14:textId="4C8F339A" w:rsidR="00DF6239" w:rsidRPr="00026EC1" w:rsidRDefault="00DF6239" w:rsidP="00A64613">
      <w:pPr>
        <w:pStyle w:val="Texte1cm"/>
        <w:keepNext w:val="0"/>
      </w:pPr>
      <w:r w:rsidRPr="00026EC1">
        <w:rPr>
          <w:rFonts w:cs="Arial"/>
        </w:rPr>
        <w:t>À compter de l</w:t>
      </w:r>
      <w:r w:rsidR="004A41E4" w:rsidRPr="00026EC1">
        <w:rPr>
          <w:rFonts w:cs="Arial"/>
        </w:rPr>
        <w:t>’</w:t>
      </w:r>
      <w:r w:rsidRPr="00026EC1">
        <w:rPr>
          <w:rFonts w:cs="Arial"/>
        </w:rPr>
        <w:t>année 2011</w:t>
      </w:r>
      <w:r w:rsidR="00984A6F">
        <w:rPr>
          <w:rFonts w:cs="Arial"/>
        </w:rPr>
        <w:noBreakHyphen/>
      </w:r>
      <w:r w:rsidRPr="00026EC1">
        <w:rPr>
          <w:rFonts w:cs="Arial"/>
        </w:rPr>
        <w:t xml:space="preserve">2012, pour une année donnée, le solde des </w:t>
      </w:r>
      <w:r w:rsidRPr="00026EC1">
        <w:t>vingt</w:t>
      </w:r>
      <w:r w:rsidR="00984A6F">
        <w:noBreakHyphen/>
      </w:r>
      <w:r w:rsidRPr="00026EC1">
        <w:t>quatre virgule quatre</w:t>
      </w:r>
      <w:r w:rsidR="00984A6F">
        <w:noBreakHyphen/>
      </w:r>
      <w:r w:rsidRPr="00026EC1">
        <w:t>vingt</w:t>
      </w:r>
      <w:r w:rsidR="00984A6F">
        <w:noBreakHyphen/>
      </w:r>
      <w:r w:rsidRPr="00026EC1">
        <w:t>cinq (24,85) enseignantes ou enseignants à temps complet ou l</w:t>
      </w:r>
      <w:r w:rsidR="004A41E4" w:rsidRPr="00026EC1">
        <w:t>’</w:t>
      </w:r>
      <w:r w:rsidRPr="00026EC1">
        <w:t>équivalent</w:t>
      </w:r>
      <w:r w:rsidRPr="00026EC1">
        <w:rPr>
          <w:rFonts w:cs="Arial"/>
        </w:rPr>
        <w:t xml:space="preserve"> prévus à la présente clause est accessible aux enseignantes et enseignants qui demandent un congé en vertu de l</w:t>
      </w:r>
      <w:r w:rsidR="004A41E4" w:rsidRPr="00026EC1">
        <w:rPr>
          <w:rFonts w:cs="Arial"/>
        </w:rPr>
        <w:t>’</w:t>
      </w:r>
      <w:r w:rsidRPr="00026EC1">
        <w:rPr>
          <w:rFonts w:cs="Arial"/>
        </w:rPr>
        <w:t>article 7</w:t>
      </w:r>
      <w:r w:rsidR="00984A6F">
        <w:rPr>
          <w:rFonts w:cs="Arial"/>
        </w:rPr>
        <w:noBreakHyphen/>
      </w:r>
      <w:r w:rsidRPr="00026EC1">
        <w:rPr>
          <w:rFonts w:cs="Arial"/>
        </w:rPr>
        <w:t>6.00 pour l</w:t>
      </w:r>
      <w:r w:rsidR="004A41E4" w:rsidRPr="00026EC1">
        <w:rPr>
          <w:rFonts w:cs="Arial"/>
        </w:rPr>
        <w:t>’</w:t>
      </w:r>
      <w:r w:rsidRPr="00026EC1">
        <w:rPr>
          <w:rFonts w:cs="Arial"/>
        </w:rPr>
        <w:t>obtention d</w:t>
      </w:r>
      <w:r w:rsidR="004A41E4" w:rsidRPr="00026EC1">
        <w:rPr>
          <w:rFonts w:cs="Arial"/>
        </w:rPr>
        <w:t>’</w:t>
      </w:r>
      <w:r w:rsidRPr="00026EC1">
        <w:rPr>
          <w:rFonts w:cs="Arial"/>
        </w:rPr>
        <w:t>un diplôme donnant accès aux échelles « avec maîtrise » et à l</w:t>
      </w:r>
      <w:r w:rsidR="004A41E4" w:rsidRPr="00026EC1">
        <w:rPr>
          <w:rFonts w:cs="Arial"/>
        </w:rPr>
        <w:t>’</w:t>
      </w:r>
      <w:r w:rsidRPr="00026EC1">
        <w:rPr>
          <w:rFonts w:cs="Arial"/>
        </w:rPr>
        <w:t>échelon 18 de l</w:t>
      </w:r>
      <w:r w:rsidR="004A41E4" w:rsidRPr="00026EC1">
        <w:rPr>
          <w:rFonts w:cs="Arial"/>
        </w:rPr>
        <w:t>’</w:t>
      </w:r>
      <w:r w:rsidRPr="00026EC1">
        <w:rPr>
          <w:rFonts w:cs="Arial"/>
        </w:rPr>
        <w:t>échelle unique de l</w:t>
      </w:r>
      <w:r w:rsidR="004A41E4" w:rsidRPr="00026EC1">
        <w:rPr>
          <w:rFonts w:cs="Arial"/>
        </w:rPr>
        <w:t>’</w:t>
      </w:r>
      <w:r w:rsidR="00B53403" w:rsidRPr="00026EC1">
        <w:rPr>
          <w:rFonts w:cs="Arial"/>
        </w:rPr>
        <w:t>A</w:t>
      </w:r>
      <w:r w:rsidRPr="00026EC1">
        <w:rPr>
          <w:rFonts w:cs="Arial"/>
        </w:rPr>
        <w:t>nnexe VI</w:t>
      </w:r>
      <w:r w:rsidR="00984A6F">
        <w:rPr>
          <w:rFonts w:cs="Arial"/>
        </w:rPr>
        <w:noBreakHyphen/>
      </w:r>
      <w:r w:rsidRPr="00026EC1">
        <w:rPr>
          <w:rFonts w:cs="Arial"/>
        </w:rPr>
        <w:t>1.</w:t>
      </w:r>
    </w:p>
    <w:p w14:paraId="19452208" w14:textId="51836C76" w:rsidR="00DF6239" w:rsidRPr="00026EC1" w:rsidRDefault="00DF6239" w:rsidP="00A64613">
      <w:pPr>
        <w:pStyle w:val="Texte1cm"/>
        <w:keepNext w:val="0"/>
      </w:pPr>
    </w:p>
    <w:p w14:paraId="0C3753DE" w14:textId="77777777" w:rsidR="00DF6239" w:rsidRPr="00026EC1" w:rsidRDefault="00275751" w:rsidP="00A64613">
      <w:pPr>
        <w:keepNext w:val="0"/>
        <w:tabs>
          <w:tab w:val="left" w:pos="567"/>
        </w:tabs>
        <w:ind w:left="567" w:hanging="567"/>
      </w:pPr>
      <w:r w:rsidRPr="00026EC1">
        <w:t>D)</w:t>
      </w:r>
      <w:r w:rsidRPr="00026EC1">
        <w:tab/>
      </w:r>
      <w:r w:rsidR="00DF6239" w:rsidRPr="00026EC1">
        <w:t>L</w:t>
      </w:r>
      <w:r w:rsidR="004A41E4" w:rsidRPr="00026EC1">
        <w:t>’</w:t>
      </w:r>
      <w:r w:rsidR="00DF6239" w:rsidRPr="00026EC1">
        <w:t>enseignante ou l</w:t>
      </w:r>
      <w:r w:rsidR="004A41E4" w:rsidRPr="00026EC1">
        <w:t>’</w:t>
      </w:r>
      <w:r w:rsidR="00DF6239" w:rsidRPr="00026EC1">
        <w:t>enseignant qui désire bénéficier d</w:t>
      </w:r>
      <w:r w:rsidR="004A41E4" w:rsidRPr="00026EC1">
        <w:t>’</w:t>
      </w:r>
      <w:r w:rsidR="00DF6239" w:rsidRPr="00026EC1">
        <w:t>un recyclage en vertu de la présente clause soumet par écrit à son Collège un projet à cet effet. Ce projet comprend les objectifs poursuivis tant pour l</w:t>
      </w:r>
      <w:r w:rsidR="004A41E4" w:rsidRPr="00026EC1">
        <w:t>’</w:t>
      </w:r>
      <w:r w:rsidR="00DF6239" w:rsidRPr="00026EC1">
        <w:t>ensemble du projet que pour chacune des années, en plus d</w:t>
      </w:r>
      <w:r w:rsidR="004A41E4" w:rsidRPr="00026EC1">
        <w:t>’</w:t>
      </w:r>
      <w:r w:rsidR="00DF6239" w:rsidRPr="00026EC1">
        <w:t>indiquer clairement la durée du projet.</w:t>
      </w:r>
    </w:p>
    <w:p w14:paraId="41991FA6" w14:textId="77777777" w:rsidR="00DF6239" w:rsidRPr="00026EC1" w:rsidRDefault="00DF6239" w:rsidP="00A64613">
      <w:pPr>
        <w:pStyle w:val="Texte1cm"/>
        <w:keepNext w:val="0"/>
      </w:pPr>
    </w:p>
    <w:p w14:paraId="2A5FFF65" w14:textId="36594DA0" w:rsidR="00DF6239" w:rsidRPr="00026EC1" w:rsidRDefault="00DF6239" w:rsidP="00A64613">
      <w:pPr>
        <w:pStyle w:val="Texte1cm"/>
        <w:keepNext w:val="0"/>
      </w:pPr>
      <w:r w:rsidRPr="00026EC1">
        <w:t>Le Collège analyse les projets qui lui sont présentés et soumet, au comité de sélection prévu à la convention collective de la discipline où un poste sera réservé</w:t>
      </w:r>
      <w:r w:rsidR="005F6A9F">
        <w:t xml:space="preserve"> </w:t>
      </w:r>
      <w:r w:rsidR="005F6A9F" w:rsidRPr="00316277">
        <w:t>ou différé et réservé</w:t>
      </w:r>
      <w:r w:rsidRPr="00026EC1">
        <w:t>, le projet de recyclage de chaque enseignante ou enseignant pour qui il prévoit réserver un poste</w:t>
      </w:r>
      <w:r w:rsidR="005F6A9F">
        <w:t xml:space="preserve"> </w:t>
      </w:r>
      <w:r w:rsidR="005F6A9F" w:rsidRPr="00316277">
        <w:t>ou réserver un poste différé</w:t>
      </w:r>
      <w:r w:rsidRPr="00026EC1">
        <w:t xml:space="preserve">. Par la suite, au plus tard le 15 mai, le Collège transmet au </w:t>
      </w:r>
      <w:r w:rsidR="00E3245C">
        <w:t>c</w:t>
      </w:r>
      <w:r w:rsidRPr="00026EC1">
        <w:t>omité paritaire de placement les projets dont il recommande l</w:t>
      </w:r>
      <w:r w:rsidR="004A41E4" w:rsidRPr="00026EC1">
        <w:t>’</w:t>
      </w:r>
      <w:r w:rsidRPr="00026EC1">
        <w:t xml:space="preserve">acceptation, accompagnés des pièces justificatives exigées par le </w:t>
      </w:r>
      <w:r w:rsidR="00E3245C">
        <w:t>c</w:t>
      </w:r>
      <w:r w:rsidRPr="00026EC1">
        <w:t>omité paritaire de placement, s</w:t>
      </w:r>
      <w:r w:rsidR="004A41E4" w:rsidRPr="00026EC1">
        <w:t>’</w:t>
      </w:r>
      <w:r w:rsidRPr="00026EC1">
        <w:t>il y a lieu. Le Collège peut recommander un projet même à l</w:t>
      </w:r>
      <w:r w:rsidR="004A41E4" w:rsidRPr="00026EC1">
        <w:t>’</w:t>
      </w:r>
      <w:r w:rsidRPr="00026EC1">
        <w:t>encontre ou en l</w:t>
      </w:r>
      <w:r w:rsidR="004A41E4" w:rsidRPr="00026EC1">
        <w:t>’</w:t>
      </w:r>
      <w:r w:rsidRPr="00026EC1">
        <w:t>absence d</w:t>
      </w:r>
      <w:r w:rsidR="004A41E4" w:rsidRPr="00026EC1">
        <w:t>’</w:t>
      </w:r>
      <w:r w:rsidRPr="00026EC1">
        <w:t>une recommandation du comité de sélection. Le comité paritaire de placement doit donner une réponse au Collège au plus tard le 15 juin.</w:t>
      </w:r>
    </w:p>
    <w:p w14:paraId="3FD5823C" w14:textId="77777777" w:rsidR="00DF6239" w:rsidRPr="00026EC1" w:rsidRDefault="00DF6239" w:rsidP="00A64613">
      <w:pPr>
        <w:pStyle w:val="Texte1cm"/>
        <w:keepNext w:val="0"/>
      </w:pPr>
    </w:p>
    <w:p w14:paraId="6C427B67" w14:textId="3192BA9B" w:rsidR="00DF6239" w:rsidRDefault="00275751" w:rsidP="00207FD3">
      <w:pPr>
        <w:pStyle w:val="Texte1cm"/>
        <w:keepNext w:val="0"/>
        <w:ind w:hanging="567"/>
      </w:pPr>
      <w:r w:rsidRPr="00026EC1">
        <w:t>E)</w:t>
      </w:r>
      <w:r w:rsidRPr="00026EC1">
        <w:tab/>
      </w:r>
      <w:r w:rsidR="00DF6239" w:rsidRPr="00026EC1">
        <w:t>L</w:t>
      </w:r>
      <w:r w:rsidR="004A41E4" w:rsidRPr="00026EC1">
        <w:t>’</w:t>
      </w:r>
      <w:r w:rsidR="00DF6239" w:rsidRPr="00026EC1">
        <w:t>octroi du recyclage est conditionnel à ce qu</w:t>
      </w:r>
      <w:r w:rsidR="004A41E4" w:rsidRPr="00026EC1">
        <w:t>’</w:t>
      </w:r>
      <w:r w:rsidR="00DF6239" w:rsidRPr="00026EC1">
        <w:t>un poste soit réservé</w:t>
      </w:r>
      <w:r w:rsidR="006C4591">
        <w:t xml:space="preserve"> </w:t>
      </w:r>
      <w:r w:rsidR="006C4591" w:rsidRPr="00316277">
        <w:t>ou qu’un poste différé et réservé soit ouvert au Bureau de placement,</w:t>
      </w:r>
      <w:r w:rsidR="00DF6239" w:rsidRPr="00026EC1">
        <w:t xml:space="preserve"> pour l</w:t>
      </w:r>
      <w:r w:rsidR="004A41E4" w:rsidRPr="00026EC1">
        <w:t>’</w:t>
      </w:r>
      <w:r w:rsidR="00DF6239" w:rsidRPr="00026EC1">
        <w:t>enseignante ou l</w:t>
      </w:r>
      <w:r w:rsidR="004A41E4" w:rsidRPr="00026EC1">
        <w:t>’</w:t>
      </w:r>
      <w:r w:rsidR="00DF6239" w:rsidRPr="00026EC1">
        <w:t>enseignant visé</w:t>
      </w:r>
      <w:r w:rsidR="006C4591" w:rsidRPr="00316277">
        <w:t>, dans les délais prescrits à l</w:t>
      </w:r>
      <w:r w:rsidR="00911292" w:rsidRPr="00316277">
        <w:t>’alinéa c) de l</w:t>
      </w:r>
      <w:r w:rsidR="006C4591" w:rsidRPr="00316277">
        <w:t>a clause</w:t>
      </w:r>
      <w:r w:rsidR="00911292" w:rsidRPr="00316277">
        <w:t> </w:t>
      </w:r>
      <w:r w:rsidR="006C4591" w:rsidRPr="00316277">
        <w:t>5</w:t>
      </w:r>
      <w:r w:rsidR="006C4591" w:rsidRPr="00316277">
        <w:noBreakHyphen/>
        <w:t>4.09</w:t>
      </w:r>
      <w:r w:rsidR="00DF6239" w:rsidRPr="00026EC1">
        <w:t xml:space="preserve">. </w:t>
      </w:r>
    </w:p>
    <w:p w14:paraId="688F0348" w14:textId="11980175" w:rsidR="006C4591" w:rsidRPr="00316277" w:rsidRDefault="006C4591" w:rsidP="006C4591">
      <w:pPr>
        <w:pStyle w:val="N-FNEEQ-Dcal"/>
        <w:ind w:left="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Le poste différé est réservé pour une période maximale de deux</w:t>
      </w:r>
      <w:r w:rsidR="0093302F"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(2) années à compter du début du recyclage. À l’échéance de ce délai ou lorsque le poste devient disponible, selon la première éventualité, le poste devient un poste réservé et les dispositions prévues à la présente clause pour le poste réservé s’appliquent.</w:t>
      </w:r>
    </w:p>
    <w:p w14:paraId="517DD2F9" w14:textId="74C3E375" w:rsidR="006C4591" w:rsidRPr="00316277" w:rsidRDefault="006C4591" w:rsidP="006C4591">
      <w:pPr>
        <w:pStyle w:val="N-FNEEQ-Dcal"/>
        <w:ind w:left="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Toutefois, dans le cas de l’enseignante ou de l’enseignant visé par l’alinéa</w:t>
      </w:r>
      <w:r w:rsidR="0093302F"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L) de la clause</w:t>
      </w:r>
      <w:r w:rsidR="0093302F"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5-4.07, le poste réservé peut être différé au plus tard à la fin du recyclage si une démission liée à une prise de retraite, avec date effective au plus tard à la fin du recyclage, est signifiée au Collège au moment de sa demande de recyclage.</w:t>
      </w:r>
    </w:p>
    <w:p w14:paraId="4D851A20" w14:textId="7C004FB8" w:rsidR="00DF6239" w:rsidRPr="00026EC1" w:rsidRDefault="00DF6239" w:rsidP="006C4591">
      <w:pPr>
        <w:pStyle w:val="Texte1cm"/>
        <w:keepNext w:val="0"/>
        <w:tabs>
          <w:tab w:val="left" w:pos="1038"/>
        </w:tabs>
      </w:pPr>
      <w:r w:rsidRPr="00026EC1">
        <w:t>À compter du 15 juin, s</w:t>
      </w:r>
      <w:r w:rsidR="004A41E4" w:rsidRPr="00026EC1">
        <w:t>’</w:t>
      </w:r>
      <w:r w:rsidRPr="00026EC1">
        <w:t>il n</w:t>
      </w:r>
      <w:r w:rsidR="004A41E4" w:rsidRPr="00026EC1">
        <w:t>’</w:t>
      </w:r>
      <w:r w:rsidRPr="00026EC1">
        <w:t>y a pas d</w:t>
      </w:r>
      <w:r w:rsidR="004A41E4" w:rsidRPr="00026EC1">
        <w:t>’</w:t>
      </w:r>
      <w:r w:rsidRPr="00026EC1">
        <w:t>enseignante ou d</w:t>
      </w:r>
      <w:r w:rsidR="004A41E4" w:rsidRPr="00026EC1">
        <w:t>’</w:t>
      </w:r>
      <w:r w:rsidRPr="00026EC1">
        <w:t>enseignant visé par le sous</w:t>
      </w:r>
      <w:r w:rsidR="00984A6F">
        <w:noBreakHyphen/>
      </w:r>
      <w:r w:rsidRPr="00026EC1">
        <w:t>alinéa 1 de l</w:t>
      </w:r>
      <w:r w:rsidR="004A41E4" w:rsidRPr="00026EC1">
        <w:t>’</w:t>
      </w:r>
      <w:r w:rsidRPr="00026EC1">
        <w:t>alinéa a) de la clause 5</w:t>
      </w:r>
      <w:r w:rsidR="00984A6F">
        <w:noBreakHyphen/>
      </w:r>
      <w:r w:rsidRPr="00026EC1">
        <w:t xml:space="preserve">4.17, le Collège peut réserver un poste </w:t>
      </w:r>
      <w:r w:rsidR="006C4591" w:rsidRPr="00316277">
        <w:t>o</w:t>
      </w:r>
      <w:r w:rsidR="002D266D" w:rsidRPr="00316277">
        <w:t xml:space="preserve">u </w:t>
      </w:r>
      <w:r w:rsidR="006C4591" w:rsidRPr="00316277">
        <w:t>un poste différé</w:t>
      </w:r>
      <w:r w:rsidR="006C4591" w:rsidRPr="00026EC1">
        <w:t xml:space="preserve"> </w:t>
      </w:r>
      <w:r w:rsidRPr="00026EC1">
        <w:t xml:space="preserve">pour une enseignante ou un enseignant permanent après avoir reçu du </w:t>
      </w:r>
      <w:r w:rsidR="00E3245C">
        <w:t>c</w:t>
      </w:r>
      <w:r w:rsidRPr="00026EC1">
        <w:t>omité paritaire de placement la réponse confirmant que le recyclage est accordé à l</w:t>
      </w:r>
      <w:r w:rsidR="004A41E4" w:rsidRPr="00026EC1">
        <w:t>’</w:t>
      </w:r>
      <w:r w:rsidRPr="00026EC1">
        <w:t>enseignante ou l</w:t>
      </w:r>
      <w:r w:rsidR="004A41E4" w:rsidRPr="00026EC1">
        <w:t>’</w:t>
      </w:r>
      <w:r w:rsidRPr="00026EC1">
        <w:t>enseignant visé.</w:t>
      </w:r>
    </w:p>
    <w:p w14:paraId="06481346" w14:textId="77777777" w:rsidR="00DF6239" w:rsidRPr="00026EC1" w:rsidRDefault="00DF6239" w:rsidP="00A64613">
      <w:pPr>
        <w:pStyle w:val="Texte1cm"/>
        <w:keepNext w:val="0"/>
      </w:pPr>
    </w:p>
    <w:p w14:paraId="16180926" w14:textId="5CEDA25A" w:rsidR="00DF6239" w:rsidRPr="00026EC1" w:rsidRDefault="00DF6239" w:rsidP="00A64613">
      <w:pPr>
        <w:pStyle w:val="Texte1cm"/>
        <w:keepNext w:val="0"/>
      </w:pPr>
      <w:r w:rsidRPr="00026EC1">
        <w:t>Lorsque le Collège réserve un poste</w:t>
      </w:r>
      <w:r w:rsidR="006C4591" w:rsidRPr="00316277">
        <w:t xml:space="preserve"> ou un poste différé</w:t>
      </w:r>
      <w:r w:rsidRPr="00026EC1">
        <w:t>, après avoir satisfait aux conditions du présent alinéa, ce poste n</w:t>
      </w:r>
      <w:r w:rsidR="004A41E4" w:rsidRPr="00026EC1">
        <w:t>’</w:t>
      </w:r>
      <w:r w:rsidRPr="00026EC1">
        <w:t>est pas disponible pendant la durée du recyclage et est soustrait des mécanismes de replacement prévus au présent article. Le poste ainsi réservé est considéré comme une charge annuelle de remplacement ou, dans le cas d</w:t>
      </w:r>
      <w:r w:rsidR="004A41E4" w:rsidRPr="00026EC1">
        <w:t>’</w:t>
      </w:r>
      <w:r w:rsidRPr="00026EC1">
        <w:t>un recyclage d</w:t>
      </w:r>
      <w:r w:rsidR="004A41E4" w:rsidRPr="00026EC1">
        <w:t>’</w:t>
      </w:r>
      <w:r w:rsidRPr="00026EC1">
        <w:t>une (1) session, comme une pleine charge session, sauf dans le cas du poste différé.</w:t>
      </w:r>
    </w:p>
    <w:p w14:paraId="3323AA6E" w14:textId="77777777" w:rsidR="00DF6239" w:rsidRPr="00026EC1" w:rsidRDefault="00DF6239" w:rsidP="00A64613">
      <w:pPr>
        <w:pStyle w:val="Texte1cm"/>
        <w:keepNext w:val="0"/>
        <w:rPr>
          <w:bCs/>
        </w:rPr>
      </w:pPr>
    </w:p>
    <w:p w14:paraId="7A4E1D91" w14:textId="77777777" w:rsidR="00DF6239" w:rsidRPr="00026EC1" w:rsidRDefault="00DF6239" w:rsidP="00A64613">
      <w:pPr>
        <w:pStyle w:val="Texte1cm"/>
        <w:keepNext w:val="0"/>
      </w:pPr>
      <w:r w:rsidRPr="00026EC1">
        <w:t>La poursuite d</w:t>
      </w:r>
      <w:r w:rsidR="004A41E4" w:rsidRPr="00026EC1">
        <w:t>’</w:t>
      </w:r>
      <w:r w:rsidRPr="00026EC1">
        <w:t>un recyclage est conditionnelle à la réussite du recyclage de l</w:t>
      </w:r>
      <w:r w:rsidR="004A41E4" w:rsidRPr="00026EC1">
        <w:t>’</w:t>
      </w:r>
      <w:r w:rsidRPr="00026EC1">
        <w:t>année précédente.</w:t>
      </w:r>
    </w:p>
    <w:p w14:paraId="21D13B30" w14:textId="77777777" w:rsidR="00DF6239" w:rsidRPr="00026EC1" w:rsidRDefault="00DF6239" w:rsidP="00A64613">
      <w:pPr>
        <w:pStyle w:val="Texte1cm"/>
        <w:keepNext w:val="0"/>
      </w:pPr>
    </w:p>
    <w:p w14:paraId="72D86F7C" w14:textId="77777777" w:rsidR="00DF6239" w:rsidRPr="00026EC1" w:rsidRDefault="00DF6239" w:rsidP="00A64613">
      <w:pPr>
        <w:pStyle w:val="Texte1cm"/>
        <w:keepNext w:val="0"/>
      </w:pPr>
      <w:r w:rsidRPr="00026EC1">
        <w:t>Le Collège contrôle le succès du recyclage sur la base des objectifs semestriels ou annuels, selon le cas, identifiés au projet.</w:t>
      </w:r>
    </w:p>
    <w:p w14:paraId="7439DA16" w14:textId="39E4D26C" w:rsidR="00DF6239" w:rsidRPr="00026EC1" w:rsidRDefault="00DF6239" w:rsidP="00A64613">
      <w:pPr>
        <w:pStyle w:val="Texte1cm"/>
        <w:keepNext w:val="0"/>
        <w:ind w:left="0"/>
      </w:pPr>
    </w:p>
    <w:p w14:paraId="6A706983" w14:textId="77777777" w:rsidR="00DF6239" w:rsidRPr="00026EC1" w:rsidRDefault="00275751" w:rsidP="00A64613">
      <w:pPr>
        <w:pStyle w:val="Texte1cm"/>
        <w:keepNext w:val="0"/>
        <w:tabs>
          <w:tab w:val="left" w:pos="567"/>
        </w:tabs>
        <w:ind w:hanging="567"/>
      </w:pPr>
      <w:r w:rsidRPr="00026EC1">
        <w:t>F)</w:t>
      </w:r>
      <w:r w:rsidRPr="00026EC1">
        <w:tab/>
      </w:r>
      <w:r w:rsidR="00DF6239" w:rsidRPr="00026EC1">
        <w:t>La durée du recyclage peut être d</w:t>
      </w:r>
      <w:r w:rsidR="004A41E4" w:rsidRPr="00026EC1">
        <w:t>’</w:t>
      </w:r>
      <w:r w:rsidR="00DF6239" w:rsidRPr="00026EC1">
        <w:t>une (1) à huit (8) sessions.</w:t>
      </w:r>
    </w:p>
    <w:p w14:paraId="758CB99A" w14:textId="77777777" w:rsidR="00DF6239" w:rsidRPr="00026EC1" w:rsidRDefault="00DF6239" w:rsidP="00A64613">
      <w:pPr>
        <w:pStyle w:val="Texte1cm"/>
        <w:keepNext w:val="0"/>
        <w:ind w:left="0"/>
      </w:pPr>
    </w:p>
    <w:p w14:paraId="32B9422E" w14:textId="77777777" w:rsidR="00DF6239" w:rsidRPr="00026EC1" w:rsidRDefault="00DF6239" w:rsidP="00A64613">
      <w:pPr>
        <w:pStyle w:val="Texte1cm"/>
        <w:keepNext w:val="0"/>
      </w:pPr>
      <w:r w:rsidRPr="00026EC1">
        <w:t>Dans le cas d</w:t>
      </w:r>
      <w:r w:rsidR="004A41E4" w:rsidRPr="00026EC1">
        <w:t>’</w:t>
      </w:r>
      <w:r w:rsidRPr="00026EC1">
        <w:t xml:space="preserve">une absence en raison </w:t>
      </w:r>
      <w:r w:rsidR="00B53403" w:rsidRPr="00026EC1">
        <w:t>d</w:t>
      </w:r>
      <w:r w:rsidR="004A41E4" w:rsidRPr="00026EC1">
        <w:t>’</w:t>
      </w:r>
      <w:r w:rsidR="00B53403" w:rsidRPr="00026EC1">
        <w:t xml:space="preserve">une </w:t>
      </w:r>
      <w:r w:rsidRPr="00026EC1">
        <w:t>invalidité, de l</w:t>
      </w:r>
      <w:r w:rsidR="004A41E4" w:rsidRPr="00026EC1">
        <w:t>’</w:t>
      </w:r>
      <w:r w:rsidRPr="00026EC1">
        <w:t>un ou l</w:t>
      </w:r>
      <w:r w:rsidR="004A41E4" w:rsidRPr="00026EC1">
        <w:t>’</w:t>
      </w:r>
      <w:r w:rsidRPr="00026EC1">
        <w:t>autre des congés découlant des droits parentaux ou d</w:t>
      </w:r>
      <w:r w:rsidR="004A41E4" w:rsidRPr="00026EC1">
        <w:t>’</w:t>
      </w:r>
      <w:r w:rsidRPr="00026EC1">
        <w:t>un congé pour raisons familiales, l</w:t>
      </w:r>
      <w:r w:rsidR="004A41E4" w:rsidRPr="00026EC1">
        <w:t>’</w:t>
      </w:r>
      <w:r w:rsidRPr="00026EC1">
        <w:t>enseignante ou l</w:t>
      </w:r>
      <w:r w:rsidR="004A41E4" w:rsidRPr="00026EC1">
        <w:t>’</w:t>
      </w:r>
      <w:r w:rsidRPr="00026EC1">
        <w:t>enseignant peut suspendre temporairement son recyclage pour la durée de l</w:t>
      </w:r>
      <w:r w:rsidR="004A41E4" w:rsidRPr="00026EC1">
        <w:t>’</w:t>
      </w:r>
      <w:r w:rsidRPr="00026EC1">
        <w:t>absence sans dépasser toutefois une période maximale de deux (2) ans. Lorsque la durée de la suspension est effective pour une (1) session complète, le recyclage n</w:t>
      </w:r>
      <w:r w:rsidR="004A41E4" w:rsidRPr="00026EC1">
        <w:t>’</w:t>
      </w:r>
      <w:r w:rsidRPr="00026EC1">
        <w:t>est pas comptabilisé aux fins de l</w:t>
      </w:r>
      <w:r w:rsidR="004A41E4" w:rsidRPr="00026EC1">
        <w:t>’</w:t>
      </w:r>
      <w:r w:rsidRPr="00026EC1">
        <w:t>alinéa C).</w:t>
      </w:r>
    </w:p>
    <w:p w14:paraId="082CB4A8" w14:textId="77777777" w:rsidR="00DF6239" w:rsidRPr="00026EC1" w:rsidRDefault="00DF6239" w:rsidP="00A64613">
      <w:pPr>
        <w:pStyle w:val="Texte1cm"/>
        <w:keepNext w:val="0"/>
      </w:pPr>
    </w:p>
    <w:p w14:paraId="361B519F" w14:textId="77777777" w:rsidR="00DF6239" w:rsidRPr="00026EC1" w:rsidRDefault="00275751" w:rsidP="00A64613">
      <w:pPr>
        <w:keepNext w:val="0"/>
        <w:tabs>
          <w:tab w:val="left" w:pos="567"/>
        </w:tabs>
        <w:ind w:left="567" w:hanging="567"/>
      </w:pPr>
      <w:r w:rsidRPr="00026EC1">
        <w:t>G)</w:t>
      </w:r>
      <w:r w:rsidRPr="00026EC1">
        <w:tab/>
      </w:r>
      <w:r w:rsidR="00DF6239" w:rsidRPr="00026EC1">
        <w:t>Lorsque le recyclage est réussi, la nouvelle discipline ou la nouvelle spécialité dans la même discipline s</w:t>
      </w:r>
      <w:r w:rsidR="004A41E4" w:rsidRPr="00026EC1">
        <w:t>’</w:t>
      </w:r>
      <w:r w:rsidR="00DF6239" w:rsidRPr="00026EC1">
        <w:t>ajoute à la (aux) discipline(s) déjà inscrite(s) au contrat de l</w:t>
      </w:r>
      <w:r w:rsidR="004A41E4" w:rsidRPr="00026EC1">
        <w:t>’</w:t>
      </w:r>
      <w:r w:rsidR="00DF6239" w:rsidRPr="00026EC1">
        <w:t>enseignante ou de l</w:t>
      </w:r>
      <w:r w:rsidR="004A41E4" w:rsidRPr="00026EC1">
        <w:t>’</w:t>
      </w:r>
      <w:r w:rsidR="00DF6239" w:rsidRPr="00026EC1">
        <w:t>enseignant aux fins d</w:t>
      </w:r>
      <w:r w:rsidR="004A41E4" w:rsidRPr="00026EC1">
        <w:t>’</w:t>
      </w:r>
      <w:r w:rsidR="00DF6239" w:rsidRPr="00026EC1">
        <w:t>application de la convention collective et le poste réservé lui est alors octroyé si le poste existe toujours.</w:t>
      </w:r>
    </w:p>
    <w:p w14:paraId="51170A44" w14:textId="77777777" w:rsidR="00DF6239" w:rsidRPr="00026EC1" w:rsidRDefault="00DF6239" w:rsidP="00A64613">
      <w:pPr>
        <w:pStyle w:val="Texte1cm00000"/>
        <w:keepNext w:val="0"/>
      </w:pPr>
    </w:p>
    <w:p w14:paraId="028BF5A1" w14:textId="41AAD4E7" w:rsidR="00DF6239" w:rsidRDefault="002D266D" w:rsidP="00207FD3">
      <w:pPr>
        <w:pStyle w:val="Texte1cm00000"/>
        <w:keepNext w:val="0"/>
        <w:numPr>
          <w:ilvl w:val="0"/>
          <w:numId w:val="82"/>
        </w:numPr>
        <w:tabs>
          <w:tab w:val="left" w:pos="1134"/>
        </w:tabs>
        <w:ind w:left="1134" w:hanging="567"/>
      </w:pPr>
      <w:r w:rsidRPr="00316277">
        <w:t>Dans le cas d’un poste réservé,</w:t>
      </w:r>
      <w:r>
        <w:t xml:space="preserve"> </w:t>
      </w:r>
      <w:r w:rsidR="00DF6239" w:rsidRPr="00026EC1">
        <w:t>l</w:t>
      </w:r>
      <w:r w:rsidR="004A41E4" w:rsidRPr="00026EC1">
        <w:t>’</w:t>
      </w:r>
      <w:r w:rsidR="00DF6239" w:rsidRPr="00026EC1">
        <w:t>enseignante ou l</w:t>
      </w:r>
      <w:r w:rsidR="004A41E4" w:rsidRPr="00026EC1">
        <w:t>’</w:t>
      </w:r>
      <w:r w:rsidR="00DF6239" w:rsidRPr="00026EC1">
        <w:t xml:space="preserve">enseignant doit </w:t>
      </w:r>
      <w:r w:rsidRPr="00316277">
        <w:t>l’</w:t>
      </w:r>
      <w:r w:rsidR="00DF6239" w:rsidRPr="00026EC1">
        <w:t xml:space="preserve">occuper </w:t>
      </w:r>
      <w:r w:rsidRPr="00316277">
        <w:t>à son retour</w:t>
      </w:r>
      <w:r w:rsidR="000756F3" w:rsidRPr="00C652E4">
        <w:t>,</w:t>
      </w:r>
      <w:r>
        <w:t xml:space="preserve"> </w:t>
      </w:r>
      <w:r w:rsidR="00DF6239" w:rsidRPr="00026EC1">
        <w:t>pendant une durée équivalente à la durée du recyclage.</w:t>
      </w:r>
    </w:p>
    <w:p w14:paraId="51B681D3" w14:textId="77777777" w:rsidR="00207FD3" w:rsidRPr="002D266D" w:rsidRDefault="00207FD3" w:rsidP="00A64613">
      <w:pPr>
        <w:pStyle w:val="Texte1cm00000"/>
        <w:keepNext w:val="0"/>
        <w:rPr>
          <w:snapToGrid w:val="0"/>
        </w:rPr>
      </w:pPr>
    </w:p>
    <w:p w14:paraId="6B9F4ED3" w14:textId="23DB5197" w:rsidR="00911292" w:rsidRPr="00316277" w:rsidRDefault="00911292" w:rsidP="00207FD3">
      <w:pPr>
        <w:pStyle w:val="ListParagraph"/>
        <w:numPr>
          <w:ilvl w:val="0"/>
          <w:numId w:val="82"/>
        </w:numPr>
        <w:ind w:left="1134" w:hanging="567"/>
        <w:rPr>
          <w:snapToGrid w:val="0"/>
        </w:rPr>
      </w:pPr>
      <w:r w:rsidRPr="00316277">
        <w:rPr>
          <w:snapToGrid w:val="0"/>
        </w:rPr>
        <w:t>Dans le cas d’un poste différé et réservé, le Collège doit l’ouvrir au Bureau de placement l’année d’engagement où il devient disponible, dans les délais prescrits à l’alinéa</w:t>
      </w:r>
      <w:r w:rsidR="00C652E4" w:rsidRPr="00316277">
        <w:rPr>
          <w:snapToGrid w:val="0"/>
        </w:rPr>
        <w:t> </w:t>
      </w:r>
      <w:r w:rsidRPr="00316277">
        <w:rPr>
          <w:snapToGrid w:val="0"/>
        </w:rPr>
        <w:t>c) de la clause 5-4.09 et l’octroyer selon l’ordre prévu à l’alinéa</w:t>
      </w:r>
      <w:r w:rsidR="00C652E4" w:rsidRPr="00316277">
        <w:rPr>
          <w:snapToGrid w:val="0"/>
        </w:rPr>
        <w:t> </w:t>
      </w:r>
      <w:r w:rsidRPr="00316277">
        <w:rPr>
          <w:snapToGrid w:val="0"/>
        </w:rPr>
        <w:t>a) de la clause 5-4.17. Si l’enseignante ou l’enseignant pour qui le poste était différé et réservé obtient le poste, elle ou il doit l’occuper pendant une durée équivalente à la durée du recyclage.</w:t>
      </w:r>
    </w:p>
    <w:p w14:paraId="3818B806" w14:textId="77777777" w:rsidR="00D06297" w:rsidRPr="00316277" w:rsidRDefault="00D06297" w:rsidP="00D06297">
      <w:pPr>
        <w:pStyle w:val="ListParagraph"/>
        <w:rPr>
          <w:snapToGrid w:val="0"/>
        </w:rPr>
      </w:pPr>
    </w:p>
    <w:p w14:paraId="26D6C177" w14:textId="434A31E7" w:rsidR="002D266D" w:rsidRDefault="002D266D" w:rsidP="00D06297">
      <w:pPr>
        <w:pStyle w:val="N-FNEEQ-Dcal"/>
        <w:spacing w:before="0" w:after="0"/>
        <w:ind w:left="567"/>
        <w:rPr>
          <w:rFonts w:ascii="Arial" w:eastAsia="Times New Roman" w:hAnsi="Arial" w:cs="Times New Roman"/>
          <w:color w:val="auto"/>
          <w:sz w:val="24"/>
          <w:lang w:eastAsia="fr-FR"/>
        </w:rPr>
      </w:pPr>
      <w:r w:rsidRPr="00316277">
        <w:rPr>
          <w:rFonts w:ascii="Arial" w:eastAsia="Times New Roman" w:hAnsi="Arial" w:cs="Times New Roman"/>
          <w:color w:val="auto"/>
          <w:sz w:val="24"/>
          <w:lang w:eastAsia="fr-FR"/>
        </w:rPr>
        <w:t>À défaut d’occuper le poste, l’enseignante ou l’enseignant rembourse, à son départ, un montant calculé de la manière suivante :</w:t>
      </w:r>
    </w:p>
    <w:p w14:paraId="4781ABA1" w14:textId="77777777" w:rsidR="00207FD3" w:rsidRPr="00316277" w:rsidRDefault="00207FD3" w:rsidP="00D06297">
      <w:pPr>
        <w:pStyle w:val="N-FNEEQ-Dcal"/>
        <w:spacing w:before="0" w:after="0"/>
        <w:ind w:left="567"/>
        <w:rPr>
          <w:rFonts w:ascii="Arial" w:eastAsia="Times New Roman" w:hAnsi="Arial" w:cs="Times New Roman"/>
          <w:color w:val="auto"/>
          <w:sz w:val="24"/>
          <w:lang w:eastAsia="fr-FR"/>
        </w:rPr>
      </w:pPr>
    </w:p>
    <w:p w14:paraId="4E5AC47B" w14:textId="60A3013C" w:rsidR="00DF6239" w:rsidRPr="00026EC1" w:rsidRDefault="00DF6239" w:rsidP="00A20EE2">
      <w:pPr>
        <w:pStyle w:val="ListParagraph"/>
        <w:numPr>
          <w:ilvl w:val="0"/>
          <w:numId w:val="41"/>
        </w:numPr>
        <w:tabs>
          <w:tab w:val="left" w:pos="1134"/>
        </w:tabs>
        <w:ind w:left="1134" w:hanging="567"/>
      </w:pPr>
      <w:r w:rsidRPr="00026EC1">
        <w:t>vingt pour cent</w:t>
      </w:r>
      <w:r w:rsidR="002770E4">
        <w:t> </w:t>
      </w:r>
      <w:r w:rsidRPr="00026EC1">
        <w:t>(20</w:t>
      </w:r>
      <w:r w:rsidR="00714A15">
        <w:t> %</w:t>
      </w:r>
      <w:r w:rsidRPr="00026EC1">
        <w:t>) du salaire reçu pour chacune des sessions où elle ou il était en recyclage moins vingt pour cent</w:t>
      </w:r>
      <w:r w:rsidR="002770E4">
        <w:t> </w:t>
      </w:r>
      <w:r w:rsidRPr="00026EC1">
        <w:t>(20</w:t>
      </w:r>
      <w:r w:rsidR="00714A15">
        <w:t> %</w:t>
      </w:r>
      <w:r w:rsidRPr="00026EC1">
        <w:t>) du salaire reçu pour la période où elle ou il a occupé le poste réservé jusqu</w:t>
      </w:r>
      <w:r w:rsidR="004A41E4" w:rsidRPr="00026EC1">
        <w:t>’</w:t>
      </w:r>
      <w:r w:rsidRPr="00026EC1">
        <w:t>à la date de son départ.</w:t>
      </w:r>
    </w:p>
    <w:p w14:paraId="0B3075DC" w14:textId="77777777" w:rsidR="00DF6239" w:rsidRPr="00026EC1" w:rsidRDefault="00DF6239" w:rsidP="00A64613">
      <w:pPr>
        <w:pStyle w:val="Texte1cm"/>
        <w:keepNext w:val="0"/>
      </w:pPr>
    </w:p>
    <w:p w14:paraId="5D2634DD" w14:textId="307BB662" w:rsidR="00DF6239" w:rsidRPr="00026EC1" w:rsidRDefault="00DF6239" w:rsidP="00A64613">
      <w:pPr>
        <w:pStyle w:val="Texte1cm"/>
        <w:keepNext w:val="0"/>
      </w:pPr>
      <w:r w:rsidRPr="00026EC1">
        <w:t xml:space="preserve">Si le poste </w:t>
      </w:r>
      <w:r w:rsidR="00C2202F" w:rsidRPr="00316277">
        <w:t>différé et réservé ne se confirme pas ou si le poste réservé</w:t>
      </w:r>
      <w:r w:rsidR="00C2202F" w:rsidRPr="00026EC1">
        <w:t xml:space="preserve"> </w:t>
      </w:r>
      <w:r w:rsidRPr="00026EC1">
        <w:t>n</w:t>
      </w:r>
      <w:r w:rsidR="004A41E4" w:rsidRPr="00026EC1">
        <w:t>’</w:t>
      </w:r>
      <w:r w:rsidRPr="00026EC1">
        <w:t>existe plus, l</w:t>
      </w:r>
      <w:r w:rsidR="004A41E4" w:rsidRPr="00026EC1">
        <w:t>’</w:t>
      </w:r>
      <w:r w:rsidRPr="00026EC1">
        <w:t>enseignante ou l</w:t>
      </w:r>
      <w:r w:rsidR="004A41E4" w:rsidRPr="00026EC1">
        <w:t>’</w:t>
      </w:r>
      <w:r w:rsidRPr="00026EC1">
        <w:t xml:space="preserve">enseignant qui a réussi son recyclage demeure mis en disponibilité </w:t>
      </w:r>
      <w:r w:rsidR="00C2202F" w:rsidRPr="00316277">
        <w:t>dans sa discipline d’origine</w:t>
      </w:r>
      <w:r w:rsidR="00C2202F">
        <w:t xml:space="preserve"> </w:t>
      </w:r>
      <w:r w:rsidRPr="00026EC1">
        <w:t>et la nouvelle discipline s</w:t>
      </w:r>
      <w:r w:rsidR="004A41E4" w:rsidRPr="00026EC1">
        <w:t>’</w:t>
      </w:r>
      <w:r w:rsidRPr="00026EC1">
        <w:t>ajoute à la (aux) discipline(s) déjà inscrite(s) à son contrat.</w:t>
      </w:r>
    </w:p>
    <w:p w14:paraId="1DC6E81D" w14:textId="77777777" w:rsidR="00DF6239" w:rsidRPr="00026EC1" w:rsidRDefault="00DF6239" w:rsidP="00A64613">
      <w:pPr>
        <w:pStyle w:val="Texte1cm"/>
        <w:keepNext w:val="0"/>
      </w:pPr>
    </w:p>
    <w:p w14:paraId="72C3749A" w14:textId="5E4A5120" w:rsidR="00DF6239" w:rsidRPr="00026EC1" w:rsidRDefault="00DF6239" w:rsidP="00A64613">
      <w:pPr>
        <w:pStyle w:val="Texte1cm"/>
        <w:keepNext w:val="0"/>
      </w:pPr>
      <w:r w:rsidRPr="00026EC1">
        <w:t>Lorsque le recyclage n</w:t>
      </w:r>
      <w:r w:rsidR="004A41E4" w:rsidRPr="00026EC1">
        <w:t>’</w:t>
      </w:r>
      <w:r w:rsidRPr="00026EC1">
        <w:t>est pas réussi ou est interrompu pour d</w:t>
      </w:r>
      <w:r w:rsidR="004A41E4" w:rsidRPr="00026EC1">
        <w:t>’</w:t>
      </w:r>
      <w:r w:rsidRPr="00026EC1">
        <w:t>autres raisons que celles prévues à l</w:t>
      </w:r>
      <w:r w:rsidR="004A41E4" w:rsidRPr="00026EC1">
        <w:t>’</w:t>
      </w:r>
      <w:r w:rsidRPr="00026EC1">
        <w:t>alinéa F), l</w:t>
      </w:r>
      <w:r w:rsidR="004A41E4" w:rsidRPr="00026EC1">
        <w:t>’</w:t>
      </w:r>
      <w:r w:rsidRPr="00026EC1">
        <w:t>enseignante ou l</w:t>
      </w:r>
      <w:r w:rsidR="004A41E4" w:rsidRPr="00026EC1">
        <w:t>’</w:t>
      </w:r>
      <w:r w:rsidRPr="00026EC1">
        <w:t>enseignant bénéficiant d</w:t>
      </w:r>
      <w:r w:rsidR="004A41E4" w:rsidRPr="00026EC1">
        <w:t>’</w:t>
      </w:r>
      <w:r w:rsidRPr="00026EC1">
        <w:t>un recyclage demeure mis en disponibilité. Elle ou il est considéré comme n</w:t>
      </w:r>
      <w:r w:rsidR="004A41E4" w:rsidRPr="00026EC1">
        <w:t>’</w:t>
      </w:r>
      <w:r w:rsidRPr="00026EC1">
        <w:t xml:space="preserve">ayant pas suivi de recyclage, le poste réservé </w:t>
      </w:r>
      <w:r w:rsidR="00C2202F" w:rsidRPr="00316277">
        <w:t>ou le poste différé et réservé</w:t>
      </w:r>
      <w:r w:rsidR="00C2202F">
        <w:t xml:space="preserve"> </w:t>
      </w:r>
      <w:r w:rsidRPr="00026EC1">
        <w:t>ne lui est pas octroyé et elle ou il rembourse, à son retour, vingt pour cent</w:t>
      </w:r>
      <w:r w:rsidR="00B26CCD">
        <w:t> </w:t>
      </w:r>
      <w:r w:rsidRPr="00026EC1">
        <w:t>(20</w:t>
      </w:r>
      <w:r w:rsidR="00714A15">
        <w:t> %</w:t>
      </w:r>
      <w:r w:rsidRPr="00026EC1">
        <w:t>) du salaire reçu pour chacune des sessions où elle ou il était en recyclage, à l</w:t>
      </w:r>
      <w:r w:rsidR="004A41E4" w:rsidRPr="00026EC1">
        <w:t>’</w:t>
      </w:r>
      <w:r w:rsidRPr="00026EC1">
        <w:t>exception des deux premières sessions.</w:t>
      </w:r>
    </w:p>
    <w:p w14:paraId="4F5D3081" w14:textId="77777777" w:rsidR="00DF6239" w:rsidRPr="00026EC1" w:rsidRDefault="00DF6239" w:rsidP="00A64613">
      <w:pPr>
        <w:pStyle w:val="Texte1cm"/>
        <w:keepNext w:val="0"/>
      </w:pPr>
    </w:p>
    <w:p w14:paraId="451AA8BE" w14:textId="77777777" w:rsidR="00DF6239" w:rsidRPr="00026EC1" w:rsidRDefault="00DF6239" w:rsidP="00A64613">
      <w:pPr>
        <w:pStyle w:val="Texte1cm"/>
        <w:keepNext w:val="0"/>
      </w:pPr>
      <w:r w:rsidRPr="00026EC1">
        <w:t>Si l</w:t>
      </w:r>
      <w:r w:rsidR="004A41E4" w:rsidRPr="00026EC1">
        <w:t>’</w:t>
      </w:r>
      <w:r w:rsidRPr="00026EC1">
        <w:t>enseignante ou l</w:t>
      </w:r>
      <w:r w:rsidR="004A41E4" w:rsidRPr="00026EC1">
        <w:t>’</w:t>
      </w:r>
      <w:r w:rsidRPr="00026EC1">
        <w:t>enseignant ne peut reprendre son recyclage après la période maximale de deux (2) ans prévue à l</w:t>
      </w:r>
      <w:r w:rsidR="004A41E4" w:rsidRPr="00026EC1">
        <w:t>’</w:t>
      </w:r>
      <w:r w:rsidRPr="00026EC1">
        <w:t>alinéa F), le recyclage prend fin et l</w:t>
      </w:r>
      <w:r w:rsidR="004A41E4" w:rsidRPr="00026EC1">
        <w:t>’</w:t>
      </w:r>
      <w:r w:rsidRPr="00026EC1">
        <w:t>enseignante ou l</w:t>
      </w:r>
      <w:r w:rsidR="004A41E4" w:rsidRPr="00026EC1">
        <w:t>’</w:t>
      </w:r>
      <w:r w:rsidRPr="00026EC1">
        <w:t>enseignant bénéficiant d</w:t>
      </w:r>
      <w:r w:rsidR="004A41E4" w:rsidRPr="00026EC1">
        <w:t>’</w:t>
      </w:r>
      <w:r w:rsidRPr="00026EC1">
        <w:t>un recyclage demeure mis en disponibilité. Elle ou il est considéré comme n</w:t>
      </w:r>
      <w:r w:rsidR="004A41E4" w:rsidRPr="00026EC1">
        <w:t>’</w:t>
      </w:r>
      <w:r w:rsidRPr="00026EC1">
        <w:t>ayant pas suivi de recyclage, le poste réservé ne lui est pas octroyé et elle ou il n</w:t>
      </w:r>
      <w:r w:rsidR="004A41E4" w:rsidRPr="00026EC1">
        <w:t>’</w:t>
      </w:r>
      <w:r w:rsidRPr="00026EC1">
        <w:t>a pas à rembourser le salaire reçu.</w:t>
      </w:r>
    </w:p>
    <w:p w14:paraId="2AC85FBC" w14:textId="77777777" w:rsidR="00250B83" w:rsidRPr="00026EC1" w:rsidRDefault="00250B83" w:rsidP="00A64613">
      <w:pPr>
        <w:pStyle w:val="Texte1cm"/>
        <w:keepNext w:val="0"/>
      </w:pPr>
    </w:p>
    <w:p w14:paraId="640D798D" w14:textId="77777777" w:rsidR="00DF6239" w:rsidRPr="00026EC1" w:rsidRDefault="00DF6239" w:rsidP="00A64613">
      <w:pPr>
        <w:pStyle w:val="Texte1cm"/>
        <w:keepNext w:val="0"/>
      </w:pPr>
      <w:r w:rsidRPr="00026EC1">
        <w:t>Si le poste n</w:t>
      </w:r>
      <w:r w:rsidR="004A41E4" w:rsidRPr="00026EC1">
        <w:t>’</w:t>
      </w:r>
      <w:r w:rsidRPr="00026EC1">
        <w:t>est pas octroyé selon ce qui était prévu, il cesse d</w:t>
      </w:r>
      <w:r w:rsidR="004A41E4" w:rsidRPr="00026EC1">
        <w:t>’</w:t>
      </w:r>
      <w:r w:rsidRPr="00026EC1">
        <w:t>être réservé et l</w:t>
      </w:r>
      <w:r w:rsidR="004A41E4" w:rsidRPr="00026EC1">
        <w:t>’</w:t>
      </w:r>
      <w:r w:rsidRPr="00026EC1">
        <w:t>enseignante ou l</w:t>
      </w:r>
      <w:r w:rsidR="004A41E4" w:rsidRPr="00026EC1">
        <w:t>’</w:t>
      </w:r>
      <w:r w:rsidRPr="00026EC1">
        <w:t>enseignant remplaçant sur ce poste est considéré comme ayant occupé un poste ou une pleine charge session, selon le cas, pendant toute la durée du recyclage</w:t>
      </w:r>
      <w:r w:rsidR="003E1207" w:rsidRPr="00026EC1">
        <w:t>,</w:t>
      </w:r>
      <w:r w:rsidRPr="00026EC1">
        <w:t xml:space="preserve"> mais sans permettre rétroactivement l</w:t>
      </w:r>
      <w:r w:rsidR="004A41E4" w:rsidRPr="00026EC1">
        <w:t>’</w:t>
      </w:r>
      <w:r w:rsidRPr="00026EC1">
        <w:t>acquisition de la permanence.</w:t>
      </w:r>
    </w:p>
    <w:p w14:paraId="73FCF049" w14:textId="77777777" w:rsidR="00DF6239" w:rsidRPr="00026EC1" w:rsidRDefault="00DF6239" w:rsidP="00A64613">
      <w:pPr>
        <w:keepNext w:val="0"/>
      </w:pPr>
    </w:p>
    <w:p w14:paraId="499B0719" w14:textId="77777777" w:rsidR="00DF6239" w:rsidRDefault="00275751" w:rsidP="00A64613">
      <w:pPr>
        <w:keepNext w:val="0"/>
        <w:tabs>
          <w:tab w:val="left" w:pos="567"/>
        </w:tabs>
        <w:ind w:left="567" w:hanging="567"/>
      </w:pPr>
      <w:r w:rsidRPr="00026EC1">
        <w:t>H)</w:t>
      </w:r>
      <w:r w:rsidRPr="00026EC1">
        <w:tab/>
      </w:r>
      <w:r w:rsidR="00DF6239" w:rsidRPr="00026EC1">
        <w:t>Pendant la durée de son recyclage, l</w:t>
      </w:r>
      <w:r w:rsidR="004A41E4" w:rsidRPr="00026EC1">
        <w:t>’</w:t>
      </w:r>
      <w:r w:rsidR="00DF6239" w:rsidRPr="00026EC1">
        <w:t>enseignante ou l</w:t>
      </w:r>
      <w:r w:rsidR="004A41E4" w:rsidRPr="00026EC1">
        <w:t>’</w:t>
      </w:r>
      <w:r w:rsidR="00DF6239" w:rsidRPr="00026EC1">
        <w:t>enseignant reçoit un plein salaire annuel et bénéficie des droits et avantages que procure une année d</w:t>
      </w:r>
      <w:r w:rsidR="004A41E4" w:rsidRPr="00026EC1">
        <w:t>’</w:t>
      </w:r>
      <w:r w:rsidR="00DF6239" w:rsidRPr="00026EC1">
        <w:t>enseignement.</w:t>
      </w:r>
    </w:p>
    <w:p w14:paraId="5B6C172F" w14:textId="77777777" w:rsidR="00F077A0" w:rsidRPr="00026EC1" w:rsidRDefault="00F077A0" w:rsidP="00A64613">
      <w:pPr>
        <w:keepNext w:val="0"/>
        <w:tabs>
          <w:tab w:val="left" w:pos="567"/>
        </w:tabs>
        <w:ind w:left="567" w:hanging="567"/>
      </w:pPr>
    </w:p>
    <w:p w14:paraId="5CC23C64" w14:textId="77777777"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mis en disponibilité qui bénéficie d</w:t>
      </w:r>
      <w:r w:rsidR="004A41E4" w:rsidRPr="00026EC1">
        <w:t>’</w:t>
      </w:r>
      <w:r w:rsidRPr="00026EC1">
        <w:t xml:space="preserve">un recyclage est soustrait des mécanismes de replacement pour la durée du recyclage. </w:t>
      </w:r>
    </w:p>
    <w:p w14:paraId="2293ABC3" w14:textId="77777777" w:rsidR="00DF6239" w:rsidRPr="00026EC1" w:rsidRDefault="00DF6239" w:rsidP="00A64613">
      <w:pPr>
        <w:pStyle w:val="Texte1cm"/>
        <w:keepNext w:val="0"/>
      </w:pPr>
    </w:p>
    <w:p w14:paraId="16310CBE" w14:textId="77777777" w:rsidR="00DF6239" w:rsidRPr="00026EC1" w:rsidRDefault="00DF6239" w:rsidP="00A64613">
      <w:pPr>
        <w:pStyle w:val="Texte1cm"/>
        <w:keepNext w:val="0"/>
      </w:pPr>
      <w:r w:rsidRPr="00026EC1">
        <w:t>Sauf entente entre les parties dans le cadre du perfectionnement, les frais relatifs au recyclage sont à la charge de l</w:t>
      </w:r>
      <w:r w:rsidR="004A41E4" w:rsidRPr="00026EC1">
        <w:t>’</w:t>
      </w:r>
      <w:r w:rsidRPr="00026EC1">
        <w:t>enseignante ou de l</w:t>
      </w:r>
      <w:r w:rsidR="004A41E4" w:rsidRPr="00026EC1">
        <w:t>’</w:t>
      </w:r>
      <w:r w:rsidRPr="00026EC1">
        <w:t>enseignant.</w:t>
      </w:r>
    </w:p>
    <w:p w14:paraId="72C291A3" w14:textId="77777777" w:rsidR="00DF6239" w:rsidRPr="00026EC1" w:rsidRDefault="00DF6239" w:rsidP="00A64613">
      <w:pPr>
        <w:pStyle w:val="Texte1cm"/>
        <w:keepNext w:val="0"/>
      </w:pPr>
    </w:p>
    <w:p w14:paraId="3BC05A39" w14:textId="77777777" w:rsidR="00207FD3" w:rsidRDefault="00275751" w:rsidP="00207FD3">
      <w:pPr>
        <w:pStyle w:val="N-FNEEQ-puce2"/>
        <w:ind w:left="567" w:hanging="567"/>
        <w:rPr>
          <w:rFonts w:ascii="Arial" w:eastAsia="Times New Roman" w:hAnsi="Arial" w:cs="Times New Roman"/>
          <w:snapToGrid w:val="0"/>
          <w:color w:val="auto"/>
          <w:sz w:val="24"/>
          <w:lang w:eastAsia="fr-FR"/>
        </w:rPr>
      </w:pPr>
      <w:r w:rsidRPr="00207FD3">
        <w:rPr>
          <w:rFonts w:ascii="Arial" w:eastAsia="Times New Roman" w:hAnsi="Arial" w:cs="Times New Roman"/>
          <w:snapToGrid w:val="0"/>
          <w:color w:val="auto"/>
          <w:sz w:val="24"/>
          <w:lang w:eastAsia="fr-FR"/>
        </w:rPr>
        <w:t>I)</w:t>
      </w:r>
      <w:r w:rsidRPr="00207FD3">
        <w:rPr>
          <w:rFonts w:ascii="Arial" w:eastAsia="Times New Roman" w:hAnsi="Arial" w:cs="Times New Roman"/>
          <w:snapToGrid w:val="0"/>
          <w:color w:val="auto"/>
          <w:sz w:val="24"/>
          <w:lang w:eastAsia="fr-FR"/>
        </w:rPr>
        <w:tab/>
      </w:r>
      <w:r w:rsidR="00DF6239" w:rsidRPr="00207FD3">
        <w:rPr>
          <w:rFonts w:ascii="Arial" w:eastAsia="Times New Roman" w:hAnsi="Arial" w:cs="Times New Roman"/>
          <w:snapToGrid w:val="0"/>
          <w:color w:val="auto"/>
          <w:sz w:val="24"/>
          <w:lang w:eastAsia="fr-FR"/>
        </w:rPr>
        <w:t xml:space="preserve">Le comité paritaire de placement attribue le recyclage </w:t>
      </w:r>
      <w:r w:rsidR="00C2202F" w:rsidRPr="00207FD3">
        <w:rPr>
          <w:rFonts w:ascii="Arial" w:eastAsia="Times New Roman" w:hAnsi="Arial" w:cs="Times New Roman"/>
          <w:snapToGrid w:val="0"/>
          <w:color w:val="auto"/>
          <w:sz w:val="24"/>
          <w:lang w:eastAsia="fr-FR"/>
        </w:rPr>
        <w:t>selon l’ordre de priorité ci-dessous :</w:t>
      </w:r>
    </w:p>
    <w:p w14:paraId="392024FE" w14:textId="37B1D18A" w:rsidR="00E97B59" w:rsidRPr="00316277" w:rsidRDefault="00E97B59" w:rsidP="00207FD3">
      <w:pPr>
        <w:pStyle w:val="N-FNEEQ-puce2"/>
        <w:ind w:left="1134" w:hanging="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lang w:eastAsia="fr-FR"/>
        </w:rPr>
        <w:t>1.</w:t>
      </w:r>
      <w:r w:rsidRPr="00316277">
        <w:rPr>
          <w:rFonts w:ascii="Arial" w:eastAsia="Times New Roman" w:hAnsi="Arial" w:cs="Times New Roman"/>
          <w:snapToGrid w:val="0"/>
          <w:color w:val="auto"/>
          <w:sz w:val="24"/>
          <w:lang w:eastAsia="fr-FR"/>
        </w:rPr>
        <w:tab/>
        <w:t>à l’enseignante ou l’enseignant visé par l’alinéa</w:t>
      </w:r>
      <w:r w:rsidR="00E05F19"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L) de la clause</w:t>
      </w:r>
      <w:r w:rsidR="00E05F19"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5-4.07 (poste réservé et poste différé et réservé);</w:t>
      </w:r>
    </w:p>
    <w:p w14:paraId="213804B5" w14:textId="77777777" w:rsidR="00E97B59" w:rsidRPr="00316277" w:rsidRDefault="00E97B59" w:rsidP="00207FD3">
      <w:pPr>
        <w:pStyle w:val="N-FNEEQ-puce2"/>
        <w:ind w:left="1134" w:hanging="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2.</w:t>
      </w:r>
      <w:r w:rsidRPr="00316277">
        <w:rPr>
          <w:rFonts w:ascii="Arial" w:eastAsia="Times New Roman" w:hAnsi="Arial" w:cs="Times New Roman"/>
          <w:snapToGrid w:val="0"/>
          <w:color w:val="auto"/>
          <w:sz w:val="24"/>
          <w:lang w:eastAsia="fr-FR"/>
        </w:rPr>
        <w:tab/>
        <w:t>à l’enseignante ou à l’enseignant pour qui un poste est réservé;</w:t>
      </w:r>
    </w:p>
    <w:p w14:paraId="7D1964D3" w14:textId="77777777" w:rsidR="00E97B59" w:rsidRPr="00316277" w:rsidRDefault="00E97B59" w:rsidP="00207FD3">
      <w:pPr>
        <w:pStyle w:val="N-FNEEQ-puce2"/>
        <w:ind w:left="1134" w:hanging="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3.</w:t>
      </w:r>
      <w:r w:rsidRPr="00316277">
        <w:rPr>
          <w:rFonts w:ascii="Arial" w:eastAsia="Times New Roman" w:hAnsi="Arial" w:cs="Times New Roman"/>
          <w:snapToGrid w:val="0"/>
          <w:color w:val="auto"/>
          <w:sz w:val="24"/>
          <w:lang w:eastAsia="fr-FR"/>
        </w:rPr>
        <w:tab/>
        <w:t>à l’enseignante ou à l’enseignant pour qui un poste est différé et réservé.</w:t>
      </w:r>
    </w:p>
    <w:p w14:paraId="6FEF0C6F" w14:textId="77777777" w:rsidR="00E97B59" w:rsidRPr="00026EC1" w:rsidRDefault="00E97B59" w:rsidP="00207FD3">
      <w:pPr>
        <w:keepNext w:val="0"/>
        <w:tabs>
          <w:tab w:val="left" w:pos="567"/>
        </w:tabs>
        <w:ind w:left="1134" w:hanging="567"/>
      </w:pPr>
    </w:p>
    <w:p w14:paraId="7466B008" w14:textId="2BA65252" w:rsidR="00DF6239" w:rsidRDefault="00E97B59" w:rsidP="00A64613">
      <w:pPr>
        <w:pStyle w:val="Texte1cm"/>
        <w:keepNext w:val="0"/>
      </w:pPr>
      <w:r w:rsidRPr="00316277">
        <w:t>Dans le cas où le comité paritaire de placement doit choisir entre les projets de recyclage des enseignantes et des enseignants visés par la même priorité, il procède selon l’ordre suivant :</w:t>
      </w:r>
    </w:p>
    <w:p w14:paraId="26B0E9F5" w14:textId="77777777" w:rsidR="00207FD3" w:rsidRPr="00026EC1" w:rsidRDefault="00207FD3" w:rsidP="00A64613">
      <w:pPr>
        <w:pStyle w:val="Texte1cm"/>
        <w:keepNext w:val="0"/>
      </w:pPr>
    </w:p>
    <w:p w14:paraId="227C1ED7" w14:textId="4AE915D1" w:rsidR="00DF6239" w:rsidRPr="00026EC1" w:rsidRDefault="00275751" w:rsidP="00A64613">
      <w:pPr>
        <w:keepNext w:val="0"/>
        <w:tabs>
          <w:tab w:val="left" w:pos="1134"/>
        </w:tabs>
        <w:ind w:left="1134" w:hanging="567"/>
      </w:pPr>
      <w:r w:rsidRPr="00026EC1">
        <w:t>1.</w:t>
      </w:r>
      <w:r w:rsidRPr="00026EC1">
        <w:tab/>
      </w:r>
      <w:r w:rsidR="00DF6239" w:rsidRPr="00026EC1">
        <w:t>les demandes de recyclage d</w:t>
      </w:r>
      <w:r w:rsidR="004A41E4" w:rsidRPr="00026EC1">
        <w:t>’</w:t>
      </w:r>
      <w:r w:rsidR="00DF6239" w:rsidRPr="00026EC1">
        <w:t>une durée d</w:t>
      </w:r>
      <w:r w:rsidR="004A41E4" w:rsidRPr="00026EC1">
        <w:t>’</w:t>
      </w:r>
      <w:r w:rsidR="00DF6239" w:rsidRPr="00026EC1">
        <w:t>une</w:t>
      </w:r>
      <w:r w:rsidR="002770E4">
        <w:t> </w:t>
      </w:r>
      <w:r w:rsidR="00DF6239" w:rsidRPr="00026EC1">
        <w:t>(1) session ou d</w:t>
      </w:r>
      <w:r w:rsidR="004A41E4" w:rsidRPr="00026EC1">
        <w:t>’</w:t>
      </w:r>
      <w:r w:rsidR="00DF6239" w:rsidRPr="00026EC1">
        <w:t>une</w:t>
      </w:r>
      <w:r w:rsidR="002770E4">
        <w:t> </w:t>
      </w:r>
      <w:r w:rsidR="00DF6239" w:rsidRPr="00026EC1">
        <w:t>(1) année;</w:t>
      </w:r>
    </w:p>
    <w:p w14:paraId="0EB7E25E" w14:textId="77777777" w:rsidR="00DF6239" w:rsidRPr="00026EC1" w:rsidRDefault="00DF6239" w:rsidP="00A64613">
      <w:pPr>
        <w:pStyle w:val="Texte1cm"/>
        <w:keepNext w:val="0"/>
      </w:pPr>
    </w:p>
    <w:p w14:paraId="3F73F5D5" w14:textId="77777777" w:rsidR="00DF6239" w:rsidRPr="00026EC1" w:rsidRDefault="00275751" w:rsidP="00A64613">
      <w:pPr>
        <w:keepNext w:val="0"/>
        <w:tabs>
          <w:tab w:val="left" w:pos="1134"/>
        </w:tabs>
        <w:ind w:left="1134" w:hanging="567"/>
      </w:pPr>
      <w:r w:rsidRPr="00026EC1">
        <w:t>2.</w:t>
      </w:r>
      <w:r w:rsidRPr="00026EC1">
        <w:tab/>
      </w:r>
      <w:r w:rsidR="00DF6239" w:rsidRPr="00026EC1">
        <w:t>les demandes de recyclage d</w:t>
      </w:r>
      <w:r w:rsidR="004A41E4" w:rsidRPr="00026EC1">
        <w:t>’</w:t>
      </w:r>
      <w:r w:rsidR="00DF6239" w:rsidRPr="00026EC1">
        <w:t>une durée de trois (3) sessions ou de deux (2) ans;</w:t>
      </w:r>
    </w:p>
    <w:p w14:paraId="5EAAC35E" w14:textId="77777777" w:rsidR="00DF6239" w:rsidRPr="00026EC1" w:rsidRDefault="00DF6239" w:rsidP="00A64613">
      <w:pPr>
        <w:pStyle w:val="Texte1cm"/>
        <w:keepNext w:val="0"/>
      </w:pPr>
    </w:p>
    <w:p w14:paraId="5815E8EE" w14:textId="77777777" w:rsidR="00DF6239" w:rsidRPr="00026EC1" w:rsidRDefault="00275751" w:rsidP="00A64613">
      <w:pPr>
        <w:keepNext w:val="0"/>
        <w:tabs>
          <w:tab w:val="left" w:pos="1134"/>
        </w:tabs>
        <w:ind w:left="1134" w:hanging="567"/>
      </w:pPr>
      <w:r w:rsidRPr="00026EC1">
        <w:t>3.</w:t>
      </w:r>
      <w:r w:rsidRPr="00026EC1">
        <w:tab/>
      </w:r>
      <w:r w:rsidR="00DF6239" w:rsidRPr="00026EC1">
        <w:t>les demandes de recyclage d</w:t>
      </w:r>
      <w:r w:rsidR="004A41E4" w:rsidRPr="00026EC1">
        <w:t>’</w:t>
      </w:r>
      <w:r w:rsidR="00DF6239" w:rsidRPr="00026EC1">
        <w:t>une durée de cinq (</w:t>
      </w:r>
      <w:r w:rsidR="00260919" w:rsidRPr="00026EC1">
        <w:t>5) sessions ou de trois (3) ans;</w:t>
      </w:r>
    </w:p>
    <w:p w14:paraId="5B95CEFF" w14:textId="77777777" w:rsidR="00DF6239" w:rsidRPr="00026EC1" w:rsidRDefault="00DF6239" w:rsidP="00A64613">
      <w:pPr>
        <w:pStyle w:val="Texte1cm"/>
        <w:keepNext w:val="0"/>
      </w:pPr>
    </w:p>
    <w:p w14:paraId="1D32F2FE" w14:textId="1863DBAF" w:rsidR="00DF6239" w:rsidRPr="00026EC1" w:rsidRDefault="00275751" w:rsidP="00A64613">
      <w:pPr>
        <w:keepNext w:val="0"/>
        <w:tabs>
          <w:tab w:val="left" w:pos="1134"/>
        </w:tabs>
        <w:ind w:left="1134" w:hanging="567"/>
      </w:pPr>
      <w:r w:rsidRPr="00026EC1">
        <w:t>4.</w:t>
      </w:r>
      <w:r w:rsidRPr="00026EC1">
        <w:tab/>
      </w:r>
      <w:r w:rsidR="00260919" w:rsidRPr="00026EC1">
        <w:t>l</w:t>
      </w:r>
      <w:r w:rsidR="00DF6239" w:rsidRPr="00026EC1">
        <w:t>es demandes de recyclage d</w:t>
      </w:r>
      <w:r w:rsidR="004A41E4" w:rsidRPr="00026EC1">
        <w:t>’</w:t>
      </w:r>
      <w:r w:rsidR="00DF6239" w:rsidRPr="00026EC1">
        <w:t>une durée de sept</w:t>
      </w:r>
      <w:r w:rsidR="002770E4">
        <w:t> </w:t>
      </w:r>
      <w:r w:rsidR="00DF6239" w:rsidRPr="00026EC1">
        <w:t>(7) sessions ou de quatre</w:t>
      </w:r>
      <w:r w:rsidR="002770E4">
        <w:t> </w:t>
      </w:r>
      <w:r w:rsidR="00DF6239" w:rsidRPr="00026EC1">
        <w:t>(4) ans.</w:t>
      </w:r>
    </w:p>
    <w:p w14:paraId="46A0B265" w14:textId="77777777" w:rsidR="00DF6239" w:rsidRPr="00026EC1" w:rsidRDefault="00DF6239" w:rsidP="00A64613">
      <w:pPr>
        <w:pStyle w:val="Texte1cm"/>
        <w:keepNext w:val="0"/>
      </w:pPr>
    </w:p>
    <w:p w14:paraId="1DE8A868" w14:textId="228B86D3" w:rsidR="00DF6239" w:rsidRPr="00026EC1" w:rsidRDefault="00275751" w:rsidP="00A64613">
      <w:pPr>
        <w:keepNext w:val="0"/>
        <w:tabs>
          <w:tab w:val="left" w:pos="567"/>
        </w:tabs>
        <w:ind w:left="567" w:hanging="567"/>
      </w:pPr>
      <w:r w:rsidRPr="00026EC1">
        <w:t>J)</w:t>
      </w:r>
      <w:r w:rsidRPr="00026EC1">
        <w:tab/>
      </w:r>
      <w:r w:rsidR="00DF6239" w:rsidRPr="00026EC1">
        <w:t>Lorsque le comité paritaire de placement doit choisir entre les projets de recyclage visés aux sous</w:t>
      </w:r>
      <w:r w:rsidR="00984A6F">
        <w:noBreakHyphen/>
      </w:r>
      <w:r w:rsidR="00DF6239" w:rsidRPr="00026EC1">
        <w:t>alinéas 1, 2, 3 ou 4</w:t>
      </w:r>
      <w:r w:rsidR="00E97B59">
        <w:t xml:space="preserve"> </w:t>
      </w:r>
      <w:r w:rsidR="00E97B59" w:rsidRPr="00316277">
        <w:t>du deuxième paragraphe</w:t>
      </w:r>
      <w:r w:rsidR="00DF6239" w:rsidRPr="00026EC1">
        <w:t xml:space="preserve"> de l</w:t>
      </w:r>
      <w:r w:rsidR="004A41E4" w:rsidRPr="00026EC1">
        <w:t>’</w:t>
      </w:r>
      <w:r w:rsidR="00DF6239" w:rsidRPr="00026EC1">
        <w:t>alinéa I), il procède à l</w:t>
      </w:r>
      <w:r w:rsidR="004A41E4" w:rsidRPr="00026EC1">
        <w:t>’</w:t>
      </w:r>
      <w:r w:rsidR="00DF6239" w:rsidRPr="00026EC1">
        <w:t>attribution des recyclages selon l</w:t>
      </w:r>
      <w:r w:rsidR="004A41E4" w:rsidRPr="00026EC1">
        <w:t>’</w:t>
      </w:r>
      <w:r w:rsidR="00DF6239" w:rsidRPr="00026EC1">
        <w:t>ordre suivant</w:t>
      </w:r>
      <w:r w:rsidR="00D8581B">
        <w:t> :</w:t>
      </w:r>
    </w:p>
    <w:p w14:paraId="01915DD9" w14:textId="77777777" w:rsidR="00DF6239" w:rsidRPr="00026EC1" w:rsidRDefault="00DF6239" w:rsidP="00A64613">
      <w:pPr>
        <w:keepNext w:val="0"/>
      </w:pPr>
    </w:p>
    <w:p w14:paraId="40CA0CEC" w14:textId="5528332D" w:rsidR="00DF6239" w:rsidRPr="00026EC1" w:rsidRDefault="00275751" w:rsidP="00A64613">
      <w:pPr>
        <w:keepNext w:val="0"/>
        <w:tabs>
          <w:tab w:val="left" w:pos="1134"/>
        </w:tabs>
        <w:ind w:left="1134" w:hanging="567"/>
      </w:pPr>
      <w:r w:rsidRPr="00026EC1">
        <w:t>1.</w:t>
      </w:r>
      <w:r w:rsidRPr="00026EC1">
        <w:tab/>
      </w:r>
      <w:r w:rsidR="00DF6239" w:rsidRPr="00026EC1">
        <w:t>le projet impliquant une enseignante ou un enseignant mis en disponibilité en raison d</w:t>
      </w:r>
      <w:r w:rsidR="004A41E4" w:rsidRPr="00026EC1">
        <w:t>’</w:t>
      </w:r>
      <w:r w:rsidR="00DF6239" w:rsidRPr="00026EC1">
        <w:t>une fermeture autre que celle visée à l</w:t>
      </w:r>
      <w:r w:rsidR="004A41E4" w:rsidRPr="00026EC1">
        <w:t>’</w:t>
      </w:r>
      <w:r w:rsidR="00DF6239" w:rsidRPr="00026EC1">
        <w:t>alinéa</w:t>
      </w:r>
      <w:r w:rsidR="00757E12" w:rsidRPr="00026EC1">
        <w:t> </w:t>
      </w:r>
      <w:r w:rsidR="00DF6239" w:rsidRPr="00026EC1">
        <w:t>L) de la clause</w:t>
      </w:r>
      <w:r w:rsidR="0061766F" w:rsidRPr="00026EC1">
        <w:t> </w:t>
      </w:r>
      <w:r w:rsidR="00DF6239" w:rsidRPr="00026EC1">
        <w:t>5</w:t>
      </w:r>
      <w:r w:rsidR="00984A6F">
        <w:noBreakHyphen/>
      </w:r>
      <w:r w:rsidR="00DF6239" w:rsidRPr="00026EC1">
        <w:t>4.07, d</w:t>
      </w:r>
      <w:r w:rsidR="004A41E4" w:rsidRPr="00026EC1">
        <w:t>’</w:t>
      </w:r>
      <w:r w:rsidR="00DF6239" w:rsidRPr="00026EC1">
        <w:t>une suspension ou d</w:t>
      </w:r>
      <w:r w:rsidR="004A41E4" w:rsidRPr="00026EC1">
        <w:t>’</w:t>
      </w:r>
      <w:r w:rsidR="00DF6239" w:rsidRPr="00026EC1">
        <w:t>un changement de programme dans son Collège;</w:t>
      </w:r>
    </w:p>
    <w:p w14:paraId="225E9154" w14:textId="77777777" w:rsidR="00DF6239" w:rsidRPr="00026EC1" w:rsidRDefault="00DF6239" w:rsidP="00A64613">
      <w:pPr>
        <w:keepNext w:val="0"/>
      </w:pPr>
    </w:p>
    <w:p w14:paraId="20FA0F6C" w14:textId="77777777" w:rsidR="00DF6239" w:rsidRPr="00026EC1" w:rsidRDefault="00275751" w:rsidP="00A64613">
      <w:pPr>
        <w:keepNext w:val="0"/>
        <w:tabs>
          <w:tab w:val="left" w:pos="1134"/>
        </w:tabs>
        <w:ind w:left="1134" w:hanging="567"/>
      </w:pPr>
      <w:r w:rsidRPr="00026EC1">
        <w:t>2.</w:t>
      </w:r>
      <w:r w:rsidRPr="00026EC1">
        <w:tab/>
      </w:r>
      <w:r w:rsidR="00DF6239" w:rsidRPr="00026EC1">
        <w:t>le projet impliquant une enseignante ou un enseignant mis en disponibilité depuis deux (2) ans ou plus;</w:t>
      </w:r>
    </w:p>
    <w:p w14:paraId="342E55C9" w14:textId="77777777" w:rsidR="00DF6239" w:rsidRPr="00026EC1" w:rsidRDefault="00DF6239" w:rsidP="00A64613">
      <w:pPr>
        <w:keepNext w:val="0"/>
      </w:pPr>
    </w:p>
    <w:p w14:paraId="709DD8A8" w14:textId="77777777" w:rsidR="00DF6239" w:rsidRPr="00026EC1" w:rsidRDefault="00275751" w:rsidP="00A64613">
      <w:pPr>
        <w:keepNext w:val="0"/>
        <w:tabs>
          <w:tab w:val="left" w:pos="1134"/>
        </w:tabs>
        <w:ind w:left="1134" w:hanging="567"/>
      </w:pPr>
      <w:r w:rsidRPr="00026EC1">
        <w:t>3.</w:t>
      </w:r>
      <w:r w:rsidRPr="00026EC1">
        <w:tab/>
      </w:r>
      <w:r w:rsidR="00DF6239" w:rsidRPr="00026EC1">
        <w:t>le projet de l</w:t>
      </w:r>
      <w:r w:rsidR="004A41E4" w:rsidRPr="00026EC1">
        <w:t>’</w:t>
      </w:r>
      <w:r w:rsidR="00DF6239" w:rsidRPr="00026EC1">
        <w:t>enseignante ou de l</w:t>
      </w:r>
      <w:r w:rsidR="004A41E4" w:rsidRPr="00026EC1">
        <w:t>’</w:t>
      </w:r>
      <w:r w:rsidR="00DF6239" w:rsidRPr="00026EC1">
        <w:t>enseignant provenant d</w:t>
      </w:r>
      <w:r w:rsidR="004A41E4" w:rsidRPr="00026EC1">
        <w:t>’</w:t>
      </w:r>
      <w:r w:rsidR="00DF6239" w:rsidRPr="00026EC1">
        <w:t>une discipline où le nombre d</w:t>
      </w:r>
      <w:r w:rsidR="004A41E4" w:rsidRPr="00026EC1">
        <w:t>’</w:t>
      </w:r>
      <w:r w:rsidR="00DF6239" w:rsidRPr="00026EC1">
        <w:t>enseignantes et d</w:t>
      </w:r>
      <w:r w:rsidR="004A41E4" w:rsidRPr="00026EC1">
        <w:t>’</w:t>
      </w:r>
      <w:r w:rsidR="00DF6239" w:rsidRPr="00026EC1">
        <w:t>enseignants mis en disponibilité est élevé.</w:t>
      </w:r>
    </w:p>
    <w:p w14:paraId="728DA0A9" w14:textId="77777777" w:rsidR="00DF6239" w:rsidRPr="00026EC1" w:rsidRDefault="00DF6239" w:rsidP="00A64613">
      <w:pPr>
        <w:keepNext w:val="0"/>
      </w:pPr>
    </w:p>
    <w:p w14:paraId="3E596882" w14:textId="70C2C2A7" w:rsidR="00DF6239" w:rsidRPr="00026EC1" w:rsidRDefault="00275751" w:rsidP="00A64613">
      <w:pPr>
        <w:keepNext w:val="0"/>
        <w:tabs>
          <w:tab w:val="left" w:pos="567"/>
        </w:tabs>
        <w:ind w:left="567" w:hanging="567"/>
      </w:pPr>
      <w:r w:rsidRPr="00026EC1">
        <w:t>K)</w:t>
      </w:r>
      <w:r w:rsidRPr="00026EC1">
        <w:tab/>
      </w:r>
      <w:r w:rsidR="00DF6239" w:rsidRPr="00026EC1">
        <w:t xml:space="preserve">Le </w:t>
      </w:r>
      <w:r w:rsidR="000C2818">
        <w:t>c</w:t>
      </w:r>
      <w:r w:rsidR="00DF6239" w:rsidRPr="00026EC1">
        <w:t>omité paritaire de placement établit annuellement les règles administratives concernant le recyclage.</w:t>
      </w:r>
    </w:p>
    <w:p w14:paraId="070B1979" w14:textId="77777777" w:rsidR="00DF6239" w:rsidRPr="00026EC1" w:rsidRDefault="00DF6239" w:rsidP="00A64613">
      <w:pPr>
        <w:keepNext w:val="0"/>
      </w:pPr>
    </w:p>
    <w:p w14:paraId="4FDCED0E" w14:textId="2871F186" w:rsidR="00F45730" w:rsidRDefault="00275751" w:rsidP="00A64613">
      <w:pPr>
        <w:keepNext w:val="0"/>
        <w:tabs>
          <w:tab w:val="left" w:pos="567"/>
        </w:tabs>
        <w:ind w:left="567" w:hanging="567"/>
      </w:pPr>
      <w:r w:rsidRPr="00026EC1">
        <w:t>L)</w:t>
      </w:r>
      <w:r w:rsidRPr="00026EC1">
        <w:tab/>
      </w:r>
      <w:r w:rsidR="00DF6239" w:rsidRPr="00026EC1">
        <w:t>Dans les cas d</w:t>
      </w:r>
      <w:r w:rsidR="004A41E4" w:rsidRPr="00026EC1">
        <w:t>’</w:t>
      </w:r>
      <w:r w:rsidR="00DF6239" w:rsidRPr="00026EC1">
        <w:t>une suspension temporaire du recyclage selon l</w:t>
      </w:r>
      <w:r w:rsidR="004A41E4" w:rsidRPr="00026EC1">
        <w:t>’</w:t>
      </w:r>
      <w:r w:rsidR="00DF6239" w:rsidRPr="00026EC1">
        <w:t>alinéa F) ou d</w:t>
      </w:r>
      <w:r w:rsidR="004A41E4" w:rsidRPr="00026EC1">
        <w:t>’</w:t>
      </w:r>
      <w:r w:rsidR="00DF6239" w:rsidRPr="00026EC1">
        <w:t>interruption du recyclage selon l</w:t>
      </w:r>
      <w:r w:rsidR="004A41E4" w:rsidRPr="00026EC1">
        <w:t>’</w:t>
      </w:r>
      <w:r w:rsidR="00DF6239" w:rsidRPr="00026EC1">
        <w:t xml:space="preserve">alinéa G), le Collège informe le </w:t>
      </w:r>
      <w:r w:rsidR="000C2818">
        <w:t>c</w:t>
      </w:r>
      <w:r w:rsidR="00DF6239" w:rsidRPr="00026EC1">
        <w:t>omité paritaire de placement, en même temps qu</w:t>
      </w:r>
      <w:r w:rsidR="004A41E4" w:rsidRPr="00026EC1">
        <w:t>’</w:t>
      </w:r>
      <w:r w:rsidR="00DF6239" w:rsidRPr="00026EC1">
        <w:t>il transmet les projets de recyclage pour l</w:t>
      </w:r>
      <w:r w:rsidR="004A41E4" w:rsidRPr="00026EC1">
        <w:t>’</w:t>
      </w:r>
      <w:r w:rsidR="00DF6239" w:rsidRPr="00026EC1">
        <w:t>année suivante, des modifications intervenues dans les projets de recyclage de l</w:t>
      </w:r>
      <w:r w:rsidR="004A41E4" w:rsidRPr="00026EC1">
        <w:t>’</w:t>
      </w:r>
      <w:r w:rsidR="00DF6239" w:rsidRPr="00026EC1">
        <w:t>année en cours.</w:t>
      </w:r>
    </w:p>
    <w:p w14:paraId="348C3210" w14:textId="34E29BCD" w:rsidR="00F45730" w:rsidRDefault="00F45730">
      <w:pPr>
        <w:keepNext w:val="0"/>
        <w:suppressAutoHyphens w:val="0"/>
        <w:jc w:val="left"/>
      </w:pPr>
    </w:p>
    <w:p w14:paraId="4ACE0B33" w14:textId="747FC8E2" w:rsidR="00DF6239" w:rsidRDefault="00DF6239" w:rsidP="00A64613">
      <w:pPr>
        <w:pStyle w:val="NUMRODECLAUSE"/>
        <w:keepNext w:val="0"/>
        <w:rPr>
          <w:u w:val="single"/>
        </w:rPr>
      </w:pPr>
      <w:r w:rsidRPr="00026EC1">
        <w:t>5</w:t>
      </w:r>
      <w:r w:rsidR="00984A6F">
        <w:noBreakHyphen/>
      </w:r>
      <w:r w:rsidRPr="00026EC1">
        <w:t>4.22</w:t>
      </w:r>
      <w:r w:rsidR="00260919" w:rsidRPr="00026EC1">
        <w:tab/>
      </w:r>
      <w:r w:rsidRPr="00147EA0">
        <w:rPr>
          <w:u w:val="single"/>
        </w:rPr>
        <w:t>Recyclage vers un poste réservé dans un autre collège</w:t>
      </w:r>
    </w:p>
    <w:p w14:paraId="654A75E5" w14:textId="77777777" w:rsidR="00A20EE2" w:rsidRPr="00026EC1" w:rsidRDefault="00A20EE2" w:rsidP="00A64613">
      <w:pPr>
        <w:pStyle w:val="NUMRODECLAUSE"/>
        <w:keepNext w:val="0"/>
      </w:pPr>
    </w:p>
    <w:p w14:paraId="5D907EDD" w14:textId="74289E72" w:rsidR="00DF6239" w:rsidRPr="00026EC1" w:rsidRDefault="00275751" w:rsidP="00A64613">
      <w:pPr>
        <w:keepNext w:val="0"/>
        <w:ind w:left="567" w:hanging="594"/>
      </w:pPr>
      <w:r w:rsidRPr="00026EC1">
        <w:t>A)</w:t>
      </w:r>
      <w:r w:rsidRPr="00026EC1">
        <w:tab/>
      </w:r>
      <w:r w:rsidR="00DF6239" w:rsidRPr="00026EC1">
        <w:t>L</w:t>
      </w:r>
      <w:r w:rsidR="004A41E4" w:rsidRPr="00026EC1">
        <w:t>’</w:t>
      </w:r>
      <w:r w:rsidR="00DF6239" w:rsidRPr="00026EC1">
        <w:t>octroi d</w:t>
      </w:r>
      <w:r w:rsidR="004A41E4" w:rsidRPr="00026EC1">
        <w:t>’</w:t>
      </w:r>
      <w:r w:rsidR="00DF6239" w:rsidRPr="00026EC1">
        <w:t>un recyclage vers un poste réservé dans un autre collège, conformément à la clause</w:t>
      </w:r>
      <w:r w:rsidR="00BD38A6" w:rsidRPr="00026EC1">
        <w:t> </w:t>
      </w:r>
      <w:r w:rsidR="00DF6239" w:rsidRPr="00026EC1">
        <w:t>5</w:t>
      </w:r>
      <w:r w:rsidR="00984A6F">
        <w:noBreakHyphen/>
      </w:r>
      <w:r w:rsidR="00DF6239" w:rsidRPr="00026EC1">
        <w:t>4.24, est accessible à une enseignante ou un enseignant mis en disponibilité, de même qu</w:t>
      </w:r>
      <w:r w:rsidR="004A41E4" w:rsidRPr="00026EC1">
        <w:t>’</w:t>
      </w:r>
      <w:r w:rsidR="00DF6239" w:rsidRPr="00026EC1">
        <w:t>à l</w:t>
      </w:r>
      <w:r w:rsidR="004A41E4" w:rsidRPr="00026EC1">
        <w:t>’</w:t>
      </w:r>
      <w:r w:rsidR="00DF6239" w:rsidRPr="00026EC1">
        <w:t>enseignante ou l</w:t>
      </w:r>
      <w:r w:rsidR="004A41E4" w:rsidRPr="00026EC1">
        <w:t>’</w:t>
      </w:r>
      <w:r w:rsidR="00DF6239" w:rsidRPr="00026EC1">
        <w:t>enseignant permanent non mis en disponibilité à la condition que le recyclage ait pour effet d</w:t>
      </w:r>
      <w:r w:rsidR="004A41E4" w:rsidRPr="00026EC1">
        <w:t>’</w:t>
      </w:r>
      <w:r w:rsidR="00DF6239" w:rsidRPr="00026EC1">
        <w:t>annuler ou d</w:t>
      </w:r>
      <w:r w:rsidR="004A41E4" w:rsidRPr="00026EC1">
        <w:t>’</w:t>
      </w:r>
      <w:r w:rsidR="00DF6239" w:rsidRPr="00026EC1">
        <w:t xml:space="preserve">éviter une mise en disponibilité. </w:t>
      </w:r>
    </w:p>
    <w:p w14:paraId="0B5FCE3D" w14:textId="77777777" w:rsidR="00DF6239" w:rsidRPr="00026EC1" w:rsidRDefault="00DF6239" w:rsidP="00A64613">
      <w:pPr>
        <w:pStyle w:val="Texte1cm"/>
        <w:keepNext w:val="0"/>
      </w:pPr>
    </w:p>
    <w:p w14:paraId="7577A77D" w14:textId="056DD9C4"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mis en disponibilité ayant le plus d</w:t>
      </w:r>
      <w:r w:rsidR="004A41E4" w:rsidRPr="00026EC1">
        <w:t>’</w:t>
      </w:r>
      <w:r w:rsidRPr="00026EC1">
        <w:t>ancienneté au dernier jour de l</w:t>
      </w:r>
      <w:r w:rsidR="004A41E4" w:rsidRPr="00026EC1">
        <w:t>’</w:t>
      </w:r>
      <w:r w:rsidRPr="00026EC1">
        <w:t>année d</w:t>
      </w:r>
      <w:r w:rsidR="004A41E4" w:rsidRPr="00026EC1">
        <w:t>’</w:t>
      </w:r>
      <w:r w:rsidRPr="00026EC1">
        <w:t>engagement de l</w:t>
      </w:r>
      <w:r w:rsidR="004A41E4" w:rsidRPr="00026EC1">
        <w:t>’</w:t>
      </w:r>
      <w:r w:rsidRPr="00026EC1">
        <w:t>octroi du recyclage peut échanger son statut de mis en disponibilité avec une enseignante ou un enseignant permanent non mis en disponibilité qui en fait la demande. Cette substitution prend effet au plus tard le 27</w:t>
      </w:r>
      <w:r w:rsidR="002770E4">
        <w:t> </w:t>
      </w:r>
      <w:r w:rsidRPr="00026EC1">
        <w:t>juin.</w:t>
      </w:r>
    </w:p>
    <w:p w14:paraId="0A61627F" w14:textId="77777777" w:rsidR="00DF6239" w:rsidRPr="00026EC1" w:rsidRDefault="00DF6239" w:rsidP="00A64613">
      <w:pPr>
        <w:pStyle w:val="Texte1cm"/>
        <w:keepNext w:val="0"/>
      </w:pPr>
    </w:p>
    <w:p w14:paraId="550C4DD2" w14:textId="7FAE8313" w:rsidR="00DF6239" w:rsidRPr="00026EC1" w:rsidRDefault="00DF6239" w:rsidP="00A64613">
      <w:pPr>
        <w:pStyle w:val="Texte1cm"/>
        <w:keepNext w:val="0"/>
      </w:pPr>
      <w:r w:rsidRPr="00026EC1">
        <w:t>Si la mesure est accordée, l</w:t>
      </w:r>
      <w:r w:rsidR="004A41E4" w:rsidRPr="00026EC1">
        <w:t>’</w:t>
      </w:r>
      <w:r w:rsidRPr="00026EC1">
        <w:t>enseignante ou l</w:t>
      </w:r>
      <w:r w:rsidR="004A41E4" w:rsidRPr="00026EC1">
        <w:t>’</w:t>
      </w:r>
      <w:r w:rsidRPr="00026EC1">
        <w:t>enseignant permanent non mis en disponibilité est alors réputé avoir reçu son avis de mise en disponibilité prévu à la clause</w:t>
      </w:r>
      <w:r w:rsidR="00BD38A6" w:rsidRPr="00026EC1">
        <w:t> </w:t>
      </w:r>
      <w:r w:rsidRPr="00026EC1">
        <w:t>5</w:t>
      </w:r>
      <w:r w:rsidR="00984A6F">
        <w:noBreakHyphen/>
      </w:r>
      <w:r w:rsidRPr="00026EC1">
        <w:t>4.06 au plus tard le 27</w:t>
      </w:r>
      <w:r w:rsidR="00B26CCD">
        <w:t> </w:t>
      </w:r>
      <w:r w:rsidRPr="00026EC1">
        <w:t>juin de l</w:t>
      </w:r>
      <w:r w:rsidR="004A41E4" w:rsidRPr="00026EC1">
        <w:t>’</w:t>
      </w:r>
      <w:r w:rsidRPr="00026EC1">
        <w:t>année d</w:t>
      </w:r>
      <w:r w:rsidR="004A41E4" w:rsidRPr="00026EC1">
        <w:t>’</w:t>
      </w:r>
      <w:r w:rsidRPr="00026EC1">
        <w:t>engagement au cours de laquelle la demande de substitution a été faite.</w:t>
      </w:r>
    </w:p>
    <w:p w14:paraId="54124728" w14:textId="77777777" w:rsidR="00DF6239" w:rsidRPr="00026EC1" w:rsidRDefault="00DF6239" w:rsidP="00A64613">
      <w:pPr>
        <w:pStyle w:val="Texte1cm"/>
        <w:keepNext w:val="0"/>
      </w:pPr>
    </w:p>
    <w:p w14:paraId="5C40A983" w14:textId="77777777" w:rsidR="00DF6239" w:rsidRPr="00026EC1" w:rsidRDefault="00DF6239" w:rsidP="00A64613">
      <w:pPr>
        <w:pStyle w:val="Texte1cm"/>
        <w:keepNext w:val="0"/>
      </w:pPr>
      <w:r w:rsidRPr="00026EC1">
        <w:t>Si plus d</w:t>
      </w:r>
      <w:r w:rsidR="004A41E4" w:rsidRPr="00026EC1">
        <w:t>’</w:t>
      </w:r>
      <w:r w:rsidRPr="00026EC1">
        <w:t>une enseignante ou d</w:t>
      </w:r>
      <w:r w:rsidR="004A41E4" w:rsidRPr="00026EC1">
        <w:t>’</w:t>
      </w:r>
      <w:r w:rsidRPr="00026EC1">
        <w:t>un enseignant permanent non mis en disponibilité fait une demande, le Collège donne suite à la demande de substitution de celle ou</w:t>
      </w:r>
      <w:r w:rsidR="00250B83" w:rsidRPr="00026EC1">
        <w:t xml:space="preserve"> de</w:t>
      </w:r>
      <w:r w:rsidRPr="00026EC1">
        <w:t xml:space="preserve"> celui qui a le plus d</w:t>
      </w:r>
      <w:r w:rsidR="004A41E4" w:rsidRPr="00026EC1">
        <w:t>’</w:t>
      </w:r>
      <w:r w:rsidRPr="00026EC1">
        <w:t>ancienneté au dernier jour de l</w:t>
      </w:r>
      <w:r w:rsidR="004A41E4" w:rsidRPr="00026EC1">
        <w:t>’</w:t>
      </w:r>
      <w:r w:rsidRPr="00026EC1">
        <w:t>année d</w:t>
      </w:r>
      <w:r w:rsidR="004A41E4" w:rsidRPr="00026EC1">
        <w:t>’</w:t>
      </w:r>
      <w:r w:rsidRPr="00026EC1">
        <w:t>engagement de l</w:t>
      </w:r>
      <w:r w:rsidR="004A41E4" w:rsidRPr="00026EC1">
        <w:t>’</w:t>
      </w:r>
      <w:r w:rsidRPr="00026EC1">
        <w:t xml:space="preserve">octroi du recyclage et, à ancienneté égale, </w:t>
      </w:r>
      <w:r w:rsidR="003E1207" w:rsidRPr="00026EC1">
        <w:t>de</w:t>
      </w:r>
      <w:r w:rsidRPr="00026EC1">
        <w:t xml:space="preserve"> celle ou</w:t>
      </w:r>
      <w:r w:rsidR="003E1207" w:rsidRPr="00026EC1">
        <w:t xml:space="preserve"> de</w:t>
      </w:r>
      <w:r w:rsidRPr="00026EC1">
        <w:t xml:space="preserve"> celui qui a le plus d</w:t>
      </w:r>
      <w:r w:rsidR="004A41E4" w:rsidRPr="00026EC1">
        <w:t>’</w:t>
      </w:r>
      <w:r w:rsidRPr="00026EC1">
        <w:t xml:space="preserve">expérience et, à expérience égale, </w:t>
      </w:r>
      <w:r w:rsidR="003E1207" w:rsidRPr="00026EC1">
        <w:t>de</w:t>
      </w:r>
      <w:r w:rsidRPr="00026EC1">
        <w:t xml:space="preserve"> celle ou</w:t>
      </w:r>
      <w:r w:rsidR="003E1207" w:rsidRPr="00026EC1">
        <w:t xml:space="preserve"> de</w:t>
      </w:r>
      <w:r w:rsidRPr="00026EC1">
        <w:t xml:space="preserve"> celui qui a le plus de scolarité. </w:t>
      </w:r>
    </w:p>
    <w:p w14:paraId="37B3FA94" w14:textId="77777777" w:rsidR="00DF6239" w:rsidRPr="00026EC1" w:rsidRDefault="00DF6239" w:rsidP="00A64613">
      <w:pPr>
        <w:pStyle w:val="Texte1cm"/>
        <w:keepNext w:val="0"/>
      </w:pPr>
    </w:p>
    <w:p w14:paraId="0EA0E080" w14:textId="2B1E3A22" w:rsidR="00DF6239" w:rsidRPr="00026EC1" w:rsidRDefault="00DF6239" w:rsidP="00A64613">
      <w:pPr>
        <w:pStyle w:val="Texte1cm"/>
        <w:keepNext w:val="0"/>
      </w:pPr>
      <w:r w:rsidRPr="00026EC1">
        <w:t>Les effets de cette substitution entrent en vigueur au premier</w:t>
      </w:r>
      <w:r w:rsidR="00B26CCD">
        <w:t> </w:t>
      </w:r>
      <w:r w:rsidRPr="00026EC1">
        <w:t>(1</w:t>
      </w:r>
      <w:r w:rsidRPr="00026EC1">
        <w:rPr>
          <w:vertAlign w:val="superscript"/>
        </w:rPr>
        <w:t>er</w:t>
      </w:r>
      <w:r w:rsidRPr="00026EC1">
        <w:t>) jour de l</w:t>
      </w:r>
      <w:r w:rsidR="004A41E4" w:rsidRPr="00026EC1">
        <w:t>’</w:t>
      </w:r>
      <w:r w:rsidRPr="00026EC1">
        <w:t>année d</w:t>
      </w:r>
      <w:r w:rsidR="004A41E4" w:rsidRPr="00026EC1">
        <w:t>’</w:t>
      </w:r>
      <w:r w:rsidRPr="00026EC1">
        <w:t>engagement pour laquelle un poste est réservé.</w:t>
      </w:r>
    </w:p>
    <w:p w14:paraId="4CD15515" w14:textId="77777777" w:rsidR="00DF6239" w:rsidRPr="00026EC1" w:rsidRDefault="00DF6239" w:rsidP="00A64613">
      <w:pPr>
        <w:pStyle w:val="Texte1cm"/>
        <w:keepNext w:val="0"/>
      </w:pPr>
    </w:p>
    <w:p w14:paraId="15B9E484" w14:textId="1CF2B713" w:rsidR="00DF6239" w:rsidRPr="00026EC1" w:rsidRDefault="00275751" w:rsidP="00A64613">
      <w:pPr>
        <w:keepNext w:val="0"/>
        <w:ind w:left="567" w:hanging="594"/>
      </w:pPr>
      <w:r w:rsidRPr="00026EC1">
        <w:t>B)</w:t>
      </w:r>
      <w:r w:rsidRPr="00026EC1">
        <w:tab/>
      </w:r>
      <w:r w:rsidR="00DF6239" w:rsidRPr="00026EC1">
        <w:t>Le recyclage d</w:t>
      </w:r>
      <w:r w:rsidR="004A41E4" w:rsidRPr="00026EC1">
        <w:t>’</w:t>
      </w:r>
      <w:r w:rsidR="00DF6239" w:rsidRPr="00026EC1">
        <w:t>une enseignante ou d</w:t>
      </w:r>
      <w:r w:rsidR="004A41E4" w:rsidRPr="00026EC1">
        <w:t>’</w:t>
      </w:r>
      <w:r w:rsidR="00DF6239" w:rsidRPr="00026EC1">
        <w:t>un enseignant mis en disponibilité doit lui permettre d</w:t>
      </w:r>
      <w:r w:rsidR="004A41E4" w:rsidRPr="00026EC1">
        <w:t>’</w:t>
      </w:r>
      <w:r w:rsidR="00DF6239" w:rsidRPr="00026EC1">
        <w:t>acquérir la compétence requise pour enseigner dans une autre spécialité de sa discipline selon l</w:t>
      </w:r>
      <w:r w:rsidR="004A41E4" w:rsidRPr="00026EC1">
        <w:t>’</w:t>
      </w:r>
      <w:r w:rsidR="00DF6239" w:rsidRPr="00026EC1">
        <w:t>alinéa</w:t>
      </w:r>
      <w:r w:rsidR="00757E12" w:rsidRPr="00026EC1">
        <w:t> </w:t>
      </w:r>
      <w:r w:rsidR="00DF6239" w:rsidRPr="00026EC1">
        <w:t>d) de la clause</w:t>
      </w:r>
      <w:r w:rsidR="00BD38A6" w:rsidRPr="00026EC1">
        <w:t> </w:t>
      </w:r>
      <w:r w:rsidR="00DF6239" w:rsidRPr="00026EC1">
        <w:t>5</w:t>
      </w:r>
      <w:r w:rsidR="00984A6F">
        <w:noBreakHyphen/>
      </w:r>
      <w:r w:rsidR="00DF6239" w:rsidRPr="00026EC1">
        <w:t>4.11 ou pour enseigner dans une autre discipline que celle pour laquelle elle ou il a été engagé ou qu</w:t>
      </w:r>
      <w:r w:rsidR="004A41E4" w:rsidRPr="00026EC1">
        <w:t>’</w:t>
      </w:r>
      <w:r w:rsidR="00DF6239" w:rsidRPr="00026EC1">
        <w:t>elle ou il enseignait l</w:t>
      </w:r>
      <w:r w:rsidR="004A41E4" w:rsidRPr="00026EC1">
        <w:t>’</w:t>
      </w:r>
      <w:r w:rsidR="00DF6239" w:rsidRPr="00026EC1">
        <w:t>année de sa mise en disponibilité.</w:t>
      </w:r>
    </w:p>
    <w:p w14:paraId="17806649" w14:textId="77777777" w:rsidR="00DF6239" w:rsidRPr="00026EC1" w:rsidRDefault="00DF6239" w:rsidP="00A64613">
      <w:pPr>
        <w:pStyle w:val="Texte1cm"/>
        <w:keepNext w:val="0"/>
      </w:pPr>
    </w:p>
    <w:p w14:paraId="33E0B930" w14:textId="3452791C" w:rsidR="00DF6239" w:rsidRPr="00026EC1" w:rsidRDefault="00DF6239" w:rsidP="00A64613">
      <w:pPr>
        <w:pStyle w:val="Texte1cm"/>
        <w:keepNext w:val="0"/>
      </w:pPr>
      <w:r w:rsidRPr="00026EC1">
        <w:t>Le recyclage d</w:t>
      </w:r>
      <w:r w:rsidR="004A41E4" w:rsidRPr="00026EC1">
        <w:t>’</w:t>
      </w:r>
      <w:r w:rsidRPr="00026EC1">
        <w:t>une enseignante ou d</w:t>
      </w:r>
      <w:r w:rsidR="004A41E4" w:rsidRPr="00026EC1">
        <w:t>’</w:t>
      </w:r>
      <w:r w:rsidRPr="00026EC1">
        <w:t>un enseignant non mis en disponibilité ayant demandé une substitution doit lui permettre d</w:t>
      </w:r>
      <w:r w:rsidR="004A41E4" w:rsidRPr="00026EC1">
        <w:t>’</w:t>
      </w:r>
      <w:r w:rsidRPr="00026EC1">
        <w:t>acquérir la compétence requise pour enseigner dans une autre spécialité de sa discipline selon l</w:t>
      </w:r>
      <w:r w:rsidR="004A41E4" w:rsidRPr="00026EC1">
        <w:t>’</w:t>
      </w:r>
      <w:r w:rsidRPr="00026EC1">
        <w:t>alinéa</w:t>
      </w:r>
      <w:r w:rsidR="00757E12" w:rsidRPr="00026EC1">
        <w:t> </w:t>
      </w:r>
      <w:r w:rsidRPr="00026EC1">
        <w:t>d) de la clause</w:t>
      </w:r>
      <w:r w:rsidR="00BD38A6" w:rsidRPr="00026EC1">
        <w:t> </w:t>
      </w:r>
      <w:r w:rsidRPr="00026EC1">
        <w:t>5</w:t>
      </w:r>
      <w:r w:rsidR="00984A6F">
        <w:noBreakHyphen/>
      </w:r>
      <w:r w:rsidRPr="00026EC1">
        <w:t>4.11 ou pour enseigner dans une autre discipline que celle pour laquelle elle ou il a été engagé ou qu</w:t>
      </w:r>
      <w:r w:rsidR="004A41E4" w:rsidRPr="00026EC1">
        <w:t>’</w:t>
      </w:r>
      <w:r w:rsidRPr="00026EC1">
        <w:t>elle ou il enseignait l</w:t>
      </w:r>
      <w:r w:rsidR="004A41E4" w:rsidRPr="00026EC1">
        <w:t>’</w:t>
      </w:r>
      <w:r w:rsidRPr="00026EC1">
        <w:t>année où la demande de recyclage a été présentée.</w:t>
      </w:r>
    </w:p>
    <w:p w14:paraId="4F2D48E5" w14:textId="77777777" w:rsidR="005432F0" w:rsidRPr="00026EC1" w:rsidRDefault="005432F0" w:rsidP="00A64613">
      <w:pPr>
        <w:pStyle w:val="Texte1cm"/>
        <w:keepNext w:val="0"/>
      </w:pPr>
    </w:p>
    <w:p w14:paraId="17524698" w14:textId="77777777" w:rsidR="00DF6239" w:rsidRPr="00026EC1" w:rsidRDefault="00275751" w:rsidP="00A64613">
      <w:pPr>
        <w:keepNext w:val="0"/>
        <w:ind w:left="567" w:hanging="594"/>
      </w:pPr>
      <w:r w:rsidRPr="00026EC1">
        <w:t>C)</w:t>
      </w:r>
      <w:r w:rsidRPr="00026EC1">
        <w:tab/>
      </w:r>
      <w:r w:rsidR="00DF6239" w:rsidRPr="00026EC1">
        <w:t>Pour une année donnée, le nombre total d</w:t>
      </w:r>
      <w:r w:rsidR="004A41E4" w:rsidRPr="00026EC1">
        <w:t>’</w:t>
      </w:r>
      <w:r w:rsidR="00DF6239" w:rsidRPr="00026EC1">
        <w:t>enseignantes et d</w:t>
      </w:r>
      <w:r w:rsidR="004A41E4" w:rsidRPr="00026EC1">
        <w:t>’</w:t>
      </w:r>
      <w:r w:rsidR="00DF6239" w:rsidRPr="00026EC1">
        <w:t xml:space="preserve">enseignants en recyclage en vertu de la présente clause est alloué par le Ministère. </w:t>
      </w:r>
    </w:p>
    <w:p w14:paraId="4A6B010C" w14:textId="69B157BA" w:rsidR="00DF6239" w:rsidRPr="00026EC1" w:rsidRDefault="00DF6239" w:rsidP="00A64613">
      <w:pPr>
        <w:keepNext w:val="0"/>
        <w:ind w:left="567"/>
      </w:pPr>
    </w:p>
    <w:p w14:paraId="0613FC4F" w14:textId="08CE6EFE" w:rsidR="00DF6239" w:rsidRPr="00026EC1" w:rsidRDefault="00275751" w:rsidP="00A64613">
      <w:pPr>
        <w:keepNext w:val="0"/>
        <w:ind w:left="567" w:hanging="594"/>
      </w:pPr>
      <w:r w:rsidRPr="00026EC1">
        <w:t>D)</w:t>
      </w:r>
      <w:r w:rsidRPr="00026EC1">
        <w:tab/>
      </w:r>
      <w:r w:rsidR="00DF6239" w:rsidRPr="00026EC1">
        <w:t>L</w:t>
      </w:r>
      <w:r w:rsidR="004A41E4" w:rsidRPr="00026EC1">
        <w:t>’</w:t>
      </w:r>
      <w:r w:rsidR="00DF6239" w:rsidRPr="00026EC1">
        <w:t>enseignante ou l</w:t>
      </w:r>
      <w:r w:rsidR="004A41E4" w:rsidRPr="00026EC1">
        <w:t>’</w:t>
      </w:r>
      <w:r w:rsidR="00DF6239" w:rsidRPr="00026EC1">
        <w:t>enseignant qui souhaite obtenir, sur une base volontaire, un poste réservé dans un autre collège doit remettre à son collège, par écrit, un projet de recyclage qui comprend les objectifs poursuivis tant pour l</w:t>
      </w:r>
      <w:r w:rsidR="004A41E4" w:rsidRPr="00026EC1">
        <w:t>’</w:t>
      </w:r>
      <w:r w:rsidR="00DF6239" w:rsidRPr="00026EC1">
        <w:t>ensemble du projet que pour chacune des années, en plus d</w:t>
      </w:r>
      <w:r w:rsidR="004A41E4" w:rsidRPr="00026EC1">
        <w:t>’</w:t>
      </w:r>
      <w:r w:rsidR="00DF6239" w:rsidRPr="00026EC1">
        <w:t xml:space="preserve">indiquer clairement la durée du projet. Par la suite, au plus tard le 15 mai, le Collège transmet au </w:t>
      </w:r>
      <w:r w:rsidR="000C2818">
        <w:t>c</w:t>
      </w:r>
      <w:r w:rsidR="00DF6239" w:rsidRPr="00026EC1">
        <w:t>omité paritaire de placement le projet de recyclage de l</w:t>
      </w:r>
      <w:r w:rsidR="004A41E4" w:rsidRPr="00026EC1">
        <w:t>’</w:t>
      </w:r>
      <w:r w:rsidR="00DF6239" w:rsidRPr="00026EC1">
        <w:t>enseignante ou l</w:t>
      </w:r>
      <w:r w:rsidR="004A41E4" w:rsidRPr="00026EC1">
        <w:t>’</w:t>
      </w:r>
      <w:r w:rsidR="00DF6239" w:rsidRPr="00026EC1">
        <w:t>enseignant qui s</w:t>
      </w:r>
      <w:r w:rsidR="004A41E4" w:rsidRPr="00026EC1">
        <w:t>’</w:t>
      </w:r>
      <w:r w:rsidR="00DF6239" w:rsidRPr="00026EC1">
        <w:t>engage à faire un choix de postes selon les modalités prévues à l</w:t>
      </w:r>
      <w:r w:rsidR="004A41E4" w:rsidRPr="00026EC1">
        <w:t>’</w:t>
      </w:r>
      <w:r w:rsidR="00DF6239" w:rsidRPr="00026EC1">
        <w:t>alinéa</w:t>
      </w:r>
      <w:r w:rsidR="00757E12" w:rsidRPr="00026EC1">
        <w:t> </w:t>
      </w:r>
      <w:r w:rsidR="00DF6239" w:rsidRPr="00026EC1">
        <w:t>D) de la clause</w:t>
      </w:r>
      <w:r w:rsidR="00BD38A6" w:rsidRPr="00026EC1">
        <w:t> </w:t>
      </w:r>
      <w:r w:rsidR="00DF6239" w:rsidRPr="00026EC1">
        <w:t>5</w:t>
      </w:r>
      <w:r w:rsidR="00984A6F">
        <w:noBreakHyphen/>
      </w:r>
      <w:r w:rsidR="00DF6239" w:rsidRPr="00026EC1">
        <w:t xml:space="preserve">4.07. </w:t>
      </w:r>
    </w:p>
    <w:p w14:paraId="47C31919" w14:textId="77777777" w:rsidR="00DF6239" w:rsidRPr="00026EC1" w:rsidRDefault="00DF6239" w:rsidP="00A64613">
      <w:pPr>
        <w:pStyle w:val="Texte1cm"/>
        <w:keepNext w:val="0"/>
      </w:pPr>
    </w:p>
    <w:p w14:paraId="22A6A8FA" w14:textId="7BB5E58A" w:rsidR="00DF6239" w:rsidRPr="00026EC1" w:rsidRDefault="00275751" w:rsidP="00A64613">
      <w:pPr>
        <w:keepNext w:val="0"/>
        <w:ind w:left="567" w:hanging="594"/>
      </w:pPr>
      <w:r w:rsidRPr="00026EC1">
        <w:t>E)</w:t>
      </w:r>
      <w:r w:rsidRPr="00026EC1">
        <w:tab/>
      </w:r>
      <w:r w:rsidR="00DF6239" w:rsidRPr="00026EC1">
        <w:t>Lorsqu</w:t>
      </w:r>
      <w:r w:rsidR="004A41E4" w:rsidRPr="00026EC1">
        <w:t>’</w:t>
      </w:r>
      <w:r w:rsidR="00DF6239" w:rsidRPr="00026EC1">
        <w:t>un poste pour lequel l</w:t>
      </w:r>
      <w:r w:rsidR="004A41E4" w:rsidRPr="00026EC1">
        <w:t>’</w:t>
      </w:r>
      <w:r w:rsidR="00DF6239" w:rsidRPr="00026EC1">
        <w:t>enseignante ou l</w:t>
      </w:r>
      <w:r w:rsidR="004A41E4" w:rsidRPr="00026EC1">
        <w:t>’</w:t>
      </w:r>
      <w:r w:rsidR="00DF6239" w:rsidRPr="00026EC1">
        <w:t>enseignant a fait un choix est disponible dans un autre collège, le Bureau de placement expédie au Collège visé le projet de recyclage de l</w:t>
      </w:r>
      <w:r w:rsidR="004A41E4" w:rsidRPr="00026EC1">
        <w:t>’</w:t>
      </w:r>
      <w:r w:rsidR="00DF6239" w:rsidRPr="00026EC1">
        <w:t>enseignante ou de l</w:t>
      </w:r>
      <w:r w:rsidR="004A41E4" w:rsidRPr="00026EC1">
        <w:t>’</w:t>
      </w:r>
      <w:r w:rsidR="00DF6239" w:rsidRPr="00026EC1">
        <w:t>enseignant concerné et les modalités prévues à l</w:t>
      </w:r>
      <w:r w:rsidR="004A41E4" w:rsidRPr="00026EC1">
        <w:t>’</w:t>
      </w:r>
      <w:r w:rsidR="00DF6239" w:rsidRPr="00026EC1">
        <w:t>alinéa</w:t>
      </w:r>
      <w:r w:rsidR="00757E12" w:rsidRPr="00026EC1">
        <w:t> </w:t>
      </w:r>
      <w:r w:rsidR="00DF6239" w:rsidRPr="00026EC1">
        <w:t>F) de la clause</w:t>
      </w:r>
      <w:r w:rsidR="00BD38A6" w:rsidRPr="00026EC1">
        <w:t> </w:t>
      </w:r>
      <w:r w:rsidR="00DF6239" w:rsidRPr="00026EC1">
        <w:t>5</w:t>
      </w:r>
      <w:r w:rsidR="00984A6F">
        <w:noBreakHyphen/>
      </w:r>
      <w:r w:rsidR="00DF6239" w:rsidRPr="00026EC1">
        <w:t>4.07 s</w:t>
      </w:r>
      <w:r w:rsidR="004A41E4" w:rsidRPr="00026EC1">
        <w:t>’</w:t>
      </w:r>
      <w:r w:rsidR="00DF6239" w:rsidRPr="00026EC1">
        <w:t xml:space="preserve">appliquent. </w:t>
      </w:r>
    </w:p>
    <w:p w14:paraId="6EAD50F0" w14:textId="77777777" w:rsidR="00DF6239" w:rsidRPr="00026EC1" w:rsidRDefault="00DF6239" w:rsidP="00A64613">
      <w:pPr>
        <w:pStyle w:val="Texte1cm"/>
        <w:keepNext w:val="0"/>
        <w:ind w:hanging="567"/>
      </w:pPr>
    </w:p>
    <w:p w14:paraId="0A070A64" w14:textId="4E8675E1" w:rsidR="00DF6239" w:rsidRPr="00026EC1" w:rsidRDefault="00275751" w:rsidP="00A64613">
      <w:pPr>
        <w:keepNext w:val="0"/>
        <w:ind w:left="567" w:hanging="594"/>
      </w:pPr>
      <w:r w:rsidRPr="00026EC1">
        <w:t>F)</w:t>
      </w:r>
      <w:r w:rsidRPr="00026EC1">
        <w:tab/>
      </w:r>
      <w:r w:rsidR="00DF6239" w:rsidRPr="00026EC1">
        <w:t>Après l</w:t>
      </w:r>
      <w:r w:rsidR="004A41E4" w:rsidRPr="00026EC1">
        <w:t>’</w:t>
      </w:r>
      <w:r w:rsidR="00DF6239" w:rsidRPr="00026EC1">
        <w:t>expiration du délai de sept</w:t>
      </w:r>
      <w:r w:rsidR="00B26CCD">
        <w:t> </w:t>
      </w:r>
      <w:r w:rsidR="00DF6239" w:rsidRPr="00026EC1">
        <w:t>(7) jours prévu à l</w:t>
      </w:r>
      <w:r w:rsidR="004A41E4" w:rsidRPr="00026EC1">
        <w:t>’</w:t>
      </w:r>
      <w:r w:rsidR="00DF6239" w:rsidRPr="00026EC1">
        <w:t>alinéa</w:t>
      </w:r>
      <w:r w:rsidR="00757E12" w:rsidRPr="00026EC1">
        <w:t> </w:t>
      </w:r>
      <w:r w:rsidR="00DF6239" w:rsidRPr="00026EC1">
        <w:t>F) de la clause</w:t>
      </w:r>
      <w:r w:rsidR="00BD38A6" w:rsidRPr="00026EC1">
        <w:t> </w:t>
      </w:r>
      <w:r w:rsidR="00DF6239" w:rsidRPr="00026EC1">
        <w:t>5</w:t>
      </w:r>
      <w:r w:rsidR="00984A6F">
        <w:noBreakHyphen/>
      </w:r>
      <w:r w:rsidR="00DF6239" w:rsidRPr="00026EC1">
        <w:t>4.07, un collège peut réserver un poste à une enseignante ou un enseignant en provenance d</w:t>
      </w:r>
      <w:r w:rsidR="004A41E4" w:rsidRPr="00026EC1">
        <w:t>’</w:t>
      </w:r>
      <w:r w:rsidR="00DF6239" w:rsidRPr="00026EC1">
        <w:t>un autre collège si celle</w:t>
      </w:r>
      <w:r w:rsidR="00984A6F">
        <w:noBreakHyphen/>
      </w:r>
      <w:r w:rsidR="00DF6239" w:rsidRPr="00026EC1">
        <w:t>ci ou celui</w:t>
      </w:r>
      <w:r w:rsidR="00984A6F">
        <w:noBreakHyphen/>
      </w:r>
      <w:r w:rsidR="00DF6239" w:rsidRPr="00026EC1">
        <w:t>ci satisfait aux conditions prévues au sous</w:t>
      </w:r>
      <w:r w:rsidR="00984A6F">
        <w:noBreakHyphen/>
      </w:r>
      <w:r w:rsidR="00DF6239" w:rsidRPr="00026EC1">
        <w:t>alinéa</w:t>
      </w:r>
      <w:r w:rsidR="00757E12" w:rsidRPr="00026EC1">
        <w:t> </w:t>
      </w:r>
      <w:r w:rsidR="00DF6239" w:rsidRPr="00026EC1">
        <w:t>2 de l</w:t>
      </w:r>
      <w:r w:rsidR="004A41E4" w:rsidRPr="00026EC1">
        <w:t>’</w:t>
      </w:r>
      <w:r w:rsidR="00DF6239" w:rsidRPr="00026EC1">
        <w:t>alinéa</w:t>
      </w:r>
      <w:r w:rsidR="00757E12" w:rsidRPr="00026EC1">
        <w:t> </w:t>
      </w:r>
      <w:r w:rsidR="00DF6239" w:rsidRPr="00026EC1">
        <w:t>F) de la clause</w:t>
      </w:r>
      <w:r w:rsidR="00BD38A6" w:rsidRPr="00026EC1">
        <w:t> </w:t>
      </w:r>
      <w:r w:rsidR="00DF6239" w:rsidRPr="00026EC1">
        <w:t>5</w:t>
      </w:r>
      <w:r w:rsidR="00984A6F">
        <w:noBreakHyphen/>
      </w:r>
      <w:r w:rsidR="00DF6239" w:rsidRPr="00026EC1">
        <w:t>4.07.</w:t>
      </w:r>
    </w:p>
    <w:p w14:paraId="4B2653E7" w14:textId="77777777" w:rsidR="00DF6239" w:rsidRPr="00026EC1" w:rsidRDefault="00DF6239" w:rsidP="00A64613">
      <w:pPr>
        <w:pStyle w:val="Texte1cm"/>
        <w:keepNext w:val="0"/>
        <w:ind w:hanging="567"/>
      </w:pPr>
    </w:p>
    <w:p w14:paraId="186D99E4" w14:textId="6362D84F" w:rsidR="00DF6239" w:rsidRDefault="00275751" w:rsidP="00A64613">
      <w:pPr>
        <w:keepNext w:val="0"/>
        <w:ind w:left="567" w:hanging="594"/>
      </w:pPr>
      <w:r w:rsidRPr="00026EC1">
        <w:t>G)</w:t>
      </w:r>
      <w:r w:rsidRPr="00026EC1">
        <w:tab/>
      </w:r>
      <w:r w:rsidR="00DF6239" w:rsidRPr="00026EC1">
        <w:t>La durée du recyclage peut être d</w:t>
      </w:r>
      <w:r w:rsidR="004A41E4" w:rsidRPr="00026EC1">
        <w:t>’</w:t>
      </w:r>
      <w:r w:rsidR="00DF6239" w:rsidRPr="00026EC1">
        <w:t>une (1) à huit</w:t>
      </w:r>
      <w:r w:rsidR="00B26CCD">
        <w:t> </w:t>
      </w:r>
      <w:r w:rsidR="00DF6239" w:rsidRPr="00026EC1">
        <w:t>(8) sessions.</w:t>
      </w:r>
    </w:p>
    <w:p w14:paraId="62112A7C" w14:textId="77777777" w:rsidR="00A20EE2" w:rsidRPr="00026EC1" w:rsidRDefault="00A20EE2" w:rsidP="00A64613">
      <w:pPr>
        <w:keepNext w:val="0"/>
        <w:ind w:left="567" w:hanging="594"/>
      </w:pPr>
    </w:p>
    <w:p w14:paraId="2EF88A4D" w14:textId="77777777" w:rsidR="00DF6239" w:rsidRPr="00026EC1" w:rsidRDefault="00DF6239" w:rsidP="00A64613">
      <w:pPr>
        <w:pStyle w:val="Texte1cm"/>
        <w:keepNext w:val="0"/>
      </w:pPr>
      <w:r w:rsidRPr="00026EC1">
        <w:t>Dans le cas d</w:t>
      </w:r>
      <w:r w:rsidR="004A41E4" w:rsidRPr="00026EC1">
        <w:t>’</w:t>
      </w:r>
      <w:r w:rsidRPr="00026EC1">
        <w:t>une absence en raison d</w:t>
      </w:r>
      <w:r w:rsidR="004A41E4" w:rsidRPr="00026EC1">
        <w:t>’</w:t>
      </w:r>
      <w:r w:rsidR="00250B83" w:rsidRPr="00026EC1">
        <w:t xml:space="preserve">une </w:t>
      </w:r>
      <w:r w:rsidRPr="00026EC1">
        <w:t>invalidité, de l</w:t>
      </w:r>
      <w:r w:rsidR="004A41E4" w:rsidRPr="00026EC1">
        <w:t>’</w:t>
      </w:r>
      <w:r w:rsidRPr="00026EC1">
        <w:t>un ou l</w:t>
      </w:r>
      <w:r w:rsidR="004A41E4" w:rsidRPr="00026EC1">
        <w:t>’</w:t>
      </w:r>
      <w:r w:rsidRPr="00026EC1">
        <w:t>autre des congés découlant des droits parentaux ou d</w:t>
      </w:r>
      <w:r w:rsidR="004A41E4" w:rsidRPr="00026EC1">
        <w:t>’</w:t>
      </w:r>
      <w:r w:rsidRPr="00026EC1">
        <w:t>un congé pour raisons familiales, l</w:t>
      </w:r>
      <w:r w:rsidR="004A41E4" w:rsidRPr="00026EC1">
        <w:t>’</w:t>
      </w:r>
      <w:r w:rsidRPr="00026EC1">
        <w:t>enseignante ou l</w:t>
      </w:r>
      <w:r w:rsidR="004A41E4" w:rsidRPr="00026EC1">
        <w:t>’</w:t>
      </w:r>
      <w:r w:rsidRPr="00026EC1">
        <w:t>enseignant peut suspendre temporairement son recyclage pour la durée de l</w:t>
      </w:r>
      <w:r w:rsidR="004A41E4" w:rsidRPr="00026EC1">
        <w:t>’</w:t>
      </w:r>
      <w:r w:rsidRPr="00026EC1">
        <w:t xml:space="preserve">absence sans dépasser toutefois une période maximale de deux (2) ans. </w:t>
      </w:r>
    </w:p>
    <w:p w14:paraId="0FDE8836" w14:textId="77777777" w:rsidR="00DF6239" w:rsidRPr="00026EC1" w:rsidRDefault="00DF6239" w:rsidP="00A64613">
      <w:pPr>
        <w:pStyle w:val="Texte1cm"/>
        <w:keepNext w:val="0"/>
      </w:pPr>
    </w:p>
    <w:p w14:paraId="671C4A18" w14:textId="77777777"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doit informer le Collège lui ayant octroyé un poste réservé de l</w:t>
      </w:r>
      <w:r w:rsidR="004A41E4" w:rsidRPr="00026EC1">
        <w:t>’</w:t>
      </w:r>
      <w:r w:rsidRPr="00026EC1">
        <w:t>une ou l</w:t>
      </w:r>
      <w:r w:rsidR="004A41E4" w:rsidRPr="00026EC1">
        <w:t>’</w:t>
      </w:r>
      <w:r w:rsidRPr="00026EC1">
        <w:t>autre des situations ayant donné lieu à une suspension mentionnée au présent alinéa.</w:t>
      </w:r>
    </w:p>
    <w:p w14:paraId="435369B0" w14:textId="77777777" w:rsidR="00DF6239" w:rsidRPr="00026EC1" w:rsidRDefault="00DF6239" w:rsidP="00A64613">
      <w:pPr>
        <w:pStyle w:val="Texte1cm"/>
        <w:keepNext w:val="0"/>
      </w:pPr>
    </w:p>
    <w:p w14:paraId="720A5F26" w14:textId="77777777" w:rsidR="00DF6239" w:rsidRPr="00026EC1" w:rsidRDefault="00275751" w:rsidP="00A64613">
      <w:pPr>
        <w:keepNext w:val="0"/>
        <w:ind w:left="567" w:hanging="594"/>
      </w:pPr>
      <w:r w:rsidRPr="00026EC1">
        <w:t>H)</w:t>
      </w:r>
      <w:r w:rsidRPr="00026EC1">
        <w:tab/>
      </w:r>
      <w:r w:rsidR="00DF6239" w:rsidRPr="00026EC1">
        <w:t>Pendant la durée de son recyclage, l</w:t>
      </w:r>
      <w:r w:rsidR="004A41E4" w:rsidRPr="00026EC1">
        <w:t>’</w:t>
      </w:r>
      <w:r w:rsidR="00DF6239" w:rsidRPr="00026EC1">
        <w:t>enseignante ou l</w:t>
      </w:r>
      <w:r w:rsidR="004A41E4" w:rsidRPr="00026EC1">
        <w:t>’</w:t>
      </w:r>
      <w:r w:rsidR="00DF6239" w:rsidRPr="00026EC1">
        <w:t>enseignant replacé sur un poste réservé dans un autre collège est considéré à l</w:t>
      </w:r>
      <w:r w:rsidR="004A41E4" w:rsidRPr="00026EC1">
        <w:t>’</w:t>
      </w:r>
      <w:r w:rsidR="00DF6239" w:rsidRPr="00026EC1">
        <w:t>emploi de son collège d</w:t>
      </w:r>
      <w:r w:rsidR="004A41E4" w:rsidRPr="00026EC1">
        <w:t>’</w:t>
      </w:r>
      <w:r w:rsidR="00DF6239" w:rsidRPr="00026EC1">
        <w:t>origine. Elle ou il reçoit un plein salaire annuel et bénéficie des droits et avantages que procure une année d</w:t>
      </w:r>
      <w:r w:rsidR="004A41E4" w:rsidRPr="00026EC1">
        <w:t>’</w:t>
      </w:r>
      <w:r w:rsidR="00DF6239" w:rsidRPr="00026EC1">
        <w:t>enseignement. Elle ou il est soustrait des mécanismes de replacement pour la durée du recyclage.</w:t>
      </w:r>
    </w:p>
    <w:p w14:paraId="12F12952" w14:textId="77777777" w:rsidR="00DF6239" w:rsidRPr="00026EC1" w:rsidRDefault="00DF6239" w:rsidP="00A64613">
      <w:pPr>
        <w:pStyle w:val="Texte1cm"/>
        <w:keepNext w:val="0"/>
        <w:ind w:hanging="567"/>
      </w:pPr>
    </w:p>
    <w:p w14:paraId="48CAF3A6" w14:textId="77777777" w:rsidR="00DF6239" w:rsidRPr="00026EC1" w:rsidRDefault="00275751" w:rsidP="00A64613">
      <w:pPr>
        <w:keepNext w:val="0"/>
        <w:ind w:left="567" w:hanging="594"/>
      </w:pPr>
      <w:r w:rsidRPr="00026EC1">
        <w:t>I)</w:t>
      </w:r>
      <w:r w:rsidRPr="00026EC1">
        <w:tab/>
      </w:r>
      <w:r w:rsidR="00DF6239" w:rsidRPr="00026EC1">
        <w:t>Pendant la durée du recyclage, le Collège ayant octroyé un poste réservé contrôle le succès du recyclage sur la base des objectifs semestriels ou annuels, selon le cas, identifiés au projet. La poursuite d</w:t>
      </w:r>
      <w:r w:rsidR="004A41E4" w:rsidRPr="00026EC1">
        <w:t>’</w:t>
      </w:r>
      <w:r w:rsidR="00DF6239" w:rsidRPr="00026EC1">
        <w:t>un recyclage est conditionnelle à la réussite du recyclage de l</w:t>
      </w:r>
      <w:r w:rsidR="004A41E4" w:rsidRPr="00026EC1">
        <w:t>’</w:t>
      </w:r>
      <w:r w:rsidR="00DF6239" w:rsidRPr="00026EC1">
        <w:t>année précédente. Le Collège ayant octroyé un poste réservé informe le Collège d</w:t>
      </w:r>
      <w:r w:rsidR="004A41E4" w:rsidRPr="00026EC1">
        <w:t>’</w:t>
      </w:r>
      <w:r w:rsidR="00DF6239" w:rsidRPr="00026EC1">
        <w:t>origine de la progression de l</w:t>
      </w:r>
      <w:r w:rsidR="004A41E4" w:rsidRPr="00026EC1">
        <w:t>’</w:t>
      </w:r>
      <w:r w:rsidR="00DF6239" w:rsidRPr="00026EC1">
        <w:t>enseignante ou de l</w:t>
      </w:r>
      <w:r w:rsidR="004A41E4" w:rsidRPr="00026EC1">
        <w:t>’</w:t>
      </w:r>
      <w:r w:rsidR="00DF6239" w:rsidRPr="00026EC1">
        <w:t>enseignant dans son projet de recyclage.</w:t>
      </w:r>
    </w:p>
    <w:p w14:paraId="2CF1FE5F" w14:textId="537F71EE" w:rsidR="00DF6239" w:rsidRPr="00026EC1" w:rsidRDefault="00DF6239" w:rsidP="00A64613">
      <w:pPr>
        <w:pStyle w:val="Texte1cm"/>
        <w:keepNext w:val="0"/>
        <w:ind w:left="0"/>
      </w:pPr>
    </w:p>
    <w:p w14:paraId="5AB85EE6" w14:textId="19FCBB28" w:rsidR="00DF6239" w:rsidRPr="00026EC1" w:rsidRDefault="00275751" w:rsidP="00A64613">
      <w:pPr>
        <w:keepNext w:val="0"/>
        <w:ind w:left="567" w:hanging="594"/>
      </w:pPr>
      <w:r w:rsidRPr="00026EC1">
        <w:t>J)</w:t>
      </w:r>
      <w:r w:rsidRPr="00026EC1">
        <w:tab/>
      </w:r>
      <w:r w:rsidR="00DF6239" w:rsidRPr="00026EC1">
        <w:t>À la fin de son recyclage, si le recyclage est réussi et si le poste réservé dans l</w:t>
      </w:r>
      <w:r w:rsidR="004A41E4" w:rsidRPr="00026EC1">
        <w:t>’</w:t>
      </w:r>
      <w:r w:rsidR="00DF6239" w:rsidRPr="00026EC1">
        <w:t>autre collège existe toujours, l</w:t>
      </w:r>
      <w:r w:rsidR="004A41E4" w:rsidRPr="00026EC1">
        <w:t>’</w:t>
      </w:r>
      <w:r w:rsidR="00DF6239" w:rsidRPr="00026EC1">
        <w:t>enseignante ou l</w:t>
      </w:r>
      <w:r w:rsidR="004A41E4" w:rsidRPr="00026EC1">
        <w:t>’</w:t>
      </w:r>
      <w:r w:rsidR="00DF6239" w:rsidRPr="00026EC1">
        <w:t>enseignant est alors engagé par le Collège lui ayant réservé le poste et elle ou il transfère tous ses droits selon les modalités prévues à l</w:t>
      </w:r>
      <w:r w:rsidR="004A41E4" w:rsidRPr="00026EC1">
        <w:t>’</w:t>
      </w:r>
      <w:r w:rsidR="00DF6239" w:rsidRPr="00026EC1">
        <w:t>alinéa</w:t>
      </w:r>
      <w:r w:rsidR="00757E12" w:rsidRPr="00026EC1">
        <w:t> </w:t>
      </w:r>
      <w:r w:rsidR="00DF6239" w:rsidRPr="00026EC1">
        <w:t>G) de la clause</w:t>
      </w:r>
      <w:r w:rsidR="00BD38A6" w:rsidRPr="00026EC1">
        <w:t> </w:t>
      </w:r>
      <w:r w:rsidR="00DF6239" w:rsidRPr="00026EC1">
        <w:t>5</w:t>
      </w:r>
      <w:r w:rsidR="00984A6F">
        <w:noBreakHyphen/>
      </w:r>
      <w:r w:rsidR="00DF6239" w:rsidRPr="00026EC1">
        <w:t>4.07. Dans ce cas, la nouvelle discipline ou la nouvelle spécialité dans la même discipline s</w:t>
      </w:r>
      <w:r w:rsidR="004A41E4" w:rsidRPr="00026EC1">
        <w:t>’</w:t>
      </w:r>
      <w:r w:rsidR="00DF6239" w:rsidRPr="00026EC1">
        <w:t>ajoute à la (aux) discipline(s) déjà inscrite(s) au contrat de l</w:t>
      </w:r>
      <w:r w:rsidR="004A41E4" w:rsidRPr="00026EC1">
        <w:t>’</w:t>
      </w:r>
      <w:r w:rsidR="00DF6239" w:rsidRPr="00026EC1">
        <w:t>enseignante ou de l</w:t>
      </w:r>
      <w:r w:rsidR="004A41E4" w:rsidRPr="00026EC1">
        <w:t>’</w:t>
      </w:r>
      <w:r w:rsidR="00DF6239" w:rsidRPr="00026EC1">
        <w:t>enseignant aux fins d</w:t>
      </w:r>
      <w:r w:rsidR="004A41E4" w:rsidRPr="00026EC1">
        <w:t>’</w:t>
      </w:r>
      <w:r w:rsidR="00DF6239" w:rsidRPr="00026EC1">
        <w:t xml:space="preserve">application de la convention collective dans son nouveau collège. </w:t>
      </w:r>
    </w:p>
    <w:p w14:paraId="6E1D75F8" w14:textId="77777777" w:rsidR="00DF6239" w:rsidRPr="00026EC1" w:rsidRDefault="00DF6239" w:rsidP="00A64613">
      <w:pPr>
        <w:pStyle w:val="Texte1cm"/>
        <w:keepNext w:val="0"/>
      </w:pPr>
    </w:p>
    <w:p w14:paraId="7B4391D1" w14:textId="686847BF" w:rsidR="00DF6239" w:rsidRPr="00026EC1" w:rsidRDefault="00DF6239" w:rsidP="00A64613">
      <w:pPr>
        <w:pStyle w:val="Texte1cm"/>
        <w:keepNext w:val="0"/>
      </w:pPr>
      <w:r w:rsidRPr="00026EC1">
        <w:t>De plus, à son retour, l</w:t>
      </w:r>
      <w:r w:rsidR="004A41E4" w:rsidRPr="00026EC1">
        <w:t>’</w:t>
      </w:r>
      <w:r w:rsidRPr="00026EC1">
        <w:t>enseignante ou l</w:t>
      </w:r>
      <w:r w:rsidR="004A41E4" w:rsidRPr="00026EC1">
        <w:t>’</w:t>
      </w:r>
      <w:r w:rsidRPr="00026EC1">
        <w:t>enseignant doit occuper le poste réservé pendant une durée équivalente à la durée du recyclage. À défaut, l</w:t>
      </w:r>
      <w:r w:rsidR="004A41E4" w:rsidRPr="00026EC1">
        <w:t>’</w:t>
      </w:r>
      <w:r w:rsidRPr="00026EC1">
        <w:t>enseignante ou l</w:t>
      </w:r>
      <w:r w:rsidR="004A41E4" w:rsidRPr="00026EC1">
        <w:t>’</w:t>
      </w:r>
      <w:r w:rsidRPr="00026EC1">
        <w:t>enseignant rembourse, à son départ, un montant calculé de la manière suivante</w:t>
      </w:r>
      <w:r w:rsidR="00D8581B">
        <w:t> :</w:t>
      </w:r>
    </w:p>
    <w:p w14:paraId="6A3E0053" w14:textId="77777777" w:rsidR="00250B83" w:rsidRPr="00026EC1" w:rsidRDefault="00250B83" w:rsidP="00A64613">
      <w:pPr>
        <w:pStyle w:val="Texte1cm"/>
        <w:keepNext w:val="0"/>
      </w:pPr>
    </w:p>
    <w:p w14:paraId="679F64AA" w14:textId="13EE740B" w:rsidR="00DF6239"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DF6239" w:rsidRPr="00026EC1">
        <w:t>vingt pour cent</w:t>
      </w:r>
      <w:r w:rsidR="00B26CCD">
        <w:t> </w:t>
      </w:r>
      <w:r w:rsidR="00DF6239" w:rsidRPr="00026EC1">
        <w:t>(20</w:t>
      </w:r>
      <w:r w:rsidR="00714A15">
        <w:t> %</w:t>
      </w:r>
      <w:r w:rsidR="00DF6239" w:rsidRPr="00026EC1">
        <w:t>) du salaire reçu pour chacune des sessions où elle ou il était en recyclage moins vingt pour cent</w:t>
      </w:r>
      <w:r w:rsidR="00B26CCD">
        <w:t> </w:t>
      </w:r>
      <w:r w:rsidR="00DF6239" w:rsidRPr="00026EC1">
        <w:t>(20</w:t>
      </w:r>
      <w:r w:rsidR="00714A15">
        <w:t> %</w:t>
      </w:r>
      <w:r w:rsidR="00DF6239" w:rsidRPr="00026EC1">
        <w:t>) du salaire reçu pour la période où elle ou il a occupé le poste réservé jusqu</w:t>
      </w:r>
      <w:r w:rsidR="004A41E4" w:rsidRPr="00026EC1">
        <w:t>’</w:t>
      </w:r>
      <w:r w:rsidR="00DF6239" w:rsidRPr="00026EC1">
        <w:t>à la date de son départ.</w:t>
      </w:r>
    </w:p>
    <w:p w14:paraId="68E5B8E7" w14:textId="77777777" w:rsidR="00DF6239" w:rsidRPr="00026EC1" w:rsidRDefault="00DF6239" w:rsidP="00A64613">
      <w:pPr>
        <w:pStyle w:val="Texte1cm"/>
        <w:keepNext w:val="0"/>
      </w:pPr>
    </w:p>
    <w:p w14:paraId="4FF36C61" w14:textId="77777777" w:rsidR="00DF6239" w:rsidRPr="00026EC1" w:rsidRDefault="00DF6239" w:rsidP="00A64613">
      <w:pPr>
        <w:pStyle w:val="Texte1cm"/>
        <w:keepNext w:val="0"/>
      </w:pPr>
      <w:r w:rsidRPr="00026EC1">
        <w:t>Si le poste réservé dans l</w:t>
      </w:r>
      <w:r w:rsidR="004A41E4" w:rsidRPr="00026EC1">
        <w:t>’</w:t>
      </w:r>
      <w:r w:rsidRPr="00026EC1">
        <w:t>autre collège n</w:t>
      </w:r>
      <w:r w:rsidR="004A41E4" w:rsidRPr="00026EC1">
        <w:t>’</w:t>
      </w:r>
      <w:r w:rsidRPr="00026EC1">
        <w:t>existe plus, l</w:t>
      </w:r>
      <w:r w:rsidR="004A41E4" w:rsidRPr="00026EC1">
        <w:t>’</w:t>
      </w:r>
      <w:r w:rsidRPr="00026EC1">
        <w:t>enseignante ou l</w:t>
      </w:r>
      <w:r w:rsidR="004A41E4" w:rsidRPr="00026EC1">
        <w:t>’</w:t>
      </w:r>
      <w:r w:rsidRPr="00026EC1">
        <w:t>enseignant qui a réussi son recyclage demeure mis en disponibilité dans son collège d</w:t>
      </w:r>
      <w:r w:rsidR="004A41E4" w:rsidRPr="00026EC1">
        <w:t>’</w:t>
      </w:r>
      <w:r w:rsidRPr="00026EC1">
        <w:t>origine et la nouvelle discipline ou la nouvelle spécialité dans la même discipline s</w:t>
      </w:r>
      <w:r w:rsidR="004A41E4" w:rsidRPr="00026EC1">
        <w:t>’</w:t>
      </w:r>
      <w:r w:rsidRPr="00026EC1">
        <w:t>ajoute à la (aux) discipline(s) déjà inscrite(s) à son contrat dans son collège.</w:t>
      </w:r>
    </w:p>
    <w:p w14:paraId="4891A5BF" w14:textId="77777777" w:rsidR="00DF6239" w:rsidRPr="00026EC1" w:rsidRDefault="00DF6239" w:rsidP="00A64613">
      <w:pPr>
        <w:pStyle w:val="Texte1cm"/>
        <w:keepNext w:val="0"/>
      </w:pPr>
    </w:p>
    <w:p w14:paraId="1690686E" w14:textId="73DCFC42" w:rsidR="00DF6239" w:rsidRPr="00026EC1" w:rsidRDefault="00275751" w:rsidP="00A64613">
      <w:pPr>
        <w:keepNext w:val="0"/>
        <w:ind w:left="567" w:hanging="594"/>
      </w:pPr>
      <w:r w:rsidRPr="00026EC1">
        <w:t>K)</w:t>
      </w:r>
      <w:r w:rsidRPr="00026EC1">
        <w:tab/>
      </w:r>
      <w:r w:rsidR="00DF6239" w:rsidRPr="00026EC1">
        <w:t>Lorsque le recyclage n</w:t>
      </w:r>
      <w:r w:rsidR="004A41E4" w:rsidRPr="00026EC1">
        <w:t>’</w:t>
      </w:r>
      <w:r w:rsidR="00DF6239" w:rsidRPr="00026EC1">
        <w:t>est pas réussi ou est interrompu pour d</w:t>
      </w:r>
      <w:r w:rsidR="004A41E4" w:rsidRPr="00026EC1">
        <w:t>’</w:t>
      </w:r>
      <w:r w:rsidR="00DF6239" w:rsidRPr="00026EC1">
        <w:t>autres raisons que celles prévues à l</w:t>
      </w:r>
      <w:r w:rsidR="004A41E4" w:rsidRPr="00026EC1">
        <w:t>’</w:t>
      </w:r>
      <w:r w:rsidR="00DF6239" w:rsidRPr="00026EC1">
        <w:t>alinéa G) de la présente clause, l</w:t>
      </w:r>
      <w:r w:rsidR="004A41E4" w:rsidRPr="00026EC1">
        <w:t>’</w:t>
      </w:r>
      <w:r w:rsidR="00DF6239" w:rsidRPr="00026EC1">
        <w:t>enseignante ou l</w:t>
      </w:r>
      <w:r w:rsidR="004A41E4" w:rsidRPr="00026EC1">
        <w:t>’</w:t>
      </w:r>
      <w:r w:rsidR="00DF6239" w:rsidRPr="00026EC1">
        <w:t>enseignant bénéficiant d</w:t>
      </w:r>
      <w:r w:rsidR="004A41E4" w:rsidRPr="00026EC1">
        <w:t>’</w:t>
      </w:r>
      <w:r w:rsidR="00DF6239" w:rsidRPr="00026EC1">
        <w:t>un recyclage demeure mis en disponibilité. Elle ou il est considéré comme n</w:t>
      </w:r>
      <w:r w:rsidR="004A41E4" w:rsidRPr="00026EC1">
        <w:t>’</w:t>
      </w:r>
      <w:r w:rsidR="00DF6239" w:rsidRPr="00026EC1">
        <w:t>ayant pas suivi de recyclage</w:t>
      </w:r>
      <w:r w:rsidR="003E1207" w:rsidRPr="00026EC1">
        <w:t>,</w:t>
      </w:r>
      <w:r w:rsidR="00DF6239" w:rsidRPr="00026EC1">
        <w:t xml:space="preserve"> le poste réservé ne lui est pas octroyé et elle ou il rembourse, à son retour, vingt pour cent</w:t>
      </w:r>
      <w:r w:rsidR="00B26CCD">
        <w:t> </w:t>
      </w:r>
      <w:r w:rsidR="00DF6239" w:rsidRPr="00026EC1">
        <w:t>(20</w:t>
      </w:r>
      <w:r w:rsidR="00714A15">
        <w:t> %</w:t>
      </w:r>
      <w:r w:rsidR="00DF6239" w:rsidRPr="00026EC1">
        <w:t>) du salaire reçu pour chacune des sessions, à l</w:t>
      </w:r>
      <w:r w:rsidR="004A41E4" w:rsidRPr="00026EC1">
        <w:t>’</w:t>
      </w:r>
      <w:r w:rsidR="00DF6239" w:rsidRPr="00026EC1">
        <w:t>exception des deux</w:t>
      </w:r>
      <w:r w:rsidR="00B26CCD">
        <w:t> </w:t>
      </w:r>
      <w:r w:rsidR="00250B83" w:rsidRPr="00026EC1">
        <w:t xml:space="preserve">(2) </w:t>
      </w:r>
      <w:r w:rsidR="00DF6239" w:rsidRPr="00026EC1">
        <w:t>premières sessions.</w:t>
      </w:r>
    </w:p>
    <w:p w14:paraId="3D0307D9" w14:textId="77777777" w:rsidR="00DF6239" w:rsidRPr="00026EC1" w:rsidRDefault="00DF6239" w:rsidP="00A64613">
      <w:pPr>
        <w:pStyle w:val="Texte1cm"/>
        <w:keepNext w:val="0"/>
      </w:pPr>
    </w:p>
    <w:p w14:paraId="3850D90A" w14:textId="77777777" w:rsidR="00DF6239" w:rsidRPr="00026EC1" w:rsidRDefault="00DF6239" w:rsidP="00A64613">
      <w:pPr>
        <w:pStyle w:val="Texte1cm"/>
        <w:keepNext w:val="0"/>
      </w:pPr>
      <w:r w:rsidRPr="00026EC1">
        <w:t>Si l</w:t>
      </w:r>
      <w:r w:rsidR="004A41E4" w:rsidRPr="00026EC1">
        <w:t>’</w:t>
      </w:r>
      <w:r w:rsidRPr="00026EC1">
        <w:t>enseignante ou l</w:t>
      </w:r>
      <w:r w:rsidR="004A41E4" w:rsidRPr="00026EC1">
        <w:t>’</w:t>
      </w:r>
      <w:r w:rsidRPr="00026EC1">
        <w:t>enseignant ne peut reprendre son recyclage après la période maximale de deux (2) ans prévue à l</w:t>
      </w:r>
      <w:r w:rsidR="004A41E4" w:rsidRPr="00026EC1">
        <w:t>’</w:t>
      </w:r>
      <w:r w:rsidRPr="00026EC1">
        <w:t>alinéa G) de la présente clause, le recyclage prend fin et l</w:t>
      </w:r>
      <w:r w:rsidR="004A41E4" w:rsidRPr="00026EC1">
        <w:t>’</w:t>
      </w:r>
      <w:r w:rsidRPr="00026EC1">
        <w:t>enseignante ou l</w:t>
      </w:r>
      <w:r w:rsidR="004A41E4" w:rsidRPr="00026EC1">
        <w:t>’</w:t>
      </w:r>
      <w:r w:rsidRPr="00026EC1">
        <w:t>enseignant bénéficiant d</w:t>
      </w:r>
      <w:r w:rsidR="004A41E4" w:rsidRPr="00026EC1">
        <w:t>’</w:t>
      </w:r>
      <w:r w:rsidRPr="00026EC1">
        <w:t>un recyclage demeure mis en disponibilité. Elle ou il est considéré comme n</w:t>
      </w:r>
      <w:r w:rsidR="004A41E4" w:rsidRPr="00026EC1">
        <w:t>’</w:t>
      </w:r>
      <w:r w:rsidRPr="00026EC1">
        <w:t>ayant pas suivi de recyclage, le poste réservé ne lui est pas octroyé et elle ou il n</w:t>
      </w:r>
      <w:r w:rsidR="004A41E4" w:rsidRPr="00026EC1">
        <w:t>’</w:t>
      </w:r>
      <w:r w:rsidRPr="00026EC1">
        <w:t>a pas à rembourser le salaire reçu.</w:t>
      </w:r>
    </w:p>
    <w:p w14:paraId="10A319DF" w14:textId="77777777" w:rsidR="00DF6239" w:rsidRPr="00026EC1" w:rsidRDefault="00DF6239" w:rsidP="00A64613">
      <w:pPr>
        <w:pStyle w:val="Texte1cm"/>
        <w:keepNext w:val="0"/>
      </w:pPr>
    </w:p>
    <w:p w14:paraId="5C242D31" w14:textId="77777777" w:rsidR="00DF6239" w:rsidRPr="00026EC1" w:rsidRDefault="00DF6239" w:rsidP="00A64613">
      <w:pPr>
        <w:pStyle w:val="Texte1cm"/>
        <w:keepNext w:val="0"/>
      </w:pPr>
      <w:r w:rsidRPr="00026EC1">
        <w:t>Si le poste n</w:t>
      </w:r>
      <w:r w:rsidR="004A41E4" w:rsidRPr="00026EC1">
        <w:t>’</w:t>
      </w:r>
      <w:r w:rsidRPr="00026EC1">
        <w:t>est pas octroyé selon ce qui était prévu, il cesse d</w:t>
      </w:r>
      <w:r w:rsidR="004A41E4" w:rsidRPr="00026EC1">
        <w:t>’</w:t>
      </w:r>
      <w:r w:rsidRPr="00026EC1">
        <w:t>être réservé et l</w:t>
      </w:r>
      <w:r w:rsidR="004A41E4" w:rsidRPr="00026EC1">
        <w:t>’</w:t>
      </w:r>
      <w:r w:rsidRPr="00026EC1">
        <w:t>enseignante ou l</w:t>
      </w:r>
      <w:r w:rsidR="004A41E4" w:rsidRPr="00026EC1">
        <w:t>’</w:t>
      </w:r>
      <w:r w:rsidRPr="00026EC1">
        <w:t>enseignant remplaçant sur ce poste est considéré comme ayant occupé un poste ou une pleine charge session, selon le cas, pendant toute la durée du recyclage, mais sans permettre rétroactivement l</w:t>
      </w:r>
      <w:r w:rsidR="004A41E4" w:rsidRPr="00026EC1">
        <w:t>’</w:t>
      </w:r>
      <w:r w:rsidRPr="00026EC1">
        <w:t>acquisition de la permanence.</w:t>
      </w:r>
    </w:p>
    <w:p w14:paraId="72E69EF1" w14:textId="77777777" w:rsidR="00DF6239" w:rsidRPr="00026EC1" w:rsidRDefault="00DF6239" w:rsidP="00A64613">
      <w:pPr>
        <w:pStyle w:val="Texte1cm"/>
        <w:keepNext w:val="0"/>
      </w:pPr>
    </w:p>
    <w:p w14:paraId="146C8435" w14:textId="788E601E" w:rsidR="00DF6239" w:rsidRPr="00026EC1" w:rsidRDefault="00275751" w:rsidP="00A64613">
      <w:pPr>
        <w:keepNext w:val="0"/>
        <w:ind w:left="567" w:hanging="594"/>
      </w:pPr>
      <w:r w:rsidRPr="00026EC1">
        <w:t>L)</w:t>
      </w:r>
      <w:r w:rsidRPr="00026EC1">
        <w:tab/>
      </w:r>
      <w:r w:rsidR="00DF6239" w:rsidRPr="00026EC1">
        <w:t>Lorsque le Collège réserve un poste, après avoir satisfait aux conditions de la présente clause, ce poste n</w:t>
      </w:r>
      <w:r w:rsidR="004A41E4" w:rsidRPr="00026EC1">
        <w:t>’</w:t>
      </w:r>
      <w:r w:rsidR="00DF6239" w:rsidRPr="00026EC1">
        <w:t>est pas disponible pendant la durée du recyclage et est soustrait des mécanismes de replacement prévus au présent article. Le poste ainsi réservé est considéré comme une charge annuelle de remplacement ou, dans le cas d</w:t>
      </w:r>
      <w:r w:rsidR="004A41E4" w:rsidRPr="00026EC1">
        <w:t>’</w:t>
      </w:r>
      <w:r w:rsidR="00DF6239" w:rsidRPr="00026EC1">
        <w:t>un recyclage d</w:t>
      </w:r>
      <w:r w:rsidR="004A41E4" w:rsidRPr="00026EC1">
        <w:t>’</w:t>
      </w:r>
      <w:r w:rsidR="00DF6239" w:rsidRPr="00026EC1">
        <w:t>une</w:t>
      </w:r>
      <w:r w:rsidR="00B26CCD">
        <w:t> </w:t>
      </w:r>
      <w:r w:rsidR="00DF6239" w:rsidRPr="00026EC1">
        <w:t>(1) session, comme une pleine charge session.</w:t>
      </w:r>
    </w:p>
    <w:p w14:paraId="22189416" w14:textId="77777777" w:rsidR="00DF6239" w:rsidRPr="00026EC1" w:rsidRDefault="00DF6239" w:rsidP="00A64613">
      <w:pPr>
        <w:pStyle w:val="Texte1cm"/>
        <w:keepNext w:val="0"/>
        <w:ind w:hanging="567"/>
      </w:pPr>
    </w:p>
    <w:p w14:paraId="23F5D7A0" w14:textId="68C58D32" w:rsidR="00DF6239" w:rsidRPr="00026EC1" w:rsidRDefault="00275751" w:rsidP="00A64613">
      <w:pPr>
        <w:keepNext w:val="0"/>
        <w:ind w:left="567" w:hanging="594"/>
      </w:pPr>
      <w:r w:rsidRPr="00026EC1">
        <w:t>M)</w:t>
      </w:r>
      <w:r w:rsidRPr="00026EC1">
        <w:tab/>
      </w:r>
      <w:r w:rsidR="00DF6239" w:rsidRPr="00026EC1">
        <w:t>Dans les cas d</w:t>
      </w:r>
      <w:r w:rsidR="004A41E4" w:rsidRPr="00026EC1">
        <w:t>’</w:t>
      </w:r>
      <w:r w:rsidR="00DF6239" w:rsidRPr="00026EC1">
        <w:t>une suspension temporaire du recyclage selon l</w:t>
      </w:r>
      <w:r w:rsidR="004A41E4" w:rsidRPr="00026EC1">
        <w:t>’</w:t>
      </w:r>
      <w:r w:rsidR="00DF6239" w:rsidRPr="00026EC1">
        <w:t>alinéa G) ou de l</w:t>
      </w:r>
      <w:r w:rsidR="004A41E4" w:rsidRPr="00026EC1">
        <w:t>’</w:t>
      </w:r>
      <w:r w:rsidR="00DF6239" w:rsidRPr="00026EC1">
        <w:t>interruption du recyclage selon l</w:t>
      </w:r>
      <w:r w:rsidR="004A41E4" w:rsidRPr="00026EC1">
        <w:t>’</w:t>
      </w:r>
      <w:r w:rsidR="00DF6239" w:rsidRPr="00026EC1">
        <w:t xml:space="preserve">alinéa K) de la présente clause, le Collège qui a réservé un poste informe le </w:t>
      </w:r>
      <w:r w:rsidR="000C2818">
        <w:t>c</w:t>
      </w:r>
      <w:r w:rsidR="00DF6239" w:rsidRPr="00026EC1">
        <w:t>omité paritaire de placement, en même temps qu</w:t>
      </w:r>
      <w:r w:rsidR="004A41E4" w:rsidRPr="00026EC1">
        <w:t>’</w:t>
      </w:r>
      <w:r w:rsidR="00DF6239" w:rsidRPr="00026EC1">
        <w:t>il transmet les projets de recyclage pour l</w:t>
      </w:r>
      <w:r w:rsidR="004A41E4" w:rsidRPr="00026EC1">
        <w:t>’</w:t>
      </w:r>
      <w:r w:rsidR="00DF6239" w:rsidRPr="00026EC1">
        <w:t>année suivante, des modifications intervenues dans les projets de recyclage de l</w:t>
      </w:r>
      <w:r w:rsidR="004A41E4" w:rsidRPr="00026EC1">
        <w:t>’</w:t>
      </w:r>
      <w:r w:rsidR="00DF6239" w:rsidRPr="00026EC1">
        <w:t>année en cours.</w:t>
      </w:r>
    </w:p>
    <w:p w14:paraId="66ADBB52" w14:textId="1A647D4F" w:rsidR="00D14DE1" w:rsidRDefault="00275751" w:rsidP="00D14DE1">
      <w:pPr>
        <w:keepNext w:val="0"/>
        <w:ind w:left="567" w:hanging="594"/>
      </w:pPr>
      <w:r w:rsidRPr="00026EC1">
        <w:t>N)</w:t>
      </w:r>
      <w:r w:rsidRPr="00026EC1">
        <w:tab/>
      </w:r>
      <w:r w:rsidR="00DF6239" w:rsidRPr="00026EC1">
        <w:t>Les critères retenus pour l</w:t>
      </w:r>
      <w:r w:rsidR="004A41E4" w:rsidRPr="00026EC1">
        <w:t>’</w:t>
      </w:r>
      <w:r w:rsidR="00DF6239" w:rsidRPr="00026EC1">
        <w:t>attribution des recyclages sont les mêmes que ceux prévus au</w:t>
      </w:r>
      <w:r w:rsidR="00250B83" w:rsidRPr="00026EC1">
        <w:t>x</w:t>
      </w:r>
      <w:r w:rsidR="00DF6239" w:rsidRPr="00026EC1">
        <w:t xml:space="preserve"> paragraphe</w:t>
      </w:r>
      <w:r w:rsidR="00250B83" w:rsidRPr="00026EC1">
        <w:t>s</w:t>
      </w:r>
      <w:r w:rsidR="00DF6239" w:rsidRPr="00026EC1">
        <w:t xml:space="preserve"> I) et J) de la clause</w:t>
      </w:r>
      <w:r w:rsidR="00BD38A6" w:rsidRPr="00026EC1">
        <w:t> </w:t>
      </w:r>
      <w:r w:rsidR="00DF6239" w:rsidRPr="00026EC1">
        <w:t>5</w:t>
      </w:r>
      <w:r w:rsidR="00984A6F">
        <w:noBreakHyphen/>
      </w:r>
      <w:r w:rsidR="00DF6239" w:rsidRPr="00026EC1">
        <w:t>4.21.</w:t>
      </w:r>
      <w:r w:rsidR="00D14DE1">
        <w:t xml:space="preserve"> </w:t>
      </w:r>
      <w:r w:rsidR="00D14DE1">
        <w:br w:type="page"/>
      </w:r>
    </w:p>
    <w:p w14:paraId="3FA079ED" w14:textId="7499AC54" w:rsidR="00DF6239" w:rsidRDefault="00DF6239" w:rsidP="00A64613">
      <w:pPr>
        <w:pStyle w:val="NUMRODECLAUSE"/>
        <w:keepNext w:val="0"/>
        <w:rPr>
          <w:u w:val="single"/>
        </w:rPr>
      </w:pPr>
      <w:r w:rsidRPr="00026EC1">
        <w:t>5</w:t>
      </w:r>
      <w:r w:rsidR="00984A6F">
        <w:noBreakHyphen/>
      </w:r>
      <w:r w:rsidRPr="00026EC1">
        <w:t>4.23</w:t>
      </w:r>
      <w:r w:rsidR="000F5085" w:rsidRPr="00026EC1">
        <w:tab/>
      </w:r>
      <w:r w:rsidRPr="00147EA0">
        <w:rPr>
          <w:u w:val="single"/>
        </w:rPr>
        <w:t>Recyclage lié à la révision d</w:t>
      </w:r>
      <w:r w:rsidR="004A41E4" w:rsidRPr="00147EA0">
        <w:rPr>
          <w:u w:val="single"/>
        </w:rPr>
        <w:t>’</w:t>
      </w:r>
      <w:r w:rsidRPr="00147EA0">
        <w:rPr>
          <w:u w:val="single"/>
        </w:rPr>
        <w:t>un programme technique</w:t>
      </w:r>
    </w:p>
    <w:p w14:paraId="46750010" w14:textId="77777777" w:rsidR="00A20EE2" w:rsidRPr="00026EC1" w:rsidRDefault="00A20EE2" w:rsidP="00A64613">
      <w:pPr>
        <w:pStyle w:val="NUMRODECLAUSE"/>
        <w:keepNext w:val="0"/>
      </w:pPr>
    </w:p>
    <w:p w14:paraId="0A7258EF" w14:textId="77777777" w:rsidR="00DF6239" w:rsidRPr="00026EC1" w:rsidRDefault="00275751" w:rsidP="00A64613">
      <w:pPr>
        <w:keepNext w:val="0"/>
        <w:tabs>
          <w:tab w:val="left" w:pos="540"/>
        </w:tabs>
        <w:ind w:left="540" w:hanging="540"/>
      </w:pPr>
      <w:r w:rsidRPr="00026EC1">
        <w:t>A)</w:t>
      </w:r>
      <w:r w:rsidRPr="00026EC1">
        <w:tab/>
      </w:r>
      <w:r w:rsidR="00DF6239" w:rsidRPr="00026EC1">
        <w:t>Le programme de recyclage prévu à la présente clause est accessible à l</w:t>
      </w:r>
      <w:r w:rsidR="004A41E4" w:rsidRPr="00026EC1">
        <w:t>’</w:t>
      </w:r>
      <w:r w:rsidR="00DF6239" w:rsidRPr="00026EC1">
        <w:t>enseignante ou l</w:t>
      </w:r>
      <w:r w:rsidR="004A41E4" w:rsidRPr="00026EC1">
        <w:t>’</w:t>
      </w:r>
      <w:r w:rsidR="00DF6239" w:rsidRPr="00026EC1">
        <w:t>enseignant permanent de la formation spécifique d</w:t>
      </w:r>
      <w:r w:rsidR="004A41E4" w:rsidRPr="00026EC1">
        <w:t>’</w:t>
      </w:r>
      <w:r w:rsidR="00DF6239" w:rsidRPr="00026EC1">
        <w:t>un programme technique faisant l</w:t>
      </w:r>
      <w:r w:rsidR="004A41E4" w:rsidRPr="00026EC1">
        <w:t>’</w:t>
      </w:r>
      <w:r w:rsidR="00DF6239" w:rsidRPr="00026EC1">
        <w:t>objet d</w:t>
      </w:r>
      <w:r w:rsidR="004A41E4" w:rsidRPr="00026EC1">
        <w:t>’</w:t>
      </w:r>
      <w:r w:rsidR="00DF6239" w:rsidRPr="00026EC1">
        <w:t>une révision. Le recyclage de l</w:t>
      </w:r>
      <w:r w:rsidR="004A41E4" w:rsidRPr="00026EC1">
        <w:t>’</w:t>
      </w:r>
      <w:r w:rsidR="00DF6239" w:rsidRPr="00026EC1">
        <w:t>enseignante ou l</w:t>
      </w:r>
      <w:r w:rsidR="004A41E4" w:rsidRPr="00026EC1">
        <w:t>’</w:t>
      </w:r>
      <w:r w:rsidR="00DF6239" w:rsidRPr="00026EC1">
        <w:t>enseignant doit lui permettre de mettre à jour ses compétences professionnelles pour répondre aux nouvelles exigences du programme en révision.</w:t>
      </w:r>
    </w:p>
    <w:p w14:paraId="5FCA8883" w14:textId="77777777" w:rsidR="00DF6239" w:rsidRPr="00026EC1" w:rsidRDefault="00DF6239" w:rsidP="00A64613">
      <w:pPr>
        <w:keepNext w:val="0"/>
      </w:pPr>
    </w:p>
    <w:p w14:paraId="77E3F290" w14:textId="77777777" w:rsidR="00DF6239" w:rsidRPr="00026EC1" w:rsidRDefault="00275751" w:rsidP="00A64613">
      <w:pPr>
        <w:keepNext w:val="0"/>
        <w:tabs>
          <w:tab w:val="left" w:pos="540"/>
        </w:tabs>
        <w:ind w:left="540" w:hanging="540"/>
      </w:pPr>
      <w:r w:rsidRPr="00026EC1">
        <w:t>B)</w:t>
      </w:r>
      <w:r w:rsidRPr="00026EC1">
        <w:tab/>
      </w:r>
      <w:r w:rsidR="00DF6239" w:rsidRPr="00026EC1">
        <w:t>Le Ministère établit annuellement la liste des programmes techniques visés.</w:t>
      </w:r>
    </w:p>
    <w:p w14:paraId="7EDD6A81" w14:textId="77777777" w:rsidR="00DF6239" w:rsidRPr="00026EC1" w:rsidRDefault="00DF6239" w:rsidP="00A64613">
      <w:pPr>
        <w:keepNext w:val="0"/>
      </w:pPr>
    </w:p>
    <w:p w14:paraId="0F4BE229" w14:textId="40A37A47" w:rsidR="00DF6239" w:rsidRPr="00026EC1" w:rsidRDefault="00275751" w:rsidP="00A64613">
      <w:pPr>
        <w:keepNext w:val="0"/>
        <w:tabs>
          <w:tab w:val="left" w:pos="540"/>
        </w:tabs>
        <w:ind w:left="540" w:hanging="540"/>
      </w:pPr>
      <w:r w:rsidRPr="00026EC1">
        <w:t>C)</w:t>
      </w:r>
      <w:r w:rsidRPr="00026EC1">
        <w:tab/>
      </w:r>
      <w:r w:rsidR="00DF6239" w:rsidRPr="00026EC1">
        <w:t>À compter de 2006</w:t>
      </w:r>
      <w:r w:rsidR="00984A6F">
        <w:noBreakHyphen/>
      </w:r>
      <w:r w:rsidR="00DF6239" w:rsidRPr="00026EC1">
        <w:t>2007, le solde des ressources non utilisées de l</w:t>
      </w:r>
      <w:r w:rsidR="004A41E4" w:rsidRPr="00026EC1">
        <w:t>’</w:t>
      </w:r>
      <w:r w:rsidR="00DF6239" w:rsidRPr="00026EC1">
        <w:t>année 2002</w:t>
      </w:r>
      <w:r w:rsidR="00984A6F">
        <w:noBreakHyphen/>
      </w:r>
      <w:r w:rsidR="00DF6239" w:rsidRPr="00026EC1">
        <w:t>2003 des recyclages vers postes réservés prévus à l</w:t>
      </w:r>
      <w:r w:rsidR="004A41E4" w:rsidRPr="00026EC1">
        <w:t>’</w:t>
      </w:r>
      <w:r w:rsidR="00DF6239" w:rsidRPr="00026EC1">
        <w:t>alinéa</w:t>
      </w:r>
      <w:r w:rsidR="00757E12" w:rsidRPr="00026EC1">
        <w:t> </w:t>
      </w:r>
      <w:r w:rsidR="00DF6239" w:rsidRPr="00026EC1">
        <w:t>C) de la clause</w:t>
      </w:r>
      <w:r w:rsidR="00BD38A6" w:rsidRPr="00026EC1">
        <w:t> </w:t>
      </w:r>
      <w:r w:rsidR="00DF6239" w:rsidRPr="00026EC1">
        <w:t>5</w:t>
      </w:r>
      <w:r w:rsidR="00984A6F">
        <w:noBreakHyphen/>
      </w:r>
      <w:r w:rsidR="00DF6239" w:rsidRPr="00026EC1">
        <w:t>4.21, sont accessibles aux fins de perfectionnement disciplinaire en raison d</w:t>
      </w:r>
      <w:r w:rsidR="004A41E4" w:rsidRPr="00026EC1">
        <w:t>’</w:t>
      </w:r>
      <w:r w:rsidR="00DF6239" w:rsidRPr="00026EC1">
        <w:t>une révision dans un programme technique jusqu</w:t>
      </w:r>
      <w:r w:rsidR="004A41E4" w:rsidRPr="00026EC1">
        <w:t>’</w:t>
      </w:r>
      <w:r w:rsidR="00DF6239" w:rsidRPr="00026EC1">
        <w:t>à épuisement de ces ressources.</w:t>
      </w:r>
    </w:p>
    <w:p w14:paraId="6D2FE5C8" w14:textId="77777777" w:rsidR="00DF6239" w:rsidRPr="00026EC1" w:rsidRDefault="00DF6239" w:rsidP="00A64613">
      <w:pPr>
        <w:pStyle w:val="Texte1cm"/>
        <w:keepNext w:val="0"/>
      </w:pPr>
    </w:p>
    <w:p w14:paraId="618F0DE9" w14:textId="16047615" w:rsidR="00DF6239" w:rsidRPr="00026EC1" w:rsidRDefault="00275751" w:rsidP="00A64613">
      <w:pPr>
        <w:keepNext w:val="0"/>
        <w:tabs>
          <w:tab w:val="left" w:pos="540"/>
        </w:tabs>
        <w:ind w:left="540" w:hanging="540"/>
      </w:pPr>
      <w:r w:rsidRPr="00026EC1">
        <w:t>D)</w:t>
      </w:r>
      <w:r w:rsidRPr="00026EC1">
        <w:tab/>
      </w:r>
      <w:r w:rsidR="00DF6239" w:rsidRPr="00026EC1">
        <w:t>L</w:t>
      </w:r>
      <w:r w:rsidR="004A41E4" w:rsidRPr="00026EC1">
        <w:t>’</w:t>
      </w:r>
      <w:r w:rsidR="00DF6239" w:rsidRPr="00026EC1">
        <w:t>enseignante ou l</w:t>
      </w:r>
      <w:r w:rsidR="004A41E4" w:rsidRPr="00026EC1">
        <w:t>’</w:t>
      </w:r>
      <w:r w:rsidR="00DF6239" w:rsidRPr="00026EC1">
        <w:t>enseignant qui désire bénéficier d</w:t>
      </w:r>
      <w:r w:rsidR="004A41E4" w:rsidRPr="00026EC1">
        <w:t>’</w:t>
      </w:r>
      <w:r w:rsidR="00DF6239" w:rsidRPr="00026EC1">
        <w:t>un recyclage en raison de la révision d</w:t>
      </w:r>
      <w:r w:rsidR="004A41E4" w:rsidRPr="00026EC1">
        <w:t>’</w:t>
      </w:r>
      <w:r w:rsidR="00DF6239" w:rsidRPr="00026EC1">
        <w:t>un programme technique soumet, par écrit, à son Collège un projet à cet effet. Ce projet comprend</w:t>
      </w:r>
      <w:r w:rsidR="00D8581B">
        <w:t> :</w:t>
      </w:r>
      <w:r w:rsidR="00DF6239" w:rsidRPr="00026EC1">
        <w:t xml:space="preserve"> le programme visé, les objectifs poursuivis, le lien avec la révision du programme, la description et la durée de la formation demandée. Le projet de recyclage peut être à temps complet ou à temps partiel. La durée du projet ne peut dépasser deux (2) sessions. Il est attribué sous forme de libération (CI</w:t>
      </w:r>
      <w:r w:rsidR="00DF6239" w:rsidRPr="00026EC1">
        <w:rPr>
          <w:vertAlign w:val="subscript"/>
        </w:rPr>
        <w:t>L</w:t>
      </w:r>
      <w:r w:rsidR="00DF6239" w:rsidRPr="00026EC1">
        <w:t>).</w:t>
      </w:r>
    </w:p>
    <w:p w14:paraId="48157EFB" w14:textId="77777777" w:rsidR="00DF6239" w:rsidRPr="00026EC1" w:rsidRDefault="00DF6239" w:rsidP="00A64613">
      <w:pPr>
        <w:pStyle w:val="Texte1cm"/>
        <w:keepNext w:val="0"/>
      </w:pPr>
    </w:p>
    <w:p w14:paraId="7BB54D21" w14:textId="4958FB22" w:rsidR="00DF6239" w:rsidRPr="00026EC1" w:rsidRDefault="00DF6239" w:rsidP="00A64613">
      <w:pPr>
        <w:pStyle w:val="Texte1cm"/>
        <w:keepNext w:val="0"/>
      </w:pPr>
      <w:r w:rsidRPr="00026EC1">
        <w:t>Le Collège analyse les projets qui lui sont présentés et consulte les départements de la formation spécifique du programme visé. Par la suite, au plus tard le 15 mai, le Collège transmet au comité paritaire de placement les projets dont il recommande l</w:t>
      </w:r>
      <w:r w:rsidR="004A41E4" w:rsidRPr="00026EC1">
        <w:t>’</w:t>
      </w:r>
      <w:r w:rsidRPr="00026EC1">
        <w:t>acceptation, accompagnés des pièces justificatives. Le Collège peut recommander un projet même à l</w:t>
      </w:r>
      <w:r w:rsidR="004A41E4" w:rsidRPr="00026EC1">
        <w:t>’</w:t>
      </w:r>
      <w:r w:rsidRPr="00026EC1">
        <w:t>encontre ou en l</w:t>
      </w:r>
      <w:r w:rsidR="004A41E4" w:rsidRPr="00026EC1">
        <w:t>’</w:t>
      </w:r>
      <w:r w:rsidRPr="00026EC1">
        <w:t>absence d</w:t>
      </w:r>
      <w:r w:rsidR="004A41E4" w:rsidRPr="00026EC1">
        <w:t>’</w:t>
      </w:r>
      <w:r w:rsidRPr="00026EC1">
        <w:t xml:space="preserve">une recommandation du département concerné. Le </w:t>
      </w:r>
      <w:r w:rsidR="000C2818">
        <w:t>c</w:t>
      </w:r>
      <w:r w:rsidRPr="00026EC1">
        <w:t>omité paritaire de placement doit donner une réponse au Collège au plus tard le 15 juin.</w:t>
      </w:r>
    </w:p>
    <w:p w14:paraId="755CE50B" w14:textId="77777777" w:rsidR="00DF6239" w:rsidRPr="00026EC1" w:rsidRDefault="00DF6239" w:rsidP="00A64613">
      <w:pPr>
        <w:pStyle w:val="Texte1cm"/>
        <w:keepNext w:val="0"/>
      </w:pPr>
    </w:p>
    <w:p w14:paraId="07CBD328" w14:textId="77777777" w:rsidR="00DF6239" w:rsidRPr="00026EC1" w:rsidRDefault="00DF6239" w:rsidP="00A64613">
      <w:pPr>
        <w:pStyle w:val="Texte1cm"/>
        <w:keepNext w:val="0"/>
        <w:rPr>
          <w:rFonts w:ascii="Times New Roman" w:hAnsi="Times New Roman"/>
          <w:szCs w:val="24"/>
        </w:rPr>
      </w:pPr>
      <w:r w:rsidRPr="00026EC1">
        <w:t>Le Collège contrôle le succès du recyclage sur la base des objectifs semestriels ou annuels, selon le cas, identifiés au projet.</w:t>
      </w:r>
    </w:p>
    <w:p w14:paraId="31705842" w14:textId="5B429EDC" w:rsidR="00DF6239" w:rsidRPr="00026EC1" w:rsidRDefault="00DF6239" w:rsidP="00A64613">
      <w:pPr>
        <w:keepNext w:val="0"/>
      </w:pPr>
    </w:p>
    <w:p w14:paraId="3DF6B4B1" w14:textId="77777777" w:rsidR="00DF6239" w:rsidRPr="00026EC1" w:rsidRDefault="00275751" w:rsidP="00A64613">
      <w:pPr>
        <w:keepNext w:val="0"/>
        <w:tabs>
          <w:tab w:val="left" w:pos="540"/>
        </w:tabs>
        <w:ind w:left="540" w:hanging="540"/>
      </w:pPr>
      <w:r w:rsidRPr="00026EC1">
        <w:t>E)</w:t>
      </w:r>
      <w:r w:rsidRPr="00026EC1">
        <w:tab/>
      </w:r>
      <w:r w:rsidR="00DF6239" w:rsidRPr="00026EC1">
        <w:t>Dans le cas d</w:t>
      </w:r>
      <w:r w:rsidR="004A41E4" w:rsidRPr="00026EC1">
        <w:t>’</w:t>
      </w:r>
      <w:r w:rsidR="00DF6239" w:rsidRPr="00026EC1">
        <w:t>une absence en raison d</w:t>
      </w:r>
      <w:r w:rsidR="004A41E4" w:rsidRPr="00026EC1">
        <w:t>’</w:t>
      </w:r>
      <w:r w:rsidR="00250B83" w:rsidRPr="00026EC1">
        <w:t xml:space="preserve">une </w:t>
      </w:r>
      <w:r w:rsidR="00DF6239" w:rsidRPr="00026EC1">
        <w:t>invalidité, de l</w:t>
      </w:r>
      <w:r w:rsidR="004A41E4" w:rsidRPr="00026EC1">
        <w:t>’</w:t>
      </w:r>
      <w:r w:rsidR="00DF6239" w:rsidRPr="00026EC1">
        <w:t>un ou l</w:t>
      </w:r>
      <w:r w:rsidR="004A41E4" w:rsidRPr="00026EC1">
        <w:t>’</w:t>
      </w:r>
      <w:r w:rsidR="00DF6239" w:rsidRPr="00026EC1">
        <w:t>autre des congés découlant des droits parentaux ou d</w:t>
      </w:r>
      <w:r w:rsidR="004A41E4" w:rsidRPr="00026EC1">
        <w:t>’</w:t>
      </w:r>
      <w:r w:rsidR="00DF6239" w:rsidRPr="00026EC1">
        <w:t>un congé pour raisons familiales,</w:t>
      </w:r>
      <w:r w:rsidR="000F5085" w:rsidRPr="00026EC1">
        <w:t xml:space="preserve"> </w:t>
      </w:r>
      <w:r w:rsidR="00DF6239" w:rsidRPr="00026EC1">
        <w:t>l</w:t>
      </w:r>
      <w:r w:rsidR="004A41E4" w:rsidRPr="00026EC1">
        <w:t>’</w:t>
      </w:r>
      <w:r w:rsidR="00DF6239" w:rsidRPr="00026EC1">
        <w:t>enseignante ou l</w:t>
      </w:r>
      <w:r w:rsidR="004A41E4" w:rsidRPr="00026EC1">
        <w:t>’</w:t>
      </w:r>
      <w:r w:rsidR="00DF6239" w:rsidRPr="00026EC1">
        <w:t>enseignant peut suspendre temporairement son recyclage pour la durée de l</w:t>
      </w:r>
      <w:r w:rsidR="004A41E4" w:rsidRPr="00026EC1">
        <w:t>’</w:t>
      </w:r>
      <w:r w:rsidR="00DF6239" w:rsidRPr="00026EC1">
        <w:t>absence sans dépasser toutefois une période maximale de deux (2) ans. Lorsque la durée de la suspension est effective pour une (1) session complète, le recyclage n</w:t>
      </w:r>
      <w:r w:rsidR="004A41E4" w:rsidRPr="00026EC1">
        <w:t>’</w:t>
      </w:r>
      <w:r w:rsidR="00DF6239" w:rsidRPr="00026EC1">
        <w:t>est pas comptabilisé aux fins de l</w:t>
      </w:r>
      <w:r w:rsidR="004A41E4" w:rsidRPr="00026EC1">
        <w:t>’</w:t>
      </w:r>
      <w:r w:rsidR="00DF6239" w:rsidRPr="00026EC1">
        <w:t>alinéa</w:t>
      </w:r>
      <w:r w:rsidR="00757E12" w:rsidRPr="00026EC1">
        <w:t> </w:t>
      </w:r>
      <w:r w:rsidR="00DF6239" w:rsidRPr="00026EC1">
        <w:t>C).</w:t>
      </w:r>
    </w:p>
    <w:p w14:paraId="3C7EC68A" w14:textId="77777777" w:rsidR="00DF6239" w:rsidRPr="00026EC1" w:rsidRDefault="00DF6239" w:rsidP="00A64613">
      <w:pPr>
        <w:pStyle w:val="Texte1cm"/>
        <w:keepNext w:val="0"/>
      </w:pPr>
    </w:p>
    <w:p w14:paraId="6693669C" w14:textId="77777777" w:rsidR="00DF6239" w:rsidRPr="00026EC1" w:rsidRDefault="00DF6239" w:rsidP="00A64613">
      <w:pPr>
        <w:pStyle w:val="Texte1cm"/>
        <w:keepNext w:val="0"/>
      </w:pPr>
      <w:r w:rsidRPr="00026EC1">
        <w:t>Lorsque le recyclage est interrompu pour d</w:t>
      </w:r>
      <w:r w:rsidR="004A41E4" w:rsidRPr="00026EC1">
        <w:t>’</w:t>
      </w:r>
      <w:r w:rsidRPr="00026EC1">
        <w:t>autres raisons que celles prévues au paragraphe précédent, l</w:t>
      </w:r>
      <w:r w:rsidR="004A41E4" w:rsidRPr="00026EC1">
        <w:t>’</w:t>
      </w:r>
      <w:r w:rsidRPr="00026EC1">
        <w:t>enseignante ou l</w:t>
      </w:r>
      <w:r w:rsidR="004A41E4" w:rsidRPr="00026EC1">
        <w:t>’</w:t>
      </w:r>
      <w:r w:rsidRPr="00026EC1">
        <w:t>enseignant doit en aviser le Collège. Dans ce cas, le projet de formation prend fin et l</w:t>
      </w:r>
      <w:r w:rsidR="004A41E4" w:rsidRPr="00026EC1">
        <w:t>’</w:t>
      </w:r>
      <w:r w:rsidRPr="00026EC1">
        <w:t>enseignante ou l</w:t>
      </w:r>
      <w:r w:rsidR="004A41E4" w:rsidRPr="00026EC1">
        <w:t>’</w:t>
      </w:r>
      <w:r w:rsidRPr="00026EC1">
        <w:t>enseignant reprend une charge d</w:t>
      </w:r>
      <w:r w:rsidR="004A41E4" w:rsidRPr="00026EC1">
        <w:t>’</w:t>
      </w:r>
      <w:r w:rsidRPr="00026EC1">
        <w:t>enseignement selon les modalités à convenir entre l</w:t>
      </w:r>
      <w:r w:rsidR="004A41E4" w:rsidRPr="00026EC1">
        <w:t>’</w:t>
      </w:r>
      <w:r w:rsidRPr="00026EC1">
        <w:t>enseignante ou l</w:t>
      </w:r>
      <w:r w:rsidR="004A41E4" w:rsidRPr="00026EC1">
        <w:t>’</w:t>
      </w:r>
      <w:r w:rsidRPr="00026EC1">
        <w:t xml:space="preserve">enseignant et le Collège. </w:t>
      </w:r>
    </w:p>
    <w:p w14:paraId="3FD45DA4" w14:textId="77777777" w:rsidR="00DF6239" w:rsidRPr="00026EC1" w:rsidRDefault="00DF6239" w:rsidP="00A64613">
      <w:pPr>
        <w:pStyle w:val="Texte1cm"/>
        <w:keepNext w:val="0"/>
      </w:pPr>
    </w:p>
    <w:p w14:paraId="511936CB" w14:textId="77777777" w:rsidR="00DF6239" w:rsidRPr="00026EC1" w:rsidRDefault="00DF6239" w:rsidP="00A64613">
      <w:pPr>
        <w:pStyle w:val="Texte1cm"/>
        <w:keepNext w:val="0"/>
        <w:rPr>
          <w:rFonts w:ascii="Times New Roman" w:hAnsi="Times New Roman"/>
          <w:szCs w:val="24"/>
        </w:rPr>
      </w:pPr>
      <w:r w:rsidRPr="00026EC1">
        <w:t>Si l</w:t>
      </w:r>
      <w:r w:rsidR="004A41E4" w:rsidRPr="00026EC1">
        <w:t>’</w:t>
      </w:r>
      <w:r w:rsidRPr="00026EC1">
        <w:t>enseignante ou l</w:t>
      </w:r>
      <w:r w:rsidR="004A41E4" w:rsidRPr="00026EC1">
        <w:t>’</w:t>
      </w:r>
      <w:r w:rsidRPr="00026EC1">
        <w:t>enseignant ne peut reprendre son recyclage après la période maximale de deux (2) ans, le recyclage prend fin et l</w:t>
      </w:r>
      <w:r w:rsidR="004A41E4" w:rsidRPr="00026EC1">
        <w:t>’</w:t>
      </w:r>
      <w:r w:rsidRPr="00026EC1">
        <w:t>enseignante ou l</w:t>
      </w:r>
      <w:r w:rsidR="004A41E4" w:rsidRPr="00026EC1">
        <w:t>’</w:t>
      </w:r>
      <w:r w:rsidRPr="00026EC1">
        <w:t>enseignant bénéficiant d</w:t>
      </w:r>
      <w:r w:rsidR="004A41E4" w:rsidRPr="00026EC1">
        <w:t>’</w:t>
      </w:r>
      <w:r w:rsidRPr="00026EC1">
        <w:t>un recyclage retourne dans la situation qui était la sienne avant le début du recyclage.</w:t>
      </w:r>
      <w:r w:rsidRPr="00026EC1">
        <w:rPr>
          <w:rFonts w:ascii="Times New Roman" w:hAnsi="Times New Roman"/>
          <w:szCs w:val="24"/>
        </w:rPr>
        <w:t xml:space="preserve"> </w:t>
      </w:r>
    </w:p>
    <w:p w14:paraId="4F57D7E5" w14:textId="77777777" w:rsidR="00DF6239" w:rsidRPr="00026EC1" w:rsidRDefault="00DF6239" w:rsidP="00A64613">
      <w:pPr>
        <w:pStyle w:val="Texte1cm"/>
        <w:keepNext w:val="0"/>
        <w:rPr>
          <w:rFonts w:ascii="Times New Roman" w:hAnsi="Times New Roman"/>
          <w:szCs w:val="24"/>
        </w:rPr>
      </w:pPr>
    </w:p>
    <w:p w14:paraId="78025756" w14:textId="77777777" w:rsidR="00DF6239" w:rsidRPr="00026EC1" w:rsidRDefault="00275751" w:rsidP="00A64613">
      <w:pPr>
        <w:keepNext w:val="0"/>
        <w:tabs>
          <w:tab w:val="left" w:pos="540"/>
        </w:tabs>
        <w:ind w:left="540" w:hanging="540"/>
      </w:pPr>
      <w:r w:rsidRPr="00026EC1">
        <w:t>F)</w:t>
      </w:r>
      <w:r w:rsidRPr="00026EC1">
        <w:tab/>
      </w:r>
      <w:r w:rsidR="00DF6239" w:rsidRPr="00026EC1">
        <w:t>Pendant la durée de son recyclage, l</w:t>
      </w:r>
      <w:r w:rsidR="004A41E4" w:rsidRPr="00026EC1">
        <w:t>’</w:t>
      </w:r>
      <w:r w:rsidR="00DF6239" w:rsidRPr="00026EC1">
        <w:t>enseignante ou l</w:t>
      </w:r>
      <w:r w:rsidR="004A41E4" w:rsidRPr="00026EC1">
        <w:t>’</w:t>
      </w:r>
      <w:r w:rsidR="00DF6239" w:rsidRPr="00026EC1">
        <w:t>enseignant reçoit le salaire qu</w:t>
      </w:r>
      <w:r w:rsidR="004A41E4" w:rsidRPr="00026EC1">
        <w:t>’</w:t>
      </w:r>
      <w:r w:rsidR="00DF6239" w:rsidRPr="00026EC1">
        <w:t>elle ou il recevrait si elle ou il était au travail; elle ou il bénéficie des droits et avantages que procure une année d</w:t>
      </w:r>
      <w:r w:rsidR="004A41E4" w:rsidRPr="00026EC1">
        <w:t>’</w:t>
      </w:r>
      <w:r w:rsidR="00DF6239" w:rsidRPr="00026EC1">
        <w:t>enseignement.</w:t>
      </w:r>
    </w:p>
    <w:p w14:paraId="0CDD74B5" w14:textId="77777777" w:rsidR="00DF6239" w:rsidRPr="00026EC1" w:rsidRDefault="00DF6239" w:rsidP="00A64613">
      <w:pPr>
        <w:pStyle w:val="Texte1cm"/>
        <w:keepNext w:val="0"/>
      </w:pPr>
    </w:p>
    <w:p w14:paraId="26D2FDFA" w14:textId="77777777" w:rsidR="00DF6239" w:rsidRPr="00026EC1" w:rsidRDefault="00275751" w:rsidP="00A64613">
      <w:pPr>
        <w:keepNext w:val="0"/>
        <w:tabs>
          <w:tab w:val="left" w:pos="540"/>
        </w:tabs>
        <w:ind w:left="540" w:hanging="540"/>
        <w:rPr>
          <w:rFonts w:ascii="Times New Roman" w:hAnsi="Times New Roman"/>
          <w:szCs w:val="24"/>
        </w:rPr>
      </w:pPr>
      <w:r w:rsidRPr="00026EC1">
        <w:rPr>
          <w:szCs w:val="24"/>
        </w:rPr>
        <w:t>G)</w:t>
      </w:r>
      <w:r w:rsidRPr="00026EC1">
        <w:rPr>
          <w:szCs w:val="24"/>
        </w:rPr>
        <w:tab/>
      </w:r>
      <w:r w:rsidR="00DF6239" w:rsidRPr="00026EC1">
        <w:t>Sauf par entente entre les parties, les frais relatifs au recyclage sont à la charge de l</w:t>
      </w:r>
      <w:r w:rsidR="004A41E4" w:rsidRPr="00026EC1">
        <w:t>’</w:t>
      </w:r>
      <w:r w:rsidR="00DF6239" w:rsidRPr="00026EC1">
        <w:t>enseignante ou de l</w:t>
      </w:r>
      <w:r w:rsidR="004A41E4" w:rsidRPr="00026EC1">
        <w:t>’</w:t>
      </w:r>
      <w:r w:rsidR="00DF6239" w:rsidRPr="00026EC1">
        <w:t>enseignant.</w:t>
      </w:r>
    </w:p>
    <w:p w14:paraId="07661878" w14:textId="77777777" w:rsidR="00DF6239" w:rsidRPr="00026EC1" w:rsidRDefault="00DF6239" w:rsidP="00A64613">
      <w:pPr>
        <w:pStyle w:val="Texte1cm"/>
        <w:keepNext w:val="0"/>
      </w:pPr>
    </w:p>
    <w:p w14:paraId="72C5735B" w14:textId="6A3F861D" w:rsidR="00DF6239" w:rsidRPr="00026EC1" w:rsidRDefault="00275751" w:rsidP="00A64613">
      <w:pPr>
        <w:keepNext w:val="0"/>
        <w:tabs>
          <w:tab w:val="left" w:pos="540"/>
        </w:tabs>
        <w:ind w:left="540" w:hanging="540"/>
      </w:pPr>
      <w:r w:rsidRPr="00026EC1">
        <w:t>H)</w:t>
      </w:r>
      <w:r w:rsidRPr="00026EC1">
        <w:tab/>
      </w:r>
      <w:r w:rsidR="00DF6239" w:rsidRPr="00026EC1">
        <w:t>Le comité paritaire de placement procède à l</w:t>
      </w:r>
      <w:r w:rsidR="004A41E4" w:rsidRPr="00026EC1">
        <w:t>’</w:t>
      </w:r>
      <w:r w:rsidR="00DF6239" w:rsidRPr="00026EC1">
        <w:t>attribution des recyclages selon l</w:t>
      </w:r>
      <w:r w:rsidR="004A41E4" w:rsidRPr="00026EC1">
        <w:t>’</w:t>
      </w:r>
      <w:r w:rsidR="00DF6239" w:rsidRPr="00026EC1">
        <w:t>ordre suivant</w:t>
      </w:r>
      <w:r w:rsidR="00D8581B">
        <w:t> :</w:t>
      </w:r>
    </w:p>
    <w:p w14:paraId="1BE75A01" w14:textId="77777777" w:rsidR="00DF6239" w:rsidRPr="00026EC1" w:rsidRDefault="00DF6239" w:rsidP="00A64613">
      <w:pPr>
        <w:pStyle w:val="Texte1cm"/>
        <w:keepNext w:val="0"/>
      </w:pPr>
    </w:p>
    <w:p w14:paraId="15749A3A" w14:textId="6A4BE417" w:rsidR="00DF6239" w:rsidRPr="00026EC1" w:rsidRDefault="00275751" w:rsidP="00A64613">
      <w:pPr>
        <w:keepNext w:val="0"/>
        <w:ind w:left="1134" w:hanging="567"/>
      </w:pPr>
      <w:r w:rsidRPr="00026EC1">
        <w:rPr>
          <w:sz w:val="22"/>
        </w:rPr>
        <w:t>1.</w:t>
      </w:r>
      <w:r w:rsidRPr="00026EC1">
        <w:rPr>
          <w:sz w:val="22"/>
        </w:rPr>
        <w:tab/>
      </w:r>
      <w:r w:rsidR="00DF6239" w:rsidRPr="00026EC1">
        <w:t>les demandes d</w:t>
      </w:r>
      <w:r w:rsidR="004A41E4" w:rsidRPr="00026EC1">
        <w:t>’</w:t>
      </w:r>
      <w:r w:rsidR="00DF6239" w:rsidRPr="00026EC1">
        <w:t>une durée de moins d</w:t>
      </w:r>
      <w:r w:rsidR="004A41E4" w:rsidRPr="00026EC1">
        <w:t>’</w:t>
      </w:r>
      <w:r w:rsidR="00DF6239" w:rsidRPr="00026EC1">
        <w:t>une</w:t>
      </w:r>
      <w:r w:rsidR="00B26CCD">
        <w:t> </w:t>
      </w:r>
      <w:r w:rsidR="00DF6239" w:rsidRPr="00026EC1">
        <w:t>(1) session;</w:t>
      </w:r>
    </w:p>
    <w:p w14:paraId="354D6FF3" w14:textId="77777777" w:rsidR="00DF6239" w:rsidRPr="00026EC1" w:rsidRDefault="00DF6239" w:rsidP="00A64613">
      <w:pPr>
        <w:pStyle w:val="Texte1cm"/>
        <w:keepNext w:val="0"/>
        <w:ind w:left="1134" w:hanging="567"/>
      </w:pPr>
      <w:bookmarkStart w:id="423" w:name="OLE_LINK5"/>
    </w:p>
    <w:p w14:paraId="76CC7EB0" w14:textId="0B08C58A" w:rsidR="00DF6239" w:rsidRDefault="00275751" w:rsidP="00A64613">
      <w:pPr>
        <w:keepNext w:val="0"/>
        <w:ind w:left="1134" w:hanging="567"/>
      </w:pPr>
      <w:r w:rsidRPr="00026EC1">
        <w:rPr>
          <w:sz w:val="22"/>
        </w:rPr>
        <w:t>2.</w:t>
      </w:r>
      <w:r w:rsidRPr="00026EC1">
        <w:rPr>
          <w:sz w:val="22"/>
        </w:rPr>
        <w:tab/>
      </w:r>
      <w:r w:rsidR="00DF6239" w:rsidRPr="00026EC1">
        <w:t>les demandes d</w:t>
      </w:r>
      <w:r w:rsidR="004A41E4" w:rsidRPr="00026EC1">
        <w:t>’</w:t>
      </w:r>
      <w:r w:rsidR="00DF6239" w:rsidRPr="00026EC1">
        <w:t>une durée d</w:t>
      </w:r>
      <w:r w:rsidR="004A41E4" w:rsidRPr="00026EC1">
        <w:t>’</w:t>
      </w:r>
      <w:r w:rsidR="00DF6239" w:rsidRPr="00026EC1">
        <w:t>une</w:t>
      </w:r>
      <w:r w:rsidR="00B26CCD">
        <w:t> </w:t>
      </w:r>
      <w:r w:rsidR="00DF6239" w:rsidRPr="00026EC1">
        <w:t>(1) session;</w:t>
      </w:r>
      <w:bookmarkEnd w:id="423"/>
    </w:p>
    <w:p w14:paraId="30D8DFA7" w14:textId="77777777" w:rsidR="003B3A05" w:rsidRPr="00026EC1" w:rsidRDefault="003B3A05" w:rsidP="00A64613">
      <w:pPr>
        <w:keepNext w:val="0"/>
        <w:ind w:left="1134" w:hanging="567"/>
      </w:pPr>
    </w:p>
    <w:p w14:paraId="0FBF8113" w14:textId="3BE7086A" w:rsidR="00DF6239" w:rsidRDefault="00DF6239" w:rsidP="003B3A05">
      <w:pPr>
        <w:pStyle w:val="ListParagraph"/>
        <w:numPr>
          <w:ilvl w:val="0"/>
          <w:numId w:val="82"/>
        </w:numPr>
        <w:ind w:left="1134" w:hanging="567"/>
      </w:pPr>
      <w:r w:rsidRPr="00026EC1">
        <w:t>les demandes d</w:t>
      </w:r>
      <w:r w:rsidR="004A41E4" w:rsidRPr="00026EC1">
        <w:t>’</w:t>
      </w:r>
      <w:r w:rsidRPr="00026EC1">
        <w:t>une durée d</w:t>
      </w:r>
      <w:r w:rsidR="004A41E4" w:rsidRPr="00026EC1">
        <w:t>’</w:t>
      </w:r>
      <w:r w:rsidRPr="00026EC1">
        <w:t>une</w:t>
      </w:r>
      <w:r w:rsidR="00B26CCD">
        <w:t> </w:t>
      </w:r>
      <w:r w:rsidRPr="00026EC1">
        <w:t>(1) année.</w:t>
      </w:r>
    </w:p>
    <w:p w14:paraId="2AFCB636" w14:textId="77777777" w:rsidR="00E97B59" w:rsidRPr="00026EC1" w:rsidRDefault="00E97B59" w:rsidP="00E97B59">
      <w:pPr>
        <w:pStyle w:val="ListParagraph"/>
        <w:ind w:left="1287"/>
      </w:pPr>
    </w:p>
    <w:p w14:paraId="40167DE6" w14:textId="63FF0A2C" w:rsidR="00DF6239" w:rsidRPr="00B450B7" w:rsidRDefault="00DF6239" w:rsidP="00A64613">
      <w:pPr>
        <w:pStyle w:val="NUMRODECLAUSE"/>
        <w:keepNext w:val="0"/>
      </w:pPr>
      <w:r w:rsidRPr="00B450B7">
        <w:t>5</w:t>
      </w:r>
      <w:r w:rsidR="00984A6F">
        <w:noBreakHyphen/>
      </w:r>
      <w:r w:rsidRPr="00B450B7">
        <w:t>4.24</w:t>
      </w:r>
      <w:r w:rsidRPr="00B450B7">
        <w:tab/>
      </w:r>
      <w:r w:rsidRPr="00147EA0">
        <w:rPr>
          <w:u w:val="single"/>
        </w:rPr>
        <w:t>Mesures d</w:t>
      </w:r>
      <w:r w:rsidR="004A41E4" w:rsidRPr="00147EA0">
        <w:rPr>
          <w:u w:val="single"/>
        </w:rPr>
        <w:t>’</w:t>
      </w:r>
      <w:r w:rsidRPr="00147EA0">
        <w:rPr>
          <w:u w:val="single"/>
        </w:rPr>
        <w:t>employabilité et de cessation d</w:t>
      </w:r>
      <w:r w:rsidR="004A41E4" w:rsidRPr="00147EA0">
        <w:rPr>
          <w:u w:val="single"/>
        </w:rPr>
        <w:t>’</w:t>
      </w:r>
      <w:r w:rsidRPr="00147EA0">
        <w:rPr>
          <w:u w:val="single"/>
        </w:rPr>
        <w:t>emploi</w:t>
      </w:r>
    </w:p>
    <w:p w14:paraId="39E8B047" w14:textId="4DCD63EB" w:rsidR="00DF6239" w:rsidRPr="00026EC1" w:rsidRDefault="00DF6239" w:rsidP="00A64613">
      <w:pPr>
        <w:keepNext w:val="0"/>
      </w:pPr>
      <w:r w:rsidRPr="00026EC1">
        <w:t>En se référant aux règles administratives déterminées par le Ministère, le Collège peut offrir à une enseignante ou un enseignant mis en disponibilité une ou des mesures d</w:t>
      </w:r>
      <w:r w:rsidR="004A41E4" w:rsidRPr="00026EC1">
        <w:t>’</w:t>
      </w:r>
      <w:r w:rsidRPr="00026EC1">
        <w:t>employabilité et de cessation d</w:t>
      </w:r>
      <w:r w:rsidR="004A41E4" w:rsidRPr="00026EC1">
        <w:t>’</w:t>
      </w:r>
      <w:r w:rsidRPr="00026EC1">
        <w:t>emploi. Il informe le Syndicat de cette offre. Ces mesures peuvent être</w:t>
      </w:r>
      <w:r w:rsidR="00D8581B">
        <w:t> :</w:t>
      </w:r>
      <w:r w:rsidRPr="00026EC1">
        <w:t xml:space="preserve"> </w:t>
      </w:r>
    </w:p>
    <w:p w14:paraId="2EBF77D3" w14:textId="77777777" w:rsidR="00DF6239" w:rsidRPr="00026EC1" w:rsidRDefault="00DF6239" w:rsidP="00A64613">
      <w:pPr>
        <w:keepNext w:val="0"/>
      </w:pPr>
    </w:p>
    <w:p w14:paraId="02649FF0" w14:textId="77777777" w:rsidR="00DF6239" w:rsidRPr="00026EC1" w:rsidRDefault="00275751" w:rsidP="00A64613">
      <w:pPr>
        <w:keepNext w:val="0"/>
        <w:tabs>
          <w:tab w:val="left" w:pos="567"/>
        </w:tabs>
        <w:ind w:left="567" w:hanging="567"/>
      </w:pPr>
      <w:r w:rsidRPr="00026EC1">
        <w:t>a)</w:t>
      </w:r>
      <w:r w:rsidRPr="00026EC1">
        <w:tab/>
      </w:r>
      <w:r w:rsidR="00DF6239" w:rsidRPr="00026EC1">
        <w:t>le versement, contre remise de sa démission, d</w:t>
      </w:r>
      <w:r w:rsidR="004A41E4" w:rsidRPr="00026EC1">
        <w:t>’</w:t>
      </w:r>
      <w:r w:rsidR="00DF6239" w:rsidRPr="00026EC1">
        <w:t>une indemnité de cessation d</w:t>
      </w:r>
      <w:r w:rsidR="004A41E4" w:rsidRPr="00026EC1">
        <w:t>’</w:t>
      </w:r>
      <w:r w:rsidR="00DF6239" w:rsidRPr="00026EC1">
        <w:t xml:space="preserve">emploi dont le montant et la durée sont fixés par le Ministère selon les règles administratives en vigueur; </w:t>
      </w:r>
    </w:p>
    <w:p w14:paraId="69587C32" w14:textId="77777777" w:rsidR="00DF6239" w:rsidRPr="00026EC1" w:rsidRDefault="00DF6239" w:rsidP="00A64613">
      <w:pPr>
        <w:pStyle w:val="Texte1cm"/>
        <w:keepNext w:val="0"/>
        <w:tabs>
          <w:tab w:val="left" w:pos="567"/>
        </w:tabs>
        <w:ind w:left="0"/>
      </w:pPr>
    </w:p>
    <w:p w14:paraId="02A18B59" w14:textId="77777777" w:rsidR="00DF6239" w:rsidRPr="00026EC1" w:rsidRDefault="00275751" w:rsidP="00A64613">
      <w:pPr>
        <w:keepNext w:val="0"/>
        <w:tabs>
          <w:tab w:val="left" w:pos="567"/>
        </w:tabs>
        <w:ind w:left="567" w:hanging="567"/>
      </w:pPr>
      <w:r w:rsidRPr="00026EC1">
        <w:t>b)</w:t>
      </w:r>
      <w:r w:rsidRPr="00026EC1">
        <w:tab/>
      </w:r>
      <w:r w:rsidR="00DF6239" w:rsidRPr="00026EC1">
        <w:t>l</w:t>
      </w:r>
      <w:r w:rsidR="004A41E4" w:rsidRPr="00026EC1">
        <w:t>’</w:t>
      </w:r>
      <w:r w:rsidR="00DF6239" w:rsidRPr="00026EC1">
        <w:t>octroi d</w:t>
      </w:r>
      <w:r w:rsidR="004A41E4" w:rsidRPr="00026EC1">
        <w:t>’</w:t>
      </w:r>
      <w:r w:rsidR="00DF6239" w:rsidRPr="00026EC1">
        <w:t>un congé de préretraite dont la durée est fixée par le Ministère selon les règles administratives en vigueur;</w:t>
      </w:r>
    </w:p>
    <w:p w14:paraId="0A6B7F25" w14:textId="77777777" w:rsidR="00DF6239" w:rsidRPr="00026EC1" w:rsidRDefault="00DF6239" w:rsidP="00A64613">
      <w:pPr>
        <w:keepNext w:val="0"/>
      </w:pPr>
    </w:p>
    <w:p w14:paraId="58F96F8E" w14:textId="4D3A3392" w:rsidR="00DF6239" w:rsidRPr="00026EC1" w:rsidRDefault="00275751" w:rsidP="00A64613">
      <w:pPr>
        <w:keepNext w:val="0"/>
        <w:tabs>
          <w:tab w:val="left" w:pos="567"/>
        </w:tabs>
        <w:ind w:left="567" w:hanging="567"/>
      </w:pPr>
      <w:r w:rsidRPr="00026EC1">
        <w:t>c)</w:t>
      </w:r>
      <w:r w:rsidRPr="00026EC1">
        <w:tab/>
      </w:r>
      <w:r w:rsidR="00DF6239" w:rsidRPr="00026EC1">
        <w:t>l</w:t>
      </w:r>
      <w:r w:rsidR="004A41E4" w:rsidRPr="00026EC1">
        <w:t>’</w:t>
      </w:r>
      <w:r w:rsidR="00DF6239" w:rsidRPr="00026EC1">
        <w:t>octroi d</w:t>
      </w:r>
      <w:r w:rsidR="004A41E4" w:rsidRPr="00026EC1">
        <w:t>’</w:t>
      </w:r>
      <w:r w:rsidR="00DF6239" w:rsidRPr="00026EC1">
        <w:t>un congé sans salaire, pour une durée maximale de cinq</w:t>
      </w:r>
      <w:r w:rsidR="00B26CCD">
        <w:t> </w:t>
      </w:r>
      <w:r w:rsidR="00DF6239" w:rsidRPr="00026EC1">
        <w:t>(5) ans, au cours duquel l</w:t>
      </w:r>
      <w:r w:rsidR="004A41E4" w:rsidRPr="00026EC1">
        <w:t>’</w:t>
      </w:r>
      <w:r w:rsidR="00DF6239" w:rsidRPr="00026EC1">
        <w:t>enseignante ou l</w:t>
      </w:r>
      <w:r w:rsidR="004A41E4" w:rsidRPr="00026EC1">
        <w:t>’</w:t>
      </w:r>
      <w:r w:rsidR="00DF6239" w:rsidRPr="00026EC1">
        <w:t>enseignant maintient sa participation au régime d</w:t>
      </w:r>
      <w:r w:rsidR="004A41E4" w:rsidRPr="00026EC1">
        <w:t>’</w:t>
      </w:r>
      <w:r w:rsidR="00DF6239" w:rsidRPr="00026EC1">
        <w:t>assurance</w:t>
      </w:r>
      <w:r w:rsidR="00984A6F">
        <w:noBreakHyphen/>
      </w:r>
      <w:r w:rsidR="00DF6239" w:rsidRPr="00026EC1">
        <w:t>maladie selon les modalités prévues aux clauses</w:t>
      </w:r>
      <w:r w:rsidR="00BD38A6" w:rsidRPr="00026EC1">
        <w:t> </w:t>
      </w:r>
      <w:r w:rsidR="00DF6239" w:rsidRPr="00026EC1">
        <w:t>5</w:t>
      </w:r>
      <w:r w:rsidR="00984A6F">
        <w:noBreakHyphen/>
      </w:r>
      <w:r w:rsidR="00DF6239" w:rsidRPr="00026EC1">
        <w:t>5.01 et 5</w:t>
      </w:r>
      <w:r w:rsidR="00984A6F">
        <w:noBreakHyphen/>
      </w:r>
      <w:r w:rsidR="00DF6239" w:rsidRPr="00026EC1">
        <w:t>5.15. De plus, à la condition que les contrats</w:t>
      </w:r>
      <w:r w:rsidR="00984A6F">
        <w:noBreakHyphen/>
      </w:r>
      <w:r w:rsidR="00DF6239" w:rsidRPr="00026EC1">
        <w:t>cadres ou les régimes le permettent, elle ou il peut bénéficier des avantages découlant des autres régimes d</w:t>
      </w:r>
      <w:r w:rsidR="004A41E4" w:rsidRPr="00026EC1">
        <w:t>’</w:t>
      </w:r>
      <w:r w:rsidR="00DF6239" w:rsidRPr="00026EC1">
        <w:t>assurance et de retraite si elle ou il en assume les coûts; à son retour, elle ou il se voit reconnaître toute expérience pertinente conformément à l</w:t>
      </w:r>
      <w:r w:rsidR="004A41E4" w:rsidRPr="00026EC1">
        <w:t>’</w:t>
      </w:r>
      <w:r w:rsidR="00DF6239" w:rsidRPr="00026EC1">
        <w:t>article</w:t>
      </w:r>
      <w:r w:rsidR="00BD38A6" w:rsidRPr="00026EC1">
        <w:t> </w:t>
      </w:r>
      <w:r w:rsidR="00DF6239" w:rsidRPr="00026EC1">
        <w:t>6</w:t>
      </w:r>
      <w:r w:rsidR="00984A6F">
        <w:noBreakHyphen/>
      </w:r>
      <w:r w:rsidR="00DF6239" w:rsidRPr="00026EC1">
        <w:t>2.00;</w:t>
      </w:r>
    </w:p>
    <w:p w14:paraId="7439857F" w14:textId="77777777" w:rsidR="00DF6239" w:rsidRPr="00026EC1" w:rsidRDefault="00DF6239" w:rsidP="00A64613">
      <w:pPr>
        <w:keepNext w:val="0"/>
      </w:pPr>
    </w:p>
    <w:p w14:paraId="5DC351C5" w14:textId="520EF88D" w:rsidR="00DF6239" w:rsidRDefault="00275751" w:rsidP="00A64613">
      <w:pPr>
        <w:keepNext w:val="0"/>
        <w:tabs>
          <w:tab w:val="left" w:pos="567"/>
        </w:tabs>
        <w:ind w:left="567" w:hanging="567"/>
      </w:pPr>
      <w:r w:rsidRPr="00026EC1">
        <w:t>d)</w:t>
      </w:r>
      <w:r w:rsidRPr="00026EC1">
        <w:tab/>
      </w:r>
      <w:r w:rsidR="00DF6239" w:rsidRPr="00026EC1">
        <w:t>l</w:t>
      </w:r>
      <w:r w:rsidR="004A41E4" w:rsidRPr="00026EC1">
        <w:t>’</w:t>
      </w:r>
      <w:r w:rsidR="00DF6239" w:rsidRPr="00026EC1">
        <w:t>octroi d</w:t>
      </w:r>
      <w:r w:rsidR="004A41E4" w:rsidRPr="00026EC1">
        <w:t>’</w:t>
      </w:r>
      <w:r w:rsidR="00DF6239" w:rsidRPr="00026EC1">
        <w:t>un prêt de services pour une durée maximale de cinq</w:t>
      </w:r>
      <w:r w:rsidR="00B26CCD">
        <w:t> </w:t>
      </w:r>
      <w:r w:rsidR="00DF6239" w:rsidRPr="00026EC1">
        <w:t>(5) ans selon les modalités prévues à l</w:t>
      </w:r>
      <w:r w:rsidR="004A41E4" w:rsidRPr="00026EC1">
        <w:t>’</w:t>
      </w:r>
      <w:r w:rsidR="00DF6239" w:rsidRPr="00026EC1">
        <w:t>article</w:t>
      </w:r>
      <w:r w:rsidR="00BD38A6" w:rsidRPr="00026EC1">
        <w:t> </w:t>
      </w:r>
      <w:r w:rsidR="00DF6239" w:rsidRPr="00026EC1">
        <w:t>5</w:t>
      </w:r>
      <w:r w:rsidR="00984A6F">
        <w:noBreakHyphen/>
      </w:r>
      <w:r w:rsidR="00DF6239" w:rsidRPr="00026EC1">
        <w:t>21.00;</w:t>
      </w:r>
    </w:p>
    <w:p w14:paraId="2362208D" w14:textId="77777777" w:rsidR="00A20EE2" w:rsidRPr="00026EC1" w:rsidRDefault="00A20EE2" w:rsidP="00A64613">
      <w:pPr>
        <w:keepNext w:val="0"/>
        <w:tabs>
          <w:tab w:val="left" w:pos="567"/>
        </w:tabs>
        <w:ind w:left="567" w:hanging="567"/>
      </w:pPr>
    </w:p>
    <w:p w14:paraId="0651E5F8" w14:textId="4826A34A" w:rsidR="00D14DE1" w:rsidRDefault="008025BA" w:rsidP="00A64613">
      <w:pPr>
        <w:keepNext w:val="0"/>
        <w:tabs>
          <w:tab w:val="left" w:pos="567"/>
        </w:tabs>
        <w:ind w:left="567" w:hanging="567"/>
      </w:pPr>
      <w:r>
        <w:t>e)</w:t>
      </w:r>
      <w:r>
        <w:tab/>
      </w:r>
      <w:r w:rsidR="00DF6239" w:rsidRPr="00026EC1">
        <w:t>l</w:t>
      </w:r>
      <w:r w:rsidR="004A41E4" w:rsidRPr="00026EC1">
        <w:t>’</w:t>
      </w:r>
      <w:r w:rsidR="00DF6239" w:rsidRPr="00026EC1">
        <w:t>octroi d</w:t>
      </w:r>
      <w:r w:rsidR="004A41E4" w:rsidRPr="00026EC1">
        <w:t>’</w:t>
      </w:r>
      <w:r w:rsidR="00DF6239" w:rsidRPr="00026EC1">
        <w:t>un recyclage vers un poste réservé dans un autre collège selon les modalités prévues à la clause</w:t>
      </w:r>
      <w:r w:rsidR="00BD38A6" w:rsidRPr="00026EC1">
        <w:t> </w:t>
      </w:r>
      <w:r w:rsidR="00DF6239" w:rsidRPr="00026EC1">
        <w:t>5</w:t>
      </w:r>
      <w:r w:rsidR="00984A6F">
        <w:noBreakHyphen/>
      </w:r>
      <w:r w:rsidR="00DF6239" w:rsidRPr="00026EC1">
        <w:t>4.22;</w:t>
      </w:r>
      <w:r w:rsidR="00D14DE1">
        <w:br w:type="page"/>
      </w:r>
    </w:p>
    <w:p w14:paraId="2D45E7DD" w14:textId="4797C471" w:rsidR="00DF6239" w:rsidRDefault="00275751" w:rsidP="00A64613">
      <w:pPr>
        <w:keepNext w:val="0"/>
        <w:tabs>
          <w:tab w:val="left" w:pos="567"/>
        </w:tabs>
        <w:ind w:left="567" w:hanging="567"/>
      </w:pPr>
      <w:r w:rsidRPr="00026EC1">
        <w:t>f)</w:t>
      </w:r>
      <w:r w:rsidRPr="00026EC1">
        <w:tab/>
      </w:r>
      <w:r w:rsidR="00DF6239" w:rsidRPr="00026EC1">
        <w:t>pour l</w:t>
      </w:r>
      <w:r w:rsidR="004A41E4" w:rsidRPr="00026EC1">
        <w:t>’</w:t>
      </w:r>
      <w:r w:rsidR="00DF6239" w:rsidRPr="00026EC1">
        <w:t>enseignante ou l</w:t>
      </w:r>
      <w:r w:rsidR="004A41E4" w:rsidRPr="00026EC1">
        <w:t>’</w:t>
      </w:r>
      <w:r w:rsidR="00DF6239" w:rsidRPr="00026EC1">
        <w:t>enseignant mis en disponibilité dans la discipline porteuse de la formation spécifique d</w:t>
      </w:r>
      <w:r w:rsidR="004A41E4" w:rsidRPr="00026EC1">
        <w:t>’</w:t>
      </w:r>
      <w:r w:rsidR="00DF6239" w:rsidRPr="00026EC1">
        <w:t>un programme fermé unique dans la zone et qui ne détient aucune charge d</w:t>
      </w:r>
      <w:r w:rsidR="004A41E4" w:rsidRPr="00026EC1">
        <w:t>’</w:t>
      </w:r>
      <w:r w:rsidR="00DF6239" w:rsidRPr="00026EC1">
        <w:t>enseignement, l</w:t>
      </w:r>
      <w:r w:rsidR="004A41E4" w:rsidRPr="00026EC1">
        <w:t>’</w:t>
      </w:r>
      <w:r w:rsidR="00DF6239" w:rsidRPr="00026EC1">
        <w:t>octroi d</w:t>
      </w:r>
      <w:r w:rsidR="004A41E4" w:rsidRPr="00026EC1">
        <w:t>’</w:t>
      </w:r>
      <w:r w:rsidR="00DF6239" w:rsidRPr="00026EC1">
        <w:t>une libération équivalente à une journée par semaine</w:t>
      </w:r>
      <w:r w:rsidR="001576BA">
        <w:t>, soit</w:t>
      </w:r>
      <w:r w:rsidR="00DF6239" w:rsidRPr="00026EC1">
        <w:t xml:space="preserve"> </w:t>
      </w:r>
      <w:r w:rsidR="007022B7" w:rsidRPr="00026EC1">
        <w:t>vingt pour cent</w:t>
      </w:r>
      <w:r w:rsidR="00B26CCD">
        <w:t> </w:t>
      </w:r>
      <w:r w:rsidR="00DF6239" w:rsidRPr="00026EC1">
        <w:t>(20</w:t>
      </w:r>
      <w:r w:rsidR="00714A15">
        <w:t> %</w:t>
      </w:r>
      <w:r w:rsidR="00DF6239" w:rsidRPr="00026EC1">
        <w:t>)</w:t>
      </w:r>
      <w:r w:rsidR="005F79CD">
        <w:t>,</w:t>
      </w:r>
      <w:r w:rsidR="00DF6239" w:rsidRPr="00026EC1">
        <w:t xml:space="preserve"> au cours d</w:t>
      </w:r>
      <w:r w:rsidR="004A41E4" w:rsidRPr="00026EC1">
        <w:t>’</w:t>
      </w:r>
      <w:r w:rsidR="00DF6239" w:rsidRPr="00026EC1">
        <w:t>une même session afin de participer à une démarche de réorientation de carrière; dans ce cas, l</w:t>
      </w:r>
      <w:r w:rsidR="004A41E4" w:rsidRPr="00026EC1">
        <w:t>’</w:t>
      </w:r>
      <w:r w:rsidR="00DF6239" w:rsidRPr="00026EC1">
        <w:t>obligation d</w:t>
      </w:r>
      <w:r w:rsidR="004A41E4" w:rsidRPr="00026EC1">
        <w:t>’</w:t>
      </w:r>
      <w:r w:rsidR="00DF6239" w:rsidRPr="00026EC1">
        <w:t>accepter une charge d</w:t>
      </w:r>
      <w:r w:rsidR="004A41E4" w:rsidRPr="00026EC1">
        <w:t>’</w:t>
      </w:r>
      <w:r w:rsidR="00DF6239" w:rsidRPr="00026EC1">
        <w:t>enseignement prévue à l</w:t>
      </w:r>
      <w:r w:rsidR="004A41E4" w:rsidRPr="00026EC1">
        <w:t>’</w:t>
      </w:r>
      <w:r w:rsidR="00DF6239" w:rsidRPr="00026EC1">
        <w:t>alinéa</w:t>
      </w:r>
      <w:r w:rsidR="00757E12" w:rsidRPr="00026EC1">
        <w:t> </w:t>
      </w:r>
      <w:r w:rsidR="00DF6239" w:rsidRPr="00026EC1">
        <w:t>I</w:t>
      </w:r>
      <w:r w:rsidR="007022B7" w:rsidRPr="00026EC1">
        <w:t>)</w:t>
      </w:r>
      <w:r w:rsidR="00DF6239" w:rsidRPr="00026EC1">
        <w:t xml:space="preserve"> de la clause</w:t>
      </w:r>
      <w:r w:rsidR="00BD38A6" w:rsidRPr="00026EC1">
        <w:t> </w:t>
      </w:r>
      <w:r w:rsidR="00DF6239" w:rsidRPr="00026EC1">
        <w:t>5</w:t>
      </w:r>
      <w:r w:rsidR="00984A6F">
        <w:noBreakHyphen/>
      </w:r>
      <w:r w:rsidR="00DF6239" w:rsidRPr="00026EC1">
        <w:t>4.07 est réduite à soixante pour cent</w:t>
      </w:r>
      <w:r w:rsidR="00B26CCD">
        <w:t> </w:t>
      </w:r>
      <w:r w:rsidR="00DF6239" w:rsidRPr="00026EC1">
        <w:t>(60</w:t>
      </w:r>
      <w:r w:rsidR="00714A15">
        <w:t> %</w:t>
      </w:r>
      <w:r w:rsidR="00DF6239" w:rsidRPr="00026EC1">
        <w:t>) de quatre</w:t>
      </w:r>
      <w:r w:rsidR="00984A6F">
        <w:noBreakHyphen/>
      </w:r>
      <w:r w:rsidR="00DF6239" w:rsidRPr="00026EC1">
        <w:t>vingts</w:t>
      </w:r>
      <w:r w:rsidR="00B26CCD">
        <w:t> </w:t>
      </w:r>
      <w:r w:rsidR="00DF6239" w:rsidRPr="00026EC1">
        <w:t>(80) unités et la libération accordée est calculée en fonction de l</w:t>
      </w:r>
      <w:r w:rsidR="004A41E4" w:rsidRPr="00026EC1">
        <w:t>’</w:t>
      </w:r>
      <w:r w:rsidR="00DF6239" w:rsidRPr="00026EC1">
        <w:t>Annexe</w:t>
      </w:r>
      <w:r w:rsidR="00477DEF" w:rsidRPr="00026EC1">
        <w:t> </w:t>
      </w:r>
      <w:r w:rsidR="00DF6239" w:rsidRPr="00026EC1">
        <w:t>I</w:t>
      </w:r>
      <w:r w:rsidR="00984A6F">
        <w:noBreakHyphen/>
      </w:r>
      <w:r w:rsidR="00DF6239" w:rsidRPr="00026EC1">
        <w:t>1 (CI</w:t>
      </w:r>
      <w:r w:rsidR="00EC3141" w:rsidRPr="00026EC1">
        <w:rPr>
          <w:bCs/>
          <w:vertAlign w:val="subscript"/>
        </w:rPr>
        <w:t>L</w:t>
      </w:r>
      <w:r w:rsidR="00DF6239" w:rsidRPr="00026EC1">
        <w:t>); de plus, elle ou il peut obtenir le remboursement des honoraires professionnels découlant de sa démarche d</w:t>
      </w:r>
      <w:r w:rsidR="004A41E4" w:rsidRPr="00026EC1">
        <w:t>’</w:t>
      </w:r>
      <w:r w:rsidR="00DF6239" w:rsidRPr="00026EC1">
        <w:t>orientation de carrière, selon les règles administratives fixées par le Ministère;</w:t>
      </w:r>
    </w:p>
    <w:p w14:paraId="24580462" w14:textId="77777777" w:rsidR="00A20EE2" w:rsidRPr="00026EC1" w:rsidRDefault="00A20EE2" w:rsidP="00A64613">
      <w:pPr>
        <w:keepNext w:val="0"/>
        <w:tabs>
          <w:tab w:val="left" w:pos="567"/>
        </w:tabs>
        <w:ind w:left="567" w:hanging="567"/>
      </w:pPr>
    </w:p>
    <w:p w14:paraId="4C4D27F4" w14:textId="77777777" w:rsidR="00DF6239" w:rsidRPr="00026EC1" w:rsidRDefault="00275751" w:rsidP="00A64613">
      <w:pPr>
        <w:keepNext w:val="0"/>
        <w:tabs>
          <w:tab w:val="left" w:pos="567"/>
        </w:tabs>
        <w:ind w:left="567" w:hanging="567"/>
      </w:pPr>
      <w:r w:rsidRPr="00026EC1">
        <w:t>g)</w:t>
      </w:r>
      <w:r w:rsidRPr="00026EC1">
        <w:tab/>
      </w:r>
      <w:r w:rsidR="00DF6239" w:rsidRPr="00026EC1">
        <w:t>le remboursement, à compter de l</w:t>
      </w:r>
      <w:r w:rsidR="004A41E4" w:rsidRPr="00026EC1">
        <w:t>’</w:t>
      </w:r>
      <w:r w:rsidR="00DF6239" w:rsidRPr="00026EC1">
        <w:t>occupation du poste et sur présentation de pièces justificatives, des honoraires professionnels d</w:t>
      </w:r>
      <w:r w:rsidR="004A41E4" w:rsidRPr="00026EC1">
        <w:t>’</w:t>
      </w:r>
      <w:r w:rsidR="00DF6239" w:rsidRPr="00026EC1">
        <w:t>une firme spécialisée pour la recherche d</w:t>
      </w:r>
      <w:r w:rsidR="004A41E4" w:rsidRPr="00026EC1">
        <w:t>’</w:t>
      </w:r>
      <w:r w:rsidR="00DF6239" w:rsidRPr="00026EC1">
        <w:t>un emploi de la conjointe ou du conjoint de l</w:t>
      </w:r>
      <w:r w:rsidR="004A41E4" w:rsidRPr="00026EC1">
        <w:t>’</w:t>
      </w:r>
      <w:r w:rsidR="00DF6239" w:rsidRPr="00026EC1">
        <w:t>enseignante ou de l</w:t>
      </w:r>
      <w:r w:rsidR="004A41E4" w:rsidRPr="00026EC1">
        <w:t>’</w:t>
      </w:r>
      <w:r w:rsidR="00DF6239" w:rsidRPr="00026EC1">
        <w:t>enseignant replacé sur poste sur une base volontaire hors zone ou en recyclage vers un poste réservé dans un autre collège hors zone</w:t>
      </w:r>
      <w:r w:rsidR="003E1207" w:rsidRPr="00026EC1">
        <w:t>;</w:t>
      </w:r>
      <w:r w:rsidR="00DF6239" w:rsidRPr="00026EC1">
        <w:t xml:space="preserve"> le montant de ce remboursement est fixé par le Ministère selon les règles administratives en vigueur;</w:t>
      </w:r>
    </w:p>
    <w:p w14:paraId="4702A1C5" w14:textId="77777777" w:rsidR="00DF6239" w:rsidRPr="00026EC1" w:rsidRDefault="00DF6239" w:rsidP="00A64613">
      <w:pPr>
        <w:keepNext w:val="0"/>
      </w:pPr>
    </w:p>
    <w:p w14:paraId="4B04CC25" w14:textId="7D73744A" w:rsidR="00DF6239" w:rsidRPr="00026EC1" w:rsidRDefault="00275751" w:rsidP="00A64613">
      <w:pPr>
        <w:keepNext w:val="0"/>
        <w:tabs>
          <w:tab w:val="left" w:pos="567"/>
        </w:tabs>
        <w:ind w:left="567" w:hanging="567"/>
        <w:rPr>
          <w:strike/>
        </w:rPr>
      </w:pPr>
      <w:r w:rsidRPr="00026EC1">
        <w:t>h)</w:t>
      </w:r>
      <w:r w:rsidRPr="00026EC1">
        <w:tab/>
      </w:r>
      <w:r w:rsidR="00DF6239" w:rsidRPr="00026EC1">
        <w:t>le versement, à compter de l</w:t>
      </w:r>
      <w:r w:rsidR="004A41E4" w:rsidRPr="00026EC1">
        <w:t>’</w:t>
      </w:r>
      <w:r w:rsidR="00DF6239" w:rsidRPr="00026EC1">
        <w:t>occupation du poste, d</w:t>
      </w:r>
      <w:r w:rsidR="004A41E4" w:rsidRPr="00026EC1">
        <w:t>’</w:t>
      </w:r>
      <w:r w:rsidR="00DF6239" w:rsidRPr="00026EC1">
        <w:t>une allocation de déplacement qui remplace celle prévue à l</w:t>
      </w:r>
      <w:r w:rsidR="004A41E4" w:rsidRPr="00026EC1">
        <w:t>’</w:t>
      </w:r>
      <w:r w:rsidR="00DF6239" w:rsidRPr="00026EC1">
        <w:t>Annexe</w:t>
      </w:r>
      <w:r w:rsidR="00477DEF" w:rsidRPr="00026EC1">
        <w:t> </w:t>
      </w:r>
      <w:r w:rsidR="00DF6239" w:rsidRPr="00026EC1">
        <w:t>II</w:t>
      </w:r>
      <w:r w:rsidR="00984A6F">
        <w:noBreakHyphen/>
      </w:r>
      <w:r w:rsidR="00DF6239" w:rsidRPr="00026EC1">
        <w:t>3 pour l</w:t>
      </w:r>
      <w:r w:rsidR="004A41E4" w:rsidRPr="00026EC1">
        <w:t>’</w:t>
      </w:r>
      <w:r w:rsidR="00DF6239" w:rsidRPr="00026EC1">
        <w:t>enseignante ou l</w:t>
      </w:r>
      <w:r w:rsidR="004A41E4" w:rsidRPr="00026EC1">
        <w:t>’</w:t>
      </w:r>
      <w:r w:rsidR="00DF6239" w:rsidRPr="00026EC1">
        <w:t>enseignant replacé sur poste sur une base volontaire hors zone ou en recyclage vers un poste réservé dans un autre collège hors zone; le montant de cette allocation de déplacement supplémentaire est fixé par le Ministère selon les règles administratives en vigueur.</w:t>
      </w:r>
    </w:p>
    <w:p w14:paraId="12188F85" w14:textId="77777777" w:rsidR="00DF6239" w:rsidRPr="00026EC1" w:rsidRDefault="00DF6239" w:rsidP="00A64613">
      <w:pPr>
        <w:keepNext w:val="0"/>
      </w:pPr>
    </w:p>
    <w:p w14:paraId="5346A041" w14:textId="77777777" w:rsidR="00DF6239" w:rsidRPr="00026EC1" w:rsidRDefault="00DF6239" w:rsidP="00A64613">
      <w:pPr>
        <w:keepNext w:val="0"/>
      </w:pPr>
      <w:r w:rsidRPr="00026EC1">
        <w:t>Dans certains cas, la mesure d</w:t>
      </w:r>
      <w:r w:rsidR="004A41E4" w:rsidRPr="00026EC1">
        <w:t>’</w:t>
      </w:r>
      <w:r w:rsidRPr="00026EC1">
        <w:t>employabilité et de cessation d</w:t>
      </w:r>
      <w:r w:rsidR="004A41E4" w:rsidRPr="00026EC1">
        <w:t>’</w:t>
      </w:r>
      <w:r w:rsidRPr="00026EC1">
        <w:t>emploi doit faire l</w:t>
      </w:r>
      <w:r w:rsidR="004A41E4" w:rsidRPr="00026EC1">
        <w:t>’</w:t>
      </w:r>
      <w:r w:rsidRPr="00026EC1">
        <w:t>objet d</w:t>
      </w:r>
      <w:r w:rsidR="004A41E4" w:rsidRPr="00026EC1">
        <w:t>’</w:t>
      </w:r>
      <w:r w:rsidRPr="00026EC1">
        <w:t>une entente entre l</w:t>
      </w:r>
      <w:r w:rsidR="004A41E4" w:rsidRPr="00026EC1">
        <w:t>’</w:t>
      </w:r>
      <w:r w:rsidRPr="00026EC1">
        <w:t>enseignante ou l</w:t>
      </w:r>
      <w:r w:rsidR="004A41E4" w:rsidRPr="00026EC1">
        <w:t>’</w:t>
      </w:r>
      <w:r w:rsidRPr="00026EC1">
        <w:t>enseignant et le Collège afin de répondre aux conditions particulières prévues dans les règles administratives déterminées par le Ministère.</w:t>
      </w:r>
    </w:p>
    <w:p w14:paraId="577ECDA1" w14:textId="10F0F237" w:rsidR="00DF6239" w:rsidRPr="00026EC1" w:rsidRDefault="00DF6239" w:rsidP="00A64613">
      <w:pPr>
        <w:keepNext w:val="0"/>
      </w:pPr>
    </w:p>
    <w:p w14:paraId="36A38888" w14:textId="6EF39FB3" w:rsidR="00DF6239" w:rsidRPr="00026EC1" w:rsidRDefault="00DF6239" w:rsidP="00A64613">
      <w:pPr>
        <w:keepNext w:val="0"/>
      </w:pPr>
      <w:r w:rsidRPr="00026EC1">
        <w:t>Au plus tard le 31</w:t>
      </w:r>
      <w:r w:rsidR="00B26CCD">
        <w:t> </w:t>
      </w:r>
      <w:r w:rsidRPr="00026EC1">
        <w:t>mars de chaque année d</w:t>
      </w:r>
      <w:r w:rsidR="004A41E4" w:rsidRPr="00026EC1">
        <w:t>’</w:t>
      </w:r>
      <w:r w:rsidRPr="00026EC1">
        <w:t>enseignement, le Ministère transmet à l</w:t>
      </w:r>
      <w:r w:rsidR="004A41E4" w:rsidRPr="00026EC1">
        <w:t>’</w:t>
      </w:r>
      <w:r w:rsidRPr="00026EC1">
        <w:t>ensemble des collèges ou campus les règles administratives en vigueur pour l</w:t>
      </w:r>
      <w:r w:rsidR="004A41E4" w:rsidRPr="00026EC1">
        <w:t>’</w:t>
      </w:r>
      <w:r w:rsidRPr="00026EC1">
        <w:t>année d</w:t>
      </w:r>
      <w:r w:rsidR="004A41E4" w:rsidRPr="00026EC1">
        <w:t>’</w:t>
      </w:r>
      <w:r w:rsidRPr="00026EC1">
        <w:t>enseignement suivante. Ces règles sont aussi transmises à la FNEEQ</w:t>
      </w:r>
      <w:r w:rsidR="00F07711" w:rsidRPr="00026EC1">
        <w:t> </w:t>
      </w:r>
      <w:r w:rsidRPr="00026EC1">
        <w:t xml:space="preserve">(CSN) et à chaque syndicat. </w:t>
      </w:r>
    </w:p>
    <w:p w14:paraId="3AB9AA97" w14:textId="77777777" w:rsidR="00DF6239" w:rsidRPr="00026EC1" w:rsidRDefault="00DF6239" w:rsidP="00A64613">
      <w:pPr>
        <w:keepNext w:val="0"/>
      </w:pPr>
    </w:p>
    <w:p w14:paraId="7FD22CE2" w14:textId="36DA69B7" w:rsidR="00DF6239" w:rsidRPr="00026EC1" w:rsidRDefault="00DF6239" w:rsidP="00A64613">
      <w:pPr>
        <w:keepNext w:val="0"/>
      </w:pPr>
      <w:r w:rsidRPr="00026EC1">
        <w:t>Les mesures d</w:t>
      </w:r>
      <w:r w:rsidR="004A41E4" w:rsidRPr="00026EC1">
        <w:t>’</w:t>
      </w:r>
      <w:r w:rsidRPr="00026EC1">
        <w:t>employabilité et de cessation d</w:t>
      </w:r>
      <w:r w:rsidR="004A41E4" w:rsidRPr="00026EC1">
        <w:t>’</w:t>
      </w:r>
      <w:r w:rsidRPr="00026EC1">
        <w:t>emploi sont également accessibles, par substitution, à l</w:t>
      </w:r>
      <w:r w:rsidR="004A41E4" w:rsidRPr="00026EC1">
        <w:t>’</w:t>
      </w:r>
      <w:r w:rsidRPr="00026EC1">
        <w:t>enseignante et l</w:t>
      </w:r>
      <w:r w:rsidR="004A41E4" w:rsidRPr="00026EC1">
        <w:t>’</w:t>
      </w:r>
      <w:r w:rsidRPr="00026EC1">
        <w:t>enseignant permanent non mis en disponibilité, dans la même discipline ou dans la même spécialité reconnues par le Bureau de placement selon les dispositions suivantes</w:t>
      </w:r>
      <w:r w:rsidR="00D8581B">
        <w:t> :</w:t>
      </w:r>
      <w:r w:rsidRPr="00026EC1">
        <w:t xml:space="preserve"> </w:t>
      </w:r>
    </w:p>
    <w:p w14:paraId="3D10C5A0" w14:textId="77777777" w:rsidR="00DF6239" w:rsidRPr="00026EC1" w:rsidRDefault="00DF6239" w:rsidP="00A64613">
      <w:pPr>
        <w:keepNext w:val="0"/>
      </w:pPr>
    </w:p>
    <w:p w14:paraId="477A57C7" w14:textId="77777777" w:rsidR="00DF6239" w:rsidRPr="00026EC1" w:rsidRDefault="00275751" w:rsidP="00A64613">
      <w:pPr>
        <w:keepNext w:val="0"/>
        <w:ind w:left="567" w:hanging="567"/>
      </w:pPr>
      <w:r w:rsidRPr="00026EC1">
        <w:rPr>
          <w:rFonts w:ascii="Symbol" w:hAnsi="Symbol"/>
        </w:rPr>
        <w:t></w:t>
      </w:r>
      <w:r w:rsidRPr="00026EC1">
        <w:rPr>
          <w:rFonts w:ascii="Symbol" w:hAnsi="Symbol"/>
        </w:rPr>
        <w:tab/>
      </w:r>
      <w:r w:rsidR="00DF6239" w:rsidRPr="00026EC1">
        <w:t>l</w:t>
      </w:r>
      <w:r w:rsidR="004A41E4" w:rsidRPr="00026EC1">
        <w:t>’</w:t>
      </w:r>
      <w:r w:rsidR="00DF6239" w:rsidRPr="00026EC1">
        <w:t>enseignante ou l</w:t>
      </w:r>
      <w:r w:rsidR="004A41E4" w:rsidRPr="00026EC1">
        <w:t>’</w:t>
      </w:r>
      <w:r w:rsidR="00DF6239" w:rsidRPr="00026EC1">
        <w:t>enseignant mis en disponibilité ayant le plus d</w:t>
      </w:r>
      <w:r w:rsidR="004A41E4" w:rsidRPr="00026EC1">
        <w:t>’</w:t>
      </w:r>
      <w:r w:rsidR="00DF6239" w:rsidRPr="00026EC1">
        <w:t>ancienneté au dernier jour de l</w:t>
      </w:r>
      <w:r w:rsidR="004A41E4" w:rsidRPr="00026EC1">
        <w:t>’</w:t>
      </w:r>
      <w:r w:rsidR="00DF6239" w:rsidRPr="00026EC1">
        <w:t>année d</w:t>
      </w:r>
      <w:r w:rsidR="004A41E4" w:rsidRPr="00026EC1">
        <w:t>’</w:t>
      </w:r>
      <w:r w:rsidR="00DF6239" w:rsidRPr="00026EC1">
        <w:t>engagement pour laquelle une mesure est accordée et, à ancienneté égale, celle ou celui ayant le plus d</w:t>
      </w:r>
      <w:r w:rsidR="004A41E4" w:rsidRPr="00026EC1">
        <w:t>’</w:t>
      </w:r>
      <w:r w:rsidR="00DF6239" w:rsidRPr="00026EC1">
        <w:t>expérience et, à expérience égale, celle ou celui ayant le plus d</w:t>
      </w:r>
      <w:r w:rsidR="00DF6239" w:rsidRPr="00026EC1">
        <w:rPr>
          <w:rFonts w:hint="eastAsia"/>
        </w:rPr>
        <w:t xml:space="preserve">e scolarité </w:t>
      </w:r>
      <w:r w:rsidR="00DF6239" w:rsidRPr="00026EC1">
        <w:t>peut échanger son statut de mis en disponibilité avec une enseignante ou un enseignant permanent non mis en disponibilité qui en fait la demande par écrit;</w:t>
      </w:r>
    </w:p>
    <w:p w14:paraId="3B86402A" w14:textId="77777777" w:rsidR="00DF6239" w:rsidRPr="00026EC1" w:rsidRDefault="00DF6239" w:rsidP="00A64613">
      <w:pPr>
        <w:pStyle w:val="Texte1cm"/>
        <w:keepNext w:val="0"/>
      </w:pPr>
    </w:p>
    <w:p w14:paraId="2858610D" w14:textId="4395E7DA" w:rsidR="00DF6239" w:rsidRDefault="00275751" w:rsidP="00A64613">
      <w:pPr>
        <w:keepNext w:val="0"/>
        <w:ind w:left="567" w:hanging="567"/>
      </w:pPr>
      <w:r w:rsidRPr="00026EC1">
        <w:rPr>
          <w:rFonts w:ascii="Symbol" w:hAnsi="Symbol"/>
        </w:rPr>
        <w:t></w:t>
      </w:r>
      <w:r w:rsidRPr="00026EC1">
        <w:rPr>
          <w:rFonts w:ascii="Symbol" w:hAnsi="Symbol"/>
        </w:rPr>
        <w:tab/>
      </w:r>
      <w:r w:rsidR="00DF6239" w:rsidRPr="00026EC1">
        <w:t>si plus d</w:t>
      </w:r>
      <w:r w:rsidR="004A41E4" w:rsidRPr="00026EC1">
        <w:t>’</w:t>
      </w:r>
      <w:r w:rsidR="00DF6239" w:rsidRPr="00026EC1">
        <w:t>une enseignante ou d</w:t>
      </w:r>
      <w:r w:rsidR="004A41E4" w:rsidRPr="00026EC1">
        <w:t>’</w:t>
      </w:r>
      <w:r w:rsidR="00DF6239" w:rsidRPr="00026EC1">
        <w:t xml:space="preserve">un enseignant permanent non mis en disponibilité fait une demande, le Collège donne suite à la demande de substitution de celle ou </w:t>
      </w:r>
      <w:r w:rsidR="007022B7" w:rsidRPr="00026EC1">
        <w:t xml:space="preserve">de </w:t>
      </w:r>
      <w:r w:rsidR="00DF6239" w:rsidRPr="00026EC1">
        <w:t>celui qui a le plus d</w:t>
      </w:r>
      <w:r w:rsidR="004A41E4" w:rsidRPr="00026EC1">
        <w:t>’</w:t>
      </w:r>
      <w:r w:rsidR="00DF6239" w:rsidRPr="00026EC1">
        <w:t xml:space="preserve">ancienneté </w:t>
      </w:r>
      <w:r w:rsidR="00DF6239" w:rsidRPr="00026EC1">
        <w:rPr>
          <w:rFonts w:cs="Arial"/>
        </w:rPr>
        <w:t>au dernier jour de l</w:t>
      </w:r>
      <w:r w:rsidR="004A41E4" w:rsidRPr="00026EC1">
        <w:rPr>
          <w:rFonts w:cs="Arial"/>
        </w:rPr>
        <w:t>’</w:t>
      </w:r>
      <w:r w:rsidR="00DF6239" w:rsidRPr="00026EC1">
        <w:rPr>
          <w:rFonts w:cs="Arial"/>
        </w:rPr>
        <w:t>année d</w:t>
      </w:r>
      <w:r w:rsidR="004A41E4" w:rsidRPr="00026EC1">
        <w:rPr>
          <w:rFonts w:cs="Arial"/>
        </w:rPr>
        <w:t>’</w:t>
      </w:r>
      <w:r w:rsidR="00DF6239" w:rsidRPr="00026EC1">
        <w:rPr>
          <w:rFonts w:cs="Arial"/>
        </w:rPr>
        <w:t xml:space="preserve">engagement pour laquelle une mesure est accordée </w:t>
      </w:r>
      <w:r w:rsidR="00DF6239" w:rsidRPr="00026EC1">
        <w:t xml:space="preserve">et, à ancienneté égale, </w:t>
      </w:r>
      <w:r w:rsidR="003E1207" w:rsidRPr="00026EC1">
        <w:t>de</w:t>
      </w:r>
      <w:r w:rsidR="00DF6239" w:rsidRPr="00026EC1">
        <w:t xml:space="preserve"> celle ou</w:t>
      </w:r>
      <w:r w:rsidR="003E1207" w:rsidRPr="00026EC1">
        <w:t xml:space="preserve"> de</w:t>
      </w:r>
      <w:r w:rsidR="00DF6239" w:rsidRPr="00026EC1">
        <w:t xml:space="preserve"> celui qui a le plus d</w:t>
      </w:r>
      <w:r w:rsidR="004A41E4" w:rsidRPr="00026EC1">
        <w:t>’</w:t>
      </w:r>
      <w:r w:rsidR="00DF6239" w:rsidRPr="00026EC1">
        <w:t xml:space="preserve">expérience et, à expérience égale, </w:t>
      </w:r>
      <w:r w:rsidR="003E1207" w:rsidRPr="00026EC1">
        <w:t>de</w:t>
      </w:r>
      <w:r w:rsidR="00DF6239" w:rsidRPr="00026EC1">
        <w:t xml:space="preserve"> celle ou </w:t>
      </w:r>
      <w:r w:rsidR="003E1207" w:rsidRPr="00026EC1">
        <w:t xml:space="preserve">de </w:t>
      </w:r>
      <w:r w:rsidR="00DF6239" w:rsidRPr="00026EC1">
        <w:t>celui qui a le plus de scolarité;</w:t>
      </w:r>
    </w:p>
    <w:p w14:paraId="68EC605F" w14:textId="77777777" w:rsidR="00E97B59" w:rsidRPr="00026EC1" w:rsidRDefault="00E97B59" w:rsidP="00A64613">
      <w:pPr>
        <w:keepNext w:val="0"/>
        <w:ind w:left="567" w:hanging="567"/>
      </w:pPr>
    </w:p>
    <w:p w14:paraId="6DAC0C68" w14:textId="51F8F00D" w:rsidR="00DF6239" w:rsidRDefault="00275751" w:rsidP="00A64613">
      <w:pPr>
        <w:keepNext w:val="0"/>
        <w:ind w:left="567" w:hanging="567"/>
      </w:pPr>
      <w:r w:rsidRPr="00026EC1">
        <w:rPr>
          <w:rFonts w:ascii="Symbol" w:hAnsi="Symbol"/>
        </w:rPr>
        <w:t></w:t>
      </w:r>
      <w:r w:rsidRPr="00026EC1">
        <w:rPr>
          <w:rFonts w:ascii="Symbol" w:hAnsi="Symbol"/>
        </w:rPr>
        <w:tab/>
      </w:r>
      <w:r w:rsidR="00DF6239" w:rsidRPr="00026EC1">
        <w:t>cette substitution prend effet à la date où la mesure est octroyée et l</w:t>
      </w:r>
      <w:r w:rsidR="004A41E4" w:rsidRPr="00026EC1">
        <w:t>’</w:t>
      </w:r>
      <w:r w:rsidR="00DF6239" w:rsidRPr="00026EC1">
        <w:t>enseignante ou l</w:t>
      </w:r>
      <w:r w:rsidR="004A41E4" w:rsidRPr="00026EC1">
        <w:t>’</w:t>
      </w:r>
      <w:r w:rsidR="00DF6239" w:rsidRPr="00026EC1">
        <w:t>enseignant ayant demandé une telle substitution est alors réputé avoir reçu son avis de mis</w:t>
      </w:r>
      <w:r w:rsidR="003E1207" w:rsidRPr="00026EC1">
        <w:t>e</w:t>
      </w:r>
      <w:r w:rsidR="00DF6239" w:rsidRPr="00026EC1">
        <w:t xml:space="preserve"> en disponibilité prévu à la clause</w:t>
      </w:r>
      <w:r w:rsidR="00BD38A6" w:rsidRPr="00026EC1">
        <w:t> </w:t>
      </w:r>
      <w:r w:rsidR="00DF6239" w:rsidRPr="00026EC1">
        <w:t>5</w:t>
      </w:r>
      <w:r w:rsidR="00984A6F">
        <w:noBreakHyphen/>
      </w:r>
      <w:r w:rsidR="00DF6239" w:rsidRPr="00026EC1">
        <w:t>4.06 à compter de la date où la mesure est octroyée;</w:t>
      </w:r>
    </w:p>
    <w:p w14:paraId="561E0314" w14:textId="77777777" w:rsidR="004D52AF" w:rsidRPr="00026EC1" w:rsidRDefault="004D52AF" w:rsidP="00A64613">
      <w:pPr>
        <w:keepNext w:val="0"/>
        <w:ind w:left="567" w:hanging="567"/>
      </w:pPr>
    </w:p>
    <w:p w14:paraId="42DE7955" w14:textId="36747B08" w:rsidR="00DF6239" w:rsidRPr="00026EC1" w:rsidRDefault="00275751" w:rsidP="00A64613">
      <w:pPr>
        <w:keepNext w:val="0"/>
        <w:ind w:left="567" w:hanging="567"/>
      </w:pPr>
      <w:r w:rsidRPr="00026EC1">
        <w:rPr>
          <w:rFonts w:ascii="Symbol" w:hAnsi="Symbol"/>
        </w:rPr>
        <w:t></w:t>
      </w:r>
      <w:r w:rsidRPr="00026EC1">
        <w:rPr>
          <w:rFonts w:ascii="Symbol" w:hAnsi="Symbol"/>
        </w:rPr>
        <w:tab/>
      </w:r>
      <w:r w:rsidR="00DF6239" w:rsidRPr="00026EC1">
        <w:t>à l</w:t>
      </w:r>
      <w:r w:rsidR="004A41E4" w:rsidRPr="00026EC1">
        <w:t>’</w:t>
      </w:r>
      <w:r w:rsidR="00DF6239" w:rsidRPr="00026EC1">
        <w:t>exception de l</w:t>
      </w:r>
      <w:r w:rsidR="004A41E4" w:rsidRPr="00026EC1">
        <w:t>’</w:t>
      </w:r>
      <w:r w:rsidR="00DF6239" w:rsidRPr="00026EC1">
        <w:t>octroi d</w:t>
      </w:r>
      <w:r w:rsidR="004A41E4" w:rsidRPr="00026EC1">
        <w:t>’</w:t>
      </w:r>
      <w:r w:rsidR="00DF6239" w:rsidRPr="00026EC1">
        <w:t>un recyclage vers un poste réservé dans un autre collège</w:t>
      </w:r>
      <w:r w:rsidR="003E1207" w:rsidRPr="00026EC1">
        <w:t>,</w:t>
      </w:r>
      <w:r w:rsidR="00DF6239" w:rsidRPr="00026EC1">
        <w:t xml:space="preserve"> dont la date de prise d</w:t>
      </w:r>
      <w:r w:rsidR="004A41E4" w:rsidRPr="00026EC1">
        <w:t>’</w:t>
      </w:r>
      <w:r w:rsidR="00DF6239" w:rsidRPr="00026EC1">
        <w:t>effet est prévue à l</w:t>
      </w:r>
      <w:r w:rsidR="004A41E4" w:rsidRPr="00026EC1">
        <w:t>’</w:t>
      </w:r>
      <w:r w:rsidR="00DF6239" w:rsidRPr="00026EC1">
        <w:t>alinéa</w:t>
      </w:r>
      <w:r w:rsidR="00757E12" w:rsidRPr="00026EC1">
        <w:t> </w:t>
      </w:r>
      <w:r w:rsidR="00DF6239" w:rsidRPr="00026EC1">
        <w:t>A) de la clause</w:t>
      </w:r>
      <w:r w:rsidR="00BD38A6" w:rsidRPr="00026EC1">
        <w:t> </w:t>
      </w:r>
      <w:r w:rsidR="00DF6239" w:rsidRPr="00026EC1">
        <w:t>5</w:t>
      </w:r>
      <w:r w:rsidR="00984A6F">
        <w:noBreakHyphen/>
      </w:r>
      <w:r w:rsidR="00DF6239" w:rsidRPr="00026EC1">
        <w:t>4.22, les effets de cette substitution entrent en vigueur à la date de prise d</w:t>
      </w:r>
      <w:r w:rsidR="004A41E4" w:rsidRPr="00026EC1">
        <w:t>’</w:t>
      </w:r>
      <w:r w:rsidR="00DF6239" w:rsidRPr="00026EC1">
        <w:t>effet de la mesure;</w:t>
      </w:r>
    </w:p>
    <w:p w14:paraId="6BE18C04" w14:textId="77777777" w:rsidR="00DF6239" w:rsidRPr="00026EC1" w:rsidRDefault="00DF6239" w:rsidP="00A64613">
      <w:pPr>
        <w:pStyle w:val="Texte1cm"/>
        <w:keepNext w:val="0"/>
      </w:pPr>
    </w:p>
    <w:p w14:paraId="46C56300" w14:textId="77777777" w:rsidR="00DF6239" w:rsidRPr="00026EC1" w:rsidRDefault="00275751" w:rsidP="00A64613">
      <w:pPr>
        <w:keepNext w:val="0"/>
        <w:ind w:left="567" w:hanging="567"/>
      </w:pPr>
      <w:r w:rsidRPr="00026EC1">
        <w:rPr>
          <w:rFonts w:ascii="Symbol" w:hAnsi="Symbol"/>
        </w:rPr>
        <w:t></w:t>
      </w:r>
      <w:r w:rsidRPr="00026EC1">
        <w:rPr>
          <w:rFonts w:ascii="Symbol" w:hAnsi="Symbol"/>
        </w:rPr>
        <w:tab/>
      </w:r>
      <w:r w:rsidR="00DF6239" w:rsidRPr="00026EC1">
        <w:t>pour les mesures prévues aux alinéas</w:t>
      </w:r>
      <w:r w:rsidR="00757E12" w:rsidRPr="00026EC1">
        <w:t> </w:t>
      </w:r>
      <w:r w:rsidR="00DF6239" w:rsidRPr="00026EC1">
        <w:t>c), d) et e), ces effets perdurent pour l</w:t>
      </w:r>
      <w:r w:rsidR="004A41E4" w:rsidRPr="00026EC1">
        <w:t>’</w:t>
      </w:r>
      <w:r w:rsidR="00DF6239" w:rsidRPr="00026EC1">
        <w:t>enseignante ou l</w:t>
      </w:r>
      <w:r w:rsidR="004A41E4" w:rsidRPr="00026EC1">
        <w:t>’</w:t>
      </w:r>
      <w:r w:rsidR="00DF6239" w:rsidRPr="00026EC1">
        <w:t>enseignant ayant demandé une telle substitution jusqu</w:t>
      </w:r>
      <w:r w:rsidR="004A41E4" w:rsidRPr="00026EC1">
        <w:t>’</w:t>
      </w:r>
      <w:r w:rsidR="00DF6239" w:rsidRPr="00026EC1">
        <w:t>à ce qu</w:t>
      </w:r>
      <w:r w:rsidR="004A41E4" w:rsidRPr="00026EC1">
        <w:t>’</w:t>
      </w:r>
      <w:r w:rsidR="00DF6239" w:rsidRPr="00026EC1">
        <w:t>elle ou il obtienne de nouveau un poste;</w:t>
      </w:r>
    </w:p>
    <w:p w14:paraId="1D73C00F" w14:textId="77777777" w:rsidR="00DF6239" w:rsidRPr="00026EC1" w:rsidRDefault="00DF6239" w:rsidP="00A64613">
      <w:pPr>
        <w:pStyle w:val="Texte1cm"/>
        <w:keepNext w:val="0"/>
      </w:pPr>
    </w:p>
    <w:p w14:paraId="7C9BB6BE" w14:textId="4F3A15F8" w:rsidR="00DF6239" w:rsidRDefault="00275751" w:rsidP="00A64613">
      <w:pPr>
        <w:keepNext w:val="0"/>
        <w:ind w:left="567" w:hanging="567"/>
      </w:pPr>
      <w:r w:rsidRPr="00026EC1">
        <w:rPr>
          <w:rFonts w:ascii="Symbol" w:hAnsi="Symbol"/>
        </w:rPr>
        <w:t></w:t>
      </w:r>
      <w:r w:rsidRPr="00026EC1">
        <w:rPr>
          <w:rFonts w:ascii="Symbol" w:hAnsi="Symbol"/>
        </w:rPr>
        <w:tab/>
      </w:r>
      <w:r w:rsidR="00DF6239" w:rsidRPr="00026EC1">
        <w:t>lorsque la mesure demandée par l</w:t>
      </w:r>
      <w:r w:rsidR="004A41E4" w:rsidRPr="00026EC1">
        <w:t>’</w:t>
      </w:r>
      <w:r w:rsidR="00DF6239" w:rsidRPr="00026EC1">
        <w:t>enseignante ou l</w:t>
      </w:r>
      <w:r w:rsidR="004A41E4" w:rsidRPr="00026EC1">
        <w:t>’</w:t>
      </w:r>
      <w:r w:rsidR="00DF6239" w:rsidRPr="00026EC1">
        <w:t>enseignant permanent non mis en disponibilité lui est octroyée, alors elle ou il ne peut plus annuler sa demande de substitution;</w:t>
      </w:r>
    </w:p>
    <w:p w14:paraId="0269B5CC" w14:textId="77777777" w:rsidR="00E97B59" w:rsidRPr="00026EC1" w:rsidRDefault="00E97B59" w:rsidP="00A64613">
      <w:pPr>
        <w:keepNext w:val="0"/>
        <w:ind w:left="567" w:hanging="567"/>
      </w:pPr>
    </w:p>
    <w:p w14:paraId="37071A75" w14:textId="586906BB" w:rsidR="00DF6239" w:rsidRPr="00026EC1" w:rsidRDefault="00275751" w:rsidP="00A64613">
      <w:pPr>
        <w:keepNext w:val="0"/>
        <w:ind w:left="567" w:hanging="567"/>
      </w:pPr>
      <w:r w:rsidRPr="00026EC1">
        <w:rPr>
          <w:rFonts w:ascii="Symbol" w:hAnsi="Symbol"/>
        </w:rPr>
        <w:t></w:t>
      </w:r>
      <w:r w:rsidRPr="00026EC1">
        <w:rPr>
          <w:rFonts w:ascii="Symbol" w:hAnsi="Symbol"/>
        </w:rPr>
        <w:tab/>
      </w:r>
      <w:r w:rsidR="00DF6239" w:rsidRPr="00026EC1">
        <w:t>si l</w:t>
      </w:r>
      <w:r w:rsidR="004A41E4" w:rsidRPr="00026EC1">
        <w:t>’</w:t>
      </w:r>
      <w:r w:rsidR="00DF6239" w:rsidRPr="00026EC1">
        <w:t>enseignante ou l</w:t>
      </w:r>
      <w:r w:rsidR="004A41E4" w:rsidRPr="00026EC1">
        <w:t>’</w:t>
      </w:r>
      <w:r w:rsidR="00DF6239" w:rsidRPr="00026EC1">
        <w:t>enseignant se désiste de la mesure octroyée, alors elle ou il demeure mis en disponibilité; cependant, elle ou il ne peut faire valoir la priorité prévue aux sous</w:t>
      </w:r>
      <w:r w:rsidR="00984A6F">
        <w:noBreakHyphen/>
      </w:r>
      <w:r w:rsidR="00DF6239" w:rsidRPr="00026EC1">
        <w:t>alinéas</w:t>
      </w:r>
      <w:r w:rsidR="00757E12" w:rsidRPr="00026EC1">
        <w:t> </w:t>
      </w:r>
      <w:r w:rsidR="00DF6239" w:rsidRPr="00026EC1">
        <w:t>4</w:t>
      </w:r>
      <w:r w:rsidR="00E97B59">
        <w:t xml:space="preserve"> </w:t>
      </w:r>
      <w:r w:rsidR="00E97B59" w:rsidRPr="00316277">
        <w:t>(premier (1</w:t>
      </w:r>
      <w:r w:rsidR="00E97B59" w:rsidRPr="00316277">
        <w:rPr>
          <w:vertAlign w:val="superscript"/>
        </w:rPr>
        <w:t>er</w:t>
      </w:r>
      <w:r w:rsidR="00E97B59" w:rsidRPr="00316277">
        <w:t>) paragraphe</w:t>
      </w:r>
      <w:r w:rsidR="004D52AF" w:rsidRPr="00316277">
        <w:t>)</w:t>
      </w:r>
      <w:r w:rsidR="00DF6239" w:rsidRPr="00026EC1">
        <w:t xml:space="preserve"> et 5 de l</w:t>
      </w:r>
      <w:r w:rsidR="004A41E4" w:rsidRPr="00026EC1">
        <w:t>’</w:t>
      </w:r>
      <w:r w:rsidR="00DF6239" w:rsidRPr="00026EC1">
        <w:t>alinéa</w:t>
      </w:r>
      <w:r w:rsidR="00757E12" w:rsidRPr="00026EC1">
        <w:t> </w:t>
      </w:r>
      <w:r w:rsidR="00DF6239" w:rsidRPr="00026EC1">
        <w:t>a) de la clause</w:t>
      </w:r>
      <w:r w:rsidR="00BD38A6" w:rsidRPr="00026EC1">
        <w:t> </w:t>
      </w:r>
      <w:r w:rsidR="00DF6239" w:rsidRPr="00026EC1">
        <w:t>5</w:t>
      </w:r>
      <w:r w:rsidR="00984A6F">
        <w:noBreakHyphen/>
      </w:r>
      <w:r w:rsidR="00DF6239" w:rsidRPr="00026EC1">
        <w:t>4.17</w:t>
      </w:r>
      <w:r w:rsidR="003E1207" w:rsidRPr="00026EC1">
        <w:t>,</w:t>
      </w:r>
      <w:r w:rsidR="00DF6239" w:rsidRPr="00026EC1">
        <w:t xml:space="preserve"> et ce, pour les postes disponibles de l</w:t>
      </w:r>
      <w:r w:rsidR="004A41E4" w:rsidRPr="00026EC1">
        <w:t>’</w:t>
      </w:r>
      <w:r w:rsidR="00DF6239" w:rsidRPr="00026EC1">
        <w:t>année d</w:t>
      </w:r>
      <w:r w:rsidR="004A41E4" w:rsidRPr="00026EC1">
        <w:t>’</w:t>
      </w:r>
      <w:r w:rsidR="00DF6239" w:rsidRPr="00026EC1">
        <w:t>engagement qui suit celle où la mesure a été octroyée;</w:t>
      </w:r>
    </w:p>
    <w:p w14:paraId="268EBC85" w14:textId="77777777" w:rsidR="00DF6239" w:rsidRPr="00026EC1" w:rsidRDefault="00DF6239" w:rsidP="00A64613">
      <w:pPr>
        <w:pStyle w:val="Texte1cm"/>
        <w:keepNext w:val="0"/>
      </w:pPr>
    </w:p>
    <w:p w14:paraId="4CE2EEC4" w14:textId="77777777" w:rsidR="00DF6239" w:rsidRPr="00026EC1" w:rsidRDefault="00275751" w:rsidP="00A64613">
      <w:pPr>
        <w:keepNext w:val="0"/>
        <w:ind w:left="567" w:hanging="567"/>
        <w:rPr>
          <w:rFonts w:cs="Arial"/>
        </w:rPr>
      </w:pPr>
      <w:r w:rsidRPr="00026EC1">
        <w:rPr>
          <w:rFonts w:ascii="Symbol" w:hAnsi="Symbol" w:cs="Arial"/>
        </w:rPr>
        <w:t></w:t>
      </w:r>
      <w:r w:rsidRPr="00026EC1">
        <w:rPr>
          <w:rFonts w:ascii="Symbol" w:hAnsi="Symbol" w:cs="Arial"/>
        </w:rPr>
        <w:tab/>
      </w:r>
      <w:r w:rsidR="00DF6239" w:rsidRPr="00026EC1">
        <w:rPr>
          <w:rFonts w:cs="Arial"/>
        </w:rPr>
        <w:t>si la mesure demandée par l</w:t>
      </w:r>
      <w:r w:rsidR="004A41E4" w:rsidRPr="00026EC1">
        <w:rPr>
          <w:rFonts w:cs="Arial"/>
        </w:rPr>
        <w:t>’</w:t>
      </w:r>
      <w:r w:rsidR="00DF6239" w:rsidRPr="00026EC1">
        <w:rPr>
          <w:rFonts w:cs="Arial"/>
        </w:rPr>
        <w:t>enseignante ou l</w:t>
      </w:r>
      <w:r w:rsidR="004A41E4" w:rsidRPr="00026EC1">
        <w:rPr>
          <w:rFonts w:cs="Arial"/>
        </w:rPr>
        <w:t>’</w:t>
      </w:r>
      <w:r w:rsidR="00DF6239" w:rsidRPr="00026EC1">
        <w:rPr>
          <w:rFonts w:cs="Arial"/>
        </w:rPr>
        <w:t>enseignant permanent non mis en disponibilité n</w:t>
      </w:r>
      <w:r w:rsidR="004A41E4" w:rsidRPr="00026EC1">
        <w:rPr>
          <w:rFonts w:cs="Arial"/>
        </w:rPr>
        <w:t>’</w:t>
      </w:r>
      <w:r w:rsidR="00DF6239" w:rsidRPr="00026EC1">
        <w:rPr>
          <w:rFonts w:cs="Arial"/>
        </w:rPr>
        <w:t>est pas accordée, alors la demande de substitution est annulée.</w:t>
      </w:r>
    </w:p>
    <w:p w14:paraId="38EEB4BD" w14:textId="77777777" w:rsidR="00DF6239" w:rsidRPr="00026EC1" w:rsidRDefault="00DF6239" w:rsidP="00A64613">
      <w:pPr>
        <w:pStyle w:val="Texte1cm"/>
        <w:keepNext w:val="0"/>
      </w:pPr>
    </w:p>
    <w:p w14:paraId="389880D7" w14:textId="012E392C" w:rsidR="00DF6239" w:rsidRPr="00026EC1" w:rsidRDefault="00DF6239" w:rsidP="00A64613">
      <w:pPr>
        <w:keepNext w:val="0"/>
      </w:pPr>
      <w:r w:rsidRPr="00026EC1">
        <w:t>La durée totale des absences et congés dont peut bénéficier une enseignante ou un enseignant en vertu de la présente clause ne peut excéder cinq</w:t>
      </w:r>
      <w:r w:rsidR="00B26CCD">
        <w:t> </w:t>
      </w:r>
      <w:r w:rsidRPr="00026EC1">
        <w:t>(5) ans.</w:t>
      </w:r>
    </w:p>
    <w:p w14:paraId="4D938B33" w14:textId="77777777" w:rsidR="00DF6239" w:rsidRPr="00026EC1" w:rsidRDefault="00DF6239" w:rsidP="00A64613">
      <w:pPr>
        <w:keepNext w:val="0"/>
      </w:pPr>
    </w:p>
    <w:p w14:paraId="30500E3A" w14:textId="56989CE2" w:rsidR="00DF6239" w:rsidRPr="00026EC1" w:rsidRDefault="00DF6239" w:rsidP="00A64613">
      <w:pPr>
        <w:pStyle w:val="NUMRODECLAUSE"/>
        <w:keepNext w:val="0"/>
      </w:pPr>
      <w:r w:rsidRPr="00026EC1">
        <w:rPr>
          <w:rStyle w:val="PageNumber"/>
        </w:rPr>
        <w:t>5</w:t>
      </w:r>
      <w:r w:rsidR="00984A6F">
        <w:rPr>
          <w:rStyle w:val="PageNumber"/>
        </w:rPr>
        <w:noBreakHyphen/>
      </w:r>
      <w:r w:rsidRPr="00026EC1">
        <w:rPr>
          <w:rStyle w:val="PageNumber"/>
        </w:rPr>
        <w:t>4.25</w:t>
      </w:r>
      <w:r w:rsidR="001C71F5" w:rsidRPr="00026EC1">
        <w:rPr>
          <w:rStyle w:val="PageNumber"/>
        </w:rPr>
        <w:tab/>
      </w:r>
      <w:r w:rsidRPr="00147EA0">
        <w:rPr>
          <w:u w:val="single"/>
        </w:rPr>
        <w:t>Replacement intrasectoriel</w:t>
      </w:r>
    </w:p>
    <w:p w14:paraId="0A3E93BA" w14:textId="5D9F4C38" w:rsidR="00DF6239" w:rsidRPr="00026EC1" w:rsidRDefault="00275751" w:rsidP="00A64613">
      <w:pPr>
        <w:keepNext w:val="0"/>
        <w:tabs>
          <w:tab w:val="left" w:pos="567"/>
        </w:tabs>
        <w:ind w:left="567" w:hanging="567"/>
      </w:pPr>
      <w:r w:rsidRPr="00026EC1">
        <w:t>A)</w:t>
      </w:r>
      <w:r w:rsidRPr="00026EC1">
        <w:tab/>
      </w:r>
      <w:r w:rsidR="00DF6239" w:rsidRPr="00026EC1">
        <w:t>Aux fins de la présente clause, le Bureau de placement fait parvenir, au plus tard le</w:t>
      </w:r>
      <w:r w:rsidR="00B450B7">
        <w:t> </w:t>
      </w:r>
      <w:r w:rsidR="00DF6239" w:rsidRPr="00026EC1">
        <w:t>10 août,</w:t>
      </w:r>
      <w:r w:rsidR="00DF6239" w:rsidRPr="00026EC1">
        <w:rPr>
          <w:bCs/>
        </w:rPr>
        <w:t xml:space="preserve"> </w:t>
      </w:r>
      <w:r w:rsidR="00DF6239" w:rsidRPr="00026EC1">
        <w:t>la liste des postes à l</w:t>
      </w:r>
      <w:r w:rsidR="004A41E4" w:rsidRPr="00026EC1">
        <w:t>’</w:t>
      </w:r>
      <w:r w:rsidR="00DF6239" w:rsidRPr="00026EC1">
        <w:t>enseignement régulier (formation générale et formation professionnelle) disponibles à l</w:t>
      </w:r>
      <w:r w:rsidR="004A41E4" w:rsidRPr="00026EC1">
        <w:t>’</w:t>
      </w:r>
      <w:r w:rsidR="00DF6239" w:rsidRPr="00026EC1">
        <w:t>ordre secondaire dans les établissements des commissions scolaires</w:t>
      </w:r>
      <w:r w:rsidR="000A7A21">
        <w:t xml:space="preserve"> </w:t>
      </w:r>
      <w:r w:rsidR="000A7A21" w:rsidRPr="00316277">
        <w:t>et les centres de services scolaires</w:t>
      </w:r>
      <w:r w:rsidR="00DF6239" w:rsidRPr="00026EC1">
        <w:t>, aux enseignantes et enseignants mis en disponibilité inscrits au Bureau de placement, à chacun des Collèges, à chacun des Syndicats et à la</w:t>
      </w:r>
      <w:r w:rsidR="00B450B7">
        <w:t> </w:t>
      </w:r>
      <w:r w:rsidR="00DF6239" w:rsidRPr="00026EC1">
        <w:t>FNEEQ (CSN).</w:t>
      </w:r>
    </w:p>
    <w:p w14:paraId="1DB5F315" w14:textId="77777777" w:rsidR="00DF6239" w:rsidRPr="00026EC1" w:rsidRDefault="00DF6239" w:rsidP="00A64613">
      <w:pPr>
        <w:pStyle w:val="Texte1cm"/>
        <w:keepNext w:val="0"/>
      </w:pPr>
    </w:p>
    <w:p w14:paraId="683B1C0E" w14:textId="77777777" w:rsidR="00DF6239" w:rsidRPr="00026EC1" w:rsidRDefault="00275751" w:rsidP="00A64613">
      <w:pPr>
        <w:keepNext w:val="0"/>
        <w:tabs>
          <w:tab w:val="left" w:pos="567"/>
        </w:tabs>
        <w:ind w:left="567" w:hanging="567"/>
      </w:pPr>
      <w:r w:rsidRPr="00026EC1">
        <w:t>B)</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peut, si elle ou il le désire, exprimer son choix en indiquant son ordre de préférence pour les postes disponibles dans les établissements. Ce choix peut viser un poste disponible dans sa zone ou dans une autre zone.</w:t>
      </w:r>
    </w:p>
    <w:p w14:paraId="3EB04477" w14:textId="77777777" w:rsidR="00DF6239" w:rsidRPr="00026EC1" w:rsidRDefault="00DF6239" w:rsidP="00A64613">
      <w:pPr>
        <w:pStyle w:val="Texte1cm"/>
        <w:keepNext w:val="0"/>
      </w:pPr>
    </w:p>
    <w:p w14:paraId="0B3F5AFB" w14:textId="77777777" w:rsidR="00DF6239" w:rsidRPr="00026EC1" w:rsidRDefault="00DF6239" w:rsidP="00A64613">
      <w:pPr>
        <w:pStyle w:val="Texte1cm"/>
        <w:keepNext w:val="0"/>
      </w:pPr>
      <w:r w:rsidRPr="00026EC1">
        <w:t>Ces choix sont signifiés par écrit au Bureau de placement au plus tard sept (7) jours après la réception de la liste.</w:t>
      </w:r>
    </w:p>
    <w:p w14:paraId="1892092E" w14:textId="77777777" w:rsidR="00DF6239" w:rsidRPr="00026EC1" w:rsidRDefault="00DF6239" w:rsidP="00A64613">
      <w:pPr>
        <w:pStyle w:val="Texte1cm"/>
        <w:keepNext w:val="0"/>
      </w:pPr>
    </w:p>
    <w:p w14:paraId="3576F3D1" w14:textId="3353F899" w:rsidR="00DF6239" w:rsidRPr="00026EC1" w:rsidRDefault="00275751" w:rsidP="00A64613">
      <w:pPr>
        <w:keepNext w:val="0"/>
        <w:tabs>
          <w:tab w:val="left" w:pos="567"/>
        </w:tabs>
        <w:ind w:left="567" w:hanging="567"/>
      </w:pPr>
      <w:r w:rsidRPr="00026EC1">
        <w:t>C)</w:t>
      </w:r>
      <w:r w:rsidRPr="00026EC1">
        <w:tab/>
      </w:r>
      <w:r w:rsidR="00DF6239" w:rsidRPr="00026EC1">
        <w:t>Le Bureau de placement transmet ensuite aux commissions scolaires</w:t>
      </w:r>
      <w:r w:rsidR="004D52AF">
        <w:t xml:space="preserve"> </w:t>
      </w:r>
      <w:r w:rsidR="004D52AF" w:rsidRPr="00316277">
        <w:t>ou aux centres de services scolaires</w:t>
      </w:r>
      <w:r w:rsidR="00DF6239" w:rsidRPr="00026EC1">
        <w:t xml:space="preserve"> les candidatures des enseignantes et enseignants ayant exprimé un choix pour le poste visé. Le poste doit correspondre à la discipline pour laquelle l</w:t>
      </w:r>
      <w:r w:rsidR="004A41E4" w:rsidRPr="00026EC1">
        <w:t>’</w:t>
      </w:r>
      <w:r w:rsidR="00DF6239" w:rsidRPr="00026EC1">
        <w:t>enseignante ou l</w:t>
      </w:r>
      <w:r w:rsidR="004A41E4" w:rsidRPr="00026EC1">
        <w:t>’</w:t>
      </w:r>
      <w:r w:rsidR="00DF6239" w:rsidRPr="00026EC1">
        <w:t>enseignant a été engagé ou à une autre discipline, si elle ou il répond aux exigences normalement requises pour ce poste.</w:t>
      </w:r>
    </w:p>
    <w:p w14:paraId="2F74650E" w14:textId="77777777" w:rsidR="00DF6239" w:rsidRPr="00026EC1" w:rsidRDefault="00DF6239" w:rsidP="00A64613">
      <w:pPr>
        <w:pStyle w:val="Texte1cm"/>
        <w:keepNext w:val="0"/>
      </w:pPr>
    </w:p>
    <w:p w14:paraId="1F55928B" w14:textId="48681958" w:rsidR="00DF6239" w:rsidRPr="00026EC1" w:rsidRDefault="00275751" w:rsidP="00A64613">
      <w:pPr>
        <w:keepNext w:val="0"/>
        <w:tabs>
          <w:tab w:val="left" w:pos="567"/>
        </w:tabs>
        <w:ind w:left="567" w:hanging="567"/>
      </w:pPr>
      <w:r w:rsidRPr="00026EC1">
        <w:t>D)</w:t>
      </w:r>
      <w:r w:rsidRPr="00026EC1">
        <w:tab/>
      </w:r>
      <w:r w:rsidR="00DF6239" w:rsidRPr="00026EC1">
        <w:t>Lorsque le dossier de l</w:t>
      </w:r>
      <w:r w:rsidR="004A41E4" w:rsidRPr="00026EC1">
        <w:t>’</w:t>
      </w:r>
      <w:r w:rsidR="00DF6239" w:rsidRPr="00026EC1">
        <w:t>enseignante ou de l</w:t>
      </w:r>
      <w:r w:rsidR="004A41E4" w:rsidRPr="00026EC1">
        <w:t>’</w:t>
      </w:r>
      <w:r w:rsidR="00DF6239" w:rsidRPr="00026EC1">
        <w:t>enseignant choisi par la commission scolaire</w:t>
      </w:r>
      <w:r w:rsidR="007119B1">
        <w:t xml:space="preserve"> </w:t>
      </w:r>
      <w:r w:rsidR="007119B1" w:rsidRPr="00316277">
        <w:t>ou le centre de service</w:t>
      </w:r>
      <w:r w:rsidR="002E06BC" w:rsidRPr="00316277">
        <w:t>s</w:t>
      </w:r>
      <w:r w:rsidR="007119B1" w:rsidRPr="00316277">
        <w:t xml:space="preserve"> scolaire</w:t>
      </w:r>
      <w:r w:rsidR="00DF6239" w:rsidRPr="00026EC1">
        <w:t xml:space="preserve"> répond aux exigences requises pour l</w:t>
      </w:r>
      <w:r w:rsidR="004A41E4" w:rsidRPr="00026EC1">
        <w:t>’</w:t>
      </w:r>
      <w:r w:rsidR="00DF6239" w:rsidRPr="00026EC1">
        <w:t>obtention de l</w:t>
      </w:r>
      <w:r w:rsidR="004A41E4" w:rsidRPr="00026EC1">
        <w:t>’</w:t>
      </w:r>
      <w:r w:rsidR="00DF6239" w:rsidRPr="00026EC1">
        <w:t>autorisation légale permanente d</w:t>
      </w:r>
      <w:r w:rsidR="004A41E4" w:rsidRPr="00026EC1">
        <w:t>’</w:t>
      </w:r>
      <w:r w:rsidR="00DF6239" w:rsidRPr="00026EC1">
        <w:t>enseigner selon le règlement en vigueur, le Ministère délivre cette autorisation. Lorsque le dossier de l</w:t>
      </w:r>
      <w:r w:rsidR="004A41E4" w:rsidRPr="00026EC1">
        <w:t>’</w:t>
      </w:r>
      <w:r w:rsidR="00DF6239" w:rsidRPr="00026EC1">
        <w:t>enseignante ou de l</w:t>
      </w:r>
      <w:r w:rsidR="004A41E4" w:rsidRPr="00026EC1">
        <w:t>’</w:t>
      </w:r>
      <w:r w:rsidR="00DF6239" w:rsidRPr="00026EC1">
        <w:t>enseignant ne répond pas aux exigences requises, elle ou il est inscrit dans un programme de recyclage au terme duquel, s</w:t>
      </w:r>
      <w:r w:rsidR="004A41E4" w:rsidRPr="00026EC1">
        <w:t>’</w:t>
      </w:r>
      <w:r w:rsidR="00DF6239" w:rsidRPr="00026EC1">
        <w:t>il est réussi, le Ministère délivrera, selon le règlement en vigueur, l</w:t>
      </w:r>
      <w:r w:rsidR="004A41E4" w:rsidRPr="00026EC1">
        <w:t>’</w:t>
      </w:r>
      <w:r w:rsidR="00DF6239" w:rsidRPr="00026EC1">
        <w:t>autorisation légale permanente d</w:t>
      </w:r>
      <w:r w:rsidR="004A41E4" w:rsidRPr="00026EC1">
        <w:t>’</w:t>
      </w:r>
      <w:r w:rsidR="00DF6239" w:rsidRPr="00026EC1">
        <w:t>enseigner.</w:t>
      </w:r>
    </w:p>
    <w:p w14:paraId="30E3AAC6" w14:textId="77777777" w:rsidR="00DF6239" w:rsidRPr="00026EC1" w:rsidRDefault="00DF6239" w:rsidP="00A64613">
      <w:pPr>
        <w:pStyle w:val="Texte1cm"/>
        <w:keepNext w:val="0"/>
      </w:pPr>
    </w:p>
    <w:p w14:paraId="291B4453" w14:textId="77777777" w:rsidR="00DF6239" w:rsidRPr="00026EC1" w:rsidRDefault="00DF6239" w:rsidP="00A64613">
      <w:pPr>
        <w:pStyle w:val="Texte1cm"/>
        <w:keepNext w:val="0"/>
      </w:pPr>
      <w:r w:rsidRPr="00026EC1">
        <w:t>Ce recyclage est d</w:t>
      </w:r>
      <w:r w:rsidR="004A41E4" w:rsidRPr="00026EC1">
        <w:t>’</w:t>
      </w:r>
      <w:r w:rsidRPr="00026EC1">
        <w:t>une durée maximale de douze (12) mois et comporte au plus trente (30) crédits.</w:t>
      </w:r>
    </w:p>
    <w:p w14:paraId="54905094" w14:textId="62D979B4" w:rsidR="00DF6239" w:rsidRDefault="00DF6239" w:rsidP="00A64613">
      <w:pPr>
        <w:pStyle w:val="Texte1cm"/>
        <w:keepNext w:val="0"/>
      </w:pPr>
      <w:r w:rsidRPr="00026EC1">
        <w:t>L</w:t>
      </w:r>
      <w:r w:rsidR="004A41E4" w:rsidRPr="00026EC1">
        <w:t>’</w:t>
      </w:r>
      <w:r w:rsidRPr="00026EC1">
        <w:t>enseignante ou l</w:t>
      </w:r>
      <w:r w:rsidR="004A41E4" w:rsidRPr="00026EC1">
        <w:t>’</w:t>
      </w:r>
      <w:r w:rsidRPr="00026EC1">
        <w:t>enseignant en recyclage reçoit un plein salaire et bénéficie de tous les droits et avantages que procure une année d</w:t>
      </w:r>
      <w:r w:rsidR="004A41E4" w:rsidRPr="00026EC1">
        <w:t>’</w:t>
      </w:r>
      <w:r w:rsidRPr="00026EC1">
        <w:t>enseignement.</w:t>
      </w:r>
    </w:p>
    <w:p w14:paraId="4C1EE680" w14:textId="77777777" w:rsidR="007119B1" w:rsidRPr="00026EC1" w:rsidRDefault="007119B1" w:rsidP="00A64613">
      <w:pPr>
        <w:pStyle w:val="Texte1cm"/>
        <w:keepNext w:val="0"/>
      </w:pPr>
    </w:p>
    <w:p w14:paraId="4BB3768E" w14:textId="5CA11A50" w:rsidR="00DF6239" w:rsidRPr="00026EC1" w:rsidRDefault="00275751" w:rsidP="00A64613">
      <w:pPr>
        <w:keepNext w:val="0"/>
        <w:tabs>
          <w:tab w:val="left" w:pos="567"/>
        </w:tabs>
        <w:ind w:left="567" w:hanging="567"/>
      </w:pPr>
      <w:r w:rsidRPr="00026EC1">
        <w:t>E)</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dont la candidature est retenue par la commission scolaire</w:t>
      </w:r>
      <w:r w:rsidR="007119B1">
        <w:t xml:space="preserve"> </w:t>
      </w:r>
      <w:r w:rsidR="007119B1" w:rsidRPr="00316277">
        <w:t>ou le centre de service</w:t>
      </w:r>
      <w:r w:rsidR="002E06BC" w:rsidRPr="00316277">
        <w:t>s</w:t>
      </w:r>
      <w:r w:rsidR="007119B1" w:rsidRPr="00316277">
        <w:t xml:space="preserve"> scolaire</w:t>
      </w:r>
      <w:r w:rsidR="00DF6239" w:rsidRPr="00026EC1">
        <w:t>, se voit offrir le poste par le Bureau de placement.</w:t>
      </w:r>
    </w:p>
    <w:p w14:paraId="3ED80CB0" w14:textId="77777777" w:rsidR="00DF6239" w:rsidRPr="00026EC1" w:rsidRDefault="00DF6239" w:rsidP="00A64613">
      <w:pPr>
        <w:pStyle w:val="Texte1cm"/>
        <w:keepNext w:val="0"/>
      </w:pPr>
    </w:p>
    <w:p w14:paraId="016B9362" w14:textId="77777777" w:rsidR="00DF6239" w:rsidRPr="00026EC1" w:rsidRDefault="00275751" w:rsidP="00A64613">
      <w:pPr>
        <w:keepNext w:val="0"/>
        <w:tabs>
          <w:tab w:val="left" w:pos="567"/>
        </w:tabs>
        <w:ind w:left="567" w:hanging="567"/>
      </w:pPr>
      <w:r w:rsidRPr="00026EC1">
        <w:t>F)</w:t>
      </w:r>
      <w:r w:rsidRPr="00026EC1">
        <w:tab/>
      </w:r>
      <w:r w:rsidR="00DF6239" w:rsidRPr="00026EC1">
        <w:t>L</w:t>
      </w:r>
      <w:r w:rsidR="004A41E4" w:rsidRPr="00026EC1">
        <w:t>’</w:t>
      </w:r>
      <w:r w:rsidR="00DF6239" w:rsidRPr="00026EC1">
        <w:t>enseignante ou l</w:t>
      </w:r>
      <w:r w:rsidR="004A41E4" w:rsidRPr="00026EC1">
        <w:t>’</w:t>
      </w:r>
      <w:r w:rsidR="00DF6239" w:rsidRPr="00026EC1">
        <w:t>enseignant replacé suivant les dispositions de la présente clause transfère tous ses droits chez son nouvel employeur dans la mesure où ces derniers sont compatibles avec les dispositions de la convention collective qui y est en vigueur. À compter de la signature de son nouveau contrat chez son nouvel employeur, elle ou il n</w:t>
      </w:r>
      <w:r w:rsidR="004A41E4" w:rsidRPr="00026EC1">
        <w:t>’</w:t>
      </w:r>
      <w:r w:rsidR="00DF6239" w:rsidRPr="00026EC1">
        <w:t>est plus mis en disponibilité et est réputé ne plus être à l</w:t>
      </w:r>
      <w:r w:rsidR="004A41E4" w:rsidRPr="00026EC1">
        <w:t>’</w:t>
      </w:r>
      <w:r w:rsidR="00DF6239" w:rsidRPr="00026EC1">
        <w:t>emploi du Collège.</w:t>
      </w:r>
    </w:p>
    <w:p w14:paraId="1701C91B" w14:textId="77777777" w:rsidR="00DF6239" w:rsidRPr="00026EC1" w:rsidRDefault="00DF6239" w:rsidP="00A64613">
      <w:pPr>
        <w:pStyle w:val="Texte1cm"/>
        <w:keepNext w:val="0"/>
      </w:pPr>
    </w:p>
    <w:p w14:paraId="3A8CD49F" w14:textId="77777777" w:rsidR="00DF6239" w:rsidRPr="00026EC1" w:rsidRDefault="00DF6239" w:rsidP="00A64613">
      <w:pPr>
        <w:pStyle w:val="Texte1cm"/>
        <w:keepNext w:val="0"/>
      </w:pPr>
      <w:r w:rsidRPr="00026EC1">
        <w:t>De plus, l</w:t>
      </w:r>
      <w:r w:rsidR="004A41E4" w:rsidRPr="00026EC1">
        <w:t>’</w:t>
      </w:r>
      <w:r w:rsidRPr="00026EC1">
        <w:t>enseignante ou l</w:t>
      </w:r>
      <w:r w:rsidR="004A41E4" w:rsidRPr="00026EC1">
        <w:t>’</w:t>
      </w:r>
      <w:r w:rsidRPr="00026EC1">
        <w:t>enseignant ainsi replacé se voit appliquer l</w:t>
      </w:r>
      <w:r w:rsidR="004A41E4" w:rsidRPr="00026EC1">
        <w:t>’</w:t>
      </w:r>
      <w:r w:rsidRPr="00026EC1">
        <w:t>échelle salariale prévue pour une scolarité de seize (16) années si sa scolarité est inférieure à seize (16) années.</w:t>
      </w:r>
    </w:p>
    <w:p w14:paraId="47C5A580" w14:textId="77777777" w:rsidR="00DF6239" w:rsidRPr="00026EC1" w:rsidRDefault="00DF6239" w:rsidP="00A64613">
      <w:pPr>
        <w:pStyle w:val="Texte1cm"/>
        <w:keepNext w:val="0"/>
      </w:pPr>
    </w:p>
    <w:p w14:paraId="046AF778" w14:textId="78715949"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ainsi replacé bénéficie d</w:t>
      </w:r>
      <w:r w:rsidR="004A41E4" w:rsidRPr="00026EC1">
        <w:t>’</w:t>
      </w:r>
      <w:r w:rsidRPr="00026EC1">
        <w:t>un droit de retour pour un poste disponible dans le réseau des cégeps jusqu</w:t>
      </w:r>
      <w:r w:rsidR="004A41E4" w:rsidRPr="00026EC1">
        <w:t>’</w:t>
      </w:r>
      <w:r w:rsidRPr="00026EC1">
        <w:t>au 30 septembre de la deuxième</w:t>
      </w:r>
      <w:r w:rsidR="003E1207" w:rsidRPr="00026EC1">
        <w:t xml:space="preserve"> (2</w:t>
      </w:r>
      <w:r w:rsidR="003E1207" w:rsidRPr="00026EC1">
        <w:rPr>
          <w:vertAlign w:val="superscript"/>
        </w:rPr>
        <w:t>e</w:t>
      </w:r>
      <w:r w:rsidR="003E1207" w:rsidRPr="00026EC1">
        <w:t>)</w:t>
      </w:r>
      <w:r w:rsidRPr="00026EC1">
        <w:t xml:space="preserve"> année qui suit celle au cours de laquelle elle ou il a été replacé. À cette fin, l</w:t>
      </w:r>
      <w:r w:rsidR="004A41E4" w:rsidRPr="00026EC1">
        <w:t>’</w:t>
      </w:r>
      <w:r w:rsidRPr="00026EC1">
        <w:t>enseignante ou l</w:t>
      </w:r>
      <w:r w:rsidR="004A41E4" w:rsidRPr="00026EC1">
        <w:t>’</w:t>
      </w:r>
      <w:r w:rsidRPr="00026EC1">
        <w:t>enseignant bénéficie des priorités d</w:t>
      </w:r>
      <w:r w:rsidR="004A41E4" w:rsidRPr="00026EC1">
        <w:t>’</w:t>
      </w:r>
      <w:r w:rsidRPr="00026EC1">
        <w:t>engagement prévues à l</w:t>
      </w:r>
      <w:r w:rsidR="004A41E4" w:rsidRPr="00026EC1">
        <w:t>’</w:t>
      </w:r>
      <w:r w:rsidRPr="00026EC1">
        <w:t>alinéa a) de la clause 5</w:t>
      </w:r>
      <w:r w:rsidR="00984A6F">
        <w:noBreakHyphen/>
      </w:r>
      <w:r w:rsidRPr="00026EC1">
        <w:t>4.17 comme si elle ou il était mis en disponibilité dans son Collège d</w:t>
      </w:r>
      <w:r w:rsidR="004A41E4" w:rsidRPr="00026EC1">
        <w:t>’</w:t>
      </w:r>
      <w:r w:rsidRPr="00026EC1">
        <w:t>origine.</w:t>
      </w:r>
    </w:p>
    <w:p w14:paraId="16A47383" w14:textId="77777777" w:rsidR="00DF6239" w:rsidRPr="00026EC1" w:rsidRDefault="00DF6239" w:rsidP="00A64613">
      <w:pPr>
        <w:pStyle w:val="Texte1cm"/>
        <w:keepNext w:val="0"/>
      </w:pPr>
    </w:p>
    <w:p w14:paraId="3DF035EB" w14:textId="2898CBA9" w:rsidR="00DF6239" w:rsidRPr="00026EC1" w:rsidRDefault="00DF6239" w:rsidP="00A64613">
      <w:pPr>
        <w:pStyle w:val="Texte1cm"/>
        <w:keepNext w:val="0"/>
      </w:pPr>
      <w:r w:rsidRPr="00026EC1">
        <w:t>L</w:t>
      </w:r>
      <w:r w:rsidR="004A41E4" w:rsidRPr="00026EC1">
        <w:t>’</w:t>
      </w:r>
      <w:r w:rsidRPr="00026EC1">
        <w:t>enseignante ou l</w:t>
      </w:r>
      <w:r w:rsidR="004A41E4" w:rsidRPr="00026EC1">
        <w:t>’</w:t>
      </w:r>
      <w:r w:rsidRPr="00026EC1">
        <w:t>enseignant qui désire exercer son droit de retour dans un poste disponible figurant sur les listes du Bureau de placement prévues aux alinéas B) et C) de la clause 5</w:t>
      </w:r>
      <w:r w:rsidR="00984A6F">
        <w:noBreakHyphen/>
      </w:r>
      <w:r w:rsidRPr="00026EC1">
        <w:t>4.07 en informe le Bureau de placement par écrit avant le 1</w:t>
      </w:r>
      <w:r w:rsidRPr="00026EC1">
        <w:rPr>
          <w:vertAlign w:val="superscript"/>
        </w:rPr>
        <w:t>er</w:t>
      </w:r>
      <w:r w:rsidRPr="00026EC1">
        <w:t> avril de chaque année. L</w:t>
      </w:r>
      <w:r w:rsidR="004A41E4" w:rsidRPr="00026EC1">
        <w:t>’</w:t>
      </w:r>
      <w:r w:rsidRPr="00026EC1">
        <w:t>enseignante ou l</w:t>
      </w:r>
      <w:r w:rsidR="004A41E4" w:rsidRPr="00026EC1">
        <w:t>’</w:t>
      </w:r>
      <w:r w:rsidRPr="00026EC1">
        <w:t>enseignant qui exerce son droit de retour sur un poste disponible du réseau des cégeps occupe ce poste au début de la session suivante.</w:t>
      </w:r>
    </w:p>
    <w:p w14:paraId="43513D3B" w14:textId="77777777" w:rsidR="00DF6239" w:rsidRPr="00026EC1" w:rsidRDefault="00DF6239" w:rsidP="00A64613">
      <w:pPr>
        <w:pStyle w:val="Texte1cm"/>
        <w:keepNext w:val="0"/>
      </w:pPr>
    </w:p>
    <w:p w14:paraId="1EA6D781" w14:textId="1E0C5B23" w:rsidR="00DF6239" w:rsidRPr="00026EC1" w:rsidRDefault="00275751" w:rsidP="00A64613">
      <w:pPr>
        <w:keepNext w:val="0"/>
        <w:tabs>
          <w:tab w:val="left" w:pos="567"/>
        </w:tabs>
        <w:ind w:left="567" w:hanging="567"/>
      </w:pPr>
      <w:r w:rsidRPr="00026EC1">
        <w:t>G)</w:t>
      </w:r>
      <w:r w:rsidRPr="00026EC1">
        <w:tab/>
      </w:r>
      <w:r w:rsidR="00DF6239" w:rsidRPr="00026EC1">
        <w:t>L</w:t>
      </w:r>
      <w:r w:rsidR="004A41E4" w:rsidRPr="00026EC1">
        <w:t>’</w:t>
      </w:r>
      <w:r w:rsidR="00DF6239" w:rsidRPr="00026EC1">
        <w:t>enseignante ou l</w:t>
      </w:r>
      <w:r w:rsidR="004A41E4" w:rsidRPr="00026EC1">
        <w:t>’</w:t>
      </w:r>
      <w:r w:rsidR="00DF6239" w:rsidRPr="00026EC1">
        <w:t>enseignant dont la candidature a été retenue par une commission scolaire</w:t>
      </w:r>
      <w:r w:rsidR="0042446E">
        <w:t xml:space="preserve"> </w:t>
      </w:r>
      <w:r w:rsidR="0042446E" w:rsidRPr="00316277">
        <w:t>ou un centre de service</w:t>
      </w:r>
      <w:r w:rsidR="002E06BC" w:rsidRPr="00316277">
        <w:t>s</w:t>
      </w:r>
      <w:r w:rsidR="0042446E" w:rsidRPr="00316277">
        <w:t xml:space="preserve"> scolaire</w:t>
      </w:r>
      <w:r w:rsidR="00DF6239" w:rsidRPr="00026EC1">
        <w:t xml:space="preserve"> sur un poste au</w:t>
      </w:r>
      <w:r w:rsidR="00984A6F">
        <w:noBreakHyphen/>
      </w:r>
      <w:r w:rsidR="00DF6239" w:rsidRPr="00026EC1">
        <w:t>delà de la zone de cinquante (50) kilomètres bénéficie des frais de déménagement prévus à l</w:t>
      </w:r>
      <w:r w:rsidR="004A41E4" w:rsidRPr="00026EC1">
        <w:t>’</w:t>
      </w:r>
      <w:r w:rsidR="007022B7" w:rsidRPr="00026EC1">
        <w:t>A</w:t>
      </w:r>
      <w:r w:rsidR="00DF6239" w:rsidRPr="00026EC1">
        <w:t>nnexe II</w:t>
      </w:r>
      <w:r w:rsidR="00984A6F">
        <w:noBreakHyphen/>
      </w:r>
      <w:r w:rsidR="00DF6239" w:rsidRPr="00026EC1">
        <w:t>3 et ceux</w:t>
      </w:r>
      <w:r w:rsidR="00984A6F">
        <w:noBreakHyphen/>
      </w:r>
      <w:r w:rsidR="00DF6239" w:rsidRPr="00026EC1">
        <w:t>ci sont assumés par son Collège.</w:t>
      </w:r>
    </w:p>
    <w:p w14:paraId="01A625E4" w14:textId="77777777" w:rsidR="00DF6239" w:rsidRPr="00026EC1" w:rsidRDefault="00DF6239" w:rsidP="00A64613">
      <w:pPr>
        <w:pStyle w:val="Texte1cm"/>
        <w:keepNext w:val="0"/>
      </w:pPr>
    </w:p>
    <w:p w14:paraId="5E084DE1" w14:textId="5B110995" w:rsidR="00DF6239" w:rsidRPr="00026EC1" w:rsidRDefault="00275751" w:rsidP="00A64613">
      <w:pPr>
        <w:keepNext w:val="0"/>
        <w:tabs>
          <w:tab w:val="left" w:pos="567"/>
        </w:tabs>
        <w:ind w:left="567" w:hanging="567"/>
      </w:pPr>
      <w:r w:rsidRPr="00026EC1">
        <w:t>H)</w:t>
      </w:r>
      <w:r w:rsidRPr="00026EC1">
        <w:tab/>
      </w:r>
      <w:r w:rsidR="00DF6239" w:rsidRPr="00026EC1">
        <w:t>L</w:t>
      </w:r>
      <w:r w:rsidR="004A41E4" w:rsidRPr="00026EC1">
        <w:t>’</w:t>
      </w:r>
      <w:r w:rsidR="00DF6239" w:rsidRPr="00026EC1">
        <w:t>enseignante ou l</w:t>
      </w:r>
      <w:r w:rsidR="004A41E4" w:rsidRPr="00026EC1">
        <w:t>’</w:t>
      </w:r>
      <w:r w:rsidR="00DF6239" w:rsidRPr="00026EC1">
        <w:t>enseignant dont la candidature a été retenue par la commission scolaire</w:t>
      </w:r>
      <w:r w:rsidR="0042446E">
        <w:t xml:space="preserve"> </w:t>
      </w:r>
      <w:r w:rsidR="0042446E" w:rsidRPr="00316277">
        <w:t>ou un centre de service</w:t>
      </w:r>
      <w:r w:rsidR="002E06BC" w:rsidRPr="00316277">
        <w:t>s</w:t>
      </w:r>
      <w:r w:rsidR="0042446E" w:rsidRPr="00316277">
        <w:t xml:space="preserve"> scolaire</w:t>
      </w:r>
      <w:r w:rsidR="00DF6239" w:rsidRPr="00026EC1">
        <w:t>, qui occupe une charge d</w:t>
      </w:r>
      <w:r w:rsidR="004A41E4" w:rsidRPr="00026EC1">
        <w:t>’</w:t>
      </w:r>
      <w:r w:rsidR="00DF6239" w:rsidRPr="00026EC1">
        <w:t>enseignement à la session d</w:t>
      </w:r>
      <w:r w:rsidR="004A41E4" w:rsidRPr="00026EC1">
        <w:t>’</w:t>
      </w:r>
      <w:r w:rsidR="00DF6239" w:rsidRPr="00026EC1">
        <w:t>automne dans son Collège, peut être transféré immédiatement ou à la session suivante, selon son choix.</w:t>
      </w:r>
    </w:p>
    <w:p w14:paraId="7FA09776" w14:textId="77777777" w:rsidR="00DF6239" w:rsidRPr="00026EC1" w:rsidRDefault="00DF6239" w:rsidP="00A64613">
      <w:pPr>
        <w:pStyle w:val="Texte1cm"/>
        <w:keepNext w:val="0"/>
      </w:pPr>
    </w:p>
    <w:p w14:paraId="4EDF96A8" w14:textId="37A977FD" w:rsidR="00DF6239" w:rsidRPr="00026EC1" w:rsidRDefault="00275751" w:rsidP="00A64613">
      <w:pPr>
        <w:keepNext w:val="0"/>
        <w:tabs>
          <w:tab w:val="left" w:pos="567"/>
        </w:tabs>
        <w:ind w:left="567" w:hanging="567"/>
      </w:pPr>
      <w:r w:rsidRPr="00026EC1">
        <w:t>I)</w:t>
      </w:r>
      <w:r w:rsidRPr="00026EC1">
        <w:tab/>
      </w:r>
      <w:r w:rsidR="00DF6239" w:rsidRPr="00026EC1">
        <w:t>L</w:t>
      </w:r>
      <w:r w:rsidR="004A41E4" w:rsidRPr="00026EC1">
        <w:t>’</w:t>
      </w:r>
      <w:r w:rsidR="00DF6239" w:rsidRPr="00026EC1">
        <w:t>enseignante ou l</w:t>
      </w:r>
      <w:r w:rsidR="004A41E4" w:rsidRPr="00026EC1">
        <w:t>’</w:t>
      </w:r>
      <w:r w:rsidR="00DF6239" w:rsidRPr="00026EC1">
        <w:t>enseignant mis en disponibilité par une commission scolaire</w:t>
      </w:r>
      <w:r w:rsidR="0042446E">
        <w:t xml:space="preserve"> </w:t>
      </w:r>
      <w:r w:rsidR="0042446E" w:rsidRPr="00316277">
        <w:t>ou un centre de service</w:t>
      </w:r>
      <w:r w:rsidR="002E06BC" w:rsidRPr="00316277">
        <w:t>s</w:t>
      </w:r>
      <w:r w:rsidR="0042446E" w:rsidRPr="00316277">
        <w:t xml:space="preserve"> scolaire</w:t>
      </w:r>
      <w:r w:rsidR="00DF6239" w:rsidRPr="00026EC1">
        <w:t xml:space="preserve"> bénéficie de la priorité prévue pour elle ou lui à la clause 5</w:t>
      </w:r>
      <w:r w:rsidR="00984A6F">
        <w:noBreakHyphen/>
      </w:r>
      <w:r w:rsidR="00DF6239" w:rsidRPr="00026EC1">
        <w:t>4.17. Dans ce cas, les dispositions du sous</w:t>
      </w:r>
      <w:r w:rsidR="00984A6F">
        <w:noBreakHyphen/>
      </w:r>
      <w:r w:rsidR="00DF6239" w:rsidRPr="00026EC1">
        <w:t>alinéa 2 de l</w:t>
      </w:r>
      <w:r w:rsidR="004A41E4" w:rsidRPr="00026EC1">
        <w:t>’</w:t>
      </w:r>
      <w:r w:rsidR="00DF6239" w:rsidRPr="00026EC1">
        <w:t>alinéa F) de la clause 5</w:t>
      </w:r>
      <w:r w:rsidR="00984A6F">
        <w:noBreakHyphen/>
      </w:r>
      <w:r w:rsidR="00DF6239" w:rsidRPr="00026EC1">
        <w:t>4.07 s</w:t>
      </w:r>
      <w:r w:rsidR="004A41E4" w:rsidRPr="00026EC1">
        <w:t>’</w:t>
      </w:r>
      <w:r w:rsidR="00DF6239" w:rsidRPr="00026EC1">
        <w:t>appliquent avec les adaptations nécessaires. L</w:t>
      </w:r>
      <w:r w:rsidR="004A41E4" w:rsidRPr="00026EC1">
        <w:t>’</w:t>
      </w:r>
      <w:r w:rsidR="00DF6239" w:rsidRPr="00026EC1">
        <w:t>enseignante ou l</w:t>
      </w:r>
      <w:r w:rsidR="004A41E4" w:rsidRPr="00026EC1">
        <w:t>’</w:t>
      </w:r>
      <w:r w:rsidR="00DF6239" w:rsidRPr="00026EC1">
        <w:t>enseignant ainsi replacé transfère chez son nouvel employeur tous ses droits, dans la mesure où ils sont compatibles avec les dispositions de la présente convention collective.</w:t>
      </w:r>
    </w:p>
    <w:p w14:paraId="72A3908E" w14:textId="77777777" w:rsidR="00DF6239" w:rsidRPr="00026EC1" w:rsidRDefault="00DF6239" w:rsidP="00A64613">
      <w:pPr>
        <w:pStyle w:val="Texte1cm"/>
        <w:keepNext w:val="0"/>
      </w:pPr>
    </w:p>
    <w:p w14:paraId="07ED9C83" w14:textId="67FF21F6" w:rsidR="00DF6239" w:rsidRDefault="00275751" w:rsidP="00A64613">
      <w:pPr>
        <w:keepNext w:val="0"/>
        <w:tabs>
          <w:tab w:val="left" w:pos="567"/>
        </w:tabs>
        <w:ind w:left="567" w:hanging="567"/>
      </w:pPr>
      <w:r w:rsidRPr="00026EC1">
        <w:t>J)</w:t>
      </w:r>
      <w:r w:rsidRPr="00026EC1">
        <w:tab/>
      </w:r>
      <w:r w:rsidR="00DF6239" w:rsidRPr="00026EC1">
        <w:t>Sans limiter la portée des articles 9</w:t>
      </w:r>
      <w:r w:rsidR="00984A6F">
        <w:noBreakHyphen/>
      </w:r>
      <w:r w:rsidR="00DF6239" w:rsidRPr="00026EC1">
        <w:t>1.00 et 9</w:t>
      </w:r>
      <w:r w:rsidR="00984A6F">
        <w:noBreakHyphen/>
      </w:r>
      <w:r w:rsidR="00DF6239" w:rsidRPr="00026EC1">
        <w:t>2.00, tout cas litigieux relatif à l</w:t>
      </w:r>
      <w:r w:rsidR="004A41E4" w:rsidRPr="00026EC1">
        <w:t>’</w:t>
      </w:r>
      <w:r w:rsidR="00DF6239" w:rsidRPr="00026EC1">
        <w:t>application de la présente clause est référé aux parties nationales.</w:t>
      </w:r>
    </w:p>
    <w:p w14:paraId="0E2697EA" w14:textId="77777777" w:rsidR="00961707" w:rsidRPr="00026EC1" w:rsidRDefault="00961707" w:rsidP="00A64613">
      <w:pPr>
        <w:keepNext w:val="0"/>
        <w:tabs>
          <w:tab w:val="left" w:pos="567"/>
        </w:tabs>
        <w:ind w:left="567" w:hanging="567"/>
      </w:pPr>
    </w:p>
    <w:p w14:paraId="5047D087" w14:textId="016952BA" w:rsidR="0029210A" w:rsidRDefault="00275751" w:rsidP="00F45730">
      <w:pPr>
        <w:keepNext w:val="0"/>
        <w:tabs>
          <w:tab w:val="left" w:pos="567"/>
        </w:tabs>
        <w:ind w:left="567" w:hanging="567"/>
      </w:pPr>
      <w:r w:rsidRPr="00026EC1">
        <w:t>K)</w:t>
      </w:r>
      <w:r w:rsidRPr="00026EC1">
        <w:tab/>
      </w:r>
      <w:r w:rsidR="00F45730">
        <w:tab/>
      </w:r>
      <w:r w:rsidR="00DF6239" w:rsidRPr="00026EC1">
        <w:t>Si le règlement actuellement en vigueur relativement à l</w:t>
      </w:r>
      <w:r w:rsidR="004A41E4" w:rsidRPr="00026EC1">
        <w:t>’</w:t>
      </w:r>
      <w:r w:rsidR="00DF6239" w:rsidRPr="00026EC1">
        <w:t>obtention de l</w:t>
      </w:r>
      <w:r w:rsidR="004A41E4" w:rsidRPr="00026EC1">
        <w:t>’</w:t>
      </w:r>
      <w:r w:rsidR="00DF6239" w:rsidRPr="00026EC1">
        <w:t>autorisation légale permanente d</w:t>
      </w:r>
      <w:r w:rsidR="004A41E4" w:rsidRPr="00026EC1">
        <w:t>’</w:t>
      </w:r>
      <w:r w:rsidR="00DF6239" w:rsidRPr="00026EC1">
        <w:t>enseigner était modifié, les parties nationales conviennent de se rencontrer pour discuter des effets de cette modification sur l</w:t>
      </w:r>
      <w:r w:rsidR="004A41E4" w:rsidRPr="00026EC1">
        <w:t>’</w:t>
      </w:r>
      <w:r w:rsidR="00DF6239" w:rsidRPr="00026EC1">
        <w:t>application de la présente clause et pour la modifier, s</w:t>
      </w:r>
      <w:r w:rsidR="004A41E4" w:rsidRPr="00026EC1">
        <w:t>’</w:t>
      </w:r>
      <w:r w:rsidR="00DF6239" w:rsidRPr="00026EC1">
        <w:t>il y a lieu.</w:t>
      </w:r>
      <w:bookmarkStart w:id="424" w:name="_Toc535046601"/>
      <w:bookmarkStart w:id="425" w:name="_Toc133760774"/>
      <w:r w:rsidR="005432F0" w:rsidRPr="00026EC1">
        <w:br w:type="page"/>
      </w:r>
      <w:bookmarkStart w:id="426" w:name="_Toc393444604"/>
      <w:bookmarkStart w:id="427" w:name="_Toc393449555"/>
      <w:bookmarkStart w:id="428" w:name="_Toc393460924"/>
      <w:bookmarkStart w:id="429" w:name="_Toc393461202"/>
      <w:bookmarkStart w:id="430" w:name="_Toc393720763"/>
      <w:bookmarkStart w:id="431" w:name="_Toc393783924"/>
      <w:bookmarkStart w:id="432" w:name="_Toc393784063"/>
    </w:p>
    <w:p w14:paraId="5F09BBE7" w14:textId="590E40B5" w:rsidR="0029210A" w:rsidRPr="00026EC1" w:rsidRDefault="0029210A" w:rsidP="0029210A">
      <w:pPr>
        <w:pStyle w:val="Heading2"/>
        <w:keepNext w:val="0"/>
        <w:tabs>
          <w:tab w:val="clear" w:pos="1843"/>
          <w:tab w:val="clear" w:pos="2127"/>
          <w:tab w:val="left" w:pos="1701"/>
          <w:tab w:val="left" w:pos="1985"/>
        </w:tabs>
        <w:ind w:left="1701" w:hanging="1701"/>
      </w:pPr>
      <w:bookmarkStart w:id="433" w:name="_Toc168479517"/>
      <w:r w:rsidRPr="00026EC1">
        <w:t>Article 5</w:t>
      </w:r>
      <w:r>
        <w:t>-5</w:t>
      </w:r>
      <w:r w:rsidRPr="00026EC1">
        <w:t>.00</w:t>
      </w:r>
      <w:r w:rsidRPr="00026EC1">
        <w:tab/>
      </w:r>
      <w:r>
        <w:t>-</w:t>
      </w:r>
      <w:r w:rsidRPr="00026EC1">
        <w:tab/>
      </w:r>
      <w:r>
        <w:t>Régimes d’assurance-vie, maladie et traitement</w:t>
      </w:r>
      <w:bookmarkEnd w:id="433"/>
    </w:p>
    <w:p w14:paraId="1B59CC92" w14:textId="77777777" w:rsidR="0029210A" w:rsidRDefault="0029210A" w:rsidP="0044483C">
      <w:pPr>
        <w:keepNext w:val="0"/>
        <w:tabs>
          <w:tab w:val="left" w:pos="0"/>
        </w:tabs>
        <w:rPr>
          <w:rStyle w:val="Heading2Char"/>
        </w:rPr>
      </w:pPr>
    </w:p>
    <w:bookmarkEnd w:id="424"/>
    <w:bookmarkEnd w:id="425"/>
    <w:bookmarkEnd w:id="426"/>
    <w:bookmarkEnd w:id="427"/>
    <w:bookmarkEnd w:id="428"/>
    <w:bookmarkEnd w:id="429"/>
    <w:bookmarkEnd w:id="430"/>
    <w:bookmarkEnd w:id="431"/>
    <w:bookmarkEnd w:id="432"/>
    <w:p w14:paraId="2C34CA84" w14:textId="06D7385D" w:rsidR="00404F34" w:rsidRPr="00026EC1" w:rsidRDefault="00404F34" w:rsidP="00A64613">
      <w:pPr>
        <w:pStyle w:val="MGSTexte0cm"/>
        <w:keepNext w:val="0"/>
      </w:pPr>
      <w:r w:rsidRPr="00026EC1">
        <w:t xml:space="preserve">I  </w:t>
      </w:r>
      <w:r w:rsidR="00984A6F">
        <w:noBreakHyphen/>
      </w:r>
      <w:r w:rsidRPr="00026EC1">
        <w:t xml:space="preserve">  DISPOSITIONS GÉNÉRALES</w:t>
      </w:r>
    </w:p>
    <w:p w14:paraId="004A0572" w14:textId="77777777" w:rsidR="00404F34" w:rsidRPr="00026EC1" w:rsidRDefault="00404F34" w:rsidP="00A64613">
      <w:pPr>
        <w:keepNext w:val="0"/>
      </w:pPr>
    </w:p>
    <w:p w14:paraId="32BF9193" w14:textId="72CD7092" w:rsidR="00404F34" w:rsidRPr="00026EC1" w:rsidRDefault="00404F34" w:rsidP="00A64613">
      <w:pPr>
        <w:pStyle w:val="NUMRODECLAUSE"/>
        <w:keepNext w:val="0"/>
      </w:pPr>
      <w:r w:rsidRPr="00026EC1">
        <w:t>5</w:t>
      </w:r>
      <w:r w:rsidR="00984A6F">
        <w:noBreakHyphen/>
      </w:r>
      <w:r w:rsidRPr="00026EC1">
        <w:t>5.01</w:t>
      </w:r>
    </w:p>
    <w:p w14:paraId="7A407FDA" w14:textId="77F4560E"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à temps complet ou à temps partiel est admissible aux régimes d</w:t>
      </w:r>
      <w:r w:rsidR="004A41E4" w:rsidRPr="00026EC1">
        <w:t>’</w:t>
      </w:r>
      <w:r w:rsidRPr="00026EC1">
        <w:t>assurance</w:t>
      </w:r>
      <w:r w:rsidR="00984A6F">
        <w:noBreakHyphen/>
      </w:r>
      <w:r w:rsidRPr="00026EC1">
        <w:t>vie, d</w:t>
      </w:r>
      <w:r w:rsidR="004A41E4" w:rsidRPr="00026EC1">
        <w:t>’</w:t>
      </w:r>
      <w:r w:rsidRPr="00026EC1">
        <w:t>assurance</w:t>
      </w:r>
      <w:r w:rsidR="00984A6F">
        <w:noBreakHyphen/>
      </w:r>
      <w:r w:rsidRPr="00026EC1">
        <w:t>maladie et d</w:t>
      </w:r>
      <w:r w:rsidR="004A41E4" w:rsidRPr="00026EC1">
        <w:t>’</w:t>
      </w:r>
      <w:r w:rsidRPr="00026EC1">
        <w:t>assurance</w:t>
      </w:r>
      <w:r w:rsidR="00984A6F">
        <w:noBreakHyphen/>
      </w:r>
      <w:r w:rsidRPr="00026EC1">
        <w:t>traitement, à compter de la date d</w:t>
      </w:r>
      <w:r w:rsidR="004A41E4" w:rsidRPr="00026EC1">
        <w:t>’</w:t>
      </w:r>
      <w:r w:rsidRPr="00026EC1">
        <w:t>entrée en vigueur des différents régimes jusqu</w:t>
      </w:r>
      <w:r w:rsidR="004A41E4" w:rsidRPr="00026EC1">
        <w:t>’</w:t>
      </w:r>
      <w:r w:rsidRPr="00026EC1">
        <w:t>à sa mise à la retraite.</w:t>
      </w:r>
    </w:p>
    <w:p w14:paraId="1775D96A" w14:textId="77777777" w:rsidR="00404F34" w:rsidRPr="00026EC1" w:rsidRDefault="00404F34" w:rsidP="00A64613">
      <w:pPr>
        <w:keepNext w:val="0"/>
      </w:pPr>
    </w:p>
    <w:p w14:paraId="1F227DDE" w14:textId="77777777" w:rsidR="00404F34" w:rsidRPr="00026EC1" w:rsidRDefault="00404F34" w:rsidP="00A64613">
      <w:pPr>
        <w:keepNext w:val="0"/>
      </w:pPr>
      <w:r w:rsidRPr="00026EC1">
        <w:t>Aux fins de la présente clause, l</w:t>
      </w:r>
      <w:r w:rsidR="004A41E4" w:rsidRPr="00026EC1">
        <w:t>’</w:t>
      </w:r>
      <w:r w:rsidRPr="00026EC1">
        <w:t>enseignante ou l</w:t>
      </w:r>
      <w:r w:rsidR="004A41E4" w:rsidRPr="00026EC1">
        <w:t>’</w:t>
      </w:r>
      <w:r w:rsidRPr="00026EC1">
        <w:t>enseignant mis en disponibilité et non replacé est considéré à temps complet.</w:t>
      </w:r>
    </w:p>
    <w:p w14:paraId="094376A2" w14:textId="77777777" w:rsidR="00404F34" w:rsidRPr="00026EC1" w:rsidRDefault="00404F34" w:rsidP="00A64613">
      <w:pPr>
        <w:keepNext w:val="0"/>
      </w:pPr>
    </w:p>
    <w:p w14:paraId="7C2AD52D" w14:textId="22F51A50" w:rsidR="00404F34" w:rsidRPr="00026EC1" w:rsidRDefault="00404F34" w:rsidP="00A64613">
      <w:pPr>
        <w:keepNext w:val="0"/>
      </w:pPr>
      <w:r w:rsidRPr="00026EC1">
        <w:t>Sous réserve de la clause 5</w:t>
      </w:r>
      <w:r w:rsidR="00984A6F">
        <w:noBreakHyphen/>
      </w:r>
      <w:r w:rsidRPr="00026EC1">
        <w:t>5.15, l</w:t>
      </w:r>
      <w:r w:rsidR="004A41E4" w:rsidRPr="00026EC1">
        <w:t>’</w:t>
      </w:r>
      <w:r w:rsidRPr="00026EC1">
        <w:t>enseignante ou l</w:t>
      </w:r>
      <w:r w:rsidR="004A41E4" w:rsidRPr="00026EC1">
        <w:t>’</w:t>
      </w:r>
      <w:r w:rsidRPr="00026EC1">
        <w:t>enseignant bénéficiant d</w:t>
      </w:r>
      <w:r w:rsidR="004A41E4" w:rsidRPr="00026EC1">
        <w:t>’</w:t>
      </w:r>
      <w:r w:rsidRPr="00026EC1">
        <w:t xml:space="preserve">un congé sans salaire à temps complet </w:t>
      </w:r>
      <w:r w:rsidRPr="008B7C01">
        <w:t>maintient sa participation</w:t>
      </w:r>
      <w:r w:rsidRPr="00026EC1">
        <w:t xml:space="preserve"> </w:t>
      </w:r>
      <w:r w:rsidRPr="008B7C01">
        <w:t>au</w:t>
      </w:r>
      <w:r w:rsidRPr="00026EC1">
        <w:t xml:space="preserve"> régime d</w:t>
      </w:r>
      <w:r w:rsidR="004A41E4" w:rsidRPr="00026EC1">
        <w:t>’</w:t>
      </w:r>
      <w:r w:rsidRPr="00026EC1">
        <w:t>assurance</w:t>
      </w:r>
      <w:r w:rsidR="00984A6F">
        <w:noBreakHyphen/>
      </w:r>
      <w:r w:rsidR="00316277">
        <w:t xml:space="preserve"> </w:t>
      </w:r>
      <w:r w:rsidRPr="00026EC1">
        <w:t xml:space="preserve">maladie. </w:t>
      </w:r>
      <w:r w:rsidR="008B1AB7" w:rsidRPr="00316277">
        <w:t xml:space="preserve">Dans ce cas, </w:t>
      </w:r>
      <w:r w:rsidR="008B7C01" w:rsidRPr="00316277">
        <w:t xml:space="preserve">sous réserve de stipulations à l’effet contraire, </w:t>
      </w:r>
      <w:r w:rsidR="008B1AB7" w:rsidRPr="00316277">
        <w:t>elle ou il doit payer l’entièreté des primes exigibles, y compris la contribution du Collège.</w:t>
      </w:r>
      <w:r w:rsidR="008B1AB7">
        <w:t xml:space="preserve"> </w:t>
      </w:r>
      <w:r w:rsidRPr="00026EC1">
        <w:t>Elle ou il est admissible aux autres régimes si elle ou il en assume le coût, à la condition que les contrats</w:t>
      </w:r>
      <w:r w:rsidR="00984A6F">
        <w:noBreakHyphen/>
      </w:r>
      <w:r w:rsidRPr="00026EC1">
        <w:t>cadres le permettent.</w:t>
      </w:r>
    </w:p>
    <w:p w14:paraId="1241259F" w14:textId="77777777" w:rsidR="00404F34" w:rsidRPr="00026EC1" w:rsidRDefault="00404F34" w:rsidP="00A64613">
      <w:pPr>
        <w:keepNext w:val="0"/>
      </w:pPr>
    </w:p>
    <w:p w14:paraId="684D0B6B" w14:textId="6BD12620" w:rsidR="00404F34" w:rsidRPr="008B7C01" w:rsidRDefault="00404F34" w:rsidP="00A64613">
      <w:pPr>
        <w:keepNext w:val="0"/>
      </w:pPr>
      <w:r w:rsidRPr="008B7C01">
        <w:t>L</w:t>
      </w:r>
      <w:r w:rsidR="004A41E4" w:rsidRPr="008B7C01">
        <w:t>’</w:t>
      </w:r>
      <w:r w:rsidRPr="008B7C01">
        <w:t>enseignante ou l</w:t>
      </w:r>
      <w:r w:rsidR="004A41E4" w:rsidRPr="008B7C01">
        <w:t>’</w:t>
      </w:r>
      <w:r w:rsidRPr="008B7C01">
        <w:t>enseignant chargé de cours n</w:t>
      </w:r>
      <w:r w:rsidR="004A41E4" w:rsidRPr="008B7C01">
        <w:t>’</w:t>
      </w:r>
      <w:r w:rsidRPr="008B7C01">
        <w:t>a droit à aucune prestatio</w:t>
      </w:r>
      <w:r w:rsidR="005A4F01">
        <w:t>n</w:t>
      </w:r>
      <w:r w:rsidR="005A4F01" w:rsidRPr="00316277">
        <w:t xml:space="preserve"> du Collège</w:t>
      </w:r>
      <w:r w:rsidR="005A4F01">
        <w:t xml:space="preserve"> </w:t>
      </w:r>
      <w:r w:rsidRPr="008B7C01">
        <w:t>en cas de décès ou d</w:t>
      </w:r>
      <w:r w:rsidR="004A41E4" w:rsidRPr="008B7C01">
        <w:t>’</w:t>
      </w:r>
      <w:r w:rsidRPr="008B7C01">
        <w:t>invalidité.</w:t>
      </w:r>
    </w:p>
    <w:p w14:paraId="760E41BE" w14:textId="77777777" w:rsidR="008B1AB7" w:rsidRPr="0073127C" w:rsidRDefault="008B1AB7" w:rsidP="00A64613">
      <w:pPr>
        <w:keepNext w:val="0"/>
      </w:pPr>
    </w:p>
    <w:p w14:paraId="4D44804F" w14:textId="0D21496A" w:rsidR="008B1AB7" w:rsidRDefault="009C1696" w:rsidP="00A64613">
      <w:pPr>
        <w:keepNext w:val="0"/>
        <w:rPr>
          <w:rStyle w:val="ui-provider"/>
        </w:rPr>
      </w:pPr>
      <w:r>
        <w:rPr>
          <w:rStyle w:val="ui-provider"/>
        </w:rPr>
        <w:t>Toutefois l’enseignante ou l’enseignant chargé de cours peut être admissible, si elle ou il répond aux conditions d’admissibilité, aux régimes privés d’assurances maladie et invalidité établis par le Comité syndical responsable des régimes d’assurances prévus à la clause 5-5.13.</w:t>
      </w:r>
    </w:p>
    <w:p w14:paraId="3DF22612" w14:textId="77777777" w:rsidR="009C1696" w:rsidRPr="00026EC1" w:rsidRDefault="009C1696" w:rsidP="00A64613">
      <w:pPr>
        <w:keepNext w:val="0"/>
      </w:pPr>
    </w:p>
    <w:p w14:paraId="3A7561C7" w14:textId="43DEEA9C" w:rsidR="00404F34" w:rsidRPr="00026EC1" w:rsidRDefault="00404F34" w:rsidP="00A64613">
      <w:pPr>
        <w:pStyle w:val="NUMRODECLAUSE"/>
        <w:keepNext w:val="0"/>
      </w:pPr>
      <w:r w:rsidRPr="00026EC1">
        <w:t>5</w:t>
      </w:r>
      <w:r w:rsidR="00984A6F">
        <w:noBreakHyphen/>
      </w:r>
      <w:r w:rsidRPr="00026EC1">
        <w:t>5.02</w:t>
      </w:r>
    </w:p>
    <w:p w14:paraId="4434F0C6" w14:textId="1B32001D" w:rsidR="00404F34" w:rsidRPr="00026EC1" w:rsidRDefault="00404F34" w:rsidP="00A64613">
      <w:pPr>
        <w:keepNext w:val="0"/>
      </w:pPr>
      <w:r w:rsidRPr="00026EC1">
        <w:t>Aux fins des présentes, l</w:t>
      </w:r>
      <w:r w:rsidR="004A41E4" w:rsidRPr="00026EC1">
        <w:t>’</w:t>
      </w:r>
      <w:r w:rsidRPr="00026EC1">
        <w:t>expression « personnes à charge » signifie la conjointe ou le conjoint tel que cela est défini à la clause 1</w:t>
      </w:r>
      <w:r w:rsidR="00984A6F">
        <w:noBreakHyphen/>
      </w:r>
      <w:r w:rsidRPr="00026EC1">
        <w:t>2.06 ou l</w:t>
      </w:r>
      <w:r w:rsidR="004A41E4" w:rsidRPr="00026EC1">
        <w:t>’</w:t>
      </w:r>
      <w:r w:rsidRPr="00026EC1">
        <w:t>enfant à charge d</w:t>
      </w:r>
      <w:r w:rsidR="004A41E4" w:rsidRPr="00026EC1">
        <w:t>’</w:t>
      </w:r>
      <w:r w:rsidRPr="00026EC1">
        <w:t>une enseignante ou d</w:t>
      </w:r>
      <w:r w:rsidR="004A41E4" w:rsidRPr="00026EC1">
        <w:t>’</w:t>
      </w:r>
      <w:r w:rsidRPr="00026EC1">
        <w:t>un enseignant tel que cela est défini à la clause 1</w:t>
      </w:r>
      <w:r w:rsidR="00984A6F">
        <w:noBreakHyphen/>
      </w:r>
      <w:r w:rsidRPr="00026EC1">
        <w:t>2.09.</w:t>
      </w:r>
    </w:p>
    <w:p w14:paraId="3E05C1D5" w14:textId="77777777" w:rsidR="00404F34" w:rsidRPr="00026EC1" w:rsidRDefault="00404F34" w:rsidP="00A64613">
      <w:pPr>
        <w:keepNext w:val="0"/>
      </w:pPr>
    </w:p>
    <w:p w14:paraId="7DE9E36A" w14:textId="40AC8E32" w:rsidR="00404F34" w:rsidRPr="00026EC1" w:rsidRDefault="00404F34" w:rsidP="00A64613">
      <w:pPr>
        <w:pStyle w:val="NUMRODECLAUSE"/>
        <w:keepNext w:val="0"/>
      </w:pPr>
      <w:r w:rsidRPr="00026EC1">
        <w:t>5</w:t>
      </w:r>
      <w:r w:rsidR="00984A6F">
        <w:noBreakHyphen/>
      </w:r>
      <w:r w:rsidRPr="00026EC1">
        <w:t>5.03</w:t>
      </w:r>
    </w:p>
    <w:p w14:paraId="10C64DF3" w14:textId="77777777" w:rsidR="00404F34" w:rsidRPr="00026EC1" w:rsidRDefault="00275751" w:rsidP="00A64613">
      <w:pPr>
        <w:keepNext w:val="0"/>
        <w:tabs>
          <w:tab w:val="left" w:pos="567"/>
        </w:tabs>
        <w:ind w:left="567" w:hanging="567"/>
      </w:pPr>
      <w:r w:rsidRPr="00026EC1">
        <w:t>a)</w:t>
      </w:r>
      <w:r w:rsidRPr="00026EC1">
        <w:tab/>
      </w:r>
      <w:r w:rsidR="00404F34" w:rsidRPr="00026EC1">
        <w:t>L</w:t>
      </w:r>
      <w:r w:rsidR="004A41E4" w:rsidRPr="00026EC1">
        <w:t>’</w:t>
      </w:r>
      <w:r w:rsidR="00404F34" w:rsidRPr="00026EC1">
        <w:t>invalidité est un état d</w:t>
      </w:r>
      <w:r w:rsidR="004A41E4" w:rsidRPr="00026EC1">
        <w:t>’</w:t>
      </w:r>
      <w:r w:rsidR="00404F34" w:rsidRPr="00026EC1">
        <w:t>incapacité résultant d</w:t>
      </w:r>
      <w:r w:rsidR="004A41E4" w:rsidRPr="00026EC1">
        <w:t>’</w:t>
      </w:r>
      <w:r w:rsidR="00404F34" w:rsidRPr="00026EC1">
        <w:t>une maladie ou d</w:t>
      </w:r>
      <w:r w:rsidR="004A41E4" w:rsidRPr="00026EC1">
        <w:t>’</w:t>
      </w:r>
      <w:r w:rsidR="00404F34" w:rsidRPr="00026EC1">
        <w:t>un accident ou résultant directement d</w:t>
      </w:r>
      <w:r w:rsidR="004A41E4" w:rsidRPr="00026EC1">
        <w:t>’</w:t>
      </w:r>
      <w:r w:rsidR="00404F34" w:rsidRPr="00026EC1">
        <w:t>une complication d</w:t>
      </w:r>
      <w:r w:rsidR="004A41E4" w:rsidRPr="00026EC1">
        <w:t>’</w:t>
      </w:r>
      <w:r w:rsidR="00404F34" w:rsidRPr="00026EC1">
        <w:t>une grossesse ou d</w:t>
      </w:r>
      <w:r w:rsidR="004A41E4" w:rsidRPr="00026EC1">
        <w:t>’</w:t>
      </w:r>
      <w:r w:rsidR="00404F34" w:rsidRPr="00026EC1">
        <w:t>une interruption de grossesse avant la vingtième (20</w:t>
      </w:r>
      <w:r w:rsidR="00404F34" w:rsidRPr="00026EC1">
        <w:rPr>
          <w:vertAlign w:val="superscript"/>
        </w:rPr>
        <w:t>e</w:t>
      </w:r>
      <w:r w:rsidR="00404F34" w:rsidRPr="00026EC1">
        <w:t>) semaine précédant la date prévue pour la naissance, nécessitant des soins médicaux et qui rend l</w:t>
      </w:r>
      <w:r w:rsidR="004A41E4" w:rsidRPr="00026EC1">
        <w:t>’</w:t>
      </w:r>
      <w:r w:rsidR="00404F34" w:rsidRPr="00026EC1">
        <w:t>enseignante ou l</w:t>
      </w:r>
      <w:r w:rsidR="004A41E4" w:rsidRPr="00026EC1">
        <w:t>’</w:t>
      </w:r>
      <w:r w:rsidR="00404F34" w:rsidRPr="00026EC1">
        <w:t>enseignant totalement incapable d</w:t>
      </w:r>
      <w:r w:rsidR="004A41E4" w:rsidRPr="00026EC1">
        <w:t>’</w:t>
      </w:r>
      <w:r w:rsidR="00404F34" w:rsidRPr="00026EC1">
        <w:t>accomplir les tâches habituelles de son emploi ou de tout autre emploi analogue et comportant une rémunération similaire qui lui est offert par le Collège.</w:t>
      </w:r>
    </w:p>
    <w:p w14:paraId="22A9213F" w14:textId="77777777" w:rsidR="00404F34" w:rsidRPr="00026EC1" w:rsidRDefault="00404F34" w:rsidP="00A64613">
      <w:pPr>
        <w:keepNext w:val="0"/>
      </w:pPr>
    </w:p>
    <w:p w14:paraId="4D6D29AE" w14:textId="77777777" w:rsidR="00404F34" w:rsidRPr="00026EC1" w:rsidRDefault="00404F34" w:rsidP="00A64613">
      <w:pPr>
        <w:pStyle w:val="Texte1cm"/>
        <w:keepNext w:val="0"/>
      </w:pPr>
      <w:r w:rsidRPr="00026EC1">
        <w:t>L</w:t>
      </w:r>
      <w:r w:rsidR="004A41E4" w:rsidRPr="00026EC1">
        <w:t>’</w:t>
      </w:r>
      <w:r w:rsidRPr="00026EC1">
        <w:t>invalidité couvre également une incapacité résultant d</w:t>
      </w:r>
      <w:r w:rsidR="004A41E4" w:rsidRPr="00026EC1">
        <w:t>’</w:t>
      </w:r>
      <w:r w:rsidRPr="00026EC1">
        <w:t>un don d</w:t>
      </w:r>
      <w:r w:rsidR="004A41E4" w:rsidRPr="00026EC1">
        <w:t>’</w:t>
      </w:r>
      <w:r w:rsidRPr="00026EC1">
        <w:t>organe ou de moelle osseuse ainsi que d</w:t>
      </w:r>
      <w:r w:rsidR="004A41E4" w:rsidRPr="00026EC1">
        <w:t>’</w:t>
      </w:r>
      <w:r w:rsidRPr="00026EC1">
        <w:t>une hospitalisation pour intervention chirurgicale ou d</w:t>
      </w:r>
      <w:r w:rsidR="004A41E4" w:rsidRPr="00026EC1">
        <w:t>’</w:t>
      </w:r>
      <w:r w:rsidRPr="00026EC1">
        <w:t>une intervention médicale au cabinet de la ou du médecin, liée au planning familial.</w:t>
      </w:r>
    </w:p>
    <w:p w14:paraId="6FE4D019" w14:textId="77777777" w:rsidR="00404F34" w:rsidRPr="00026EC1" w:rsidRDefault="00404F34" w:rsidP="00A64613">
      <w:pPr>
        <w:keepNext w:val="0"/>
      </w:pPr>
    </w:p>
    <w:p w14:paraId="381051C2" w14:textId="14BE4EF2" w:rsidR="00404F34" w:rsidRPr="00026EC1" w:rsidRDefault="00275751" w:rsidP="00A64613">
      <w:pPr>
        <w:keepNext w:val="0"/>
        <w:tabs>
          <w:tab w:val="left" w:pos="567"/>
        </w:tabs>
        <w:ind w:left="567" w:hanging="567"/>
      </w:pPr>
      <w:r w:rsidRPr="00026EC1">
        <w:t>b)</w:t>
      </w:r>
      <w:r w:rsidRPr="00026EC1">
        <w:tab/>
      </w:r>
      <w:r w:rsidR="00404F34" w:rsidRPr="00026EC1">
        <w:t>Une enseignante ou un enseignant qui reçoit des prestations d</w:t>
      </w:r>
      <w:r w:rsidR="004A41E4" w:rsidRPr="00026EC1">
        <w:t>’</w:t>
      </w:r>
      <w:r w:rsidR="00404F34" w:rsidRPr="00026EC1">
        <w:t>assurance</w:t>
      </w:r>
      <w:r w:rsidR="00984A6F">
        <w:noBreakHyphen/>
      </w:r>
      <w:r w:rsidR="00404F34" w:rsidRPr="00026EC1">
        <w:t>traitement peut, par entente avec le Collège, assumer à titre de réadaptation une charge partielle d</w:t>
      </w:r>
      <w:r w:rsidR="004A41E4" w:rsidRPr="00026EC1">
        <w:t>’</w:t>
      </w:r>
      <w:r w:rsidR="00404F34" w:rsidRPr="00026EC1">
        <w:t>enseignement pour une période donnée.</w:t>
      </w:r>
    </w:p>
    <w:p w14:paraId="651D50EC" w14:textId="77777777" w:rsidR="00404F34" w:rsidRPr="00026EC1" w:rsidRDefault="00404F34" w:rsidP="00A64613">
      <w:pPr>
        <w:keepNext w:val="0"/>
      </w:pPr>
    </w:p>
    <w:p w14:paraId="30B65895" w14:textId="3A127833" w:rsidR="00404F34" w:rsidRPr="00026EC1" w:rsidRDefault="00404F34" w:rsidP="00A64613">
      <w:pPr>
        <w:pStyle w:val="Texte1cm"/>
        <w:keepNext w:val="0"/>
      </w:pPr>
      <w:r w:rsidRPr="00026EC1">
        <w:t>Cette période de réadaptation ne peut prolonger les périodes de prestations, complètes ou réduites, au</w:t>
      </w:r>
      <w:r w:rsidR="00984A6F">
        <w:noBreakHyphen/>
      </w:r>
      <w:r w:rsidRPr="00026EC1">
        <w:t>delà de cent quatre (104) semaines de prestation pour une même invalidité.</w:t>
      </w:r>
    </w:p>
    <w:p w14:paraId="5E7126B7" w14:textId="77777777" w:rsidR="00404F34" w:rsidRPr="00026EC1" w:rsidRDefault="00404F34" w:rsidP="00A64613">
      <w:pPr>
        <w:keepNext w:val="0"/>
      </w:pPr>
    </w:p>
    <w:p w14:paraId="35E72B79" w14:textId="40EE3396" w:rsidR="00404F34" w:rsidRPr="00026EC1" w:rsidRDefault="00404F34" w:rsidP="00A64613">
      <w:pPr>
        <w:pStyle w:val="Texte1cm"/>
        <w:keepNext w:val="0"/>
      </w:pPr>
      <w:r w:rsidRPr="00026EC1">
        <w:t>Au cours de cette période de réadaptation, l</w:t>
      </w:r>
      <w:r w:rsidR="004A41E4" w:rsidRPr="00026EC1">
        <w:t>’</w:t>
      </w:r>
      <w:r w:rsidRPr="00026EC1">
        <w:t>enseignante ou l</w:t>
      </w:r>
      <w:r w:rsidR="004A41E4" w:rsidRPr="00026EC1">
        <w:t>’</w:t>
      </w:r>
      <w:r w:rsidRPr="00026EC1">
        <w:t>enseignant reçoit le salaire brut pour le travail effectué ainsi que les prestations d</w:t>
      </w:r>
      <w:r w:rsidR="004A41E4" w:rsidRPr="00026EC1">
        <w:t>’</w:t>
      </w:r>
      <w:r w:rsidRPr="00026EC1">
        <w:t>assurance</w:t>
      </w:r>
      <w:r w:rsidR="00984A6F">
        <w:noBreakHyphen/>
      </w:r>
      <w:r w:rsidRPr="00026EC1">
        <w:t>traitement calculées au prorata du temps non travaillé. Elle ou il est réputé en invalidité totale pendant cette période.</w:t>
      </w:r>
    </w:p>
    <w:p w14:paraId="007B9781" w14:textId="77777777" w:rsidR="00404F34" w:rsidRPr="00026EC1" w:rsidRDefault="00404F34" w:rsidP="00A64613">
      <w:pPr>
        <w:keepNext w:val="0"/>
      </w:pPr>
    </w:p>
    <w:p w14:paraId="206FDB79" w14:textId="182E27E6" w:rsidR="00404F34" w:rsidRPr="00026EC1" w:rsidRDefault="00404F34" w:rsidP="00A64613">
      <w:pPr>
        <w:pStyle w:val="NUMRODECLAUSE"/>
        <w:keepNext w:val="0"/>
      </w:pPr>
      <w:r w:rsidRPr="00026EC1">
        <w:t>5</w:t>
      </w:r>
      <w:r w:rsidR="00984A6F">
        <w:noBreakHyphen/>
      </w:r>
      <w:r w:rsidRPr="00026EC1">
        <w:t>5.04</w:t>
      </w:r>
    </w:p>
    <w:p w14:paraId="7E437FDB" w14:textId="77777777" w:rsidR="00404F34" w:rsidRPr="00026EC1" w:rsidRDefault="00404F34" w:rsidP="00A64613">
      <w:pPr>
        <w:keepNext w:val="0"/>
      </w:pPr>
      <w:r w:rsidRPr="00026EC1">
        <w:t>Une période d</w:t>
      </w:r>
      <w:r w:rsidR="004A41E4" w:rsidRPr="00026EC1">
        <w:t>’</w:t>
      </w:r>
      <w:r w:rsidRPr="00026EC1">
        <w:t>invalidité est une période continue d</w:t>
      </w:r>
      <w:r w:rsidR="004A41E4" w:rsidRPr="00026EC1">
        <w:t>’</w:t>
      </w:r>
      <w:r w:rsidRPr="00026EC1">
        <w:t>invalidité ou une suite de périodes successives séparées par moins de huit (8) jours</w:t>
      </w:r>
      <w:r w:rsidRPr="00026EC1">
        <w:rPr>
          <w:vertAlign w:val="superscript"/>
        </w:rPr>
        <w:t>(</w:t>
      </w:r>
      <w:r w:rsidRPr="00026EC1">
        <w:rPr>
          <w:rStyle w:val="FootnoteReference"/>
        </w:rPr>
        <w:footnoteReference w:id="6"/>
      </w:r>
      <w:r w:rsidRPr="00026EC1">
        <w:rPr>
          <w:vertAlign w:val="superscript"/>
        </w:rPr>
        <w:t>)</w:t>
      </w:r>
      <w:r w:rsidRPr="00026EC1">
        <w:t xml:space="preserve"> de travail effectif à temps complet ou de disponibilité pour un travail à temps complet, à moins que l</w:t>
      </w:r>
      <w:r w:rsidR="004A41E4" w:rsidRPr="00026EC1">
        <w:t>’</w:t>
      </w:r>
      <w:r w:rsidRPr="00026EC1">
        <w:t>enseignante ou l</w:t>
      </w:r>
      <w:r w:rsidR="004A41E4" w:rsidRPr="00026EC1">
        <w:t>’</w:t>
      </w:r>
      <w:r w:rsidRPr="00026EC1">
        <w:t>enseignant n</w:t>
      </w:r>
      <w:r w:rsidR="004A41E4" w:rsidRPr="00026EC1">
        <w:t>’</w:t>
      </w:r>
      <w:r w:rsidRPr="00026EC1">
        <w:t>établisse à la satisfaction du Collège qu</w:t>
      </w:r>
      <w:r w:rsidR="004A41E4" w:rsidRPr="00026EC1">
        <w:t>’</w:t>
      </w:r>
      <w:r w:rsidRPr="00026EC1">
        <w:t>une période subséquente est attribuable à une maladie ou à un accident complètement étranger à la cause de l</w:t>
      </w:r>
      <w:r w:rsidR="004A41E4" w:rsidRPr="00026EC1">
        <w:t>’</w:t>
      </w:r>
      <w:r w:rsidRPr="00026EC1">
        <w:t>invalidité précédente.</w:t>
      </w:r>
    </w:p>
    <w:p w14:paraId="7E8CE429" w14:textId="77777777" w:rsidR="00404F34" w:rsidRPr="00026EC1" w:rsidRDefault="00404F34" w:rsidP="00A64613">
      <w:pPr>
        <w:keepNext w:val="0"/>
      </w:pPr>
    </w:p>
    <w:p w14:paraId="7E19FB31" w14:textId="26F2DC0A" w:rsidR="00404F34" w:rsidRPr="00026EC1" w:rsidRDefault="00404F34" w:rsidP="00A64613">
      <w:pPr>
        <w:pStyle w:val="NUMRODECLAUSE"/>
        <w:keepNext w:val="0"/>
      </w:pPr>
      <w:r w:rsidRPr="00026EC1">
        <w:t>5</w:t>
      </w:r>
      <w:r w:rsidR="00984A6F">
        <w:noBreakHyphen/>
      </w:r>
      <w:r w:rsidRPr="00026EC1">
        <w:t>5.05</w:t>
      </w:r>
    </w:p>
    <w:p w14:paraId="45C68235" w14:textId="594C5C87" w:rsidR="00404F34" w:rsidRPr="00026EC1" w:rsidRDefault="00404F34" w:rsidP="00A64613">
      <w:pPr>
        <w:keepNext w:val="0"/>
      </w:pPr>
      <w:r w:rsidRPr="00026EC1">
        <w:t>À l</w:t>
      </w:r>
      <w:r w:rsidR="004A41E4" w:rsidRPr="00026EC1">
        <w:t>’</w:t>
      </w:r>
      <w:r w:rsidRPr="00026EC1">
        <w:t>exception d</w:t>
      </w:r>
      <w:r w:rsidR="004A41E4" w:rsidRPr="00026EC1">
        <w:t>’</w:t>
      </w:r>
      <w:r w:rsidRPr="00026EC1">
        <w:t>une période d</w:t>
      </w:r>
      <w:r w:rsidR="004A41E4" w:rsidRPr="00026EC1">
        <w:t>’</w:t>
      </w:r>
      <w:r w:rsidRPr="00026EC1">
        <w:t>invalidité justifiée par un don d</w:t>
      </w:r>
      <w:r w:rsidR="004A41E4" w:rsidRPr="00026EC1">
        <w:t>’</w:t>
      </w:r>
      <w:r w:rsidRPr="00026EC1">
        <w:t>organe ou de moelle osseuse,</w:t>
      </w:r>
      <w:r w:rsidRPr="00026EC1">
        <w:rPr>
          <w:bCs/>
        </w:rPr>
        <w:t xml:space="preserve"> </w:t>
      </w:r>
      <w:r w:rsidRPr="00026EC1">
        <w:t>une période d</w:t>
      </w:r>
      <w:r w:rsidR="004A41E4" w:rsidRPr="00026EC1">
        <w:t>’</w:t>
      </w:r>
      <w:r w:rsidRPr="00026EC1">
        <w:t>invalidité résultant de maladie ou de blessure qui a volontairement été causée par l</w:t>
      </w:r>
      <w:r w:rsidR="004A41E4" w:rsidRPr="00026EC1">
        <w:t>’</w:t>
      </w:r>
      <w:r w:rsidRPr="00026EC1">
        <w:t>enseignante elle</w:t>
      </w:r>
      <w:r w:rsidR="00984A6F">
        <w:noBreakHyphen/>
      </w:r>
      <w:r w:rsidRPr="00026EC1">
        <w:t>même ou l</w:t>
      </w:r>
      <w:r w:rsidR="004A41E4" w:rsidRPr="00026EC1">
        <w:t>’</w:t>
      </w:r>
      <w:r w:rsidRPr="00026EC1">
        <w:t>enseignant lui</w:t>
      </w:r>
      <w:r w:rsidR="00984A6F">
        <w:noBreakHyphen/>
      </w:r>
      <w:r w:rsidRPr="00026EC1">
        <w:t>même, d</w:t>
      </w:r>
      <w:r w:rsidR="004A41E4" w:rsidRPr="00026EC1">
        <w:t>’</w:t>
      </w:r>
      <w:r w:rsidRPr="00026EC1">
        <w:t>alcoolisme ou de toxicomanie, de participation active à une émeute, à une insurrection ou à des actes criminels, ou de service dans les forces armées n</w:t>
      </w:r>
      <w:r w:rsidR="004A41E4" w:rsidRPr="00026EC1">
        <w:t>’</w:t>
      </w:r>
      <w:r w:rsidRPr="00026EC1">
        <w:t>est pas reconnue comme une période d</w:t>
      </w:r>
      <w:r w:rsidR="004A41E4" w:rsidRPr="00026EC1">
        <w:t>’</w:t>
      </w:r>
      <w:r w:rsidRPr="00026EC1">
        <w:t>invalidité aux fins des présentes.</w:t>
      </w:r>
    </w:p>
    <w:p w14:paraId="6B7E0B62" w14:textId="77777777" w:rsidR="00404F34" w:rsidRPr="00026EC1" w:rsidRDefault="00404F34" w:rsidP="00A64613">
      <w:pPr>
        <w:keepNext w:val="0"/>
      </w:pPr>
    </w:p>
    <w:p w14:paraId="5D87B087" w14:textId="77777777" w:rsidR="00404F34" w:rsidRPr="00026EC1" w:rsidRDefault="00404F34" w:rsidP="00A64613">
      <w:pPr>
        <w:keepNext w:val="0"/>
      </w:pPr>
      <w:r w:rsidRPr="00026EC1">
        <w:t>Malgré ce qui précède, dans le cas d</w:t>
      </w:r>
      <w:r w:rsidR="004A41E4" w:rsidRPr="00026EC1">
        <w:t>’</w:t>
      </w:r>
      <w:r w:rsidRPr="00026EC1">
        <w:t>alcoolisme ou de toxicomanie, est reconnue comme période d</w:t>
      </w:r>
      <w:r w:rsidR="004A41E4" w:rsidRPr="00026EC1">
        <w:t>’</w:t>
      </w:r>
      <w:r w:rsidRPr="00026EC1">
        <w:t>invalidité aux fins des présentes la période d</w:t>
      </w:r>
      <w:r w:rsidR="004A41E4" w:rsidRPr="00026EC1">
        <w:t>’</w:t>
      </w:r>
      <w:r w:rsidRPr="00026EC1">
        <w:t>invalidité pendant laquelle l</w:t>
      </w:r>
      <w:r w:rsidR="004A41E4" w:rsidRPr="00026EC1">
        <w:t>’</w:t>
      </w:r>
      <w:r w:rsidRPr="00026EC1">
        <w:t>enseignante ou l</w:t>
      </w:r>
      <w:r w:rsidR="004A41E4" w:rsidRPr="00026EC1">
        <w:t>’</w:t>
      </w:r>
      <w:r w:rsidRPr="00026EC1">
        <w:t>enseignant reçoit des traitements ou soins médicaux en vue de sa réhabilitation.</w:t>
      </w:r>
    </w:p>
    <w:p w14:paraId="398C03AF" w14:textId="77777777" w:rsidR="00404F34" w:rsidRPr="00026EC1" w:rsidRDefault="00404F34" w:rsidP="00A64613">
      <w:pPr>
        <w:keepNext w:val="0"/>
      </w:pPr>
    </w:p>
    <w:p w14:paraId="4B7625D8" w14:textId="0443FF27" w:rsidR="00404F34" w:rsidRPr="00026EC1" w:rsidRDefault="00404F34" w:rsidP="00A64613">
      <w:pPr>
        <w:pStyle w:val="NUMRODECLAUSE"/>
        <w:keepNext w:val="0"/>
      </w:pPr>
      <w:r w:rsidRPr="00026EC1">
        <w:t>5</w:t>
      </w:r>
      <w:r w:rsidR="00984A6F">
        <w:noBreakHyphen/>
      </w:r>
      <w:r w:rsidRPr="00026EC1">
        <w:t>5.06</w:t>
      </w:r>
    </w:p>
    <w:p w14:paraId="0E969E12" w14:textId="7B89BA48" w:rsidR="00404F34" w:rsidRPr="00026EC1" w:rsidRDefault="00275751" w:rsidP="00A64613">
      <w:pPr>
        <w:keepNext w:val="0"/>
        <w:tabs>
          <w:tab w:val="left" w:pos="567"/>
        </w:tabs>
        <w:ind w:left="567" w:hanging="567"/>
      </w:pPr>
      <w:r w:rsidRPr="00026EC1">
        <w:t>a)</w:t>
      </w:r>
      <w:r w:rsidRPr="00026EC1">
        <w:tab/>
      </w:r>
      <w:r w:rsidR="00404F34" w:rsidRPr="00026EC1">
        <w:t>Les dispositions relatives aux régimes d</w:t>
      </w:r>
      <w:r w:rsidR="004A41E4" w:rsidRPr="00026EC1">
        <w:t>’</w:t>
      </w:r>
      <w:r w:rsidR="00404F34" w:rsidRPr="00026EC1">
        <w:t>assurance</w:t>
      </w:r>
      <w:r w:rsidR="00984A6F">
        <w:noBreakHyphen/>
      </w:r>
      <w:r w:rsidR="00404F34" w:rsidRPr="00026EC1">
        <w:t>vie, d</w:t>
      </w:r>
      <w:r w:rsidR="004A41E4" w:rsidRPr="00026EC1">
        <w:t>’</w:t>
      </w:r>
      <w:r w:rsidR="00404F34" w:rsidRPr="00026EC1">
        <w:t>assurance</w:t>
      </w:r>
      <w:r w:rsidR="00984A6F">
        <w:noBreakHyphen/>
      </w:r>
      <w:r w:rsidR="00404F34" w:rsidRPr="00026EC1">
        <w:t>maladie et d</w:t>
      </w:r>
      <w:r w:rsidR="004A41E4" w:rsidRPr="00026EC1">
        <w:t>’</w:t>
      </w:r>
      <w:r w:rsidR="00404F34" w:rsidRPr="00026EC1">
        <w:t>assurance</w:t>
      </w:r>
      <w:r w:rsidR="00984A6F">
        <w:noBreakHyphen/>
      </w:r>
      <w:r w:rsidR="00404F34" w:rsidRPr="00026EC1">
        <w:t>traitement prévue</w:t>
      </w:r>
      <w:r w:rsidR="008E74A9">
        <w:t xml:space="preserve">s à la convention </w:t>
      </w:r>
      <w:r w:rsidR="008E74A9" w:rsidRPr="009466E9">
        <w:t>collective</w:t>
      </w:r>
      <w:r w:rsidR="00D14DE1">
        <w:t> </w:t>
      </w:r>
      <w:r w:rsidR="008B1AB7" w:rsidRPr="00316277">
        <w:t>2020</w:t>
      </w:r>
      <w:r w:rsidR="008B1AB7" w:rsidRPr="00316277">
        <w:noBreakHyphen/>
        <w:t>2023</w:t>
      </w:r>
      <w:r w:rsidR="008B1AB7">
        <w:t xml:space="preserve"> </w:t>
      </w:r>
      <w:r w:rsidR="00404F34" w:rsidRPr="009466E9">
        <w:t>demeurent en vigueur jusqu</w:t>
      </w:r>
      <w:r w:rsidR="004A41E4" w:rsidRPr="009466E9">
        <w:t>’</w:t>
      </w:r>
      <w:r w:rsidR="00404F34" w:rsidRPr="009466E9">
        <w:t>à la date d</w:t>
      </w:r>
      <w:r w:rsidR="004A41E4" w:rsidRPr="009466E9">
        <w:t>’</w:t>
      </w:r>
      <w:r w:rsidR="00404F34" w:rsidRPr="009466E9">
        <w:t>entrée en vigueur de la présente convention collective, le Collège et l</w:t>
      </w:r>
      <w:r w:rsidR="004A41E4" w:rsidRPr="009466E9">
        <w:t>’</w:t>
      </w:r>
      <w:r w:rsidR="00404F34" w:rsidRPr="009466E9">
        <w:t>enseignante ou l</w:t>
      </w:r>
      <w:r w:rsidR="004A41E4" w:rsidRPr="009466E9">
        <w:t>’</w:t>
      </w:r>
      <w:r w:rsidR="00404F34" w:rsidRPr="009466E9">
        <w:t>enseignant continuant à contribuer à ces régimes conformément à la convention collective</w:t>
      </w:r>
      <w:r w:rsidR="00D14DE1">
        <w:t> </w:t>
      </w:r>
      <w:r w:rsidR="008B1AB7" w:rsidRPr="00316277">
        <w:t>2020</w:t>
      </w:r>
      <w:r w:rsidR="008B1AB7" w:rsidRPr="00316277">
        <w:noBreakHyphen/>
        <w:t>2023</w:t>
      </w:r>
      <w:r w:rsidR="00F0423A" w:rsidRPr="00316277">
        <w:t>, sous réserve de la clause 5</w:t>
      </w:r>
      <w:r w:rsidR="00D14DE1">
        <w:noBreakHyphen/>
      </w:r>
      <w:r w:rsidR="00F0423A" w:rsidRPr="00316277">
        <w:t>5.14</w:t>
      </w:r>
      <w:r w:rsidR="00F0423A">
        <w:t>.</w:t>
      </w:r>
    </w:p>
    <w:p w14:paraId="433AE0C5" w14:textId="77777777" w:rsidR="00404F34" w:rsidRPr="00026EC1" w:rsidRDefault="00404F34" w:rsidP="00A64613">
      <w:pPr>
        <w:keepNext w:val="0"/>
      </w:pPr>
    </w:p>
    <w:p w14:paraId="44CDC34D" w14:textId="3612D990" w:rsidR="00404F34" w:rsidRDefault="00404F34" w:rsidP="00A64613">
      <w:pPr>
        <w:pStyle w:val="Texte1cm"/>
        <w:keepNext w:val="0"/>
      </w:pPr>
      <w:r w:rsidRPr="00026EC1">
        <w:t>De plus, ce régime d</w:t>
      </w:r>
      <w:r w:rsidR="004A41E4" w:rsidRPr="00026EC1">
        <w:t>’</w:t>
      </w:r>
      <w:r w:rsidRPr="00026EC1">
        <w:t>assurance</w:t>
      </w:r>
      <w:r w:rsidR="00984A6F">
        <w:noBreakHyphen/>
      </w:r>
      <w:r w:rsidRPr="00026EC1">
        <w:t>maladie demeure en vigueur après la date d</w:t>
      </w:r>
      <w:r w:rsidR="004A41E4" w:rsidRPr="00026EC1">
        <w:t>’</w:t>
      </w:r>
      <w:r w:rsidRPr="00026EC1">
        <w:t>entrée en vigueur de la convention collective, si le Comité syndical responsable des régimes d</w:t>
      </w:r>
      <w:r w:rsidR="004A41E4" w:rsidRPr="00026EC1">
        <w:t>’</w:t>
      </w:r>
      <w:r w:rsidRPr="00026EC1">
        <w:t>assurances prévu ci</w:t>
      </w:r>
      <w:r w:rsidR="00984A6F">
        <w:noBreakHyphen/>
      </w:r>
      <w:r w:rsidRPr="00026EC1">
        <w:t>après décide de le maintenir ou ne peut compléter les modifications relatives à l</w:t>
      </w:r>
      <w:r w:rsidR="004A41E4" w:rsidRPr="00026EC1">
        <w:t>’</w:t>
      </w:r>
      <w:r w:rsidRPr="00026EC1">
        <w:t>entrée en vigueur du nouveau régime.</w:t>
      </w:r>
    </w:p>
    <w:p w14:paraId="0C313106" w14:textId="77777777" w:rsidR="00F0423A" w:rsidRPr="00026EC1" w:rsidRDefault="00F0423A" w:rsidP="00A64613">
      <w:pPr>
        <w:pStyle w:val="Texte1cm"/>
        <w:keepNext w:val="0"/>
      </w:pPr>
    </w:p>
    <w:p w14:paraId="7E951FD7" w14:textId="4A8FD2C4" w:rsidR="00404F34" w:rsidRDefault="00275751" w:rsidP="00A64613">
      <w:pPr>
        <w:keepNext w:val="0"/>
        <w:tabs>
          <w:tab w:val="left" w:pos="567"/>
        </w:tabs>
        <w:ind w:left="567" w:hanging="567"/>
      </w:pPr>
      <w:r w:rsidRPr="00026EC1">
        <w:t>b)</w:t>
      </w:r>
      <w:r w:rsidRPr="00026EC1">
        <w:tab/>
      </w:r>
      <w:r w:rsidR="00404F34" w:rsidRPr="00026EC1">
        <w:t>Les régimes d</w:t>
      </w:r>
      <w:r w:rsidR="004A41E4" w:rsidRPr="00026EC1">
        <w:t>’</w:t>
      </w:r>
      <w:r w:rsidR="00404F34" w:rsidRPr="00026EC1">
        <w:t>assurance</w:t>
      </w:r>
      <w:r w:rsidR="00984A6F">
        <w:noBreakHyphen/>
      </w:r>
      <w:r w:rsidR="00404F34" w:rsidRPr="00026EC1">
        <w:t>vie, d</w:t>
      </w:r>
      <w:r w:rsidR="004A41E4" w:rsidRPr="00026EC1">
        <w:t>’</w:t>
      </w:r>
      <w:r w:rsidR="00404F34" w:rsidRPr="00026EC1">
        <w:t>assurance</w:t>
      </w:r>
      <w:r w:rsidR="00984A6F">
        <w:noBreakHyphen/>
      </w:r>
      <w:r w:rsidR="00404F34" w:rsidRPr="00026EC1">
        <w:t>maladie et d</w:t>
      </w:r>
      <w:r w:rsidR="004A41E4" w:rsidRPr="00026EC1">
        <w:t>’</w:t>
      </w:r>
      <w:r w:rsidR="00404F34" w:rsidRPr="00026EC1">
        <w:t>assurance</w:t>
      </w:r>
      <w:r w:rsidR="00984A6F">
        <w:noBreakHyphen/>
      </w:r>
      <w:r w:rsidR="00404F34" w:rsidRPr="00026EC1">
        <w:t>traitement prévus au présent article entrent en vigueur à la date d</w:t>
      </w:r>
      <w:r w:rsidR="004A41E4" w:rsidRPr="00026EC1">
        <w:t>’</w:t>
      </w:r>
      <w:r w:rsidR="00404F34" w:rsidRPr="00026EC1">
        <w:t>entrée en vigueur de la convention collective, sous réserve de stipulations à l</w:t>
      </w:r>
      <w:r w:rsidR="004A41E4" w:rsidRPr="00026EC1">
        <w:t>’</w:t>
      </w:r>
      <w:r w:rsidR="00404F34" w:rsidRPr="00026EC1">
        <w:t>effet contraire.</w:t>
      </w:r>
    </w:p>
    <w:p w14:paraId="0A959002" w14:textId="77777777" w:rsidR="008B1AB7" w:rsidRPr="00026EC1" w:rsidRDefault="008B1AB7" w:rsidP="00A64613">
      <w:pPr>
        <w:keepNext w:val="0"/>
        <w:tabs>
          <w:tab w:val="left" w:pos="567"/>
        </w:tabs>
        <w:ind w:left="567" w:hanging="567"/>
      </w:pPr>
    </w:p>
    <w:p w14:paraId="4DFC29CB" w14:textId="40DD1886" w:rsidR="00404F34" w:rsidRPr="00026EC1" w:rsidRDefault="00404F34" w:rsidP="00A64613">
      <w:pPr>
        <w:pStyle w:val="NUMRODECLAUSE"/>
        <w:keepNext w:val="0"/>
      </w:pPr>
      <w:r w:rsidRPr="00026EC1">
        <w:t>5</w:t>
      </w:r>
      <w:r w:rsidR="00984A6F">
        <w:noBreakHyphen/>
      </w:r>
      <w:r w:rsidRPr="00026EC1">
        <w:t>5.07</w:t>
      </w:r>
    </w:p>
    <w:p w14:paraId="5DDC1F6B" w14:textId="39F74EE3" w:rsidR="00404F34" w:rsidRDefault="00404F34" w:rsidP="00A64613">
      <w:pPr>
        <w:keepNext w:val="0"/>
      </w:pPr>
      <w:r w:rsidRPr="00026EC1">
        <w:t>En contrepartie de la contribution du Collège au régime d</w:t>
      </w:r>
      <w:r w:rsidR="004A41E4" w:rsidRPr="00026EC1">
        <w:t>’</w:t>
      </w:r>
      <w:r w:rsidRPr="00026EC1">
        <w:t>assurance</w:t>
      </w:r>
      <w:r w:rsidR="00984A6F">
        <w:noBreakHyphen/>
      </w:r>
      <w:r w:rsidRPr="00026EC1">
        <w:t>traitement prévu ci</w:t>
      </w:r>
      <w:r w:rsidR="00984A6F">
        <w:noBreakHyphen/>
      </w:r>
      <w:r w:rsidRPr="00026EC1">
        <w:t>après, la totalité du rabais consenti par</w:t>
      </w:r>
      <w:r w:rsidR="00B65C89">
        <w:t xml:space="preserve"> </w:t>
      </w:r>
      <w:r w:rsidR="008B1AB7" w:rsidRPr="00316277">
        <w:t>Emploi et Développement social Canada (</w:t>
      </w:r>
      <w:r w:rsidR="00B65C89" w:rsidRPr="00B65C89">
        <w:t>EDSC</w:t>
      </w:r>
      <w:r w:rsidR="008B1AB7" w:rsidRPr="00316277">
        <w:t>)</w:t>
      </w:r>
      <w:r w:rsidR="008B1AB7">
        <w:t xml:space="preserve"> </w:t>
      </w:r>
      <w:r w:rsidR="00841134" w:rsidRPr="00DC5BA7">
        <w:t>dans le cas d’un régime enregistré</w:t>
      </w:r>
      <w:r w:rsidR="00586A8E">
        <w:t xml:space="preserve"> </w:t>
      </w:r>
      <w:r w:rsidR="00841134" w:rsidRPr="00DC5BA7">
        <w:t>est acquise au Collège.</w:t>
      </w:r>
    </w:p>
    <w:p w14:paraId="08C21E99" w14:textId="77777777" w:rsidR="008B1AB7" w:rsidRPr="00026EC1" w:rsidRDefault="008B1AB7" w:rsidP="00A64613">
      <w:pPr>
        <w:keepNext w:val="0"/>
      </w:pPr>
    </w:p>
    <w:p w14:paraId="62F69251" w14:textId="45FD06BA" w:rsidR="00404F34" w:rsidRPr="00026EC1" w:rsidRDefault="00404F34" w:rsidP="00A64613">
      <w:pPr>
        <w:pStyle w:val="MGSTexte0cm"/>
        <w:keepNext w:val="0"/>
      </w:pPr>
      <w:r w:rsidRPr="00026EC1">
        <w:t xml:space="preserve">II  </w:t>
      </w:r>
      <w:r w:rsidR="00984A6F">
        <w:noBreakHyphen/>
      </w:r>
      <w:r w:rsidRPr="00026EC1">
        <w:t xml:space="preserve">  COMITÉ SYNDICAL RESPONSABLE DES RÉGIMES D</w:t>
      </w:r>
      <w:r w:rsidR="004A41E4" w:rsidRPr="00026EC1">
        <w:t>’</w:t>
      </w:r>
      <w:r w:rsidRPr="00026EC1">
        <w:t>ASSURANCES</w:t>
      </w:r>
    </w:p>
    <w:p w14:paraId="2858132E" w14:textId="77777777" w:rsidR="00404F34" w:rsidRPr="00026EC1" w:rsidRDefault="00404F34" w:rsidP="00A64613">
      <w:pPr>
        <w:keepNext w:val="0"/>
      </w:pPr>
    </w:p>
    <w:p w14:paraId="55E498D0" w14:textId="3D8FAEAC" w:rsidR="00404F34" w:rsidRPr="00026EC1" w:rsidRDefault="00404F34" w:rsidP="00A64613">
      <w:pPr>
        <w:pStyle w:val="NUMRODECLAUSE"/>
        <w:keepNext w:val="0"/>
      </w:pPr>
      <w:r w:rsidRPr="00026EC1">
        <w:t>5</w:t>
      </w:r>
      <w:r w:rsidR="00984A6F">
        <w:noBreakHyphen/>
      </w:r>
      <w:r w:rsidRPr="00026EC1">
        <w:t>5.08</w:t>
      </w:r>
    </w:p>
    <w:p w14:paraId="3DC739E1" w14:textId="6FF8D661" w:rsidR="00404F34" w:rsidRPr="00026EC1" w:rsidRDefault="00404F34" w:rsidP="00A64613">
      <w:pPr>
        <w:keepNext w:val="0"/>
      </w:pPr>
      <w:r w:rsidRPr="00026EC1">
        <w:t>La FNEEQ (CSN) a la responsabilité de l</w:t>
      </w:r>
      <w:r w:rsidR="004A41E4" w:rsidRPr="00026EC1">
        <w:t>’</w:t>
      </w:r>
      <w:r w:rsidRPr="00026EC1">
        <w:t>établissement et de l</w:t>
      </w:r>
      <w:r w:rsidR="004A41E4" w:rsidRPr="00026EC1">
        <w:t>’</w:t>
      </w:r>
      <w:r w:rsidRPr="00026EC1">
        <w:t>application du régime d</w:t>
      </w:r>
      <w:r w:rsidR="004A41E4" w:rsidRPr="00026EC1">
        <w:t>’</w:t>
      </w:r>
      <w:r w:rsidRPr="00026EC1">
        <w:t>assurance</w:t>
      </w:r>
      <w:r w:rsidR="00984A6F">
        <w:noBreakHyphen/>
      </w:r>
      <w:r w:rsidRPr="00026EC1">
        <w:t>maladie. À l</w:t>
      </w:r>
      <w:r w:rsidR="004A41E4" w:rsidRPr="00026EC1">
        <w:t>’</w:t>
      </w:r>
      <w:r w:rsidRPr="00026EC1">
        <w:t>entrée en vigueur de la convention collective, la FNEEQ (CSN) forme un comité composé de trois (3) personnes. Ce comité se met à l</w:t>
      </w:r>
      <w:r w:rsidR="004A41E4" w:rsidRPr="00026EC1">
        <w:t>’</w:t>
      </w:r>
      <w:r w:rsidRPr="00026EC1">
        <w:t>œuvre dès sa formation et ses décisions sont finales. La FNEEQ (CSN) informe le CPNC du nom des membres du comité.</w:t>
      </w:r>
    </w:p>
    <w:p w14:paraId="1F04502C" w14:textId="77777777" w:rsidR="00404F34" w:rsidRPr="00026EC1" w:rsidRDefault="00404F34" w:rsidP="00A64613">
      <w:pPr>
        <w:keepNext w:val="0"/>
      </w:pPr>
    </w:p>
    <w:p w14:paraId="03845CE3" w14:textId="4AC95044" w:rsidR="00404F34" w:rsidRPr="00026EC1" w:rsidRDefault="00404F34" w:rsidP="00A64613">
      <w:pPr>
        <w:keepNext w:val="0"/>
      </w:pPr>
      <w:r w:rsidRPr="00026EC1">
        <w:t>Le comité détermine les dispositions du régime d</w:t>
      </w:r>
      <w:r w:rsidR="004A41E4" w:rsidRPr="00026EC1">
        <w:t>’</w:t>
      </w:r>
      <w:r w:rsidRPr="00026EC1">
        <w:t>assurance</w:t>
      </w:r>
      <w:r w:rsidR="00984A6F">
        <w:noBreakHyphen/>
      </w:r>
      <w:r w:rsidRPr="00026EC1">
        <w:t>maladie et obtient un ou des contrats d</w:t>
      </w:r>
      <w:r w:rsidR="004A41E4" w:rsidRPr="00026EC1">
        <w:t>’</w:t>
      </w:r>
      <w:r w:rsidRPr="00026EC1">
        <w:t>assurance</w:t>
      </w:r>
      <w:r w:rsidR="00984A6F">
        <w:noBreakHyphen/>
      </w:r>
      <w:r w:rsidRPr="00026EC1">
        <w:t>groupe couvrant l</w:t>
      </w:r>
      <w:r w:rsidR="004A41E4" w:rsidRPr="00026EC1">
        <w:t>’</w:t>
      </w:r>
      <w:r w:rsidRPr="00026EC1">
        <w:t xml:space="preserve">ensemble des participantes et participants. Le comité peut maintenir ou établir un ou plusieurs régimes complémentaires. Le coût de tous </w:t>
      </w:r>
      <w:r w:rsidR="002E06BC" w:rsidRPr="00316277">
        <w:t>les</w:t>
      </w:r>
      <w:r w:rsidR="002E06BC">
        <w:t xml:space="preserve"> </w:t>
      </w:r>
      <w:r w:rsidRPr="00026EC1">
        <w:t xml:space="preserve">régimes </w:t>
      </w:r>
      <w:r w:rsidR="002E06BC" w:rsidRPr="00316277">
        <w:t>complémentaires</w:t>
      </w:r>
      <w:r w:rsidR="002E06BC">
        <w:t xml:space="preserve"> </w:t>
      </w:r>
      <w:r w:rsidRPr="00026EC1">
        <w:t>est entièrement à la charge des participantes et participants. Les contrats peuvent être modifiés au cours de la convention collective.</w:t>
      </w:r>
    </w:p>
    <w:p w14:paraId="07EC2D16" w14:textId="77777777" w:rsidR="00404F34" w:rsidRPr="00026EC1" w:rsidRDefault="00404F34" w:rsidP="00A64613">
      <w:pPr>
        <w:keepNext w:val="0"/>
      </w:pPr>
    </w:p>
    <w:p w14:paraId="0A8A5673" w14:textId="77777777" w:rsidR="00404F34" w:rsidRPr="00026EC1" w:rsidRDefault="00404F34" w:rsidP="00A64613">
      <w:pPr>
        <w:keepNext w:val="0"/>
      </w:pPr>
      <w:r w:rsidRPr="00026EC1">
        <w:t>Le Collège facilite la mise en place et l</w:t>
      </w:r>
      <w:r w:rsidR="004A41E4" w:rsidRPr="00026EC1">
        <w:t>’</w:t>
      </w:r>
      <w:r w:rsidRPr="00026EC1">
        <w:t>application de tous les régimes, notamment en effectuant la retenue des cotisations requises et en assurant la transmission de l</w:t>
      </w:r>
      <w:r w:rsidR="004A41E4" w:rsidRPr="00026EC1">
        <w:t>’</w:t>
      </w:r>
      <w:r w:rsidRPr="00026EC1">
        <w:t>information entre les enseignantes et les enseignants et l</w:t>
      </w:r>
      <w:r w:rsidR="004A41E4" w:rsidRPr="00026EC1">
        <w:t>’</w:t>
      </w:r>
      <w:r w:rsidRPr="00026EC1">
        <w:t>assureur.</w:t>
      </w:r>
    </w:p>
    <w:p w14:paraId="782328C1" w14:textId="77777777" w:rsidR="00404F34" w:rsidRPr="00026EC1" w:rsidRDefault="00404F34" w:rsidP="00A64613">
      <w:pPr>
        <w:keepNext w:val="0"/>
      </w:pPr>
    </w:p>
    <w:p w14:paraId="77DF700B" w14:textId="77777777" w:rsidR="00404F34" w:rsidRPr="00026EC1" w:rsidRDefault="00404F34" w:rsidP="00A64613">
      <w:pPr>
        <w:keepNext w:val="0"/>
      </w:pPr>
      <w:r w:rsidRPr="00026EC1">
        <w:t>Le ou les régimes font l</w:t>
      </w:r>
      <w:r w:rsidR="004A41E4" w:rsidRPr="00026EC1">
        <w:t>’</w:t>
      </w:r>
      <w:r w:rsidRPr="00026EC1">
        <w:t>objet d</w:t>
      </w:r>
      <w:r w:rsidR="004A41E4" w:rsidRPr="00026EC1">
        <w:t>’</w:t>
      </w:r>
      <w:r w:rsidRPr="00026EC1">
        <w:t>une facturation unique provenant d</w:t>
      </w:r>
      <w:r w:rsidR="004A41E4" w:rsidRPr="00026EC1">
        <w:t>’</w:t>
      </w:r>
      <w:r w:rsidRPr="00026EC1">
        <w:t>un assureur ou d</w:t>
      </w:r>
      <w:r w:rsidR="004A41E4" w:rsidRPr="00026EC1">
        <w:t>’</w:t>
      </w:r>
      <w:r w:rsidRPr="00026EC1">
        <w:t>un groupe d</w:t>
      </w:r>
      <w:r w:rsidR="004A41E4" w:rsidRPr="00026EC1">
        <w:t>’</w:t>
      </w:r>
      <w:r w:rsidRPr="00026EC1">
        <w:t>assureurs agissant comme assureur unique.</w:t>
      </w:r>
    </w:p>
    <w:p w14:paraId="51DA409E" w14:textId="77777777" w:rsidR="00404F34" w:rsidRPr="00026EC1" w:rsidRDefault="00404F34" w:rsidP="00A64613">
      <w:pPr>
        <w:keepNext w:val="0"/>
      </w:pPr>
    </w:p>
    <w:p w14:paraId="3CEDD985" w14:textId="58FE3D35" w:rsidR="00404F34" w:rsidRPr="00026EC1" w:rsidRDefault="00404F34" w:rsidP="00A64613">
      <w:pPr>
        <w:pStyle w:val="NUMRODECLAUSE"/>
        <w:keepNext w:val="0"/>
      </w:pPr>
      <w:r w:rsidRPr="00026EC1">
        <w:t>5</w:t>
      </w:r>
      <w:r w:rsidR="00984A6F">
        <w:noBreakHyphen/>
      </w:r>
      <w:r w:rsidRPr="00026EC1">
        <w:t>5.09</w:t>
      </w:r>
    </w:p>
    <w:p w14:paraId="0BBEA148" w14:textId="1BCC72B4" w:rsidR="00404F34" w:rsidRPr="00026EC1" w:rsidRDefault="00404F34" w:rsidP="00A64613">
      <w:pPr>
        <w:keepNext w:val="0"/>
      </w:pPr>
      <w:r w:rsidRPr="00026EC1">
        <w:t>Le contrat est établi au nom de la FNEEQ (CSN) et comporte entre autres les dispositions suivantes</w:t>
      </w:r>
      <w:r w:rsidR="00D8581B">
        <w:t> :</w:t>
      </w:r>
    </w:p>
    <w:p w14:paraId="2B3DF217" w14:textId="77777777" w:rsidR="00404F34" w:rsidRPr="00026EC1" w:rsidRDefault="00404F34" w:rsidP="00A64613">
      <w:pPr>
        <w:keepNext w:val="0"/>
      </w:pPr>
    </w:p>
    <w:p w14:paraId="027D3945" w14:textId="77777777" w:rsidR="00404F34" w:rsidRPr="00026EC1" w:rsidRDefault="00275751" w:rsidP="00A64613">
      <w:pPr>
        <w:keepNext w:val="0"/>
        <w:tabs>
          <w:tab w:val="left" w:pos="567"/>
        </w:tabs>
        <w:ind w:left="567" w:hanging="567"/>
      </w:pPr>
      <w:r w:rsidRPr="00026EC1">
        <w:t>a)</w:t>
      </w:r>
      <w:r w:rsidRPr="00026EC1">
        <w:tab/>
      </w:r>
      <w:r w:rsidR="00404F34" w:rsidRPr="00026EC1">
        <w:t>la prime pour une période est établie selon le tarif qui est applicable à la participante ou au participant au premier (1</w:t>
      </w:r>
      <w:r w:rsidR="00404F34" w:rsidRPr="00026EC1">
        <w:rPr>
          <w:vertAlign w:val="superscript"/>
        </w:rPr>
        <w:t>er</w:t>
      </w:r>
      <w:r w:rsidR="00404F34" w:rsidRPr="00026EC1">
        <w:t>) jour de la période;</w:t>
      </w:r>
    </w:p>
    <w:p w14:paraId="190AC889" w14:textId="77777777" w:rsidR="00404F34" w:rsidRPr="00026EC1" w:rsidRDefault="00404F34" w:rsidP="00A64613">
      <w:pPr>
        <w:keepNext w:val="0"/>
      </w:pPr>
    </w:p>
    <w:p w14:paraId="4DBBF9A7" w14:textId="77777777" w:rsidR="00404F34" w:rsidRPr="00026EC1" w:rsidRDefault="00275751" w:rsidP="00A64613">
      <w:pPr>
        <w:keepNext w:val="0"/>
        <w:tabs>
          <w:tab w:val="left" w:pos="567"/>
        </w:tabs>
        <w:ind w:left="567" w:hanging="567"/>
      </w:pPr>
      <w:r w:rsidRPr="00026EC1">
        <w:t>b)</w:t>
      </w:r>
      <w:r w:rsidRPr="00026EC1">
        <w:tab/>
      </w:r>
      <w:r w:rsidR="00404F34" w:rsidRPr="00026EC1">
        <w:t>aucune prime n</w:t>
      </w:r>
      <w:r w:rsidR="004A41E4" w:rsidRPr="00026EC1">
        <w:t>’</w:t>
      </w:r>
      <w:r w:rsidR="00404F34" w:rsidRPr="00026EC1">
        <w:t>est payable pour une période au premier (1</w:t>
      </w:r>
      <w:r w:rsidR="00404F34" w:rsidRPr="00026EC1">
        <w:rPr>
          <w:vertAlign w:val="superscript"/>
        </w:rPr>
        <w:t>er</w:t>
      </w:r>
      <w:r w:rsidR="00404F34" w:rsidRPr="00026EC1">
        <w:t>) jour de laquelle l</w:t>
      </w:r>
      <w:r w:rsidR="004A41E4" w:rsidRPr="00026EC1">
        <w:t>’</w:t>
      </w:r>
      <w:r w:rsidR="00404F34" w:rsidRPr="00026EC1">
        <w:t>enseignante ou l</w:t>
      </w:r>
      <w:r w:rsidR="004A41E4" w:rsidRPr="00026EC1">
        <w:t>’</w:t>
      </w:r>
      <w:r w:rsidR="00404F34" w:rsidRPr="00026EC1">
        <w:t>enseignant n</w:t>
      </w:r>
      <w:r w:rsidR="004A41E4" w:rsidRPr="00026EC1">
        <w:t>’</w:t>
      </w:r>
      <w:r w:rsidR="00404F34" w:rsidRPr="00026EC1">
        <w:t>est pas une participante ou un participant; de même, la pleine prime est payable pour une période au cours de laquelle l</w:t>
      </w:r>
      <w:r w:rsidR="004A41E4" w:rsidRPr="00026EC1">
        <w:t>’</w:t>
      </w:r>
      <w:r w:rsidR="00404F34" w:rsidRPr="00026EC1">
        <w:t>enseignante ou l</w:t>
      </w:r>
      <w:r w:rsidR="004A41E4" w:rsidRPr="00026EC1">
        <w:t>’</w:t>
      </w:r>
      <w:r w:rsidR="00404F34" w:rsidRPr="00026EC1">
        <w:t>enseignant cesse d</w:t>
      </w:r>
      <w:r w:rsidR="004A41E4" w:rsidRPr="00026EC1">
        <w:t>’</w:t>
      </w:r>
      <w:r w:rsidR="00404F34" w:rsidRPr="00026EC1">
        <w:t>être une participante ou un participant.</w:t>
      </w:r>
    </w:p>
    <w:p w14:paraId="3F6549E5" w14:textId="56327723" w:rsidR="00404F34" w:rsidRDefault="00404F34" w:rsidP="00A64613">
      <w:pPr>
        <w:keepNext w:val="0"/>
      </w:pPr>
    </w:p>
    <w:p w14:paraId="69117040" w14:textId="77777777" w:rsidR="00F0423A" w:rsidRPr="00026EC1" w:rsidRDefault="00F0423A" w:rsidP="00A64613">
      <w:pPr>
        <w:keepNext w:val="0"/>
      </w:pPr>
    </w:p>
    <w:p w14:paraId="2BD0A1F2" w14:textId="2138626C" w:rsidR="004A4C0D" w:rsidRPr="00026EC1" w:rsidRDefault="00404F34" w:rsidP="00A64613">
      <w:pPr>
        <w:pStyle w:val="NUMRODECLAUSE"/>
        <w:keepNext w:val="0"/>
      </w:pPr>
      <w:r w:rsidRPr="00026EC1">
        <w:t>5</w:t>
      </w:r>
      <w:r w:rsidR="00984A6F">
        <w:noBreakHyphen/>
      </w:r>
      <w:r w:rsidRPr="00026EC1">
        <w:t>5.10</w:t>
      </w:r>
    </w:p>
    <w:p w14:paraId="7DE18CE3" w14:textId="77777777" w:rsidR="00404F34" w:rsidRPr="00026EC1" w:rsidRDefault="00404F34" w:rsidP="00A64613">
      <w:pPr>
        <w:keepNext w:val="0"/>
      </w:pPr>
      <w:r w:rsidRPr="00026EC1">
        <w:t>Les membres du Comité peuvent s</w:t>
      </w:r>
      <w:r w:rsidR="004A41E4" w:rsidRPr="00026EC1">
        <w:t>’</w:t>
      </w:r>
      <w:r w:rsidRPr="00026EC1">
        <w:t>absenter de leur travail sans perte de salaire ni de droits et, jusqu</w:t>
      </w:r>
      <w:r w:rsidR="004A41E4" w:rsidRPr="00026EC1">
        <w:t>’</w:t>
      </w:r>
      <w:r w:rsidRPr="00026EC1">
        <w:t>à concurrence de six (6) jours ouvrables pour l</w:t>
      </w:r>
      <w:r w:rsidR="004A41E4" w:rsidRPr="00026EC1">
        <w:t>’</w:t>
      </w:r>
      <w:r w:rsidRPr="00026EC1">
        <w:t>ensemble des membres du Comité, sans remboursement par le Syndicat. Elles ou ils n</w:t>
      </w:r>
      <w:r w:rsidR="004A41E4" w:rsidRPr="00026EC1">
        <w:t>’</w:t>
      </w:r>
      <w:r w:rsidRPr="00026EC1">
        <w:t>ont cependant droit à aucun remboursement de dépenses ni à aucune rémunération pour leurs services à ce titre</w:t>
      </w:r>
      <w:r w:rsidR="006C346F" w:rsidRPr="00026EC1">
        <w:t>,</w:t>
      </w:r>
      <w:r w:rsidRPr="00026EC1">
        <w:t xml:space="preserve"> mais leur Collège leur verse néanmoins leur salaire habituel.</w:t>
      </w:r>
    </w:p>
    <w:p w14:paraId="50E6E7B6" w14:textId="77777777" w:rsidR="00404F34" w:rsidRPr="00026EC1" w:rsidRDefault="00404F34" w:rsidP="00A64613">
      <w:pPr>
        <w:keepNext w:val="0"/>
      </w:pPr>
    </w:p>
    <w:p w14:paraId="455405B6" w14:textId="72466B69" w:rsidR="00404F34" w:rsidRPr="00026EC1" w:rsidRDefault="00404F34" w:rsidP="00A64613">
      <w:pPr>
        <w:pStyle w:val="MGSTexte0cm"/>
        <w:keepNext w:val="0"/>
      </w:pPr>
      <w:r w:rsidRPr="00026EC1">
        <w:t xml:space="preserve">III  </w:t>
      </w:r>
      <w:r w:rsidR="00984A6F">
        <w:noBreakHyphen/>
      </w:r>
      <w:r w:rsidRPr="00026EC1">
        <w:t xml:space="preserve">  RÉGIME UNIFORME D</w:t>
      </w:r>
      <w:r w:rsidR="004A41E4" w:rsidRPr="00026EC1">
        <w:t>’</w:t>
      </w:r>
      <w:r w:rsidRPr="00026EC1">
        <w:t>ASSURANCE</w:t>
      </w:r>
      <w:r w:rsidR="00984A6F">
        <w:noBreakHyphen/>
      </w:r>
      <w:r w:rsidRPr="00026EC1">
        <w:t>VIE</w:t>
      </w:r>
    </w:p>
    <w:p w14:paraId="436BF3BB" w14:textId="77777777" w:rsidR="00404F34" w:rsidRPr="00026EC1" w:rsidRDefault="00404F34" w:rsidP="00A64613">
      <w:pPr>
        <w:keepNext w:val="0"/>
      </w:pPr>
    </w:p>
    <w:p w14:paraId="1F7213E5" w14:textId="427F454E" w:rsidR="00404F34" w:rsidRPr="00026EC1" w:rsidRDefault="00404F34" w:rsidP="00A64613">
      <w:pPr>
        <w:pStyle w:val="NUMRODECLAUSE"/>
        <w:keepNext w:val="0"/>
      </w:pPr>
      <w:r w:rsidRPr="00026EC1">
        <w:t>5</w:t>
      </w:r>
      <w:r w:rsidR="00984A6F">
        <w:noBreakHyphen/>
      </w:r>
      <w:r w:rsidRPr="00026EC1">
        <w:t>5.11</w:t>
      </w:r>
    </w:p>
    <w:p w14:paraId="7671EC30" w14:textId="10463A10"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à temps partiel dont l</w:t>
      </w:r>
      <w:r w:rsidR="004A41E4" w:rsidRPr="00026EC1">
        <w:t>’</w:t>
      </w:r>
      <w:r w:rsidRPr="00026EC1">
        <w:t>équivalent temps complet est égal ou supérieur à soixante</w:t>
      </w:r>
      <w:r w:rsidR="00984A6F">
        <w:noBreakHyphen/>
      </w:r>
      <w:r w:rsidRPr="00026EC1">
        <w:t>dix pour cent (70</w:t>
      </w:r>
      <w:r w:rsidR="00714A15">
        <w:t> %</w:t>
      </w:r>
      <w:r w:rsidRPr="00026EC1">
        <w:t>) et l</w:t>
      </w:r>
      <w:r w:rsidR="004A41E4" w:rsidRPr="00026EC1">
        <w:t>’</w:t>
      </w:r>
      <w:r w:rsidRPr="00026EC1">
        <w:t>enseignante ou l</w:t>
      </w:r>
      <w:r w:rsidR="004A41E4" w:rsidRPr="00026EC1">
        <w:t>’</w:t>
      </w:r>
      <w:r w:rsidRPr="00026EC1">
        <w:t>enseignant à temps complet bénéficient, sans contribution de leur part, d</w:t>
      </w:r>
      <w:r w:rsidR="004A41E4" w:rsidRPr="00026EC1">
        <w:t>’</w:t>
      </w:r>
      <w:r w:rsidRPr="00026EC1">
        <w:t>une prestation de décès d</w:t>
      </w:r>
      <w:r w:rsidR="004A41E4" w:rsidRPr="00026EC1">
        <w:t>’</w:t>
      </w:r>
      <w:r w:rsidRPr="00026EC1">
        <w:t>un montant de six mille quatre cents dollars (6</w:t>
      </w:r>
      <w:r w:rsidR="00255177" w:rsidRPr="00026EC1">
        <w:t> </w:t>
      </w:r>
      <w:r w:rsidRPr="00026EC1">
        <w:t>400</w:t>
      </w:r>
      <w:r w:rsidR="00D8581B">
        <w:t> $</w:t>
      </w:r>
      <w:r w:rsidRPr="00026EC1">
        <w:t>). Ce montant est de trois mille deux cents dollars</w:t>
      </w:r>
      <w:r w:rsidR="00080016">
        <w:t> </w:t>
      </w:r>
      <w:r w:rsidRPr="00026EC1">
        <w:t>(3</w:t>
      </w:r>
      <w:r w:rsidR="00255177" w:rsidRPr="00026EC1">
        <w:t> </w:t>
      </w:r>
      <w:r w:rsidRPr="00026EC1">
        <w:t>200</w:t>
      </w:r>
      <w:r w:rsidR="00D8581B">
        <w:t> $</w:t>
      </w:r>
      <w:r w:rsidRPr="00026EC1">
        <w:t>) pour l</w:t>
      </w:r>
      <w:r w:rsidR="004A41E4" w:rsidRPr="00026EC1">
        <w:t>’</w:t>
      </w:r>
      <w:r w:rsidRPr="00026EC1">
        <w:t>enseignante ou l</w:t>
      </w:r>
      <w:r w:rsidR="004A41E4" w:rsidRPr="00026EC1">
        <w:t>’</w:t>
      </w:r>
      <w:r w:rsidRPr="00026EC1">
        <w:t>enseignant à temps partiel dont l</w:t>
      </w:r>
      <w:r w:rsidR="004A41E4" w:rsidRPr="00026EC1">
        <w:t>’</w:t>
      </w:r>
      <w:r w:rsidRPr="00026EC1">
        <w:t>équivalent temps complet est inférieur à soixante</w:t>
      </w:r>
      <w:r w:rsidR="00984A6F">
        <w:noBreakHyphen/>
      </w:r>
      <w:r w:rsidRPr="00026EC1">
        <w:t>dix pour cent</w:t>
      </w:r>
      <w:r w:rsidR="00B013DF">
        <w:t> </w:t>
      </w:r>
      <w:r w:rsidRPr="00026EC1">
        <w:t>(70</w:t>
      </w:r>
      <w:r w:rsidR="00714A15">
        <w:t> %</w:t>
      </w:r>
      <w:r w:rsidRPr="00026EC1">
        <w:t>).</w:t>
      </w:r>
    </w:p>
    <w:p w14:paraId="0B7EEFE4" w14:textId="77777777" w:rsidR="005155F7" w:rsidRPr="00026EC1" w:rsidRDefault="005155F7" w:rsidP="00A64613">
      <w:pPr>
        <w:pStyle w:val="NUMRODECLAUSE"/>
        <w:keepNext w:val="0"/>
      </w:pPr>
    </w:p>
    <w:p w14:paraId="1FC5BA73" w14:textId="14D4D553" w:rsidR="00404F34" w:rsidRPr="00026EC1" w:rsidRDefault="00404F34" w:rsidP="00A64613">
      <w:pPr>
        <w:pStyle w:val="NUMRODECLAUSE"/>
        <w:keepNext w:val="0"/>
      </w:pPr>
      <w:r w:rsidRPr="00026EC1">
        <w:t>5</w:t>
      </w:r>
      <w:r w:rsidR="00984A6F">
        <w:noBreakHyphen/>
      </w:r>
      <w:r w:rsidRPr="00026EC1">
        <w:t>5.12</w:t>
      </w:r>
    </w:p>
    <w:p w14:paraId="7F8E7F3A" w14:textId="14EEF082" w:rsidR="00404F34" w:rsidRPr="00026EC1" w:rsidRDefault="00404F34" w:rsidP="00A64613">
      <w:pPr>
        <w:keepNext w:val="0"/>
      </w:pPr>
      <w:r w:rsidRPr="00026EC1">
        <w:t>Les enseignantes et enseignants qui, à la date d</w:t>
      </w:r>
      <w:r w:rsidR="004A41E4" w:rsidRPr="00026EC1">
        <w:t>’</w:t>
      </w:r>
      <w:r w:rsidRPr="00026EC1">
        <w:t>entrée en vigueur de la convention collective, bénéficient, dans le cadre d</w:t>
      </w:r>
      <w:r w:rsidR="004A41E4" w:rsidRPr="00026EC1">
        <w:t>’</w:t>
      </w:r>
      <w:r w:rsidRPr="00026EC1">
        <w:t>un régime collectif auquel le Collège contribue, d</w:t>
      </w:r>
      <w:r w:rsidR="004A41E4" w:rsidRPr="00026EC1">
        <w:t>’</w:t>
      </w:r>
      <w:r w:rsidRPr="00026EC1">
        <w:t>assurance</w:t>
      </w:r>
      <w:r w:rsidR="00984A6F">
        <w:noBreakHyphen/>
      </w:r>
      <w:r w:rsidRPr="00026EC1">
        <w:t>vie d</w:t>
      </w:r>
      <w:r w:rsidR="004A41E4" w:rsidRPr="00026EC1">
        <w:t>’</w:t>
      </w:r>
      <w:r w:rsidRPr="00026EC1">
        <w:t>un montant plus élevé que celui prévu aux présentes demeurent assurés selon les dispositions du régime collectif en cause pour l</w:t>
      </w:r>
      <w:r w:rsidR="004A41E4" w:rsidRPr="00026EC1">
        <w:t>’</w:t>
      </w:r>
      <w:r w:rsidRPr="00026EC1">
        <w:t>excédent de ce montant sur celui prévu aux présentes.</w:t>
      </w:r>
    </w:p>
    <w:p w14:paraId="18B3CFC8" w14:textId="77777777" w:rsidR="00404F34" w:rsidRPr="00026EC1" w:rsidRDefault="00404F34" w:rsidP="00A64613">
      <w:pPr>
        <w:keepNext w:val="0"/>
      </w:pPr>
    </w:p>
    <w:p w14:paraId="6479F444" w14:textId="011E118B" w:rsidR="00404F34" w:rsidRPr="00026EC1" w:rsidRDefault="00404F34" w:rsidP="00A64613">
      <w:pPr>
        <w:pStyle w:val="MGSTexte0cm"/>
        <w:keepNext w:val="0"/>
      </w:pPr>
      <w:r w:rsidRPr="00026EC1">
        <w:t xml:space="preserve">IV  </w:t>
      </w:r>
      <w:r w:rsidR="00984A6F">
        <w:noBreakHyphen/>
      </w:r>
      <w:r w:rsidRPr="00026EC1">
        <w:t xml:space="preserve">  RÉGIME D</w:t>
      </w:r>
      <w:r w:rsidR="004A41E4" w:rsidRPr="00026EC1">
        <w:t>’</w:t>
      </w:r>
      <w:r w:rsidRPr="00026EC1">
        <w:t>ASSURANCE</w:t>
      </w:r>
      <w:r w:rsidR="00984A6F">
        <w:noBreakHyphen/>
      </w:r>
      <w:r w:rsidRPr="00026EC1">
        <w:t>MALADIE</w:t>
      </w:r>
    </w:p>
    <w:p w14:paraId="359CAEB1" w14:textId="77777777" w:rsidR="00404F34" w:rsidRPr="00026EC1" w:rsidRDefault="00404F34" w:rsidP="00A64613">
      <w:pPr>
        <w:keepNext w:val="0"/>
      </w:pPr>
    </w:p>
    <w:p w14:paraId="56E69BE9" w14:textId="342ACAC3" w:rsidR="00404F34" w:rsidRPr="00026EC1" w:rsidRDefault="00404F34" w:rsidP="00A64613">
      <w:pPr>
        <w:pStyle w:val="NUMRODECLAUSE"/>
        <w:keepNext w:val="0"/>
      </w:pPr>
      <w:r w:rsidRPr="00026EC1">
        <w:t>5</w:t>
      </w:r>
      <w:r w:rsidR="00984A6F">
        <w:noBreakHyphen/>
      </w:r>
      <w:r w:rsidRPr="00026EC1">
        <w:t>5.13</w:t>
      </w:r>
    </w:p>
    <w:p w14:paraId="67F80ACA" w14:textId="28192688" w:rsidR="00404F34" w:rsidRPr="00026EC1" w:rsidRDefault="00404F34" w:rsidP="00A64613">
      <w:pPr>
        <w:keepNext w:val="0"/>
      </w:pPr>
      <w:r w:rsidRPr="00026EC1">
        <w:t>Le régime couvre au moins, suivant les modalités arrêtées par le Comité syndical responsable des régimes d</w:t>
      </w:r>
      <w:r w:rsidR="004A41E4" w:rsidRPr="00026EC1">
        <w:t>’</w:t>
      </w:r>
      <w:r w:rsidRPr="00026EC1">
        <w:t xml:space="preserve">assurances, les médicaments </w:t>
      </w:r>
      <w:r w:rsidR="008B1AB7" w:rsidRPr="00316277">
        <w:rPr>
          <w:rStyle w:val="ElevSoulign"/>
          <w:b w:val="0"/>
          <w:bCs w:val="0"/>
          <w:u w:val="none"/>
        </w:rPr>
        <w:t>couverts par le régime général prévu à la Loi sur l’assurance médicaments (RLRQ, c.A-29.01)</w:t>
      </w:r>
      <w:r w:rsidR="008B1AB7">
        <w:rPr>
          <w:rStyle w:val="ElevSoulign"/>
          <w:b w:val="0"/>
          <w:bCs w:val="0"/>
          <w:u w:val="none"/>
        </w:rPr>
        <w:t xml:space="preserve"> </w:t>
      </w:r>
      <w:r w:rsidRPr="00026EC1">
        <w:t>vendus par une pharmacienne ou un pharmacien licencié ou une ou un médecin dûment autorisé sur ordonnance d</w:t>
      </w:r>
      <w:r w:rsidR="004A41E4" w:rsidRPr="00026EC1">
        <w:t>’</w:t>
      </w:r>
      <w:r w:rsidRPr="00026EC1">
        <w:t>une ou d</w:t>
      </w:r>
      <w:r w:rsidR="004A41E4" w:rsidRPr="00026EC1">
        <w:t>’</w:t>
      </w:r>
      <w:r w:rsidRPr="00026EC1">
        <w:t>un médecin ou d</w:t>
      </w:r>
      <w:r w:rsidR="004A41E4" w:rsidRPr="00026EC1">
        <w:t>’</w:t>
      </w:r>
      <w:r w:rsidRPr="00026EC1">
        <w:t>une ou d</w:t>
      </w:r>
      <w:r w:rsidR="004A41E4" w:rsidRPr="00026EC1">
        <w:t>’</w:t>
      </w:r>
      <w:r w:rsidRPr="00026EC1">
        <w:t>un dentiste</w:t>
      </w:r>
      <w:r w:rsidR="007472BC" w:rsidRPr="00316277">
        <w:t>.</w:t>
      </w:r>
    </w:p>
    <w:p w14:paraId="31C2DCB9" w14:textId="77777777" w:rsidR="00FD5FB5" w:rsidRPr="00026EC1" w:rsidRDefault="00FD5FB5" w:rsidP="00A64613">
      <w:pPr>
        <w:pStyle w:val="NUMRODECLAUSE"/>
        <w:keepNext w:val="0"/>
      </w:pPr>
    </w:p>
    <w:p w14:paraId="0DDE2581" w14:textId="05DF3A5F" w:rsidR="00404F34" w:rsidRPr="00026EC1" w:rsidRDefault="00404F34" w:rsidP="00A64613">
      <w:pPr>
        <w:keepNext w:val="0"/>
      </w:pPr>
      <w:r w:rsidRPr="00026EC1">
        <w:t>Les prestations d</w:t>
      </w:r>
      <w:r w:rsidR="004A41E4" w:rsidRPr="00026EC1">
        <w:t>’</w:t>
      </w:r>
      <w:r w:rsidRPr="00026EC1">
        <w:t>assurance</w:t>
      </w:r>
      <w:r w:rsidR="00984A6F">
        <w:noBreakHyphen/>
      </w:r>
      <w:r w:rsidRPr="00026EC1">
        <w:t>maladie sont réductibles des prestations payables en vertu de tout autre régime public ou privé, individuel ou collectif.</w:t>
      </w:r>
    </w:p>
    <w:p w14:paraId="1E518422" w14:textId="443B2CF1" w:rsidR="00404F34" w:rsidRDefault="00404F34" w:rsidP="00A64613">
      <w:pPr>
        <w:keepNext w:val="0"/>
      </w:pPr>
    </w:p>
    <w:p w14:paraId="57A08811" w14:textId="77777777" w:rsidR="008B1AB7" w:rsidRPr="00026EC1" w:rsidRDefault="008B1AB7" w:rsidP="008B1AB7">
      <w:pPr>
        <w:pStyle w:val="NUMRODECLAUSE"/>
        <w:keepNext w:val="0"/>
      </w:pPr>
      <w:r w:rsidRPr="00316277">
        <w:t>5</w:t>
      </w:r>
      <w:r w:rsidRPr="00316277">
        <w:noBreakHyphen/>
        <w:t>5.14</w:t>
      </w:r>
    </w:p>
    <w:p w14:paraId="411C542D" w14:textId="7012F170" w:rsidR="007472BC" w:rsidRDefault="007472BC" w:rsidP="00864798">
      <w:pPr>
        <w:pStyle w:val="ListParagraph"/>
        <w:numPr>
          <w:ilvl w:val="0"/>
          <w:numId w:val="67"/>
        </w:numPr>
        <w:ind w:left="567" w:hanging="567"/>
      </w:pPr>
      <w:r w:rsidRPr="00316277">
        <w:t>À compter du 1</w:t>
      </w:r>
      <w:r w:rsidRPr="00316277">
        <w:rPr>
          <w:vertAlign w:val="superscript"/>
        </w:rPr>
        <w:t>er</w:t>
      </w:r>
      <w:r w:rsidRPr="00316277">
        <w:t xml:space="preserve"> avril 2024, le Collège contribue au régime d’assurance-maladie. La contribution annuelle du Collège quant à toute enseignante ou tout enseignant ne peut excéder le moindre des montants suivants :</w:t>
      </w:r>
    </w:p>
    <w:p w14:paraId="21C55AB0" w14:textId="77777777" w:rsidR="00D14DE1" w:rsidRPr="00316277" w:rsidRDefault="00D14DE1" w:rsidP="00D14DE1">
      <w:pPr>
        <w:pStyle w:val="ListParagraph"/>
        <w:ind w:left="567"/>
      </w:pPr>
    </w:p>
    <w:p w14:paraId="1179B2CA" w14:textId="77777777" w:rsidR="007472BC" w:rsidRPr="00316277" w:rsidRDefault="007472BC" w:rsidP="00864798">
      <w:pPr>
        <w:pStyle w:val="ListParagraph"/>
        <w:numPr>
          <w:ilvl w:val="0"/>
          <w:numId w:val="61"/>
        </w:numPr>
        <w:tabs>
          <w:tab w:val="left" w:pos="567"/>
        </w:tabs>
        <w:suppressAutoHyphens/>
        <w:autoSpaceDE w:val="0"/>
        <w:autoSpaceDN w:val="0"/>
        <w:ind w:left="1135"/>
        <w:rPr>
          <w:rFonts w:cs="Arial"/>
        </w:rPr>
      </w:pPr>
      <w:r w:rsidRPr="00316277">
        <w:rPr>
          <w:rFonts w:cs="Arial"/>
        </w:rPr>
        <w:t>dans le cas d'une personne participante assurée seule : cent cinquante dollars (150 $) par année;</w:t>
      </w:r>
    </w:p>
    <w:p w14:paraId="04CCB4B2" w14:textId="2B34D54D" w:rsidR="007472BC" w:rsidRPr="00316277" w:rsidRDefault="007472BC" w:rsidP="007472BC">
      <w:pPr>
        <w:pStyle w:val="ListParagraph"/>
        <w:tabs>
          <w:tab w:val="left" w:pos="0"/>
        </w:tabs>
        <w:suppressAutoHyphens/>
        <w:autoSpaceDE w:val="0"/>
        <w:autoSpaceDN w:val="0"/>
        <w:ind w:left="568"/>
        <w:rPr>
          <w:rFonts w:cs="Arial"/>
        </w:rPr>
      </w:pPr>
    </w:p>
    <w:p w14:paraId="3C3CC4D1" w14:textId="5D0C2EB9" w:rsidR="007472BC" w:rsidRPr="00316277" w:rsidRDefault="007472BC" w:rsidP="00864798">
      <w:pPr>
        <w:pStyle w:val="ListParagraph"/>
        <w:numPr>
          <w:ilvl w:val="0"/>
          <w:numId w:val="61"/>
        </w:numPr>
        <w:tabs>
          <w:tab w:val="left" w:pos="567"/>
        </w:tabs>
        <w:suppressAutoHyphens/>
        <w:autoSpaceDE w:val="0"/>
        <w:autoSpaceDN w:val="0"/>
        <w:ind w:left="1135" w:right="1"/>
        <w:rPr>
          <w:rFonts w:cs="Arial"/>
        </w:rPr>
      </w:pPr>
      <w:r w:rsidRPr="00316277">
        <w:rPr>
          <w:rFonts w:cs="Arial"/>
        </w:rPr>
        <w:t>dans le cas d'une personne participante assurée pour elle-même et ses personnes à charge : trois cent</w:t>
      </w:r>
      <w:r w:rsidR="00F0423A" w:rsidRPr="00316277">
        <w:rPr>
          <w:rFonts w:cs="Arial"/>
        </w:rPr>
        <w:t>s</w:t>
      </w:r>
      <w:r w:rsidRPr="00316277">
        <w:rPr>
          <w:rFonts w:cs="Arial"/>
        </w:rPr>
        <w:t xml:space="preserve"> dollars (300 $) par</w:t>
      </w:r>
      <w:r w:rsidRPr="00316277">
        <w:rPr>
          <w:rFonts w:cs="Arial"/>
          <w:spacing w:val="-1"/>
        </w:rPr>
        <w:t xml:space="preserve"> </w:t>
      </w:r>
      <w:r w:rsidRPr="00316277">
        <w:rPr>
          <w:rFonts w:cs="Arial"/>
        </w:rPr>
        <w:t>année;</w:t>
      </w:r>
    </w:p>
    <w:p w14:paraId="02574997" w14:textId="77777777" w:rsidR="007472BC" w:rsidRPr="00316277" w:rsidRDefault="007472BC" w:rsidP="007472BC">
      <w:pPr>
        <w:keepNext w:val="0"/>
        <w:tabs>
          <w:tab w:val="left" w:pos="1045"/>
          <w:tab w:val="left" w:pos="1046"/>
        </w:tabs>
        <w:autoSpaceDE w:val="0"/>
        <w:autoSpaceDN w:val="0"/>
        <w:ind w:right="1"/>
        <w:rPr>
          <w:rFonts w:cs="Arial"/>
        </w:rPr>
      </w:pPr>
    </w:p>
    <w:p w14:paraId="69AEDA27" w14:textId="77777777" w:rsidR="007472BC" w:rsidRPr="00316277" w:rsidRDefault="007472BC" w:rsidP="003B3A05">
      <w:pPr>
        <w:keepNext w:val="0"/>
        <w:tabs>
          <w:tab w:val="left" w:pos="851"/>
        </w:tabs>
        <w:autoSpaceDE w:val="0"/>
        <w:autoSpaceDN w:val="0"/>
        <w:ind w:left="567"/>
        <w:rPr>
          <w:rFonts w:cs="Arial"/>
        </w:rPr>
      </w:pPr>
      <w:r w:rsidRPr="00316277">
        <w:rPr>
          <w:rFonts w:cs="Arial"/>
        </w:rPr>
        <w:t>La contribution de l’employeur ne peut dépasser le montant maximal de la couverture au régime de base d’assurance-maladie de la personne participante assurée.</w:t>
      </w:r>
    </w:p>
    <w:p w14:paraId="73F40221" w14:textId="77777777" w:rsidR="007472BC" w:rsidRPr="00316277" w:rsidRDefault="007472BC" w:rsidP="003B3A05">
      <w:pPr>
        <w:keepNext w:val="0"/>
      </w:pPr>
    </w:p>
    <w:p w14:paraId="73029569" w14:textId="6AD69A00" w:rsidR="007472BC" w:rsidRPr="00316277" w:rsidRDefault="007472BC" w:rsidP="003B3A05">
      <w:pPr>
        <w:pStyle w:val="ListParagraph"/>
        <w:numPr>
          <w:ilvl w:val="0"/>
          <w:numId w:val="67"/>
        </w:numPr>
        <w:suppressAutoHyphens/>
        <w:spacing w:line="259" w:lineRule="auto"/>
        <w:ind w:left="567" w:hanging="567"/>
        <w:contextualSpacing/>
      </w:pPr>
      <w:r w:rsidRPr="00316277">
        <w:t xml:space="preserve">Le </w:t>
      </w:r>
      <w:r w:rsidR="003B3A05">
        <w:t>C</w:t>
      </w:r>
      <w:r w:rsidRPr="00316277">
        <w:t>ollège verse sa pleine contribution, dans le cas de l’enseignante ou l’enseignant à temps complet et de l’enseignante ou l’enseignant à temps partiel dont l’équivalent temps complet est égal ou supérieur à soixante pour cent (</w:t>
      </w:r>
      <w:r w:rsidR="00D14DE1">
        <w:t>60</w:t>
      </w:r>
      <w:r w:rsidRPr="00316277">
        <w:t> %);</w:t>
      </w:r>
    </w:p>
    <w:p w14:paraId="452ACCDD" w14:textId="77777777" w:rsidR="007472BC" w:rsidRPr="00316277" w:rsidRDefault="007472BC" w:rsidP="007472BC">
      <w:pPr>
        <w:pStyle w:val="ListParagraph"/>
        <w:suppressAutoHyphens/>
      </w:pPr>
    </w:p>
    <w:p w14:paraId="16020D89" w14:textId="1357F994" w:rsidR="007472BC" w:rsidRPr="00316277" w:rsidRDefault="007472BC" w:rsidP="003B3A05">
      <w:pPr>
        <w:keepNext w:val="0"/>
        <w:spacing w:line="259" w:lineRule="auto"/>
        <w:ind w:left="567"/>
        <w:contextualSpacing/>
      </w:pPr>
      <w:r w:rsidRPr="00316277">
        <w:t xml:space="preserve">Le </w:t>
      </w:r>
      <w:r w:rsidR="003B3A05">
        <w:t>C</w:t>
      </w:r>
      <w:r w:rsidRPr="00316277">
        <w:t>ollège verse la moitié de sa contribution dans le cas de l’enseignante ou l’enseignant à temps partiel dont l’équivalent temps complet est inférieur à soixante pour cent (</w:t>
      </w:r>
      <w:r w:rsidR="00D14DE1">
        <w:t>60</w:t>
      </w:r>
      <w:r w:rsidRPr="00316277">
        <w:t> %). Dans ce cas, l’enseignante ou l’enseignant paye le solde de la contribution du Collège en plus de sa propre contribution.</w:t>
      </w:r>
    </w:p>
    <w:p w14:paraId="78B7108F" w14:textId="77777777" w:rsidR="007472BC" w:rsidRPr="00316277" w:rsidRDefault="007472BC" w:rsidP="003B3A05">
      <w:pPr>
        <w:keepNext w:val="0"/>
        <w:spacing w:line="259" w:lineRule="auto"/>
        <w:ind w:left="567"/>
        <w:contextualSpacing/>
      </w:pPr>
    </w:p>
    <w:p w14:paraId="2D37FAE2" w14:textId="22988F9B" w:rsidR="008B1AB7" w:rsidRDefault="007472BC" w:rsidP="003B3A05">
      <w:pPr>
        <w:pStyle w:val="ListParagraph"/>
        <w:numPr>
          <w:ilvl w:val="0"/>
          <w:numId w:val="67"/>
        </w:numPr>
        <w:ind w:left="567" w:hanging="567"/>
      </w:pPr>
      <w:r w:rsidRPr="00316277">
        <w:t>Advenant l'extension aux médicaments de la couverture du régime de base d'assurance maladie du Québec, les montants prévus au paragraphe A) de la présente clause seront diminués des 2/3 du coût annuel des prestations d’assurance médicaments incluses dans le présent régime. Le solde non</w:t>
      </w:r>
      <w:r w:rsidR="00F0423A" w:rsidRPr="00316277">
        <w:t xml:space="preserve"> u</w:t>
      </w:r>
      <w:r w:rsidRPr="00316277">
        <w:t xml:space="preserve">tilisé, s'il en est, servira pour fins de protection supplémentaire à l'assurance maladie. </w:t>
      </w:r>
      <w:r w:rsidRPr="00316277">
        <w:rPr>
          <w:bCs/>
        </w:rPr>
        <w:t>Le Comité syndical responsable des régimes</w:t>
      </w:r>
      <w:r w:rsidRPr="00316277">
        <w:t xml:space="preserve"> d’assurances détermine cette protection supplémentaire.</w:t>
      </w:r>
    </w:p>
    <w:p w14:paraId="0BC8EFED" w14:textId="77777777" w:rsidR="00F45730" w:rsidRPr="00026EC1" w:rsidRDefault="00F45730" w:rsidP="00A64613">
      <w:pPr>
        <w:keepNext w:val="0"/>
      </w:pPr>
    </w:p>
    <w:p w14:paraId="3846BDA8" w14:textId="23F0B40F" w:rsidR="00404F34" w:rsidRPr="00026EC1" w:rsidRDefault="00404F34" w:rsidP="00A64613">
      <w:pPr>
        <w:pStyle w:val="NUMRODECLAUSE"/>
        <w:keepNext w:val="0"/>
      </w:pPr>
      <w:r w:rsidRPr="00026EC1">
        <w:t>5</w:t>
      </w:r>
      <w:r w:rsidR="00984A6F">
        <w:noBreakHyphen/>
      </w:r>
      <w:r w:rsidRPr="00026EC1">
        <w:t>5.15</w:t>
      </w:r>
    </w:p>
    <w:p w14:paraId="0CE69D71" w14:textId="77961EAE" w:rsidR="00404F34" w:rsidRPr="00026EC1" w:rsidRDefault="00404F34" w:rsidP="00A64613">
      <w:pPr>
        <w:keepNext w:val="0"/>
      </w:pPr>
      <w:r w:rsidRPr="00026EC1">
        <w:t>La participation au régime d</w:t>
      </w:r>
      <w:r w:rsidR="004A41E4" w:rsidRPr="00026EC1">
        <w:t>’</w:t>
      </w:r>
      <w:r w:rsidRPr="00026EC1">
        <w:t>assurance</w:t>
      </w:r>
      <w:r w:rsidR="00984A6F">
        <w:noBreakHyphen/>
      </w:r>
      <w:r w:rsidRPr="00026EC1">
        <w:t>maladie est obligatoire, mais une enseignante ou un enseignant peut, moyennant un préavis écrit au Collège, refuser ou cesser de participer au régime d</w:t>
      </w:r>
      <w:r w:rsidR="004A41E4" w:rsidRPr="00026EC1">
        <w:t>’</w:t>
      </w:r>
      <w:r w:rsidRPr="00026EC1">
        <w:t>assurance</w:t>
      </w:r>
      <w:r w:rsidR="00984A6F">
        <w:noBreakHyphen/>
      </w:r>
      <w:r w:rsidRPr="00026EC1">
        <w:t>maladie, à la condition qu</w:t>
      </w:r>
      <w:r w:rsidR="004A41E4" w:rsidRPr="00026EC1">
        <w:t>’</w:t>
      </w:r>
      <w:r w:rsidRPr="00026EC1">
        <w:t>elle ou il établisse qu</w:t>
      </w:r>
      <w:r w:rsidR="004A41E4" w:rsidRPr="00026EC1">
        <w:t>’</w:t>
      </w:r>
      <w:r w:rsidRPr="00026EC1">
        <w:t>elle</w:t>
      </w:r>
      <w:r w:rsidR="00984A6F">
        <w:noBreakHyphen/>
      </w:r>
      <w:r w:rsidRPr="00026EC1">
        <w:t>même ou lui</w:t>
      </w:r>
      <w:r w:rsidR="00984A6F">
        <w:noBreakHyphen/>
      </w:r>
      <w:r w:rsidRPr="00026EC1">
        <w:t>même et ses personnes à charge sont assurés en vertu d</w:t>
      </w:r>
      <w:r w:rsidR="004A41E4" w:rsidRPr="00026EC1">
        <w:t>’</w:t>
      </w:r>
      <w:r w:rsidRPr="00026EC1">
        <w:t>un régime d</w:t>
      </w:r>
      <w:r w:rsidR="004A41E4" w:rsidRPr="00026EC1">
        <w:t>’</w:t>
      </w:r>
      <w:r w:rsidRPr="00026EC1">
        <w:t>assurance</w:t>
      </w:r>
      <w:r w:rsidR="00984A6F">
        <w:noBreakHyphen/>
      </w:r>
      <w:r w:rsidRPr="00026EC1">
        <w:t>groupe comportant des prestations similaires, ou à la condition qu</w:t>
      </w:r>
      <w:r w:rsidR="004A41E4" w:rsidRPr="00026EC1">
        <w:t>’</w:t>
      </w:r>
      <w:r w:rsidRPr="00026EC1">
        <w:t>elle ou il soit âgé de soixante</w:t>
      </w:r>
      <w:r w:rsidR="00984A6F">
        <w:noBreakHyphen/>
      </w:r>
      <w:r w:rsidRPr="00026EC1">
        <w:t>cinq (65) ans ou plus.</w:t>
      </w:r>
    </w:p>
    <w:p w14:paraId="65CD0213" w14:textId="77777777" w:rsidR="00163482" w:rsidRPr="00026EC1" w:rsidRDefault="00163482" w:rsidP="00A64613">
      <w:pPr>
        <w:keepNext w:val="0"/>
      </w:pPr>
    </w:p>
    <w:p w14:paraId="618384DC" w14:textId="5EB7199A" w:rsidR="00404F34" w:rsidRPr="00026EC1" w:rsidRDefault="00404F34" w:rsidP="00A64613">
      <w:pPr>
        <w:pStyle w:val="NUMRODECLAUSE"/>
        <w:keepNext w:val="0"/>
      </w:pPr>
      <w:r w:rsidRPr="00026EC1">
        <w:t>5</w:t>
      </w:r>
      <w:r w:rsidR="00984A6F">
        <w:noBreakHyphen/>
      </w:r>
      <w:r w:rsidRPr="00026EC1">
        <w:t>5.16</w:t>
      </w:r>
    </w:p>
    <w:p w14:paraId="0D8CD114" w14:textId="30F3F01C" w:rsidR="00404F34" w:rsidRPr="00026EC1" w:rsidRDefault="00404F34" w:rsidP="00A64613">
      <w:pPr>
        <w:keepNext w:val="0"/>
      </w:pPr>
      <w:r w:rsidRPr="00026EC1">
        <w:t>Une enseignante ou un enseignant qui a refusé ou cessé de participer au régime peut y redevenir admissible aux conditions suivantes</w:t>
      </w:r>
      <w:r w:rsidR="00D8581B">
        <w:t> :</w:t>
      </w:r>
    </w:p>
    <w:p w14:paraId="6E3DA7FB" w14:textId="77777777" w:rsidR="00404F34" w:rsidRPr="00026EC1" w:rsidRDefault="00404F34" w:rsidP="00A64613">
      <w:pPr>
        <w:keepNext w:val="0"/>
      </w:pPr>
    </w:p>
    <w:p w14:paraId="4E623F78" w14:textId="0F39D6B7" w:rsidR="00404F34" w:rsidRPr="00026EC1" w:rsidRDefault="00275751" w:rsidP="00A64613">
      <w:pPr>
        <w:keepNext w:val="0"/>
        <w:tabs>
          <w:tab w:val="left" w:pos="567"/>
        </w:tabs>
        <w:ind w:left="567" w:hanging="567"/>
      </w:pPr>
      <w:r w:rsidRPr="00026EC1">
        <w:t>a)</w:t>
      </w:r>
      <w:r w:rsidRPr="00026EC1">
        <w:tab/>
      </w:r>
      <w:r w:rsidR="00404F34" w:rsidRPr="00026EC1">
        <w:t>elle ou il établit à la satisfaction de l</w:t>
      </w:r>
      <w:r w:rsidR="004A41E4" w:rsidRPr="00026EC1">
        <w:t>’</w:t>
      </w:r>
      <w:r w:rsidR="00404F34" w:rsidRPr="00026EC1">
        <w:t>assureur</w:t>
      </w:r>
      <w:r w:rsidR="00D8581B">
        <w:t> :</w:t>
      </w:r>
    </w:p>
    <w:p w14:paraId="2A29BF07" w14:textId="77777777" w:rsidR="00404F34" w:rsidRPr="00026EC1" w:rsidRDefault="00404F34" w:rsidP="00A64613">
      <w:pPr>
        <w:keepNext w:val="0"/>
      </w:pPr>
    </w:p>
    <w:p w14:paraId="1E92409E" w14:textId="023E20EC" w:rsidR="00404F3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404F34" w:rsidRPr="00026EC1">
        <w:t>qu</w:t>
      </w:r>
      <w:r w:rsidR="004A41E4" w:rsidRPr="00026EC1">
        <w:t>’</w:t>
      </w:r>
      <w:r w:rsidR="00404F34" w:rsidRPr="00026EC1">
        <w:t>antérieurement, elle ou il était assuré en vertu du présent régime d</w:t>
      </w:r>
      <w:r w:rsidR="004A41E4" w:rsidRPr="00026EC1">
        <w:t>’</w:t>
      </w:r>
      <w:r w:rsidR="00404F34" w:rsidRPr="00026EC1">
        <w:t>assurance</w:t>
      </w:r>
      <w:r w:rsidR="00984A6F">
        <w:noBreakHyphen/>
      </w:r>
      <w:r w:rsidR="00404F34" w:rsidRPr="00026EC1">
        <w:t>maladie ou de tout autre régime accordant une protection similaire</w:t>
      </w:r>
      <w:r w:rsidR="00110DE7">
        <w:t>;</w:t>
      </w:r>
    </w:p>
    <w:p w14:paraId="6BC5B567" w14:textId="247BC31D" w:rsidR="00404F3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404F34" w:rsidRPr="00026EC1">
        <w:t>qu</w:t>
      </w:r>
      <w:r w:rsidR="004A41E4" w:rsidRPr="00026EC1">
        <w:t>’</w:t>
      </w:r>
      <w:r w:rsidR="00404F34" w:rsidRPr="00026EC1">
        <w:t>il est devenu impossible qu</w:t>
      </w:r>
      <w:r w:rsidR="004A41E4" w:rsidRPr="00026EC1">
        <w:t>’</w:t>
      </w:r>
      <w:r w:rsidR="00404F34" w:rsidRPr="00026EC1">
        <w:t>elle ou il continue d</w:t>
      </w:r>
      <w:r w:rsidR="004A41E4" w:rsidRPr="00026EC1">
        <w:t>’</w:t>
      </w:r>
      <w:r w:rsidR="00404F34" w:rsidRPr="00026EC1">
        <w:t>être assuré</w:t>
      </w:r>
      <w:r w:rsidR="00110DE7">
        <w:t>;</w:t>
      </w:r>
    </w:p>
    <w:p w14:paraId="1ACD1F9D" w14:textId="28CC9D4A" w:rsidR="00404F34"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404F34" w:rsidRPr="00026EC1">
        <w:t>qu</w:t>
      </w:r>
      <w:r w:rsidR="004A41E4" w:rsidRPr="00026EC1">
        <w:t>’</w:t>
      </w:r>
      <w:r w:rsidR="00404F34" w:rsidRPr="00026EC1">
        <w:t>elle ou il présente sa demande dans les trente (30) jours suivant la cessation de son assurance;</w:t>
      </w:r>
    </w:p>
    <w:p w14:paraId="4CBADF7F" w14:textId="77777777" w:rsidR="00B12D5E" w:rsidRDefault="00B12D5E" w:rsidP="00A64613">
      <w:pPr>
        <w:keepNext w:val="0"/>
        <w:tabs>
          <w:tab w:val="left" w:pos="1134"/>
        </w:tabs>
        <w:ind w:left="1134" w:hanging="567"/>
      </w:pPr>
    </w:p>
    <w:p w14:paraId="77063788" w14:textId="77777777" w:rsidR="00404F34" w:rsidRPr="00026EC1" w:rsidRDefault="00275751" w:rsidP="00A64613">
      <w:pPr>
        <w:keepNext w:val="0"/>
        <w:tabs>
          <w:tab w:val="left" w:pos="567"/>
        </w:tabs>
        <w:ind w:left="567" w:hanging="567"/>
      </w:pPr>
      <w:r w:rsidRPr="00026EC1">
        <w:t>b)</w:t>
      </w:r>
      <w:r w:rsidRPr="00026EC1">
        <w:tab/>
      </w:r>
      <w:r w:rsidR="00404F34" w:rsidRPr="00026EC1">
        <w:t>sous réserve de l</w:t>
      </w:r>
      <w:r w:rsidR="004A41E4" w:rsidRPr="00026EC1">
        <w:t>’</w:t>
      </w:r>
      <w:r w:rsidR="00404F34" w:rsidRPr="00026EC1">
        <w:t>alinéa a) précédent, l</w:t>
      </w:r>
      <w:r w:rsidR="004A41E4" w:rsidRPr="00026EC1">
        <w:t>’</w:t>
      </w:r>
      <w:r w:rsidR="00404F34" w:rsidRPr="00026EC1">
        <w:t>assurance prend effet le premier (1</w:t>
      </w:r>
      <w:r w:rsidR="00404F34" w:rsidRPr="00026EC1">
        <w:rPr>
          <w:vertAlign w:val="superscript"/>
        </w:rPr>
        <w:t>er</w:t>
      </w:r>
      <w:r w:rsidR="00404F34" w:rsidRPr="00026EC1">
        <w:t>) jour de la période au cours de laquelle la demande parvient à l</w:t>
      </w:r>
      <w:r w:rsidR="004A41E4" w:rsidRPr="00026EC1">
        <w:t>’</w:t>
      </w:r>
      <w:r w:rsidR="00404F34" w:rsidRPr="00026EC1">
        <w:t>assureur;</w:t>
      </w:r>
    </w:p>
    <w:p w14:paraId="448D48AD" w14:textId="77777777" w:rsidR="00404F34" w:rsidRPr="00026EC1" w:rsidRDefault="00404F34" w:rsidP="00A64613">
      <w:pPr>
        <w:keepNext w:val="0"/>
      </w:pPr>
    </w:p>
    <w:p w14:paraId="7B2A00D1" w14:textId="381CED25" w:rsidR="00404F34" w:rsidRDefault="00275751" w:rsidP="00A64613">
      <w:pPr>
        <w:keepNext w:val="0"/>
        <w:tabs>
          <w:tab w:val="left" w:pos="567"/>
        </w:tabs>
        <w:ind w:left="567" w:hanging="567"/>
      </w:pPr>
      <w:r w:rsidRPr="00026EC1">
        <w:t>c)</w:t>
      </w:r>
      <w:r w:rsidRPr="00026EC1">
        <w:tab/>
      </w:r>
      <w:r w:rsidR="00404F34" w:rsidRPr="00026EC1">
        <w:t>dans le cas d</w:t>
      </w:r>
      <w:r w:rsidR="004A41E4" w:rsidRPr="00026EC1">
        <w:t>’</w:t>
      </w:r>
      <w:r w:rsidR="00404F34" w:rsidRPr="00026EC1">
        <w:t>une personne qui, antérieurement à sa demande, n</w:t>
      </w:r>
      <w:r w:rsidR="004A41E4" w:rsidRPr="00026EC1">
        <w:t>’</w:t>
      </w:r>
      <w:r w:rsidR="00404F34" w:rsidRPr="00026EC1">
        <w:t>était pas assurée en vertu du présent régime d</w:t>
      </w:r>
      <w:r w:rsidR="004A41E4" w:rsidRPr="00026EC1">
        <w:t>’</w:t>
      </w:r>
      <w:r w:rsidR="00404F34" w:rsidRPr="00026EC1">
        <w:t>assurance</w:t>
      </w:r>
      <w:r w:rsidR="00984A6F">
        <w:noBreakHyphen/>
      </w:r>
      <w:r w:rsidR="00404F34" w:rsidRPr="00026EC1">
        <w:t>maladie, l</w:t>
      </w:r>
      <w:r w:rsidR="004A41E4" w:rsidRPr="00026EC1">
        <w:t>’</w:t>
      </w:r>
      <w:r w:rsidR="00404F34" w:rsidRPr="00026EC1">
        <w:t>assureur n</w:t>
      </w:r>
      <w:r w:rsidR="004A41E4" w:rsidRPr="00026EC1">
        <w:t>’</w:t>
      </w:r>
      <w:r w:rsidR="00404F34" w:rsidRPr="00026EC1">
        <w:t>est pas responsable du paiement de prestations qui pourraient être payables par l</w:t>
      </w:r>
      <w:r w:rsidR="004A41E4" w:rsidRPr="00026EC1">
        <w:t>’</w:t>
      </w:r>
      <w:r w:rsidR="00404F34" w:rsidRPr="00026EC1">
        <w:t>assureur précédent en vertu d</w:t>
      </w:r>
      <w:r w:rsidR="004A41E4" w:rsidRPr="00026EC1">
        <w:t>’</w:t>
      </w:r>
      <w:r w:rsidR="00404F34" w:rsidRPr="00026EC1">
        <w:t>une clause de prolongation ou de conversion ou autrement.</w:t>
      </w:r>
    </w:p>
    <w:p w14:paraId="19AC361C" w14:textId="284DCB4F" w:rsidR="00404F34" w:rsidRPr="00026EC1" w:rsidRDefault="00404F34" w:rsidP="00A64613">
      <w:pPr>
        <w:pStyle w:val="MGSTexte0cm"/>
        <w:keepNext w:val="0"/>
      </w:pPr>
      <w:r w:rsidRPr="00026EC1">
        <w:t xml:space="preserve">V  </w:t>
      </w:r>
      <w:r w:rsidR="00984A6F">
        <w:noBreakHyphen/>
      </w:r>
      <w:r w:rsidRPr="00026EC1">
        <w:t xml:space="preserve">  ASSURANCE</w:t>
      </w:r>
      <w:r w:rsidR="00984A6F">
        <w:noBreakHyphen/>
      </w:r>
      <w:r w:rsidRPr="00026EC1">
        <w:t>TRAITEMENT</w:t>
      </w:r>
    </w:p>
    <w:p w14:paraId="7EA493AE" w14:textId="77777777" w:rsidR="00404F34" w:rsidRPr="00026EC1" w:rsidRDefault="00404F34" w:rsidP="00A64613">
      <w:pPr>
        <w:keepNext w:val="0"/>
      </w:pPr>
    </w:p>
    <w:p w14:paraId="0AC26D4E" w14:textId="220542A8" w:rsidR="00404F34" w:rsidRPr="00026EC1" w:rsidRDefault="00404F34" w:rsidP="00A64613">
      <w:pPr>
        <w:pStyle w:val="NUMRODECLAUSE"/>
        <w:keepNext w:val="0"/>
      </w:pPr>
      <w:r w:rsidRPr="00026EC1">
        <w:t>5</w:t>
      </w:r>
      <w:r w:rsidR="00984A6F">
        <w:noBreakHyphen/>
      </w:r>
      <w:r w:rsidRPr="00026EC1">
        <w:t>5.17</w:t>
      </w:r>
    </w:p>
    <w:p w14:paraId="5FE7FCCF" w14:textId="3E5E5655" w:rsidR="00404F34" w:rsidRPr="00026EC1" w:rsidRDefault="00404F34" w:rsidP="00A64613">
      <w:pPr>
        <w:keepNext w:val="0"/>
      </w:pPr>
      <w:r w:rsidRPr="00026EC1">
        <w:t>Sous réserve des dispositions des présentes, une enseignante ou un enseignant a droit, pour toute période d</w:t>
      </w:r>
      <w:r w:rsidR="004A41E4" w:rsidRPr="00026EC1">
        <w:t>’</w:t>
      </w:r>
      <w:r w:rsidRPr="00026EC1">
        <w:t>invalidité durant laquelle elle ou il est absent du travail</w:t>
      </w:r>
      <w:r w:rsidR="00D8581B">
        <w:t> :</w:t>
      </w:r>
    </w:p>
    <w:p w14:paraId="61DA893C" w14:textId="77777777" w:rsidR="00404F34" w:rsidRPr="00026EC1" w:rsidRDefault="00404F34" w:rsidP="00A64613">
      <w:pPr>
        <w:keepNext w:val="0"/>
      </w:pPr>
    </w:p>
    <w:p w14:paraId="17CF9C30" w14:textId="0672B217" w:rsidR="00404F34" w:rsidRPr="00026EC1" w:rsidRDefault="00275751" w:rsidP="00A64613">
      <w:pPr>
        <w:keepNext w:val="0"/>
        <w:tabs>
          <w:tab w:val="left" w:pos="567"/>
        </w:tabs>
        <w:ind w:left="567" w:hanging="567"/>
      </w:pPr>
      <w:r w:rsidRPr="00026EC1">
        <w:t>a)</w:t>
      </w:r>
      <w:r w:rsidRPr="00026EC1">
        <w:tab/>
      </w:r>
      <w:r w:rsidR="00404F34" w:rsidRPr="00026EC1">
        <w:t>jusqu</w:t>
      </w:r>
      <w:r w:rsidR="004A41E4" w:rsidRPr="00026EC1">
        <w:t>’</w:t>
      </w:r>
      <w:r w:rsidR="00404F34" w:rsidRPr="00026EC1">
        <w:t>à concurrence du moindre du nombre de jours de congé de maladie accumulés à son crédit ou de cinq (5) jours ouvrables</w:t>
      </w:r>
      <w:r w:rsidR="00D8581B">
        <w:t> :</w:t>
      </w:r>
      <w:r w:rsidR="00404F34" w:rsidRPr="00026EC1">
        <w:t xml:space="preserve"> au paiement d</w:t>
      </w:r>
      <w:r w:rsidR="004A41E4" w:rsidRPr="00026EC1">
        <w:t>’</w:t>
      </w:r>
      <w:r w:rsidR="00404F34" w:rsidRPr="00026EC1">
        <w:t>une prestation équivalente au traitement qu</w:t>
      </w:r>
      <w:r w:rsidR="004A41E4" w:rsidRPr="00026EC1">
        <w:t>’</w:t>
      </w:r>
      <w:r w:rsidR="00404F34" w:rsidRPr="00026EC1">
        <w:t>elle ou il recevrait si elle ou il était au travail;</w:t>
      </w:r>
    </w:p>
    <w:p w14:paraId="12A7ABAA" w14:textId="77777777" w:rsidR="00404F34" w:rsidRPr="00026EC1" w:rsidRDefault="00404F34" w:rsidP="00A64613">
      <w:pPr>
        <w:keepNext w:val="0"/>
      </w:pPr>
    </w:p>
    <w:p w14:paraId="45716483" w14:textId="11446612" w:rsidR="00404F34" w:rsidRPr="00026EC1" w:rsidRDefault="00275751" w:rsidP="00A64613">
      <w:pPr>
        <w:keepNext w:val="0"/>
        <w:tabs>
          <w:tab w:val="left" w:pos="567"/>
        </w:tabs>
        <w:ind w:left="567" w:hanging="567"/>
      </w:pPr>
      <w:r w:rsidRPr="00026EC1">
        <w:t>b)</w:t>
      </w:r>
      <w:r w:rsidRPr="00026EC1">
        <w:tab/>
      </w:r>
      <w:r w:rsidR="00404F34" w:rsidRPr="00026EC1">
        <w:t>à compter de l</w:t>
      </w:r>
      <w:r w:rsidR="004A41E4" w:rsidRPr="00026EC1">
        <w:t>’</w:t>
      </w:r>
      <w:r w:rsidR="00404F34" w:rsidRPr="00026EC1">
        <w:t>arrêt du paiement de la prestation prévue à l</w:t>
      </w:r>
      <w:r w:rsidR="004A41E4" w:rsidRPr="00026EC1">
        <w:t>’</w:t>
      </w:r>
      <w:r w:rsidR="00404F34" w:rsidRPr="00026EC1">
        <w:t>alinéa a), le cas échéant, mais jamais avant l</w:t>
      </w:r>
      <w:r w:rsidR="004A41E4" w:rsidRPr="00026EC1">
        <w:t>’</w:t>
      </w:r>
      <w:r w:rsidR="00404F34" w:rsidRPr="00026EC1">
        <w:t>expiration d</w:t>
      </w:r>
      <w:r w:rsidR="004A41E4" w:rsidRPr="00026EC1">
        <w:t>’</w:t>
      </w:r>
      <w:r w:rsidR="00404F34" w:rsidRPr="00026EC1">
        <w:t>un délai de carence de cinq (5) jours ouvrables depuis le début de la période d</w:t>
      </w:r>
      <w:r w:rsidR="004A41E4" w:rsidRPr="00026EC1">
        <w:t>’</w:t>
      </w:r>
      <w:r w:rsidR="00404F34" w:rsidRPr="00026EC1">
        <w:t>invalidité et jusqu</w:t>
      </w:r>
      <w:r w:rsidR="004A41E4" w:rsidRPr="00026EC1">
        <w:t>’</w:t>
      </w:r>
      <w:r w:rsidR="00404F34" w:rsidRPr="00026EC1">
        <w:t>à concurrence de cinquante</w:t>
      </w:r>
      <w:r w:rsidR="00984A6F">
        <w:noBreakHyphen/>
      </w:r>
      <w:r w:rsidR="00404F34" w:rsidRPr="00026EC1">
        <w:t>deux (52) semaines à compter du début de la période d</w:t>
      </w:r>
      <w:r w:rsidR="004A41E4" w:rsidRPr="00026EC1">
        <w:t>’</w:t>
      </w:r>
      <w:r w:rsidR="00404F34" w:rsidRPr="00026EC1">
        <w:t>invalidité</w:t>
      </w:r>
      <w:r w:rsidR="00D8581B">
        <w:t> :</w:t>
      </w:r>
      <w:r w:rsidR="00404F34" w:rsidRPr="00026EC1">
        <w:t xml:space="preserve"> au paiement d</w:t>
      </w:r>
      <w:r w:rsidR="004A41E4" w:rsidRPr="00026EC1">
        <w:t>’</w:t>
      </w:r>
      <w:r w:rsidR="00404F34" w:rsidRPr="00026EC1">
        <w:t>une prestation d</w:t>
      </w:r>
      <w:r w:rsidR="004A41E4" w:rsidRPr="00026EC1">
        <w:t>’</w:t>
      </w:r>
      <w:r w:rsidR="00404F34" w:rsidRPr="00026EC1">
        <w:t>un montant égal à quatre</w:t>
      </w:r>
      <w:r w:rsidR="00984A6F">
        <w:noBreakHyphen/>
      </w:r>
      <w:r w:rsidR="00404F34" w:rsidRPr="00026EC1">
        <w:t>vingt</w:t>
      </w:r>
      <w:r w:rsidR="00984A6F">
        <w:noBreakHyphen/>
      </w:r>
      <w:r w:rsidR="00404F34" w:rsidRPr="00026EC1">
        <w:t>cinq pour cent (85</w:t>
      </w:r>
      <w:r w:rsidR="00714A15">
        <w:t> %</w:t>
      </w:r>
      <w:r w:rsidR="00404F34" w:rsidRPr="00026EC1">
        <w:t>) de son traitement;</w:t>
      </w:r>
    </w:p>
    <w:p w14:paraId="2A29C192" w14:textId="77777777" w:rsidR="00404F34" w:rsidRPr="00026EC1" w:rsidRDefault="00404F34" w:rsidP="00A64613">
      <w:pPr>
        <w:keepNext w:val="0"/>
      </w:pPr>
    </w:p>
    <w:p w14:paraId="1EF3B88F" w14:textId="26408624" w:rsidR="00404F34" w:rsidRPr="00026EC1" w:rsidRDefault="00275751" w:rsidP="00A64613">
      <w:pPr>
        <w:keepNext w:val="0"/>
        <w:tabs>
          <w:tab w:val="left" w:pos="567"/>
        </w:tabs>
        <w:ind w:left="567" w:hanging="567"/>
      </w:pPr>
      <w:r w:rsidRPr="00026EC1">
        <w:t>c)</w:t>
      </w:r>
      <w:r w:rsidRPr="00026EC1">
        <w:tab/>
      </w:r>
      <w:r w:rsidR="00404F34" w:rsidRPr="00026EC1">
        <w:t>à compter de l</w:t>
      </w:r>
      <w:r w:rsidR="004A41E4" w:rsidRPr="00026EC1">
        <w:t>’</w:t>
      </w:r>
      <w:r w:rsidR="00404F34" w:rsidRPr="00026EC1">
        <w:t>expiration de la période précitée de cinquante</w:t>
      </w:r>
      <w:r w:rsidR="00984A6F">
        <w:noBreakHyphen/>
      </w:r>
      <w:r w:rsidR="00404F34" w:rsidRPr="00026EC1">
        <w:t>deux (52) semaines, jusqu</w:t>
      </w:r>
      <w:r w:rsidR="004A41E4" w:rsidRPr="00026EC1">
        <w:t>’</w:t>
      </w:r>
      <w:r w:rsidR="00404F34" w:rsidRPr="00026EC1">
        <w:t>à concurrence d</w:t>
      </w:r>
      <w:r w:rsidR="004A41E4" w:rsidRPr="00026EC1">
        <w:t>’</w:t>
      </w:r>
      <w:r w:rsidR="00404F34" w:rsidRPr="00026EC1">
        <w:t>une période additionnelle de cinquante</w:t>
      </w:r>
      <w:r w:rsidR="00984A6F">
        <w:noBreakHyphen/>
      </w:r>
      <w:r w:rsidR="00404F34" w:rsidRPr="00026EC1">
        <w:t>deux (52) semaines</w:t>
      </w:r>
      <w:r w:rsidR="00D8581B">
        <w:t> :</w:t>
      </w:r>
      <w:r w:rsidR="00404F34" w:rsidRPr="00026EC1">
        <w:t xml:space="preserve"> au paiement d</w:t>
      </w:r>
      <w:r w:rsidR="004A41E4" w:rsidRPr="00026EC1">
        <w:t>’</w:t>
      </w:r>
      <w:r w:rsidR="00404F34" w:rsidRPr="00026EC1">
        <w:t>une prestation d</w:t>
      </w:r>
      <w:r w:rsidR="004A41E4" w:rsidRPr="00026EC1">
        <w:t>’</w:t>
      </w:r>
      <w:r w:rsidR="00404F34" w:rsidRPr="00026EC1">
        <w:t>un montant égal à soixante</w:t>
      </w:r>
      <w:r w:rsidR="00984A6F">
        <w:noBreakHyphen/>
      </w:r>
      <w:r w:rsidR="00404F34" w:rsidRPr="00026EC1">
        <w:t>six et deux tiers pour cent (66</w:t>
      </w:r>
      <w:r w:rsidR="00255177" w:rsidRPr="00026EC1">
        <w:t> </w:t>
      </w:r>
      <w:r w:rsidR="00404F34" w:rsidRPr="00026EC1">
        <w:t>2/3</w:t>
      </w:r>
      <w:r w:rsidR="00714A15">
        <w:t> %</w:t>
      </w:r>
      <w:r w:rsidR="00404F34" w:rsidRPr="00026EC1">
        <w:t>) de son traitement.</w:t>
      </w:r>
    </w:p>
    <w:p w14:paraId="06FC1A79" w14:textId="77777777" w:rsidR="00404F34" w:rsidRPr="00026EC1" w:rsidRDefault="00404F34" w:rsidP="00A64613">
      <w:pPr>
        <w:keepNext w:val="0"/>
      </w:pPr>
    </w:p>
    <w:p w14:paraId="1090433D" w14:textId="28055FD9" w:rsidR="00404F34" w:rsidRPr="00026EC1" w:rsidRDefault="00404F34" w:rsidP="00A64613">
      <w:pPr>
        <w:pStyle w:val="Texte1cm"/>
        <w:keepNext w:val="0"/>
      </w:pPr>
      <w:r w:rsidRPr="00026EC1">
        <w:t>Cependant, à la demande de l</w:t>
      </w:r>
      <w:r w:rsidR="004A41E4" w:rsidRPr="00026EC1">
        <w:t>’</w:t>
      </w:r>
      <w:r w:rsidRPr="00026EC1">
        <w:t>enseignante ou de l</w:t>
      </w:r>
      <w:r w:rsidR="004A41E4" w:rsidRPr="00026EC1">
        <w:t>’</w:t>
      </w:r>
      <w:r w:rsidRPr="00026EC1">
        <w:t>enseignant, cette prestation est portée à quatre</w:t>
      </w:r>
      <w:r w:rsidR="00984A6F">
        <w:noBreakHyphen/>
      </w:r>
      <w:r w:rsidRPr="00026EC1">
        <w:t>vingt</w:t>
      </w:r>
      <w:r w:rsidR="00984A6F">
        <w:noBreakHyphen/>
      </w:r>
      <w:r w:rsidRPr="00026EC1">
        <w:t>cinq pour cent (85</w:t>
      </w:r>
      <w:r w:rsidR="00714A15">
        <w:t> %</w:t>
      </w:r>
      <w:r w:rsidRPr="00026EC1">
        <w:t>) de son traitement en utilisant le solde des jours de congé de maladie monnayables à son crédit. Le solde de ces jours de congé de maladie monnayables et du montant afférent est alors débité du coût réel de ce complément sauf si ce solde faisait l</w:t>
      </w:r>
      <w:r w:rsidR="004A41E4" w:rsidRPr="00026EC1">
        <w:t>’</w:t>
      </w:r>
      <w:r w:rsidRPr="00026EC1">
        <w:t>objet d</w:t>
      </w:r>
      <w:r w:rsidR="004A41E4" w:rsidRPr="00026EC1">
        <w:t>’</w:t>
      </w:r>
      <w:r w:rsidRPr="00026EC1">
        <w:t>une disposition qui en assurait l</w:t>
      </w:r>
      <w:r w:rsidR="004A41E4" w:rsidRPr="00026EC1">
        <w:t>’</w:t>
      </w:r>
      <w:r w:rsidRPr="00026EC1">
        <w:t>utilisation ou le remboursement au cours en vigueur au moment de cette utilisation ou de ce remboursement. Dans ce dernier cas, le Collège prélève zéro virgule mille huit cent trente</w:t>
      </w:r>
      <w:r w:rsidR="00984A6F">
        <w:noBreakHyphen/>
      </w:r>
      <w:r w:rsidRPr="00026EC1">
        <w:t>trois</w:t>
      </w:r>
      <w:r w:rsidR="00B013DF">
        <w:t> </w:t>
      </w:r>
      <w:r w:rsidRPr="00026EC1">
        <w:t>(0,1833) jour sur le solde des jours de congé de maladie monnayables par journée de prestation ainsi complétée;</w:t>
      </w:r>
    </w:p>
    <w:p w14:paraId="0970463E" w14:textId="77777777" w:rsidR="00404F34" w:rsidRPr="00026EC1" w:rsidRDefault="00404F34" w:rsidP="00A64613">
      <w:pPr>
        <w:keepNext w:val="0"/>
      </w:pPr>
    </w:p>
    <w:p w14:paraId="33436C26" w14:textId="5C43B6ED" w:rsidR="00332BF7" w:rsidRDefault="00275751" w:rsidP="00A64613">
      <w:pPr>
        <w:keepNext w:val="0"/>
        <w:tabs>
          <w:tab w:val="left" w:pos="567"/>
        </w:tabs>
        <w:ind w:left="567" w:hanging="567"/>
      </w:pPr>
      <w:r w:rsidRPr="00026EC1">
        <w:t>d)</w:t>
      </w:r>
      <w:r w:rsidRPr="00026EC1">
        <w:tab/>
      </w:r>
      <w:r w:rsidR="00404F34" w:rsidRPr="00026EC1">
        <w:t>à compter de l</w:t>
      </w:r>
      <w:r w:rsidR="004A41E4" w:rsidRPr="00026EC1">
        <w:t>’</w:t>
      </w:r>
      <w:r w:rsidR="00404F34" w:rsidRPr="00026EC1">
        <w:t>expiration de la période précitée de cent quatre (104) semaines</w:t>
      </w:r>
      <w:r w:rsidR="00D8581B">
        <w:t> :</w:t>
      </w:r>
      <w:r w:rsidR="00404F34" w:rsidRPr="00026EC1">
        <w:t xml:space="preserve"> à l</w:t>
      </w:r>
      <w:r w:rsidR="004A41E4" w:rsidRPr="00026EC1">
        <w:t>’</w:t>
      </w:r>
      <w:r w:rsidR="00404F34" w:rsidRPr="00026EC1">
        <w:t>utilisation des jours accumulés de congés de maladie à moins que l</w:t>
      </w:r>
      <w:r w:rsidR="004A41E4" w:rsidRPr="00026EC1">
        <w:t>’</w:t>
      </w:r>
      <w:r w:rsidR="00404F34" w:rsidRPr="00026EC1">
        <w:t>enseignante ou l</w:t>
      </w:r>
      <w:r w:rsidR="004A41E4" w:rsidRPr="00026EC1">
        <w:t>’</w:t>
      </w:r>
      <w:r w:rsidR="00404F34" w:rsidRPr="00026EC1">
        <w:t>enseignant ne soit couvert par un régime complémentaire et collectif d</w:t>
      </w:r>
      <w:r w:rsidR="004A41E4" w:rsidRPr="00026EC1">
        <w:t>’</w:t>
      </w:r>
      <w:r w:rsidR="00404F34" w:rsidRPr="00026EC1">
        <w:t>assurance</w:t>
      </w:r>
      <w:r w:rsidR="00984A6F">
        <w:noBreakHyphen/>
      </w:r>
      <w:r w:rsidR="00D6456A" w:rsidRPr="00026EC1">
        <w:t>invalidité de longue durée</w:t>
      </w:r>
      <w:r w:rsidR="009A02B3" w:rsidRPr="00026EC1">
        <w:t>.</w:t>
      </w:r>
    </w:p>
    <w:p w14:paraId="2CCD88C0" w14:textId="719175F5" w:rsidR="00332BF7" w:rsidRDefault="00332BF7">
      <w:pPr>
        <w:keepNext w:val="0"/>
        <w:suppressAutoHyphens w:val="0"/>
        <w:jc w:val="left"/>
      </w:pPr>
    </w:p>
    <w:p w14:paraId="4D0D2CA8" w14:textId="26D5F566" w:rsidR="00404F34" w:rsidRPr="00026EC1" w:rsidRDefault="00404F34" w:rsidP="00A64613">
      <w:pPr>
        <w:pStyle w:val="NUMRODECLAUSE"/>
        <w:keepNext w:val="0"/>
      </w:pPr>
      <w:r w:rsidRPr="00026EC1">
        <w:t>5</w:t>
      </w:r>
      <w:r w:rsidR="00984A6F">
        <w:noBreakHyphen/>
      </w:r>
      <w:r w:rsidRPr="00026EC1">
        <w:t>5.18</w:t>
      </w:r>
    </w:p>
    <w:p w14:paraId="0D76F802" w14:textId="6B05AA9E" w:rsidR="00DF2C0A" w:rsidRDefault="00DF2C0A" w:rsidP="00A64613">
      <w:pPr>
        <w:keepNext w:val="0"/>
      </w:pPr>
      <w:r w:rsidRPr="00026EC1">
        <w:t>Le salaire de l’enseignante ou de l’enseignant, aux fins du calcul de la prestation prévue à la clause 5</w:t>
      </w:r>
      <w:r w:rsidR="00984A6F">
        <w:noBreakHyphen/>
      </w:r>
      <w:r w:rsidRPr="00026EC1">
        <w:t>5.17, est le salaire qu’elle ou il recevrait si elle ou il était au travail sous réserve de la progression salariale résultant de l’année d’expérience additionnelle prévue à l’alinéa e) de la clause 6</w:t>
      </w:r>
      <w:r w:rsidR="00984A6F">
        <w:noBreakHyphen/>
      </w:r>
      <w:r w:rsidRPr="00026EC1">
        <w:t>2.01.</w:t>
      </w:r>
    </w:p>
    <w:p w14:paraId="536F6AF4" w14:textId="77777777" w:rsidR="00332BF7" w:rsidRPr="00026EC1" w:rsidRDefault="00332BF7" w:rsidP="00A64613">
      <w:pPr>
        <w:keepNext w:val="0"/>
      </w:pPr>
    </w:p>
    <w:p w14:paraId="7C915E22" w14:textId="0E85D7FA" w:rsidR="00D14DE1" w:rsidRDefault="00DF2C0A" w:rsidP="003B3A05">
      <w:pPr>
        <w:keepNext w:val="0"/>
      </w:pPr>
      <w:r w:rsidRPr="00026EC1">
        <w:t>Le salaire de l’enseignante ou de l’enseignant mis en disponibilité, aux fins du calcul de la prestation prévu à la clause 5</w:t>
      </w:r>
      <w:r w:rsidR="00984A6F">
        <w:noBreakHyphen/>
      </w:r>
      <w:r w:rsidRPr="00026EC1">
        <w:t>5.17, est celui qu’elle ou il recevrait conformément à la clause 5</w:t>
      </w:r>
      <w:r w:rsidR="00984A6F">
        <w:noBreakHyphen/>
      </w:r>
      <w:r w:rsidRPr="00026EC1">
        <w:t>4.07.</w:t>
      </w:r>
      <w:r w:rsidR="00D14DE1">
        <w:br w:type="page"/>
      </w:r>
    </w:p>
    <w:p w14:paraId="72EB6340" w14:textId="56A4FD45" w:rsidR="00404F34" w:rsidRPr="00026EC1" w:rsidRDefault="00404F34" w:rsidP="00A64613">
      <w:pPr>
        <w:pStyle w:val="NUMRODECLAUSE"/>
        <w:keepNext w:val="0"/>
      </w:pPr>
      <w:r w:rsidRPr="00026EC1">
        <w:t>5</w:t>
      </w:r>
      <w:r w:rsidR="00984A6F">
        <w:noBreakHyphen/>
      </w:r>
      <w:r w:rsidRPr="00026EC1">
        <w:t>5.19</w:t>
      </w:r>
    </w:p>
    <w:p w14:paraId="4B4B7C05" w14:textId="7F79AF25" w:rsidR="00404F34" w:rsidRPr="00026EC1" w:rsidRDefault="00404F34" w:rsidP="00A64613">
      <w:pPr>
        <w:keepNext w:val="0"/>
      </w:pPr>
      <w:r w:rsidRPr="00026EC1">
        <w:t>Tant que les prestations demeurent payables, y compris le délai de carence, le cas échéant, l</w:t>
      </w:r>
      <w:r w:rsidR="004A41E4" w:rsidRPr="00026EC1">
        <w:t>’</w:t>
      </w:r>
      <w:r w:rsidRPr="00026EC1">
        <w:t>enseignante ou l</w:t>
      </w:r>
      <w:r w:rsidR="004A41E4" w:rsidRPr="00026EC1">
        <w:t>’</w:t>
      </w:r>
      <w:r w:rsidRPr="00026EC1">
        <w:t>enseignant invalide continue de participer à son régime de retraite selon les règles de ce régime et de bénéficier des régimes d</w:t>
      </w:r>
      <w:r w:rsidR="004A41E4" w:rsidRPr="00026EC1">
        <w:t>’</w:t>
      </w:r>
      <w:r w:rsidRPr="00026EC1">
        <w:t>assurance. Toutefois, elle ou il verse les cotisations requises, sauf qu</w:t>
      </w:r>
      <w:r w:rsidR="004A41E4" w:rsidRPr="00026EC1">
        <w:t>’</w:t>
      </w:r>
      <w:r w:rsidRPr="00026EC1">
        <w:t>à compter de l</w:t>
      </w:r>
      <w:r w:rsidR="004A41E4" w:rsidRPr="00026EC1">
        <w:t>’</w:t>
      </w:r>
      <w:r w:rsidRPr="00026EC1">
        <w:t>arrêt du paiement de la prestation prévue à l</w:t>
      </w:r>
      <w:r w:rsidR="004A41E4" w:rsidRPr="00026EC1">
        <w:t>’</w:t>
      </w:r>
      <w:r w:rsidRPr="00026EC1">
        <w:t>alinéa a) de la clause 5</w:t>
      </w:r>
      <w:r w:rsidR="00984A6F">
        <w:noBreakHyphen/>
      </w:r>
      <w:r w:rsidRPr="00026EC1">
        <w:t>5.17, elle ou il bénéficie de l</w:t>
      </w:r>
      <w:r w:rsidR="004A41E4" w:rsidRPr="00026EC1">
        <w:t>’</w:t>
      </w:r>
      <w:r w:rsidRPr="00026EC1">
        <w:t>exonération de ses cotisations à son régime de retraite sans perdre ses droits. Sous réserve des dispositions prévues à la convention collective, le paiement des prestations ne doit pas être interprété comme conférant à la ou au prestataire le statut d</w:t>
      </w:r>
      <w:r w:rsidR="004A41E4" w:rsidRPr="00026EC1">
        <w:t>’</w:t>
      </w:r>
      <w:r w:rsidRPr="00026EC1">
        <w:t>enseignante ou d</w:t>
      </w:r>
      <w:r w:rsidR="004A41E4" w:rsidRPr="00026EC1">
        <w:t>’</w:t>
      </w:r>
      <w:r w:rsidRPr="00026EC1">
        <w:t>enseignant ni comme ajoutant à ses droits, en ce qui a trait notamment à l</w:t>
      </w:r>
      <w:r w:rsidR="004A41E4" w:rsidRPr="00026EC1">
        <w:t>’</w:t>
      </w:r>
      <w:r w:rsidRPr="00026EC1">
        <w:t>accumulation des jours de congé de maladie.</w:t>
      </w:r>
    </w:p>
    <w:p w14:paraId="29E1A9B4" w14:textId="77777777" w:rsidR="00404F34" w:rsidRPr="00026EC1" w:rsidRDefault="00404F34" w:rsidP="00A64613">
      <w:pPr>
        <w:keepNext w:val="0"/>
      </w:pPr>
    </w:p>
    <w:p w14:paraId="513828B8" w14:textId="2EA358BA" w:rsidR="00404F34" w:rsidRPr="00026EC1" w:rsidRDefault="00404F34" w:rsidP="00A64613">
      <w:pPr>
        <w:pStyle w:val="NUMRODECLAUSE"/>
        <w:keepNext w:val="0"/>
      </w:pPr>
      <w:r w:rsidRPr="00026EC1">
        <w:t>5</w:t>
      </w:r>
      <w:r w:rsidR="00984A6F">
        <w:noBreakHyphen/>
      </w:r>
      <w:r w:rsidRPr="00026EC1">
        <w:t>5.20</w:t>
      </w:r>
    </w:p>
    <w:p w14:paraId="727EFBE0" w14:textId="6200618A" w:rsidR="00404F34" w:rsidRPr="00026EC1" w:rsidRDefault="00275751" w:rsidP="00A64613">
      <w:pPr>
        <w:keepNext w:val="0"/>
        <w:tabs>
          <w:tab w:val="left" w:pos="567"/>
        </w:tabs>
        <w:ind w:left="567" w:hanging="567"/>
      </w:pPr>
      <w:r w:rsidRPr="00026EC1">
        <w:t>a)</w:t>
      </w:r>
      <w:r w:rsidRPr="00026EC1">
        <w:tab/>
      </w:r>
      <w:r w:rsidR="00404F34" w:rsidRPr="00026EC1">
        <w:t>Les prestations sont réduites du montant initial de toutes prestations d</w:t>
      </w:r>
      <w:r w:rsidR="004A41E4" w:rsidRPr="00026EC1">
        <w:t>’</w:t>
      </w:r>
      <w:r w:rsidR="00404F34" w:rsidRPr="00026EC1">
        <w:t>invalidité de base payables en vertu du Régime de rentes du Québec</w:t>
      </w:r>
      <w:r w:rsidR="00C77DE2" w:rsidRPr="00026EC1">
        <w:t xml:space="preserve"> (RRQ)</w:t>
      </w:r>
      <w:r w:rsidR="00404F34" w:rsidRPr="00026EC1">
        <w:t xml:space="preserve">, de la </w:t>
      </w:r>
      <w:r w:rsidR="00404F34" w:rsidRPr="00026EC1">
        <w:rPr>
          <w:iCs/>
        </w:rPr>
        <w:t>Loi sur les accidents du travail et les maladies professionnelles</w:t>
      </w:r>
      <w:r w:rsidR="00404F34" w:rsidRPr="00026EC1">
        <w:t>, du Régime d</w:t>
      </w:r>
      <w:r w:rsidR="004A41E4" w:rsidRPr="00026EC1">
        <w:t>’</w:t>
      </w:r>
      <w:r w:rsidR="00404F34" w:rsidRPr="00026EC1">
        <w:t>assurance</w:t>
      </w:r>
      <w:r w:rsidR="00984A6F">
        <w:noBreakHyphen/>
      </w:r>
      <w:r w:rsidR="00404F34" w:rsidRPr="00026EC1">
        <w:t>automobile du Québec et du Régime de retraite, sans égard aux augmentations ultérieures des prestations de base résultant de l</w:t>
      </w:r>
      <w:r w:rsidR="004A41E4" w:rsidRPr="00026EC1">
        <w:t>’</w:t>
      </w:r>
      <w:r w:rsidR="00404F34" w:rsidRPr="00026EC1">
        <w:t>indexation.</w:t>
      </w:r>
    </w:p>
    <w:p w14:paraId="0C91A2D6" w14:textId="77777777" w:rsidR="00404F34" w:rsidRPr="00026EC1" w:rsidRDefault="00404F34" w:rsidP="00A64613">
      <w:pPr>
        <w:keepNext w:val="0"/>
      </w:pPr>
    </w:p>
    <w:p w14:paraId="4A2092EE" w14:textId="0CA0701C" w:rsidR="00404F34" w:rsidRPr="00026EC1" w:rsidRDefault="00275751" w:rsidP="00A64613">
      <w:pPr>
        <w:keepNext w:val="0"/>
        <w:tabs>
          <w:tab w:val="left" w:pos="567"/>
        </w:tabs>
        <w:ind w:left="567" w:hanging="567"/>
      </w:pPr>
      <w:r w:rsidRPr="00026EC1">
        <w:t>b)</w:t>
      </w:r>
      <w:r w:rsidRPr="00026EC1">
        <w:tab/>
      </w:r>
      <w:r w:rsidR="00404F34" w:rsidRPr="00026EC1">
        <w:t>Dans le cas particulier d</w:t>
      </w:r>
      <w:r w:rsidR="004A41E4" w:rsidRPr="00026EC1">
        <w:t>’</w:t>
      </w:r>
      <w:r w:rsidR="00404F34" w:rsidRPr="00026EC1">
        <w:t>une invalidité donnant droit à des indemnités versées en vertu du Régime d</w:t>
      </w:r>
      <w:r w:rsidR="004A41E4" w:rsidRPr="00026EC1">
        <w:t>’</w:t>
      </w:r>
      <w:r w:rsidR="00404F34" w:rsidRPr="00026EC1">
        <w:t>assurance</w:t>
      </w:r>
      <w:r w:rsidR="00984A6F">
        <w:noBreakHyphen/>
      </w:r>
      <w:r w:rsidR="00404F34" w:rsidRPr="00026EC1">
        <w:t>automobile du Québec, la prestation payable par le Collège est établie de la façon suivante</w:t>
      </w:r>
      <w:r w:rsidR="00D8581B">
        <w:t> :</w:t>
      </w:r>
    </w:p>
    <w:p w14:paraId="5EB18E39" w14:textId="50F6ACC7" w:rsidR="00404F34" w:rsidRPr="00026EC1" w:rsidRDefault="00404F34" w:rsidP="00A64613">
      <w:pPr>
        <w:keepNext w:val="0"/>
      </w:pPr>
    </w:p>
    <w:p w14:paraId="5CAA11C6" w14:textId="2ACA1906" w:rsidR="00404F34" w:rsidRPr="00026EC1" w:rsidRDefault="00404F34" w:rsidP="00A64613">
      <w:pPr>
        <w:pStyle w:val="Texte1cm"/>
        <w:keepNext w:val="0"/>
      </w:pPr>
      <w:r w:rsidRPr="00026EC1">
        <w:t>le Collège détermine la prestation nette en déduisant de la prestation brute prévue à la clause 5</w:t>
      </w:r>
      <w:r w:rsidR="00984A6F">
        <w:noBreakHyphen/>
      </w:r>
      <w:r w:rsidRPr="00026EC1">
        <w:t>5.17 l</w:t>
      </w:r>
      <w:r w:rsidR="004A41E4" w:rsidRPr="00026EC1">
        <w:t>’</w:t>
      </w:r>
      <w:r w:rsidRPr="00026EC1">
        <w:t xml:space="preserve">équivalent de toutes les déductions requises par la loi (impôts, RRQ, </w:t>
      </w:r>
      <w:r w:rsidR="00EC3141" w:rsidRPr="00026EC1">
        <w:t>Régime québécois d</w:t>
      </w:r>
      <w:r w:rsidR="004A41E4" w:rsidRPr="00026EC1">
        <w:t>’</w:t>
      </w:r>
      <w:r w:rsidR="00EC3141" w:rsidRPr="00026EC1">
        <w:t>assurance parentale (</w:t>
      </w:r>
      <w:r w:rsidR="00C77DE2" w:rsidRPr="00026EC1">
        <w:t>RQAP</w:t>
      </w:r>
      <w:r w:rsidR="00EC3141" w:rsidRPr="00026EC1">
        <w:t>)</w:t>
      </w:r>
      <w:r w:rsidR="00C77DE2" w:rsidRPr="00026EC1">
        <w:t xml:space="preserve">, </w:t>
      </w:r>
      <w:r w:rsidRPr="00026EC1">
        <w:t>assurance</w:t>
      </w:r>
      <w:r w:rsidR="00984A6F">
        <w:noBreakHyphen/>
      </w:r>
      <w:r w:rsidRPr="00026EC1">
        <w:t xml:space="preserve">emploi); la prestation nette ainsi obtenue est réduite de la prestation reçue de la </w:t>
      </w:r>
      <w:r w:rsidR="0070301A" w:rsidRPr="00026EC1">
        <w:t>Société de l’assurance automobile du Québec (</w:t>
      </w:r>
      <w:r w:rsidRPr="00026EC1">
        <w:t>SAAQ</w:t>
      </w:r>
      <w:r w:rsidR="0070301A" w:rsidRPr="00026EC1">
        <w:t>)</w:t>
      </w:r>
      <w:r w:rsidRPr="00026EC1">
        <w:t>; ce solde est ramené à un revenu brut imposable à partir duquel le Collège effectue toutes les déductions, contributions et cotisations requises par la loi et la convention collective.</w:t>
      </w:r>
    </w:p>
    <w:p w14:paraId="0378B672" w14:textId="77777777" w:rsidR="00404F34" w:rsidRPr="00026EC1" w:rsidRDefault="00404F34" w:rsidP="00A64613">
      <w:pPr>
        <w:keepNext w:val="0"/>
      </w:pPr>
    </w:p>
    <w:p w14:paraId="48FBDAE7" w14:textId="69ACC0A8" w:rsidR="00404F34" w:rsidRPr="00026EC1" w:rsidRDefault="00404F34" w:rsidP="00A64613">
      <w:pPr>
        <w:pStyle w:val="NUMRODECLAUSE"/>
        <w:keepNext w:val="0"/>
      </w:pPr>
      <w:r w:rsidRPr="00026EC1">
        <w:t>5</w:t>
      </w:r>
      <w:r w:rsidR="00984A6F">
        <w:noBreakHyphen/>
      </w:r>
      <w:r w:rsidRPr="00026EC1">
        <w:t>5.21</w:t>
      </w:r>
    </w:p>
    <w:p w14:paraId="01099F32" w14:textId="37051263" w:rsidR="00404F34" w:rsidRPr="00026EC1" w:rsidRDefault="00404F34" w:rsidP="00A64613">
      <w:pPr>
        <w:keepNext w:val="0"/>
      </w:pPr>
      <w:r w:rsidRPr="00026EC1">
        <w:t>Dans le cas particulier d</w:t>
      </w:r>
      <w:r w:rsidR="004A41E4" w:rsidRPr="00026EC1">
        <w:t>’</w:t>
      </w:r>
      <w:r w:rsidRPr="00026EC1">
        <w:t xml:space="preserve">une incapacité donnant droit à des indemnités versées en vertu de la </w:t>
      </w:r>
      <w:r w:rsidRPr="00026EC1">
        <w:rPr>
          <w:iCs/>
        </w:rPr>
        <w:t>Loi sur les accidents du travail et les maladies professionnelles</w:t>
      </w:r>
      <w:r w:rsidRPr="00026EC1">
        <w:t>, les dispositions suivantes s</w:t>
      </w:r>
      <w:r w:rsidR="004A41E4" w:rsidRPr="00026EC1">
        <w:t>’</w:t>
      </w:r>
      <w:r w:rsidRPr="00026EC1">
        <w:t>appliquent</w:t>
      </w:r>
      <w:r w:rsidR="00D8581B">
        <w:t> :</w:t>
      </w:r>
    </w:p>
    <w:p w14:paraId="692CFB62" w14:textId="77777777" w:rsidR="00404F34" w:rsidRPr="00026EC1" w:rsidRDefault="00404F34" w:rsidP="00A64613">
      <w:pPr>
        <w:keepNext w:val="0"/>
      </w:pPr>
    </w:p>
    <w:p w14:paraId="7DB4BD9C" w14:textId="238BEA0D" w:rsidR="00404F34" w:rsidRPr="00026EC1" w:rsidRDefault="00275751" w:rsidP="00A64613">
      <w:pPr>
        <w:keepNext w:val="0"/>
        <w:ind w:left="567" w:hanging="567"/>
      </w:pPr>
      <w:r w:rsidRPr="00026EC1">
        <w:t>a)</w:t>
      </w:r>
      <w:r w:rsidRPr="00026EC1">
        <w:tab/>
      </w:r>
      <w:r w:rsidR="00404F34" w:rsidRPr="00026EC1">
        <w:t>l</w:t>
      </w:r>
      <w:r w:rsidR="004A41E4" w:rsidRPr="00026EC1">
        <w:t>’</w:t>
      </w:r>
      <w:r w:rsidR="00404F34" w:rsidRPr="00026EC1">
        <w:t>enseignante ou l</w:t>
      </w:r>
      <w:r w:rsidR="004A41E4" w:rsidRPr="00026EC1">
        <w:t>’</w:t>
      </w:r>
      <w:r w:rsidR="00404F34" w:rsidRPr="00026EC1">
        <w:t>enseignant reçoit du Collège une prestation égale à cent pour cent (100</w:t>
      </w:r>
      <w:r w:rsidR="00714A15">
        <w:t> %</w:t>
      </w:r>
      <w:r w:rsidR="00404F34" w:rsidRPr="00026EC1">
        <w:t>) du salaire net qu</w:t>
      </w:r>
      <w:r w:rsidR="004A41E4" w:rsidRPr="00026EC1">
        <w:t>’</w:t>
      </w:r>
      <w:r w:rsidR="00404F34" w:rsidRPr="00026EC1">
        <w:t>elle ou il recevait à la date de l</w:t>
      </w:r>
      <w:r w:rsidR="004A41E4" w:rsidRPr="00026EC1">
        <w:t>’</w:t>
      </w:r>
      <w:r w:rsidR="00404F34" w:rsidRPr="00026EC1">
        <w:t>accident. L</w:t>
      </w:r>
      <w:r w:rsidR="004A41E4" w:rsidRPr="00026EC1">
        <w:t>’</w:t>
      </w:r>
      <w:r w:rsidR="00404F34" w:rsidRPr="00026EC1">
        <w:t>enseignante ou l</w:t>
      </w:r>
      <w:r w:rsidR="004A41E4" w:rsidRPr="00026EC1">
        <w:t>’</w:t>
      </w:r>
      <w:r w:rsidR="00404F34" w:rsidRPr="00026EC1">
        <w:t>enseignant est admissible à cette prestation jusqu</w:t>
      </w:r>
      <w:r w:rsidR="004A41E4" w:rsidRPr="00026EC1">
        <w:t>’</w:t>
      </w:r>
      <w:r w:rsidR="00404F34" w:rsidRPr="00026EC1">
        <w:t xml:space="preserve">à la date à compter de laquelle la </w:t>
      </w:r>
      <w:r w:rsidR="00F97F2E" w:rsidRPr="00026EC1">
        <w:rPr>
          <w:rFonts w:cs="Arial"/>
          <w:szCs w:val="24"/>
        </w:rPr>
        <w:t>C</w:t>
      </w:r>
      <w:r w:rsidR="00701CB5" w:rsidRPr="00026EC1">
        <w:rPr>
          <w:rFonts w:cs="Arial"/>
          <w:szCs w:val="24"/>
        </w:rPr>
        <w:t>NESST</w:t>
      </w:r>
      <w:r w:rsidR="00F97F2E" w:rsidRPr="00026EC1">
        <w:rPr>
          <w:rFonts w:cs="Arial"/>
          <w:szCs w:val="24"/>
        </w:rPr>
        <w:t xml:space="preserve"> </w:t>
      </w:r>
      <w:r w:rsidR="00404F34" w:rsidRPr="00026EC1">
        <w:t>décrète l</w:t>
      </w:r>
      <w:r w:rsidR="004A41E4" w:rsidRPr="00026EC1">
        <w:t>’</w:t>
      </w:r>
      <w:r w:rsidR="00404F34" w:rsidRPr="00026EC1">
        <w:t>incapacité permanente;</w:t>
      </w:r>
    </w:p>
    <w:p w14:paraId="19DAFB44" w14:textId="77777777" w:rsidR="00404F34" w:rsidRPr="00026EC1" w:rsidRDefault="00404F34" w:rsidP="00A64613">
      <w:pPr>
        <w:keepNext w:val="0"/>
      </w:pPr>
    </w:p>
    <w:p w14:paraId="00E62145" w14:textId="32F18909" w:rsidR="00404F34" w:rsidRPr="00026EC1" w:rsidRDefault="00275751" w:rsidP="00A64613">
      <w:pPr>
        <w:keepNext w:val="0"/>
        <w:tabs>
          <w:tab w:val="left" w:pos="567"/>
        </w:tabs>
        <w:ind w:left="567" w:hanging="567"/>
      </w:pPr>
      <w:r w:rsidRPr="00026EC1">
        <w:t>b)</w:t>
      </w:r>
      <w:r w:rsidRPr="00026EC1">
        <w:tab/>
      </w:r>
      <w:r w:rsidR="00404F34" w:rsidRPr="00026EC1">
        <w:t>malgré l</w:t>
      </w:r>
      <w:r w:rsidR="004A41E4" w:rsidRPr="00026EC1">
        <w:t>’</w:t>
      </w:r>
      <w:r w:rsidR="00404F34" w:rsidRPr="00026EC1">
        <w:t xml:space="preserve">alinéa précédent, si la décision de la </w:t>
      </w:r>
      <w:r w:rsidR="00701CB5" w:rsidRPr="00026EC1">
        <w:rPr>
          <w:rFonts w:cs="Arial"/>
          <w:szCs w:val="24"/>
        </w:rPr>
        <w:t>CNESST</w:t>
      </w:r>
      <w:r w:rsidR="00404F34" w:rsidRPr="00026EC1">
        <w:t xml:space="preserve"> est rendue avant la fin des périodes prévues aux alinéas b) et c) de la clause 5</w:t>
      </w:r>
      <w:r w:rsidR="00984A6F">
        <w:noBreakHyphen/>
      </w:r>
      <w:r w:rsidR="00404F34" w:rsidRPr="00026EC1">
        <w:t>5.17, la prestation versée par le Collège pour le reste des cent quatre (104) semaines qui restent à courir depuis le début de l</w:t>
      </w:r>
      <w:r w:rsidR="004A41E4" w:rsidRPr="00026EC1">
        <w:t>’</w:t>
      </w:r>
      <w:r w:rsidR="00404F34" w:rsidRPr="00026EC1">
        <w:t>invalidité est conforme aux stipulations de l</w:t>
      </w:r>
      <w:r w:rsidR="004A41E4" w:rsidRPr="00026EC1">
        <w:t>’</w:t>
      </w:r>
      <w:r w:rsidR="00404F34" w:rsidRPr="00026EC1">
        <w:t>alinéa b) ou c) de la clause 5</w:t>
      </w:r>
      <w:r w:rsidR="00984A6F">
        <w:noBreakHyphen/>
      </w:r>
      <w:r w:rsidR="00404F34" w:rsidRPr="00026EC1">
        <w:t>5.17, selon le cas;</w:t>
      </w:r>
    </w:p>
    <w:p w14:paraId="17970513" w14:textId="77777777" w:rsidR="00404F34" w:rsidRPr="00026EC1" w:rsidRDefault="00404F34" w:rsidP="00A64613">
      <w:pPr>
        <w:keepNext w:val="0"/>
      </w:pPr>
    </w:p>
    <w:p w14:paraId="17AA5571" w14:textId="70EC34D2" w:rsidR="00404F34" w:rsidRPr="00026EC1" w:rsidRDefault="00275751" w:rsidP="00A64613">
      <w:pPr>
        <w:keepNext w:val="0"/>
        <w:spacing w:after="120"/>
        <w:ind w:left="567" w:hanging="567"/>
      </w:pPr>
      <w:r w:rsidRPr="00026EC1">
        <w:t>c)</w:t>
      </w:r>
      <w:r w:rsidRPr="00026EC1">
        <w:tab/>
      </w:r>
      <w:r w:rsidR="00404F34" w:rsidRPr="00026EC1">
        <w:t>tant et aussi longtemps qu</w:t>
      </w:r>
      <w:r w:rsidR="004A41E4" w:rsidRPr="00026EC1">
        <w:t>’</w:t>
      </w:r>
      <w:r w:rsidR="00404F34" w:rsidRPr="00026EC1">
        <w:t xml:space="preserve">une enseignante ou un enseignant a droit à des prestations en vertu de la </w:t>
      </w:r>
      <w:r w:rsidR="00404F34" w:rsidRPr="00026EC1">
        <w:rPr>
          <w:iCs/>
        </w:rPr>
        <w:t>Loi sur les accidents du travail et les maladies professionnelles</w:t>
      </w:r>
      <w:r w:rsidR="00404F34" w:rsidRPr="00026EC1">
        <w:rPr>
          <w:i/>
          <w:iCs/>
        </w:rPr>
        <w:t xml:space="preserve"> </w:t>
      </w:r>
      <w:r w:rsidR="00404F34" w:rsidRPr="00026EC1">
        <w:t>et jusqu</w:t>
      </w:r>
      <w:r w:rsidR="004A41E4" w:rsidRPr="00026EC1">
        <w:t>’</w:t>
      </w:r>
      <w:r w:rsidR="00FD5FB5" w:rsidRPr="00026EC1">
        <w:t xml:space="preserve">à ce que la </w:t>
      </w:r>
      <w:r w:rsidR="00F97F2E" w:rsidRPr="00026EC1">
        <w:rPr>
          <w:rFonts w:cs="Arial"/>
          <w:szCs w:val="24"/>
        </w:rPr>
        <w:t xml:space="preserve">CNESST </w:t>
      </w:r>
      <w:r w:rsidR="00404F34" w:rsidRPr="00026EC1">
        <w:t>décrète une incapacité permanente, qu</w:t>
      </w:r>
      <w:r w:rsidR="004A41E4" w:rsidRPr="00026EC1">
        <w:t>’</w:t>
      </w:r>
      <w:r w:rsidR="00404F34" w:rsidRPr="00026EC1">
        <w:t>elle soit totale ou partielle, l</w:t>
      </w:r>
      <w:r w:rsidR="004A41E4" w:rsidRPr="00026EC1">
        <w:t>’</w:t>
      </w:r>
      <w:r w:rsidR="00404F34" w:rsidRPr="00026EC1">
        <w:t>enseignante ou l</w:t>
      </w:r>
      <w:r w:rsidR="004A41E4" w:rsidRPr="00026EC1">
        <w:t>’</w:t>
      </w:r>
      <w:r w:rsidR="00404F34" w:rsidRPr="00026EC1">
        <w:t>enseignant a droit à son traitement sous réserve des dispositions suivantes</w:t>
      </w:r>
      <w:r w:rsidR="00D8581B">
        <w:t> :</w:t>
      </w:r>
    </w:p>
    <w:p w14:paraId="7C9C7D1E" w14:textId="77777777" w:rsidR="00404F34" w:rsidRPr="00026EC1" w:rsidRDefault="00404F34" w:rsidP="00A64613">
      <w:pPr>
        <w:pStyle w:val="Texte2cm"/>
        <w:keepNext w:val="0"/>
      </w:pPr>
      <w:r w:rsidRPr="00026EC1">
        <w:t>le Collège détermine la prestation nette en déduisant du salaire net de l</w:t>
      </w:r>
      <w:r w:rsidR="004A41E4" w:rsidRPr="00026EC1">
        <w:t>’</w:t>
      </w:r>
      <w:r w:rsidRPr="00026EC1">
        <w:t>enseignante ou de l</w:t>
      </w:r>
      <w:r w:rsidR="004A41E4" w:rsidRPr="00026EC1">
        <w:t>’</w:t>
      </w:r>
      <w:r w:rsidRPr="00026EC1">
        <w:t xml:space="preserve">enseignant le montant de la prestation de la </w:t>
      </w:r>
      <w:r w:rsidR="00701CB5" w:rsidRPr="00026EC1">
        <w:rPr>
          <w:rFonts w:cs="Arial"/>
          <w:szCs w:val="24"/>
        </w:rPr>
        <w:t>CNESST</w:t>
      </w:r>
      <w:r w:rsidRPr="00026EC1">
        <w:t xml:space="preserve"> et le montant ainsi obtenu est ramené à un traitement brut imposable auquel le Collège effectue toutes les déductions, contributions et cotisations requises par la loi et la convention collective. Le Collège verse alors à l</w:t>
      </w:r>
      <w:r w:rsidR="004A41E4" w:rsidRPr="00026EC1">
        <w:t>’</w:t>
      </w:r>
      <w:r w:rsidRPr="00026EC1">
        <w:t>enseignante ou l</w:t>
      </w:r>
      <w:r w:rsidR="004A41E4" w:rsidRPr="00026EC1">
        <w:t>’</w:t>
      </w:r>
      <w:r w:rsidRPr="00026EC1">
        <w:t xml:space="preserve">enseignant ce nouveau traitement ainsi que la prestation de la </w:t>
      </w:r>
      <w:r w:rsidR="00701CB5" w:rsidRPr="00026EC1">
        <w:rPr>
          <w:rFonts w:cs="Arial"/>
          <w:szCs w:val="24"/>
        </w:rPr>
        <w:t>CNESST</w:t>
      </w:r>
      <w:r w:rsidRPr="00026EC1">
        <w:t>.</w:t>
      </w:r>
    </w:p>
    <w:p w14:paraId="1A78DEC6" w14:textId="77777777" w:rsidR="00404F34" w:rsidRPr="00026EC1" w:rsidRDefault="00404F34" w:rsidP="00A64613">
      <w:pPr>
        <w:keepNext w:val="0"/>
      </w:pPr>
    </w:p>
    <w:p w14:paraId="2A071F55" w14:textId="77777777" w:rsidR="00404F34" w:rsidRPr="00026EC1" w:rsidRDefault="00404F34" w:rsidP="00A64613">
      <w:pPr>
        <w:pStyle w:val="Texte1cm"/>
        <w:keepNext w:val="0"/>
      </w:pPr>
      <w:r w:rsidRPr="00026EC1">
        <w:t>En contrepartie,</w:t>
      </w:r>
      <w:r w:rsidR="00FD5FB5" w:rsidRPr="00026EC1">
        <w:t xml:space="preserve"> les prestations versées par la </w:t>
      </w:r>
      <w:r w:rsidR="00701CB5" w:rsidRPr="00026EC1">
        <w:rPr>
          <w:rFonts w:cs="Arial"/>
          <w:szCs w:val="24"/>
        </w:rPr>
        <w:t>CNESST</w:t>
      </w:r>
      <w:r w:rsidRPr="00026EC1">
        <w:t xml:space="preserve"> pour cette période sont acquises au Collège et, s</w:t>
      </w:r>
      <w:r w:rsidR="004A41E4" w:rsidRPr="00026EC1">
        <w:t>’</w:t>
      </w:r>
      <w:r w:rsidRPr="00026EC1">
        <w:t>il y a lieu, l</w:t>
      </w:r>
      <w:r w:rsidR="004A41E4" w:rsidRPr="00026EC1">
        <w:t>’</w:t>
      </w:r>
      <w:r w:rsidRPr="00026EC1">
        <w:t>enseignante ou l</w:t>
      </w:r>
      <w:r w:rsidR="004A41E4" w:rsidRPr="00026EC1">
        <w:t>’</w:t>
      </w:r>
      <w:r w:rsidRPr="00026EC1">
        <w:t>enseignant signe les formulaires pour permettre un tel remboursement;</w:t>
      </w:r>
    </w:p>
    <w:p w14:paraId="6E49CBB4" w14:textId="77777777" w:rsidR="00404F34" w:rsidRPr="00026EC1" w:rsidRDefault="00404F34" w:rsidP="00A64613">
      <w:pPr>
        <w:keepNext w:val="0"/>
      </w:pPr>
    </w:p>
    <w:p w14:paraId="2018B1B4" w14:textId="122817C6" w:rsidR="00404F34" w:rsidRPr="00026EC1" w:rsidRDefault="00275751" w:rsidP="00A64613">
      <w:pPr>
        <w:keepNext w:val="0"/>
        <w:tabs>
          <w:tab w:val="left" w:pos="567"/>
        </w:tabs>
        <w:ind w:left="567" w:hanging="567"/>
      </w:pPr>
      <w:r w:rsidRPr="00026EC1">
        <w:t>d)</w:t>
      </w:r>
      <w:r w:rsidRPr="00026EC1">
        <w:tab/>
      </w:r>
      <w:r w:rsidR="00404F34" w:rsidRPr="00026EC1">
        <w:t>pendant la période où les prestations sont versées conformément à l</w:t>
      </w:r>
      <w:r w:rsidR="004A41E4" w:rsidRPr="00026EC1">
        <w:t>’</w:t>
      </w:r>
      <w:r w:rsidR="00404F34" w:rsidRPr="00026EC1">
        <w:t>alinéa b) de la présente clause, ces prestations sont réduites du montant initial de toute prestation d</w:t>
      </w:r>
      <w:r w:rsidR="004A41E4" w:rsidRPr="00026EC1">
        <w:t>’</w:t>
      </w:r>
      <w:r w:rsidR="00404F34" w:rsidRPr="00026EC1">
        <w:t xml:space="preserve">invalidité de base payable en vertu du Régime de rentes du Québec, de la </w:t>
      </w:r>
      <w:r w:rsidR="00404F34" w:rsidRPr="00026EC1">
        <w:rPr>
          <w:iCs/>
        </w:rPr>
        <w:t>Loi sur les accidents du travail et les maladies professionnelles</w:t>
      </w:r>
      <w:r w:rsidR="00404F34" w:rsidRPr="00026EC1">
        <w:t>, du Régime d</w:t>
      </w:r>
      <w:r w:rsidR="004A41E4" w:rsidRPr="00026EC1">
        <w:t>’</w:t>
      </w:r>
      <w:r w:rsidR="00404F34" w:rsidRPr="00026EC1">
        <w:t>assurance</w:t>
      </w:r>
      <w:r w:rsidR="00984A6F">
        <w:noBreakHyphen/>
      </w:r>
      <w:r w:rsidR="00404F34" w:rsidRPr="00026EC1">
        <w:t>automobile du Québec et du Régime de retraite, sans égard aux augmentations ultérieures des prestations de base résultant de l</w:t>
      </w:r>
      <w:r w:rsidR="004A41E4" w:rsidRPr="00026EC1">
        <w:t>’</w:t>
      </w:r>
      <w:r w:rsidR="00404F34" w:rsidRPr="00026EC1">
        <w:t>indexation;</w:t>
      </w:r>
    </w:p>
    <w:p w14:paraId="6E65FCDC" w14:textId="77777777" w:rsidR="00404F34" w:rsidRPr="00026EC1" w:rsidRDefault="00404F34" w:rsidP="00A64613">
      <w:pPr>
        <w:keepNext w:val="0"/>
      </w:pPr>
    </w:p>
    <w:p w14:paraId="59A28625" w14:textId="4726F86B" w:rsidR="00404F34" w:rsidRPr="00026EC1" w:rsidRDefault="00275751" w:rsidP="00A64613">
      <w:pPr>
        <w:keepNext w:val="0"/>
        <w:tabs>
          <w:tab w:val="left" w:pos="567"/>
        </w:tabs>
        <w:ind w:left="567" w:hanging="567"/>
      </w:pPr>
      <w:r w:rsidRPr="00026EC1">
        <w:t>e)</w:t>
      </w:r>
      <w:r w:rsidRPr="00026EC1">
        <w:tab/>
      </w:r>
      <w:r w:rsidR="00404F34" w:rsidRPr="00026EC1">
        <w:t>la caisse de jours de congé de maladie de l</w:t>
      </w:r>
      <w:r w:rsidR="004A41E4" w:rsidRPr="00026EC1">
        <w:t>’</w:t>
      </w:r>
      <w:r w:rsidR="00404F34" w:rsidRPr="00026EC1">
        <w:t>enseignante ou de l</w:t>
      </w:r>
      <w:r w:rsidR="004A41E4" w:rsidRPr="00026EC1">
        <w:t>’</w:t>
      </w:r>
      <w:r w:rsidR="00404F34" w:rsidRPr="00026EC1">
        <w:t>enseignant n</w:t>
      </w:r>
      <w:r w:rsidR="004A41E4" w:rsidRPr="00026EC1">
        <w:t>’</w:t>
      </w:r>
      <w:r w:rsidR="00404F34" w:rsidRPr="00026EC1">
        <w:t>est pas affectée par une telle absence et l</w:t>
      </w:r>
      <w:r w:rsidR="004A41E4" w:rsidRPr="00026EC1">
        <w:t>’</w:t>
      </w:r>
      <w:r w:rsidR="00404F34" w:rsidRPr="00026EC1">
        <w:t>enseignante ou l</w:t>
      </w:r>
      <w:r w:rsidR="004A41E4" w:rsidRPr="00026EC1">
        <w:t>’</w:t>
      </w:r>
      <w:r w:rsidR="00404F34" w:rsidRPr="00026EC1">
        <w:t>enseignant est considéré comme recevant des prestations d</w:t>
      </w:r>
      <w:r w:rsidR="004A41E4" w:rsidRPr="00026EC1">
        <w:t>’</w:t>
      </w:r>
      <w:r w:rsidR="00404F34" w:rsidRPr="00026EC1">
        <w:t>assurance</w:t>
      </w:r>
      <w:r w:rsidR="00984A6F">
        <w:noBreakHyphen/>
      </w:r>
      <w:r w:rsidR="00404F34" w:rsidRPr="00026EC1">
        <w:t>traitement.</w:t>
      </w:r>
    </w:p>
    <w:p w14:paraId="4B012DF4" w14:textId="77777777" w:rsidR="00404F34" w:rsidRPr="00026EC1" w:rsidRDefault="00404F34" w:rsidP="00A64613">
      <w:pPr>
        <w:keepNext w:val="0"/>
      </w:pPr>
    </w:p>
    <w:p w14:paraId="074CD4CB" w14:textId="69A0A140" w:rsidR="00404F34" w:rsidRPr="00026EC1" w:rsidRDefault="00404F34" w:rsidP="00A64613">
      <w:pPr>
        <w:keepNext w:val="0"/>
      </w:pPr>
      <w:r w:rsidRPr="00026EC1">
        <w:t>Aux fins de l</w:t>
      </w:r>
      <w:r w:rsidR="004A41E4" w:rsidRPr="00026EC1">
        <w:t>’</w:t>
      </w:r>
      <w:r w:rsidRPr="00026EC1">
        <w:t xml:space="preserve">application des alinéas a) et c) de la présente clause, le salaire net est le traitement brut réduit des impôts fédéral et provincial, des cotisations au RRQ, </w:t>
      </w:r>
      <w:r w:rsidR="00C77DE2" w:rsidRPr="00026EC1">
        <w:t xml:space="preserve">au RQAP, </w:t>
      </w:r>
      <w:r w:rsidRPr="00026EC1">
        <w:t>au Régime d</w:t>
      </w:r>
      <w:r w:rsidR="004A41E4" w:rsidRPr="00026EC1">
        <w:t>’</w:t>
      </w:r>
      <w:r w:rsidRPr="00026EC1">
        <w:t>assurance</w:t>
      </w:r>
      <w:r w:rsidR="00984A6F">
        <w:noBreakHyphen/>
      </w:r>
      <w:r w:rsidRPr="00026EC1">
        <w:t>emploi et au Régime de retraite et, s</w:t>
      </w:r>
      <w:r w:rsidR="004A41E4" w:rsidRPr="00026EC1">
        <w:t>’</w:t>
      </w:r>
      <w:r w:rsidRPr="00026EC1">
        <w:t>il y a lieu, des cotisations au régime d</w:t>
      </w:r>
      <w:r w:rsidR="004A41E4" w:rsidRPr="00026EC1">
        <w:t>’</w:t>
      </w:r>
      <w:r w:rsidRPr="00026EC1">
        <w:t>assurance et de la cotisation syndicale.</w:t>
      </w:r>
    </w:p>
    <w:p w14:paraId="298C197C" w14:textId="77777777" w:rsidR="00404F34" w:rsidRPr="00026EC1" w:rsidRDefault="00404F34" w:rsidP="00A64613">
      <w:pPr>
        <w:keepNext w:val="0"/>
      </w:pPr>
    </w:p>
    <w:p w14:paraId="7EBA6430" w14:textId="7122FE89" w:rsidR="00404F34" w:rsidRPr="00026EC1" w:rsidRDefault="00404F34" w:rsidP="00A64613">
      <w:pPr>
        <w:pStyle w:val="NUMRODECLAUSE"/>
        <w:keepNext w:val="0"/>
      </w:pPr>
      <w:r w:rsidRPr="00026EC1">
        <w:t>5</w:t>
      </w:r>
      <w:r w:rsidR="00984A6F">
        <w:noBreakHyphen/>
      </w:r>
      <w:r w:rsidRPr="00026EC1">
        <w:t>5.22</w:t>
      </w:r>
    </w:p>
    <w:p w14:paraId="4FA283D7" w14:textId="04D6572A" w:rsidR="00404F34" w:rsidRDefault="00404F34" w:rsidP="00A64613">
      <w:pPr>
        <w:keepNext w:val="0"/>
      </w:pPr>
      <w:r w:rsidRPr="00026EC1">
        <w:t>Le paiement de toute prestation cesse au plus tard avec celui prévu pour la dernière semaine du mois au cours duquel l</w:t>
      </w:r>
      <w:r w:rsidR="004A41E4" w:rsidRPr="00026EC1">
        <w:t>’</w:t>
      </w:r>
      <w:r w:rsidRPr="00026EC1">
        <w:t>enseignante ou l</w:t>
      </w:r>
      <w:r w:rsidR="004A41E4" w:rsidRPr="00026EC1">
        <w:t>’</w:t>
      </w:r>
      <w:r w:rsidRPr="00026EC1">
        <w:t>enseignant prend sa retraite.</w:t>
      </w:r>
    </w:p>
    <w:p w14:paraId="2DDA9E9B" w14:textId="77777777" w:rsidR="004B5097" w:rsidRDefault="004B5097" w:rsidP="00A64613">
      <w:pPr>
        <w:keepNext w:val="0"/>
      </w:pPr>
    </w:p>
    <w:p w14:paraId="6BDE8122" w14:textId="19F6F766" w:rsidR="00404F34" w:rsidRPr="00026EC1" w:rsidRDefault="00404F34" w:rsidP="00A64613">
      <w:pPr>
        <w:pStyle w:val="NUMRODECLAUSE"/>
        <w:keepNext w:val="0"/>
      </w:pPr>
      <w:r w:rsidRPr="00026EC1">
        <w:t>5</w:t>
      </w:r>
      <w:r w:rsidR="00984A6F">
        <w:noBreakHyphen/>
      </w:r>
      <w:r w:rsidRPr="00026EC1">
        <w:t>5.23</w:t>
      </w:r>
    </w:p>
    <w:p w14:paraId="520CDCD4" w14:textId="77777777" w:rsidR="00404F34" w:rsidRPr="00026EC1" w:rsidRDefault="00404F34" w:rsidP="00A64613">
      <w:pPr>
        <w:keepNext w:val="0"/>
      </w:pPr>
      <w:r w:rsidRPr="00026EC1">
        <w:t>Le montant de la prestation se calcule selon les pourcentages prévus, à raison de un deux cent soixantième (1/260</w:t>
      </w:r>
      <w:r w:rsidRPr="00026EC1">
        <w:rPr>
          <w:vertAlign w:val="superscript"/>
        </w:rPr>
        <w:t>e</w:t>
      </w:r>
      <w:r w:rsidRPr="00026EC1">
        <w:t>) du traitement pour chaque jour ouvrable de la semaine régulière de travail.</w:t>
      </w:r>
    </w:p>
    <w:p w14:paraId="52808502" w14:textId="3D1797D3" w:rsidR="005432F0" w:rsidRDefault="005432F0" w:rsidP="00A64613">
      <w:pPr>
        <w:keepNext w:val="0"/>
      </w:pPr>
    </w:p>
    <w:p w14:paraId="277B8F52" w14:textId="1F57E727" w:rsidR="00404F34" w:rsidRPr="00026EC1" w:rsidRDefault="00404F34" w:rsidP="00A64613">
      <w:pPr>
        <w:pStyle w:val="NUMRODECLAUSE"/>
        <w:keepNext w:val="0"/>
      </w:pPr>
      <w:r w:rsidRPr="00026EC1">
        <w:t>5</w:t>
      </w:r>
      <w:r w:rsidR="00984A6F">
        <w:noBreakHyphen/>
      </w:r>
      <w:r w:rsidRPr="00026EC1">
        <w:t>5.24</w:t>
      </w:r>
    </w:p>
    <w:p w14:paraId="4A35FE5A" w14:textId="41E0CEA8" w:rsidR="00404F34" w:rsidRPr="00026EC1" w:rsidRDefault="00404F34" w:rsidP="00A64613">
      <w:pPr>
        <w:keepNext w:val="0"/>
      </w:pPr>
      <w:r w:rsidRPr="00026EC1">
        <w:t>La prestation d</w:t>
      </w:r>
      <w:r w:rsidR="004A41E4" w:rsidRPr="00026EC1">
        <w:t>’</w:t>
      </w:r>
      <w:r w:rsidRPr="00026EC1">
        <w:t>assurance</w:t>
      </w:r>
      <w:r w:rsidR="00984A6F">
        <w:noBreakHyphen/>
      </w:r>
      <w:r w:rsidRPr="00026EC1">
        <w:t>traitement est payable durant une grève ou un lock</w:t>
      </w:r>
      <w:r w:rsidR="00984A6F">
        <w:noBreakHyphen/>
      </w:r>
      <w:r w:rsidRPr="00026EC1">
        <w:t>out si la période d</w:t>
      </w:r>
      <w:r w:rsidR="004A41E4" w:rsidRPr="00026EC1">
        <w:t>’</w:t>
      </w:r>
      <w:r w:rsidRPr="00026EC1">
        <w:t>invalidité a commencé avant le début de la grève ou du lock</w:t>
      </w:r>
      <w:r w:rsidR="00984A6F">
        <w:noBreakHyphen/>
      </w:r>
      <w:r w:rsidRPr="00026EC1">
        <w:t>out. Cependant, toute période d</w:t>
      </w:r>
      <w:r w:rsidR="004A41E4" w:rsidRPr="00026EC1">
        <w:t>’</w:t>
      </w:r>
      <w:r w:rsidRPr="00026EC1">
        <w:t>invalidité commençant pendant une grève ou un lock</w:t>
      </w:r>
      <w:r w:rsidR="00984A6F">
        <w:noBreakHyphen/>
      </w:r>
      <w:r w:rsidRPr="00026EC1">
        <w:t>out n</w:t>
      </w:r>
      <w:r w:rsidR="004A41E4" w:rsidRPr="00026EC1">
        <w:t>’</w:t>
      </w:r>
      <w:r w:rsidRPr="00026EC1">
        <w:t>ouvre droit à une prestation qu</w:t>
      </w:r>
      <w:r w:rsidR="004A41E4" w:rsidRPr="00026EC1">
        <w:t>’</w:t>
      </w:r>
      <w:r w:rsidRPr="00026EC1">
        <w:t>à compter de la fin de la grève ou du lock</w:t>
      </w:r>
      <w:r w:rsidR="00984A6F">
        <w:noBreakHyphen/>
      </w:r>
      <w:r w:rsidRPr="00026EC1">
        <w:t>out.</w:t>
      </w:r>
    </w:p>
    <w:p w14:paraId="146B9A11" w14:textId="77777777" w:rsidR="00404F34" w:rsidRPr="00026EC1" w:rsidRDefault="00404F34" w:rsidP="00A64613">
      <w:pPr>
        <w:keepNext w:val="0"/>
      </w:pPr>
    </w:p>
    <w:p w14:paraId="7F0229B5" w14:textId="7DFEE543" w:rsidR="00404F34" w:rsidRPr="00026EC1" w:rsidRDefault="00404F34" w:rsidP="00A64613">
      <w:pPr>
        <w:pStyle w:val="NUMRODECLAUSE"/>
        <w:keepNext w:val="0"/>
      </w:pPr>
      <w:r w:rsidRPr="00026EC1">
        <w:t>5</w:t>
      </w:r>
      <w:r w:rsidR="00984A6F">
        <w:noBreakHyphen/>
      </w:r>
      <w:r w:rsidRPr="00026EC1">
        <w:t>5.25</w:t>
      </w:r>
    </w:p>
    <w:p w14:paraId="1106F30D" w14:textId="533A7121" w:rsidR="00404F34" w:rsidRPr="00026EC1" w:rsidRDefault="00404F34" w:rsidP="00A64613">
      <w:pPr>
        <w:keepNext w:val="0"/>
      </w:pPr>
      <w:r w:rsidRPr="00026EC1">
        <w:t>Le versement des prestations payables, tant à titre de jours de congé de maladie qu</w:t>
      </w:r>
      <w:r w:rsidR="004A41E4" w:rsidRPr="00026EC1">
        <w:t>’</w:t>
      </w:r>
      <w:r w:rsidRPr="00026EC1">
        <w:t>à titre d</w:t>
      </w:r>
      <w:r w:rsidR="004A41E4" w:rsidRPr="00026EC1">
        <w:t>’</w:t>
      </w:r>
      <w:r w:rsidRPr="00026EC1">
        <w:t>assurance</w:t>
      </w:r>
      <w:r w:rsidR="00984A6F">
        <w:noBreakHyphen/>
      </w:r>
      <w:r w:rsidRPr="00026EC1">
        <w:t>traitement, est effectué directement par le Collège, mais sur présentation par l</w:t>
      </w:r>
      <w:r w:rsidR="004A41E4" w:rsidRPr="00026EC1">
        <w:t>’</w:t>
      </w:r>
      <w:r w:rsidRPr="00026EC1">
        <w:t>enseignante ou l</w:t>
      </w:r>
      <w:r w:rsidR="004A41E4" w:rsidRPr="00026EC1">
        <w:t>’</w:t>
      </w:r>
      <w:r w:rsidRPr="00026EC1">
        <w:t>enseignant des pièces justificatives exigibles en vertu de la clause 5</w:t>
      </w:r>
      <w:r w:rsidR="00984A6F">
        <w:noBreakHyphen/>
      </w:r>
      <w:r w:rsidRPr="00026EC1">
        <w:t>5.26.</w:t>
      </w:r>
    </w:p>
    <w:p w14:paraId="52A6FB95" w14:textId="77777777" w:rsidR="00404F34" w:rsidRPr="00026EC1" w:rsidRDefault="00404F34" w:rsidP="00A64613">
      <w:pPr>
        <w:keepNext w:val="0"/>
      </w:pPr>
    </w:p>
    <w:p w14:paraId="6B0E765E" w14:textId="77777777" w:rsidR="00404F34" w:rsidRPr="00026EC1" w:rsidRDefault="00404F34" w:rsidP="00A64613">
      <w:pPr>
        <w:keepNext w:val="0"/>
      </w:pPr>
      <w:r w:rsidRPr="00026EC1">
        <w:t>Toutefois, aucune prestation n</w:t>
      </w:r>
      <w:r w:rsidR="004A41E4" w:rsidRPr="00026EC1">
        <w:t>’</w:t>
      </w:r>
      <w:r w:rsidRPr="00026EC1">
        <w:t>est payable par le Collège tant que l</w:t>
      </w:r>
      <w:r w:rsidR="004A41E4" w:rsidRPr="00026EC1">
        <w:t>’</w:t>
      </w:r>
      <w:r w:rsidRPr="00026EC1">
        <w:t>enseignante ou l</w:t>
      </w:r>
      <w:r w:rsidR="004A41E4" w:rsidRPr="00026EC1">
        <w:t>’</w:t>
      </w:r>
      <w:r w:rsidRPr="00026EC1">
        <w:t>enseignant ne lui fournit pas tous les renseignements nécessaires ou, le cas échéant, l</w:t>
      </w:r>
      <w:r w:rsidR="004A41E4" w:rsidRPr="00026EC1">
        <w:t>’</w:t>
      </w:r>
      <w:r w:rsidRPr="00026EC1">
        <w:t>autorisation écrite pour que le Collège puisse les obtenir de qui de droit.</w:t>
      </w:r>
    </w:p>
    <w:p w14:paraId="24DFDBED" w14:textId="77777777" w:rsidR="00404F34" w:rsidRPr="00026EC1" w:rsidRDefault="00404F34" w:rsidP="00A64613">
      <w:pPr>
        <w:keepNext w:val="0"/>
      </w:pPr>
    </w:p>
    <w:p w14:paraId="3B04DC9A" w14:textId="77777777" w:rsidR="00404F34" w:rsidRPr="00026EC1" w:rsidRDefault="00404F34" w:rsidP="00A64613">
      <w:pPr>
        <w:keepNext w:val="0"/>
      </w:pPr>
      <w:r w:rsidRPr="00026EC1">
        <w:t>De même, le Collège n</w:t>
      </w:r>
      <w:r w:rsidR="004A41E4" w:rsidRPr="00026EC1">
        <w:t>’</w:t>
      </w:r>
      <w:r w:rsidRPr="00026EC1">
        <w:t>est pas tenu de verser des prestations lorsque l</w:t>
      </w:r>
      <w:r w:rsidR="004A41E4" w:rsidRPr="00026EC1">
        <w:t>’</w:t>
      </w:r>
      <w:r w:rsidRPr="00026EC1">
        <w:t>enseignante ou l</w:t>
      </w:r>
      <w:r w:rsidR="004A41E4" w:rsidRPr="00026EC1">
        <w:t>’</w:t>
      </w:r>
      <w:r w:rsidRPr="00026EC1">
        <w:t>enseignant néglige d</w:t>
      </w:r>
      <w:r w:rsidR="004A41E4" w:rsidRPr="00026EC1">
        <w:t>’</w:t>
      </w:r>
      <w:r w:rsidRPr="00026EC1">
        <w:t>entamer les démarches nécessaires en vue de l</w:t>
      </w:r>
      <w:r w:rsidR="004A41E4" w:rsidRPr="00026EC1">
        <w:t>’</w:t>
      </w:r>
      <w:r w:rsidRPr="00026EC1">
        <w:t>obtention de prestations payables en vertu d</w:t>
      </w:r>
      <w:r w:rsidR="004A41E4" w:rsidRPr="00026EC1">
        <w:t>’</w:t>
      </w:r>
      <w:r w:rsidRPr="00026EC1">
        <w:t>une loi par un organisme gouvernemental.</w:t>
      </w:r>
    </w:p>
    <w:p w14:paraId="448FE10D" w14:textId="77777777" w:rsidR="00404F34" w:rsidRPr="00026EC1" w:rsidRDefault="00404F34" w:rsidP="00A64613">
      <w:pPr>
        <w:keepNext w:val="0"/>
      </w:pPr>
    </w:p>
    <w:p w14:paraId="5EB99925" w14:textId="77777777" w:rsidR="00404F34" w:rsidRPr="00026EC1" w:rsidRDefault="00404F34" w:rsidP="00A64613">
      <w:pPr>
        <w:keepNext w:val="0"/>
      </w:pPr>
      <w:r w:rsidRPr="00026EC1">
        <w:t>Enfin, lorsque la prestation prévue à une loi est accordée rétroactivement, l</w:t>
      </w:r>
      <w:r w:rsidR="004A41E4" w:rsidRPr="00026EC1">
        <w:t>’</w:t>
      </w:r>
      <w:r w:rsidRPr="00026EC1">
        <w:t>enseignante ou l</w:t>
      </w:r>
      <w:r w:rsidR="004A41E4" w:rsidRPr="00026EC1">
        <w:t>’</w:t>
      </w:r>
      <w:r w:rsidRPr="00026EC1">
        <w:t>enseignant rembourse le Collège pour le montant visé.</w:t>
      </w:r>
    </w:p>
    <w:p w14:paraId="11351016" w14:textId="77777777" w:rsidR="00404F34" w:rsidRPr="00026EC1" w:rsidRDefault="00404F34" w:rsidP="00A64613">
      <w:pPr>
        <w:keepNext w:val="0"/>
      </w:pPr>
    </w:p>
    <w:p w14:paraId="3BB6E832" w14:textId="6456D4B1" w:rsidR="00404F34" w:rsidRPr="00026EC1" w:rsidRDefault="00404F34" w:rsidP="00A64613">
      <w:pPr>
        <w:pStyle w:val="NUMRODECLAUSE"/>
        <w:keepNext w:val="0"/>
      </w:pPr>
      <w:r w:rsidRPr="00026EC1">
        <w:t>5</w:t>
      </w:r>
      <w:r w:rsidR="00984A6F">
        <w:noBreakHyphen/>
      </w:r>
      <w:r w:rsidRPr="00026EC1">
        <w:t>5.26</w:t>
      </w:r>
    </w:p>
    <w:p w14:paraId="72F69596" w14:textId="6CB0B6EE" w:rsidR="00404F34" w:rsidRPr="00026EC1" w:rsidRDefault="00404F34" w:rsidP="00A64613">
      <w:pPr>
        <w:keepNext w:val="0"/>
      </w:pPr>
      <w:r w:rsidRPr="00026EC1">
        <w:t>En tout temps, le Collège peut exiger de la part de l</w:t>
      </w:r>
      <w:r w:rsidR="004A41E4" w:rsidRPr="00026EC1">
        <w:t>’</w:t>
      </w:r>
      <w:r w:rsidRPr="00026EC1">
        <w:t>enseignante ou de l</w:t>
      </w:r>
      <w:r w:rsidR="004A41E4" w:rsidRPr="00026EC1">
        <w:t>’</w:t>
      </w:r>
      <w:r w:rsidRPr="00026EC1">
        <w:t>enseignant absent pour cause d</w:t>
      </w:r>
      <w:r w:rsidR="004A41E4" w:rsidRPr="00026EC1">
        <w:t>’</w:t>
      </w:r>
      <w:r w:rsidRPr="00026EC1">
        <w:t>invalidité un certificat médical attestant de la nature et de la durée de l</w:t>
      </w:r>
      <w:r w:rsidR="004A41E4" w:rsidRPr="00026EC1">
        <w:t>’</w:t>
      </w:r>
      <w:r w:rsidRPr="00026EC1">
        <w:t>invalidité. Cependant, ce certificat est aux frais du Collège si l</w:t>
      </w:r>
      <w:r w:rsidR="004A41E4" w:rsidRPr="00026EC1">
        <w:t>’</w:t>
      </w:r>
      <w:r w:rsidRPr="00026EC1">
        <w:t>enseignante ou l</w:t>
      </w:r>
      <w:r w:rsidR="004A41E4" w:rsidRPr="00026EC1">
        <w:t>’</w:t>
      </w:r>
      <w:r w:rsidRPr="00026EC1">
        <w:t>enseignant est absent durant moins de quatre (4) jours. Le Collège peut également faire examiner l</w:t>
      </w:r>
      <w:r w:rsidR="004A41E4" w:rsidRPr="00026EC1">
        <w:t>’</w:t>
      </w:r>
      <w:r w:rsidRPr="00026EC1">
        <w:t>enseignante ou l</w:t>
      </w:r>
      <w:r w:rsidR="004A41E4" w:rsidRPr="00026EC1">
        <w:t>’</w:t>
      </w:r>
      <w:r w:rsidRPr="00026EC1">
        <w:t>enseignant relativement à toute absence</w:t>
      </w:r>
      <w:r w:rsidR="00D8581B">
        <w:t> :</w:t>
      </w:r>
      <w:r w:rsidRPr="00026EC1">
        <w:t xml:space="preserve"> le coût de l</w:t>
      </w:r>
      <w:r w:rsidR="004A41E4" w:rsidRPr="00026EC1">
        <w:t>’</w:t>
      </w:r>
      <w:r w:rsidRPr="00026EC1">
        <w:t>examen de même que les frais de transport de l</w:t>
      </w:r>
      <w:r w:rsidR="004A41E4" w:rsidRPr="00026EC1">
        <w:t>’</w:t>
      </w:r>
      <w:r w:rsidRPr="00026EC1">
        <w:t>enseignante ou de l</w:t>
      </w:r>
      <w:r w:rsidR="004A41E4" w:rsidRPr="00026EC1">
        <w:t>’</w:t>
      </w:r>
      <w:r w:rsidRPr="00026EC1">
        <w:t>enseignant lorsque l</w:t>
      </w:r>
      <w:r w:rsidR="004A41E4" w:rsidRPr="00026EC1">
        <w:t>’</w:t>
      </w:r>
      <w:r w:rsidRPr="00026EC1">
        <w:t>examen l</w:t>
      </w:r>
      <w:r w:rsidR="004A41E4" w:rsidRPr="00026EC1">
        <w:t>’</w:t>
      </w:r>
      <w:r w:rsidRPr="00026EC1">
        <w:t>oblige à se déplacer à plus de cinquante (50) kilomètres de son lieu de travail sont à la charge du Collège.</w:t>
      </w:r>
    </w:p>
    <w:p w14:paraId="78D58A02" w14:textId="77777777" w:rsidR="00404F34" w:rsidRPr="00026EC1" w:rsidRDefault="00404F34" w:rsidP="00A64613">
      <w:pPr>
        <w:keepNext w:val="0"/>
      </w:pPr>
    </w:p>
    <w:p w14:paraId="331C6BEF" w14:textId="47504B94" w:rsidR="00404F34" w:rsidRPr="00026EC1" w:rsidRDefault="00404F34" w:rsidP="00A64613">
      <w:pPr>
        <w:keepNext w:val="0"/>
      </w:pPr>
      <w:r w:rsidRPr="00026EC1">
        <w:t>À son retour au travail, le Collège peut exiger d</w:t>
      </w:r>
      <w:r w:rsidR="004A41E4" w:rsidRPr="00026EC1">
        <w:t>’</w:t>
      </w:r>
      <w:r w:rsidRPr="00026EC1">
        <w:t>une enseignante ou d</w:t>
      </w:r>
      <w:r w:rsidR="004A41E4" w:rsidRPr="00026EC1">
        <w:t>’</w:t>
      </w:r>
      <w:r w:rsidRPr="00026EC1">
        <w:t>un enseignant qu</w:t>
      </w:r>
      <w:r w:rsidR="004A41E4" w:rsidRPr="00026EC1">
        <w:t>’</w:t>
      </w:r>
      <w:r w:rsidRPr="00026EC1">
        <w:t>elle ou il soit soumis à un examen médical dans le but d</w:t>
      </w:r>
      <w:r w:rsidR="004A41E4" w:rsidRPr="00026EC1">
        <w:t>’</w:t>
      </w:r>
      <w:r w:rsidRPr="00026EC1">
        <w:t>établir si elle ou il est suffisamment rétabli pour reprendre son travail</w:t>
      </w:r>
      <w:r w:rsidR="00D8581B">
        <w:t> :</w:t>
      </w:r>
      <w:r w:rsidRPr="00026EC1">
        <w:t xml:space="preserve"> le coût de l</w:t>
      </w:r>
      <w:r w:rsidR="004A41E4" w:rsidRPr="00026EC1">
        <w:t>’</w:t>
      </w:r>
      <w:r w:rsidRPr="00026EC1">
        <w:t>examen de même que les frais de transport de l</w:t>
      </w:r>
      <w:r w:rsidR="004A41E4" w:rsidRPr="00026EC1">
        <w:t>’</w:t>
      </w:r>
      <w:r w:rsidRPr="00026EC1">
        <w:t>enseignante ou de l</w:t>
      </w:r>
      <w:r w:rsidR="004A41E4" w:rsidRPr="00026EC1">
        <w:t>’</w:t>
      </w:r>
      <w:r w:rsidRPr="00026EC1">
        <w:t>enseignant lorsque l</w:t>
      </w:r>
      <w:r w:rsidR="004A41E4" w:rsidRPr="00026EC1">
        <w:t>’</w:t>
      </w:r>
      <w:r w:rsidRPr="00026EC1">
        <w:t>examen l</w:t>
      </w:r>
      <w:r w:rsidR="004A41E4" w:rsidRPr="00026EC1">
        <w:t>’</w:t>
      </w:r>
      <w:r w:rsidRPr="00026EC1">
        <w:t>oblige à se déplacer à plus de cinquante (50) kilomètres de son lieu de travail sont à la charge du Collège.</w:t>
      </w:r>
    </w:p>
    <w:p w14:paraId="64657761" w14:textId="77777777" w:rsidR="00404F34" w:rsidRPr="00026EC1" w:rsidRDefault="00404F34" w:rsidP="00A64613">
      <w:pPr>
        <w:keepNext w:val="0"/>
      </w:pPr>
    </w:p>
    <w:p w14:paraId="23A1AFFD" w14:textId="638B22E7" w:rsidR="009D5088" w:rsidRPr="00026EC1" w:rsidRDefault="00404F34" w:rsidP="00A64613">
      <w:pPr>
        <w:keepNext w:val="0"/>
      </w:pPr>
      <w:r w:rsidRPr="00026EC1">
        <w:t>Lorsque l</w:t>
      </w:r>
      <w:r w:rsidR="004A41E4" w:rsidRPr="00026EC1">
        <w:t>’</w:t>
      </w:r>
      <w:r w:rsidRPr="00026EC1">
        <w:t>avis de la ou du médecin choisi par le Collège est contraire à celui de la ou du médecin consulté par l</w:t>
      </w:r>
      <w:r w:rsidR="004A41E4" w:rsidRPr="00026EC1">
        <w:t>’</w:t>
      </w:r>
      <w:r w:rsidRPr="00026EC1">
        <w:t>enseignante ou l</w:t>
      </w:r>
      <w:r w:rsidR="004A41E4" w:rsidRPr="00026EC1">
        <w:t>’</w:t>
      </w:r>
      <w:r w:rsidRPr="00026EC1">
        <w:t>enseignant, les deux (2) médecins s</w:t>
      </w:r>
      <w:r w:rsidR="004A41E4" w:rsidRPr="00026EC1">
        <w:t>’</w:t>
      </w:r>
      <w:r w:rsidRPr="00026EC1">
        <w:t>entendent sur le choix d</w:t>
      </w:r>
      <w:r w:rsidR="004A41E4" w:rsidRPr="00026EC1">
        <w:t>’</w:t>
      </w:r>
      <w:r w:rsidRPr="00026EC1">
        <w:t>une ou d</w:t>
      </w:r>
      <w:r w:rsidR="004A41E4" w:rsidRPr="00026EC1">
        <w:t>’</w:t>
      </w:r>
      <w:r w:rsidRPr="00026EC1">
        <w:t>un troisième (3</w:t>
      </w:r>
      <w:r w:rsidRPr="00026EC1">
        <w:rPr>
          <w:vertAlign w:val="superscript"/>
        </w:rPr>
        <w:t>e</w:t>
      </w:r>
      <w:r w:rsidRPr="00026EC1">
        <w:t>) dont la décision est sans appel</w:t>
      </w:r>
      <w:r w:rsidR="00D8581B">
        <w:t> :</w:t>
      </w:r>
      <w:r w:rsidRPr="00026EC1">
        <w:t xml:space="preserve"> le coût de l</w:t>
      </w:r>
      <w:r w:rsidR="004A41E4" w:rsidRPr="00026EC1">
        <w:t>’</w:t>
      </w:r>
      <w:r w:rsidRPr="00026EC1">
        <w:t>examen de même que les frais de transport de l</w:t>
      </w:r>
      <w:r w:rsidR="004A41E4" w:rsidRPr="00026EC1">
        <w:t>’</w:t>
      </w:r>
      <w:r w:rsidRPr="00026EC1">
        <w:t>enseignante ou de l</w:t>
      </w:r>
      <w:r w:rsidR="004A41E4" w:rsidRPr="00026EC1">
        <w:t>’</w:t>
      </w:r>
      <w:r w:rsidRPr="00026EC1">
        <w:t>enseignant lorsque l</w:t>
      </w:r>
      <w:r w:rsidR="004A41E4" w:rsidRPr="00026EC1">
        <w:t>’</w:t>
      </w:r>
      <w:r w:rsidRPr="00026EC1">
        <w:t>examen l</w:t>
      </w:r>
      <w:r w:rsidR="004A41E4" w:rsidRPr="00026EC1">
        <w:t>’</w:t>
      </w:r>
      <w:r w:rsidRPr="00026EC1">
        <w:t>oblige à se déplacer à plus de cinquante (50) kilomètres de son lieu de travail sont à la charge du Collège.</w:t>
      </w:r>
      <w:r w:rsidR="007E0B3F" w:rsidRPr="00026EC1">
        <w:t xml:space="preserve"> </w:t>
      </w:r>
    </w:p>
    <w:p w14:paraId="0CE93808" w14:textId="77777777" w:rsidR="009D5088" w:rsidRPr="00026EC1" w:rsidRDefault="009D5088" w:rsidP="00A64613">
      <w:pPr>
        <w:keepNext w:val="0"/>
      </w:pPr>
    </w:p>
    <w:p w14:paraId="6A174A71" w14:textId="77777777" w:rsidR="007E0B3F" w:rsidRPr="00026EC1" w:rsidRDefault="007E0B3F" w:rsidP="00A64613">
      <w:pPr>
        <w:keepNext w:val="0"/>
      </w:pPr>
      <w:r w:rsidRPr="00026EC1">
        <w:t>Le Collège traite les certificats médicaux ou les résultats d’examens médicaux de façon confidentielle.</w:t>
      </w:r>
    </w:p>
    <w:p w14:paraId="1A8FD274" w14:textId="77777777" w:rsidR="00404F34" w:rsidRPr="00026EC1" w:rsidRDefault="00404F34" w:rsidP="00A64613">
      <w:pPr>
        <w:keepNext w:val="0"/>
      </w:pPr>
    </w:p>
    <w:p w14:paraId="1A897A38" w14:textId="77777777" w:rsidR="009A02B3" w:rsidRPr="00026EC1" w:rsidRDefault="009A02B3" w:rsidP="00A64613">
      <w:pPr>
        <w:keepNext w:val="0"/>
      </w:pPr>
      <w:r w:rsidRPr="00026EC1">
        <w:t>Dans tous les cas, l’enseignante ou l’enseignant qui ne se présente pas à l’examen médical prévu, à moins de circonstances indépendantes de sa volonté, doit rembourser les honoraires professionnels du médecin.</w:t>
      </w:r>
    </w:p>
    <w:p w14:paraId="27227429" w14:textId="77777777" w:rsidR="009A02B3" w:rsidRPr="00026EC1" w:rsidRDefault="009A02B3" w:rsidP="00A64613">
      <w:pPr>
        <w:keepNext w:val="0"/>
      </w:pPr>
    </w:p>
    <w:p w14:paraId="6FCF1D1D" w14:textId="6198107F" w:rsidR="00404F34" w:rsidRPr="00026EC1" w:rsidRDefault="00404F34" w:rsidP="00A64613">
      <w:pPr>
        <w:pStyle w:val="NUMRODECLAUSE"/>
        <w:keepNext w:val="0"/>
      </w:pPr>
      <w:r w:rsidRPr="00026EC1">
        <w:t>5</w:t>
      </w:r>
      <w:r w:rsidR="00984A6F">
        <w:noBreakHyphen/>
      </w:r>
      <w:r w:rsidRPr="00026EC1">
        <w:t>5.27</w:t>
      </w:r>
    </w:p>
    <w:p w14:paraId="779CC1AA" w14:textId="77777777" w:rsidR="00404F34" w:rsidRPr="00026EC1" w:rsidRDefault="00404F34" w:rsidP="00A64613">
      <w:pPr>
        <w:keepNext w:val="0"/>
      </w:pPr>
      <w:r w:rsidRPr="00026EC1">
        <w:t>S</w:t>
      </w:r>
      <w:r w:rsidR="004A41E4" w:rsidRPr="00026EC1">
        <w:t>’</w:t>
      </w:r>
      <w:r w:rsidRPr="00026EC1">
        <w:t>il y a refus de paiement en raison de l</w:t>
      </w:r>
      <w:r w:rsidR="004A41E4" w:rsidRPr="00026EC1">
        <w:t>’</w:t>
      </w:r>
      <w:r w:rsidRPr="00026EC1">
        <w:t>inexistence ou de la cessation présumée de l</w:t>
      </w:r>
      <w:r w:rsidR="004A41E4" w:rsidRPr="00026EC1">
        <w:t>’</w:t>
      </w:r>
      <w:r w:rsidRPr="00026EC1">
        <w:t>invalidité, l</w:t>
      </w:r>
      <w:r w:rsidR="004A41E4" w:rsidRPr="00026EC1">
        <w:t>’</w:t>
      </w:r>
      <w:r w:rsidRPr="00026EC1">
        <w:t>enseignante ou l</w:t>
      </w:r>
      <w:r w:rsidR="004A41E4" w:rsidRPr="00026EC1">
        <w:t>’</w:t>
      </w:r>
      <w:r w:rsidRPr="00026EC1">
        <w:t>enseignant peut en appeler de la décision selon la procédure normale de grief et d</w:t>
      </w:r>
      <w:r w:rsidR="004A41E4" w:rsidRPr="00026EC1">
        <w:t>’</w:t>
      </w:r>
      <w:r w:rsidRPr="00026EC1">
        <w:t>arbitrage.</w:t>
      </w:r>
    </w:p>
    <w:p w14:paraId="53BE98C2" w14:textId="77777777" w:rsidR="00404F34" w:rsidRPr="00026EC1" w:rsidRDefault="00404F34" w:rsidP="00A64613">
      <w:pPr>
        <w:keepNext w:val="0"/>
      </w:pPr>
    </w:p>
    <w:p w14:paraId="51F72A02" w14:textId="2999CE1D" w:rsidR="00404F34" w:rsidRPr="00026EC1" w:rsidRDefault="00404F34" w:rsidP="00A64613">
      <w:pPr>
        <w:pStyle w:val="NUMRODECLAUSE"/>
        <w:keepNext w:val="0"/>
      </w:pPr>
      <w:r w:rsidRPr="00026EC1">
        <w:t>5</w:t>
      </w:r>
      <w:r w:rsidR="00984A6F">
        <w:noBreakHyphen/>
      </w:r>
      <w:r w:rsidRPr="00026EC1">
        <w:t>5.28</w:t>
      </w:r>
      <w:r w:rsidR="0036660C">
        <w:tab/>
      </w:r>
      <w:r w:rsidR="0036660C" w:rsidRPr="00316277">
        <w:t>Congés de maladie</w:t>
      </w:r>
    </w:p>
    <w:p w14:paraId="02354651" w14:textId="295A1CE1" w:rsidR="0036660C" w:rsidRPr="00316277" w:rsidRDefault="0036660C" w:rsidP="003768F9">
      <w:pPr>
        <w:keepNext w:val="0"/>
        <w:rPr>
          <w:rFonts w:cstheme="minorHAnsi"/>
        </w:rPr>
      </w:pPr>
      <w:r w:rsidRPr="00316277">
        <w:rPr>
          <w:rFonts w:cstheme="minorHAnsi"/>
        </w:rPr>
        <w:t>Lors de la première (1</w:t>
      </w:r>
      <w:r w:rsidRPr="00316277">
        <w:rPr>
          <w:rFonts w:cstheme="minorHAnsi"/>
          <w:vertAlign w:val="superscript"/>
        </w:rPr>
        <w:t>re</w:t>
      </w:r>
      <w:r w:rsidRPr="00316277">
        <w:rPr>
          <w:rFonts w:cstheme="minorHAnsi"/>
        </w:rPr>
        <w:t>) année d’engagement d’une enseignante ou d’un enseignant à temps complet ou à temps partiel, le Collège crédite une banque de six</w:t>
      </w:r>
      <w:r w:rsidR="007742A2" w:rsidRPr="00316277">
        <w:rPr>
          <w:rFonts w:cstheme="minorHAnsi"/>
        </w:rPr>
        <w:t> </w:t>
      </w:r>
      <w:r w:rsidRPr="00316277">
        <w:rPr>
          <w:rFonts w:cstheme="minorHAnsi"/>
        </w:rPr>
        <w:t>(6) jours de congés de maladie, sauf dans le cas de celle ou de celui replacé selon les modalités de la sécurité d’emploi.</w:t>
      </w:r>
    </w:p>
    <w:p w14:paraId="0112AB99" w14:textId="77777777" w:rsidR="003768F9" w:rsidRPr="00316277" w:rsidRDefault="003768F9" w:rsidP="003768F9">
      <w:pPr>
        <w:keepNext w:val="0"/>
        <w:rPr>
          <w:rFonts w:cstheme="minorHAnsi"/>
        </w:rPr>
      </w:pPr>
    </w:p>
    <w:p w14:paraId="50D7523D" w14:textId="444DC77A" w:rsidR="0036660C" w:rsidRPr="00316277" w:rsidRDefault="0036660C" w:rsidP="003768F9">
      <w:pPr>
        <w:pStyle w:val="sous-titre"/>
        <w:suppressAutoHyphens/>
        <w:spacing w:before="0" w:after="0"/>
        <w:rPr>
          <w:rFonts w:eastAsia="Times New Roman" w:cstheme="minorHAnsi"/>
          <w:b w:val="0"/>
          <w:bCs w:val="0"/>
          <w:snapToGrid w:val="0"/>
          <w:color w:val="auto"/>
          <w:szCs w:val="20"/>
          <w:lang w:eastAsia="fr-FR" w:bidi="ar-SA"/>
        </w:rPr>
      </w:pPr>
      <w:r w:rsidRPr="00316277">
        <w:rPr>
          <w:rFonts w:eastAsia="Times New Roman" w:cstheme="minorHAnsi"/>
          <w:b w:val="0"/>
          <w:bCs w:val="0"/>
          <w:snapToGrid w:val="0"/>
          <w:color w:val="auto"/>
          <w:szCs w:val="20"/>
          <w:lang w:eastAsia="fr-FR" w:bidi="ar-SA"/>
        </w:rPr>
        <w:t>Le 1</w:t>
      </w:r>
      <w:r w:rsidRPr="00316277">
        <w:rPr>
          <w:rFonts w:eastAsia="Times New Roman" w:cstheme="minorHAnsi"/>
          <w:b w:val="0"/>
          <w:bCs w:val="0"/>
          <w:snapToGrid w:val="0"/>
          <w:color w:val="auto"/>
          <w:szCs w:val="20"/>
          <w:vertAlign w:val="superscript"/>
          <w:lang w:eastAsia="fr-FR" w:bidi="ar-SA"/>
        </w:rPr>
        <w:t>er</w:t>
      </w:r>
      <w:r w:rsidR="00CD30E3" w:rsidRPr="00316277">
        <w:rPr>
          <w:rFonts w:eastAsia="Times New Roman" w:cstheme="minorHAnsi"/>
          <w:b w:val="0"/>
          <w:bCs w:val="0"/>
          <w:snapToGrid w:val="0"/>
          <w:color w:val="auto"/>
          <w:szCs w:val="20"/>
          <w:lang w:eastAsia="fr-FR" w:bidi="ar-SA"/>
        </w:rPr>
        <w:t> </w:t>
      </w:r>
      <w:r w:rsidRPr="00316277">
        <w:rPr>
          <w:rFonts w:eastAsia="Times New Roman" w:cstheme="minorHAnsi"/>
          <w:b w:val="0"/>
          <w:bCs w:val="0"/>
          <w:snapToGrid w:val="0"/>
          <w:color w:val="auto"/>
          <w:szCs w:val="20"/>
          <w:lang w:eastAsia="fr-FR" w:bidi="ar-SA"/>
        </w:rPr>
        <w:t>septembre de chaque année, le Collège crédite à l’enseignante ou l’enseignant à temps complet à son emploi et couvert par le présent article, sept</w:t>
      </w:r>
      <w:r w:rsidR="007742A2" w:rsidRPr="00316277">
        <w:rPr>
          <w:rFonts w:eastAsia="Times New Roman" w:cstheme="minorHAnsi"/>
          <w:b w:val="0"/>
          <w:bCs w:val="0"/>
          <w:snapToGrid w:val="0"/>
          <w:color w:val="auto"/>
          <w:szCs w:val="20"/>
          <w:lang w:eastAsia="fr-FR" w:bidi="ar-SA"/>
        </w:rPr>
        <w:t> </w:t>
      </w:r>
      <w:r w:rsidRPr="00316277">
        <w:rPr>
          <w:rFonts w:eastAsia="Times New Roman" w:cstheme="minorHAnsi"/>
          <w:b w:val="0"/>
          <w:bCs w:val="0"/>
          <w:snapToGrid w:val="0"/>
          <w:color w:val="auto"/>
          <w:szCs w:val="20"/>
          <w:lang w:eastAsia="fr-FR" w:bidi="ar-SA"/>
        </w:rPr>
        <w:t>(7) jours de congés de maladie. Dans le cas d’une enseignante ou d’un enseignant à temps partiel, le nombre de jours crédités est réduit au prorata de son équivalent temps complet calculé selon la clause 8</w:t>
      </w:r>
      <w:r w:rsidRPr="00316277">
        <w:rPr>
          <w:rFonts w:eastAsia="Times New Roman" w:cstheme="minorHAnsi"/>
          <w:b w:val="0"/>
          <w:bCs w:val="0"/>
          <w:snapToGrid w:val="0"/>
          <w:color w:val="auto"/>
          <w:szCs w:val="20"/>
          <w:lang w:eastAsia="fr-FR" w:bidi="ar-SA"/>
        </w:rPr>
        <w:noBreakHyphen/>
        <w:t>5.12. Dans le cas d’une enseignante ou d’un enseignant mis en disponibilité, le nombre de jours crédités est réduit au prorata du salaire qu’elle ou il reçoit par rapport au salaire qu’elle ou il recevrait si elle ou il assumait une charge à temps complet.</w:t>
      </w:r>
    </w:p>
    <w:p w14:paraId="76EA6451" w14:textId="77777777" w:rsidR="003768F9" w:rsidRPr="00316277" w:rsidRDefault="003768F9" w:rsidP="003768F9">
      <w:pPr>
        <w:pStyle w:val="sous-titre"/>
        <w:suppressAutoHyphens/>
        <w:spacing w:before="0" w:after="0"/>
        <w:rPr>
          <w:rFonts w:eastAsia="Times New Roman" w:cstheme="minorHAnsi"/>
          <w:b w:val="0"/>
          <w:bCs w:val="0"/>
          <w:snapToGrid w:val="0"/>
          <w:color w:val="auto"/>
          <w:szCs w:val="20"/>
          <w:lang w:eastAsia="fr-FR" w:bidi="ar-SA"/>
        </w:rPr>
      </w:pPr>
    </w:p>
    <w:p w14:paraId="6F7ACC92" w14:textId="19176A4B" w:rsidR="0036660C" w:rsidRPr="00316277" w:rsidRDefault="0036660C" w:rsidP="003768F9">
      <w:pPr>
        <w:keepNext w:val="0"/>
        <w:rPr>
          <w:rFonts w:cstheme="minorHAnsi"/>
        </w:rPr>
      </w:pPr>
      <w:r w:rsidRPr="00316277">
        <w:rPr>
          <w:rFonts w:cstheme="minorHAnsi"/>
        </w:rPr>
        <w:t>De plus, au 30 juin, le solde des congés de maladie non utilisés du deuxième paragraphe est ajouté à la banque si celle de l’année précédente est inférieure ou égale à treize (13) jours. L’enseignante ou l’enseignant dont le solde de la banque est supérieur à treize (13) jours ne peut ajouter à sa banque les congés non utilisés de l’année en cours. Au 30 juin, la banque de congés qui demeure au crédit de l’enseignante ou l’enseignant ne peut excéder vingt</w:t>
      </w:r>
      <w:r w:rsidR="00CD30E3" w:rsidRPr="00316277">
        <w:rPr>
          <w:rFonts w:cstheme="minorHAnsi"/>
        </w:rPr>
        <w:t> </w:t>
      </w:r>
      <w:r w:rsidRPr="00316277">
        <w:rPr>
          <w:rFonts w:cstheme="minorHAnsi"/>
        </w:rPr>
        <w:t>(20) jours.</w:t>
      </w:r>
    </w:p>
    <w:p w14:paraId="7201FF8A" w14:textId="77777777" w:rsidR="003768F9" w:rsidRPr="00316277" w:rsidRDefault="003768F9" w:rsidP="003768F9">
      <w:pPr>
        <w:keepNext w:val="0"/>
        <w:rPr>
          <w:rFonts w:cstheme="minorHAnsi"/>
        </w:rPr>
      </w:pPr>
    </w:p>
    <w:p w14:paraId="5506E8C9" w14:textId="51B550A9" w:rsidR="0036660C" w:rsidRPr="00316277" w:rsidRDefault="0036660C" w:rsidP="003768F9">
      <w:pPr>
        <w:keepNext w:val="0"/>
        <w:rPr>
          <w:rFonts w:cstheme="minorHAnsi"/>
        </w:rPr>
      </w:pPr>
      <w:r w:rsidRPr="00316277">
        <w:rPr>
          <w:rFonts w:cstheme="minorHAnsi"/>
        </w:rPr>
        <w:t>Les jours de congés de maladie sont non convertibles en espèces.</w:t>
      </w:r>
    </w:p>
    <w:p w14:paraId="33E4433B" w14:textId="77777777" w:rsidR="003768F9" w:rsidRPr="00316277" w:rsidRDefault="003768F9" w:rsidP="003768F9">
      <w:pPr>
        <w:keepNext w:val="0"/>
        <w:rPr>
          <w:rFonts w:cstheme="minorHAnsi"/>
        </w:rPr>
      </w:pPr>
    </w:p>
    <w:p w14:paraId="051D48A8" w14:textId="77777777" w:rsidR="0036660C" w:rsidRDefault="0036660C" w:rsidP="003768F9">
      <w:pPr>
        <w:keepNext w:val="0"/>
        <w:rPr>
          <w:rFonts w:cstheme="minorHAnsi"/>
        </w:rPr>
      </w:pPr>
      <w:r w:rsidRPr="00316277">
        <w:rPr>
          <w:rFonts w:cstheme="minorHAnsi"/>
        </w:rPr>
        <w:t>Les journées peuvent être fractionnées en demi-journées selon les modalités du Collège.</w:t>
      </w:r>
    </w:p>
    <w:p w14:paraId="1CB260B8" w14:textId="77777777" w:rsidR="0036660C" w:rsidRPr="00026EC1" w:rsidRDefault="0036660C" w:rsidP="00A64613">
      <w:pPr>
        <w:keepNext w:val="0"/>
        <w:tabs>
          <w:tab w:val="left" w:pos="567"/>
        </w:tabs>
        <w:ind w:left="567" w:hanging="567"/>
      </w:pPr>
    </w:p>
    <w:p w14:paraId="41927D48" w14:textId="7025E2A7" w:rsidR="00404F34" w:rsidRPr="00026EC1" w:rsidRDefault="00404F34" w:rsidP="00A64613">
      <w:pPr>
        <w:pStyle w:val="NUMRODECLAUSE"/>
        <w:keepNext w:val="0"/>
      </w:pPr>
      <w:r w:rsidRPr="00026EC1">
        <w:t>5</w:t>
      </w:r>
      <w:r w:rsidR="00984A6F">
        <w:noBreakHyphen/>
      </w:r>
      <w:r w:rsidRPr="00026EC1">
        <w:t>5.29</w:t>
      </w:r>
    </w:p>
    <w:p w14:paraId="2BDD0BF3" w14:textId="67E80379" w:rsidR="00404F34" w:rsidRPr="00026EC1" w:rsidRDefault="00404F34" w:rsidP="00A64613">
      <w:pPr>
        <w:keepNext w:val="0"/>
      </w:pPr>
      <w:r w:rsidRPr="00026EC1">
        <w:t>Si une enseignante ou un enseignant devient couvert par le présent article au cours d</w:t>
      </w:r>
      <w:r w:rsidR="004A41E4" w:rsidRPr="00026EC1">
        <w:t>’</w:t>
      </w:r>
      <w:r w:rsidRPr="00026EC1">
        <w:t>une année d</w:t>
      </w:r>
      <w:r w:rsidR="004A41E4" w:rsidRPr="00026EC1">
        <w:t>’</w:t>
      </w:r>
      <w:r w:rsidRPr="00026EC1">
        <w:t>enseignement, le nombre de jours crédités selon</w:t>
      </w:r>
      <w:r w:rsidR="007472BC">
        <w:t xml:space="preserve"> </w:t>
      </w:r>
      <w:r w:rsidR="007472BC" w:rsidRPr="00316277">
        <w:t>le deuxième (2</w:t>
      </w:r>
      <w:r w:rsidR="007472BC" w:rsidRPr="00316277">
        <w:rPr>
          <w:vertAlign w:val="superscript"/>
        </w:rPr>
        <w:t>e</w:t>
      </w:r>
      <w:r w:rsidR="007472BC" w:rsidRPr="00316277">
        <w:t>) paragraphe</w:t>
      </w:r>
      <w:r w:rsidRPr="00026EC1">
        <w:t xml:space="preserve">  de la clause 5</w:t>
      </w:r>
      <w:r w:rsidR="00984A6F">
        <w:noBreakHyphen/>
      </w:r>
      <w:r w:rsidRPr="00026EC1">
        <w:t>5.28 pour l</w:t>
      </w:r>
      <w:r w:rsidR="004A41E4" w:rsidRPr="00026EC1">
        <w:t>’</w:t>
      </w:r>
      <w:r w:rsidRPr="00026EC1">
        <w:t>année en cause est réduit au prorata du nombre de mois complets de service.</w:t>
      </w:r>
    </w:p>
    <w:p w14:paraId="5A20261E" w14:textId="77777777" w:rsidR="00FF7630" w:rsidRPr="00026EC1" w:rsidRDefault="00FF7630" w:rsidP="00A64613">
      <w:pPr>
        <w:keepNext w:val="0"/>
      </w:pPr>
    </w:p>
    <w:p w14:paraId="1E63399F" w14:textId="4ADA3184" w:rsidR="00404F34" w:rsidRPr="00026EC1" w:rsidRDefault="00404F34" w:rsidP="00A64613">
      <w:pPr>
        <w:keepNext w:val="0"/>
      </w:pPr>
      <w:r w:rsidRPr="00026EC1">
        <w:t>De même, si une enseignante ou un enseignant quitte son emploi au cours d</w:t>
      </w:r>
      <w:r w:rsidR="004A41E4" w:rsidRPr="00026EC1">
        <w:t>’</w:t>
      </w:r>
      <w:r w:rsidRPr="00026EC1">
        <w:t>une année d</w:t>
      </w:r>
      <w:r w:rsidR="004A41E4" w:rsidRPr="00026EC1">
        <w:t>’</w:t>
      </w:r>
      <w:r w:rsidRPr="00026EC1">
        <w:t>enseignement ou si elle ou il n</w:t>
      </w:r>
      <w:r w:rsidR="004A41E4" w:rsidRPr="00026EC1">
        <w:t>’</w:t>
      </w:r>
      <w:r w:rsidRPr="00026EC1">
        <w:t>est pas en service actif pour une partie d</w:t>
      </w:r>
      <w:r w:rsidR="004A41E4" w:rsidRPr="00026EC1">
        <w:t>’</w:t>
      </w:r>
      <w:r w:rsidRPr="00026EC1">
        <w:t xml:space="preserve">année, le nombre de jours crédités selon </w:t>
      </w:r>
      <w:r w:rsidR="00F0423A" w:rsidRPr="00316277">
        <w:t>le deuxième (2</w:t>
      </w:r>
      <w:r w:rsidR="00F0423A" w:rsidRPr="00316277">
        <w:rPr>
          <w:vertAlign w:val="superscript"/>
        </w:rPr>
        <w:t>e</w:t>
      </w:r>
      <w:r w:rsidR="00F0423A" w:rsidRPr="00316277">
        <w:t>) paragraphe</w:t>
      </w:r>
      <w:r w:rsidR="00F0423A" w:rsidRPr="00026EC1">
        <w:t xml:space="preserve"> </w:t>
      </w:r>
      <w:r w:rsidRPr="00026EC1">
        <w:t>de la clause 5</w:t>
      </w:r>
      <w:r w:rsidR="00984A6F">
        <w:noBreakHyphen/>
      </w:r>
      <w:r w:rsidRPr="00026EC1">
        <w:t>5.28 est réduit au prorata du nombre de mois complets de service.</w:t>
      </w:r>
    </w:p>
    <w:p w14:paraId="5FA651BE" w14:textId="77777777" w:rsidR="00404F34" w:rsidRPr="00026EC1" w:rsidRDefault="00404F34" w:rsidP="00A64613">
      <w:pPr>
        <w:keepNext w:val="0"/>
      </w:pPr>
    </w:p>
    <w:p w14:paraId="0A9ABCB8" w14:textId="76B4C2F9" w:rsidR="00D61E55" w:rsidRDefault="00404F34" w:rsidP="00A64613">
      <w:pPr>
        <w:keepNext w:val="0"/>
      </w:pPr>
      <w:r w:rsidRPr="00026EC1">
        <w:t>Aux fins d</w:t>
      </w:r>
      <w:r w:rsidR="004A41E4" w:rsidRPr="00026EC1">
        <w:t>’</w:t>
      </w:r>
      <w:r w:rsidRPr="00026EC1">
        <w:t>application de la présente clause, le</w:t>
      </w:r>
      <w:r w:rsidR="00C77DE2" w:rsidRPr="00026EC1">
        <w:t>s</w:t>
      </w:r>
      <w:r w:rsidRPr="00026EC1">
        <w:t xml:space="preserve"> congé</w:t>
      </w:r>
      <w:r w:rsidR="00C77DE2" w:rsidRPr="00026EC1">
        <w:t>s</w:t>
      </w:r>
      <w:r w:rsidRPr="00026EC1">
        <w:t xml:space="preserve"> prévu</w:t>
      </w:r>
      <w:r w:rsidR="00C77DE2" w:rsidRPr="00026EC1">
        <w:t>s</w:t>
      </w:r>
      <w:r w:rsidRPr="00026EC1">
        <w:t xml:space="preserve"> </w:t>
      </w:r>
      <w:r w:rsidR="00C77DE2" w:rsidRPr="00026EC1">
        <w:t>aux</w:t>
      </w:r>
      <w:r w:rsidRPr="00026EC1">
        <w:t xml:space="preserve"> clause</w:t>
      </w:r>
      <w:r w:rsidR="00C77DE2" w:rsidRPr="00026EC1">
        <w:t>s</w:t>
      </w:r>
      <w:r w:rsidRPr="00026EC1">
        <w:t> 5</w:t>
      </w:r>
      <w:r w:rsidR="00984A6F">
        <w:noBreakHyphen/>
      </w:r>
      <w:r w:rsidRPr="00026EC1">
        <w:t>6.06</w:t>
      </w:r>
      <w:r w:rsidR="00C77DE2" w:rsidRPr="00026EC1">
        <w:t>,</w:t>
      </w:r>
      <w:r w:rsidRPr="00026EC1">
        <w:t xml:space="preserve"> 5</w:t>
      </w:r>
      <w:r w:rsidR="00984A6F">
        <w:noBreakHyphen/>
      </w:r>
      <w:r w:rsidRPr="00026EC1">
        <w:t>6.</w:t>
      </w:r>
      <w:r w:rsidR="00C77DE2" w:rsidRPr="00026EC1">
        <w:t xml:space="preserve">09, </w:t>
      </w:r>
      <w:r w:rsidR="006C346F" w:rsidRPr="00026EC1">
        <w:t>5</w:t>
      </w:r>
      <w:r w:rsidR="00984A6F">
        <w:noBreakHyphen/>
      </w:r>
      <w:r w:rsidR="006C346F" w:rsidRPr="00026EC1">
        <w:t>6.18, 5</w:t>
      </w:r>
      <w:r w:rsidR="00984A6F">
        <w:noBreakHyphen/>
      </w:r>
      <w:r w:rsidR="006C346F" w:rsidRPr="00026EC1">
        <w:t xml:space="preserve">6.20, </w:t>
      </w:r>
      <w:r w:rsidR="00C77DE2" w:rsidRPr="00026EC1">
        <w:t>5</w:t>
      </w:r>
      <w:r w:rsidR="00984A6F">
        <w:noBreakHyphen/>
      </w:r>
      <w:r w:rsidR="00C77DE2" w:rsidRPr="00026EC1">
        <w:t>6.21</w:t>
      </w:r>
      <w:r w:rsidR="006C346F" w:rsidRPr="00026EC1">
        <w:t>, 5</w:t>
      </w:r>
      <w:r w:rsidR="00984A6F">
        <w:noBreakHyphen/>
      </w:r>
      <w:r w:rsidR="006C346F" w:rsidRPr="00026EC1">
        <w:t>6.28</w:t>
      </w:r>
      <w:r w:rsidR="00D43767" w:rsidRPr="00026EC1">
        <w:t>, 5</w:t>
      </w:r>
      <w:r w:rsidR="00984A6F">
        <w:noBreakHyphen/>
      </w:r>
      <w:r w:rsidR="00D43767" w:rsidRPr="00026EC1">
        <w:t xml:space="preserve">6.29 </w:t>
      </w:r>
      <w:r w:rsidRPr="00026EC1">
        <w:t>et 5</w:t>
      </w:r>
      <w:r w:rsidR="00984A6F">
        <w:noBreakHyphen/>
      </w:r>
      <w:r w:rsidRPr="00026EC1">
        <w:t>6.</w:t>
      </w:r>
      <w:r w:rsidR="00C77DE2" w:rsidRPr="00026EC1">
        <w:t>30</w:t>
      </w:r>
      <w:r w:rsidRPr="00026EC1">
        <w:t xml:space="preserve"> n</w:t>
      </w:r>
      <w:r w:rsidR="004A41E4" w:rsidRPr="00026EC1">
        <w:t>’</w:t>
      </w:r>
      <w:r w:rsidRPr="00026EC1">
        <w:t>entraînent pas de réduction du nombre de jours crédités pour l</w:t>
      </w:r>
      <w:r w:rsidR="004A41E4" w:rsidRPr="00026EC1">
        <w:t>’</w:t>
      </w:r>
      <w:r w:rsidRPr="00026EC1">
        <w:t>année en cause.</w:t>
      </w:r>
    </w:p>
    <w:p w14:paraId="0FA8C677" w14:textId="77777777" w:rsidR="00D61E55" w:rsidRDefault="00D61E55">
      <w:pPr>
        <w:keepNext w:val="0"/>
        <w:suppressAutoHyphens w:val="0"/>
        <w:jc w:val="left"/>
      </w:pPr>
      <w:r>
        <w:br w:type="page"/>
      </w:r>
    </w:p>
    <w:p w14:paraId="4850FAFC" w14:textId="3AD717FA" w:rsidR="00404F34" w:rsidRPr="00026EC1" w:rsidRDefault="00404F34" w:rsidP="00A64613">
      <w:pPr>
        <w:pStyle w:val="NUMRODECLAUSE"/>
        <w:keepNext w:val="0"/>
      </w:pPr>
      <w:r w:rsidRPr="00026EC1">
        <w:t>5</w:t>
      </w:r>
      <w:r w:rsidR="00984A6F">
        <w:noBreakHyphen/>
      </w:r>
      <w:r w:rsidRPr="00026EC1">
        <w:t>5.30</w:t>
      </w:r>
    </w:p>
    <w:p w14:paraId="65B97A79" w14:textId="19074827" w:rsidR="00404F34" w:rsidRPr="00026EC1" w:rsidRDefault="00404F34" w:rsidP="00A64613">
      <w:pPr>
        <w:keepNext w:val="0"/>
      </w:pPr>
      <w:r w:rsidRPr="00026EC1">
        <w:t>Dans le cas d</w:t>
      </w:r>
      <w:r w:rsidR="004A41E4" w:rsidRPr="00026EC1">
        <w:t>’</w:t>
      </w:r>
      <w:r w:rsidRPr="00026EC1">
        <w:t>une enseignante ou d</w:t>
      </w:r>
      <w:r w:rsidR="004A41E4" w:rsidRPr="00026EC1">
        <w:t>’</w:t>
      </w:r>
      <w:r w:rsidRPr="00026EC1">
        <w:t>un enseignant à temps partiel, le nombre de jours crédités est réduit au prorata de son équivalent temps complet calculé selon la clause 8</w:t>
      </w:r>
      <w:r w:rsidR="00984A6F">
        <w:noBreakHyphen/>
      </w:r>
      <w:r w:rsidRPr="00026EC1">
        <w:t>5.12.</w:t>
      </w:r>
    </w:p>
    <w:p w14:paraId="179C6780" w14:textId="77777777" w:rsidR="00404F34" w:rsidRPr="00026EC1" w:rsidRDefault="00404F34" w:rsidP="00A64613">
      <w:pPr>
        <w:keepNext w:val="0"/>
      </w:pPr>
    </w:p>
    <w:p w14:paraId="663B506C" w14:textId="77777777" w:rsidR="00404F34" w:rsidRDefault="00404F34" w:rsidP="00A64613">
      <w:pPr>
        <w:keepNext w:val="0"/>
      </w:pPr>
      <w:r w:rsidRPr="00026EC1">
        <w:t>Dans le cas d</w:t>
      </w:r>
      <w:r w:rsidR="004A41E4" w:rsidRPr="00026EC1">
        <w:t>’</w:t>
      </w:r>
      <w:r w:rsidRPr="00026EC1">
        <w:t>une enseignante ou d</w:t>
      </w:r>
      <w:r w:rsidR="004A41E4" w:rsidRPr="00026EC1">
        <w:t>’</w:t>
      </w:r>
      <w:r w:rsidRPr="00026EC1">
        <w:t>un enseignant mis en disponibilité, le nombre de jours crédités est réduit au prorata du salaire qu</w:t>
      </w:r>
      <w:r w:rsidR="004A41E4" w:rsidRPr="00026EC1">
        <w:t>’</w:t>
      </w:r>
      <w:r w:rsidRPr="00026EC1">
        <w:t>elle ou il reçoit par rapport au salaire qu</w:t>
      </w:r>
      <w:r w:rsidR="004A41E4" w:rsidRPr="00026EC1">
        <w:t>’</w:t>
      </w:r>
      <w:r w:rsidRPr="00026EC1">
        <w:t>elle ou il recevrait si elle ou il assumait une charge complète.</w:t>
      </w:r>
    </w:p>
    <w:p w14:paraId="77182FFE" w14:textId="77777777" w:rsidR="00116FC5" w:rsidRDefault="00116FC5" w:rsidP="00A64613">
      <w:pPr>
        <w:keepNext w:val="0"/>
      </w:pPr>
    </w:p>
    <w:p w14:paraId="03659623" w14:textId="70273554" w:rsidR="00404F34" w:rsidRPr="00026EC1" w:rsidRDefault="00404F34" w:rsidP="00A64613">
      <w:pPr>
        <w:pStyle w:val="NUMRODECLAUSE"/>
        <w:keepNext w:val="0"/>
      </w:pPr>
      <w:r w:rsidRPr="00026EC1">
        <w:t>5</w:t>
      </w:r>
      <w:r w:rsidR="00984A6F">
        <w:noBreakHyphen/>
      </w:r>
      <w:r w:rsidRPr="00026EC1">
        <w:t>5.31</w:t>
      </w:r>
    </w:p>
    <w:p w14:paraId="6B3D75CF" w14:textId="58D28E62" w:rsidR="00404F34" w:rsidRDefault="00404F34" w:rsidP="00A64613">
      <w:pPr>
        <w:keepNext w:val="0"/>
      </w:pPr>
      <w:r w:rsidRPr="00026EC1">
        <w:t>Les invalidités en cours de paiement à la date d</w:t>
      </w:r>
      <w:r w:rsidR="004A41E4" w:rsidRPr="00026EC1">
        <w:t>’</w:t>
      </w:r>
      <w:r w:rsidRPr="00026EC1">
        <w:t>entrée en vigueur de la convention collective demeurent couvertes selon le régime prévu au présent article. La date effective du début de la période d</w:t>
      </w:r>
      <w:r w:rsidR="004A41E4" w:rsidRPr="00026EC1">
        <w:t>’</w:t>
      </w:r>
      <w:r w:rsidRPr="00026EC1">
        <w:t>invalidité et la date à laquelle une enseignante ou un enseignant a droit soit à la prestation prévu</w:t>
      </w:r>
      <w:r w:rsidR="00B65C89">
        <w:t xml:space="preserve">e à la convention </w:t>
      </w:r>
      <w:r w:rsidR="00CF6FA9" w:rsidRPr="009466E9">
        <w:t>collective</w:t>
      </w:r>
      <w:r w:rsidR="003768F9">
        <w:t xml:space="preserve"> </w:t>
      </w:r>
      <w:r w:rsidR="003768F9" w:rsidRPr="00316277">
        <w:t>2020-2023</w:t>
      </w:r>
      <w:r w:rsidRPr="009466E9">
        <w:t>, soit à la prestation prévue à l</w:t>
      </w:r>
      <w:r w:rsidR="004A41E4" w:rsidRPr="009466E9">
        <w:t>’</w:t>
      </w:r>
      <w:r w:rsidRPr="009466E9">
        <w:t>alinéa b) de la clause 5</w:t>
      </w:r>
      <w:r w:rsidR="00984A6F">
        <w:noBreakHyphen/>
      </w:r>
      <w:r w:rsidRPr="009466E9">
        <w:t>5.17 de la présente convention</w:t>
      </w:r>
      <w:r w:rsidRPr="00026EC1">
        <w:t xml:space="preserve"> collective, déterminent la prestation et la durée des prestations auxquelles l</w:t>
      </w:r>
      <w:r w:rsidR="004A41E4" w:rsidRPr="00026EC1">
        <w:t>’</w:t>
      </w:r>
      <w:r w:rsidRPr="00026EC1">
        <w:t>enseignante ou l</w:t>
      </w:r>
      <w:r w:rsidR="004A41E4" w:rsidRPr="00026EC1">
        <w:t>’</w:t>
      </w:r>
      <w:r w:rsidRPr="00026EC1">
        <w:t>enseignant peut avoir droit selon les dispositions de la clause 5</w:t>
      </w:r>
      <w:r w:rsidR="00984A6F">
        <w:noBreakHyphen/>
      </w:r>
      <w:r w:rsidRPr="00026EC1">
        <w:t>5.17 de la présente convention collective. Les enseignantes ou enseignants invalides n</w:t>
      </w:r>
      <w:r w:rsidR="004A41E4" w:rsidRPr="00026EC1">
        <w:t>’</w:t>
      </w:r>
      <w:r w:rsidRPr="00026EC1">
        <w:t>ayant droit à aucune prestation à la date d</w:t>
      </w:r>
      <w:r w:rsidR="004A41E4" w:rsidRPr="00026EC1">
        <w:t>’</w:t>
      </w:r>
      <w:r w:rsidRPr="00026EC1">
        <w:t>entrée en vigueur de la convention collective sont couverts par le nouveau régime dès leur retour au travail lorsqu</w:t>
      </w:r>
      <w:r w:rsidR="004A41E4" w:rsidRPr="00026EC1">
        <w:t>’</w:t>
      </w:r>
      <w:r w:rsidRPr="00026EC1">
        <w:t>elles ou ils débutent une nouvelle période d</w:t>
      </w:r>
      <w:r w:rsidR="004A41E4" w:rsidRPr="00026EC1">
        <w:t>’</w:t>
      </w:r>
      <w:r w:rsidRPr="00026EC1">
        <w:t>invalidité.</w:t>
      </w:r>
    </w:p>
    <w:p w14:paraId="20AD2690" w14:textId="77777777" w:rsidR="00D61E55" w:rsidRPr="00026EC1" w:rsidRDefault="00D61E55" w:rsidP="00A64613">
      <w:pPr>
        <w:keepNext w:val="0"/>
      </w:pPr>
    </w:p>
    <w:p w14:paraId="5D15D638" w14:textId="5E3A3E42" w:rsidR="00404F34" w:rsidRPr="00026EC1" w:rsidRDefault="00404F34" w:rsidP="00A64613">
      <w:pPr>
        <w:pStyle w:val="NUMRODECLAUSE"/>
        <w:keepNext w:val="0"/>
      </w:pPr>
      <w:r w:rsidRPr="00026EC1">
        <w:t>5</w:t>
      </w:r>
      <w:r w:rsidR="00984A6F">
        <w:noBreakHyphen/>
      </w:r>
      <w:r w:rsidRPr="00026EC1">
        <w:t>5.32</w:t>
      </w:r>
    </w:p>
    <w:p w14:paraId="29C813A3" w14:textId="39E78238" w:rsidR="00404F34" w:rsidRPr="00026EC1" w:rsidRDefault="00404F34" w:rsidP="00A64613">
      <w:pPr>
        <w:keepNext w:val="0"/>
      </w:pPr>
      <w:r w:rsidRPr="00026EC1">
        <w:t>Les stipulations</w:t>
      </w:r>
      <w:r w:rsidR="00B65C89">
        <w:t xml:space="preserve"> de la convention </w:t>
      </w:r>
      <w:r w:rsidR="00CF6FA9" w:rsidRPr="009466E9">
        <w:t xml:space="preserve">collective </w:t>
      </w:r>
      <w:r w:rsidR="003768F9" w:rsidRPr="00316277">
        <w:t>2020-2023</w:t>
      </w:r>
      <w:r w:rsidR="003768F9">
        <w:t xml:space="preserve"> </w:t>
      </w:r>
      <w:r w:rsidRPr="009466E9">
        <w:t>concernant</w:t>
      </w:r>
      <w:r w:rsidRPr="00026EC1">
        <w:t xml:space="preserve"> le paiement de la caisse de crédit de l</w:t>
      </w:r>
      <w:r w:rsidR="004A41E4" w:rsidRPr="00026EC1">
        <w:t>’</w:t>
      </w:r>
      <w:r w:rsidRPr="00026EC1">
        <w:t>enseignante ou de l</w:t>
      </w:r>
      <w:r w:rsidR="004A41E4" w:rsidRPr="00026EC1">
        <w:t>’</w:t>
      </w:r>
      <w:r w:rsidRPr="00026EC1">
        <w:t>enseignant sont maintenues et le remboursement s</w:t>
      </w:r>
      <w:r w:rsidR="004A41E4" w:rsidRPr="00026EC1">
        <w:t>’</w:t>
      </w:r>
      <w:r w:rsidRPr="00026EC1">
        <w:t>effectue comme suit</w:t>
      </w:r>
      <w:r w:rsidR="00D8581B">
        <w:t> :</w:t>
      </w:r>
    </w:p>
    <w:p w14:paraId="7BA62044" w14:textId="77777777" w:rsidR="00404F34" w:rsidRPr="00026EC1" w:rsidRDefault="00404F34" w:rsidP="00A64613">
      <w:pPr>
        <w:keepNext w:val="0"/>
      </w:pPr>
    </w:p>
    <w:p w14:paraId="2F30B88E" w14:textId="79867106" w:rsidR="00404F34" w:rsidRDefault="00275751" w:rsidP="00A64613">
      <w:pPr>
        <w:keepNext w:val="0"/>
        <w:tabs>
          <w:tab w:val="left" w:pos="567"/>
        </w:tabs>
        <w:ind w:left="567" w:hanging="567"/>
      </w:pPr>
      <w:r w:rsidRPr="00026EC1">
        <w:t>a)</w:t>
      </w:r>
      <w:r w:rsidRPr="00026EC1">
        <w:tab/>
      </w:r>
      <w:r w:rsidR="00404F34" w:rsidRPr="00026EC1">
        <w:t>en un</w:t>
      </w:r>
      <w:r w:rsidR="00B013DF">
        <w:t> </w:t>
      </w:r>
      <w:r w:rsidR="006C346F" w:rsidRPr="00026EC1">
        <w:t>(1)</w:t>
      </w:r>
      <w:r w:rsidR="00404F34" w:rsidRPr="00026EC1">
        <w:t xml:space="preserve"> seul versement lors de sa retraite ou de son décès;</w:t>
      </w:r>
    </w:p>
    <w:p w14:paraId="7B24F021" w14:textId="77777777" w:rsidR="00C83AC3" w:rsidRPr="00026EC1" w:rsidRDefault="00C83AC3" w:rsidP="00A64613">
      <w:pPr>
        <w:keepNext w:val="0"/>
        <w:tabs>
          <w:tab w:val="left" w:pos="567"/>
        </w:tabs>
        <w:ind w:left="567" w:hanging="567"/>
      </w:pPr>
    </w:p>
    <w:p w14:paraId="531D2C4E" w14:textId="4ACA5B08" w:rsidR="00404F34" w:rsidRDefault="00275751" w:rsidP="00A64613">
      <w:pPr>
        <w:keepNext w:val="0"/>
        <w:tabs>
          <w:tab w:val="left" w:pos="567"/>
        </w:tabs>
        <w:ind w:left="567" w:hanging="567"/>
      </w:pPr>
      <w:r w:rsidRPr="00026EC1">
        <w:t>b)</w:t>
      </w:r>
      <w:r w:rsidRPr="00026EC1">
        <w:tab/>
      </w:r>
      <w:r w:rsidR="00404F34" w:rsidRPr="00026EC1">
        <w:t>en trois (3) versements annuels égaux et consécutifs lors de sa démission, de son renvoi ou de son non</w:t>
      </w:r>
      <w:r w:rsidR="00984A6F">
        <w:noBreakHyphen/>
      </w:r>
      <w:r w:rsidR="00404F34" w:rsidRPr="00026EC1">
        <w:t>rengagement;</w:t>
      </w:r>
    </w:p>
    <w:p w14:paraId="4036014C" w14:textId="77777777" w:rsidR="004F2593" w:rsidRPr="00026EC1" w:rsidRDefault="004F2593" w:rsidP="00A64613">
      <w:pPr>
        <w:keepNext w:val="0"/>
        <w:tabs>
          <w:tab w:val="left" w:pos="567"/>
        </w:tabs>
        <w:ind w:left="567" w:hanging="567"/>
      </w:pPr>
    </w:p>
    <w:p w14:paraId="2139922A" w14:textId="18FE25A5" w:rsidR="00404F34" w:rsidRDefault="00275751" w:rsidP="00A64613">
      <w:pPr>
        <w:keepNext w:val="0"/>
        <w:tabs>
          <w:tab w:val="left" w:pos="567"/>
        </w:tabs>
        <w:ind w:left="567" w:hanging="567"/>
      </w:pPr>
      <w:r w:rsidRPr="00026EC1">
        <w:t>c)</w:t>
      </w:r>
      <w:r w:rsidRPr="00026EC1">
        <w:tab/>
      </w:r>
      <w:r w:rsidR="00404F34" w:rsidRPr="00026EC1">
        <w:t>au moment de la mise à la retraite, au moyen d</w:t>
      </w:r>
      <w:r w:rsidR="004A41E4" w:rsidRPr="00026EC1">
        <w:t>’</w:t>
      </w:r>
      <w:r w:rsidR="00404F34" w:rsidRPr="00026EC1">
        <w:t>un congé basé sur le solde, en nombre de jours, de la réserve accumulée. Ce congé ne dépasse pas six (6) mois.</w:t>
      </w:r>
    </w:p>
    <w:p w14:paraId="68F6F7AA" w14:textId="77777777" w:rsidR="003768F9" w:rsidRDefault="003768F9" w:rsidP="00A64613">
      <w:pPr>
        <w:keepNext w:val="0"/>
        <w:tabs>
          <w:tab w:val="left" w:pos="567"/>
        </w:tabs>
        <w:ind w:left="567" w:hanging="567"/>
      </w:pPr>
    </w:p>
    <w:p w14:paraId="2FE922EC" w14:textId="6350B909" w:rsidR="00404F34" w:rsidRDefault="00404F34" w:rsidP="00A64613">
      <w:pPr>
        <w:keepNext w:val="0"/>
      </w:pPr>
      <w:r w:rsidRPr="00026EC1">
        <w:t>La valeur des jours monnayables au crédit d</w:t>
      </w:r>
      <w:r w:rsidR="004A41E4" w:rsidRPr="00026EC1">
        <w:t>’</w:t>
      </w:r>
      <w:r w:rsidRPr="00026EC1">
        <w:t>une enseignante ou d</w:t>
      </w:r>
      <w:r w:rsidR="004A41E4" w:rsidRPr="00026EC1">
        <w:t>’</w:t>
      </w:r>
      <w:r w:rsidRPr="00026EC1">
        <w:t>un enseignant peut être utilisée pour acquitter le coût du rachat d</w:t>
      </w:r>
      <w:r w:rsidR="004A41E4" w:rsidRPr="00026EC1">
        <w:t>’</w:t>
      </w:r>
      <w:r w:rsidRPr="00026EC1">
        <w:t>années de service antérieures comme prévu dans les dispositions relatives à son régime de retraite ou pour compléter les prestations d</w:t>
      </w:r>
      <w:r w:rsidR="004A41E4" w:rsidRPr="00026EC1">
        <w:t>’</w:t>
      </w:r>
      <w:r w:rsidRPr="00026EC1">
        <w:t>assurance</w:t>
      </w:r>
      <w:r w:rsidR="00984A6F">
        <w:noBreakHyphen/>
      </w:r>
      <w:r w:rsidRPr="00026EC1">
        <w:t>traitement selon l</w:t>
      </w:r>
      <w:r w:rsidR="004A41E4" w:rsidRPr="00026EC1">
        <w:t>’</w:t>
      </w:r>
      <w:r w:rsidRPr="00026EC1">
        <w:t>alinéa c) de la clause 5</w:t>
      </w:r>
      <w:r w:rsidR="00984A6F">
        <w:noBreakHyphen/>
      </w:r>
      <w:r w:rsidRPr="00026EC1">
        <w:t>5.17. Les jours au crédit d</w:t>
      </w:r>
      <w:r w:rsidR="004A41E4" w:rsidRPr="00026EC1">
        <w:t>’</w:t>
      </w:r>
      <w:r w:rsidRPr="00026EC1">
        <w:t>une enseignante ou d</w:t>
      </w:r>
      <w:r w:rsidR="004A41E4" w:rsidRPr="00026EC1">
        <w:t>’</w:t>
      </w:r>
      <w:r w:rsidRPr="00026EC1">
        <w:t>un enseignant au 30 juin 1973 peuvent également être utilisés à d</w:t>
      </w:r>
      <w:r w:rsidR="004A41E4" w:rsidRPr="00026EC1">
        <w:t>’</w:t>
      </w:r>
      <w:r w:rsidRPr="00026EC1">
        <w:t>autres fins que la maladie lorsque les conventions collectives antérieures prévoyaient une telle utilisation</w:t>
      </w:r>
      <w:r w:rsidR="00C77DE2" w:rsidRPr="00026EC1">
        <w:t>.</w:t>
      </w:r>
    </w:p>
    <w:p w14:paraId="2AD78316" w14:textId="77777777" w:rsidR="00B12D5E" w:rsidRPr="00026EC1" w:rsidRDefault="00B12D5E" w:rsidP="00A64613">
      <w:pPr>
        <w:keepNext w:val="0"/>
      </w:pPr>
    </w:p>
    <w:p w14:paraId="1DED8F7A" w14:textId="262CE2AB" w:rsidR="00404F34" w:rsidRPr="00026EC1" w:rsidRDefault="00404F34" w:rsidP="00A64613">
      <w:pPr>
        <w:pStyle w:val="NUMRODECLAUSE"/>
        <w:keepNext w:val="0"/>
      </w:pPr>
      <w:r w:rsidRPr="00026EC1">
        <w:t>5</w:t>
      </w:r>
      <w:r w:rsidR="00984A6F">
        <w:noBreakHyphen/>
      </w:r>
      <w:r w:rsidRPr="00026EC1">
        <w:t>5.33</w:t>
      </w:r>
    </w:p>
    <w:p w14:paraId="3DA609B2" w14:textId="673D6E28" w:rsidR="00404F34" w:rsidRPr="00026EC1" w:rsidRDefault="00404F34" w:rsidP="00A64613">
      <w:pPr>
        <w:keepNext w:val="0"/>
      </w:pPr>
      <w:r w:rsidRPr="00026EC1">
        <w:t>Les jours de congé de maladie au crédit d</w:t>
      </w:r>
      <w:r w:rsidR="004A41E4" w:rsidRPr="00026EC1">
        <w:t>’</w:t>
      </w:r>
      <w:r w:rsidRPr="00026EC1">
        <w:t>une enseignante ou d</w:t>
      </w:r>
      <w:r w:rsidR="004A41E4" w:rsidRPr="00026EC1">
        <w:t>’</w:t>
      </w:r>
      <w:r w:rsidRPr="00026EC1">
        <w:t>un enseignant le jour précédant l</w:t>
      </w:r>
      <w:r w:rsidR="004A41E4" w:rsidRPr="00026EC1">
        <w:t>’</w:t>
      </w:r>
      <w:r w:rsidRPr="00026EC1">
        <w:t>entrée en vigueur de la convention collective demeurent à son crédit et les jours utilisés sont soustraits du total accumulé, aux fins du présent article. L</w:t>
      </w:r>
      <w:r w:rsidR="004A41E4" w:rsidRPr="00026EC1">
        <w:t>’</w:t>
      </w:r>
      <w:r w:rsidRPr="00026EC1">
        <w:t>utilisation des jours de congé de maladie se fait dans l</w:t>
      </w:r>
      <w:r w:rsidR="004A41E4" w:rsidRPr="00026EC1">
        <w:t>’</w:t>
      </w:r>
      <w:r w:rsidRPr="00026EC1">
        <w:t>ordre suivant</w:t>
      </w:r>
      <w:r w:rsidR="00D8581B">
        <w:t> :</w:t>
      </w:r>
    </w:p>
    <w:p w14:paraId="095C25CC" w14:textId="017B6CB9" w:rsidR="00404F34" w:rsidRPr="00026EC1" w:rsidRDefault="00275751" w:rsidP="00A64613">
      <w:pPr>
        <w:keepNext w:val="0"/>
        <w:tabs>
          <w:tab w:val="left" w:pos="567"/>
        </w:tabs>
        <w:ind w:left="567" w:hanging="567"/>
      </w:pPr>
      <w:r w:rsidRPr="00026EC1">
        <w:t>a)</w:t>
      </w:r>
      <w:r w:rsidRPr="00026EC1">
        <w:tab/>
      </w:r>
      <w:r w:rsidR="00404F34" w:rsidRPr="00026EC1">
        <w:t xml:space="preserve">les jours crédités en vertu </w:t>
      </w:r>
      <w:r w:rsidR="00A97C66" w:rsidRPr="00316277">
        <w:t>du deuxième (2</w:t>
      </w:r>
      <w:r w:rsidR="00A97C66" w:rsidRPr="00316277">
        <w:rPr>
          <w:vertAlign w:val="superscript"/>
        </w:rPr>
        <w:t>e</w:t>
      </w:r>
      <w:r w:rsidR="00A97C66" w:rsidRPr="00316277">
        <w:t>) paragraphe</w:t>
      </w:r>
      <w:r w:rsidR="00A97C66">
        <w:t xml:space="preserve"> </w:t>
      </w:r>
      <w:r w:rsidR="00404F34" w:rsidRPr="00026EC1">
        <w:t>de la clause 5</w:t>
      </w:r>
      <w:r w:rsidR="00984A6F">
        <w:noBreakHyphen/>
      </w:r>
      <w:r w:rsidR="00404F34" w:rsidRPr="00026EC1">
        <w:t>5.28 de la convention collective;</w:t>
      </w:r>
    </w:p>
    <w:p w14:paraId="2F22BE61" w14:textId="77777777" w:rsidR="00404F34" w:rsidRPr="00026EC1" w:rsidRDefault="00404F34" w:rsidP="00A64613">
      <w:pPr>
        <w:keepNext w:val="0"/>
      </w:pPr>
    </w:p>
    <w:p w14:paraId="62EE5CB6" w14:textId="77777777" w:rsidR="00404F34" w:rsidRPr="00026EC1" w:rsidRDefault="00275751" w:rsidP="00A64613">
      <w:pPr>
        <w:keepNext w:val="0"/>
        <w:tabs>
          <w:tab w:val="left" w:pos="567"/>
        </w:tabs>
        <w:ind w:left="567" w:hanging="567"/>
      </w:pPr>
      <w:r w:rsidRPr="00026EC1">
        <w:t>b)</w:t>
      </w:r>
      <w:r w:rsidRPr="00026EC1">
        <w:tab/>
      </w:r>
      <w:r w:rsidR="00404F34" w:rsidRPr="00026EC1">
        <w:t>après épuisement des jours mentionnés en a), les autres jours monnayables au crédit de l</w:t>
      </w:r>
      <w:r w:rsidR="004A41E4" w:rsidRPr="00026EC1">
        <w:t>’</w:t>
      </w:r>
      <w:r w:rsidR="00404F34" w:rsidRPr="00026EC1">
        <w:t>enseignante ou de l</w:t>
      </w:r>
      <w:r w:rsidR="004A41E4" w:rsidRPr="00026EC1">
        <w:t>’</w:t>
      </w:r>
      <w:r w:rsidR="00404F34" w:rsidRPr="00026EC1">
        <w:t>enseignant sauf pour les jours transportés en vertu du protocole SPEQ;</w:t>
      </w:r>
    </w:p>
    <w:p w14:paraId="6D67AB46" w14:textId="77777777" w:rsidR="00404F34" w:rsidRPr="00026EC1" w:rsidRDefault="00404F34" w:rsidP="00A64613">
      <w:pPr>
        <w:keepNext w:val="0"/>
      </w:pPr>
    </w:p>
    <w:p w14:paraId="3D22919E" w14:textId="77777777" w:rsidR="00404F34" w:rsidRPr="00026EC1" w:rsidRDefault="00275751" w:rsidP="00A64613">
      <w:pPr>
        <w:keepNext w:val="0"/>
        <w:tabs>
          <w:tab w:val="left" w:pos="567"/>
        </w:tabs>
        <w:ind w:left="567" w:hanging="567"/>
      </w:pPr>
      <w:r w:rsidRPr="00026EC1">
        <w:t>c)</w:t>
      </w:r>
      <w:r w:rsidRPr="00026EC1">
        <w:tab/>
      </w:r>
      <w:r w:rsidR="00404F34" w:rsidRPr="00026EC1">
        <w:t>après épuisement des jours mentionnés en a) et en b), les jours non monnayables au crédit de l</w:t>
      </w:r>
      <w:r w:rsidR="004A41E4" w:rsidRPr="00026EC1">
        <w:t>’</w:t>
      </w:r>
      <w:r w:rsidR="00404F34" w:rsidRPr="00026EC1">
        <w:t>enseignante ou de l</w:t>
      </w:r>
      <w:r w:rsidR="004A41E4" w:rsidRPr="00026EC1">
        <w:t>’</w:t>
      </w:r>
      <w:r w:rsidR="00404F34" w:rsidRPr="00026EC1">
        <w:t>enseignant;</w:t>
      </w:r>
    </w:p>
    <w:p w14:paraId="72393788" w14:textId="77777777" w:rsidR="00404F34" w:rsidRPr="00026EC1" w:rsidRDefault="00404F34" w:rsidP="00A64613">
      <w:pPr>
        <w:keepNext w:val="0"/>
      </w:pPr>
    </w:p>
    <w:p w14:paraId="18145425" w14:textId="77777777" w:rsidR="00404F34" w:rsidRPr="00026EC1" w:rsidRDefault="00275751" w:rsidP="00A64613">
      <w:pPr>
        <w:keepNext w:val="0"/>
        <w:tabs>
          <w:tab w:val="left" w:pos="567"/>
        </w:tabs>
        <w:ind w:left="567" w:hanging="567"/>
      </w:pPr>
      <w:r w:rsidRPr="00026EC1">
        <w:t>d)</w:t>
      </w:r>
      <w:r w:rsidRPr="00026EC1">
        <w:tab/>
      </w:r>
      <w:r w:rsidR="00404F34" w:rsidRPr="00026EC1">
        <w:t>les jours transportés en vertu du protocole SPEQ.</w:t>
      </w:r>
    </w:p>
    <w:p w14:paraId="5EECCD1B" w14:textId="77777777" w:rsidR="00404F34" w:rsidRPr="00026EC1" w:rsidRDefault="00404F34" w:rsidP="00A64613">
      <w:pPr>
        <w:keepNext w:val="0"/>
      </w:pPr>
    </w:p>
    <w:p w14:paraId="51193E32" w14:textId="77777777" w:rsidR="00563561" w:rsidRDefault="00563561" w:rsidP="00A64613">
      <w:pPr>
        <w:keepNext w:val="0"/>
        <w:jc w:val="left"/>
        <w:rPr>
          <w:b/>
          <w:u w:val="single"/>
        </w:rPr>
      </w:pPr>
      <w:bookmarkStart w:id="434" w:name="_Toc535046602"/>
      <w:bookmarkStart w:id="435" w:name="_Toc133760775"/>
      <w:bookmarkStart w:id="436" w:name="_Toc393444605"/>
      <w:bookmarkStart w:id="437" w:name="_Toc393449556"/>
      <w:bookmarkStart w:id="438" w:name="_Toc393460925"/>
      <w:bookmarkStart w:id="439" w:name="_Toc393461203"/>
      <w:bookmarkStart w:id="440" w:name="_Toc393720764"/>
      <w:bookmarkStart w:id="441" w:name="_Toc393783925"/>
      <w:bookmarkStart w:id="442" w:name="_Toc393784064"/>
      <w:r>
        <w:br w:type="page"/>
      </w:r>
    </w:p>
    <w:p w14:paraId="3D857175" w14:textId="293635FE" w:rsidR="00404F34" w:rsidRPr="00026EC1" w:rsidRDefault="00404F34" w:rsidP="00A64613">
      <w:pPr>
        <w:pStyle w:val="Heading2"/>
        <w:keepNext w:val="0"/>
        <w:tabs>
          <w:tab w:val="clear" w:pos="1843"/>
          <w:tab w:val="clear" w:pos="2127"/>
          <w:tab w:val="left" w:pos="1701"/>
          <w:tab w:val="left" w:pos="1985"/>
        </w:tabs>
        <w:ind w:left="1701" w:hanging="1701"/>
      </w:pPr>
      <w:bookmarkStart w:id="443" w:name="_Toc168479518"/>
      <w:r w:rsidRPr="00026EC1">
        <w:t>Article 5</w:t>
      </w:r>
      <w:r w:rsidR="00984A6F">
        <w:t>-</w:t>
      </w:r>
      <w:r w:rsidRPr="00026EC1">
        <w:t>6.00</w:t>
      </w:r>
      <w:r w:rsidR="00F66753" w:rsidRPr="00026EC1">
        <w:tab/>
      </w:r>
      <w:r w:rsidR="00984A6F">
        <w:t>-</w:t>
      </w:r>
      <w:r w:rsidR="00F66753" w:rsidRPr="00026EC1">
        <w:tab/>
      </w:r>
      <w:r w:rsidRPr="00026EC1">
        <w:t>Droits parentaux</w:t>
      </w:r>
      <w:bookmarkEnd w:id="434"/>
      <w:bookmarkEnd w:id="435"/>
      <w:bookmarkEnd w:id="436"/>
      <w:bookmarkEnd w:id="437"/>
      <w:bookmarkEnd w:id="438"/>
      <w:bookmarkEnd w:id="439"/>
      <w:bookmarkEnd w:id="440"/>
      <w:bookmarkEnd w:id="441"/>
      <w:bookmarkEnd w:id="442"/>
      <w:bookmarkEnd w:id="443"/>
    </w:p>
    <w:p w14:paraId="15503DC5" w14:textId="5CDB7DF0" w:rsidR="009F5256" w:rsidRPr="00026EC1" w:rsidRDefault="009F5256" w:rsidP="00A64613">
      <w:pPr>
        <w:pStyle w:val="MGSTexte0cm"/>
        <w:keepNext w:val="0"/>
        <w:rPr>
          <w:caps w:val="0"/>
        </w:rPr>
      </w:pPr>
      <w:r w:rsidRPr="00026EC1">
        <w:rPr>
          <w:caps w:val="0"/>
        </w:rPr>
        <w:t xml:space="preserve">Section I </w:t>
      </w:r>
      <w:r w:rsidR="00984A6F">
        <w:rPr>
          <w:caps w:val="0"/>
        </w:rPr>
        <w:noBreakHyphen/>
      </w:r>
      <w:r w:rsidRPr="00026EC1">
        <w:rPr>
          <w:caps w:val="0"/>
        </w:rPr>
        <w:t xml:space="preserve"> Dispositions générales</w:t>
      </w:r>
    </w:p>
    <w:p w14:paraId="425E67BD" w14:textId="77777777" w:rsidR="009F5256" w:rsidRPr="00026EC1" w:rsidRDefault="009F5256" w:rsidP="00A64613">
      <w:pPr>
        <w:keepNext w:val="0"/>
      </w:pPr>
    </w:p>
    <w:p w14:paraId="3ABE87D7" w14:textId="741A116F" w:rsidR="009F5256" w:rsidRPr="00026EC1" w:rsidRDefault="009F5256" w:rsidP="00A64613">
      <w:pPr>
        <w:pStyle w:val="NUMRODECLAUSE"/>
        <w:keepNext w:val="0"/>
      </w:pPr>
      <w:r w:rsidRPr="00026EC1">
        <w:t>5</w:t>
      </w:r>
      <w:r w:rsidR="00984A6F">
        <w:noBreakHyphen/>
      </w:r>
      <w:r w:rsidRPr="00026EC1">
        <w:t>6.01</w:t>
      </w:r>
    </w:p>
    <w:p w14:paraId="3A6E1634" w14:textId="003487D5" w:rsidR="00FB6116" w:rsidRPr="00026EC1" w:rsidRDefault="00FB6116" w:rsidP="00A64613">
      <w:pPr>
        <w:keepNext w:val="0"/>
      </w:pPr>
      <w:r w:rsidRPr="00026EC1">
        <w:t>Les indemnités du congé de maternité, du congé de paternité ou du congé pour adoption sont uniquement versées à titre de suppléments aux prestations d’assurance parentale ou aux prestations d’assurance</w:t>
      </w:r>
      <w:r w:rsidR="00984A6F">
        <w:noBreakHyphen/>
      </w:r>
      <w:r w:rsidRPr="00026EC1">
        <w:t>emploi, selon le cas, ou dans les cas prévus ci</w:t>
      </w:r>
      <w:r w:rsidR="00984A6F">
        <w:noBreakHyphen/>
      </w:r>
      <w:r w:rsidRPr="00026EC1">
        <w:t>après, à titre de paiements durant une période d’absence pour laquelle le Régime québécois d’assurance parentale (RQAP) ou le Régime d’assurance</w:t>
      </w:r>
      <w:r w:rsidR="00984A6F">
        <w:noBreakHyphen/>
      </w:r>
      <w:r w:rsidRPr="00026EC1">
        <w:t>emploi (RAE) ne s’applique pas.</w:t>
      </w:r>
    </w:p>
    <w:p w14:paraId="2C568D3A" w14:textId="77777777" w:rsidR="009F5256" w:rsidRPr="00026EC1" w:rsidRDefault="009F5256" w:rsidP="00A64613">
      <w:pPr>
        <w:keepNext w:val="0"/>
      </w:pPr>
    </w:p>
    <w:p w14:paraId="0F74B6BA" w14:textId="44FC3A02" w:rsidR="009F5256" w:rsidRPr="00026EC1" w:rsidRDefault="009F5256" w:rsidP="00A64613">
      <w:pPr>
        <w:keepNext w:val="0"/>
      </w:pPr>
      <w:r w:rsidRPr="00026EC1">
        <w:t>Les indemnités pour le congé de maternité, de paternité et d</w:t>
      </w:r>
      <w:r w:rsidR="004A41E4" w:rsidRPr="00026EC1">
        <w:t>’</w:t>
      </w:r>
      <w:r w:rsidRPr="00026EC1">
        <w:t>adoption ne sont toutefois versées que durant les semaines où l</w:t>
      </w:r>
      <w:r w:rsidR="004A41E4" w:rsidRPr="00026EC1">
        <w:t>’</w:t>
      </w:r>
      <w:r w:rsidRPr="00026EC1">
        <w:t>enseignante ou l</w:t>
      </w:r>
      <w:r w:rsidR="004A41E4" w:rsidRPr="00026EC1">
        <w:t>’</w:t>
      </w:r>
      <w:r w:rsidRPr="00026EC1">
        <w:t>enseignant reçoit ou recevrait, si elle ou il en faisait la demande, des prestations d</w:t>
      </w:r>
      <w:r w:rsidR="004A41E4" w:rsidRPr="00026EC1">
        <w:t>’</w:t>
      </w:r>
      <w:r w:rsidRPr="00026EC1">
        <w:t>assurance parentale ou des prestations d</w:t>
      </w:r>
      <w:r w:rsidR="004A41E4" w:rsidRPr="00026EC1">
        <w:t>’</w:t>
      </w:r>
      <w:r w:rsidRPr="00026EC1">
        <w:t>assurance</w:t>
      </w:r>
      <w:r w:rsidR="00984A6F">
        <w:noBreakHyphen/>
      </w:r>
      <w:r w:rsidRPr="00026EC1">
        <w:t>emploi.</w:t>
      </w:r>
    </w:p>
    <w:p w14:paraId="0B92AA15" w14:textId="77777777" w:rsidR="009F5256" w:rsidRPr="00026EC1" w:rsidRDefault="009F5256" w:rsidP="00A64613">
      <w:pPr>
        <w:keepNext w:val="0"/>
      </w:pPr>
    </w:p>
    <w:p w14:paraId="14939710" w14:textId="497E2CF3" w:rsidR="009F5256" w:rsidRPr="00026EC1" w:rsidRDefault="009F5256" w:rsidP="00A64613">
      <w:pPr>
        <w:keepNext w:val="0"/>
      </w:pPr>
      <w:r w:rsidRPr="00026EC1">
        <w:t>Dans le cas où l</w:t>
      </w:r>
      <w:r w:rsidR="004A41E4" w:rsidRPr="00026EC1">
        <w:t>’</w:t>
      </w:r>
      <w:r w:rsidRPr="00026EC1">
        <w:t>enseignante ou l</w:t>
      </w:r>
      <w:r w:rsidR="004A41E4" w:rsidRPr="00026EC1">
        <w:t>’</w:t>
      </w:r>
      <w:r w:rsidRPr="00026EC1">
        <w:t>enseignant partage avec l</w:t>
      </w:r>
      <w:r w:rsidR="004A41E4" w:rsidRPr="00026EC1">
        <w:t>’</w:t>
      </w:r>
      <w:r w:rsidRPr="00026EC1">
        <w:t>autre conjoint</w:t>
      </w:r>
      <w:r w:rsidR="00226EC6" w:rsidRPr="00026EC1">
        <w:t>e</w:t>
      </w:r>
      <w:r w:rsidRPr="00026EC1">
        <w:t xml:space="preserve"> ou conjoint les prestations d</w:t>
      </w:r>
      <w:r w:rsidR="004A41E4" w:rsidRPr="00026EC1">
        <w:t>’</w:t>
      </w:r>
      <w:r w:rsidRPr="00026EC1">
        <w:t>adoption ou parentales prévues par le RQAP et par le RAE, l</w:t>
      </w:r>
      <w:r w:rsidR="004A41E4" w:rsidRPr="00026EC1">
        <w:t>’</w:t>
      </w:r>
      <w:r w:rsidRPr="00026EC1">
        <w:t>indemnité n</w:t>
      </w:r>
      <w:r w:rsidR="004A41E4" w:rsidRPr="00026EC1">
        <w:t>’</w:t>
      </w:r>
      <w:r w:rsidRPr="00026EC1">
        <w:t>est versée que si l</w:t>
      </w:r>
      <w:r w:rsidR="004A41E4" w:rsidRPr="00026EC1">
        <w:t>’</w:t>
      </w:r>
      <w:r w:rsidRPr="00026EC1">
        <w:t>enseignante ou l</w:t>
      </w:r>
      <w:r w:rsidR="004A41E4" w:rsidRPr="00026EC1">
        <w:t>’</w:t>
      </w:r>
      <w:r w:rsidRPr="00026EC1">
        <w:t>enseignant reçoit effectivement une prestation d</w:t>
      </w:r>
      <w:r w:rsidR="004A41E4" w:rsidRPr="00026EC1">
        <w:t>’</w:t>
      </w:r>
      <w:r w:rsidRPr="00026EC1">
        <w:t>un de ces régimes pendant le congé de maternité prévu à la clause</w:t>
      </w:r>
      <w:r w:rsidR="00D66A8F" w:rsidRPr="00026EC1">
        <w:t> </w:t>
      </w:r>
      <w:r w:rsidRPr="00026EC1">
        <w:t>5</w:t>
      </w:r>
      <w:r w:rsidR="00984A6F">
        <w:noBreakHyphen/>
      </w:r>
      <w:r w:rsidRPr="00026EC1">
        <w:t>6.06, le congé de paternité prévu à la clause</w:t>
      </w:r>
      <w:r w:rsidR="00D66A8F" w:rsidRPr="00026EC1">
        <w:t> </w:t>
      </w:r>
      <w:r w:rsidRPr="00026EC1">
        <w:t>5</w:t>
      </w:r>
      <w:r w:rsidR="00984A6F">
        <w:noBreakHyphen/>
      </w:r>
      <w:r w:rsidRPr="00026EC1">
        <w:t>6.21 ou le congé pour adoption prévu à la clause</w:t>
      </w:r>
      <w:r w:rsidR="00D66A8F" w:rsidRPr="00026EC1">
        <w:t> </w:t>
      </w:r>
      <w:r w:rsidRPr="00026EC1">
        <w:t>5</w:t>
      </w:r>
      <w:r w:rsidR="00984A6F">
        <w:noBreakHyphen/>
      </w:r>
      <w:r w:rsidRPr="00026EC1">
        <w:t>6.30</w:t>
      </w:r>
      <w:r w:rsidR="00CE30F1" w:rsidRPr="00026EC1">
        <w:t>.</w:t>
      </w:r>
    </w:p>
    <w:p w14:paraId="7D16F376" w14:textId="77777777" w:rsidR="009F5256" w:rsidRPr="00026EC1" w:rsidRDefault="009F5256" w:rsidP="00A64613">
      <w:pPr>
        <w:keepNext w:val="0"/>
      </w:pPr>
    </w:p>
    <w:p w14:paraId="7486EDF9" w14:textId="79C6DA23" w:rsidR="009F5256" w:rsidRPr="00026EC1" w:rsidRDefault="009F5256" w:rsidP="00A64613">
      <w:pPr>
        <w:pStyle w:val="NUMRODECLAUSE"/>
        <w:keepNext w:val="0"/>
      </w:pPr>
      <w:r w:rsidRPr="00026EC1">
        <w:t>5</w:t>
      </w:r>
      <w:r w:rsidR="00984A6F">
        <w:noBreakHyphen/>
      </w:r>
      <w:r w:rsidRPr="00026EC1">
        <w:t>6.02</w:t>
      </w:r>
    </w:p>
    <w:p w14:paraId="77647040" w14:textId="77777777" w:rsidR="009F5256" w:rsidRPr="00026EC1" w:rsidRDefault="009F5256" w:rsidP="00A64613">
      <w:pPr>
        <w:keepNext w:val="0"/>
      </w:pPr>
      <w:r w:rsidRPr="00026EC1">
        <w:t>Lorsque les parents sont tous deux de sexe féminin, les indemnités et avantages octroyés au père sont alors octroyés à celle des deux mères qui n</w:t>
      </w:r>
      <w:r w:rsidR="004A41E4" w:rsidRPr="00026EC1">
        <w:t>’</w:t>
      </w:r>
      <w:r w:rsidRPr="00026EC1">
        <w:t>a pas donné naissance à l</w:t>
      </w:r>
      <w:r w:rsidR="004A41E4" w:rsidRPr="00026EC1">
        <w:t>’</w:t>
      </w:r>
      <w:r w:rsidRPr="00026EC1">
        <w:t>enfant.</w:t>
      </w:r>
    </w:p>
    <w:p w14:paraId="63333EC2" w14:textId="77777777" w:rsidR="009F5256" w:rsidRPr="00026EC1" w:rsidRDefault="009F5256" w:rsidP="00A64613">
      <w:pPr>
        <w:keepNext w:val="0"/>
      </w:pPr>
    </w:p>
    <w:p w14:paraId="3FFB8DE4" w14:textId="37BBBD42" w:rsidR="009F5256" w:rsidRPr="00026EC1" w:rsidRDefault="009F5256" w:rsidP="00A64613">
      <w:pPr>
        <w:pStyle w:val="NUMRODECLAUSE"/>
        <w:keepNext w:val="0"/>
      </w:pPr>
      <w:r w:rsidRPr="00026EC1">
        <w:t>5</w:t>
      </w:r>
      <w:r w:rsidR="00984A6F">
        <w:noBreakHyphen/>
      </w:r>
      <w:r w:rsidRPr="00026EC1">
        <w:t>6.03</w:t>
      </w:r>
    </w:p>
    <w:p w14:paraId="307F2F82" w14:textId="2E79E0BB" w:rsidR="00FB6116" w:rsidRPr="00026EC1" w:rsidRDefault="00FB6116" w:rsidP="00A64613">
      <w:pPr>
        <w:keepNext w:val="0"/>
        <w:tabs>
          <w:tab w:val="left" w:pos="567"/>
        </w:tabs>
        <w:ind w:left="567" w:hanging="567"/>
        <w:rPr>
          <w:i/>
          <w:iCs/>
        </w:rPr>
      </w:pPr>
      <w:r w:rsidRPr="00026EC1">
        <w:rPr>
          <w:iCs/>
        </w:rPr>
        <w:t>A)</w:t>
      </w:r>
      <w:r w:rsidRPr="00026EC1">
        <w:rPr>
          <w:iCs/>
        </w:rPr>
        <w:tab/>
      </w:r>
      <w:r w:rsidRPr="00026EC1">
        <w:t xml:space="preserve">Le Collège ne rembourse pas à l’enseignante ou à l’enseignant les sommes qui pourraient être exigées d’elle ou de lui soit par le </w:t>
      </w:r>
      <w:r w:rsidRPr="00026EC1">
        <w:rPr>
          <w:rFonts w:cs="Arial"/>
          <w:szCs w:val="24"/>
        </w:rPr>
        <w:t>ministre de l’Emploi et de la Solidarité sociale</w:t>
      </w:r>
      <w:r w:rsidRPr="00026EC1">
        <w:t xml:space="preserve"> en vertu de l’application de la </w:t>
      </w:r>
      <w:r w:rsidRPr="00026EC1">
        <w:rPr>
          <w:iCs/>
        </w:rPr>
        <w:t>Loi sur l’assurance parentale</w:t>
      </w:r>
      <w:r w:rsidRPr="00026EC1">
        <w:rPr>
          <w:i/>
          <w:iCs/>
        </w:rPr>
        <w:t xml:space="preserve">, </w:t>
      </w:r>
      <w:r w:rsidRPr="00026EC1">
        <w:rPr>
          <w:iCs/>
        </w:rPr>
        <w:t>soit par</w:t>
      </w:r>
      <w:r w:rsidR="00FD5FB5" w:rsidRPr="00026EC1">
        <w:t xml:space="preserve"> </w:t>
      </w:r>
      <w:r w:rsidRPr="00026EC1">
        <w:t>EDSC</w:t>
      </w:r>
      <w:r w:rsidR="00D61E55">
        <w:t xml:space="preserve"> </w:t>
      </w:r>
      <w:r w:rsidRPr="00026EC1">
        <w:t xml:space="preserve">en vertu de la </w:t>
      </w:r>
      <w:r w:rsidRPr="00026EC1">
        <w:rPr>
          <w:iCs/>
        </w:rPr>
        <w:t>Loi sur l’assurance</w:t>
      </w:r>
      <w:r w:rsidR="00984A6F">
        <w:rPr>
          <w:iCs/>
        </w:rPr>
        <w:noBreakHyphen/>
      </w:r>
      <w:r w:rsidRPr="00026EC1">
        <w:rPr>
          <w:iCs/>
        </w:rPr>
        <w:t>emploi.</w:t>
      </w:r>
    </w:p>
    <w:p w14:paraId="1A4E533D" w14:textId="77777777" w:rsidR="009F5256" w:rsidRPr="00026EC1" w:rsidRDefault="009F5256" w:rsidP="00A64613">
      <w:pPr>
        <w:keepNext w:val="0"/>
      </w:pPr>
    </w:p>
    <w:p w14:paraId="49DC09CD" w14:textId="77777777" w:rsidR="00FB6116" w:rsidRPr="00026EC1" w:rsidRDefault="00FB6116" w:rsidP="00A64613">
      <w:pPr>
        <w:keepNext w:val="0"/>
        <w:tabs>
          <w:tab w:val="left" w:pos="567"/>
        </w:tabs>
        <w:ind w:left="567" w:hanging="567"/>
      </w:pPr>
      <w:r w:rsidRPr="00026EC1">
        <w:t>B)</w:t>
      </w:r>
      <w:r w:rsidRPr="00026EC1">
        <w:tab/>
        <w:t>Le traitement hebdomadaire de base</w:t>
      </w:r>
      <w:r w:rsidRPr="00026EC1">
        <w:rPr>
          <w:rStyle w:val="FootnoteReference"/>
        </w:rPr>
        <w:footnoteReference w:id="7"/>
      </w:r>
      <w:r w:rsidRPr="00026EC1">
        <w:t xml:space="preserve">, le traitement hebdomadaire de base différé et les indemnités de départ ne sont ni augmentés ni diminués par les versements reçus en vertu du RQAP ou du </w:t>
      </w:r>
      <w:r w:rsidRPr="00026EC1">
        <w:rPr>
          <w:rFonts w:cs="Arial"/>
          <w:szCs w:val="24"/>
        </w:rPr>
        <w:t>RAE.</w:t>
      </w:r>
    </w:p>
    <w:p w14:paraId="23EC5826" w14:textId="77777777" w:rsidR="00E3165C" w:rsidRDefault="00E3165C" w:rsidP="00A64613">
      <w:pPr>
        <w:keepNext w:val="0"/>
        <w:rPr>
          <w:b/>
          <w:bCs/>
        </w:rPr>
      </w:pPr>
    </w:p>
    <w:p w14:paraId="18267391" w14:textId="73928CEC" w:rsidR="009F5256" w:rsidRPr="00026EC1" w:rsidRDefault="009F5256" w:rsidP="00A64613">
      <w:pPr>
        <w:keepNext w:val="0"/>
        <w:rPr>
          <w:b/>
          <w:bCs/>
        </w:rPr>
      </w:pPr>
      <w:r w:rsidRPr="00026EC1">
        <w:rPr>
          <w:b/>
          <w:bCs/>
        </w:rPr>
        <w:t>5</w:t>
      </w:r>
      <w:r w:rsidR="00984A6F">
        <w:rPr>
          <w:b/>
          <w:bCs/>
        </w:rPr>
        <w:noBreakHyphen/>
      </w:r>
      <w:r w:rsidRPr="00026EC1">
        <w:rPr>
          <w:b/>
          <w:bCs/>
        </w:rPr>
        <w:t>6.04</w:t>
      </w:r>
    </w:p>
    <w:p w14:paraId="162C3B00" w14:textId="2993E412" w:rsidR="00D61E55" w:rsidRDefault="009F5256" w:rsidP="00A64613">
      <w:pPr>
        <w:keepNext w:val="0"/>
      </w:pPr>
      <w:r w:rsidRPr="00026EC1">
        <w:t>À moins de stipulations expresses à l</w:t>
      </w:r>
      <w:r w:rsidR="004A41E4" w:rsidRPr="00026EC1">
        <w:t>’</w:t>
      </w:r>
      <w:r w:rsidRPr="00026EC1">
        <w:t>effet contraire, le présent article ne peut avoir pour effet de conférer à l</w:t>
      </w:r>
      <w:r w:rsidR="004A41E4" w:rsidRPr="00026EC1">
        <w:t>’</w:t>
      </w:r>
      <w:r w:rsidRPr="00026EC1">
        <w:t>enseignante ou l</w:t>
      </w:r>
      <w:r w:rsidR="004A41E4" w:rsidRPr="00026EC1">
        <w:t>’</w:t>
      </w:r>
      <w:r w:rsidRPr="00026EC1">
        <w:t>enseignant un avantage, pécuniaire ou non, dont elle ou il n</w:t>
      </w:r>
      <w:r w:rsidR="004A41E4" w:rsidRPr="00026EC1">
        <w:t>’</w:t>
      </w:r>
      <w:r w:rsidRPr="00026EC1">
        <w:t>aurait pas bénéficié si elle ou il était resté au travail.</w:t>
      </w:r>
    </w:p>
    <w:p w14:paraId="29A15D02" w14:textId="77777777" w:rsidR="00D61E55" w:rsidRDefault="00D61E55">
      <w:pPr>
        <w:keepNext w:val="0"/>
        <w:suppressAutoHyphens w:val="0"/>
        <w:jc w:val="left"/>
      </w:pPr>
      <w:r>
        <w:br w:type="page"/>
      </w:r>
    </w:p>
    <w:p w14:paraId="665556F7" w14:textId="0D781874" w:rsidR="009F5256" w:rsidRPr="00026EC1" w:rsidRDefault="009F5256" w:rsidP="00A64613">
      <w:pPr>
        <w:pStyle w:val="NUMRODECLAUSE"/>
        <w:keepNext w:val="0"/>
      </w:pPr>
      <w:r w:rsidRPr="00026EC1">
        <w:t>5</w:t>
      </w:r>
      <w:r w:rsidR="00984A6F">
        <w:noBreakHyphen/>
      </w:r>
      <w:r w:rsidRPr="00026EC1">
        <w:t>6.05</w:t>
      </w:r>
    </w:p>
    <w:p w14:paraId="72F62D2D" w14:textId="77777777" w:rsidR="009F5256" w:rsidRPr="00026EC1" w:rsidRDefault="009F5256" w:rsidP="00A64613">
      <w:pPr>
        <w:keepNext w:val="0"/>
      </w:pPr>
      <w:r w:rsidRPr="00026EC1">
        <w:t>Aux fins d</w:t>
      </w:r>
      <w:r w:rsidR="004A41E4" w:rsidRPr="00026EC1">
        <w:t>’</w:t>
      </w:r>
      <w:r w:rsidRPr="00026EC1">
        <w:t>application du présent article exclusivement, les expressions « enseignante à temps partiel », « enseignant à temps partiel », « enseignante ou enseignant à temps partiel » comprennent également, respectivement et selon le cas, « enseignante chargée de cours », « enseignant chargé de cours » et « enseignante ou enseignant chargé de cours », pour la durée de son contrat.</w:t>
      </w:r>
    </w:p>
    <w:p w14:paraId="69300351" w14:textId="77777777" w:rsidR="009F5256" w:rsidRDefault="009F5256" w:rsidP="00A64613">
      <w:pPr>
        <w:keepNext w:val="0"/>
      </w:pPr>
    </w:p>
    <w:p w14:paraId="72EC54F8" w14:textId="0FA929CB" w:rsidR="009F5256" w:rsidRPr="00026EC1" w:rsidRDefault="009F5256" w:rsidP="00A64613">
      <w:pPr>
        <w:pStyle w:val="PMGSTexte0cm"/>
        <w:keepNext w:val="0"/>
        <w:tabs>
          <w:tab w:val="left" w:pos="540"/>
        </w:tabs>
        <w:rPr>
          <w:caps/>
        </w:rPr>
      </w:pPr>
      <w:r w:rsidRPr="00026EC1">
        <w:rPr>
          <w:smallCaps w:val="0"/>
        </w:rPr>
        <w:t xml:space="preserve">Section II </w:t>
      </w:r>
      <w:r w:rsidR="00984A6F">
        <w:rPr>
          <w:smallCaps w:val="0"/>
        </w:rPr>
        <w:noBreakHyphen/>
      </w:r>
      <w:r w:rsidRPr="00026EC1">
        <w:rPr>
          <w:smallCaps w:val="0"/>
        </w:rPr>
        <w:t xml:space="preserve"> Congé de maternité</w:t>
      </w:r>
    </w:p>
    <w:p w14:paraId="6F84AC7F" w14:textId="77777777" w:rsidR="009F5256" w:rsidRPr="00026EC1" w:rsidRDefault="009F5256" w:rsidP="00A64613">
      <w:pPr>
        <w:keepNext w:val="0"/>
      </w:pPr>
    </w:p>
    <w:p w14:paraId="4FDA6E76" w14:textId="24BDC3E9" w:rsidR="009F5256" w:rsidRPr="00026EC1" w:rsidRDefault="009F5256" w:rsidP="00A64613">
      <w:pPr>
        <w:pStyle w:val="NUMRODECLAUSE"/>
        <w:keepNext w:val="0"/>
        <w:rPr>
          <w:i/>
        </w:rPr>
      </w:pPr>
      <w:r w:rsidRPr="00026EC1">
        <w:t>5</w:t>
      </w:r>
      <w:r w:rsidR="00984A6F">
        <w:noBreakHyphen/>
      </w:r>
      <w:r w:rsidRPr="00026EC1">
        <w:t>6.06</w:t>
      </w:r>
      <w:r w:rsidR="0079258A" w:rsidRPr="00026EC1">
        <w:tab/>
      </w:r>
      <w:r w:rsidRPr="00147EA0">
        <w:rPr>
          <w:u w:val="single"/>
        </w:rPr>
        <w:t>Admissibilité et durée du congé de maternité</w:t>
      </w:r>
    </w:p>
    <w:p w14:paraId="09CC751E" w14:textId="7CFA8A18" w:rsidR="009F5256" w:rsidRPr="00026EC1" w:rsidRDefault="009F5256" w:rsidP="00A64613">
      <w:pPr>
        <w:keepNext w:val="0"/>
        <w:rPr>
          <w:szCs w:val="24"/>
        </w:rPr>
      </w:pPr>
      <w:r w:rsidRPr="00026EC1">
        <w:t>L</w:t>
      </w:r>
      <w:r w:rsidR="004A41E4" w:rsidRPr="00026EC1">
        <w:t>’</w:t>
      </w:r>
      <w:r w:rsidRPr="00026EC1">
        <w:t>enseignante enceinte admissible au RQAP a droit à un congé de maternité d</w:t>
      </w:r>
      <w:r w:rsidR="004A41E4" w:rsidRPr="00026EC1">
        <w:t>’</w:t>
      </w:r>
      <w:r w:rsidRPr="00026EC1">
        <w:t xml:space="preserve">une durée de </w:t>
      </w:r>
      <w:r w:rsidRPr="00026EC1">
        <w:rPr>
          <w:szCs w:val="24"/>
        </w:rPr>
        <w:t>vingt</w:t>
      </w:r>
      <w:r w:rsidR="005034E7" w:rsidRPr="00026EC1">
        <w:rPr>
          <w:szCs w:val="24"/>
        </w:rPr>
        <w:t xml:space="preserve"> </w:t>
      </w:r>
      <w:r w:rsidRPr="00026EC1">
        <w:rPr>
          <w:szCs w:val="24"/>
        </w:rPr>
        <w:t>et</w:t>
      </w:r>
      <w:r w:rsidR="005034E7" w:rsidRPr="00026EC1">
        <w:rPr>
          <w:szCs w:val="24"/>
        </w:rPr>
        <w:t xml:space="preserve"> </w:t>
      </w:r>
      <w:r w:rsidRPr="00026EC1">
        <w:rPr>
          <w:szCs w:val="24"/>
        </w:rPr>
        <w:t>une (21) semaines qui, sous réserve de la clause</w:t>
      </w:r>
      <w:r w:rsidR="00D66A8F" w:rsidRPr="00026EC1">
        <w:rPr>
          <w:szCs w:val="24"/>
        </w:rPr>
        <w:t> </w:t>
      </w:r>
      <w:r w:rsidRPr="00026EC1">
        <w:rPr>
          <w:szCs w:val="24"/>
        </w:rPr>
        <w:t>5</w:t>
      </w:r>
      <w:r w:rsidR="00984A6F">
        <w:rPr>
          <w:szCs w:val="24"/>
        </w:rPr>
        <w:noBreakHyphen/>
      </w:r>
      <w:r w:rsidRPr="00026EC1">
        <w:rPr>
          <w:szCs w:val="24"/>
        </w:rPr>
        <w:t>6.10, doivent être consécutives.</w:t>
      </w:r>
    </w:p>
    <w:p w14:paraId="03B5C7FC" w14:textId="77777777" w:rsidR="009F5256" w:rsidRPr="00026EC1" w:rsidRDefault="009F5256" w:rsidP="00A64613">
      <w:pPr>
        <w:keepNext w:val="0"/>
        <w:rPr>
          <w:szCs w:val="24"/>
        </w:rPr>
      </w:pPr>
    </w:p>
    <w:p w14:paraId="6FC5B7FB" w14:textId="727742E6" w:rsidR="009F5256" w:rsidRPr="00026EC1" w:rsidRDefault="009F5256" w:rsidP="00A64613">
      <w:pPr>
        <w:keepNext w:val="0"/>
      </w:pPr>
      <w:r w:rsidRPr="00026EC1">
        <w:t>L</w:t>
      </w:r>
      <w:r w:rsidR="004A41E4" w:rsidRPr="00026EC1">
        <w:t>’</w:t>
      </w:r>
      <w:r w:rsidRPr="00026EC1">
        <w:t>enseignante enceinte admissible au RAE a droit à un congé de maternité d</w:t>
      </w:r>
      <w:r w:rsidR="004A41E4" w:rsidRPr="00026EC1">
        <w:t>’</w:t>
      </w:r>
      <w:r w:rsidRPr="00026EC1">
        <w:t>une durée de vingt (20) semaines qui, sous réserve de la clause </w:t>
      </w:r>
      <w:r w:rsidRPr="00026EC1">
        <w:rPr>
          <w:szCs w:val="24"/>
        </w:rPr>
        <w:t>5</w:t>
      </w:r>
      <w:r w:rsidR="00984A6F">
        <w:rPr>
          <w:szCs w:val="24"/>
        </w:rPr>
        <w:noBreakHyphen/>
      </w:r>
      <w:r w:rsidRPr="00026EC1">
        <w:rPr>
          <w:szCs w:val="24"/>
        </w:rPr>
        <w:t>6.10</w:t>
      </w:r>
      <w:r w:rsidRPr="00026EC1">
        <w:t>, doivent être consécutives.</w:t>
      </w:r>
    </w:p>
    <w:p w14:paraId="216AD8E3" w14:textId="2E479A02" w:rsidR="00116E2D" w:rsidRDefault="00116E2D" w:rsidP="00A64613">
      <w:pPr>
        <w:keepNext w:val="0"/>
        <w:jc w:val="left"/>
      </w:pPr>
    </w:p>
    <w:p w14:paraId="3FF6E43C" w14:textId="2F581DD8" w:rsidR="009F5256" w:rsidRPr="00026EC1" w:rsidRDefault="009F5256" w:rsidP="00A64613">
      <w:pPr>
        <w:keepNext w:val="0"/>
      </w:pPr>
      <w:r w:rsidRPr="00026EC1">
        <w:t>L</w:t>
      </w:r>
      <w:r w:rsidR="004A41E4" w:rsidRPr="00026EC1">
        <w:t>’</w:t>
      </w:r>
      <w:r w:rsidRPr="00026EC1">
        <w:t>enseignante enceinte qui n</w:t>
      </w:r>
      <w:r w:rsidR="004A41E4" w:rsidRPr="00026EC1">
        <w:t>’</w:t>
      </w:r>
      <w:r w:rsidRPr="00026EC1">
        <w:t>est pas admissible à l</w:t>
      </w:r>
      <w:r w:rsidR="004A41E4" w:rsidRPr="00026EC1">
        <w:t>’</w:t>
      </w:r>
      <w:r w:rsidRPr="00026EC1">
        <w:t>un ou l</w:t>
      </w:r>
      <w:r w:rsidR="004A41E4" w:rsidRPr="00026EC1">
        <w:t>’</w:t>
      </w:r>
      <w:r w:rsidRPr="00026EC1">
        <w:t>autre de ces régimes a droit à un congé de maternité d</w:t>
      </w:r>
      <w:r w:rsidR="004A41E4" w:rsidRPr="00026EC1">
        <w:t>’</w:t>
      </w:r>
      <w:r w:rsidRPr="00026EC1">
        <w:t>une durée de vingt (20) semaines qui, sous réserve de la clause </w:t>
      </w:r>
      <w:r w:rsidRPr="00026EC1">
        <w:rPr>
          <w:szCs w:val="24"/>
        </w:rPr>
        <w:t>5</w:t>
      </w:r>
      <w:r w:rsidR="00984A6F">
        <w:rPr>
          <w:szCs w:val="24"/>
        </w:rPr>
        <w:noBreakHyphen/>
      </w:r>
      <w:r w:rsidRPr="00026EC1">
        <w:rPr>
          <w:szCs w:val="24"/>
        </w:rPr>
        <w:t>6.10</w:t>
      </w:r>
      <w:r w:rsidRPr="00026EC1">
        <w:t>, doivent être consécutives.</w:t>
      </w:r>
    </w:p>
    <w:p w14:paraId="7D9EBA8B" w14:textId="77777777" w:rsidR="009F5256" w:rsidRPr="00026EC1" w:rsidRDefault="009F5256" w:rsidP="00A64613">
      <w:pPr>
        <w:keepNext w:val="0"/>
      </w:pPr>
    </w:p>
    <w:p w14:paraId="4D676426" w14:textId="3D3E61E2" w:rsidR="009F5256" w:rsidRPr="00026EC1" w:rsidRDefault="009F5256" w:rsidP="00A64613">
      <w:pPr>
        <w:keepNext w:val="0"/>
      </w:pPr>
      <w:r w:rsidRPr="00026EC1">
        <w:t>L</w:t>
      </w:r>
      <w:r w:rsidR="004A41E4" w:rsidRPr="00026EC1">
        <w:t>’</w:t>
      </w:r>
      <w:r w:rsidRPr="00026EC1">
        <w:t>enseignante qui devient enceinte pendant qu</w:t>
      </w:r>
      <w:r w:rsidR="004A41E4" w:rsidRPr="00026EC1">
        <w:t>’</w:t>
      </w:r>
      <w:r w:rsidRPr="00026EC1">
        <w:t>elle bénéficie d</w:t>
      </w:r>
      <w:r w:rsidR="004A41E4" w:rsidRPr="00026EC1">
        <w:t>’</w:t>
      </w:r>
      <w:r w:rsidRPr="00026EC1">
        <w:t>un congé sans traitement ou partiel sans traitement ou d</w:t>
      </w:r>
      <w:r w:rsidR="004A41E4" w:rsidRPr="00026EC1">
        <w:t>’</w:t>
      </w:r>
      <w:r w:rsidRPr="00026EC1">
        <w:t>un congé mi</w:t>
      </w:r>
      <w:r w:rsidR="00984A6F">
        <w:noBreakHyphen/>
      </w:r>
      <w:r w:rsidRPr="00026EC1">
        <w:t>temps sans traitement prévu au présent article a aussi droit à ce congé de maternité et aux indemnités prévues aux clauses</w:t>
      </w:r>
      <w:r w:rsidR="00D66A8F" w:rsidRPr="00026EC1">
        <w:t> </w:t>
      </w:r>
      <w:r w:rsidRPr="00026EC1">
        <w:t>5</w:t>
      </w:r>
      <w:r w:rsidR="00984A6F">
        <w:noBreakHyphen/>
      </w:r>
      <w:r w:rsidRPr="00026EC1">
        <w:t>6.12, 5</w:t>
      </w:r>
      <w:r w:rsidR="00984A6F">
        <w:noBreakHyphen/>
      </w:r>
      <w:r w:rsidRPr="00026EC1">
        <w:t>6.13 et 5</w:t>
      </w:r>
      <w:r w:rsidR="00984A6F">
        <w:noBreakHyphen/>
      </w:r>
      <w:r w:rsidRPr="00026EC1">
        <w:t xml:space="preserve">6.15 selon le cas. </w:t>
      </w:r>
    </w:p>
    <w:p w14:paraId="1279F72D" w14:textId="77777777" w:rsidR="009F5256" w:rsidRPr="00026EC1" w:rsidRDefault="009F5256" w:rsidP="00A64613">
      <w:pPr>
        <w:keepNext w:val="0"/>
      </w:pPr>
    </w:p>
    <w:p w14:paraId="6C0C2601" w14:textId="77777777"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dont la conjointe décède se voit transférer le résiduel du congé de maternité et bénéficie des droits et indemnités s</w:t>
      </w:r>
      <w:r w:rsidR="004A41E4" w:rsidRPr="00026EC1">
        <w:t>’</w:t>
      </w:r>
      <w:r w:rsidRPr="00026EC1">
        <w:t>y rattachant.</w:t>
      </w:r>
    </w:p>
    <w:p w14:paraId="291AD818" w14:textId="77777777" w:rsidR="009F5256" w:rsidRPr="00026EC1" w:rsidRDefault="009F5256" w:rsidP="00A64613">
      <w:pPr>
        <w:keepNext w:val="0"/>
        <w:rPr>
          <w:szCs w:val="24"/>
        </w:rPr>
      </w:pPr>
    </w:p>
    <w:p w14:paraId="05E0E192" w14:textId="6D7D2CA0" w:rsidR="009F5256" w:rsidRPr="00026EC1" w:rsidRDefault="009F5256" w:rsidP="00A64613">
      <w:pPr>
        <w:pStyle w:val="NUMRODECLAUSE"/>
        <w:keepNext w:val="0"/>
      </w:pPr>
      <w:r w:rsidRPr="00026EC1">
        <w:t>5</w:t>
      </w:r>
      <w:r w:rsidR="00984A6F">
        <w:noBreakHyphen/>
      </w:r>
      <w:r w:rsidRPr="00026EC1">
        <w:t>6.07</w:t>
      </w:r>
    </w:p>
    <w:p w14:paraId="1F3A5124" w14:textId="77777777" w:rsidR="009F5256" w:rsidRPr="00026EC1" w:rsidRDefault="009F5256" w:rsidP="00A64613">
      <w:pPr>
        <w:keepNext w:val="0"/>
      </w:pPr>
      <w:r w:rsidRPr="00026EC1">
        <w:t>L</w:t>
      </w:r>
      <w:r w:rsidR="004A41E4" w:rsidRPr="00026EC1">
        <w:t>’</w:t>
      </w:r>
      <w:r w:rsidRPr="00026EC1">
        <w:t>enseignante a également droit à ce congé de maternité dans le cas d</w:t>
      </w:r>
      <w:r w:rsidR="004A41E4" w:rsidRPr="00026EC1">
        <w:t>’</w:t>
      </w:r>
      <w:r w:rsidRPr="00026EC1">
        <w:t>une interruption de grossesse à compter du début de la vingtième (20</w:t>
      </w:r>
      <w:r w:rsidRPr="00026EC1">
        <w:rPr>
          <w:vertAlign w:val="superscript"/>
        </w:rPr>
        <w:t>e</w:t>
      </w:r>
      <w:r w:rsidRPr="00026EC1">
        <w:t>) semaine précédant la date prévue de l</w:t>
      </w:r>
      <w:r w:rsidR="004A41E4" w:rsidRPr="00026EC1">
        <w:t>’</w:t>
      </w:r>
      <w:r w:rsidRPr="00026EC1">
        <w:t>accouchement.</w:t>
      </w:r>
    </w:p>
    <w:p w14:paraId="1B47A746" w14:textId="77777777" w:rsidR="009F5256" w:rsidRPr="00026EC1" w:rsidRDefault="009F5256" w:rsidP="00A64613">
      <w:pPr>
        <w:pStyle w:val="NUMRODECLAUSE"/>
        <w:keepNext w:val="0"/>
      </w:pPr>
    </w:p>
    <w:p w14:paraId="26E8F010" w14:textId="269646A6" w:rsidR="009F5256" w:rsidRPr="00026EC1" w:rsidRDefault="009F5256" w:rsidP="00A64613">
      <w:pPr>
        <w:pStyle w:val="NUMRODECLAUSE"/>
        <w:keepNext w:val="0"/>
      </w:pPr>
      <w:r w:rsidRPr="00026EC1">
        <w:t>5</w:t>
      </w:r>
      <w:r w:rsidR="00984A6F">
        <w:noBreakHyphen/>
      </w:r>
      <w:r w:rsidRPr="00026EC1">
        <w:t>6.08</w:t>
      </w:r>
      <w:r w:rsidR="00CE30F1" w:rsidRPr="00026EC1">
        <w:tab/>
      </w:r>
      <w:r w:rsidRPr="00147EA0">
        <w:rPr>
          <w:u w:val="single"/>
        </w:rPr>
        <w:t>Répartition du congé de maternité</w:t>
      </w:r>
    </w:p>
    <w:p w14:paraId="514E622A" w14:textId="77777777" w:rsidR="009F5256" w:rsidRPr="00026EC1" w:rsidRDefault="009F5256" w:rsidP="00A64613">
      <w:pPr>
        <w:keepNext w:val="0"/>
      </w:pPr>
      <w:r w:rsidRPr="00026EC1">
        <w:t>La répartition du congé de maternité, avant et après l</w:t>
      </w:r>
      <w:r w:rsidR="004A41E4" w:rsidRPr="00026EC1">
        <w:t>’</w:t>
      </w:r>
      <w:r w:rsidRPr="00026EC1">
        <w:t>accouchement, appartient à l</w:t>
      </w:r>
      <w:r w:rsidR="004A41E4" w:rsidRPr="00026EC1">
        <w:t>’</w:t>
      </w:r>
      <w:r w:rsidRPr="00026EC1">
        <w:t xml:space="preserve">enseignante. Ce congé est simultané à la période de versement des prestations accordées en vertu de la </w:t>
      </w:r>
      <w:r w:rsidRPr="00026EC1">
        <w:rPr>
          <w:iCs/>
        </w:rPr>
        <w:t>Loi sur l</w:t>
      </w:r>
      <w:r w:rsidR="004A41E4" w:rsidRPr="00026EC1">
        <w:rPr>
          <w:iCs/>
        </w:rPr>
        <w:t>’</w:t>
      </w:r>
      <w:r w:rsidRPr="00026EC1">
        <w:rPr>
          <w:iCs/>
        </w:rPr>
        <w:t>assurance parentale</w:t>
      </w:r>
      <w:r w:rsidRPr="00026EC1">
        <w:t xml:space="preserve"> et doit débuter au plus tard la semaine suivant le début du versement des prestations accordées en vertu du RQAP.</w:t>
      </w:r>
    </w:p>
    <w:p w14:paraId="4718C29E" w14:textId="77777777" w:rsidR="009F5256" w:rsidRPr="00026EC1" w:rsidRDefault="009F5256" w:rsidP="00A64613">
      <w:pPr>
        <w:keepNext w:val="0"/>
      </w:pPr>
    </w:p>
    <w:p w14:paraId="1BEF0DAE" w14:textId="6A5ADEBE" w:rsidR="00B013DF" w:rsidRDefault="009F5256" w:rsidP="00A64613">
      <w:pPr>
        <w:keepNext w:val="0"/>
      </w:pPr>
      <w:r w:rsidRPr="00026EC1">
        <w:t>Pour l</w:t>
      </w:r>
      <w:r w:rsidR="004A41E4" w:rsidRPr="00026EC1">
        <w:t>’</w:t>
      </w:r>
      <w:r w:rsidRPr="00026EC1">
        <w:t>enseignante non admissible au RQAP, la répartition du congé de maternité, avant et après l</w:t>
      </w:r>
      <w:r w:rsidR="004A41E4" w:rsidRPr="00026EC1">
        <w:t>’</w:t>
      </w:r>
      <w:r w:rsidRPr="00026EC1">
        <w:t>accouchement, appartient à l</w:t>
      </w:r>
      <w:r w:rsidR="004A41E4" w:rsidRPr="00026EC1">
        <w:t>’</w:t>
      </w:r>
      <w:r w:rsidRPr="00026EC1">
        <w:t>enseignante et comprend le jour de l</w:t>
      </w:r>
      <w:r w:rsidR="004A41E4" w:rsidRPr="00026EC1">
        <w:t>’</w:t>
      </w:r>
      <w:r w:rsidRPr="00026EC1">
        <w:t>accouchement.</w:t>
      </w:r>
    </w:p>
    <w:p w14:paraId="3B2009F2" w14:textId="77777777" w:rsidR="00B013DF" w:rsidRDefault="00B013DF">
      <w:pPr>
        <w:keepNext w:val="0"/>
        <w:suppressAutoHyphens w:val="0"/>
        <w:jc w:val="left"/>
      </w:pPr>
      <w:r>
        <w:br w:type="page"/>
      </w:r>
    </w:p>
    <w:p w14:paraId="5792389E" w14:textId="08C8E839" w:rsidR="009F5256" w:rsidRPr="00026EC1" w:rsidRDefault="009F5256" w:rsidP="00A64613">
      <w:pPr>
        <w:pStyle w:val="NUMRODECLAUSE"/>
        <w:keepNext w:val="0"/>
      </w:pPr>
      <w:r w:rsidRPr="00026EC1">
        <w:t>5</w:t>
      </w:r>
      <w:r w:rsidR="00984A6F">
        <w:noBreakHyphen/>
      </w:r>
      <w:r w:rsidRPr="00026EC1">
        <w:t>6.09</w:t>
      </w:r>
      <w:r w:rsidRPr="00026EC1">
        <w:tab/>
      </w:r>
      <w:r w:rsidRPr="00147EA0">
        <w:rPr>
          <w:u w:val="single"/>
        </w:rPr>
        <w:t>Prolongation du congé de maternité</w:t>
      </w:r>
    </w:p>
    <w:p w14:paraId="1F92EB74" w14:textId="77777777" w:rsidR="009F5256" w:rsidRPr="00026EC1" w:rsidRDefault="009F5256" w:rsidP="00A64613">
      <w:pPr>
        <w:keepNext w:val="0"/>
      </w:pPr>
      <w:r w:rsidRPr="00026EC1">
        <w:t>Si la naissance a lieu après la date prévue, l</w:t>
      </w:r>
      <w:r w:rsidR="004A41E4" w:rsidRPr="00026EC1">
        <w:t>’</w:t>
      </w:r>
      <w:r w:rsidRPr="00026EC1">
        <w:t>enseignante a droit à une prolongation de son congé de maternité égale à la période de retard, sauf si elle dispose déjà d</w:t>
      </w:r>
      <w:r w:rsidR="004A41E4" w:rsidRPr="00026EC1">
        <w:t>’</w:t>
      </w:r>
      <w:r w:rsidRPr="00026EC1">
        <w:t>une période d</w:t>
      </w:r>
      <w:r w:rsidR="004A41E4" w:rsidRPr="00026EC1">
        <w:t>’</w:t>
      </w:r>
      <w:r w:rsidRPr="00026EC1">
        <w:t>au moins deux (2) semaines de congé de maternité après la naissance.</w:t>
      </w:r>
    </w:p>
    <w:p w14:paraId="625F83C0" w14:textId="77777777" w:rsidR="009F5256" w:rsidRPr="00026EC1" w:rsidRDefault="009F5256" w:rsidP="00A64613">
      <w:pPr>
        <w:keepNext w:val="0"/>
      </w:pPr>
    </w:p>
    <w:p w14:paraId="054E48F3" w14:textId="77777777" w:rsidR="009F5256" w:rsidRPr="00026EC1" w:rsidRDefault="009F5256" w:rsidP="00A64613">
      <w:pPr>
        <w:keepNext w:val="0"/>
      </w:pPr>
      <w:r w:rsidRPr="00026EC1">
        <w:t>L</w:t>
      </w:r>
      <w:r w:rsidR="004A41E4" w:rsidRPr="00026EC1">
        <w:t>’</w:t>
      </w:r>
      <w:r w:rsidRPr="00026EC1">
        <w:t>enseignante peut bénéficier d</w:t>
      </w:r>
      <w:r w:rsidR="004A41E4" w:rsidRPr="00026EC1">
        <w:t>’</w:t>
      </w:r>
      <w:r w:rsidRPr="00026EC1">
        <w:t>une prolongation du congé de maternité si l</w:t>
      </w:r>
      <w:r w:rsidR="004A41E4" w:rsidRPr="00026EC1">
        <w:t>’</w:t>
      </w:r>
      <w:r w:rsidRPr="00026EC1">
        <w:t>état de santé de son enfant ou si l</w:t>
      </w:r>
      <w:r w:rsidR="004A41E4" w:rsidRPr="00026EC1">
        <w:t>’</w:t>
      </w:r>
      <w:r w:rsidRPr="00026EC1">
        <w:t>état de santé de l</w:t>
      </w:r>
      <w:r w:rsidR="004A41E4" w:rsidRPr="00026EC1">
        <w:t>’</w:t>
      </w:r>
      <w:r w:rsidRPr="00026EC1">
        <w:t>enseignante l</w:t>
      </w:r>
      <w:r w:rsidR="004A41E4" w:rsidRPr="00026EC1">
        <w:t>’</w:t>
      </w:r>
      <w:r w:rsidRPr="00026EC1">
        <w:t>exige. La durée de cette prolongation est celle qui est indiquée au certificat médical qui doit être fourni par l</w:t>
      </w:r>
      <w:r w:rsidR="004A41E4" w:rsidRPr="00026EC1">
        <w:t>’</w:t>
      </w:r>
      <w:r w:rsidRPr="00026EC1">
        <w:t>enseignante.</w:t>
      </w:r>
    </w:p>
    <w:p w14:paraId="275150D8" w14:textId="77777777" w:rsidR="009F5256" w:rsidRPr="00026EC1" w:rsidRDefault="009F5256" w:rsidP="00A64613">
      <w:pPr>
        <w:keepNext w:val="0"/>
      </w:pPr>
    </w:p>
    <w:p w14:paraId="75973BA4" w14:textId="16B1A5EA" w:rsidR="009F5256" w:rsidRPr="00026EC1" w:rsidRDefault="009F5256" w:rsidP="00A64613">
      <w:pPr>
        <w:keepNext w:val="0"/>
        <w:rPr>
          <w:bCs/>
        </w:rPr>
      </w:pPr>
      <w:r w:rsidRPr="00026EC1">
        <w:t>Durant ces prolongations, l</w:t>
      </w:r>
      <w:r w:rsidR="004A41E4" w:rsidRPr="00026EC1">
        <w:t>’</w:t>
      </w:r>
      <w:r w:rsidRPr="00026EC1">
        <w:t>enseignante est considérée en congé sans traitement et ne reçoit du Collège ni indemnité ni prestation. Durant ces périodes, l</w:t>
      </w:r>
      <w:r w:rsidR="004A41E4" w:rsidRPr="00026EC1">
        <w:t>’</w:t>
      </w:r>
      <w:r w:rsidRPr="00026EC1">
        <w:t>enseignante est visée par la clause</w:t>
      </w:r>
      <w:r w:rsidR="00D66A8F" w:rsidRPr="00026EC1">
        <w:t> </w:t>
      </w:r>
      <w:r w:rsidRPr="00026EC1">
        <w:t>5</w:t>
      </w:r>
      <w:r w:rsidR="00984A6F">
        <w:noBreakHyphen/>
      </w:r>
      <w:r w:rsidRPr="00026EC1">
        <w:t>6.55 pour les six</w:t>
      </w:r>
      <w:r w:rsidR="00B013DF">
        <w:t> </w:t>
      </w:r>
      <w:r w:rsidRPr="00026EC1">
        <w:t>(6) premières semaines et par la clause</w:t>
      </w:r>
      <w:r w:rsidR="00D66A8F" w:rsidRPr="00026EC1">
        <w:t> </w:t>
      </w:r>
      <w:r w:rsidRPr="00026EC1">
        <w:t>5</w:t>
      </w:r>
      <w:r w:rsidR="00984A6F">
        <w:noBreakHyphen/>
      </w:r>
      <w:r w:rsidRPr="00026EC1">
        <w:t>6.56 par la suite.</w:t>
      </w:r>
      <w:r w:rsidRPr="00026EC1">
        <w:rPr>
          <w:bCs/>
        </w:rPr>
        <w:t xml:space="preserve"> </w:t>
      </w:r>
    </w:p>
    <w:p w14:paraId="45D8063A" w14:textId="77777777" w:rsidR="009F5256" w:rsidRPr="00026EC1" w:rsidRDefault="009F5256" w:rsidP="00A64613">
      <w:pPr>
        <w:keepNext w:val="0"/>
      </w:pPr>
    </w:p>
    <w:p w14:paraId="0B73BE75" w14:textId="24E0331A" w:rsidR="009F5256" w:rsidRPr="00026EC1" w:rsidRDefault="009F5256" w:rsidP="00A64613">
      <w:pPr>
        <w:pStyle w:val="NUMRODECLAUSE"/>
        <w:keepNext w:val="0"/>
      </w:pPr>
      <w:r w:rsidRPr="00026EC1">
        <w:t>5</w:t>
      </w:r>
      <w:r w:rsidR="00984A6F">
        <w:noBreakHyphen/>
      </w:r>
      <w:r w:rsidRPr="00026EC1">
        <w:t>6.10</w:t>
      </w:r>
      <w:r w:rsidR="00CE30F1" w:rsidRPr="00026EC1">
        <w:tab/>
      </w:r>
      <w:r w:rsidRPr="00147EA0">
        <w:rPr>
          <w:u w:val="single"/>
        </w:rPr>
        <w:t>Suspension et fractionnement du congé de maternité</w:t>
      </w:r>
    </w:p>
    <w:p w14:paraId="26665CBA" w14:textId="3C9C7455" w:rsidR="009F5256" w:rsidRPr="00026EC1" w:rsidRDefault="009F5256" w:rsidP="00A64613">
      <w:pPr>
        <w:keepNext w:val="0"/>
        <w:rPr>
          <w:bCs/>
        </w:rPr>
      </w:pPr>
      <w:r w:rsidRPr="00026EC1">
        <w:rPr>
          <w:bCs/>
        </w:rPr>
        <w:t>Pendant le congé de maternité, l</w:t>
      </w:r>
      <w:r w:rsidR="004A41E4" w:rsidRPr="00026EC1">
        <w:rPr>
          <w:bCs/>
        </w:rPr>
        <w:t>’</w:t>
      </w:r>
      <w:r w:rsidRPr="00026EC1">
        <w:rPr>
          <w:bCs/>
        </w:rPr>
        <w:t>enseignante peut suspendre ou fractionner son congé de maternité selon les dispositions qui suivent</w:t>
      </w:r>
      <w:r w:rsidR="00D8581B">
        <w:rPr>
          <w:bCs/>
        </w:rPr>
        <w:t> :</w:t>
      </w:r>
      <w:r w:rsidRPr="00026EC1">
        <w:rPr>
          <w:bCs/>
        </w:rPr>
        <w:t xml:space="preserve"> </w:t>
      </w:r>
    </w:p>
    <w:p w14:paraId="1B9F8BF2" w14:textId="77777777" w:rsidR="008852DD" w:rsidRDefault="008852DD" w:rsidP="00A64613">
      <w:pPr>
        <w:keepNext w:val="0"/>
        <w:ind w:left="567" w:hanging="567"/>
      </w:pPr>
    </w:p>
    <w:p w14:paraId="5D552518" w14:textId="3A6DA6AA" w:rsidR="009F5256" w:rsidRPr="00026EC1" w:rsidRDefault="00275751" w:rsidP="00A64613">
      <w:pPr>
        <w:keepNext w:val="0"/>
        <w:ind w:left="567" w:hanging="567"/>
      </w:pPr>
      <w:r w:rsidRPr="00026EC1">
        <w:t>A)</w:t>
      </w:r>
      <w:r w:rsidRPr="00026EC1">
        <w:tab/>
      </w:r>
      <w:r w:rsidR="009F5256" w:rsidRPr="00026EC1">
        <w:rPr>
          <w:b/>
          <w:bCs/>
          <w:szCs w:val="24"/>
          <w:u w:val="single"/>
        </w:rPr>
        <w:t xml:space="preserve">Suspension du congé </w:t>
      </w:r>
    </w:p>
    <w:p w14:paraId="267D01AE" w14:textId="77777777" w:rsidR="009F5256" w:rsidRPr="00026EC1" w:rsidRDefault="009F5256" w:rsidP="00A64613">
      <w:pPr>
        <w:pStyle w:val="Texte1cm00000"/>
        <w:keepNext w:val="0"/>
      </w:pPr>
      <w:r w:rsidRPr="00026EC1">
        <w:t>Lorsqu</w:t>
      </w:r>
      <w:r w:rsidR="004A41E4" w:rsidRPr="00026EC1">
        <w:t>’</w:t>
      </w:r>
      <w:r w:rsidRPr="00026EC1">
        <w:t>elle est suffisamment rétablie de son accouchement et si son enfant n</w:t>
      </w:r>
      <w:r w:rsidR="004A41E4" w:rsidRPr="00026EC1">
        <w:t>’</w:t>
      </w:r>
      <w:r w:rsidRPr="00026EC1">
        <w:t>est pas en mesure de quitter l</w:t>
      </w:r>
      <w:r w:rsidR="004A41E4" w:rsidRPr="00026EC1">
        <w:t>’</w:t>
      </w:r>
      <w:r w:rsidRPr="00026EC1">
        <w:t>établissement de santé, l</w:t>
      </w:r>
      <w:r w:rsidR="004A41E4" w:rsidRPr="00026EC1">
        <w:t>’</w:t>
      </w:r>
      <w:r w:rsidRPr="00026EC1">
        <w:t>enseignante peut suspendre son congé de maternité en retournant au travail. Il est complété lorsque l</w:t>
      </w:r>
      <w:r w:rsidR="004A41E4" w:rsidRPr="00026EC1">
        <w:t>’</w:t>
      </w:r>
      <w:r w:rsidRPr="00026EC1">
        <w:t>enfant intègre la résidence.</w:t>
      </w:r>
    </w:p>
    <w:p w14:paraId="24B642A2" w14:textId="77777777" w:rsidR="009F5256" w:rsidRPr="00026EC1" w:rsidRDefault="009F5256" w:rsidP="00A64613">
      <w:pPr>
        <w:pStyle w:val="Texte1cm00000"/>
        <w:keepNext w:val="0"/>
      </w:pPr>
    </w:p>
    <w:p w14:paraId="7F271332" w14:textId="77777777" w:rsidR="009F5256" w:rsidRPr="00026EC1" w:rsidRDefault="009F5256" w:rsidP="00A64613">
      <w:pPr>
        <w:keepNext w:val="0"/>
        <w:ind w:left="567"/>
      </w:pPr>
      <w:r w:rsidRPr="00026EC1">
        <w:t>En outre, lorsque l</w:t>
      </w:r>
      <w:r w:rsidR="004A41E4" w:rsidRPr="00026EC1">
        <w:t>’</w:t>
      </w:r>
      <w:r w:rsidRPr="00026EC1">
        <w:t>enseignante est suffisamment rétablie de son accouchement et que son enfant est hospitalisé après avoir quitté l</w:t>
      </w:r>
      <w:r w:rsidR="004A41E4" w:rsidRPr="00026EC1">
        <w:t>’</w:t>
      </w:r>
      <w:r w:rsidRPr="00026EC1">
        <w:t>établissement de santé, l</w:t>
      </w:r>
      <w:r w:rsidR="004A41E4" w:rsidRPr="00026EC1">
        <w:t>’</w:t>
      </w:r>
      <w:r w:rsidRPr="00026EC1">
        <w:t>enseignante peut suspendre son congé de maternité, après entente avec le Collège, en retournant au travail pendant la durée de cette hospitalisation.</w:t>
      </w:r>
    </w:p>
    <w:p w14:paraId="191856E8" w14:textId="77777777" w:rsidR="009F5256" w:rsidRPr="00026EC1" w:rsidRDefault="009F5256" w:rsidP="00A64613">
      <w:pPr>
        <w:keepNext w:val="0"/>
        <w:ind w:left="567"/>
      </w:pPr>
    </w:p>
    <w:p w14:paraId="55CAD1EE" w14:textId="77777777" w:rsidR="009F5256" w:rsidRPr="00026EC1" w:rsidRDefault="00275751" w:rsidP="00A64613">
      <w:pPr>
        <w:keepNext w:val="0"/>
        <w:ind w:left="567" w:hanging="567"/>
        <w:rPr>
          <w:b/>
          <w:bCs/>
          <w:szCs w:val="24"/>
        </w:rPr>
      </w:pPr>
      <w:r w:rsidRPr="00026EC1">
        <w:rPr>
          <w:bCs/>
          <w:szCs w:val="24"/>
        </w:rPr>
        <w:t>B)</w:t>
      </w:r>
      <w:r w:rsidRPr="00026EC1">
        <w:rPr>
          <w:bCs/>
          <w:szCs w:val="24"/>
        </w:rPr>
        <w:tab/>
      </w:r>
      <w:r w:rsidR="009F5256" w:rsidRPr="00026EC1">
        <w:rPr>
          <w:b/>
          <w:bCs/>
          <w:szCs w:val="24"/>
          <w:u w:val="single"/>
        </w:rPr>
        <w:t xml:space="preserve">Fractionnement du congé </w:t>
      </w:r>
    </w:p>
    <w:p w14:paraId="60E47485" w14:textId="6597667A" w:rsidR="009F5256" w:rsidRPr="00026EC1" w:rsidRDefault="009F5256" w:rsidP="00A64613">
      <w:pPr>
        <w:keepNext w:val="0"/>
        <w:tabs>
          <w:tab w:val="left" w:pos="720"/>
        </w:tabs>
        <w:ind w:left="568"/>
        <w:rPr>
          <w:szCs w:val="24"/>
        </w:rPr>
      </w:pPr>
      <w:r w:rsidRPr="00026EC1">
        <w:rPr>
          <w:szCs w:val="24"/>
        </w:rPr>
        <w:t>Dans l</w:t>
      </w:r>
      <w:r w:rsidR="004A41E4" w:rsidRPr="00026EC1">
        <w:rPr>
          <w:szCs w:val="24"/>
        </w:rPr>
        <w:t>’</w:t>
      </w:r>
      <w:r w:rsidRPr="00026EC1">
        <w:rPr>
          <w:szCs w:val="24"/>
        </w:rPr>
        <w:t>un ou l</w:t>
      </w:r>
      <w:r w:rsidR="004A41E4" w:rsidRPr="00026EC1">
        <w:rPr>
          <w:szCs w:val="24"/>
        </w:rPr>
        <w:t>’</w:t>
      </w:r>
      <w:r w:rsidRPr="00026EC1">
        <w:rPr>
          <w:szCs w:val="24"/>
        </w:rPr>
        <w:t>autre des cas qui suivent, sur demande de l</w:t>
      </w:r>
      <w:r w:rsidR="004A41E4" w:rsidRPr="00026EC1">
        <w:rPr>
          <w:szCs w:val="24"/>
        </w:rPr>
        <w:t>’</w:t>
      </w:r>
      <w:r w:rsidRPr="00026EC1">
        <w:rPr>
          <w:szCs w:val="24"/>
        </w:rPr>
        <w:t>enseignante, le congé de maternité peut être fractionné en semaines et le nombre maximal de semaines pendant lesquelles le congé de maternité est suspendu varie pour chacun des cas</w:t>
      </w:r>
      <w:r w:rsidR="00D8581B">
        <w:rPr>
          <w:szCs w:val="24"/>
        </w:rPr>
        <w:t> :</w:t>
      </w:r>
    </w:p>
    <w:p w14:paraId="37570316" w14:textId="77777777" w:rsidR="009F5256" w:rsidRPr="00026EC1" w:rsidRDefault="009F5256" w:rsidP="00A64613">
      <w:pPr>
        <w:keepNext w:val="0"/>
        <w:tabs>
          <w:tab w:val="left" w:pos="720"/>
        </w:tabs>
        <w:ind w:left="852" w:hanging="284"/>
        <w:rPr>
          <w:rFonts w:cs="Arial"/>
          <w:szCs w:val="24"/>
        </w:rPr>
      </w:pPr>
    </w:p>
    <w:p w14:paraId="201E24A2" w14:textId="3C727A56" w:rsidR="009F5256" w:rsidRPr="00026EC1" w:rsidRDefault="00275751" w:rsidP="00A64613">
      <w:pPr>
        <w:keepNext w:val="0"/>
        <w:ind w:left="1134" w:hanging="566"/>
        <w:rPr>
          <w:rFonts w:cs="Arial"/>
          <w:szCs w:val="24"/>
        </w:rPr>
      </w:pPr>
      <w:r w:rsidRPr="00026EC1">
        <w:rPr>
          <w:rFonts w:cs="Arial"/>
          <w:szCs w:val="24"/>
        </w:rPr>
        <w:t>1.</w:t>
      </w:r>
      <w:r w:rsidRPr="00026EC1">
        <w:rPr>
          <w:rFonts w:cs="Arial"/>
          <w:szCs w:val="24"/>
        </w:rPr>
        <w:tab/>
      </w:r>
      <w:r w:rsidR="009F5256" w:rsidRPr="00026EC1">
        <w:rPr>
          <w:rFonts w:cs="Arial"/>
          <w:szCs w:val="24"/>
        </w:rPr>
        <w:t>Si son enfant est hospitalisé</w:t>
      </w:r>
      <w:r w:rsidR="00D8581B">
        <w:rPr>
          <w:rFonts w:cs="Arial"/>
          <w:szCs w:val="24"/>
        </w:rPr>
        <w:t> :</w:t>
      </w:r>
      <w:r w:rsidR="009F5256" w:rsidRPr="00026EC1">
        <w:rPr>
          <w:rFonts w:cs="Arial"/>
          <w:szCs w:val="24"/>
        </w:rPr>
        <w:t xml:space="preserve"> le nombre maximal de semaines de la suspension du congé est équivalent au nombre de semaines que dure cette hospitalisation.</w:t>
      </w:r>
    </w:p>
    <w:p w14:paraId="3F7012D3" w14:textId="77777777" w:rsidR="009F5256" w:rsidRPr="00026EC1" w:rsidRDefault="009F5256" w:rsidP="00A64613">
      <w:pPr>
        <w:keepNext w:val="0"/>
        <w:tabs>
          <w:tab w:val="left" w:pos="720"/>
        </w:tabs>
        <w:ind w:left="852" w:hanging="284"/>
        <w:rPr>
          <w:szCs w:val="24"/>
        </w:rPr>
      </w:pPr>
    </w:p>
    <w:p w14:paraId="498EF66D" w14:textId="7000152D" w:rsidR="009F5256" w:rsidRPr="00026EC1" w:rsidRDefault="00275751" w:rsidP="00A64613">
      <w:pPr>
        <w:keepNext w:val="0"/>
        <w:ind w:left="1134" w:hanging="566"/>
        <w:rPr>
          <w:szCs w:val="24"/>
        </w:rPr>
      </w:pPr>
      <w:r w:rsidRPr="00026EC1">
        <w:rPr>
          <w:szCs w:val="24"/>
        </w:rPr>
        <w:t>2.</w:t>
      </w:r>
      <w:r w:rsidRPr="00026EC1">
        <w:rPr>
          <w:szCs w:val="24"/>
        </w:rPr>
        <w:tab/>
      </w:r>
      <w:r w:rsidR="009F5256" w:rsidRPr="00026EC1">
        <w:rPr>
          <w:szCs w:val="24"/>
        </w:rPr>
        <w:t>Si l</w:t>
      </w:r>
      <w:r w:rsidR="004A41E4" w:rsidRPr="00026EC1">
        <w:rPr>
          <w:szCs w:val="24"/>
        </w:rPr>
        <w:t>’</w:t>
      </w:r>
      <w:r w:rsidR="009F5256" w:rsidRPr="00026EC1">
        <w:rPr>
          <w:szCs w:val="24"/>
        </w:rPr>
        <w:t>enseignante s</w:t>
      </w:r>
      <w:r w:rsidR="004A41E4" w:rsidRPr="00026EC1">
        <w:rPr>
          <w:szCs w:val="24"/>
        </w:rPr>
        <w:t>’</w:t>
      </w:r>
      <w:r w:rsidR="009F5256" w:rsidRPr="00026EC1">
        <w:rPr>
          <w:szCs w:val="24"/>
        </w:rPr>
        <w:t>absente pour cause d</w:t>
      </w:r>
      <w:r w:rsidR="004A41E4" w:rsidRPr="00026EC1">
        <w:rPr>
          <w:szCs w:val="24"/>
        </w:rPr>
        <w:t>’</w:t>
      </w:r>
      <w:r w:rsidR="009F5256" w:rsidRPr="00026EC1">
        <w:rPr>
          <w:szCs w:val="24"/>
        </w:rPr>
        <w:t>accident ou de maladie non reliée à la grossesse</w:t>
      </w:r>
      <w:r w:rsidR="00D8581B">
        <w:rPr>
          <w:szCs w:val="24"/>
        </w:rPr>
        <w:t> :</w:t>
      </w:r>
      <w:r w:rsidR="009F5256" w:rsidRPr="00026EC1">
        <w:rPr>
          <w:szCs w:val="24"/>
        </w:rPr>
        <w:t xml:space="preserve"> le nombre maximal de semaines de suspension du congé est celui correspondant au nombre de semaines complètes que dure une telle situation, sans toutefois excéder vingt</w:t>
      </w:r>
      <w:r w:rsidR="00984A6F">
        <w:rPr>
          <w:szCs w:val="24"/>
        </w:rPr>
        <w:noBreakHyphen/>
      </w:r>
      <w:r w:rsidR="009F5256" w:rsidRPr="00026EC1">
        <w:rPr>
          <w:szCs w:val="24"/>
        </w:rPr>
        <w:t>six (26) semaines sur une période de douze (12) mois</w:t>
      </w:r>
      <w:r w:rsidR="009F5256" w:rsidRPr="00026EC1">
        <w:rPr>
          <w:rStyle w:val="FootnoteReference"/>
          <w:szCs w:val="24"/>
        </w:rPr>
        <w:footnoteReference w:id="8"/>
      </w:r>
      <w:r w:rsidR="007A30C3" w:rsidRPr="00026EC1">
        <w:rPr>
          <w:szCs w:val="24"/>
        </w:rPr>
        <w:t>.</w:t>
      </w:r>
    </w:p>
    <w:p w14:paraId="0C90A245" w14:textId="77777777" w:rsidR="009F5256" w:rsidRPr="00026EC1" w:rsidRDefault="009F5256" w:rsidP="00A64613">
      <w:pPr>
        <w:pStyle w:val="Texte2cm"/>
        <w:keepNext w:val="0"/>
      </w:pPr>
    </w:p>
    <w:p w14:paraId="23ADEF69" w14:textId="6BEF3641" w:rsidR="009F5256" w:rsidRPr="00026EC1" w:rsidRDefault="009F5256" w:rsidP="00A64613">
      <w:pPr>
        <w:pStyle w:val="Texte2cm"/>
        <w:keepNext w:val="0"/>
        <w:rPr>
          <w:szCs w:val="24"/>
        </w:rPr>
      </w:pPr>
      <w:r w:rsidRPr="00026EC1">
        <w:rPr>
          <w:szCs w:val="24"/>
        </w:rPr>
        <w:t>Toutefois, l</w:t>
      </w:r>
      <w:r w:rsidR="004A41E4" w:rsidRPr="00026EC1">
        <w:rPr>
          <w:szCs w:val="24"/>
        </w:rPr>
        <w:t>’</w:t>
      </w:r>
      <w:r w:rsidRPr="00026EC1">
        <w:rPr>
          <w:szCs w:val="24"/>
        </w:rPr>
        <w:t xml:space="preserve">enseignante </w:t>
      </w:r>
      <w:r w:rsidRPr="00026EC1">
        <w:rPr>
          <w:rFonts w:cs="Arial"/>
          <w:color w:val="000000"/>
          <w:szCs w:val="24"/>
          <w:lang w:eastAsia="fr-CA"/>
        </w:rPr>
        <w:t>peut s</w:t>
      </w:r>
      <w:r w:rsidR="004A41E4" w:rsidRPr="00026EC1">
        <w:rPr>
          <w:rFonts w:cs="Arial"/>
          <w:color w:val="000000"/>
          <w:szCs w:val="24"/>
          <w:lang w:eastAsia="fr-CA"/>
        </w:rPr>
        <w:t>’</w:t>
      </w:r>
      <w:r w:rsidRPr="00026EC1">
        <w:rPr>
          <w:rFonts w:cs="Arial"/>
          <w:color w:val="000000"/>
          <w:szCs w:val="24"/>
          <w:lang w:eastAsia="fr-CA"/>
        </w:rPr>
        <w:t>absenter du travail pendant une période d</w:t>
      </w:r>
      <w:r w:rsidR="004A41E4" w:rsidRPr="00026EC1">
        <w:rPr>
          <w:rFonts w:cs="Arial"/>
          <w:color w:val="000000"/>
          <w:szCs w:val="24"/>
          <w:lang w:eastAsia="fr-CA"/>
        </w:rPr>
        <w:t>’</w:t>
      </w:r>
      <w:r w:rsidRPr="00026EC1">
        <w:rPr>
          <w:rFonts w:cs="Arial"/>
          <w:color w:val="000000"/>
          <w:szCs w:val="24"/>
          <w:lang w:eastAsia="fr-CA"/>
        </w:rPr>
        <w:t>au plus</w:t>
      </w:r>
      <w:r w:rsidR="00EC5F2B" w:rsidRPr="00026EC1">
        <w:rPr>
          <w:rFonts w:cs="Arial"/>
          <w:color w:val="000000"/>
          <w:szCs w:val="24"/>
          <w:lang w:eastAsia="fr-CA"/>
        </w:rPr>
        <w:t xml:space="preserve"> cent quatre (</w:t>
      </w:r>
      <w:r w:rsidRPr="00026EC1">
        <w:rPr>
          <w:rFonts w:cs="Arial"/>
          <w:color w:val="000000"/>
          <w:szCs w:val="24"/>
          <w:lang w:eastAsia="fr-CA"/>
        </w:rPr>
        <w:t>104</w:t>
      </w:r>
      <w:r w:rsidR="00EC5F2B" w:rsidRPr="00026EC1">
        <w:rPr>
          <w:rFonts w:cs="Arial"/>
          <w:color w:val="000000"/>
          <w:szCs w:val="24"/>
          <w:lang w:eastAsia="fr-CA"/>
        </w:rPr>
        <w:t>)</w:t>
      </w:r>
      <w:r w:rsidRPr="00026EC1">
        <w:rPr>
          <w:rFonts w:cs="Arial"/>
          <w:color w:val="000000"/>
          <w:szCs w:val="24"/>
          <w:lang w:eastAsia="fr-CA"/>
        </w:rPr>
        <w:t xml:space="preserve"> semaines si elle subit un préjudice corporel grave à l</w:t>
      </w:r>
      <w:r w:rsidR="004A41E4" w:rsidRPr="00026EC1">
        <w:rPr>
          <w:rFonts w:cs="Arial"/>
          <w:color w:val="000000"/>
          <w:szCs w:val="24"/>
          <w:lang w:eastAsia="fr-CA"/>
        </w:rPr>
        <w:t>’</w:t>
      </w:r>
      <w:r w:rsidRPr="00026EC1">
        <w:rPr>
          <w:rFonts w:cs="Arial"/>
          <w:color w:val="000000"/>
          <w:szCs w:val="24"/>
          <w:lang w:eastAsia="fr-CA"/>
        </w:rPr>
        <w:t>occasion ou résultant directement d</w:t>
      </w:r>
      <w:r w:rsidR="004A41E4" w:rsidRPr="00026EC1">
        <w:rPr>
          <w:rFonts w:cs="Arial"/>
          <w:color w:val="000000"/>
          <w:szCs w:val="24"/>
          <w:lang w:eastAsia="fr-CA"/>
        </w:rPr>
        <w:t>’</w:t>
      </w:r>
      <w:r w:rsidRPr="00026EC1">
        <w:rPr>
          <w:rFonts w:cs="Arial"/>
          <w:color w:val="000000"/>
          <w:szCs w:val="24"/>
          <w:lang w:eastAsia="fr-CA"/>
        </w:rPr>
        <w:t>un acte criminel la rendant incapable d</w:t>
      </w:r>
      <w:r w:rsidR="004A41E4" w:rsidRPr="00026EC1">
        <w:rPr>
          <w:rFonts w:cs="Arial"/>
          <w:color w:val="000000"/>
          <w:szCs w:val="24"/>
          <w:lang w:eastAsia="fr-CA"/>
        </w:rPr>
        <w:t>’</w:t>
      </w:r>
      <w:r w:rsidRPr="00026EC1">
        <w:rPr>
          <w:rFonts w:cs="Arial"/>
          <w:color w:val="000000"/>
          <w:szCs w:val="24"/>
          <w:lang w:eastAsia="fr-CA"/>
        </w:rPr>
        <w:t>occuper son poste habituel; dans ce cas, la période d</w:t>
      </w:r>
      <w:r w:rsidR="004A41E4" w:rsidRPr="00026EC1">
        <w:rPr>
          <w:rFonts w:cs="Arial"/>
          <w:color w:val="000000"/>
          <w:szCs w:val="24"/>
          <w:lang w:eastAsia="fr-CA"/>
        </w:rPr>
        <w:t>’</w:t>
      </w:r>
      <w:r w:rsidRPr="00026EC1">
        <w:rPr>
          <w:rFonts w:cs="Arial"/>
          <w:color w:val="000000"/>
          <w:szCs w:val="24"/>
          <w:lang w:eastAsia="fr-CA"/>
        </w:rPr>
        <w:t>absence débute au plus tôt à la date à laquelle l</w:t>
      </w:r>
      <w:r w:rsidR="004A41E4" w:rsidRPr="00026EC1">
        <w:rPr>
          <w:rFonts w:cs="Arial"/>
          <w:color w:val="000000"/>
          <w:szCs w:val="24"/>
          <w:lang w:eastAsia="fr-CA"/>
        </w:rPr>
        <w:t>’</w:t>
      </w:r>
      <w:r w:rsidRPr="00026EC1">
        <w:rPr>
          <w:rFonts w:cs="Arial"/>
          <w:color w:val="000000"/>
          <w:szCs w:val="24"/>
          <w:lang w:eastAsia="fr-CA"/>
        </w:rPr>
        <w:t>acte criminel a été commis ou, le cas échéant, à l</w:t>
      </w:r>
      <w:r w:rsidR="004A41E4" w:rsidRPr="00026EC1">
        <w:rPr>
          <w:rFonts w:cs="Arial"/>
          <w:color w:val="000000"/>
          <w:szCs w:val="24"/>
          <w:lang w:eastAsia="fr-CA"/>
        </w:rPr>
        <w:t>’</w:t>
      </w:r>
      <w:r w:rsidRPr="00026EC1">
        <w:rPr>
          <w:rFonts w:cs="Arial"/>
          <w:color w:val="000000"/>
          <w:szCs w:val="24"/>
          <w:lang w:eastAsia="fr-CA"/>
        </w:rPr>
        <w:t xml:space="preserve">expiration de la période prévue au paragraphe précédent et se termine au plus tard </w:t>
      </w:r>
      <w:r w:rsidR="00EC5F2B" w:rsidRPr="00026EC1">
        <w:rPr>
          <w:rFonts w:cs="Arial"/>
          <w:color w:val="000000"/>
          <w:szCs w:val="24"/>
          <w:lang w:eastAsia="fr-CA"/>
        </w:rPr>
        <w:t>cent quatre</w:t>
      </w:r>
      <w:r w:rsidR="00B013DF">
        <w:rPr>
          <w:rFonts w:cs="Arial"/>
          <w:color w:val="000000"/>
          <w:szCs w:val="24"/>
          <w:lang w:eastAsia="fr-CA"/>
        </w:rPr>
        <w:t> </w:t>
      </w:r>
      <w:r w:rsidR="00EC5F2B" w:rsidRPr="00026EC1">
        <w:rPr>
          <w:rFonts w:cs="Arial"/>
          <w:color w:val="000000"/>
          <w:szCs w:val="24"/>
          <w:lang w:eastAsia="fr-CA"/>
        </w:rPr>
        <w:t>(</w:t>
      </w:r>
      <w:r w:rsidRPr="00026EC1">
        <w:rPr>
          <w:rFonts w:cs="Arial"/>
          <w:color w:val="000000"/>
          <w:szCs w:val="24"/>
          <w:lang w:eastAsia="fr-CA"/>
        </w:rPr>
        <w:t>104</w:t>
      </w:r>
      <w:r w:rsidR="00EC5F2B" w:rsidRPr="00026EC1">
        <w:rPr>
          <w:rFonts w:cs="Arial"/>
          <w:color w:val="000000"/>
          <w:szCs w:val="24"/>
          <w:lang w:eastAsia="fr-CA"/>
        </w:rPr>
        <w:t>)</w:t>
      </w:r>
      <w:r w:rsidRPr="00026EC1">
        <w:rPr>
          <w:rFonts w:cs="Arial"/>
          <w:color w:val="000000"/>
          <w:szCs w:val="24"/>
          <w:lang w:eastAsia="fr-CA"/>
        </w:rPr>
        <w:t xml:space="preserve"> semaines après la commission de l</w:t>
      </w:r>
      <w:r w:rsidR="004A41E4" w:rsidRPr="00026EC1">
        <w:rPr>
          <w:rFonts w:cs="Arial"/>
          <w:color w:val="000000"/>
          <w:szCs w:val="24"/>
          <w:lang w:eastAsia="fr-CA"/>
        </w:rPr>
        <w:t>’</w:t>
      </w:r>
      <w:r w:rsidRPr="00026EC1">
        <w:rPr>
          <w:rFonts w:cs="Arial"/>
          <w:color w:val="000000"/>
          <w:szCs w:val="24"/>
          <w:lang w:eastAsia="fr-CA"/>
        </w:rPr>
        <w:t>acte criminel</w:t>
      </w:r>
      <w:r w:rsidR="00FC4AD5" w:rsidRPr="00026EC1">
        <w:rPr>
          <w:rFonts w:cs="Arial"/>
          <w:color w:val="000000"/>
          <w:szCs w:val="24"/>
          <w:vertAlign w:val="superscript"/>
          <w:lang w:eastAsia="fr-CA"/>
        </w:rPr>
        <w:t>1</w:t>
      </w:r>
      <w:r w:rsidR="007A30C3" w:rsidRPr="00026EC1">
        <w:rPr>
          <w:rFonts w:cs="Arial"/>
          <w:color w:val="000000"/>
          <w:szCs w:val="24"/>
          <w:lang w:eastAsia="fr-CA"/>
        </w:rPr>
        <w:t>.</w:t>
      </w:r>
    </w:p>
    <w:p w14:paraId="62C6476A" w14:textId="77777777" w:rsidR="009F5256" w:rsidRPr="00026EC1" w:rsidRDefault="009F5256" w:rsidP="00A64613">
      <w:pPr>
        <w:pStyle w:val="Texte1cm00000"/>
        <w:keepNext w:val="0"/>
      </w:pPr>
    </w:p>
    <w:p w14:paraId="6BAE9728" w14:textId="13514D3D" w:rsidR="009F5256" w:rsidRPr="00026EC1" w:rsidRDefault="00275751" w:rsidP="00A64613">
      <w:pPr>
        <w:keepNext w:val="0"/>
        <w:ind w:left="1134" w:hanging="566"/>
        <w:rPr>
          <w:szCs w:val="24"/>
        </w:rPr>
      </w:pPr>
      <w:r w:rsidRPr="00026EC1">
        <w:rPr>
          <w:szCs w:val="24"/>
        </w:rPr>
        <w:t>3.</w:t>
      </w:r>
      <w:r w:rsidRPr="00026EC1">
        <w:rPr>
          <w:szCs w:val="24"/>
        </w:rPr>
        <w:tab/>
      </w:r>
      <w:r w:rsidR="009F5256" w:rsidRPr="00026EC1">
        <w:t>Si l</w:t>
      </w:r>
      <w:r w:rsidR="004A41E4" w:rsidRPr="00026EC1">
        <w:t>’</w:t>
      </w:r>
      <w:r w:rsidR="009F5256" w:rsidRPr="00026EC1">
        <w:t>enseignante s</w:t>
      </w:r>
      <w:r w:rsidR="004A41E4" w:rsidRPr="00026EC1">
        <w:t>’</w:t>
      </w:r>
      <w:r w:rsidR="009F5256" w:rsidRPr="00026EC1">
        <w:t>absente pour une situation visée aux articles</w:t>
      </w:r>
      <w:r w:rsidR="00D66A8F" w:rsidRPr="00026EC1">
        <w:t> </w:t>
      </w:r>
      <w:r w:rsidR="009F5256" w:rsidRPr="00026EC1">
        <w:t>79.8 à 79.12</w:t>
      </w:r>
      <w:r w:rsidR="009F5256" w:rsidRPr="00026EC1">
        <w:rPr>
          <w:rStyle w:val="FootnoteReference"/>
        </w:rPr>
        <w:footnoteReference w:id="9"/>
      </w:r>
      <w:r w:rsidR="009F5256" w:rsidRPr="00026EC1">
        <w:t xml:space="preserve"> de la</w:t>
      </w:r>
      <w:r w:rsidR="009F5256" w:rsidRPr="00026EC1">
        <w:rPr>
          <w:i/>
          <w:iCs/>
        </w:rPr>
        <w:t xml:space="preserve"> </w:t>
      </w:r>
      <w:r w:rsidR="009F5256" w:rsidRPr="00026EC1">
        <w:rPr>
          <w:iCs/>
        </w:rPr>
        <w:t xml:space="preserve">Loi sur les normes du travail </w:t>
      </w:r>
      <w:r w:rsidR="00F35921" w:rsidRPr="00026EC1">
        <w:rPr>
          <w:rFonts w:cs="Arial"/>
          <w:szCs w:val="24"/>
        </w:rPr>
        <w:t>(</w:t>
      </w:r>
      <w:r w:rsidR="00BA5771" w:rsidRPr="00026EC1">
        <w:rPr>
          <w:rFonts w:cs="Arial"/>
          <w:szCs w:val="24"/>
        </w:rPr>
        <w:t xml:space="preserve">RLRQ, chapitre </w:t>
      </w:r>
      <w:r w:rsidR="009F5256" w:rsidRPr="00026EC1">
        <w:t>N</w:t>
      </w:r>
      <w:r w:rsidR="00984A6F">
        <w:noBreakHyphen/>
      </w:r>
      <w:r w:rsidR="009F5256" w:rsidRPr="00026EC1">
        <w:t>1.1)</w:t>
      </w:r>
      <w:r w:rsidR="00D8581B">
        <w:t> :</w:t>
      </w:r>
      <w:r w:rsidR="009F5256" w:rsidRPr="00026EC1">
        <w:t xml:space="preserve"> le nombre maximal de semaines de suspension du congé est celui correspondant au nombre de semaines complètes que dure cette situation, selon les dispositions prévues à l</w:t>
      </w:r>
      <w:r w:rsidR="004A41E4" w:rsidRPr="00026EC1">
        <w:t>’</w:t>
      </w:r>
      <w:r w:rsidR="009F5256" w:rsidRPr="00026EC1">
        <w:t>alinéa</w:t>
      </w:r>
      <w:r w:rsidR="00D66A8F" w:rsidRPr="00026EC1">
        <w:t> </w:t>
      </w:r>
      <w:r w:rsidR="009F5256" w:rsidRPr="00026EC1">
        <w:t>B) de la clause</w:t>
      </w:r>
      <w:r w:rsidR="00D66A8F" w:rsidRPr="00026EC1">
        <w:t> </w:t>
      </w:r>
      <w:r w:rsidR="009F5256" w:rsidRPr="00026EC1">
        <w:t>5</w:t>
      </w:r>
      <w:r w:rsidR="00984A6F">
        <w:noBreakHyphen/>
      </w:r>
      <w:r w:rsidR="009F5256" w:rsidRPr="00026EC1">
        <w:t>9.06.</w:t>
      </w:r>
    </w:p>
    <w:p w14:paraId="23E9B7B8" w14:textId="77777777" w:rsidR="009F5256" w:rsidRPr="00026EC1" w:rsidRDefault="009F5256" w:rsidP="00A64613">
      <w:pPr>
        <w:pStyle w:val="Texte1cm00000"/>
        <w:keepNext w:val="0"/>
      </w:pPr>
    </w:p>
    <w:p w14:paraId="5839CDC2" w14:textId="6AA64E81" w:rsidR="009F5256" w:rsidRPr="00026EC1" w:rsidRDefault="009F5256" w:rsidP="00A64613">
      <w:pPr>
        <w:keepNext w:val="0"/>
        <w:ind w:left="568"/>
      </w:pPr>
      <w:r w:rsidRPr="00026EC1">
        <w:t>Durant une telle suspension, l</w:t>
      </w:r>
      <w:r w:rsidR="004A41E4" w:rsidRPr="00026EC1">
        <w:t>’</w:t>
      </w:r>
      <w:r w:rsidRPr="00026EC1">
        <w:t>enseignante est considérée en congé sans traitement et ne reçoit du Collège ni indemnité ni prestation; elle bénéficie des avantages prévus aux clauses</w:t>
      </w:r>
      <w:r w:rsidR="00D66A8F" w:rsidRPr="00026EC1">
        <w:t> </w:t>
      </w:r>
      <w:r w:rsidRPr="00026EC1">
        <w:t>5</w:t>
      </w:r>
      <w:r w:rsidR="00984A6F">
        <w:noBreakHyphen/>
      </w:r>
      <w:r w:rsidRPr="00026EC1">
        <w:t>6.56 et 5</w:t>
      </w:r>
      <w:r w:rsidR="00984A6F">
        <w:noBreakHyphen/>
      </w:r>
      <w:r w:rsidRPr="00026EC1">
        <w:t>6.58.</w:t>
      </w:r>
    </w:p>
    <w:p w14:paraId="3C9762FE" w14:textId="77777777" w:rsidR="009F5256" w:rsidRPr="00026EC1" w:rsidRDefault="009F5256" w:rsidP="00A64613">
      <w:pPr>
        <w:keepNext w:val="0"/>
        <w:rPr>
          <w:bCs/>
          <w:szCs w:val="24"/>
        </w:rPr>
      </w:pPr>
    </w:p>
    <w:p w14:paraId="16BD8A1C" w14:textId="77F763F5" w:rsidR="009F5256" w:rsidRPr="00026EC1" w:rsidRDefault="009F5256" w:rsidP="00A64613">
      <w:pPr>
        <w:pStyle w:val="NUMRODECLAUSE"/>
        <w:keepNext w:val="0"/>
        <w:rPr>
          <w:strike/>
        </w:rPr>
      </w:pPr>
      <w:r w:rsidRPr="00026EC1">
        <w:t>5</w:t>
      </w:r>
      <w:r w:rsidR="00984A6F">
        <w:noBreakHyphen/>
      </w:r>
      <w:r w:rsidRPr="00026EC1">
        <w:t>6.11</w:t>
      </w:r>
    </w:p>
    <w:p w14:paraId="006813DD" w14:textId="6A4295DC" w:rsidR="009F5256" w:rsidRPr="00026EC1" w:rsidRDefault="009F5256" w:rsidP="00A64613">
      <w:pPr>
        <w:keepNext w:val="0"/>
        <w:rPr>
          <w:szCs w:val="24"/>
        </w:rPr>
      </w:pPr>
      <w:r w:rsidRPr="00026EC1">
        <w:t>Lors de la reprise du congé de maternité suspendu ou fractionné en vertu de la clause</w:t>
      </w:r>
      <w:r w:rsidR="00D66A8F" w:rsidRPr="00026EC1">
        <w:t> </w:t>
      </w:r>
      <w:r w:rsidRPr="00026EC1">
        <w:t>5</w:t>
      </w:r>
      <w:r w:rsidR="00984A6F">
        <w:noBreakHyphen/>
      </w:r>
      <w:r w:rsidRPr="00026EC1">
        <w:t>6.1</w:t>
      </w:r>
      <w:r w:rsidR="00EC5F2B" w:rsidRPr="00026EC1">
        <w:t>0</w:t>
      </w:r>
      <w:r w:rsidRPr="00026EC1">
        <w:t>, le Collège verse à l</w:t>
      </w:r>
      <w:r w:rsidR="004A41E4" w:rsidRPr="00026EC1">
        <w:t>’</w:t>
      </w:r>
      <w:r w:rsidRPr="00026EC1">
        <w:t>enseignante l</w:t>
      </w:r>
      <w:r w:rsidR="004A41E4" w:rsidRPr="00026EC1">
        <w:t>’</w:t>
      </w:r>
      <w:r w:rsidRPr="00026EC1">
        <w:t>indemnité à laquelle elle aurait alors eu droit si elle ne s</w:t>
      </w:r>
      <w:r w:rsidR="004A41E4" w:rsidRPr="00026EC1">
        <w:t>’</w:t>
      </w:r>
      <w:r w:rsidRPr="00026EC1">
        <w:t>était pas prévalue d</w:t>
      </w:r>
      <w:r w:rsidR="004A41E4" w:rsidRPr="00026EC1">
        <w:t>’</w:t>
      </w:r>
      <w:r w:rsidRPr="00026EC1">
        <w:t>une telle suspension ou d</w:t>
      </w:r>
      <w:r w:rsidR="004A41E4" w:rsidRPr="00026EC1">
        <w:t>’</w:t>
      </w:r>
      <w:r w:rsidRPr="00026EC1">
        <w:t>un tel fractionnement</w:t>
      </w:r>
      <w:r w:rsidR="002E376D" w:rsidRPr="00026EC1">
        <w:t>,</w:t>
      </w:r>
      <w:r w:rsidRPr="00026EC1">
        <w:t xml:space="preserve"> et ce, pour le nombre de semaines qu</w:t>
      </w:r>
      <w:r w:rsidR="004A41E4" w:rsidRPr="00026EC1">
        <w:t>’</w:t>
      </w:r>
      <w:r w:rsidRPr="00026EC1">
        <w:t>il reste à couvrir en vertu des clauses</w:t>
      </w:r>
      <w:r w:rsidR="00D66A8F" w:rsidRPr="00026EC1">
        <w:t> </w:t>
      </w:r>
      <w:r w:rsidRPr="00026EC1">
        <w:t>5</w:t>
      </w:r>
      <w:r w:rsidR="00984A6F">
        <w:noBreakHyphen/>
      </w:r>
      <w:r w:rsidRPr="00026EC1">
        <w:t>6.12, 5</w:t>
      </w:r>
      <w:r w:rsidR="00984A6F">
        <w:noBreakHyphen/>
      </w:r>
      <w:r w:rsidRPr="00026EC1">
        <w:t>6.13 et 5</w:t>
      </w:r>
      <w:r w:rsidR="00984A6F">
        <w:noBreakHyphen/>
      </w:r>
      <w:r w:rsidRPr="00026EC1">
        <w:t>6.15, sous réserve de la clause</w:t>
      </w:r>
      <w:r w:rsidR="00D66A8F" w:rsidRPr="00026EC1">
        <w:t> </w:t>
      </w:r>
      <w:r w:rsidRPr="00026EC1">
        <w:t>5</w:t>
      </w:r>
      <w:r w:rsidR="00984A6F">
        <w:noBreakHyphen/>
      </w:r>
      <w:r w:rsidRPr="00026EC1">
        <w:t>6.01.</w:t>
      </w:r>
    </w:p>
    <w:p w14:paraId="33CEC7E6" w14:textId="77777777" w:rsidR="009F5256" w:rsidRPr="00026EC1" w:rsidRDefault="009F5256" w:rsidP="00A64613">
      <w:pPr>
        <w:keepNext w:val="0"/>
      </w:pPr>
    </w:p>
    <w:p w14:paraId="1ED78864" w14:textId="77777777" w:rsidR="009F5256" w:rsidRPr="00B013DF" w:rsidRDefault="009F5256" w:rsidP="00A64613">
      <w:pPr>
        <w:pStyle w:val="NUMRODECLAUSE"/>
        <w:keepNext w:val="0"/>
        <w:rPr>
          <w:u w:val="single"/>
        </w:rPr>
      </w:pPr>
      <w:r w:rsidRPr="00B013DF">
        <w:rPr>
          <w:u w:val="single"/>
        </w:rPr>
        <w:t>Indemnité liée au congé de maternité</w:t>
      </w:r>
    </w:p>
    <w:p w14:paraId="4D983147" w14:textId="77777777" w:rsidR="009F5256" w:rsidRPr="00026EC1" w:rsidRDefault="009F5256" w:rsidP="00A64613">
      <w:pPr>
        <w:keepNext w:val="0"/>
      </w:pPr>
    </w:p>
    <w:p w14:paraId="62A75F89" w14:textId="77777777" w:rsidR="009F5256" w:rsidRPr="00026EC1" w:rsidRDefault="009F5256" w:rsidP="00A64613">
      <w:pPr>
        <w:pStyle w:val="PMGSTexte0cm"/>
        <w:keepNext w:val="0"/>
        <w:rPr>
          <w:bCs/>
          <w:smallCaps w:val="0"/>
          <w:szCs w:val="24"/>
        </w:rPr>
      </w:pPr>
      <w:r w:rsidRPr="00026EC1">
        <w:rPr>
          <w:smallCaps w:val="0"/>
          <w:u w:val="none"/>
        </w:rPr>
        <w:t>A)</w:t>
      </w:r>
      <w:r w:rsidRPr="00026EC1">
        <w:rPr>
          <w:smallCaps w:val="0"/>
          <w:u w:val="none"/>
        </w:rPr>
        <w:tab/>
      </w:r>
      <w:r w:rsidRPr="00026EC1">
        <w:rPr>
          <w:smallCaps w:val="0"/>
        </w:rPr>
        <w:t>Cas admissible au Régime québécois d</w:t>
      </w:r>
      <w:r w:rsidR="004A41E4" w:rsidRPr="00026EC1">
        <w:rPr>
          <w:smallCaps w:val="0"/>
        </w:rPr>
        <w:t>’</w:t>
      </w:r>
      <w:r w:rsidRPr="00026EC1">
        <w:rPr>
          <w:smallCaps w:val="0"/>
        </w:rPr>
        <w:t>assurance parentale (RQAP)</w:t>
      </w:r>
    </w:p>
    <w:p w14:paraId="4A08F671" w14:textId="77777777" w:rsidR="009F5256" w:rsidRPr="00026EC1" w:rsidRDefault="009F5256" w:rsidP="00A64613">
      <w:pPr>
        <w:keepNext w:val="0"/>
      </w:pPr>
    </w:p>
    <w:p w14:paraId="54E32790" w14:textId="0A19E922" w:rsidR="009F5256" w:rsidRPr="00026EC1" w:rsidRDefault="009F5256" w:rsidP="00A64613">
      <w:pPr>
        <w:pStyle w:val="NUMRODECLAUSE"/>
        <w:keepNext w:val="0"/>
      </w:pPr>
      <w:r w:rsidRPr="00026EC1">
        <w:t>5</w:t>
      </w:r>
      <w:r w:rsidR="00984A6F">
        <w:noBreakHyphen/>
      </w:r>
      <w:r w:rsidRPr="00026EC1">
        <w:t>6.12</w:t>
      </w:r>
    </w:p>
    <w:p w14:paraId="2971A956" w14:textId="33C0CB79" w:rsidR="00FB6116" w:rsidRPr="00026EC1" w:rsidRDefault="00FB6116" w:rsidP="00A64613">
      <w:pPr>
        <w:keepNext w:val="0"/>
        <w:rPr>
          <w:szCs w:val="24"/>
        </w:rPr>
      </w:pPr>
      <w:r w:rsidRPr="00026EC1">
        <w:rPr>
          <w:szCs w:val="24"/>
        </w:rPr>
        <w:t>L’enseignante qui a accumulé vingt (20) semaines de service</w:t>
      </w:r>
      <w:r w:rsidRPr="00026EC1">
        <w:rPr>
          <w:rStyle w:val="FootnoteReference"/>
          <w:szCs w:val="24"/>
        </w:rPr>
        <w:footnoteReference w:id="10"/>
      </w:r>
      <w:r w:rsidRPr="00026EC1">
        <w:rPr>
          <w:szCs w:val="24"/>
        </w:rPr>
        <w:t xml:space="preserve"> et qui est admissible à des prestations en vertu du RQAP, reçoit pendant les vingt et une (21) semaines de son congé de maternité, une indemnité calculée selon la formule suivante</w:t>
      </w:r>
      <w:r w:rsidRPr="00026EC1">
        <w:rPr>
          <w:rStyle w:val="FootnoteReference"/>
          <w:szCs w:val="24"/>
        </w:rPr>
        <w:footnoteReference w:id="11"/>
      </w:r>
      <w:r w:rsidR="00D8581B">
        <w:rPr>
          <w:szCs w:val="24"/>
        </w:rPr>
        <w:t> :</w:t>
      </w:r>
      <w:r w:rsidRPr="00026EC1">
        <w:rPr>
          <w:szCs w:val="24"/>
        </w:rPr>
        <w:t xml:space="preserve"> </w:t>
      </w:r>
    </w:p>
    <w:p w14:paraId="32B22A68" w14:textId="77777777" w:rsidR="00450D11" w:rsidRDefault="00450D11" w:rsidP="00A64613">
      <w:pPr>
        <w:keepNext w:val="0"/>
        <w:ind w:firstLine="567"/>
        <w:rPr>
          <w:rFonts w:cs="Arial"/>
          <w:szCs w:val="24"/>
        </w:rPr>
      </w:pPr>
    </w:p>
    <w:p w14:paraId="087A22E9" w14:textId="78AB5B48" w:rsidR="00FB6116" w:rsidRPr="00026EC1" w:rsidRDefault="00FB6116" w:rsidP="00A64613">
      <w:pPr>
        <w:keepNext w:val="0"/>
        <w:ind w:firstLine="567"/>
        <w:rPr>
          <w:rFonts w:cs="Arial"/>
          <w:szCs w:val="24"/>
        </w:rPr>
      </w:pPr>
      <w:r w:rsidRPr="00026EC1">
        <w:rPr>
          <w:rFonts w:cs="Arial"/>
          <w:szCs w:val="24"/>
        </w:rPr>
        <w:t>1</w:t>
      </w:r>
      <w:r w:rsidRPr="00026EC1">
        <w:rPr>
          <w:rFonts w:cs="Arial"/>
          <w:szCs w:val="24"/>
          <w:vertAlign w:val="superscript"/>
        </w:rPr>
        <w:t>0</w:t>
      </w:r>
      <w:r w:rsidRPr="00026EC1">
        <w:rPr>
          <w:rFonts w:cs="Arial"/>
          <w:szCs w:val="24"/>
        </w:rPr>
        <w:t xml:space="preserve"> en additionnant</w:t>
      </w:r>
      <w:r w:rsidR="00D8581B">
        <w:rPr>
          <w:rFonts w:cs="Arial"/>
          <w:szCs w:val="24"/>
        </w:rPr>
        <w:t> :</w:t>
      </w:r>
      <w:r w:rsidRPr="00026EC1">
        <w:rPr>
          <w:rFonts w:cs="Arial"/>
          <w:szCs w:val="24"/>
        </w:rPr>
        <w:t xml:space="preserve"> </w:t>
      </w:r>
    </w:p>
    <w:p w14:paraId="5099EFE1" w14:textId="77777777" w:rsidR="00FB6116" w:rsidRPr="00026EC1" w:rsidRDefault="00FB6116" w:rsidP="00A64613">
      <w:pPr>
        <w:keepNext w:val="0"/>
        <w:ind w:firstLine="708"/>
        <w:rPr>
          <w:rFonts w:cs="Arial"/>
          <w:szCs w:val="24"/>
        </w:rPr>
      </w:pPr>
    </w:p>
    <w:p w14:paraId="3C945D29" w14:textId="7E35E340" w:rsidR="00FB6116" w:rsidRPr="00026EC1" w:rsidRDefault="00FB6116" w:rsidP="004F71C1">
      <w:pPr>
        <w:keepNext w:val="0"/>
        <w:numPr>
          <w:ilvl w:val="0"/>
          <w:numId w:val="18"/>
        </w:numPr>
        <w:rPr>
          <w:rFonts w:cs="Arial"/>
          <w:szCs w:val="24"/>
        </w:rPr>
      </w:pPr>
      <w:r w:rsidRPr="00026EC1">
        <w:rPr>
          <w:rFonts w:cs="Arial"/>
          <w:szCs w:val="24"/>
        </w:rPr>
        <w:t xml:space="preserve">le montant représentant </w:t>
      </w:r>
      <w:r w:rsidR="008F6B68" w:rsidRPr="00026EC1">
        <w:rPr>
          <w:rFonts w:cs="Arial"/>
          <w:szCs w:val="24"/>
        </w:rPr>
        <w:t>cent pour cent (</w:t>
      </w:r>
      <w:r w:rsidRPr="00026EC1">
        <w:rPr>
          <w:rFonts w:cs="Arial"/>
          <w:szCs w:val="24"/>
        </w:rPr>
        <w:t>100</w:t>
      </w:r>
      <w:r w:rsidR="00714A15">
        <w:rPr>
          <w:rFonts w:cs="Arial"/>
          <w:szCs w:val="24"/>
        </w:rPr>
        <w:t> %</w:t>
      </w:r>
      <w:r w:rsidR="008F6B68" w:rsidRPr="00026EC1">
        <w:rPr>
          <w:rFonts w:cs="Arial"/>
          <w:szCs w:val="24"/>
        </w:rPr>
        <w:t>)</w:t>
      </w:r>
      <w:r w:rsidRPr="00026EC1">
        <w:rPr>
          <w:rFonts w:cs="Arial"/>
          <w:szCs w:val="24"/>
        </w:rPr>
        <w:t xml:space="preserve"> du traitement hebdomadaire de base de l’enseignante jusqu’à concurrence de </w:t>
      </w:r>
      <w:r w:rsidR="008F6B68" w:rsidRPr="00026EC1">
        <w:rPr>
          <w:rFonts w:cs="Arial"/>
          <w:szCs w:val="24"/>
        </w:rPr>
        <w:t>deux cent vingt</w:t>
      </w:r>
      <w:r w:rsidR="00984A6F">
        <w:rPr>
          <w:rFonts w:cs="Arial"/>
          <w:szCs w:val="24"/>
        </w:rPr>
        <w:noBreakHyphen/>
      </w:r>
      <w:r w:rsidR="008F6B68" w:rsidRPr="00026EC1">
        <w:rPr>
          <w:rFonts w:cs="Arial"/>
          <w:szCs w:val="24"/>
        </w:rPr>
        <w:t>cinq dollars (</w:t>
      </w:r>
      <w:r w:rsidRPr="00026EC1">
        <w:rPr>
          <w:rFonts w:cs="Arial"/>
          <w:szCs w:val="24"/>
        </w:rPr>
        <w:t>225</w:t>
      </w:r>
      <w:r w:rsidR="00D8581B">
        <w:rPr>
          <w:rFonts w:cs="Arial"/>
          <w:szCs w:val="24"/>
        </w:rPr>
        <w:t> $</w:t>
      </w:r>
      <w:r w:rsidR="008F6B68" w:rsidRPr="00026EC1">
        <w:rPr>
          <w:rFonts w:cs="Arial"/>
          <w:szCs w:val="24"/>
        </w:rPr>
        <w:t>)</w:t>
      </w:r>
      <w:r w:rsidRPr="00026EC1">
        <w:rPr>
          <w:rFonts w:cs="Arial"/>
          <w:szCs w:val="24"/>
        </w:rPr>
        <w:t>;</w:t>
      </w:r>
    </w:p>
    <w:p w14:paraId="22C6C03E" w14:textId="77777777" w:rsidR="008F6B68" w:rsidRPr="00026EC1" w:rsidRDefault="008F6B68" w:rsidP="00A64613">
      <w:pPr>
        <w:keepNext w:val="0"/>
        <w:ind w:left="851"/>
        <w:rPr>
          <w:rFonts w:cs="Arial"/>
          <w:szCs w:val="24"/>
        </w:rPr>
      </w:pPr>
    </w:p>
    <w:p w14:paraId="3DC9D5E7" w14:textId="77777777" w:rsidR="00FB6116" w:rsidRPr="00026EC1" w:rsidRDefault="00FB6116" w:rsidP="00A64613">
      <w:pPr>
        <w:keepNext w:val="0"/>
        <w:ind w:firstLine="851"/>
        <w:rPr>
          <w:rFonts w:cs="Arial"/>
          <w:szCs w:val="24"/>
        </w:rPr>
      </w:pPr>
      <w:r w:rsidRPr="00026EC1">
        <w:rPr>
          <w:rFonts w:cs="Arial"/>
          <w:szCs w:val="24"/>
        </w:rPr>
        <w:t xml:space="preserve">et </w:t>
      </w:r>
    </w:p>
    <w:p w14:paraId="031FCE6C" w14:textId="77777777" w:rsidR="00FB6116" w:rsidRPr="00026EC1" w:rsidRDefault="00FB6116" w:rsidP="00A64613">
      <w:pPr>
        <w:keepNext w:val="0"/>
        <w:ind w:left="1134" w:hanging="283"/>
        <w:rPr>
          <w:rFonts w:cs="Arial"/>
          <w:szCs w:val="24"/>
        </w:rPr>
      </w:pPr>
    </w:p>
    <w:p w14:paraId="763EADFE" w14:textId="6707461E" w:rsidR="00FB6116" w:rsidRDefault="00FB6116" w:rsidP="00A64613">
      <w:pPr>
        <w:keepNext w:val="0"/>
        <w:ind w:left="1134" w:hanging="283"/>
        <w:rPr>
          <w:rFonts w:cs="Arial"/>
          <w:szCs w:val="24"/>
        </w:rPr>
      </w:pPr>
      <w:r w:rsidRPr="00026EC1">
        <w:rPr>
          <w:rFonts w:cs="Arial"/>
          <w:szCs w:val="24"/>
        </w:rPr>
        <w:t xml:space="preserve">b) le montant représentant </w:t>
      </w:r>
      <w:r w:rsidR="008F6B68" w:rsidRPr="00026EC1">
        <w:rPr>
          <w:rFonts w:cs="Arial"/>
          <w:szCs w:val="24"/>
        </w:rPr>
        <w:t>quatre</w:t>
      </w:r>
      <w:r w:rsidR="00984A6F">
        <w:rPr>
          <w:rFonts w:cs="Arial"/>
          <w:szCs w:val="24"/>
        </w:rPr>
        <w:noBreakHyphen/>
      </w:r>
      <w:r w:rsidR="008F6B68" w:rsidRPr="00026EC1">
        <w:rPr>
          <w:rFonts w:cs="Arial"/>
          <w:szCs w:val="24"/>
        </w:rPr>
        <w:t>vingt</w:t>
      </w:r>
      <w:r w:rsidR="00984A6F">
        <w:rPr>
          <w:rFonts w:cs="Arial"/>
          <w:szCs w:val="24"/>
        </w:rPr>
        <w:noBreakHyphen/>
      </w:r>
      <w:r w:rsidR="008F6B68" w:rsidRPr="00026EC1">
        <w:rPr>
          <w:rFonts w:cs="Arial"/>
          <w:szCs w:val="24"/>
        </w:rPr>
        <w:t>huit pour cent (88</w:t>
      </w:r>
      <w:r w:rsidR="00714A15">
        <w:rPr>
          <w:rFonts w:cs="Arial"/>
          <w:szCs w:val="24"/>
        </w:rPr>
        <w:t> %</w:t>
      </w:r>
      <w:r w:rsidR="008F6B68" w:rsidRPr="00026EC1">
        <w:rPr>
          <w:rFonts w:cs="Arial"/>
          <w:szCs w:val="24"/>
        </w:rPr>
        <w:t xml:space="preserve">) </w:t>
      </w:r>
      <w:r w:rsidRPr="00026EC1">
        <w:rPr>
          <w:rFonts w:cs="Arial"/>
          <w:szCs w:val="24"/>
        </w:rPr>
        <w:t xml:space="preserve">de la différence entre le traitement hebdomadaire de base de l’enseignante et le montant établi au précédent </w:t>
      </w:r>
      <w:r w:rsidR="00830E94" w:rsidRPr="00026EC1">
        <w:rPr>
          <w:rFonts w:cs="Arial"/>
          <w:szCs w:val="24"/>
        </w:rPr>
        <w:t>sous</w:t>
      </w:r>
      <w:r w:rsidR="00984A6F">
        <w:rPr>
          <w:rFonts w:cs="Arial"/>
          <w:szCs w:val="24"/>
        </w:rPr>
        <w:noBreakHyphen/>
      </w:r>
      <w:r w:rsidRPr="00026EC1">
        <w:rPr>
          <w:rFonts w:cs="Arial"/>
          <w:szCs w:val="24"/>
        </w:rPr>
        <w:t>alinéa a);</w:t>
      </w:r>
    </w:p>
    <w:p w14:paraId="1D19EB74" w14:textId="77777777" w:rsidR="00A97C66" w:rsidRPr="00026EC1" w:rsidRDefault="00A97C66" w:rsidP="00A64613">
      <w:pPr>
        <w:keepNext w:val="0"/>
        <w:ind w:left="1134" w:hanging="283"/>
        <w:rPr>
          <w:rFonts w:cs="Arial"/>
          <w:szCs w:val="24"/>
        </w:rPr>
      </w:pPr>
    </w:p>
    <w:p w14:paraId="3FE6E269" w14:textId="2FFF32A6" w:rsidR="00FB6116" w:rsidRPr="00026EC1" w:rsidRDefault="00FB6116" w:rsidP="00A64613">
      <w:pPr>
        <w:keepNext w:val="0"/>
        <w:ind w:left="851" w:hanging="284"/>
        <w:rPr>
          <w:rFonts w:cs="Arial"/>
          <w:szCs w:val="24"/>
        </w:rPr>
      </w:pPr>
      <w:r w:rsidRPr="00026EC1">
        <w:rPr>
          <w:rFonts w:cs="Arial"/>
          <w:szCs w:val="24"/>
        </w:rPr>
        <w:t>2</w:t>
      </w:r>
      <w:r w:rsidRPr="00026EC1">
        <w:rPr>
          <w:rFonts w:cs="Arial"/>
          <w:szCs w:val="24"/>
          <w:vertAlign w:val="superscript"/>
        </w:rPr>
        <w:t xml:space="preserve">0 </w:t>
      </w:r>
      <w:r w:rsidRPr="00026EC1">
        <w:rPr>
          <w:rFonts w:cs="Arial"/>
          <w:szCs w:val="24"/>
        </w:rPr>
        <w:t xml:space="preserve">et en soustrayant de cette somme le montant des prestations de maternité ou parentales qu’elle reçoit, ou qu’elle recevrait si elle en faisait la demande, du RQAP. </w:t>
      </w:r>
    </w:p>
    <w:p w14:paraId="1788B275" w14:textId="77777777" w:rsidR="00FB6116" w:rsidRPr="00026EC1" w:rsidRDefault="00FB6116" w:rsidP="00A64613">
      <w:pPr>
        <w:keepNext w:val="0"/>
        <w:rPr>
          <w:szCs w:val="24"/>
        </w:rPr>
      </w:pPr>
    </w:p>
    <w:p w14:paraId="723303F3" w14:textId="77777777" w:rsidR="009F5256" w:rsidRPr="00026EC1" w:rsidRDefault="009F5256" w:rsidP="00A64613">
      <w:pPr>
        <w:keepNext w:val="0"/>
        <w:rPr>
          <w:i/>
          <w:iCs/>
          <w:szCs w:val="24"/>
        </w:rPr>
      </w:pPr>
      <w:r w:rsidRPr="00026EC1">
        <w:rPr>
          <w:szCs w:val="24"/>
        </w:rPr>
        <w:t>Cette indemnité se calcule à partir des prestations du RQAP qu</w:t>
      </w:r>
      <w:r w:rsidR="004A41E4" w:rsidRPr="00026EC1">
        <w:rPr>
          <w:szCs w:val="24"/>
        </w:rPr>
        <w:t>’</w:t>
      </w:r>
      <w:r w:rsidRPr="00026EC1">
        <w:rPr>
          <w:szCs w:val="24"/>
        </w:rPr>
        <w:t xml:space="preserve">une enseignante a droit de recevoir sans tenir compte des montants soustraits de telles prestations en raison des remboursements de prestations, des intérêts, des pénalités et autres montants recouvrables en vertu de la </w:t>
      </w:r>
      <w:r w:rsidRPr="00026EC1">
        <w:rPr>
          <w:iCs/>
          <w:szCs w:val="24"/>
        </w:rPr>
        <w:t>Loi sur l</w:t>
      </w:r>
      <w:r w:rsidR="004A41E4" w:rsidRPr="00026EC1">
        <w:rPr>
          <w:iCs/>
          <w:szCs w:val="24"/>
        </w:rPr>
        <w:t>’</w:t>
      </w:r>
      <w:r w:rsidRPr="00026EC1">
        <w:rPr>
          <w:iCs/>
          <w:szCs w:val="24"/>
        </w:rPr>
        <w:t>assurance parentale</w:t>
      </w:r>
      <w:r w:rsidRPr="00026EC1">
        <w:rPr>
          <w:i/>
          <w:iCs/>
          <w:szCs w:val="24"/>
        </w:rPr>
        <w:t>.</w:t>
      </w:r>
    </w:p>
    <w:p w14:paraId="2A2B6C20" w14:textId="77777777" w:rsidR="009F5256" w:rsidRPr="00026EC1" w:rsidRDefault="009F5256" w:rsidP="00A64613">
      <w:pPr>
        <w:keepNext w:val="0"/>
        <w:rPr>
          <w:i/>
          <w:iCs/>
          <w:szCs w:val="24"/>
        </w:rPr>
      </w:pPr>
    </w:p>
    <w:p w14:paraId="5EDFE25D" w14:textId="0C10C9EC" w:rsidR="009F5256" w:rsidRPr="00026EC1" w:rsidRDefault="009F5256" w:rsidP="00A64613">
      <w:pPr>
        <w:keepNext w:val="0"/>
        <w:rPr>
          <w:szCs w:val="24"/>
        </w:rPr>
      </w:pPr>
      <w:r w:rsidRPr="00026EC1">
        <w:rPr>
          <w:szCs w:val="24"/>
        </w:rPr>
        <w:t>Toutefois, si une modification est apportée au montant de la prestation versée par le RQAP à la suite d</w:t>
      </w:r>
      <w:r w:rsidR="004A41E4" w:rsidRPr="00026EC1">
        <w:rPr>
          <w:szCs w:val="24"/>
        </w:rPr>
        <w:t>’</w:t>
      </w:r>
      <w:r w:rsidRPr="00026EC1">
        <w:rPr>
          <w:szCs w:val="24"/>
        </w:rPr>
        <w:t>une modification des informations fournies par le Collège, celui</w:t>
      </w:r>
      <w:r w:rsidR="00984A6F">
        <w:rPr>
          <w:szCs w:val="24"/>
        </w:rPr>
        <w:noBreakHyphen/>
      </w:r>
      <w:r w:rsidRPr="00026EC1">
        <w:rPr>
          <w:szCs w:val="24"/>
        </w:rPr>
        <w:t>ci corrige le montant de l</w:t>
      </w:r>
      <w:r w:rsidR="004A41E4" w:rsidRPr="00026EC1">
        <w:rPr>
          <w:szCs w:val="24"/>
        </w:rPr>
        <w:t>’</w:t>
      </w:r>
      <w:r w:rsidRPr="00026EC1">
        <w:rPr>
          <w:szCs w:val="24"/>
        </w:rPr>
        <w:t>indemnité en conséquence.</w:t>
      </w:r>
    </w:p>
    <w:p w14:paraId="4DFBE25A" w14:textId="45A14338" w:rsidR="009F5256" w:rsidRPr="00766FFE" w:rsidRDefault="009F5256" w:rsidP="00A64613">
      <w:pPr>
        <w:keepNext w:val="0"/>
        <w:rPr>
          <w:szCs w:val="24"/>
        </w:rPr>
      </w:pPr>
    </w:p>
    <w:p w14:paraId="532764FF" w14:textId="76193F74" w:rsidR="00FB6116" w:rsidRPr="00026EC1" w:rsidRDefault="00FB6116" w:rsidP="00A64613">
      <w:pPr>
        <w:keepNext w:val="0"/>
        <w:rPr>
          <w:szCs w:val="24"/>
        </w:rPr>
      </w:pPr>
      <w:r w:rsidRPr="00026EC1">
        <w:rPr>
          <w:szCs w:val="24"/>
        </w:rPr>
        <w:t>Lorsque l’enseignante travaille pour plus d'un employeur, l'indemnité est égale à la différence entre le montant établi par la formule de calcul de l’indemnité versée par le Collège prévue à l’alinéa 1</w:t>
      </w:r>
      <w:r w:rsidRPr="00026EC1">
        <w:rPr>
          <w:szCs w:val="24"/>
          <w:vertAlign w:val="superscript"/>
        </w:rPr>
        <w:t>0</w:t>
      </w:r>
      <w:r w:rsidRPr="00026EC1">
        <w:rPr>
          <w:szCs w:val="24"/>
        </w:rPr>
        <w:t xml:space="preserve"> et le montant des prestations du RQAP correspondant à la proportion du traitement hebdomadaire de base qu'il lui verse par rapport à la somme des traitements hebdomadaires de base versés par l'ensemble des employeurs. À cette fin, l’enseignante produit à chacun des employeurs un état des traitements hebdomadaires versés par chacun de ceux</w:t>
      </w:r>
      <w:r w:rsidR="00984A6F">
        <w:rPr>
          <w:szCs w:val="24"/>
        </w:rPr>
        <w:noBreakHyphen/>
      </w:r>
      <w:r w:rsidRPr="00026EC1">
        <w:rPr>
          <w:szCs w:val="24"/>
        </w:rPr>
        <w:t>ci en même temps que le montant des prestations qui lui sont payables en application de la Loi sur l'assurance parentale.</w:t>
      </w:r>
    </w:p>
    <w:p w14:paraId="295A5D5C" w14:textId="77777777" w:rsidR="00FB6116" w:rsidRPr="00026EC1" w:rsidRDefault="00FB6116" w:rsidP="00A64613">
      <w:pPr>
        <w:keepNext w:val="0"/>
        <w:rPr>
          <w:smallCaps/>
        </w:rPr>
      </w:pPr>
    </w:p>
    <w:p w14:paraId="0ABC5A48" w14:textId="557B18EC" w:rsidR="009F5256" w:rsidRPr="00026EC1" w:rsidRDefault="009F5256" w:rsidP="00A64613">
      <w:pPr>
        <w:pStyle w:val="PMGSTexte0cm"/>
        <w:keepNext w:val="0"/>
        <w:tabs>
          <w:tab w:val="left" w:pos="540"/>
        </w:tabs>
        <w:rPr>
          <w:smallCaps w:val="0"/>
        </w:rPr>
      </w:pPr>
      <w:r w:rsidRPr="00026EC1">
        <w:rPr>
          <w:smallCaps w:val="0"/>
          <w:u w:val="none"/>
        </w:rPr>
        <w:t>B)</w:t>
      </w:r>
      <w:r w:rsidRPr="00026EC1">
        <w:rPr>
          <w:smallCaps w:val="0"/>
          <w:u w:val="none"/>
        </w:rPr>
        <w:tab/>
      </w:r>
      <w:r w:rsidRPr="00026EC1">
        <w:rPr>
          <w:smallCaps w:val="0"/>
        </w:rPr>
        <w:t>Cas admissible au Régime d</w:t>
      </w:r>
      <w:r w:rsidR="004A41E4" w:rsidRPr="00026EC1">
        <w:rPr>
          <w:smallCaps w:val="0"/>
        </w:rPr>
        <w:t>’</w:t>
      </w:r>
      <w:r w:rsidRPr="00026EC1">
        <w:rPr>
          <w:smallCaps w:val="0"/>
        </w:rPr>
        <w:t>assurance</w:t>
      </w:r>
      <w:r w:rsidR="00984A6F">
        <w:rPr>
          <w:smallCaps w:val="0"/>
        </w:rPr>
        <w:noBreakHyphen/>
      </w:r>
      <w:r w:rsidRPr="00026EC1">
        <w:rPr>
          <w:smallCaps w:val="0"/>
        </w:rPr>
        <w:t>emploi (RAE)</w:t>
      </w:r>
    </w:p>
    <w:p w14:paraId="76E0370C" w14:textId="77777777" w:rsidR="009F5256" w:rsidRPr="00026EC1" w:rsidRDefault="009F5256" w:rsidP="00A64613">
      <w:pPr>
        <w:keepNext w:val="0"/>
      </w:pPr>
    </w:p>
    <w:p w14:paraId="12ACBEB9" w14:textId="0C0EB67B" w:rsidR="009F5256" w:rsidRPr="00026EC1" w:rsidRDefault="009F5256" w:rsidP="00A64613">
      <w:pPr>
        <w:keepNext w:val="0"/>
        <w:rPr>
          <w:b/>
        </w:rPr>
      </w:pPr>
      <w:r w:rsidRPr="00026EC1">
        <w:rPr>
          <w:b/>
        </w:rPr>
        <w:t>5</w:t>
      </w:r>
      <w:r w:rsidR="00984A6F">
        <w:rPr>
          <w:b/>
        </w:rPr>
        <w:noBreakHyphen/>
      </w:r>
      <w:r w:rsidRPr="00026EC1">
        <w:rPr>
          <w:b/>
        </w:rPr>
        <w:t>6.13</w:t>
      </w:r>
    </w:p>
    <w:p w14:paraId="081D8053" w14:textId="214366DC" w:rsidR="00FB6116" w:rsidRPr="00026EC1" w:rsidRDefault="00FB6116" w:rsidP="00A64613">
      <w:pPr>
        <w:keepNext w:val="0"/>
      </w:pPr>
      <w:r w:rsidRPr="00026EC1">
        <w:t>L’enseignante qui a accumulé vingt (20) semaines de service</w:t>
      </w:r>
      <w:r w:rsidRPr="00026EC1">
        <w:rPr>
          <w:rStyle w:val="FootnoteReference"/>
        </w:rPr>
        <w:footnoteReference w:id="12"/>
      </w:r>
      <w:r w:rsidRPr="00026EC1">
        <w:t xml:space="preserve"> et qui est admissible au RAE sans être admissible au RQAP a droit de recevoir pendant les vingt (20) semaines de son congé de maternité, une indemnité calculée selon la formule suivante</w:t>
      </w:r>
      <w:r w:rsidR="00D8581B">
        <w:t> :</w:t>
      </w:r>
    </w:p>
    <w:p w14:paraId="6ED09DB5" w14:textId="6528310B" w:rsidR="00FB6116" w:rsidRPr="00766FFE" w:rsidRDefault="00FB6116" w:rsidP="00A64613">
      <w:pPr>
        <w:keepNext w:val="0"/>
        <w:rPr>
          <w:szCs w:val="24"/>
        </w:rPr>
      </w:pPr>
    </w:p>
    <w:p w14:paraId="543F1360" w14:textId="3ECF52E3" w:rsidR="00FB6116" w:rsidRPr="00026EC1" w:rsidRDefault="00FB6116" w:rsidP="004F71C1">
      <w:pPr>
        <w:pStyle w:val="ListParagraph"/>
        <w:numPr>
          <w:ilvl w:val="0"/>
          <w:numId w:val="17"/>
        </w:numPr>
        <w:suppressAutoHyphens/>
        <w:spacing w:after="120"/>
        <w:ind w:left="567" w:hanging="567"/>
        <w:rPr>
          <w:szCs w:val="24"/>
        </w:rPr>
      </w:pPr>
      <w:r w:rsidRPr="00026EC1">
        <w:rPr>
          <w:szCs w:val="24"/>
        </w:rPr>
        <w:t>pour chacune des semaines du délai de carence prévu au RAE, une indemnité calculée selon la formule suivante</w:t>
      </w:r>
      <w:r w:rsidRPr="00026EC1">
        <w:rPr>
          <w:rStyle w:val="FootnoteReference"/>
          <w:szCs w:val="24"/>
        </w:rPr>
        <w:footnoteReference w:id="13"/>
      </w:r>
      <w:r w:rsidR="00D8581B">
        <w:rPr>
          <w:szCs w:val="24"/>
        </w:rPr>
        <w:t> :</w:t>
      </w:r>
      <w:r w:rsidRPr="00026EC1">
        <w:rPr>
          <w:szCs w:val="24"/>
        </w:rPr>
        <w:t xml:space="preserve"> </w:t>
      </w:r>
    </w:p>
    <w:p w14:paraId="12D73600" w14:textId="7E9567CE" w:rsidR="00FB6116" w:rsidRPr="00026EC1" w:rsidRDefault="00FB6116" w:rsidP="004F71C1">
      <w:pPr>
        <w:pStyle w:val="ListParagraph"/>
        <w:numPr>
          <w:ilvl w:val="0"/>
          <w:numId w:val="16"/>
        </w:numPr>
        <w:suppressAutoHyphens/>
        <w:rPr>
          <w:rFonts w:cs="Arial"/>
          <w:szCs w:val="24"/>
        </w:rPr>
      </w:pPr>
      <w:r w:rsidRPr="00026EC1">
        <w:rPr>
          <w:rFonts w:cs="Arial"/>
          <w:szCs w:val="24"/>
        </w:rPr>
        <w:t>en additionnant</w:t>
      </w:r>
      <w:r w:rsidR="00D8581B">
        <w:rPr>
          <w:rFonts w:cs="Arial"/>
          <w:szCs w:val="24"/>
        </w:rPr>
        <w:t> :</w:t>
      </w:r>
      <w:r w:rsidRPr="00026EC1">
        <w:rPr>
          <w:rFonts w:cs="Arial"/>
          <w:szCs w:val="24"/>
        </w:rPr>
        <w:t xml:space="preserve"> </w:t>
      </w:r>
    </w:p>
    <w:p w14:paraId="653F5598" w14:textId="77777777" w:rsidR="00FB6116" w:rsidRPr="00026EC1" w:rsidRDefault="00FB6116" w:rsidP="00A64613">
      <w:pPr>
        <w:keepNext w:val="0"/>
        <w:ind w:firstLine="708"/>
        <w:rPr>
          <w:rFonts w:cs="Arial"/>
          <w:szCs w:val="24"/>
        </w:rPr>
      </w:pPr>
    </w:p>
    <w:p w14:paraId="49C39FE1" w14:textId="32A3F334" w:rsidR="00FB6116" w:rsidRPr="00026EC1" w:rsidRDefault="00FB6116" w:rsidP="00A64613">
      <w:pPr>
        <w:keepNext w:val="0"/>
        <w:ind w:left="1134" w:hanging="283"/>
        <w:rPr>
          <w:rFonts w:cs="Arial"/>
          <w:szCs w:val="24"/>
        </w:rPr>
      </w:pPr>
      <w:r w:rsidRPr="00026EC1">
        <w:rPr>
          <w:rFonts w:cs="Arial"/>
          <w:szCs w:val="24"/>
        </w:rPr>
        <w:t xml:space="preserve">a) le montant représentant </w:t>
      </w:r>
      <w:r w:rsidR="00244E4B" w:rsidRPr="00026EC1">
        <w:rPr>
          <w:rFonts w:cs="Arial"/>
          <w:szCs w:val="24"/>
        </w:rPr>
        <w:t>cent pour cent (100</w:t>
      </w:r>
      <w:r w:rsidR="00714A15">
        <w:rPr>
          <w:rFonts w:cs="Arial"/>
          <w:szCs w:val="24"/>
        </w:rPr>
        <w:t> %</w:t>
      </w:r>
      <w:r w:rsidR="00244E4B" w:rsidRPr="00026EC1">
        <w:rPr>
          <w:rFonts w:cs="Arial"/>
          <w:szCs w:val="24"/>
        </w:rPr>
        <w:t>)</w:t>
      </w:r>
      <w:r w:rsidRPr="00026EC1">
        <w:rPr>
          <w:rFonts w:cs="Arial"/>
          <w:szCs w:val="24"/>
        </w:rPr>
        <w:t xml:space="preserve"> du traitement hebdomadaire de base de l’enseignante jusqu’à concurrence de </w:t>
      </w:r>
      <w:r w:rsidR="00244E4B" w:rsidRPr="00026EC1">
        <w:rPr>
          <w:rFonts w:cs="Arial"/>
          <w:szCs w:val="24"/>
        </w:rPr>
        <w:t>deux cent vingt</w:t>
      </w:r>
      <w:r w:rsidR="00984A6F">
        <w:rPr>
          <w:rFonts w:cs="Arial"/>
          <w:szCs w:val="24"/>
        </w:rPr>
        <w:noBreakHyphen/>
      </w:r>
      <w:r w:rsidR="00244E4B" w:rsidRPr="00026EC1">
        <w:rPr>
          <w:rFonts w:cs="Arial"/>
          <w:szCs w:val="24"/>
        </w:rPr>
        <w:t>cinq dollars (225</w:t>
      </w:r>
      <w:r w:rsidR="00D8581B">
        <w:rPr>
          <w:rFonts w:cs="Arial"/>
          <w:szCs w:val="24"/>
        </w:rPr>
        <w:t> $</w:t>
      </w:r>
      <w:r w:rsidR="00244E4B" w:rsidRPr="00026EC1">
        <w:rPr>
          <w:rFonts w:cs="Arial"/>
          <w:szCs w:val="24"/>
        </w:rPr>
        <w:t>)</w:t>
      </w:r>
      <w:r w:rsidRPr="00026EC1">
        <w:rPr>
          <w:rFonts w:cs="Arial"/>
          <w:szCs w:val="24"/>
        </w:rPr>
        <w:t>;</w:t>
      </w:r>
    </w:p>
    <w:p w14:paraId="70D957A6" w14:textId="77777777" w:rsidR="0031112F" w:rsidRPr="00026EC1" w:rsidRDefault="0031112F" w:rsidP="00A64613">
      <w:pPr>
        <w:keepNext w:val="0"/>
        <w:ind w:firstLine="851"/>
        <w:rPr>
          <w:rFonts w:cs="Arial"/>
          <w:szCs w:val="24"/>
        </w:rPr>
      </w:pPr>
    </w:p>
    <w:p w14:paraId="5D045E22" w14:textId="77777777" w:rsidR="00FB6116" w:rsidRPr="00026EC1" w:rsidRDefault="00FB6116" w:rsidP="00A64613">
      <w:pPr>
        <w:keepNext w:val="0"/>
        <w:ind w:firstLine="851"/>
        <w:rPr>
          <w:rFonts w:cs="Arial"/>
          <w:szCs w:val="24"/>
        </w:rPr>
      </w:pPr>
      <w:r w:rsidRPr="00026EC1">
        <w:rPr>
          <w:rFonts w:cs="Arial"/>
          <w:szCs w:val="24"/>
        </w:rPr>
        <w:t xml:space="preserve">et </w:t>
      </w:r>
    </w:p>
    <w:p w14:paraId="01B73AAE" w14:textId="3ECFE947" w:rsidR="00FB6116" w:rsidRDefault="00FB6116" w:rsidP="00A64613">
      <w:pPr>
        <w:keepNext w:val="0"/>
        <w:ind w:left="1134" w:hanging="283"/>
        <w:rPr>
          <w:rFonts w:cs="Arial"/>
          <w:szCs w:val="24"/>
        </w:rPr>
      </w:pPr>
      <w:r w:rsidRPr="00026EC1">
        <w:rPr>
          <w:rFonts w:cs="Arial"/>
          <w:szCs w:val="24"/>
        </w:rPr>
        <w:t xml:space="preserve">b) le montant représentant </w:t>
      </w:r>
      <w:r w:rsidR="00244E4B" w:rsidRPr="00026EC1">
        <w:rPr>
          <w:rFonts w:cs="Arial"/>
          <w:szCs w:val="24"/>
        </w:rPr>
        <w:t>quatre</w:t>
      </w:r>
      <w:r w:rsidR="00984A6F">
        <w:rPr>
          <w:rFonts w:cs="Arial"/>
          <w:szCs w:val="24"/>
        </w:rPr>
        <w:noBreakHyphen/>
      </w:r>
      <w:r w:rsidR="00244E4B" w:rsidRPr="00026EC1">
        <w:rPr>
          <w:rFonts w:cs="Arial"/>
          <w:szCs w:val="24"/>
        </w:rPr>
        <w:t>vingt</w:t>
      </w:r>
      <w:r w:rsidR="00984A6F">
        <w:rPr>
          <w:rFonts w:cs="Arial"/>
          <w:szCs w:val="24"/>
        </w:rPr>
        <w:noBreakHyphen/>
      </w:r>
      <w:r w:rsidR="00244E4B" w:rsidRPr="00026EC1">
        <w:rPr>
          <w:rFonts w:cs="Arial"/>
          <w:szCs w:val="24"/>
        </w:rPr>
        <w:t>huit pour cent</w:t>
      </w:r>
      <w:r w:rsidR="00B013DF">
        <w:rPr>
          <w:rFonts w:cs="Arial"/>
          <w:szCs w:val="24"/>
        </w:rPr>
        <w:t> </w:t>
      </w:r>
      <w:r w:rsidR="00244E4B" w:rsidRPr="00026EC1">
        <w:rPr>
          <w:rFonts w:cs="Arial"/>
          <w:szCs w:val="24"/>
        </w:rPr>
        <w:t>(88</w:t>
      </w:r>
      <w:r w:rsidR="00714A15">
        <w:rPr>
          <w:rFonts w:cs="Arial"/>
          <w:szCs w:val="24"/>
        </w:rPr>
        <w:t> %</w:t>
      </w:r>
      <w:r w:rsidR="00244E4B" w:rsidRPr="00026EC1">
        <w:rPr>
          <w:rFonts w:cs="Arial"/>
          <w:szCs w:val="24"/>
        </w:rPr>
        <w:t>)</w:t>
      </w:r>
      <w:r w:rsidRPr="00026EC1">
        <w:rPr>
          <w:rFonts w:cs="Arial"/>
          <w:szCs w:val="24"/>
        </w:rPr>
        <w:t xml:space="preserve"> de la différence entre le traitement hebdomadaire de base de l’enseignante et le montant établi au précédent </w:t>
      </w:r>
      <w:r w:rsidR="00830E94" w:rsidRPr="00026EC1">
        <w:rPr>
          <w:rFonts w:cs="Arial"/>
          <w:szCs w:val="24"/>
        </w:rPr>
        <w:t>sous</w:t>
      </w:r>
      <w:r w:rsidR="00984A6F">
        <w:rPr>
          <w:rFonts w:cs="Arial"/>
          <w:szCs w:val="24"/>
        </w:rPr>
        <w:noBreakHyphen/>
      </w:r>
      <w:r w:rsidRPr="00026EC1">
        <w:rPr>
          <w:rFonts w:cs="Arial"/>
          <w:szCs w:val="24"/>
        </w:rPr>
        <w:t>alinéa a);</w:t>
      </w:r>
    </w:p>
    <w:p w14:paraId="49351C7D" w14:textId="77777777" w:rsidR="00A97C66" w:rsidRPr="00026EC1" w:rsidRDefault="00A97C66" w:rsidP="00A64613">
      <w:pPr>
        <w:keepNext w:val="0"/>
        <w:ind w:left="1134" w:hanging="283"/>
        <w:rPr>
          <w:rFonts w:cs="Arial"/>
          <w:szCs w:val="24"/>
        </w:rPr>
      </w:pPr>
    </w:p>
    <w:p w14:paraId="1CF0F964" w14:textId="6E3F3D3F" w:rsidR="00FB6116" w:rsidRPr="00026EC1" w:rsidRDefault="00FB6116" w:rsidP="004F71C1">
      <w:pPr>
        <w:pStyle w:val="ListParagraph"/>
        <w:numPr>
          <w:ilvl w:val="0"/>
          <w:numId w:val="17"/>
        </w:numPr>
        <w:suppressAutoHyphens/>
        <w:ind w:left="567" w:hanging="567"/>
        <w:rPr>
          <w:rFonts w:cs="Arial"/>
          <w:color w:val="000000"/>
          <w:szCs w:val="24"/>
        </w:rPr>
      </w:pPr>
      <w:r w:rsidRPr="00026EC1">
        <w:rPr>
          <w:rFonts w:cs="Arial"/>
          <w:szCs w:val="24"/>
        </w:rPr>
        <w:t>pour chacune des semaines qui suivent la période prévue au paragraphe</w:t>
      </w:r>
      <w:r w:rsidR="00B013DF">
        <w:rPr>
          <w:rFonts w:cs="Arial"/>
          <w:szCs w:val="24"/>
        </w:rPr>
        <w:t> </w:t>
      </w:r>
      <w:r w:rsidRPr="00026EC1">
        <w:rPr>
          <w:rFonts w:cs="Arial"/>
          <w:szCs w:val="24"/>
        </w:rPr>
        <w:t xml:space="preserve">1), une indemnité </w:t>
      </w:r>
      <w:r w:rsidRPr="00026EC1">
        <w:rPr>
          <w:rFonts w:cs="Arial"/>
          <w:color w:val="000000"/>
          <w:szCs w:val="24"/>
        </w:rPr>
        <w:t xml:space="preserve">calculée selon </w:t>
      </w:r>
      <w:r w:rsidRPr="00026EC1">
        <w:rPr>
          <w:rFonts w:cs="Arial"/>
          <w:szCs w:val="24"/>
        </w:rPr>
        <w:t>la</w:t>
      </w:r>
      <w:r w:rsidRPr="00026EC1">
        <w:rPr>
          <w:rFonts w:cs="Arial"/>
          <w:color w:val="000000"/>
          <w:szCs w:val="24"/>
        </w:rPr>
        <w:t xml:space="preserve"> formule suivante</w:t>
      </w:r>
      <w:r w:rsidR="00D8581B">
        <w:rPr>
          <w:rFonts w:cs="Arial"/>
          <w:color w:val="000000"/>
          <w:szCs w:val="24"/>
        </w:rPr>
        <w:t> :</w:t>
      </w:r>
    </w:p>
    <w:p w14:paraId="639C3F7A" w14:textId="77777777" w:rsidR="002C142F" w:rsidRPr="00026EC1" w:rsidRDefault="002C142F" w:rsidP="00A64613">
      <w:pPr>
        <w:keepNext w:val="0"/>
        <w:ind w:left="284"/>
        <w:rPr>
          <w:rFonts w:cs="Arial"/>
          <w:szCs w:val="24"/>
        </w:rPr>
      </w:pPr>
    </w:p>
    <w:p w14:paraId="7C3C1677" w14:textId="343B5268" w:rsidR="004849F5" w:rsidRPr="00026EC1" w:rsidRDefault="004849F5" w:rsidP="00A64613">
      <w:pPr>
        <w:keepNext w:val="0"/>
        <w:ind w:left="284"/>
        <w:rPr>
          <w:rFonts w:cs="Arial"/>
          <w:szCs w:val="24"/>
        </w:rPr>
      </w:pPr>
      <w:r w:rsidRPr="00026EC1">
        <w:rPr>
          <w:rFonts w:cs="Arial"/>
          <w:szCs w:val="24"/>
        </w:rPr>
        <w:t>1</w:t>
      </w:r>
      <w:r w:rsidRPr="00026EC1">
        <w:rPr>
          <w:rFonts w:cs="Arial"/>
          <w:szCs w:val="24"/>
          <w:vertAlign w:val="superscript"/>
        </w:rPr>
        <w:t xml:space="preserve">0 </w:t>
      </w:r>
      <w:r w:rsidRPr="00026EC1">
        <w:rPr>
          <w:rFonts w:cs="Arial"/>
          <w:szCs w:val="24"/>
        </w:rPr>
        <w:t>en additionnant</w:t>
      </w:r>
      <w:r w:rsidR="00D8581B">
        <w:rPr>
          <w:rFonts w:cs="Arial"/>
          <w:szCs w:val="24"/>
        </w:rPr>
        <w:t> :</w:t>
      </w:r>
      <w:r w:rsidRPr="00026EC1">
        <w:rPr>
          <w:rFonts w:cs="Arial"/>
          <w:szCs w:val="24"/>
        </w:rPr>
        <w:t xml:space="preserve"> </w:t>
      </w:r>
    </w:p>
    <w:p w14:paraId="2836C9B2" w14:textId="77777777" w:rsidR="004849F5" w:rsidRPr="00026EC1" w:rsidRDefault="004849F5" w:rsidP="00A64613">
      <w:pPr>
        <w:keepNext w:val="0"/>
        <w:ind w:firstLine="708"/>
        <w:rPr>
          <w:rFonts w:cs="Arial"/>
          <w:szCs w:val="24"/>
        </w:rPr>
      </w:pPr>
    </w:p>
    <w:p w14:paraId="58E46BE2" w14:textId="3EF4013E" w:rsidR="004849F5" w:rsidRPr="00026EC1" w:rsidRDefault="004849F5" w:rsidP="00A64613">
      <w:pPr>
        <w:keepNext w:val="0"/>
        <w:ind w:left="1134" w:hanging="283"/>
        <w:rPr>
          <w:rFonts w:cs="Arial"/>
          <w:szCs w:val="24"/>
        </w:rPr>
      </w:pPr>
      <w:r w:rsidRPr="00026EC1">
        <w:rPr>
          <w:rFonts w:cs="Arial"/>
          <w:szCs w:val="24"/>
        </w:rPr>
        <w:t xml:space="preserve">a) le montant représentant </w:t>
      </w:r>
      <w:r w:rsidR="00244E4B" w:rsidRPr="00026EC1">
        <w:rPr>
          <w:rFonts w:cs="Arial"/>
          <w:szCs w:val="24"/>
        </w:rPr>
        <w:t>cent pour cent</w:t>
      </w:r>
      <w:r w:rsidR="00B013DF">
        <w:rPr>
          <w:rFonts w:cs="Arial"/>
          <w:szCs w:val="24"/>
        </w:rPr>
        <w:t> </w:t>
      </w:r>
      <w:r w:rsidR="00244E4B" w:rsidRPr="00026EC1">
        <w:rPr>
          <w:rFonts w:cs="Arial"/>
          <w:szCs w:val="24"/>
        </w:rPr>
        <w:t>(100</w:t>
      </w:r>
      <w:r w:rsidR="00714A15">
        <w:rPr>
          <w:rFonts w:cs="Arial"/>
          <w:szCs w:val="24"/>
        </w:rPr>
        <w:t> %</w:t>
      </w:r>
      <w:r w:rsidR="00244E4B" w:rsidRPr="00026EC1">
        <w:rPr>
          <w:rFonts w:cs="Arial"/>
          <w:szCs w:val="24"/>
        </w:rPr>
        <w:t xml:space="preserve">) </w:t>
      </w:r>
      <w:r w:rsidRPr="00026EC1">
        <w:rPr>
          <w:rFonts w:cs="Arial"/>
          <w:szCs w:val="24"/>
        </w:rPr>
        <w:t xml:space="preserve">du traitement hebdomadaire de base de l’enseignante jusqu’à concurrence de </w:t>
      </w:r>
      <w:r w:rsidR="00F077A0" w:rsidRPr="00026EC1">
        <w:rPr>
          <w:rFonts w:cs="Arial"/>
          <w:szCs w:val="24"/>
        </w:rPr>
        <w:t>deux cent vingt</w:t>
      </w:r>
      <w:r w:rsidR="00984A6F">
        <w:rPr>
          <w:rFonts w:cs="Arial"/>
          <w:szCs w:val="24"/>
        </w:rPr>
        <w:noBreakHyphen/>
      </w:r>
      <w:r w:rsidR="00F077A0" w:rsidRPr="00026EC1">
        <w:rPr>
          <w:rFonts w:cs="Arial"/>
          <w:szCs w:val="24"/>
        </w:rPr>
        <w:t>cinq dollars (225</w:t>
      </w:r>
      <w:r w:rsidR="00D8581B">
        <w:rPr>
          <w:rFonts w:cs="Arial"/>
          <w:szCs w:val="24"/>
        </w:rPr>
        <w:t> $</w:t>
      </w:r>
      <w:r w:rsidR="00F077A0" w:rsidRPr="00026EC1">
        <w:rPr>
          <w:rFonts w:cs="Arial"/>
          <w:szCs w:val="24"/>
        </w:rPr>
        <w:t>)</w:t>
      </w:r>
      <w:r w:rsidRPr="00026EC1">
        <w:rPr>
          <w:rFonts w:cs="Arial"/>
          <w:szCs w:val="24"/>
        </w:rPr>
        <w:t>;</w:t>
      </w:r>
    </w:p>
    <w:p w14:paraId="4E0B9C1C" w14:textId="77777777" w:rsidR="004849F5" w:rsidRPr="00026EC1" w:rsidRDefault="004849F5" w:rsidP="00A64613">
      <w:pPr>
        <w:keepNext w:val="0"/>
        <w:ind w:firstLine="851"/>
        <w:rPr>
          <w:rFonts w:cs="Arial"/>
          <w:szCs w:val="24"/>
        </w:rPr>
      </w:pPr>
    </w:p>
    <w:p w14:paraId="2E70C44D" w14:textId="77777777" w:rsidR="004849F5" w:rsidRPr="00026EC1" w:rsidRDefault="004849F5" w:rsidP="00A64613">
      <w:pPr>
        <w:keepNext w:val="0"/>
        <w:ind w:firstLine="851"/>
        <w:rPr>
          <w:rFonts w:cs="Arial"/>
          <w:szCs w:val="24"/>
        </w:rPr>
      </w:pPr>
      <w:r w:rsidRPr="00026EC1">
        <w:rPr>
          <w:rFonts w:cs="Arial"/>
          <w:szCs w:val="24"/>
        </w:rPr>
        <w:t xml:space="preserve">et </w:t>
      </w:r>
    </w:p>
    <w:p w14:paraId="3727878E" w14:textId="77777777" w:rsidR="004849F5" w:rsidRPr="00026EC1" w:rsidRDefault="004849F5" w:rsidP="00A64613">
      <w:pPr>
        <w:keepNext w:val="0"/>
        <w:ind w:left="1134" w:hanging="283"/>
        <w:rPr>
          <w:rFonts w:cs="Arial"/>
          <w:szCs w:val="24"/>
        </w:rPr>
      </w:pPr>
    </w:p>
    <w:p w14:paraId="0288144D" w14:textId="66A1A718" w:rsidR="004849F5" w:rsidRPr="00026EC1" w:rsidRDefault="004849F5" w:rsidP="00A64613">
      <w:pPr>
        <w:keepNext w:val="0"/>
        <w:ind w:left="1134" w:hanging="283"/>
        <w:rPr>
          <w:rFonts w:cs="Arial"/>
          <w:szCs w:val="24"/>
        </w:rPr>
      </w:pPr>
      <w:r w:rsidRPr="00026EC1">
        <w:rPr>
          <w:rFonts w:cs="Arial"/>
          <w:szCs w:val="24"/>
        </w:rPr>
        <w:t xml:space="preserve">b) le montant représentant </w:t>
      </w:r>
      <w:r w:rsidR="00244E4B" w:rsidRPr="00026EC1">
        <w:rPr>
          <w:rFonts w:cs="Arial"/>
          <w:szCs w:val="24"/>
        </w:rPr>
        <w:t>quatre</w:t>
      </w:r>
      <w:r w:rsidR="00984A6F">
        <w:rPr>
          <w:rFonts w:cs="Arial"/>
          <w:szCs w:val="24"/>
        </w:rPr>
        <w:noBreakHyphen/>
      </w:r>
      <w:r w:rsidR="00244E4B" w:rsidRPr="00026EC1">
        <w:rPr>
          <w:rFonts w:cs="Arial"/>
          <w:szCs w:val="24"/>
        </w:rPr>
        <w:t>vingt</w:t>
      </w:r>
      <w:r w:rsidR="00984A6F">
        <w:rPr>
          <w:rFonts w:cs="Arial"/>
          <w:szCs w:val="24"/>
        </w:rPr>
        <w:noBreakHyphen/>
      </w:r>
      <w:r w:rsidR="00244E4B" w:rsidRPr="00026EC1">
        <w:rPr>
          <w:rFonts w:cs="Arial"/>
          <w:szCs w:val="24"/>
        </w:rPr>
        <w:t>huit pour cent (88</w:t>
      </w:r>
      <w:r w:rsidR="00714A15">
        <w:rPr>
          <w:rFonts w:cs="Arial"/>
          <w:szCs w:val="24"/>
        </w:rPr>
        <w:t> %</w:t>
      </w:r>
      <w:r w:rsidR="00244E4B" w:rsidRPr="00026EC1">
        <w:rPr>
          <w:rFonts w:cs="Arial"/>
          <w:szCs w:val="24"/>
        </w:rPr>
        <w:t>)</w:t>
      </w:r>
      <w:r w:rsidRPr="00026EC1">
        <w:rPr>
          <w:rFonts w:cs="Arial"/>
          <w:szCs w:val="24"/>
        </w:rPr>
        <w:t xml:space="preserve"> de la différence entre le traitement hebdomadaire de base de l’enseignante et le montant établi au précédent </w:t>
      </w:r>
      <w:r w:rsidR="00830E94" w:rsidRPr="00026EC1">
        <w:rPr>
          <w:rFonts w:cs="Arial"/>
          <w:szCs w:val="24"/>
        </w:rPr>
        <w:t>sous</w:t>
      </w:r>
      <w:r w:rsidR="00984A6F">
        <w:rPr>
          <w:rFonts w:cs="Arial"/>
          <w:szCs w:val="24"/>
        </w:rPr>
        <w:noBreakHyphen/>
      </w:r>
      <w:r w:rsidRPr="00026EC1">
        <w:rPr>
          <w:rFonts w:cs="Arial"/>
          <w:szCs w:val="24"/>
        </w:rPr>
        <w:t>alinéa a);</w:t>
      </w:r>
    </w:p>
    <w:p w14:paraId="397F8CEA" w14:textId="77777777" w:rsidR="004849F5" w:rsidRPr="00026EC1" w:rsidRDefault="004849F5" w:rsidP="00A64613">
      <w:pPr>
        <w:keepNext w:val="0"/>
        <w:ind w:left="143" w:firstLine="708"/>
        <w:rPr>
          <w:rFonts w:cs="Arial"/>
          <w:szCs w:val="24"/>
        </w:rPr>
      </w:pPr>
    </w:p>
    <w:p w14:paraId="6D4DB6AA" w14:textId="75BF7BB7" w:rsidR="004849F5" w:rsidRPr="00026EC1" w:rsidRDefault="004849F5" w:rsidP="00A64613">
      <w:pPr>
        <w:keepNext w:val="0"/>
        <w:ind w:left="567" w:hanging="283"/>
        <w:rPr>
          <w:rFonts w:cs="Arial"/>
          <w:szCs w:val="24"/>
        </w:rPr>
      </w:pPr>
      <w:r w:rsidRPr="00026EC1">
        <w:rPr>
          <w:rFonts w:cs="Arial"/>
          <w:szCs w:val="24"/>
        </w:rPr>
        <w:t>2</w:t>
      </w:r>
      <w:r w:rsidR="002C142F" w:rsidRPr="00026EC1">
        <w:rPr>
          <w:rFonts w:cs="Arial"/>
          <w:szCs w:val="24"/>
          <w:vertAlign w:val="superscript"/>
        </w:rPr>
        <w:t xml:space="preserve">0 </w:t>
      </w:r>
      <w:r w:rsidRPr="00026EC1">
        <w:rPr>
          <w:rFonts w:cs="Arial"/>
          <w:szCs w:val="24"/>
        </w:rPr>
        <w:t>et en soustrayant de cette somme le montant des prestations de maternité ou parentales qu’elle reçoit, ou qu’elle recevrait si elle en faisait la demande, du RAE.</w:t>
      </w:r>
    </w:p>
    <w:p w14:paraId="59657771" w14:textId="77777777" w:rsidR="009F5256" w:rsidRPr="00026EC1" w:rsidRDefault="009F5256" w:rsidP="00A64613">
      <w:pPr>
        <w:keepNext w:val="0"/>
      </w:pPr>
    </w:p>
    <w:p w14:paraId="24A4023E" w14:textId="6AD0DF7E" w:rsidR="009F5256" w:rsidRPr="00026EC1" w:rsidRDefault="009F5256" w:rsidP="00A64613">
      <w:pPr>
        <w:keepNext w:val="0"/>
      </w:pPr>
      <w:r w:rsidRPr="00026EC1">
        <w:t>Cette indemnité se calcule à partir des prestations d</w:t>
      </w:r>
      <w:r w:rsidR="004A41E4" w:rsidRPr="00026EC1">
        <w:t>’</w:t>
      </w:r>
      <w:r w:rsidRPr="00026EC1">
        <w:t>assurance</w:t>
      </w:r>
      <w:r w:rsidR="00984A6F">
        <w:noBreakHyphen/>
      </w:r>
      <w:r w:rsidRPr="00026EC1">
        <w:t>emploi qu</w:t>
      </w:r>
      <w:r w:rsidR="004A41E4" w:rsidRPr="00026EC1">
        <w:t>’</w:t>
      </w:r>
      <w:r w:rsidRPr="00026EC1">
        <w:t>une enseignante a droit de recevoir sans tenir compte des montants soustraits de telles prestations en raison des remboursements de prestations, des intérêts, des pénalités et d</w:t>
      </w:r>
      <w:r w:rsidR="004A41E4" w:rsidRPr="00026EC1">
        <w:t>’</w:t>
      </w:r>
      <w:r w:rsidRPr="00026EC1">
        <w:t>autres montants recouvrables en vertu du RAE.</w:t>
      </w:r>
    </w:p>
    <w:p w14:paraId="42F6D658" w14:textId="23D227F3" w:rsidR="009F5256" w:rsidRPr="00026EC1" w:rsidRDefault="009F5256" w:rsidP="00A64613">
      <w:pPr>
        <w:keepNext w:val="0"/>
        <w:spacing w:before="120"/>
        <w:rPr>
          <w:szCs w:val="24"/>
        </w:rPr>
      </w:pPr>
      <w:r w:rsidRPr="00026EC1">
        <w:rPr>
          <w:szCs w:val="24"/>
        </w:rPr>
        <w:t>Toutefois, si une modification est apportée au montant de la prestation versée par le RAE à la suite d</w:t>
      </w:r>
      <w:r w:rsidR="004A41E4" w:rsidRPr="00026EC1">
        <w:rPr>
          <w:szCs w:val="24"/>
        </w:rPr>
        <w:t>’</w:t>
      </w:r>
      <w:r w:rsidRPr="00026EC1">
        <w:rPr>
          <w:szCs w:val="24"/>
        </w:rPr>
        <w:t>une modification des informations fournies par le Collège, celui</w:t>
      </w:r>
      <w:r w:rsidR="00984A6F">
        <w:rPr>
          <w:szCs w:val="24"/>
        </w:rPr>
        <w:noBreakHyphen/>
      </w:r>
      <w:r w:rsidRPr="00026EC1">
        <w:rPr>
          <w:szCs w:val="24"/>
        </w:rPr>
        <w:t>ci corrige le montant de l</w:t>
      </w:r>
      <w:r w:rsidR="004A41E4" w:rsidRPr="00026EC1">
        <w:rPr>
          <w:szCs w:val="24"/>
        </w:rPr>
        <w:t>’</w:t>
      </w:r>
      <w:r w:rsidRPr="00026EC1">
        <w:rPr>
          <w:szCs w:val="24"/>
        </w:rPr>
        <w:t>indemnité en conséquence.</w:t>
      </w:r>
    </w:p>
    <w:p w14:paraId="4CC88A98" w14:textId="29AFDC88" w:rsidR="004849F5" w:rsidRPr="00026EC1" w:rsidRDefault="004849F5" w:rsidP="00A64613">
      <w:pPr>
        <w:keepNext w:val="0"/>
        <w:rPr>
          <w:szCs w:val="24"/>
        </w:rPr>
      </w:pPr>
      <w:r w:rsidRPr="00026EC1">
        <w:rPr>
          <w:szCs w:val="24"/>
        </w:rPr>
        <w:t>Lorsque l’enseignante travaille pour plus d'un employeur, l'indemnité est égale à la différence entre le montant établi par la formule de calcul de l’indemnité versée par le Collège prévue à l’alinéa 1</w:t>
      </w:r>
      <w:r w:rsidRPr="00026EC1">
        <w:rPr>
          <w:szCs w:val="24"/>
          <w:vertAlign w:val="superscript"/>
        </w:rPr>
        <w:t>0</w:t>
      </w:r>
      <w:r w:rsidRPr="00026EC1">
        <w:rPr>
          <w:szCs w:val="24"/>
        </w:rPr>
        <w:t xml:space="preserve"> et le montant des prestations du RAE correspondant à la proportion du traitement hebdomadaire de base qu'il lui verse par rapport à la somme des traitements hebdomadaires de base versés par l'ensemble des employeurs. À cette fin, l’enseignante produit à chacun des employeurs un état des traitements hebdomadaires versés par chacun de ceux</w:t>
      </w:r>
      <w:r w:rsidR="00984A6F">
        <w:rPr>
          <w:szCs w:val="24"/>
        </w:rPr>
        <w:noBreakHyphen/>
      </w:r>
      <w:r w:rsidRPr="00026EC1">
        <w:rPr>
          <w:szCs w:val="24"/>
        </w:rPr>
        <w:t>ci en même temps que le montant de son taux de prestations qui lui verse EDSC.</w:t>
      </w:r>
    </w:p>
    <w:p w14:paraId="4479B5B8" w14:textId="77777777" w:rsidR="009F5256" w:rsidRPr="00026EC1" w:rsidRDefault="009F5256" w:rsidP="00A64613">
      <w:pPr>
        <w:keepNext w:val="0"/>
      </w:pPr>
    </w:p>
    <w:p w14:paraId="0C3D3F25" w14:textId="5DECF63F" w:rsidR="004A66A7" w:rsidRDefault="00830E94" w:rsidP="00A64613">
      <w:pPr>
        <w:keepNext w:val="0"/>
      </w:pPr>
      <w:r w:rsidRPr="00026EC1">
        <w:t>De plus, si EDSC réduit le nombre de semaines de prestations d’assurance</w:t>
      </w:r>
      <w:r w:rsidR="00984A6F">
        <w:noBreakHyphen/>
      </w:r>
      <w:r w:rsidRPr="00026EC1">
        <w:t>emploi auquel l’enseignante aurait eu autrement droit si elle n’avait pas bénéficié de prestations d’assurance</w:t>
      </w:r>
      <w:r w:rsidR="00984A6F">
        <w:noBreakHyphen/>
      </w:r>
      <w:r w:rsidRPr="00026EC1">
        <w:t>emploi avant son congé de maternité, l’enseignante continue de recevoir, pour une période équivalant aux semaines soustraites par EDSC</w:t>
      </w:r>
      <w:r w:rsidRPr="00026EC1">
        <w:rPr>
          <w:bCs/>
        </w:rPr>
        <w:t>,</w:t>
      </w:r>
      <w:r w:rsidRPr="00026EC1">
        <w:t xml:space="preserve"> l’indemnité prévue </w:t>
      </w:r>
      <w:r w:rsidRPr="00026EC1">
        <w:rPr>
          <w:bCs/>
        </w:rPr>
        <w:t>à l’alinéa 1</w:t>
      </w:r>
      <w:r w:rsidRPr="00026EC1">
        <w:rPr>
          <w:bCs/>
          <w:vertAlign w:val="superscript"/>
        </w:rPr>
        <w:t>0</w:t>
      </w:r>
      <w:r w:rsidR="00F35921" w:rsidRPr="00026EC1">
        <w:rPr>
          <w:bCs/>
        </w:rPr>
        <w:t xml:space="preserve"> </w:t>
      </w:r>
      <w:r w:rsidRPr="00026EC1">
        <w:t>comme si elle avait, durant cette période, bénéficié de prestations d’assurance</w:t>
      </w:r>
      <w:r w:rsidR="00984A6F">
        <w:noBreakHyphen/>
      </w:r>
      <w:r w:rsidRPr="00026EC1">
        <w:t>emploi.</w:t>
      </w:r>
    </w:p>
    <w:p w14:paraId="66AFBDB4" w14:textId="77777777" w:rsidR="004A66A7" w:rsidRDefault="004A66A7">
      <w:pPr>
        <w:keepNext w:val="0"/>
        <w:suppressAutoHyphens w:val="0"/>
        <w:jc w:val="left"/>
      </w:pPr>
      <w:r>
        <w:br w:type="page"/>
      </w:r>
    </w:p>
    <w:p w14:paraId="7B3EFECC" w14:textId="32EA3EB9" w:rsidR="009F5256" w:rsidRPr="00026EC1" w:rsidRDefault="009F5256" w:rsidP="00A64613">
      <w:pPr>
        <w:pStyle w:val="NUMRODECLAUSE"/>
        <w:keepNext w:val="0"/>
      </w:pPr>
      <w:r w:rsidRPr="00026EC1">
        <w:t>5</w:t>
      </w:r>
      <w:r w:rsidR="00984A6F">
        <w:noBreakHyphen/>
      </w:r>
      <w:r w:rsidRPr="00026EC1">
        <w:t>6.14</w:t>
      </w:r>
    </w:p>
    <w:p w14:paraId="3AC1D743" w14:textId="5923B105" w:rsidR="004849F5" w:rsidRDefault="004849F5" w:rsidP="00A64613">
      <w:pPr>
        <w:keepNext w:val="0"/>
      </w:pPr>
      <w:r w:rsidRPr="00026EC1">
        <w:t>Dans les cas prévus aux clauses</w:t>
      </w:r>
      <w:r w:rsidR="00B013DF">
        <w:t> </w:t>
      </w:r>
      <w:r w:rsidRPr="00026EC1">
        <w:t>5</w:t>
      </w:r>
      <w:r w:rsidR="00984A6F">
        <w:noBreakHyphen/>
      </w:r>
      <w:r w:rsidRPr="00026EC1">
        <w:t>6.12 et 5</w:t>
      </w:r>
      <w:r w:rsidR="00984A6F">
        <w:noBreakHyphen/>
      </w:r>
      <w:r w:rsidRPr="00026EC1">
        <w:t>6.13, le Collège ne peut compenser, par l’indemnité qu’il verse à l’enseignante en congé de maternité, la diminution des prestations</w:t>
      </w:r>
      <w:r w:rsidRPr="00026EC1">
        <w:rPr>
          <w:bCs/>
          <w:szCs w:val="24"/>
        </w:rPr>
        <w:t xml:space="preserve"> du RQAP ou du RAE </w:t>
      </w:r>
      <w:r w:rsidRPr="00026EC1">
        <w:t>attribuable au traitement gagné auprès d’un autre employeur.</w:t>
      </w:r>
    </w:p>
    <w:p w14:paraId="494ADF76" w14:textId="77777777" w:rsidR="00A97C66" w:rsidRPr="00026EC1" w:rsidRDefault="00A97C66" w:rsidP="00A64613">
      <w:pPr>
        <w:keepNext w:val="0"/>
      </w:pPr>
    </w:p>
    <w:p w14:paraId="00938918" w14:textId="77777777" w:rsidR="009F5256" w:rsidRPr="00026EC1" w:rsidRDefault="009F5256" w:rsidP="00A64613">
      <w:pPr>
        <w:keepNext w:val="0"/>
      </w:pPr>
      <w:r w:rsidRPr="00026EC1">
        <w:t>Malgré les dispositions du paragraphe précédent, le Collège effectue cette compensation si l</w:t>
      </w:r>
      <w:r w:rsidR="004A41E4" w:rsidRPr="00026EC1">
        <w:t>’</w:t>
      </w:r>
      <w:r w:rsidRPr="00026EC1">
        <w:t>enseignante démontre que le traitement gagné est un traitement habituel, au moyen d</w:t>
      </w:r>
      <w:r w:rsidR="004A41E4" w:rsidRPr="00026EC1">
        <w:t>’</w:t>
      </w:r>
      <w:r w:rsidRPr="00026EC1">
        <w:t>une lettre à cet effet de l</w:t>
      </w:r>
      <w:r w:rsidR="004A41E4" w:rsidRPr="00026EC1">
        <w:t>’</w:t>
      </w:r>
      <w:r w:rsidRPr="00026EC1">
        <w:t>employeur qui le verse. Si l</w:t>
      </w:r>
      <w:r w:rsidR="004A41E4" w:rsidRPr="00026EC1">
        <w:t>’</w:t>
      </w:r>
      <w:r w:rsidRPr="00026EC1">
        <w:t>enseignante démontre qu</w:t>
      </w:r>
      <w:r w:rsidR="004A41E4" w:rsidRPr="00026EC1">
        <w:t>’</w:t>
      </w:r>
      <w:r w:rsidRPr="00026EC1">
        <w:t>une partie seulement de ce traitement est habituelle, la compensation est limitée à cette partie.</w:t>
      </w:r>
    </w:p>
    <w:p w14:paraId="36FEFC37" w14:textId="77777777" w:rsidR="009F5256" w:rsidRPr="00026EC1" w:rsidRDefault="009F5256" w:rsidP="00A64613">
      <w:pPr>
        <w:keepNext w:val="0"/>
      </w:pPr>
    </w:p>
    <w:p w14:paraId="6F1EA10C" w14:textId="77777777" w:rsidR="009F5256" w:rsidRPr="00026EC1" w:rsidRDefault="009F5256" w:rsidP="00A64613">
      <w:pPr>
        <w:keepNext w:val="0"/>
      </w:pPr>
      <w:r w:rsidRPr="00026EC1">
        <w:t>L</w:t>
      </w:r>
      <w:r w:rsidR="004A41E4" w:rsidRPr="00026EC1">
        <w:t>’</w:t>
      </w:r>
      <w:r w:rsidRPr="00026EC1">
        <w:t>employeur qui verse le traitement habituel prévu au paragraphe précédent doit, à la demande de l</w:t>
      </w:r>
      <w:r w:rsidR="004A41E4" w:rsidRPr="00026EC1">
        <w:t>’</w:t>
      </w:r>
      <w:r w:rsidRPr="00026EC1">
        <w:t>enseignante, lui produire cette lettre.</w:t>
      </w:r>
    </w:p>
    <w:p w14:paraId="05153137" w14:textId="77777777" w:rsidR="009F5256" w:rsidRPr="00026EC1" w:rsidRDefault="009F5256" w:rsidP="00A64613">
      <w:pPr>
        <w:keepNext w:val="0"/>
      </w:pPr>
    </w:p>
    <w:p w14:paraId="190DB52B" w14:textId="4138C107" w:rsidR="004849F5" w:rsidRPr="00026EC1" w:rsidRDefault="004849F5" w:rsidP="00A64613">
      <w:pPr>
        <w:keepNext w:val="0"/>
      </w:pPr>
      <w:r w:rsidRPr="00026EC1">
        <w:t>Le total des montants reçus par l’enseignante durant le congé de maternité, en prestations du RQAP ou du RAE, indemnité et traitement, ne peut cependant excéder le montant brut établi à l’alinéa</w:t>
      </w:r>
      <w:r w:rsidR="00B013DF">
        <w:t> </w:t>
      </w:r>
      <w:r w:rsidRPr="00026EC1">
        <w:t>1</w:t>
      </w:r>
      <w:r w:rsidRPr="00026EC1">
        <w:rPr>
          <w:vertAlign w:val="superscript"/>
        </w:rPr>
        <w:t>0</w:t>
      </w:r>
      <w:r w:rsidRPr="00026EC1">
        <w:t xml:space="preserve"> des clauses</w:t>
      </w:r>
      <w:r w:rsidR="00B013DF">
        <w:t> </w:t>
      </w:r>
      <w:r w:rsidRPr="00026EC1">
        <w:t>5</w:t>
      </w:r>
      <w:r w:rsidR="00984A6F">
        <w:noBreakHyphen/>
      </w:r>
      <w:r w:rsidRPr="00026EC1">
        <w:t>6.12 ou 5</w:t>
      </w:r>
      <w:r w:rsidR="00984A6F">
        <w:noBreakHyphen/>
      </w:r>
      <w:r w:rsidRPr="00026EC1">
        <w:t>6.13, le cas échéant. La formule doit être appliquée sur la somme des traitements hebdomadaires de base versés par so</w:t>
      </w:r>
      <w:r w:rsidR="00830E94" w:rsidRPr="00026EC1">
        <w:t>n Collège ou, le cas échéant, par</w:t>
      </w:r>
      <w:r w:rsidRPr="00026EC1">
        <w:t xml:space="preserve"> ses employeurs.</w:t>
      </w:r>
    </w:p>
    <w:p w14:paraId="3DEBF036" w14:textId="77777777" w:rsidR="009F5256" w:rsidRPr="00026EC1" w:rsidRDefault="009F5256" w:rsidP="00A64613">
      <w:pPr>
        <w:keepNext w:val="0"/>
      </w:pPr>
    </w:p>
    <w:p w14:paraId="1F6B2D4C" w14:textId="77777777" w:rsidR="009F5256" w:rsidRPr="00E65637" w:rsidRDefault="009F5256" w:rsidP="00A64613">
      <w:pPr>
        <w:pStyle w:val="PMGSTexte0cm"/>
        <w:keepNext w:val="0"/>
        <w:tabs>
          <w:tab w:val="left" w:pos="540"/>
        </w:tabs>
        <w:rPr>
          <w:smallCaps w:val="0"/>
          <w:u w:val="none"/>
        </w:rPr>
      </w:pPr>
      <w:r w:rsidRPr="00026EC1">
        <w:rPr>
          <w:smallCaps w:val="0"/>
          <w:u w:val="none"/>
        </w:rPr>
        <w:t>C)</w:t>
      </w:r>
      <w:r w:rsidRPr="00026EC1">
        <w:rPr>
          <w:smallCaps w:val="0"/>
          <w:u w:val="none"/>
        </w:rPr>
        <w:tab/>
      </w:r>
      <w:r w:rsidRPr="00E65637">
        <w:rPr>
          <w:smallCaps w:val="0"/>
        </w:rPr>
        <w:t>Cas non admissible au RQAP ou au RAE</w:t>
      </w:r>
    </w:p>
    <w:p w14:paraId="6DB582BD" w14:textId="77777777" w:rsidR="009F5256" w:rsidRPr="00026EC1" w:rsidRDefault="009F5256" w:rsidP="00A64613">
      <w:pPr>
        <w:keepNext w:val="0"/>
      </w:pPr>
    </w:p>
    <w:p w14:paraId="67658D76" w14:textId="1AF0F16C" w:rsidR="009F5256" w:rsidRPr="00026EC1" w:rsidRDefault="009F5256" w:rsidP="00A64613">
      <w:pPr>
        <w:pStyle w:val="NUMRODECLAUSE"/>
        <w:keepNext w:val="0"/>
      </w:pPr>
      <w:r w:rsidRPr="00026EC1">
        <w:t>5</w:t>
      </w:r>
      <w:r w:rsidR="00984A6F">
        <w:noBreakHyphen/>
      </w:r>
      <w:r w:rsidRPr="00026EC1">
        <w:t>6.15</w:t>
      </w:r>
    </w:p>
    <w:p w14:paraId="3DF0CAFF" w14:textId="548CE8C6" w:rsidR="009F5256" w:rsidRPr="00026EC1" w:rsidRDefault="009F5256" w:rsidP="00A64613">
      <w:pPr>
        <w:keepNext w:val="0"/>
        <w:rPr>
          <w:rFonts w:cs="Arial"/>
          <w:bCs/>
          <w:szCs w:val="24"/>
        </w:rPr>
      </w:pPr>
      <w:r w:rsidRPr="00026EC1">
        <w:rPr>
          <w:rFonts w:cs="Arial"/>
          <w:szCs w:val="24"/>
        </w:rPr>
        <w:t>L</w:t>
      </w:r>
      <w:r w:rsidR="004A41E4" w:rsidRPr="00026EC1">
        <w:rPr>
          <w:rFonts w:cs="Arial"/>
          <w:szCs w:val="24"/>
        </w:rPr>
        <w:t>’</w:t>
      </w:r>
      <w:r w:rsidRPr="00026EC1">
        <w:rPr>
          <w:rFonts w:cs="Arial"/>
          <w:szCs w:val="24"/>
        </w:rPr>
        <w:t xml:space="preserve">enseignante </w:t>
      </w:r>
      <w:r w:rsidRPr="00026EC1">
        <w:rPr>
          <w:rFonts w:cs="Arial"/>
          <w:bCs/>
          <w:szCs w:val="24"/>
        </w:rPr>
        <w:t>non admissible au bénéfice des prestations du RQAP ou du RAE</w:t>
      </w:r>
      <w:r w:rsidRPr="00026EC1">
        <w:rPr>
          <w:rFonts w:cs="Arial"/>
          <w:szCs w:val="24"/>
        </w:rPr>
        <w:t xml:space="preserve"> est </w:t>
      </w:r>
      <w:r w:rsidRPr="00026EC1">
        <w:t>également</w:t>
      </w:r>
      <w:r w:rsidRPr="00026EC1">
        <w:rPr>
          <w:rFonts w:cs="Arial"/>
          <w:szCs w:val="24"/>
        </w:rPr>
        <w:t xml:space="preserve"> exclue du bénéfice de toute indemnité</w:t>
      </w:r>
      <w:r w:rsidRPr="00026EC1">
        <w:rPr>
          <w:rFonts w:cs="Arial"/>
          <w:bCs/>
          <w:szCs w:val="24"/>
        </w:rPr>
        <w:t xml:space="preserve"> prévue aux clauses</w:t>
      </w:r>
      <w:r w:rsidR="00D66A8F" w:rsidRPr="00026EC1">
        <w:rPr>
          <w:rFonts w:cs="Arial"/>
          <w:bCs/>
          <w:szCs w:val="24"/>
        </w:rPr>
        <w:t> </w:t>
      </w:r>
      <w:r w:rsidRPr="00026EC1">
        <w:rPr>
          <w:rFonts w:cs="Arial"/>
          <w:bCs/>
          <w:szCs w:val="24"/>
        </w:rPr>
        <w:t>5</w:t>
      </w:r>
      <w:r w:rsidR="00984A6F">
        <w:rPr>
          <w:rFonts w:cs="Arial"/>
          <w:bCs/>
          <w:szCs w:val="24"/>
        </w:rPr>
        <w:noBreakHyphen/>
      </w:r>
      <w:r w:rsidRPr="00026EC1">
        <w:rPr>
          <w:rFonts w:cs="Arial"/>
          <w:bCs/>
          <w:szCs w:val="24"/>
        </w:rPr>
        <w:t>6.12 et 5</w:t>
      </w:r>
      <w:r w:rsidR="00984A6F">
        <w:rPr>
          <w:rFonts w:cs="Arial"/>
          <w:bCs/>
          <w:szCs w:val="24"/>
        </w:rPr>
        <w:noBreakHyphen/>
      </w:r>
      <w:r w:rsidRPr="00026EC1">
        <w:rPr>
          <w:rFonts w:cs="Arial"/>
          <w:bCs/>
          <w:szCs w:val="24"/>
        </w:rPr>
        <w:t xml:space="preserve">6.13. </w:t>
      </w:r>
    </w:p>
    <w:p w14:paraId="59A87E63" w14:textId="77777777" w:rsidR="009F5256" w:rsidRPr="00026EC1" w:rsidRDefault="009F5256" w:rsidP="00A64613">
      <w:pPr>
        <w:keepNext w:val="0"/>
      </w:pPr>
    </w:p>
    <w:p w14:paraId="30058F6E" w14:textId="737DD741" w:rsidR="004849F5" w:rsidRDefault="004849F5" w:rsidP="00A64613">
      <w:pPr>
        <w:keepNext w:val="0"/>
        <w:rPr>
          <w:rFonts w:cs="Arial"/>
          <w:color w:val="000000"/>
          <w:szCs w:val="24"/>
        </w:rPr>
      </w:pPr>
      <w:r w:rsidRPr="00026EC1">
        <w:rPr>
          <w:rFonts w:cs="Arial"/>
          <w:szCs w:val="24"/>
        </w:rPr>
        <w:t>Toutefois, l’enseignante qui a accumulé vingt</w:t>
      </w:r>
      <w:r w:rsidR="00B013DF">
        <w:rPr>
          <w:rFonts w:cs="Arial"/>
          <w:szCs w:val="24"/>
        </w:rPr>
        <w:t> </w:t>
      </w:r>
      <w:r w:rsidRPr="00026EC1">
        <w:rPr>
          <w:rFonts w:cs="Arial"/>
          <w:szCs w:val="24"/>
        </w:rPr>
        <w:t>(20) semaines de service</w:t>
      </w:r>
      <w:r w:rsidRPr="00026EC1">
        <w:rPr>
          <w:rStyle w:val="FootnoteReference"/>
          <w:szCs w:val="24"/>
        </w:rPr>
        <w:footnoteReference w:id="14"/>
      </w:r>
      <w:r w:rsidRPr="00026EC1">
        <w:rPr>
          <w:szCs w:val="24"/>
        </w:rPr>
        <w:t xml:space="preserve"> </w:t>
      </w:r>
      <w:r w:rsidRPr="00026EC1">
        <w:rPr>
          <w:rFonts w:cs="Arial"/>
          <w:szCs w:val="24"/>
        </w:rPr>
        <w:t>a droit à une indemnité</w:t>
      </w:r>
      <w:r w:rsidRPr="00026EC1">
        <w:rPr>
          <w:rFonts w:cs="Arial"/>
          <w:color w:val="000000"/>
          <w:szCs w:val="24"/>
        </w:rPr>
        <w:t xml:space="preserve"> calculée selon la formule suivante</w:t>
      </w:r>
      <w:r w:rsidRPr="00026EC1">
        <w:rPr>
          <w:rFonts w:cs="Arial"/>
          <w:szCs w:val="24"/>
        </w:rPr>
        <w:t>, et ce, durant douze</w:t>
      </w:r>
      <w:r w:rsidR="00B013DF">
        <w:rPr>
          <w:rFonts w:cs="Arial"/>
          <w:szCs w:val="24"/>
        </w:rPr>
        <w:t> </w:t>
      </w:r>
      <w:r w:rsidRPr="00026EC1">
        <w:rPr>
          <w:rFonts w:cs="Arial"/>
          <w:szCs w:val="24"/>
        </w:rPr>
        <w:t>(12) semaines, si elle ne reçoit pas de prestation d'un régime de droits parentaux établi par une autre province ou un autre territoire</w:t>
      </w:r>
      <w:r w:rsidR="00D8581B">
        <w:rPr>
          <w:rFonts w:cs="Arial"/>
          <w:color w:val="000000"/>
          <w:szCs w:val="24"/>
        </w:rPr>
        <w:t> :</w:t>
      </w:r>
    </w:p>
    <w:p w14:paraId="7B807A7A" w14:textId="77777777" w:rsidR="00CF0284" w:rsidRPr="00026EC1" w:rsidRDefault="00CF0284" w:rsidP="00A64613">
      <w:pPr>
        <w:keepNext w:val="0"/>
        <w:rPr>
          <w:rFonts w:cs="Arial"/>
          <w:color w:val="000000"/>
          <w:szCs w:val="24"/>
        </w:rPr>
      </w:pPr>
    </w:p>
    <w:p w14:paraId="605C4547" w14:textId="22B3D54F" w:rsidR="004849F5" w:rsidRPr="00026EC1" w:rsidRDefault="004849F5" w:rsidP="00A64613">
      <w:pPr>
        <w:keepNext w:val="0"/>
        <w:rPr>
          <w:rFonts w:cs="Arial"/>
          <w:szCs w:val="24"/>
        </w:rPr>
      </w:pPr>
      <w:r w:rsidRPr="00026EC1">
        <w:rPr>
          <w:rFonts w:cs="Arial"/>
          <w:szCs w:val="24"/>
        </w:rPr>
        <w:t>En additionnant</w:t>
      </w:r>
      <w:r w:rsidR="00D8581B">
        <w:rPr>
          <w:rFonts w:cs="Arial"/>
          <w:szCs w:val="24"/>
        </w:rPr>
        <w:t> :</w:t>
      </w:r>
    </w:p>
    <w:p w14:paraId="4EDA9839" w14:textId="77777777" w:rsidR="004849F5" w:rsidRPr="00026EC1" w:rsidRDefault="004849F5" w:rsidP="00A64613">
      <w:pPr>
        <w:keepNext w:val="0"/>
        <w:ind w:firstLine="708"/>
        <w:rPr>
          <w:rFonts w:cs="Arial"/>
          <w:szCs w:val="24"/>
        </w:rPr>
      </w:pPr>
    </w:p>
    <w:p w14:paraId="330E9DF9" w14:textId="49F47F5E" w:rsidR="004849F5" w:rsidRPr="00026EC1" w:rsidRDefault="007C12AE" w:rsidP="00A64613">
      <w:pPr>
        <w:keepNext w:val="0"/>
        <w:ind w:left="779" w:hanging="278"/>
        <w:rPr>
          <w:rFonts w:cs="Arial"/>
          <w:szCs w:val="24"/>
        </w:rPr>
      </w:pPr>
      <w:r w:rsidRPr="00026EC1">
        <w:rPr>
          <w:rFonts w:cs="Arial"/>
          <w:szCs w:val="24"/>
        </w:rPr>
        <w:t>a) </w:t>
      </w:r>
      <w:r w:rsidR="004849F5" w:rsidRPr="00026EC1">
        <w:rPr>
          <w:rFonts w:cs="Arial"/>
          <w:szCs w:val="24"/>
        </w:rPr>
        <w:t xml:space="preserve">le montant représentant </w:t>
      </w:r>
      <w:r w:rsidR="00244E4B" w:rsidRPr="00026EC1">
        <w:rPr>
          <w:rFonts w:cs="Arial"/>
          <w:szCs w:val="24"/>
        </w:rPr>
        <w:t>cent pour cent</w:t>
      </w:r>
      <w:r w:rsidR="00B013DF">
        <w:rPr>
          <w:rFonts w:cs="Arial"/>
          <w:szCs w:val="24"/>
        </w:rPr>
        <w:t> </w:t>
      </w:r>
      <w:r w:rsidR="00244E4B" w:rsidRPr="00026EC1">
        <w:rPr>
          <w:rFonts w:cs="Arial"/>
          <w:szCs w:val="24"/>
        </w:rPr>
        <w:t>(100</w:t>
      </w:r>
      <w:r w:rsidR="00714A15">
        <w:rPr>
          <w:rFonts w:cs="Arial"/>
          <w:szCs w:val="24"/>
        </w:rPr>
        <w:t> %</w:t>
      </w:r>
      <w:r w:rsidR="00244E4B" w:rsidRPr="00026EC1">
        <w:rPr>
          <w:rFonts w:cs="Arial"/>
          <w:szCs w:val="24"/>
        </w:rPr>
        <w:t>)</w:t>
      </w:r>
      <w:r w:rsidR="004849F5" w:rsidRPr="00026EC1">
        <w:rPr>
          <w:rFonts w:cs="Arial"/>
          <w:szCs w:val="24"/>
        </w:rPr>
        <w:t xml:space="preserve"> du traitement hebdomadaire de base de l’enseignante jusqu’à concurrence de </w:t>
      </w:r>
      <w:r w:rsidR="00244E4B" w:rsidRPr="00026EC1">
        <w:rPr>
          <w:rFonts w:cs="Arial"/>
          <w:szCs w:val="24"/>
        </w:rPr>
        <w:t>deux cent vingt</w:t>
      </w:r>
      <w:r w:rsidR="00984A6F">
        <w:rPr>
          <w:rFonts w:cs="Arial"/>
          <w:szCs w:val="24"/>
        </w:rPr>
        <w:noBreakHyphen/>
      </w:r>
      <w:r w:rsidR="00244E4B" w:rsidRPr="00026EC1">
        <w:rPr>
          <w:rFonts w:cs="Arial"/>
          <w:szCs w:val="24"/>
        </w:rPr>
        <w:t>cinq dollars</w:t>
      </w:r>
      <w:r w:rsidR="00B013DF">
        <w:rPr>
          <w:rFonts w:cs="Arial"/>
          <w:szCs w:val="24"/>
        </w:rPr>
        <w:t> </w:t>
      </w:r>
      <w:r w:rsidR="00244E4B" w:rsidRPr="00026EC1">
        <w:rPr>
          <w:rFonts w:cs="Arial"/>
          <w:szCs w:val="24"/>
        </w:rPr>
        <w:t>(225</w:t>
      </w:r>
      <w:r w:rsidR="00D8581B">
        <w:rPr>
          <w:rFonts w:cs="Arial"/>
          <w:szCs w:val="24"/>
        </w:rPr>
        <w:t> $</w:t>
      </w:r>
      <w:r w:rsidR="00244E4B" w:rsidRPr="00026EC1">
        <w:rPr>
          <w:rFonts w:cs="Arial"/>
          <w:szCs w:val="24"/>
        </w:rPr>
        <w:t>)</w:t>
      </w:r>
      <w:r w:rsidR="004849F5" w:rsidRPr="00026EC1">
        <w:rPr>
          <w:rFonts w:cs="Arial"/>
          <w:szCs w:val="24"/>
        </w:rPr>
        <w:t>;</w:t>
      </w:r>
    </w:p>
    <w:p w14:paraId="52CF1613" w14:textId="77777777" w:rsidR="004849F5" w:rsidRPr="00026EC1" w:rsidRDefault="004849F5" w:rsidP="00A64613">
      <w:pPr>
        <w:keepNext w:val="0"/>
        <w:ind w:firstLine="708"/>
        <w:rPr>
          <w:rFonts w:cs="Arial"/>
          <w:szCs w:val="24"/>
        </w:rPr>
      </w:pPr>
    </w:p>
    <w:p w14:paraId="6D8EAEB7" w14:textId="77777777" w:rsidR="00057013" w:rsidRPr="00026EC1" w:rsidRDefault="00057013" w:rsidP="00A64613">
      <w:pPr>
        <w:keepNext w:val="0"/>
        <w:ind w:firstLine="708"/>
        <w:rPr>
          <w:rFonts w:cs="Arial"/>
          <w:szCs w:val="24"/>
        </w:rPr>
      </w:pPr>
      <w:r w:rsidRPr="00026EC1">
        <w:rPr>
          <w:rFonts w:cs="Arial"/>
          <w:szCs w:val="24"/>
        </w:rPr>
        <w:t>et</w:t>
      </w:r>
    </w:p>
    <w:p w14:paraId="15D19E31" w14:textId="77777777" w:rsidR="00057013" w:rsidRPr="00026EC1" w:rsidRDefault="00057013" w:rsidP="00A64613">
      <w:pPr>
        <w:keepNext w:val="0"/>
        <w:ind w:firstLine="708"/>
        <w:rPr>
          <w:rFonts w:cs="Arial"/>
          <w:szCs w:val="24"/>
        </w:rPr>
      </w:pPr>
    </w:p>
    <w:p w14:paraId="25AE6D15" w14:textId="5E628C54" w:rsidR="004849F5" w:rsidRPr="00026EC1" w:rsidRDefault="007C12AE" w:rsidP="00A64613">
      <w:pPr>
        <w:keepNext w:val="0"/>
        <w:ind w:left="779" w:hanging="284"/>
        <w:rPr>
          <w:rFonts w:cs="Arial"/>
          <w:szCs w:val="24"/>
        </w:rPr>
      </w:pPr>
      <w:r w:rsidRPr="00026EC1">
        <w:rPr>
          <w:rFonts w:cs="Arial"/>
          <w:szCs w:val="24"/>
        </w:rPr>
        <w:t>b) </w:t>
      </w:r>
      <w:r w:rsidR="004849F5" w:rsidRPr="00026EC1">
        <w:rPr>
          <w:rFonts w:cs="Arial"/>
          <w:szCs w:val="24"/>
        </w:rPr>
        <w:t xml:space="preserve">le montant représentant </w:t>
      </w:r>
      <w:r w:rsidR="00244E4B" w:rsidRPr="00026EC1">
        <w:rPr>
          <w:rFonts w:cs="Arial"/>
          <w:szCs w:val="24"/>
        </w:rPr>
        <w:t>quatre</w:t>
      </w:r>
      <w:r w:rsidR="00984A6F">
        <w:rPr>
          <w:rFonts w:cs="Arial"/>
          <w:szCs w:val="24"/>
        </w:rPr>
        <w:noBreakHyphen/>
      </w:r>
      <w:r w:rsidR="00244E4B" w:rsidRPr="00026EC1">
        <w:rPr>
          <w:rFonts w:cs="Arial"/>
          <w:szCs w:val="24"/>
        </w:rPr>
        <w:t>vingt</w:t>
      </w:r>
      <w:r w:rsidR="00984A6F">
        <w:rPr>
          <w:rFonts w:cs="Arial"/>
          <w:szCs w:val="24"/>
        </w:rPr>
        <w:noBreakHyphen/>
      </w:r>
      <w:r w:rsidR="00244E4B" w:rsidRPr="00026EC1">
        <w:rPr>
          <w:rFonts w:cs="Arial"/>
          <w:szCs w:val="24"/>
        </w:rPr>
        <w:t>huit pour cent</w:t>
      </w:r>
      <w:r w:rsidR="00B013DF">
        <w:rPr>
          <w:rFonts w:cs="Arial"/>
          <w:szCs w:val="24"/>
        </w:rPr>
        <w:t> </w:t>
      </w:r>
      <w:r w:rsidR="00244E4B" w:rsidRPr="00026EC1">
        <w:rPr>
          <w:rFonts w:cs="Arial"/>
          <w:szCs w:val="24"/>
        </w:rPr>
        <w:t>(88</w:t>
      </w:r>
      <w:r w:rsidR="00714A15">
        <w:rPr>
          <w:rFonts w:cs="Arial"/>
          <w:szCs w:val="24"/>
        </w:rPr>
        <w:t> %</w:t>
      </w:r>
      <w:r w:rsidR="00244E4B" w:rsidRPr="00026EC1">
        <w:rPr>
          <w:rFonts w:cs="Arial"/>
          <w:szCs w:val="24"/>
        </w:rPr>
        <w:t xml:space="preserve">) </w:t>
      </w:r>
      <w:r w:rsidR="004849F5" w:rsidRPr="00026EC1">
        <w:rPr>
          <w:rFonts w:cs="Arial"/>
          <w:szCs w:val="24"/>
        </w:rPr>
        <w:t>de la différence entre le traitement hebdomadaire de base de l’enseignante et le montant établi au précédent alinéa</w:t>
      </w:r>
      <w:r w:rsidR="00B013DF">
        <w:rPr>
          <w:rFonts w:cs="Arial"/>
          <w:szCs w:val="24"/>
        </w:rPr>
        <w:t> </w:t>
      </w:r>
      <w:r w:rsidR="004849F5" w:rsidRPr="00026EC1">
        <w:rPr>
          <w:rFonts w:cs="Arial"/>
          <w:szCs w:val="24"/>
        </w:rPr>
        <w:t>a).</w:t>
      </w:r>
    </w:p>
    <w:p w14:paraId="2F9B89B5" w14:textId="77777777" w:rsidR="004849F5" w:rsidRPr="00026EC1" w:rsidRDefault="004849F5" w:rsidP="00A64613">
      <w:pPr>
        <w:keepNext w:val="0"/>
        <w:rPr>
          <w:rFonts w:cs="Arial"/>
          <w:bCs/>
          <w:szCs w:val="24"/>
        </w:rPr>
      </w:pPr>
    </w:p>
    <w:p w14:paraId="7CFEBEBD" w14:textId="0D68D191" w:rsidR="004849F5" w:rsidRDefault="004849F5" w:rsidP="00A64613">
      <w:pPr>
        <w:keepNext w:val="0"/>
        <w:rPr>
          <w:rFonts w:cs="Arial"/>
          <w:szCs w:val="24"/>
        </w:rPr>
      </w:pPr>
      <w:r w:rsidRPr="00026EC1">
        <w:rPr>
          <w:rFonts w:cs="Arial"/>
          <w:szCs w:val="24"/>
        </w:rPr>
        <w:t xml:space="preserve">Le total des montants reçus par la salariée durant le congé de maternité, en prestations du </w:t>
      </w:r>
      <w:r w:rsidR="00D330B9" w:rsidRPr="00026EC1">
        <w:rPr>
          <w:rFonts w:cs="Arial"/>
          <w:szCs w:val="24"/>
        </w:rPr>
        <w:t>RQAP ou du RAE</w:t>
      </w:r>
      <w:r w:rsidRPr="00026EC1">
        <w:rPr>
          <w:rFonts w:cs="Arial"/>
          <w:szCs w:val="24"/>
        </w:rPr>
        <w:t>, indemnité et traitement, ne peut cependant excéder le montant brut établi à l’alinéa 1</w:t>
      </w:r>
      <w:r w:rsidRPr="00026EC1">
        <w:rPr>
          <w:rFonts w:cs="Arial"/>
          <w:szCs w:val="24"/>
          <w:vertAlign w:val="superscript"/>
        </w:rPr>
        <w:t>0</w:t>
      </w:r>
      <w:r w:rsidRPr="00026EC1">
        <w:rPr>
          <w:rFonts w:cs="Arial"/>
          <w:szCs w:val="24"/>
        </w:rPr>
        <w:t xml:space="preserve"> de la clause</w:t>
      </w:r>
      <w:r w:rsidR="00B013DF">
        <w:rPr>
          <w:rFonts w:cs="Arial"/>
          <w:szCs w:val="24"/>
        </w:rPr>
        <w:t> </w:t>
      </w:r>
      <w:r w:rsidRPr="00026EC1">
        <w:rPr>
          <w:rFonts w:cs="Arial"/>
          <w:szCs w:val="24"/>
        </w:rPr>
        <w:t>5</w:t>
      </w:r>
      <w:r w:rsidR="00984A6F">
        <w:rPr>
          <w:rFonts w:cs="Arial"/>
          <w:szCs w:val="24"/>
        </w:rPr>
        <w:noBreakHyphen/>
      </w:r>
      <w:r w:rsidRPr="00026EC1">
        <w:rPr>
          <w:rFonts w:cs="Arial"/>
          <w:szCs w:val="24"/>
        </w:rPr>
        <w:t xml:space="preserve">6.12. Cette formule doit être appliquée sur la somme des traitements </w:t>
      </w:r>
      <w:r w:rsidR="00482700">
        <w:rPr>
          <w:rFonts w:cs="Arial"/>
          <w:szCs w:val="24"/>
        </w:rPr>
        <w:t xml:space="preserve">hebdomadaires de base reçus du Collège ou, le cas échéant, de </w:t>
      </w:r>
      <w:r w:rsidRPr="00026EC1">
        <w:rPr>
          <w:rFonts w:cs="Arial"/>
          <w:szCs w:val="24"/>
        </w:rPr>
        <w:t>ses employeurs.</w:t>
      </w:r>
    </w:p>
    <w:p w14:paraId="480A6FD1" w14:textId="77777777" w:rsidR="009B326C" w:rsidRPr="00026EC1" w:rsidRDefault="009B326C" w:rsidP="00A64613">
      <w:pPr>
        <w:keepNext w:val="0"/>
        <w:rPr>
          <w:rFonts w:cs="Arial"/>
          <w:szCs w:val="24"/>
        </w:rPr>
      </w:pPr>
    </w:p>
    <w:p w14:paraId="53E85EA2" w14:textId="6C14523E" w:rsidR="009F5256" w:rsidRPr="00026EC1" w:rsidRDefault="009F5256" w:rsidP="00A64613">
      <w:pPr>
        <w:keepNext w:val="0"/>
        <w:rPr>
          <w:rFonts w:ascii="Arial Gras" w:hAnsi="Arial Gras"/>
          <w:b/>
        </w:rPr>
      </w:pPr>
      <w:r w:rsidRPr="00026EC1">
        <w:rPr>
          <w:b/>
        </w:rPr>
        <w:t>5</w:t>
      </w:r>
      <w:r w:rsidR="00984A6F">
        <w:rPr>
          <w:b/>
        </w:rPr>
        <w:noBreakHyphen/>
      </w:r>
      <w:r w:rsidRPr="00026EC1">
        <w:rPr>
          <w:b/>
        </w:rPr>
        <w:t>6.16</w:t>
      </w:r>
    </w:p>
    <w:p w14:paraId="14833E00" w14:textId="48EA75B4" w:rsidR="009F5256" w:rsidRPr="00026EC1" w:rsidRDefault="009F5256" w:rsidP="00A64613">
      <w:pPr>
        <w:keepNext w:val="0"/>
      </w:pPr>
      <w:r w:rsidRPr="00026EC1">
        <w:t>Le congé de maternité peut être d</w:t>
      </w:r>
      <w:r w:rsidR="004A41E4" w:rsidRPr="00026EC1">
        <w:t>’</w:t>
      </w:r>
      <w:r w:rsidRPr="00026EC1">
        <w:t xml:space="preserve">une durée moindre que </w:t>
      </w:r>
      <w:r w:rsidRPr="00026EC1">
        <w:rPr>
          <w:bCs/>
        </w:rPr>
        <w:t>celle prévue à la clause</w:t>
      </w:r>
      <w:r w:rsidR="00D66A8F" w:rsidRPr="00026EC1">
        <w:rPr>
          <w:bCs/>
        </w:rPr>
        <w:t> </w:t>
      </w:r>
      <w:r w:rsidRPr="00026EC1">
        <w:rPr>
          <w:bCs/>
        </w:rPr>
        <w:t>5</w:t>
      </w:r>
      <w:r w:rsidR="00984A6F">
        <w:rPr>
          <w:bCs/>
        </w:rPr>
        <w:noBreakHyphen/>
      </w:r>
      <w:r w:rsidRPr="00026EC1">
        <w:rPr>
          <w:bCs/>
        </w:rPr>
        <w:t xml:space="preserve">6.06. </w:t>
      </w:r>
      <w:r w:rsidRPr="00026EC1">
        <w:t>Si l</w:t>
      </w:r>
      <w:r w:rsidR="004A41E4" w:rsidRPr="00026EC1">
        <w:t>’</w:t>
      </w:r>
      <w:r w:rsidRPr="00026EC1">
        <w:t>enseignante revient au travail dans les deux (2) semaines suivant la naissance, elle produit, sur demande du Collège, un certificat médical attestant de son rétablissement suffisant pour reprendre le travail.</w:t>
      </w:r>
    </w:p>
    <w:p w14:paraId="65088494" w14:textId="77777777" w:rsidR="009B326C" w:rsidRDefault="009B326C" w:rsidP="00A64613">
      <w:pPr>
        <w:pStyle w:val="MGSTexte0cm"/>
        <w:keepNext w:val="0"/>
        <w:rPr>
          <w:caps w:val="0"/>
        </w:rPr>
      </w:pPr>
    </w:p>
    <w:p w14:paraId="09EE54FA" w14:textId="050E5058" w:rsidR="009F5256" w:rsidRPr="00026EC1" w:rsidRDefault="009F5256" w:rsidP="00A64613">
      <w:pPr>
        <w:pStyle w:val="MGSTexte0cm"/>
        <w:keepNext w:val="0"/>
        <w:rPr>
          <w:caps w:val="0"/>
        </w:rPr>
      </w:pPr>
      <w:r w:rsidRPr="00026EC1">
        <w:rPr>
          <w:caps w:val="0"/>
        </w:rPr>
        <w:t xml:space="preserve">Section III  </w:t>
      </w:r>
      <w:r w:rsidR="00984A6F">
        <w:rPr>
          <w:caps w:val="0"/>
        </w:rPr>
        <w:noBreakHyphen/>
      </w:r>
      <w:r w:rsidRPr="00026EC1">
        <w:rPr>
          <w:caps w:val="0"/>
        </w:rPr>
        <w:t xml:space="preserve">  Congés spéciaux à l</w:t>
      </w:r>
      <w:r w:rsidR="004A41E4" w:rsidRPr="00026EC1">
        <w:rPr>
          <w:caps w:val="0"/>
        </w:rPr>
        <w:t>’</w:t>
      </w:r>
      <w:r w:rsidRPr="00026EC1">
        <w:rPr>
          <w:caps w:val="0"/>
        </w:rPr>
        <w:t>occasion de la grossesse et de l</w:t>
      </w:r>
      <w:r w:rsidR="004A41E4" w:rsidRPr="00026EC1">
        <w:rPr>
          <w:caps w:val="0"/>
        </w:rPr>
        <w:t>’</w:t>
      </w:r>
      <w:r w:rsidRPr="00026EC1">
        <w:rPr>
          <w:caps w:val="0"/>
        </w:rPr>
        <w:t>allaitement</w:t>
      </w:r>
    </w:p>
    <w:p w14:paraId="173EBF88" w14:textId="77777777" w:rsidR="009F5256" w:rsidRPr="00026EC1" w:rsidRDefault="009F5256" w:rsidP="00A64613">
      <w:pPr>
        <w:keepNext w:val="0"/>
      </w:pPr>
    </w:p>
    <w:p w14:paraId="5D468D89" w14:textId="77777777" w:rsidR="009F5256" w:rsidRPr="00026EC1" w:rsidRDefault="009F5256" w:rsidP="00A64613">
      <w:pPr>
        <w:pStyle w:val="MGSTexte0cm"/>
        <w:keepNext w:val="0"/>
        <w:rPr>
          <w:caps w:val="0"/>
        </w:rPr>
      </w:pPr>
      <w:r w:rsidRPr="00026EC1">
        <w:rPr>
          <w:caps w:val="0"/>
        </w:rPr>
        <w:t>Affectation provisoire et congé spécial</w:t>
      </w:r>
    </w:p>
    <w:p w14:paraId="2421F8F2" w14:textId="77777777" w:rsidR="002E271B" w:rsidRDefault="002E271B" w:rsidP="00A64613">
      <w:pPr>
        <w:pStyle w:val="NUMRODECLAUSE"/>
        <w:keepNext w:val="0"/>
      </w:pPr>
    </w:p>
    <w:p w14:paraId="76B0A565" w14:textId="02A423B0" w:rsidR="009F5256" w:rsidRPr="00026EC1" w:rsidRDefault="009F5256" w:rsidP="00A64613">
      <w:pPr>
        <w:pStyle w:val="NUMRODECLAUSE"/>
        <w:keepNext w:val="0"/>
      </w:pPr>
      <w:r w:rsidRPr="00026EC1">
        <w:t>5</w:t>
      </w:r>
      <w:r w:rsidR="00984A6F">
        <w:noBreakHyphen/>
      </w:r>
      <w:r w:rsidRPr="00026EC1">
        <w:t>6.17</w:t>
      </w:r>
    </w:p>
    <w:p w14:paraId="71C611B8" w14:textId="0606CDDC" w:rsidR="009F5256" w:rsidRPr="00026EC1" w:rsidRDefault="009F5256" w:rsidP="00A64613">
      <w:pPr>
        <w:keepNext w:val="0"/>
      </w:pPr>
      <w:r w:rsidRPr="00026EC1">
        <w:t>L</w:t>
      </w:r>
      <w:r w:rsidR="004A41E4" w:rsidRPr="00026EC1">
        <w:t>’</w:t>
      </w:r>
      <w:r w:rsidRPr="00026EC1">
        <w:t>enseignante peut demander d</w:t>
      </w:r>
      <w:r w:rsidR="004A41E4" w:rsidRPr="00026EC1">
        <w:t>’</w:t>
      </w:r>
      <w:r w:rsidRPr="00026EC1">
        <w:t>être affectée provisoirement à une autre charge, vacant</w:t>
      </w:r>
      <w:r w:rsidRPr="00026EC1">
        <w:rPr>
          <w:bCs/>
        </w:rPr>
        <w:t>e</w:t>
      </w:r>
      <w:r w:rsidRPr="00026EC1">
        <w:t xml:space="preserve"> ou temporairement dépourvu</w:t>
      </w:r>
      <w:r w:rsidRPr="00026EC1">
        <w:rPr>
          <w:bCs/>
        </w:rPr>
        <w:t>e</w:t>
      </w:r>
      <w:r w:rsidRPr="00026EC1">
        <w:t xml:space="preserve"> de titulaire, du même titre d</w:t>
      </w:r>
      <w:r w:rsidR="004A41E4" w:rsidRPr="00026EC1">
        <w:t>’</w:t>
      </w:r>
      <w:r w:rsidRPr="00026EC1">
        <w:t>emploi ou, si elle y consent et sous réserve des dispositions des conventions collectives applicables, d</w:t>
      </w:r>
      <w:r w:rsidR="004A41E4" w:rsidRPr="00026EC1">
        <w:t>’</w:t>
      </w:r>
      <w:r w:rsidRPr="00026EC1">
        <w:t>un autre titre d</w:t>
      </w:r>
      <w:r w:rsidR="004A41E4" w:rsidRPr="00026EC1">
        <w:t>’</w:t>
      </w:r>
      <w:r w:rsidRPr="00026EC1">
        <w:t>emploi, dans les cas suivants</w:t>
      </w:r>
      <w:r w:rsidR="00D8581B">
        <w:t> :</w:t>
      </w:r>
    </w:p>
    <w:p w14:paraId="56A2ADC3" w14:textId="77777777" w:rsidR="009F5256" w:rsidRPr="00026EC1" w:rsidRDefault="009F5256" w:rsidP="00A64613">
      <w:pPr>
        <w:keepNext w:val="0"/>
      </w:pPr>
    </w:p>
    <w:p w14:paraId="39F0FDAA" w14:textId="77777777" w:rsidR="009F5256" w:rsidRPr="00026EC1" w:rsidRDefault="00275751" w:rsidP="00A64613">
      <w:pPr>
        <w:keepNext w:val="0"/>
        <w:ind w:left="567" w:hanging="567"/>
      </w:pPr>
      <w:r w:rsidRPr="00026EC1">
        <w:t>a)</w:t>
      </w:r>
      <w:r w:rsidRPr="00026EC1">
        <w:tab/>
      </w:r>
      <w:r w:rsidR="009F5256" w:rsidRPr="00026EC1">
        <w:t>elle est enceinte et ses conditions de travail comportent des risques de maladie infectieuse ou des dangers physiques pour elle ou l</w:t>
      </w:r>
      <w:r w:rsidR="004A41E4" w:rsidRPr="00026EC1">
        <w:t>’</w:t>
      </w:r>
      <w:r w:rsidR="009F5256" w:rsidRPr="00026EC1">
        <w:t>enfant à naître;</w:t>
      </w:r>
    </w:p>
    <w:p w14:paraId="6D4024D8" w14:textId="77777777" w:rsidR="009F5256" w:rsidRPr="00026EC1" w:rsidRDefault="009F5256" w:rsidP="00A64613">
      <w:pPr>
        <w:keepNext w:val="0"/>
      </w:pPr>
    </w:p>
    <w:p w14:paraId="50D25440" w14:textId="77777777" w:rsidR="009F5256" w:rsidRPr="00026EC1" w:rsidRDefault="00275751" w:rsidP="00A64613">
      <w:pPr>
        <w:keepNext w:val="0"/>
        <w:ind w:left="567" w:hanging="567"/>
      </w:pPr>
      <w:r w:rsidRPr="00026EC1">
        <w:t>b)</w:t>
      </w:r>
      <w:r w:rsidRPr="00026EC1">
        <w:tab/>
      </w:r>
      <w:r w:rsidR="009F5256" w:rsidRPr="00026EC1">
        <w:t>ses conditions de travail comportent des dangers pour l</w:t>
      </w:r>
      <w:r w:rsidR="004A41E4" w:rsidRPr="00026EC1">
        <w:t>’</w:t>
      </w:r>
      <w:r w:rsidR="009F5256" w:rsidRPr="00026EC1">
        <w:t>enfant qu</w:t>
      </w:r>
      <w:r w:rsidR="004A41E4" w:rsidRPr="00026EC1">
        <w:t>’</w:t>
      </w:r>
      <w:r w:rsidR="009F5256" w:rsidRPr="00026EC1">
        <w:t>elle allaite;</w:t>
      </w:r>
    </w:p>
    <w:p w14:paraId="2FF6F6BD" w14:textId="77777777" w:rsidR="009F5256" w:rsidRPr="00026EC1" w:rsidRDefault="009F5256" w:rsidP="00A64613">
      <w:pPr>
        <w:keepNext w:val="0"/>
      </w:pPr>
    </w:p>
    <w:p w14:paraId="3064822F" w14:textId="77777777" w:rsidR="009F5256" w:rsidRPr="00026EC1" w:rsidRDefault="00275751" w:rsidP="00A64613">
      <w:pPr>
        <w:keepNext w:val="0"/>
        <w:ind w:left="567" w:hanging="567"/>
      </w:pPr>
      <w:r w:rsidRPr="00026EC1">
        <w:t>c)</w:t>
      </w:r>
      <w:r w:rsidRPr="00026EC1">
        <w:tab/>
      </w:r>
      <w:r w:rsidR="009F5256" w:rsidRPr="00026EC1">
        <w:t>elle travaille régulièrement devant un écran cathodique.</w:t>
      </w:r>
    </w:p>
    <w:p w14:paraId="1AE31088" w14:textId="77777777" w:rsidR="009F5256" w:rsidRPr="00026EC1" w:rsidRDefault="009F5256" w:rsidP="00A64613">
      <w:pPr>
        <w:keepNext w:val="0"/>
      </w:pPr>
    </w:p>
    <w:p w14:paraId="13FDE183" w14:textId="77777777" w:rsidR="009F5256" w:rsidRPr="00026EC1" w:rsidRDefault="009F5256" w:rsidP="00A64613">
      <w:pPr>
        <w:keepNext w:val="0"/>
      </w:pPr>
      <w:r w:rsidRPr="00026EC1">
        <w:t>L</w:t>
      </w:r>
      <w:r w:rsidR="004A41E4" w:rsidRPr="00026EC1">
        <w:t>’</w:t>
      </w:r>
      <w:r w:rsidRPr="00026EC1">
        <w:t>enseignante présente dans les meilleurs délais un certificat médical à cet effet.</w:t>
      </w:r>
    </w:p>
    <w:p w14:paraId="0DC12999" w14:textId="77777777" w:rsidR="009F5256" w:rsidRPr="00026EC1" w:rsidRDefault="009F5256" w:rsidP="00A64613">
      <w:pPr>
        <w:keepNext w:val="0"/>
      </w:pPr>
    </w:p>
    <w:p w14:paraId="46657F3D" w14:textId="77777777" w:rsidR="009F5256" w:rsidRPr="00026EC1" w:rsidRDefault="009F5256" w:rsidP="00A64613">
      <w:pPr>
        <w:keepNext w:val="0"/>
      </w:pPr>
      <w:r w:rsidRPr="00026EC1">
        <w:t>Lorsque le Collège reçoit une demande de retrait préventif, il en avise immédiatement le Syndicat et lui indique le nom de l</w:t>
      </w:r>
      <w:r w:rsidR="004A41E4" w:rsidRPr="00026EC1">
        <w:t>’</w:t>
      </w:r>
      <w:r w:rsidRPr="00026EC1">
        <w:t>enseignante ainsi que les motifs à l</w:t>
      </w:r>
      <w:r w:rsidR="004A41E4" w:rsidRPr="00026EC1">
        <w:t>’</w:t>
      </w:r>
      <w:r w:rsidRPr="00026EC1">
        <w:t>appui de la demande de retrait préventif.</w:t>
      </w:r>
    </w:p>
    <w:p w14:paraId="3ECF2AE4" w14:textId="77777777" w:rsidR="009F5256" w:rsidRPr="00026EC1" w:rsidRDefault="009F5256" w:rsidP="00A64613">
      <w:pPr>
        <w:keepNext w:val="0"/>
      </w:pPr>
    </w:p>
    <w:p w14:paraId="2CAD3D9A" w14:textId="77777777" w:rsidR="009F5256" w:rsidRPr="00026EC1" w:rsidRDefault="009F5256" w:rsidP="00A64613">
      <w:pPr>
        <w:keepNext w:val="0"/>
      </w:pPr>
      <w:r w:rsidRPr="00026EC1">
        <w:t>Si elle ou il y consent, une autre enseignante ou un autre enseignant que celle qui demande d</w:t>
      </w:r>
      <w:r w:rsidR="004A41E4" w:rsidRPr="00026EC1">
        <w:t>’</w:t>
      </w:r>
      <w:r w:rsidRPr="00026EC1">
        <w:t>être affectée provisoirement peut, après avoir obtenu l</w:t>
      </w:r>
      <w:r w:rsidR="004A41E4" w:rsidRPr="00026EC1">
        <w:t>’</w:t>
      </w:r>
      <w:r w:rsidRPr="00026EC1">
        <w:t>accord du Collège, échanger sa charge avec l</w:t>
      </w:r>
      <w:r w:rsidR="004A41E4" w:rsidRPr="00026EC1">
        <w:t>’</w:t>
      </w:r>
      <w:r w:rsidRPr="00026EC1">
        <w:t>enseignante enceinte pour la durée de la période d</w:t>
      </w:r>
      <w:r w:rsidR="004A41E4" w:rsidRPr="00026EC1">
        <w:t>’</w:t>
      </w:r>
      <w:r w:rsidRPr="00026EC1">
        <w:t>affectation provisoire. Cette disposition s</w:t>
      </w:r>
      <w:r w:rsidR="004A41E4" w:rsidRPr="00026EC1">
        <w:t>’</w:t>
      </w:r>
      <w:r w:rsidRPr="00026EC1">
        <w:t>applique dans la mesure où ces personnes répondent aux exigences normales de la charge.</w:t>
      </w:r>
    </w:p>
    <w:p w14:paraId="0D210F72" w14:textId="77777777" w:rsidR="009F5256" w:rsidRPr="00026EC1" w:rsidRDefault="009F5256" w:rsidP="00A64613">
      <w:pPr>
        <w:keepNext w:val="0"/>
      </w:pPr>
    </w:p>
    <w:p w14:paraId="485A3B5D" w14:textId="77777777" w:rsidR="009F5256" w:rsidRPr="00026EC1" w:rsidRDefault="009F5256" w:rsidP="00A64613">
      <w:pPr>
        <w:keepNext w:val="0"/>
      </w:pPr>
      <w:r w:rsidRPr="00026EC1">
        <w:t>L</w:t>
      </w:r>
      <w:r w:rsidR="004A41E4" w:rsidRPr="00026EC1">
        <w:t>’</w:t>
      </w:r>
      <w:r w:rsidRPr="00026EC1">
        <w:t>enseignante ainsi affectée à une autre charge et celle ou celui qui consent à occuper la charge de cette enseignante conservent les droits et privilèges rattachés à leur charge respective.</w:t>
      </w:r>
    </w:p>
    <w:p w14:paraId="48A44C68" w14:textId="77777777" w:rsidR="009F5256" w:rsidRPr="00026EC1" w:rsidRDefault="009F5256" w:rsidP="00A64613">
      <w:pPr>
        <w:keepNext w:val="0"/>
      </w:pPr>
    </w:p>
    <w:p w14:paraId="621401A7" w14:textId="3DC26F74" w:rsidR="009F5256" w:rsidRPr="00026EC1" w:rsidRDefault="009F5256" w:rsidP="00A64613">
      <w:pPr>
        <w:keepNext w:val="0"/>
        <w:rPr>
          <w:bCs/>
        </w:rPr>
      </w:pPr>
      <w:r w:rsidRPr="00026EC1">
        <w:t>Si l</w:t>
      </w:r>
      <w:r w:rsidR="004A41E4" w:rsidRPr="00026EC1">
        <w:t>’</w:t>
      </w:r>
      <w:r w:rsidRPr="00026EC1">
        <w:t>affectation n</w:t>
      </w:r>
      <w:r w:rsidR="004A41E4" w:rsidRPr="00026EC1">
        <w:t>’</w:t>
      </w:r>
      <w:r w:rsidRPr="00026EC1">
        <w:t>est pas effectuée immédiatement, l</w:t>
      </w:r>
      <w:r w:rsidR="004A41E4" w:rsidRPr="00026EC1">
        <w:t>’</w:t>
      </w:r>
      <w:r w:rsidRPr="00026EC1">
        <w:t>enseignante a droit à un congé spécial qui débute immédiatement. À moins qu</w:t>
      </w:r>
      <w:r w:rsidR="004A41E4" w:rsidRPr="00026EC1">
        <w:t>’</w:t>
      </w:r>
      <w:r w:rsidRPr="00026EC1">
        <w:t>une affectation provisoire ne survienne par la suite et n</w:t>
      </w:r>
      <w:r w:rsidR="004A41E4" w:rsidRPr="00026EC1">
        <w:t>’</w:t>
      </w:r>
      <w:r w:rsidRPr="00026EC1">
        <w:t>y mette fin, le congé spécial se termine, pour l</w:t>
      </w:r>
      <w:r w:rsidR="004A41E4" w:rsidRPr="00026EC1">
        <w:t>’</w:t>
      </w:r>
      <w:r w:rsidRPr="00026EC1">
        <w:t>enseignante enceinte, à la date de son accouchement et, pour l</w:t>
      </w:r>
      <w:r w:rsidR="004A41E4" w:rsidRPr="00026EC1">
        <w:t>’</w:t>
      </w:r>
      <w:r w:rsidRPr="00026EC1">
        <w:t>enseignante qui allaite, à la fin de la période de l</w:t>
      </w:r>
      <w:r w:rsidR="004A41E4" w:rsidRPr="00026EC1">
        <w:t>’</w:t>
      </w:r>
      <w:r w:rsidRPr="00026EC1">
        <w:t xml:space="preserve">allaitement. </w:t>
      </w:r>
      <w:r w:rsidRPr="00026EC1">
        <w:rPr>
          <w:bCs/>
        </w:rPr>
        <w:t>Toutefois, pour l</w:t>
      </w:r>
      <w:r w:rsidR="004A41E4" w:rsidRPr="00026EC1">
        <w:rPr>
          <w:bCs/>
        </w:rPr>
        <w:t>’</w:t>
      </w:r>
      <w:r w:rsidRPr="00026EC1">
        <w:rPr>
          <w:bCs/>
        </w:rPr>
        <w:t>enseignante admissible aux prestations payables en vertu de la Loi sur l</w:t>
      </w:r>
      <w:r w:rsidR="004A41E4" w:rsidRPr="00026EC1">
        <w:rPr>
          <w:bCs/>
        </w:rPr>
        <w:t>’</w:t>
      </w:r>
      <w:r w:rsidRPr="00026EC1">
        <w:rPr>
          <w:bCs/>
        </w:rPr>
        <w:t>assurance parentale,</w:t>
      </w:r>
      <w:r w:rsidR="00CE5B85" w:rsidRPr="00026EC1">
        <w:rPr>
          <w:bCs/>
        </w:rPr>
        <w:t xml:space="preserve"> </w:t>
      </w:r>
      <w:r w:rsidRPr="00026EC1">
        <w:rPr>
          <w:bCs/>
        </w:rPr>
        <w:t>le congé spécial se termine à compter de la quatrième</w:t>
      </w:r>
      <w:r w:rsidR="00B013DF">
        <w:rPr>
          <w:bCs/>
        </w:rPr>
        <w:t> </w:t>
      </w:r>
      <w:r w:rsidRPr="00026EC1">
        <w:rPr>
          <w:bCs/>
        </w:rPr>
        <w:t>(4</w:t>
      </w:r>
      <w:r w:rsidRPr="00026EC1">
        <w:rPr>
          <w:bCs/>
          <w:vertAlign w:val="superscript"/>
        </w:rPr>
        <w:t>e</w:t>
      </w:r>
      <w:r w:rsidRPr="00026EC1">
        <w:rPr>
          <w:bCs/>
        </w:rPr>
        <w:t>) semaine avant la date prévue pour l</w:t>
      </w:r>
      <w:r w:rsidR="004A41E4" w:rsidRPr="00026EC1">
        <w:rPr>
          <w:bCs/>
        </w:rPr>
        <w:t>’</w:t>
      </w:r>
      <w:r w:rsidRPr="00026EC1">
        <w:rPr>
          <w:bCs/>
        </w:rPr>
        <w:t>accouchement.</w:t>
      </w:r>
    </w:p>
    <w:p w14:paraId="349055A3" w14:textId="77777777" w:rsidR="009F5256" w:rsidRPr="00026EC1" w:rsidRDefault="009F5256" w:rsidP="00A64613">
      <w:pPr>
        <w:keepNext w:val="0"/>
      </w:pPr>
    </w:p>
    <w:p w14:paraId="20320C42" w14:textId="14AF38F5" w:rsidR="009F5256" w:rsidRDefault="009F5256" w:rsidP="00A64613">
      <w:pPr>
        <w:keepNext w:val="0"/>
      </w:pPr>
      <w:r w:rsidRPr="00026EC1">
        <w:t>Durant le congé spécial prévu à la présente clause, l</w:t>
      </w:r>
      <w:r w:rsidR="004A41E4" w:rsidRPr="00026EC1">
        <w:t>’</w:t>
      </w:r>
      <w:r w:rsidRPr="00026EC1">
        <w:t xml:space="preserve">enseignante est régie, quant à son indemnité, par les dispositions de la </w:t>
      </w:r>
      <w:r w:rsidRPr="00026EC1">
        <w:rPr>
          <w:iCs/>
        </w:rPr>
        <w:t>Loi sur la santé et la sécurité du travail</w:t>
      </w:r>
      <w:r w:rsidRPr="00026EC1">
        <w:t xml:space="preserve"> relatives au retrait préventif de la travailleuse enceinte ou qui allaite.</w:t>
      </w:r>
    </w:p>
    <w:p w14:paraId="2128CC5F" w14:textId="77777777" w:rsidR="00D61E55" w:rsidRPr="00026EC1" w:rsidRDefault="00D61E55" w:rsidP="00A64613">
      <w:pPr>
        <w:keepNext w:val="0"/>
      </w:pPr>
    </w:p>
    <w:p w14:paraId="7D2EE06D" w14:textId="18A99ED3" w:rsidR="004849F5" w:rsidRPr="00026EC1" w:rsidRDefault="004849F5" w:rsidP="00A64613">
      <w:pPr>
        <w:keepNext w:val="0"/>
      </w:pPr>
      <w:r w:rsidRPr="00026EC1">
        <w:t xml:space="preserve">Cependant, à la suite d’une demande écrite de l’enseignante à cet effet, le Collège lui verse une avance sur l’indemnité à recevoir sur la base des paiements qui peuvent être anticipés. Si la </w:t>
      </w:r>
      <w:r w:rsidRPr="00026EC1">
        <w:rPr>
          <w:rFonts w:cs="Arial"/>
          <w:szCs w:val="24"/>
        </w:rPr>
        <w:t>CNESST</w:t>
      </w:r>
      <w:r w:rsidRPr="00026EC1">
        <w:t xml:space="preserve"> verse l’indemnité anticipée, le remboursement se fait à même celle</w:t>
      </w:r>
      <w:r w:rsidR="00984A6F">
        <w:noBreakHyphen/>
      </w:r>
      <w:r w:rsidRPr="00026EC1">
        <w:t>ci. Sinon, le remboursement se fait à raison de dix pour cent (10</w:t>
      </w:r>
      <w:r w:rsidR="00714A15">
        <w:t> %</w:t>
      </w:r>
      <w:r w:rsidRPr="00026EC1">
        <w:t xml:space="preserve">) du traitement payable par période de paie, jusqu’à extinction de la dette. Toutefois, lorsque l’enseignante exerce son droit de demander une révision de la décision de la </w:t>
      </w:r>
      <w:r w:rsidRPr="00026EC1">
        <w:rPr>
          <w:rFonts w:cs="Arial"/>
          <w:szCs w:val="24"/>
        </w:rPr>
        <w:t>CNESST</w:t>
      </w:r>
      <w:r w:rsidRPr="00026EC1">
        <w:t xml:space="preserve"> ou de contester cette décision devant</w:t>
      </w:r>
      <w:r w:rsidR="00EC6296">
        <w:t xml:space="preserve"> </w:t>
      </w:r>
      <w:r w:rsidR="00A97C66" w:rsidRPr="00316277">
        <w:t xml:space="preserve">le </w:t>
      </w:r>
      <w:r w:rsidR="00EC6296" w:rsidRPr="00316277">
        <w:t>Tribunal administratif du travail</w:t>
      </w:r>
      <w:r w:rsidR="00A97C66" w:rsidRPr="00316277">
        <w:t> (TAT)</w:t>
      </w:r>
      <w:r w:rsidRPr="00026EC1">
        <w:t xml:space="preserve">, le remboursement n’est exigible qu’une fois rendue la décision de révision administrative de la </w:t>
      </w:r>
      <w:r w:rsidRPr="00026EC1">
        <w:rPr>
          <w:rFonts w:cs="Arial"/>
          <w:szCs w:val="24"/>
        </w:rPr>
        <w:t>CNESST</w:t>
      </w:r>
      <w:r w:rsidRPr="00026EC1">
        <w:t xml:space="preserve"> ou, le cas échéant, celle</w:t>
      </w:r>
      <w:r w:rsidR="00EC6296">
        <w:t xml:space="preserve"> </w:t>
      </w:r>
      <w:r w:rsidR="00EC6296" w:rsidRPr="00316277">
        <w:t>du Tribunal administratif du travail</w:t>
      </w:r>
      <w:r w:rsidR="00A97C66" w:rsidRPr="00316277">
        <w:t> (TAT)</w:t>
      </w:r>
      <w:r w:rsidR="00D61E55">
        <w:t>.</w:t>
      </w:r>
    </w:p>
    <w:p w14:paraId="0A64B8A7" w14:textId="77777777" w:rsidR="009F5256" w:rsidRPr="00026EC1" w:rsidRDefault="009F5256" w:rsidP="00A64613">
      <w:pPr>
        <w:keepNext w:val="0"/>
      </w:pPr>
    </w:p>
    <w:p w14:paraId="550C864E" w14:textId="78F9E076" w:rsidR="009F5256" w:rsidRPr="00026EC1" w:rsidRDefault="009F5256" w:rsidP="00A64613">
      <w:pPr>
        <w:keepNext w:val="0"/>
      </w:pPr>
      <w:r w:rsidRPr="00026EC1">
        <w:t>L</w:t>
      </w:r>
      <w:r w:rsidR="004A41E4" w:rsidRPr="00026EC1">
        <w:t>’</w:t>
      </w:r>
      <w:r w:rsidRPr="00026EC1">
        <w:t>enseignante qui travaille régulièrement devant un écran cathodique peut demander que son temps de travail devant un écran cathodique soit réduit. Le Collège étudie alors la possibilité de modifier temporairement et sans perte de droits la tâche de l</w:t>
      </w:r>
      <w:r w:rsidR="004A41E4" w:rsidRPr="00026EC1">
        <w:t>’</w:t>
      </w:r>
      <w:r w:rsidRPr="00026EC1">
        <w:t>enseignante affectée à un travail devant un écran cathodique dans le but de réduire à un maximum de deux (2) heures par demi</w:t>
      </w:r>
      <w:r w:rsidR="00984A6F">
        <w:noBreakHyphen/>
      </w:r>
      <w:r w:rsidRPr="00026EC1">
        <w:t>journée le travail devant l</w:t>
      </w:r>
      <w:r w:rsidR="004A41E4" w:rsidRPr="00026EC1">
        <w:t>’</w:t>
      </w:r>
      <w:r w:rsidRPr="00026EC1">
        <w:t>écran cathodique. Si des modifications sont possibles, le Collège l</w:t>
      </w:r>
      <w:r w:rsidR="004A41E4" w:rsidRPr="00026EC1">
        <w:t>’</w:t>
      </w:r>
      <w:r w:rsidRPr="00026EC1">
        <w:t>affectera alors à d</w:t>
      </w:r>
      <w:r w:rsidR="004A41E4" w:rsidRPr="00026EC1">
        <w:t>’</w:t>
      </w:r>
      <w:r w:rsidRPr="00026EC1">
        <w:t>autres tâches qu</w:t>
      </w:r>
      <w:r w:rsidR="004A41E4" w:rsidRPr="00026EC1">
        <w:t>’</w:t>
      </w:r>
      <w:r w:rsidRPr="00026EC1">
        <w:t>elle est raisonnablement en mesure d</w:t>
      </w:r>
      <w:r w:rsidR="004A41E4" w:rsidRPr="00026EC1">
        <w:t>’</w:t>
      </w:r>
      <w:r w:rsidRPr="00026EC1">
        <w:t>accomplir pour le reste de son temps de travail.</w:t>
      </w:r>
    </w:p>
    <w:p w14:paraId="5C893B8C" w14:textId="77777777" w:rsidR="009F5256" w:rsidRPr="00026EC1" w:rsidRDefault="009F5256" w:rsidP="00A64613">
      <w:pPr>
        <w:keepNext w:val="0"/>
      </w:pPr>
    </w:p>
    <w:p w14:paraId="17BE4234" w14:textId="77777777" w:rsidR="009F5256" w:rsidRPr="00026EC1" w:rsidRDefault="009F5256" w:rsidP="00A64613">
      <w:pPr>
        <w:pStyle w:val="MGSTexte0cm"/>
        <w:keepNext w:val="0"/>
        <w:jc w:val="left"/>
        <w:rPr>
          <w:caps w:val="0"/>
        </w:rPr>
      </w:pPr>
      <w:r w:rsidRPr="00026EC1">
        <w:rPr>
          <w:caps w:val="0"/>
        </w:rPr>
        <w:t>Autres congés spéciaux</w:t>
      </w:r>
    </w:p>
    <w:p w14:paraId="78FE7E48" w14:textId="77777777" w:rsidR="009F5256" w:rsidRPr="00026EC1" w:rsidRDefault="009F5256" w:rsidP="00A64613">
      <w:pPr>
        <w:keepNext w:val="0"/>
      </w:pPr>
    </w:p>
    <w:p w14:paraId="563F959A" w14:textId="1A0AB3ED" w:rsidR="009F5256" w:rsidRPr="00026EC1" w:rsidRDefault="009F5256" w:rsidP="00A64613">
      <w:pPr>
        <w:pStyle w:val="NUMRODECLAUSE"/>
        <w:keepNext w:val="0"/>
        <w:rPr>
          <w:rFonts w:ascii="Arial Gras" w:hAnsi="Arial Gras"/>
        </w:rPr>
      </w:pPr>
      <w:r w:rsidRPr="00026EC1">
        <w:t>5</w:t>
      </w:r>
      <w:r w:rsidR="00984A6F">
        <w:noBreakHyphen/>
      </w:r>
      <w:r w:rsidRPr="00026EC1">
        <w:t>6.18</w:t>
      </w:r>
    </w:p>
    <w:p w14:paraId="605B221D" w14:textId="75E4CD4D" w:rsidR="009F5256" w:rsidRPr="00026EC1" w:rsidRDefault="009F5256" w:rsidP="00A64613">
      <w:pPr>
        <w:keepNext w:val="0"/>
      </w:pPr>
      <w:r w:rsidRPr="00026EC1">
        <w:t>L</w:t>
      </w:r>
      <w:r w:rsidR="004A41E4" w:rsidRPr="00026EC1">
        <w:t>’</w:t>
      </w:r>
      <w:r w:rsidRPr="00026EC1">
        <w:t>enseignante a également droit à un congé spécial dans les cas suivants</w:t>
      </w:r>
      <w:r w:rsidR="00D8581B">
        <w:t> :</w:t>
      </w:r>
    </w:p>
    <w:p w14:paraId="2338A554" w14:textId="77777777" w:rsidR="009F5256" w:rsidRPr="00026EC1" w:rsidRDefault="009F5256" w:rsidP="00A64613">
      <w:pPr>
        <w:keepNext w:val="0"/>
      </w:pPr>
    </w:p>
    <w:p w14:paraId="4F2B457B" w14:textId="0B89261E" w:rsidR="009F5256" w:rsidRPr="00026EC1" w:rsidRDefault="00275751" w:rsidP="00A64613">
      <w:pPr>
        <w:keepNext w:val="0"/>
        <w:tabs>
          <w:tab w:val="left" w:pos="-567"/>
        </w:tabs>
        <w:ind w:left="567" w:hanging="567"/>
      </w:pPr>
      <w:r w:rsidRPr="00026EC1">
        <w:t>a)</w:t>
      </w:r>
      <w:r w:rsidRPr="00026EC1">
        <w:tab/>
      </w:r>
      <w:r w:rsidR="009F5256" w:rsidRPr="00026EC1">
        <w:t>lorsqu</w:t>
      </w:r>
      <w:r w:rsidR="004A41E4" w:rsidRPr="00026EC1">
        <w:t>’</w:t>
      </w:r>
      <w:r w:rsidR="009F5256" w:rsidRPr="00026EC1">
        <w:t>une complication de grossesse ou un danger d</w:t>
      </w:r>
      <w:r w:rsidR="004A41E4" w:rsidRPr="00026EC1">
        <w:t>’</w:t>
      </w:r>
      <w:r w:rsidR="009F5256" w:rsidRPr="00026EC1">
        <w:t>interruption de grossesse exige un arrêt de travail pour une période dont la durée est prescrite par un certificat médical; ce congé spécial ne peut toutefois se prolonger au</w:t>
      </w:r>
      <w:r w:rsidR="00984A6F">
        <w:noBreakHyphen/>
      </w:r>
      <w:r w:rsidR="009F5256" w:rsidRPr="00026EC1">
        <w:t xml:space="preserve">delà du début de la </w:t>
      </w:r>
      <w:r w:rsidR="009F5256" w:rsidRPr="00026EC1">
        <w:rPr>
          <w:bCs/>
        </w:rPr>
        <w:t>quatrième</w:t>
      </w:r>
      <w:r w:rsidR="00B013DF">
        <w:rPr>
          <w:bCs/>
        </w:rPr>
        <w:t> </w:t>
      </w:r>
      <w:r w:rsidR="009F5256" w:rsidRPr="00026EC1">
        <w:rPr>
          <w:bCs/>
        </w:rPr>
        <w:t>(4</w:t>
      </w:r>
      <w:r w:rsidR="009F5256" w:rsidRPr="00026EC1">
        <w:rPr>
          <w:bCs/>
          <w:vertAlign w:val="superscript"/>
        </w:rPr>
        <w:t>e</w:t>
      </w:r>
      <w:r w:rsidR="009F5256" w:rsidRPr="00026EC1">
        <w:rPr>
          <w:bCs/>
        </w:rPr>
        <w:t>) semaine</w:t>
      </w:r>
      <w:r w:rsidR="009F5256" w:rsidRPr="00026EC1">
        <w:t xml:space="preserve"> précédant la date prévue d</w:t>
      </w:r>
      <w:r w:rsidR="004A41E4" w:rsidRPr="00026EC1">
        <w:t>’</w:t>
      </w:r>
      <w:r w:rsidR="009F5256" w:rsidRPr="00026EC1">
        <w:t>accouchement;</w:t>
      </w:r>
    </w:p>
    <w:p w14:paraId="4A1561D7" w14:textId="77777777" w:rsidR="009F5256" w:rsidRPr="00026EC1" w:rsidRDefault="009F5256" w:rsidP="00A64613">
      <w:pPr>
        <w:keepNext w:val="0"/>
        <w:ind w:left="426" w:hanging="426"/>
      </w:pPr>
    </w:p>
    <w:p w14:paraId="31574CFF" w14:textId="77777777" w:rsidR="009F5256" w:rsidRDefault="00275751" w:rsidP="00A64613">
      <w:pPr>
        <w:keepNext w:val="0"/>
        <w:tabs>
          <w:tab w:val="left" w:pos="-567"/>
        </w:tabs>
        <w:ind w:left="567" w:hanging="567"/>
      </w:pPr>
      <w:r w:rsidRPr="00026EC1">
        <w:t>b)</w:t>
      </w:r>
      <w:r w:rsidRPr="00026EC1">
        <w:tab/>
      </w:r>
      <w:r w:rsidR="009F5256" w:rsidRPr="00026EC1">
        <w:t>sur présentation d</w:t>
      </w:r>
      <w:r w:rsidR="004A41E4" w:rsidRPr="00026EC1">
        <w:t>’</w:t>
      </w:r>
      <w:r w:rsidR="009F5256" w:rsidRPr="00026EC1">
        <w:t>un certificat médical qui en prescrit la durée, lorsque survient une interruption de grossesse naturelle ou provoquée avant le début de la vingtième (20</w:t>
      </w:r>
      <w:r w:rsidR="009F5256" w:rsidRPr="00026EC1">
        <w:rPr>
          <w:vertAlign w:val="superscript"/>
        </w:rPr>
        <w:t>e</w:t>
      </w:r>
      <w:r w:rsidR="009F5256" w:rsidRPr="00026EC1">
        <w:t>) semaine précédant la date prévue d</w:t>
      </w:r>
      <w:r w:rsidR="004A41E4" w:rsidRPr="00026EC1">
        <w:t>’</w:t>
      </w:r>
      <w:r w:rsidR="009F5256" w:rsidRPr="00026EC1">
        <w:t>accouchement;</w:t>
      </w:r>
    </w:p>
    <w:p w14:paraId="7D31AEF2" w14:textId="77777777" w:rsidR="00323B3E" w:rsidRPr="00026EC1" w:rsidRDefault="00323B3E" w:rsidP="00A64613">
      <w:pPr>
        <w:keepNext w:val="0"/>
        <w:tabs>
          <w:tab w:val="left" w:pos="-567"/>
        </w:tabs>
        <w:ind w:left="567" w:hanging="567"/>
      </w:pPr>
    </w:p>
    <w:p w14:paraId="761171B9" w14:textId="28FBC39B" w:rsidR="009F5256" w:rsidRPr="00026EC1" w:rsidRDefault="00275751" w:rsidP="00A64613">
      <w:pPr>
        <w:keepNext w:val="0"/>
        <w:tabs>
          <w:tab w:val="left" w:pos="-567"/>
        </w:tabs>
        <w:ind w:left="567" w:hanging="567"/>
      </w:pPr>
      <w:r w:rsidRPr="00026EC1">
        <w:t>c)</w:t>
      </w:r>
      <w:r w:rsidRPr="00026EC1">
        <w:tab/>
      </w:r>
      <w:r w:rsidR="009F5256" w:rsidRPr="00026EC1">
        <w:t>pour les visites reliées à la grossesse effectuées chez une professionnelle ou un professionnel de la santé et attestées par un certificat médical</w:t>
      </w:r>
      <w:r w:rsidR="009F5256" w:rsidRPr="00026EC1">
        <w:rPr>
          <w:bCs/>
        </w:rPr>
        <w:t xml:space="preserve"> ou un rapport écrit signé par une sage</w:t>
      </w:r>
      <w:r w:rsidR="00984A6F">
        <w:rPr>
          <w:bCs/>
        </w:rPr>
        <w:noBreakHyphen/>
      </w:r>
      <w:r w:rsidR="009F5256" w:rsidRPr="00026EC1">
        <w:rPr>
          <w:bCs/>
        </w:rPr>
        <w:t>femme</w:t>
      </w:r>
      <w:r w:rsidR="009F5256" w:rsidRPr="00026EC1">
        <w:t>.</w:t>
      </w:r>
    </w:p>
    <w:p w14:paraId="1644B122" w14:textId="77777777" w:rsidR="009F5256" w:rsidRPr="00026EC1" w:rsidRDefault="009F5256" w:rsidP="00A64613">
      <w:pPr>
        <w:keepNext w:val="0"/>
        <w:ind w:left="426" w:hanging="426"/>
      </w:pPr>
    </w:p>
    <w:p w14:paraId="644C209E" w14:textId="4DFA13E4" w:rsidR="009F5256" w:rsidRPr="00026EC1" w:rsidRDefault="009F5256" w:rsidP="00A64613">
      <w:pPr>
        <w:keepNext w:val="0"/>
      </w:pPr>
      <w:r w:rsidRPr="00026EC1">
        <w:t>Dans les cas visés à l</w:t>
      </w:r>
      <w:r w:rsidR="004A41E4" w:rsidRPr="00026EC1">
        <w:t>’</w:t>
      </w:r>
      <w:r w:rsidRPr="00026EC1">
        <w:t>alinéa c) de la présente clause, l</w:t>
      </w:r>
      <w:r w:rsidR="004A41E4" w:rsidRPr="00026EC1">
        <w:t>’</w:t>
      </w:r>
      <w:r w:rsidRPr="00026EC1">
        <w:t>enseignante bénéficie d</w:t>
      </w:r>
      <w:r w:rsidR="004A41E4" w:rsidRPr="00026EC1">
        <w:t>’</w:t>
      </w:r>
      <w:r w:rsidRPr="00026EC1">
        <w:t>un congé spécial sans perte de traitement jusqu</w:t>
      </w:r>
      <w:r w:rsidR="004A41E4" w:rsidRPr="00026EC1">
        <w:t>’</w:t>
      </w:r>
      <w:r w:rsidRPr="00026EC1">
        <w:t>à concurrence d</w:t>
      </w:r>
      <w:r w:rsidR="004A41E4" w:rsidRPr="00026EC1">
        <w:t>’</w:t>
      </w:r>
      <w:r w:rsidRPr="00026EC1">
        <w:t xml:space="preserve">un nombre maximal de </w:t>
      </w:r>
      <w:r w:rsidR="00EC6296" w:rsidRPr="00316277">
        <w:t>cinq (5)</w:t>
      </w:r>
      <w:r w:rsidR="00EC6296">
        <w:t xml:space="preserve"> </w:t>
      </w:r>
      <w:r w:rsidRPr="00026EC1">
        <w:t>jours.</w:t>
      </w:r>
      <w:r w:rsidR="00DB2C00" w:rsidRPr="00026EC1">
        <w:t xml:space="preserve"> </w:t>
      </w:r>
      <w:r w:rsidRPr="00026EC1">
        <w:t>Ces congés spéciaux peuvent être pris par demi</w:t>
      </w:r>
      <w:r w:rsidR="00984A6F">
        <w:noBreakHyphen/>
      </w:r>
      <w:r w:rsidRPr="00026EC1">
        <w:t>journée.</w:t>
      </w:r>
    </w:p>
    <w:p w14:paraId="578C413D" w14:textId="1CBE6965" w:rsidR="00B013DF" w:rsidRDefault="00B013DF">
      <w:pPr>
        <w:keepNext w:val="0"/>
        <w:suppressAutoHyphens w:val="0"/>
        <w:jc w:val="left"/>
      </w:pPr>
      <w:r>
        <w:br w:type="page"/>
      </w:r>
    </w:p>
    <w:p w14:paraId="3AAF93F5" w14:textId="041F0AA1" w:rsidR="009F5256" w:rsidRPr="00026EC1" w:rsidRDefault="009F5256" w:rsidP="00A64613">
      <w:pPr>
        <w:pStyle w:val="NUMRODECLAUSE"/>
        <w:keepNext w:val="0"/>
      </w:pPr>
      <w:r w:rsidRPr="00026EC1">
        <w:t>5</w:t>
      </w:r>
      <w:r w:rsidR="00984A6F">
        <w:noBreakHyphen/>
      </w:r>
      <w:r w:rsidRPr="00026EC1">
        <w:t>6.19</w:t>
      </w:r>
    </w:p>
    <w:p w14:paraId="7CCBECD3" w14:textId="2A6FD062" w:rsidR="009F5256" w:rsidRDefault="009F5256" w:rsidP="00A64613">
      <w:pPr>
        <w:keepNext w:val="0"/>
        <w:rPr>
          <w:bCs/>
        </w:rPr>
      </w:pPr>
      <w:r w:rsidRPr="00026EC1">
        <w:t>Durant les congés spéciaux octroyés en vertu de la présente section, l</w:t>
      </w:r>
      <w:r w:rsidR="004A41E4" w:rsidRPr="00026EC1">
        <w:t>’</w:t>
      </w:r>
      <w:r w:rsidRPr="00026EC1">
        <w:t>enseignante bénéficie des avantages prévus à la clause </w:t>
      </w:r>
      <w:r w:rsidRPr="00026EC1">
        <w:rPr>
          <w:bCs/>
        </w:rPr>
        <w:t>5</w:t>
      </w:r>
      <w:r w:rsidR="00984A6F">
        <w:rPr>
          <w:bCs/>
        </w:rPr>
        <w:noBreakHyphen/>
      </w:r>
      <w:r w:rsidRPr="00026EC1">
        <w:rPr>
          <w:bCs/>
        </w:rPr>
        <w:t>6.55</w:t>
      </w:r>
      <w:r w:rsidRPr="00026EC1">
        <w:t>, si elle y a normalement droit, et à la clause </w:t>
      </w:r>
      <w:r w:rsidRPr="00026EC1">
        <w:rPr>
          <w:bCs/>
        </w:rPr>
        <w:t>5</w:t>
      </w:r>
      <w:r w:rsidR="00984A6F">
        <w:rPr>
          <w:bCs/>
        </w:rPr>
        <w:noBreakHyphen/>
      </w:r>
      <w:r w:rsidRPr="00026EC1">
        <w:rPr>
          <w:bCs/>
        </w:rPr>
        <w:t>6.54.</w:t>
      </w:r>
    </w:p>
    <w:p w14:paraId="1E9A0F07" w14:textId="77777777" w:rsidR="00EC6296" w:rsidRPr="00026EC1" w:rsidRDefault="00EC6296" w:rsidP="00A64613">
      <w:pPr>
        <w:keepNext w:val="0"/>
        <w:rPr>
          <w:bCs/>
        </w:rPr>
      </w:pPr>
    </w:p>
    <w:p w14:paraId="37ADCF9E" w14:textId="0DD9E7C6" w:rsidR="009F5256" w:rsidRPr="00026EC1" w:rsidRDefault="009F5256" w:rsidP="00A64613">
      <w:pPr>
        <w:keepNext w:val="0"/>
        <w:rPr>
          <w:bCs/>
        </w:rPr>
      </w:pPr>
      <w:r w:rsidRPr="00026EC1">
        <w:t>L</w:t>
      </w:r>
      <w:r w:rsidR="004A41E4" w:rsidRPr="00026EC1">
        <w:t>’</w:t>
      </w:r>
      <w:r w:rsidRPr="00026EC1">
        <w:t>enseignante visée à la clause 5</w:t>
      </w:r>
      <w:r w:rsidR="00984A6F">
        <w:noBreakHyphen/>
      </w:r>
      <w:r w:rsidRPr="00026EC1">
        <w:t>6.18 peut également se prévaloir des bénéfices du régime de congés de maladie ou d</w:t>
      </w:r>
      <w:r w:rsidR="004A41E4" w:rsidRPr="00026EC1">
        <w:t>’</w:t>
      </w:r>
      <w:r w:rsidRPr="00026EC1">
        <w:t>assurance</w:t>
      </w:r>
      <w:r w:rsidR="00984A6F">
        <w:noBreakHyphen/>
      </w:r>
      <w:r w:rsidRPr="00026EC1">
        <w:t>traitement. Toutefois, dans le cas de l</w:t>
      </w:r>
      <w:r w:rsidR="004A41E4" w:rsidRPr="00026EC1">
        <w:t>’</w:t>
      </w:r>
      <w:r w:rsidRPr="00026EC1">
        <w:t>alinéa c) de la clause 5</w:t>
      </w:r>
      <w:r w:rsidR="00984A6F">
        <w:noBreakHyphen/>
      </w:r>
      <w:r w:rsidRPr="00026EC1">
        <w:t>6.18</w:t>
      </w:r>
      <w:r w:rsidRPr="00026EC1">
        <w:rPr>
          <w:bCs/>
        </w:rPr>
        <w:t xml:space="preserve">, </w:t>
      </w:r>
      <w:r w:rsidRPr="00026EC1">
        <w:t>l</w:t>
      </w:r>
      <w:r w:rsidR="004A41E4" w:rsidRPr="00026EC1">
        <w:t>’</w:t>
      </w:r>
      <w:r w:rsidRPr="00026EC1">
        <w:t>enseignante utilise d</w:t>
      </w:r>
      <w:r w:rsidR="004A41E4" w:rsidRPr="00026EC1">
        <w:t>’</w:t>
      </w:r>
      <w:r w:rsidRPr="00026EC1">
        <w:t xml:space="preserve">abord les </w:t>
      </w:r>
      <w:r w:rsidR="00EC6296" w:rsidRPr="00316277">
        <w:t>cinq (5)</w:t>
      </w:r>
      <w:r w:rsidRPr="00026EC1">
        <w:t xml:space="preserve"> jours mentionnés à cette clause.</w:t>
      </w:r>
    </w:p>
    <w:p w14:paraId="3B0ECFE5" w14:textId="77777777" w:rsidR="00081B04" w:rsidRDefault="00081B04" w:rsidP="00A64613">
      <w:pPr>
        <w:keepNext w:val="0"/>
      </w:pPr>
    </w:p>
    <w:p w14:paraId="6D96ECED" w14:textId="71F9B9D6" w:rsidR="009F5256" w:rsidRPr="00026EC1" w:rsidRDefault="009F5256" w:rsidP="00A64613">
      <w:pPr>
        <w:pStyle w:val="MGSTexte0cm"/>
        <w:keepNext w:val="0"/>
        <w:rPr>
          <w:caps w:val="0"/>
        </w:rPr>
      </w:pPr>
      <w:r w:rsidRPr="00026EC1">
        <w:rPr>
          <w:caps w:val="0"/>
        </w:rPr>
        <w:t xml:space="preserve">Section IV  </w:t>
      </w:r>
      <w:r w:rsidR="00984A6F">
        <w:rPr>
          <w:caps w:val="0"/>
        </w:rPr>
        <w:noBreakHyphen/>
      </w:r>
      <w:r w:rsidRPr="00026EC1">
        <w:rPr>
          <w:caps w:val="0"/>
        </w:rPr>
        <w:t xml:space="preserve">  Congé de paternité</w:t>
      </w:r>
    </w:p>
    <w:p w14:paraId="520C3D01" w14:textId="77777777" w:rsidR="009F5256" w:rsidRPr="00026EC1" w:rsidRDefault="009F5256" w:rsidP="00A64613">
      <w:pPr>
        <w:keepNext w:val="0"/>
      </w:pPr>
    </w:p>
    <w:p w14:paraId="3A8D2169" w14:textId="08D81077" w:rsidR="009F5256" w:rsidRPr="00026EC1" w:rsidRDefault="009F5256" w:rsidP="00A64613">
      <w:pPr>
        <w:pStyle w:val="NUMRODECLAUSE"/>
        <w:keepNext w:val="0"/>
        <w:rPr>
          <w:rFonts w:ascii="Arial Gras" w:hAnsi="Arial Gras"/>
          <w:iCs/>
        </w:rPr>
      </w:pPr>
      <w:r w:rsidRPr="00026EC1">
        <w:t>5</w:t>
      </w:r>
      <w:r w:rsidR="00984A6F">
        <w:noBreakHyphen/>
      </w:r>
      <w:r w:rsidRPr="00026EC1">
        <w:t>6.20</w:t>
      </w:r>
    </w:p>
    <w:p w14:paraId="53478F03" w14:textId="77777777" w:rsidR="009F5256" w:rsidRPr="00026EC1" w:rsidRDefault="009F5256" w:rsidP="00A64613">
      <w:pPr>
        <w:keepNext w:val="0"/>
      </w:pPr>
      <w:r w:rsidRPr="00026EC1">
        <w:t>L</w:t>
      </w:r>
      <w:r w:rsidR="004A41E4" w:rsidRPr="00026EC1">
        <w:t>’</w:t>
      </w:r>
      <w:r w:rsidRPr="00026EC1">
        <w:t>enseignant a droit à un congé avec traitement</w:t>
      </w:r>
      <w:r w:rsidR="00CE5B85" w:rsidRPr="00026EC1">
        <w:t xml:space="preserve"> </w:t>
      </w:r>
      <w:r w:rsidRPr="00026EC1">
        <w:t>d</w:t>
      </w:r>
      <w:r w:rsidR="004A41E4" w:rsidRPr="00026EC1">
        <w:t>’</w:t>
      </w:r>
      <w:r w:rsidRPr="00026EC1">
        <w:t>une durée maximale de cinq (5) jours ouvrables à l</w:t>
      </w:r>
      <w:r w:rsidR="004A41E4" w:rsidRPr="00026EC1">
        <w:t>’</w:t>
      </w:r>
      <w:r w:rsidRPr="00026EC1">
        <w:t>occasion de la naissance de son enfant. L</w:t>
      </w:r>
      <w:r w:rsidR="004A41E4" w:rsidRPr="00026EC1">
        <w:t>’</w:t>
      </w:r>
      <w:r w:rsidRPr="00026EC1">
        <w:t xml:space="preserve">enseignant a également droit à ce congé </w:t>
      </w:r>
      <w:r w:rsidRPr="00026EC1">
        <w:rPr>
          <w:bCs/>
        </w:rPr>
        <w:t>en cas d</w:t>
      </w:r>
      <w:r w:rsidR="004A41E4" w:rsidRPr="00026EC1">
        <w:rPr>
          <w:bCs/>
        </w:rPr>
        <w:t>’</w:t>
      </w:r>
      <w:r w:rsidRPr="00026EC1">
        <w:rPr>
          <w:bCs/>
        </w:rPr>
        <w:t xml:space="preserve">interruption de la grossesse survenue à compter du début </w:t>
      </w:r>
      <w:r w:rsidRPr="00026EC1">
        <w:t>de la vingtième (20</w:t>
      </w:r>
      <w:r w:rsidRPr="00026EC1">
        <w:rPr>
          <w:vertAlign w:val="superscript"/>
        </w:rPr>
        <w:t>e</w:t>
      </w:r>
      <w:r w:rsidRPr="00026EC1">
        <w:t>) semaine précédant la date prévue de l</w:t>
      </w:r>
      <w:r w:rsidR="004A41E4" w:rsidRPr="00026EC1">
        <w:t>’</w:t>
      </w:r>
      <w:r w:rsidRPr="00026EC1">
        <w:t>accouchement. Ce congé peut être discontinu et se situe entre le début du processus d</w:t>
      </w:r>
      <w:r w:rsidR="004A41E4" w:rsidRPr="00026EC1">
        <w:t>’</w:t>
      </w:r>
      <w:r w:rsidRPr="00026EC1">
        <w:t>accouchement et le quinzième (15</w:t>
      </w:r>
      <w:r w:rsidRPr="00026EC1">
        <w:rPr>
          <w:vertAlign w:val="superscript"/>
        </w:rPr>
        <w:t>e</w:t>
      </w:r>
      <w:r w:rsidRPr="00026EC1">
        <w:t>) jour suivant le retour de la mère ou de l</w:t>
      </w:r>
      <w:r w:rsidR="004A41E4" w:rsidRPr="00026EC1">
        <w:t>’</w:t>
      </w:r>
      <w:r w:rsidRPr="00026EC1">
        <w:t>enfant à la maison. L</w:t>
      </w:r>
      <w:r w:rsidR="004A41E4" w:rsidRPr="00026EC1">
        <w:t>’</w:t>
      </w:r>
      <w:r w:rsidRPr="00026EC1">
        <w:t>enseignant informe, dès que possible, le Collège de son absence.</w:t>
      </w:r>
    </w:p>
    <w:p w14:paraId="7B464612" w14:textId="77777777" w:rsidR="009F5256" w:rsidRPr="00026EC1" w:rsidRDefault="009F5256" w:rsidP="00A64613">
      <w:pPr>
        <w:keepNext w:val="0"/>
      </w:pPr>
    </w:p>
    <w:p w14:paraId="51FB1487" w14:textId="77777777" w:rsidR="009F5256" w:rsidRPr="00026EC1" w:rsidRDefault="009F5256" w:rsidP="00A64613">
      <w:pPr>
        <w:keepNext w:val="0"/>
      </w:pPr>
      <w:r w:rsidRPr="00026EC1">
        <w:t>Un (1) des cinq (5) jours peut être utilisé pour le baptême ou l</w:t>
      </w:r>
      <w:r w:rsidR="004A41E4" w:rsidRPr="00026EC1">
        <w:t>’</w:t>
      </w:r>
      <w:r w:rsidRPr="00026EC1">
        <w:t>enregistrement de l</w:t>
      </w:r>
      <w:r w:rsidR="004A41E4" w:rsidRPr="00026EC1">
        <w:t>’</w:t>
      </w:r>
      <w:r w:rsidRPr="00026EC1">
        <w:t>enfant.</w:t>
      </w:r>
    </w:p>
    <w:p w14:paraId="284F5FC7" w14:textId="77777777" w:rsidR="009F5256" w:rsidRPr="00026EC1" w:rsidRDefault="009F5256" w:rsidP="00A64613">
      <w:pPr>
        <w:keepNext w:val="0"/>
        <w:rPr>
          <w:bCs/>
        </w:rPr>
      </w:pPr>
    </w:p>
    <w:p w14:paraId="081A1BE1" w14:textId="77777777" w:rsidR="009F5256" w:rsidRPr="00026EC1" w:rsidRDefault="009F5256" w:rsidP="00A64613">
      <w:pPr>
        <w:keepNext w:val="0"/>
        <w:rPr>
          <w:bCs/>
        </w:rPr>
      </w:pPr>
      <w:r w:rsidRPr="00026EC1">
        <w:rPr>
          <w:bCs/>
        </w:rPr>
        <w:t>L</w:t>
      </w:r>
      <w:r w:rsidR="004A41E4" w:rsidRPr="00026EC1">
        <w:rPr>
          <w:bCs/>
        </w:rPr>
        <w:t>’</w:t>
      </w:r>
      <w:r w:rsidRPr="00026EC1">
        <w:rPr>
          <w:bCs/>
        </w:rPr>
        <w:t>enseignante dont la conjointe accouche a également droit à ce congé si elle est désignée comme étant l</w:t>
      </w:r>
      <w:r w:rsidR="004A41E4" w:rsidRPr="00026EC1">
        <w:rPr>
          <w:bCs/>
        </w:rPr>
        <w:t>’</w:t>
      </w:r>
      <w:r w:rsidRPr="00026EC1">
        <w:rPr>
          <w:bCs/>
        </w:rPr>
        <w:t>une des mères de l</w:t>
      </w:r>
      <w:r w:rsidR="004A41E4" w:rsidRPr="00026EC1">
        <w:rPr>
          <w:bCs/>
        </w:rPr>
        <w:t>’</w:t>
      </w:r>
      <w:r w:rsidRPr="00026EC1">
        <w:rPr>
          <w:bCs/>
        </w:rPr>
        <w:t>enfant.</w:t>
      </w:r>
    </w:p>
    <w:p w14:paraId="6CAC3E42" w14:textId="77777777" w:rsidR="009F5256" w:rsidRPr="00026EC1" w:rsidRDefault="009F5256" w:rsidP="00A64613">
      <w:pPr>
        <w:keepNext w:val="0"/>
      </w:pPr>
    </w:p>
    <w:p w14:paraId="26DD5AAC" w14:textId="6467F7F7" w:rsidR="009F5256" w:rsidRPr="00026EC1" w:rsidRDefault="009F5256" w:rsidP="00A64613">
      <w:pPr>
        <w:pStyle w:val="NUMRODECLAUSE"/>
        <w:keepNext w:val="0"/>
      </w:pPr>
      <w:r w:rsidRPr="00026EC1">
        <w:t>5</w:t>
      </w:r>
      <w:r w:rsidR="00984A6F">
        <w:noBreakHyphen/>
      </w:r>
      <w:r w:rsidRPr="00026EC1">
        <w:t>6.21</w:t>
      </w:r>
    </w:p>
    <w:p w14:paraId="14EC3328" w14:textId="7B9D5784" w:rsidR="009F5256" w:rsidRPr="00026EC1" w:rsidRDefault="009F5256" w:rsidP="00A64613">
      <w:pPr>
        <w:keepNext w:val="0"/>
        <w:rPr>
          <w:bCs/>
        </w:rPr>
      </w:pPr>
      <w:r w:rsidRPr="00026EC1">
        <w:rPr>
          <w:bCs/>
        </w:rPr>
        <w:t>À l</w:t>
      </w:r>
      <w:r w:rsidR="004A41E4" w:rsidRPr="00026EC1">
        <w:rPr>
          <w:bCs/>
        </w:rPr>
        <w:t>’</w:t>
      </w:r>
      <w:r w:rsidRPr="00026EC1">
        <w:rPr>
          <w:bCs/>
        </w:rPr>
        <w:t>occasion de la naissance de son enfant, l</w:t>
      </w:r>
      <w:r w:rsidR="004A41E4" w:rsidRPr="00026EC1">
        <w:rPr>
          <w:bCs/>
        </w:rPr>
        <w:t>’</w:t>
      </w:r>
      <w:r w:rsidRPr="00026EC1">
        <w:rPr>
          <w:bCs/>
        </w:rPr>
        <w:t>enseignant a aussi droit à un congé de paternité d</w:t>
      </w:r>
      <w:r w:rsidR="004A41E4" w:rsidRPr="00026EC1">
        <w:rPr>
          <w:bCs/>
        </w:rPr>
        <w:t>’</w:t>
      </w:r>
      <w:r w:rsidRPr="00026EC1">
        <w:rPr>
          <w:bCs/>
        </w:rPr>
        <w:t>une durée maximale de cinq</w:t>
      </w:r>
      <w:r w:rsidR="00B013DF">
        <w:rPr>
          <w:bCs/>
        </w:rPr>
        <w:t> </w:t>
      </w:r>
      <w:r w:rsidRPr="00026EC1">
        <w:rPr>
          <w:bCs/>
        </w:rPr>
        <w:t>(5) semaines qui, sous réserve de la clause</w:t>
      </w:r>
      <w:r w:rsidR="00D66A8F" w:rsidRPr="00026EC1">
        <w:rPr>
          <w:bCs/>
        </w:rPr>
        <w:t> </w:t>
      </w:r>
      <w:r w:rsidRPr="00026EC1">
        <w:rPr>
          <w:bCs/>
        </w:rPr>
        <w:t>5</w:t>
      </w:r>
      <w:r w:rsidR="00984A6F">
        <w:rPr>
          <w:bCs/>
        </w:rPr>
        <w:noBreakHyphen/>
      </w:r>
      <w:r w:rsidRPr="00026EC1">
        <w:rPr>
          <w:bCs/>
        </w:rPr>
        <w:t xml:space="preserve">6.23, doivent être consécutives. Ce congé doit se terminer au plus tard à la fin de la </w:t>
      </w:r>
      <w:r w:rsidR="00047E03" w:rsidRPr="00316277">
        <w:rPr>
          <w:bCs/>
        </w:rPr>
        <w:t>soixante-dix-huitième (78</w:t>
      </w:r>
      <w:r w:rsidR="00BA44B2" w:rsidRPr="00316277">
        <w:rPr>
          <w:bCs/>
          <w:vertAlign w:val="superscript"/>
        </w:rPr>
        <w:t>e</w:t>
      </w:r>
      <w:r w:rsidR="00047E03" w:rsidRPr="00316277">
        <w:rPr>
          <w:bCs/>
        </w:rPr>
        <w:t>)</w:t>
      </w:r>
      <w:r w:rsidRPr="00026EC1">
        <w:rPr>
          <w:bCs/>
        </w:rPr>
        <w:t xml:space="preserve"> semaine suivant la semaine de la naissance de l</w:t>
      </w:r>
      <w:r w:rsidR="004A41E4" w:rsidRPr="00026EC1">
        <w:rPr>
          <w:bCs/>
        </w:rPr>
        <w:t>’</w:t>
      </w:r>
      <w:r w:rsidRPr="00026EC1">
        <w:rPr>
          <w:bCs/>
        </w:rPr>
        <w:t>enfant.</w:t>
      </w:r>
    </w:p>
    <w:p w14:paraId="447341A0" w14:textId="77777777" w:rsidR="009F5256" w:rsidRPr="00026EC1" w:rsidRDefault="009F5256" w:rsidP="00A64613">
      <w:pPr>
        <w:keepNext w:val="0"/>
      </w:pPr>
    </w:p>
    <w:p w14:paraId="4DCE82DA" w14:textId="71FD2378" w:rsidR="00BA44B2" w:rsidRPr="002E5ECC" w:rsidRDefault="009F5256" w:rsidP="00BA44B2">
      <w:pPr>
        <w:rPr>
          <w:rFonts w:cs="Arial"/>
        </w:rPr>
      </w:pPr>
      <w:r w:rsidRPr="00026EC1">
        <w:t>Pour l</w:t>
      </w:r>
      <w:r w:rsidR="004A41E4" w:rsidRPr="00026EC1">
        <w:t>’</w:t>
      </w:r>
      <w:r w:rsidRPr="00026EC1">
        <w:t xml:space="preserve">enseignant admissible au RQAP, ce congé est simultané à la période de versement des prestations </w:t>
      </w:r>
      <w:r w:rsidR="00BA44B2" w:rsidRPr="00316277">
        <w:t>de paternité</w:t>
      </w:r>
      <w:r w:rsidR="00BA44B2">
        <w:t xml:space="preserve"> </w:t>
      </w:r>
      <w:r w:rsidRPr="00026EC1">
        <w:t xml:space="preserve">accordées en vertu de  </w:t>
      </w:r>
      <w:r w:rsidR="00BA44B2" w:rsidRPr="00316277">
        <w:t>la Loi sur l’assurance parentale</w:t>
      </w:r>
      <w:r w:rsidR="00BA44B2">
        <w:t xml:space="preserve"> </w:t>
      </w:r>
      <w:r w:rsidRPr="00026EC1">
        <w:t xml:space="preserve">et doit débuter au plus tard la semaine suivant le début du versement de </w:t>
      </w:r>
      <w:r w:rsidR="00BA44B2" w:rsidRPr="00316277">
        <w:t>ces</w:t>
      </w:r>
      <w:r w:rsidR="00BA44B2">
        <w:t xml:space="preserve"> </w:t>
      </w:r>
      <w:r w:rsidRPr="00026EC1">
        <w:t>prestations.</w:t>
      </w:r>
      <w:r w:rsidR="00BA44B2">
        <w:t xml:space="preserve"> </w:t>
      </w:r>
      <w:r w:rsidR="00BA44B2" w:rsidRPr="00316277">
        <w:rPr>
          <w:rFonts w:cs="Arial"/>
        </w:rPr>
        <w:t>Les mêmes règles s’appliquent pour l’enseignant admissible à des prestation</w:t>
      </w:r>
      <w:r w:rsidR="00E277C8" w:rsidRPr="00316277">
        <w:rPr>
          <w:rFonts w:cs="Arial"/>
        </w:rPr>
        <w:t>s</w:t>
      </w:r>
      <w:r w:rsidR="00BA44B2" w:rsidRPr="00316277">
        <w:rPr>
          <w:rFonts w:cs="Arial"/>
        </w:rPr>
        <w:t xml:space="preserve"> conformément au RAE, en faisant les adaptations nécessaires.</w:t>
      </w:r>
    </w:p>
    <w:p w14:paraId="41825ADF" w14:textId="77777777" w:rsidR="009F5256" w:rsidRPr="00026EC1" w:rsidRDefault="009F5256" w:rsidP="00A64613">
      <w:pPr>
        <w:keepNext w:val="0"/>
        <w:rPr>
          <w:bCs/>
        </w:rPr>
      </w:pPr>
    </w:p>
    <w:p w14:paraId="40E4EFF5" w14:textId="77777777" w:rsidR="009F5256" w:rsidRPr="00026EC1" w:rsidRDefault="009F5256" w:rsidP="00A64613">
      <w:pPr>
        <w:keepNext w:val="0"/>
        <w:rPr>
          <w:bCs/>
        </w:rPr>
      </w:pPr>
      <w:r w:rsidRPr="00026EC1">
        <w:rPr>
          <w:bCs/>
        </w:rPr>
        <w:t>L</w:t>
      </w:r>
      <w:r w:rsidR="004A41E4" w:rsidRPr="00026EC1">
        <w:rPr>
          <w:bCs/>
        </w:rPr>
        <w:t>’</w:t>
      </w:r>
      <w:r w:rsidRPr="00026EC1">
        <w:rPr>
          <w:bCs/>
        </w:rPr>
        <w:t>enseignante dont la conjointe accouche a également droit à ce congé si elle est désignée comme étant l</w:t>
      </w:r>
      <w:r w:rsidR="004A41E4" w:rsidRPr="00026EC1">
        <w:rPr>
          <w:bCs/>
        </w:rPr>
        <w:t>’</w:t>
      </w:r>
      <w:r w:rsidRPr="00026EC1">
        <w:rPr>
          <w:bCs/>
        </w:rPr>
        <w:t>une des mères de l</w:t>
      </w:r>
      <w:r w:rsidR="004A41E4" w:rsidRPr="00026EC1">
        <w:rPr>
          <w:bCs/>
        </w:rPr>
        <w:t>’</w:t>
      </w:r>
      <w:r w:rsidRPr="00026EC1">
        <w:rPr>
          <w:bCs/>
        </w:rPr>
        <w:t>enfant.</w:t>
      </w:r>
    </w:p>
    <w:p w14:paraId="29D666C4" w14:textId="77777777" w:rsidR="00812D40" w:rsidRPr="00026EC1" w:rsidRDefault="00812D40" w:rsidP="00A64613">
      <w:pPr>
        <w:keepNext w:val="0"/>
        <w:rPr>
          <w:bCs/>
        </w:rPr>
      </w:pPr>
    </w:p>
    <w:p w14:paraId="21314219" w14:textId="59C77FDF" w:rsidR="009F5256" w:rsidRPr="00026EC1" w:rsidRDefault="009F5256" w:rsidP="00A64613">
      <w:pPr>
        <w:pStyle w:val="NUMRODECLAUSE"/>
        <w:keepNext w:val="0"/>
        <w:rPr>
          <w:rFonts w:ascii="Arial Gras" w:hAnsi="Arial Gras"/>
        </w:rPr>
      </w:pPr>
      <w:r w:rsidRPr="00026EC1">
        <w:t>5</w:t>
      </w:r>
      <w:r w:rsidR="00984A6F">
        <w:noBreakHyphen/>
      </w:r>
      <w:r w:rsidRPr="00026EC1">
        <w:t>6.22</w:t>
      </w:r>
      <w:r w:rsidRPr="00026EC1">
        <w:tab/>
      </w:r>
      <w:r w:rsidRPr="00E07734">
        <w:rPr>
          <w:u w:val="single"/>
        </w:rPr>
        <w:t>Prolongation du congé de paternité</w:t>
      </w:r>
    </w:p>
    <w:p w14:paraId="79C18B33" w14:textId="77777777" w:rsidR="009F5256" w:rsidRPr="00026EC1" w:rsidRDefault="009F5256" w:rsidP="00A64613">
      <w:pPr>
        <w:keepNext w:val="0"/>
        <w:rPr>
          <w:bCs/>
        </w:rPr>
      </w:pPr>
      <w:r w:rsidRPr="00026EC1">
        <w:rPr>
          <w:bCs/>
        </w:rPr>
        <w:t>L</w:t>
      </w:r>
      <w:r w:rsidR="004A41E4" w:rsidRPr="00026EC1">
        <w:rPr>
          <w:bCs/>
        </w:rPr>
        <w:t>’</w:t>
      </w:r>
      <w:r w:rsidRPr="00026EC1">
        <w:rPr>
          <w:bCs/>
        </w:rPr>
        <w:t>enseignant qui fait parvenir au Collège, avant la date d</w:t>
      </w:r>
      <w:r w:rsidR="004A41E4" w:rsidRPr="00026EC1">
        <w:rPr>
          <w:bCs/>
        </w:rPr>
        <w:t>’</w:t>
      </w:r>
      <w:r w:rsidRPr="00026EC1">
        <w:rPr>
          <w:bCs/>
        </w:rPr>
        <w:t>expiration de son congé de paternité, un avis accompagné d</w:t>
      </w:r>
      <w:r w:rsidR="004A41E4" w:rsidRPr="00026EC1">
        <w:rPr>
          <w:bCs/>
        </w:rPr>
        <w:t>’</w:t>
      </w:r>
      <w:r w:rsidRPr="00026EC1">
        <w:rPr>
          <w:bCs/>
        </w:rPr>
        <w:t>un certificat médical attestant que l</w:t>
      </w:r>
      <w:r w:rsidR="004A41E4" w:rsidRPr="00026EC1">
        <w:rPr>
          <w:bCs/>
        </w:rPr>
        <w:t>’</w:t>
      </w:r>
      <w:r w:rsidRPr="00026EC1">
        <w:rPr>
          <w:bCs/>
        </w:rPr>
        <w:t>état de santé de son enfant l</w:t>
      </w:r>
      <w:r w:rsidR="004A41E4" w:rsidRPr="00026EC1">
        <w:rPr>
          <w:bCs/>
        </w:rPr>
        <w:t>’</w:t>
      </w:r>
      <w:r w:rsidRPr="00026EC1">
        <w:rPr>
          <w:bCs/>
        </w:rPr>
        <w:t>exige, a droit à une prolongation de son congé de paternité. La durée de cette prolongation est celle indiquée au certificat médical.</w:t>
      </w:r>
    </w:p>
    <w:p w14:paraId="34088982" w14:textId="08FF0A7F" w:rsidR="009F5256" w:rsidRDefault="009F5256" w:rsidP="00A64613">
      <w:pPr>
        <w:keepNext w:val="0"/>
      </w:pPr>
      <w:r w:rsidRPr="00026EC1">
        <w:rPr>
          <w:bCs/>
        </w:rPr>
        <w:t>Durant</w:t>
      </w:r>
      <w:r w:rsidRPr="00026EC1">
        <w:rPr>
          <w:bCs/>
          <w:szCs w:val="24"/>
        </w:rPr>
        <w:t xml:space="preserve"> </w:t>
      </w:r>
      <w:r w:rsidRPr="00026EC1">
        <w:rPr>
          <w:bCs/>
        </w:rPr>
        <w:t>cette</w:t>
      </w:r>
      <w:r w:rsidRPr="00026EC1">
        <w:rPr>
          <w:bCs/>
          <w:szCs w:val="24"/>
        </w:rPr>
        <w:t xml:space="preserve"> prolongation, l</w:t>
      </w:r>
      <w:r w:rsidR="004A41E4" w:rsidRPr="00026EC1">
        <w:rPr>
          <w:bCs/>
          <w:szCs w:val="24"/>
        </w:rPr>
        <w:t>’</w:t>
      </w:r>
      <w:r w:rsidRPr="00026EC1">
        <w:rPr>
          <w:bCs/>
          <w:szCs w:val="24"/>
        </w:rPr>
        <w:t xml:space="preserve">enseignant est considéré en congé sans traitement et ne reçoit du Collège ni indemnité ni prestation; il bénéficie des avantages prévus </w:t>
      </w:r>
      <w:r w:rsidRPr="00026EC1">
        <w:t>aux clauses</w:t>
      </w:r>
      <w:r w:rsidR="00D66A8F" w:rsidRPr="00026EC1">
        <w:t> </w:t>
      </w:r>
      <w:r w:rsidRPr="00026EC1">
        <w:t>5</w:t>
      </w:r>
      <w:r w:rsidR="00984A6F">
        <w:noBreakHyphen/>
      </w:r>
      <w:r w:rsidRPr="00026EC1">
        <w:t>6.56 et 5</w:t>
      </w:r>
      <w:r w:rsidR="00984A6F">
        <w:noBreakHyphen/>
      </w:r>
      <w:r w:rsidRPr="00026EC1">
        <w:t>6.58.</w:t>
      </w:r>
    </w:p>
    <w:p w14:paraId="3B4268B4" w14:textId="77777777" w:rsidR="00EC6296" w:rsidRPr="00026EC1" w:rsidRDefault="00EC6296" w:rsidP="00A64613">
      <w:pPr>
        <w:keepNext w:val="0"/>
        <w:rPr>
          <w:bCs/>
          <w:szCs w:val="24"/>
        </w:rPr>
      </w:pPr>
    </w:p>
    <w:p w14:paraId="2089F842" w14:textId="7C80EE73" w:rsidR="009F5256" w:rsidRPr="00026EC1" w:rsidRDefault="009F5256" w:rsidP="00A64613">
      <w:pPr>
        <w:pStyle w:val="NUMRODECLAUSE"/>
        <w:keepNext w:val="0"/>
      </w:pPr>
      <w:r w:rsidRPr="00026EC1">
        <w:t>5</w:t>
      </w:r>
      <w:r w:rsidR="00984A6F">
        <w:noBreakHyphen/>
      </w:r>
      <w:r w:rsidRPr="00026EC1">
        <w:t>6.23</w:t>
      </w:r>
      <w:r w:rsidRPr="00026EC1">
        <w:tab/>
      </w:r>
      <w:r w:rsidRPr="00E07734">
        <w:rPr>
          <w:u w:val="single"/>
        </w:rPr>
        <w:t>Suspension et fractionnement du congé de paternité</w:t>
      </w:r>
    </w:p>
    <w:p w14:paraId="6805AE54" w14:textId="73512DD4" w:rsidR="009F5256" w:rsidRDefault="009F5256" w:rsidP="00A64613">
      <w:pPr>
        <w:keepNext w:val="0"/>
        <w:rPr>
          <w:bCs/>
        </w:rPr>
      </w:pPr>
      <w:r w:rsidRPr="00026EC1">
        <w:rPr>
          <w:bCs/>
        </w:rPr>
        <w:t>Pendant le congé de paternité prévu à la clause</w:t>
      </w:r>
      <w:r w:rsidR="00D66A8F" w:rsidRPr="00026EC1">
        <w:rPr>
          <w:bCs/>
        </w:rPr>
        <w:t> </w:t>
      </w:r>
      <w:r w:rsidRPr="00026EC1">
        <w:rPr>
          <w:bCs/>
        </w:rPr>
        <w:t>5</w:t>
      </w:r>
      <w:r w:rsidR="00984A6F">
        <w:rPr>
          <w:bCs/>
        </w:rPr>
        <w:noBreakHyphen/>
      </w:r>
      <w:r w:rsidRPr="00026EC1">
        <w:rPr>
          <w:bCs/>
        </w:rPr>
        <w:t>6.21, l</w:t>
      </w:r>
      <w:r w:rsidR="004A41E4" w:rsidRPr="00026EC1">
        <w:rPr>
          <w:bCs/>
        </w:rPr>
        <w:t>’</w:t>
      </w:r>
      <w:r w:rsidRPr="00026EC1">
        <w:rPr>
          <w:bCs/>
        </w:rPr>
        <w:t>enseignant peut suspendre ou fractionner son congé de paternité selon les dispositions qui suivent</w:t>
      </w:r>
      <w:r w:rsidR="00D8581B">
        <w:rPr>
          <w:bCs/>
        </w:rPr>
        <w:t> :</w:t>
      </w:r>
    </w:p>
    <w:p w14:paraId="7D1B3842" w14:textId="77777777" w:rsidR="00B013DF" w:rsidRPr="00026EC1" w:rsidRDefault="00B013DF" w:rsidP="00A64613">
      <w:pPr>
        <w:keepNext w:val="0"/>
        <w:rPr>
          <w:bCs/>
        </w:rPr>
      </w:pPr>
    </w:p>
    <w:p w14:paraId="6A3FBE97" w14:textId="184A2D6C" w:rsidR="009F5256" w:rsidRPr="00026EC1" w:rsidRDefault="00275751" w:rsidP="00E277C8">
      <w:pPr>
        <w:pStyle w:val="NUMRODECLAUSE"/>
        <w:keepNext w:val="0"/>
        <w:tabs>
          <w:tab w:val="clear" w:pos="868"/>
          <w:tab w:val="left" w:pos="567"/>
        </w:tabs>
      </w:pPr>
      <w:r w:rsidRPr="00026EC1">
        <w:t>A)</w:t>
      </w:r>
      <w:r w:rsidRPr="00026EC1">
        <w:tab/>
      </w:r>
      <w:r w:rsidR="009F5256" w:rsidRPr="00B013DF">
        <w:rPr>
          <w:u w:val="single"/>
        </w:rPr>
        <w:t>Suspension du congé</w:t>
      </w:r>
    </w:p>
    <w:p w14:paraId="2A7F95D3" w14:textId="77777777" w:rsidR="009F5256" w:rsidRDefault="009F5256" w:rsidP="00A64613">
      <w:pPr>
        <w:keepNext w:val="0"/>
        <w:ind w:left="567"/>
        <w:jc w:val="left"/>
      </w:pPr>
      <w:r w:rsidRPr="00026EC1">
        <w:t>Lorsque son enfant est hospitalisé, l</w:t>
      </w:r>
      <w:r w:rsidR="004A41E4" w:rsidRPr="00026EC1">
        <w:t>’</w:t>
      </w:r>
      <w:r w:rsidRPr="00026EC1">
        <w:t xml:space="preserve">enseignant peut suspendre son congé de paternité, après entente avec le Collège, en retournant au travail pendant la durée de cette hospitalisation. </w:t>
      </w:r>
    </w:p>
    <w:p w14:paraId="7BA399DD" w14:textId="77777777" w:rsidR="00323B3E" w:rsidRPr="00026EC1" w:rsidRDefault="00323B3E" w:rsidP="00A64613">
      <w:pPr>
        <w:keepNext w:val="0"/>
        <w:ind w:left="567"/>
        <w:jc w:val="left"/>
      </w:pPr>
    </w:p>
    <w:p w14:paraId="4E52A7CC" w14:textId="70BD3C02" w:rsidR="009F5256" w:rsidRPr="00026EC1" w:rsidRDefault="00275751" w:rsidP="00E277C8">
      <w:pPr>
        <w:pStyle w:val="NUMRODECLAUSE"/>
        <w:keepNext w:val="0"/>
        <w:ind w:left="567" w:hanging="567"/>
      </w:pPr>
      <w:r w:rsidRPr="00026EC1">
        <w:t>B)</w:t>
      </w:r>
      <w:r w:rsidRPr="00026EC1">
        <w:tab/>
      </w:r>
      <w:r w:rsidR="009F5256" w:rsidRPr="00B013DF">
        <w:rPr>
          <w:u w:val="single"/>
        </w:rPr>
        <w:t>Fractionnement du congé</w:t>
      </w:r>
    </w:p>
    <w:p w14:paraId="53FC2855" w14:textId="2B192144" w:rsidR="009F5256" w:rsidRPr="00026EC1" w:rsidRDefault="009F5256" w:rsidP="00A64613">
      <w:pPr>
        <w:keepNext w:val="0"/>
        <w:ind w:left="567"/>
        <w:rPr>
          <w:bCs/>
          <w:szCs w:val="24"/>
        </w:rPr>
      </w:pPr>
      <w:r w:rsidRPr="00026EC1">
        <w:rPr>
          <w:bCs/>
          <w:szCs w:val="24"/>
        </w:rPr>
        <w:t>Dans l</w:t>
      </w:r>
      <w:r w:rsidR="004A41E4" w:rsidRPr="00026EC1">
        <w:rPr>
          <w:bCs/>
          <w:szCs w:val="24"/>
        </w:rPr>
        <w:t>’</w:t>
      </w:r>
      <w:r w:rsidRPr="00026EC1">
        <w:rPr>
          <w:bCs/>
          <w:szCs w:val="24"/>
        </w:rPr>
        <w:t>un ou l</w:t>
      </w:r>
      <w:r w:rsidR="004A41E4" w:rsidRPr="00026EC1">
        <w:rPr>
          <w:bCs/>
          <w:szCs w:val="24"/>
        </w:rPr>
        <w:t>’</w:t>
      </w:r>
      <w:r w:rsidRPr="00026EC1">
        <w:rPr>
          <w:bCs/>
          <w:szCs w:val="24"/>
        </w:rPr>
        <w:t>autre des cas qui suivent, sur demande de l</w:t>
      </w:r>
      <w:r w:rsidR="004A41E4" w:rsidRPr="00026EC1">
        <w:rPr>
          <w:bCs/>
          <w:szCs w:val="24"/>
        </w:rPr>
        <w:t>’</w:t>
      </w:r>
      <w:r w:rsidRPr="00026EC1">
        <w:rPr>
          <w:bCs/>
          <w:szCs w:val="24"/>
        </w:rPr>
        <w:t>enseignant, le congé de paternité prévu à la clause</w:t>
      </w:r>
      <w:r w:rsidR="00D66A8F" w:rsidRPr="00026EC1">
        <w:rPr>
          <w:bCs/>
          <w:szCs w:val="24"/>
        </w:rPr>
        <w:t> </w:t>
      </w:r>
      <w:r w:rsidRPr="00026EC1">
        <w:rPr>
          <w:bCs/>
          <w:szCs w:val="24"/>
        </w:rPr>
        <w:t>5</w:t>
      </w:r>
      <w:r w:rsidR="00984A6F">
        <w:rPr>
          <w:bCs/>
          <w:szCs w:val="24"/>
        </w:rPr>
        <w:noBreakHyphen/>
      </w:r>
      <w:r w:rsidRPr="00026EC1">
        <w:rPr>
          <w:bCs/>
          <w:szCs w:val="24"/>
        </w:rPr>
        <w:t>6.21 peut être fractionné en semaines et le nombre maximal de semaines pendant lesquelles le congé de paternité est suspendu varie pour chacun des cas</w:t>
      </w:r>
      <w:r w:rsidR="00D8581B">
        <w:rPr>
          <w:bCs/>
          <w:szCs w:val="24"/>
        </w:rPr>
        <w:t> :</w:t>
      </w:r>
    </w:p>
    <w:p w14:paraId="0BA41BF3" w14:textId="77777777" w:rsidR="009F5256" w:rsidRPr="00026EC1" w:rsidRDefault="009F5256" w:rsidP="00A64613">
      <w:pPr>
        <w:pStyle w:val="Texte1cm00000"/>
        <w:keepNext w:val="0"/>
      </w:pPr>
    </w:p>
    <w:p w14:paraId="31D0EF4D" w14:textId="3B7F11EE" w:rsidR="009F5256" w:rsidRPr="00026EC1" w:rsidRDefault="00275751" w:rsidP="00A64613">
      <w:pPr>
        <w:keepNext w:val="0"/>
        <w:tabs>
          <w:tab w:val="left" w:pos="-1341"/>
          <w:tab w:val="num" w:pos="1134"/>
        </w:tabs>
        <w:ind w:left="1134" w:hanging="567"/>
        <w:rPr>
          <w:rFonts w:cs="Arial"/>
          <w:bCs/>
          <w:szCs w:val="24"/>
        </w:rPr>
      </w:pPr>
      <w:r w:rsidRPr="00026EC1">
        <w:rPr>
          <w:rFonts w:cs="Arial"/>
          <w:bCs/>
          <w:szCs w:val="24"/>
        </w:rPr>
        <w:t>1.</w:t>
      </w:r>
      <w:r w:rsidRPr="00026EC1">
        <w:rPr>
          <w:rFonts w:cs="Arial"/>
          <w:bCs/>
          <w:szCs w:val="24"/>
        </w:rPr>
        <w:tab/>
      </w:r>
      <w:r w:rsidR="009F5256" w:rsidRPr="00026EC1">
        <w:rPr>
          <w:rFonts w:cs="Arial"/>
          <w:bCs/>
          <w:szCs w:val="24"/>
        </w:rPr>
        <w:t xml:space="preserve">Si son enfant est </w:t>
      </w:r>
      <w:r w:rsidR="009F5256" w:rsidRPr="00026EC1">
        <w:rPr>
          <w:bCs/>
          <w:szCs w:val="24"/>
        </w:rPr>
        <w:t>hospitalisé</w:t>
      </w:r>
      <w:r w:rsidR="00D8581B">
        <w:rPr>
          <w:rFonts w:cs="Arial"/>
          <w:bCs/>
          <w:szCs w:val="24"/>
        </w:rPr>
        <w:t> :</w:t>
      </w:r>
      <w:r w:rsidR="009F5256" w:rsidRPr="00026EC1">
        <w:rPr>
          <w:rFonts w:cs="Arial"/>
          <w:bCs/>
          <w:szCs w:val="24"/>
        </w:rPr>
        <w:t xml:space="preserve"> le nombre maximal de semaines de la suspension du congé est équivalent au nombre de semaines que dure cette hospitalisation.</w:t>
      </w:r>
    </w:p>
    <w:p w14:paraId="37793564" w14:textId="77777777" w:rsidR="009F5256" w:rsidRPr="00026EC1" w:rsidRDefault="009F5256" w:rsidP="00A64613">
      <w:pPr>
        <w:pStyle w:val="Texte1cm00000"/>
        <w:keepNext w:val="0"/>
      </w:pPr>
    </w:p>
    <w:p w14:paraId="4001FDB1" w14:textId="5E037479" w:rsidR="009F5256" w:rsidRPr="00026EC1" w:rsidRDefault="00275751" w:rsidP="00A64613">
      <w:pPr>
        <w:keepNext w:val="0"/>
        <w:tabs>
          <w:tab w:val="left" w:pos="1134"/>
        </w:tabs>
        <w:ind w:left="1134" w:hanging="567"/>
        <w:rPr>
          <w:rFonts w:cs="Arial"/>
          <w:color w:val="000000"/>
          <w:szCs w:val="24"/>
          <w:lang w:eastAsia="fr-CA"/>
        </w:rPr>
      </w:pPr>
      <w:r w:rsidRPr="00026EC1">
        <w:rPr>
          <w:rFonts w:cs="Arial"/>
          <w:color w:val="000000"/>
          <w:szCs w:val="24"/>
          <w:lang w:eastAsia="fr-CA"/>
        </w:rPr>
        <w:t>2.</w:t>
      </w:r>
      <w:r w:rsidRPr="00026EC1">
        <w:rPr>
          <w:rFonts w:cs="Arial"/>
          <w:color w:val="000000"/>
          <w:szCs w:val="24"/>
          <w:lang w:eastAsia="fr-CA"/>
        </w:rPr>
        <w:tab/>
      </w:r>
      <w:r w:rsidR="009F5256" w:rsidRPr="00026EC1">
        <w:rPr>
          <w:rFonts w:cs="Arial"/>
          <w:bCs/>
          <w:szCs w:val="24"/>
        </w:rPr>
        <w:t xml:space="preserve">Si </w:t>
      </w:r>
      <w:r w:rsidR="009F5256" w:rsidRPr="00026EC1">
        <w:rPr>
          <w:bCs/>
          <w:szCs w:val="24"/>
        </w:rPr>
        <w:t>l</w:t>
      </w:r>
      <w:r w:rsidR="004A41E4" w:rsidRPr="00026EC1">
        <w:rPr>
          <w:bCs/>
          <w:szCs w:val="24"/>
        </w:rPr>
        <w:t>’</w:t>
      </w:r>
      <w:r w:rsidR="009F5256" w:rsidRPr="00026EC1">
        <w:rPr>
          <w:bCs/>
          <w:szCs w:val="24"/>
        </w:rPr>
        <w:t>enseignant s</w:t>
      </w:r>
      <w:r w:rsidR="004A41E4" w:rsidRPr="00026EC1">
        <w:rPr>
          <w:bCs/>
          <w:szCs w:val="24"/>
        </w:rPr>
        <w:t>’</w:t>
      </w:r>
      <w:r w:rsidR="009F5256" w:rsidRPr="00026EC1">
        <w:rPr>
          <w:bCs/>
          <w:szCs w:val="24"/>
        </w:rPr>
        <w:t>absente pour cause d</w:t>
      </w:r>
      <w:r w:rsidR="004A41E4" w:rsidRPr="00026EC1">
        <w:rPr>
          <w:bCs/>
          <w:szCs w:val="24"/>
        </w:rPr>
        <w:t>’</w:t>
      </w:r>
      <w:r w:rsidR="009F5256" w:rsidRPr="00026EC1">
        <w:rPr>
          <w:bCs/>
          <w:szCs w:val="24"/>
        </w:rPr>
        <w:t>accident ou de maladie</w:t>
      </w:r>
      <w:r w:rsidR="00D8581B">
        <w:rPr>
          <w:bCs/>
          <w:szCs w:val="24"/>
        </w:rPr>
        <w:t> :</w:t>
      </w:r>
      <w:r w:rsidR="009F5256" w:rsidRPr="00026EC1">
        <w:rPr>
          <w:bCs/>
          <w:szCs w:val="24"/>
        </w:rPr>
        <w:t xml:space="preserve"> le nombre maximal de semaines de suspension du congé est celui correspondant au nombre de semaines complètes que dure une telle situation, sans toutefois excéder </w:t>
      </w:r>
      <w:r w:rsidR="009F5256" w:rsidRPr="00026EC1">
        <w:rPr>
          <w:szCs w:val="24"/>
        </w:rPr>
        <w:t>vingt</w:t>
      </w:r>
      <w:r w:rsidR="00984A6F">
        <w:rPr>
          <w:szCs w:val="24"/>
        </w:rPr>
        <w:noBreakHyphen/>
      </w:r>
      <w:r w:rsidR="009F5256" w:rsidRPr="00026EC1">
        <w:rPr>
          <w:szCs w:val="24"/>
        </w:rPr>
        <w:t>six</w:t>
      </w:r>
      <w:r w:rsidR="00B013DF">
        <w:rPr>
          <w:szCs w:val="24"/>
        </w:rPr>
        <w:t> </w:t>
      </w:r>
      <w:r w:rsidR="009F5256" w:rsidRPr="00026EC1">
        <w:rPr>
          <w:szCs w:val="24"/>
        </w:rPr>
        <w:t>(26) semaines sur une période de douze</w:t>
      </w:r>
      <w:r w:rsidR="00B013DF">
        <w:rPr>
          <w:szCs w:val="24"/>
        </w:rPr>
        <w:t> </w:t>
      </w:r>
      <w:r w:rsidR="009F5256" w:rsidRPr="00026EC1">
        <w:rPr>
          <w:szCs w:val="24"/>
        </w:rPr>
        <w:t>(12) mois</w:t>
      </w:r>
      <w:r w:rsidR="009F5256" w:rsidRPr="00026EC1">
        <w:rPr>
          <w:rStyle w:val="FootnoteReference"/>
          <w:szCs w:val="24"/>
        </w:rPr>
        <w:footnoteReference w:id="15"/>
      </w:r>
      <w:r w:rsidR="00CE5B85" w:rsidRPr="00026EC1">
        <w:rPr>
          <w:szCs w:val="24"/>
        </w:rPr>
        <w:t>.</w:t>
      </w:r>
    </w:p>
    <w:p w14:paraId="276E4A44" w14:textId="77777777" w:rsidR="009F5256" w:rsidRPr="00026EC1" w:rsidRDefault="009F5256" w:rsidP="00A64613">
      <w:pPr>
        <w:pStyle w:val="Texte1cm"/>
        <w:keepNext w:val="0"/>
      </w:pPr>
    </w:p>
    <w:p w14:paraId="4D23D9CF" w14:textId="3E8762E1" w:rsidR="009F5256" w:rsidRPr="00026EC1" w:rsidRDefault="009F5256" w:rsidP="00A64613">
      <w:pPr>
        <w:keepNext w:val="0"/>
        <w:ind w:left="1134"/>
        <w:rPr>
          <w:szCs w:val="24"/>
        </w:rPr>
      </w:pPr>
      <w:r w:rsidRPr="00026EC1">
        <w:rPr>
          <w:szCs w:val="24"/>
        </w:rPr>
        <w:t>Toutefois, l</w:t>
      </w:r>
      <w:r w:rsidR="004A41E4" w:rsidRPr="00026EC1">
        <w:rPr>
          <w:szCs w:val="24"/>
        </w:rPr>
        <w:t>’</w:t>
      </w:r>
      <w:r w:rsidRPr="00026EC1">
        <w:rPr>
          <w:szCs w:val="24"/>
        </w:rPr>
        <w:t xml:space="preserve">enseignant </w:t>
      </w:r>
      <w:r w:rsidRPr="00026EC1">
        <w:rPr>
          <w:rFonts w:cs="Arial"/>
          <w:color w:val="000000"/>
          <w:szCs w:val="24"/>
          <w:lang w:eastAsia="fr-CA"/>
        </w:rPr>
        <w:t>peut s</w:t>
      </w:r>
      <w:r w:rsidR="004A41E4" w:rsidRPr="00026EC1">
        <w:rPr>
          <w:rFonts w:cs="Arial"/>
          <w:color w:val="000000"/>
          <w:szCs w:val="24"/>
          <w:lang w:eastAsia="fr-CA"/>
        </w:rPr>
        <w:t>’</w:t>
      </w:r>
      <w:r w:rsidRPr="00026EC1">
        <w:rPr>
          <w:rFonts w:cs="Arial"/>
          <w:color w:val="000000"/>
          <w:szCs w:val="24"/>
          <w:lang w:eastAsia="fr-CA"/>
        </w:rPr>
        <w:t>absenter du travail pendant une période d</w:t>
      </w:r>
      <w:r w:rsidR="004A41E4" w:rsidRPr="00026EC1">
        <w:rPr>
          <w:rFonts w:cs="Arial"/>
          <w:color w:val="000000"/>
          <w:szCs w:val="24"/>
          <w:lang w:eastAsia="fr-CA"/>
        </w:rPr>
        <w:t>’</w:t>
      </w:r>
      <w:r w:rsidRPr="00026EC1">
        <w:rPr>
          <w:rFonts w:cs="Arial"/>
          <w:color w:val="000000"/>
          <w:szCs w:val="24"/>
          <w:lang w:eastAsia="fr-CA"/>
        </w:rPr>
        <w:t>au plus</w:t>
      </w:r>
      <w:r w:rsidR="00801716" w:rsidRPr="00026EC1">
        <w:rPr>
          <w:rFonts w:cs="Arial"/>
          <w:color w:val="000000"/>
          <w:szCs w:val="24"/>
          <w:lang w:eastAsia="fr-CA"/>
        </w:rPr>
        <w:t xml:space="preserve"> cent quatre</w:t>
      </w:r>
      <w:r w:rsidRPr="00026EC1">
        <w:rPr>
          <w:rFonts w:cs="Arial"/>
          <w:color w:val="000000"/>
          <w:szCs w:val="24"/>
          <w:lang w:eastAsia="fr-CA"/>
        </w:rPr>
        <w:t xml:space="preserve"> </w:t>
      </w:r>
      <w:r w:rsidR="00801716" w:rsidRPr="00026EC1">
        <w:rPr>
          <w:rFonts w:cs="Arial"/>
          <w:color w:val="000000"/>
          <w:szCs w:val="24"/>
          <w:lang w:eastAsia="fr-CA"/>
        </w:rPr>
        <w:t>(</w:t>
      </w:r>
      <w:r w:rsidRPr="00026EC1">
        <w:rPr>
          <w:rFonts w:cs="Arial"/>
          <w:color w:val="000000"/>
          <w:szCs w:val="24"/>
          <w:lang w:eastAsia="fr-CA"/>
        </w:rPr>
        <w:t>104</w:t>
      </w:r>
      <w:r w:rsidR="00801716" w:rsidRPr="00026EC1">
        <w:rPr>
          <w:rFonts w:cs="Arial"/>
          <w:color w:val="000000"/>
          <w:szCs w:val="24"/>
          <w:lang w:eastAsia="fr-CA"/>
        </w:rPr>
        <w:t>)</w:t>
      </w:r>
      <w:r w:rsidRPr="00026EC1">
        <w:rPr>
          <w:rFonts w:cs="Arial"/>
          <w:color w:val="000000"/>
          <w:szCs w:val="24"/>
          <w:lang w:eastAsia="fr-CA"/>
        </w:rPr>
        <w:t xml:space="preserve"> semaines s</w:t>
      </w:r>
      <w:r w:rsidR="004A41E4" w:rsidRPr="00026EC1">
        <w:rPr>
          <w:rFonts w:cs="Arial"/>
          <w:color w:val="000000"/>
          <w:szCs w:val="24"/>
          <w:lang w:eastAsia="fr-CA"/>
        </w:rPr>
        <w:t>’</w:t>
      </w:r>
      <w:r w:rsidRPr="00026EC1">
        <w:rPr>
          <w:rFonts w:cs="Arial"/>
          <w:color w:val="000000"/>
          <w:szCs w:val="24"/>
          <w:lang w:eastAsia="fr-CA"/>
        </w:rPr>
        <w:t>il subit un préjudice corporel grave à l</w:t>
      </w:r>
      <w:r w:rsidR="004A41E4" w:rsidRPr="00026EC1">
        <w:rPr>
          <w:rFonts w:cs="Arial"/>
          <w:color w:val="000000"/>
          <w:szCs w:val="24"/>
          <w:lang w:eastAsia="fr-CA"/>
        </w:rPr>
        <w:t>’</w:t>
      </w:r>
      <w:r w:rsidRPr="00026EC1">
        <w:rPr>
          <w:rFonts w:cs="Arial"/>
          <w:color w:val="000000"/>
          <w:szCs w:val="24"/>
          <w:lang w:eastAsia="fr-CA"/>
        </w:rPr>
        <w:t>occasion ou résultant directement d</w:t>
      </w:r>
      <w:r w:rsidR="004A41E4" w:rsidRPr="00026EC1">
        <w:rPr>
          <w:rFonts w:cs="Arial"/>
          <w:color w:val="000000"/>
          <w:szCs w:val="24"/>
          <w:lang w:eastAsia="fr-CA"/>
        </w:rPr>
        <w:t>’</w:t>
      </w:r>
      <w:r w:rsidRPr="00026EC1">
        <w:rPr>
          <w:rFonts w:cs="Arial"/>
          <w:color w:val="000000"/>
          <w:szCs w:val="24"/>
          <w:lang w:eastAsia="fr-CA"/>
        </w:rPr>
        <w:t>un acte criminel le rendant incapable d</w:t>
      </w:r>
      <w:r w:rsidR="004A41E4" w:rsidRPr="00026EC1">
        <w:rPr>
          <w:rFonts w:cs="Arial"/>
          <w:color w:val="000000"/>
          <w:szCs w:val="24"/>
          <w:lang w:eastAsia="fr-CA"/>
        </w:rPr>
        <w:t>’</w:t>
      </w:r>
      <w:r w:rsidRPr="00026EC1">
        <w:rPr>
          <w:rFonts w:cs="Arial"/>
          <w:color w:val="000000"/>
          <w:szCs w:val="24"/>
          <w:lang w:eastAsia="fr-CA"/>
        </w:rPr>
        <w:t>occuper son poste habituel; dans ce cas, la période d</w:t>
      </w:r>
      <w:r w:rsidR="004A41E4" w:rsidRPr="00026EC1">
        <w:rPr>
          <w:rFonts w:cs="Arial"/>
          <w:color w:val="000000"/>
          <w:szCs w:val="24"/>
          <w:lang w:eastAsia="fr-CA"/>
        </w:rPr>
        <w:t>’</w:t>
      </w:r>
      <w:r w:rsidRPr="00026EC1">
        <w:rPr>
          <w:rFonts w:cs="Arial"/>
          <w:color w:val="000000"/>
          <w:szCs w:val="24"/>
          <w:lang w:eastAsia="fr-CA"/>
        </w:rPr>
        <w:t>absence débute au plus tôt à la date à laquelle l</w:t>
      </w:r>
      <w:r w:rsidR="004A41E4" w:rsidRPr="00026EC1">
        <w:rPr>
          <w:rFonts w:cs="Arial"/>
          <w:color w:val="000000"/>
          <w:szCs w:val="24"/>
          <w:lang w:eastAsia="fr-CA"/>
        </w:rPr>
        <w:t>’</w:t>
      </w:r>
      <w:r w:rsidRPr="00026EC1">
        <w:rPr>
          <w:rFonts w:cs="Arial"/>
          <w:color w:val="000000"/>
          <w:szCs w:val="24"/>
          <w:lang w:eastAsia="fr-CA"/>
        </w:rPr>
        <w:t>acte criminel a été commis ou, le cas échéant, à l</w:t>
      </w:r>
      <w:r w:rsidR="004A41E4" w:rsidRPr="00026EC1">
        <w:rPr>
          <w:rFonts w:cs="Arial"/>
          <w:color w:val="000000"/>
          <w:szCs w:val="24"/>
          <w:lang w:eastAsia="fr-CA"/>
        </w:rPr>
        <w:t>’</w:t>
      </w:r>
      <w:r w:rsidRPr="00026EC1">
        <w:rPr>
          <w:rFonts w:cs="Arial"/>
          <w:color w:val="000000"/>
          <w:szCs w:val="24"/>
          <w:lang w:eastAsia="fr-CA"/>
        </w:rPr>
        <w:t>expiration de la période prévue au paragraphe précédent et se termine au plus tard</w:t>
      </w:r>
      <w:r w:rsidR="00801716" w:rsidRPr="00026EC1">
        <w:rPr>
          <w:rFonts w:cs="Arial"/>
          <w:color w:val="000000"/>
          <w:szCs w:val="24"/>
          <w:lang w:eastAsia="fr-CA"/>
        </w:rPr>
        <w:t xml:space="preserve"> cent quatre</w:t>
      </w:r>
      <w:r w:rsidR="00866ADB">
        <w:rPr>
          <w:rFonts w:cs="Arial"/>
          <w:color w:val="000000"/>
          <w:szCs w:val="24"/>
          <w:lang w:eastAsia="fr-CA"/>
        </w:rPr>
        <w:t> </w:t>
      </w:r>
      <w:r w:rsidR="00801716" w:rsidRPr="00026EC1">
        <w:rPr>
          <w:rFonts w:cs="Arial"/>
          <w:color w:val="000000"/>
          <w:szCs w:val="24"/>
          <w:lang w:eastAsia="fr-CA"/>
        </w:rPr>
        <w:t>(</w:t>
      </w:r>
      <w:r w:rsidRPr="00026EC1">
        <w:rPr>
          <w:rFonts w:cs="Arial"/>
          <w:color w:val="000000"/>
          <w:szCs w:val="24"/>
          <w:lang w:eastAsia="fr-CA"/>
        </w:rPr>
        <w:t>104</w:t>
      </w:r>
      <w:r w:rsidR="00801716" w:rsidRPr="00026EC1">
        <w:rPr>
          <w:rFonts w:cs="Arial"/>
          <w:color w:val="000000"/>
          <w:szCs w:val="24"/>
          <w:lang w:eastAsia="fr-CA"/>
        </w:rPr>
        <w:t>)</w:t>
      </w:r>
      <w:r w:rsidRPr="00026EC1">
        <w:rPr>
          <w:rFonts w:cs="Arial"/>
          <w:color w:val="000000"/>
          <w:szCs w:val="24"/>
          <w:lang w:eastAsia="fr-CA"/>
        </w:rPr>
        <w:t xml:space="preserve"> semaines après la commission de l</w:t>
      </w:r>
      <w:r w:rsidR="004A41E4" w:rsidRPr="00026EC1">
        <w:rPr>
          <w:rFonts w:cs="Arial"/>
          <w:color w:val="000000"/>
          <w:szCs w:val="24"/>
          <w:lang w:eastAsia="fr-CA"/>
        </w:rPr>
        <w:t>’</w:t>
      </w:r>
      <w:r w:rsidRPr="00026EC1">
        <w:rPr>
          <w:rFonts w:cs="Arial"/>
          <w:color w:val="000000"/>
          <w:szCs w:val="24"/>
          <w:lang w:eastAsia="fr-CA"/>
        </w:rPr>
        <w:t>acte crimine</w:t>
      </w:r>
      <w:r w:rsidR="00801716" w:rsidRPr="00026EC1">
        <w:rPr>
          <w:rFonts w:cs="Arial"/>
          <w:color w:val="000000"/>
          <w:szCs w:val="24"/>
          <w:lang w:eastAsia="fr-CA"/>
        </w:rPr>
        <w:t>l</w:t>
      </w:r>
      <w:r w:rsidR="00801716" w:rsidRPr="00026EC1">
        <w:rPr>
          <w:rFonts w:cs="Arial"/>
          <w:color w:val="000000"/>
          <w:szCs w:val="24"/>
          <w:vertAlign w:val="superscript"/>
          <w:lang w:eastAsia="fr-CA"/>
        </w:rPr>
        <w:t>1</w:t>
      </w:r>
      <w:r w:rsidR="00CE5B85" w:rsidRPr="00026EC1">
        <w:rPr>
          <w:rFonts w:cs="Arial"/>
          <w:color w:val="000000"/>
          <w:szCs w:val="24"/>
          <w:lang w:eastAsia="fr-CA"/>
        </w:rPr>
        <w:t>.</w:t>
      </w:r>
    </w:p>
    <w:p w14:paraId="7367C27F" w14:textId="77777777" w:rsidR="009F5256" w:rsidRPr="00026EC1" w:rsidRDefault="009F5256" w:rsidP="00A64613">
      <w:pPr>
        <w:pStyle w:val="Texte1cm00000"/>
        <w:keepNext w:val="0"/>
      </w:pPr>
    </w:p>
    <w:p w14:paraId="6E9D7C58" w14:textId="666BFB81" w:rsidR="009F5256" w:rsidRPr="00026EC1" w:rsidRDefault="00275751" w:rsidP="00A64613">
      <w:pPr>
        <w:keepNext w:val="0"/>
        <w:tabs>
          <w:tab w:val="left" w:pos="1134"/>
        </w:tabs>
        <w:ind w:left="1134" w:hanging="567"/>
        <w:rPr>
          <w:bCs/>
          <w:szCs w:val="24"/>
        </w:rPr>
      </w:pPr>
      <w:r w:rsidRPr="00026EC1">
        <w:rPr>
          <w:bCs/>
          <w:szCs w:val="24"/>
        </w:rPr>
        <w:t>3.</w:t>
      </w:r>
      <w:r w:rsidRPr="00026EC1">
        <w:rPr>
          <w:bCs/>
          <w:szCs w:val="24"/>
        </w:rPr>
        <w:tab/>
      </w:r>
      <w:r w:rsidR="009F5256" w:rsidRPr="00026EC1">
        <w:rPr>
          <w:bCs/>
        </w:rPr>
        <w:t>Si l</w:t>
      </w:r>
      <w:r w:rsidR="004A41E4" w:rsidRPr="00026EC1">
        <w:rPr>
          <w:bCs/>
        </w:rPr>
        <w:t>’</w:t>
      </w:r>
      <w:r w:rsidR="009F5256" w:rsidRPr="00026EC1">
        <w:rPr>
          <w:bCs/>
        </w:rPr>
        <w:t>enseignant s</w:t>
      </w:r>
      <w:r w:rsidR="004A41E4" w:rsidRPr="00026EC1">
        <w:rPr>
          <w:bCs/>
        </w:rPr>
        <w:t>’</w:t>
      </w:r>
      <w:r w:rsidR="009F5256" w:rsidRPr="00026EC1">
        <w:rPr>
          <w:bCs/>
        </w:rPr>
        <w:t xml:space="preserve">absente pour une situation visée </w:t>
      </w:r>
      <w:r w:rsidR="009F5256" w:rsidRPr="00026EC1">
        <w:t>aux articles</w:t>
      </w:r>
      <w:r w:rsidR="00D66A8F" w:rsidRPr="00026EC1">
        <w:t> </w:t>
      </w:r>
      <w:r w:rsidR="009F5256" w:rsidRPr="00026EC1">
        <w:t>79.8 à 79.12</w:t>
      </w:r>
      <w:r w:rsidR="009F5256" w:rsidRPr="00026EC1">
        <w:rPr>
          <w:rStyle w:val="FootnoteReference"/>
        </w:rPr>
        <w:footnoteReference w:id="16"/>
      </w:r>
      <w:r w:rsidR="009F5256" w:rsidRPr="00026EC1">
        <w:rPr>
          <w:bCs/>
        </w:rPr>
        <w:t xml:space="preserve"> de la</w:t>
      </w:r>
      <w:r w:rsidR="009F5256" w:rsidRPr="00026EC1">
        <w:rPr>
          <w:bCs/>
          <w:iCs/>
        </w:rPr>
        <w:t xml:space="preserve"> </w:t>
      </w:r>
      <w:r w:rsidR="009F5256" w:rsidRPr="00026EC1">
        <w:rPr>
          <w:bCs/>
        </w:rPr>
        <w:t>Loi sur les normes du travail</w:t>
      </w:r>
      <w:r w:rsidR="009F5256" w:rsidRPr="00026EC1">
        <w:rPr>
          <w:bCs/>
          <w:iCs/>
        </w:rPr>
        <w:t xml:space="preserve"> </w:t>
      </w:r>
      <w:r w:rsidR="009F5256" w:rsidRPr="00026EC1">
        <w:rPr>
          <w:bCs/>
        </w:rPr>
        <w:t>(</w:t>
      </w:r>
      <w:r w:rsidR="00BA5771" w:rsidRPr="00026EC1">
        <w:rPr>
          <w:rFonts w:cs="Arial"/>
          <w:szCs w:val="24"/>
        </w:rPr>
        <w:t>RLRQ, chapitre</w:t>
      </w:r>
      <w:r w:rsidR="00BA5771" w:rsidRPr="00026EC1">
        <w:rPr>
          <w:bCs/>
        </w:rPr>
        <w:t xml:space="preserve"> </w:t>
      </w:r>
      <w:r w:rsidR="009F5256" w:rsidRPr="00026EC1">
        <w:rPr>
          <w:bCs/>
        </w:rPr>
        <w:t>N</w:t>
      </w:r>
      <w:r w:rsidR="00984A6F">
        <w:rPr>
          <w:bCs/>
        </w:rPr>
        <w:noBreakHyphen/>
      </w:r>
      <w:r w:rsidR="009F5256" w:rsidRPr="00026EC1">
        <w:rPr>
          <w:bCs/>
        </w:rPr>
        <w:t>1.1)</w:t>
      </w:r>
      <w:r w:rsidR="00D8581B">
        <w:rPr>
          <w:bCs/>
        </w:rPr>
        <w:t> :</w:t>
      </w:r>
      <w:r w:rsidR="009F5256" w:rsidRPr="00026EC1">
        <w:rPr>
          <w:bCs/>
        </w:rPr>
        <w:t xml:space="preserve"> le nombre maximal de semaines de suspension du congé est celui correspondant au nombre de semaines complètes que dure cette situation, </w:t>
      </w:r>
      <w:r w:rsidR="009F5256" w:rsidRPr="00026EC1">
        <w:t>selon les dispositions prévues à l</w:t>
      </w:r>
      <w:r w:rsidR="004A41E4" w:rsidRPr="00026EC1">
        <w:t>’</w:t>
      </w:r>
      <w:r w:rsidR="009F5256" w:rsidRPr="00026EC1">
        <w:t>alinéa</w:t>
      </w:r>
      <w:r w:rsidR="00D66A8F" w:rsidRPr="00026EC1">
        <w:t> </w:t>
      </w:r>
      <w:r w:rsidR="009F5256" w:rsidRPr="00026EC1">
        <w:t>B) de la clause</w:t>
      </w:r>
      <w:r w:rsidR="00D66A8F" w:rsidRPr="00026EC1">
        <w:t> </w:t>
      </w:r>
      <w:r w:rsidR="009F5256" w:rsidRPr="00026EC1">
        <w:t>5</w:t>
      </w:r>
      <w:r w:rsidR="00984A6F">
        <w:noBreakHyphen/>
      </w:r>
      <w:r w:rsidR="009F5256" w:rsidRPr="00026EC1">
        <w:t>9.06</w:t>
      </w:r>
      <w:r w:rsidR="00CE5B85" w:rsidRPr="00026EC1">
        <w:t>.</w:t>
      </w:r>
    </w:p>
    <w:p w14:paraId="2AB81FB3" w14:textId="77777777" w:rsidR="009F5256" w:rsidRPr="00026EC1" w:rsidRDefault="009F5256" w:rsidP="00A64613">
      <w:pPr>
        <w:pStyle w:val="Texte1cm00000"/>
        <w:keepNext w:val="0"/>
      </w:pPr>
    </w:p>
    <w:p w14:paraId="74A4E6DF" w14:textId="4F6B1A76" w:rsidR="009F5256" w:rsidRDefault="009F5256" w:rsidP="00A64613">
      <w:pPr>
        <w:pStyle w:val="Texte1cm00000"/>
        <w:keepNext w:val="0"/>
      </w:pPr>
      <w:r w:rsidRPr="00026EC1">
        <w:t>Durant une telle suspension, l</w:t>
      </w:r>
      <w:r w:rsidR="004A41E4" w:rsidRPr="00026EC1">
        <w:t>’</w:t>
      </w:r>
      <w:r w:rsidRPr="00026EC1">
        <w:t>enseignant est considéré en congé sans traitement et ne reçoit ni indemnité ni prestation; il bénéficie des avantages prévus aux clauses</w:t>
      </w:r>
      <w:r w:rsidR="00D66A8F" w:rsidRPr="00026EC1">
        <w:t> </w:t>
      </w:r>
      <w:r w:rsidRPr="00026EC1">
        <w:t>5</w:t>
      </w:r>
      <w:r w:rsidR="00984A6F">
        <w:noBreakHyphen/>
      </w:r>
      <w:r w:rsidRPr="00026EC1">
        <w:t>6.56 et 5</w:t>
      </w:r>
      <w:r w:rsidR="00984A6F">
        <w:noBreakHyphen/>
      </w:r>
      <w:r w:rsidRPr="00026EC1">
        <w:t>6.58.</w:t>
      </w:r>
    </w:p>
    <w:p w14:paraId="164DAEB9" w14:textId="186D4876" w:rsidR="00BA44B2" w:rsidRPr="00026EC1" w:rsidRDefault="00BA44B2" w:rsidP="003324BE">
      <w:pPr>
        <w:pStyle w:val="Texte1cm00000"/>
        <w:keepNext w:val="0"/>
        <w:ind w:left="0"/>
      </w:pPr>
      <w:r w:rsidRPr="00316277">
        <w:rPr>
          <w:szCs w:val="24"/>
        </w:rPr>
        <w:t>Outre les cas mentionnés à la présente clause, à la demande de l’enseignante ou de l’enseignant et si le Collège y consent, le congé prévu à la clause 5-6.21, est fractionné en semaines.</w:t>
      </w:r>
    </w:p>
    <w:p w14:paraId="7539F8D6" w14:textId="77777777" w:rsidR="009F5256" w:rsidRPr="00026EC1" w:rsidRDefault="009F5256" w:rsidP="003324BE">
      <w:pPr>
        <w:keepNext w:val="0"/>
      </w:pPr>
    </w:p>
    <w:p w14:paraId="4C0C2573" w14:textId="4B372075" w:rsidR="009F5256" w:rsidRPr="00026EC1" w:rsidRDefault="009F5256" w:rsidP="00A64613">
      <w:pPr>
        <w:pStyle w:val="NUMRODECLAUSE"/>
        <w:keepNext w:val="0"/>
        <w:rPr>
          <w:strike/>
        </w:rPr>
      </w:pPr>
      <w:r w:rsidRPr="00026EC1">
        <w:t>5</w:t>
      </w:r>
      <w:r w:rsidR="00984A6F">
        <w:noBreakHyphen/>
      </w:r>
      <w:r w:rsidRPr="00026EC1">
        <w:t>6.24</w:t>
      </w:r>
    </w:p>
    <w:p w14:paraId="0905826D" w14:textId="0640ECE4" w:rsidR="009F5256" w:rsidRPr="00026EC1" w:rsidRDefault="009F5256" w:rsidP="00A64613">
      <w:pPr>
        <w:keepNext w:val="0"/>
        <w:rPr>
          <w:szCs w:val="24"/>
        </w:rPr>
      </w:pPr>
      <w:r w:rsidRPr="00026EC1">
        <w:rPr>
          <w:bCs/>
        </w:rPr>
        <w:t>Lors de la reprise du congé de paternité suspendu ou fractionné en vertu de la clause</w:t>
      </w:r>
      <w:r w:rsidR="00D66A8F" w:rsidRPr="00026EC1">
        <w:rPr>
          <w:bCs/>
        </w:rPr>
        <w:t> </w:t>
      </w:r>
      <w:r w:rsidRPr="00026EC1">
        <w:rPr>
          <w:bCs/>
        </w:rPr>
        <w:t>5</w:t>
      </w:r>
      <w:r w:rsidR="00984A6F">
        <w:rPr>
          <w:bCs/>
        </w:rPr>
        <w:noBreakHyphen/>
      </w:r>
      <w:r w:rsidRPr="00026EC1">
        <w:rPr>
          <w:bCs/>
        </w:rPr>
        <w:t>6.23, le Collège verse à l</w:t>
      </w:r>
      <w:r w:rsidR="004A41E4" w:rsidRPr="00026EC1">
        <w:rPr>
          <w:bCs/>
        </w:rPr>
        <w:t>’</w:t>
      </w:r>
      <w:r w:rsidRPr="00026EC1">
        <w:rPr>
          <w:bCs/>
        </w:rPr>
        <w:t>enseignant l</w:t>
      </w:r>
      <w:r w:rsidR="004A41E4" w:rsidRPr="00026EC1">
        <w:rPr>
          <w:bCs/>
        </w:rPr>
        <w:t>’</w:t>
      </w:r>
      <w:r w:rsidRPr="00026EC1">
        <w:rPr>
          <w:bCs/>
        </w:rPr>
        <w:t>indemnité à laquelle il aurait alors eu droit s</w:t>
      </w:r>
      <w:r w:rsidR="004A41E4" w:rsidRPr="00026EC1">
        <w:rPr>
          <w:bCs/>
        </w:rPr>
        <w:t>’</w:t>
      </w:r>
      <w:r w:rsidRPr="00026EC1">
        <w:rPr>
          <w:bCs/>
        </w:rPr>
        <w:t>il ne s</w:t>
      </w:r>
      <w:r w:rsidR="004A41E4" w:rsidRPr="00026EC1">
        <w:rPr>
          <w:bCs/>
        </w:rPr>
        <w:t>’</w:t>
      </w:r>
      <w:r w:rsidRPr="00026EC1">
        <w:rPr>
          <w:bCs/>
        </w:rPr>
        <w:t>était pas prévalu d</w:t>
      </w:r>
      <w:r w:rsidR="004A41E4" w:rsidRPr="00026EC1">
        <w:rPr>
          <w:bCs/>
        </w:rPr>
        <w:t>’</w:t>
      </w:r>
      <w:r w:rsidRPr="00026EC1">
        <w:rPr>
          <w:bCs/>
        </w:rPr>
        <w:t>une telle suspension ou d</w:t>
      </w:r>
      <w:r w:rsidR="004A41E4" w:rsidRPr="00026EC1">
        <w:rPr>
          <w:bCs/>
        </w:rPr>
        <w:t>’</w:t>
      </w:r>
      <w:r w:rsidRPr="00026EC1">
        <w:rPr>
          <w:bCs/>
        </w:rPr>
        <w:t>un tel fractionnement</w:t>
      </w:r>
      <w:r w:rsidR="002E376D" w:rsidRPr="00026EC1">
        <w:rPr>
          <w:bCs/>
        </w:rPr>
        <w:t>,</w:t>
      </w:r>
      <w:r w:rsidRPr="00026EC1">
        <w:rPr>
          <w:bCs/>
        </w:rPr>
        <w:t xml:space="preserve"> et ce, pour le nombre de semaines qui reste à couvrir en vertu de la clause</w:t>
      </w:r>
      <w:r w:rsidR="00D66A8F" w:rsidRPr="00026EC1">
        <w:rPr>
          <w:bCs/>
        </w:rPr>
        <w:t> </w:t>
      </w:r>
      <w:r w:rsidRPr="00026EC1">
        <w:rPr>
          <w:bCs/>
        </w:rPr>
        <w:t>5</w:t>
      </w:r>
      <w:r w:rsidR="00984A6F">
        <w:rPr>
          <w:bCs/>
        </w:rPr>
        <w:noBreakHyphen/>
      </w:r>
      <w:r w:rsidRPr="00026EC1">
        <w:rPr>
          <w:bCs/>
        </w:rPr>
        <w:t xml:space="preserve">6.21, </w:t>
      </w:r>
      <w:r w:rsidRPr="00026EC1">
        <w:t>sous réserve de la clause</w:t>
      </w:r>
      <w:r w:rsidR="00D66A8F" w:rsidRPr="00026EC1">
        <w:t> </w:t>
      </w:r>
      <w:r w:rsidRPr="00026EC1">
        <w:t>5</w:t>
      </w:r>
      <w:r w:rsidR="00984A6F">
        <w:noBreakHyphen/>
      </w:r>
      <w:r w:rsidRPr="00026EC1">
        <w:t>6.01.</w:t>
      </w:r>
    </w:p>
    <w:p w14:paraId="33693450" w14:textId="77777777" w:rsidR="002F4623" w:rsidRPr="00026EC1" w:rsidRDefault="002F4623" w:rsidP="00A64613">
      <w:pPr>
        <w:keepNext w:val="0"/>
        <w:rPr>
          <w:b/>
          <w:u w:val="single"/>
        </w:rPr>
      </w:pPr>
    </w:p>
    <w:p w14:paraId="6608BB0D" w14:textId="77777777" w:rsidR="009F5256" w:rsidRPr="00026EC1" w:rsidRDefault="009F5256" w:rsidP="00A64613">
      <w:pPr>
        <w:keepNext w:val="0"/>
        <w:rPr>
          <w:b/>
          <w:u w:val="single"/>
        </w:rPr>
      </w:pPr>
      <w:r w:rsidRPr="00026EC1">
        <w:rPr>
          <w:b/>
          <w:u w:val="single"/>
        </w:rPr>
        <w:t xml:space="preserve">Indemnité liée au congé de paternité </w:t>
      </w:r>
    </w:p>
    <w:p w14:paraId="77FCC154" w14:textId="77777777" w:rsidR="009F5256" w:rsidRPr="00026EC1" w:rsidRDefault="009F5256" w:rsidP="00A64613">
      <w:pPr>
        <w:keepNext w:val="0"/>
        <w:rPr>
          <w:i/>
        </w:rPr>
      </w:pPr>
    </w:p>
    <w:p w14:paraId="3691AB07" w14:textId="5E1153EF" w:rsidR="009F5256" w:rsidRPr="00026EC1" w:rsidRDefault="009F5256" w:rsidP="00A64613">
      <w:pPr>
        <w:pStyle w:val="NUMRODECLAUSE"/>
        <w:keepNext w:val="0"/>
      </w:pPr>
      <w:r w:rsidRPr="00026EC1">
        <w:t>5</w:t>
      </w:r>
      <w:r w:rsidR="00984A6F">
        <w:noBreakHyphen/>
      </w:r>
      <w:r w:rsidRPr="00026EC1">
        <w:t>6.25</w:t>
      </w:r>
      <w:r w:rsidR="00CE5B85" w:rsidRPr="00026EC1">
        <w:tab/>
      </w:r>
      <w:r w:rsidRPr="00E07734">
        <w:rPr>
          <w:u w:val="single"/>
        </w:rPr>
        <w:t>Cas admissible au RQAP ou au RAE</w:t>
      </w:r>
    </w:p>
    <w:p w14:paraId="0D5AFA99" w14:textId="49F0E169" w:rsidR="004849F5" w:rsidRPr="00026EC1" w:rsidRDefault="004849F5" w:rsidP="00A64613">
      <w:pPr>
        <w:keepNext w:val="0"/>
      </w:pPr>
      <w:r w:rsidRPr="00026EC1">
        <w:t>Pendant le congé de paternité prévu à la clause 5</w:t>
      </w:r>
      <w:r w:rsidR="00984A6F">
        <w:noBreakHyphen/>
      </w:r>
      <w:r w:rsidRPr="00026EC1">
        <w:t>6.21, l’enseignant, qui a complété vingt (20) semaines de service</w:t>
      </w:r>
      <w:r w:rsidRPr="00026EC1">
        <w:rPr>
          <w:rStyle w:val="FootnoteReference"/>
        </w:rPr>
        <w:footnoteReference w:id="17"/>
      </w:r>
      <w:r w:rsidRPr="00026EC1">
        <w:t>, reçoit</w:t>
      </w:r>
      <w:r w:rsidRPr="00026EC1">
        <w:rPr>
          <w:szCs w:val="24"/>
        </w:rPr>
        <w:t xml:space="preserve"> une indemnité égale à la différence entre son traitement hebdomadaire de base et le montant des prestations du RQAP ou du RAE qu’il reçoit ou recevrait s’il en faisait la demande, </w:t>
      </w:r>
      <w:r w:rsidRPr="00026EC1">
        <w:t>en vertu du RQAP ou du RAE.</w:t>
      </w:r>
    </w:p>
    <w:p w14:paraId="764C64E5" w14:textId="77777777" w:rsidR="009F5256" w:rsidRPr="00026EC1" w:rsidRDefault="009F5256" w:rsidP="00A64613">
      <w:pPr>
        <w:pStyle w:val="NUMRODECLAUSE"/>
        <w:keepNext w:val="0"/>
      </w:pPr>
    </w:p>
    <w:p w14:paraId="6BC79090" w14:textId="77777777" w:rsidR="009F5256" w:rsidRPr="00026EC1" w:rsidRDefault="009F5256" w:rsidP="00A64613">
      <w:pPr>
        <w:keepNext w:val="0"/>
        <w:rPr>
          <w:bCs/>
          <w:iCs/>
          <w:szCs w:val="24"/>
        </w:rPr>
      </w:pPr>
      <w:r w:rsidRPr="00026EC1">
        <w:rPr>
          <w:bCs/>
          <w:szCs w:val="24"/>
        </w:rPr>
        <w:t xml:space="preserve">Cette indemnité se calcule à partir des prestations du RQAP ou du </w:t>
      </w:r>
      <w:r w:rsidRPr="00026EC1">
        <w:t>RAE</w:t>
      </w:r>
      <w:r w:rsidRPr="00026EC1">
        <w:rPr>
          <w:bCs/>
          <w:szCs w:val="24"/>
        </w:rPr>
        <w:t xml:space="preserve"> qu</w:t>
      </w:r>
      <w:r w:rsidR="004A41E4" w:rsidRPr="00026EC1">
        <w:rPr>
          <w:bCs/>
          <w:szCs w:val="24"/>
        </w:rPr>
        <w:t>’</w:t>
      </w:r>
      <w:r w:rsidRPr="00026EC1">
        <w:rPr>
          <w:bCs/>
          <w:szCs w:val="24"/>
        </w:rPr>
        <w:t>un enseignant a droit de recevoir sans tenir compte des montants soustraits de telles prestations en raison des remboursements de prestations, des intérêts, des pénalités et autres montants recouvrables en vertu de la</w:t>
      </w:r>
      <w:r w:rsidRPr="00026EC1">
        <w:rPr>
          <w:bCs/>
          <w:i/>
          <w:iCs/>
          <w:szCs w:val="24"/>
        </w:rPr>
        <w:t xml:space="preserve"> </w:t>
      </w:r>
      <w:r w:rsidRPr="00026EC1">
        <w:rPr>
          <w:bCs/>
          <w:iCs/>
          <w:szCs w:val="24"/>
        </w:rPr>
        <w:t>Loi sur l</w:t>
      </w:r>
      <w:r w:rsidR="004A41E4" w:rsidRPr="00026EC1">
        <w:rPr>
          <w:bCs/>
          <w:iCs/>
          <w:szCs w:val="24"/>
        </w:rPr>
        <w:t>’</w:t>
      </w:r>
      <w:r w:rsidRPr="00026EC1">
        <w:rPr>
          <w:bCs/>
          <w:iCs/>
          <w:szCs w:val="24"/>
        </w:rPr>
        <w:t>assurance parentale</w:t>
      </w:r>
      <w:r w:rsidRPr="00026EC1">
        <w:rPr>
          <w:bCs/>
          <w:i/>
          <w:iCs/>
          <w:szCs w:val="24"/>
        </w:rPr>
        <w:t xml:space="preserve"> </w:t>
      </w:r>
      <w:r w:rsidRPr="00026EC1">
        <w:rPr>
          <w:bCs/>
          <w:szCs w:val="24"/>
        </w:rPr>
        <w:t xml:space="preserve">ou du </w:t>
      </w:r>
      <w:r w:rsidR="00801716" w:rsidRPr="00026EC1">
        <w:rPr>
          <w:bCs/>
          <w:szCs w:val="24"/>
        </w:rPr>
        <w:t>RAE</w:t>
      </w:r>
      <w:r w:rsidRPr="00026EC1">
        <w:rPr>
          <w:bCs/>
          <w:szCs w:val="24"/>
        </w:rPr>
        <w:t>.</w:t>
      </w:r>
    </w:p>
    <w:p w14:paraId="6201C964" w14:textId="77777777" w:rsidR="009F5256" w:rsidRPr="00026EC1" w:rsidRDefault="009F5256" w:rsidP="00A64613">
      <w:pPr>
        <w:keepNext w:val="0"/>
        <w:rPr>
          <w:bCs/>
          <w:szCs w:val="24"/>
        </w:rPr>
      </w:pPr>
    </w:p>
    <w:p w14:paraId="7997DC83" w14:textId="752CE803" w:rsidR="009F5256" w:rsidRPr="00026EC1" w:rsidRDefault="009F5256" w:rsidP="00A64613">
      <w:pPr>
        <w:keepNext w:val="0"/>
        <w:rPr>
          <w:szCs w:val="24"/>
        </w:rPr>
      </w:pPr>
      <w:r w:rsidRPr="00026EC1">
        <w:rPr>
          <w:szCs w:val="24"/>
        </w:rPr>
        <w:t xml:space="preserve">Toutefois, si une modification est apportée au montant de la prestation versée par le RQAP ou </w:t>
      </w:r>
      <w:r w:rsidR="00801716" w:rsidRPr="00026EC1">
        <w:rPr>
          <w:szCs w:val="24"/>
        </w:rPr>
        <w:t>le</w:t>
      </w:r>
      <w:r w:rsidRPr="00026EC1">
        <w:rPr>
          <w:szCs w:val="24"/>
        </w:rPr>
        <w:t xml:space="preserve"> RAE à la suite d</w:t>
      </w:r>
      <w:r w:rsidR="004A41E4" w:rsidRPr="00026EC1">
        <w:rPr>
          <w:szCs w:val="24"/>
        </w:rPr>
        <w:t>’</w:t>
      </w:r>
      <w:r w:rsidRPr="00026EC1">
        <w:rPr>
          <w:szCs w:val="24"/>
        </w:rPr>
        <w:t>une modification des informations fournies par le Collège, celui</w:t>
      </w:r>
      <w:r w:rsidR="00984A6F">
        <w:rPr>
          <w:szCs w:val="24"/>
        </w:rPr>
        <w:noBreakHyphen/>
      </w:r>
      <w:r w:rsidRPr="00026EC1">
        <w:rPr>
          <w:szCs w:val="24"/>
        </w:rPr>
        <w:t>ci corrige le montant de l</w:t>
      </w:r>
      <w:r w:rsidR="004A41E4" w:rsidRPr="00026EC1">
        <w:rPr>
          <w:szCs w:val="24"/>
        </w:rPr>
        <w:t>’</w:t>
      </w:r>
      <w:r w:rsidRPr="00026EC1">
        <w:rPr>
          <w:szCs w:val="24"/>
        </w:rPr>
        <w:t>indemnité en conséquence.</w:t>
      </w:r>
    </w:p>
    <w:p w14:paraId="51F38FF7" w14:textId="77777777" w:rsidR="009F5256" w:rsidRPr="00026EC1" w:rsidRDefault="009F5256" w:rsidP="00A64613">
      <w:pPr>
        <w:keepNext w:val="0"/>
        <w:rPr>
          <w:bCs/>
          <w:szCs w:val="24"/>
        </w:rPr>
      </w:pPr>
    </w:p>
    <w:p w14:paraId="07E6D2AC" w14:textId="29866CCF" w:rsidR="009F5256" w:rsidRPr="00026EC1" w:rsidRDefault="009F5256" w:rsidP="00A64613">
      <w:pPr>
        <w:keepNext w:val="0"/>
        <w:rPr>
          <w:bCs/>
          <w:iCs/>
          <w:szCs w:val="24"/>
        </w:rPr>
      </w:pPr>
      <w:r w:rsidRPr="00026EC1">
        <w:rPr>
          <w:bCs/>
          <w:szCs w:val="24"/>
        </w:rPr>
        <w:t>Cependant, lorsque l</w:t>
      </w:r>
      <w:r w:rsidR="004A41E4" w:rsidRPr="00026EC1">
        <w:rPr>
          <w:bCs/>
          <w:szCs w:val="24"/>
        </w:rPr>
        <w:t>’</w:t>
      </w:r>
      <w:r w:rsidRPr="00026EC1">
        <w:rPr>
          <w:bCs/>
          <w:szCs w:val="24"/>
        </w:rPr>
        <w:t>enseignant travaille pour plus d</w:t>
      </w:r>
      <w:r w:rsidR="004A41E4" w:rsidRPr="00026EC1">
        <w:rPr>
          <w:bCs/>
          <w:szCs w:val="24"/>
        </w:rPr>
        <w:t>’</w:t>
      </w:r>
      <w:r w:rsidRPr="00026EC1">
        <w:rPr>
          <w:bCs/>
          <w:szCs w:val="24"/>
        </w:rPr>
        <w:t xml:space="preserve">un </w:t>
      </w:r>
      <w:r w:rsidRPr="00026EC1">
        <w:t>employeur</w:t>
      </w:r>
      <w:r w:rsidRPr="00026EC1">
        <w:rPr>
          <w:bCs/>
          <w:szCs w:val="24"/>
        </w:rPr>
        <w:t>, l</w:t>
      </w:r>
      <w:r w:rsidR="004A41E4" w:rsidRPr="00026EC1">
        <w:rPr>
          <w:bCs/>
          <w:szCs w:val="24"/>
        </w:rPr>
        <w:t>’</w:t>
      </w:r>
      <w:r w:rsidRPr="00026EC1">
        <w:rPr>
          <w:bCs/>
          <w:szCs w:val="24"/>
        </w:rPr>
        <w:t>indemnité est égale à la différence entre cent pour cent</w:t>
      </w:r>
      <w:r w:rsidR="00B013DF">
        <w:rPr>
          <w:bCs/>
          <w:szCs w:val="24"/>
        </w:rPr>
        <w:t> </w:t>
      </w:r>
      <w:r w:rsidRPr="00026EC1">
        <w:rPr>
          <w:bCs/>
          <w:szCs w:val="24"/>
        </w:rPr>
        <w:t>(100</w:t>
      </w:r>
      <w:r w:rsidR="00714A15">
        <w:rPr>
          <w:bCs/>
          <w:szCs w:val="24"/>
        </w:rPr>
        <w:t> %</w:t>
      </w:r>
      <w:r w:rsidRPr="00026EC1">
        <w:rPr>
          <w:bCs/>
          <w:szCs w:val="24"/>
        </w:rPr>
        <w:t>) du traitement de base versé par le Collège et le montant des prestations du RQAP ou du RAE correspondant à la proportion du traitement hebdomadaire de base qu</w:t>
      </w:r>
      <w:r w:rsidR="004A41E4" w:rsidRPr="00026EC1">
        <w:rPr>
          <w:bCs/>
          <w:szCs w:val="24"/>
        </w:rPr>
        <w:t>’</w:t>
      </w:r>
      <w:r w:rsidRPr="00026EC1">
        <w:rPr>
          <w:bCs/>
          <w:szCs w:val="24"/>
        </w:rPr>
        <w:t>il lui verse par rapport à la somme des traitements hebdomadaires de base versés par l</w:t>
      </w:r>
      <w:r w:rsidR="004A41E4" w:rsidRPr="00026EC1">
        <w:rPr>
          <w:bCs/>
          <w:szCs w:val="24"/>
        </w:rPr>
        <w:t>’</w:t>
      </w:r>
      <w:r w:rsidRPr="00026EC1">
        <w:rPr>
          <w:bCs/>
          <w:szCs w:val="24"/>
        </w:rPr>
        <w:t>ensemble des employeurs. À cette fin, l</w:t>
      </w:r>
      <w:r w:rsidR="004A41E4" w:rsidRPr="00026EC1">
        <w:rPr>
          <w:bCs/>
          <w:szCs w:val="24"/>
        </w:rPr>
        <w:t>’</w:t>
      </w:r>
      <w:r w:rsidRPr="00026EC1">
        <w:rPr>
          <w:bCs/>
          <w:szCs w:val="24"/>
        </w:rPr>
        <w:t>enseignant produit à chacun des employeurs un état des traitements hebdomadaires versés par chacun de ceux</w:t>
      </w:r>
      <w:r w:rsidR="00984A6F">
        <w:rPr>
          <w:bCs/>
          <w:szCs w:val="24"/>
        </w:rPr>
        <w:noBreakHyphen/>
      </w:r>
      <w:r w:rsidRPr="00026EC1">
        <w:rPr>
          <w:bCs/>
          <w:szCs w:val="24"/>
        </w:rPr>
        <w:t>ci en même temps que le montant des prestations qui lui sont payables en application de la Loi sur l</w:t>
      </w:r>
      <w:r w:rsidR="004A41E4" w:rsidRPr="00026EC1">
        <w:rPr>
          <w:bCs/>
          <w:szCs w:val="24"/>
        </w:rPr>
        <w:t>’</w:t>
      </w:r>
      <w:r w:rsidRPr="00026EC1">
        <w:rPr>
          <w:bCs/>
          <w:szCs w:val="24"/>
        </w:rPr>
        <w:t>assurance parentale</w:t>
      </w:r>
      <w:r w:rsidRPr="00026EC1">
        <w:rPr>
          <w:bCs/>
          <w:i/>
          <w:szCs w:val="24"/>
        </w:rPr>
        <w:t xml:space="preserve"> </w:t>
      </w:r>
      <w:r w:rsidRPr="00026EC1">
        <w:rPr>
          <w:bCs/>
          <w:szCs w:val="24"/>
        </w:rPr>
        <w:t xml:space="preserve">ou du </w:t>
      </w:r>
      <w:r w:rsidR="00801716" w:rsidRPr="00026EC1">
        <w:rPr>
          <w:bCs/>
          <w:szCs w:val="24"/>
        </w:rPr>
        <w:t>RAE</w:t>
      </w:r>
      <w:r w:rsidRPr="00026EC1">
        <w:rPr>
          <w:bCs/>
          <w:szCs w:val="24"/>
        </w:rPr>
        <w:t>.</w:t>
      </w:r>
    </w:p>
    <w:p w14:paraId="3D2CBF17" w14:textId="77777777" w:rsidR="009F5256" w:rsidRPr="00026EC1" w:rsidRDefault="009F5256" w:rsidP="00A64613">
      <w:pPr>
        <w:keepNext w:val="0"/>
        <w:rPr>
          <w:bCs/>
        </w:rPr>
      </w:pPr>
    </w:p>
    <w:p w14:paraId="78ABAE71" w14:textId="69B27C8D" w:rsidR="009F5256" w:rsidRPr="00026EC1" w:rsidRDefault="009F5256" w:rsidP="00A64613">
      <w:pPr>
        <w:pStyle w:val="NUMRODECLAUSE"/>
        <w:keepNext w:val="0"/>
      </w:pPr>
      <w:r w:rsidRPr="00026EC1">
        <w:t>5</w:t>
      </w:r>
      <w:r w:rsidR="00984A6F">
        <w:noBreakHyphen/>
      </w:r>
      <w:r w:rsidRPr="00026EC1">
        <w:t>6.26</w:t>
      </w:r>
    </w:p>
    <w:p w14:paraId="6D502420" w14:textId="77777777" w:rsidR="009F5256" w:rsidRPr="00026EC1" w:rsidRDefault="009F5256" w:rsidP="00A64613">
      <w:pPr>
        <w:keepNext w:val="0"/>
        <w:rPr>
          <w:bCs/>
        </w:rPr>
      </w:pPr>
      <w:r w:rsidRPr="00026EC1">
        <w:rPr>
          <w:bCs/>
        </w:rPr>
        <w:t>Le Collège ne peut compenser, par l</w:t>
      </w:r>
      <w:r w:rsidR="004A41E4" w:rsidRPr="00026EC1">
        <w:rPr>
          <w:bCs/>
        </w:rPr>
        <w:t>’</w:t>
      </w:r>
      <w:r w:rsidRPr="00026EC1">
        <w:rPr>
          <w:bCs/>
        </w:rPr>
        <w:t>indemnité qu</w:t>
      </w:r>
      <w:r w:rsidR="004A41E4" w:rsidRPr="00026EC1">
        <w:rPr>
          <w:bCs/>
        </w:rPr>
        <w:t>’</w:t>
      </w:r>
      <w:r w:rsidRPr="00026EC1">
        <w:rPr>
          <w:bCs/>
        </w:rPr>
        <w:t>il verse à l</w:t>
      </w:r>
      <w:r w:rsidR="004A41E4" w:rsidRPr="00026EC1">
        <w:rPr>
          <w:bCs/>
        </w:rPr>
        <w:t>’</w:t>
      </w:r>
      <w:r w:rsidRPr="00026EC1">
        <w:rPr>
          <w:bCs/>
        </w:rPr>
        <w:t>enseignant en congé de paternité, la diminution des prestations</w:t>
      </w:r>
      <w:r w:rsidRPr="00026EC1">
        <w:rPr>
          <w:bCs/>
          <w:szCs w:val="24"/>
        </w:rPr>
        <w:t xml:space="preserve"> du RQAP ou du RAE </w:t>
      </w:r>
      <w:r w:rsidRPr="00026EC1">
        <w:rPr>
          <w:bCs/>
        </w:rPr>
        <w:t>attribuable au traitement gagné auprès d</w:t>
      </w:r>
      <w:r w:rsidR="004A41E4" w:rsidRPr="00026EC1">
        <w:rPr>
          <w:bCs/>
        </w:rPr>
        <w:t>’</w:t>
      </w:r>
      <w:r w:rsidRPr="00026EC1">
        <w:rPr>
          <w:bCs/>
        </w:rPr>
        <w:t>un autre employeur.</w:t>
      </w:r>
    </w:p>
    <w:p w14:paraId="3686E23A" w14:textId="77777777" w:rsidR="009F5256" w:rsidRPr="00026EC1" w:rsidRDefault="009F5256" w:rsidP="00A64613">
      <w:pPr>
        <w:keepNext w:val="0"/>
      </w:pPr>
    </w:p>
    <w:p w14:paraId="6FA1959F" w14:textId="77777777" w:rsidR="009F5256" w:rsidRPr="00026EC1" w:rsidRDefault="009F5256" w:rsidP="00A64613">
      <w:pPr>
        <w:keepNext w:val="0"/>
        <w:rPr>
          <w:bCs/>
        </w:rPr>
      </w:pPr>
      <w:r w:rsidRPr="00026EC1">
        <w:rPr>
          <w:bCs/>
        </w:rPr>
        <w:t>Malgré les dispositions du paragraphe précédent, le Collège effectue cette compensation si l</w:t>
      </w:r>
      <w:r w:rsidR="004A41E4" w:rsidRPr="00026EC1">
        <w:rPr>
          <w:bCs/>
        </w:rPr>
        <w:t>’</w:t>
      </w:r>
      <w:r w:rsidRPr="00026EC1">
        <w:rPr>
          <w:bCs/>
        </w:rPr>
        <w:t>enseignant démontre que le traitement gagné est un traitement habituel, au moyen d</w:t>
      </w:r>
      <w:r w:rsidR="004A41E4" w:rsidRPr="00026EC1">
        <w:rPr>
          <w:bCs/>
        </w:rPr>
        <w:t>’</w:t>
      </w:r>
      <w:r w:rsidRPr="00026EC1">
        <w:rPr>
          <w:bCs/>
        </w:rPr>
        <w:t>une lettre à cet effet de l</w:t>
      </w:r>
      <w:r w:rsidR="004A41E4" w:rsidRPr="00026EC1">
        <w:rPr>
          <w:bCs/>
        </w:rPr>
        <w:t>’</w:t>
      </w:r>
      <w:r w:rsidRPr="00026EC1">
        <w:rPr>
          <w:bCs/>
        </w:rPr>
        <w:t>employeur qui le verse. Si l</w:t>
      </w:r>
      <w:r w:rsidR="004A41E4" w:rsidRPr="00026EC1">
        <w:rPr>
          <w:bCs/>
        </w:rPr>
        <w:t>’</w:t>
      </w:r>
      <w:r w:rsidRPr="00026EC1">
        <w:rPr>
          <w:bCs/>
        </w:rPr>
        <w:t>enseignant démontre qu</w:t>
      </w:r>
      <w:r w:rsidR="004A41E4" w:rsidRPr="00026EC1">
        <w:rPr>
          <w:bCs/>
        </w:rPr>
        <w:t>’</w:t>
      </w:r>
      <w:r w:rsidRPr="00026EC1">
        <w:rPr>
          <w:bCs/>
        </w:rPr>
        <w:t>une partie seulement de ce traitement est habituelle, la compensation est limitée à cette partie.</w:t>
      </w:r>
    </w:p>
    <w:p w14:paraId="24F5EAB3" w14:textId="77777777" w:rsidR="009F5256" w:rsidRPr="00026EC1" w:rsidRDefault="009F5256" w:rsidP="00A64613">
      <w:pPr>
        <w:keepNext w:val="0"/>
        <w:rPr>
          <w:bCs/>
        </w:rPr>
      </w:pPr>
    </w:p>
    <w:p w14:paraId="0939AB46" w14:textId="77777777" w:rsidR="009F5256" w:rsidRPr="00026EC1" w:rsidRDefault="009F5256" w:rsidP="00A64613">
      <w:pPr>
        <w:keepNext w:val="0"/>
        <w:rPr>
          <w:bCs/>
        </w:rPr>
      </w:pPr>
      <w:r w:rsidRPr="00026EC1">
        <w:rPr>
          <w:bCs/>
        </w:rPr>
        <w:t>L</w:t>
      </w:r>
      <w:r w:rsidR="004A41E4" w:rsidRPr="00026EC1">
        <w:rPr>
          <w:bCs/>
        </w:rPr>
        <w:t>’</w:t>
      </w:r>
      <w:r w:rsidRPr="00026EC1">
        <w:rPr>
          <w:bCs/>
        </w:rPr>
        <w:t>employeur qui verse le traitement habituel prévu au paragraphe précédent doit, à la demande de l</w:t>
      </w:r>
      <w:r w:rsidR="004A41E4" w:rsidRPr="00026EC1">
        <w:rPr>
          <w:bCs/>
        </w:rPr>
        <w:t>’</w:t>
      </w:r>
      <w:r w:rsidRPr="00026EC1">
        <w:rPr>
          <w:bCs/>
        </w:rPr>
        <w:t>enseignant, lui produire cette lettre.</w:t>
      </w:r>
    </w:p>
    <w:p w14:paraId="264E7BB9" w14:textId="77777777" w:rsidR="00EF4D71" w:rsidRDefault="00EF4D71" w:rsidP="00A64613">
      <w:pPr>
        <w:keepNext w:val="0"/>
        <w:rPr>
          <w:bCs/>
        </w:rPr>
      </w:pPr>
    </w:p>
    <w:p w14:paraId="046C5288" w14:textId="4642B6E2" w:rsidR="009F5256" w:rsidRPr="00026EC1" w:rsidRDefault="009F5256" w:rsidP="00A64613">
      <w:pPr>
        <w:keepNext w:val="0"/>
        <w:rPr>
          <w:bCs/>
        </w:rPr>
      </w:pPr>
      <w:r w:rsidRPr="00026EC1">
        <w:rPr>
          <w:bCs/>
        </w:rPr>
        <w:t>Le total des montants reçus par l</w:t>
      </w:r>
      <w:r w:rsidR="004A41E4" w:rsidRPr="00026EC1">
        <w:rPr>
          <w:bCs/>
        </w:rPr>
        <w:t>’</w:t>
      </w:r>
      <w:r w:rsidRPr="00026EC1">
        <w:rPr>
          <w:bCs/>
        </w:rPr>
        <w:t xml:space="preserve">enseignant durant son congé de paternité en prestations </w:t>
      </w:r>
      <w:r w:rsidRPr="00026EC1">
        <w:rPr>
          <w:bCs/>
          <w:szCs w:val="24"/>
        </w:rPr>
        <w:t>du RQAP ou du RAE</w:t>
      </w:r>
      <w:r w:rsidRPr="00026EC1">
        <w:rPr>
          <w:bCs/>
        </w:rPr>
        <w:t>, indemnité et traitement</w:t>
      </w:r>
      <w:r w:rsidR="00801716" w:rsidRPr="00026EC1">
        <w:rPr>
          <w:bCs/>
        </w:rPr>
        <w:t>,</w:t>
      </w:r>
      <w:r w:rsidRPr="00026EC1">
        <w:rPr>
          <w:bCs/>
        </w:rPr>
        <w:t xml:space="preserve"> ne peut cependant excéder cent pour cent (100</w:t>
      </w:r>
      <w:r w:rsidR="00714A15">
        <w:rPr>
          <w:bCs/>
        </w:rPr>
        <w:t> %</w:t>
      </w:r>
      <w:r w:rsidRPr="00026EC1">
        <w:rPr>
          <w:bCs/>
        </w:rPr>
        <w:t>) du traitement hebdomadaire de base versé par son Collège ou, le cas échéant, par ses employeurs.</w:t>
      </w:r>
    </w:p>
    <w:p w14:paraId="4AA6E46D" w14:textId="77777777" w:rsidR="009F5256" w:rsidRPr="00026EC1" w:rsidRDefault="009F5256" w:rsidP="00A64613">
      <w:pPr>
        <w:keepNext w:val="0"/>
      </w:pPr>
    </w:p>
    <w:p w14:paraId="7F960C33" w14:textId="4D5DA8AD" w:rsidR="009F5256" w:rsidRPr="00026EC1" w:rsidRDefault="009F5256" w:rsidP="00A64613">
      <w:pPr>
        <w:pStyle w:val="NUMRODECLAUSE"/>
        <w:keepNext w:val="0"/>
      </w:pPr>
      <w:r w:rsidRPr="00026EC1">
        <w:rPr>
          <w:spacing w:val="-2"/>
        </w:rPr>
        <w:t>5</w:t>
      </w:r>
      <w:r w:rsidR="00984A6F">
        <w:rPr>
          <w:spacing w:val="-2"/>
        </w:rPr>
        <w:noBreakHyphen/>
      </w:r>
      <w:r w:rsidRPr="00026EC1">
        <w:rPr>
          <w:spacing w:val="-2"/>
        </w:rPr>
        <w:t>6.27</w:t>
      </w:r>
      <w:r w:rsidR="000435D8" w:rsidRPr="00026EC1">
        <w:rPr>
          <w:spacing w:val="-2"/>
        </w:rPr>
        <w:tab/>
      </w:r>
      <w:r w:rsidRPr="00B013DF">
        <w:rPr>
          <w:u w:val="single"/>
        </w:rPr>
        <w:t>Cas non admissible à l</w:t>
      </w:r>
      <w:r w:rsidR="004A41E4" w:rsidRPr="00B013DF">
        <w:rPr>
          <w:u w:val="single"/>
        </w:rPr>
        <w:t>’</w:t>
      </w:r>
      <w:r w:rsidRPr="00B013DF">
        <w:rPr>
          <w:u w:val="single"/>
        </w:rPr>
        <w:t>un ou l</w:t>
      </w:r>
      <w:r w:rsidR="004A41E4" w:rsidRPr="00B013DF">
        <w:rPr>
          <w:u w:val="single"/>
        </w:rPr>
        <w:t>’</w:t>
      </w:r>
      <w:r w:rsidRPr="00B013DF">
        <w:rPr>
          <w:u w:val="single"/>
        </w:rPr>
        <w:t>autre des régimes</w:t>
      </w:r>
    </w:p>
    <w:p w14:paraId="3A5F023B" w14:textId="7509C96B" w:rsidR="004849F5" w:rsidRPr="00026EC1" w:rsidRDefault="004849F5" w:rsidP="00A64613">
      <w:pPr>
        <w:keepNext w:val="0"/>
        <w:rPr>
          <w:spacing w:val="-2"/>
          <w:szCs w:val="24"/>
        </w:rPr>
      </w:pPr>
      <w:r w:rsidRPr="00026EC1">
        <w:rPr>
          <w:bCs/>
          <w:spacing w:val="-2"/>
          <w:szCs w:val="24"/>
        </w:rPr>
        <w:t>L’enseignant non admissible aux prestations de paternité du RQAP ni aux prestations parentales du RAE reçoit pendant le congé de paternité prévu à la clause 5</w:t>
      </w:r>
      <w:r w:rsidR="00984A6F">
        <w:rPr>
          <w:bCs/>
          <w:spacing w:val="-2"/>
          <w:szCs w:val="24"/>
        </w:rPr>
        <w:noBreakHyphen/>
      </w:r>
      <w:r w:rsidRPr="00026EC1">
        <w:rPr>
          <w:bCs/>
          <w:spacing w:val="-2"/>
          <w:szCs w:val="24"/>
        </w:rPr>
        <w:t>6.21 une indemnité égale à son traitement hebdomadaire de base, si cet enseignant a complété vingt</w:t>
      </w:r>
      <w:r w:rsidR="000C7A51">
        <w:rPr>
          <w:bCs/>
          <w:spacing w:val="-2"/>
          <w:szCs w:val="24"/>
        </w:rPr>
        <w:t> </w:t>
      </w:r>
      <w:r w:rsidRPr="00026EC1">
        <w:rPr>
          <w:bCs/>
          <w:spacing w:val="-2"/>
          <w:szCs w:val="24"/>
        </w:rPr>
        <w:t>(20) semaines de service</w:t>
      </w:r>
      <w:r w:rsidRPr="00026EC1">
        <w:rPr>
          <w:rStyle w:val="FootnoteReference"/>
          <w:bCs/>
          <w:spacing w:val="-2"/>
          <w:szCs w:val="24"/>
        </w:rPr>
        <w:footnoteReference w:id="18"/>
      </w:r>
      <w:r w:rsidRPr="00026EC1">
        <w:rPr>
          <w:bCs/>
          <w:spacing w:val="-2"/>
          <w:szCs w:val="24"/>
        </w:rPr>
        <w:t>.</w:t>
      </w:r>
    </w:p>
    <w:p w14:paraId="69E55517" w14:textId="77777777" w:rsidR="009F5256" w:rsidRPr="00026EC1" w:rsidRDefault="009F5256" w:rsidP="00A64613">
      <w:pPr>
        <w:keepNext w:val="0"/>
      </w:pPr>
    </w:p>
    <w:p w14:paraId="40F80533" w14:textId="561A6246" w:rsidR="009F5256" w:rsidRPr="00026EC1" w:rsidRDefault="009F5256" w:rsidP="00A64613">
      <w:pPr>
        <w:keepNext w:val="0"/>
        <w:rPr>
          <w:b/>
          <w:smallCaps/>
          <w:u w:val="single"/>
        </w:rPr>
      </w:pPr>
      <w:r w:rsidRPr="00026EC1">
        <w:rPr>
          <w:b/>
          <w:u w:val="single"/>
        </w:rPr>
        <w:t>Section V</w:t>
      </w:r>
      <w:r w:rsidR="00AA4AC3" w:rsidRPr="00026EC1">
        <w:rPr>
          <w:b/>
          <w:u w:val="single"/>
        </w:rPr>
        <w:t xml:space="preserve"> </w:t>
      </w:r>
      <w:r w:rsidRPr="00026EC1">
        <w:rPr>
          <w:b/>
          <w:u w:val="single"/>
        </w:rPr>
        <w:t xml:space="preserve"> </w:t>
      </w:r>
      <w:r w:rsidR="00984A6F">
        <w:rPr>
          <w:b/>
          <w:u w:val="single"/>
        </w:rPr>
        <w:noBreakHyphen/>
      </w:r>
      <w:r w:rsidRPr="00026EC1">
        <w:rPr>
          <w:b/>
          <w:u w:val="single"/>
        </w:rPr>
        <w:t xml:space="preserve">  </w:t>
      </w:r>
      <w:r w:rsidRPr="00026EC1">
        <w:rPr>
          <w:rFonts w:ascii="Arial Gras" w:hAnsi="Arial Gras"/>
          <w:b/>
          <w:u w:val="single"/>
        </w:rPr>
        <w:t>Congés pour adoption et congé sans traitement en vue d</w:t>
      </w:r>
      <w:r w:rsidR="004A41E4" w:rsidRPr="00026EC1">
        <w:rPr>
          <w:rFonts w:ascii="Arial Gras" w:hAnsi="Arial Gras"/>
          <w:b/>
          <w:u w:val="single"/>
        </w:rPr>
        <w:t>’</w:t>
      </w:r>
      <w:r w:rsidRPr="00026EC1">
        <w:rPr>
          <w:rFonts w:ascii="Arial Gras" w:hAnsi="Arial Gras"/>
          <w:b/>
          <w:u w:val="single"/>
        </w:rPr>
        <w:t>une adoption</w:t>
      </w:r>
    </w:p>
    <w:p w14:paraId="05EC47F4" w14:textId="77777777" w:rsidR="000435D8" w:rsidRPr="00026EC1" w:rsidRDefault="000435D8" w:rsidP="00A64613">
      <w:pPr>
        <w:keepNext w:val="0"/>
      </w:pPr>
    </w:p>
    <w:p w14:paraId="5491079F" w14:textId="1D1F4F25" w:rsidR="009F5256" w:rsidRPr="00026EC1" w:rsidRDefault="009F5256" w:rsidP="00A64613">
      <w:pPr>
        <w:pStyle w:val="NUMRODECLAUSE"/>
        <w:keepNext w:val="0"/>
        <w:rPr>
          <w:bCs/>
        </w:rPr>
      </w:pPr>
      <w:r w:rsidRPr="00026EC1">
        <w:t>5</w:t>
      </w:r>
      <w:r w:rsidR="00984A6F">
        <w:noBreakHyphen/>
      </w:r>
      <w:r w:rsidRPr="00026EC1">
        <w:t>6.28</w:t>
      </w:r>
    </w:p>
    <w:p w14:paraId="2234B372" w14:textId="33907481" w:rsidR="000D0FC8" w:rsidRPr="00316277" w:rsidRDefault="009F5256" w:rsidP="000D0FC8">
      <w:pPr>
        <w:keepNext w:val="0"/>
      </w:pPr>
      <w:r w:rsidRPr="00026EC1">
        <w:t>L</w:t>
      </w:r>
      <w:r w:rsidR="004A41E4" w:rsidRPr="00026EC1">
        <w:t>’</w:t>
      </w:r>
      <w:r w:rsidRPr="00026EC1">
        <w:t>enseignante ou l</w:t>
      </w:r>
      <w:r w:rsidR="004A41E4" w:rsidRPr="00026EC1">
        <w:t>’</w:t>
      </w:r>
      <w:r w:rsidRPr="00026EC1">
        <w:t>enseignant a droit à un congé payé d</w:t>
      </w:r>
      <w:r w:rsidR="004A41E4" w:rsidRPr="00026EC1">
        <w:t>’</w:t>
      </w:r>
      <w:r w:rsidRPr="00026EC1">
        <w:t>une durée maximale</w:t>
      </w:r>
      <w:r w:rsidR="00801716" w:rsidRPr="00026EC1">
        <w:t xml:space="preserve"> de</w:t>
      </w:r>
      <w:r w:rsidRPr="00026EC1">
        <w:t xml:space="preserve"> cinq (5) jours ouvrables à l</w:t>
      </w:r>
      <w:r w:rsidR="004A41E4" w:rsidRPr="00026EC1">
        <w:t>’</w:t>
      </w:r>
      <w:r w:rsidRPr="00026EC1">
        <w:t>occasion de l</w:t>
      </w:r>
      <w:r w:rsidR="004A41E4" w:rsidRPr="00026EC1">
        <w:t>’</w:t>
      </w:r>
      <w:r w:rsidRPr="00026EC1">
        <w:t>adoption d</w:t>
      </w:r>
      <w:r w:rsidR="004A41E4" w:rsidRPr="00026EC1">
        <w:t>’</w:t>
      </w:r>
      <w:r w:rsidRPr="00026EC1">
        <w:t>un enfant autre que l</w:t>
      </w:r>
      <w:r w:rsidR="004A41E4" w:rsidRPr="00026EC1">
        <w:t>’</w:t>
      </w:r>
      <w:r w:rsidRPr="00026EC1">
        <w:t>enfant de sa conjointe ou de son conjoint. Ce congé peut être discontinu et ne peut être pris après l</w:t>
      </w:r>
      <w:r w:rsidR="004A41E4" w:rsidRPr="00026EC1">
        <w:t>’</w:t>
      </w:r>
      <w:r w:rsidRPr="00026EC1">
        <w:t>expiration des quinze (15) jours suivant l</w:t>
      </w:r>
      <w:r w:rsidR="004A41E4" w:rsidRPr="00026EC1">
        <w:t>’</w:t>
      </w:r>
      <w:r w:rsidRPr="00026EC1">
        <w:t>arrivée de l</w:t>
      </w:r>
      <w:r w:rsidR="004A41E4" w:rsidRPr="00026EC1">
        <w:t>’</w:t>
      </w:r>
      <w:r w:rsidRPr="00026EC1">
        <w:t>enfant à la maison</w:t>
      </w:r>
      <w:r w:rsidR="000D0FC8">
        <w:t xml:space="preserve"> </w:t>
      </w:r>
      <w:r w:rsidR="000D0FC8" w:rsidRPr="001630C1">
        <w:t>ou auprès du parent en vue de son adoption.</w:t>
      </w:r>
    </w:p>
    <w:p w14:paraId="5AD4D00A" w14:textId="77777777" w:rsidR="000D0FC8" w:rsidRPr="00316277" w:rsidRDefault="000D0FC8" w:rsidP="000D0FC8">
      <w:pPr>
        <w:keepNext w:val="0"/>
      </w:pPr>
    </w:p>
    <w:p w14:paraId="5ADE5080" w14:textId="0F957814" w:rsidR="009F5256" w:rsidRPr="00316277" w:rsidRDefault="000D0FC8" w:rsidP="000D0FC8">
      <w:pPr>
        <w:keepNext w:val="0"/>
        <w:rPr>
          <w:rFonts w:cs="Arial"/>
        </w:rPr>
      </w:pPr>
      <w:r w:rsidRPr="00316277">
        <w:t>L’arrivée de l’enfant est reconnue si les deux conditions suivantes sont remplies : l’enfant est physiquement arrivé à la maison ou confié au parent et le parent a l’intention de l’adopter. L’enseignante ou l’enseignant doit fournir au Collège une preuve de son intention d’adopter. Cette preuve peut varier en fonction du type d’adoption, selon les exigences requises par le RQAP ou le RAE.</w:t>
      </w:r>
    </w:p>
    <w:p w14:paraId="1DC3345D" w14:textId="77777777" w:rsidR="003710C9" w:rsidRPr="00026EC1" w:rsidRDefault="003710C9" w:rsidP="000D0FC8">
      <w:pPr>
        <w:keepNext w:val="0"/>
      </w:pPr>
    </w:p>
    <w:p w14:paraId="64BCA2E8" w14:textId="77777777"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donne, dès que possible, un avis au Collège de son absence.</w:t>
      </w:r>
    </w:p>
    <w:p w14:paraId="33C2974B" w14:textId="77777777" w:rsidR="009F5256" w:rsidRPr="00026EC1" w:rsidRDefault="009F5256" w:rsidP="00A64613">
      <w:pPr>
        <w:keepNext w:val="0"/>
      </w:pPr>
    </w:p>
    <w:p w14:paraId="4B32D922" w14:textId="77777777" w:rsidR="009F5256" w:rsidRPr="00026EC1" w:rsidRDefault="009F5256" w:rsidP="00A64613">
      <w:pPr>
        <w:keepNext w:val="0"/>
      </w:pPr>
      <w:r w:rsidRPr="00026EC1">
        <w:t>Un (1) des cinq (5) jours peut être utilisé pour le baptême ou l</w:t>
      </w:r>
      <w:r w:rsidR="004A41E4" w:rsidRPr="00026EC1">
        <w:t>’</w:t>
      </w:r>
      <w:r w:rsidRPr="00026EC1">
        <w:t>enregistrement de l</w:t>
      </w:r>
      <w:r w:rsidR="004A41E4" w:rsidRPr="00026EC1">
        <w:t>’</w:t>
      </w:r>
      <w:r w:rsidRPr="00026EC1">
        <w:t>enfant.</w:t>
      </w:r>
    </w:p>
    <w:p w14:paraId="78C0D2BA" w14:textId="77777777" w:rsidR="009F5256" w:rsidRPr="00026EC1" w:rsidRDefault="009F5256" w:rsidP="00A64613">
      <w:pPr>
        <w:keepNext w:val="0"/>
      </w:pPr>
    </w:p>
    <w:p w14:paraId="1861208F" w14:textId="14DAD44B" w:rsidR="009F5256" w:rsidRPr="00026EC1" w:rsidRDefault="009F5256" w:rsidP="00A64613">
      <w:pPr>
        <w:pStyle w:val="NUMRODECLAUSE"/>
        <w:keepNext w:val="0"/>
        <w:rPr>
          <w:bCs/>
        </w:rPr>
      </w:pPr>
      <w:r w:rsidRPr="00026EC1">
        <w:t>5</w:t>
      </w:r>
      <w:r w:rsidR="00984A6F">
        <w:noBreakHyphen/>
      </w:r>
      <w:r w:rsidRPr="00026EC1">
        <w:t>6.29</w:t>
      </w:r>
    </w:p>
    <w:p w14:paraId="612AD282" w14:textId="0BBD4F1B" w:rsidR="00B27F92" w:rsidRDefault="009F5256" w:rsidP="00A64613">
      <w:pPr>
        <w:keepNext w:val="0"/>
      </w:pPr>
      <w:r w:rsidRPr="00026EC1">
        <w:t>L</w:t>
      </w:r>
      <w:r w:rsidR="004A41E4" w:rsidRPr="00026EC1">
        <w:t>’</w:t>
      </w:r>
      <w:r w:rsidRPr="00026EC1">
        <w:t>enseignante ou l</w:t>
      </w:r>
      <w:r w:rsidR="004A41E4" w:rsidRPr="00026EC1">
        <w:t>’</w:t>
      </w:r>
      <w:r w:rsidRPr="00026EC1">
        <w:t xml:space="preserve">enseignant qui adopte </w:t>
      </w:r>
      <w:r w:rsidRPr="00026EC1">
        <w:rPr>
          <w:bCs/>
          <w:spacing w:val="-2"/>
        </w:rPr>
        <w:t>l</w:t>
      </w:r>
      <w:r w:rsidR="004A41E4" w:rsidRPr="00026EC1">
        <w:rPr>
          <w:bCs/>
          <w:spacing w:val="-2"/>
        </w:rPr>
        <w:t>’</w:t>
      </w:r>
      <w:r w:rsidRPr="00026EC1">
        <w:rPr>
          <w:bCs/>
          <w:spacing w:val="-2"/>
        </w:rPr>
        <w:t>enfant de son conjoint ou de sa conjointe</w:t>
      </w:r>
      <w:r w:rsidRPr="00026EC1">
        <w:rPr>
          <w:spacing w:val="-2"/>
        </w:rPr>
        <w:t xml:space="preserve"> </w:t>
      </w:r>
      <w:r w:rsidRPr="00026EC1">
        <w:t>a droit à un congé d</w:t>
      </w:r>
      <w:r w:rsidR="004A41E4" w:rsidRPr="00026EC1">
        <w:t>’</w:t>
      </w:r>
      <w:r w:rsidRPr="00026EC1">
        <w:t>une durée maximale de cinq (5) jours ouvrables dont seuls les deux (2) premiers sont avec maintien du traitement. Ce congé peut être discontinu et ne peut être pris après l</w:t>
      </w:r>
      <w:r w:rsidR="004A41E4" w:rsidRPr="00026EC1">
        <w:t>’</w:t>
      </w:r>
      <w:r w:rsidRPr="00026EC1">
        <w:t>expiration des quinze (15) jours suivant le dépôt de la demande d</w:t>
      </w:r>
      <w:r w:rsidR="004A41E4" w:rsidRPr="00026EC1">
        <w:t>’</w:t>
      </w:r>
      <w:r w:rsidRPr="00026EC1">
        <w:t>adoption.</w:t>
      </w:r>
    </w:p>
    <w:p w14:paraId="7890816B" w14:textId="77777777" w:rsidR="00B27F92" w:rsidRDefault="00B27F92">
      <w:pPr>
        <w:keepNext w:val="0"/>
        <w:suppressAutoHyphens w:val="0"/>
        <w:jc w:val="left"/>
      </w:pPr>
      <w:r>
        <w:br w:type="page"/>
      </w:r>
    </w:p>
    <w:p w14:paraId="593D3387" w14:textId="1A87521D" w:rsidR="009F5256" w:rsidRPr="00026EC1" w:rsidRDefault="009F5256" w:rsidP="00A64613">
      <w:pPr>
        <w:pStyle w:val="NUMRODECLAUSE"/>
        <w:keepNext w:val="0"/>
      </w:pPr>
      <w:r w:rsidRPr="00026EC1">
        <w:t>5</w:t>
      </w:r>
      <w:r w:rsidR="00984A6F">
        <w:noBreakHyphen/>
      </w:r>
      <w:r w:rsidRPr="00026EC1">
        <w:t>6.30</w:t>
      </w:r>
    </w:p>
    <w:p w14:paraId="1BEE98F6" w14:textId="5F59526F" w:rsidR="009F5256" w:rsidRPr="00026EC1" w:rsidRDefault="009F5256" w:rsidP="00A64613">
      <w:pPr>
        <w:keepNext w:val="0"/>
      </w:pPr>
      <w:r w:rsidRPr="00026EC1">
        <w:t>L</w:t>
      </w:r>
      <w:r w:rsidR="004A41E4" w:rsidRPr="00026EC1">
        <w:t>’</w:t>
      </w:r>
      <w:r w:rsidRPr="00026EC1">
        <w:t>enseignante ou l</w:t>
      </w:r>
      <w:r w:rsidR="004A41E4" w:rsidRPr="00026EC1">
        <w:t>’</w:t>
      </w:r>
      <w:r w:rsidRPr="00026EC1">
        <w:t xml:space="preserve">enseignant qui adopte une ou un enfant </w:t>
      </w:r>
      <w:r w:rsidRPr="00026EC1">
        <w:rPr>
          <w:bCs/>
        </w:rPr>
        <w:t>autre que l</w:t>
      </w:r>
      <w:r w:rsidR="004A41E4" w:rsidRPr="00026EC1">
        <w:rPr>
          <w:bCs/>
        </w:rPr>
        <w:t>’</w:t>
      </w:r>
      <w:r w:rsidRPr="00026EC1">
        <w:rPr>
          <w:bCs/>
        </w:rPr>
        <w:t xml:space="preserve">enfant </w:t>
      </w:r>
      <w:r w:rsidRPr="00026EC1">
        <w:t xml:space="preserve">de sa conjointe ou de son conjoint a droit à un congé </w:t>
      </w:r>
      <w:r w:rsidRPr="00026EC1">
        <w:rPr>
          <w:bCs/>
        </w:rPr>
        <w:t xml:space="preserve">pour adoption </w:t>
      </w:r>
      <w:r w:rsidRPr="00026EC1">
        <w:t>d</w:t>
      </w:r>
      <w:r w:rsidR="004A41E4" w:rsidRPr="00026EC1">
        <w:t>’</w:t>
      </w:r>
      <w:r w:rsidRPr="00026EC1">
        <w:t>une durée maximale de cinq</w:t>
      </w:r>
      <w:r w:rsidR="00CF0B83">
        <w:t> </w:t>
      </w:r>
      <w:r w:rsidRPr="00026EC1">
        <w:t xml:space="preserve">(5) semaines </w:t>
      </w:r>
      <w:r w:rsidRPr="00026EC1">
        <w:rPr>
          <w:bCs/>
        </w:rPr>
        <w:t>qui, sous réserve de</w:t>
      </w:r>
      <w:r w:rsidR="00450477" w:rsidRPr="00026EC1">
        <w:rPr>
          <w:bCs/>
        </w:rPr>
        <w:t xml:space="preserve"> la clause</w:t>
      </w:r>
      <w:r w:rsidR="00CF0B83">
        <w:rPr>
          <w:bCs/>
        </w:rPr>
        <w:t> </w:t>
      </w:r>
      <w:r w:rsidRPr="00026EC1">
        <w:rPr>
          <w:bCs/>
        </w:rPr>
        <w:t>5</w:t>
      </w:r>
      <w:r w:rsidR="00984A6F">
        <w:rPr>
          <w:bCs/>
        </w:rPr>
        <w:noBreakHyphen/>
      </w:r>
      <w:r w:rsidRPr="00026EC1">
        <w:rPr>
          <w:bCs/>
        </w:rPr>
        <w:t>6.32,</w:t>
      </w:r>
      <w:r w:rsidRPr="00026EC1">
        <w:t xml:space="preserve"> </w:t>
      </w:r>
      <w:r w:rsidRPr="00026EC1">
        <w:rPr>
          <w:bCs/>
        </w:rPr>
        <w:t xml:space="preserve">doivent être </w:t>
      </w:r>
      <w:r w:rsidRPr="00026EC1">
        <w:t xml:space="preserve">consécutives. Ce congé doit se terminer au plus tard à la fin de la </w:t>
      </w:r>
      <w:r w:rsidR="000D0FC8" w:rsidRPr="00316277">
        <w:t>soixante-dix-huitième (78</w:t>
      </w:r>
      <w:r w:rsidR="000D0FC8" w:rsidRPr="00316277">
        <w:rPr>
          <w:vertAlign w:val="superscript"/>
        </w:rPr>
        <w:t>e</w:t>
      </w:r>
      <w:r w:rsidR="000D0FC8" w:rsidRPr="00316277">
        <w:t>)</w:t>
      </w:r>
      <w:r w:rsidR="000D0FC8">
        <w:t xml:space="preserve"> </w:t>
      </w:r>
      <w:r w:rsidRPr="00026EC1">
        <w:t>semaine suivant la semaine de l</w:t>
      </w:r>
      <w:r w:rsidR="004A41E4" w:rsidRPr="00026EC1">
        <w:t>’</w:t>
      </w:r>
      <w:r w:rsidRPr="00026EC1">
        <w:t>arrivée de l</w:t>
      </w:r>
      <w:r w:rsidR="004A41E4" w:rsidRPr="00026EC1">
        <w:t>’</w:t>
      </w:r>
      <w:r w:rsidRPr="00026EC1">
        <w:t>enfant à la maison.</w:t>
      </w:r>
    </w:p>
    <w:p w14:paraId="2B6EE3D2" w14:textId="77777777" w:rsidR="009F5256" w:rsidRPr="00026EC1" w:rsidRDefault="009F5256" w:rsidP="00A64613">
      <w:pPr>
        <w:keepNext w:val="0"/>
      </w:pPr>
    </w:p>
    <w:p w14:paraId="7306B4E3" w14:textId="53DA7993" w:rsidR="000D0FC8" w:rsidRPr="000D0FC8" w:rsidRDefault="009F5256" w:rsidP="00585EA3">
      <w:pPr>
        <w:keepNext w:val="0"/>
        <w:rPr>
          <w:rFonts w:cs="Arial"/>
        </w:rPr>
      </w:pPr>
      <w:r w:rsidRPr="00026EC1">
        <w:t>Pour l</w:t>
      </w:r>
      <w:r w:rsidR="004A41E4" w:rsidRPr="00026EC1">
        <w:t>’</w:t>
      </w:r>
      <w:r w:rsidRPr="00026EC1">
        <w:t>enseignante ou l</w:t>
      </w:r>
      <w:r w:rsidR="004A41E4" w:rsidRPr="00026EC1">
        <w:t>’</w:t>
      </w:r>
      <w:r w:rsidRPr="00026EC1">
        <w:t xml:space="preserve">enseignant admissible au RQAP, ce congé est simultané à la période de versement des prestations </w:t>
      </w:r>
      <w:r w:rsidR="000D0FC8" w:rsidRPr="00316277">
        <w:t>d’adoption exclusives</w:t>
      </w:r>
      <w:r w:rsidR="000D0FC8">
        <w:t xml:space="preserve"> </w:t>
      </w:r>
      <w:r w:rsidRPr="00026EC1">
        <w:t xml:space="preserve">accordées en vertu </w:t>
      </w:r>
      <w:r w:rsidRPr="000D0FC8">
        <w:t>de</w:t>
      </w:r>
      <w:r w:rsidRPr="00026EC1">
        <w:t xml:space="preserve"> </w:t>
      </w:r>
      <w:r w:rsidR="000D0FC8" w:rsidRPr="00316277">
        <w:t>la Loi sur l’assurance parentale</w:t>
      </w:r>
      <w:r w:rsidR="000D0FC8">
        <w:t xml:space="preserve"> </w:t>
      </w:r>
      <w:r w:rsidRPr="00026EC1">
        <w:t xml:space="preserve">et doit débuter au plus tard la semaine suivant le début du versement de </w:t>
      </w:r>
      <w:r w:rsidR="000D0FC8" w:rsidRPr="00316277">
        <w:t>ces</w:t>
      </w:r>
      <w:r w:rsidR="000D0FC8">
        <w:t xml:space="preserve"> </w:t>
      </w:r>
      <w:r w:rsidRPr="00026EC1">
        <w:t>prestations.</w:t>
      </w:r>
      <w:r w:rsidR="000D0FC8">
        <w:t xml:space="preserve"> </w:t>
      </w:r>
      <w:r w:rsidR="000D0FC8" w:rsidRPr="00316277">
        <w:rPr>
          <w:rFonts w:cs="Arial"/>
        </w:rPr>
        <w:t>Les mêmes règles s’appliquent pour l’enseignant</w:t>
      </w:r>
      <w:r w:rsidR="003B3A05">
        <w:rPr>
          <w:rFonts w:cs="Arial"/>
        </w:rPr>
        <w:t>e ou l’enseignant</w:t>
      </w:r>
      <w:r w:rsidR="000D0FC8" w:rsidRPr="00316277">
        <w:rPr>
          <w:rFonts w:cs="Arial"/>
        </w:rPr>
        <w:t xml:space="preserve"> admissible à des prestation</w:t>
      </w:r>
      <w:r w:rsidR="003324BE" w:rsidRPr="00316277">
        <w:rPr>
          <w:rFonts w:cs="Arial"/>
        </w:rPr>
        <w:t>s</w:t>
      </w:r>
      <w:r w:rsidR="000D0FC8" w:rsidRPr="00316277">
        <w:rPr>
          <w:rFonts w:cs="Arial"/>
        </w:rPr>
        <w:t xml:space="preserve"> conformément au RAE, en faisant les adaptations nécessaires.</w:t>
      </w:r>
    </w:p>
    <w:p w14:paraId="03454D88" w14:textId="77777777" w:rsidR="000D0FC8" w:rsidRDefault="000D0FC8" w:rsidP="00585EA3">
      <w:pPr>
        <w:keepNext w:val="0"/>
      </w:pPr>
    </w:p>
    <w:p w14:paraId="3A1E1853" w14:textId="271D42F5" w:rsidR="000D0FC8" w:rsidRPr="00316277" w:rsidRDefault="009F5256" w:rsidP="000D0FC8">
      <w:pPr>
        <w:keepNext w:val="0"/>
        <w:rPr>
          <w:rFonts w:cs="Arial"/>
        </w:rPr>
      </w:pPr>
      <w:r w:rsidRPr="000D0FC8">
        <w:rPr>
          <w:rFonts w:cs="Arial"/>
          <w:bCs/>
        </w:rPr>
        <w:t>Pour l</w:t>
      </w:r>
      <w:r w:rsidR="004A41E4" w:rsidRPr="000D0FC8">
        <w:rPr>
          <w:rFonts w:cs="Arial"/>
          <w:bCs/>
        </w:rPr>
        <w:t>’</w:t>
      </w:r>
      <w:r w:rsidRPr="000D0FC8">
        <w:rPr>
          <w:rFonts w:cs="Arial"/>
          <w:bCs/>
        </w:rPr>
        <w:t>enseignante ou l</w:t>
      </w:r>
      <w:r w:rsidR="004A41E4" w:rsidRPr="000D0FC8">
        <w:rPr>
          <w:rFonts w:cs="Arial"/>
          <w:bCs/>
        </w:rPr>
        <w:t>’</w:t>
      </w:r>
      <w:r w:rsidRPr="000D0FC8">
        <w:rPr>
          <w:rFonts w:cs="Arial"/>
          <w:bCs/>
        </w:rPr>
        <w:t>enseignant non admissible au</w:t>
      </w:r>
      <w:r w:rsidR="00801716" w:rsidRPr="000D0FC8">
        <w:rPr>
          <w:rFonts w:cs="Arial"/>
          <w:bCs/>
        </w:rPr>
        <w:t xml:space="preserve"> RQAP</w:t>
      </w:r>
      <w:r w:rsidR="000D0FC8" w:rsidRPr="000D0FC8">
        <w:rPr>
          <w:rFonts w:cs="Arial"/>
        </w:rPr>
        <w:t xml:space="preserve"> </w:t>
      </w:r>
      <w:r w:rsidR="000D0FC8" w:rsidRPr="00316277">
        <w:rPr>
          <w:rFonts w:cs="Arial"/>
        </w:rPr>
        <w:t>ou au RAE</w:t>
      </w:r>
      <w:r w:rsidRPr="000D0FC8">
        <w:rPr>
          <w:rFonts w:cs="Arial"/>
          <w:bCs/>
        </w:rPr>
        <w:t xml:space="preserve">, le congé doit se situer </w:t>
      </w:r>
      <w:r w:rsidRPr="000D0FC8">
        <w:rPr>
          <w:rFonts w:cs="Arial"/>
        </w:rPr>
        <w:t>après</w:t>
      </w:r>
      <w:r w:rsidR="000D0FC8" w:rsidRPr="00316277">
        <w:rPr>
          <w:rFonts w:cs="Arial"/>
        </w:rPr>
        <w:t xml:space="preserve"> l’arrivée de l’enfant à la maison ou auprès du parent en vue de son adoption.</w:t>
      </w:r>
    </w:p>
    <w:p w14:paraId="19867B1F" w14:textId="77777777" w:rsidR="000D0FC8" w:rsidRPr="00316277" w:rsidRDefault="000D0FC8" w:rsidP="000D0FC8">
      <w:pPr>
        <w:keepNext w:val="0"/>
        <w:rPr>
          <w:rFonts w:cs="Arial"/>
        </w:rPr>
      </w:pPr>
    </w:p>
    <w:p w14:paraId="0998B0D2" w14:textId="69B37214" w:rsidR="009F5256" w:rsidRPr="00316277" w:rsidRDefault="000D0FC8" w:rsidP="000D0FC8">
      <w:pPr>
        <w:pStyle w:val="Corpsdetexte21"/>
        <w:tabs>
          <w:tab w:val="clear" w:pos="-720"/>
          <w:tab w:val="clear" w:pos="0"/>
        </w:tabs>
        <w:ind w:left="0" w:firstLine="0"/>
        <w:rPr>
          <w:rFonts w:ascii="Arial" w:hAnsi="Arial"/>
          <w:sz w:val="24"/>
          <w:szCs w:val="24"/>
        </w:rPr>
      </w:pPr>
      <w:r w:rsidRPr="00316277">
        <w:rPr>
          <w:rFonts w:ascii="Arial" w:hAnsi="Arial"/>
          <w:sz w:val="24"/>
          <w:szCs w:val="24"/>
        </w:rPr>
        <w:t xml:space="preserve">L’arrivée de l’enfant est reconnue si les deux conditions prévues au </w:t>
      </w:r>
      <w:r w:rsidR="00F0423A" w:rsidRPr="00316277">
        <w:rPr>
          <w:rFonts w:ascii="Arial" w:hAnsi="Arial"/>
          <w:sz w:val="24"/>
          <w:szCs w:val="24"/>
        </w:rPr>
        <w:t>deuxième (</w:t>
      </w:r>
      <w:r w:rsidRPr="00316277">
        <w:rPr>
          <w:rFonts w:ascii="Arial" w:hAnsi="Arial"/>
          <w:sz w:val="24"/>
          <w:szCs w:val="24"/>
        </w:rPr>
        <w:t>2</w:t>
      </w:r>
      <w:r w:rsidRPr="00316277">
        <w:rPr>
          <w:rFonts w:ascii="Arial" w:hAnsi="Arial"/>
          <w:sz w:val="24"/>
          <w:szCs w:val="24"/>
          <w:vertAlign w:val="superscript"/>
        </w:rPr>
        <w:t>e</w:t>
      </w:r>
      <w:r w:rsidR="00F0423A" w:rsidRPr="00316277">
        <w:rPr>
          <w:rFonts w:ascii="Arial" w:hAnsi="Arial"/>
          <w:sz w:val="24"/>
          <w:szCs w:val="24"/>
        </w:rPr>
        <w:t>)</w:t>
      </w:r>
      <w:r w:rsidRPr="00316277">
        <w:rPr>
          <w:rFonts w:ascii="Arial" w:hAnsi="Arial"/>
          <w:sz w:val="24"/>
          <w:szCs w:val="24"/>
        </w:rPr>
        <w:t xml:space="preserve"> alinéa de la clause 5</w:t>
      </w:r>
      <w:r w:rsidR="00585EA3" w:rsidRPr="00316277">
        <w:rPr>
          <w:rFonts w:ascii="Arial" w:hAnsi="Arial"/>
          <w:sz w:val="24"/>
          <w:szCs w:val="24"/>
        </w:rPr>
        <w:noBreakHyphen/>
      </w:r>
      <w:r w:rsidRPr="00316277">
        <w:rPr>
          <w:rFonts w:ascii="Arial" w:hAnsi="Arial"/>
          <w:sz w:val="24"/>
          <w:szCs w:val="24"/>
        </w:rPr>
        <w:t>6.28 sont remplies.</w:t>
      </w:r>
    </w:p>
    <w:p w14:paraId="41C40BE1" w14:textId="5098DF3D" w:rsidR="0076558E" w:rsidRDefault="0076558E">
      <w:pPr>
        <w:keepNext w:val="0"/>
        <w:suppressAutoHyphens w:val="0"/>
        <w:jc w:val="left"/>
      </w:pPr>
    </w:p>
    <w:p w14:paraId="19089B4B" w14:textId="13A77482" w:rsidR="009F5256" w:rsidRPr="00026EC1" w:rsidRDefault="009F5256" w:rsidP="00A64613">
      <w:pPr>
        <w:pStyle w:val="NUMRODECLAUSE"/>
        <w:keepNext w:val="0"/>
      </w:pPr>
      <w:r w:rsidRPr="00026EC1">
        <w:t>5</w:t>
      </w:r>
      <w:r w:rsidR="00984A6F">
        <w:noBreakHyphen/>
      </w:r>
      <w:r w:rsidRPr="00026EC1">
        <w:t>6.31</w:t>
      </w:r>
      <w:r w:rsidRPr="00026EC1">
        <w:tab/>
      </w:r>
      <w:r w:rsidRPr="00CF0B83">
        <w:rPr>
          <w:u w:val="single"/>
        </w:rPr>
        <w:t>Prolongation du congé d</w:t>
      </w:r>
      <w:r w:rsidR="004A41E4" w:rsidRPr="00CF0B83">
        <w:rPr>
          <w:u w:val="single"/>
        </w:rPr>
        <w:t>’</w:t>
      </w:r>
      <w:r w:rsidRPr="00CF0B83">
        <w:rPr>
          <w:u w:val="single"/>
        </w:rPr>
        <w:t>adoption</w:t>
      </w:r>
    </w:p>
    <w:p w14:paraId="7A3A5CF1" w14:textId="77777777" w:rsidR="009F5256" w:rsidRPr="00026EC1" w:rsidRDefault="009F5256" w:rsidP="00A64613">
      <w:pPr>
        <w:keepNext w:val="0"/>
        <w:rPr>
          <w:bCs/>
        </w:rPr>
      </w:pPr>
      <w:r w:rsidRPr="00026EC1">
        <w:rPr>
          <w:bCs/>
        </w:rPr>
        <w:t>L</w:t>
      </w:r>
      <w:r w:rsidR="004A41E4" w:rsidRPr="00026EC1">
        <w:rPr>
          <w:bCs/>
        </w:rPr>
        <w:t>’</w:t>
      </w:r>
      <w:r w:rsidRPr="00026EC1">
        <w:rPr>
          <w:bCs/>
        </w:rPr>
        <w:t>enseignante ou l</w:t>
      </w:r>
      <w:r w:rsidR="004A41E4" w:rsidRPr="00026EC1">
        <w:rPr>
          <w:bCs/>
        </w:rPr>
        <w:t>’</w:t>
      </w:r>
      <w:r w:rsidRPr="00026EC1">
        <w:rPr>
          <w:bCs/>
        </w:rPr>
        <w:t>enseignant qui fait parvenir au Collège, avant la date d</w:t>
      </w:r>
      <w:r w:rsidR="004A41E4" w:rsidRPr="00026EC1">
        <w:rPr>
          <w:bCs/>
        </w:rPr>
        <w:t>’</w:t>
      </w:r>
      <w:r w:rsidRPr="00026EC1">
        <w:rPr>
          <w:bCs/>
        </w:rPr>
        <w:t>expiration de son congé d</w:t>
      </w:r>
      <w:r w:rsidR="004A41E4" w:rsidRPr="00026EC1">
        <w:rPr>
          <w:bCs/>
        </w:rPr>
        <w:t>’</w:t>
      </w:r>
      <w:r w:rsidRPr="00026EC1">
        <w:rPr>
          <w:bCs/>
        </w:rPr>
        <w:t>adoption, un avis accompagné d</w:t>
      </w:r>
      <w:r w:rsidR="004A41E4" w:rsidRPr="00026EC1">
        <w:rPr>
          <w:bCs/>
        </w:rPr>
        <w:t>’</w:t>
      </w:r>
      <w:r w:rsidRPr="00026EC1">
        <w:rPr>
          <w:bCs/>
        </w:rPr>
        <w:t>un certificat médical attestant que l</w:t>
      </w:r>
      <w:r w:rsidR="004A41E4" w:rsidRPr="00026EC1">
        <w:rPr>
          <w:bCs/>
        </w:rPr>
        <w:t>’</w:t>
      </w:r>
      <w:r w:rsidRPr="00026EC1">
        <w:rPr>
          <w:bCs/>
        </w:rPr>
        <w:t>état de santé de son enfant l</w:t>
      </w:r>
      <w:r w:rsidR="004A41E4" w:rsidRPr="00026EC1">
        <w:rPr>
          <w:bCs/>
        </w:rPr>
        <w:t>’</w:t>
      </w:r>
      <w:r w:rsidRPr="00026EC1">
        <w:rPr>
          <w:bCs/>
        </w:rPr>
        <w:t>exige a droit à une prolongation de son congé d</w:t>
      </w:r>
      <w:r w:rsidR="004A41E4" w:rsidRPr="00026EC1">
        <w:rPr>
          <w:bCs/>
        </w:rPr>
        <w:t>’</w:t>
      </w:r>
      <w:r w:rsidRPr="00026EC1">
        <w:rPr>
          <w:bCs/>
        </w:rPr>
        <w:t>adoption. La durée de cette prolongation est celle indiquée au certificat médical.</w:t>
      </w:r>
    </w:p>
    <w:p w14:paraId="2C0C7B71" w14:textId="77777777" w:rsidR="009F5256" w:rsidRPr="00026EC1" w:rsidRDefault="009F5256" w:rsidP="00A64613">
      <w:pPr>
        <w:keepNext w:val="0"/>
        <w:rPr>
          <w:bCs/>
          <w:szCs w:val="24"/>
        </w:rPr>
      </w:pPr>
    </w:p>
    <w:p w14:paraId="75E87B7C" w14:textId="4104894A" w:rsidR="009F5256" w:rsidRPr="00026EC1" w:rsidRDefault="009F5256" w:rsidP="00A64613">
      <w:pPr>
        <w:keepNext w:val="0"/>
        <w:rPr>
          <w:bCs/>
          <w:szCs w:val="24"/>
        </w:rPr>
      </w:pPr>
      <w:r w:rsidRPr="00026EC1">
        <w:rPr>
          <w:bCs/>
          <w:szCs w:val="24"/>
        </w:rPr>
        <w:t xml:space="preserve">Durant </w:t>
      </w:r>
      <w:r w:rsidRPr="00026EC1">
        <w:rPr>
          <w:bCs/>
        </w:rPr>
        <w:t>cette</w:t>
      </w:r>
      <w:r w:rsidRPr="00026EC1">
        <w:rPr>
          <w:bCs/>
          <w:szCs w:val="24"/>
        </w:rPr>
        <w:t xml:space="preserve"> prolongation, l</w:t>
      </w:r>
      <w:r w:rsidR="004A41E4" w:rsidRPr="00026EC1">
        <w:rPr>
          <w:bCs/>
          <w:szCs w:val="24"/>
        </w:rPr>
        <w:t>’</w:t>
      </w:r>
      <w:r w:rsidRPr="00026EC1">
        <w:rPr>
          <w:bCs/>
          <w:szCs w:val="24"/>
        </w:rPr>
        <w:t>enseignante ou l</w:t>
      </w:r>
      <w:r w:rsidR="004A41E4" w:rsidRPr="00026EC1">
        <w:rPr>
          <w:bCs/>
          <w:szCs w:val="24"/>
        </w:rPr>
        <w:t>’</w:t>
      </w:r>
      <w:r w:rsidRPr="00026EC1">
        <w:rPr>
          <w:bCs/>
          <w:szCs w:val="24"/>
        </w:rPr>
        <w:t xml:space="preserve">enseignant est considéré en congé sans traitement et ne reçoit du Collège ni indemnité ni prestation; elle ou il bénéficie des avantages prévus </w:t>
      </w:r>
      <w:r w:rsidRPr="00026EC1">
        <w:t>aux clauses</w:t>
      </w:r>
      <w:r w:rsidR="00D66A8F" w:rsidRPr="00026EC1">
        <w:t> </w:t>
      </w:r>
      <w:r w:rsidRPr="00026EC1">
        <w:t>5</w:t>
      </w:r>
      <w:r w:rsidR="00984A6F">
        <w:noBreakHyphen/>
      </w:r>
      <w:r w:rsidRPr="00026EC1">
        <w:t>6.56 et 5</w:t>
      </w:r>
      <w:r w:rsidR="00984A6F">
        <w:noBreakHyphen/>
      </w:r>
      <w:r w:rsidRPr="00026EC1">
        <w:t>6.58.</w:t>
      </w:r>
    </w:p>
    <w:p w14:paraId="72D6314A" w14:textId="77777777" w:rsidR="009F5256" w:rsidRPr="00026EC1" w:rsidRDefault="009F5256" w:rsidP="00A64613">
      <w:pPr>
        <w:keepNext w:val="0"/>
        <w:rPr>
          <w:bCs/>
        </w:rPr>
      </w:pPr>
    </w:p>
    <w:p w14:paraId="1E2DDDCB" w14:textId="52C9E426" w:rsidR="009F5256" w:rsidRPr="00CF0B83" w:rsidRDefault="009F5256" w:rsidP="00A64613">
      <w:pPr>
        <w:pStyle w:val="NUMRODECLAUSE"/>
        <w:keepNext w:val="0"/>
        <w:rPr>
          <w:u w:val="single"/>
        </w:rPr>
      </w:pPr>
      <w:r w:rsidRPr="00026EC1">
        <w:t>5</w:t>
      </w:r>
      <w:r w:rsidR="00984A6F">
        <w:noBreakHyphen/>
      </w:r>
      <w:r w:rsidRPr="00026EC1">
        <w:t>6.32</w:t>
      </w:r>
      <w:r w:rsidRPr="00026EC1">
        <w:tab/>
      </w:r>
      <w:r w:rsidRPr="00CF0B83">
        <w:rPr>
          <w:u w:val="single"/>
        </w:rPr>
        <w:t>Suspension et fractionnement du congé d</w:t>
      </w:r>
      <w:r w:rsidR="004A41E4" w:rsidRPr="00CF0B83">
        <w:rPr>
          <w:u w:val="single"/>
        </w:rPr>
        <w:t>’</w:t>
      </w:r>
      <w:r w:rsidRPr="00CF0B83">
        <w:rPr>
          <w:u w:val="single"/>
        </w:rPr>
        <w:t>adoption</w:t>
      </w:r>
    </w:p>
    <w:p w14:paraId="60A27C9A" w14:textId="37036A90" w:rsidR="009F5256" w:rsidRPr="00026EC1" w:rsidRDefault="009F5256" w:rsidP="00A64613">
      <w:pPr>
        <w:keepNext w:val="0"/>
        <w:rPr>
          <w:bCs/>
        </w:rPr>
      </w:pPr>
      <w:r w:rsidRPr="00026EC1">
        <w:rPr>
          <w:bCs/>
        </w:rPr>
        <w:t>Pendant le congé d</w:t>
      </w:r>
      <w:r w:rsidR="004A41E4" w:rsidRPr="00026EC1">
        <w:rPr>
          <w:bCs/>
        </w:rPr>
        <w:t>’</w:t>
      </w:r>
      <w:r w:rsidRPr="00026EC1">
        <w:rPr>
          <w:bCs/>
        </w:rPr>
        <w:t>adoption prévu à la clause</w:t>
      </w:r>
      <w:r w:rsidR="00D66A8F" w:rsidRPr="00026EC1">
        <w:rPr>
          <w:bCs/>
        </w:rPr>
        <w:t> </w:t>
      </w:r>
      <w:r w:rsidRPr="00026EC1">
        <w:rPr>
          <w:bCs/>
        </w:rPr>
        <w:t>5</w:t>
      </w:r>
      <w:r w:rsidR="00984A6F">
        <w:rPr>
          <w:bCs/>
        </w:rPr>
        <w:noBreakHyphen/>
      </w:r>
      <w:r w:rsidRPr="00026EC1">
        <w:rPr>
          <w:bCs/>
        </w:rPr>
        <w:t>6.30, l</w:t>
      </w:r>
      <w:r w:rsidR="004A41E4" w:rsidRPr="00026EC1">
        <w:rPr>
          <w:bCs/>
        </w:rPr>
        <w:t>’</w:t>
      </w:r>
      <w:r w:rsidRPr="00026EC1">
        <w:rPr>
          <w:bCs/>
        </w:rPr>
        <w:t>enseignante ou l</w:t>
      </w:r>
      <w:r w:rsidR="004A41E4" w:rsidRPr="00026EC1">
        <w:rPr>
          <w:bCs/>
        </w:rPr>
        <w:t>’</w:t>
      </w:r>
      <w:r w:rsidRPr="00026EC1">
        <w:rPr>
          <w:bCs/>
        </w:rPr>
        <w:t>enseignant peut suspendre ou fractionner son congé d</w:t>
      </w:r>
      <w:r w:rsidR="004A41E4" w:rsidRPr="00026EC1">
        <w:rPr>
          <w:bCs/>
        </w:rPr>
        <w:t>’</w:t>
      </w:r>
      <w:r w:rsidRPr="00026EC1">
        <w:rPr>
          <w:bCs/>
        </w:rPr>
        <w:t>adoption selon les dispositions qui suivent</w:t>
      </w:r>
      <w:r w:rsidR="00D8581B">
        <w:rPr>
          <w:bCs/>
        </w:rPr>
        <w:t> :</w:t>
      </w:r>
    </w:p>
    <w:p w14:paraId="54930134" w14:textId="77777777" w:rsidR="009F5256" w:rsidRPr="00026EC1" w:rsidRDefault="009F5256" w:rsidP="00A64613">
      <w:pPr>
        <w:keepNext w:val="0"/>
        <w:rPr>
          <w:bCs/>
        </w:rPr>
      </w:pPr>
    </w:p>
    <w:p w14:paraId="26A1F8E4" w14:textId="77777777" w:rsidR="009F5256" w:rsidRPr="00026EC1" w:rsidRDefault="00275751" w:rsidP="00F110F0">
      <w:pPr>
        <w:pStyle w:val="NUMRODECLAUSE"/>
        <w:keepNext w:val="0"/>
        <w:tabs>
          <w:tab w:val="clear" w:pos="868"/>
          <w:tab w:val="left" w:pos="567"/>
        </w:tabs>
      </w:pPr>
      <w:r w:rsidRPr="00026EC1">
        <w:t>A)</w:t>
      </w:r>
      <w:r w:rsidRPr="00026EC1">
        <w:tab/>
      </w:r>
      <w:r w:rsidR="009F5256" w:rsidRPr="00CF0B83">
        <w:rPr>
          <w:u w:val="single"/>
        </w:rPr>
        <w:t>Suspension du congé</w:t>
      </w:r>
    </w:p>
    <w:p w14:paraId="2ED603DE" w14:textId="0C5C03A5" w:rsidR="009F5256" w:rsidRPr="00026EC1" w:rsidRDefault="009F5256" w:rsidP="00A64613">
      <w:pPr>
        <w:keepNext w:val="0"/>
        <w:ind w:left="567"/>
        <w:jc w:val="left"/>
        <w:rPr>
          <w:bCs/>
        </w:rPr>
      </w:pPr>
      <w:r w:rsidRPr="00026EC1">
        <w:rPr>
          <w:bCs/>
        </w:rPr>
        <w:t>Lorsque son enfant est hospitalisé, l</w:t>
      </w:r>
      <w:r w:rsidR="004A41E4" w:rsidRPr="00026EC1">
        <w:rPr>
          <w:bCs/>
        </w:rPr>
        <w:t>’</w:t>
      </w:r>
      <w:r w:rsidRPr="00026EC1">
        <w:rPr>
          <w:bCs/>
        </w:rPr>
        <w:t>enseignante ou l</w:t>
      </w:r>
      <w:r w:rsidR="004A41E4" w:rsidRPr="00026EC1">
        <w:rPr>
          <w:bCs/>
        </w:rPr>
        <w:t>’</w:t>
      </w:r>
      <w:r w:rsidRPr="00026EC1">
        <w:rPr>
          <w:bCs/>
        </w:rPr>
        <w:t>enseignant peut suspendre son congé d</w:t>
      </w:r>
      <w:r w:rsidR="004A41E4" w:rsidRPr="00026EC1">
        <w:rPr>
          <w:bCs/>
        </w:rPr>
        <w:t>’</w:t>
      </w:r>
      <w:r w:rsidRPr="00026EC1">
        <w:rPr>
          <w:bCs/>
        </w:rPr>
        <w:t>adoption, après entente avec le Collège, en retournant au travail pendant la durée de cette hospitalisation.</w:t>
      </w:r>
    </w:p>
    <w:p w14:paraId="635F2899" w14:textId="77777777" w:rsidR="009F5256" w:rsidRPr="00026EC1" w:rsidRDefault="009F5256" w:rsidP="00A64613">
      <w:pPr>
        <w:keepNext w:val="0"/>
        <w:rPr>
          <w:bCs/>
        </w:rPr>
      </w:pPr>
    </w:p>
    <w:p w14:paraId="54A56453" w14:textId="13B909FE" w:rsidR="009F5256" w:rsidRPr="00026EC1" w:rsidRDefault="00275751" w:rsidP="00F110F0">
      <w:pPr>
        <w:pStyle w:val="NUMRODECLAUSE"/>
        <w:keepNext w:val="0"/>
        <w:tabs>
          <w:tab w:val="clear" w:pos="868"/>
        </w:tabs>
        <w:ind w:left="567" w:hanging="567"/>
      </w:pPr>
      <w:r w:rsidRPr="00026EC1">
        <w:t>B)</w:t>
      </w:r>
      <w:r w:rsidRPr="00026EC1">
        <w:tab/>
      </w:r>
      <w:r w:rsidR="009F5256" w:rsidRPr="00CF0B83">
        <w:rPr>
          <w:u w:val="single"/>
        </w:rPr>
        <w:t>Fractionnement du congé</w:t>
      </w:r>
    </w:p>
    <w:p w14:paraId="6806AFD2" w14:textId="45D35E2C" w:rsidR="009F5256" w:rsidRPr="00026EC1" w:rsidRDefault="009F5256" w:rsidP="00A64613">
      <w:pPr>
        <w:keepNext w:val="0"/>
        <w:tabs>
          <w:tab w:val="left" w:pos="720"/>
        </w:tabs>
        <w:ind w:left="567"/>
        <w:rPr>
          <w:bCs/>
          <w:szCs w:val="24"/>
        </w:rPr>
      </w:pPr>
      <w:r w:rsidRPr="00026EC1">
        <w:rPr>
          <w:bCs/>
        </w:rPr>
        <w:t>Dans l</w:t>
      </w:r>
      <w:r w:rsidR="004A41E4" w:rsidRPr="00026EC1">
        <w:rPr>
          <w:bCs/>
        </w:rPr>
        <w:t>’</w:t>
      </w:r>
      <w:r w:rsidRPr="00026EC1">
        <w:rPr>
          <w:bCs/>
        </w:rPr>
        <w:t>un ou l</w:t>
      </w:r>
      <w:r w:rsidR="004A41E4" w:rsidRPr="00026EC1">
        <w:rPr>
          <w:bCs/>
        </w:rPr>
        <w:t>’</w:t>
      </w:r>
      <w:r w:rsidRPr="00026EC1">
        <w:rPr>
          <w:bCs/>
        </w:rPr>
        <w:t>autre des cas qui suivent, sur demande de l</w:t>
      </w:r>
      <w:r w:rsidR="004A41E4" w:rsidRPr="00026EC1">
        <w:rPr>
          <w:bCs/>
        </w:rPr>
        <w:t>’</w:t>
      </w:r>
      <w:r w:rsidRPr="00026EC1">
        <w:rPr>
          <w:bCs/>
        </w:rPr>
        <w:t>enseignante ou de l</w:t>
      </w:r>
      <w:r w:rsidR="004A41E4" w:rsidRPr="00026EC1">
        <w:rPr>
          <w:bCs/>
        </w:rPr>
        <w:t>’</w:t>
      </w:r>
      <w:r w:rsidRPr="00026EC1">
        <w:rPr>
          <w:bCs/>
        </w:rPr>
        <w:t>enseignant, le congé d</w:t>
      </w:r>
      <w:r w:rsidR="004A41E4" w:rsidRPr="00026EC1">
        <w:rPr>
          <w:bCs/>
        </w:rPr>
        <w:t>’</w:t>
      </w:r>
      <w:r w:rsidRPr="00026EC1">
        <w:rPr>
          <w:bCs/>
        </w:rPr>
        <w:t>adoption prévu à la clause</w:t>
      </w:r>
      <w:r w:rsidR="00D66A8F" w:rsidRPr="00026EC1">
        <w:rPr>
          <w:bCs/>
        </w:rPr>
        <w:t> </w:t>
      </w:r>
      <w:r w:rsidRPr="00026EC1">
        <w:rPr>
          <w:bCs/>
        </w:rPr>
        <w:t>5</w:t>
      </w:r>
      <w:r w:rsidR="00984A6F">
        <w:rPr>
          <w:bCs/>
        </w:rPr>
        <w:noBreakHyphen/>
      </w:r>
      <w:r w:rsidRPr="00026EC1">
        <w:rPr>
          <w:bCs/>
        </w:rPr>
        <w:t>6.30 peut être fractionné en semaines et le nombre maximal de semaines pendant lesquelles le congé d</w:t>
      </w:r>
      <w:r w:rsidR="004A41E4" w:rsidRPr="00026EC1">
        <w:rPr>
          <w:bCs/>
        </w:rPr>
        <w:t>’</w:t>
      </w:r>
      <w:r w:rsidRPr="00026EC1">
        <w:rPr>
          <w:bCs/>
        </w:rPr>
        <w:t>adoption est suspendu varie pour chacun des cas</w:t>
      </w:r>
      <w:r w:rsidR="00D8581B">
        <w:rPr>
          <w:bCs/>
          <w:szCs w:val="24"/>
        </w:rPr>
        <w:t> :</w:t>
      </w:r>
    </w:p>
    <w:p w14:paraId="41A39148" w14:textId="560553B3" w:rsidR="009F5256" w:rsidRPr="00026EC1" w:rsidRDefault="00275751" w:rsidP="00A64613">
      <w:pPr>
        <w:keepNext w:val="0"/>
        <w:tabs>
          <w:tab w:val="left" w:pos="1134"/>
        </w:tabs>
        <w:ind w:left="1134" w:hanging="567"/>
        <w:rPr>
          <w:rFonts w:cs="Arial"/>
          <w:bCs/>
          <w:szCs w:val="24"/>
        </w:rPr>
      </w:pPr>
      <w:r w:rsidRPr="00026EC1">
        <w:rPr>
          <w:rFonts w:cs="Arial"/>
          <w:bCs/>
          <w:szCs w:val="24"/>
        </w:rPr>
        <w:t>1.</w:t>
      </w:r>
      <w:r w:rsidRPr="00026EC1">
        <w:rPr>
          <w:rFonts w:cs="Arial"/>
          <w:bCs/>
          <w:szCs w:val="24"/>
        </w:rPr>
        <w:tab/>
      </w:r>
      <w:r w:rsidR="009F5256" w:rsidRPr="00026EC1">
        <w:rPr>
          <w:rFonts w:cs="Arial"/>
          <w:bCs/>
          <w:szCs w:val="24"/>
        </w:rPr>
        <w:t xml:space="preserve">Si </w:t>
      </w:r>
      <w:r w:rsidR="009F5256" w:rsidRPr="00026EC1">
        <w:rPr>
          <w:bCs/>
          <w:szCs w:val="24"/>
        </w:rPr>
        <w:t>son</w:t>
      </w:r>
      <w:r w:rsidR="009F5256" w:rsidRPr="00026EC1">
        <w:rPr>
          <w:rFonts w:cs="Arial"/>
          <w:bCs/>
          <w:szCs w:val="24"/>
        </w:rPr>
        <w:t xml:space="preserve"> enfant est hospitalisé</w:t>
      </w:r>
      <w:r w:rsidR="00D8581B">
        <w:rPr>
          <w:rFonts w:cs="Arial"/>
          <w:bCs/>
          <w:szCs w:val="24"/>
        </w:rPr>
        <w:t> :</w:t>
      </w:r>
      <w:r w:rsidR="009F5256" w:rsidRPr="00026EC1">
        <w:rPr>
          <w:rFonts w:cs="Arial"/>
          <w:bCs/>
          <w:szCs w:val="24"/>
        </w:rPr>
        <w:t xml:space="preserve"> le nombre maximal de semaines de la suspension du congé est équivalent au nombre de semaines que dure cette hospitalisation.</w:t>
      </w:r>
    </w:p>
    <w:p w14:paraId="3B0951D2" w14:textId="77777777" w:rsidR="009F5256" w:rsidRPr="00026EC1" w:rsidRDefault="009F5256" w:rsidP="00A64613">
      <w:pPr>
        <w:keepNext w:val="0"/>
      </w:pPr>
    </w:p>
    <w:p w14:paraId="6F94B6E2" w14:textId="5700F871" w:rsidR="009F5256" w:rsidRPr="00026EC1" w:rsidRDefault="00275751" w:rsidP="00A64613">
      <w:pPr>
        <w:keepNext w:val="0"/>
        <w:ind w:left="1134" w:hanging="567"/>
        <w:rPr>
          <w:rFonts w:cs="Arial"/>
          <w:color w:val="000000"/>
          <w:szCs w:val="24"/>
          <w:lang w:eastAsia="fr-CA"/>
        </w:rPr>
      </w:pPr>
      <w:r w:rsidRPr="00026EC1">
        <w:rPr>
          <w:rFonts w:cs="Arial"/>
          <w:color w:val="000000"/>
          <w:szCs w:val="24"/>
          <w:lang w:eastAsia="fr-CA"/>
        </w:rPr>
        <w:t>2.</w:t>
      </w:r>
      <w:r w:rsidRPr="00026EC1">
        <w:rPr>
          <w:rFonts w:cs="Arial"/>
          <w:color w:val="000000"/>
          <w:szCs w:val="24"/>
          <w:lang w:eastAsia="fr-CA"/>
        </w:rPr>
        <w:tab/>
      </w:r>
      <w:r w:rsidR="009F5256" w:rsidRPr="00026EC1">
        <w:rPr>
          <w:bCs/>
          <w:szCs w:val="24"/>
        </w:rPr>
        <w:t>Si l</w:t>
      </w:r>
      <w:r w:rsidR="004A41E4" w:rsidRPr="00026EC1">
        <w:rPr>
          <w:bCs/>
          <w:szCs w:val="24"/>
        </w:rPr>
        <w:t>’</w:t>
      </w:r>
      <w:r w:rsidR="009F5256" w:rsidRPr="00026EC1">
        <w:rPr>
          <w:bCs/>
          <w:szCs w:val="24"/>
        </w:rPr>
        <w:t>enseignant</w:t>
      </w:r>
      <w:r w:rsidR="00EF247A" w:rsidRPr="00026EC1">
        <w:rPr>
          <w:bCs/>
          <w:szCs w:val="24"/>
        </w:rPr>
        <w:t>e</w:t>
      </w:r>
      <w:r w:rsidR="009F5256" w:rsidRPr="00026EC1">
        <w:rPr>
          <w:bCs/>
          <w:szCs w:val="24"/>
        </w:rPr>
        <w:t xml:space="preserve"> ou l</w:t>
      </w:r>
      <w:r w:rsidR="004A41E4" w:rsidRPr="00026EC1">
        <w:rPr>
          <w:bCs/>
          <w:szCs w:val="24"/>
        </w:rPr>
        <w:t>’</w:t>
      </w:r>
      <w:r w:rsidR="009F5256" w:rsidRPr="00026EC1">
        <w:rPr>
          <w:bCs/>
          <w:szCs w:val="24"/>
        </w:rPr>
        <w:t>enseignant s</w:t>
      </w:r>
      <w:r w:rsidR="004A41E4" w:rsidRPr="00026EC1">
        <w:rPr>
          <w:bCs/>
          <w:szCs w:val="24"/>
        </w:rPr>
        <w:t>’</w:t>
      </w:r>
      <w:r w:rsidR="009F5256" w:rsidRPr="00026EC1">
        <w:rPr>
          <w:bCs/>
          <w:szCs w:val="24"/>
        </w:rPr>
        <w:t>absente pour cause d</w:t>
      </w:r>
      <w:r w:rsidR="004A41E4" w:rsidRPr="00026EC1">
        <w:rPr>
          <w:bCs/>
          <w:szCs w:val="24"/>
        </w:rPr>
        <w:t>’</w:t>
      </w:r>
      <w:r w:rsidR="009F5256" w:rsidRPr="00026EC1">
        <w:rPr>
          <w:bCs/>
          <w:szCs w:val="24"/>
        </w:rPr>
        <w:t>accident ou de maladie</w:t>
      </w:r>
      <w:r w:rsidR="00D8581B">
        <w:rPr>
          <w:bCs/>
          <w:szCs w:val="24"/>
        </w:rPr>
        <w:t> :</w:t>
      </w:r>
      <w:r w:rsidR="009F5256" w:rsidRPr="00026EC1">
        <w:rPr>
          <w:bCs/>
          <w:szCs w:val="24"/>
        </w:rPr>
        <w:t xml:space="preserve"> le nombre maximal de semaines de suspension est celui correspondant au nombre de semaines complètes que dure une telle situation, sans toutefois excéder </w:t>
      </w:r>
      <w:r w:rsidR="009F5256" w:rsidRPr="00026EC1">
        <w:rPr>
          <w:szCs w:val="24"/>
        </w:rPr>
        <w:t>vingt</w:t>
      </w:r>
      <w:r w:rsidR="00984A6F">
        <w:rPr>
          <w:szCs w:val="24"/>
        </w:rPr>
        <w:noBreakHyphen/>
      </w:r>
      <w:r w:rsidR="009F5256" w:rsidRPr="00026EC1">
        <w:rPr>
          <w:szCs w:val="24"/>
        </w:rPr>
        <w:t>six</w:t>
      </w:r>
      <w:r w:rsidR="00CF0B83">
        <w:rPr>
          <w:szCs w:val="24"/>
        </w:rPr>
        <w:t> </w:t>
      </w:r>
      <w:r w:rsidR="009F5256" w:rsidRPr="00026EC1">
        <w:rPr>
          <w:szCs w:val="24"/>
        </w:rPr>
        <w:t>(26) semaines sur une période de douze</w:t>
      </w:r>
      <w:r w:rsidR="000C7A51">
        <w:rPr>
          <w:szCs w:val="24"/>
        </w:rPr>
        <w:t> </w:t>
      </w:r>
      <w:r w:rsidR="009F5256" w:rsidRPr="00026EC1">
        <w:rPr>
          <w:szCs w:val="24"/>
        </w:rPr>
        <w:t>(12)</w:t>
      </w:r>
      <w:r w:rsidR="000C7A51">
        <w:rPr>
          <w:szCs w:val="24"/>
        </w:rPr>
        <w:t> </w:t>
      </w:r>
      <w:r w:rsidR="009F5256" w:rsidRPr="00026EC1">
        <w:rPr>
          <w:szCs w:val="24"/>
        </w:rPr>
        <w:t>mois</w:t>
      </w:r>
      <w:r w:rsidR="009F5256" w:rsidRPr="00026EC1">
        <w:rPr>
          <w:rStyle w:val="FootnoteReference"/>
          <w:szCs w:val="24"/>
        </w:rPr>
        <w:footnoteReference w:id="19"/>
      </w:r>
      <w:r w:rsidR="00EF247A" w:rsidRPr="00026EC1">
        <w:rPr>
          <w:szCs w:val="24"/>
        </w:rPr>
        <w:t>.</w:t>
      </w:r>
    </w:p>
    <w:p w14:paraId="3738F4E3" w14:textId="77777777" w:rsidR="009F5256" w:rsidRPr="00026EC1" w:rsidRDefault="009F5256" w:rsidP="00A64613">
      <w:pPr>
        <w:pStyle w:val="Texte2cm"/>
        <w:keepNext w:val="0"/>
      </w:pPr>
    </w:p>
    <w:p w14:paraId="1F177AD0" w14:textId="3AB7F6E9" w:rsidR="009F5256" w:rsidRDefault="009F5256" w:rsidP="00A64613">
      <w:pPr>
        <w:pStyle w:val="Texte2cm"/>
        <w:keepNext w:val="0"/>
        <w:rPr>
          <w:lang w:eastAsia="fr-CA"/>
        </w:rPr>
      </w:pPr>
      <w:r w:rsidRPr="00026EC1">
        <w:t>Toutefois, l</w:t>
      </w:r>
      <w:r w:rsidR="004A41E4" w:rsidRPr="00026EC1">
        <w:t>’</w:t>
      </w:r>
      <w:r w:rsidRPr="00026EC1">
        <w:t>enseignante ou l</w:t>
      </w:r>
      <w:r w:rsidR="004A41E4" w:rsidRPr="00026EC1">
        <w:t>’</w:t>
      </w:r>
      <w:r w:rsidRPr="00026EC1">
        <w:t xml:space="preserve">enseignant </w:t>
      </w:r>
      <w:r w:rsidRPr="00026EC1">
        <w:rPr>
          <w:lang w:eastAsia="fr-CA"/>
        </w:rPr>
        <w:t>peut s</w:t>
      </w:r>
      <w:r w:rsidR="004A41E4" w:rsidRPr="00026EC1">
        <w:rPr>
          <w:lang w:eastAsia="fr-CA"/>
        </w:rPr>
        <w:t>’</w:t>
      </w:r>
      <w:r w:rsidRPr="00026EC1">
        <w:rPr>
          <w:lang w:eastAsia="fr-CA"/>
        </w:rPr>
        <w:t>absenter du travail pendant une période d</w:t>
      </w:r>
      <w:r w:rsidR="004A41E4" w:rsidRPr="00026EC1">
        <w:rPr>
          <w:lang w:eastAsia="fr-CA"/>
        </w:rPr>
        <w:t>’</w:t>
      </w:r>
      <w:r w:rsidRPr="00026EC1">
        <w:rPr>
          <w:lang w:eastAsia="fr-CA"/>
        </w:rPr>
        <w:t>au plus</w:t>
      </w:r>
      <w:r w:rsidR="00EF247A" w:rsidRPr="00026EC1">
        <w:rPr>
          <w:lang w:eastAsia="fr-CA"/>
        </w:rPr>
        <w:t xml:space="preserve"> cent quatre</w:t>
      </w:r>
      <w:r w:rsidR="00F563DB">
        <w:rPr>
          <w:lang w:eastAsia="fr-CA"/>
        </w:rPr>
        <w:t> </w:t>
      </w:r>
      <w:r w:rsidR="00EF247A" w:rsidRPr="00026EC1">
        <w:rPr>
          <w:lang w:eastAsia="fr-CA"/>
        </w:rPr>
        <w:t>(</w:t>
      </w:r>
      <w:r w:rsidRPr="00026EC1">
        <w:rPr>
          <w:lang w:eastAsia="fr-CA"/>
        </w:rPr>
        <w:t>104</w:t>
      </w:r>
      <w:r w:rsidR="00EF247A" w:rsidRPr="00026EC1">
        <w:rPr>
          <w:lang w:eastAsia="fr-CA"/>
        </w:rPr>
        <w:t>)</w:t>
      </w:r>
      <w:r w:rsidRPr="00026EC1">
        <w:rPr>
          <w:lang w:eastAsia="fr-CA"/>
        </w:rPr>
        <w:t xml:space="preserve"> semaines si elle ou il subit un préjudice corporel grave à l</w:t>
      </w:r>
      <w:r w:rsidR="004A41E4" w:rsidRPr="00026EC1">
        <w:rPr>
          <w:lang w:eastAsia="fr-CA"/>
        </w:rPr>
        <w:t>’</w:t>
      </w:r>
      <w:r w:rsidRPr="00026EC1">
        <w:rPr>
          <w:lang w:eastAsia="fr-CA"/>
        </w:rPr>
        <w:t>occasion ou résultant directement d</w:t>
      </w:r>
      <w:r w:rsidR="004A41E4" w:rsidRPr="00026EC1">
        <w:rPr>
          <w:lang w:eastAsia="fr-CA"/>
        </w:rPr>
        <w:t>’</w:t>
      </w:r>
      <w:r w:rsidRPr="00026EC1">
        <w:rPr>
          <w:lang w:eastAsia="fr-CA"/>
        </w:rPr>
        <w:t>un acte criminel la ou le rendant incapable d</w:t>
      </w:r>
      <w:r w:rsidR="004A41E4" w:rsidRPr="00026EC1">
        <w:rPr>
          <w:lang w:eastAsia="fr-CA"/>
        </w:rPr>
        <w:t>’</w:t>
      </w:r>
      <w:r w:rsidRPr="00026EC1">
        <w:rPr>
          <w:lang w:eastAsia="fr-CA"/>
        </w:rPr>
        <w:t>occuper son poste habituel; dans ce cas, la période d</w:t>
      </w:r>
      <w:r w:rsidR="004A41E4" w:rsidRPr="00026EC1">
        <w:rPr>
          <w:lang w:eastAsia="fr-CA"/>
        </w:rPr>
        <w:t>’</w:t>
      </w:r>
      <w:r w:rsidRPr="00026EC1">
        <w:rPr>
          <w:lang w:eastAsia="fr-CA"/>
        </w:rPr>
        <w:t>absence débute au plus tôt à la date à laquelle l</w:t>
      </w:r>
      <w:r w:rsidR="004A41E4" w:rsidRPr="00026EC1">
        <w:rPr>
          <w:lang w:eastAsia="fr-CA"/>
        </w:rPr>
        <w:t>’</w:t>
      </w:r>
      <w:r w:rsidRPr="00026EC1">
        <w:rPr>
          <w:lang w:eastAsia="fr-CA"/>
        </w:rPr>
        <w:t>acte criminel a été commis ou, le cas échéant, à l</w:t>
      </w:r>
      <w:r w:rsidR="004A41E4" w:rsidRPr="00026EC1">
        <w:rPr>
          <w:lang w:eastAsia="fr-CA"/>
        </w:rPr>
        <w:t>’</w:t>
      </w:r>
      <w:r w:rsidRPr="00026EC1">
        <w:rPr>
          <w:lang w:eastAsia="fr-CA"/>
        </w:rPr>
        <w:t xml:space="preserve">expiration de la période prévue au paragraphe précédent et se termine au plus tard </w:t>
      </w:r>
      <w:r w:rsidR="00EF247A" w:rsidRPr="00026EC1">
        <w:rPr>
          <w:lang w:eastAsia="fr-CA"/>
        </w:rPr>
        <w:t>cent quatre</w:t>
      </w:r>
      <w:r w:rsidR="00F563DB">
        <w:rPr>
          <w:lang w:eastAsia="fr-CA"/>
        </w:rPr>
        <w:t> </w:t>
      </w:r>
      <w:r w:rsidR="00EF247A" w:rsidRPr="00026EC1">
        <w:rPr>
          <w:lang w:eastAsia="fr-CA"/>
        </w:rPr>
        <w:t>(</w:t>
      </w:r>
      <w:r w:rsidRPr="00026EC1">
        <w:rPr>
          <w:lang w:eastAsia="fr-CA"/>
        </w:rPr>
        <w:t>104</w:t>
      </w:r>
      <w:r w:rsidR="00EF247A" w:rsidRPr="00026EC1">
        <w:rPr>
          <w:lang w:eastAsia="fr-CA"/>
        </w:rPr>
        <w:t>)</w:t>
      </w:r>
      <w:r w:rsidRPr="00026EC1">
        <w:rPr>
          <w:lang w:eastAsia="fr-CA"/>
        </w:rPr>
        <w:t xml:space="preserve"> semaines après la commission de l</w:t>
      </w:r>
      <w:r w:rsidR="004A41E4" w:rsidRPr="00026EC1">
        <w:rPr>
          <w:lang w:eastAsia="fr-CA"/>
        </w:rPr>
        <w:t>’</w:t>
      </w:r>
      <w:r w:rsidRPr="00026EC1">
        <w:rPr>
          <w:lang w:eastAsia="fr-CA"/>
        </w:rPr>
        <w:t>acte criminel</w:t>
      </w:r>
      <w:r w:rsidR="003324BE">
        <w:rPr>
          <w:vertAlign w:val="superscript"/>
          <w:lang w:eastAsia="fr-CA"/>
        </w:rPr>
        <w:t>2</w:t>
      </w:r>
      <w:r w:rsidR="000435D8" w:rsidRPr="00026EC1">
        <w:rPr>
          <w:lang w:eastAsia="fr-CA"/>
        </w:rPr>
        <w:t>;</w:t>
      </w:r>
    </w:p>
    <w:p w14:paraId="17F29EB0" w14:textId="77777777" w:rsidR="00585EA3" w:rsidRDefault="00585EA3" w:rsidP="00A64613">
      <w:pPr>
        <w:pStyle w:val="Texte2cm"/>
        <w:keepNext w:val="0"/>
        <w:rPr>
          <w:lang w:eastAsia="fr-CA"/>
        </w:rPr>
      </w:pPr>
    </w:p>
    <w:p w14:paraId="452E150D" w14:textId="54B39FC2" w:rsidR="004849F5" w:rsidRPr="00026EC1" w:rsidRDefault="004849F5" w:rsidP="00A64613">
      <w:pPr>
        <w:keepNext w:val="0"/>
        <w:ind w:left="1134" w:hanging="567"/>
        <w:rPr>
          <w:bCs/>
          <w:szCs w:val="24"/>
        </w:rPr>
      </w:pPr>
      <w:r w:rsidRPr="00026EC1">
        <w:rPr>
          <w:bCs/>
          <w:szCs w:val="24"/>
        </w:rPr>
        <w:t>3.</w:t>
      </w:r>
      <w:r w:rsidRPr="00026EC1">
        <w:rPr>
          <w:bCs/>
          <w:szCs w:val="24"/>
        </w:rPr>
        <w:tab/>
      </w:r>
      <w:r w:rsidRPr="00026EC1">
        <w:rPr>
          <w:bCs/>
        </w:rPr>
        <w:t xml:space="preserve">Si l’enseignante ou l’enseignant s’absente pour une situation visée </w:t>
      </w:r>
      <w:r w:rsidRPr="00026EC1">
        <w:t>aux articles 79.8 à 79.12</w:t>
      </w:r>
      <w:r w:rsidRPr="00026EC1">
        <w:rPr>
          <w:rStyle w:val="FootnoteReference"/>
        </w:rPr>
        <w:footnoteReference w:id="20"/>
      </w:r>
      <w:r w:rsidRPr="00026EC1">
        <w:rPr>
          <w:bCs/>
        </w:rPr>
        <w:t xml:space="preserve"> de la</w:t>
      </w:r>
      <w:r w:rsidRPr="00026EC1">
        <w:rPr>
          <w:bCs/>
          <w:iCs/>
        </w:rPr>
        <w:t xml:space="preserve"> </w:t>
      </w:r>
      <w:r w:rsidRPr="00026EC1">
        <w:rPr>
          <w:bCs/>
        </w:rPr>
        <w:t>Loi sur les normes du travail</w:t>
      </w:r>
      <w:r w:rsidRPr="00026EC1">
        <w:rPr>
          <w:bCs/>
          <w:iCs/>
        </w:rPr>
        <w:t xml:space="preserve"> </w:t>
      </w:r>
      <w:r w:rsidRPr="00026EC1">
        <w:rPr>
          <w:bCs/>
        </w:rPr>
        <w:t>(</w:t>
      </w:r>
      <w:r w:rsidRPr="00026EC1">
        <w:rPr>
          <w:rFonts w:cs="Arial"/>
          <w:szCs w:val="24"/>
        </w:rPr>
        <w:t>RLRQ, chapitre</w:t>
      </w:r>
      <w:r w:rsidRPr="00026EC1">
        <w:rPr>
          <w:bCs/>
        </w:rPr>
        <w:t xml:space="preserve"> N</w:t>
      </w:r>
      <w:r w:rsidR="00984A6F">
        <w:rPr>
          <w:bCs/>
        </w:rPr>
        <w:noBreakHyphen/>
      </w:r>
      <w:r w:rsidRPr="00026EC1">
        <w:rPr>
          <w:bCs/>
        </w:rPr>
        <w:t>1.1)</w:t>
      </w:r>
      <w:r w:rsidR="00D8581B">
        <w:rPr>
          <w:bCs/>
        </w:rPr>
        <w:t> :</w:t>
      </w:r>
      <w:r w:rsidRPr="00026EC1">
        <w:rPr>
          <w:bCs/>
        </w:rPr>
        <w:t xml:space="preserve"> le nombre maximal de semaines de suspension est celui correspondant au nombre de semaines complètes que dure cette situation, </w:t>
      </w:r>
      <w:r w:rsidRPr="00026EC1">
        <w:t>selon les dispositions prévues à l’alinéa B) de la clause 5</w:t>
      </w:r>
      <w:r w:rsidR="00984A6F">
        <w:noBreakHyphen/>
      </w:r>
      <w:r w:rsidRPr="00026EC1">
        <w:t>9.06</w:t>
      </w:r>
      <w:r w:rsidRPr="00026EC1">
        <w:rPr>
          <w:bCs/>
        </w:rPr>
        <w:t>.</w:t>
      </w:r>
    </w:p>
    <w:p w14:paraId="13EA62DA" w14:textId="77777777" w:rsidR="009F5256" w:rsidRPr="00026EC1" w:rsidRDefault="009F5256" w:rsidP="00A64613">
      <w:pPr>
        <w:pStyle w:val="Texte1cm00000"/>
        <w:keepNext w:val="0"/>
      </w:pPr>
    </w:p>
    <w:p w14:paraId="21DEF17B" w14:textId="4EBD137E" w:rsidR="009F5256" w:rsidRDefault="009F5256" w:rsidP="00A64613">
      <w:pPr>
        <w:keepNext w:val="0"/>
        <w:ind w:left="567"/>
      </w:pPr>
      <w:r w:rsidRPr="00026EC1">
        <w:rPr>
          <w:bCs/>
          <w:szCs w:val="24"/>
        </w:rPr>
        <w:t>Durant une telle suspension</w:t>
      </w:r>
      <w:r w:rsidR="000435D8" w:rsidRPr="00026EC1">
        <w:rPr>
          <w:bCs/>
          <w:szCs w:val="24"/>
        </w:rPr>
        <w:t>,</w:t>
      </w:r>
      <w:r w:rsidRPr="00026EC1">
        <w:rPr>
          <w:bCs/>
          <w:szCs w:val="24"/>
        </w:rPr>
        <w:t xml:space="preserve"> l</w:t>
      </w:r>
      <w:r w:rsidR="004A41E4" w:rsidRPr="00026EC1">
        <w:rPr>
          <w:bCs/>
          <w:szCs w:val="24"/>
        </w:rPr>
        <w:t>’</w:t>
      </w:r>
      <w:r w:rsidRPr="00026EC1">
        <w:rPr>
          <w:bCs/>
          <w:szCs w:val="24"/>
        </w:rPr>
        <w:t xml:space="preserve">enseignante ou </w:t>
      </w:r>
      <w:r w:rsidRPr="00026EC1">
        <w:rPr>
          <w:spacing w:val="-2"/>
        </w:rPr>
        <w:t>l</w:t>
      </w:r>
      <w:r w:rsidR="004A41E4" w:rsidRPr="00026EC1">
        <w:rPr>
          <w:spacing w:val="-2"/>
        </w:rPr>
        <w:t>’</w:t>
      </w:r>
      <w:r w:rsidRPr="00026EC1">
        <w:rPr>
          <w:spacing w:val="-2"/>
        </w:rPr>
        <w:t xml:space="preserve">enseignant est considéré en congé sans traitement et </w:t>
      </w:r>
      <w:r w:rsidRPr="00026EC1">
        <w:rPr>
          <w:bCs/>
          <w:szCs w:val="24"/>
        </w:rPr>
        <w:t>ne reçoit du Collège ni indemnité ni prestation</w:t>
      </w:r>
      <w:r w:rsidR="00EF247A" w:rsidRPr="00026EC1">
        <w:rPr>
          <w:bCs/>
          <w:szCs w:val="24"/>
        </w:rPr>
        <w:t>;</w:t>
      </w:r>
      <w:r w:rsidRPr="00026EC1">
        <w:rPr>
          <w:bCs/>
          <w:szCs w:val="24"/>
        </w:rPr>
        <w:t xml:space="preserve"> elle ou il bénéficie des avantages prévus </w:t>
      </w:r>
      <w:r w:rsidRPr="00026EC1">
        <w:t>aux clauses</w:t>
      </w:r>
      <w:r w:rsidR="00D66A8F" w:rsidRPr="00026EC1">
        <w:t> </w:t>
      </w:r>
      <w:r w:rsidRPr="00026EC1">
        <w:t>5</w:t>
      </w:r>
      <w:r w:rsidR="00984A6F">
        <w:noBreakHyphen/>
      </w:r>
      <w:r w:rsidRPr="00026EC1">
        <w:t>6.56 et 5</w:t>
      </w:r>
      <w:r w:rsidR="00984A6F">
        <w:noBreakHyphen/>
      </w:r>
      <w:r w:rsidRPr="00026EC1">
        <w:t>6.58.</w:t>
      </w:r>
    </w:p>
    <w:p w14:paraId="46A1A47C" w14:textId="77777777" w:rsidR="00585EA3" w:rsidRDefault="00585EA3" w:rsidP="00A64613">
      <w:pPr>
        <w:keepNext w:val="0"/>
        <w:ind w:left="567"/>
      </w:pPr>
    </w:p>
    <w:p w14:paraId="1000E12E" w14:textId="3C40DD90" w:rsidR="00585EA3" w:rsidRPr="00316277" w:rsidRDefault="00585EA3" w:rsidP="00585EA3">
      <w:pPr>
        <w:pStyle w:val="Texte1cm00000"/>
        <w:keepNext w:val="0"/>
        <w:ind w:left="0"/>
        <w:rPr>
          <w:szCs w:val="24"/>
        </w:rPr>
      </w:pPr>
      <w:r w:rsidRPr="00316277">
        <w:rPr>
          <w:szCs w:val="24"/>
        </w:rPr>
        <w:t>Outre les cas mentionnés à la présente clause, à la demande de l’enseignante ou de l’enseignant et si le Collège y consent, le congé prévu à la clause 5-6.3</w:t>
      </w:r>
      <w:r w:rsidR="003324BE" w:rsidRPr="00316277">
        <w:rPr>
          <w:szCs w:val="24"/>
        </w:rPr>
        <w:t>0</w:t>
      </w:r>
      <w:r w:rsidRPr="00316277">
        <w:rPr>
          <w:szCs w:val="24"/>
        </w:rPr>
        <w:t>, est fractionné en semaines.</w:t>
      </w:r>
    </w:p>
    <w:p w14:paraId="00E2BC93" w14:textId="77777777" w:rsidR="009F5256" w:rsidRPr="00026EC1" w:rsidRDefault="009F5256" w:rsidP="00A64613">
      <w:pPr>
        <w:keepNext w:val="0"/>
      </w:pPr>
    </w:p>
    <w:p w14:paraId="1569126C" w14:textId="3CB88E7F" w:rsidR="009F5256" w:rsidRPr="00026EC1" w:rsidRDefault="009F5256" w:rsidP="00A64613">
      <w:pPr>
        <w:pStyle w:val="NUMRODECLAUSE"/>
        <w:keepNext w:val="0"/>
      </w:pPr>
      <w:r w:rsidRPr="00026EC1">
        <w:t>5</w:t>
      </w:r>
      <w:r w:rsidR="00984A6F">
        <w:noBreakHyphen/>
      </w:r>
      <w:r w:rsidRPr="00026EC1">
        <w:t>6.33</w:t>
      </w:r>
    </w:p>
    <w:p w14:paraId="7AF4637E" w14:textId="1C78C1D2" w:rsidR="004362D9" w:rsidRDefault="009F5256" w:rsidP="00A64613">
      <w:pPr>
        <w:keepNext w:val="0"/>
      </w:pPr>
      <w:r w:rsidRPr="00026EC1">
        <w:rPr>
          <w:bCs/>
        </w:rPr>
        <w:t>Lors de la reprise du congé d</w:t>
      </w:r>
      <w:r w:rsidR="004A41E4" w:rsidRPr="00026EC1">
        <w:rPr>
          <w:bCs/>
        </w:rPr>
        <w:t>’</w:t>
      </w:r>
      <w:r w:rsidRPr="00026EC1">
        <w:rPr>
          <w:bCs/>
        </w:rPr>
        <w:t>adoption suspendu ou fractionné en vertu de la clause</w:t>
      </w:r>
      <w:r w:rsidR="00D66A8F" w:rsidRPr="00026EC1">
        <w:rPr>
          <w:bCs/>
        </w:rPr>
        <w:t> </w:t>
      </w:r>
      <w:r w:rsidRPr="00026EC1">
        <w:rPr>
          <w:bCs/>
        </w:rPr>
        <w:t>5</w:t>
      </w:r>
      <w:r w:rsidR="00984A6F">
        <w:rPr>
          <w:bCs/>
        </w:rPr>
        <w:noBreakHyphen/>
      </w:r>
      <w:r w:rsidRPr="00026EC1">
        <w:rPr>
          <w:bCs/>
        </w:rPr>
        <w:t>6.32, le Collège verse à l</w:t>
      </w:r>
      <w:r w:rsidR="004A41E4" w:rsidRPr="00026EC1">
        <w:rPr>
          <w:bCs/>
        </w:rPr>
        <w:t>’</w:t>
      </w:r>
      <w:r w:rsidRPr="00026EC1">
        <w:rPr>
          <w:bCs/>
        </w:rPr>
        <w:t>enseignante ou à l</w:t>
      </w:r>
      <w:r w:rsidR="004A41E4" w:rsidRPr="00026EC1">
        <w:rPr>
          <w:bCs/>
        </w:rPr>
        <w:t>’</w:t>
      </w:r>
      <w:r w:rsidRPr="00026EC1">
        <w:rPr>
          <w:bCs/>
        </w:rPr>
        <w:t>enseignant l</w:t>
      </w:r>
      <w:r w:rsidR="004A41E4" w:rsidRPr="00026EC1">
        <w:rPr>
          <w:bCs/>
        </w:rPr>
        <w:t>’</w:t>
      </w:r>
      <w:r w:rsidRPr="00026EC1">
        <w:rPr>
          <w:bCs/>
        </w:rPr>
        <w:t>indemnité à laquelle elle ou il aurait alors eu droit si elle ou il ne s</w:t>
      </w:r>
      <w:r w:rsidR="004A41E4" w:rsidRPr="00026EC1">
        <w:rPr>
          <w:bCs/>
        </w:rPr>
        <w:t>’</w:t>
      </w:r>
      <w:r w:rsidRPr="00026EC1">
        <w:rPr>
          <w:bCs/>
        </w:rPr>
        <w:t>était pas prévalu d</w:t>
      </w:r>
      <w:r w:rsidR="004A41E4" w:rsidRPr="00026EC1">
        <w:rPr>
          <w:bCs/>
        </w:rPr>
        <w:t>’</w:t>
      </w:r>
      <w:r w:rsidRPr="00026EC1">
        <w:rPr>
          <w:bCs/>
        </w:rPr>
        <w:t>une telle suspension ou d</w:t>
      </w:r>
      <w:r w:rsidR="004A41E4" w:rsidRPr="00026EC1">
        <w:rPr>
          <w:bCs/>
        </w:rPr>
        <w:t>’</w:t>
      </w:r>
      <w:r w:rsidRPr="00026EC1">
        <w:rPr>
          <w:bCs/>
        </w:rPr>
        <w:t>un tel fractionnement et ce, pour le nombre de semaines qui reste à couvrir en vertu de la clause</w:t>
      </w:r>
      <w:r w:rsidR="00D66A8F" w:rsidRPr="00026EC1">
        <w:rPr>
          <w:bCs/>
        </w:rPr>
        <w:t> </w:t>
      </w:r>
      <w:r w:rsidRPr="00026EC1">
        <w:rPr>
          <w:bCs/>
        </w:rPr>
        <w:t>5</w:t>
      </w:r>
      <w:r w:rsidR="00984A6F">
        <w:rPr>
          <w:bCs/>
        </w:rPr>
        <w:noBreakHyphen/>
      </w:r>
      <w:r w:rsidRPr="00026EC1">
        <w:rPr>
          <w:bCs/>
        </w:rPr>
        <w:t xml:space="preserve">6.30 </w:t>
      </w:r>
      <w:r w:rsidRPr="00026EC1">
        <w:t>sous réserve de la clause</w:t>
      </w:r>
      <w:r w:rsidR="00D66A8F" w:rsidRPr="00026EC1">
        <w:t> </w:t>
      </w:r>
      <w:r w:rsidRPr="00026EC1">
        <w:t>5</w:t>
      </w:r>
      <w:r w:rsidR="00984A6F">
        <w:noBreakHyphen/>
      </w:r>
      <w:r w:rsidRPr="00026EC1">
        <w:t>6.01.</w:t>
      </w:r>
    </w:p>
    <w:p w14:paraId="5FB066BC" w14:textId="77777777" w:rsidR="004362D9" w:rsidRDefault="004362D9">
      <w:pPr>
        <w:keepNext w:val="0"/>
        <w:suppressAutoHyphens w:val="0"/>
        <w:jc w:val="left"/>
      </w:pPr>
      <w:r>
        <w:br w:type="page"/>
      </w:r>
    </w:p>
    <w:p w14:paraId="03AEA17C" w14:textId="77777777" w:rsidR="009F5256" w:rsidRPr="00026EC1" w:rsidRDefault="009F5256" w:rsidP="00A64613">
      <w:pPr>
        <w:keepNext w:val="0"/>
        <w:rPr>
          <w:b/>
          <w:spacing w:val="-2"/>
          <w:u w:val="single"/>
        </w:rPr>
      </w:pPr>
      <w:r w:rsidRPr="00026EC1">
        <w:rPr>
          <w:b/>
          <w:spacing w:val="-2"/>
          <w:u w:val="single"/>
        </w:rPr>
        <w:t>Indemnité liée au congé d</w:t>
      </w:r>
      <w:r w:rsidR="004A41E4" w:rsidRPr="00026EC1">
        <w:rPr>
          <w:b/>
          <w:spacing w:val="-2"/>
          <w:u w:val="single"/>
        </w:rPr>
        <w:t>’</w:t>
      </w:r>
      <w:r w:rsidRPr="00026EC1">
        <w:rPr>
          <w:b/>
          <w:spacing w:val="-2"/>
          <w:u w:val="single"/>
        </w:rPr>
        <w:t>adoption</w:t>
      </w:r>
    </w:p>
    <w:p w14:paraId="5D75D03C" w14:textId="77777777" w:rsidR="009F5256" w:rsidRPr="00026EC1" w:rsidRDefault="009F5256" w:rsidP="00A64613">
      <w:pPr>
        <w:keepNext w:val="0"/>
        <w:rPr>
          <w:spacing w:val="-2"/>
        </w:rPr>
      </w:pPr>
    </w:p>
    <w:p w14:paraId="0BC284DD" w14:textId="51577B65" w:rsidR="009F5256" w:rsidRPr="00026EC1" w:rsidRDefault="009F5256" w:rsidP="00A64613">
      <w:pPr>
        <w:pStyle w:val="NUMRODECLAUSE"/>
        <w:keepNext w:val="0"/>
      </w:pPr>
      <w:r w:rsidRPr="00026EC1">
        <w:rPr>
          <w:bCs/>
        </w:rPr>
        <w:t>5</w:t>
      </w:r>
      <w:r w:rsidR="00984A6F">
        <w:rPr>
          <w:bCs/>
        </w:rPr>
        <w:noBreakHyphen/>
      </w:r>
      <w:r w:rsidRPr="00026EC1">
        <w:rPr>
          <w:bCs/>
        </w:rPr>
        <w:t>6.34</w:t>
      </w:r>
      <w:r w:rsidRPr="00026EC1">
        <w:rPr>
          <w:bCs/>
        </w:rPr>
        <w:tab/>
      </w:r>
      <w:r w:rsidRPr="00F563DB">
        <w:rPr>
          <w:u w:val="single"/>
        </w:rPr>
        <w:t>Cas admissible au RQAP ou au RAE</w:t>
      </w:r>
    </w:p>
    <w:p w14:paraId="406FB773" w14:textId="54EA49CD" w:rsidR="004849F5" w:rsidRPr="00026EC1" w:rsidRDefault="004849F5" w:rsidP="00A64613">
      <w:pPr>
        <w:keepNext w:val="0"/>
      </w:pPr>
      <w:r w:rsidRPr="00026EC1">
        <w:t>Pendant le congé d’adoption prévu à la clause 5</w:t>
      </w:r>
      <w:r w:rsidR="00984A6F">
        <w:noBreakHyphen/>
      </w:r>
      <w:r w:rsidRPr="00026EC1">
        <w:t>6.30, l’enseignante ou l’enseignant, qui a complété vingt (20) semaines de service</w:t>
      </w:r>
      <w:r w:rsidRPr="00026EC1">
        <w:rPr>
          <w:rStyle w:val="FootnoteReference"/>
        </w:rPr>
        <w:footnoteReference w:id="21"/>
      </w:r>
      <w:r w:rsidRPr="00026EC1">
        <w:t>, reçoit une indemnité égale à la différence entre son traitement hebdomadaire de base et le montant des prestations qu’elle ou qu’il reçoit, ou recevrait si elle ou il en faisait la demande, en vertu du RQAP ou du RAE.</w:t>
      </w:r>
    </w:p>
    <w:p w14:paraId="18DD9437" w14:textId="77777777" w:rsidR="009F5256" w:rsidRPr="00026EC1" w:rsidRDefault="009F5256" w:rsidP="00A64613">
      <w:pPr>
        <w:keepNext w:val="0"/>
      </w:pPr>
    </w:p>
    <w:p w14:paraId="078BC8DE" w14:textId="77777777" w:rsidR="009F5256" w:rsidRPr="00026EC1" w:rsidRDefault="009F5256" w:rsidP="00A64613">
      <w:pPr>
        <w:keepNext w:val="0"/>
        <w:rPr>
          <w:bCs/>
          <w:iCs/>
          <w:szCs w:val="24"/>
        </w:rPr>
      </w:pPr>
      <w:r w:rsidRPr="00026EC1">
        <w:rPr>
          <w:bCs/>
          <w:szCs w:val="24"/>
        </w:rPr>
        <w:t xml:space="preserve">Cette indemnité se calcule à partir des prestations du RQAP ou du </w:t>
      </w:r>
      <w:r w:rsidRPr="00026EC1">
        <w:t>RAE</w:t>
      </w:r>
      <w:r w:rsidRPr="00026EC1">
        <w:rPr>
          <w:bCs/>
          <w:szCs w:val="24"/>
        </w:rPr>
        <w:t xml:space="preserve"> qu</w:t>
      </w:r>
      <w:r w:rsidR="004A41E4" w:rsidRPr="00026EC1">
        <w:rPr>
          <w:bCs/>
          <w:szCs w:val="24"/>
        </w:rPr>
        <w:t>’</w:t>
      </w:r>
      <w:r w:rsidRPr="00026EC1">
        <w:rPr>
          <w:bCs/>
          <w:szCs w:val="24"/>
        </w:rPr>
        <w:t>une enseignante ou un enseignant a droit de recevoir sans tenir compte des montants soustraits de telles prestations en raison des remboursements de prestations, des intérêts, des pénalités et autres montants recouvrables en vertu de la</w:t>
      </w:r>
      <w:r w:rsidRPr="00026EC1">
        <w:rPr>
          <w:bCs/>
          <w:iCs/>
          <w:szCs w:val="24"/>
        </w:rPr>
        <w:t xml:space="preserve"> Loi sur l</w:t>
      </w:r>
      <w:r w:rsidR="004A41E4" w:rsidRPr="00026EC1">
        <w:rPr>
          <w:bCs/>
          <w:iCs/>
          <w:szCs w:val="24"/>
        </w:rPr>
        <w:t>’</w:t>
      </w:r>
      <w:r w:rsidRPr="00026EC1">
        <w:rPr>
          <w:bCs/>
          <w:iCs/>
          <w:szCs w:val="24"/>
        </w:rPr>
        <w:t>assurance parentale</w:t>
      </w:r>
      <w:r w:rsidRPr="00026EC1">
        <w:rPr>
          <w:bCs/>
          <w:i/>
          <w:iCs/>
          <w:szCs w:val="24"/>
        </w:rPr>
        <w:t xml:space="preserve"> </w:t>
      </w:r>
      <w:r w:rsidRPr="00026EC1">
        <w:rPr>
          <w:bCs/>
          <w:szCs w:val="24"/>
        </w:rPr>
        <w:t xml:space="preserve">ou du </w:t>
      </w:r>
      <w:r w:rsidR="00EF247A" w:rsidRPr="00026EC1">
        <w:rPr>
          <w:bCs/>
          <w:szCs w:val="24"/>
        </w:rPr>
        <w:t>RAE</w:t>
      </w:r>
      <w:r w:rsidRPr="00026EC1">
        <w:rPr>
          <w:bCs/>
          <w:szCs w:val="24"/>
        </w:rPr>
        <w:t>.</w:t>
      </w:r>
    </w:p>
    <w:p w14:paraId="18A599AF" w14:textId="77777777" w:rsidR="009F5256" w:rsidRPr="00026EC1" w:rsidRDefault="009F5256" w:rsidP="00A64613">
      <w:pPr>
        <w:keepNext w:val="0"/>
        <w:rPr>
          <w:bCs/>
          <w:szCs w:val="24"/>
        </w:rPr>
      </w:pPr>
    </w:p>
    <w:p w14:paraId="2405886C" w14:textId="0D17E23D" w:rsidR="009F5256" w:rsidRPr="00026EC1" w:rsidRDefault="009F5256" w:rsidP="00A64613">
      <w:pPr>
        <w:keepNext w:val="0"/>
        <w:rPr>
          <w:szCs w:val="24"/>
        </w:rPr>
      </w:pPr>
      <w:r w:rsidRPr="00026EC1">
        <w:rPr>
          <w:szCs w:val="24"/>
        </w:rPr>
        <w:t xml:space="preserve">Toutefois, si une modification est apportée au montant de la prestation versée par le RQAP ou </w:t>
      </w:r>
      <w:r w:rsidR="00EF247A" w:rsidRPr="00026EC1">
        <w:rPr>
          <w:szCs w:val="24"/>
        </w:rPr>
        <w:t>le</w:t>
      </w:r>
      <w:r w:rsidRPr="00026EC1">
        <w:rPr>
          <w:szCs w:val="24"/>
        </w:rPr>
        <w:t xml:space="preserve"> RAE à la suite d</w:t>
      </w:r>
      <w:r w:rsidR="004A41E4" w:rsidRPr="00026EC1">
        <w:rPr>
          <w:szCs w:val="24"/>
        </w:rPr>
        <w:t>’</w:t>
      </w:r>
      <w:r w:rsidRPr="00026EC1">
        <w:rPr>
          <w:szCs w:val="24"/>
        </w:rPr>
        <w:t>une modification des informations fournies par le Collège, celui</w:t>
      </w:r>
      <w:r w:rsidR="00984A6F">
        <w:rPr>
          <w:szCs w:val="24"/>
        </w:rPr>
        <w:noBreakHyphen/>
      </w:r>
      <w:r w:rsidRPr="00026EC1">
        <w:rPr>
          <w:szCs w:val="24"/>
        </w:rPr>
        <w:t>ci corrige le montant de l</w:t>
      </w:r>
      <w:r w:rsidR="004A41E4" w:rsidRPr="00026EC1">
        <w:rPr>
          <w:szCs w:val="24"/>
        </w:rPr>
        <w:t>’</w:t>
      </w:r>
      <w:r w:rsidRPr="00026EC1">
        <w:rPr>
          <w:szCs w:val="24"/>
        </w:rPr>
        <w:t>indemnité en conséquence.</w:t>
      </w:r>
    </w:p>
    <w:p w14:paraId="034F5368" w14:textId="77777777" w:rsidR="009F5256" w:rsidRPr="00026EC1" w:rsidRDefault="009F5256" w:rsidP="00A64613">
      <w:pPr>
        <w:keepNext w:val="0"/>
        <w:rPr>
          <w:bCs/>
          <w:szCs w:val="24"/>
        </w:rPr>
      </w:pPr>
    </w:p>
    <w:p w14:paraId="153F6ACA" w14:textId="36345BED" w:rsidR="009F5256" w:rsidRPr="00026EC1" w:rsidRDefault="009F5256" w:rsidP="00A64613">
      <w:pPr>
        <w:keepNext w:val="0"/>
        <w:rPr>
          <w:bCs/>
          <w:iCs/>
          <w:szCs w:val="24"/>
        </w:rPr>
      </w:pPr>
      <w:r w:rsidRPr="00026EC1">
        <w:rPr>
          <w:bCs/>
          <w:szCs w:val="24"/>
        </w:rPr>
        <w:t>Cependant, lorsque l</w:t>
      </w:r>
      <w:r w:rsidR="004A41E4" w:rsidRPr="00026EC1">
        <w:rPr>
          <w:bCs/>
          <w:szCs w:val="24"/>
        </w:rPr>
        <w:t>’</w:t>
      </w:r>
      <w:r w:rsidRPr="00026EC1">
        <w:rPr>
          <w:bCs/>
          <w:szCs w:val="24"/>
        </w:rPr>
        <w:t>enseignante ou l</w:t>
      </w:r>
      <w:r w:rsidR="004A41E4" w:rsidRPr="00026EC1">
        <w:rPr>
          <w:bCs/>
          <w:szCs w:val="24"/>
        </w:rPr>
        <w:t>’</w:t>
      </w:r>
      <w:r w:rsidRPr="00026EC1">
        <w:rPr>
          <w:bCs/>
          <w:szCs w:val="24"/>
        </w:rPr>
        <w:t>enseignant travaille pour plus d</w:t>
      </w:r>
      <w:r w:rsidR="004A41E4" w:rsidRPr="00026EC1">
        <w:rPr>
          <w:bCs/>
          <w:szCs w:val="24"/>
        </w:rPr>
        <w:t>’</w:t>
      </w:r>
      <w:r w:rsidRPr="00026EC1">
        <w:rPr>
          <w:bCs/>
          <w:szCs w:val="24"/>
        </w:rPr>
        <w:t xml:space="preserve">un </w:t>
      </w:r>
      <w:r w:rsidRPr="00026EC1">
        <w:t>employeur</w:t>
      </w:r>
      <w:r w:rsidRPr="00026EC1">
        <w:rPr>
          <w:bCs/>
          <w:szCs w:val="24"/>
        </w:rPr>
        <w:t>, l</w:t>
      </w:r>
      <w:r w:rsidR="004A41E4" w:rsidRPr="00026EC1">
        <w:rPr>
          <w:bCs/>
          <w:szCs w:val="24"/>
        </w:rPr>
        <w:t>’</w:t>
      </w:r>
      <w:r w:rsidRPr="00026EC1">
        <w:rPr>
          <w:bCs/>
          <w:szCs w:val="24"/>
        </w:rPr>
        <w:t>indemnité est égale à la différence entre cent pour cent (100</w:t>
      </w:r>
      <w:r w:rsidR="00714A15">
        <w:rPr>
          <w:bCs/>
          <w:szCs w:val="24"/>
        </w:rPr>
        <w:t> %</w:t>
      </w:r>
      <w:r w:rsidRPr="00026EC1">
        <w:rPr>
          <w:bCs/>
          <w:szCs w:val="24"/>
        </w:rPr>
        <w:t xml:space="preserve">) du traitement de base versé par </w:t>
      </w:r>
      <w:r w:rsidRPr="00026EC1">
        <w:rPr>
          <w:szCs w:val="24"/>
        </w:rPr>
        <w:t xml:space="preserve">le Collège </w:t>
      </w:r>
      <w:r w:rsidRPr="00026EC1">
        <w:rPr>
          <w:bCs/>
          <w:szCs w:val="24"/>
        </w:rPr>
        <w:t>et le montant des prestations du RQAP ou du RAE correspondant à la proportion du traitement hebdomadaire de base qu</w:t>
      </w:r>
      <w:r w:rsidR="004A41E4" w:rsidRPr="00026EC1">
        <w:rPr>
          <w:bCs/>
          <w:szCs w:val="24"/>
        </w:rPr>
        <w:t>’</w:t>
      </w:r>
      <w:r w:rsidRPr="00026EC1">
        <w:rPr>
          <w:bCs/>
          <w:szCs w:val="24"/>
        </w:rPr>
        <w:t>il lui verse par rapport à la somme des traitements hebdomadaires de base versés par l</w:t>
      </w:r>
      <w:r w:rsidR="004A41E4" w:rsidRPr="00026EC1">
        <w:rPr>
          <w:bCs/>
          <w:szCs w:val="24"/>
        </w:rPr>
        <w:t>’</w:t>
      </w:r>
      <w:r w:rsidRPr="00026EC1">
        <w:rPr>
          <w:bCs/>
          <w:szCs w:val="24"/>
        </w:rPr>
        <w:t>ensemble des employeurs. À cette fin, l</w:t>
      </w:r>
      <w:r w:rsidR="004A41E4" w:rsidRPr="00026EC1">
        <w:rPr>
          <w:bCs/>
          <w:szCs w:val="24"/>
        </w:rPr>
        <w:t>’</w:t>
      </w:r>
      <w:r w:rsidRPr="00026EC1">
        <w:rPr>
          <w:bCs/>
          <w:szCs w:val="24"/>
        </w:rPr>
        <w:t>enseignante ou l</w:t>
      </w:r>
      <w:r w:rsidR="004A41E4" w:rsidRPr="00026EC1">
        <w:rPr>
          <w:bCs/>
          <w:szCs w:val="24"/>
        </w:rPr>
        <w:t>’</w:t>
      </w:r>
      <w:r w:rsidRPr="00026EC1">
        <w:rPr>
          <w:bCs/>
          <w:szCs w:val="24"/>
        </w:rPr>
        <w:t>enseignant produit à chacun des employeurs un état des traitements hebdomadaires versés par chacun de ceux</w:t>
      </w:r>
      <w:r w:rsidR="00984A6F">
        <w:rPr>
          <w:bCs/>
          <w:szCs w:val="24"/>
        </w:rPr>
        <w:noBreakHyphen/>
      </w:r>
      <w:r w:rsidRPr="00026EC1">
        <w:rPr>
          <w:bCs/>
          <w:szCs w:val="24"/>
        </w:rPr>
        <w:t>ci en même temps que le montant des prestations qui lui sont payables en application de la Loi sur l</w:t>
      </w:r>
      <w:r w:rsidR="004A41E4" w:rsidRPr="00026EC1">
        <w:rPr>
          <w:bCs/>
          <w:szCs w:val="24"/>
        </w:rPr>
        <w:t>’</w:t>
      </w:r>
      <w:r w:rsidRPr="00026EC1">
        <w:rPr>
          <w:bCs/>
          <w:szCs w:val="24"/>
        </w:rPr>
        <w:t>assurance parentale</w:t>
      </w:r>
      <w:r w:rsidRPr="00026EC1">
        <w:rPr>
          <w:bCs/>
          <w:i/>
          <w:szCs w:val="24"/>
        </w:rPr>
        <w:t xml:space="preserve"> </w:t>
      </w:r>
      <w:r w:rsidRPr="00026EC1">
        <w:rPr>
          <w:bCs/>
          <w:szCs w:val="24"/>
        </w:rPr>
        <w:t>ou du</w:t>
      </w:r>
      <w:r w:rsidR="00BC35D2">
        <w:rPr>
          <w:bCs/>
          <w:szCs w:val="24"/>
        </w:rPr>
        <w:t> </w:t>
      </w:r>
      <w:r w:rsidR="00EF247A" w:rsidRPr="00026EC1">
        <w:rPr>
          <w:bCs/>
          <w:szCs w:val="24"/>
        </w:rPr>
        <w:t>RAE</w:t>
      </w:r>
      <w:r w:rsidRPr="00026EC1">
        <w:rPr>
          <w:bCs/>
          <w:szCs w:val="24"/>
        </w:rPr>
        <w:t>.</w:t>
      </w:r>
    </w:p>
    <w:p w14:paraId="3CF08F18" w14:textId="77777777" w:rsidR="009F5256" w:rsidRPr="00026EC1" w:rsidRDefault="009F5256" w:rsidP="00A64613">
      <w:pPr>
        <w:keepNext w:val="0"/>
        <w:rPr>
          <w:bCs/>
        </w:rPr>
      </w:pPr>
    </w:p>
    <w:p w14:paraId="73AE4FAD" w14:textId="40E172A4" w:rsidR="009F5256" w:rsidRPr="00026EC1" w:rsidRDefault="009F5256" w:rsidP="00A64613">
      <w:pPr>
        <w:pStyle w:val="NUMRODECLAUSE"/>
        <w:keepNext w:val="0"/>
      </w:pPr>
      <w:r w:rsidRPr="00026EC1">
        <w:t>5</w:t>
      </w:r>
      <w:r w:rsidR="00984A6F">
        <w:noBreakHyphen/>
      </w:r>
      <w:r w:rsidRPr="00026EC1">
        <w:t>6.35</w:t>
      </w:r>
    </w:p>
    <w:p w14:paraId="01339663" w14:textId="77777777" w:rsidR="009F5256" w:rsidRPr="00026EC1" w:rsidRDefault="009F5256" w:rsidP="00A64613">
      <w:pPr>
        <w:keepNext w:val="0"/>
        <w:rPr>
          <w:bCs/>
        </w:rPr>
      </w:pPr>
      <w:r w:rsidRPr="00026EC1">
        <w:rPr>
          <w:bCs/>
        </w:rPr>
        <w:t>Le Collège ne peut compenser, par l</w:t>
      </w:r>
      <w:r w:rsidR="004A41E4" w:rsidRPr="00026EC1">
        <w:rPr>
          <w:bCs/>
        </w:rPr>
        <w:t>’</w:t>
      </w:r>
      <w:r w:rsidRPr="00026EC1">
        <w:rPr>
          <w:bCs/>
        </w:rPr>
        <w:t>indemnité qu</w:t>
      </w:r>
      <w:r w:rsidR="004A41E4" w:rsidRPr="00026EC1">
        <w:rPr>
          <w:bCs/>
        </w:rPr>
        <w:t>’</w:t>
      </w:r>
      <w:r w:rsidRPr="00026EC1">
        <w:rPr>
          <w:bCs/>
        </w:rPr>
        <w:t xml:space="preserve">il verse à </w:t>
      </w:r>
      <w:r w:rsidRPr="00026EC1">
        <w:t>l</w:t>
      </w:r>
      <w:r w:rsidR="004A41E4" w:rsidRPr="00026EC1">
        <w:t>’</w:t>
      </w:r>
      <w:r w:rsidRPr="00026EC1">
        <w:t>enseignante</w:t>
      </w:r>
      <w:r w:rsidRPr="00026EC1">
        <w:rPr>
          <w:bCs/>
        </w:rPr>
        <w:t xml:space="preserve"> ou à l</w:t>
      </w:r>
      <w:r w:rsidR="004A41E4" w:rsidRPr="00026EC1">
        <w:rPr>
          <w:bCs/>
        </w:rPr>
        <w:t>’</w:t>
      </w:r>
      <w:r w:rsidRPr="00026EC1">
        <w:rPr>
          <w:bCs/>
        </w:rPr>
        <w:t>enseignant en congé pour adoption, la diminution des prestations</w:t>
      </w:r>
      <w:r w:rsidRPr="00026EC1">
        <w:rPr>
          <w:bCs/>
          <w:szCs w:val="24"/>
        </w:rPr>
        <w:t xml:space="preserve"> du RQAP ou du RAE </w:t>
      </w:r>
      <w:r w:rsidRPr="00026EC1">
        <w:rPr>
          <w:bCs/>
        </w:rPr>
        <w:t>attribuable au traitement gagné auprès d</w:t>
      </w:r>
      <w:r w:rsidR="004A41E4" w:rsidRPr="00026EC1">
        <w:rPr>
          <w:bCs/>
        </w:rPr>
        <w:t>’</w:t>
      </w:r>
      <w:r w:rsidRPr="00026EC1">
        <w:rPr>
          <w:bCs/>
        </w:rPr>
        <w:t>un autre employeur.</w:t>
      </w:r>
    </w:p>
    <w:p w14:paraId="331D153A" w14:textId="77777777" w:rsidR="009F5256" w:rsidRPr="00026EC1" w:rsidRDefault="009F5256" w:rsidP="00A64613">
      <w:pPr>
        <w:keepNext w:val="0"/>
      </w:pPr>
    </w:p>
    <w:p w14:paraId="7DC433ED" w14:textId="77777777" w:rsidR="009F5256" w:rsidRPr="00026EC1" w:rsidRDefault="009F5256" w:rsidP="00A64613">
      <w:pPr>
        <w:keepNext w:val="0"/>
        <w:rPr>
          <w:bCs/>
        </w:rPr>
      </w:pPr>
      <w:r w:rsidRPr="00026EC1">
        <w:rPr>
          <w:bCs/>
        </w:rPr>
        <w:t>Malgré les dispositions du paragraphe précédent, le Collège effectue cette compensation si l</w:t>
      </w:r>
      <w:r w:rsidR="004A41E4" w:rsidRPr="00026EC1">
        <w:rPr>
          <w:bCs/>
        </w:rPr>
        <w:t>’</w:t>
      </w:r>
      <w:r w:rsidRPr="00026EC1">
        <w:rPr>
          <w:bCs/>
        </w:rPr>
        <w:t>enseignante ou l</w:t>
      </w:r>
      <w:r w:rsidR="004A41E4" w:rsidRPr="00026EC1">
        <w:rPr>
          <w:bCs/>
        </w:rPr>
        <w:t>’</w:t>
      </w:r>
      <w:r w:rsidRPr="00026EC1">
        <w:rPr>
          <w:bCs/>
        </w:rPr>
        <w:t>enseignant démontre que le traitement gagné est un traitement habituel, au moyen d</w:t>
      </w:r>
      <w:r w:rsidR="004A41E4" w:rsidRPr="00026EC1">
        <w:rPr>
          <w:bCs/>
        </w:rPr>
        <w:t>’</w:t>
      </w:r>
      <w:r w:rsidRPr="00026EC1">
        <w:rPr>
          <w:bCs/>
        </w:rPr>
        <w:t>une lettre à cet effet de l</w:t>
      </w:r>
      <w:r w:rsidR="004A41E4" w:rsidRPr="00026EC1">
        <w:rPr>
          <w:bCs/>
        </w:rPr>
        <w:t>’</w:t>
      </w:r>
      <w:r w:rsidRPr="00026EC1">
        <w:rPr>
          <w:bCs/>
        </w:rPr>
        <w:t>employeur qui le verse. Si l</w:t>
      </w:r>
      <w:r w:rsidR="004A41E4" w:rsidRPr="00026EC1">
        <w:rPr>
          <w:bCs/>
        </w:rPr>
        <w:t>’</w:t>
      </w:r>
      <w:r w:rsidRPr="00026EC1">
        <w:rPr>
          <w:bCs/>
        </w:rPr>
        <w:t>enseignante ou l</w:t>
      </w:r>
      <w:r w:rsidR="004A41E4" w:rsidRPr="00026EC1">
        <w:rPr>
          <w:bCs/>
        </w:rPr>
        <w:t>’</w:t>
      </w:r>
      <w:r w:rsidRPr="00026EC1">
        <w:rPr>
          <w:bCs/>
        </w:rPr>
        <w:t>enseignant démontre qu</w:t>
      </w:r>
      <w:r w:rsidR="004A41E4" w:rsidRPr="00026EC1">
        <w:rPr>
          <w:bCs/>
        </w:rPr>
        <w:t>’</w:t>
      </w:r>
      <w:r w:rsidRPr="00026EC1">
        <w:rPr>
          <w:bCs/>
        </w:rPr>
        <w:t>une partie seulement de ce traitement est habituelle, la compensation est limitée à cette partie.</w:t>
      </w:r>
    </w:p>
    <w:p w14:paraId="6B08F8FA" w14:textId="77777777" w:rsidR="009F5256" w:rsidRPr="00026EC1" w:rsidRDefault="009F5256" w:rsidP="00A64613">
      <w:pPr>
        <w:keepNext w:val="0"/>
        <w:rPr>
          <w:bCs/>
        </w:rPr>
      </w:pPr>
    </w:p>
    <w:p w14:paraId="52448A60" w14:textId="77777777" w:rsidR="009F5256" w:rsidRPr="00026EC1" w:rsidRDefault="009F5256" w:rsidP="00A64613">
      <w:pPr>
        <w:keepNext w:val="0"/>
        <w:rPr>
          <w:bCs/>
        </w:rPr>
      </w:pPr>
      <w:r w:rsidRPr="00026EC1">
        <w:rPr>
          <w:bCs/>
        </w:rPr>
        <w:t>L</w:t>
      </w:r>
      <w:r w:rsidR="004A41E4" w:rsidRPr="00026EC1">
        <w:rPr>
          <w:bCs/>
        </w:rPr>
        <w:t>’</w:t>
      </w:r>
      <w:r w:rsidRPr="00026EC1">
        <w:rPr>
          <w:bCs/>
        </w:rPr>
        <w:t>employeur qui verse le traitement habituel prévu au paragraphe précédent doit, à la demande de l</w:t>
      </w:r>
      <w:r w:rsidR="004A41E4" w:rsidRPr="00026EC1">
        <w:rPr>
          <w:bCs/>
        </w:rPr>
        <w:t>’</w:t>
      </w:r>
      <w:r w:rsidRPr="00026EC1">
        <w:rPr>
          <w:bCs/>
        </w:rPr>
        <w:t>enseignante ou de l</w:t>
      </w:r>
      <w:r w:rsidR="004A41E4" w:rsidRPr="00026EC1">
        <w:rPr>
          <w:bCs/>
        </w:rPr>
        <w:t>’</w:t>
      </w:r>
      <w:r w:rsidRPr="00026EC1">
        <w:rPr>
          <w:bCs/>
        </w:rPr>
        <w:t>enseignant, lui produire cette lettre.</w:t>
      </w:r>
    </w:p>
    <w:p w14:paraId="2A7D72F2" w14:textId="77777777" w:rsidR="009F5256" w:rsidRPr="00026EC1" w:rsidRDefault="009F5256" w:rsidP="00A64613">
      <w:pPr>
        <w:keepNext w:val="0"/>
      </w:pPr>
    </w:p>
    <w:p w14:paraId="29AF813C" w14:textId="2B787141" w:rsidR="009F5256" w:rsidRPr="00026EC1" w:rsidRDefault="009F5256" w:rsidP="00A64613">
      <w:pPr>
        <w:keepNext w:val="0"/>
        <w:rPr>
          <w:bCs/>
        </w:rPr>
      </w:pPr>
      <w:r w:rsidRPr="00026EC1">
        <w:rPr>
          <w:bCs/>
        </w:rPr>
        <w:t>Le total des montants reçus par l</w:t>
      </w:r>
      <w:r w:rsidR="004A41E4" w:rsidRPr="00026EC1">
        <w:rPr>
          <w:bCs/>
        </w:rPr>
        <w:t>’</w:t>
      </w:r>
      <w:r w:rsidRPr="00026EC1">
        <w:rPr>
          <w:bCs/>
        </w:rPr>
        <w:t>enseignante ou l</w:t>
      </w:r>
      <w:r w:rsidR="004A41E4" w:rsidRPr="00026EC1">
        <w:rPr>
          <w:bCs/>
        </w:rPr>
        <w:t>’</w:t>
      </w:r>
      <w:r w:rsidRPr="00026EC1">
        <w:rPr>
          <w:bCs/>
        </w:rPr>
        <w:t xml:space="preserve">enseignant durant son congé pour adoption en prestations </w:t>
      </w:r>
      <w:r w:rsidRPr="00026EC1">
        <w:rPr>
          <w:bCs/>
          <w:szCs w:val="24"/>
        </w:rPr>
        <w:t>du RQAP ou du RAE</w:t>
      </w:r>
      <w:r w:rsidRPr="00026EC1">
        <w:rPr>
          <w:bCs/>
        </w:rPr>
        <w:t>, indemnité et traitement</w:t>
      </w:r>
      <w:r w:rsidR="00EF247A" w:rsidRPr="00026EC1">
        <w:rPr>
          <w:bCs/>
        </w:rPr>
        <w:t>,</w:t>
      </w:r>
      <w:r w:rsidRPr="00026EC1">
        <w:rPr>
          <w:bCs/>
        </w:rPr>
        <w:t xml:space="preserve"> ne peut cependant excéder cent pour cent (100</w:t>
      </w:r>
      <w:r w:rsidR="00714A15">
        <w:rPr>
          <w:bCs/>
        </w:rPr>
        <w:t> %</w:t>
      </w:r>
      <w:r w:rsidRPr="00026EC1">
        <w:rPr>
          <w:bCs/>
        </w:rPr>
        <w:t>) du traitement hebdomadaire de base versé par son Collège ou, le cas échéant, par ses employeurs.</w:t>
      </w:r>
    </w:p>
    <w:p w14:paraId="4CFDB409" w14:textId="77777777" w:rsidR="009F5256" w:rsidRPr="00026EC1" w:rsidRDefault="009F5256" w:rsidP="00A64613">
      <w:pPr>
        <w:keepNext w:val="0"/>
      </w:pPr>
    </w:p>
    <w:p w14:paraId="3BF0A3EC" w14:textId="7626F481" w:rsidR="009F5256" w:rsidRPr="00026EC1" w:rsidRDefault="009F5256" w:rsidP="00A64613">
      <w:pPr>
        <w:pStyle w:val="NUMRODECLAUSE"/>
        <w:keepNext w:val="0"/>
      </w:pPr>
      <w:r w:rsidRPr="00026EC1">
        <w:rPr>
          <w:spacing w:val="-2"/>
        </w:rPr>
        <w:t>5</w:t>
      </w:r>
      <w:r w:rsidR="00984A6F">
        <w:rPr>
          <w:spacing w:val="-2"/>
        </w:rPr>
        <w:noBreakHyphen/>
      </w:r>
      <w:r w:rsidRPr="00026EC1">
        <w:rPr>
          <w:spacing w:val="-2"/>
        </w:rPr>
        <w:t>6.36</w:t>
      </w:r>
      <w:r w:rsidRPr="00026EC1">
        <w:rPr>
          <w:spacing w:val="-2"/>
        </w:rPr>
        <w:tab/>
      </w:r>
      <w:r w:rsidRPr="00F563DB">
        <w:rPr>
          <w:u w:val="single"/>
        </w:rPr>
        <w:t>Cas non admissible à l</w:t>
      </w:r>
      <w:r w:rsidR="004A41E4" w:rsidRPr="00F563DB">
        <w:rPr>
          <w:u w:val="single"/>
        </w:rPr>
        <w:t>’</w:t>
      </w:r>
      <w:r w:rsidRPr="00F563DB">
        <w:rPr>
          <w:u w:val="single"/>
        </w:rPr>
        <w:t>un ou l</w:t>
      </w:r>
      <w:r w:rsidR="004A41E4" w:rsidRPr="00F563DB">
        <w:rPr>
          <w:u w:val="single"/>
        </w:rPr>
        <w:t>’</w:t>
      </w:r>
      <w:r w:rsidRPr="00F563DB">
        <w:rPr>
          <w:u w:val="single"/>
        </w:rPr>
        <w:t>autre des régimes</w:t>
      </w:r>
    </w:p>
    <w:p w14:paraId="19CD68BB" w14:textId="55E38A63" w:rsidR="004849F5" w:rsidRPr="00026EC1" w:rsidRDefault="004849F5" w:rsidP="00A64613">
      <w:pPr>
        <w:keepNext w:val="0"/>
        <w:rPr>
          <w:spacing w:val="-2"/>
          <w:szCs w:val="24"/>
        </w:rPr>
      </w:pPr>
      <w:r w:rsidRPr="00026EC1">
        <w:rPr>
          <w:bCs/>
          <w:spacing w:val="-2"/>
          <w:szCs w:val="24"/>
        </w:rPr>
        <w:t>L’enseignante ou l’enseignant non admissible aux prestations d’adoption du RQAP ni aux prestations parentales du RAE qui adopte un enfant autre que l’enfant de sa conjointe ou de son conjoint reçoit pendant le congé pour adoption prévu à la clause 5</w:t>
      </w:r>
      <w:r w:rsidR="00984A6F">
        <w:rPr>
          <w:bCs/>
          <w:spacing w:val="-2"/>
          <w:szCs w:val="24"/>
        </w:rPr>
        <w:noBreakHyphen/>
      </w:r>
      <w:r w:rsidRPr="00026EC1">
        <w:rPr>
          <w:bCs/>
          <w:spacing w:val="-2"/>
          <w:szCs w:val="24"/>
        </w:rPr>
        <w:t>6.30 une indemnité égale à son traitement hebdomadaire de base, si cette enseignante ou cet enseignant a complété vingt (20) semaines de service</w:t>
      </w:r>
      <w:r w:rsidRPr="00026EC1">
        <w:rPr>
          <w:rStyle w:val="FootnoteReference"/>
          <w:bCs/>
          <w:spacing w:val="-2"/>
          <w:szCs w:val="24"/>
        </w:rPr>
        <w:footnoteReference w:id="22"/>
      </w:r>
      <w:r w:rsidRPr="00026EC1">
        <w:rPr>
          <w:bCs/>
          <w:spacing w:val="-2"/>
          <w:szCs w:val="24"/>
        </w:rPr>
        <w:t>.</w:t>
      </w:r>
    </w:p>
    <w:p w14:paraId="78379929" w14:textId="77777777" w:rsidR="009F5256" w:rsidRPr="00026EC1" w:rsidRDefault="009F5256" w:rsidP="00A64613">
      <w:pPr>
        <w:keepNext w:val="0"/>
      </w:pPr>
    </w:p>
    <w:p w14:paraId="07FBA1D3" w14:textId="73337834" w:rsidR="009F5256" w:rsidRPr="00026EC1" w:rsidRDefault="009F5256" w:rsidP="00A64613">
      <w:pPr>
        <w:pStyle w:val="NUMRODECLAUSE"/>
        <w:keepNext w:val="0"/>
        <w:rPr>
          <w:smallCaps/>
        </w:rPr>
      </w:pPr>
      <w:r w:rsidRPr="00026EC1">
        <w:t>5</w:t>
      </w:r>
      <w:r w:rsidR="00984A6F">
        <w:noBreakHyphen/>
      </w:r>
      <w:r w:rsidRPr="00026EC1">
        <w:t>6.37</w:t>
      </w:r>
      <w:r w:rsidR="000435D8" w:rsidRPr="00026EC1">
        <w:tab/>
      </w:r>
      <w:r w:rsidRPr="00F563DB">
        <w:rPr>
          <w:u w:val="single"/>
        </w:rPr>
        <w:t>Congé sans traitement en vue d</w:t>
      </w:r>
      <w:r w:rsidR="004A41E4" w:rsidRPr="00F563DB">
        <w:rPr>
          <w:u w:val="single"/>
        </w:rPr>
        <w:t>’</w:t>
      </w:r>
      <w:r w:rsidRPr="00F563DB">
        <w:rPr>
          <w:u w:val="single"/>
        </w:rPr>
        <w:t>une adoption</w:t>
      </w:r>
    </w:p>
    <w:p w14:paraId="5B7BCCBB" w14:textId="77777777"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bénéficie, en vue de l</w:t>
      </w:r>
      <w:r w:rsidR="004A41E4" w:rsidRPr="00026EC1">
        <w:t>’</w:t>
      </w:r>
      <w:r w:rsidRPr="00026EC1">
        <w:t>adoption d</w:t>
      </w:r>
      <w:r w:rsidR="004A41E4" w:rsidRPr="00026EC1">
        <w:t>’</w:t>
      </w:r>
      <w:r w:rsidRPr="00026EC1">
        <w:t>une ou d</w:t>
      </w:r>
      <w:r w:rsidR="004A41E4" w:rsidRPr="00026EC1">
        <w:t>’</w:t>
      </w:r>
      <w:r w:rsidRPr="00026EC1">
        <w:t>un enfant, sauf s</w:t>
      </w:r>
      <w:r w:rsidR="004A41E4" w:rsidRPr="00026EC1">
        <w:t>’</w:t>
      </w:r>
      <w:r w:rsidRPr="00026EC1">
        <w:t>il s</w:t>
      </w:r>
      <w:r w:rsidR="004A41E4" w:rsidRPr="00026EC1">
        <w:t>’</w:t>
      </w:r>
      <w:r w:rsidRPr="00026EC1">
        <w:t>agit de l</w:t>
      </w:r>
      <w:r w:rsidR="004A41E4" w:rsidRPr="00026EC1">
        <w:t>’</w:t>
      </w:r>
      <w:r w:rsidRPr="00026EC1">
        <w:t>enfant de sa conjointe ou de son conjoint, d</w:t>
      </w:r>
      <w:r w:rsidR="004A41E4" w:rsidRPr="00026EC1">
        <w:t>’</w:t>
      </w:r>
      <w:r w:rsidRPr="00026EC1">
        <w:t>un congé sans traitement d</w:t>
      </w:r>
      <w:r w:rsidR="004A41E4" w:rsidRPr="00026EC1">
        <w:t>’</w:t>
      </w:r>
      <w:r w:rsidRPr="00026EC1">
        <w:t>une durée maximale de dix (10) semaines à compter de la prise en charge effective de l</w:t>
      </w:r>
      <w:r w:rsidR="004A41E4" w:rsidRPr="00026EC1">
        <w:t>’</w:t>
      </w:r>
      <w:r w:rsidRPr="00026EC1">
        <w:t xml:space="preserve">enfant. </w:t>
      </w:r>
    </w:p>
    <w:p w14:paraId="3769FACD" w14:textId="77777777" w:rsidR="009F5256" w:rsidRPr="00026EC1" w:rsidRDefault="009F5256" w:rsidP="00A64613">
      <w:pPr>
        <w:keepNext w:val="0"/>
      </w:pPr>
    </w:p>
    <w:p w14:paraId="77C74E48" w14:textId="6ED0B122"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qui se déplace hors du Québec en vue d</w:t>
      </w:r>
      <w:r w:rsidR="004A41E4" w:rsidRPr="00026EC1">
        <w:t>’</w:t>
      </w:r>
      <w:r w:rsidRPr="00026EC1">
        <w:t>une adoption, sauf s</w:t>
      </w:r>
      <w:r w:rsidR="004A41E4" w:rsidRPr="00026EC1">
        <w:t>’</w:t>
      </w:r>
      <w:r w:rsidRPr="00026EC1">
        <w:t>il s</w:t>
      </w:r>
      <w:r w:rsidR="004A41E4" w:rsidRPr="00026EC1">
        <w:t>’</w:t>
      </w:r>
      <w:r w:rsidRPr="00026EC1">
        <w:t>agit de l</w:t>
      </w:r>
      <w:r w:rsidR="004A41E4" w:rsidRPr="00026EC1">
        <w:t>’</w:t>
      </w:r>
      <w:r w:rsidRPr="00026EC1">
        <w:t>enfant de sa conjointe ou de son conjoint, obtient à cette fin, sur demande écrite adressée au Collège, si possible deux</w:t>
      </w:r>
      <w:r w:rsidR="00F563DB">
        <w:t> </w:t>
      </w:r>
      <w:r w:rsidRPr="00026EC1">
        <w:t>(2) semaines à l</w:t>
      </w:r>
      <w:r w:rsidR="004A41E4" w:rsidRPr="00026EC1">
        <w:t>’</w:t>
      </w:r>
      <w:r w:rsidRPr="00026EC1">
        <w:t xml:space="preserve">avance, un congé sans traitement pour le temps nécessaire au déplacement. </w:t>
      </w:r>
    </w:p>
    <w:p w14:paraId="341308C2" w14:textId="77777777" w:rsidR="009F5256" w:rsidRPr="00026EC1" w:rsidRDefault="009F5256" w:rsidP="00A64613">
      <w:pPr>
        <w:keepNext w:val="0"/>
      </w:pPr>
    </w:p>
    <w:p w14:paraId="5943C3D5" w14:textId="005D1D17" w:rsidR="009F5256" w:rsidRPr="00026EC1" w:rsidRDefault="009F5256" w:rsidP="00A64613">
      <w:pPr>
        <w:keepNext w:val="0"/>
        <w:rPr>
          <w:bCs/>
        </w:rPr>
      </w:pPr>
      <w:r w:rsidRPr="00026EC1">
        <w:rPr>
          <w:bCs/>
        </w:rPr>
        <w:t>Toutefois, le congé en vue d</w:t>
      </w:r>
      <w:r w:rsidR="004A41E4" w:rsidRPr="00026EC1">
        <w:rPr>
          <w:bCs/>
        </w:rPr>
        <w:t>’</w:t>
      </w:r>
      <w:r w:rsidRPr="00026EC1">
        <w:rPr>
          <w:bCs/>
        </w:rPr>
        <w:t>une adoption prend fin au plus tard la semaine suivant le début du versement des prestations du RQAP et les dispositions de la clause</w:t>
      </w:r>
      <w:r w:rsidR="00D66A8F" w:rsidRPr="00026EC1">
        <w:rPr>
          <w:bCs/>
        </w:rPr>
        <w:t> </w:t>
      </w:r>
      <w:r w:rsidRPr="00026EC1">
        <w:rPr>
          <w:bCs/>
        </w:rPr>
        <w:t>5</w:t>
      </w:r>
      <w:r w:rsidR="00984A6F">
        <w:rPr>
          <w:bCs/>
        </w:rPr>
        <w:noBreakHyphen/>
      </w:r>
      <w:r w:rsidRPr="00026EC1">
        <w:rPr>
          <w:bCs/>
        </w:rPr>
        <w:t>6.30 s</w:t>
      </w:r>
      <w:r w:rsidR="004A41E4" w:rsidRPr="00026EC1">
        <w:rPr>
          <w:bCs/>
        </w:rPr>
        <w:t>’</w:t>
      </w:r>
      <w:r w:rsidRPr="00026EC1">
        <w:rPr>
          <w:bCs/>
        </w:rPr>
        <w:t>appliquent.</w:t>
      </w:r>
    </w:p>
    <w:p w14:paraId="17BC958D" w14:textId="77777777" w:rsidR="009F5256" w:rsidRPr="00026EC1" w:rsidRDefault="009F5256" w:rsidP="00A64613">
      <w:pPr>
        <w:keepNext w:val="0"/>
      </w:pPr>
    </w:p>
    <w:p w14:paraId="38C20D87" w14:textId="016303AB" w:rsidR="009F5256" w:rsidRPr="00026EC1" w:rsidRDefault="009F5256" w:rsidP="00A64613">
      <w:pPr>
        <w:keepNext w:val="0"/>
        <w:rPr>
          <w:bCs/>
        </w:rPr>
      </w:pPr>
      <w:r w:rsidRPr="00026EC1">
        <w:t>Durant ce congé, l</w:t>
      </w:r>
      <w:r w:rsidR="004A41E4" w:rsidRPr="00026EC1">
        <w:t>’</w:t>
      </w:r>
      <w:r w:rsidRPr="00026EC1">
        <w:t>enseignante ou l</w:t>
      </w:r>
      <w:r w:rsidR="004A41E4" w:rsidRPr="00026EC1">
        <w:t>’</w:t>
      </w:r>
      <w:r w:rsidRPr="00026EC1">
        <w:t>enseignant bénéficie des mêmes avantages que ceux rattachés au congé sans traitement ou partiel sans traitement prévu à la clause 5</w:t>
      </w:r>
      <w:r w:rsidR="00984A6F">
        <w:noBreakHyphen/>
      </w:r>
      <w:r w:rsidRPr="00026EC1">
        <w:t>6.38</w:t>
      </w:r>
      <w:r w:rsidR="000435D8" w:rsidRPr="00026EC1">
        <w:t>.</w:t>
      </w:r>
    </w:p>
    <w:p w14:paraId="078DBC94" w14:textId="77777777" w:rsidR="009F5256" w:rsidRDefault="009F5256" w:rsidP="00A64613">
      <w:pPr>
        <w:keepNext w:val="0"/>
      </w:pPr>
    </w:p>
    <w:p w14:paraId="793F8093" w14:textId="12EB8518" w:rsidR="009F5256" w:rsidRPr="00026EC1" w:rsidRDefault="009F5256" w:rsidP="00A64613">
      <w:pPr>
        <w:pStyle w:val="MGSTexte0cm"/>
        <w:keepNext w:val="0"/>
        <w:rPr>
          <w:caps w:val="0"/>
        </w:rPr>
      </w:pPr>
      <w:r w:rsidRPr="00026EC1">
        <w:rPr>
          <w:caps w:val="0"/>
        </w:rPr>
        <w:t xml:space="preserve">Section VI </w:t>
      </w:r>
      <w:r w:rsidR="00370CE7" w:rsidRPr="00026EC1">
        <w:rPr>
          <w:caps w:val="0"/>
        </w:rPr>
        <w:t xml:space="preserve"> </w:t>
      </w:r>
      <w:r w:rsidR="00984A6F">
        <w:rPr>
          <w:caps w:val="0"/>
        </w:rPr>
        <w:noBreakHyphen/>
      </w:r>
      <w:r w:rsidRPr="00026EC1">
        <w:rPr>
          <w:caps w:val="0"/>
        </w:rPr>
        <w:t xml:space="preserve"> </w:t>
      </w:r>
      <w:r w:rsidR="00370CE7" w:rsidRPr="00026EC1">
        <w:rPr>
          <w:caps w:val="0"/>
        </w:rPr>
        <w:t xml:space="preserve"> </w:t>
      </w:r>
      <w:r w:rsidRPr="00026EC1">
        <w:rPr>
          <w:caps w:val="0"/>
        </w:rPr>
        <w:t>Congés sans traitement et partiel sans traitement</w:t>
      </w:r>
    </w:p>
    <w:p w14:paraId="1434722E" w14:textId="77777777" w:rsidR="009F5256" w:rsidRPr="00026EC1" w:rsidRDefault="009F5256" w:rsidP="00A64613">
      <w:pPr>
        <w:keepNext w:val="0"/>
      </w:pPr>
    </w:p>
    <w:p w14:paraId="3B0CFC0B" w14:textId="562FED1F" w:rsidR="009F5256" w:rsidRPr="00026EC1" w:rsidRDefault="009F5256" w:rsidP="00A64613">
      <w:pPr>
        <w:pStyle w:val="NUMRODECLAUSE"/>
        <w:keepNext w:val="0"/>
      </w:pPr>
      <w:r w:rsidRPr="00026EC1">
        <w:t>5</w:t>
      </w:r>
      <w:r w:rsidR="00984A6F">
        <w:noBreakHyphen/>
      </w:r>
      <w:r w:rsidRPr="00026EC1">
        <w:t>6.38</w:t>
      </w:r>
    </w:p>
    <w:p w14:paraId="7C2E07B6" w14:textId="6E3FAFE2" w:rsidR="009F5256" w:rsidRPr="00026EC1" w:rsidRDefault="00275751" w:rsidP="00A64613">
      <w:pPr>
        <w:keepNext w:val="0"/>
        <w:tabs>
          <w:tab w:val="left" w:pos="567"/>
        </w:tabs>
        <w:ind w:left="567" w:hanging="567"/>
      </w:pPr>
      <w:r w:rsidRPr="00026EC1">
        <w:t>a)</w:t>
      </w:r>
      <w:r w:rsidRPr="00026EC1">
        <w:tab/>
      </w:r>
      <w:r w:rsidR="009F5256" w:rsidRPr="00026EC1">
        <w:t>L</w:t>
      </w:r>
      <w:r w:rsidR="004A41E4" w:rsidRPr="00026EC1">
        <w:t>’</w:t>
      </w:r>
      <w:r w:rsidR="009F5256" w:rsidRPr="00026EC1">
        <w:t>enseignante ou l</w:t>
      </w:r>
      <w:r w:rsidR="004A41E4" w:rsidRPr="00026EC1">
        <w:t>’</w:t>
      </w:r>
      <w:r w:rsidR="009F5256" w:rsidRPr="00026EC1">
        <w:t>enseignant a droit à l</w:t>
      </w:r>
      <w:r w:rsidR="004A41E4" w:rsidRPr="00026EC1">
        <w:t>’</w:t>
      </w:r>
      <w:r w:rsidR="009F5256" w:rsidRPr="00026EC1">
        <w:t>un des congés suivants</w:t>
      </w:r>
      <w:r w:rsidR="00D8581B">
        <w:t> :</w:t>
      </w:r>
    </w:p>
    <w:p w14:paraId="0CEAC988" w14:textId="77777777" w:rsidR="009F5256" w:rsidRPr="00026EC1" w:rsidRDefault="009F5256" w:rsidP="00A64613">
      <w:pPr>
        <w:keepNext w:val="0"/>
      </w:pPr>
    </w:p>
    <w:p w14:paraId="264215FD" w14:textId="6DC8421C" w:rsidR="009F5256" w:rsidRPr="00026EC1" w:rsidRDefault="00275751" w:rsidP="00A64613">
      <w:pPr>
        <w:keepNext w:val="0"/>
        <w:ind w:left="1134" w:hanging="567"/>
        <w:rPr>
          <w:bCs/>
          <w:spacing w:val="-2"/>
        </w:rPr>
      </w:pPr>
      <w:r w:rsidRPr="00026EC1">
        <w:rPr>
          <w:bCs/>
          <w:spacing w:val="-2"/>
        </w:rPr>
        <w:t>1.</w:t>
      </w:r>
      <w:r w:rsidRPr="00026EC1">
        <w:rPr>
          <w:bCs/>
          <w:spacing w:val="-2"/>
        </w:rPr>
        <w:tab/>
      </w:r>
      <w:r w:rsidR="009F5256" w:rsidRPr="00026EC1">
        <w:t>un congé sans traitement ou partiel sans traitement d</w:t>
      </w:r>
      <w:r w:rsidR="004A41E4" w:rsidRPr="00026EC1">
        <w:t>’</w:t>
      </w:r>
      <w:r w:rsidR="009F5256" w:rsidRPr="00026EC1">
        <w:t>une durée maximale de deux (2) ans qui suit immédiatement le congé de maternité prévu à la clause</w:t>
      </w:r>
      <w:r w:rsidR="00D66A8F" w:rsidRPr="00026EC1">
        <w:t> </w:t>
      </w:r>
      <w:r w:rsidR="009F5256" w:rsidRPr="00026EC1">
        <w:t>5</w:t>
      </w:r>
      <w:r w:rsidR="00984A6F">
        <w:noBreakHyphen/>
      </w:r>
      <w:r w:rsidR="009F5256" w:rsidRPr="00026EC1">
        <w:t>6.06</w:t>
      </w:r>
      <w:r w:rsidR="000435D8" w:rsidRPr="00026EC1">
        <w:t>;</w:t>
      </w:r>
    </w:p>
    <w:p w14:paraId="50524B7F" w14:textId="77777777" w:rsidR="009F5256" w:rsidRPr="00026EC1" w:rsidRDefault="009F5256" w:rsidP="00A64613">
      <w:pPr>
        <w:keepNext w:val="0"/>
        <w:ind w:left="1134" w:hanging="567"/>
        <w:rPr>
          <w:bCs/>
          <w:spacing w:val="-2"/>
        </w:rPr>
      </w:pPr>
    </w:p>
    <w:p w14:paraId="00273702" w14:textId="19193A69" w:rsidR="009F5256" w:rsidRPr="00026EC1" w:rsidRDefault="00275751" w:rsidP="00A64613">
      <w:pPr>
        <w:keepNext w:val="0"/>
        <w:ind w:left="1134" w:hanging="567"/>
        <w:rPr>
          <w:bCs/>
          <w:spacing w:val="-2"/>
        </w:rPr>
      </w:pPr>
      <w:r w:rsidRPr="00026EC1">
        <w:rPr>
          <w:bCs/>
          <w:spacing w:val="-2"/>
        </w:rPr>
        <w:t>2.</w:t>
      </w:r>
      <w:r w:rsidRPr="00026EC1">
        <w:rPr>
          <w:bCs/>
          <w:spacing w:val="-2"/>
        </w:rPr>
        <w:tab/>
      </w:r>
      <w:r w:rsidR="009F5256" w:rsidRPr="00026EC1">
        <w:t>un congé sans traitement ou partiel sans traitement d</w:t>
      </w:r>
      <w:r w:rsidR="004A41E4" w:rsidRPr="00026EC1">
        <w:t>’</w:t>
      </w:r>
      <w:r w:rsidR="009F5256" w:rsidRPr="00026EC1">
        <w:t xml:space="preserve">une durée maximale de deux (2) ans qui suit immédiatement le congé de paternité </w:t>
      </w:r>
      <w:r w:rsidR="009F5256" w:rsidRPr="00026EC1">
        <w:rPr>
          <w:bCs/>
        </w:rPr>
        <w:t>prévu à la clause</w:t>
      </w:r>
      <w:r w:rsidR="00D66A8F" w:rsidRPr="00026EC1">
        <w:rPr>
          <w:bCs/>
        </w:rPr>
        <w:t> </w:t>
      </w:r>
      <w:r w:rsidR="009F5256" w:rsidRPr="00026EC1">
        <w:rPr>
          <w:bCs/>
        </w:rPr>
        <w:t>5</w:t>
      </w:r>
      <w:r w:rsidR="00984A6F">
        <w:rPr>
          <w:bCs/>
        </w:rPr>
        <w:noBreakHyphen/>
      </w:r>
      <w:r w:rsidR="009F5256" w:rsidRPr="00026EC1">
        <w:rPr>
          <w:bCs/>
        </w:rPr>
        <w:t>6.21; toutefois, la durée de ce congé ne doit pas excéder la cent vingt</w:t>
      </w:r>
      <w:r w:rsidR="00984A6F">
        <w:rPr>
          <w:bCs/>
        </w:rPr>
        <w:noBreakHyphen/>
      </w:r>
      <w:r w:rsidR="009F5256" w:rsidRPr="00026EC1">
        <w:rPr>
          <w:bCs/>
        </w:rPr>
        <w:t>cinquième (125</w:t>
      </w:r>
      <w:r w:rsidR="009F5256" w:rsidRPr="00026EC1">
        <w:rPr>
          <w:bCs/>
          <w:vertAlign w:val="superscript"/>
        </w:rPr>
        <w:t>e</w:t>
      </w:r>
      <w:r w:rsidR="009F5256" w:rsidRPr="00026EC1">
        <w:rPr>
          <w:bCs/>
        </w:rPr>
        <w:t>) semaine suivant la naissance;</w:t>
      </w:r>
    </w:p>
    <w:p w14:paraId="7B760278" w14:textId="77777777" w:rsidR="00B61A24" w:rsidRPr="00026EC1" w:rsidRDefault="00B61A24" w:rsidP="00A64613">
      <w:pPr>
        <w:keepNext w:val="0"/>
        <w:ind w:left="567"/>
        <w:rPr>
          <w:bCs/>
          <w:spacing w:val="-2"/>
        </w:rPr>
      </w:pPr>
    </w:p>
    <w:p w14:paraId="79499F04" w14:textId="263F9ED7" w:rsidR="009F5256" w:rsidRPr="00026EC1" w:rsidRDefault="00275751" w:rsidP="00A64613">
      <w:pPr>
        <w:keepNext w:val="0"/>
        <w:ind w:left="1134" w:hanging="567"/>
        <w:rPr>
          <w:bCs/>
          <w:spacing w:val="-2"/>
        </w:rPr>
      </w:pPr>
      <w:r w:rsidRPr="00026EC1">
        <w:rPr>
          <w:bCs/>
          <w:spacing w:val="-2"/>
        </w:rPr>
        <w:t>3.</w:t>
      </w:r>
      <w:r w:rsidRPr="00026EC1">
        <w:rPr>
          <w:bCs/>
          <w:spacing w:val="-2"/>
        </w:rPr>
        <w:tab/>
      </w:r>
      <w:r w:rsidR="009F5256" w:rsidRPr="00026EC1">
        <w:t>un congé sans traitement ou partiel sans traitement d</w:t>
      </w:r>
      <w:r w:rsidR="004A41E4" w:rsidRPr="00026EC1">
        <w:t>’</w:t>
      </w:r>
      <w:r w:rsidR="009F5256" w:rsidRPr="00026EC1">
        <w:t>une durée maximale de deux (2) ans qui suit immédiatement le congé d</w:t>
      </w:r>
      <w:r w:rsidR="004A41E4" w:rsidRPr="00026EC1">
        <w:t>’</w:t>
      </w:r>
      <w:r w:rsidR="009F5256" w:rsidRPr="00026EC1">
        <w:t>adoption prévu à la clause</w:t>
      </w:r>
      <w:r w:rsidR="00D66A8F" w:rsidRPr="00026EC1">
        <w:t> </w:t>
      </w:r>
      <w:r w:rsidR="009F5256" w:rsidRPr="00026EC1">
        <w:t>5</w:t>
      </w:r>
      <w:r w:rsidR="00984A6F">
        <w:noBreakHyphen/>
      </w:r>
      <w:r w:rsidR="009F5256" w:rsidRPr="00026EC1">
        <w:t>6.30;</w:t>
      </w:r>
      <w:r w:rsidR="009F5256" w:rsidRPr="00026EC1">
        <w:rPr>
          <w:bCs/>
        </w:rPr>
        <w:t xml:space="preserve"> toutefois, la durée de ce congé ne doit pas excéder la cent vingt</w:t>
      </w:r>
      <w:r w:rsidR="00984A6F">
        <w:rPr>
          <w:bCs/>
        </w:rPr>
        <w:noBreakHyphen/>
      </w:r>
      <w:r w:rsidR="009F5256" w:rsidRPr="00026EC1">
        <w:rPr>
          <w:bCs/>
        </w:rPr>
        <w:t>cinquième</w:t>
      </w:r>
      <w:r w:rsidR="00F563DB">
        <w:rPr>
          <w:bCs/>
        </w:rPr>
        <w:t> </w:t>
      </w:r>
      <w:r w:rsidR="009F5256" w:rsidRPr="00026EC1">
        <w:rPr>
          <w:bCs/>
        </w:rPr>
        <w:t>(125</w:t>
      </w:r>
      <w:r w:rsidR="009F5256" w:rsidRPr="00026EC1">
        <w:rPr>
          <w:bCs/>
          <w:vertAlign w:val="superscript"/>
        </w:rPr>
        <w:t>e</w:t>
      </w:r>
      <w:r w:rsidR="009F5256" w:rsidRPr="00026EC1">
        <w:rPr>
          <w:bCs/>
        </w:rPr>
        <w:t>) semaine suivant l</w:t>
      </w:r>
      <w:r w:rsidR="004A41E4" w:rsidRPr="00026EC1">
        <w:rPr>
          <w:bCs/>
        </w:rPr>
        <w:t>’</w:t>
      </w:r>
      <w:r w:rsidR="009F5256" w:rsidRPr="00026EC1">
        <w:rPr>
          <w:bCs/>
        </w:rPr>
        <w:t>arrivée de l</w:t>
      </w:r>
      <w:r w:rsidR="004A41E4" w:rsidRPr="00026EC1">
        <w:rPr>
          <w:bCs/>
        </w:rPr>
        <w:t>’</w:t>
      </w:r>
      <w:r w:rsidR="009F5256" w:rsidRPr="00026EC1">
        <w:rPr>
          <w:bCs/>
        </w:rPr>
        <w:t>enfant à la maison.</w:t>
      </w:r>
    </w:p>
    <w:p w14:paraId="18665A8F" w14:textId="77777777" w:rsidR="009F5256" w:rsidRPr="00026EC1" w:rsidRDefault="009F5256" w:rsidP="00A64613">
      <w:pPr>
        <w:pStyle w:val="Texte1cm00000"/>
        <w:keepNext w:val="0"/>
      </w:pPr>
    </w:p>
    <w:p w14:paraId="29ACEE67" w14:textId="13440629" w:rsidR="009F5256" w:rsidRPr="00026EC1" w:rsidRDefault="009F5256" w:rsidP="00A64613">
      <w:pPr>
        <w:pStyle w:val="Texte1cm00000"/>
        <w:keepNext w:val="0"/>
      </w:pPr>
      <w:r w:rsidRPr="00026EC1">
        <w:t>Pendant la durée de ce congé, l</w:t>
      </w:r>
      <w:r w:rsidR="004A41E4" w:rsidRPr="00026EC1">
        <w:t>’</w:t>
      </w:r>
      <w:r w:rsidRPr="00026EC1">
        <w:t>enseignante ou l</w:t>
      </w:r>
      <w:r w:rsidR="004A41E4" w:rsidRPr="00026EC1">
        <w:t>’</w:t>
      </w:r>
      <w:r w:rsidRPr="00026EC1">
        <w:t>enseignant est autorisé, à la suite d</w:t>
      </w:r>
      <w:r w:rsidR="004A41E4" w:rsidRPr="00026EC1">
        <w:t>’</w:t>
      </w:r>
      <w:r w:rsidRPr="00026EC1">
        <w:t>une demande écrite présentée au moins trente (30) jours à l</w:t>
      </w:r>
      <w:r w:rsidR="004A41E4" w:rsidRPr="00026EC1">
        <w:t>’</w:t>
      </w:r>
      <w:r w:rsidRPr="00026EC1">
        <w:t>avance, à se prévaloir une (1) fois d</w:t>
      </w:r>
      <w:r w:rsidR="004A41E4" w:rsidRPr="00026EC1">
        <w:t>’</w:t>
      </w:r>
      <w:r w:rsidRPr="00026EC1">
        <w:t>un des changements suivants, lequel doit coïncider avec le début d</w:t>
      </w:r>
      <w:r w:rsidR="004A41E4" w:rsidRPr="00026EC1">
        <w:t>’</w:t>
      </w:r>
      <w:r w:rsidRPr="00026EC1">
        <w:t>une session</w:t>
      </w:r>
      <w:r w:rsidR="00D8581B">
        <w:t> :</w:t>
      </w:r>
    </w:p>
    <w:p w14:paraId="6A429FB6" w14:textId="77777777" w:rsidR="009F5256" w:rsidRPr="00026EC1" w:rsidRDefault="009F5256" w:rsidP="00A64613">
      <w:pPr>
        <w:pStyle w:val="Texte1cm00000"/>
        <w:keepNext w:val="0"/>
      </w:pPr>
    </w:p>
    <w:p w14:paraId="18F5EF19" w14:textId="77777777" w:rsidR="009F5256" w:rsidRPr="00026EC1" w:rsidRDefault="00275751" w:rsidP="00A64613">
      <w:pPr>
        <w:keepNext w:val="0"/>
        <w:tabs>
          <w:tab w:val="left" w:pos="1134"/>
        </w:tabs>
        <w:ind w:left="1134" w:hanging="567"/>
      </w:pPr>
      <w:r w:rsidRPr="00026EC1">
        <w:t>i)</w:t>
      </w:r>
      <w:r w:rsidRPr="00026EC1">
        <w:tab/>
      </w:r>
      <w:r w:rsidR="009F5256" w:rsidRPr="00026EC1">
        <w:t>d</w:t>
      </w:r>
      <w:r w:rsidR="004A41E4" w:rsidRPr="00026EC1">
        <w:t>’</w:t>
      </w:r>
      <w:r w:rsidR="009F5256" w:rsidRPr="00026EC1">
        <w:t>un congé sans traitement à un congé partiel sans traitement ou l</w:t>
      </w:r>
      <w:r w:rsidR="004A41E4" w:rsidRPr="00026EC1">
        <w:t>’</w:t>
      </w:r>
      <w:r w:rsidR="009F5256" w:rsidRPr="00026EC1">
        <w:t>inverse, selon le cas;</w:t>
      </w:r>
    </w:p>
    <w:p w14:paraId="2DE24DBA" w14:textId="77777777" w:rsidR="009F5256" w:rsidRPr="00026EC1" w:rsidRDefault="009F5256" w:rsidP="00A64613">
      <w:pPr>
        <w:keepNext w:val="0"/>
        <w:tabs>
          <w:tab w:val="left" w:pos="1134"/>
        </w:tabs>
        <w:ind w:left="1134" w:hanging="567"/>
      </w:pPr>
    </w:p>
    <w:p w14:paraId="5DCCA286" w14:textId="77777777" w:rsidR="009F5256" w:rsidRPr="00026EC1" w:rsidRDefault="00275751" w:rsidP="00A64613">
      <w:pPr>
        <w:keepNext w:val="0"/>
        <w:tabs>
          <w:tab w:val="left" w:pos="1134"/>
        </w:tabs>
        <w:ind w:left="1134" w:hanging="567"/>
      </w:pPr>
      <w:r w:rsidRPr="00026EC1">
        <w:t>ii)</w:t>
      </w:r>
      <w:r w:rsidRPr="00026EC1">
        <w:tab/>
      </w:r>
      <w:r w:rsidR="009F5256" w:rsidRPr="00026EC1">
        <w:t>d</w:t>
      </w:r>
      <w:r w:rsidR="004A41E4" w:rsidRPr="00026EC1">
        <w:t>’</w:t>
      </w:r>
      <w:r w:rsidR="009F5256" w:rsidRPr="00026EC1">
        <w:t>un congé partiel sans traitement à un congé partiel sans traitement différent.</w:t>
      </w:r>
    </w:p>
    <w:p w14:paraId="0E83D33D" w14:textId="77777777" w:rsidR="009F5256" w:rsidRPr="00026EC1" w:rsidRDefault="009F5256" w:rsidP="00A64613">
      <w:pPr>
        <w:pStyle w:val="Texte1cm00000"/>
        <w:keepNext w:val="0"/>
      </w:pPr>
    </w:p>
    <w:p w14:paraId="724B757E" w14:textId="77777777" w:rsidR="009F5256" w:rsidRPr="00026EC1" w:rsidRDefault="009F5256" w:rsidP="00A64613">
      <w:pPr>
        <w:pStyle w:val="Texte1cm00000"/>
        <w:keepNext w:val="0"/>
      </w:pPr>
      <w:r w:rsidRPr="00026EC1">
        <w:t>L</w:t>
      </w:r>
      <w:r w:rsidR="004A41E4" w:rsidRPr="00026EC1">
        <w:t>’</w:t>
      </w:r>
      <w:r w:rsidRPr="00026EC1">
        <w:t>enseignante ou l</w:t>
      </w:r>
      <w:r w:rsidR="004A41E4" w:rsidRPr="00026EC1">
        <w:t>’</w:t>
      </w:r>
      <w:r w:rsidRPr="00026EC1">
        <w:t>enseignant qui ne se prévaut pas de son congé sans traitement ou partiel sans traitement peut, pour la portion du congé dont sa conjointe ou son conjoint ne s</w:t>
      </w:r>
      <w:r w:rsidR="004A41E4" w:rsidRPr="00026EC1">
        <w:t>’</w:t>
      </w:r>
      <w:r w:rsidRPr="00026EC1">
        <w:t>est pas prévalu, bénéficier à son choix d</w:t>
      </w:r>
      <w:r w:rsidR="004A41E4" w:rsidRPr="00026EC1">
        <w:t>’</w:t>
      </w:r>
      <w:r w:rsidRPr="00026EC1">
        <w:t>un congé sans traitement ou partiel sans traitement en suivant les formalités prévues.</w:t>
      </w:r>
    </w:p>
    <w:p w14:paraId="53E754AA" w14:textId="77777777" w:rsidR="009F5256" w:rsidRPr="00026EC1" w:rsidRDefault="009F5256" w:rsidP="00A64613">
      <w:pPr>
        <w:pStyle w:val="Texte1cm00000"/>
        <w:keepNext w:val="0"/>
      </w:pPr>
    </w:p>
    <w:p w14:paraId="6CA7DB31" w14:textId="0B8FDD86" w:rsidR="009F5256" w:rsidRPr="00026EC1" w:rsidRDefault="009F5256" w:rsidP="00A64613">
      <w:pPr>
        <w:pStyle w:val="Texte1cm00000"/>
        <w:keepNext w:val="0"/>
      </w:pPr>
      <w:r w:rsidRPr="00026EC1">
        <w:t>Lorsque la conjointe ou le conjoint de l</w:t>
      </w:r>
      <w:r w:rsidR="004A41E4" w:rsidRPr="00026EC1">
        <w:t>’</w:t>
      </w:r>
      <w:r w:rsidRPr="00026EC1">
        <w:t>enseignante ou de l</w:t>
      </w:r>
      <w:r w:rsidR="004A41E4" w:rsidRPr="00026EC1">
        <w:t>’</w:t>
      </w:r>
      <w:r w:rsidRPr="00026EC1">
        <w:t>enseignant n</w:t>
      </w:r>
      <w:r w:rsidR="004A41E4" w:rsidRPr="00026EC1">
        <w:t>’</w:t>
      </w:r>
      <w:r w:rsidRPr="00026EC1">
        <w:t>est pas une salariée ou un salarié du secteur public, l</w:t>
      </w:r>
      <w:r w:rsidR="004A41E4" w:rsidRPr="00026EC1">
        <w:t>’</w:t>
      </w:r>
      <w:r w:rsidRPr="00026EC1">
        <w:t>enseignante ou l</w:t>
      </w:r>
      <w:r w:rsidR="004A41E4" w:rsidRPr="00026EC1">
        <w:t>’</w:t>
      </w:r>
      <w:r w:rsidRPr="00026EC1">
        <w:t>enseignant peut se prévaloir d</w:t>
      </w:r>
      <w:r w:rsidR="004A41E4" w:rsidRPr="00026EC1">
        <w:t>’</w:t>
      </w:r>
      <w:r w:rsidRPr="00026EC1">
        <w:t>un congé prévu ci</w:t>
      </w:r>
      <w:r w:rsidR="00984A6F">
        <w:noBreakHyphen/>
      </w:r>
      <w:r w:rsidRPr="00026EC1">
        <w:t>dessus au moment qu</w:t>
      </w:r>
      <w:r w:rsidR="004A41E4" w:rsidRPr="00026EC1">
        <w:t>’</w:t>
      </w:r>
      <w:r w:rsidRPr="00026EC1">
        <w:t>elle ou il choisit dans les deux (2) ans qui suivent la naissance ou l</w:t>
      </w:r>
      <w:r w:rsidR="004A41E4" w:rsidRPr="00026EC1">
        <w:t>’</w:t>
      </w:r>
      <w:r w:rsidRPr="00026EC1">
        <w:t>adoption sans toutefois dépasser la date limite fixée à deux (2) ans de la naissance ou de l</w:t>
      </w:r>
      <w:r w:rsidR="004A41E4" w:rsidRPr="00026EC1">
        <w:t>’</w:t>
      </w:r>
      <w:r w:rsidRPr="00026EC1">
        <w:t>adoption;</w:t>
      </w:r>
    </w:p>
    <w:p w14:paraId="7E90D40B" w14:textId="77777777" w:rsidR="009F5256" w:rsidRPr="00026EC1" w:rsidRDefault="009F5256" w:rsidP="00A64613">
      <w:pPr>
        <w:pStyle w:val="Texte1cm00000"/>
        <w:keepNext w:val="0"/>
      </w:pPr>
    </w:p>
    <w:p w14:paraId="1523A3E8" w14:textId="49DA7844" w:rsidR="009F5256" w:rsidRPr="00026EC1" w:rsidRDefault="009F5256" w:rsidP="00A64613">
      <w:pPr>
        <w:keepNext w:val="0"/>
        <w:ind w:left="567" w:hanging="567"/>
        <w:rPr>
          <w:bCs/>
          <w:strike/>
        </w:rPr>
      </w:pPr>
      <w:r w:rsidRPr="00026EC1">
        <w:t>b)</w:t>
      </w:r>
      <w:r w:rsidRPr="00026EC1">
        <w:tab/>
        <w:t>l</w:t>
      </w:r>
      <w:r w:rsidR="004A41E4" w:rsidRPr="00026EC1">
        <w:t>’</w:t>
      </w:r>
      <w:r w:rsidRPr="00026EC1">
        <w:t>enseignante ou l</w:t>
      </w:r>
      <w:r w:rsidR="004A41E4" w:rsidRPr="00026EC1">
        <w:t>’</w:t>
      </w:r>
      <w:r w:rsidRPr="00026EC1">
        <w:t>enseignant qui ne se prévaut pas du congé prévu à l</w:t>
      </w:r>
      <w:r w:rsidR="004A41E4" w:rsidRPr="00026EC1">
        <w:t>’</w:t>
      </w:r>
      <w:r w:rsidRPr="00026EC1">
        <w:t>alinéa a) qui précède peut bénéficier, après la naissance ou l</w:t>
      </w:r>
      <w:r w:rsidR="004A41E4" w:rsidRPr="00026EC1">
        <w:t>’</w:t>
      </w:r>
      <w:r w:rsidRPr="00026EC1">
        <w:t>adoption de son enfant, d</w:t>
      </w:r>
      <w:r w:rsidR="004A41E4" w:rsidRPr="00026EC1">
        <w:t>’</w:t>
      </w:r>
      <w:r w:rsidRPr="00026EC1">
        <w:t>un congé sans traitement d</w:t>
      </w:r>
      <w:r w:rsidR="004A41E4" w:rsidRPr="00026EC1">
        <w:t>’</w:t>
      </w:r>
      <w:r w:rsidRPr="00026EC1">
        <w:t xml:space="preserve">au plus </w:t>
      </w:r>
      <w:r w:rsidR="00A56DBE" w:rsidRPr="00316277">
        <w:rPr>
          <w:rFonts w:cs="Arial"/>
        </w:rPr>
        <w:t>soixante-cinq</w:t>
      </w:r>
      <w:r w:rsidR="00D6488F" w:rsidRPr="00316277">
        <w:rPr>
          <w:rFonts w:cs="Arial"/>
        </w:rPr>
        <w:t> </w:t>
      </w:r>
      <w:r w:rsidR="00A56DBE" w:rsidRPr="00316277">
        <w:rPr>
          <w:rFonts w:cs="Arial"/>
        </w:rPr>
        <w:t>(65)</w:t>
      </w:r>
      <w:r w:rsidR="00D6488F">
        <w:rPr>
          <w:rFonts w:cs="Arial"/>
        </w:rPr>
        <w:t xml:space="preserve"> </w:t>
      </w:r>
      <w:r w:rsidRPr="00026EC1">
        <w:t>semaines continues qui commence au moment décidé par l</w:t>
      </w:r>
      <w:r w:rsidR="004A41E4" w:rsidRPr="00026EC1">
        <w:t>’</w:t>
      </w:r>
      <w:r w:rsidRPr="00026EC1">
        <w:t>enseignante ou l</w:t>
      </w:r>
      <w:r w:rsidR="004A41E4" w:rsidRPr="00026EC1">
        <w:t>’</w:t>
      </w:r>
      <w:r w:rsidRPr="00026EC1">
        <w:t xml:space="preserve">enseignant et se termine au plus tard </w:t>
      </w:r>
      <w:r w:rsidR="00D6488F" w:rsidRPr="00316277">
        <w:t>soixante-dix-huit (78)</w:t>
      </w:r>
      <w:r w:rsidR="00D6488F">
        <w:t xml:space="preserve"> </w:t>
      </w:r>
      <w:r w:rsidRPr="00026EC1">
        <w:t>semaines après la naissance ou, dans le cas d</w:t>
      </w:r>
      <w:r w:rsidR="004A41E4" w:rsidRPr="00026EC1">
        <w:t>’</w:t>
      </w:r>
      <w:r w:rsidRPr="00026EC1">
        <w:t>une adoption,</w:t>
      </w:r>
      <w:r w:rsidR="00D6488F" w:rsidRPr="00026EC1">
        <w:t xml:space="preserve"> </w:t>
      </w:r>
      <w:r w:rsidR="00D6488F" w:rsidRPr="00316277">
        <w:t>soixante-dix-huit (78)</w:t>
      </w:r>
      <w:r w:rsidRPr="00026EC1">
        <w:t xml:space="preserve"> semaines après que l</w:t>
      </w:r>
      <w:r w:rsidR="004A41E4" w:rsidRPr="00026EC1">
        <w:t>’</w:t>
      </w:r>
      <w:r w:rsidRPr="00026EC1">
        <w:t>enfant lui a été confié.</w:t>
      </w:r>
    </w:p>
    <w:p w14:paraId="1353C324" w14:textId="77777777" w:rsidR="009F5256" w:rsidRPr="00026EC1" w:rsidRDefault="009F5256" w:rsidP="00A64613">
      <w:pPr>
        <w:keepNext w:val="0"/>
        <w:rPr>
          <w:i/>
          <w:sz w:val="22"/>
          <w:szCs w:val="22"/>
        </w:rPr>
      </w:pPr>
    </w:p>
    <w:p w14:paraId="0F71F6FA" w14:textId="77777777" w:rsidR="009F5256" w:rsidRPr="00026EC1" w:rsidRDefault="009F5256" w:rsidP="00A64613">
      <w:pPr>
        <w:keepNext w:val="0"/>
        <w:rPr>
          <w:b/>
          <w:u w:val="single"/>
        </w:rPr>
      </w:pPr>
      <w:r w:rsidRPr="00026EC1">
        <w:rPr>
          <w:b/>
          <w:u w:val="single"/>
        </w:rPr>
        <w:t>Fractionnement du congé sans traitement</w:t>
      </w:r>
    </w:p>
    <w:p w14:paraId="221C7F75" w14:textId="5D44A803" w:rsidR="009F5256" w:rsidRPr="00026EC1" w:rsidRDefault="009F5256" w:rsidP="00A64613">
      <w:pPr>
        <w:keepNext w:val="0"/>
      </w:pPr>
      <w:r w:rsidRPr="00026EC1">
        <w:t>Pendant les</w:t>
      </w:r>
      <w:r w:rsidR="00D6488F" w:rsidRPr="00026EC1">
        <w:t xml:space="preserve"> </w:t>
      </w:r>
      <w:r w:rsidR="00D6488F" w:rsidRPr="00316277">
        <w:rPr>
          <w:rFonts w:cs="Arial"/>
        </w:rPr>
        <w:t>soixante-cinq (65)</w:t>
      </w:r>
      <w:r w:rsidRPr="00026EC1">
        <w:t xml:space="preserve"> premières semaines du congé sans traitement prévu à la présente clause, l</w:t>
      </w:r>
      <w:r w:rsidR="004A41E4" w:rsidRPr="00026EC1">
        <w:t>’</w:t>
      </w:r>
      <w:r w:rsidRPr="00026EC1">
        <w:t>enseignante ou l</w:t>
      </w:r>
      <w:r w:rsidR="004A41E4" w:rsidRPr="00026EC1">
        <w:t>’</w:t>
      </w:r>
      <w:r w:rsidRPr="00026EC1">
        <w:t>enseignant peut fractionner son congé sans traitement à temps complet pour l</w:t>
      </w:r>
      <w:r w:rsidR="004A41E4" w:rsidRPr="00026EC1">
        <w:t>’</w:t>
      </w:r>
      <w:r w:rsidRPr="00026EC1">
        <w:t>une ou l</w:t>
      </w:r>
      <w:r w:rsidR="004A41E4" w:rsidRPr="00026EC1">
        <w:t>’</w:t>
      </w:r>
      <w:r w:rsidRPr="00026EC1">
        <w:t>autre des raisons mentionnées à l</w:t>
      </w:r>
      <w:r w:rsidR="004A41E4" w:rsidRPr="00026EC1">
        <w:t>’</w:t>
      </w:r>
      <w:r w:rsidRPr="00026EC1">
        <w:t>alinéa</w:t>
      </w:r>
      <w:r w:rsidR="00D66A8F" w:rsidRPr="00026EC1">
        <w:t> </w:t>
      </w:r>
      <w:r w:rsidRPr="00026EC1">
        <w:t>B) de la clause</w:t>
      </w:r>
      <w:r w:rsidR="00D66A8F" w:rsidRPr="00026EC1">
        <w:t> </w:t>
      </w:r>
      <w:r w:rsidRPr="00026EC1">
        <w:t>5</w:t>
      </w:r>
      <w:r w:rsidR="00984A6F">
        <w:noBreakHyphen/>
      </w:r>
      <w:r w:rsidRPr="00026EC1">
        <w:t>6.10, 5</w:t>
      </w:r>
      <w:r w:rsidR="00984A6F">
        <w:noBreakHyphen/>
      </w:r>
      <w:r w:rsidRPr="00026EC1">
        <w:t>6.23 ou 5</w:t>
      </w:r>
      <w:r w:rsidR="00984A6F">
        <w:noBreakHyphen/>
      </w:r>
      <w:r w:rsidRPr="00026EC1">
        <w:t>6.32 et selon les modalités qui y sont prévues.</w:t>
      </w:r>
    </w:p>
    <w:p w14:paraId="3A526C8B" w14:textId="77777777" w:rsidR="009F5256" w:rsidRPr="00026EC1" w:rsidRDefault="009F5256" w:rsidP="00A64613">
      <w:pPr>
        <w:pStyle w:val="ListParagraph"/>
        <w:suppressAutoHyphens/>
        <w:ind w:left="284" w:hanging="284"/>
        <w:rPr>
          <w:szCs w:val="24"/>
        </w:rPr>
      </w:pPr>
    </w:p>
    <w:p w14:paraId="071ADD74" w14:textId="6FA584E6" w:rsidR="009F5256" w:rsidRDefault="009F5256" w:rsidP="00A64613">
      <w:pPr>
        <w:keepNext w:val="0"/>
      </w:pPr>
      <w:r w:rsidRPr="00026EC1">
        <w:t>Durant un tel fractionnement, l</w:t>
      </w:r>
      <w:r w:rsidR="004A41E4" w:rsidRPr="00026EC1">
        <w:t>’</w:t>
      </w:r>
      <w:r w:rsidRPr="00026EC1">
        <w:t>enseignante ou l</w:t>
      </w:r>
      <w:r w:rsidR="004A41E4" w:rsidRPr="00026EC1">
        <w:t>’</w:t>
      </w:r>
      <w:r w:rsidRPr="00026EC1">
        <w:t>enseignant ne reçoit du Collège ni indemnité ni prestation; elle ou il bénéficie des avantages prévus aux clauses</w:t>
      </w:r>
      <w:r w:rsidR="00D66A8F" w:rsidRPr="00026EC1">
        <w:t> </w:t>
      </w:r>
      <w:r w:rsidRPr="00026EC1">
        <w:t>5</w:t>
      </w:r>
      <w:r w:rsidR="00984A6F">
        <w:noBreakHyphen/>
      </w:r>
      <w:r w:rsidRPr="00026EC1">
        <w:t>6.56 et 5</w:t>
      </w:r>
      <w:r w:rsidR="00984A6F">
        <w:noBreakHyphen/>
      </w:r>
      <w:r w:rsidRPr="00026EC1">
        <w:t>6.58.</w:t>
      </w:r>
    </w:p>
    <w:p w14:paraId="3BE86FBB" w14:textId="77777777" w:rsidR="00D6488F" w:rsidRDefault="00D6488F" w:rsidP="00D6488F">
      <w:pPr>
        <w:keepNext w:val="0"/>
      </w:pPr>
    </w:p>
    <w:p w14:paraId="568D019A" w14:textId="42AAC7FC" w:rsidR="00B27F92" w:rsidRDefault="00D6488F" w:rsidP="00D6488F">
      <w:pPr>
        <w:keepNext w:val="0"/>
        <w:rPr>
          <w:rFonts w:cs="Arial"/>
          <w:szCs w:val="24"/>
        </w:rPr>
      </w:pPr>
      <w:r w:rsidRPr="00316277">
        <w:rPr>
          <w:rFonts w:cs="Arial"/>
          <w:szCs w:val="24"/>
        </w:rPr>
        <w:t>De plus, avant l’expiration des soixante-cinq (65) premières semaines de son congé sans traitement à temps complet, l’enseignante ou l’enseignant peut fractionner son congé en semaines si elle ou il en fait la demande et que le Collège y consent.</w:t>
      </w:r>
    </w:p>
    <w:p w14:paraId="2CC6EBD6" w14:textId="77777777" w:rsidR="00B27F92" w:rsidRDefault="00B27F92">
      <w:pPr>
        <w:keepNext w:val="0"/>
        <w:suppressAutoHyphens w:val="0"/>
        <w:jc w:val="left"/>
        <w:rPr>
          <w:rFonts w:cs="Arial"/>
          <w:szCs w:val="24"/>
        </w:rPr>
      </w:pPr>
      <w:r>
        <w:rPr>
          <w:rFonts w:cs="Arial"/>
          <w:szCs w:val="24"/>
        </w:rPr>
        <w:br w:type="page"/>
      </w:r>
    </w:p>
    <w:p w14:paraId="35D2E334" w14:textId="562BE38B" w:rsidR="009F5256" w:rsidRPr="00026EC1" w:rsidRDefault="009F5256" w:rsidP="00A64613">
      <w:pPr>
        <w:pStyle w:val="NUMRODECLAUSE"/>
        <w:keepNext w:val="0"/>
      </w:pPr>
      <w:r w:rsidRPr="00026EC1">
        <w:t>5</w:t>
      </w:r>
      <w:r w:rsidR="00984A6F">
        <w:noBreakHyphen/>
      </w:r>
      <w:r w:rsidRPr="00026EC1">
        <w:t>6.39</w:t>
      </w:r>
    </w:p>
    <w:p w14:paraId="76631C67" w14:textId="65AB7E14" w:rsidR="009F5256" w:rsidRPr="00026EC1" w:rsidRDefault="009F5256" w:rsidP="00A64613">
      <w:pPr>
        <w:keepNext w:val="0"/>
      </w:pPr>
      <w:r w:rsidRPr="00026EC1">
        <w:t>À l</w:t>
      </w:r>
      <w:r w:rsidR="004A41E4" w:rsidRPr="00026EC1">
        <w:t>’</w:t>
      </w:r>
      <w:r w:rsidRPr="00026EC1">
        <w:t>expiration du congé sans traitement ou partiel sans traitement prévu</w:t>
      </w:r>
      <w:r w:rsidRPr="00026EC1">
        <w:rPr>
          <w:b/>
        </w:rPr>
        <w:t xml:space="preserve"> </w:t>
      </w:r>
      <w:r w:rsidRPr="00026EC1">
        <w:t>à la clause 5</w:t>
      </w:r>
      <w:r w:rsidR="00984A6F">
        <w:noBreakHyphen/>
      </w:r>
      <w:r w:rsidRPr="00026EC1">
        <w:t>6.38, l</w:t>
      </w:r>
      <w:r w:rsidR="004A41E4" w:rsidRPr="00026EC1">
        <w:t>’</w:t>
      </w:r>
      <w:r w:rsidRPr="00026EC1">
        <w:t>enseignante ou l</w:t>
      </w:r>
      <w:r w:rsidR="004A41E4" w:rsidRPr="00026EC1">
        <w:t>’</w:t>
      </w:r>
      <w:r w:rsidRPr="00026EC1">
        <w:t>enseignant reprend, au début de la session qui suit la fin de son congé ou encore à la date qu</w:t>
      </w:r>
      <w:r w:rsidR="004A41E4" w:rsidRPr="00026EC1">
        <w:t>’</w:t>
      </w:r>
      <w:r w:rsidRPr="00026EC1">
        <w:t>elle ou il aura indiquée dès son départ, soit son poste ou sa charge</w:t>
      </w:r>
      <w:r w:rsidR="002E376D" w:rsidRPr="00026EC1">
        <w:t>,</w:t>
      </w:r>
      <w:r w:rsidRPr="00026EC1">
        <w:t xml:space="preserve"> </w:t>
      </w:r>
      <w:r w:rsidRPr="00026EC1">
        <w:rPr>
          <w:rFonts w:cs="Arial"/>
          <w:szCs w:val="24"/>
        </w:rPr>
        <w:t>soit le poste ou la charge qu</w:t>
      </w:r>
      <w:r w:rsidR="004A41E4" w:rsidRPr="00026EC1">
        <w:rPr>
          <w:rFonts w:cs="Arial"/>
          <w:szCs w:val="24"/>
        </w:rPr>
        <w:t>’</w:t>
      </w:r>
      <w:r w:rsidRPr="00026EC1">
        <w:rPr>
          <w:rFonts w:cs="Arial"/>
          <w:szCs w:val="24"/>
        </w:rPr>
        <w:t>elle ou il aurait obtenu à sa demande si elle ou il avait été au travail, sous réserve des dispositions de la convention collective relatives à l</w:t>
      </w:r>
      <w:r w:rsidR="004A41E4" w:rsidRPr="00026EC1">
        <w:rPr>
          <w:rFonts w:cs="Arial"/>
          <w:szCs w:val="24"/>
        </w:rPr>
        <w:t>’</w:t>
      </w:r>
      <w:r w:rsidRPr="00026EC1">
        <w:rPr>
          <w:rFonts w:cs="Arial"/>
          <w:szCs w:val="24"/>
        </w:rPr>
        <w:t>engagement et à la sécurité d</w:t>
      </w:r>
      <w:r w:rsidR="004A41E4" w:rsidRPr="00026EC1">
        <w:rPr>
          <w:rFonts w:cs="Arial"/>
          <w:szCs w:val="24"/>
        </w:rPr>
        <w:t>’</w:t>
      </w:r>
      <w:r w:rsidRPr="00026EC1">
        <w:rPr>
          <w:rFonts w:cs="Arial"/>
          <w:szCs w:val="24"/>
        </w:rPr>
        <w:t>emploi</w:t>
      </w:r>
      <w:r w:rsidR="00975B8C" w:rsidRPr="00026EC1">
        <w:rPr>
          <w:rFonts w:cs="Arial"/>
          <w:szCs w:val="24"/>
        </w:rPr>
        <w:t>.</w:t>
      </w:r>
    </w:p>
    <w:p w14:paraId="53458571" w14:textId="77777777" w:rsidR="00F86547" w:rsidRPr="00026EC1" w:rsidRDefault="00F86547" w:rsidP="00A64613">
      <w:pPr>
        <w:keepNext w:val="0"/>
        <w:rPr>
          <w:b/>
          <w:u w:val="single"/>
        </w:rPr>
      </w:pPr>
    </w:p>
    <w:p w14:paraId="2D1D1ACA" w14:textId="77777777" w:rsidR="009F5256" w:rsidRPr="00026EC1" w:rsidRDefault="009F5256" w:rsidP="00A64613">
      <w:pPr>
        <w:keepNext w:val="0"/>
        <w:rPr>
          <w:caps/>
        </w:rPr>
      </w:pPr>
      <w:r w:rsidRPr="00026EC1">
        <w:rPr>
          <w:b/>
          <w:u w:val="single"/>
        </w:rPr>
        <w:t>Autres congés sans traitement</w:t>
      </w:r>
    </w:p>
    <w:p w14:paraId="50998FF3" w14:textId="77777777" w:rsidR="009F5256" w:rsidRPr="00026EC1" w:rsidRDefault="009F5256" w:rsidP="00A64613">
      <w:pPr>
        <w:keepNext w:val="0"/>
      </w:pPr>
    </w:p>
    <w:p w14:paraId="2E342B94" w14:textId="40EA6479" w:rsidR="009F5256" w:rsidRPr="00026EC1" w:rsidRDefault="009F5256" w:rsidP="00A64613">
      <w:pPr>
        <w:pStyle w:val="NUMRODECLAUSE"/>
        <w:keepNext w:val="0"/>
      </w:pPr>
      <w:r w:rsidRPr="00026EC1">
        <w:t>5</w:t>
      </w:r>
      <w:r w:rsidR="00984A6F">
        <w:noBreakHyphen/>
      </w:r>
      <w:r w:rsidRPr="00026EC1">
        <w:t>6.40</w:t>
      </w:r>
    </w:p>
    <w:p w14:paraId="22789F7D" w14:textId="3B123D0E" w:rsidR="009F5256" w:rsidRPr="00026EC1" w:rsidRDefault="00275751" w:rsidP="00A64613">
      <w:pPr>
        <w:keepNext w:val="0"/>
        <w:tabs>
          <w:tab w:val="left" w:pos="567"/>
        </w:tabs>
        <w:ind w:left="567" w:hanging="567"/>
      </w:pPr>
      <w:r w:rsidRPr="00026EC1">
        <w:t>a)</w:t>
      </w:r>
      <w:r w:rsidRPr="00026EC1">
        <w:tab/>
      </w:r>
      <w:r w:rsidR="009F5256" w:rsidRPr="00026EC1">
        <w:t>À l</w:t>
      </w:r>
      <w:r w:rsidR="004A41E4" w:rsidRPr="00026EC1">
        <w:t>’</w:t>
      </w:r>
      <w:r w:rsidR="009F5256" w:rsidRPr="00026EC1">
        <w:t>expiration de l</w:t>
      </w:r>
      <w:r w:rsidR="004A41E4" w:rsidRPr="00026EC1">
        <w:t>’</w:t>
      </w:r>
      <w:r w:rsidR="009F5256" w:rsidRPr="00026EC1">
        <w:t>un ou l</w:t>
      </w:r>
      <w:r w:rsidR="004A41E4" w:rsidRPr="00026EC1">
        <w:t>’</w:t>
      </w:r>
      <w:r w:rsidR="009F5256" w:rsidRPr="00026EC1">
        <w:t>autre des congés prévus aux clauses 5</w:t>
      </w:r>
      <w:r w:rsidR="00984A6F">
        <w:noBreakHyphen/>
      </w:r>
      <w:r w:rsidR="009F5256" w:rsidRPr="00026EC1">
        <w:t>6.06, 5</w:t>
      </w:r>
      <w:r w:rsidR="00984A6F">
        <w:noBreakHyphen/>
      </w:r>
      <w:r w:rsidR="009F5256" w:rsidRPr="00026EC1">
        <w:t>6.21</w:t>
      </w:r>
      <w:r w:rsidR="003C16E8" w:rsidRPr="00026EC1">
        <w:t>,</w:t>
      </w:r>
      <w:r w:rsidR="009F5256" w:rsidRPr="00026EC1">
        <w:t xml:space="preserve"> 5</w:t>
      </w:r>
      <w:r w:rsidR="00984A6F">
        <w:noBreakHyphen/>
      </w:r>
      <w:r w:rsidR="009F5256" w:rsidRPr="00026EC1">
        <w:t>6.30</w:t>
      </w:r>
      <w:r w:rsidR="009F5256" w:rsidRPr="00026EC1">
        <w:rPr>
          <w:bCs/>
        </w:rPr>
        <w:t xml:space="preserve"> et 5</w:t>
      </w:r>
      <w:r w:rsidR="00984A6F">
        <w:rPr>
          <w:bCs/>
        </w:rPr>
        <w:noBreakHyphen/>
      </w:r>
      <w:r w:rsidR="009F5256" w:rsidRPr="00026EC1">
        <w:rPr>
          <w:bCs/>
        </w:rPr>
        <w:t>6.38</w:t>
      </w:r>
      <w:r w:rsidR="009F5256" w:rsidRPr="00026EC1">
        <w:rPr>
          <w:bCs/>
          <w:i/>
        </w:rPr>
        <w:t>,</w:t>
      </w:r>
      <w:r w:rsidR="009F5256" w:rsidRPr="00026EC1">
        <w:t xml:space="preserve"> l</w:t>
      </w:r>
      <w:r w:rsidR="004A41E4" w:rsidRPr="00026EC1">
        <w:t>’</w:t>
      </w:r>
      <w:r w:rsidR="009F5256" w:rsidRPr="00026EC1">
        <w:t>enseignante ou l</w:t>
      </w:r>
      <w:r w:rsidR="004A41E4" w:rsidRPr="00026EC1">
        <w:t>’</w:t>
      </w:r>
      <w:r w:rsidR="009F5256" w:rsidRPr="00026EC1">
        <w:t>enseignant permanent peut, si elle ou il le désire, travailler à demi</w:t>
      </w:r>
      <w:r w:rsidR="00984A6F">
        <w:noBreakHyphen/>
      </w:r>
      <w:r w:rsidR="009F5256" w:rsidRPr="00026EC1">
        <w:t>temps à son Collège, pendant une période n</w:t>
      </w:r>
      <w:r w:rsidR="004A41E4" w:rsidRPr="00026EC1">
        <w:t>’</w:t>
      </w:r>
      <w:r w:rsidR="009F5256" w:rsidRPr="00026EC1">
        <w:t>excédant pas deux (2) années consécutives. Elle ou il en avise le Collège par écrit avant le 1</w:t>
      </w:r>
      <w:r w:rsidR="009F5256" w:rsidRPr="00026EC1">
        <w:rPr>
          <w:vertAlign w:val="superscript"/>
        </w:rPr>
        <w:t>er</w:t>
      </w:r>
      <w:r w:rsidR="009F5256" w:rsidRPr="00026EC1">
        <w:t> novembre, le 1</w:t>
      </w:r>
      <w:r w:rsidR="009F5256" w:rsidRPr="00026EC1">
        <w:rPr>
          <w:vertAlign w:val="superscript"/>
        </w:rPr>
        <w:t>er</w:t>
      </w:r>
      <w:r w:rsidR="009F5256" w:rsidRPr="00026EC1">
        <w:t> mars ou le 1</w:t>
      </w:r>
      <w:r w:rsidR="009F5256" w:rsidRPr="00026EC1">
        <w:rPr>
          <w:vertAlign w:val="superscript"/>
        </w:rPr>
        <w:t>er</w:t>
      </w:r>
      <w:r w:rsidR="009F5256" w:rsidRPr="00026EC1">
        <w:t> juin, selon le cas. Elle ou il continue d</w:t>
      </w:r>
      <w:r w:rsidR="004A41E4" w:rsidRPr="00026EC1">
        <w:t>’</w:t>
      </w:r>
      <w:r w:rsidR="009F5256" w:rsidRPr="00026EC1">
        <w:t>accumuler son ancienneté, aux fins d</w:t>
      </w:r>
      <w:r w:rsidR="004A41E4" w:rsidRPr="00026EC1">
        <w:t>’</w:t>
      </w:r>
      <w:r w:rsidR="009F5256" w:rsidRPr="00026EC1">
        <w:t>interprétation et d</w:t>
      </w:r>
      <w:r w:rsidR="004A41E4" w:rsidRPr="00026EC1">
        <w:t>’</w:t>
      </w:r>
      <w:r w:rsidR="009F5256" w:rsidRPr="00026EC1">
        <w:t>application de l</w:t>
      </w:r>
      <w:r w:rsidR="004A41E4" w:rsidRPr="00026EC1">
        <w:t>’</w:t>
      </w:r>
      <w:r w:rsidR="009F5256" w:rsidRPr="00026EC1">
        <w:t>article 5</w:t>
      </w:r>
      <w:r w:rsidR="00984A6F">
        <w:noBreakHyphen/>
      </w:r>
      <w:r w:rsidR="009F5256" w:rsidRPr="00026EC1">
        <w:t>4.00, comme si elle ou il était à temps complet. Elle ou il maintient aussi sa permanence;</w:t>
      </w:r>
    </w:p>
    <w:p w14:paraId="088B4645" w14:textId="77777777" w:rsidR="009F5256" w:rsidRPr="00026EC1" w:rsidRDefault="009F5256" w:rsidP="00A64613">
      <w:pPr>
        <w:keepNext w:val="0"/>
      </w:pPr>
    </w:p>
    <w:p w14:paraId="62137FF5" w14:textId="2C0AA40C" w:rsidR="009F5256" w:rsidRPr="00026EC1" w:rsidRDefault="00275751" w:rsidP="00A64613">
      <w:pPr>
        <w:keepNext w:val="0"/>
        <w:tabs>
          <w:tab w:val="left" w:pos="567"/>
        </w:tabs>
        <w:ind w:left="567" w:hanging="567"/>
      </w:pPr>
      <w:r w:rsidRPr="00026EC1">
        <w:t>b)</w:t>
      </w:r>
      <w:r w:rsidRPr="00026EC1">
        <w:tab/>
      </w:r>
      <w:r w:rsidR="009F5256" w:rsidRPr="00026EC1">
        <w:t>à l</w:t>
      </w:r>
      <w:r w:rsidR="004A41E4" w:rsidRPr="00026EC1">
        <w:t>’</w:t>
      </w:r>
      <w:r w:rsidR="009F5256" w:rsidRPr="00026EC1">
        <w:t>expiration de l</w:t>
      </w:r>
      <w:r w:rsidR="004A41E4" w:rsidRPr="00026EC1">
        <w:t>’</w:t>
      </w:r>
      <w:r w:rsidR="009F5256" w:rsidRPr="00026EC1">
        <w:t>un ou l</w:t>
      </w:r>
      <w:r w:rsidR="004A41E4" w:rsidRPr="00026EC1">
        <w:t>’</w:t>
      </w:r>
      <w:r w:rsidR="009F5256" w:rsidRPr="00026EC1">
        <w:t>autre des congés prévus aux clauses 5</w:t>
      </w:r>
      <w:r w:rsidR="00984A6F">
        <w:noBreakHyphen/>
      </w:r>
      <w:r w:rsidR="009F5256" w:rsidRPr="00026EC1">
        <w:t>6.06, 5</w:t>
      </w:r>
      <w:r w:rsidR="00984A6F">
        <w:noBreakHyphen/>
      </w:r>
      <w:r w:rsidR="009F5256" w:rsidRPr="00026EC1">
        <w:t>6.21 et 5</w:t>
      </w:r>
      <w:r w:rsidR="00984A6F">
        <w:noBreakHyphen/>
      </w:r>
      <w:r w:rsidR="009F5256" w:rsidRPr="00026EC1">
        <w:t>6.30</w:t>
      </w:r>
      <w:r w:rsidR="009F5256" w:rsidRPr="00026EC1">
        <w:rPr>
          <w:bCs/>
        </w:rPr>
        <w:t xml:space="preserve">, </w:t>
      </w:r>
      <w:r w:rsidR="009F5256" w:rsidRPr="00026EC1">
        <w:t>l</w:t>
      </w:r>
      <w:r w:rsidR="004A41E4" w:rsidRPr="00026EC1">
        <w:t>’</w:t>
      </w:r>
      <w:r w:rsidR="009F5256" w:rsidRPr="00026EC1">
        <w:t>enseignante ou l</w:t>
      </w:r>
      <w:r w:rsidR="004A41E4" w:rsidRPr="00026EC1">
        <w:t>’</w:t>
      </w:r>
      <w:r w:rsidR="009F5256" w:rsidRPr="00026EC1">
        <w:t>enseignant non permanent peut, si elle ou il le désire, travailler à demi</w:t>
      </w:r>
      <w:r w:rsidR="00984A6F">
        <w:noBreakHyphen/>
      </w:r>
      <w:r w:rsidR="009F5256" w:rsidRPr="00026EC1">
        <w:t>temps à son Collège, jusqu</w:t>
      </w:r>
      <w:r w:rsidR="004A41E4" w:rsidRPr="00026EC1">
        <w:t>’</w:t>
      </w:r>
      <w:r w:rsidR="009F5256" w:rsidRPr="00026EC1">
        <w:t>à l</w:t>
      </w:r>
      <w:r w:rsidR="004A41E4" w:rsidRPr="00026EC1">
        <w:t>’</w:t>
      </w:r>
      <w:r w:rsidR="009F5256" w:rsidRPr="00026EC1">
        <w:t>expiration de son contrat;</w:t>
      </w:r>
    </w:p>
    <w:p w14:paraId="2120D15E" w14:textId="77777777" w:rsidR="009F5256" w:rsidRPr="00026EC1" w:rsidRDefault="009F5256" w:rsidP="00A64613">
      <w:pPr>
        <w:keepNext w:val="0"/>
      </w:pPr>
    </w:p>
    <w:p w14:paraId="030CC431" w14:textId="77777777" w:rsidR="009F5256" w:rsidRPr="00026EC1" w:rsidRDefault="00275751" w:rsidP="00A64613">
      <w:pPr>
        <w:keepNext w:val="0"/>
        <w:tabs>
          <w:tab w:val="left" w:pos="567"/>
        </w:tabs>
        <w:ind w:left="567" w:hanging="567"/>
      </w:pPr>
      <w:r w:rsidRPr="00026EC1">
        <w:t>c)</w:t>
      </w:r>
      <w:r w:rsidRPr="00026EC1">
        <w:tab/>
      </w:r>
      <w:r w:rsidR="009F5256" w:rsidRPr="00026EC1">
        <w:t>sous réserve des alinéas a) et b) qui précèdent, cette enseignante ou cet enseignant est considéré à temps partiel aux fins du salaire, de l</w:t>
      </w:r>
      <w:r w:rsidR="004A41E4" w:rsidRPr="00026EC1">
        <w:t>’</w:t>
      </w:r>
      <w:r w:rsidR="009F5256" w:rsidRPr="00026EC1">
        <w:t>évaluation de l</w:t>
      </w:r>
      <w:r w:rsidR="004A41E4" w:rsidRPr="00026EC1">
        <w:t>’</w:t>
      </w:r>
      <w:r w:rsidR="009F5256" w:rsidRPr="00026EC1">
        <w:t>expérience et de la participation aux avantages sociaux.</w:t>
      </w:r>
    </w:p>
    <w:p w14:paraId="1BCF3264" w14:textId="375709B9" w:rsidR="00F35921" w:rsidRPr="00026EC1" w:rsidRDefault="00F35921" w:rsidP="00A64613">
      <w:pPr>
        <w:pStyle w:val="NUMRODECLAUSE"/>
        <w:keepNext w:val="0"/>
      </w:pPr>
    </w:p>
    <w:p w14:paraId="76CCEEB5" w14:textId="64128F62" w:rsidR="009F5256" w:rsidRPr="00026EC1" w:rsidRDefault="009F5256" w:rsidP="00A64613">
      <w:pPr>
        <w:pStyle w:val="NUMRODECLAUSE"/>
        <w:keepNext w:val="0"/>
        <w:rPr>
          <w:rFonts w:ascii="Arial Gras" w:hAnsi="Arial Gras"/>
        </w:rPr>
      </w:pPr>
      <w:r w:rsidRPr="00026EC1">
        <w:t>5</w:t>
      </w:r>
      <w:r w:rsidR="00984A6F">
        <w:noBreakHyphen/>
      </w:r>
      <w:r w:rsidRPr="00026EC1">
        <w:t>6.41</w:t>
      </w:r>
    </w:p>
    <w:p w14:paraId="2EEE986E" w14:textId="3573E4C3" w:rsidR="00A92B25" w:rsidRDefault="009F5256" w:rsidP="00A64613">
      <w:pPr>
        <w:keepNext w:val="0"/>
      </w:pPr>
      <w:r w:rsidRPr="00026EC1">
        <w:t>L</w:t>
      </w:r>
      <w:r w:rsidR="004A41E4" w:rsidRPr="00026EC1">
        <w:t>’</w:t>
      </w:r>
      <w:r w:rsidRPr="00026EC1">
        <w:t>enseignante ou l</w:t>
      </w:r>
      <w:r w:rsidR="004A41E4" w:rsidRPr="00026EC1">
        <w:t>’</w:t>
      </w:r>
      <w:r w:rsidRPr="00026EC1">
        <w:t>enseignant qui se prévaut des dispositions de l</w:t>
      </w:r>
      <w:r w:rsidR="004A41E4" w:rsidRPr="00026EC1">
        <w:t>’</w:t>
      </w:r>
      <w:r w:rsidRPr="00026EC1">
        <w:t>alinéa a) de la clause 5</w:t>
      </w:r>
      <w:r w:rsidR="00984A6F">
        <w:noBreakHyphen/>
      </w:r>
      <w:r w:rsidRPr="00026EC1">
        <w:t>6.40 est réputé à temps complet aux fins de l</w:t>
      </w:r>
      <w:r w:rsidR="004A41E4" w:rsidRPr="00026EC1">
        <w:t>’</w:t>
      </w:r>
      <w:r w:rsidRPr="00026EC1">
        <w:t>application des dispositions prévues à l</w:t>
      </w:r>
      <w:r w:rsidR="004A41E4" w:rsidRPr="00026EC1">
        <w:t>’</w:t>
      </w:r>
      <w:r w:rsidRPr="00026EC1">
        <w:t>article 5</w:t>
      </w:r>
      <w:r w:rsidR="00984A6F">
        <w:noBreakHyphen/>
      </w:r>
      <w:r w:rsidRPr="00026EC1">
        <w:t>4.00 durant l</w:t>
      </w:r>
      <w:r w:rsidR="004A41E4" w:rsidRPr="00026EC1">
        <w:t>’</w:t>
      </w:r>
      <w:r w:rsidRPr="00026EC1">
        <w:t>année ou les années de son engagement à demi</w:t>
      </w:r>
      <w:r w:rsidR="00984A6F">
        <w:noBreakHyphen/>
      </w:r>
      <w:r w:rsidRPr="00026EC1">
        <w:t>temps.</w:t>
      </w:r>
    </w:p>
    <w:p w14:paraId="125A8569" w14:textId="0BCF2A50" w:rsidR="00F563DB" w:rsidRDefault="00F563DB">
      <w:pPr>
        <w:keepNext w:val="0"/>
        <w:suppressAutoHyphens w:val="0"/>
        <w:jc w:val="left"/>
      </w:pPr>
    </w:p>
    <w:p w14:paraId="35BCD1A1" w14:textId="58991379" w:rsidR="009F5256" w:rsidRPr="00026EC1" w:rsidRDefault="009F5256" w:rsidP="00A64613">
      <w:pPr>
        <w:keepNext w:val="0"/>
        <w:rPr>
          <w:rFonts w:ascii="Arial Gras" w:hAnsi="Arial Gras"/>
          <w:b/>
        </w:rPr>
      </w:pPr>
      <w:r w:rsidRPr="00026EC1">
        <w:rPr>
          <w:b/>
        </w:rPr>
        <w:t>5</w:t>
      </w:r>
      <w:r w:rsidR="00984A6F">
        <w:rPr>
          <w:b/>
        </w:rPr>
        <w:noBreakHyphen/>
      </w:r>
      <w:r w:rsidRPr="00026EC1">
        <w:rPr>
          <w:b/>
        </w:rPr>
        <w:t>6.42</w:t>
      </w:r>
    </w:p>
    <w:p w14:paraId="27C2E814" w14:textId="5A326FAB" w:rsidR="009F5256" w:rsidRPr="00026EC1" w:rsidRDefault="009F5256" w:rsidP="00A64613">
      <w:pPr>
        <w:keepNext w:val="0"/>
      </w:pPr>
      <w:r w:rsidRPr="00026EC1">
        <w:t>Si l</w:t>
      </w:r>
      <w:r w:rsidR="004A41E4" w:rsidRPr="00026EC1">
        <w:t>’</w:t>
      </w:r>
      <w:r w:rsidRPr="00026EC1">
        <w:t>enseignante ou l</w:t>
      </w:r>
      <w:r w:rsidR="004A41E4" w:rsidRPr="00026EC1">
        <w:t>’</w:t>
      </w:r>
      <w:r w:rsidRPr="00026EC1">
        <w:t>enseignant s</w:t>
      </w:r>
      <w:r w:rsidR="004A41E4" w:rsidRPr="00026EC1">
        <w:t>’</w:t>
      </w:r>
      <w:r w:rsidRPr="00026EC1">
        <w:t>est prévalu de la clause 5</w:t>
      </w:r>
      <w:r w:rsidR="00984A6F">
        <w:noBreakHyphen/>
      </w:r>
      <w:r w:rsidRPr="00026EC1">
        <w:t>6.40, elle ou il reprend sa charge à temps complet au début de la session qui suit la fin de son congé ou encore à la date qu</w:t>
      </w:r>
      <w:r w:rsidR="004A41E4" w:rsidRPr="00026EC1">
        <w:t>’</w:t>
      </w:r>
      <w:r w:rsidRPr="00026EC1">
        <w:t>elle ou il a indiquée au moment de l</w:t>
      </w:r>
      <w:r w:rsidR="004A41E4" w:rsidRPr="00026EC1">
        <w:t>’</w:t>
      </w:r>
      <w:r w:rsidRPr="00026EC1">
        <w:t>obtention de son congé à demi</w:t>
      </w:r>
      <w:r w:rsidR="00984A6F">
        <w:noBreakHyphen/>
      </w:r>
      <w:r w:rsidRPr="00026EC1">
        <w:t>temps.</w:t>
      </w:r>
    </w:p>
    <w:p w14:paraId="7B4E11E4" w14:textId="77777777" w:rsidR="009510B7" w:rsidRPr="00026EC1" w:rsidRDefault="009510B7" w:rsidP="00A64613">
      <w:pPr>
        <w:keepNext w:val="0"/>
      </w:pPr>
    </w:p>
    <w:p w14:paraId="7D1154BB" w14:textId="0BFB9310" w:rsidR="009F5256" w:rsidRPr="00026EC1" w:rsidRDefault="009F5256" w:rsidP="00A64613">
      <w:pPr>
        <w:pStyle w:val="NUMRODECLAUSE"/>
        <w:keepNext w:val="0"/>
      </w:pPr>
      <w:r w:rsidRPr="00026EC1">
        <w:t>5</w:t>
      </w:r>
      <w:r w:rsidR="00984A6F">
        <w:noBreakHyphen/>
      </w:r>
      <w:r w:rsidRPr="00026EC1">
        <w:t>6.43</w:t>
      </w:r>
    </w:p>
    <w:p w14:paraId="1CEC8259" w14:textId="7C51FFD4" w:rsidR="009F5256" w:rsidRPr="00026EC1" w:rsidRDefault="009F5256" w:rsidP="00A64613">
      <w:pPr>
        <w:keepNext w:val="0"/>
        <w:tabs>
          <w:tab w:val="num" w:pos="1701"/>
        </w:tabs>
      </w:pPr>
      <w:r w:rsidRPr="00026EC1">
        <w:t>L</w:t>
      </w:r>
      <w:r w:rsidR="004A41E4" w:rsidRPr="00026EC1">
        <w:t>’</w:t>
      </w:r>
      <w:r w:rsidRPr="00026EC1">
        <w:t>enseignante ou l</w:t>
      </w:r>
      <w:r w:rsidR="004A41E4" w:rsidRPr="00026EC1">
        <w:t>’</w:t>
      </w:r>
      <w:r w:rsidRPr="00026EC1">
        <w:t>enseignant obtient, sur demande, un congé sans traitement ou un congé partiel sans traitement d</w:t>
      </w:r>
      <w:r w:rsidR="004A41E4" w:rsidRPr="00026EC1">
        <w:t>’</w:t>
      </w:r>
      <w:r w:rsidRPr="00026EC1">
        <w:t>une durée maximale d</w:t>
      </w:r>
      <w:r w:rsidR="004A41E4" w:rsidRPr="00026EC1">
        <w:t>’</w:t>
      </w:r>
      <w:r w:rsidRPr="00026EC1">
        <w:t>un (1) an afin de permettre sa présence auprès de son enfant mineur qui a des problèmes socio</w:t>
      </w:r>
      <w:r w:rsidR="00984A6F">
        <w:noBreakHyphen/>
      </w:r>
      <w:r w:rsidRPr="00026EC1">
        <w:t>affectifs</w:t>
      </w:r>
      <w:r w:rsidR="002E376D" w:rsidRPr="00026EC1">
        <w:t>,</w:t>
      </w:r>
      <w:r w:rsidRPr="00026EC1">
        <w:t xml:space="preserve"> est handicapé ou a une maladie prolongée et dont l</w:t>
      </w:r>
      <w:r w:rsidR="004A41E4" w:rsidRPr="00026EC1">
        <w:t>’</w:t>
      </w:r>
      <w:r w:rsidRPr="00026EC1">
        <w:t>état nécessite la présence de l</w:t>
      </w:r>
      <w:r w:rsidR="004A41E4" w:rsidRPr="00026EC1">
        <w:t>’</w:t>
      </w:r>
      <w:r w:rsidRPr="00026EC1">
        <w:t>enseignante ou de l</w:t>
      </w:r>
      <w:r w:rsidR="004A41E4" w:rsidRPr="00026EC1">
        <w:t>’</w:t>
      </w:r>
      <w:r w:rsidRPr="00026EC1">
        <w:t>enseignant.</w:t>
      </w:r>
    </w:p>
    <w:p w14:paraId="38513FEA" w14:textId="77777777" w:rsidR="009F5256" w:rsidRPr="00026EC1" w:rsidRDefault="009F5256" w:rsidP="00A64613">
      <w:pPr>
        <w:keepNext w:val="0"/>
      </w:pPr>
    </w:p>
    <w:p w14:paraId="200DB499" w14:textId="515C21D0" w:rsidR="00D6488F" w:rsidRDefault="009F5256" w:rsidP="00A64613">
      <w:pPr>
        <w:keepNext w:val="0"/>
      </w:pPr>
      <w:r w:rsidRPr="00026EC1">
        <w:t>Les dispositions des clauses </w:t>
      </w:r>
      <w:r w:rsidRPr="00026EC1">
        <w:rPr>
          <w:bCs/>
        </w:rPr>
        <w:t>5</w:t>
      </w:r>
      <w:r w:rsidR="00984A6F">
        <w:rPr>
          <w:bCs/>
        </w:rPr>
        <w:noBreakHyphen/>
      </w:r>
      <w:r w:rsidRPr="00026EC1">
        <w:rPr>
          <w:bCs/>
        </w:rPr>
        <w:t>6.50, 5</w:t>
      </w:r>
      <w:r w:rsidR="00984A6F">
        <w:rPr>
          <w:bCs/>
        </w:rPr>
        <w:noBreakHyphen/>
      </w:r>
      <w:r w:rsidRPr="00026EC1">
        <w:rPr>
          <w:bCs/>
        </w:rPr>
        <w:t>6.51, 5</w:t>
      </w:r>
      <w:r w:rsidR="00984A6F">
        <w:rPr>
          <w:bCs/>
        </w:rPr>
        <w:noBreakHyphen/>
      </w:r>
      <w:r w:rsidRPr="00026EC1">
        <w:rPr>
          <w:bCs/>
        </w:rPr>
        <w:t>6.56 et 5</w:t>
      </w:r>
      <w:r w:rsidR="00984A6F">
        <w:rPr>
          <w:bCs/>
        </w:rPr>
        <w:noBreakHyphen/>
      </w:r>
      <w:r w:rsidRPr="00026EC1">
        <w:rPr>
          <w:bCs/>
        </w:rPr>
        <w:t>6.58</w:t>
      </w:r>
      <w:r w:rsidR="003C16E8" w:rsidRPr="00026EC1">
        <w:rPr>
          <w:bCs/>
        </w:rPr>
        <w:t xml:space="preserve"> </w:t>
      </w:r>
      <w:r w:rsidRPr="00026EC1">
        <w:t>s</w:t>
      </w:r>
      <w:r w:rsidR="004A41E4" w:rsidRPr="00026EC1">
        <w:t>’</w:t>
      </w:r>
      <w:r w:rsidRPr="00026EC1">
        <w:t>appliquent pour ce congé.</w:t>
      </w:r>
    </w:p>
    <w:p w14:paraId="568A0ED7" w14:textId="77777777" w:rsidR="00D6488F" w:rsidRDefault="00D6488F">
      <w:pPr>
        <w:keepNext w:val="0"/>
        <w:suppressAutoHyphens w:val="0"/>
        <w:jc w:val="left"/>
      </w:pPr>
      <w:r>
        <w:br w:type="page"/>
      </w:r>
    </w:p>
    <w:p w14:paraId="3DA93482" w14:textId="48BE7907" w:rsidR="009F5256" w:rsidRPr="00026EC1" w:rsidRDefault="009F5256" w:rsidP="00A64613">
      <w:pPr>
        <w:pStyle w:val="NUMRODECLAUSE"/>
        <w:keepNext w:val="0"/>
      </w:pPr>
      <w:r w:rsidRPr="00026EC1">
        <w:t xml:space="preserve">Section VII </w:t>
      </w:r>
      <w:r w:rsidR="00370CE7" w:rsidRPr="00026EC1">
        <w:t xml:space="preserve"> </w:t>
      </w:r>
      <w:r w:rsidR="00984A6F">
        <w:noBreakHyphen/>
      </w:r>
      <w:r w:rsidRPr="00026EC1">
        <w:t xml:space="preserve"> </w:t>
      </w:r>
      <w:r w:rsidR="00370CE7" w:rsidRPr="00026EC1">
        <w:t xml:space="preserve"> </w:t>
      </w:r>
      <w:r w:rsidRPr="00026EC1">
        <w:t>Dispositions diverses</w:t>
      </w:r>
    </w:p>
    <w:p w14:paraId="1F502882" w14:textId="77777777" w:rsidR="009F5256" w:rsidRPr="00026EC1" w:rsidRDefault="009F5256" w:rsidP="00A64613">
      <w:pPr>
        <w:keepNext w:val="0"/>
        <w:rPr>
          <w:i/>
        </w:rPr>
      </w:pPr>
    </w:p>
    <w:p w14:paraId="612ECF6D" w14:textId="77777777" w:rsidR="009F5256" w:rsidRPr="00026EC1" w:rsidRDefault="009F5256" w:rsidP="00A64613">
      <w:pPr>
        <w:keepNext w:val="0"/>
        <w:rPr>
          <w:b/>
          <w:u w:val="single"/>
        </w:rPr>
      </w:pPr>
      <w:r w:rsidRPr="00026EC1">
        <w:rPr>
          <w:b/>
          <w:u w:val="single"/>
        </w:rPr>
        <w:t>Calcul et versement de l</w:t>
      </w:r>
      <w:r w:rsidR="004A41E4" w:rsidRPr="00026EC1">
        <w:rPr>
          <w:b/>
          <w:u w:val="single"/>
        </w:rPr>
        <w:t>’</w:t>
      </w:r>
      <w:r w:rsidRPr="00026EC1">
        <w:rPr>
          <w:b/>
          <w:u w:val="single"/>
        </w:rPr>
        <w:t>indemnité</w:t>
      </w:r>
    </w:p>
    <w:p w14:paraId="5BD87E62" w14:textId="77777777" w:rsidR="009F5256" w:rsidRPr="00026EC1" w:rsidRDefault="009F5256" w:rsidP="00A64613">
      <w:pPr>
        <w:keepNext w:val="0"/>
        <w:rPr>
          <w:smallCaps/>
        </w:rPr>
      </w:pPr>
    </w:p>
    <w:p w14:paraId="1B756420" w14:textId="0392ABC0" w:rsidR="009F5256" w:rsidRPr="00026EC1" w:rsidRDefault="009F5256" w:rsidP="00A64613">
      <w:pPr>
        <w:pStyle w:val="NUMRODECLAUSE"/>
        <w:keepNext w:val="0"/>
      </w:pPr>
      <w:r w:rsidRPr="00026EC1">
        <w:t>5</w:t>
      </w:r>
      <w:r w:rsidR="00984A6F">
        <w:noBreakHyphen/>
      </w:r>
      <w:r w:rsidRPr="00026EC1">
        <w:t>6.44</w:t>
      </w:r>
    </w:p>
    <w:p w14:paraId="018ED008" w14:textId="0230646D" w:rsidR="009F5256" w:rsidRPr="00026EC1" w:rsidRDefault="009F5256" w:rsidP="00A64613">
      <w:pPr>
        <w:keepNext w:val="0"/>
      </w:pPr>
      <w:r w:rsidRPr="00026EC1">
        <w:t>Pour le calcul et le versement de l</w:t>
      </w:r>
      <w:r w:rsidR="004A41E4" w:rsidRPr="00026EC1">
        <w:t>’</w:t>
      </w:r>
      <w:r w:rsidRPr="00026EC1">
        <w:t>indemnité du congé de maternité prévue aux clauses</w:t>
      </w:r>
      <w:r w:rsidR="00D66A8F" w:rsidRPr="00026EC1">
        <w:t> </w:t>
      </w:r>
      <w:r w:rsidRPr="00026EC1">
        <w:t>5</w:t>
      </w:r>
      <w:r w:rsidR="00984A6F">
        <w:noBreakHyphen/>
      </w:r>
      <w:r w:rsidRPr="00026EC1">
        <w:t>6.12, 5</w:t>
      </w:r>
      <w:r w:rsidR="00984A6F">
        <w:noBreakHyphen/>
      </w:r>
      <w:r w:rsidRPr="00026EC1">
        <w:t>6.13 ou 5</w:t>
      </w:r>
      <w:r w:rsidR="00984A6F">
        <w:noBreakHyphen/>
      </w:r>
      <w:r w:rsidRPr="00026EC1">
        <w:t>6.15, de l</w:t>
      </w:r>
      <w:r w:rsidR="004A41E4" w:rsidRPr="00026EC1">
        <w:t>’</w:t>
      </w:r>
      <w:r w:rsidRPr="00026EC1">
        <w:t>indemnité du congé de paternité prévue aux clauses</w:t>
      </w:r>
      <w:r w:rsidR="00D66A8F" w:rsidRPr="00026EC1">
        <w:t> </w:t>
      </w:r>
      <w:r w:rsidRPr="00026EC1">
        <w:t>5</w:t>
      </w:r>
      <w:r w:rsidR="00984A6F">
        <w:noBreakHyphen/>
      </w:r>
      <w:r w:rsidRPr="00026EC1">
        <w:t>6.25 ou 5</w:t>
      </w:r>
      <w:r w:rsidR="00984A6F">
        <w:noBreakHyphen/>
      </w:r>
      <w:r w:rsidRPr="00026EC1">
        <w:t>6.27 et de l</w:t>
      </w:r>
      <w:r w:rsidR="004A41E4" w:rsidRPr="00026EC1">
        <w:t>’</w:t>
      </w:r>
      <w:r w:rsidRPr="00026EC1">
        <w:t>indemnité du congé d</w:t>
      </w:r>
      <w:r w:rsidR="004A41E4" w:rsidRPr="00026EC1">
        <w:t>’</w:t>
      </w:r>
      <w:r w:rsidRPr="00026EC1">
        <w:t>adoption prévue aux clauses</w:t>
      </w:r>
      <w:r w:rsidR="00D66A8F" w:rsidRPr="00026EC1">
        <w:t> </w:t>
      </w:r>
      <w:r w:rsidRPr="00026EC1">
        <w:t>5</w:t>
      </w:r>
      <w:r w:rsidR="00984A6F">
        <w:noBreakHyphen/>
      </w:r>
      <w:r w:rsidRPr="00026EC1">
        <w:t>6.34 ou 5</w:t>
      </w:r>
      <w:r w:rsidR="00984A6F">
        <w:noBreakHyphen/>
      </w:r>
      <w:r w:rsidRPr="00026EC1">
        <w:t>6.36, les dispositions suivantes s</w:t>
      </w:r>
      <w:r w:rsidR="004A41E4" w:rsidRPr="00026EC1">
        <w:t>’</w:t>
      </w:r>
      <w:r w:rsidRPr="00026EC1">
        <w:t>appliquent</w:t>
      </w:r>
      <w:r w:rsidR="00D8581B">
        <w:t> :</w:t>
      </w:r>
    </w:p>
    <w:p w14:paraId="5ECF836B" w14:textId="77777777" w:rsidR="009F5256" w:rsidRPr="00026EC1" w:rsidRDefault="009F5256" w:rsidP="00A64613">
      <w:pPr>
        <w:keepNext w:val="0"/>
      </w:pPr>
    </w:p>
    <w:p w14:paraId="59F188C5" w14:textId="77777777" w:rsidR="009F5256" w:rsidRPr="00026EC1" w:rsidRDefault="00275751" w:rsidP="00A64613">
      <w:pPr>
        <w:keepNext w:val="0"/>
        <w:tabs>
          <w:tab w:val="left" w:pos="567"/>
        </w:tabs>
        <w:ind w:left="567" w:hanging="567"/>
      </w:pPr>
      <w:r w:rsidRPr="00026EC1">
        <w:t>a)</w:t>
      </w:r>
      <w:r w:rsidRPr="00026EC1">
        <w:tab/>
      </w:r>
      <w:r w:rsidR="009F5256" w:rsidRPr="00026EC1">
        <w:t>aucune indemnité ne peut être versée durant la période des vacances au cours de laquelle l</w:t>
      </w:r>
      <w:r w:rsidR="004A41E4" w:rsidRPr="00026EC1">
        <w:t>’</w:t>
      </w:r>
      <w:r w:rsidR="009F5256" w:rsidRPr="00026EC1">
        <w:t>enseignante ou l</w:t>
      </w:r>
      <w:r w:rsidR="004A41E4" w:rsidRPr="00026EC1">
        <w:t>’</w:t>
      </w:r>
      <w:r w:rsidR="009F5256" w:rsidRPr="00026EC1">
        <w:t>enseignant est rémunéré;</w:t>
      </w:r>
    </w:p>
    <w:p w14:paraId="2218DE43" w14:textId="77777777" w:rsidR="009F5256" w:rsidRPr="00026EC1" w:rsidRDefault="009F5256" w:rsidP="00A64613">
      <w:pPr>
        <w:keepNext w:val="0"/>
      </w:pPr>
    </w:p>
    <w:p w14:paraId="2F136B03" w14:textId="750535FF" w:rsidR="004849F5" w:rsidRPr="00026EC1" w:rsidRDefault="004849F5" w:rsidP="00A64613">
      <w:pPr>
        <w:keepNext w:val="0"/>
        <w:tabs>
          <w:tab w:val="left" w:pos="567"/>
        </w:tabs>
        <w:ind w:left="567" w:hanging="567"/>
      </w:pPr>
      <w:r w:rsidRPr="00026EC1">
        <w:t>b)</w:t>
      </w:r>
      <w:r w:rsidRPr="00026EC1">
        <w:tab/>
        <w:t>pour l’enseignante ou l’enseignant admissible au RQAP ou au RAE, à moins que les modalités de versement des salaires applicable ne soit à la semaine, l’indemnité est versée à intervalle de deux (2) semaines, le premier (1</w:t>
      </w:r>
      <w:r w:rsidRPr="00026EC1">
        <w:rPr>
          <w:vertAlign w:val="superscript"/>
        </w:rPr>
        <w:t>er</w:t>
      </w:r>
      <w:r w:rsidRPr="00026EC1">
        <w:t xml:space="preserve">) versement n’étant toutefois exigible que quinze (15) jours après l’obtention par le Collège d’une preuve qu’elle ou qu’il reçoit des prestations </w:t>
      </w:r>
      <w:r w:rsidRPr="00026EC1">
        <w:rPr>
          <w:bCs/>
        </w:rPr>
        <w:t>de l’un ou l’autre de ces régimes.</w:t>
      </w:r>
      <w:r w:rsidRPr="00026EC1">
        <w:t xml:space="preserve"> Aux fins du présent alinéa, sont considérés comme preuves un état ou un relevé des prestations ainsi que les renseignements fournis au Collège </w:t>
      </w:r>
      <w:r w:rsidRPr="00026EC1">
        <w:rPr>
          <w:bCs/>
        </w:rPr>
        <w:t xml:space="preserve">par le ministère de l’Emploi et de la Solidarité sociale ou par </w:t>
      </w:r>
      <w:r w:rsidRPr="00026EC1">
        <w:t xml:space="preserve">EDSC au moyen d’un relevé </w:t>
      </w:r>
      <w:r w:rsidRPr="00026EC1">
        <w:rPr>
          <w:bCs/>
        </w:rPr>
        <w:t>officiel.</w:t>
      </w:r>
    </w:p>
    <w:p w14:paraId="16FD0E2F" w14:textId="77777777" w:rsidR="009F5256" w:rsidRPr="00026EC1" w:rsidRDefault="009F5256" w:rsidP="00A64613">
      <w:pPr>
        <w:pStyle w:val="Texte1cm00000"/>
        <w:keepNext w:val="0"/>
      </w:pPr>
    </w:p>
    <w:p w14:paraId="0515EE7B" w14:textId="7F7EE88C" w:rsidR="009F5256" w:rsidRPr="00026EC1" w:rsidRDefault="009F5256" w:rsidP="00A64613">
      <w:pPr>
        <w:pStyle w:val="Texte1cm00000"/>
        <w:keepNext w:val="0"/>
      </w:pPr>
      <w:r w:rsidRPr="00026EC1">
        <w:t>De plus, pour l</w:t>
      </w:r>
      <w:r w:rsidR="004A41E4" w:rsidRPr="00026EC1">
        <w:t>’</w:t>
      </w:r>
      <w:r w:rsidRPr="00026EC1">
        <w:t>enseignante ou l</w:t>
      </w:r>
      <w:r w:rsidR="004A41E4" w:rsidRPr="00026EC1">
        <w:t>’</w:t>
      </w:r>
      <w:r w:rsidRPr="00026EC1">
        <w:t>enseignant admissible au RAE, l</w:t>
      </w:r>
      <w:r w:rsidR="004A41E4" w:rsidRPr="00026EC1">
        <w:t>’</w:t>
      </w:r>
      <w:r w:rsidRPr="00026EC1">
        <w:t>indemnité due pour les deux</w:t>
      </w:r>
      <w:r w:rsidR="00F563DB">
        <w:t> </w:t>
      </w:r>
      <w:r w:rsidRPr="00026EC1">
        <w:t>(2) premières semaines est versée par le Collège dans les deux</w:t>
      </w:r>
      <w:r w:rsidR="00F563DB">
        <w:t> </w:t>
      </w:r>
      <w:r w:rsidRPr="00026EC1">
        <w:t>(2) semaines du début du congé</w:t>
      </w:r>
      <w:r w:rsidR="00EF247A" w:rsidRPr="00026EC1">
        <w:t>;</w:t>
      </w:r>
    </w:p>
    <w:p w14:paraId="356A8A26" w14:textId="77777777" w:rsidR="009F5256" w:rsidRPr="00026EC1" w:rsidRDefault="009F5256" w:rsidP="00A64613">
      <w:pPr>
        <w:pStyle w:val="Texte1cm00000"/>
        <w:keepNext w:val="0"/>
      </w:pPr>
    </w:p>
    <w:p w14:paraId="5342A6C0" w14:textId="16EEB9C8" w:rsidR="004849F5" w:rsidRDefault="004849F5" w:rsidP="00A64613">
      <w:pPr>
        <w:keepNext w:val="0"/>
        <w:tabs>
          <w:tab w:val="left" w:pos="567"/>
        </w:tabs>
        <w:ind w:left="567" w:hanging="567"/>
      </w:pPr>
      <w:r w:rsidRPr="00026EC1">
        <w:t>c)</w:t>
      </w:r>
      <w:r w:rsidRPr="00026EC1">
        <w:tab/>
        <w:t xml:space="preserve">le service se calcule auprès de l’ensemble des employeurs des secteurs public et parapublic (Fonction publique, Éducation, Santé et services sociaux), </w:t>
      </w:r>
      <w:r w:rsidRPr="00026EC1">
        <w:rPr>
          <w:bCs/>
          <w:szCs w:val="24"/>
        </w:rPr>
        <w:t>des agences de la santé et des services sociaux</w:t>
      </w:r>
      <w:r w:rsidRPr="00026EC1">
        <w:t xml:space="preserve">, des organismes dont la loi prévoit que les normes et barèmes de rémunération sont déterminés </w:t>
      </w:r>
      <w:r w:rsidRPr="00026EC1">
        <w:rPr>
          <w:bCs/>
        </w:rPr>
        <w:t xml:space="preserve">conformément aux conditions définies </w:t>
      </w:r>
      <w:r w:rsidRPr="00026EC1">
        <w:t>par le gouvernement (Annexe V</w:t>
      </w:r>
      <w:r w:rsidR="00984A6F">
        <w:noBreakHyphen/>
      </w:r>
      <w:r w:rsidR="00D41A74" w:rsidRPr="00900046">
        <w:t>5</w:t>
      </w:r>
      <w:r w:rsidRPr="00026EC1">
        <w:rPr>
          <w:bCs/>
        </w:rPr>
        <w:t>),</w:t>
      </w:r>
      <w:r w:rsidRPr="00026EC1">
        <w:t xml:space="preserve"> de l’Office franco</w:t>
      </w:r>
      <w:r w:rsidR="00984A6F">
        <w:noBreakHyphen/>
      </w:r>
      <w:r w:rsidRPr="00026EC1">
        <w:t>québécois pour la jeunesse, de la Société de gestion du réseau informatique</w:t>
      </w:r>
      <w:r w:rsidR="003324BE" w:rsidRPr="00316277">
        <w:t>,</w:t>
      </w:r>
      <w:r w:rsidRPr="00026EC1">
        <w:t xml:space="preserve"> des commissions scolaires </w:t>
      </w:r>
      <w:r w:rsidR="003324BE" w:rsidRPr="00316277">
        <w:t xml:space="preserve">ou </w:t>
      </w:r>
      <w:r w:rsidR="00F0423A" w:rsidRPr="00316277">
        <w:t>des</w:t>
      </w:r>
      <w:r w:rsidR="003324BE" w:rsidRPr="00316277">
        <w:t xml:space="preserve"> centres de services scolaires</w:t>
      </w:r>
      <w:r w:rsidR="003324BE">
        <w:t xml:space="preserve"> </w:t>
      </w:r>
      <w:r w:rsidRPr="00026EC1">
        <w:t xml:space="preserve">ainsi que de tout autre organisme visé à l’Annexe C de la </w:t>
      </w:r>
      <w:r w:rsidRPr="00026EC1">
        <w:rPr>
          <w:iCs/>
        </w:rPr>
        <w:t>Loi sur le régime de négociation des conventions collectives dans les secteurs public et parapublic</w:t>
      </w:r>
      <w:r w:rsidRPr="00026EC1">
        <w:t>.</w:t>
      </w:r>
    </w:p>
    <w:p w14:paraId="4D14E69C" w14:textId="77777777" w:rsidR="003324BE" w:rsidRPr="00026EC1" w:rsidRDefault="003324BE" w:rsidP="00A64613">
      <w:pPr>
        <w:keepNext w:val="0"/>
        <w:tabs>
          <w:tab w:val="left" w:pos="567"/>
        </w:tabs>
        <w:ind w:left="567" w:hanging="567"/>
      </w:pPr>
    </w:p>
    <w:p w14:paraId="152EA67D" w14:textId="7A7DDC12" w:rsidR="004849F5" w:rsidRPr="00026EC1" w:rsidRDefault="004849F5" w:rsidP="00A64613">
      <w:pPr>
        <w:pStyle w:val="Texte1cm00000"/>
        <w:keepNext w:val="0"/>
      </w:pPr>
      <w:r w:rsidRPr="00026EC1">
        <w:t xml:space="preserve">De plus, l’exigence de vingt (20) semaines de service requises en vertu des </w:t>
      </w:r>
      <w:r w:rsidRPr="00026EC1">
        <w:rPr>
          <w:bCs/>
        </w:rPr>
        <w:t>clauses 5</w:t>
      </w:r>
      <w:r w:rsidR="00984A6F">
        <w:rPr>
          <w:bCs/>
        </w:rPr>
        <w:noBreakHyphen/>
      </w:r>
      <w:r w:rsidRPr="00026EC1">
        <w:rPr>
          <w:bCs/>
        </w:rPr>
        <w:t>6.12, 5</w:t>
      </w:r>
      <w:r w:rsidR="00984A6F">
        <w:rPr>
          <w:bCs/>
        </w:rPr>
        <w:noBreakHyphen/>
      </w:r>
      <w:r w:rsidRPr="00026EC1">
        <w:rPr>
          <w:bCs/>
        </w:rPr>
        <w:t>6.13, 5</w:t>
      </w:r>
      <w:r w:rsidR="00984A6F">
        <w:rPr>
          <w:bCs/>
        </w:rPr>
        <w:noBreakHyphen/>
      </w:r>
      <w:r w:rsidRPr="00026EC1">
        <w:rPr>
          <w:bCs/>
        </w:rPr>
        <w:t>6.15, 5</w:t>
      </w:r>
      <w:r w:rsidR="00984A6F">
        <w:rPr>
          <w:bCs/>
        </w:rPr>
        <w:noBreakHyphen/>
      </w:r>
      <w:r w:rsidRPr="00026EC1">
        <w:rPr>
          <w:bCs/>
        </w:rPr>
        <w:t>6.25, 5</w:t>
      </w:r>
      <w:r w:rsidR="00984A6F">
        <w:rPr>
          <w:bCs/>
        </w:rPr>
        <w:noBreakHyphen/>
      </w:r>
      <w:r w:rsidRPr="00026EC1">
        <w:rPr>
          <w:bCs/>
        </w:rPr>
        <w:t>6.27, 5</w:t>
      </w:r>
      <w:r w:rsidR="00984A6F">
        <w:rPr>
          <w:bCs/>
        </w:rPr>
        <w:noBreakHyphen/>
      </w:r>
      <w:r w:rsidRPr="00026EC1">
        <w:rPr>
          <w:bCs/>
        </w:rPr>
        <w:t>6.34 et 5</w:t>
      </w:r>
      <w:r w:rsidR="00984A6F">
        <w:rPr>
          <w:bCs/>
        </w:rPr>
        <w:noBreakHyphen/>
      </w:r>
      <w:r w:rsidRPr="00026EC1">
        <w:rPr>
          <w:bCs/>
        </w:rPr>
        <w:t xml:space="preserve">6.36 </w:t>
      </w:r>
      <w:r w:rsidRPr="00026EC1">
        <w:t xml:space="preserve">est réputée satisfaite lorsque l’enseignante a satisfait </w:t>
      </w:r>
      <w:r w:rsidRPr="00026EC1">
        <w:rPr>
          <w:bCs/>
        </w:rPr>
        <w:t>à</w:t>
      </w:r>
      <w:r w:rsidRPr="00026EC1">
        <w:t xml:space="preserve"> cette exigence auprès de l’un ou l’autre employeur mentionné au présent alinéa;</w:t>
      </w:r>
    </w:p>
    <w:p w14:paraId="39B5B52B" w14:textId="77777777" w:rsidR="009F5256" w:rsidRPr="00026EC1" w:rsidRDefault="009F5256" w:rsidP="00A64613">
      <w:pPr>
        <w:pStyle w:val="Texte1cm00000"/>
        <w:keepNext w:val="0"/>
      </w:pPr>
    </w:p>
    <w:p w14:paraId="0AF40F76" w14:textId="77777777" w:rsidR="009F5256" w:rsidRPr="00026EC1" w:rsidRDefault="00275751" w:rsidP="00A64613">
      <w:pPr>
        <w:keepNext w:val="0"/>
        <w:tabs>
          <w:tab w:val="left" w:pos="567"/>
        </w:tabs>
        <w:ind w:left="567" w:hanging="567"/>
        <w:rPr>
          <w:bCs/>
          <w:iCs/>
        </w:rPr>
      </w:pPr>
      <w:r w:rsidRPr="00026EC1">
        <w:rPr>
          <w:bCs/>
          <w:iCs/>
        </w:rPr>
        <w:t>d)</w:t>
      </w:r>
      <w:r w:rsidRPr="00026EC1">
        <w:rPr>
          <w:bCs/>
          <w:iCs/>
        </w:rPr>
        <w:tab/>
      </w:r>
      <w:r w:rsidR="009F5256" w:rsidRPr="00026EC1">
        <w:t>le traitement hebdomadaire de base de l</w:t>
      </w:r>
      <w:r w:rsidR="004A41E4" w:rsidRPr="00026EC1">
        <w:t>’</w:t>
      </w:r>
      <w:r w:rsidR="009F5256" w:rsidRPr="00026EC1">
        <w:t>enseignante ou de l</w:t>
      </w:r>
      <w:r w:rsidR="004A41E4" w:rsidRPr="00026EC1">
        <w:t>’</w:t>
      </w:r>
      <w:r w:rsidR="009F5256" w:rsidRPr="00026EC1">
        <w:t xml:space="preserve">enseignant à temps partiel est le traitement hebdomadaire de base moyen, </w:t>
      </w:r>
      <w:r w:rsidR="009F5256" w:rsidRPr="00026EC1">
        <w:rPr>
          <w:bCs/>
        </w:rPr>
        <w:t>versé par le Collège ou par un autre Collège du réseau des cégeps</w:t>
      </w:r>
      <w:r w:rsidR="009F5256" w:rsidRPr="00026EC1">
        <w:t xml:space="preserve">, </w:t>
      </w:r>
      <w:r w:rsidR="009F5256" w:rsidRPr="00026EC1">
        <w:rPr>
          <w:bCs/>
        </w:rPr>
        <w:t>au cours</w:t>
      </w:r>
      <w:r w:rsidR="009F5256" w:rsidRPr="00026EC1">
        <w:t xml:space="preserve"> des vingt (20) dernières semaines précédant son congé de maternité, de paternité ou d</w:t>
      </w:r>
      <w:r w:rsidR="004A41E4" w:rsidRPr="00026EC1">
        <w:t>’</w:t>
      </w:r>
      <w:r w:rsidR="009F5256" w:rsidRPr="00026EC1">
        <w:t>adoption.</w:t>
      </w:r>
    </w:p>
    <w:p w14:paraId="5001D75E" w14:textId="77777777" w:rsidR="009F5256" w:rsidRPr="00026EC1" w:rsidRDefault="009F5256" w:rsidP="00A64613">
      <w:pPr>
        <w:pStyle w:val="Texte1cm00000"/>
        <w:keepNext w:val="0"/>
      </w:pPr>
    </w:p>
    <w:p w14:paraId="71AFFF25" w14:textId="77777777" w:rsidR="009F5256" w:rsidRPr="00026EC1" w:rsidRDefault="009F5256" w:rsidP="00A64613">
      <w:pPr>
        <w:keepNext w:val="0"/>
        <w:ind w:left="567"/>
      </w:pPr>
      <w:r w:rsidRPr="00026EC1">
        <w:t>Si, pendant cette période, l</w:t>
      </w:r>
      <w:r w:rsidR="004A41E4" w:rsidRPr="00026EC1">
        <w:t>’</w:t>
      </w:r>
      <w:r w:rsidRPr="00026EC1">
        <w:t>enseignante ou l</w:t>
      </w:r>
      <w:r w:rsidR="004A41E4" w:rsidRPr="00026EC1">
        <w:t>’</w:t>
      </w:r>
      <w:r w:rsidRPr="00026EC1">
        <w:t>enseignant a reçu des prestations établies à un certain pourcentage de son traitement habituel, il est entendu qu</w:t>
      </w:r>
      <w:r w:rsidR="004A41E4" w:rsidRPr="00026EC1">
        <w:t>’</w:t>
      </w:r>
      <w:r w:rsidRPr="00026EC1">
        <w:t>aux fins du calcul de son traitement de base durant son congé de maternité, de paternité ou d</w:t>
      </w:r>
      <w:r w:rsidR="004A41E4" w:rsidRPr="00026EC1">
        <w:t>’</w:t>
      </w:r>
      <w:r w:rsidRPr="00026EC1">
        <w:t>adoption, on réfère au traitement de base à partir duquel telles prestations ont été établies.</w:t>
      </w:r>
    </w:p>
    <w:p w14:paraId="07DC3205" w14:textId="77777777" w:rsidR="00C86E51" w:rsidRPr="00026EC1" w:rsidRDefault="00C86E51" w:rsidP="00A64613">
      <w:pPr>
        <w:keepNext w:val="0"/>
        <w:ind w:left="567"/>
      </w:pPr>
    </w:p>
    <w:p w14:paraId="25779BCC" w14:textId="7F0E21A2" w:rsidR="009F5256" w:rsidRPr="00026EC1" w:rsidRDefault="009F5256" w:rsidP="00A64613">
      <w:pPr>
        <w:pStyle w:val="Texte1cm"/>
        <w:keepNext w:val="0"/>
      </w:pPr>
      <w:r w:rsidRPr="00026EC1">
        <w:t>Par ailleurs, une période pendant laquelle l</w:t>
      </w:r>
      <w:r w:rsidR="004A41E4" w:rsidRPr="00026EC1">
        <w:t>’</w:t>
      </w:r>
      <w:r w:rsidRPr="00026EC1">
        <w:t>enseignante en congé spécial prévu à la clause</w:t>
      </w:r>
      <w:r w:rsidR="00D66A8F" w:rsidRPr="00026EC1">
        <w:t> </w:t>
      </w:r>
      <w:r w:rsidRPr="00026EC1">
        <w:t>5</w:t>
      </w:r>
      <w:r w:rsidR="00984A6F">
        <w:noBreakHyphen/>
      </w:r>
      <w:r w:rsidRPr="00026EC1">
        <w:t xml:space="preserve">6.17 ne reçoit aucune indemnité de la </w:t>
      </w:r>
      <w:r w:rsidR="00701CB5" w:rsidRPr="00026EC1">
        <w:rPr>
          <w:rFonts w:cs="Arial"/>
          <w:szCs w:val="24"/>
        </w:rPr>
        <w:t>CNESST</w:t>
      </w:r>
      <w:r w:rsidRPr="00026EC1">
        <w:t xml:space="preserve"> est exclue aux fins du calcul de son traitement hebdomadaire de base moyen.</w:t>
      </w:r>
    </w:p>
    <w:p w14:paraId="78A09A80" w14:textId="77777777" w:rsidR="009F5256" w:rsidRPr="00026EC1" w:rsidRDefault="009F5256" w:rsidP="00A64613">
      <w:pPr>
        <w:pStyle w:val="Texte1cm00000"/>
        <w:keepNext w:val="0"/>
      </w:pPr>
    </w:p>
    <w:p w14:paraId="445425F3" w14:textId="77777777" w:rsidR="009F5256" w:rsidRPr="00026EC1" w:rsidRDefault="009F5256" w:rsidP="00A64613">
      <w:pPr>
        <w:pStyle w:val="Texte1cm"/>
        <w:keepNext w:val="0"/>
      </w:pPr>
      <w:r w:rsidRPr="00026EC1">
        <w:t>Si la période des vingt (20) dernières semaines précédant le congé de maternité, de paternité ou d</w:t>
      </w:r>
      <w:r w:rsidR="004A41E4" w:rsidRPr="00026EC1">
        <w:t>’</w:t>
      </w:r>
      <w:r w:rsidRPr="00026EC1">
        <w:t>adoption de l</w:t>
      </w:r>
      <w:r w:rsidR="004A41E4" w:rsidRPr="00026EC1">
        <w:t>’</w:t>
      </w:r>
      <w:r w:rsidRPr="00026EC1">
        <w:t>enseignante ou de l</w:t>
      </w:r>
      <w:r w:rsidR="004A41E4" w:rsidRPr="00026EC1">
        <w:t>’</w:t>
      </w:r>
      <w:r w:rsidRPr="00026EC1">
        <w:t>enseignant à temps partiel comprend la date de majoration des taux et des échelles de traitement, le calcul du traitement hebdomadaire de base est fait à partir du taux de traitement en vigueur à cette date. Si, par ailleurs, le congé de maternité, de paternité ou d</w:t>
      </w:r>
      <w:r w:rsidR="004A41E4" w:rsidRPr="00026EC1">
        <w:t>’</w:t>
      </w:r>
      <w:r w:rsidRPr="00026EC1">
        <w:t>adoption comprend cette date, le traitement hebdomadaire de base évolue à cette date selon la formule de redressement de l</w:t>
      </w:r>
      <w:r w:rsidR="004A41E4" w:rsidRPr="00026EC1">
        <w:t>’</w:t>
      </w:r>
      <w:r w:rsidRPr="00026EC1">
        <w:t>échelle de traitement qui lui est applicable.</w:t>
      </w:r>
    </w:p>
    <w:p w14:paraId="6B40A215" w14:textId="77777777" w:rsidR="009F5256" w:rsidRPr="00026EC1" w:rsidRDefault="009F5256" w:rsidP="00A64613">
      <w:pPr>
        <w:pStyle w:val="Texte1cm00000"/>
        <w:keepNext w:val="0"/>
      </w:pPr>
    </w:p>
    <w:p w14:paraId="2996F26C" w14:textId="4FF1BAE6" w:rsidR="009F5256" w:rsidRPr="00026EC1" w:rsidRDefault="009F5256" w:rsidP="00A64613">
      <w:pPr>
        <w:pStyle w:val="Texte1cm"/>
        <w:keepNext w:val="0"/>
      </w:pPr>
      <w:r w:rsidRPr="00026EC1">
        <w:t>Les dispositions du présent alinéa constituent une des stipulations expresses visées par la clause 5</w:t>
      </w:r>
      <w:r w:rsidR="00984A6F">
        <w:noBreakHyphen/>
      </w:r>
      <w:r w:rsidRPr="00026EC1">
        <w:t>6.04;</w:t>
      </w:r>
    </w:p>
    <w:p w14:paraId="1EDED734" w14:textId="77777777" w:rsidR="009F5256" w:rsidRPr="00026EC1" w:rsidRDefault="009F5256" w:rsidP="00A64613">
      <w:pPr>
        <w:pStyle w:val="Texte1cm00000"/>
        <w:keepNext w:val="0"/>
      </w:pPr>
    </w:p>
    <w:p w14:paraId="65F2A1AE" w14:textId="77777777" w:rsidR="009F5256" w:rsidRPr="00026EC1" w:rsidRDefault="00275751" w:rsidP="00A64613">
      <w:pPr>
        <w:keepNext w:val="0"/>
        <w:tabs>
          <w:tab w:val="left" w:pos="567"/>
        </w:tabs>
        <w:ind w:left="567" w:hanging="567"/>
      </w:pPr>
      <w:r w:rsidRPr="00026EC1">
        <w:t>e)</w:t>
      </w:r>
      <w:r w:rsidRPr="00026EC1">
        <w:tab/>
      </w:r>
      <w:r w:rsidR="009F5256" w:rsidRPr="00026EC1">
        <w:t>dans le cas de l</w:t>
      </w:r>
      <w:r w:rsidR="004A41E4" w:rsidRPr="00026EC1">
        <w:t>’</w:t>
      </w:r>
      <w:r w:rsidR="009F5256" w:rsidRPr="00026EC1">
        <w:t>enseignante ou de l</w:t>
      </w:r>
      <w:r w:rsidR="004A41E4" w:rsidRPr="00026EC1">
        <w:t>’</w:t>
      </w:r>
      <w:r w:rsidR="009F5256" w:rsidRPr="00026EC1">
        <w:t>enseignant non permanent dont le contrat prend fin, l</w:t>
      </w:r>
      <w:r w:rsidR="004A41E4" w:rsidRPr="00026EC1">
        <w:t>’</w:t>
      </w:r>
      <w:r w:rsidR="009F5256" w:rsidRPr="00026EC1">
        <w:t>indemnité de congé de maternité, de paternité ou d</w:t>
      </w:r>
      <w:r w:rsidR="004A41E4" w:rsidRPr="00026EC1">
        <w:t>’</w:t>
      </w:r>
      <w:r w:rsidR="009F5256" w:rsidRPr="00026EC1">
        <w:t>adoption à laquelle elle ou il a droit en vertu de la convention collective et versée par le Collège prend fin à compter de la fin de son contrat.</w:t>
      </w:r>
    </w:p>
    <w:p w14:paraId="28318E78" w14:textId="77777777" w:rsidR="009F5256" w:rsidRPr="00026EC1" w:rsidRDefault="009F5256" w:rsidP="00A64613">
      <w:pPr>
        <w:pStyle w:val="Texte1cm00000"/>
        <w:keepNext w:val="0"/>
      </w:pPr>
    </w:p>
    <w:p w14:paraId="1033478C" w14:textId="5F11187A" w:rsidR="009F5256" w:rsidRDefault="009F5256" w:rsidP="00A64613">
      <w:pPr>
        <w:pStyle w:val="Texte1cm"/>
        <w:keepNext w:val="0"/>
      </w:pPr>
      <w:r w:rsidRPr="00026EC1">
        <w:t>Par la suite, lorsque l</w:t>
      </w:r>
      <w:r w:rsidR="004A41E4" w:rsidRPr="00026EC1">
        <w:t>’</w:t>
      </w:r>
      <w:r w:rsidRPr="00026EC1">
        <w:t>enseignante ou l</w:t>
      </w:r>
      <w:r w:rsidR="004A41E4" w:rsidRPr="00026EC1">
        <w:t>’</w:t>
      </w:r>
      <w:r w:rsidRPr="00026EC1">
        <w:t>enseignant est rengagé à la suite de l</w:t>
      </w:r>
      <w:r w:rsidR="004A41E4" w:rsidRPr="00026EC1">
        <w:t>’</w:t>
      </w:r>
      <w:r w:rsidRPr="00026EC1">
        <w:t>exercice d</w:t>
      </w:r>
      <w:r w:rsidR="004A41E4" w:rsidRPr="00026EC1">
        <w:t>’</w:t>
      </w:r>
      <w:r w:rsidRPr="00026EC1">
        <w:t>une priorité d</w:t>
      </w:r>
      <w:r w:rsidR="004A41E4" w:rsidRPr="00026EC1">
        <w:t>’</w:t>
      </w:r>
      <w:r w:rsidRPr="00026EC1">
        <w:t>emploi, l</w:t>
      </w:r>
      <w:r w:rsidR="004A41E4" w:rsidRPr="00026EC1">
        <w:t>’</w:t>
      </w:r>
      <w:r w:rsidRPr="00026EC1">
        <w:t>indemnité de congé de maternité, de paternité ou d</w:t>
      </w:r>
      <w:r w:rsidR="004A41E4" w:rsidRPr="00026EC1">
        <w:t>’</w:t>
      </w:r>
      <w:r w:rsidRPr="00026EC1">
        <w:t>adoption est rétablie à compter de la date du début du contrat de l</w:t>
      </w:r>
      <w:r w:rsidR="004A41E4" w:rsidRPr="00026EC1">
        <w:t>’</w:t>
      </w:r>
      <w:r w:rsidRPr="00026EC1">
        <w:t>enseignante ou de l</w:t>
      </w:r>
      <w:r w:rsidR="004A41E4" w:rsidRPr="00026EC1">
        <w:t>’</w:t>
      </w:r>
      <w:r w:rsidRPr="00026EC1">
        <w:t>enseignant. Dans ce cas, les semaines pour lesquelles l</w:t>
      </w:r>
      <w:r w:rsidR="004A41E4" w:rsidRPr="00026EC1">
        <w:t>’</w:t>
      </w:r>
      <w:r w:rsidRPr="00026EC1">
        <w:t>enseignante ou l</w:t>
      </w:r>
      <w:r w:rsidR="004A41E4" w:rsidRPr="00026EC1">
        <w:t>’</w:t>
      </w:r>
      <w:r w:rsidRPr="00026EC1">
        <w:t>enseignant a reçu l</w:t>
      </w:r>
      <w:r w:rsidR="004A41E4" w:rsidRPr="00026EC1">
        <w:t>’</w:t>
      </w:r>
      <w:r w:rsidRPr="00026EC1">
        <w:t>indemnité de congé de maternité, de paternité ou d</w:t>
      </w:r>
      <w:r w:rsidR="004A41E4" w:rsidRPr="00026EC1">
        <w:t>’</w:t>
      </w:r>
      <w:r w:rsidRPr="00026EC1">
        <w:t>adoption et les semaines comprises dans la période de mise à pied sont déduites du nombre de semaines auxquelles l</w:t>
      </w:r>
      <w:r w:rsidR="004A41E4" w:rsidRPr="00026EC1">
        <w:t>’</w:t>
      </w:r>
      <w:r w:rsidRPr="00026EC1">
        <w:t>enseignante ou l</w:t>
      </w:r>
      <w:r w:rsidR="004A41E4" w:rsidRPr="00026EC1">
        <w:t>’</w:t>
      </w:r>
      <w:r w:rsidRPr="00026EC1">
        <w:t>enseignant a droit, selon le cas</w:t>
      </w:r>
      <w:r w:rsidR="003C16E8" w:rsidRPr="00026EC1">
        <w:t>.</w:t>
      </w:r>
      <w:r w:rsidRPr="00026EC1">
        <w:t xml:space="preserve"> L</w:t>
      </w:r>
      <w:r w:rsidR="004A41E4" w:rsidRPr="00026EC1">
        <w:t>’</w:t>
      </w:r>
      <w:r w:rsidRPr="00026EC1">
        <w:t>indemnité de congé de maternité, de paternité ou d</w:t>
      </w:r>
      <w:r w:rsidR="004A41E4" w:rsidRPr="00026EC1">
        <w:t>’</w:t>
      </w:r>
      <w:r w:rsidRPr="00026EC1">
        <w:t>adoption est rétablie pour le nombre de semaines qui reste à couvrir, selon le cas;</w:t>
      </w:r>
    </w:p>
    <w:p w14:paraId="2DE4F00A" w14:textId="77777777" w:rsidR="001931CF" w:rsidRPr="00026EC1" w:rsidRDefault="001931CF" w:rsidP="00A64613">
      <w:pPr>
        <w:pStyle w:val="Texte1cm"/>
        <w:keepNext w:val="0"/>
      </w:pPr>
    </w:p>
    <w:p w14:paraId="0195B867" w14:textId="44D9D3D4" w:rsidR="000B51F8" w:rsidRDefault="00275751" w:rsidP="00A64613">
      <w:pPr>
        <w:keepNext w:val="0"/>
        <w:tabs>
          <w:tab w:val="left" w:pos="567"/>
        </w:tabs>
        <w:ind w:left="567" w:hanging="567"/>
      </w:pPr>
      <w:r w:rsidRPr="00026EC1">
        <w:t>f)</w:t>
      </w:r>
      <w:r w:rsidRPr="00026EC1">
        <w:tab/>
      </w:r>
      <w:r w:rsidR="009F5256" w:rsidRPr="00026EC1">
        <w:t>lorsque le début du congé de maternité, de paternité ou d</w:t>
      </w:r>
      <w:r w:rsidR="004A41E4" w:rsidRPr="00026EC1">
        <w:t>’</w:t>
      </w:r>
      <w:r w:rsidR="009F5256" w:rsidRPr="00026EC1">
        <w:t>adoption se situe entre deux (2) contrats, à l</w:t>
      </w:r>
      <w:r w:rsidR="004A41E4" w:rsidRPr="00026EC1">
        <w:t>’</w:t>
      </w:r>
      <w:r w:rsidR="009F5256" w:rsidRPr="00026EC1">
        <w:t>intérieur d</w:t>
      </w:r>
      <w:r w:rsidR="004A41E4" w:rsidRPr="00026EC1">
        <w:t>’</w:t>
      </w:r>
      <w:r w:rsidR="009F5256" w:rsidRPr="00026EC1">
        <w:t>une même session ou entre deux (2) sessions consécutives, l</w:t>
      </w:r>
      <w:r w:rsidR="004A41E4" w:rsidRPr="00026EC1">
        <w:t>’</w:t>
      </w:r>
      <w:r w:rsidR="009F5256" w:rsidRPr="00026EC1">
        <w:t>indemnité est versée à compter de la date du début du deuxième (2</w:t>
      </w:r>
      <w:r w:rsidR="009F5256" w:rsidRPr="00026EC1">
        <w:rPr>
          <w:vertAlign w:val="superscript"/>
        </w:rPr>
        <w:t>e</w:t>
      </w:r>
      <w:r w:rsidR="009F5256" w:rsidRPr="00026EC1">
        <w:t>) contrat de l</w:t>
      </w:r>
      <w:r w:rsidR="004A41E4" w:rsidRPr="00026EC1">
        <w:t>’</w:t>
      </w:r>
      <w:r w:rsidR="009F5256" w:rsidRPr="00026EC1">
        <w:t>enseignante</w:t>
      </w:r>
      <w:r w:rsidR="00EF247A" w:rsidRPr="00026EC1">
        <w:t xml:space="preserve"> ou</w:t>
      </w:r>
      <w:r w:rsidR="00FC4AD5" w:rsidRPr="00026EC1">
        <w:t xml:space="preserve"> de</w:t>
      </w:r>
      <w:r w:rsidR="00EF247A" w:rsidRPr="00026EC1">
        <w:t xml:space="preserve"> l’enseignant</w:t>
      </w:r>
      <w:r w:rsidR="009F5256" w:rsidRPr="00026EC1">
        <w:t>. Dans ce cas, les semaines comprises entre les deux (2) contrats sont déduites du nombre de semaines auxquelles l</w:t>
      </w:r>
      <w:r w:rsidR="004A41E4" w:rsidRPr="00026EC1">
        <w:t>’</w:t>
      </w:r>
      <w:r w:rsidR="009F5256" w:rsidRPr="00026EC1">
        <w:t>enseignante ou l</w:t>
      </w:r>
      <w:r w:rsidR="004A41E4" w:rsidRPr="00026EC1">
        <w:t>’</w:t>
      </w:r>
      <w:r w:rsidR="009F5256" w:rsidRPr="00026EC1">
        <w:t>enseignant a droit</w:t>
      </w:r>
      <w:r w:rsidR="00B97860" w:rsidRPr="00026EC1">
        <w:t>,</w:t>
      </w:r>
      <w:r w:rsidR="009F5256" w:rsidRPr="00026EC1">
        <w:t xml:space="preserve"> selon le cas. L</w:t>
      </w:r>
      <w:r w:rsidR="004A41E4" w:rsidRPr="00026EC1">
        <w:t>’</w:t>
      </w:r>
      <w:r w:rsidR="009F5256" w:rsidRPr="00026EC1">
        <w:t>indemnité est versée pour le nombre de semaines qui reste à couvrir</w:t>
      </w:r>
      <w:r w:rsidR="00EF247A" w:rsidRPr="00026EC1">
        <w:t>,</w:t>
      </w:r>
      <w:r w:rsidR="009F5256" w:rsidRPr="00026EC1">
        <w:t xml:space="preserve"> selon le cas.</w:t>
      </w:r>
    </w:p>
    <w:p w14:paraId="73A0373E" w14:textId="77777777" w:rsidR="000B51F8" w:rsidRDefault="000B51F8">
      <w:pPr>
        <w:keepNext w:val="0"/>
        <w:suppressAutoHyphens w:val="0"/>
        <w:jc w:val="left"/>
      </w:pPr>
      <w:r>
        <w:br w:type="page"/>
      </w:r>
    </w:p>
    <w:p w14:paraId="30F5B393" w14:textId="028F09F2" w:rsidR="009F5256" w:rsidRPr="00026EC1" w:rsidRDefault="009F5256" w:rsidP="00A64613">
      <w:pPr>
        <w:pStyle w:val="NUMRODECLAUSE"/>
        <w:keepNext w:val="0"/>
        <w:rPr>
          <w:rFonts w:ascii="Arial Gras" w:hAnsi="Arial Gras"/>
        </w:rPr>
      </w:pPr>
      <w:r w:rsidRPr="00026EC1">
        <w:t>5</w:t>
      </w:r>
      <w:r w:rsidR="00984A6F">
        <w:noBreakHyphen/>
      </w:r>
      <w:r w:rsidRPr="00026EC1">
        <w:t>6.45</w:t>
      </w:r>
    </w:p>
    <w:p w14:paraId="5CF6CA0B" w14:textId="22969C19" w:rsidR="009F5256" w:rsidRPr="00026EC1" w:rsidRDefault="009F5256" w:rsidP="00A64613">
      <w:pPr>
        <w:keepNext w:val="0"/>
        <w:rPr>
          <w:bCs/>
        </w:rPr>
      </w:pPr>
      <w:r w:rsidRPr="00026EC1">
        <w:t>L</w:t>
      </w:r>
      <w:r w:rsidR="004A41E4" w:rsidRPr="00026EC1">
        <w:t>’</w:t>
      </w:r>
      <w:r w:rsidRPr="00026EC1">
        <w:t>enseignante qui bénéficie d</w:t>
      </w:r>
      <w:r w:rsidR="004A41E4" w:rsidRPr="00026EC1">
        <w:t>’</w:t>
      </w:r>
      <w:r w:rsidRPr="00026EC1">
        <w:t>une prime pour disparités régionales en vertu de la convention collective reçoit cette prime durant son congé de maternité prévu à la clause</w:t>
      </w:r>
      <w:r w:rsidR="00D66A8F" w:rsidRPr="00026EC1">
        <w:t> </w:t>
      </w:r>
      <w:r w:rsidRPr="00026EC1">
        <w:t>5</w:t>
      </w:r>
      <w:r w:rsidR="00984A6F">
        <w:noBreakHyphen/>
      </w:r>
      <w:r w:rsidRPr="00026EC1">
        <w:t>6.06</w:t>
      </w:r>
      <w:r w:rsidRPr="00026EC1">
        <w:rPr>
          <w:bCs/>
        </w:rPr>
        <w:t>, de même que</w:t>
      </w:r>
      <w:r w:rsidR="00B97860" w:rsidRPr="00026EC1">
        <w:rPr>
          <w:bCs/>
        </w:rPr>
        <w:t xml:space="preserve"> l’enseignante ou </w:t>
      </w:r>
      <w:r w:rsidRPr="00026EC1">
        <w:rPr>
          <w:bCs/>
        </w:rPr>
        <w:t>l</w:t>
      </w:r>
      <w:r w:rsidR="004A41E4" w:rsidRPr="00026EC1">
        <w:rPr>
          <w:bCs/>
        </w:rPr>
        <w:t>’</w:t>
      </w:r>
      <w:r w:rsidRPr="00026EC1">
        <w:rPr>
          <w:bCs/>
        </w:rPr>
        <w:t>enseignant durant son congé de paternité prévu à la clause</w:t>
      </w:r>
      <w:r w:rsidR="00D66A8F" w:rsidRPr="00026EC1">
        <w:rPr>
          <w:bCs/>
        </w:rPr>
        <w:t> </w:t>
      </w:r>
      <w:r w:rsidRPr="00026EC1">
        <w:rPr>
          <w:bCs/>
        </w:rPr>
        <w:t>5</w:t>
      </w:r>
      <w:r w:rsidR="00984A6F">
        <w:rPr>
          <w:bCs/>
        </w:rPr>
        <w:noBreakHyphen/>
      </w:r>
      <w:r w:rsidRPr="00026EC1">
        <w:rPr>
          <w:bCs/>
        </w:rPr>
        <w:t>6.21 ou l</w:t>
      </w:r>
      <w:r w:rsidR="004A41E4" w:rsidRPr="00026EC1">
        <w:rPr>
          <w:bCs/>
        </w:rPr>
        <w:t>’</w:t>
      </w:r>
      <w:r w:rsidRPr="00026EC1">
        <w:rPr>
          <w:bCs/>
        </w:rPr>
        <w:t>enseignante ou l</w:t>
      </w:r>
      <w:r w:rsidR="004A41E4" w:rsidRPr="00026EC1">
        <w:rPr>
          <w:bCs/>
        </w:rPr>
        <w:t>’</w:t>
      </w:r>
      <w:r w:rsidRPr="00026EC1">
        <w:rPr>
          <w:bCs/>
        </w:rPr>
        <w:t>enseignant durant son congé pour adoption prévu à la clause</w:t>
      </w:r>
      <w:r w:rsidR="00D66A8F" w:rsidRPr="00026EC1">
        <w:rPr>
          <w:bCs/>
        </w:rPr>
        <w:t> </w:t>
      </w:r>
      <w:r w:rsidRPr="00026EC1">
        <w:rPr>
          <w:bCs/>
        </w:rPr>
        <w:t>5</w:t>
      </w:r>
      <w:r w:rsidR="00984A6F">
        <w:rPr>
          <w:bCs/>
        </w:rPr>
        <w:noBreakHyphen/>
      </w:r>
      <w:r w:rsidRPr="00026EC1">
        <w:rPr>
          <w:bCs/>
        </w:rPr>
        <w:t>6.30</w:t>
      </w:r>
      <w:r w:rsidR="00142A91" w:rsidRPr="00026EC1">
        <w:rPr>
          <w:bCs/>
        </w:rPr>
        <w:t>.</w:t>
      </w:r>
    </w:p>
    <w:p w14:paraId="02B1F851" w14:textId="2DEE56BB" w:rsidR="009F5256" w:rsidRPr="00026EC1" w:rsidRDefault="009F5256" w:rsidP="00A64613">
      <w:pPr>
        <w:keepNext w:val="0"/>
      </w:pPr>
    </w:p>
    <w:p w14:paraId="008FF99F" w14:textId="77777777" w:rsidR="009F5256" w:rsidRPr="00026EC1" w:rsidRDefault="00370CE7" w:rsidP="00A64613">
      <w:pPr>
        <w:keepNext w:val="0"/>
        <w:rPr>
          <w:b/>
          <w:u w:val="single"/>
        </w:rPr>
      </w:pPr>
      <w:r w:rsidRPr="00026EC1">
        <w:rPr>
          <w:b/>
          <w:u w:val="single"/>
        </w:rPr>
        <w:t>A</w:t>
      </w:r>
      <w:r w:rsidR="009F5256" w:rsidRPr="00026EC1">
        <w:rPr>
          <w:b/>
          <w:u w:val="single"/>
        </w:rPr>
        <w:t>vis et préavis</w:t>
      </w:r>
    </w:p>
    <w:p w14:paraId="2E67F31A" w14:textId="77777777" w:rsidR="009F5256" w:rsidRPr="00026EC1" w:rsidRDefault="009F5256" w:rsidP="00A64613">
      <w:pPr>
        <w:keepNext w:val="0"/>
      </w:pPr>
    </w:p>
    <w:p w14:paraId="64E5E89B" w14:textId="48387DD5" w:rsidR="009F5256" w:rsidRPr="00026EC1" w:rsidRDefault="009F5256" w:rsidP="00A64613">
      <w:pPr>
        <w:pStyle w:val="NUMRODECLAUSE"/>
        <w:keepNext w:val="0"/>
        <w:rPr>
          <w:bCs/>
        </w:rPr>
      </w:pPr>
      <w:r w:rsidRPr="00026EC1">
        <w:rPr>
          <w:bCs/>
        </w:rPr>
        <w:t>5</w:t>
      </w:r>
      <w:r w:rsidR="00984A6F">
        <w:rPr>
          <w:bCs/>
        </w:rPr>
        <w:noBreakHyphen/>
      </w:r>
      <w:r w:rsidRPr="00026EC1">
        <w:rPr>
          <w:bCs/>
        </w:rPr>
        <w:t>6.46</w:t>
      </w:r>
      <w:r w:rsidR="00142A91" w:rsidRPr="00026EC1">
        <w:rPr>
          <w:bCs/>
        </w:rPr>
        <w:tab/>
      </w:r>
      <w:r w:rsidR="00142A91" w:rsidRPr="00E07734">
        <w:rPr>
          <w:bCs/>
          <w:u w:val="single"/>
        </w:rPr>
        <w:t>A</w:t>
      </w:r>
      <w:r w:rsidRPr="00E07734">
        <w:rPr>
          <w:u w:val="single"/>
        </w:rPr>
        <w:t xml:space="preserve">vis </w:t>
      </w:r>
      <w:r w:rsidR="00984A6F">
        <w:rPr>
          <w:u w:val="single"/>
        </w:rPr>
        <w:noBreakHyphen/>
      </w:r>
      <w:r w:rsidRPr="00E07734">
        <w:rPr>
          <w:u w:val="single"/>
        </w:rPr>
        <w:t xml:space="preserve"> congé de maternité</w:t>
      </w:r>
    </w:p>
    <w:p w14:paraId="631969E5" w14:textId="49BE7D16" w:rsidR="009F5256" w:rsidRPr="00026EC1" w:rsidRDefault="009F5256" w:rsidP="00A64613">
      <w:pPr>
        <w:keepNext w:val="0"/>
      </w:pPr>
      <w:r w:rsidRPr="00026EC1">
        <w:t>Pour obtenir le congé de maternité, l</w:t>
      </w:r>
      <w:r w:rsidR="004A41E4" w:rsidRPr="00026EC1">
        <w:t>’</w:t>
      </w:r>
      <w:r w:rsidRPr="00026EC1">
        <w:t>enseignante donne un préavis écrit au Collège au moins deux (2) semaines avant la date du départ. Ce préavis est accompagné d</w:t>
      </w:r>
      <w:r w:rsidR="004A41E4" w:rsidRPr="00026EC1">
        <w:t>’</w:t>
      </w:r>
      <w:r w:rsidRPr="00026EC1">
        <w:t>un certificat médical ou d</w:t>
      </w:r>
      <w:r w:rsidR="004A41E4" w:rsidRPr="00026EC1">
        <w:t>’</w:t>
      </w:r>
      <w:r w:rsidRPr="00026EC1">
        <w:t>un rapport écrit signé par une sage</w:t>
      </w:r>
      <w:r w:rsidR="00984A6F">
        <w:noBreakHyphen/>
      </w:r>
      <w:r w:rsidRPr="00026EC1">
        <w:t>femme attestant de la grossesse et de la date prévue pour la naissance.</w:t>
      </w:r>
    </w:p>
    <w:p w14:paraId="610067C8" w14:textId="77777777" w:rsidR="009F5256" w:rsidRPr="00026EC1" w:rsidRDefault="009F5256" w:rsidP="00A64613">
      <w:pPr>
        <w:keepNext w:val="0"/>
      </w:pPr>
    </w:p>
    <w:p w14:paraId="679A4B94" w14:textId="77777777" w:rsidR="009F5256" w:rsidRPr="00026EC1" w:rsidRDefault="009F5256" w:rsidP="00A64613">
      <w:pPr>
        <w:keepNext w:val="0"/>
      </w:pPr>
      <w:r w:rsidRPr="00026EC1">
        <w:t>Le délai de présentation du préavis peut être moindre si un certificat médical atteste que l</w:t>
      </w:r>
      <w:r w:rsidR="004A41E4" w:rsidRPr="00026EC1">
        <w:t>’</w:t>
      </w:r>
      <w:r w:rsidRPr="00026EC1">
        <w:t>enseignante doit quitter sa charge plus tôt que prévu. En cas d</w:t>
      </w:r>
      <w:r w:rsidR="004A41E4" w:rsidRPr="00026EC1">
        <w:t>’</w:t>
      </w:r>
      <w:r w:rsidRPr="00026EC1">
        <w:t>imprévu, l</w:t>
      </w:r>
      <w:r w:rsidR="004A41E4" w:rsidRPr="00026EC1">
        <w:t>’</w:t>
      </w:r>
      <w:r w:rsidRPr="00026EC1">
        <w:t>enseignante est exemptée de la formalité du préavis, sous réserve de la production au Collège d</w:t>
      </w:r>
      <w:r w:rsidR="004A41E4" w:rsidRPr="00026EC1">
        <w:t>’</w:t>
      </w:r>
      <w:r w:rsidRPr="00026EC1">
        <w:t>un certificat médical attestant qu</w:t>
      </w:r>
      <w:r w:rsidR="004A41E4" w:rsidRPr="00026EC1">
        <w:t>’</w:t>
      </w:r>
      <w:r w:rsidRPr="00026EC1">
        <w:t>elle devait quitter son emploi sans délai.</w:t>
      </w:r>
    </w:p>
    <w:p w14:paraId="25526A7F" w14:textId="77777777" w:rsidR="009F5256" w:rsidRPr="00026EC1" w:rsidRDefault="009F5256" w:rsidP="00A64613">
      <w:pPr>
        <w:keepNext w:val="0"/>
      </w:pPr>
    </w:p>
    <w:p w14:paraId="65CC5C08" w14:textId="3A0D5F33" w:rsidR="009F5256" w:rsidRPr="00026EC1" w:rsidRDefault="009F5256" w:rsidP="00A64613">
      <w:pPr>
        <w:pStyle w:val="NUMRODECLAUSE"/>
        <w:keepNext w:val="0"/>
      </w:pPr>
      <w:r w:rsidRPr="00026EC1">
        <w:t>5</w:t>
      </w:r>
      <w:r w:rsidR="00984A6F">
        <w:noBreakHyphen/>
      </w:r>
      <w:r w:rsidRPr="00026EC1">
        <w:t>6.47</w:t>
      </w:r>
      <w:r w:rsidR="00142A91" w:rsidRPr="00026EC1">
        <w:tab/>
      </w:r>
      <w:r w:rsidRPr="00E07734">
        <w:rPr>
          <w:u w:val="single"/>
        </w:rPr>
        <w:t xml:space="preserve">Avis </w:t>
      </w:r>
      <w:r w:rsidR="00984A6F">
        <w:rPr>
          <w:u w:val="single"/>
        </w:rPr>
        <w:noBreakHyphen/>
      </w:r>
      <w:r w:rsidRPr="00E07734">
        <w:rPr>
          <w:u w:val="single"/>
        </w:rPr>
        <w:t xml:space="preserve"> fin du congé de maternité</w:t>
      </w:r>
    </w:p>
    <w:p w14:paraId="6BF38D33" w14:textId="77777777" w:rsidR="009F5256" w:rsidRPr="00026EC1" w:rsidRDefault="009F5256" w:rsidP="00A64613">
      <w:pPr>
        <w:keepNext w:val="0"/>
      </w:pPr>
      <w:r w:rsidRPr="00026EC1">
        <w:t>Le Collège doit faire parvenir à l</w:t>
      </w:r>
      <w:r w:rsidR="004A41E4" w:rsidRPr="00026EC1">
        <w:t>’</w:t>
      </w:r>
      <w:r w:rsidRPr="00026EC1">
        <w:t>enseignante, au cours de la quatrième (4</w:t>
      </w:r>
      <w:r w:rsidRPr="00026EC1">
        <w:rPr>
          <w:vertAlign w:val="superscript"/>
        </w:rPr>
        <w:t>e</w:t>
      </w:r>
      <w:r w:rsidRPr="00026EC1">
        <w:t>) semaine précédant l</w:t>
      </w:r>
      <w:r w:rsidR="004A41E4" w:rsidRPr="00026EC1">
        <w:t>’</w:t>
      </w:r>
      <w:r w:rsidRPr="00026EC1">
        <w:t>expiration du congé de maternité, un avis indiquant la date prévue de l</w:t>
      </w:r>
      <w:r w:rsidR="004A41E4" w:rsidRPr="00026EC1">
        <w:t>’</w:t>
      </w:r>
      <w:r w:rsidRPr="00026EC1">
        <w:t>expiration de ce congé.</w:t>
      </w:r>
    </w:p>
    <w:p w14:paraId="797CC5C0" w14:textId="77777777" w:rsidR="009F5256" w:rsidRPr="00026EC1" w:rsidRDefault="009F5256" w:rsidP="00A64613">
      <w:pPr>
        <w:keepNext w:val="0"/>
      </w:pPr>
    </w:p>
    <w:p w14:paraId="42BB4A11" w14:textId="3BFD4708" w:rsidR="009F5256" w:rsidRPr="00026EC1" w:rsidRDefault="009F5256" w:rsidP="00A64613">
      <w:pPr>
        <w:keepNext w:val="0"/>
        <w:rPr>
          <w:bCs/>
        </w:rPr>
      </w:pPr>
      <w:r w:rsidRPr="00026EC1">
        <w:t>L</w:t>
      </w:r>
      <w:r w:rsidR="004A41E4" w:rsidRPr="00026EC1">
        <w:t>’</w:t>
      </w:r>
      <w:r w:rsidRPr="00026EC1">
        <w:t>enseignante à qui le Collège a fait parvenir l</w:t>
      </w:r>
      <w:r w:rsidR="004A41E4" w:rsidRPr="00026EC1">
        <w:t>’</w:t>
      </w:r>
      <w:r w:rsidRPr="00026EC1">
        <w:t>avis ci</w:t>
      </w:r>
      <w:r w:rsidR="00984A6F">
        <w:noBreakHyphen/>
      </w:r>
      <w:r w:rsidRPr="00026EC1">
        <w:t>dessus se présente au travail à l</w:t>
      </w:r>
      <w:r w:rsidR="004A41E4" w:rsidRPr="00026EC1">
        <w:t>’</w:t>
      </w:r>
      <w:r w:rsidRPr="00026EC1">
        <w:t>expiration de son congé de maternité, à moins que celui</w:t>
      </w:r>
      <w:r w:rsidR="00984A6F">
        <w:noBreakHyphen/>
      </w:r>
      <w:r w:rsidRPr="00026EC1">
        <w:t>ci ne soit prolongé de la manière prévue à la clause 5</w:t>
      </w:r>
      <w:r w:rsidR="00984A6F">
        <w:noBreakHyphen/>
      </w:r>
      <w:r w:rsidRPr="00026EC1">
        <w:t>6.50</w:t>
      </w:r>
      <w:r w:rsidRPr="00026EC1">
        <w:rPr>
          <w:bCs/>
        </w:rPr>
        <w:t>.</w:t>
      </w:r>
    </w:p>
    <w:p w14:paraId="261536A2" w14:textId="77777777" w:rsidR="009F5256" w:rsidRPr="00026EC1" w:rsidRDefault="009F5256" w:rsidP="00A64613">
      <w:pPr>
        <w:keepNext w:val="0"/>
        <w:rPr>
          <w:bCs/>
        </w:rPr>
      </w:pPr>
    </w:p>
    <w:p w14:paraId="16DDB122" w14:textId="77777777" w:rsidR="00A92B25" w:rsidRDefault="009F5256" w:rsidP="00A64613">
      <w:pPr>
        <w:keepNext w:val="0"/>
      </w:pPr>
      <w:r w:rsidRPr="00026EC1">
        <w:t>L</w:t>
      </w:r>
      <w:r w:rsidR="004A41E4" w:rsidRPr="00026EC1">
        <w:t>’</w:t>
      </w:r>
      <w:r w:rsidRPr="00026EC1">
        <w:t>enseignante qui ne se conforme pas au paragraphe précédent est réputée en congé sans traitement pour une période n</w:t>
      </w:r>
      <w:r w:rsidR="004A41E4" w:rsidRPr="00026EC1">
        <w:t>’</w:t>
      </w:r>
      <w:r w:rsidRPr="00026EC1">
        <w:t>excédant pas quatre (4) semaines. Au terme de cette période, l</w:t>
      </w:r>
      <w:r w:rsidR="004A41E4" w:rsidRPr="00026EC1">
        <w:t>’</w:t>
      </w:r>
      <w:r w:rsidRPr="00026EC1">
        <w:t>enseignante qui ne s</w:t>
      </w:r>
      <w:r w:rsidR="004A41E4" w:rsidRPr="00026EC1">
        <w:t>’</w:t>
      </w:r>
      <w:r w:rsidRPr="00026EC1">
        <w:t>est pas présentée au travail est présumée avoir démissionné.</w:t>
      </w:r>
    </w:p>
    <w:p w14:paraId="7F94378D" w14:textId="77777777" w:rsidR="00313966" w:rsidRDefault="00313966" w:rsidP="00A64613">
      <w:pPr>
        <w:keepNext w:val="0"/>
      </w:pPr>
    </w:p>
    <w:p w14:paraId="42FE14A3" w14:textId="51BACF87" w:rsidR="009F5256" w:rsidRPr="00026EC1" w:rsidRDefault="009F5256" w:rsidP="00A64613">
      <w:pPr>
        <w:pStyle w:val="NUMRODECLAUSE"/>
        <w:keepNext w:val="0"/>
      </w:pPr>
      <w:r w:rsidRPr="00026EC1">
        <w:t>5</w:t>
      </w:r>
      <w:r w:rsidR="00984A6F">
        <w:noBreakHyphen/>
      </w:r>
      <w:r w:rsidRPr="00026EC1">
        <w:t>6.48</w:t>
      </w:r>
      <w:r w:rsidR="00142A91" w:rsidRPr="00026EC1">
        <w:tab/>
      </w:r>
      <w:r w:rsidRPr="00E07734">
        <w:rPr>
          <w:u w:val="single"/>
        </w:rPr>
        <w:t xml:space="preserve">Avis </w:t>
      </w:r>
      <w:r w:rsidR="00984A6F">
        <w:rPr>
          <w:u w:val="single"/>
        </w:rPr>
        <w:noBreakHyphen/>
      </w:r>
      <w:r w:rsidRPr="00E07734">
        <w:rPr>
          <w:u w:val="single"/>
        </w:rPr>
        <w:t xml:space="preserve"> congé de paternité et congé d</w:t>
      </w:r>
      <w:r w:rsidR="004A41E4" w:rsidRPr="00E07734">
        <w:rPr>
          <w:u w:val="single"/>
        </w:rPr>
        <w:t>’</w:t>
      </w:r>
      <w:r w:rsidRPr="00E07734">
        <w:rPr>
          <w:u w:val="single"/>
        </w:rPr>
        <w:t>adoption</w:t>
      </w:r>
    </w:p>
    <w:p w14:paraId="286A885C" w14:textId="74790AD6" w:rsidR="009F5256" w:rsidRPr="00026EC1" w:rsidRDefault="009F5256" w:rsidP="00A64613">
      <w:pPr>
        <w:keepNext w:val="0"/>
      </w:pPr>
      <w:r w:rsidRPr="00026EC1">
        <w:t>Le congé de paternité prévu à la clause 5</w:t>
      </w:r>
      <w:r w:rsidR="00984A6F">
        <w:noBreakHyphen/>
      </w:r>
      <w:r w:rsidRPr="00026EC1">
        <w:t>6.21, le congé d</w:t>
      </w:r>
      <w:r w:rsidR="004A41E4" w:rsidRPr="00026EC1">
        <w:t>’</w:t>
      </w:r>
      <w:r w:rsidRPr="00026EC1">
        <w:t>adoption prévu à la clause</w:t>
      </w:r>
      <w:r w:rsidR="00D66A8F" w:rsidRPr="00026EC1">
        <w:t> </w:t>
      </w:r>
      <w:r w:rsidRPr="00026EC1">
        <w:t>5</w:t>
      </w:r>
      <w:r w:rsidR="00984A6F">
        <w:noBreakHyphen/>
      </w:r>
      <w:r w:rsidRPr="00026EC1">
        <w:t>6.30</w:t>
      </w:r>
      <w:r w:rsidR="00B97860" w:rsidRPr="00026EC1">
        <w:t xml:space="preserve"> ou</w:t>
      </w:r>
      <w:r w:rsidRPr="00026EC1">
        <w:t xml:space="preserve"> le congé sans traitement en vue d</w:t>
      </w:r>
      <w:r w:rsidR="004A41E4" w:rsidRPr="00026EC1">
        <w:t>’</w:t>
      </w:r>
      <w:r w:rsidRPr="00026EC1">
        <w:t>une adoption prévu à la clause</w:t>
      </w:r>
      <w:r w:rsidR="00D66A8F" w:rsidRPr="00026EC1">
        <w:t> </w:t>
      </w:r>
      <w:r w:rsidRPr="00026EC1">
        <w:t>5</w:t>
      </w:r>
      <w:r w:rsidR="00984A6F">
        <w:noBreakHyphen/>
      </w:r>
      <w:r w:rsidRPr="00026EC1">
        <w:t>6.37 est accordé à la suite d</w:t>
      </w:r>
      <w:r w:rsidR="004A41E4" w:rsidRPr="00026EC1">
        <w:t>’</w:t>
      </w:r>
      <w:r w:rsidRPr="00026EC1">
        <w:t>une demande écrite présentée au moins trois</w:t>
      </w:r>
      <w:r w:rsidR="00F563DB">
        <w:t> </w:t>
      </w:r>
      <w:r w:rsidRPr="00026EC1">
        <w:t>(3) semaines à l</w:t>
      </w:r>
      <w:r w:rsidR="004A41E4" w:rsidRPr="00026EC1">
        <w:t>’</w:t>
      </w:r>
      <w:r w:rsidRPr="00026EC1">
        <w:t>avance. Ce délai peut toutefois être moindre si la naissance a lieu avant la date prévue de celle</w:t>
      </w:r>
      <w:r w:rsidR="00984A6F">
        <w:noBreakHyphen/>
      </w:r>
      <w:r w:rsidRPr="00026EC1">
        <w:t>ci.</w:t>
      </w:r>
    </w:p>
    <w:p w14:paraId="19FDEE6B" w14:textId="77777777" w:rsidR="009F5256" w:rsidRPr="00026EC1" w:rsidRDefault="009F5256" w:rsidP="00A64613">
      <w:pPr>
        <w:keepNext w:val="0"/>
      </w:pPr>
    </w:p>
    <w:p w14:paraId="3DB02CCD" w14:textId="77777777" w:rsidR="009F5256" w:rsidRPr="00026EC1" w:rsidRDefault="009F5256" w:rsidP="00A64613">
      <w:pPr>
        <w:keepNext w:val="0"/>
      </w:pPr>
      <w:r w:rsidRPr="00026EC1">
        <w:t>La demande doit indiquer la date prévue de l</w:t>
      </w:r>
      <w:r w:rsidR="004A41E4" w:rsidRPr="00026EC1">
        <w:t>’</w:t>
      </w:r>
      <w:r w:rsidRPr="00026EC1">
        <w:t>expiration du congé.</w:t>
      </w:r>
    </w:p>
    <w:p w14:paraId="2AB39B93" w14:textId="77777777" w:rsidR="009F5256" w:rsidRPr="00026EC1" w:rsidRDefault="009F5256" w:rsidP="00A64613">
      <w:pPr>
        <w:keepNext w:val="0"/>
      </w:pPr>
    </w:p>
    <w:p w14:paraId="47642DD8" w14:textId="3D4422A8" w:rsidR="009F5256" w:rsidRPr="00026EC1" w:rsidRDefault="009F5256" w:rsidP="00A64613">
      <w:pPr>
        <w:pStyle w:val="NUMRODECLAUSE"/>
        <w:keepNext w:val="0"/>
      </w:pPr>
      <w:r w:rsidRPr="00026EC1">
        <w:t>5</w:t>
      </w:r>
      <w:r w:rsidR="00984A6F">
        <w:noBreakHyphen/>
      </w:r>
      <w:r w:rsidRPr="00026EC1">
        <w:t>6.49</w:t>
      </w:r>
      <w:r w:rsidR="00142A91" w:rsidRPr="00026EC1">
        <w:tab/>
      </w:r>
      <w:r w:rsidRPr="00E07734">
        <w:rPr>
          <w:u w:val="single"/>
        </w:rPr>
        <w:t xml:space="preserve">Avis </w:t>
      </w:r>
      <w:r w:rsidR="00984A6F">
        <w:rPr>
          <w:u w:val="single"/>
        </w:rPr>
        <w:noBreakHyphen/>
      </w:r>
      <w:r w:rsidRPr="00E07734">
        <w:rPr>
          <w:u w:val="single"/>
        </w:rPr>
        <w:t xml:space="preserve"> fin du congé de paternité ou d</w:t>
      </w:r>
      <w:r w:rsidR="004A41E4" w:rsidRPr="00E07734">
        <w:rPr>
          <w:u w:val="single"/>
        </w:rPr>
        <w:t>’</w:t>
      </w:r>
      <w:r w:rsidRPr="00E07734">
        <w:rPr>
          <w:u w:val="single"/>
        </w:rPr>
        <w:t>adoption</w:t>
      </w:r>
      <w:r w:rsidRPr="00026EC1">
        <w:t xml:space="preserve"> </w:t>
      </w:r>
    </w:p>
    <w:p w14:paraId="14EAD06E" w14:textId="0F4ACE33" w:rsidR="000B51F8" w:rsidRDefault="009F5256" w:rsidP="000B51F8">
      <w:pPr>
        <w:keepNext w:val="0"/>
      </w:pPr>
      <w:r w:rsidRPr="00026EC1">
        <w:t>L</w:t>
      </w:r>
      <w:r w:rsidR="004A41E4" w:rsidRPr="00026EC1">
        <w:t>’</w:t>
      </w:r>
      <w:r w:rsidRPr="00026EC1">
        <w:t>enseignante ou l</w:t>
      </w:r>
      <w:r w:rsidR="004A41E4" w:rsidRPr="00026EC1">
        <w:t>’</w:t>
      </w:r>
      <w:r w:rsidRPr="00026EC1">
        <w:t>enseignant en congé de paternité ou d</w:t>
      </w:r>
      <w:r w:rsidR="004A41E4" w:rsidRPr="00026EC1">
        <w:t>’</w:t>
      </w:r>
      <w:r w:rsidRPr="00026EC1">
        <w:t>adoption doit se présenter au travail à l</w:t>
      </w:r>
      <w:r w:rsidR="004A41E4" w:rsidRPr="00026EC1">
        <w:t>’</w:t>
      </w:r>
      <w:r w:rsidRPr="00026EC1">
        <w:t>expiration de son congé, à moins que celui</w:t>
      </w:r>
      <w:r w:rsidR="00984A6F">
        <w:noBreakHyphen/>
      </w:r>
      <w:r w:rsidRPr="00026EC1">
        <w:t>ci ne soit prolongé de la manière prévue à la clause</w:t>
      </w:r>
      <w:r w:rsidR="00D66A8F" w:rsidRPr="00026EC1">
        <w:t> </w:t>
      </w:r>
      <w:r w:rsidRPr="00026EC1">
        <w:t>5</w:t>
      </w:r>
      <w:r w:rsidR="00984A6F">
        <w:noBreakHyphen/>
      </w:r>
      <w:r w:rsidRPr="00026EC1">
        <w:t>6.50.</w:t>
      </w:r>
      <w:r w:rsidR="000B51F8">
        <w:br w:type="page"/>
      </w:r>
    </w:p>
    <w:p w14:paraId="42629653" w14:textId="245A4734" w:rsidR="00BC0732" w:rsidRDefault="009F5256" w:rsidP="00A64613">
      <w:pPr>
        <w:keepNext w:val="0"/>
      </w:pPr>
      <w:r w:rsidRPr="00026EC1">
        <w:t>L</w:t>
      </w:r>
      <w:r w:rsidR="004A41E4" w:rsidRPr="00026EC1">
        <w:t>’</w:t>
      </w:r>
      <w:r w:rsidRPr="00026EC1">
        <w:t>enseignante ou l</w:t>
      </w:r>
      <w:r w:rsidR="004A41E4" w:rsidRPr="00026EC1">
        <w:t>’</w:t>
      </w:r>
      <w:r w:rsidRPr="00026EC1">
        <w:t>enseignant qui ne se conforme pas au paragraphe précédent est réputé en congé sans traitement pour une période n</w:t>
      </w:r>
      <w:r w:rsidR="004A41E4" w:rsidRPr="00026EC1">
        <w:t>’</w:t>
      </w:r>
      <w:r w:rsidRPr="00026EC1">
        <w:t>excédant pas quatre (4) semaines. Au terme de cette période, l</w:t>
      </w:r>
      <w:r w:rsidR="004A41E4" w:rsidRPr="00026EC1">
        <w:t>’</w:t>
      </w:r>
      <w:r w:rsidRPr="00026EC1">
        <w:t>enseignante</w:t>
      </w:r>
      <w:r w:rsidR="00293151" w:rsidRPr="00026EC1">
        <w:t xml:space="preserve"> ou l’enseignant</w:t>
      </w:r>
      <w:r w:rsidRPr="00026EC1">
        <w:t xml:space="preserve"> qui ne s</w:t>
      </w:r>
      <w:r w:rsidR="004A41E4" w:rsidRPr="00026EC1">
        <w:t>’</w:t>
      </w:r>
      <w:r w:rsidRPr="00026EC1">
        <w:t>est pas présenté au travail est présumé avoir démissionné.</w:t>
      </w:r>
    </w:p>
    <w:p w14:paraId="366A4911" w14:textId="053BCDAB" w:rsidR="00BC0732" w:rsidRDefault="00BC0732">
      <w:pPr>
        <w:keepNext w:val="0"/>
        <w:suppressAutoHyphens w:val="0"/>
        <w:jc w:val="left"/>
      </w:pPr>
    </w:p>
    <w:p w14:paraId="03E5C967" w14:textId="2F9D7F4E" w:rsidR="009F5256" w:rsidRPr="00026EC1" w:rsidRDefault="009F5256" w:rsidP="00A64613">
      <w:pPr>
        <w:pStyle w:val="NUMRODECLAUSE"/>
        <w:keepNext w:val="0"/>
      </w:pPr>
      <w:r w:rsidRPr="00026EC1">
        <w:t>5</w:t>
      </w:r>
      <w:r w:rsidR="00984A6F">
        <w:noBreakHyphen/>
      </w:r>
      <w:r w:rsidRPr="00026EC1">
        <w:t>6.50</w:t>
      </w:r>
      <w:r w:rsidR="00142A91" w:rsidRPr="00026EC1">
        <w:tab/>
      </w:r>
      <w:r w:rsidRPr="00E07734">
        <w:rPr>
          <w:u w:val="single"/>
        </w:rPr>
        <w:t xml:space="preserve">Avis </w:t>
      </w:r>
      <w:r w:rsidR="00984A6F">
        <w:rPr>
          <w:u w:val="single"/>
        </w:rPr>
        <w:noBreakHyphen/>
      </w:r>
      <w:r w:rsidRPr="00E07734">
        <w:rPr>
          <w:u w:val="single"/>
        </w:rPr>
        <w:t xml:space="preserve"> congé sans traitement</w:t>
      </w:r>
    </w:p>
    <w:p w14:paraId="216C195C" w14:textId="7D17205E" w:rsidR="009F5256" w:rsidRPr="00026EC1" w:rsidRDefault="009F5256" w:rsidP="00A64613">
      <w:pPr>
        <w:keepNext w:val="0"/>
      </w:pPr>
      <w:r w:rsidRPr="00026EC1">
        <w:t>Le congé sans traitement ou partiel sans traitement prévu à la clause</w:t>
      </w:r>
      <w:r w:rsidR="00D66A8F" w:rsidRPr="00026EC1">
        <w:t> </w:t>
      </w:r>
      <w:r w:rsidRPr="00026EC1">
        <w:t>5</w:t>
      </w:r>
      <w:r w:rsidR="00984A6F">
        <w:noBreakHyphen/>
      </w:r>
      <w:r w:rsidRPr="00026EC1">
        <w:t>6.38 est accordé à la suite d</w:t>
      </w:r>
      <w:r w:rsidR="004A41E4" w:rsidRPr="00026EC1">
        <w:t>’</w:t>
      </w:r>
      <w:r w:rsidRPr="00026EC1">
        <w:t>une demande écrite présentée au moins trois</w:t>
      </w:r>
      <w:r w:rsidR="00680672">
        <w:t> </w:t>
      </w:r>
      <w:r w:rsidRPr="00026EC1">
        <w:t>(3) semaines à l</w:t>
      </w:r>
      <w:r w:rsidR="004A41E4" w:rsidRPr="00026EC1">
        <w:t>’</w:t>
      </w:r>
      <w:r w:rsidRPr="00026EC1">
        <w:t>avance.</w:t>
      </w:r>
    </w:p>
    <w:p w14:paraId="4B15A6F4" w14:textId="77777777" w:rsidR="009F5256" w:rsidRPr="00026EC1" w:rsidRDefault="009F5256" w:rsidP="00A64613">
      <w:pPr>
        <w:keepNext w:val="0"/>
      </w:pPr>
    </w:p>
    <w:p w14:paraId="18B2B1E4" w14:textId="22C9AEC6" w:rsidR="009F5256" w:rsidRPr="00026EC1" w:rsidRDefault="009F5256" w:rsidP="00A64613">
      <w:pPr>
        <w:keepNext w:val="0"/>
      </w:pPr>
      <w:r w:rsidRPr="00026EC1">
        <w:t>La modification de ce congé visé à la clause 5</w:t>
      </w:r>
      <w:r w:rsidR="00984A6F">
        <w:noBreakHyphen/>
      </w:r>
      <w:r w:rsidRPr="00026EC1">
        <w:t>6.38 est accordée à la suite d</w:t>
      </w:r>
      <w:r w:rsidR="004A41E4" w:rsidRPr="00026EC1">
        <w:t>’</w:t>
      </w:r>
      <w:r w:rsidRPr="00026EC1">
        <w:t>une demande écrite présentée au moins trente (30) jours à l</w:t>
      </w:r>
      <w:r w:rsidR="004A41E4" w:rsidRPr="00026EC1">
        <w:t>’</w:t>
      </w:r>
      <w:r w:rsidRPr="00026EC1">
        <w:t>avance.</w:t>
      </w:r>
    </w:p>
    <w:p w14:paraId="1A5F23BD" w14:textId="77777777" w:rsidR="009F5256" w:rsidRPr="00026EC1" w:rsidRDefault="009F5256" w:rsidP="00A64613">
      <w:pPr>
        <w:keepNext w:val="0"/>
        <w:rPr>
          <w:sz w:val="18"/>
          <w:szCs w:val="18"/>
        </w:rPr>
      </w:pPr>
    </w:p>
    <w:p w14:paraId="4EEACE12" w14:textId="77777777" w:rsidR="009F5256" w:rsidRPr="00026EC1" w:rsidRDefault="009F5256" w:rsidP="00A64613">
      <w:pPr>
        <w:keepNext w:val="0"/>
      </w:pPr>
      <w:r w:rsidRPr="00026EC1">
        <w:t xml:space="preserve">Dans le cas du congé sans traitement ou partiel sans traitement, la demande précise la date du retour au travail. </w:t>
      </w:r>
    </w:p>
    <w:p w14:paraId="20F05C29" w14:textId="77777777" w:rsidR="009F5256" w:rsidRPr="00026EC1" w:rsidRDefault="009F5256" w:rsidP="00A64613">
      <w:pPr>
        <w:keepNext w:val="0"/>
      </w:pPr>
    </w:p>
    <w:p w14:paraId="400C5FA5" w14:textId="6FFD454E" w:rsidR="009F5256" w:rsidRPr="00026EC1" w:rsidRDefault="009F5256" w:rsidP="00A64613">
      <w:pPr>
        <w:keepNext w:val="0"/>
      </w:pPr>
      <w:r w:rsidRPr="00026EC1">
        <w:t>De plus, dans le cas d</w:t>
      </w:r>
      <w:r w:rsidR="004A41E4" w:rsidRPr="00026EC1">
        <w:t>’</w:t>
      </w:r>
      <w:r w:rsidRPr="00026EC1">
        <w:t>un congé partiel sans traitement, la demande précise également l</w:t>
      </w:r>
      <w:r w:rsidR="004A41E4" w:rsidRPr="00026EC1">
        <w:t>’</w:t>
      </w:r>
      <w:r w:rsidRPr="00026EC1">
        <w:t>aménagement du congé. En cas de désaccord du Collège quant à la fraction du congé partiel sans traitement, l</w:t>
      </w:r>
      <w:r w:rsidR="004A41E4" w:rsidRPr="00026EC1">
        <w:t>’</w:t>
      </w:r>
      <w:r w:rsidRPr="00026EC1">
        <w:t>enseignante ou l</w:t>
      </w:r>
      <w:r w:rsidR="004A41E4" w:rsidRPr="00026EC1">
        <w:t>’</w:t>
      </w:r>
      <w:r w:rsidRPr="00026EC1">
        <w:t>enseignant est informé par écrit de ce désaccord et a droit à un congé de zéro virgule cinq (0,5) équivalent temps complet jusqu</w:t>
      </w:r>
      <w:r w:rsidR="004A41E4" w:rsidRPr="00026EC1">
        <w:t>’</w:t>
      </w:r>
      <w:r w:rsidRPr="00026EC1">
        <w:t>à concurrence de deux</w:t>
      </w:r>
      <w:r w:rsidR="00680672">
        <w:t> </w:t>
      </w:r>
      <w:r w:rsidRPr="00026EC1">
        <w:t>(2) ans. Toutefois, l</w:t>
      </w:r>
      <w:r w:rsidR="004A41E4" w:rsidRPr="00026EC1">
        <w:t>’</w:t>
      </w:r>
      <w:r w:rsidRPr="00026EC1">
        <w:t>enseignante ou l</w:t>
      </w:r>
      <w:r w:rsidR="004A41E4" w:rsidRPr="00026EC1">
        <w:t>’</w:t>
      </w:r>
      <w:r w:rsidRPr="00026EC1">
        <w:t>enseignant peut s</w:t>
      </w:r>
      <w:r w:rsidR="004A41E4" w:rsidRPr="00026EC1">
        <w:t>’</w:t>
      </w:r>
      <w:r w:rsidRPr="00026EC1">
        <w:t>entendre en tout temps avec le Collège pour réaménager le congé partiel sans traitement.</w:t>
      </w:r>
    </w:p>
    <w:p w14:paraId="35BE131C" w14:textId="77777777" w:rsidR="009F5256" w:rsidRPr="00026EC1" w:rsidRDefault="009F5256" w:rsidP="00A64613">
      <w:pPr>
        <w:keepNext w:val="0"/>
      </w:pPr>
    </w:p>
    <w:p w14:paraId="57EFEEAA" w14:textId="79045194" w:rsidR="009F5256" w:rsidRPr="00026EC1" w:rsidRDefault="009F5256" w:rsidP="00A64613">
      <w:pPr>
        <w:pStyle w:val="NUMRODECLAUSE"/>
        <w:keepNext w:val="0"/>
      </w:pPr>
      <w:r w:rsidRPr="00026EC1">
        <w:t>5</w:t>
      </w:r>
      <w:r w:rsidR="00984A6F">
        <w:noBreakHyphen/>
      </w:r>
      <w:r w:rsidRPr="00026EC1">
        <w:t>6.51</w:t>
      </w:r>
      <w:r w:rsidR="005E5E3C" w:rsidRPr="00026EC1">
        <w:tab/>
      </w:r>
      <w:r w:rsidRPr="00E07734">
        <w:rPr>
          <w:u w:val="single"/>
        </w:rPr>
        <w:t>Avis</w:t>
      </w:r>
      <w:r w:rsidR="00293151" w:rsidRPr="00E07734">
        <w:rPr>
          <w:u w:val="single"/>
        </w:rPr>
        <w:t xml:space="preserve"> </w:t>
      </w:r>
      <w:r w:rsidR="00984A6F">
        <w:rPr>
          <w:u w:val="single"/>
        </w:rPr>
        <w:noBreakHyphen/>
      </w:r>
      <w:r w:rsidRPr="00E07734">
        <w:rPr>
          <w:u w:val="single"/>
        </w:rPr>
        <w:t xml:space="preserve"> fin du congé sans traitement</w:t>
      </w:r>
    </w:p>
    <w:p w14:paraId="2AA3D344" w14:textId="50FAC34F"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à qui le Collège a fait parvenir quatre (4) semaines à l</w:t>
      </w:r>
      <w:r w:rsidR="004A41E4" w:rsidRPr="00026EC1">
        <w:t>’</w:t>
      </w:r>
      <w:r w:rsidRPr="00026EC1">
        <w:t>avance un avis indiquant la date d</w:t>
      </w:r>
      <w:r w:rsidR="004A41E4" w:rsidRPr="00026EC1">
        <w:t>’</w:t>
      </w:r>
      <w:r w:rsidRPr="00026EC1">
        <w:t>expiration du congé sans traitement prévu à la clause</w:t>
      </w:r>
      <w:r w:rsidR="00D66A8F" w:rsidRPr="00026EC1">
        <w:t> </w:t>
      </w:r>
      <w:r w:rsidRPr="00026EC1">
        <w:t>5</w:t>
      </w:r>
      <w:r w:rsidR="00984A6F">
        <w:noBreakHyphen/>
      </w:r>
      <w:r w:rsidRPr="00026EC1">
        <w:t>6.38 donne un préavis de son retour au moins deux (2) semaines avant l</w:t>
      </w:r>
      <w:r w:rsidR="004A41E4" w:rsidRPr="00026EC1">
        <w:t>’</w:t>
      </w:r>
      <w:r w:rsidRPr="00026EC1">
        <w:t xml:space="preserve">expiration de ce congé; sinon, elle ou il est considéré comme ayant démissionné. </w:t>
      </w:r>
    </w:p>
    <w:p w14:paraId="69EC9392" w14:textId="77777777" w:rsidR="009F5256" w:rsidRPr="00026EC1" w:rsidRDefault="009F5256" w:rsidP="00A64613">
      <w:pPr>
        <w:keepNext w:val="0"/>
      </w:pPr>
    </w:p>
    <w:p w14:paraId="573432D7" w14:textId="77777777" w:rsidR="00B27F92" w:rsidRDefault="009F5256" w:rsidP="00B27F92">
      <w:pPr>
        <w:pStyle w:val="NUMRODECLAUSE"/>
        <w:keepNext w:val="0"/>
        <w:tabs>
          <w:tab w:val="clear" w:pos="868"/>
        </w:tabs>
        <w:ind w:left="0" w:firstLine="0"/>
      </w:pPr>
      <w:r w:rsidRPr="00B27F92">
        <w:rPr>
          <w:rFonts w:cs="Times New Roman"/>
          <w:b w:val="0"/>
        </w:rPr>
        <w:t>L</w:t>
      </w:r>
      <w:r w:rsidR="004A41E4" w:rsidRPr="00B27F92">
        <w:rPr>
          <w:rFonts w:cs="Times New Roman"/>
          <w:b w:val="0"/>
        </w:rPr>
        <w:t>’</w:t>
      </w:r>
      <w:r w:rsidRPr="00B27F92">
        <w:rPr>
          <w:rFonts w:cs="Times New Roman"/>
          <w:b w:val="0"/>
        </w:rPr>
        <w:t>enseignante ou l</w:t>
      </w:r>
      <w:r w:rsidR="004A41E4" w:rsidRPr="00B27F92">
        <w:rPr>
          <w:rFonts w:cs="Times New Roman"/>
          <w:b w:val="0"/>
        </w:rPr>
        <w:t>’</w:t>
      </w:r>
      <w:r w:rsidRPr="00B27F92">
        <w:rPr>
          <w:rFonts w:cs="Times New Roman"/>
          <w:b w:val="0"/>
        </w:rPr>
        <w:t>enseignant qui veut mettre fin à son congé sans traitement avant la date prévue donne un préavis écrit de son intention au moins vingt</w:t>
      </w:r>
      <w:r w:rsidR="00EA6192" w:rsidRPr="00B27F92">
        <w:rPr>
          <w:rFonts w:cs="Times New Roman"/>
          <w:b w:val="0"/>
        </w:rPr>
        <w:t xml:space="preserve"> </w:t>
      </w:r>
      <w:r w:rsidRPr="00B27F92">
        <w:rPr>
          <w:rFonts w:cs="Times New Roman"/>
          <w:b w:val="0"/>
        </w:rPr>
        <w:t>et</w:t>
      </w:r>
      <w:r w:rsidR="00EA6192" w:rsidRPr="00B27F92">
        <w:rPr>
          <w:rFonts w:cs="Times New Roman"/>
          <w:b w:val="0"/>
        </w:rPr>
        <w:t xml:space="preserve"> </w:t>
      </w:r>
      <w:r w:rsidRPr="00B27F92">
        <w:rPr>
          <w:rFonts w:cs="Times New Roman"/>
          <w:b w:val="0"/>
        </w:rPr>
        <w:t>un (21) jours avant son retour. Dans le cas d</w:t>
      </w:r>
      <w:r w:rsidR="004A41E4" w:rsidRPr="00B27F92">
        <w:rPr>
          <w:rFonts w:cs="Times New Roman"/>
          <w:b w:val="0"/>
        </w:rPr>
        <w:t>’</w:t>
      </w:r>
      <w:r w:rsidRPr="00B27F92">
        <w:rPr>
          <w:rFonts w:cs="Times New Roman"/>
          <w:b w:val="0"/>
        </w:rPr>
        <w:t xml:space="preserve">un congé sans traitement excédant </w:t>
      </w:r>
      <w:r w:rsidR="00D6488F" w:rsidRPr="00B27F92">
        <w:rPr>
          <w:rFonts w:cs="Times New Roman"/>
          <w:b w:val="0"/>
        </w:rPr>
        <w:t xml:space="preserve">soixante-cinq (65) </w:t>
      </w:r>
      <w:r w:rsidRPr="00B27F92">
        <w:rPr>
          <w:rFonts w:cs="Times New Roman"/>
          <w:b w:val="0"/>
        </w:rPr>
        <w:t>semaines, ce préavis est d</w:t>
      </w:r>
      <w:r w:rsidR="004A41E4" w:rsidRPr="00B27F92">
        <w:rPr>
          <w:rFonts w:cs="Times New Roman"/>
          <w:b w:val="0"/>
        </w:rPr>
        <w:t>’</w:t>
      </w:r>
      <w:r w:rsidRPr="00B27F92">
        <w:rPr>
          <w:rFonts w:cs="Times New Roman"/>
          <w:b w:val="0"/>
        </w:rPr>
        <w:t>au moins trente (30) jours.</w:t>
      </w:r>
    </w:p>
    <w:p w14:paraId="7AA51CF4" w14:textId="77777777" w:rsidR="00B27F92" w:rsidRDefault="00B27F92" w:rsidP="00A64613">
      <w:pPr>
        <w:pStyle w:val="NUMRODECLAUSE"/>
        <w:keepNext w:val="0"/>
      </w:pPr>
    </w:p>
    <w:p w14:paraId="04D4FA36" w14:textId="088F405E" w:rsidR="009F5256" w:rsidRPr="00026EC1" w:rsidRDefault="009F5256" w:rsidP="00A64613">
      <w:pPr>
        <w:pStyle w:val="NUMRODECLAUSE"/>
        <w:keepNext w:val="0"/>
      </w:pPr>
      <w:r w:rsidRPr="00026EC1">
        <w:t>5</w:t>
      </w:r>
      <w:r w:rsidR="00984A6F">
        <w:noBreakHyphen/>
      </w:r>
      <w:r w:rsidRPr="00026EC1">
        <w:t>6.52</w:t>
      </w:r>
    </w:p>
    <w:p w14:paraId="798FAA94" w14:textId="36AB170E" w:rsidR="009F5256" w:rsidRDefault="009F5256" w:rsidP="00A64613">
      <w:pPr>
        <w:keepNext w:val="0"/>
      </w:pPr>
      <w:r w:rsidRPr="00026EC1">
        <w:t>Pour tous les congés prévus au présent article, l</w:t>
      </w:r>
      <w:r w:rsidR="004A41E4" w:rsidRPr="00026EC1">
        <w:t>’</w:t>
      </w:r>
      <w:r w:rsidRPr="00026EC1">
        <w:t>enseignante ou l</w:t>
      </w:r>
      <w:r w:rsidR="004A41E4" w:rsidRPr="00026EC1">
        <w:t>’</w:t>
      </w:r>
      <w:r w:rsidRPr="00026EC1">
        <w:t>enseignant indique dans sa demande la date prévue de son retour.</w:t>
      </w:r>
    </w:p>
    <w:p w14:paraId="5CA03B0B" w14:textId="77777777" w:rsidR="00BC0732" w:rsidRPr="00026EC1" w:rsidRDefault="00BC0732" w:rsidP="00A64613">
      <w:pPr>
        <w:keepNext w:val="0"/>
      </w:pPr>
    </w:p>
    <w:p w14:paraId="04FC1131" w14:textId="5AFC0AAB" w:rsidR="009F5256" w:rsidRPr="00026EC1" w:rsidRDefault="009F5256" w:rsidP="00A64613">
      <w:pPr>
        <w:pStyle w:val="NUMRODECLAUSE"/>
        <w:keepNext w:val="0"/>
        <w:rPr>
          <w:bCs/>
        </w:rPr>
      </w:pPr>
      <w:r w:rsidRPr="00026EC1">
        <w:t>5</w:t>
      </w:r>
      <w:r w:rsidR="00984A6F">
        <w:noBreakHyphen/>
      </w:r>
      <w:r w:rsidRPr="00026EC1">
        <w:t>6.53</w:t>
      </w:r>
    </w:p>
    <w:p w14:paraId="552C314F" w14:textId="70839837" w:rsidR="009F5256" w:rsidRPr="00026EC1" w:rsidRDefault="009F5256" w:rsidP="00A64613">
      <w:pPr>
        <w:keepNext w:val="0"/>
      </w:pPr>
      <w:r w:rsidRPr="00026EC1">
        <w:t>Le calcul du temps des congés prévus aux clauses 5</w:t>
      </w:r>
      <w:r w:rsidR="00984A6F">
        <w:noBreakHyphen/>
      </w:r>
      <w:r w:rsidRPr="00026EC1">
        <w:t>6.06, 5</w:t>
      </w:r>
      <w:r w:rsidR="00984A6F">
        <w:noBreakHyphen/>
      </w:r>
      <w:r w:rsidRPr="00026EC1">
        <w:t>6.21, 5</w:t>
      </w:r>
      <w:r w:rsidR="00984A6F">
        <w:noBreakHyphen/>
      </w:r>
      <w:r w:rsidRPr="00026EC1">
        <w:t xml:space="preserve">6.30 et </w:t>
      </w:r>
      <w:r w:rsidRPr="00026EC1">
        <w:rPr>
          <w:bCs/>
        </w:rPr>
        <w:t>5</w:t>
      </w:r>
      <w:r w:rsidR="00984A6F">
        <w:rPr>
          <w:bCs/>
        </w:rPr>
        <w:noBreakHyphen/>
      </w:r>
      <w:r w:rsidRPr="00026EC1">
        <w:rPr>
          <w:bCs/>
        </w:rPr>
        <w:t xml:space="preserve">6.38 </w:t>
      </w:r>
      <w:r w:rsidRPr="00026EC1">
        <w:t>se fait, selon le cas, à compter du début du congé de maternité, de paternité, d</w:t>
      </w:r>
      <w:r w:rsidR="004A41E4" w:rsidRPr="00026EC1">
        <w:t>’</w:t>
      </w:r>
      <w:r w:rsidRPr="00026EC1">
        <w:t>adoption ou du congé sans traitement ou partiel sans traitement.</w:t>
      </w:r>
    </w:p>
    <w:p w14:paraId="1B6C797F" w14:textId="77777777" w:rsidR="009F5256" w:rsidRPr="00026EC1" w:rsidRDefault="009F5256" w:rsidP="00A64613">
      <w:pPr>
        <w:keepNext w:val="0"/>
      </w:pPr>
    </w:p>
    <w:p w14:paraId="2B7DAFCA" w14:textId="77777777" w:rsidR="009F5256" w:rsidRPr="00026EC1" w:rsidRDefault="00370CE7" w:rsidP="00A64613">
      <w:pPr>
        <w:keepNext w:val="0"/>
        <w:rPr>
          <w:b/>
          <w:u w:val="single"/>
        </w:rPr>
      </w:pPr>
      <w:r w:rsidRPr="00026EC1">
        <w:rPr>
          <w:b/>
          <w:u w:val="single"/>
        </w:rPr>
        <w:t>A</w:t>
      </w:r>
      <w:r w:rsidR="009F5256" w:rsidRPr="00026EC1">
        <w:rPr>
          <w:b/>
          <w:u w:val="single"/>
        </w:rPr>
        <w:t>vantages</w:t>
      </w:r>
    </w:p>
    <w:p w14:paraId="0FCDAA22" w14:textId="77777777" w:rsidR="009F5256" w:rsidRPr="00026EC1" w:rsidRDefault="009F5256" w:rsidP="00A64613">
      <w:pPr>
        <w:keepNext w:val="0"/>
      </w:pPr>
    </w:p>
    <w:p w14:paraId="60049458" w14:textId="7BB2A70C" w:rsidR="009F5256" w:rsidRPr="00026EC1" w:rsidRDefault="009F5256" w:rsidP="00A64613">
      <w:pPr>
        <w:pStyle w:val="NUMRODECLAUSE"/>
        <w:keepNext w:val="0"/>
      </w:pPr>
      <w:r w:rsidRPr="00026EC1">
        <w:t>5</w:t>
      </w:r>
      <w:r w:rsidR="00984A6F">
        <w:noBreakHyphen/>
      </w:r>
      <w:r w:rsidRPr="00026EC1">
        <w:t>6.54</w:t>
      </w:r>
    </w:p>
    <w:p w14:paraId="2ABBE470" w14:textId="624DC46E" w:rsidR="009F5256" w:rsidRDefault="009F5256" w:rsidP="00A64613">
      <w:pPr>
        <w:keepNext w:val="0"/>
      </w:pPr>
      <w:r w:rsidRPr="00026EC1">
        <w:t xml:space="preserve">Au retour </w:t>
      </w:r>
      <w:r w:rsidRPr="00026EC1">
        <w:rPr>
          <w:bCs/>
        </w:rPr>
        <w:t>de son</w:t>
      </w:r>
      <w:r w:rsidRPr="00026EC1">
        <w:t xml:space="preserve"> congé de maternité, </w:t>
      </w:r>
      <w:r w:rsidRPr="00026EC1">
        <w:rPr>
          <w:bCs/>
        </w:rPr>
        <w:t xml:space="preserve">de son congé de paternité, de son congé pour adoption ou </w:t>
      </w:r>
      <w:r w:rsidR="00B97860" w:rsidRPr="00026EC1">
        <w:rPr>
          <w:bCs/>
        </w:rPr>
        <w:t xml:space="preserve">de son congé </w:t>
      </w:r>
      <w:r w:rsidRPr="00026EC1">
        <w:rPr>
          <w:bCs/>
        </w:rPr>
        <w:t>sans traitement en vue d</w:t>
      </w:r>
      <w:r w:rsidR="004A41E4" w:rsidRPr="00026EC1">
        <w:rPr>
          <w:bCs/>
        </w:rPr>
        <w:t>’</w:t>
      </w:r>
      <w:r w:rsidRPr="00026EC1">
        <w:rPr>
          <w:bCs/>
        </w:rPr>
        <w:t>une adoption</w:t>
      </w:r>
      <w:r w:rsidRPr="00026EC1">
        <w:t>, l</w:t>
      </w:r>
      <w:r w:rsidR="004A41E4" w:rsidRPr="00026EC1">
        <w:t>’</w:t>
      </w:r>
      <w:r w:rsidRPr="00026EC1">
        <w:t xml:space="preserve">enseignante </w:t>
      </w:r>
      <w:r w:rsidRPr="00026EC1">
        <w:rPr>
          <w:bCs/>
        </w:rPr>
        <w:t>ou l</w:t>
      </w:r>
      <w:r w:rsidR="004A41E4" w:rsidRPr="00026EC1">
        <w:rPr>
          <w:bCs/>
        </w:rPr>
        <w:t>’</w:t>
      </w:r>
      <w:r w:rsidRPr="00026EC1">
        <w:rPr>
          <w:bCs/>
        </w:rPr>
        <w:t>enseignant</w:t>
      </w:r>
      <w:r w:rsidRPr="00026EC1">
        <w:t xml:space="preserve"> reprend soit son poste ou sa charge, soit le poste ou la charge qu</w:t>
      </w:r>
      <w:r w:rsidR="004A41E4" w:rsidRPr="00026EC1">
        <w:t>’</w:t>
      </w:r>
      <w:r w:rsidRPr="00026EC1">
        <w:t>elle ou il aurait obtenu à sa demande si elle ou il avait été au travail, sous réserve des dispositions de la convention collective relatives à l</w:t>
      </w:r>
      <w:r w:rsidR="004A41E4" w:rsidRPr="00026EC1">
        <w:t>’</w:t>
      </w:r>
      <w:r w:rsidRPr="00026EC1">
        <w:t>engagement et à la sécurité d</w:t>
      </w:r>
      <w:r w:rsidR="004A41E4" w:rsidRPr="00026EC1">
        <w:t>’</w:t>
      </w:r>
      <w:r w:rsidRPr="00026EC1">
        <w:t>emploi.</w:t>
      </w:r>
    </w:p>
    <w:p w14:paraId="5C758959" w14:textId="77777777" w:rsidR="001931CF" w:rsidRPr="00026EC1" w:rsidRDefault="001931CF" w:rsidP="00A64613">
      <w:pPr>
        <w:keepNext w:val="0"/>
      </w:pPr>
    </w:p>
    <w:p w14:paraId="39BCE262" w14:textId="3ED38710" w:rsidR="009F5256" w:rsidRPr="00026EC1" w:rsidRDefault="009F5256" w:rsidP="00A64613">
      <w:pPr>
        <w:pStyle w:val="NUMRODECLAUSE"/>
        <w:keepNext w:val="0"/>
        <w:rPr>
          <w:bCs/>
        </w:rPr>
      </w:pPr>
      <w:r w:rsidRPr="00026EC1">
        <w:t>5</w:t>
      </w:r>
      <w:r w:rsidR="00984A6F">
        <w:noBreakHyphen/>
      </w:r>
      <w:r w:rsidRPr="00026EC1">
        <w:t>6.55</w:t>
      </w:r>
    </w:p>
    <w:p w14:paraId="1E4595E2" w14:textId="30944452" w:rsidR="009F5256" w:rsidRPr="00026EC1" w:rsidRDefault="009F5256" w:rsidP="00A64613">
      <w:pPr>
        <w:keepNext w:val="0"/>
      </w:pPr>
      <w:r w:rsidRPr="00026EC1">
        <w:t xml:space="preserve">Durant </w:t>
      </w:r>
      <w:r w:rsidRPr="00026EC1">
        <w:rPr>
          <w:bCs/>
        </w:rPr>
        <w:t xml:space="preserve">le </w:t>
      </w:r>
      <w:r w:rsidRPr="00026EC1">
        <w:t xml:space="preserve">congé de maternité </w:t>
      </w:r>
      <w:r w:rsidRPr="00026EC1">
        <w:rPr>
          <w:bCs/>
        </w:rPr>
        <w:t>prévu à la clause</w:t>
      </w:r>
      <w:r w:rsidR="00D66A8F" w:rsidRPr="00026EC1">
        <w:rPr>
          <w:bCs/>
        </w:rPr>
        <w:t> </w:t>
      </w:r>
      <w:r w:rsidRPr="00026EC1">
        <w:rPr>
          <w:bCs/>
        </w:rPr>
        <w:t>5</w:t>
      </w:r>
      <w:r w:rsidR="00984A6F">
        <w:rPr>
          <w:bCs/>
        </w:rPr>
        <w:noBreakHyphen/>
      </w:r>
      <w:r w:rsidRPr="00026EC1">
        <w:rPr>
          <w:bCs/>
        </w:rPr>
        <w:t>6.06</w:t>
      </w:r>
      <w:r w:rsidRPr="00026EC1">
        <w:t xml:space="preserve"> et </w:t>
      </w:r>
      <w:r w:rsidRPr="00026EC1">
        <w:rPr>
          <w:bCs/>
        </w:rPr>
        <w:t>les six</w:t>
      </w:r>
      <w:r w:rsidR="00F563DB">
        <w:rPr>
          <w:bCs/>
        </w:rPr>
        <w:t> </w:t>
      </w:r>
      <w:r w:rsidRPr="00026EC1">
        <w:rPr>
          <w:bCs/>
        </w:rPr>
        <w:t>(6) premières semaines de la prolongation prévue à la clause</w:t>
      </w:r>
      <w:r w:rsidR="00D66A8F" w:rsidRPr="00026EC1">
        <w:rPr>
          <w:bCs/>
        </w:rPr>
        <w:t> </w:t>
      </w:r>
      <w:r w:rsidRPr="00026EC1">
        <w:rPr>
          <w:bCs/>
        </w:rPr>
        <w:t>5</w:t>
      </w:r>
      <w:r w:rsidR="00984A6F">
        <w:rPr>
          <w:bCs/>
        </w:rPr>
        <w:noBreakHyphen/>
      </w:r>
      <w:r w:rsidRPr="00026EC1">
        <w:rPr>
          <w:bCs/>
        </w:rPr>
        <w:t>6.09</w:t>
      </w:r>
      <w:r w:rsidRPr="00026EC1">
        <w:t>,</w:t>
      </w:r>
      <w:r w:rsidRPr="00026EC1">
        <w:rPr>
          <w:bCs/>
        </w:rPr>
        <w:t xml:space="preserve"> durant les congés spéciaux prévus à la clause</w:t>
      </w:r>
      <w:r w:rsidR="00D66A8F" w:rsidRPr="00026EC1">
        <w:rPr>
          <w:bCs/>
        </w:rPr>
        <w:t> </w:t>
      </w:r>
      <w:r w:rsidRPr="00026EC1">
        <w:rPr>
          <w:bCs/>
        </w:rPr>
        <w:t>5</w:t>
      </w:r>
      <w:r w:rsidR="00984A6F">
        <w:rPr>
          <w:bCs/>
        </w:rPr>
        <w:noBreakHyphen/>
      </w:r>
      <w:r w:rsidRPr="00026EC1">
        <w:rPr>
          <w:bCs/>
        </w:rPr>
        <w:t>6.18, durant le congé de paternité prévu aux clauses</w:t>
      </w:r>
      <w:r w:rsidR="00D66A8F" w:rsidRPr="00026EC1">
        <w:rPr>
          <w:bCs/>
        </w:rPr>
        <w:t> </w:t>
      </w:r>
      <w:r w:rsidRPr="00026EC1">
        <w:rPr>
          <w:bCs/>
        </w:rPr>
        <w:t>5</w:t>
      </w:r>
      <w:r w:rsidR="00984A6F">
        <w:rPr>
          <w:bCs/>
        </w:rPr>
        <w:noBreakHyphen/>
      </w:r>
      <w:r w:rsidRPr="00026EC1">
        <w:rPr>
          <w:bCs/>
        </w:rPr>
        <w:t>6.20 et 5</w:t>
      </w:r>
      <w:r w:rsidR="00984A6F">
        <w:rPr>
          <w:bCs/>
        </w:rPr>
        <w:noBreakHyphen/>
      </w:r>
      <w:r w:rsidRPr="00026EC1">
        <w:rPr>
          <w:bCs/>
        </w:rPr>
        <w:t>6.21 et durant le congé pour adoption prévu aux clauses</w:t>
      </w:r>
      <w:r w:rsidR="00D66A8F" w:rsidRPr="00026EC1">
        <w:rPr>
          <w:bCs/>
        </w:rPr>
        <w:t> </w:t>
      </w:r>
      <w:r w:rsidRPr="00026EC1">
        <w:rPr>
          <w:bCs/>
        </w:rPr>
        <w:t>5</w:t>
      </w:r>
      <w:r w:rsidR="00984A6F">
        <w:rPr>
          <w:bCs/>
        </w:rPr>
        <w:noBreakHyphen/>
      </w:r>
      <w:r w:rsidRPr="00026EC1">
        <w:rPr>
          <w:bCs/>
        </w:rPr>
        <w:t>6.28</w:t>
      </w:r>
      <w:r w:rsidR="00C34665" w:rsidRPr="00026EC1">
        <w:rPr>
          <w:bCs/>
        </w:rPr>
        <w:t>, 5</w:t>
      </w:r>
      <w:r w:rsidR="00984A6F">
        <w:rPr>
          <w:bCs/>
        </w:rPr>
        <w:noBreakHyphen/>
      </w:r>
      <w:r w:rsidR="00C34665" w:rsidRPr="00026EC1">
        <w:rPr>
          <w:bCs/>
        </w:rPr>
        <w:t>6</w:t>
      </w:r>
      <w:r w:rsidR="00347930" w:rsidRPr="00026EC1">
        <w:rPr>
          <w:bCs/>
        </w:rPr>
        <w:t>.</w:t>
      </w:r>
      <w:r w:rsidR="00C34665" w:rsidRPr="00026EC1">
        <w:rPr>
          <w:bCs/>
        </w:rPr>
        <w:t>29</w:t>
      </w:r>
      <w:r w:rsidRPr="00026EC1">
        <w:rPr>
          <w:bCs/>
        </w:rPr>
        <w:t xml:space="preserve"> et 5</w:t>
      </w:r>
      <w:r w:rsidR="00984A6F">
        <w:rPr>
          <w:bCs/>
        </w:rPr>
        <w:noBreakHyphen/>
      </w:r>
      <w:r w:rsidRPr="00026EC1">
        <w:rPr>
          <w:bCs/>
        </w:rPr>
        <w:t>6.30</w:t>
      </w:r>
      <w:r w:rsidRPr="00026EC1">
        <w:t>, l</w:t>
      </w:r>
      <w:r w:rsidR="004A41E4" w:rsidRPr="00026EC1">
        <w:t>’</w:t>
      </w:r>
      <w:r w:rsidRPr="00026EC1">
        <w:t xml:space="preserve">enseignante </w:t>
      </w:r>
      <w:r w:rsidRPr="00026EC1">
        <w:rPr>
          <w:bCs/>
        </w:rPr>
        <w:t>ou l</w:t>
      </w:r>
      <w:r w:rsidR="004A41E4" w:rsidRPr="00026EC1">
        <w:rPr>
          <w:bCs/>
        </w:rPr>
        <w:t>’</w:t>
      </w:r>
      <w:r w:rsidRPr="00026EC1">
        <w:rPr>
          <w:bCs/>
        </w:rPr>
        <w:t>enseignant</w:t>
      </w:r>
      <w:r w:rsidRPr="00026EC1">
        <w:t xml:space="preserve"> bénéficie, pour autant qu</w:t>
      </w:r>
      <w:r w:rsidR="004A41E4" w:rsidRPr="00026EC1">
        <w:t>’</w:t>
      </w:r>
      <w:r w:rsidRPr="00026EC1">
        <w:t xml:space="preserve">elle </w:t>
      </w:r>
      <w:r w:rsidRPr="00026EC1">
        <w:rPr>
          <w:bCs/>
        </w:rPr>
        <w:t xml:space="preserve">ou il </w:t>
      </w:r>
      <w:r w:rsidRPr="00026EC1">
        <w:t>y ait normalement droit, des avantages suivants</w:t>
      </w:r>
      <w:r w:rsidR="00D8581B">
        <w:t> :</w:t>
      </w:r>
    </w:p>
    <w:p w14:paraId="6E93AF21" w14:textId="77777777" w:rsidR="009F5256" w:rsidRPr="00026EC1" w:rsidRDefault="009F5256" w:rsidP="00A64613">
      <w:pPr>
        <w:keepNext w:val="0"/>
      </w:pPr>
    </w:p>
    <w:p w14:paraId="32B26F63" w14:textId="05AB8670"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assurance</w:t>
      </w:r>
      <w:r w:rsidR="00984A6F">
        <w:noBreakHyphen/>
      </w:r>
      <w:r w:rsidR="009F5256" w:rsidRPr="00026EC1">
        <w:t>vie;</w:t>
      </w:r>
    </w:p>
    <w:p w14:paraId="0268001C" w14:textId="173EE0B6"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assurance</w:t>
      </w:r>
      <w:r w:rsidR="00984A6F">
        <w:noBreakHyphen/>
      </w:r>
      <w:r w:rsidR="009F5256" w:rsidRPr="00026EC1">
        <w:t>maladie, sous réserve de la clause 5</w:t>
      </w:r>
      <w:r w:rsidR="00984A6F">
        <w:noBreakHyphen/>
      </w:r>
      <w:r w:rsidR="009F5256" w:rsidRPr="00026EC1">
        <w:t>5.15</w:t>
      </w:r>
      <w:r w:rsidR="001931CF">
        <w:t xml:space="preserve"> </w:t>
      </w:r>
      <w:r w:rsidR="001931CF" w:rsidRPr="00316277">
        <w:t>et en versant sa quote-part</w:t>
      </w:r>
      <w:r w:rsidR="009F5256" w:rsidRPr="00026EC1">
        <w:t>;</w:t>
      </w:r>
    </w:p>
    <w:p w14:paraId="6AD8EF29" w14:textId="1809A295"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accumulation de vacances</w:t>
      </w:r>
      <w:r w:rsidR="005E6A98">
        <w:t xml:space="preserve"> </w:t>
      </w:r>
      <w:r w:rsidR="005E6A98" w:rsidRPr="00316277">
        <w:t>ou paiement de ce qui en tient lieu</w:t>
      </w:r>
      <w:r w:rsidR="009F5256" w:rsidRPr="00026EC1">
        <w:t>;</w:t>
      </w:r>
    </w:p>
    <w:p w14:paraId="1F5BF28F" w14:textId="77777777"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accumulation de jours de congés de maladie;</w:t>
      </w:r>
    </w:p>
    <w:p w14:paraId="25750954" w14:textId="784CAC9C"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accumulation de l</w:t>
      </w:r>
      <w:r w:rsidR="004A41E4" w:rsidRPr="00026EC1">
        <w:t>’</w:t>
      </w:r>
      <w:r w:rsidR="009F5256" w:rsidRPr="00026EC1">
        <w:t>ancienneté aux fins d</w:t>
      </w:r>
      <w:r w:rsidR="004A41E4" w:rsidRPr="00026EC1">
        <w:t>’</w:t>
      </w:r>
      <w:r w:rsidR="009F5256" w:rsidRPr="00026EC1">
        <w:t>interprétation et d</w:t>
      </w:r>
      <w:r w:rsidR="004A41E4" w:rsidRPr="00026EC1">
        <w:t>’</w:t>
      </w:r>
      <w:r w:rsidR="009F5256" w:rsidRPr="00026EC1">
        <w:t>application de l</w:t>
      </w:r>
      <w:r w:rsidR="004A41E4" w:rsidRPr="00026EC1">
        <w:t>’</w:t>
      </w:r>
      <w:r w:rsidR="009F5256" w:rsidRPr="00026EC1">
        <w:t>article 5</w:t>
      </w:r>
      <w:r w:rsidR="00984A6F">
        <w:noBreakHyphen/>
      </w:r>
      <w:r w:rsidR="009F5256" w:rsidRPr="00026EC1">
        <w:t>4.00;</w:t>
      </w:r>
    </w:p>
    <w:p w14:paraId="15F3A9E5" w14:textId="77777777"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accumulation de l</w:t>
      </w:r>
      <w:r w:rsidR="004A41E4" w:rsidRPr="00026EC1">
        <w:t>’</w:t>
      </w:r>
      <w:r w:rsidR="009F5256" w:rsidRPr="00026EC1">
        <w:t>expérience;</w:t>
      </w:r>
    </w:p>
    <w:p w14:paraId="3FC96985" w14:textId="77777777" w:rsidR="009F5256"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9F5256" w:rsidRPr="00026EC1">
        <w:t>droit de poser sa candidature à un poste ou une charge et de l</w:t>
      </w:r>
      <w:r w:rsidR="004A41E4" w:rsidRPr="00026EC1">
        <w:t>’</w:t>
      </w:r>
      <w:r w:rsidR="009F5256" w:rsidRPr="00026EC1">
        <w:t>obtenir conformément aux dispositions de la convention collective comme si elle</w:t>
      </w:r>
      <w:r w:rsidR="009F5256" w:rsidRPr="00026EC1">
        <w:rPr>
          <w:bCs/>
        </w:rPr>
        <w:t xml:space="preserve"> ou il</w:t>
      </w:r>
      <w:r w:rsidR="009F5256" w:rsidRPr="00026EC1">
        <w:t xml:space="preserve"> était au travail.</w:t>
      </w:r>
    </w:p>
    <w:p w14:paraId="2CE1D70E" w14:textId="74240771" w:rsidR="009F5256" w:rsidRPr="00026EC1" w:rsidRDefault="009F5256" w:rsidP="00A64613">
      <w:pPr>
        <w:keepNext w:val="0"/>
      </w:pPr>
    </w:p>
    <w:p w14:paraId="6F03EF5A" w14:textId="77777777" w:rsidR="009F5256" w:rsidRPr="00026EC1" w:rsidRDefault="009F5256" w:rsidP="00A64613">
      <w:pPr>
        <w:keepNext w:val="0"/>
        <w:rPr>
          <w:bCs/>
        </w:rPr>
      </w:pPr>
      <w:r w:rsidRPr="00026EC1">
        <w:t>L</w:t>
      </w:r>
      <w:r w:rsidR="004A41E4" w:rsidRPr="00026EC1">
        <w:t>’</w:t>
      </w:r>
      <w:r w:rsidRPr="00026EC1">
        <w:t xml:space="preserve">enseignante </w:t>
      </w:r>
      <w:r w:rsidRPr="00026EC1">
        <w:rPr>
          <w:bCs/>
        </w:rPr>
        <w:t>ou l</w:t>
      </w:r>
      <w:r w:rsidR="004A41E4" w:rsidRPr="00026EC1">
        <w:rPr>
          <w:bCs/>
        </w:rPr>
        <w:t>’</w:t>
      </w:r>
      <w:r w:rsidRPr="00026EC1">
        <w:rPr>
          <w:bCs/>
        </w:rPr>
        <w:t>enseignant</w:t>
      </w:r>
      <w:r w:rsidRPr="00026EC1">
        <w:t xml:space="preserve"> peut reporter une partie ou la totalité de ses vacances qui se situent à l</w:t>
      </w:r>
      <w:r w:rsidR="004A41E4" w:rsidRPr="00026EC1">
        <w:t>’</w:t>
      </w:r>
      <w:r w:rsidRPr="00026EC1">
        <w:t xml:space="preserve">intérieur </w:t>
      </w:r>
      <w:r w:rsidRPr="00026EC1">
        <w:rPr>
          <w:bCs/>
        </w:rPr>
        <w:t>de l</w:t>
      </w:r>
      <w:r w:rsidR="004A41E4" w:rsidRPr="00026EC1">
        <w:rPr>
          <w:bCs/>
        </w:rPr>
        <w:t>’</w:t>
      </w:r>
      <w:r w:rsidRPr="00026EC1">
        <w:rPr>
          <w:bCs/>
        </w:rPr>
        <w:t>un ou l</w:t>
      </w:r>
      <w:r w:rsidR="004A41E4" w:rsidRPr="00026EC1">
        <w:rPr>
          <w:bCs/>
        </w:rPr>
        <w:t>’</w:t>
      </w:r>
      <w:r w:rsidRPr="00026EC1">
        <w:rPr>
          <w:bCs/>
        </w:rPr>
        <w:t xml:space="preserve">autre des congés mentionnés au paragraphe précédent </w:t>
      </w:r>
      <w:r w:rsidRPr="00026EC1">
        <w:t>et si, au plus tard deux (2) semaines avant l</w:t>
      </w:r>
      <w:r w:rsidR="004A41E4" w:rsidRPr="00026EC1">
        <w:t>’</w:t>
      </w:r>
      <w:r w:rsidRPr="00026EC1">
        <w:t xml:space="preserve">expiration de ce congé, elle </w:t>
      </w:r>
      <w:r w:rsidRPr="00026EC1">
        <w:rPr>
          <w:bCs/>
        </w:rPr>
        <w:t xml:space="preserve">ou il </w:t>
      </w:r>
      <w:r w:rsidRPr="00026EC1">
        <w:t>avise par écrit le Collège de la date du report. À moins d</w:t>
      </w:r>
      <w:r w:rsidR="004A41E4" w:rsidRPr="00026EC1">
        <w:t>’</w:t>
      </w:r>
      <w:r w:rsidRPr="00026EC1">
        <w:t xml:space="preserve">entente écrite différente avec le Collège, les vacances reportées se situent immédiatement après le congé de maternité, </w:t>
      </w:r>
      <w:r w:rsidRPr="00026EC1">
        <w:rPr>
          <w:bCs/>
        </w:rPr>
        <w:t>de paternité ou d</w:t>
      </w:r>
      <w:r w:rsidR="004A41E4" w:rsidRPr="00026EC1">
        <w:rPr>
          <w:bCs/>
        </w:rPr>
        <w:t>’</w:t>
      </w:r>
      <w:r w:rsidRPr="00026EC1">
        <w:rPr>
          <w:bCs/>
        </w:rPr>
        <w:t>adoption, selon le cas.</w:t>
      </w:r>
    </w:p>
    <w:p w14:paraId="0502438A" w14:textId="77777777" w:rsidR="009F5256" w:rsidRPr="00026EC1" w:rsidRDefault="009F5256" w:rsidP="00A64613">
      <w:pPr>
        <w:keepNext w:val="0"/>
      </w:pPr>
    </w:p>
    <w:p w14:paraId="42E5B1B7" w14:textId="77777777" w:rsidR="009F5256" w:rsidRDefault="009F5256" w:rsidP="00A64613">
      <w:pPr>
        <w:keepNext w:val="0"/>
      </w:pPr>
      <w:r w:rsidRPr="00026EC1">
        <w:t>L</w:t>
      </w:r>
      <w:r w:rsidR="004A41E4" w:rsidRPr="00026EC1">
        <w:t>’</w:t>
      </w:r>
      <w:r w:rsidRPr="00026EC1">
        <w:t>enseignante ou l</w:t>
      </w:r>
      <w:r w:rsidR="004A41E4" w:rsidRPr="00026EC1">
        <w:t>’</w:t>
      </w:r>
      <w:r w:rsidRPr="00026EC1">
        <w:t xml:space="preserve">enseignant prend sa période de vacances </w:t>
      </w:r>
      <w:r w:rsidRPr="00026EC1">
        <w:rPr>
          <w:bCs/>
        </w:rPr>
        <w:t xml:space="preserve">annuelles </w:t>
      </w:r>
      <w:r w:rsidRPr="00026EC1">
        <w:t>reportées immédiatement après, selon le cas, son congé de maternité, son congé de paternité ou son congé pour adoption, ou à un autre moment, après entente avec le Collège.</w:t>
      </w:r>
    </w:p>
    <w:p w14:paraId="00DF963F" w14:textId="77777777" w:rsidR="00D21F8E" w:rsidRPr="00026EC1" w:rsidRDefault="00D21F8E" w:rsidP="00A64613">
      <w:pPr>
        <w:keepNext w:val="0"/>
      </w:pPr>
    </w:p>
    <w:p w14:paraId="1C939D6B" w14:textId="4238BF16" w:rsidR="009F5256" w:rsidRPr="00026EC1" w:rsidRDefault="009F5256" w:rsidP="00A64613">
      <w:pPr>
        <w:pStyle w:val="NUMRODECLAUSE"/>
        <w:keepNext w:val="0"/>
      </w:pPr>
      <w:r w:rsidRPr="00026EC1">
        <w:t>5</w:t>
      </w:r>
      <w:r w:rsidR="00984A6F">
        <w:noBreakHyphen/>
      </w:r>
      <w:r w:rsidRPr="00026EC1">
        <w:t>6.56</w:t>
      </w:r>
      <w:r w:rsidR="005E5E3C" w:rsidRPr="00026EC1">
        <w:tab/>
      </w:r>
      <w:r w:rsidRPr="00680672">
        <w:rPr>
          <w:u w:val="single"/>
        </w:rPr>
        <w:t>Ancienneté et expérience</w:t>
      </w:r>
    </w:p>
    <w:p w14:paraId="660AE3FE" w14:textId="5AB9A318" w:rsidR="009F5256" w:rsidRPr="00026EC1" w:rsidRDefault="009F5256" w:rsidP="00A64613">
      <w:pPr>
        <w:keepNext w:val="0"/>
      </w:pPr>
      <w:r w:rsidRPr="00026EC1">
        <w:t>Aux fins du calcul de l</w:t>
      </w:r>
      <w:r w:rsidR="004A41E4" w:rsidRPr="00026EC1">
        <w:t>’</w:t>
      </w:r>
      <w:r w:rsidRPr="00026EC1">
        <w:t>ancienneté et de l</w:t>
      </w:r>
      <w:r w:rsidR="004A41E4" w:rsidRPr="00026EC1">
        <w:t>’</w:t>
      </w:r>
      <w:r w:rsidRPr="00026EC1">
        <w:t>expérience ainsi que de l</w:t>
      </w:r>
      <w:r w:rsidR="004A41E4" w:rsidRPr="00026EC1">
        <w:t>’</w:t>
      </w:r>
      <w:r w:rsidRPr="00026EC1">
        <w:t>interprétation et de l</w:t>
      </w:r>
      <w:r w:rsidR="004A41E4" w:rsidRPr="00026EC1">
        <w:t>’</w:t>
      </w:r>
      <w:r w:rsidRPr="00026EC1">
        <w:t>application de l</w:t>
      </w:r>
      <w:r w:rsidR="004A41E4" w:rsidRPr="00026EC1">
        <w:t>’</w:t>
      </w:r>
      <w:r w:rsidRPr="00026EC1">
        <w:t>article 5</w:t>
      </w:r>
      <w:r w:rsidR="00984A6F">
        <w:noBreakHyphen/>
      </w:r>
      <w:r w:rsidRPr="00026EC1">
        <w:t>4.00, la période de congé prévue aux clauses </w:t>
      </w:r>
      <w:r w:rsidR="00BC0732" w:rsidRPr="00316277">
        <w:t>5</w:t>
      </w:r>
      <w:r w:rsidR="00BC0732" w:rsidRPr="00316277">
        <w:noBreakHyphen/>
        <w:t>6.09, 5</w:t>
      </w:r>
      <w:r w:rsidR="00BC0732" w:rsidRPr="00316277">
        <w:noBreakHyphen/>
        <w:t>6.10,</w:t>
      </w:r>
      <w:r w:rsidRPr="00026EC1">
        <w:t xml:space="preserve"> 5</w:t>
      </w:r>
      <w:r w:rsidR="00984A6F">
        <w:noBreakHyphen/>
      </w:r>
      <w:r w:rsidRPr="00026EC1">
        <w:t>6.22,</w:t>
      </w:r>
      <w:r w:rsidR="000B0C53" w:rsidRPr="00316277">
        <w:t xml:space="preserve"> 5</w:t>
      </w:r>
      <w:r w:rsidR="000B0C53" w:rsidRPr="00316277">
        <w:noBreakHyphen/>
        <w:t>6.23,</w:t>
      </w:r>
      <w:r w:rsidRPr="00026EC1">
        <w:t xml:space="preserve"> 5</w:t>
      </w:r>
      <w:r w:rsidR="00984A6F">
        <w:noBreakHyphen/>
      </w:r>
      <w:r w:rsidRPr="00026EC1">
        <w:t>6.31</w:t>
      </w:r>
      <w:r w:rsidR="00973E24" w:rsidRPr="00026EC1">
        <w:t>,</w:t>
      </w:r>
      <w:r w:rsidR="000B0C53">
        <w:t xml:space="preserve"> </w:t>
      </w:r>
      <w:r w:rsidR="000B0C53" w:rsidRPr="00316277">
        <w:t>5</w:t>
      </w:r>
      <w:r w:rsidR="000B0C53" w:rsidRPr="00316277">
        <w:noBreakHyphen/>
        <w:t>6.32, 5</w:t>
      </w:r>
      <w:r w:rsidR="000B0C53" w:rsidRPr="00316277">
        <w:noBreakHyphen/>
        <w:t>6.37</w:t>
      </w:r>
      <w:r w:rsidR="000B0C53">
        <w:t xml:space="preserve">, </w:t>
      </w:r>
      <w:r w:rsidRPr="00026EC1">
        <w:rPr>
          <w:bCs/>
        </w:rPr>
        <w:t>5</w:t>
      </w:r>
      <w:r w:rsidR="00984A6F">
        <w:rPr>
          <w:bCs/>
        </w:rPr>
        <w:noBreakHyphen/>
      </w:r>
      <w:r w:rsidRPr="00026EC1">
        <w:rPr>
          <w:bCs/>
        </w:rPr>
        <w:t>6.38 et 5</w:t>
      </w:r>
      <w:r w:rsidR="00984A6F">
        <w:rPr>
          <w:bCs/>
        </w:rPr>
        <w:noBreakHyphen/>
      </w:r>
      <w:r w:rsidRPr="00026EC1">
        <w:rPr>
          <w:bCs/>
        </w:rPr>
        <w:t>6.4</w:t>
      </w:r>
      <w:r w:rsidR="00293151" w:rsidRPr="00026EC1">
        <w:rPr>
          <w:bCs/>
        </w:rPr>
        <w:t xml:space="preserve">3 </w:t>
      </w:r>
      <w:r w:rsidRPr="00026EC1">
        <w:t>est comptée comme si l</w:t>
      </w:r>
      <w:r w:rsidR="004A41E4" w:rsidRPr="00026EC1">
        <w:t>’</w:t>
      </w:r>
      <w:r w:rsidRPr="00026EC1">
        <w:t>enseignante ou l</w:t>
      </w:r>
      <w:r w:rsidR="004A41E4" w:rsidRPr="00026EC1">
        <w:t>’</w:t>
      </w:r>
      <w:r w:rsidRPr="00026EC1">
        <w:t>enseignant était au travail au prorata de sa charge d</w:t>
      </w:r>
      <w:r w:rsidR="004A41E4" w:rsidRPr="00026EC1">
        <w:t>’</w:t>
      </w:r>
      <w:r w:rsidRPr="00026EC1">
        <w:t>enseignement.</w:t>
      </w:r>
    </w:p>
    <w:p w14:paraId="4AD96F9C" w14:textId="77777777" w:rsidR="009F5256" w:rsidRPr="00026EC1" w:rsidRDefault="009F5256" w:rsidP="00A64613">
      <w:pPr>
        <w:keepNext w:val="0"/>
      </w:pPr>
    </w:p>
    <w:p w14:paraId="129B9E39" w14:textId="4F529489" w:rsidR="009F5256" w:rsidRPr="00026EC1" w:rsidRDefault="009F5256" w:rsidP="00A64613">
      <w:pPr>
        <w:pStyle w:val="NUMRODECLAUSE"/>
        <w:keepNext w:val="0"/>
        <w:rPr>
          <w:bCs/>
        </w:rPr>
      </w:pPr>
      <w:r w:rsidRPr="00026EC1">
        <w:t>5</w:t>
      </w:r>
      <w:r w:rsidR="00984A6F">
        <w:noBreakHyphen/>
      </w:r>
      <w:r w:rsidRPr="00026EC1">
        <w:t>6.57</w:t>
      </w:r>
      <w:r w:rsidR="005E5E3C" w:rsidRPr="00026EC1">
        <w:tab/>
      </w:r>
      <w:r w:rsidRPr="00680672">
        <w:rPr>
          <w:u w:val="single"/>
        </w:rPr>
        <w:t>Vacances rémunérées</w:t>
      </w:r>
    </w:p>
    <w:p w14:paraId="7711AF6B" w14:textId="77777777" w:rsidR="009F5256" w:rsidRPr="00026EC1" w:rsidRDefault="009F5256" w:rsidP="00A64613">
      <w:pPr>
        <w:keepNext w:val="0"/>
      </w:pPr>
      <w:r w:rsidRPr="00026EC1">
        <w:t>L</w:t>
      </w:r>
      <w:r w:rsidR="004A41E4" w:rsidRPr="00026EC1">
        <w:t>’</w:t>
      </w:r>
      <w:r w:rsidRPr="00026EC1">
        <w:t>enseignante qui a bénéficié d</w:t>
      </w:r>
      <w:r w:rsidR="004A41E4" w:rsidRPr="00026EC1">
        <w:t>’</w:t>
      </w:r>
      <w:r w:rsidRPr="00026EC1">
        <w:t>un congé de maternité</w:t>
      </w:r>
      <w:r w:rsidRPr="00026EC1">
        <w:rPr>
          <w:bCs/>
        </w:rPr>
        <w:t>, l</w:t>
      </w:r>
      <w:r w:rsidR="004A41E4" w:rsidRPr="00026EC1">
        <w:rPr>
          <w:bCs/>
        </w:rPr>
        <w:t>’</w:t>
      </w:r>
      <w:r w:rsidRPr="00026EC1">
        <w:rPr>
          <w:bCs/>
        </w:rPr>
        <w:t>enseignante ou l</w:t>
      </w:r>
      <w:r w:rsidR="004A41E4" w:rsidRPr="00026EC1">
        <w:rPr>
          <w:bCs/>
        </w:rPr>
        <w:t>’</w:t>
      </w:r>
      <w:r w:rsidRPr="00026EC1">
        <w:rPr>
          <w:bCs/>
        </w:rPr>
        <w:t>enseignant qui a bénéficié du congé de paternité ou d</w:t>
      </w:r>
      <w:r w:rsidR="004A41E4" w:rsidRPr="00026EC1">
        <w:rPr>
          <w:bCs/>
        </w:rPr>
        <w:t>’</w:t>
      </w:r>
      <w:r w:rsidRPr="00026EC1">
        <w:rPr>
          <w:bCs/>
        </w:rPr>
        <w:t>adoption</w:t>
      </w:r>
      <w:r w:rsidRPr="00026EC1">
        <w:t xml:space="preserve"> a droit aux vacances rémunérées au prorata du temps qu</w:t>
      </w:r>
      <w:r w:rsidR="004A41E4" w:rsidRPr="00026EC1">
        <w:t>’</w:t>
      </w:r>
      <w:r w:rsidRPr="00026EC1">
        <w:t>elle</w:t>
      </w:r>
      <w:r w:rsidR="00293151" w:rsidRPr="00026EC1">
        <w:t xml:space="preserve"> ou il</w:t>
      </w:r>
      <w:r w:rsidRPr="00026EC1">
        <w:t xml:space="preserve"> a travaillé, soit un cinquième (1/5</w:t>
      </w:r>
      <w:r w:rsidRPr="00026EC1">
        <w:rPr>
          <w:vertAlign w:val="superscript"/>
        </w:rPr>
        <w:t>e</w:t>
      </w:r>
      <w:r w:rsidRPr="00026EC1">
        <w:t>) du salaire gagné durant cette période.</w:t>
      </w:r>
    </w:p>
    <w:p w14:paraId="7C839D58" w14:textId="77777777" w:rsidR="009F5256" w:rsidRPr="00026EC1" w:rsidRDefault="009F5256" w:rsidP="00A64613">
      <w:pPr>
        <w:keepNext w:val="0"/>
      </w:pPr>
    </w:p>
    <w:p w14:paraId="60383460" w14:textId="18EF4E37" w:rsidR="009F5256" w:rsidRPr="00026EC1" w:rsidRDefault="009F5256" w:rsidP="00A64613">
      <w:pPr>
        <w:keepNext w:val="0"/>
      </w:pPr>
      <w:r w:rsidRPr="00026EC1">
        <w:t xml:space="preserve">Cependant, la période de </w:t>
      </w:r>
      <w:r w:rsidRPr="00026EC1">
        <w:rPr>
          <w:bCs/>
        </w:rPr>
        <w:t>vingt</w:t>
      </w:r>
      <w:r w:rsidR="00EA6192" w:rsidRPr="00026EC1">
        <w:rPr>
          <w:bCs/>
        </w:rPr>
        <w:t xml:space="preserve"> </w:t>
      </w:r>
      <w:r w:rsidRPr="00026EC1">
        <w:rPr>
          <w:bCs/>
        </w:rPr>
        <w:t>et</w:t>
      </w:r>
      <w:r w:rsidR="00EA6192" w:rsidRPr="00026EC1">
        <w:rPr>
          <w:bCs/>
        </w:rPr>
        <w:t xml:space="preserve"> </w:t>
      </w:r>
      <w:r w:rsidRPr="00026EC1">
        <w:rPr>
          <w:bCs/>
        </w:rPr>
        <w:t>une (21) ou vingt (20)</w:t>
      </w:r>
      <w:r w:rsidRPr="00026EC1">
        <w:t xml:space="preserve"> semaines, </w:t>
      </w:r>
      <w:r w:rsidRPr="00026EC1">
        <w:rPr>
          <w:bCs/>
        </w:rPr>
        <w:t>selon le cas</w:t>
      </w:r>
      <w:r w:rsidRPr="00026EC1">
        <w:t>, prévue à la clause 5</w:t>
      </w:r>
      <w:r w:rsidR="00984A6F">
        <w:noBreakHyphen/>
      </w:r>
      <w:r w:rsidRPr="00026EC1">
        <w:t>6.06 et celles prévues aux clauses</w:t>
      </w:r>
      <w:r w:rsidR="00D66A8F" w:rsidRPr="00026EC1">
        <w:t> </w:t>
      </w:r>
      <w:r w:rsidRPr="00026EC1">
        <w:t>5</w:t>
      </w:r>
      <w:r w:rsidR="00984A6F">
        <w:noBreakHyphen/>
      </w:r>
      <w:r w:rsidRPr="00026EC1">
        <w:t>6.07, 5</w:t>
      </w:r>
      <w:r w:rsidR="00984A6F">
        <w:noBreakHyphen/>
      </w:r>
      <w:r w:rsidRPr="00026EC1">
        <w:t>6.20, 5</w:t>
      </w:r>
      <w:r w:rsidR="00984A6F">
        <w:noBreakHyphen/>
      </w:r>
      <w:r w:rsidRPr="00026EC1">
        <w:t>6.21, 5</w:t>
      </w:r>
      <w:r w:rsidR="00984A6F">
        <w:noBreakHyphen/>
      </w:r>
      <w:r w:rsidRPr="00026EC1">
        <w:t>6.28, 5</w:t>
      </w:r>
      <w:r w:rsidR="00984A6F">
        <w:noBreakHyphen/>
      </w:r>
      <w:r w:rsidRPr="00026EC1">
        <w:t>6.</w:t>
      </w:r>
      <w:r w:rsidR="00293151" w:rsidRPr="00026EC1">
        <w:t>29</w:t>
      </w:r>
      <w:r w:rsidRPr="00026EC1">
        <w:t xml:space="preserve"> et 5</w:t>
      </w:r>
      <w:r w:rsidR="00984A6F">
        <w:noBreakHyphen/>
      </w:r>
      <w:r w:rsidRPr="00026EC1">
        <w:t>6.30 sont considérées comme du temps travaillé et payé.</w:t>
      </w:r>
    </w:p>
    <w:p w14:paraId="673E2702" w14:textId="77777777" w:rsidR="009F5256" w:rsidRPr="00026EC1" w:rsidRDefault="009F5256" w:rsidP="00A64613">
      <w:pPr>
        <w:keepNext w:val="0"/>
      </w:pPr>
    </w:p>
    <w:p w14:paraId="566B534A" w14:textId="7EF770D0" w:rsidR="009F5256" w:rsidRPr="00026EC1" w:rsidRDefault="009F5256" w:rsidP="00A64613">
      <w:pPr>
        <w:pStyle w:val="NUMRODECLAUSE"/>
        <w:keepNext w:val="0"/>
        <w:rPr>
          <w:bCs/>
          <w:i/>
        </w:rPr>
      </w:pPr>
      <w:r w:rsidRPr="00026EC1">
        <w:t>5</w:t>
      </w:r>
      <w:r w:rsidR="00984A6F">
        <w:noBreakHyphen/>
      </w:r>
      <w:r w:rsidRPr="00026EC1">
        <w:t>6.58</w:t>
      </w:r>
    </w:p>
    <w:p w14:paraId="6E67165F" w14:textId="13242147" w:rsidR="009F5256" w:rsidRPr="00026EC1" w:rsidRDefault="009F5256" w:rsidP="00A64613">
      <w:pPr>
        <w:keepNext w:val="0"/>
      </w:pPr>
      <w:r w:rsidRPr="00026EC1">
        <w:t>Sous réserve de la clause 5</w:t>
      </w:r>
      <w:r w:rsidR="00984A6F">
        <w:noBreakHyphen/>
      </w:r>
      <w:r w:rsidRPr="00026EC1">
        <w:t>5.15 et selon les dispositions de la clause</w:t>
      </w:r>
      <w:r w:rsidR="00D66A8F" w:rsidRPr="00026EC1">
        <w:t> </w:t>
      </w:r>
      <w:r w:rsidRPr="00026EC1">
        <w:t>5</w:t>
      </w:r>
      <w:r w:rsidR="00984A6F">
        <w:noBreakHyphen/>
      </w:r>
      <w:r w:rsidRPr="00026EC1">
        <w:t>5.01,</w:t>
      </w:r>
      <w:r w:rsidR="001931CF">
        <w:t xml:space="preserve"> </w:t>
      </w:r>
      <w:r w:rsidR="001931CF" w:rsidRPr="00316277">
        <w:t>au cours d’un congé sans traitement prévu au présent article, l’enseignante ou l’enseignant continue de participer au régime d’assurance</w:t>
      </w:r>
      <w:r w:rsidR="003B3A05">
        <w:t>-</w:t>
      </w:r>
      <w:r w:rsidR="001931CF" w:rsidRPr="00316277">
        <w:t>maladie de base qui lui est applicable en versant sa quote-part des primes pour les soixante-cinq (65)</w:t>
      </w:r>
      <w:r w:rsidR="005A1219" w:rsidRPr="00316277">
        <w:t> </w:t>
      </w:r>
      <w:r w:rsidR="001931CF" w:rsidRPr="00316277">
        <w:t>premières semaines du congé et la totalité des primes pour les semaines suivantes.</w:t>
      </w:r>
      <w:r w:rsidRPr="00026EC1">
        <w:t xml:space="preserve"> De plus, elle ou il peut continuer de participer aux autres régimes qui lui sont applicables en le demandant au début du congé et en versant la totalité des primes.</w:t>
      </w:r>
    </w:p>
    <w:p w14:paraId="03D22836" w14:textId="77777777" w:rsidR="009F5256" w:rsidRPr="00026EC1" w:rsidRDefault="009F5256" w:rsidP="00A64613">
      <w:pPr>
        <w:keepNext w:val="0"/>
      </w:pPr>
    </w:p>
    <w:p w14:paraId="305D5019" w14:textId="3EF620BF" w:rsidR="009F5256" w:rsidRPr="00026EC1" w:rsidRDefault="009F5256" w:rsidP="00A64613">
      <w:pPr>
        <w:pStyle w:val="NUMRODECLAUSE"/>
        <w:keepNext w:val="0"/>
      </w:pPr>
      <w:r w:rsidRPr="00026EC1">
        <w:t>5</w:t>
      </w:r>
      <w:r w:rsidR="00984A6F">
        <w:noBreakHyphen/>
      </w:r>
      <w:r w:rsidR="00E70FF1" w:rsidRPr="00026EC1">
        <w:t>6.59</w:t>
      </w:r>
    </w:p>
    <w:p w14:paraId="06D69691" w14:textId="77777777" w:rsidR="009F5256" w:rsidRPr="00026EC1" w:rsidRDefault="009F5256" w:rsidP="00A64613">
      <w:pPr>
        <w:keepNext w:val="0"/>
      </w:pPr>
      <w:r w:rsidRPr="00026EC1">
        <w:t>Le Collège tente d</w:t>
      </w:r>
      <w:r w:rsidR="004A41E4" w:rsidRPr="00026EC1">
        <w:t>’</w:t>
      </w:r>
      <w:r w:rsidRPr="00026EC1">
        <w:t>aménager l</w:t>
      </w:r>
      <w:r w:rsidR="004A41E4" w:rsidRPr="00026EC1">
        <w:t>’</w:t>
      </w:r>
      <w:r w:rsidRPr="00026EC1">
        <w:t>horaire à la convenance de l</w:t>
      </w:r>
      <w:r w:rsidR="004A41E4" w:rsidRPr="00026EC1">
        <w:t>’</w:t>
      </w:r>
      <w:r w:rsidRPr="00026EC1">
        <w:t xml:space="preserve">enseignante pour lui permettre de suivre des cours ou </w:t>
      </w:r>
      <w:r w:rsidR="00B97860" w:rsidRPr="00026EC1">
        <w:t>d</w:t>
      </w:r>
      <w:r w:rsidRPr="00026EC1">
        <w:t>es exercices prénataux.</w:t>
      </w:r>
    </w:p>
    <w:p w14:paraId="49C612F5" w14:textId="77777777" w:rsidR="009F5256" w:rsidRPr="00026EC1" w:rsidRDefault="009F5256" w:rsidP="00A64613">
      <w:pPr>
        <w:keepNext w:val="0"/>
      </w:pPr>
    </w:p>
    <w:p w14:paraId="4ED22688" w14:textId="23CDF0D5" w:rsidR="009F5256" w:rsidRPr="00026EC1" w:rsidRDefault="009F5256" w:rsidP="00A64613">
      <w:pPr>
        <w:pStyle w:val="NUMRODECLAUSE"/>
        <w:keepNext w:val="0"/>
      </w:pPr>
      <w:r w:rsidRPr="00026EC1">
        <w:t xml:space="preserve">Section VIII  </w:t>
      </w:r>
      <w:r w:rsidR="00984A6F">
        <w:noBreakHyphen/>
      </w:r>
      <w:r w:rsidRPr="00026EC1">
        <w:t xml:space="preserve">  </w:t>
      </w:r>
      <w:r w:rsidRPr="00F563DB">
        <w:rPr>
          <w:u w:val="single"/>
        </w:rPr>
        <w:t>Autres congés</w:t>
      </w:r>
    </w:p>
    <w:p w14:paraId="6F1D0DF7" w14:textId="77777777" w:rsidR="009F5256" w:rsidRPr="00026EC1" w:rsidRDefault="009F5256" w:rsidP="00A64613">
      <w:pPr>
        <w:keepNext w:val="0"/>
      </w:pPr>
    </w:p>
    <w:p w14:paraId="48AD9F69" w14:textId="557B5966" w:rsidR="009F5256" w:rsidRPr="00026EC1" w:rsidRDefault="009F5256" w:rsidP="00A64613">
      <w:pPr>
        <w:pStyle w:val="NUMRODECLAUSE"/>
        <w:keepNext w:val="0"/>
      </w:pPr>
      <w:r w:rsidRPr="00026EC1">
        <w:t>5</w:t>
      </w:r>
      <w:r w:rsidR="00984A6F">
        <w:noBreakHyphen/>
      </w:r>
      <w:r w:rsidRPr="00026EC1">
        <w:t>6.60</w:t>
      </w:r>
    </w:p>
    <w:p w14:paraId="47C96186" w14:textId="382F3049"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à temps complet obtient, sur demande présentée dans un délai raisonnable, un congé sans traitement à temps partiel ne dépassant pas zéro virgule vingt</w:t>
      </w:r>
      <w:r w:rsidR="00984A6F">
        <w:noBreakHyphen/>
      </w:r>
      <w:r w:rsidRPr="00026EC1">
        <w:t>cinq (0,25) ETC dans les cas suivants de responsabilité parentale</w:t>
      </w:r>
      <w:r w:rsidR="00D8581B">
        <w:t> :</w:t>
      </w:r>
    </w:p>
    <w:p w14:paraId="13AF3E7B" w14:textId="1A364C35" w:rsidR="009F5256" w:rsidRPr="00026EC1" w:rsidRDefault="009F5256" w:rsidP="00A64613">
      <w:pPr>
        <w:keepNext w:val="0"/>
      </w:pPr>
    </w:p>
    <w:p w14:paraId="44FC9E45" w14:textId="77777777" w:rsidR="009F5256" w:rsidRPr="00026EC1" w:rsidRDefault="00275751" w:rsidP="00A64613">
      <w:pPr>
        <w:keepNext w:val="0"/>
        <w:tabs>
          <w:tab w:val="left" w:pos="567"/>
        </w:tabs>
        <w:ind w:left="567" w:hanging="567"/>
      </w:pPr>
      <w:r w:rsidRPr="00026EC1">
        <w:t>a)</w:t>
      </w:r>
      <w:r w:rsidRPr="00026EC1">
        <w:tab/>
      </w:r>
      <w:r w:rsidR="009F5256" w:rsidRPr="00026EC1">
        <w:t>l</w:t>
      </w:r>
      <w:r w:rsidR="004A41E4" w:rsidRPr="00026EC1">
        <w:t>’</w:t>
      </w:r>
      <w:r w:rsidR="009F5256" w:rsidRPr="00026EC1">
        <w:t>enseignante ou l</w:t>
      </w:r>
      <w:r w:rsidR="004A41E4" w:rsidRPr="00026EC1">
        <w:t>’</w:t>
      </w:r>
      <w:r w:rsidR="009F5256" w:rsidRPr="00026EC1">
        <w:t>enseignant ayant une ou un enfant à charge;</w:t>
      </w:r>
    </w:p>
    <w:p w14:paraId="2A508FA4" w14:textId="77777777" w:rsidR="009F5256" w:rsidRPr="00026EC1" w:rsidRDefault="009F5256" w:rsidP="00A64613">
      <w:pPr>
        <w:keepNext w:val="0"/>
      </w:pPr>
    </w:p>
    <w:p w14:paraId="6FA3407F" w14:textId="77777777" w:rsidR="009F5256" w:rsidRPr="00026EC1" w:rsidRDefault="00275751" w:rsidP="00A64613">
      <w:pPr>
        <w:keepNext w:val="0"/>
        <w:tabs>
          <w:tab w:val="left" w:pos="567"/>
        </w:tabs>
        <w:ind w:left="567" w:hanging="567"/>
      </w:pPr>
      <w:r w:rsidRPr="00026EC1">
        <w:t>b)</w:t>
      </w:r>
      <w:r w:rsidRPr="00026EC1">
        <w:tab/>
      </w:r>
      <w:r w:rsidR="009F5256" w:rsidRPr="00026EC1">
        <w:t>l</w:t>
      </w:r>
      <w:r w:rsidR="004A41E4" w:rsidRPr="00026EC1">
        <w:t>’</w:t>
      </w:r>
      <w:r w:rsidR="009F5256" w:rsidRPr="00026EC1">
        <w:t>enseignante ou l</w:t>
      </w:r>
      <w:r w:rsidR="004A41E4" w:rsidRPr="00026EC1">
        <w:t>’</w:t>
      </w:r>
      <w:r w:rsidR="009F5256" w:rsidRPr="00026EC1">
        <w:t>enseignant qui doit s</w:t>
      </w:r>
      <w:r w:rsidR="004A41E4" w:rsidRPr="00026EC1">
        <w:t>’</w:t>
      </w:r>
      <w:r w:rsidR="009F5256" w:rsidRPr="00026EC1">
        <w:t>occuper d</w:t>
      </w:r>
      <w:r w:rsidR="004A41E4" w:rsidRPr="00026EC1">
        <w:t>’</w:t>
      </w:r>
      <w:r w:rsidR="009F5256" w:rsidRPr="00026EC1">
        <w:t>une personne à charge ayant des problèmes de santé. Dans ce cas, le Collège peut exiger un certificat médical attestant la nature et la durée de l</w:t>
      </w:r>
      <w:r w:rsidR="004A41E4" w:rsidRPr="00026EC1">
        <w:t>’</w:t>
      </w:r>
      <w:r w:rsidR="009F5256" w:rsidRPr="00026EC1">
        <w:t>invalidité de la personne à charge.</w:t>
      </w:r>
    </w:p>
    <w:p w14:paraId="64EE31A2" w14:textId="77777777" w:rsidR="005B741E" w:rsidRPr="00026EC1" w:rsidRDefault="005B741E" w:rsidP="00A64613">
      <w:pPr>
        <w:pStyle w:val="NUMRODECLAUSE"/>
        <w:keepNext w:val="0"/>
      </w:pPr>
    </w:p>
    <w:p w14:paraId="20F30A77" w14:textId="3C8E403C" w:rsidR="006A0D73" w:rsidRPr="00026EC1" w:rsidRDefault="009F5256" w:rsidP="00A64613">
      <w:pPr>
        <w:pStyle w:val="NUMRODECLAUSE"/>
        <w:keepNext w:val="0"/>
      </w:pPr>
      <w:r w:rsidRPr="00026EC1">
        <w:t>5</w:t>
      </w:r>
      <w:r w:rsidR="00984A6F">
        <w:noBreakHyphen/>
      </w:r>
      <w:r w:rsidRPr="00026EC1">
        <w:t>6.61</w:t>
      </w:r>
    </w:p>
    <w:p w14:paraId="26E53F50" w14:textId="77777777" w:rsidR="009F5256" w:rsidRPr="00026EC1" w:rsidRDefault="009F5256" w:rsidP="00A64613">
      <w:pPr>
        <w:keepNext w:val="0"/>
      </w:pPr>
      <w:r w:rsidRPr="00026EC1">
        <w:t>Ce congé débute au début d</w:t>
      </w:r>
      <w:r w:rsidR="004A41E4" w:rsidRPr="00026EC1">
        <w:t>’</w:t>
      </w:r>
      <w:r w:rsidRPr="00026EC1">
        <w:t>une session. Exceptionnellement, lorsque l</w:t>
      </w:r>
      <w:r w:rsidR="004A41E4" w:rsidRPr="00026EC1">
        <w:t>’</w:t>
      </w:r>
      <w:r w:rsidRPr="00026EC1">
        <w:t>événement qui justifie le congé survient en cours de session, l</w:t>
      </w:r>
      <w:r w:rsidR="004A41E4" w:rsidRPr="00026EC1">
        <w:t>’</w:t>
      </w:r>
      <w:r w:rsidRPr="00026EC1">
        <w:t>enseignante ou l</w:t>
      </w:r>
      <w:r w:rsidR="004A41E4" w:rsidRPr="00026EC1">
        <w:t>’</w:t>
      </w:r>
      <w:r w:rsidRPr="00026EC1">
        <w:t>enseignant peut bénéficier du congé après un avis préalable de quinze (15) jours ouvrables. Ce délai peut être modifié avec l</w:t>
      </w:r>
      <w:r w:rsidR="004A41E4" w:rsidRPr="00026EC1">
        <w:t>’</w:t>
      </w:r>
      <w:r w:rsidRPr="00026EC1">
        <w:t xml:space="preserve">accord du Collège. </w:t>
      </w:r>
    </w:p>
    <w:p w14:paraId="43BAAFDC" w14:textId="77777777" w:rsidR="009F5256" w:rsidRPr="00026EC1" w:rsidRDefault="009F5256" w:rsidP="00A64613">
      <w:pPr>
        <w:keepNext w:val="0"/>
      </w:pPr>
    </w:p>
    <w:p w14:paraId="6BF975EB" w14:textId="77777777" w:rsidR="009F5256" w:rsidRPr="00026EC1" w:rsidRDefault="009F5256" w:rsidP="00A64613">
      <w:pPr>
        <w:keepNext w:val="0"/>
      </w:pPr>
      <w:r w:rsidRPr="00026EC1">
        <w:t>Le congé se termine à la fin d</w:t>
      </w:r>
      <w:r w:rsidR="004A41E4" w:rsidRPr="00026EC1">
        <w:t>’</w:t>
      </w:r>
      <w:r w:rsidRPr="00026EC1">
        <w:t>une session.</w:t>
      </w:r>
    </w:p>
    <w:p w14:paraId="5C2DA0E5" w14:textId="74653142" w:rsidR="00F563DB" w:rsidRDefault="00F563DB">
      <w:pPr>
        <w:keepNext w:val="0"/>
        <w:suppressAutoHyphens w:val="0"/>
        <w:jc w:val="left"/>
      </w:pPr>
    </w:p>
    <w:p w14:paraId="5D825A04" w14:textId="0047E164" w:rsidR="009F5256" w:rsidRPr="00026EC1" w:rsidRDefault="009F5256" w:rsidP="00A64613">
      <w:pPr>
        <w:pStyle w:val="NUMRODECLAUSE"/>
        <w:keepNext w:val="0"/>
        <w:rPr>
          <w:bCs/>
        </w:rPr>
      </w:pPr>
      <w:r w:rsidRPr="00026EC1">
        <w:t>5</w:t>
      </w:r>
      <w:r w:rsidR="00984A6F">
        <w:noBreakHyphen/>
      </w:r>
      <w:r w:rsidRPr="00026EC1">
        <w:t>6.62</w:t>
      </w:r>
    </w:p>
    <w:p w14:paraId="6CC429B6" w14:textId="7DE3F063" w:rsidR="0093364E" w:rsidRDefault="009F5256" w:rsidP="00A64613">
      <w:pPr>
        <w:keepNext w:val="0"/>
      </w:pPr>
      <w:r w:rsidRPr="00026EC1">
        <w:t>Cette enseignante ou cet enseignant est considéré comme enseignante ou enseignant à temps partiel aux fins des régimes de retraite. Cependant, si elle ou il le désire et si le régime le permet, l</w:t>
      </w:r>
      <w:r w:rsidR="004A41E4" w:rsidRPr="00026EC1">
        <w:t>’</w:t>
      </w:r>
      <w:r w:rsidRPr="00026EC1">
        <w:t>enseignante ou l</w:t>
      </w:r>
      <w:r w:rsidR="004A41E4" w:rsidRPr="00026EC1">
        <w:t>’</w:t>
      </w:r>
      <w:r w:rsidRPr="00026EC1">
        <w:t>enseignant peut assumer le solde des cotisations et contributions équivalant à son congé pour bénéficier des avantages liés à ces régimes comme si elle ou il était à temps complet.</w:t>
      </w:r>
    </w:p>
    <w:p w14:paraId="2C8A05DE" w14:textId="77777777" w:rsidR="0093364E" w:rsidRDefault="0093364E">
      <w:pPr>
        <w:keepNext w:val="0"/>
        <w:suppressAutoHyphens w:val="0"/>
        <w:jc w:val="left"/>
      </w:pPr>
      <w:r>
        <w:br w:type="page"/>
      </w:r>
    </w:p>
    <w:p w14:paraId="3F8D9B63" w14:textId="3A02DE07" w:rsidR="009F5256" w:rsidRPr="00026EC1" w:rsidRDefault="009F5256" w:rsidP="00A64613">
      <w:pPr>
        <w:pStyle w:val="NUMRODECLAUSE"/>
        <w:keepNext w:val="0"/>
        <w:rPr>
          <w:bCs/>
        </w:rPr>
      </w:pPr>
      <w:r w:rsidRPr="00026EC1">
        <w:t>5</w:t>
      </w:r>
      <w:r w:rsidR="00984A6F">
        <w:noBreakHyphen/>
      </w:r>
      <w:r w:rsidRPr="00026EC1">
        <w:t>6.63</w:t>
      </w:r>
    </w:p>
    <w:p w14:paraId="368EE9E6" w14:textId="479B4981" w:rsidR="009F5256" w:rsidRPr="00026EC1" w:rsidRDefault="009F5256"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en vertu de la clause 5</w:t>
      </w:r>
      <w:r w:rsidR="00984A6F">
        <w:noBreakHyphen/>
      </w:r>
      <w:r w:rsidRPr="00026EC1">
        <w:t>6.60 accumule pendant ce congé</w:t>
      </w:r>
      <w:r w:rsidR="00D8581B">
        <w:t> :</w:t>
      </w:r>
    </w:p>
    <w:p w14:paraId="23AFFA97" w14:textId="77777777" w:rsidR="009F5256" w:rsidRPr="00026EC1" w:rsidRDefault="009F5256" w:rsidP="00A64613">
      <w:pPr>
        <w:keepNext w:val="0"/>
      </w:pPr>
    </w:p>
    <w:p w14:paraId="312D4B1F" w14:textId="660581FB" w:rsidR="009F5256" w:rsidRPr="00026EC1" w:rsidRDefault="00275751" w:rsidP="00A64613">
      <w:pPr>
        <w:keepNext w:val="0"/>
        <w:tabs>
          <w:tab w:val="left" w:pos="567"/>
        </w:tabs>
        <w:ind w:left="567" w:hanging="567"/>
      </w:pPr>
      <w:r w:rsidRPr="00026EC1">
        <w:t>a)</w:t>
      </w:r>
      <w:r w:rsidRPr="00026EC1">
        <w:tab/>
      </w:r>
      <w:r w:rsidR="009F5256" w:rsidRPr="00026EC1">
        <w:t>une fraction d</w:t>
      </w:r>
      <w:r w:rsidR="004A41E4" w:rsidRPr="00026EC1">
        <w:t>’</w:t>
      </w:r>
      <w:r w:rsidR="009F5256" w:rsidRPr="00026EC1">
        <w:t>année d</w:t>
      </w:r>
      <w:r w:rsidR="004A41E4" w:rsidRPr="00026EC1">
        <w:t>’</w:t>
      </w:r>
      <w:r w:rsidR="009F5256" w:rsidRPr="00026EC1">
        <w:t>expérience par année de congé</w:t>
      </w:r>
      <w:r w:rsidR="00D8581B">
        <w:t> :</w:t>
      </w:r>
      <w:r w:rsidR="009F5256" w:rsidRPr="00026EC1">
        <w:t xml:space="preserve"> cette fraction est obtenue en retranchant l</w:t>
      </w:r>
      <w:r w:rsidR="004A41E4" w:rsidRPr="00026EC1">
        <w:t>’</w:t>
      </w:r>
      <w:r w:rsidR="009F5256" w:rsidRPr="00026EC1">
        <w:t>ETC du congé dont l</w:t>
      </w:r>
      <w:r w:rsidR="004A41E4" w:rsidRPr="00026EC1">
        <w:t>’</w:t>
      </w:r>
      <w:r w:rsidR="009F5256" w:rsidRPr="00026EC1">
        <w:t>enseignante ou l</w:t>
      </w:r>
      <w:r w:rsidR="004A41E4" w:rsidRPr="00026EC1">
        <w:t>’</w:t>
      </w:r>
      <w:r w:rsidR="009F5256" w:rsidRPr="00026EC1">
        <w:t>enseignant bénéficie de l</w:t>
      </w:r>
      <w:r w:rsidR="004A41E4" w:rsidRPr="00026EC1">
        <w:t>’</w:t>
      </w:r>
      <w:r w:rsidR="009F5256" w:rsidRPr="00026EC1">
        <w:t>expérience qu</w:t>
      </w:r>
      <w:r w:rsidR="004A41E4" w:rsidRPr="00026EC1">
        <w:t>’</w:t>
      </w:r>
      <w:r w:rsidR="009F5256" w:rsidRPr="00026EC1">
        <w:t>elle ou il accumulerait si elle ou il ne bénéficiait pas de ce congé;</w:t>
      </w:r>
    </w:p>
    <w:p w14:paraId="31A7BD0E" w14:textId="77777777" w:rsidR="009F5256" w:rsidRPr="00026EC1" w:rsidRDefault="009F5256" w:rsidP="00A64613">
      <w:pPr>
        <w:keepNext w:val="0"/>
      </w:pPr>
    </w:p>
    <w:p w14:paraId="0B0C7EEE" w14:textId="0FEB642C" w:rsidR="009F5256" w:rsidRPr="00026EC1" w:rsidRDefault="00275751" w:rsidP="00A64613">
      <w:pPr>
        <w:keepNext w:val="0"/>
        <w:tabs>
          <w:tab w:val="left" w:pos="567"/>
        </w:tabs>
        <w:ind w:left="567" w:hanging="567"/>
      </w:pPr>
      <w:r w:rsidRPr="00026EC1">
        <w:t>b)</w:t>
      </w:r>
      <w:r w:rsidRPr="00026EC1">
        <w:tab/>
      </w:r>
      <w:r w:rsidR="009F5256" w:rsidRPr="00026EC1">
        <w:t>une (1) année d</w:t>
      </w:r>
      <w:r w:rsidR="004A41E4" w:rsidRPr="00026EC1">
        <w:t>’</w:t>
      </w:r>
      <w:r w:rsidR="009F5256" w:rsidRPr="00026EC1">
        <w:t>ancienneté aux fins d</w:t>
      </w:r>
      <w:r w:rsidR="004A41E4" w:rsidRPr="00026EC1">
        <w:t>’</w:t>
      </w:r>
      <w:r w:rsidR="009F5256" w:rsidRPr="00026EC1">
        <w:t>interprétation et d</w:t>
      </w:r>
      <w:r w:rsidR="004A41E4" w:rsidRPr="00026EC1">
        <w:t>’</w:t>
      </w:r>
      <w:r w:rsidR="009F5256" w:rsidRPr="00026EC1">
        <w:t>application de l</w:t>
      </w:r>
      <w:r w:rsidR="004A41E4" w:rsidRPr="00026EC1">
        <w:t>’</w:t>
      </w:r>
      <w:r w:rsidR="009F5256" w:rsidRPr="00026EC1">
        <w:t>article 5</w:t>
      </w:r>
      <w:r w:rsidR="00984A6F">
        <w:noBreakHyphen/>
      </w:r>
      <w:r w:rsidR="009F5256" w:rsidRPr="00026EC1">
        <w:t>4.00 par année pour les deux (2) premières années;</w:t>
      </w:r>
    </w:p>
    <w:p w14:paraId="796E36D1" w14:textId="77777777" w:rsidR="009F5256" w:rsidRPr="00026EC1" w:rsidRDefault="009F5256" w:rsidP="00A64613">
      <w:pPr>
        <w:keepNext w:val="0"/>
      </w:pPr>
    </w:p>
    <w:p w14:paraId="1439DF46" w14:textId="331081BB" w:rsidR="009F5256" w:rsidRPr="00026EC1" w:rsidRDefault="00275751" w:rsidP="00A64613">
      <w:pPr>
        <w:keepNext w:val="0"/>
        <w:tabs>
          <w:tab w:val="left" w:pos="567"/>
        </w:tabs>
        <w:ind w:left="567" w:hanging="567"/>
      </w:pPr>
      <w:r w:rsidRPr="00026EC1">
        <w:t>c)</w:t>
      </w:r>
      <w:r w:rsidRPr="00026EC1">
        <w:tab/>
      </w:r>
      <w:r w:rsidR="009F5256" w:rsidRPr="00026EC1">
        <w:t>une fraction d</w:t>
      </w:r>
      <w:r w:rsidR="004A41E4" w:rsidRPr="00026EC1">
        <w:t>’</w:t>
      </w:r>
      <w:r w:rsidR="009F5256" w:rsidRPr="00026EC1">
        <w:t>année d</w:t>
      </w:r>
      <w:r w:rsidR="004A41E4" w:rsidRPr="00026EC1">
        <w:t>’</w:t>
      </w:r>
      <w:r w:rsidR="009F5256" w:rsidRPr="00026EC1">
        <w:t>ancienneté aux fins d</w:t>
      </w:r>
      <w:r w:rsidR="004A41E4" w:rsidRPr="00026EC1">
        <w:t>’</w:t>
      </w:r>
      <w:r w:rsidR="009F5256" w:rsidRPr="00026EC1">
        <w:t>interprétation et d</w:t>
      </w:r>
      <w:r w:rsidR="004A41E4" w:rsidRPr="00026EC1">
        <w:t>’</w:t>
      </w:r>
      <w:r w:rsidR="009F5256" w:rsidRPr="00026EC1">
        <w:t>application de l</w:t>
      </w:r>
      <w:r w:rsidR="004A41E4" w:rsidRPr="00026EC1">
        <w:t>’</w:t>
      </w:r>
      <w:r w:rsidR="009F5256" w:rsidRPr="00026EC1">
        <w:t>article 5</w:t>
      </w:r>
      <w:r w:rsidR="00984A6F">
        <w:noBreakHyphen/>
      </w:r>
      <w:r w:rsidR="009F5256" w:rsidRPr="00026EC1">
        <w:t>4.00 pour toute année supplémentaire</w:t>
      </w:r>
      <w:r w:rsidR="00D8581B">
        <w:t> :</w:t>
      </w:r>
      <w:r w:rsidR="009F5256" w:rsidRPr="00026EC1">
        <w:t xml:space="preserve"> cette fraction est obtenue en utilisant la méthode de calcul décrite à l</w:t>
      </w:r>
      <w:r w:rsidR="004A41E4" w:rsidRPr="00026EC1">
        <w:t>’</w:t>
      </w:r>
      <w:r w:rsidR="009F5256" w:rsidRPr="00026EC1">
        <w:t>alinéa a).</w:t>
      </w:r>
    </w:p>
    <w:p w14:paraId="6C960A67" w14:textId="2F420B09" w:rsidR="00404F34" w:rsidRPr="00026EC1" w:rsidRDefault="006A0D73" w:rsidP="00A64613">
      <w:pPr>
        <w:pStyle w:val="Heading2"/>
        <w:keepNext w:val="0"/>
        <w:tabs>
          <w:tab w:val="clear" w:pos="1843"/>
          <w:tab w:val="clear" w:pos="2127"/>
          <w:tab w:val="left" w:pos="1701"/>
          <w:tab w:val="left" w:pos="1985"/>
        </w:tabs>
        <w:ind w:left="1701" w:hanging="1701"/>
      </w:pPr>
      <w:bookmarkStart w:id="444" w:name="_Toc535046603"/>
      <w:bookmarkStart w:id="445" w:name="_Toc133760776"/>
      <w:r w:rsidRPr="00026EC1">
        <w:br w:type="page"/>
      </w:r>
      <w:bookmarkStart w:id="446" w:name="_Toc393444606"/>
      <w:bookmarkStart w:id="447" w:name="_Toc393449557"/>
      <w:bookmarkStart w:id="448" w:name="_Toc393460926"/>
      <w:bookmarkStart w:id="449" w:name="_Toc393461204"/>
      <w:bookmarkStart w:id="450" w:name="_Toc393720765"/>
      <w:bookmarkStart w:id="451" w:name="_Toc393783926"/>
      <w:bookmarkStart w:id="452" w:name="_Toc393784065"/>
      <w:bookmarkStart w:id="453" w:name="_Toc168479519"/>
      <w:r w:rsidR="00404F34" w:rsidRPr="00026EC1">
        <w:t>Article 5</w:t>
      </w:r>
      <w:r w:rsidR="00984A6F">
        <w:t>-</w:t>
      </w:r>
      <w:r w:rsidR="00404F34" w:rsidRPr="00026EC1">
        <w:t>7.00</w:t>
      </w:r>
      <w:r w:rsidR="00C9604C" w:rsidRPr="00026EC1">
        <w:tab/>
      </w:r>
      <w:r w:rsidR="00984A6F">
        <w:t>-</w:t>
      </w:r>
      <w:r w:rsidR="00C9604C" w:rsidRPr="00026EC1">
        <w:tab/>
      </w:r>
      <w:r w:rsidR="00404F34" w:rsidRPr="00026EC1">
        <w:t>Charge publique</w:t>
      </w:r>
      <w:bookmarkEnd w:id="444"/>
      <w:bookmarkEnd w:id="445"/>
      <w:bookmarkEnd w:id="446"/>
      <w:bookmarkEnd w:id="447"/>
      <w:bookmarkEnd w:id="448"/>
      <w:bookmarkEnd w:id="449"/>
      <w:bookmarkEnd w:id="450"/>
      <w:bookmarkEnd w:id="451"/>
      <w:bookmarkEnd w:id="452"/>
      <w:bookmarkEnd w:id="453"/>
    </w:p>
    <w:p w14:paraId="26266059" w14:textId="4E64586B" w:rsidR="00404F34" w:rsidRPr="00026EC1" w:rsidRDefault="00404F34" w:rsidP="00A64613">
      <w:pPr>
        <w:pStyle w:val="NUMRODECLAUSE"/>
        <w:keepNext w:val="0"/>
      </w:pPr>
      <w:r w:rsidRPr="00026EC1">
        <w:t>5</w:t>
      </w:r>
      <w:r w:rsidR="00984A6F">
        <w:noBreakHyphen/>
      </w:r>
      <w:r w:rsidRPr="00026EC1">
        <w:t>7.01</w:t>
      </w:r>
    </w:p>
    <w:p w14:paraId="294AEE88"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se présente à une assemblée de nomination pour être candidate ou candidat ou qui est candidate ou candidat à une élection provinciale, fédérale, municipale ou scolaire obtient, après en avoir avisé le Collège par écrit dans un délai raisonnable, un congé sans salaire si son absence est nécessaire pour poser sa candidature.</w:t>
      </w:r>
    </w:p>
    <w:p w14:paraId="3AAD93B9" w14:textId="77777777" w:rsidR="00404F34" w:rsidRPr="00026EC1" w:rsidRDefault="00404F34" w:rsidP="00A64613">
      <w:pPr>
        <w:keepNext w:val="0"/>
      </w:pPr>
    </w:p>
    <w:p w14:paraId="30090284" w14:textId="06D6B699" w:rsidR="00404F34" w:rsidRPr="00026EC1" w:rsidRDefault="00404F34" w:rsidP="00A64613">
      <w:pPr>
        <w:pStyle w:val="NUMRODECLAUSE"/>
        <w:keepNext w:val="0"/>
      </w:pPr>
      <w:r w:rsidRPr="00026EC1">
        <w:t>5</w:t>
      </w:r>
      <w:r w:rsidR="00984A6F">
        <w:noBreakHyphen/>
      </w:r>
      <w:r w:rsidRPr="00026EC1">
        <w:t>7.02</w:t>
      </w:r>
    </w:p>
    <w:p w14:paraId="64B2416A" w14:textId="665E47C7" w:rsidR="00404F34" w:rsidRPr="00026EC1" w:rsidRDefault="00404F34" w:rsidP="00A64613">
      <w:pPr>
        <w:keepNext w:val="0"/>
      </w:pPr>
      <w:r w:rsidRPr="00026EC1">
        <w:t>Sous réserve de l</w:t>
      </w:r>
      <w:r w:rsidR="004A41E4" w:rsidRPr="00026EC1">
        <w:t>’</w:t>
      </w:r>
      <w:r w:rsidRPr="00026EC1">
        <w:t>application de l</w:t>
      </w:r>
      <w:r w:rsidR="004A41E4" w:rsidRPr="00026EC1">
        <w:t>’</w:t>
      </w:r>
      <w:r w:rsidRPr="00026EC1">
        <w:t>article 5</w:t>
      </w:r>
      <w:r w:rsidR="00984A6F">
        <w:noBreakHyphen/>
      </w:r>
      <w:r w:rsidRPr="00026EC1">
        <w:t>4.00, l</w:t>
      </w:r>
      <w:r w:rsidR="004A41E4" w:rsidRPr="00026EC1">
        <w:t>’</w:t>
      </w:r>
      <w:r w:rsidRPr="00026EC1">
        <w:t>enseignante ou l</w:t>
      </w:r>
      <w:r w:rsidR="004A41E4" w:rsidRPr="00026EC1">
        <w:t>’</w:t>
      </w:r>
      <w:r w:rsidRPr="00026EC1">
        <w:t>enseignant qui pose sa candidature à une élection mentionnée à la clause 5</w:t>
      </w:r>
      <w:r w:rsidR="00984A6F">
        <w:noBreakHyphen/>
      </w:r>
      <w:r w:rsidRPr="00026EC1">
        <w:t>7.01 conserve le droit de reprendre immédiatement le travail en cas de défaite. Si elle ou il décide de se prévaloir de ce droit, elle ou il l</w:t>
      </w:r>
      <w:r w:rsidR="004A41E4" w:rsidRPr="00026EC1">
        <w:t>’</w:t>
      </w:r>
      <w:r w:rsidRPr="00026EC1">
        <w:t>exerce dans les quinze (15) jours ouvrables qui suivent sa défaite.</w:t>
      </w:r>
    </w:p>
    <w:p w14:paraId="258479F1" w14:textId="77777777" w:rsidR="00404F34" w:rsidRPr="00026EC1" w:rsidRDefault="00404F34" w:rsidP="00A64613">
      <w:pPr>
        <w:keepNext w:val="0"/>
      </w:pPr>
    </w:p>
    <w:p w14:paraId="6646E4BF" w14:textId="43D5B627" w:rsidR="00404F34" w:rsidRPr="00026EC1" w:rsidRDefault="00404F34" w:rsidP="00A64613">
      <w:pPr>
        <w:pStyle w:val="NUMRODECLAUSE"/>
        <w:keepNext w:val="0"/>
      </w:pPr>
      <w:r w:rsidRPr="00026EC1">
        <w:t>5</w:t>
      </w:r>
      <w:r w:rsidR="00984A6F">
        <w:noBreakHyphen/>
      </w:r>
      <w:r w:rsidRPr="00026EC1">
        <w:t>7.03</w:t>
      </w:r>
    </w:p>
    <w:p w14:paraId="48C25731" w14:textId="09542696"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élu lors d</w:t>
      </w:r>
      <w:r w:rsidR="004A41E4" w:rsidRPr="00026EC1">
        <w:t>’</w:t>
      </w:r>
      <w:r w:rsidRPr="00026EC1">
        <w:t>une élection mentionnée à la clause 5</w:t>
      </w:r>
      <w:r w:rsidR="00984A6F">
        <w:noBreakHyphen/>
      </w:r>
      <w:r w:rsidRPr="00026EC1">
        <w:t>7.01, ainsi que l</w:t>
      </w:r>
      <w:r w:rsidR="004A41E4" w:rsidRPr="00026EC1">
        <w:t>’</w:t>
      </w:r>
      <w:r w:rsidRPr="00026EC1">
        <w:t>enseignante ou l</w:t>
      </w:r>
      <w:r w:rsidR="004A41E4" w:rsidRPr="00026EC1">
        <w:t>’</w:t>
      </w:r>
      <w:r w:rsidRPr="00026EC1">
        <w:t>enseignant élu ou nommé à une fonction civique autre que députée ou député, mairesse ou maire, conseillère ou conseiller municipal, commissaire d</w:t>
      </w:r>
      <w:r w:rsidR="004A41E4" w:rsidRPr="00026EC1">
        <w:t>’</w:t>
      </w:r>
      <w:r w:rsidRPr="00026EC1">
        <w:t>école, ou à une autre fonction auprès d</w:t>
      </w:r>
      <w:r w:rsidR="004A41E4" w:rsidRPr="00026EC1">
        <w:t>’</w:t>
      </w:r>
      <w:r w:rsidRPr="00026EC1">
        <w:t>une commission d</w:t>
      </w:r>
      <w:r w:rsidR="004A41E4" w:rsidRPr="00026EC1">
        <w:t>’</w:t>
      </w:r>
      <w:r w:rsidRPr="00026EC1">
        <w:t>enquête gouvernementale obtient, moyennant un avis écrit dans un délai raisonnable suivant l</w:t>
      </w:r>
      <w:r w:rsidR="004A41E4" w:rsidRPr="00026EC1">
        <w:t>’</w:t>
      </w:r>
      <w:r w:rsidRPr="00026EC1">
        <w:t>élection ou la nomination, un congé sans salaire, pour la durée de son mandat, s</w:t>
      </w:r>
      <w:r w:rsidR="004A41E4" w:rsidRPr="00026EC1">
        <w:t>’</w:t>
      </w:r>
      <w:r w:rsidRPr="00026EC1">
        <w:t>il s</w:t>
      </w:r>
      <w:r w:rsidR="004A41E4" w:rsidRPr="00026EC1">
        <w:t>’</w:t>
      </w:r>
      <w:r w:rsidRPr="00026EC1">
        <w:t>agit d</w:t>
      </w:r>
      <w:r w:rsidR="004A41E4" w:rsidRPr="00026EC1">
        <w:t>’</w:t>
      </w:r>
      <w:r w:rsidRPr="00026EC1">
        <w:t>un mandat exigeant une pleine disponibilité de sa part.</w:t>
      </w:r>
    </w:p>
    <w:p w14:paraId="6297CA8A" w14:textId="77777777" w:rsidR="00404F34" w:rsidRPr="00026EC1" w:rsidRDefault="00404F34" w:rsidP="00A64613">
      <w:pPr>
        <w:keepNext w:val="0"/>
      </w:pPr>
    </w:p>
    <w:p w14:paraId="744204DE" w14:textId="77777777" w:rsidR="00404F34" w:rsidRPr="00026EC1" w:rsidRDefault="00404F34" w:rsidP="00A64613">
      <w:pPr>
        <w:keepNext w:val="0"/>
      </w:pPr>
      <w:r w:rsidRPr="00026EC1">
        <w:t>S</w:t>
      </w:r>
      <w:r w:rsidR="004A41E4" w:rsidRPr="00026EC1">
        <w:t>’</w:t>
      </w:r>
      <w:r w:rsidRPr="00026EC1">
        <w:t>il s</w:t>
      </w:r>
      <w:r w:rsidR="004A41E4" w:rsidRPr="00026EC1">
        <w:t>’</w:t>
      </w:r>
      <w:r w:rsidRPr="00026EC1">
        <w:t>agit d</w:t>
      </w:r>
      <w:r w:rsidR="004A41E4" w:rsidRPr="00026EC1">
        <w:t>’</w:t>
      </w:r>
      <w:r w:rsidRPr="00026EC1">
        <w:t>un mandat exigeant une disponibilité partielle ou occasionnelle de sa part, l</w:t>
      </w:r>
      <w:r w:rsidR="004A41E4" w:rsidRPr="00026EC1">
        <w:t>’</w:t>
      </w:r>
      <w:r w:rsidRPr="00026EC1">
        <w:t>enseignante ou l</w:t>
      </w:r>
      <w:r w:rsidR="004A41E4" w:rsidRPr="00026EC1">
        <w:t>’</w:t>
      </w:r>
      <w:r w:rsidRPr="00026EC1">
        <w:t>enseignant, après en avoir avisé le Collège par écrit dans un délai raisonnable, a le droit de s</w:t>
      </w:r>
      <w:r w:rsidR="004A41E4" w:rsidRPr="00026EC1">
        <w:t>’</w:t>
      </w:r>
      <w:r w:rsidRPr="00026EC1">
        <w:t>absenter de son travail sans salaire, occasionnellement et selon les exigences de sa fonction.</w:t>
      </w:r>
    </w:p>
    <w:p w14:paraId="23C1B8B4" w14:textId="77777777" w:rsidR="00404F34" w:rsidRPr="00026EC1" w:rsidRDefault="00404F34" w:rsidP="00A64613">
      <w:pPr>
        <w:keepNext w:val="0"/>
      </w:pPr>
    </w:p>
    <w:p w14:paraId="59D79533" w14:textId="7D3A2597" w:rsidR="00404F34" w:rsidRPr="00026EC1" w:rsidRDefault="00404F34" w:rsidP="00A64613">
      <w:pPr>
        <w:keepNext w:val="0"/>
      </w:pPr>
      <w:r w:rsidRPr="00026EC1">
        <w:t>Toutefois, si ces absences portent préjudice grave à sa charge d</w:t>
      </w:r>
      <w:r w:rsidR="004A41E4" w:rsidRPr="00026EC1">
        <w:t>’</w:t>
      </w:r>
      <w:r w:rsidRPr="00026EC1">
        <w:t>enseignement, l</w:t>
      </w:r>
      <w:r w:rsidR="004A41E4" w:rsidRPr="00026EC1">
        <w:t>’</w:t>
      </w:r>
      <w:r w:rsidRPr="00026EC1">
        <w:t>enseignante ou l</w:t>
      </w:r>
      <w:r w:rsidR="004A41E4" w:rsidRPr="00026EC1">
        <w:t>’</w:t>
      </w:r>
      <w:r w:rsidRPr="00026EC1">
        <w:t>enseignant peut convenir avec le département et le Collège des modalités permettant la prestation de son enseignement. Cependant, le Collège peut, après avoir soumis la question au CRT et si les circonstances le rendent nécessaire, exiger que l</w:t>
      </w:r>
      <w:r w:rsidR="004A41E4" w:rsidRPr="00026EC1">
        <w:t>’</w:t>
      </w:r>
      <w:r w:rsidRPr="00026EC1">
        <w:t>enseignante ou l</w:t>
      </w:r>
      <w:r w:rsidR="004A41E4" w:rsidRPr="00026EC1">
        <w:t>’</w:t>
      </w:r>
      <w:r w:rsidRPr="00026EC1">
        <w:t>enseignant prenne un congé sans salaire. L</w:t>
      </w:r>
      <w:r w:rsidR="004A41E4" w:rsidRPr="00026EC1">
        <w:t>’</w:t>
      </w:r>
      <w:r w:rsidRPr="00026EC1">
        <w:t>enseignante ou l</w:t>
      </w:r>
      <w:r w:rsidR="004A41E4" w:rsidRPr="00026EC1">
        <w:t>’</w:t>
      </w:r>
      <w:r w:rsidRPr="00026EC1">
        <w:t>enseignant peut alors continuer de participer aux régimes contributifs d</w:t>
      </w:r>
      <w:r w:rsidR="004A41E4" w:rsidRPr="00026EC1">
        <w:t>’</w:t>
      </w:r>
      <w:r w:rsidRPr="00026EC1">
        <w:t>assurances collectives et de retraite pourvu qu</w:t>
      </w:r>
      <w:r w:rsidR="004A41E4" w:rsidRPr="00026EC1">
        <w:t>’</w:t>
      </w:r>
      <w:r w:rsidRPr="00026EC1">
        <w:t>elle ou il en assume le coût et à la condition que le régime ou les contrats</w:t>
      </w:r>
      <w:r w:rsidR="00984A6F">
        <w:noBreakHyphen/>
      </w:r>
      <w:r w:rsidRPr="00026EC1">
        <w:t>cadres le permettent.</w:t>
      </w:r>
    </w:p>
    <w:p w14:paraId="3E83AE21" w14:textId="77777777" w:rsidR="00404F34" w:rsidRPr="00026EC1" w:rsidRDefault="00404F34" w:rsidP="00A64613">
      <w:pPr>
        <w:keepNext w:val="0"/>
      </w:pPr>
    </w:p>
    <w:p w14:paraId="5CBBF157" w14:textId="1A1E2F60" w:rsidR="00404F34" w:rsidRPr="00026EC1" w:rsidRDefault="00404F34" w:rsidP="00A64613">
      <w:pPr>
        <w:pStyle w:val="NUMRODECLAUSE"/>
        <w:keepNext w:val="0"/>
      </w:pPr>
      <w:r w:rsidRPr="00026EC1">
        <w:t>5</w:t>
      </w:r>
      <w:r w:rsidR="00984A6F">
        <w:noBreakHyphen/>
      </w:r>
      <w:r w:rsidRPr="00026EC1">
        <w:t>7.04</w:t>
      </w:r>
    </w:p>
    <w:p w14:paraId="31269024" w14:textId="2F2F108A" w:rsidR="00EE5DA6" w:rsidRPr="00026EC1" w:rsidRDefault="00EE5DA6" w:rsidP="00A64613">
      <w:pPr>
        <w:keepNext w:val="0"/>
      </w:pPr>
      <w:r w:rsidRPr="00026EC1">
        <w:t>Au terme de son mandat, à la suite de sa démission, de sa défaite ou autrement, l’enseignante ou l’enseignant doit aviser le collège au moins quinze</w:t>
      </w:r>
      <w:r w:rsidR="00F563DB">
        <w:t> </w:t>
      </w:r>
      <w:r w:rsidRPr="00026EC1">
        <w:t>(15) jours ouvrables à l’avance de son intention de reprendre le travail. Le retour au travail doit coïncider avec le début d’une session. </w:t>
      </w:r>
    </w:p>
    <w:p w14:paraId="2F748062" w14:textId="77777777" w:rsidR="00EE5DA6" w:rsidRPr="00026EC1" w:rsidRDefault="00EE5DA6" w:rsidP="00A64613">
      <w:pPr>
        <w:pStyle w:val="ListParagraph"/>
        <w:suppressAutoHyphens/>
        <w:ind w:left="0"/>
      </w:pPr>
    </w:p>
    <w:p w14:paraId="236DF822" w14:textId="77777777" w:rsidR="00EE5DA6" w:rsidRPr="00026EC1" w:rsidRDefault="00EE5DA6" w:rsidP="00A64613">
      <w:pPr>
        <w:pStyle w:val="ListParagraph"/>
        <w:suppressAutoHyphens/>
        <w:ind w:left="0"/>
      </w:pPr>
      <w:r w:rsidRPr="00026EC1">
        <w:t xml:space="preserve">L’enseignante ou l’enseignant reprend son poste ou la charge d’enseignement qu’elle ou qu’il détiendrait selon l’ordre de priorité d’engagement, sous réserve des dispositions relatives à l’engagement et à la sécurité d’emploi. </w:t>
      </w:r>
    </w:p>
    <w:p w14:paraId="22F7D6DB" w14:textId="77777777" w:rsidR="00EE5DA6" w:rsidRPr="00026EC1" w:rsidRDefault="00EE5DA6" w:rsidP="00A64613">
      <w:pPr>
        <w:keepNext w:val="0"/>
        <w:rPr>
          <w:szCs w:val="22"/>
        </w:rPr>
      </w:pPr>
      <w:r w:rsidRPr="00026EC1">
        <w:rPr>
          <w:szCs w:val="22"/>
        </w:rPr>
        <w:t>L’enseignante ou l’enseignant non permanent conserve sa priorité d’engagement dans la mesure où elle ou il aurait obtenu une charge d’enseignement si elle ou il avait été au travail.</w:t>
      </w:r>
    </w:p>
    <w:p w14:paraId="18FA53F9" w14:textId="77777777" w:rsidR="00FF7630" w:rsidRPr="00026EC1" w:rsidRDefault="00FF7630" w:rsidP="00A64613">
      <w:pPr>
        <w:pStyle w:val="NUMRODECLAUSE"/>
        <w:keepNext w:val="0"/>
      </w:pPr>
    </w:p>
    <w:p w14:paraId="567424B6" w14:textId="5430D827" w:rsidR="00404F34" w:rsidRPr="00026EC1" w:rsidRDefault="00404F34" w:rsidP="00A64613">
      <w:pPr>
        <w:pStyle w:val="NUMRODECLAUSE"/>
        <w:keepNext w:val="0"/>
      </w:pPr>
      <w:r w:rsidRPr="00026EC1">
        <w:t>5</w:t>
      </w:r>
      <w:r w:rsidR="00984A6F">
        <w:noBreakHyphen/>
      </w:r>
      <w:r w:rsidRPr="00026EC1">
        <w:t>7.05</w:t>
      </w:r>
    </w:p>
    <w:p w14:paraId="40B14F3B" w14:textId="77777777" w:rsidR="00404F34" w:rsidRPr="00026EC1" w:rsidRDefault="00404F34" w:rsidP="00A64613">
      <w:pPr>
        <w:keepNext w:val="0"/>
      </w:pPr>
      <w:r w:rsidRPr="00026EC1">
        <w:t>À moins de stipulation expresse à l</w:t>
      </w:r>
      <w:r w:rsidR="004A41E4" w:rsidRPr="00026EC1">
        <w:t>’</w:t>
      </w:r>
      <w:r w:rsidRPr="00026EC1">
        <w:t>effet contraire, tout congé pour charge publique d</w:t>
      </w:r>
      <w:r w:rsidR="004A41E4" w:rsidRPr="00026EC1">
        <w:t>’</w:t>
      </w:r>
      <w:r w:rsidRPr="00026EC1">
        <w:t>une durée d</w:t>
      </w:r>
      <w:r w:rsidR="004A41E4" w:rsidRPr="00026EC1">
        <w:t>’</w:t>
      </w:r>
      <w:r w:rsidRPr="00026EC1">
        <w:t>une session ou moins ne peut modifier les droits et avantages que procure une année d</w:t>
      </w:r>
      <w:r w:rsidR="004A41E4" w:rsidRPr="00026EC1">
        <w:t>’</w:t>
      </w:r>
      <w:r w:rsidR="00BA79F8" w:rsidRPr="00026EC1">
        <w:t>enseignement.</w:t>
      </w:r>
    </w:p>
    <w:p w14:paraId="6D396099" w14:textId="21E98AB8"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454" w:name="_Toc535046604"/>
      <w:bookmarkStart w:id="455" w:name="_Toc133760777"/>
      <w:bookmarkStart w:id="456" w:name="_Toc393444607"/>
      <w:bookmarkStart w:id="457" w:name="_Toc393449558"/>
      <w:bookmarkStart w:id="458" w:name="_Toc393460927"/>
      <w:bookmarkStart w:id="459" w:name="_Toc393461205"/>
      <w:bookmarkStart w:id="460" w:name="_Toc393720766"/>
      <w:bookmarkStart w:id="461" w:name="_Toc393783927"/>
      <w:bookmarkStart w:id="462" w:name="_Toc393784066"/>
      <w:bookmarkStart w:id="463" w:name="_Toc168479520"/>
      <w:r w:rsidRPr="00026EC1">
        <w:t>Article 5</w:t>
      </w:r>
      <w:r w:rsidR="00984A6F">
        <w:t>-</w:t>
      </w:r>
      <w:r w:rsidRPr="00026EC1">
        <w:t>8.00</w:t>
      </w:r>
      <w:r w:rsidR="00C9604C" w:rsidRPr="00026EC1">
        <w:tab/>
      </w:r>
      <w:r w:rsidR="00984A6F">
        <w:t>-</w:t>
      </w:r>
      <w:r w:rsidR="00C9604C" w:rsidRPr="00026EC1">
        <w:tab/>
      </w:r>
      <w:r w:rsidRPr="00026EC1">
        <w:t>Jours fériés</w:t>
      </w:r>
      <w:bookmarkEnd w:id="454"/>
      <w:bookmarkEnd w:id="455"/>
      <w:bookmarkEnd w:id="456"/>
      <w:bookmarkEnd w:id="457"/>
      <w:bookmarkEnd w:id="458"/>
      <w:bookmarkEnd w:id="459"/>
      <w:bookmarkEnd w:id="460"/>
      <w:bookmarkEnd w:id="461"/>
      <w:bookmarkEnd w:id="462"/>
      <w:bookmarkEnd w:id="463"/>
    </w:p>
    <w:p w14:paraId="09ABB145" w14:textId="5AA579E8" w:rsidR="00404F34" w:rsidRPr="00026EC1" w:rsidRDefault="00404F34" w:rsidP="00A64613">
      <w:pPr>
        <w:pStyle w:val="NUMRODECLAUSE"/>
        <w:keepNext w:val="0"/>
      </w:pPr>
      <w:r w:rsidRPr="00026EC1">
        <w:t>5</w:t>
      </w:r>
      <w:r w:rsidR="00984A6F">
        <w:noBreakHyphen/>
      </w:r>
      <w:r w:rsidRPr="00026EC1">
        <w:t>8.01</w:t>
      </w:r>
    </w:p>
    <w:p w14:paraId="1ABC66E8" w14:textId="77777777" w:rsidR="00404F34" w:rsidRPr="00026EC1" w:rsidRDefault="00404F34" w:rsidP="00A64613">
      <w:pPr>
        <w:keepNext w:val="0"/>
      </w:pPr>
      <w:r w:rsidRPr="00026EC1">
        <w:t>Durant la session, l</w:t>
      </w:r>
      <w:r w:rsidR="004A41E4" w:rsidRPr="00026EC1">
        <w:t>’</w:t>
      </w:r>
      <w:r w:rsidRPr="00026EC1">
        <w:t>enseignante ou l</w:t>
      </w:r>
      <w:r w:rsidR="004A41E4" w:rsidRPr="00026EC1">
        <w:t>’</w:t>
      </w:r>
      <w:r w:rsidRPr="00026EC1">
        <w:t>enseignant a droit aux congés prévus pour les étudiantes et étudiants au calendrier scolaire.</w:t>
      </w:r>
    </w:p>
    <w:p w14:paraId="48C486A8" w14:textId="77777777" w:rsidR="00404F34" w:rsidRPr="00026EC1" w:rsidRDefault="00404F34" w:rsidP="00A64613">
      <w:pPr>
        <w:keepNext w:val="0"/>
      </w:pPr>
    </w:p>
    <w:p w14:paraId="366EB399" w14:textId="2D37B9B9" w:rsidR="00404F34" w:rsidRPr="00026EC1" w:rsidRDefault="00404F34" w:rsidP="00A64613">
      <w:pPr>
        <w:pStyle w:val="NUMRODECLAUSE"/>
        <w:keepNext w:val="0"/>
      </w:pPr>
      <w:r w:rsidRPr="00026EC1">
        <w:t>5</w:t>
      </w:r>
      <w:r w:rsidR="00984A6F">
        <w:noBreakHyphen/>
      </w:r>
      <w:r w:rsidRPr="00026EC1">
        <w:t>8.02</w:t>
      </w:r>
    </w:p>
    <w:p w14:paraId="4FECC2E2" w14:textId="296F0BFB" w:rsidR="00404F34" w:rsidRPr="00026EC1" w:rsidRDefault="00404F34" w:rsidP="00A64613">
      <w:pPr>
        <w:keepNext w:val="0"/>
      </w:pPr>
      <w:r w:rsidRPr="00026EC1">
        <w:t>Aux fins exclusives de la clause 5</w:t>
      </w:r>
      <w:r w:rsidR="00984A6F">
        <w:noBreakHyphen/>
      </w:r>
      <w:r w:rsidRPr="00026EC1">
        <w:t>8.01, la session (automne ou hiver) est la période s</w:t>
      </w:r>
      <w:r w:rsidR="004A41E4" w:rsidRPr="00026EC1">
        <w:t>’</w:t>
      </w:r>
      <w:r w:rsidRPr="00026EC1">
        <w:t>étendant du début des cours des étudiantes et étudiants au dernier jour d</w:t>
      </w:r>
      <w:r w:rsidR="004A41E4" w:rsidRPr="00026EC1">
        <w:t>’</w:t>
      </w:r>
      <w:r w:rsidRPr="00026EC1">
        <w:t>évaluation, tel qu</w:t>
      </w:r>
      <w:r w:rsidR="004A41E4" w:rsidRPr="00026EC1">
        <w:t>’</w:t>
      </w:r>
      <w:r w:rsidRPr="00026EC1">
        <w:t>il es</w:t>
      </w:r>
      <w:r w:rsidR="00BA79F8" w:rsidRPr="00026EC1">
        <w:t>t prévu au calendrier scolaire.</w:t>
      </w:r>
    </w:p>
    <w:p w14:paraId="48FD2AD2" w14:textId="2FE9A662" w:rsidR="007055D5"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464" w:name="_Toc203542781"/>
      <w:bookmarkStart w:id="465" w:name="_Toc133760778"/>
      <w:bookmarkStart w:id="466" w:name="_Toc535046605"/>
      <w:bookmarkStart w:id="467" w:name="_Toc393444608"/>
      <w:bookmarkStart w:id="468" w:name="_Toc393449559"/>
      <w:bookmarkStart w:id="469" w:name="_Toc393460928"/>
      <w:bookmarkStart w:id="470" w:name="_Toc393461206"/>
      <w:bookmarkStart w:id="471" w:name="_Toc393720767"/>
      <w:bookmarkStart w:id="472" w:name="_Toc393783928"/>
      <w:bookmarkStart w:id="473" w:name="_Toc393784067"/>
      <w:bookmarkStart w:id="474" w:name="_Toc168479521"/>
      <w:r w:rsidR="007055D5" w:rsidRPr="00026EC1">
        <w:t>Article 5</w:t>
      </w:r>
      <w:r w:rsidR="00984A6F">
        <w:t>-</w:t>
      </w:r>
      <w:r w:rsidR="007055D5" w:rsidRPr="00026EC1">
        <w:t>9.00</w:t>
      </w:r>
      <w:r w:rsidR="00C9604C" w:rsidRPr="00026EC1">
        <w:tab/>
      </w:r>
      <w:r w:rsidR="00984A6F">
        <w:t>-</w:t>
      </w:r>
      <w:r w:rsidR="00C9604C" w:rsidRPr="00026EC1">
        <w:tab/>
      </w:r>
      <w:r w:rsidR="007055D5" w:rsidRPr="00026EC1">
        <w:t>Congés spéciaux</w:t>
      </w:r>
      <w:bookmarkEnd w:id="464"/>
      <w:bookmarkEnd w:id="465"/>
      <w:bookmarkEnd w:id="466"/>
      <w:r w:rsidR="007055D5" w:rsidRPr="00026EC1">
        <w:t xml:space="preserve"> et congés pour raisons familiales</w:t>
      </w:r>
      <w:bookmarkEnd w:id="467"/>
      <w:bookmarkEnd w:id="468"/>
      <w:bookmarkEnd w:id="469"/>
      <w:bookmarkEnd w:id="470"/>
      <w:bookmarkEnd w:id="471"/>
      <w:bookmarkEnd w:id="472"/>
      <w:bookmarkEnd w:id="473"/>
      <w:bookmarkEnd w:id="474"/>
    </w:p>
    <w:p w14:paraId="1E2D647C" w14:textId="1EC1DC69" w:rsidR="007055D5" w:rsidRPr="00026EC1" w:rsidRDefault="007055D5" w:rsidP="00A64613">
      <w:pPr>
        <w:pStyle w:val="NUMRODECLAUSE"/>
        <w:keepNext w:val="0"/>
      </w:pPr>
      <w:r w:rsidRPr="00026EC1">
        <w:t>5</w:t>
      </w:r>
      <w:r w:rsidR="00984A6F">
        <w:noBreakHyphen/>
      </w:r>
      <w:r w:rsidRPr="00026EC1">
        <w:t>9.01</w:t>
      </w:r>
    </w:p>
    <w:p w14:paraId="4E74BA0B" w14:textId="77C9A114" w:rsidR="007055D5" w:rsidRPr="00026EC1" w:rsidRDefault="007055D5" w:rsidP="00A64613">
      <w:pPr>
        <w:keepNext w:val="0"/>
        <w:rPr>
          <w:rFonts w:cs="Arial"/>
        </w:rPr>
      </w:pPr>
      <w:r w:rsidRPr="00026EC1">
        <w:rPr>
          <w:rFonts w:cs="Arial"/>
        </w:rPr>
        <w:t>Pendant les périodes où l</w:t>
      </w:r>
      <w:r w:rsidR="004A41E4" w:rsidRPr="00026EC1">
        <w:rPr>
          <w:rFonts w:cs="Arial"/>
        </w:rPr>
        <w:t>’</w:t>
      </w:r>
      <w:r w:rsidRPr="00026EC1">
        <w:rPr>
          <w:rFonts w:cs="Arial"/>
        </w:rPr>
        <w:t>enseignante ou l</w:t>
      </w:r>
      <w:r w:rsidR="004A41E4" w:rsidRPr="00026EC1">
        <w:rPr>
          <w:rFonts w:cs="Arial"/>
        </w:rPr>
        <w:t>’</w:t>
      </w:r>
      <w:r w:rsidRPr="00026EC1">
        <w:rPr>
          <w:rFonts w:cs="Arial"/>
        </w:rPr>
        <w:t>enseignant est disponible au Collège au sens de la convention collective, l</w:t>
      </w:r>
      <w:r w:rsidR="004A41E4" w:rsidRPr="00026EC1">
        <w:rPr>
          <w:rFonts w:cs="Arial"/>
        </w:rPr>
        <w:t>’</w:t>
      </w:r>
      <w:r w:rsidRPr="00026EC1">
        <w:rPr>
          <w:rFonts w:cs="Arial"/>
        </w:rPr>
        <w:t>enseignante ou l</w:t>
      </w:r>
      <w:r w:rsidR="004A41E4" w:rsidRPr="00026EC1">
        <w:rPr>
          <w:rFonts w:cs="Arial"/>
        </w:rPr>
        <w:t>’</w:t>
      </w:r>
      <w:r w:rsidRPr="00026EC1">
        <w:rPr>
          <w:rFonts w:cs="Arial"/>
        </w:rPr>
        <w:t>enseignant a droit, sur avis au Collège, à un congé sans perte de salaire, aux fins et pour les périodes de temps suivantes</w:t>
      </w:r>
      <w:r w:rsidR="00D8581B">
        <w:rPr>
          <w:rFonts w:cs="Arial"/>
        </w:rPr>
        <w:t> :</w:t>
      </w:r>
    </w:p>
    <w:p w14:paraId="6F121F65" w14:textId="77777777" w:rsidR="007055D5" w:rsidRPr="00026EC1" w:rsidRDefault="007055D5" w:rsidP="00A64613">
      <w:pPr>
        <w:keepNext w:val="0"/>
        <w:rPr>
          <w:rFonts w:cs="Arial"/>
        </w:rPr>
      </w:pPr>
    </w:p>
    <w:p w14:paraId="254B5902" w14:textId="492ACD15" w:rsidR="007055D5" w:rsidRPr="00026EC1" w:rsidRDefault="00275751" w:rsidP="00A64613">
      <w:pPr>
        <w:keepNext w:val="0"/>
        <w:tabs>
          <w:tab w:val="left" w:pos="567"/>
        </w:tabs>
        <w:snapToGrid w:val="0"/>
        <w:ind w:left="567" w:hanging="567"/>
        <w:rPr>
          <w:rFonts w:cs="Arial"/>
        </w:rPr>
      </w:pPr>
      <w:r w:rsidRPr="00026EC1">
        <w:t>a)</w:t>
      </w:r>
      <w:r w:rsidRPr="00026EC1">
        <w:tab/>
      </w:r>
      <w:r w:rsidR="007055D5" w:rsidRPr="00026EC1">
        <w:rPr>
          <w:rFonts w:cs="Arial"/>
        </w:rPr>
        <w:t>le décès de sa conjointe ou de son conjoint, de son enfant, d</w:t>
      </w:r>
      <w:r w:rsidR="004A41E4" w:rsidRPr="00026EC1">
        <w:rPr>
          <w:rFonts w:cs="Arial"/>
        </w:rPr>
        <w:t>’</w:t>
      </w:r>
      <w:r w:rsidR="007055D5" w:rsidRPr="00026EC1">
        <w:rPr>
          <w:rFonts w:cs="Arial"/>
        </w:rPr>
        <w:t>une ou d</w:t>
      </w:r>
      <w:r w:rsidR="004A41E4" w:rsidRPr="00026EC1">
        <w:rPr>
          <w:rFonts w:cs="Arial"/>
        </w:rPr>
        <w:t>’</w:t>
      </w:r>
      <w:r w:rsidR="007055D5" w:rsidRPr="00026EC1">
        <w:rPr>
          <w:rFonts w:cs="Arial"/>
        </w:rPr>
        <w:t>un enfant de sa conjointe ou de son conjoint</w:t>
      </w:r>
      <w:r w:rsidR="00D8581B">
        <w:rPr>
          <w:rFonts w:cs="Arial"/>
        </w:rPr>
        <w:t> :</w:t>
      </w:r>
      <w:r w:rsidR="007055D5" w:rsidRPr="00026EC1">
        <w:rPr>
          <w:rFonts w:cs="Arial"/>
        </w:rPr>
        <w:t xml:space="preserve"> cinq (5) jours ouvrables;</w:t>
      </w:r>
    </w:p>
    <w:p w14:paraId="56A26A2E" w14:textId="77777777" w:rsidR="007055D5" w:rsidRPr="00026EC1" w:rsidRDefault="007055D5" w:rsidP="00A64613">
      <w:pPr>
        <w:keepNext w:val="0"/>
        <w:rPr>
          <w:rFonts w:cs="Arial"/>
        </w:rPr>
      </w:pPr>
    </w:p>
    <w:p w14:paraId="2FD0595A" w14:textId="0A0A8941" w:rsidR="007055D5" w:rsidRPr="00026EC1" w:rsidRDefault="00275751" w:rsidP="00A64613">
      <w:pPr>
        <w:keepNext w:val="0"/>
        <w:tabs>
          <w:tab w:val="left" w:pos="567"/>
        </w:tabs>
        <w:snapToGrid w:val="0"/>
        <w:ind w:left="567" w:hanging="567"/>
        <w:rPr>
          <w:rFonts w:cs="Arial"/>
        </w:rPr>
      </w:pPr>
      <w:r w:rsidRPr="00026EC1">
        <w:t>b)</w:t>
      </w:r>
      <w:r w:rsidRPr="00026EC1">
        <w:tab/>
      </w:r>
      <w:r w:rsidR="007055D5" w:rsidRPr="00026EC1">
        <w:rPr>
          <w:rFonts w:cs="Arial"/>
        </w:rPr>
        <w:t>le décès de ses mère, père, belle</w:t>
      </w:r>
      <w:r w:rsidR="00984A6F">
        <w:rPr>
          <w:rFonts w:cs="Arial"/>
        </w:rPr>
        <w:noBreakHyphen/>
      </w:r>
      <w:r w:rsidR="007055D5" w:rsidRPr="00026EC1">
        <w:rPr>
          <w:rFonts w:cs="Arial"/>
        </w:rPr>
        <w:t>mère, beau</w:t>
      </w:r>
      <w:r w:rsidR="00984A6F">
        <w:rPr>
          <w:rFonts w:cs="Arial"/>
        </w:rPr>
        <w:noBreakHyphen/>
      </w:r>
      <w:r w:rsidR="007055D5" w:rsidRPr="00026EC1">
        <w:rPr>
          <w:rFonts w:cs="Arial"/>
        </w:rPr>
        <w:t>père, sœur, frère</w:t>
      </w:r>
      <w:r w:rsidR="00D8581B">
        <w:rPr>
          <w:rFonts w:cs="Arial"/>
        </w:rPr>
        <w:t> :</w:t>
      </w:r>
      <w:r w:rsidR="007055D5" w:rsidRPr="00026EC1">
        <w:rPr>
          <w:rFonts w:cs="Arial"/>
        </w:rPr>
        <w:t xml:space="preserve"> trois (3) jours ouvrables;</w:t>
      </w:r>
    </w:p>
    <w:p w14:paraId="6700A816" w14:textId="77777777" w:rsidR="007055D5" w:rsidRPr="00026EC1" w:rsidRDefault="007055D5" w:rsidP="00A64613">
      <w:pPr>
        <w:keepNext w:val="0"/>
        <w:rPr>
          <w:rFonts w:cs="Arial"/>
        </w:rPr>
      </w:pPr>
    </w:p>
    <w:p w14:paraId="1F3D3E65" w14:textId="6F2664D3" w:rsidR="007055D5" w:rsidRPr="00026EC1" w:rsidRDefault="00275751" w:rsidP="00A64613">
      <w:pPr>
        <w:keepNext w:val="0"/>
        <w:tabs>
          <w:tab w:val="left" w:pos="567"/>
        </w:tabs>
        <w:snapToGrid w:val="0"/>
        <w:ind w:left="567" w:hanging="567"/>
        <w:rPr>
          <w:rFonts w:cs="Arial"/>
        </w:rPr>
      </w:pPr>
      <w:r w:rsidRPr="00026EC1">
        <w:t>c)</w:t>
      </w:r>
      <w:r w:rsidRPr="00026EC1">
        <w:tab/>
      </w:r>
      <w:r w:rsidR="007055D5" w:rsidRPr="00026EC1">
        <w:rPr>
          <w:rFonts w:cs="Arial"/>
        </w:rPr>
        <w:t xml:space="preserve">le décès de ses </w:t>
      </w:r>
      <w:r w:rsidR="000B51F8" w:rsidRPr="00026EC1">
        <w:rPr>
          <w:rFonts w:cs="Arial"/>
        </w:rPr>
        <w:t>belle</w:t>
      </w:r>
      <w:r w:rsidR="000B51F8">
        <w:rPr>
          <w:rFonts w:cs="Arial"/>
        </w:rPr>
        <w:t>-</w:t>
      </w:r>
      <w:r w:rsidR="000B51F8" w:rsidRPr="00026EC1">
        <w:rPr>
          <w:rFonts w:cs="Arial"/>
        </w:rPr>
        <w:t>sœur</w:t>
      </w:r>
      <w:r w:rsidR="007055D5" w:rsidRPr="00026EC1">
        <w:rPr>
          <w:rFonts w:cs="Arial"/>
        </w:rPr>
        <w:t>, beau</w:t>
      </w:r>
      <w:r w:rsidR="00984A6F">
        <w:rPr>
          <w:rFonts w:cs="Arial"/>
        </w:rPr>
        <w:noBreakHyphen/>
      </w:r>
      <w:r w:rsidR="007055D5" w:rsidRPr="00026EC1">
        <w:rPr>
          <w:rFonts w:cs="Arial"/>
        </w:rPr>
        <w:t>frère, bru, gendre, grand</w:t>
      </w:r>
      <w:r w:rsidR="00984A6F">
        <w:rPr>
          <w:rFonts w:cs="Arial"/>
        </w:rPr>
        <w:noBreakHyphen/>
      </w:r>
      <w:r w:rsidR="007055D5" w:rsidRPr="00026EC1">
        <w:rPr>
          <w:rFonts w:cs="Arial"/>
        </w:rPr>
        <w:t>mère, grand</w:t>
      </w:r>
      <w:r w:rsidR="00984A6F">
        <w:rPr>
          <w:rFonts w:cs="Arial"/>
        </w:rPr>
        <w:noBreakHyphen/>
      </w:r>
      <w:r w:rsidR="007055D5" w:rsidRPr="00026EC1">
        <w:rPr>
          <w:rFonts w:cs="Arial"/>
        </w:rPr>
        <w:t>père</w:t>
      </w:r>
      <w:r w:rsidR="00D8581B">
        <w:rPr>
          <w:rFonts w:cs="Arial"/>
        </w:rPr>
        <w:t> :</w:t>
      </w:r>
      <w:r w:rsidR="007055D5" w:rsidRPr="00026EC1">
        <w:rPr>
          <w:rFonts w:cs="Arial"/>
        </w:rPr>
        <w:t xml:space="preserve"> le jour des funérailles; si la défunte ou le défunt résidait au domicile de l</w:t>
      </w:r>
      <w:r w:rsidR="004A41E4" w:rsidRPr="00026EC1">
        <w:rPr>
          <w:rFonts w:cs="Arial"/>
        </w:rPr>
        <w:t>’</w:t>
      </w:r>
      <w:r w:rsidR="007055D5" w:rsidRPr="00026EC1">
        <w:rPr>
          <w:rFonts w:cs="Arial"/>
        </w:rPr>
        <w:t>enseignante ou de l</w:t>
      </w:r>
      <w:r w:rsidR="004A41E4" w:rsidRPr="00026EC1">
        <w:rPr>
          <w:rFonts w:cs="Arial"/>
        </w:rPr>
        <w:t>’</w:t>
      </w:r>
      <w:r w:rsidR="007055D5" w:rsidRPr="00026EC1">
        <w:rPr>
          <w:rFonts w:cs="Arial"/>
        </w:rPr>
        <w:t>enseignant</w:t>
      </w:r>
      <w:r w:rsidR="00D8581B">
        <w:rPr>
          <w:rFonts w:cs="Arial"/>
        </w:rPr>
        <w:t> :</w:t>
      </w:r>
      <w:r w:rsidR="007055D5" w:rsidRPr="00026EC1">
        <w:rPr>
          <w:rFonts w:cs="Arial"/>
        </w:rPr>
        <w:t xml:space="preserve"> trois (3) jours ouvrables;</w:t>
      </w:r>
    </w:p>
    <w:p w14:paraId="66C0820D" w14:textId="2C233CF3" w:rsidR="00A247AC" w:rsidRPr="00316277" w:rsidRDefault="00A247AC" w:rsidP="00A247AC">
      <w:pPr>
        <w:pStyle w:val="N-FNEEQ"/>
        <w:ind w:left="0"/>
        <w:rPr>
          <w:rFonts w:ascii="Arial" w:eastAsia="Times New Roman" w:hAnsi="Arial" w:cs="Arial"/>
          <w:snapToGrid w:val="0"/>
          <w:color w:val="auto"/>
          <w:sz w:val="24"/>
          <w:lang w:eastAsia="fr-FR"/>
        </w:rPr>
      </w:pPr>
      <w:r w:rsidRPr="00316277">
        <w:rPr>
          <w:rFonts w:ascii="Arial" w:eastAsia="Times New Roman" w:hAnsi="Arial" w:cs="Arial"/>
          <w:snapToGrid w:val="0"/>
          <w:color w:val="auto"/>
          <w:sz w:val="24"/>
          <w:lang w:eastAsia="fr-FR"/>
        </w:rPr>
        <w:t>Dans le cadre de la Loi concernant les soins de fin de vie (RLRQ, chapitre S</w:t>
      </w:r>
      <w:r w:rsidRPr="00316277">
        <w:rPr>
          <w:rFonts w:ascii="Arial" w:eastAsia="Times New Roman" w:hAnsi="Arial" w:cs="Arial"/>
          <w:snapToGrid w:val="0"/>
          <w:color w:val="auto"/>
          <w:sz w:val="24"/>
          <w:lang w:eastAsia="fr-FR"/>
        </w:rPr>
        <w:noBreakHyphen/>
        <w:t>32.001), le ou les jour(s) de congé prévu(s) aux alinéas a), b) et c) de la clause 5-9.01 peuvent débuter la veille de la journée prévue du décès, après en avoir informé le Collège.</w:t>
      </w:r>
    </w:p>
    <w:p w14:paraId="156833F4" w14:textId="01A7755B" w:rsidR="007055D5" w:rsidRPr="00026EC1" w:rsidRDefault="00275751" w:rsidP="00A64613">
      <w:pPr>
        <w:keepNext w:val="0"/>
        <w:tabs>
          <w:tab w:val="left" w:pos="567"/>
        </w:tabs>
        <w:snapToGrid w:val="0"/>
        <w:ind w:left="567" w:hanging="567"/>
        <w:rPr>
          <w:rFonts w:cs="Arial"/>
        </w:rPr>
      </w:pPr>
      <w:r w:rsidRPr="00026EC1">
        <w:t>d)</w:t>
      </w:r>
      <w:r w:rsidRPr="00026EC1">
        <w:tab/>
      </w:r>
      <w:r w:rsidR="007055D5" w:rsidRPr="00026EC1">
        <w:rPr>
          <w:rFonts w:cs="Arial"/>
        </w:rPr>
        <w:t xml:space="preserve">le mariage de ses mère, père, fille, fils, </w:t>
      </w:r>
      <w:r w:rsidR="000B51F8" w:rsidRPr="00026EC1">
        <w:rPr>
          <w:rFonts w:cs="Arial"/>
        </w:rPr>
        <w:t>sœur</w:t>
      </w:r>
      <w:r w:rsidR="007055D5" w:rsidRPr="00026EC1">
        <w:rPr>
          <w:rFonts w:cs="Arial"/>
        </w:rPr>
        <w:t xml:space="preserve">, frère, </w:t>
      </w:r>
      <w:r w:rsidR="000B51F8" w:rsidRPr="00026EC1">
        <w:rPr>
          <w:rFonts w:cs="Arial"/>
        </w:rPr>
        <w:t>demi</w:t>
      </w:r>
      <w:r w:rsidR="000B51F8">
        <w:rPr>
          <w:rFonts w:cs="Arial"/>
        </w:rPr>
        <w:t>-</w:t>
      </w:r>
      <w:r w:rsidR="000B51F8" w:rsidRPr="00026EC1">
        <w:rPr>
          <w:rFonts w:cs="Arial"/>
        </w:rPr>
        <w:t>sœur</w:t>
      </w:r>
      <w:r w:rsidR="007055D5" w:rsidRPr="00026EC1">
        <w:rPr>
          <w:rFonts w:cs="Arial"/>
        </w:rPr>
        <w:t>, demi</w:t>
      </w:r>
      <w:r w:rsidR="00984A6F">
        <w:rPr>
          <w:rFonts w:cs="Arial"/>
        </w:rPr>
        <w:noBreakHyphen/>
      </w:r>
      <w:r w:rsidR="007055D5" w:rsidRPr="00026EC1">
        <w:rPr>
          <w:rFonts w:cs="Arial"/>
        </w:rPr>
        <w:t>frère</w:t>
      </w:r>
      <w:r w:rsidR="00D8581B">
        <w:rPr>
          <w:rFonts w:cs="Arial"/>
        </w:rPr>
        <w:t> :</w:t>
      </w:r>
      <w:r w:rsidR="007055D5" w:rsidRPr="00026EC1">
        <w:rPr>
          <w:rFonts w:cs="Arial"/>
        </w:rPr>
        <w:t xml:space="preserve"> le jour du mariage;</w:t>
      </w:r>
    </w:p>
    <w:p w14:paraId="599DC592" w14:textId="77777777" w:rsidR="007055D5" w:rsidRPr="00026EC1" w:rsidRDefault="007055D5" w:rsidP="00A64613">
      <w:pPr>
        <w:keepNext w:val="0"/>
        <w:rPr>
          <w:rFonts w:cs="Arial"/>
        </w:rPr>
      </w:pPr>
    </w:p>
    <w:p w14:paraId="14B15925" w14:textId="53EA3D8B" w:rsidR="007055D5" w:rsidRPr="00026EC1" w:rsidRDefault="00275751" w:rsidP="00A64613">
      <w:pPr>
        <w:keepNext w:val="0"/>
        <w:tabs>
          <w:tab w:val="left" w:pos="567"/>
        </w:tabs>
        <w:snapToGrid w:val="0"/>
        <w:ind w:left="567" w:hanging="567"/>
        <w:rPr>
          <w:rFonts w:cs="Arial"/>
        </w:rPr>
      </w:pPr>
      <w:r w:rsidRPr="00026EC1">
        <w:t>e)</w:t>
      </w:r>
      <w:r w:rsidRPr="00026EC1">
        <w:tab/>
      </w:r>
      <w:r w:rsidR="007055D5" w:rsidRPr="00026EC1">
        <w:rPr>
          <w:rFonts w:cs="Arial"/>
        </w:rPr>
        <w:t>le mariage de l</w:t>
      </w:r>
      <w:r w:rsidR="004A41E4" w:rsidRPr="00026EC1">
        <w:rPr>
          <w:rFonts w:cs="Arial"/>
        </w:rPr>
        <w:t>’</w:t>
      </w:r>
      <w:r w:rsidR="007055D5" w:rsidRPr="00026EC1">
        <w:rPr>
          <w:rFonts w:cs="Arial"/>
        </w:rPr>
        <w:t>enseignante ou de l</w:t>
      </w:r>
      <w:r w:rsidR="004A41E4" w:rsidRPr="00026EC1">
        <w:rPr>
          <w:rFonts w:cs="Arial"/>
        </w:rPr>
        <w:t>’</w:t>
      </w:r>
      <w:r w:rsidR="007055D5" w:rsidRPr="00026EC1">
        <w:rPr>
          <w:rFonts w:cs="Arial"/>
        </w:rPr>
        <w:t>enseignant</w:t>
      </w:r>
      <w:r w:rsidR="00D8581B">
        <w:rPr>
          <w:rFonts w:cs="Arial"/>
        </w:rPr>
        <w:t> :</w:t>
      </w:r>
      <w:r w:rsidR="007055D5" w:rsidRPr="00026EC1">
        <w:rPr>
          <w:rFonts w:cs="Arial"/>
        </w:rPr>
        <w:t xml:space="preserve"> cinq (5) jours ouvrables consécutifs y compris le jour du mariage;</w:t>
      </w:r>
    </w:p>
    <w:p w14:paraId="72B59184" w14:textId="77777777" w:rsidR="007055D5" w:rsidRPr="00026EC1" w:rsidRDefault="007055D5" w:rsidP="00A64613">
      <w:pPr>
        <w:keepNext w:val="0"/>
        <w:rPr>
          <w:rFonts w:cs="Arial"/>
        </w:rPr>
      </w:pPr>
    </w:p>
    <w:p w14:paraId="3A9C742F" w14:textId="77777777" w:rsidR="007055D5" w:rsidRPr="00026EC1" w:rsidRDefault="00275751" w:rsidP="00A64613">
      <w:pPr>
        <w:keepNext w:val="0"/>
        <w:tabs>
          <w:tab w:val="left" w:pos="567"/>
        </w:tabs>
        <w:snapToGrid w:val="0"/>
        <w:ind w:left="567" w:hanging="567"/>
        <w:rPr>
          <w:rFonts w:cs="Arial"/>
        </w:rPr>
      </w:pPr>
      <w:r w:rsidRPr="00026EC1">
        <w:t>f)</w:t>
      </w:r>
      <w:r w:rsidRPr="00026EC1">
        <w:tab/>
      </w:r>
      <w:r w:rsidR="007055D5" w:rsidRPr="00026EC1">
        <w:rPr>
          <w:rFonts w:cs="Arial"/>
        </w:rPr>
        <w:t>le jour du déménagement et une (1) seule fois par année;</w:t>
      </w:r>
    </w:p>
    <w:p w14:paraId="1F21F309" w14:textId="77777777" w:rsidR="007055D5" w:rsidRPr="00026EC1" w:rsidRDefault="007055D5" w:rsidP="00A64613">
      <w:pPr>
        <w:keepNext w:val="0"/>
        <w:rPr>
          <w:rFonts w:cs="Arial"/>
        </w:rPr>
      </w:pPr>
    </w:p>
    <w:p w14:paraId="74757071" w14:textId="4E78493F" w:rsidR="007055D5" w:rsidRPr="00026EC1" w:rsidRDefault="00275751" w:rsidP="00A64613">
      <w:pPr>
        <w:keepNext w:val="0"/>
        <w:tabs>
          <w:tab w:val="left" w:pos="567"/>
        </w:tabs>
        <w:snapToGrid w:val="0"/>
        <w:ind w:left="567" w:hanging="567"/>
        <w:rPr>
          <w:rFonts w:cs="Arial"/>
        </w:rPr>
      </w:pPr>
      <w:r w:rsidRPr="00026EC1">
        <w:t>g)</w:t>
      </w:r>
      <w:r w:rsidRPr="00026EC1">
        <w:tab/>
      </w:r>
      <w:r w:rsidR="007055D5" w:rsidRPr="00026EC1">
        <w:rPr>
          <w:rFonts w:cs="Arial"/>
        </w:rPr>
        <w:t>tout autre événement de force majeure (désastre, feu, inondation...) qui oblige l</w:t>
      </w:r>
      <w:r w:rsidR="004A41E4" w:rsidRPr="00026EC1">
        <w:rPr>
          <w:rFonts w:cs="Arial"/>
        </w:rPr>
        <w:t>’</w:t>
      </w:r>
      <w:r w:rsidR="007055D5" w:rsidRPr="00026EC1">
        <w:rPr>
          <w:rFonts w:cs="Arial"/>
        </w:rPr>
        <w:t>enseignante ou l</w:t>
      </w:r>
      <w:r w:rsidR="004A41E4" w:rsidRPr="00026EC1">
        <w:rPr>
          <w:rFonts w:cs="Arial"/>
        </w:rPr>
        <w:t>’</w:t>
      </w:r>
      <w:r w:rsidR="007055D5" w:rsidRPr="00026EC1">
        <w:rPr>
          <w:rFonts w:cs="Arial"/>
        </w:rPr>
        <w:t>enseignant à s</w:t>
      </w:r>
      <w:r w:rsidR="004A41E4" w:rsidRPr="00026EC1">
        <w:rPr>
          <w:rFonts w:cs="Arial"/>
        </w:rPr>
        <w:t>’</w:t>
      </w:r>
      <w:r w:rsidR="007055D5" w:rsidRPr="00026EC1">
        <w:rPr>
          <w:rFonts w:cs="Arial"/>
        </w:rPr>
        <w:t>absenter de son travail</w:t>
      </w:r>
      <w:r w:rsidR="00D8581B">
        <w:rPr>
          <w:rFonts w:cs="Arial"/>
        </w:rPr>
        <w:t> :</w:t>
      </w:r>
      <w:r w:rsidR="007055D5" w:rsidRPr="00026EC1">
        <w:rPr>
          <w:rFonts w:cs="Arial"/>
        </w:rPr>
        <w:t xml:space="preserve"> le nombre de jours fixé par le Collège après entente avec l</w:t>
      </w:r>
      <w:r w:rsidR="004A41E4" w:rsidRPr="00026EC1">
        <w:rPr>
          <w:rFonts w:cs="Arial"/>
        </w:rPr>
        <w:t>’</w:t>
      </w:r>
      <w:r w:rsidR="007055D5" w:rsidRPr="00026EC1">
        <w:rPr>
          <w:rFonts w:cs="Arial"/>
        </w:rPr>
        <w:t>enseignante ou l</w:t>
      </w:r>
      <w:r w:rsidR="004A41E4" w:rsidRPr="00026EC1">
        <w:rPr>
          <w:rFonts w:cs="Arial"/>
        </w:rPr>
        <w:t>’</w:t>
      </w:r>
      <w:r w:rsidR="007055D5" w:rsidRPr="00026EC1">
        <w:rPr>
          <w:rFonts w:cs="Arial"/>
        </w:rPr>
        <w:t>enseignant;</w:t>
      </w:r>
    </w:p>
    <w:p w14:paraId="58678687" w14:textId="77777777" w:rsidR="007055D5" w:rsidRPr="00026EC1" w:rsidRDefault="007055D5" w:rsidP="00A64613">
      <w:pPr>
        <w:keepNext w:val="0"/>
        <w:rPr>
          <w:rFonts w:cs="Arial"/>
        </w:rPr>
      </w:pPr>
    </w:p>
    <w:p w14:paraId="16A0BD0A" w14:textId="21D34CE9" w:rsidR="007055D5" w:rsidRPr="00026EC1" w:rsidRDefault="00275751" w:rsidP="00A64613">
      <w:pPr>
        <w:keepNext w:val="0"/>
        <w:tabs>
          <w:tab w:val="left" w:pos="567"/>
        </w:tabs>
        <w:snapToGrid w:val="0"/>
        <w:ind w:left="567" w:hanging="567"/>
        <w:rPr>
          <w:rFonts w:cs="Arial"/>
        </w:rPr>
      </w:pPr>
      <w:r w:rsidRPr="00026EC1">
        <w:t>h)</w:t>
      </w:r>
      <w:r w:rsidRPr="00026EC1">
        <w:tab/>
      </w:r>
      <w:r w:rsidR="007055D5" w:rsidRPr="00026EC1">
        <w:rPr>
          <w:rFonts w:cs="Arial"/>
        </w:rPr>
        <w:t>une quarantaine décrétée par l</w:t>
      </w:r>
      <w:r w:rsidR="004A41E4" w:rsidRPr="00026EC1">
        <w:rPr>
          <w:rFonts w:cs="Arial"/>
        </w:rPr>
        <w:t>’</w:t>
      </w:r>
      <w:r w:rsidR="007055D5" w:rsidRPr="00026EC1">
        <w:rPr>
          <w:rFonts w:cs="Arial"/>
        </w:rPr>
        <w:t>autorité médicale compétente</w:t>
      </w:r>
      <w:r w:rsidR="00D8581B">
        <w:rPr>
          <w:rFonts w:cs="Arial"/>
        </w:rPr>
        <w:t> :</w:t>
      </w:r>
      <w:r w:rsidR="007055D5" w:rsidRPr="00026EC1">
        <w:rPr>
          <w:rFonts w:cs="Arial"/>
        </w:rPr>
        <w:t xml:space="preserve"> le nombre de jours fixé par cette autorité médicale.</w:t>
      </w:r>
    </w:p>
    <w:p w14:paraId="2F80F3DD" w14:textId="77777777" w:rsidR="007055D5" w:rsidRPr="00026EC1" w:rsidRDefault="007055D5" w:rsidP="00A64613">
      <w:pPr>
        <w:keepNext w:val="0"/>
        <w:rPr>
          <w:rFonts w:cs="Arial"/>
        </w:rPr>
      </w:pPr>
    </w:p>
    <w:p w14:paraId="011826DA" w14:textId="406EE941" w:rsidR="007055D5" w:rsidRPr="00026EC1" w:rsidRDefault="007055D5" w:rsidP="00A64613">
      <w:pPr>
        <w:pStyle w:val="NUMRODECLAUSE"/>
        <w:keepNext w:val="0"/>
      </w:pPr>
      <w:r w:rsidRPr="00026EC1">
        <w:t>5</w:t>
      </w:r>
      <w:r w:rsidR="00984A6F">
        <w:noBreakHyphen/>
      </w:r>
      <w:r w:rsidRPr="00026EC1">
        <w:t>9.02</w:t>
      </w:r>
    </w:p>
    <w:p w14:paraId="16972A34" w14:textId="28B2C187" w:rsidR="007055D5" w:rsidRPr="00026EC1" w:rsidRDefault="007055D5" w:rsidP="00A64613">
      <w:pPr>
        <w:keepNext w:val="0"/>
        <w:rPr>
          <w:rFonts w:cs="Arial"/>
        </w:rPr>
      </w:pPr>
      <w:r w:rsidRPr="00026EC1">
        <w:rPr>
          <w:rFonts w:cs="Arial"/>
        </w:rPr>
        <w:t>Dans les cas visés aux alinéas b), c) et d) de la clause 5</w:t>
      </w:r>
      <w:r w:rsidR="00984A6F">
        <w:rPr>
          <w:rFonts w:cs="Arial"/>
        </w:rPr>
        <w:noBreakHyphen/>
      </w:r>
      <w:r w:rsidRPr="00026EC1">
        <w:rPr>
          <w:rFonts w:cs="Arial"/>
        </w:rPr>
        <w:t>9.01, si l</w:t>
      </w:r>
      <w:r w:rsidR="004A41E4" w:rsidRPr="00026EC1">
        <w:rPr>
          <w:rFonts w:cs="Arial"/>
        </w:rPr>
        <w:t>’</w:t>
      </w:r>
      <w:r w:rsidRPr="00026EC1">
        <w:rPr>
          <w:rFonts w:cs="Arial"/>
        </w:rPr>
        <w:t>événement a lieu à plus de deux cent quarante (240) kilomètres de la résidence de l</w:t>
      </w:r>
      <w:r w:rsidR="004A41E4" w:rsidRPr="00026EC1">
        <w:rPr>
          <w:rFonts w:cs="Arial"/>
        </w:rPr>
        <w:t>’</w:t>
      </w:r>
      <w:r w:rsidRPr="00026EC1">
        <w:rPr>
          <w:rFonts w:cs="Arial"/>
        </w:rPr>
        <w:t>enseignante ou de l</w:t>
      </w:r>
      <w:r w:rsidR="004A41E4" w:rsidRPr="00026EC1">
        <w:rPr>
          <w:rFonts w:cs="Arial"/>
        </w:rPr>
        <w:t>’</w:t>
      </w:r>
      <w:r w:rsidRPr="00026EC1">
        <w:rPr>
          <w:rFonts w:cs="Arial"/>
        </w:rPr>
        <w:t>enseignant, celle</w:t>
      </w:r>
      <w:r w:rsidR="00984A6F">
        <w:rPr>
          <w:rFonts w:cs="Arial"/>
        </w:rPr>
        <w:noBreakHyphen/>
      </w:r>
      <w:r w:rsidRPr="00026EC1">
        <w:rPr>
          <w:rFonts w:cs="Arial"/>
        </w:rPr>
        <w:t>ci ou celui</w:t>
      </w:r>
      <w:r w:rsidR="00984A6F">
        <w:rPr>
          <w:rFonts w:cs="Arial"/>
        </w:rPr>
        <w:noBreakHyphen/>
      </w:r>
      <w:r w:rsidRPr="00026EC1">
        <w:rPr>
          <w:rFonts w:cs="Arial"/>
        </w:rPr>
        <w:t>ci a droit à un (1) jour ouvrable additionnel.</w:t>
      </w:r>
    </w:p>
    <w:p w14:paraId="403AB86D" w14:textId="77777777" w:rsidR="007055D5" w:rsidRPr="00026EC1" w:rsidRDefault="007055D5" w:rsidP="00A64613">
      <w:pPr>
        <w:keepNext w:val="0"/>
        <w:rPr>
          <w:rFonts w:cs="Arial"/>
        </w:rPr>
      </w:pPr>
    </w:p>
    <w:p w14:paraId="27C20108" w14:textId="493B5135" w:rsidR="007055D5" w:rsidRPr="00026EC1" w:rsidRDefault="007055D5" w:rsidP="00A64613">
      <w:pPr>
        <w:pStyle w:val="NUMRODECLAUSE"/>
        <w:keepNext w:val="0"/>
      </w:pPr>
      <w:r w:rsidRPr="00026EC1">
        <w:t>5</w:t>
      </w:r>
      <w:r w:rsidR="00984A6F">
        <w:noBreakHyphen/>
      </w:r>
      <w:r w:rsidRPr="00026EC1">
        <w:t>9.03</w:t>
      </w:r>
    </w:p>
    <w:p w14:paraId="58AE6061" w14:textId="0A9AE4B3" w:rsidR="00A247AC" w:rsidRDefault="007055D5" w:rsidP="00A64613">
      <w:pPr>
        <w:keepNext w:val="0"/>
        <w:rPr>
          <w:rFonts w:cs="Arial"/>
        </w:rPr>
      </w:pPr>
      <w:r w:rsidRPr="00026EC1">
        <w:rPr>
          <w:rFonts w:cs="Arial"/>
        </w:rPr>
        <w:t>L</w:t>
      </w:r>
      <w:r w:rsidR="004A41E4" w:rsidRPr="00026EC1">
        <w:rPr>
          <w:rFonts w:cs="Arial"/>
        </w:rPr>
        <w:t>’</w:t>
      </w:r>
      <w:r w:rsidRPr="00026EC1">
        <w:rPr>
          <w:rFonts w:cs="Arial"/>
        </w:rPr>
        <w:t>enseignante ou l</w:t>
      </w:r>
      <w:r w:rsidR="004A41E4" w:rsidRPr="00026EC1">
        <w:rPr>
          <w:rFonts w:cs="Arial"/>
        </w:rPr>
        <w:t>’</w:t>
      </w:r>
      <w:r w:rsidRPr="00026EC1">
        <w:rPr>
          <w:rFonts w:cs="Arial"/>
        </w:rPr>
        <w:t>enseignant qui en fait la demande par écrit ou qui, en cas d</w:t>
      </w:r>
      <w:r w:rsidR="004A41E4" w:rsidRPr="00026EC1">
        <w:rPr>
          <w:rFonts w:cs="Arial"/>
        </w:rPr>
        <w:t>’</w:t>
      </w:r>
      <w:r w:rsidRPr="00026EC1">
        <w:rPr>
          <w:rFonts w:cs="Arial"/>
        </w:rPr>
        <w:t>urgence, après en avoir avisé le Collège, produit la justification écrite, obtient, pour des raisons sérieuses, une autorisation d</w:t>
      </w:r>
      <w:r w:rsidR="004A41E4" w:rsidRPr="00026EC1">
        <w:rPr>
          <w:rFonts w:cs="Arial"/>
        </w:rPr>
        <w:t>’</w:t>
      </w:r>
      <w:r w:rsidRPr="00026EC1">
        <w:rPr>
          <w:rFonts w:cs="Arial"/>
        </w:rPr>
        <w:t>absence sans perte de salaire ni de droits.</w:t>
      </w:r>
    </w:p>
    <w:p w14:paraId="73446E22" w14:textId="77777777" w:rsidR="00A247AC" w:rsidRDefault="00A247AC">
      <w:pPr>
        <w:keepNext w:val="0"/>
        <w:suppressAutoHyphens w:val="0"/>
        <w:jc w:val="left"/>
        <w:rPr>
          <w:rFonts w:cs="Arial"/>
        </w:rPr>
      </w:pPr>
      <w:r>
        <w:rPr>
          <w:rFonts w:cs="Arial"/>
        </w:rPr>
        <w:br w:type="page"/>
      </w:r>
    </w:p>
    <w:p w14:paraId="02F6E283" w14:textId="40E644FA" w:rsidR="007055D5" w:rsidRPr="00026EC1" w:rsidRDefault="007055D5" w:rsidP="00A64613">
      <w:pPr>
        <w:pStyle w:val="NUMRODECLAUSE"/>
        <w:keepNext w:val="0"/>
      </w:pPr>
      <w:r w:rsidRPr="00026EC1">
        <w:t>5</w:t>
      </w:r>
      <w:r w:rsidR="00984A6F">
        <w:noBreakHyphen/>
      </w:r>
      <w:r w:rsidRPr="00026EC1">
        <w:t>9.04</w:t>
      </w:r>
    </w:p>
    <w:p w14:paraId="545C5AFC" w14:textId="77777777" w:rsidR="007055D5" w:rsidRPr="00026EC1" w:rsidRDefault="007055D5" w:rsidP="00A64613">
      <w:pPr>
        <w:keepNext w:val="0"/>
        <w:rPr>
          <w:rFonts w:cs="Arial"/>
        </w:rPr>
      </w:pPr>
      <w:r w:rsidRPr="00026EC1">
        <w:rPr>
          <w:rFonts w:cs="Arial"/>
        </w:rPr>
        <w:t>L</w:t>
      </w:r>
      <w:r w:rsidR="004A41E4" w:rsidRPr="00026EC1">
        <w:rPr>
          <w:rFonts w:cs="Arial"/>
        </w:rPr>
        <w:t>’</w:t>
      </w:r>
      <w:r w:rsidRPr="00026EC1">
        <w:rPr>
          <w:rFonts w:cs="Arial"/>
        </w:rPr>
        <w:t>enseignante ou l</w:t>
      </w:r>
      <w:r w:rsidR="004A41E4" w:rsidRPr="00026EC1">
        <w:rPr>
          <w:rFonts w:cs="Arial"/>
        </w:rPr>
        <w:t>’</w:t>
      </w:r>
      <w:r w:rsidRPr="00026EC1">
        <w:rPr>
          <w:rFonts w:cs="Arial"/>
        </w:rPr>
        <w:t>enseignant qui est appelé à agir à titre de jurée ou de juré ou à comparaître en qualité de témoin dans une cause où elle ou il n</w:t>
      </w:r>
      <w:r w:rsidR="004A41E4" w:rsidRPr="00026EC1">
        <w:rPr>
          <w:rFonts w:cs="Arial"/>
        </w:rPr>
        <w:t>’</w:t>
      </w:r>
      <w:r w:rsidRPr="00026EC1">
        <w:rPr>
          <w:rFonts w:cs="Arial"/>
        </w:rPr>
        <w:t>est pas l</w:t>
      </w:r>
      <w:r w:rsidR="004A41E4" w:rsidRPr="00026EC1">
        <w:rPr>
          <w:rFonts w:cs="Arial"/>
        </w:rPr>
        <w:t>’</w:t>
      </w:r>
      <w:r w:rsidRPr="00026EC1">
        <w:rPr>
          <w:rFonts w:cs="Arial"/>
        </w:rPr>
        <w:t>une des parties ne subit de ce fait aucune</w:t>
      </w:r>
      <w:r w:rsidR="00BA79F8" w:rsidRPr="00026EC1">
        <w:rPr>
          <w:rFonts w:cs="Arial"/>
        </w:rPr>
        <w:t xml:space="preserve"> perte de salaire ni de droits.</w:t>
      </w:r>
    </w:p>
    <w:p w14:paraId="53DDD06D" w14:textId="77777777" w:rsidR="00013D7F" w:rsidRDefault="00013D7F" w:rsidP="00A64613">
      <w:pPr>
        <w:pStyle w:val="NUMRODECLAUSE"/>
        <w:keepNext w:val="0"/>
      </w:pPr>
    </w:p>
    <w:p w14:paraId="761B5382" w14:textId="2615D004" w:rsidR="007055D5" w:rsidRPr="00026EC1" w:rsidRDefault="007055D5" w:rsidP="00A64613">
      <w:pPr>
        <w:pStyle w:val="NUMRODECLAUSE"/>
        <w:keepNext w:val="0"/>
      </w:pPr>
      <w:r w:rsidRPr="00026EC1">
        <w:t>5</w:t>
      </w:r>
      <w:r w:rsidR="00984A6F">
        <w:noBreakHyphen/>
      </w:r>
      <w:r w:rsidRPr="00026EC1">
        <w:t>9.05</w:t>
      </w:r>
    </w:p>
    <w:p w14:paraId="115F8A88" w14:textId="77777777" w:rsidR="007055D5" w:rsidRPr="00026EC1" w:rsidRDefault="007055D5" w:rsidP="00A64613">
      <w:pPr>
        <w:keepNext w:val="0"/>
        <w:rPr>
          <w:rFonts w:cs="Arial"/>
        </w:rPr>
      </w:pPr>
      <w:r w:rsidRPr="00026EC1">
        <w:rPr>
          <w:rFonts w:cs="Arial"/>
        </w:rPr>
        <w:t>La réserve de congés « sociaux » que l</w:t>
      </w:r>
      <w:r w:rsidR="004A41E4" w:rsidRPr="00026EC1">
        <w:rPr>
          <w:rFonts w:cs="Arial"/>
        </w:rPr>
        <w:t>’</w:t>
      </w:r>
      <w:r w:rsidRPr="00026EC1">
        <w:rPr>
          <w:rFonts w:cs="Arial"/>
        </w:rPr>
        <w:t>enseignante ou l</w:t>
      </w:r>
      <w:r w:rsidR="004A41E4" w:rsidRPr="00026EC1">
        <w:rPr>
          <w:rFonts w:cs="Arial"/>
        </w:rPr>
        <w:t>’</w:t>
      </w:r>
      <w:r w:rsidRPr="00026EC1">
        <w:rPr>
          <w:rFonts w:cs="Arial"/>
        </w:rPr>
        <w:t>enseignant à l</w:t>
      </w:r>
      <w:r w:rsidR="004A41E4" w:rsidRPr="00026EC1">
        <w:rPr>
          <w:rFonts w:cs="Arial"/>
        </w:rPr>
        <w:t>’</w:t>
      </w:r>
      <w:r w:rsidRPr="00026EC1">
        <w:rPr>
          <w:rFonts w:cs="Arial"/>
        </w:rPr>
        <w:t>emploi du Gouvernement lors de son transfert avait accumulée avant le 31 décembre 1965 est transférée au Collège. Cette réserve peut être utilisée pour prolonger, sans perte de salaire, les congés spéciaux prévus au présent article d</w:t>
      </w:r>
      <w:r w:rsidR="004A41E4" w:rsidRPr="00026EC1">
        <w:rPr>
          <w:rFonts w:cs="Arial"/>
        </w:rPr>
        <w:t>’</w:t>
      </w:r>
      <w:r w:rsidRPr="00026EC1">
        <w:rPr>
          <w:rFonts w:cs="Arial"/>
        </w:rPr>
        <w:t>un nombre de jours égal à celui permis par la convention collective. Seuls les jours additionnels sont déduits de la réserve.</w:t>
      </w:r>
    </w:p>
    <w:p w14:paraId="195230E4" w14:textId="77777777" w:rsidR="007055D5" w:rsidRPr="00026EC1" w:rsidRDefault="007055D5" w:rsidP="00A64613">
      <w:pPr>
        <w:keepNext w:val="0"/>
        <w:rPr>
          <w:rFonts w:cs="Arial"/>
        </w:rPr>
      </w:pPr>
    </w:p>
    <w:p w14:paraId="012A5820" w14:textId="77777777" w:rsidR="007055D5" w:rsidRPr="00026EC1" w:rsidRDefault="007055D5" w:rsidP="00A64613">
      <w:pPr>
        <w:keepNext w:val="0"/>
        <w:rPr>
          <w:rFonts w:cs="Arial"/>
        </w:rPr>
      </w:pPr>
      <w:r w:rsidRPr="00026EC1">
        <w:rPr>
          <w:rFonts w:cs="Arial"/>
        </w:rPr>
        <w:t>Le Collège communique annuellement à l</w:t>
      </w:r>
      <w:r w:rsidR="004A41E4" w:rsidRPr="00026EC1">
        <w:rPr>
          <w:rFonts w:cs="Arial"/>
        </w:rPr>
        <w:t>’</w:t>
      </w:r>
      <w:r w:rsidRPr="00026EC1">
        <w:rPr>
          <w:rFonts w:cs="Arial"/>
        </w:rPr>
        <w:t>enseignante ou à l</w:t>
      </w:r>
      <w:r w:rsidR="004A41E4" w:rsidRPr="00026EC1">
        <w:rPr>
          <w:rFonts w:cs="Arial"/>
        </w:rPr>
        <w:t>’</w:t>
      </w:r>
      <w:r w:rsidRPr="00026EC1">
        <w:rPr>
          <w:rFonts w:cs="Arial"/>
        </w:rPr>
        <w:t>enseignant le solde de la réserve.</w:t>
      </w:r>
    </w:p>
    <w:p w14:paraId="50836711" w14:textId="77777777" w:rsidR="007055D5" w:rsidRPr="00026EC1" w:rsidRDefault="007055D5" w:rsidP="00A64613">
      <w:pPr>
        <w:keepNext w:val="0"/>
        <w:rPr>
          <w:rFonts w:cs="Arial"/>
        </w:rPr>
      </w:pPr>
    </w:p>
    <w:p w14:paraId="5C15CDCB" w14:textId="460FF1E3" w:rsidR="007055D5" w:rsidRPr="00680672" w:rsidRDefault="007055D5" w:rsidP="00A64613">
      <w:pPr>
        <w:pStyle w:val="NUMRODECLAUSE"/>
        <w:keepNext w:val="0"/>
        <w:rPr>
          <w:u w:val="single"/>
        </w:rPr>
      </w:pPr>
      <w:r w:rsidRPr="00026EC1">
        <w:t>5</w:t>
      </w:r>
      <w:r w:rsidR="00984A6F">
        <w:noBreakHyphen/>
      </w:r>
      <w:r w:rsidRPr="00026EC1">
        <w:t>9.06</w:t>
      </w:r>
    </w:p>
    <w:p w14:paraId="3D43C9F3" w14:textId="77777777" w:rsidR="008778AE" w:rsidRPr="00680672" w:rsidRDefault="008778AE" w:rsidP="00A64613">
      <w:pPr>
        <w:keepNext w:val="0"/>
        <w:ind w:left="567" w:hanging="567"/>
        <w:rPr>
          <w:rFonts w:cs="Arial"/>
          <w:szCs w:val="24"/>
          <w:u w:val="single"/>
        </w:rPr>
      </w:pPr>
    </w:p>
    <w:p w14:paraId="2A50590A" w14:textId="45EEFEE3" w:rsidR="00CA7054" w:rsidRPr="00900046" w:rsidRDefault="00CA7054" w:rsidP="00A64613">
      <w:pPr>
        <w:keepNext w:val="0"/>
        <w:rPr>
          <w:rFonts w:cs="Arial"/>
        </w:rPr>
      </w:pPr>
      <w:r w:rsidRPr="00900046">
        <w:rPr>
          <w:rFonts w:cs="Arial"/>
        </w:rPr>
        <w:t>Aux fins d’application des clauses 5</w:t>
      </w:r>
      <w:r w:rsidR="00984A6F">
        <w:rPr>
          <w:rFonts w:cs="Arial"/>
        </w:rPr>
        <w:noBreakHyphen/>
      </w:r>
      <w:r w:rsidRPr="00900046">
        <w:rPr>
          <w:rFonts w:cs="Arial"/>
        </w:rPr>
        <w:t>9.06 et 8</w:t>
      </w:r>
      <w:r w:rsidR="00984A6F">
        <w:rPr>
          <w:rFonts w:cs="Arial"/>
        </w:rPr>
        <w:noBreakHyphen/>
      </w:r>
      <w:r w:rsidRPr="00900046">
        <w:rPr>
          <w:rFonts w:cs="Arial"/>
        </w:rPr>
        <w:t>3.03</w:t>
      </w:r>
      <w:r w:rsidR="00D8581B" w:rsidRPr="00900046">
        <w:rPr>
          <w:rFonts w:cs="Arial"/>
        </w:rPr>
        <w:t> :</w:t>
      </w:r>
      <w:r w:rsidRPr="00900046">
        <w:rPr>
          <w:rFonts w:cs="Arial"/>
        </w:rPr>
        <w:t xml:space="preserve"> </w:t>
      </w:r>
    </w:p>
    <w:p w14:paraId="7C0C8D7C" w14:textId="77777777" w:rsidR="00CA7054" w:rsidRPr="00900046" w:rsidRDefault="00CA7054" w:rsidP="00A64613">
      <w:pPr>
        <w:keepNext w:val="0"/>
        <w:rPr>
          <w:rFonts w:cs="Arial"/>
        </w:rPr>
      </w:pPr>
    </w:p>
    <w:p w14:paraId="6774978B" w14:textId="4BAEDC79" w:rsidR="00CA7054" w:rsidRPr="00900046" w:rsidRDefault="00CA7054" w:rsidP="00A64613">
      <w:pPr>
        <w:keepNext w:val="0"/>
        <w:rPr>
          <w:rFonts w:cs="Arial"/>
        </w:rPr>
      </w:pPr>
      <w:r w:rsidRPr="00900046">
        <w:rPr>
          <w:rFonts w:cs="Arial"/>
        </w:rPr>
        <w:t>On entend par proche aidant une personne attestée comme telle par un professionnel œuvrant dans le milieu de la santé et des services sociaux régi par le Code des professions</w:t>
      </w:r>
      <w:r w:rsidR="004150B7" w:rsidRPr="00900046">
        <w:rPr>
          <w:rFonts w:cs="Arial"/>
        </w:rPr>
        <w:t xml:space="preserve"> </w:t>
      </w:r>
      <w:r w:rsidR="004150B7" w:rsidRPr="00900046">
        <w:rPr>
          <w:rFonts w:cs="Arial"/>
          <w:szCs w:val="24"/>
        </w:rPr>
        <w:t>(RLRQ, chapitre</w:t>
      </w:r>
      <w:r w:rsidR="00680672">
        <w:rPr>
          <w:rFonts w:cs="Arial"/>
          <w:szCs w:val="24"/>
        </w:rPr>
        <w:t> </w:t>
      </w:r>
      <w:r w:rsidR="004150B7" w:rsidRPr="00900046">
        <w:rPr>
          <w:rFonts w:cs="Arial"/>
          <w:szCs w:val="24"/>
        </w:rPr>
        <w:t>C</w:t>
      </w:r>
      <w:r w:rsidR="00984A6F">
        <w:rPr>
          <w:rFonts w:cs="Arial"/>
          <w:szCs w:val="24"/>
        </w:rPr>
        <w:noBreakHyphen/>
      </w:r>
      <w:r w:rsidR="004150B7" w:rsidRPr="00900046">
        <w:rPr>
          <w:rFonts w:cs="Arial"/>
          <w:szCs w:val="24"/>
        </w:rPr>
        <w:t>26)</w:t>
      </w:r>
      <w:r w:rsidR="002679DA" w:rsidRPr="00900046">
        <w:rPr>
          <w:rFonts w:cs="Arial"/>
          <w:szCs w:val="24"/>
        </w:rPr>
        <w:t>.</w:t>
      </w:r>
    </w:p>
    <w:p w14:paraId="7EE69133" w14:textId="77777777" w:rsidR="00CA7054" w:rsidRPr="00900046" w:rsidRDefault="00CA7054" w:rsidP="00A64613">
      <w:pPr>
        <w:keepNext w:val="0"/>
        <w:rPr>
          <w:rFonts w:cs="Arial"/>
        </w:rPr>
      </w:pPr>
    </w:p>
    <w:p w14:paraId="6E5D4C55" w14:textId="397636FC" w:rsidR="00CA7054" w:rsidRPr="00900046" w:rsidRDefault="00CA7054" w:rsidP="00A64613">
      <w:pPr>
        <w:keepNext w:val="0"/>
        <w:rPr>
          <w:rFonts w:cs="Arial"/>
        </w:rPr>
      </w:pPr>
      <w:r w:rsidRPr="00900046">
        <w:rPr>
          <w:rFonts w:cs="Arial"/>
        </w:rPr>
        <w:t>En outre de la conjointe ou du conjoint de l’enseignante ou de l’enseignant, on entend par parent; l’enfant, le père, la mère, le frère, la sœur, les grands</w:t>
      </w:r>
      <w:r w:rsidR="00984A6F">
        <w:rPr>
          <w:rFonts w:cs="Arial"/>
        </w:rPr>
        <w:noBreakHyphen/>
      </w:r>
      <w:r w:rsidRPr="00900046">
        <w:rPr>
          <w:rFonts w:cs="Arial"/>
        </w:rPr>
        <w:t xml:space="preserve">parents de l’enseignante ou de l’enseignant ou de sa conjointe ou de son conjoint, ainsi que les conjointes ou conjoints de ces personnes, leurs enfants et les conjointes ou conjoints de leurs enfants. </w:t>
      </w:r>
    </w:p>
    <w:p w14:paraId="0C464DFF" w14:textId="77777777" w:rsidR="00CA7054" w:rsidRPr="00900046" w:rsidRDefault="00CA7054" w:rsidP="00A64613">
      <w:pPr>
        <w:keepNext w:val="0"/>
        <w:rPr>
          <w:rFonts w:cs="Arial"/>
        </w:rPr>
      </w:pPr>
    </w:p>
    <w:p w14:paraId="002ADF85" w14:textId="36E3A9AC" w:rsidR="00CA7054" w:rsidRPr="00900046" w:rsidRDefault="00CA7054" w:rsidP="00A64613">
      <w:pPr>
        <w:keepNext w:val="0"/>
        <w:rPr>
          <w:rFonts w:cs="Arial"/>
        </w:rPr>
      </w:pPr>
      <w:r w:rsidRPr="00900046">
        <w:rPr>
          <w:rFonts w:cs="Arial"/>
        </w:rPr>
        <w:t>Est aussi considéré comme parent de l’enseignante ou de l’enseignant</w:t>
      </w:r>
      <w:r w:rsidR="00D8581B" w:rsidRPr="00900046">
        <w:rPr>
          <w:rFonts w:cs="Arial"/>
        </w:rPr>
        <w:t> :</w:t>
      </w:r>
      <w:r w:rsidRPr="00900046">
        <w:rPr>
          <w:rFonts w:cs="Arial"/>
        </w:rPr>
        <w:t xml:space="preserve"> </w:t>
      </w:r>
    </w:p>
    <w:p w14:paraId="07CDA76B" w14:textId="77777777" w:rsidR="00CA7054" w:rsidRPr="00900046" w:rsidRDefault="00CA7054" w:rsidP="00A64613">
      <w:pPr>
        <w:keepNext w:val="0"/>
        <w:rPr>
          <w:rFonts w:cs="Arial"/>
        </w:rPr>
      </w:pPr>
    </w:p>
    <w:p w14:paraId="779C6CE4" w14:textId="5E672B6F" w:rsidR="00CA7054" w:rsidRPr="00900046" w:rsidRDefault="007E038D" w:rsidP="00A64613">
      <w:pPr>
        <w:keepNext w:val="0"/>
        <w:ind w:left="709" w:hanging="425"/>
        <w:rPr>
          <w:rFonts w:cs="Arial"/>
        </w:rPr>
      </w:pPr>
      <w:r w:rsidRPr="00900046">
        <w:rPr>
          <w:rFonts w:cs="Arial"/>
          <w:szCs w:val="24"/>
        </w:rPr>
        <w:t>–</w:t>
      </w:r>
      <w:r w:rsidRPr="00900046">
        <w:rPr>
          <w:rFonts w:cs="Arial"/>
          <w:szCs w:val="24"/>
        </w:rPr>
        <w:tab/>
      </w:r>
      <w:r w:rsidR="00CA7054" w:rsidRPr="00900046">
        <w:rPr>
          <w:rFonts w:cs="Arial"/>
        </w:rPr>
        <w:t xml:space="preserve">Une personne ayant agi ou agissant comme famille d’accueil pour l’enseignante ou l’enseignant ou sa conjointe ou son conjoint; </w:t>
      </w:r>
    </w:p>
    <w:p w14:paraId="470A57CF" w14:textId="6785650E" w:rsidR="00CA7054" w:rsidRPr="00900046" w:rsidRDefault="00FD5B78" w:rsidP="00A64613">
      <w:pPr>
        <w:keepNext w:val="0"/>
        <w:ind w:left="709" w:hanging="425"/>
        <w:rPr>
          <w:rFonts w:cs="Arial"/>
          <w:szCs w:val="24"/>
        </w:rPr>
      </w:pPr>
      <w:r w:rsidRPr="00900046">
        <w:rPr>
          <w:rFonts w:cs="Arial"/>
          <w:szCs w:val="24"/>
        </w:rPr>
        <w:t>–</w:t>
      </w:r>
      <w:r w:rsidRPr="00900046">
        <w:rPr>
          <w:rFonts w:cs="Arial"/>
          <w:szCs w:val="24"/>
        </w:rPr>
        <w:tab/>
      </w:r>
      <w:r w:rsidR="00CA7054" w:rsidRPr="00900046">
        <w:rPr>
          <w:rFonts w:cs="Arial"/>
          <w:szCs w:val="24"/>
        </w:rPr>
        <w:t xml:space="preserve">Un enfant pour lequel l’enseignante ou l’enseignant ou sa conjointe ou son conjoint a agi ou agit comme famille d’accueil; </w:t>
      </w:r>
    </w:p>
    <w:p w14:paraId="72D78DF7" w14:textId="0382ABF2" w:rsidR="00CA7054" w:rsidRPr="00900046" w:rsidRDefault="00FD5B78" w:rsidP="00A64613">
      <w:pPr>
        <w:keepNext w:val="0"/>
        <w:ind w:left="709" w:hanging="425"/>
        <w:rPr>
          <w:rFonts w:cs="Arial"/>
          <w:szCs w:val="24"/>
        </w:rPr>
      </w:pPr>
      <w:r w:rsidRPr="00900046">
        <w:rPr>
          <w:rFonts w:cs="Arial"/>
          <w:szCs w:val="24"/>
        </w:rPr>
        <w:t>–</w:t>
      </w:r>
      <w:r w:rsidRPr="00900046">
        <w:rPr>
          <w:rFonts w:cs="Arial"/>
          <w:szCs w:val="24"/>
        </w:rPr>
        <w:tab/>
      </w:r>
      <w:r w:rsidR="00CA7054" w:rsidRPr="00900046">
        <w:rPr>
          <w:rFonts w:cs="Arial"/>
          <w:szCs w:val="24"/>
        </w:rPr>
        <w:t xml:space="preserve">La personne qui agit comme le tuteur ou le curateur ou la personne sous tutelle ou sous curatelle de l’enseignante ou l’enseignant ou de sa conjointe ou son conjoint; </w:t>
      </w:r>
    </w:p>
    <w:p w14:paraId="526E40E7" w14:textId="470B1EEE" w:rsidR="00CA7054" w:rsidRPr="00900046" w:rsidRDefault="00FD5B78" w:rsidP="00A64613">
      <w:pPr>
        <w:keepNext w:val="0"/>
        <w:ind w:left="709" w:hanging="425"/>
        <w:rPr>
          <w:rFonts w:cs="Arial"/>
          <w:szCs w:val="24"/>
        </w:rPr>
      </w:pPr>
      <w:r w:rsidRPr="00900046">
        <w:rPr>
          <w:rFonts w:cs="Arial"/>
          <w:szCs w:val="24"/>
        </w:rPr>
        <w:t>–</w:t>
      </w:r>
      <w:r w:rsidRPr="00900046">
        <w:rPr>
          <w:rFonts w:cs="Arial"/>
          <w:szCs w:val="24"/>
        </w:rPr>
        <w:tab/>
      </w:r>
      <w:r w:rsidR="00CA7054" w:rsidRPr="00900046">
        <w:rPr>
          <w:rFonts w:cs="Arial"/>
          <w:szCs w:val="24"/>
        </w:rPr>
        <w:t xml:space="preserve">La personne inapte ayant désigné l’enseignante ou l’enseignant ou sa conjointe ou son conjoint comme mandataire; </w:t>
      </w:r>
    </w:p>
    <w:p w14:paraId="6ABCC7A4" w14:textId="3286025F" w:rsidR="000B51F8" w:rsidRDefault="00FD5B78" w:rsidP="00A64613">
      <w:pPr>
        <w:keepNext w:val="0"/>
        <w:ind w:left="709" w:hanging="425"/>
        <w:rPr>
          <w:rFonts w:cs="Arial"/>
          <w:szCs w:val="24"/>
        </w:rPr>
      </w:pPr>
      <w:r w:rsidRPr="00900046">
        <w:rPr>
          <w:rFonts w:cs="Arial"/>
          <w:szCs w:val="24"/>
        </w:rPr>
        <w:t>–</w:t>
      </w:r>
      <w:r w:rsidRPr="00900046">
        <w:rPr>
          <w:rFonts w:cs="Arial"/>
          <w:szCs w:val="24"/>
        </w:rPr>
        <w:tab/>
      </w:r>
      <w:r w:rsidR="00CA7054" w:rsidRPr="00900046">
        <w:rPr>
          <w:rFonts w:cs="Arial"/>
          <w:szCs w:val="24"/>
        </w:rPr>
        <w:t>Toute autre personne à l’égard de laquelle l’enseignante ou l’enseignant a droit à des prestations en vertu d’une loi pour l’aide et les soins qu’elle lui procure en raison de son état de santé.</w:t>
      </w:r>
      <w:r w:rsidR="007D63A3" w:rsidRPr="00900046">
        <w:rPr>
          <w:rStyle w:val="FootnoteReference"/>
          <w:rFonts w:cs="Arial"/>
          <w:szCs w:val="24"/>
        </w:rPr>
        <w:footnoteReference w:id="23"/>
      </w:r>
      <w:r w:rsidR="00CA7054" w:rsidRPr="00FD5B78">
        <w:rPr>
          <w:rFonts w:cs="Arial"/>
          <w:szCs w:val="24"/>
        </w:rPr>
        <w:t xml:space="preserve"> </w:t>
      </w:r>
    </w:p>
    <w:p w14:paraId="5A15C9B8" w14:textId="77777777" w:rsidR="000B51F8" w:rsidRDefault="000B51F8">
      <w:pPr>
        <w:keepNext w:val="0"/>
        <w:suppressAutoHyphens w:val="0"/>
        <w:jc w:val="left"/>
        <w:rPr>
          <w:rFonts w:cs="Arial"/>
          <w:szCs w:val="24"/>
        </w:rPr>
      </w:pPr>
      <w:r>
        <w:rPr>
          <w:rFonts w:cs="Arial"/>
          <w:szCs w:val="24"/>
        </w:rPr>
        <w:br w:type="page"/>
      </w:r>
    </w:p>
    <w:p w14:paraId="25F45AE9" w14:textId="5E4451E4" w:rsidR="00CA7054" w:rsidRPr="00FD6AFF" w:rsidRDefault="00A247AC" w:rsidP="00FD6AFF">
      <w:pPr>
        <w:keepNext w:val="0"/>
        <w:rPr>
          <w:rFonts w:cs="Arial"/>
          <w:b/>
          <w:bCs/>
          <w:szCs w:val="24"/>
          <w:u w:val="single"/>
        </w:rPr>
      </w:pPr>
      <w:bookmarkStart w:id="475" w:name="_Toc161323694"/>
      <w:r w:rsidRPr="00316277">
        <w:rPr>
          <w:b/>
          <w:bCs/>
          <w:u w:val="single"/>
        </w:rPr>
        <w:t>Congés pour raisons familiales</w:t>
      </w:r>
      <w:bookmarkEnd w:id="475"/>
    </w:p>
    <w:p w14:paraId="4B84C926" w14:textId="5D24FDDC" w:rsidR="007055D5" w:rsidRPr="00026EC1" w:rsidRDefault="00275751" w:rsidP="00A64613">
      <w:pPr>
        <w:keepNext w:val="0"/>
        <w:ind w:left="567" w:hanging="567"/>
        <w:rPr>
          <w:rFonts w:cs="Arial"/>
          <w:szCs w:val="24"/>
        </w:rPr>
      </w:pPr>
      <w:r w:rsidRPr="00026EC1">
        <w:rPr>
          <w:rFonts w:cs="Arial"/>
          <w:szCs w:val="24"/>
        </w:rPr>
        <w:t>A)</w:t>
      </w:r>
      <w:r w:rsidRPr="00026EC1">
        <w:rPr>
          <w:rFonts w:cs="Arial"/>
          <w:szCs w:val="24"/>
        </w:rPr>
        <w:tab/>
      </w:r>
      <w:r w:rsidR="007055D5" w:rsidRPr="00026EC1">
        <w:rPr>
          <w:rFonts w:cs="Arial"/>
          <w:szCs w:val="24"/>
        </w:rPr>
        <w:t>L</w:t>
      </w:r>
      <w:r w:rsidR="004A41E4" w:rsidRPr="00026EC1">
        <w:rPr>
          <w:rFonts w:cs="Arial"/>
          <w:szCs w:val="24"/>
        </w:rPr>
        <w:t>’</w:t>
      </w:r>
      <w:r w:rsidR="007055D5" w:rsidRPr="00026EC1">
        <w:rPr>
          <w:rFonts w:cs="Arial"/>
          <w:szCs w:val="24"/>
        </w:rPr>
        <w:t>enseignante ou l</w:t>
      </w:r>
      <w:r w:rsidR="004A41E4" w:rsidRPr="00026EC1">
        <w:rPr>
          <w:rFonts w:cs="Arial"/>
          <w:szCs w:val="24"/>
        </w:rPr>
        <w:t>’</w:t>
      </w:r>
      <w:r w:rsidR="007055D5" w:rsidRPr="00026EC1">
        <w:rPr>
          <w:rFonts w:cs="Arial"/>
          <w:szCs w:val="24"/>
        </w:rPr>
        <w:t>enseignant peut s</w:t>
      </w:r>
      <w:r w:rsidR="004A41E4" w:rsidRPr="00026EC1">
        <w:rPr>
          <w:rFonts w:cs="Arial"/>
          <w:szCs w:val="24"/>
        </w:rPr>
        <w:t>’</w:t>
      </w:r>
      <w:r w:rsidR="007055D5" w:rsidRPr="00026EC1">
        <w:rPr>
          <w:rFonts w:cs="Arial"/>
          <w:szCs w:val="24"/>
        </w:rPr>
        <w:t>absenter de son travail jusqu</w:t>
      </w:r>
      <w:r w:rsidR="004A41E4" w:rsidRPr="00026EC1">
        <w:rPr>
          <w:rFonts w:cs="Arial"/>
          <w:szCs w:val="24"/>
        </w:rPr>
        <w:t>’</w:t>
      </w:r>
      <w:r w:rsidR="007055D5" w:rsidRPr="00026EC1">
        <w:rPr>
          <w:rFonts w:cs="Arial"/>
          <w:szCs w:val="24"/>
        </w:rPr>
        <w:t>à concurrence de dix</w:t>
      </w:r>
      <w:r w:rsidR="00680672">
        <w:rPr>
          <w:rFonts w:cs="Arial"/>
          <w:szCs w:val="24"/>
        </w:rPr>
        <w:t> </w:t>
      </w:r>
      <w:r w:rsidR="007055D5" w:rsidRPr="00026EC1">
        <w:rPr>
          <w:rFonts w:cs="Arial"/>
          <w:szCs w:val="24"/>
        </w:rPr>
        <w:t>(10) jours par année pour remplir des obligations reliées à la garde, à la santé ou à l</w:t>
      </w:r>
      <w:r w:rsidR="004A41E4" w:rsidRPr="00026EC1">
        <w:rPr>
          <w:rFonts w:cs="Arial"/>
          <w:szCs w:val="24"/>
        </w:rPr>
        <w:t>’</w:t>
      </w:r>
      <w:r w:rsidR="007055D5" w:rsidRPr="00026EC1">
        <w:rPr>
          <w:rFonts w:cs="Arial"/>
          <w:szCs w:val="24"/>
        </w:rPr>
        <w:t>éducation de son enfant ou de l</w:t>
      </w:r>
      <w:r w:rsidR="004A41E4" w:rsidRPr="00026EC1">
        <w:rPr>
          <w:rFonts w:cs="Arial"/>
          <w:szCs w:val="24"/>
        </w:rPr>
        <w:t>’</w:t>
      </w:r>
      <w:r w:rsidR="007055D5" w:rsidRPr="00026EC1">
        <w:rPr>
          <w:rFonts w:cs="Arial"/>
          <w:szCs w:val="24"/>
        </w:rPr>
        <w:t>enfant de sa conjointe ou de son conjoint, ou en raison de l</w:t>
      </w:r>
      <w:r w:rsidR="004A41E4" w:rsidRPr="00026EC1">
        <w:rPr>
          <w:rFonts w:cs="Arial"/>
          <w:szCs w:val="24"/>
        </w:rPr>
        <w:t>’</w:t>
      </w:r>
      <w:r w:rsidR="007055D5" w:rsidRPr="00026EC1">
        <w:rPr>
          <w:rFonts w:cs="Arial"/>
          <w:szCs w:val="24"/>
        </w:rPr>
        <w:t xml:space="preserve">état de santé </w:t>
      </w:r>
      <w:r w:rsidR="00A80AC6" w:rsidRPr="003D135F">
        <w:rPr>
          <w:rFonts w:eastAsia="Calibri" w:cs="Arial"/>
          <w:szCs w:val="22"/>
        </w:rPr>
        <w:t xml:space="preserve">d’un autre parent </w:t>
      </w:r>
      <w:r w:rsidR="00A80AC6" w:rsidRPr="003D135F">
        <w:t xml:space="preserve">ou </w:t>
      </w:r>
      <w:r w:rsidR="00A80AC6" w:rsidRPr="003D135F">
        <w:rPr>
          <w:rFonts w:eastAsia="Calibri"/>
        </w:rPr>
        <w:t xml:space="preserve">d’une </w:t>
      </w:r>
      <w:r w:rsidR="00A80AC6" w:rsidRPr="003D135F">
        <w:t>personne pour laquelle l’enseignante ou l’enseignant agit comme proche aidant.</w:t>
      </w:r>
      <w:r w:rsidR="002775F0" w:rsidRPr="003D135F">
        <w:rPr>
          <w:rStyle w:val="FootnoteReference"/>
        </w:rPr>
        <w:footnoteReference w:id="24"/>
      </w:r>
      <w:r w:rsidR="00867EB3">
        <w:t xml:space="preserve"> </w:t>
      </w:r>
    </w:p>
    <w:p w14:paraId="40259FEE" w14:textId="77777777" w:rsidR="007055D5" w:rsidRPr="00026EC1" w:rsidRDefault="007055D5" w:rsidP="00A64613">
      <w:pPr>
        <w:pStyle w:val="Texte1cm00000"/>
        <w:keepNext w:val="0"/>
      </w:pPr>
    </w:p>
    <w:p w14:paraId="7E75413A" w14:textId="1052CEFA" w:rsidR="007055D5" w:rsidRDefault="007055D5" w:rsidP="00A64613">
      <w:pPr>
        <w:pStyle w:val="Texte1cm00000"/>
        <w:keepNext w:val="0"/>
      </w:pPr>
      <w:r w:rsidRPr="00026EC1">
        <w:t>L</w:t>
      </w:r>
      <w:r w:rsidR="004A41E4" w:rsidRPr="00026EC1">
        <w:t>’</w:t>
      </w:r>
      <w:r w:rsidRPr="00026EC1">
        <w:t>enseignante ou l</w:t>
      </w:r>
      <w:r w:rsidR="004A41E4" w:rsidRPr="00026EC1">
        <w:t>’</w:t>
      </w:r>
      <w:r w:rsidRPr="00026EC1">
        <w:t>enseignant informe le Collège le plus tôt possible.</w:t>
      </w:r>
    </w:p>
    <w:p w14:paraId="53DB06D0" w14:textId="77777777" w:rsidR="001931CF" w:rsidRPr="00026EC1" w:rsidRDefault="001931CF" w:rsidP="00A64613">
      <w:pPr>
        <w:pStyle w:val="Texte1cm00000"/>
        <w:keepNext w:val="0"/>
      </w:pPr>
    </w:p>
    <w:p w14:paraId="04B8E044" w14:textId="2EC2C7E5" w:rsidR="007055D5" w:rsidRPr="004B5462" w:rsidRDefault="00127594" w:rsidP="00A64613">
      <w:pPr>
        <w:pStyle w:val="Texte1cm00000"/>
        <w:keepNext w:val="0"/>
      </w:pPr>
      <w:r w:rsidRPr="004B5462">
        <w:t xml:space="preserve">Pour l’enseignante ou l’enseignant à temps complet ou à temps partiel, ces </w:t>
      </w:r>
      <w:r w:rsidR="007055D5" w:rsidRPr="004B5462">
        <w:t>journées d</w:t>
      </w:r>
      <w:r w:rsidR="004A41E4" w:rsidRPr="004B5462">
        <w:t>’</w:t>
      </w:r>
      <w:r w:rsidR="007055D5" w:rsidRPr="004B5462">
        <w:t>absence sont déduites de la banque annuelle de congés de maladie jusqu</w:t>
      </w:r>
      <w:r w:rsidR="004A41E4" w:rsidRPr="004B5462">
        <w:t>’</w:t>
      </w:r>
      <w:r w:rsidR="007055D5" w:rsidRPr="004B5462">
        <w:t>à concurrence d</w:t>
      </w:r>
      <w:r w:rsidR="004A41E4" w:rsidRPr="004B5462">
        <w:t>’</w:t>
      </w:r>
      <w:r w:rsidR="007055D5" w:rsidRPr="004B5462">
        <w:t>un nombre maximal de six</w:t>
      </w:r>
      <w:r w:rsidR="00680672">
        <w:t> </w:t>
      </w:r>
      <w:r w:rsidR="007055D5" w:rsidRPr="004B5462">
        <w:t>(6) jours ou, à défaut, sont sans traitement. Ces journées peuvent être fractionnées en demi</w:t>
      </w:r>
      <w:r w:rsidR="00984A6F">
        <w:noBreakHyphen/>
      </w:r>
      <w:r w:rsidR="007055D5" w:rsidRPr="004B5462">
        <w:t>journée</w:t>
      </w:r>
      <w:r w:rsidR="00127A45" w:rsidRPr="004B5462">
        <w:t>s</w:t>
      </w:r>
      <w:r w:rsidR="007055D5" w:rsidRPr="004B5462">
        <w:t>.</w:t>
      </w:r>
    </w:p>
    <w:p w14:paraId="25E21C46" w14:textId="77777777" w:rsidR="009A4658" w:rsidRPr="004B5462" w:rsidRDefault="009A4658" w:rsidP="00A64613">
      <w:pPr>
        <w:pStyle w:val="Texte1cm00000"/>
        <w:keepNext w:val="0"/>
      </w:pPr>
    </w:p>
    <w:p w14:paraId="37F236D1" w14:textId="76F073A5" w:rsidR="009A4658" w:rsidRPr="009A4658" w:rsidRDefault="009A4658" w:rsidP="00A64613">
      <w:pPr>
        <w:pStyle w:val="Texte1cm00000"/>
        <w:keepNext w:val="0"/>
      </w:pPr>
      <w:r w:rsidRPr="004B5462">
        <w:t>Pour l’enseignante ou l’enseignant chargé de cours, par année civile, deux</w:t>
      </w:r>
      <w:r w:rsidR="00680672">
        <w:t> </w:t>
      </w:r>
      <w:r w:rsidRPr="004B5462">
        <w:t>(2) de ces dix</w:t>
      </w:r>
      <w:r w:rsidR="00680672">
        <w:t> </w:t>
      </w:r>
      <w:r w:rsidRPr="004B5462">
        <w:t>(10) jours sont rémunérés dès qu’elle ou il justifie de trois mois de service continu, et cela même si elle ou il s’est absenté auparavant. Les motifs suivants permettent aussi de se prévaloir de ces deux</w:t>
      </w:r>
      <w:r w:rsidR="00680672">
        <w:t> </w:t>
      </w:r>
      <w:r w:rsidRPr="004B5462">
        <w:t>(2) jours rémunérés</w:t>
      </w:r>
      <w:r w:rsidR="00D8581B" w:rsidRPr="004B5462">
        <w:t> :</w:t>
      </w:r>
      <w:r w:rsidRPr="004B5462">
        <w:t xml:space="preserve"> maladie, accident, violence conjugale, violence à caractère sexuel ou soin d’un parent ou d’une personne auprès de qui l’enseignante ou l’enseignant chargé de cours agit comme proche aidant. Ces jours sont rémunérés selon la formule de calcul prévue à l’article 62 de la </w:t>
      </w:r>
      <w:r w:rsidR="002E77A7" w:rsidRPr="004B5462">
        <w:t>Loi sur les normes du travail</w:t>
      </w:r>
      <w:r w:rsidR="008463FF" w:rsidRPr="004B5462">
        <w:t xml:space="preserve"> (RLRQ, chapitre N</w:t>
      </w:r>
      <w:r w:rsidR="00984A6F">
        <w:noBreakHyphen/>
      </w:r>
      <w:r w:rsidR="008463FF" w:rsidRPr="004B5462">
        <w:t>1.1).</w:t>
      </w:r>
    </w:p>
    <w:p w14:paraId="7842DBAB" w14:textId="77777777" w:rsidR="009A4658" w:rsidRPr="00026EC1" w:rsidRDefault="009A4658" w:rsidP="00A64613">
      <w:pPr>
        <w:pStyle w:val="Texte1cm00000"/>
        <w:keepNext w:val="0"/>
      </w:pPr>
    </w:p>
    <w:p w14:paraId="2B48A46F" w14:textId="77777777" w:rsidR="007055D5" w:rsidRPr="00026EC1" w:rsidRDefault="00275751" w:rsidP="00A64613">
      <w:pPr>
        <w:keepNext w:val="0"/>
        <w:ind w:left="567" w:hanging="567"/>
        <w:jc w:val="left"/>
        <w:rPr>
          <w:rFonts w:cs="Arial"/>
          <w:szCs w:val="24"/>
        </w:rPr>
      </w:pPr>
      <w:r w:rsidRPr="00026EC1">
        <w:rPr>
          <w:rFonts w:cs="Arial"/>
          <w:szCs w:val="24"/>
        </w:rPr>
        <w:t>B)</w:t>
      </w:r>
      <w:r w:rsidRPr="00026EC1">
        <w:rPr>
          <w:rFonts w:cs="Arial"/>
          <w:szCs w:val="24"/>
        </w:rPr>
        <w:tab/>
      </w:r>
      <w:r w:rsidR="007055D5" w:rsidRPr="00026EC1">
        <w:rPr>
          <w:rFonts w:cs="Arial"/>
          <w:szCs w:val="24"/>
        </w:rPr>
        <w:t>Pour les congés qui suivent,</w:t>
      </w:r>
      <w:r w:rsidR="007055D5" w:rsidRPr="00026EC1">
        <w:rPr>
          <w:rFonts w:cs="Arial"/>
          <w:i/>
          <w:szCs w:val="24"/>
        </w:rPr>
        <w:t xml:space="preserve"> </w:t>
      </w:r>
      <w:r w:rsidR="007055D5" w:rsidRPr="00026EC1">
        <w:rPr>
          <w:rFonts w:cs="Arial"/>
          <w:szCs w:val="24"/>
        </w:rPr>
        <w:t>l</w:t>
      </w:r>
      <w:r w:rsidR="004A41E4" w:rsidRPr="00026EC1">
        <w:rPr>
          <w:rFonts w:cs="Arial"/>
          <w:szCs w:val="24"/>
        </w:rPr>
        <w:t>’</w:t>
      </w:r>
      <w:r w:rsidR="007055D5" w:rsidRPr="00026EC1">
        <w:rPr>
          <w:rFonts w:cs="Arial"/>
          <w:szCs w:val="24"/>
        </w:rPr>
        <w:t>enseignante ou l</w:t>
      </w:r>
      <w:r w:rsidR="004A41E4" w:rsidRPr="00026EC1">
        <w:rPr>
          <w:rFonts w:cs="Arial"/>
          <w:szCs w:val="24"/>
        </w:rPr>
        <w:t>’</w:t>
      </w:r>
      <w:r w:rsidR="007055D5" w:rsidRPr="00026EC1">
        <w:rPr>
          <w:rFonts w:cs="Arial"/>
          <w:szCs w:val="24"/>
        </w:rPr>
        <w:t>enseignant informe le Collège le plus tôt possible et fournit, sur demande, une preuve justifiant une telle absence.</w:t>
      </w:r>
    </w:p>
    <w:p w14:paraId="1CD911F7" w14:textId="77777777" w:rsidR="007055D5" w:rsidRPr="00026EC1" w:rsidRDefault="007055D5" w:rsidP="00A64613">
      <w:pPr>
        <w:keepNext w:val="0"/>
        <w:ind w:hanging="9"/>
        <w:rPr>
          <w:rFonts w:cs="Arial"/>
          <w:szCs w:val="24"/>
        </w:rPr>
      </w:pPr>
    </w:p>
    <w:p w14:paraId="4E92E9D3" w14:textId="470B7A9B" w:rsidR="007055D5" w:rsidRPr="006A12D2" w:rsidRDefault="00275751" w:rsidP="00A64613">
      <w:pPr>
        <w:keepNext w:val="0"/>
        <w:ind w:left="1134" w:hanging="567"/>
        <w:rPr>
          <w:rFonts w:cs="Arial"/>
        </w:rPr>
      </w:pPr>
      <w:r w:rsidRPr="00026EC1">
        <w:rPr>
          <w:rFonts w:cs="Arial"/>
        </w:rPr>
        <w:t>1.</w:t>
      </w:r>
      <w:r w:rsidRPr="00026EC1">
        <w:rPr>
          <w:rFonts w:cs="Arial"/>
        </w:rPr>
        <w:tab/>
      </w:r>
      <w:r w:rsidR="007055D5" w:rsidRPr="00026EC1">
        <w:rPr>
          <w:rFonts w:cs="Arial"/>
        </w:rPr>
        <w:t>Un congé sans traitement d</w:t>
      </w:r>
      <w:r w:rsidR="004A41E4" w:rsidRPr="00026EC1">
        <w:rPr>
          <w:rFonts w:cs="Arial"/>
        </w:rPr>
        <w:t>’</w:t>
      </w:r>
      <w:r w:rsidR="007055D5" w:rsidRPr="00026EC1">
        <w:rPr>
          <w:rFonts w:cs="Arial"/>
        </w:rPr>
        <w:t xml:space="preserve">une </w:t>
      </w:r>
      <w:r w:rsidR="007055D5" w:rsidRPr="006A12D2">
        <w:rPr>
          <w:rFonts w:cs="Arial"/>
        </w:rPr>
        <w:t xml:space="preserve">durée maximale de </w:t>
      </w:r>
      <w:r w:rsidR="008F0C8A" w:rsidRPr="006A12D2">
        <w:rPr>
          <w:rFonts w:cs="Arial"/>
        </w:rPr>
        <w:t>seize</w:t>
      </w:r>
      <w:r w:rsidR="00680672">
        <w:rPr>
          <w:rFonts w:cs="Arial"/>
        </w:rPr>
        <w:t> </w:t>
      </w:r>
      <w:r w:rsidR="008F0C8A" w:rsidRPr="006A12D2">
        <w:rPr>
          <w:rFonts w:cs="Arial"/>
        </w:rPr>
        <w:t xml:space="preserve">(16) </w:t>
      </w:r>
      <w:r w:rsidR="007055D5" w:rsidRPr="006A12D2">
        <w:rPr>
          <w:rFonts w:cs="Arial"/>
        </w:rPr>
        <w:t>semaines sur une période de douze</w:t>
      </w:r>
      <w:r w:rsidR="00680672">
        <w:rPr>
          <w:rFonts w:cs="Arial"/>
        </w:rPr>
        <w:t> </w:t>
      </w:r>
      <w:r w:rsidR="007055D5" w:rsidRPr="006A12D2">
        <w:rPr>
          <w:rFonts w:cs="Arial"/>
        </w:rPr>
        <w:t>(12) mois est accordé à l</w:t>
      </w:r>
      <w:r w:rsidR="004A41E4" w:rsidRPr="006A12D2">
        <w:rPr>
          <w:rFonts w:cs="Arial"/>
        </w:rPr>
        <w:t>’</w:t>
      </w:r>
      <w:r w:rsidR="007055D5" w:rsidRPr="006A12D2">
        <w:rPr>
          <w:rFonts w:cs="Arial"/>
        </w:rPr>
        <w:t>enseignante ou l</w:t>
      </w:r>
      <w:r w:rsidR="004A41E4" w:rsidRPr="006A12D2">
        <w:rPr>
          <w:rFonts w:cs="Arial"/>
        </w:rPr>
        <w:t>’</w:t>
      </w:r>
      <w:r w:rsidR="007055D5" w:rsidRPr="006A12D2">
        <w:rPr>
          <w:rFonts w:cs="Arial"/>
        </w:rPr>
        <w:t xml:space="preserve">enseignant lorsque sa présence est requise auprès </w:t>
      </w:r>
      <w:r w:rsidR="00A8203D" w:rsidRPr="006A12D2">
        <w:rPr>
          <w:rFonts w:eastAsia="Calibri" w:cs="Arial"/>
          <w:szCs w:val="22"/>
        </w:rPr>
        <w:t xml:space="preserve">d’un parent ou d’une personne pour laquelle l’enseignante ou l’enseignant agit comme proche aidant </w:t>
      </w:r>
      <w:r w:rsidR="007055D5" w:rsidRPr="006A12D2">
        <w:rPr>
          <w:rFonts w:cs="Arial"/>
        </w:rPr>
        <w:t>en raison d</w:t>
      </w:r>
      <w:r w:rsidR="004A41E4" w:rsidRPr="006A12D2">
        <w:rPr>
          <w:rFonts w:cs="Arial"/>
        </w:rPr>
        <w:t>’</w:t>
      </w:r>
      <w:r w:rsidR="007055D5" w:rsidRPr="006A12D2">
        <w:rPr>
          <w:rFonts w:cs="Arial"/>
        </w:rPr>
        <w:t>une grave maladie ou d</w:t>
      </w:r>
      <w:r w:rsidR="004A41E4" w:rsidRPr="006A12D2">
        <w:rPr>
          <w:rFonts w:cs="Arial"/>
        </w:rPr>
        <w:t>’</w:t>
      </w:r>
      <w:r w:rsidR="007055D5" w:rsidRPr="006A12D2">
        <w:rPr>
          <w:rFonts w:cs="Arial"/>
        </w:rPr>
        <w:t>un grave accident.</w:t>
      </w:r>
      <w:r w:rsidR="004F1288" w:rsidRPr="006A12D2">
        <w:rPr>
          <w:rFonts w:cs="Arial"/>
        </w:rPr>
        <w:t xml:space="preserve"> Dans le cas où ce parent ou cette personne est un enfant mineur, cette période d’absence est d’au plus trente</w:t>
      </w:r>
      <w:r w:rsidR="00984A6F">
        <w:rPr>
          <w:rFonts w:cs="Arial"/>
        </w:rPr>
        <w:noBreakHyphen/>
      </w:r>
      <w:r w:rsidR="004F1288" w:rsidRPr="006A12D2">
        <w:rPr>
          <w:rFonts w:cs="Arial"/>
        </w:rPr>
        <w:t>six</w:t>
      </w:r>
      <w:r w:rsidR="00680672">
        <w:rPr>
          <w:rFonts w:cs="Arial"/>
        </w:rPr>
        <w:t> </w:t>
      </w:r>
      <w:r w:rsidR="004F1288" w:rsidRPr="006A12D2">
        <w:rPr>
          <w:rFonts w:cs="Arial"/>
        </w:rPr>
        <w:t>(36) semaines sur une période de douze</w:t>
      </w:r>
      <w:r w:rsidR="00680672">
        <w:rPr>
          <w:rFonts w:cs="Arial"/>
        </w:rPr>
        <w:t> </w:t>
      </w:r>
      <w:r w:rsidR="004F1288" w:rsidRPr="006A12D2">
        <w:rPr>
          <w:rFonts w:cs="Arial"/>
        </w:rPr>
        <w:t>(12) mois.</w:t>
      </w:r>
    </w:p>
    <w:p w14:paraId="75212D39" w14:textId="77777777" w:rsidR="007055D5" w:rsidRPr="006A12D2" w:rsidRDefault="007055D5" w:rsidP="00A64613">
      <w:pPr>
        <w:pStyle w:val="Texte2cm"/>
        <w:keepNext w:val="0"/>
      </w:pPr>
    </w:p>
    <w:p w14:paraId="14D0E14A" w14:textId="52B2AEA9" w:rsidR="007055D5" w:rsidRPr="006A12D2" w:rsidRDefault="007055D5" w:rsidP="00A64613">
      <w:pPr>
        <w:pStyle w:val="Texte2cm"/>
        <w:keepNext w:val="0"/>
      </w:pPr>
      <w:r w:rsidRPr="006A12D2">
        <w:t>L</w:t>
      </w:r>
      <w:r w:rsidR="004A41E4" w:rsidRPr="006A12D2">
        <w:t>’</w:t>
      </w:r>
      <w:r w:rsidRPr="006A12D2">
        <w:t>enseignante ou l</w:t>
      </w:r>
      <w:r w:rsidR="004A41E4" w:rsidRPr="006A12D2">
        <w:t>’</w:t>
      </w:r>
      <w:r w:rsidRPr="006A12D2">
        <w:t>enseignant peut prolonger son congé sans traitement jusqu</w:t>
      </w:r>
      <w:r w:rsidR="004A41E4" w:rsidRPr="006A12D2">
        <w:t>’</w:t>
      </w:r>
      <w:r w:rsidRPr="006A12D2">
        <w:t>à concurrence de cent quatre</w:t>
      </w:r>
      <w:r w:rsidR="00680672">
        <w:t> </w:t>
      </w:r>
      <w:r w:rsidRPr="006A12D2">
        <w:t>(104) semaines dans les cas suivants</w:t>
      </w:r>
      <w:r w:rsidR="00D8581B" w:rsidRPr="006A12D2">
        <w:t> :</w:t>
      </w:r>
    </w:p>
    <w:p w14:paraId="2C5F97D8" w14:textId="77777777" w:rsidR="007055D5" w:rsidRPr="006A12D2" w:rsidRDefault="007055D5" w:rsidP="00A64613">
      <w:pPr>
        <w:pStyle w:val="Texte2cm"/>
        <w:keepNext w:val="0"/>
      </w:pPr>
    </w:p>
    <w:p w14:paraId="6A5109A4" w14:textId="780F38A9" w:rsidR="007055D5" w:rsidRPr="006A12D2" w:rsidRDefault="00275751" w:rsidP="00A64613">
      <w:pPr>
        <w:keepNext w:val="0"/>
        <w:tabs>
          <w:tab w:val="left" w:pos="1701"/>
        </w:tabs>
        <w:ind w:left="1701" w:hanging="567"/>
        <w:rPr>
          <w:rFonts w:cs="Arial"/>
          <w:szCs w:val="24"/>
        </w:rPr>
      </w:pPr>
      <w:r w:rsidRPr="006A12D2">
        <w:rPr>
          <w:rFonts w:ascii="Symbol" w:hAnsi="Symbol" w:cs="Arial"/>
          <w:szCs w:val="24"/>
        </w:rPr>
        <w:t></w:t>
      </w:r>
      <w:r w:rsidRPr="006A12D2">
        <w:rPr>
          <w:rFonts w:ascii="Symbol" w:hAnsi="Symbol" w:cs="Arial"/>
          <w:szCs w:val="24"/>
        </w:rPr>
        <w:tab/>
      </w:r>
      <w:r w:rsidR="007055D5" w:rsidRPr="006A12D2">
        <w:rPr>
          <w:rFonts w:cs="Arial"/>
          <w:szCs w:val="24"/>
        </w:rPr>
        <w:t>si son enfant mineur est atteint d</w:t>
      </w:r>
      <w:r w:rsidR="004A41E4" w:rsidRPr="006A12D2">
        <w:rPr>
          <w:rFonts w:cs="Arial"/>
          <w:szCs w:val="24"/>
        </w:rPr>
        <w:t>’</w:t>
      </w:r>
      <w:r w:rsidR="007055D5" w:rsidRPr="006A12D2">
        <w:rPr>
          <w:rFonts w:cs="Arial"/>
          <w:szCs w:val="24"/>
        </w:rPr>
        <w:t>une maladie grave, potentiellement mortelle et attestée par un certificat médical;</w:t>
      </w:r>
      <w:r w:rsidR="001D4E4F" w:rsidRPr="006A12D2">
        <w:rPr>
          <w:rStyle w:val="FootnoteReference"/>
          <w:rFonts w:cs="Arial"/>
          <w:szCs w:val="24"/>
        </w:rPr>
        <w:footnoteReference w:id="25"/>
      </w:r>
    </w:p>
    <w:p w14:paraId="41EBC00E" w14:textId="77777777" w:rsidR="007055D5" w:rsidRPr="006A12D2" w:rsidRDefault="007055D5" w:rsidP="00A64613">
      <w:pPr>
        <w:keepNext w:val="0"/>
        <w:tabs>
          <w:tab w:val="left" w:pos="1701"/>
        </w:tabs>
        <w:ind w:left="1701" w:hanging="567"/>
        <w:rPr>
          <w:rFonts w:cs="Arial"/>
          <w:szCs w:val="24"/>
        </w:rPr>
      </w:pPr>
    </w:p>
    <w:p w14:paraId="0C33AD02" w14:textId="4B3951F2" w:rsidR="007055D5" w:rsidRPr="006A12D2" w:rsidRDefault="00275751" w:rsidP="00A64613">
      <w:pPr>
        <w:keepNext w:val="0"/>
        <w:tabs>
          <w:tab w:val="left" w:pos="1701"/>
        </w:tabs>
        <w:ind w:left="1701" w:hanging="567"/>
        <w:rPr>
          <w:rFonts w:cs="Arial"/>
          <w:szCs w:val="24"/>
        </w:rPr>
      </w:pPr>
      <w:r w:rsidRPr="006A12D2">
        <w:rPr>
          <w:rFonts w:ascii="Symbol" w:hAnsi="Symbol"/>
        </w:rPr>
        <w:t></w:t>
      </w:r>
      <w:r w:rsidRPr="006A12D2">
        <w:rPr>
          <w:rFonts w:ascii="Symbol" w:hAnsi="Symbol"/>
        </w:rPr>
        <w:tab/>
      </w:r>
      <w:r w:rsidR="007055D5" w:rsidRPr="006A12D2">
        <w:rPr>
          <w:rFonts w:cs="Arial"/>
          <w:szCs w:val="24"/>
        </w:rPr>
        <w:t>si sa présence est requise auprès de son enfant mineur qui a subi un préjudice corporel grave à l</w:t>
      </w:r>
      <w:r w:rsidR="004A41E4" w:rsidRPr="006A12D2">
        <w:rPr>
          <w:rFonts w:cs="Arial"/>
          <w:szCs w:val="24"/>
        </w:rPr>
        <w:t>’</w:t>
      </w:r>
      <w:r w:rsidR="007055D5" w:rsidRPr="006A12D2">
        <w:rPr>
          <w:rFonts w:cs="Arial"/>
          <w:szCs w:val="24"/>
        </w:rPr>
        <w:t>occasion ou résultant directement d</w:t>
      </w:r>
      <w:r w:rsidR="004A41E4" w:rsidRPr="006A12D2">
        <w:rPr>
          <w:rFonts w:cs="Arial"/>
          <w:szCs w:val="24"/>
        </w:rPr>
        <w:t>’</w:t>
      </w:r>
      <w:r w:rsidR="007055D5" w:rsidRPr="006A12D2">
        <w:rPr>
          <w:rFonts w:cs="Arial"/>
          <w:szCs w:val="24"/>
        </w:rPr>
        <w:t>un acte criminel le rendant incapable d</w:t>
      </w:r>
      <w:r w:rsidR="004A41E4" w:rsidRPr="006A12D2">
        <w:rPr>
          <w:rFonts w:cs="Arial"/>
          <w:szCs w:val="24"/>
        </w:rPr>
        <w:t>’</w:t>
      </w:r>
      <w:r w:rsidR="007055D5" w:rsidRPr="006A12D2">
        <w:rPr>
          <w:rFonts w:cs="Arial"/>
          <w:szCs w:val="24"/>
        </w:rPr>
        <w:t>exercer ses activités régulières.</w:t>
      </w:r>
      <w:r w:rsidR="001F4D28" w:rsidRPr="006A12D2">
        <w:rPr>
          <w:rStyle w:val="FootnoteReference"/>
          <w:rFonts w:cs="Arial"/>
          <w:szCs w:val="24"/>
        </w:rPr>
        <w:footnoteReference w:id="26"/>
      </w:r>
    </w:p>
    <w:p w14:paraId="5D94E170" w14:textId="18ADC348" w:rsidR="00F1466A" w:rsidRPr="0012722C" w:rsidRDefault="00F1466A" w:rsidP="00A64613">
      <w:pPr>
        <w:keepNext w:val="0"/>
        <w:ind w:left="1134" w:hanging="567"/>
        <w:rPr>
          <w:rFonts w:cs="Arial"/>
        </w:rPr>
      </w:pPr>
      <w:r w:rsidRPr="006A12D2">
        <w:rPr>
          <w:rFonts w:cs="Arial"/>
        </w:rPr>
        <w:t>2.</w:t>
      </w:r>
      <w:r w:rsidRPr="006A12D2">
        <w:rPr>
          <w:rFonts w:cs="Arial"/>
        </w:rPr>
        <w:tab/>
        <w:t>L’enseignante ou l’enseignant peut s’absenter du travail pendant une période d’au plus vingt</w:t>
      </w:r>
      <w:r w:rsidR="00984A6F">
        <w:rPr>
          <w:rFonts w:cs="Arial"/>
        </w:rPr>
        <w:noBreakHyphen/>
      </w:r>
      <w:r w:rsidRPr="006A12D2">
        <w:rPr>
          <w:rFonts w:cs="Arial"/>
        </w:rPr>
        <w:t>sept</w:t>
      </w:r>
      <w:r w:rsidR="00680672">
        <w:rPr>
          <w:rFonts w:cs="Arial"/>
        </w:rPr>
        <w:t> </w:t>
      </w:r>
      <w:r w:rsidRPr="006A12D2">
        <w:rPr>
          <w:rFonts w:cs="Arial"/>
        </w:rPr>
        <w:t>(27) semaines sur une période de douze</w:t>
      </w:r>
      <w:r w:rsidR="00680672">
        <w:rPr>
          <w:rFonts w:cs="Arial"/>
        </w:rPr>
        <w:t> </w:t>
      </w:r>
      <w:r w:rsidRPr="006A12D2">
        <w:rPr>
          <w:rFonts w:cs="Arial"/>
        </w:rPr>
        <w:t>(12) mois lorsque sa présence est requise auprès d’un parent, autre que son enfant mineur, ou auprès d’une personne pour laquelle elle ou il agit comme proche aidant, en raison d’une maladie grave, potentiellement mortelle, attestée par un certificat médical.</w:t>
      </w:r>
      <w:r w:rsidRPr="006A12D2">
        <w:rPr>
          <w:rStyle w:val="FootnoteReference"/>
          <w:rFonts w:cs="Arial"/>
        </w:rPr>
        <w:footnoteReference w:id="27"/>
      </w:r>
      <w:r w:rsidRPr="0012722C">
        <w:rPr>
          <w:rFonts w:cs="Arial"/>
        </w:rPr>
        <w:t xml:space="preserve"> </w:t>
      </w:r>
    </w:p>
    <w:p w14:paraId="7AFD2C2E" w14:textId="77777777" w:rsidR="00F1466A" w:rsidRPr="00026EC1" w:rsidRDefault="00F1466A" w:rsidP="00A64613">
      <w:pPr>
        <w:keepNext w:val="0"/>
        <w:tabs>
          <w:tab w:val="left" w:pos="1701"/>
        </w:tabs>
        <w:ind w:left="1701" w:hanging="567"/>
      </w:pPr>
    </w:p>
    <w:p w14:paraId="3580E9FD" w14:textId="5F7EE296" w:rsidR="007055D5" w:rsidRPr="006A12D2" w:rsidRDefault="005D5A19" w:rsidP="00A64613">
      <w:pPr>
        <w:keepNext w:val="0"/>
        <w:ind w:left="1134" w:hanging="567"/>
        <w:rPr>
          <w:rFonts w:cs="Arial"/>
          <w:szCs w:val="24"/>
        </w:rPr>
      </w:pPr>
      <w:r w:rsidRPr="006A12D2">
        <w:rPr>
          <w:rFonts w:cs="Arial"/>
          <w:szCs w:val="24"/>
        </w:rPr>
        <w:t>3</w:t>
      </w:r>
      <w:r w:rsidR="00275751" w:rsidRPr="006A12D2">
        <w:rPr>
          <w:rFonts w:cs="Arial"/>
          <w:szCs w:val="24"/>
        </w:rPr>
        <w:t>.</w:t>
      </w:r>
      <w:r w:rsidR="00275751" w:rsidRPr="006A12D2">
        <w:rPr>
          <w:rFonts w:cs="Arial"/>
          <w:szCs w:val="24"/>
        </w:rPr>
        <w:tab/>
      </w:r>
      <w:r w:rsidR="007055D5" w:rsidRPr="006A12D2">
        <w:rPr>
          <w:rFonts w:cs="Arial"/>
          <w:szCs w:val="24"/>
        </w:rPr>
        <w:t xml:space="preserve">Un congé sans traitement </w:t>
      </w:r>
      <w:r w:rsidR="007055D5" w:rsidRPr="006A12D2">
        <w:rPr>
          <w:rFonts w:cs="Arial"/>
        </w:rPr>
        <w:t>d</w:t>
      </w:r>
      <w:r w:rsidR="004A41E4" w:rsidRPr="006A12D2">
        <w:rPr>
          <w:rFonts w:cs="Arial"/>
        </w:rPr>
        <w:t>’</w:t>
      </w:r>
      <w:r w:rsidR="007055D5" w:rsidRPr="006A12D2">
        <w:rPr>
          <w:rFonts w:cs="Arial"/>
        </w:rPr>
        <w:t xml:space="preserve">une durée maximale de </w:t>
      </w:r>
      <w:r w:rsidR="00874FF8" w:rsidRPr="006A12D2">
        <w:rPr>
          <w:rFonts w:cs="Arial"/>
        </w:rPr>
        <w:t>cent quatre</w:t>
      </w:r>
      <w:r w:rsidR="00680672">
        <w:rPr>
          <w:rFonts w:cs="Arial"/>
        </w:rPr>
        <w:t> </w:t>
      </w:r>
      <w:r w:rsidR="0056780C" w:rsidRPr="006A12D2">
        <w:rPr>
          <w:rFonts w:cs="Arial"/>
        </w:rPr>
        <w:t xml:space="preserve">(104) </w:t>
      </w:r>
      <w:r w:rsidR="007055D5" w:rsidRPr="006A12D2">
        <w:rPr>
          <w:rFonts w:cs="Arial"/>
        </w:rPr>
        <w:t>semaines est accordé à l</w:t>
      </w:r>
      <w:r w:rsidR="004A41E4" w:rsidRPr="006A12D2">
        <w:rPr>
          <w:rFonts w:cs="Arial"/>
        </w:rPr>
        <w:t>’</w:t>
      </w:r>
      <w:r w:rsidR="007055D5" w:rsidRPr="006A12D2">
        <w:rPr>
          <w:rFonts w:cs="Arial"/>
        </w:rPr>
        <w:t>enseignante ou l</w:t>
      </w:r>
      <w:r w:rsidR="004A41E4" w:rsidRPr="006A12D2">
        <w:rPr>
          <w:rFonts w:cs="Arial"/>
        </w:rPr>
        <w:t>’</w:t>
      </w:r>
      <w:r w:rsidR="007055D5" w:rsidRPr="006A12D2">
        <w:rPr>
          <w:rFonts w:cs="Arial"/>
        </w:rPr>
        <w:t>enseignant si son enfant mineur est disparu</w:t>
      </w:r>
      <w:r w:rsidR="005E200F">
        <w:rPr>
          <w:rFonts w:cs="Arial"/>
        </w:rPr>
        <w:t>.</w:t>
      </w:r>
      <w:r w:rsidR="007055D5" w:rsidRPr="006A12D2">
        <w:rPr>
          <w:rStyle w:val="FootnoteReference"/>
          <w:rFonts w:cs="Arial"/>
          <w:szCs w:val="24"/>
        </w:rPr>
        <w:footnoteReference w:id="28"/>
      </w:r>
    </w:p>
    <w:p w14:paraId="2D9D5498" w14:textId="77777777" w:rsidR="007055D5" w:rsidRPr="006A12D2" w:rsidRDefault="007055D5" w:rsidP="00A64613">
      <w:pPr>
        <w:pStyle w:val="Texte2cm"/>
        <w:keepNext w:val="0"/>
      </w:pPr>
    </w:p>
    <w:p w14:paraId="07C32237" w14:textId="34646055" w:rsidR="007055D5" w:rsidRPr="006A12D2" w:rsidRDefault="007055D5" w:rsidP="00A64613">
      <w:pPr>
        <w:pStyle w:val="Texte2cm"/>
        <w:keepNext w:val="0"/>
        <w:rPr>
          <w:vertAlign w:val="superscript"/>
        </w:rPr>
      </w:pPr>
      <w:r w:rsidRPr="006A12D2">
        <w:t>Si l</w:t>
      </w:r>
      <w:r w:rsidR="004A41E4" w:rsidRPr="006A12D2">
        <w:t>’</w:t>
      </w:r>
      <w:r w:rsidRPr="006A12D2">
        <w:t>enfant est retrouvé avant l</w:t>
      </w:r>
      <w:r w:rsidR="004A41E4" w:rsidRPr="006A12D2">
        <w:t>’</w:t>
      </w:r>
      <w:r w:rsidRPr="006A12D2">
        <w:t xml:space="preserve">expiration de la durée maximale de </w:t>
      </w:r>
      <w:r w:rsidR="003F051B" w:rsidRPr="006A12D2">
        <w:rPr>
          <w:rFonts w:cs="Arial"/>
        </w:rPr>
        <w:t>cent quatre</w:t>
      </w:r>
      <w:r w:rsidR="00680672">
        <w:rPr>
          <w:rFonts w:cs="Arial"/>
        </w:rPr>
        <w:t> </w:t>
      </w:r>
      <w:r w:rsidR="003F051B" w:rsidRPr="006A12D2">
        <w:rPr>
          <w:rFonts w:cs="Arial"/>
        </w:rPr>
        <w:t xml:space="preserve">(104) </w:t>
      </w:r>
      <w:r w:rsidRPr="006A12D2">
        <w:t>semaines, le congé prend fin à compter de la</w:t>
      </w:r>
      <w:r w:rsidR="0084520F" w:rsidRPr="006A12D2">
        <w:t xml:space="preserve"> onzième</w:t>
      </w:r>
      <w:r w:rsidR="00680672">
        <w:t> </w:t>
      </w:r>
      <w:r w:rsidR="0084520F" w:rsidRPr="006A12D2">
        <w:t>(</w:t>
      </w:r>
      <w:r w:rsidRPr="006A12D2">
        <w:t>11</w:t>
      </w:r>
      <w:r w:rsidRPr="006A12D2">
        <w:rPr>
          <w:vertAlign w:val="superscript"/>
        </w:rPr>
        <w:t>e</w:t>
      </w:r>
      <w:r w:rsidR="0084520F" w:rsidRPr="006A12D2">
        <w:t xml:space="preserve">) </w:t>
      </w:r>
      <w:r w:rsidRPr="006A12D2">
        <w:t>journée qui suit.</w:t>
      </w:r>
      <w:r w:rsidR="00457F85">
        <w:rPr>
          <w:vertAlign w:val="superscript"/>
        </w:rPr>
        <w:t>2</w:t>
      </w:r>
    </w:p>
    <w:p w14:paraId="64044709" w14:textId="77777777" w:rsidR="007055D5" w:rsidRPr="006A12D2" w:rsidRDefault="007055D5" w:rsidP="00A64613">
      <w:pPr>
        <w:pStyle w:val="Texte2cm"/>
        <w:keepNext w:val="0"/>
      </w:pPr>
    </w:p>
    <w:p w14:paraId="132600CF" w14:textId="7EE0262C" w:rsidR="007055D5" w:rsidRPr="006A12D2" w:rsidRDefault="005D5A19" w:rsidP="00A64613">
      <w:pPr>
        <w:keepNext w:val="0"/>
        <w:ind w:left="1134" w:hanging="567"/>
        <w:rPr>
          <w:rFonts w:cs="Arial"/>
          <w:szCs w:val="24"/>
        </w:rPr>
      </w:pPr>
      <w:r w:rsidRPr="006A12D2">
        <w:rPr>
          <w:rFonts w:cs="Arial"/>
          <w:szCs w:val="24"/>
        </w:rPr>
        <w:t>4</w:t>
      </w:r>
      <w:r w:rsidR="00275751" w:rsidRPr="006A12D2">
        <w:rPr>
          <w:rFonts w:cs="Arial"/>
          <w:szCs w:val="24"/>
        </w:rPr>
        <w:t>.</w:t>
      </w:r>
      <w:r w:rsidR="00275751" w:rsidRPr="006A12D2">
        <w:rPr>
          <w:rFonts w:cs="Arial"/>
          <w:szCs w:val="24"/>
        </w:rPr>
        <w:tab/>
      </w:r>
      <w:r w:rsidR="007055D5" w:rsidRPr="006A12D2">
        <w:rPr>
          <w:rFonts w:cs="Arial"/>
          <w:szCs w:val="24"/>
        </w:rPr>
        <w:t xml:space="preserve">Un congé sans traitement </w:t>
      </w:r>
      <w:r w:rsidR="007055D5" w:rsidRPr="006A12D2">
        <w:rPr>
          <w:rFonts w:cs="Arial"/>
        </w:rPr>
        <w:t>d</w:t>
      </w:r>
      <w:r w:rsidR="004A41E4" w:rsidRPr="006A12D2">
        <w:rPr>
          <w:rFonts w:cs="Arial"/>
        </w:rPr>
        <w:t>’</w:t>
      </w:r>
      <w:r w:rsidR="007055D5" w:rsidRPr="006A12D2">
        <w:rPr>
          <w:rFonts w:cs="Arial"/>
        </w:rPr>
        <w:t xml:space="preserve">une durée maximale de </w:t>
      </w:r>
      <w:r w:rsidR="00B76FD8" w:rsidRPr="006A12D2">
        <w:rPr>
          <w:rFonts w:cs="Arial"/>
        </w:rPr>
        <w:t>cent quatre</w:t>
      </w:r>
      <w:r w:rsidR="00680672">
        <w:rPr>
          <w:rFonts w:cs="Arial"/>
        </w:rPr>
        <w:t> </w:t>
      </w:r>
      <w:r w:rsidR="00B76FD8" w:rsidRPr="006A12D2">
        <w:rPr>
          <w:rFonts w:cs="Arial"/>
        </w:rPr>
        <w:t xml:space="preserve">(104) </w:t>
      </w:r>
      <w:r w:rsidR="007055D5" w:rsidRPr="006A12D2">
        <w:rPr>
          <w:rFonts w:cs="Arial"/>
        </w:rPr>
        <w:t>semaines est accordé à l</w:t>
      </w:r>
      <w:r w:rsidR="004A41E4" w:rsidRPr="006A12D2">
        <w:rPr>
          <w:rFonts w:cs="Arial"/>
        </w:rPr>
        <w:t>’</w:t>
      </w:r>
      <w:r w:rsidR="007055D5" w:rsidRPr="006A12D2">
        <w:rPr>
          <w:rFonts w:cs="Arial"/>
        </w:rPr>
        <w:t>enseignante ou l</w:t>
      </w:r>
      <w:r w:rsidR="004A41E4" w:rsidRPr="006A12D2">
        <w:rPr>
          <w:rFonts w:cs="Arial"/>
        </w:rPr>
        <w:t>’</w:t>
      </w:r>
      <w:r w:rsidR="007055D5" w:rsidRPr="006A12D2">
        <w:rPr>
          <w:rFonts w:cs="Arial"/>
        </w:rPr>
        <w:t>enseignant si son enfant</w:t>
      </w:r>
      <w:r w:rsidR="00567977" w:rsidRPr="006A12D2">
        <w:rPr>
          <w:rFonts w:cs="Arial"/>
        </w:rPr>
        <w:t xml:space="preserve"> majeur</w:t>
      </w:r>
      <w:r w:rsidR="007055D5" w:rsidRPr="006A12D2">
        <w:rPr>
          <w:rFonts w:cs="Arial"/>
        </w:rPr>
        <w:t>, sa conjointe ou son conjoint</w:t>
      </w:r>
      <w:r w:rsidR="00F3399E" w:rsidRPr="006A12D2">
        <w:rPr>
          <w:rFonts w:cs="Arial"/>
        </w:rPr>
        <w:t>, son père</w:t>
      </w:r>
      <w:r w:rsidR="00D03E2F" w:rsidRPr="006A12D2">
        <w:rPr>
          <w:rFonts w:cs="Arial"/>
        </w:rPr>
        <w:t xml:space="preserve"> ou sa mère</w:t>
      </w:r>
      <w:r w:rsidR="007055D5" w:rsidRPr="006A12D2">
        <w:rPr>
          <w:rFonts w:cs="Arial"/>
        </w:rPr>
        <w:t xml:space="preserve"> décède par suicide</w:t>
      </w:r>
      <w:r w:rsidR="00BD3F5C">
        <w:rPr>
          <w:rFonts w:cs="Arial"/>
        </w:rPr>
        <w:t>.</w:t>
      </w:r>
      <w:r w:rsidR="007055D5" w:rsidRPr="006A12D2">
        <w:rPr>
          <w:rStyle w:val="FootnoteReference"/>
          <w:rFonts w:cs="Arial"/>
        </w:rPr>
        <w:footnoteReference w:id="29"/>
      </w:r>
    </w:p>
    <w:p w14:paraId="33F9C530" w14:textId="77777777" w:rsidR="007055D5" w:rsidRPr="006A12D2" w:rsidRDefault="007055D5" w:rsidP="00A64613">
      <w:pPr>
        <w:pStyle w:val="Texte2cm"/>
        <w:keepNext w:val="0"/>
        <w:rPr>
          <w:rFonts w:cs="Arial"/>
          <w:szCs w:val="24"/>
        </w:rPr>
      </w:pPr>
    </w:p>
    <w:p w14:paraId="100EA0ED" w14:textId="4C0505AC" w:rsidR="007055D5" w:rsidRPr="006A12D2" w:rsidRDefault="005F3AB2" w:rsidP="00A64613">
      <w:pPr>
        <w:keepNext w:val="0"/>
        <w:ind w:left="1134" w:hanging="567"/>
        <w:rPr>
          <w:rFonts w:cs="Arial"/>
        </w:rPr>
      </w:pPr>
      <w:r>
        <w:rPr>
          <w:rFonts w:cs="Arial"/>
          <w:szCs w:val="24"/>
        </w:rPr>
        <w:t>5</w:t>
      </w:r>
      <w:r w:rsidR="00275751" w:rsidRPr="006A12D2">
        <w:rPr>
          <w:rFonts w:cs="Arial"/>
          <w:szCs w:val="24"/>
        </w:rPr>
        <w:t>.</w:t>
      </w:r>
      <w:r w:rsidR="00275751" w:rsidRPr="006A12D2">
        <w:rPr>
          <w:rFonts w:cs="Arial"/>
          <w:szCs w:val="24"/>
        </w:rPr>
        <w:tab/>
      </w:r>
      <w:r w:rsidR="007055D5" w:rsidRPr="006A12D2">
        <w:rPr>
          <w:rFonts w:cs="Arial"/>
          <w:szCs w:val="24"/>
        </w:rPr>
        <w:t>Un congé sans traitement d</w:t>
      </w:r>
      <w:r w:rsidR="004A41E4" w:rsidRPr="006A12D2">
        <w:rPr>
          <w:rFonts w:cs="Arial"/>
          <w:szCs w:val="24"/>
        </w:rPr>
        <w:t>’</w:t>
      </w:r>
      <w:r w:rsidR="007055D5" w:rsidRPr="006A12D2">
        <w:rPr>
          <w:rFonts w:cs="Arial"/>
          <w:szCs w:val="24"/>
        </w:rPr>
        <w:t>une durée maximale de cent quatre</w:t>
      </w:r>
      <w:r w:rsidR="00680672">
        <w:rPr>
          <w:rFonts w:cs="Arial"/>
          <w:szCs w:val="24"/>
        </w:rPr>
        <w:t> </w:t>
      </w:r>
      <w:r w:rsidR="007055D5" w:rsidRPr="006A12D2">
        <w:rPr>
          <w:rFonts w:cs="Arial"/>
          <w:szCs w:val="24"/>
        </w:rPr>
        <w:t xml:space="preserve">(104) semaines </w:t>
      </w:r>
      <w:r w:rsidR="007055D5" w:rsidRPr="006A12D2">
        <w:rPr>
          <w:rFonts w:cs="Arial"/>
        </w:rPr>
        <w:t>est accordé à l</w:t>
      </w:r>
      <w:r w:rsidR="004A41E4" w:rsidRPr="006A12D2">
        <w:rPr>
          <w:rFonts w:cs="Arial"/>
        </w:rPr>
        <w:t>’</w:t>
      </w:r>
      <w:r w:rsidR="007055D5" w:rsidRPr="006A12D2">
        <w:rPr>
          <w:rFonts w:cs="Arial"/>
        </w:rPr>
        <w:t>enseignante ou l</w:t>
      </w:r>
      <w:r w:rsidR="004A41E4" w:rsidRPr="006A12D2">
        <w:rPr>
          <w:rFonts w:cs="Arial"/>
        </w:rPr>
        <w:t>’</w:t>
      </w:r>
      <w:r w:rsidR="007055D5" w:rsidRPr="006A12D2">
        <w:rPr>
          <w:rFonts w:cs="Arial"/>
        </w:rPr>
        <w:t>enseignant si le décès de sa conjointe ou de son conjoint ou le décès de son enfant</w:t>
      </w:r>
      <w:r w:rsidR="00935F52" w:rsidRPr="006A12D2">
        <w:rPr>
          <w:rFonts w:cs="Arial"/>
        </w:rPr>
        <w:t xml:space="preserve"> majeur</w:t>
      </w:r>
      <w:r w:rsidR="007055D5" w:rsidRPr="006A12D2">
        <w:rPr>
          <w:rFonts w:cs="Arial"/>
        </w:rPr>
        <w:t xml:space="preserve"> se produit à l</w:t>
      </w:r>
      <w:r w:rsidR="004A41E4" w:rsidRPr="006A12D2">
        <w:rPr>
          <w:rFonts w:cs="Arial"/>
        </w:rPr>
        <w:t>’</w:t>
      </w:r>
      <w:r w:rsidR="007055D5" w:rsidRPr="006A12D2">
        <w:rPr>
          <w:rFonts w:cs="Arial"/>
        </w:rPr>
        <w:t>occasion ou résulte directement d</w:t>
      </w:r>
      <w:r w:rsidR="004A41E4" w:rsidRPr="006A12D2">
        <w:rPr>
          <w:rFonts w:cs="Arial"/>
        </w:rPr>
        <w:t>’</w:t>
      </w:r>
      <w:r w:rsidR="007055D5" w:rsidRPr="006A12D2">
        <w:rPr>
          <w:rFonts w:cs="Arial"/>
        </w:rPr>
        <w:t>un acte criminel</w:t>
      </w:r>
      <w:r w:rsidR="00BD3F5C">
        <w:rPr>
          <w:rFonts w:cs="Arial"/>
        </w:rPr>
        <w:t>.</w:t>
      </w:r>
      <w:r w:rsidR="007055D5" w:rsidRPr="006A12D2">
        <w:rPr>
          <w:rStyle w:val="FootnoteReference"/>
          <w:rFonts w:cs="Arial"/>
        </w:rPr>
        <w:footnoteReference w:id="30"/>
      </w:r>
    </w:p>
    <w:p w14:paraId="21CACBA6" w14:textId="77777777" w:rsidR="00A15F72" w:rsidRPr="006A12D2" w:rsidRDefault="00A15F72" w:rsidP="00A64613">
      <w:pPr>
        <w:keepNext w:val="0"/>
        <w:ind w:left="1134" w:hanging="567"/>
        <w:rPr>
          <w:rFonts w:cs="Arial"/>
        </w:rPr>
      </w:pPr>
    </w:p>
    <w:p w14:paraId="05EA8330" w14:textId="665598D4" w:rsidR="00A15F72" w:rsidRDefault="005F3AB2" w:rsidP="00A64613">
      <w:pPr>
        <w:keepNext w:val="0"/>
        <w:ind w:left="1134" w:hanging="567"/>
        <w:rPr>
          <w:rFonts w:cs="Arial"/>
          <w:szCs w:val="24"/>
        </w:rPr>
      </w:pPr>
      <w:r>
        <w:rPr>
          <w:rFonts w:cs="Arial"/>
          <w:szCs w:val="24"/>
        </w:rPr>
        <w:t>6</w:t>
      </w:r>
      <w:r w:rsidR="00A15F72" w:rsidRPr="006A12D2">
        <w:rPr>
          <w:rFonts w:cs="Arial"/>
          <w:szCs w:val="24"/>
        </w:rPr>
        <w:t>.</w:t>
      </w:r>
      <w:r w:rsidR="00A15F72" w:rsidRPr="006A12D2">
        <w:rPr>
          <w:rFonts w:cs="Arial"/>
          <w:szCs w:val="24"/>
        </w:rPr>
        <w:tab/>
        <w:t>Un congé sans traitement d’une durée maximale de cent quatre</w:t>
      </w:r>
      <w:r w:rsidR="00680672">
        <w:rPr>
          <w:rFonts w:cs="Arial"/>
          <w:szCs w:val="24"/>
        </w:rPr>
        <w:t> </w:t>
      </w:r>
      <w:r w:rsidR="00A15F72" w:rsidRPr="006A12D2">
        <w:rPr>
          <w:rFonts w:cs="Arial"/>
          <w:szCs w:val="24"/>
        </w:rPr>
        <w:t>(104) semaines est accordé à l’enseignante ou l’enseignant pour le décès de son enfant mineur.</w:t>
      </w:r>
      <w:r w:rsidR="00BC3387" w:rsidRPr="006A12D2">
        <w:rPr>
          <w:rStyle w:val="FootnoteReference"/>
          <w:rFonts w:cs="Arial"/>
          <w:szCs w:val="24"/>
        </w:rPr>
        <w:footnoteReference w:id="31"/>
      </w:r>
    </w:p>
    <w:p w14:paraId="7CD4F8DE" w14:textId="77777777" w:rsidR="00A247AC" w:rsidRPr="00A15F72" w:rsidRDefault="00A247AC" w:rsidP="00A64613">
      <w:pPr>
        <w:keepNext w:val="0"/>
        <w:ind w:left="1134" w:hanging="567"/>
        <w:rPr>
          <w:rFonts w:cs="Arial"/>
          <w:szCs w:val="24"/>
        </w:rPr>
      </w:pPr>
    </w:p>
    <w:p w14:paraId="7BAFE5AE" w14:textId="27FD1A7F" w:rsidR="00A247AC" w:rsidRPr="00316277" w:rsidRDefault="00A247AC" w:rsidP="00FD6AFF">
      <w:pPr>
        <w:keepNext w:val="0"/>
        <w:rPr>
          <w:b/>
          <w:bCs/>
          <w:u w:val="single"/>
        </w:rPr>
      </w:pPr>
      <w:bookmarkStart w:id="476" w:name="_Toc161323695"/>
      <w:r w:rsidRPr="00316277">
        <w:rPr>
          <w:b/>
          <w:bCs/>
          <w:u w:val="single"/>
        </w:rPr>
        <w:t xml:space="preserve">Congé pour </w:t>
      </w:r>
      <w:r w:rsidR="00F0423A" w:rsidRPr="00316277">
        <w:rPr>
          <w:b/>
          <w:bCs/>
          <w:u w:val="single"/>
        </w:rPr>
        <w:t>cause de vio</w:t>
      </w:r>
      <w:r w:rsidRPr="00316277">
        <w:rPr>
          <w:b/>
          <w:bCs/>
          <w:u w:val="single"/>
        </w:rPr>
        <w:t>lence</w:t>
      </w:r>
      <w:r w:rsidR="00F0423A" w:rsidRPr="00316277">
        <w:rPr>
          <w:b/>
          <w:bCs/>
          <w:u w:val="single"/>
        </w:rPr>
        <w:t xml:space="preserve"> à caractère sexuel ou de violence </w:t>
      </w:r>
      <w:r w:rsidRPr="00316277">
        <w:rPr>
          <w:b/>
          <w:bCs/>
          <w:u w:val="single"/>
        </w:rPr>
        <w:t>conjugale</w:t>
      </w:r>
      <w:bookmarkEnd w:id="476"/>
    </w:p>
    <w:p w14:paraId="4EEA43F9" w14:textId="77777777" w:rsidR="00F0423A" w:rsidRPr="00316277" w:rsidRDefault="00F0423A" w:rsidP="00FD6AFF">
      <w:pPr>
        <w:keepNext w:val="0"/>
        <w:rPr>
          <w:b/>
          <w:bCs/>
          <w:u w:val="single"/>
        </w:rPr>
      </w:pPr>
    </w:p>
    <w:p w14:paraId="3AE1DD10" w14:textId="65271795" w:rsidR="00A15F72" w:rsidRDefault="00A247AC" w:rsidP="004201F5">
      <w:pPr>
        <w:keepNext w:val="0"/>
        <w:ind w:left="567" w:hanging="567"/>
        <w:rPr>
          <w:rFonts w:cs="Arial"/>
          <w:szCs w:val="24"/>
        </w:rPr>
      </w:pPr>
      <w:r w:rsidRPr="00316277">
        <w:rPr>
          <w:rFonts w:cs="Arial"/>
          <w:szCs w:val="24"/>
        </w:rPr>
        <w:t xml:space="preserve">C) </w:t>
      </w:r>
      <w:r w:rsidRPr="00316277">
        <w:rPr>
          <w:rFonts w:cs="Arial"/>
          <w:szCs w:val="24"/>
        </w:rPr>
        <w:tab/>
      </w:r>
      <w:r w:rsidR="004201F5" w:rsidRPr="00316277">
        <w:rPr>
          <w:rFonts w:cs="Arial"/>
          <w:szCs w:val="24"/>
        </w:rPr>
        <w:t>L’enseignante ou l’enseignant peut s’absenter du travail pendant une période d’au plus vingt-six (26) semaines sur une période de douze (12) mois pour cause de violence à caractère sexuel ou de violence conjugale dont elle ou il a été victime</w:t>
      </w:r>
      <w:r w:rsidR="00F0423A" w:rsidRPr="00316277">
        <w:rPr>
          <w:rStyle w:val="FootnoteReference"/>
          <w:rFonts w:cs="Arial"/>
          <w:szCs w:val="24"/>
        </w:rPr>
        <w:footnoteReference w:id="32"/>
      </w:r>
      <w:r w:rsidR="004201F5" w:rsidRPr="00316277">
        <w:rPr>
          <w:rFonts w:cs="Arial"/>
          <w:szCs w:val="24"/>
        </w:rPr>
        <w:t>.</w:t>
      </w:r>
    </w:p>
    <w:p w14:paraId="50CCB8B3" w14:textId="77777777" w:rsidR="004201F5" w:rsidRPr="00A247AC" w:rsidRDefault="004201F5" w:rsidP="004201F5">
      <w:pPr>
        <w:keepNext w:val="0"/>
        <w:ind w:left="567" w:hanging="567"/>
        <w:rPr>
          <w:rFonts w:cs="Arial"/>
          <w:szCs w:val="24"/>
        </w:rPr>
      </w:pPr>
    </w:p>
    <w:p w14:paraId="6BB450D7" w14:textId="15DFD9AE" w:rsidR="007055D5" w:rsidRPr="00026EC1" w:rsidRDefault="007055D5" w:rsidP="00A64613">
      <w:pPr>
        <w:pStyle w:val="NUMRODECLAUSE"/>
        <w:keepNext w:val="0"/>
      </w:pPr>
      <w:r w:rsidRPr="00026EC1">
        <w:t>5</w:t>
      </w:r>
      <w:r w:rsidR="00984A6F">
        <w:noBreakHyphen/>
      </w:r>
      <w:r w:rsidRPr="00026EC1">
        <w:t>9.07</w:t>
      </w:r>
    </w:p>
    <w:p w14:paraId="7F8E2D8E" w14:textId="142F573A" w:rsidR="007055D5" w:rsidRPr="00026EC1" w:rsidRDefault="007055D5" w:rsidP="00A64613">
      <w:pPr>
        <w:keepNext w:val="0"/>
      </w:pPr>
      <w:r w:rsidRPr="00026EC1">
        <w:t>Durant les congés prévus à la clause</w:t>
      </w:r>
      <w:r w:rsidR="009E45A2" w:rsidRPr="00026EC1">
        <w:t> </w:t>
      </w:r>
      <w:r w:rsidRPr="00026EC1">
        <w:t>5</w:t>
      </w:r>
      <w:r w:rsidR="00984A6F">
        <w:noBreakHyphen/>
      </w:r>
      <w:r w:rsidRPr="00026EC1">
        <w:t>9.06, l</w:t>
      </w:r>
      <w:r w:rsidR="004A41E4" w:rsidRPr="00026EC1">
        <w:t>’</w:t>
      </w:r>
      <w:r w:rsidRPr="00026EC1">
        <w:t>enseignante ou l</w:t>
      </w:r>
      <w:r w:rsidR="004A41E4" w:rsidRPr="00026EC1">
        <w:t>’</w:t>
      </w:r>
      <w:r w:rsidRPr="00026EC1">
        <w:t>enseignant</w:t>
      </w:r>
      <w:r w:rsidR="00D8581B">
        <w:t> :</w:t>
      </w:r>
    </w:p>
    <w:p w14:paraId="0C769EB2" w14:textId="77777777" w:rsidR="007055D5" w:rsidRPr="00026EC1" w:rsidRDefault="007055D5" w:rsidP="00A64613">
      <w:pPr>
        <w:keepNext w:val="0"/>
      </w:pPr>
    </w:p>
    <w:p w14:paraId="3DB2BAC0" w14:textId="77777777" w:rsidR="007055D5" w:rsidRPr="00026EC1" w:rsidRDefault="00275751" w:rsidP="00A64613">
      <w:pPr>
        <w:keepNext w:val="0"/>
        <w:ind w:left="567" w:hanging="567"/>
        <w:rPr>
          <w:rFonts w:cs="Arial"/>
          <w:szCs w:val="24"/>
        </w:rPr>
      </w:pPr>
      <w:r w:rsidRPr="00026EC1">
        <w:rPr>
          <w:rFonts w:ascii="Verdana" w:hAnsi="Verdana" w:cs="Arial"/>
          <w:szCs w:val="24"/>
        </w:rPr>
        <w:t>–</w:t>
      </w:r>
      <w:r w:rsidRPr="00026EC1">
        <w:rPr>
          <w:rFonts w:ascii="Verdana" w:hAnsi="Verdana" w:cs="Arial"/>
          <w:szCs w:val="24"/>
        </w:rPr>
        <w:tab/>
      </w:r>
      <w:r w:rsidR="007055D5" w:rsidRPr="00026EC1">
        <w:rPr>
          <w:rFonts w:cs="Arial"/>
          <w:szCs w:val="24"/>
        </w:rPr>
        <w:t>accumule son ancienneté et son expérience;</w:t>
      </w:r>
    </w:p>
    <w:p w14:paraId="0CB33869" w14:textId="77777777" w:rsidR="007055D5" w:rsidRPr="00026EC1" w:rsidRDefault="007055D5" w:rsidP="00A64613">
      <w:pPr>
        <w:keepNext w:val="0"/>
        <w:ind w:left="567" w:hanging="567"/>
        <w:rPr>
          <w:rFonts w:cs="Arial"/>
          <w:szCs w:val="24"/>
        </w:rPr>
      </w:pPr>
    </w:p>
    <w:p w14:paraId="5287D3C2" w14:textId="77777777" w:rsidR="007055D5" w:rsidRPr="00026EC1" w:rsidRDefault="00275751" w:rsidP="00A64613">
      <w:pPr>
        <w:keepNext w:val="0"/>
        <w:ind w:left="567" w:hanging="567"/>
        <w:rPr>
          <w:rFonts w:cs="Arial"/>
          <w:szCs w:val="24"/>
        </w:rPr>
      </w:pPr>
      <w:r w:rsidRPr="00026EC1">
        <w:rPr>
          <w:rFonts w:ascii="Verdana" w:hAnsi="Verdana" w:cs="Arial"/>
          <w:szCs w:val="24"/>
        </w:rPr>
        <w:t>–</w:t>
      </w:r>
      <w:r w:rsidRPr="00026EC1">
        <w:rPr>
          <w:rFonts w:ascii="Verdana" w:hAnsi="Verdana" w:cs="Arial"/>
          <w:szCs w:val="24"/>
        </w:rPr>
        <w:tab/>
      </w:r>
      <w:r w:rsidR="007055D5" w:rsidRPr="00026EC1">
        <w:rPr>
          <w:rFonts w:cs="Arial"/>
          <w:szCs w:val="24"/>
        </w:rPr>
        <w:t>a le droit de poser sa candidature à un poste ou à une charge d</w:t>
      </w:r>
      <w:r w:rsidR="004A41E4" w:rsidRPr="00026EC1">
        <w:rPr>
          <w:rFonts w:cs="Arial"/>
          <w:szCs w:val="24"/>
        </w:rPr>
        <w:t>’</w:t>
      </w:r>
      <w:r w:rsidR="007055D5" w:rsidRPr="00026EC1">
        <w:rPr>
          <w:rFonts w:cs="Arial"/>
          <w:szCs w:val="24"/>
        </w:rPr>
        <w:t>enseignement et de l</w:t>
      </w:r>
      <w:r w:rsidR="004A41E4" w:rsidRPr="00026EC1">
        <w:rPr>
          <w:rFonts w:cs="Arial"/>
          <w:szCs w:val="24"/>
        </w:rPr>
        <w:t>’</w:t>
      </w:r>
      <w:r w:rsidR="007055D5" w:rsidRPr="00026EC1">
        <w:rPr>
          <w:rFonts w:cs="Arial"/>
          <w:szCs w:val="24"/>
        </w:rPr>
        <w:t>obtenir conformément aux dispositions de la convention collective comme si elle ou il était au travail;</w:t>
      </w:r>
    </w:p>
    <w:p w14:paraId="3FD39B7C" w14:textId="77777777" w:rsidR="007055D5" w:rsidRPr="00026EC1" w:rsidRDefault="007055D5" w:rsidP="00A64613">
      <w:pPr>
        <w:keepNext w:val="0"/>
        <w:ind w:left="567" w:hanging="567"/>
        <w:rPr>
          <w:rFonts w:cs="Arial"/>
          <w:szCs w:val="24"/>
        </w:rPr>
      </w:pPr>
    </w:p>
    <w:p w14:paraId="3400AE01" w14:textId="001E98CB" w:rsidR="007055D5" w:rsidRDefault="00275751" w:rsidP="00A64613">
      <w:pPr>
        <w:keepNext w:val="0"/>
        <w:ind w:left="567" w:hanging="567"/>
        <w:rPr>
          <w:rFonts w:cs="Arial"/>
          <w:szCs w:val="24"/>
        </w:rPr>
      </w:pPr>
      <w:r w:rsidRPr="00026EC1">
        <w:rPr>
          <w:rFonts w:ascii="Verdana" w:hAnsi="Verdana" w:cs="Arial"/>
          <w:szCs w:val="24"/>
        </w:rPr>
        <w:t>–</w:t>
      </w:r>
      <w:r w:rsidRPr="00026EC1">
        <w:rPr>
          <w:rFonts w:ascii="Verdana" w:hAnsi="Verdana" w:cs="Arial"/>
          <w:szCs w:val="24"/>
        </w:rPr>
        <w:tab/>
      </w:r>
      <w:r w:rsidR="007055D5" w:rsidRPr="00026EC1">
        <w:rPr>
          <w:rFonts w:cs="Arial"/>
          <w:szCs w:val="24"/>
        </w:rPr>
        <w:t>sous réserve de la clause</w:t>
      </w:r>
      <w:r w:rsidR="009E45A2" w:rsidRPr="00026EC1">
        <w:rPr>
          <w:rFonts w:cs="Arial"/>
          <w:szCs w:val="24"/>
        </w:rPr>
        <w:t> </w:t>
      </w:r>
      <w:r w:rsidR="007055D5" w:rsidRPr="00026EC1">
        <w:rPr>
          <w:rFonts w:cs="Arial"/>
          <w:szCs w:val="24"/>
        </w:rPr>
        <w:t>5</w:t>
      </w:r>
      <w:r w:rsidR="00984A6F">
        <w:rPr>
          <w:rFonts w:cs="Arial"/>
          <w:szCs w:val="24"/>
        </w:rPr>
        <w:noBreakHyphen/>
      </w:r>
      <w:r w:rsidR="007055D5" w:rsidRPr="00026EC1">
        <w:rPr>
          <w:rFonts w:cs="Arial"/>
          <w:szCs w:val="24"/>
        </w:rPr>
        <w:t>5.15 et selon les dispositions de la clause</w:t>
      </w:r>
      <w:r w:rsidR="009E45A2" w:rsidRPr="00026EC1">
        <w:rPr>
          <w:rFonts w:cs="Arial"/>
          <w:szCs w:val="24"/>
        </w:rPr>
        <w:t> </w:t>
      </w:r>
      <w:r w:rsidR="007055D5" w:rsidRPr="00026EC1">
        <w:rPr>
          <w:rFonts w:cs="Arial"/>
          <w:szCs w:val="24"/>
        </w:rPr>
        <w:t>5</w:t>
      </w:r>
      <w:r w:rsidR="00984A6F">
        <w:rPr>
          <w:rFonts w:cs="Arial"/>
          <w:szCs w:val="24"/>
        </w:rPr>
        <w:noBreakHyphen/>
      </w:r>
      <w:r w:rsidR="007055D5" w:rsidRPr="00026EC1">
        <w:rPr>
          <w:rFonts w:cs="Arial"/>
          <w:szCs w:val="24"/>
        </w:rPr>
        <w:t>5.01, maintient sa participation au régime d</w:t>
      </w:r>
      <w:r w:rsidR="004A41E4" w:rsidRPr="00026EC1">
        <w:rPr>
          <w:rFonts w:cs="Arial"/>
          <w:szCs w:val="24"/>
        </w:rPr>
        <w:t>’</w:t>
      </w:r>
      <w:r w:rsidR="007055D5" w:rsidRPr="00026EC1">
        <w:rPr>
          <w:rFonts w:cs="Arial"/>
          <w:szCs w:val="24"/>
        </w:rPr>
        <w:t>assurance</w:t>
      </w:r>
      <w:r w:rsidR="00984A6F">
        <w:rPr>
          <w:rFonts w:cs="Arial"/>
          <w:szCs w:val="24"/>
        </w:rPr>
        <w:noBreakHyphen/>
      </w:r>
      <w:r w:rsidR="007055D5" w:rsidRPr="00026EC1">
        <w:rPr>
          <w:rFonts w:cs="Arial"/>
          <w:szCs w:val="24"/>
        </w:rPr>
        <w:t>maladie</w:t>
      </w:r>
      <w:r w:rsidR="00A33FA9">
        <w:rPr>
          <w:rFonts w:cs="Arial"/>
          <w:szCs w:val="24"/>
        </w:rPr>
        <w:t xml:space="preserve"> </w:t>
      </w:r>
      <w:r w:rsidR="00A33FA9" w:rsidRPr="00316277">
        <w:rPr>
          <w:rFonts w:cs="Arial"/>
          <w:szCs w:val="24"/>
        </w:rPr>
        <w:t>en versant sa quote-part des primes</w:t>
      </w:r>
      <w:r w:rsidR="007055D5" w:rsidRPr="00026EC1">
        <w:rPr>
          <w:rFonts w:cs="Arial"/>
          <w:szCs w:val="24"/>
        </w:rPr>
        <w:t>; elle ou il peut continuer de participer aux autres régimes d</w:t>
      </w:r>
      <w:r w:rsidR="004A41E4" w:rsidRPr="00026EC1">
        <w:rPr>
          <w:rFonts w:cs="Arial"/>
          <w:szCs w:val="24"/>
        </w:rPr>
        <w:t>’</w:t>
      </w:r>
      <w:r w:rsidR="007055D5" w:rsidRPr="00026EC1">
        <w:rPr>
          <w:rFonts w:cs="Arial"/>
          <w:szCs w:val="24"/>
        </w:rPr>
        <w:t>assurances qui lui sont applicables en le demandant au début du congé et en versant la totalité des primes.</w:t>
      </w:r>
    </w:p>
    <w:p w14:paraId="757F496C" w14:textId="77777777" w:rsidR="005A1219" w:rsidRDefault="005A1219" w:rsidP="00A64613">
      <w:pPr>
        <w:keepNext w:val="0"/>
        <w:ind w:left="567" w:hanging="567"/>
        <w:rPr>
          <w:rFonts w:cs="Arial"/>
          <w:szCs w:val="24"/>
        </w:rPr>
      </w:pPr>
    </w:p>
    <w:p w14:paraId="54A38D15" w14:textId="1963D3FF" w:rsidR="005A1219" w:rsidRPr="00316277" w:rsidRDefault="005A1219" w:rsidP="00BA69E2">
      <w:pPr>
        <w:ind w:right="57"/>
        <w:textAlignment w:val="baseline"/>
        <w:rPr>
          <w:rFonts w:cs="Arial"/>
          <w:lang w:eastAsia="fr-CA"/>
        </w:rPr>
      </w:pPr>
      <w:r w:rsidRPr="00316277">
        <w:rPr>
          <w:rFonts w:cs="Arial"/>
          <w:lang w:eastAsia="fr-CA"/>
        </w:rPr>
        <w:t>Les articles 79.13 à 79.16 de la Loi sur les normes du travail (RLRQ, chapitre N</w:t>
      </w:r>
      <w:r w:rsidRPr="00316277">
        <w:rPr>
          <w:rFonts w:cs="Arial"/>
          <w:lang w:eastAsia="fr-CA"/>
        </w:rPr>
        <w:noBreakHyphen/>
        <w:t>1.1)</w:t>
      </w:r>
      <w:r w:rsidR="00A27808" w:rsidRPr="00316277">
        <w:rPr>
          <w:rFonts w:cs="Arial"/>
          <w:lang w:eastAsia="fr-CA"/>
        </w:rPr>
        <w:t xml:space="preserve"> s’appliquent</w:t>
      </w:r>
      <w:r w:rsidRPr="00316277">
        <w:rPr>
          <w:rFonts w:cs="Arial"/>
          <w:lang w:eastAsia="fr-CA"/>
        </w:rPr>
        <w:t>.</w:t>
      </w:r>
    </w:p>
    <w:p w14:paraId="19201A8E" w14:textId="77777777" w:rsidR="007055D5" w:rsidRPr="00026EC1" w:rsidRDefault="007055D5" w:rsidP="00A64613">
      <w:pPr>
        <w:keepNext w:val="0"/>
        <w:rPr>
          <w:rFonts w:cs="Arial"/>
          <w:szCs w:val="24"/>
        </w:rPr>
      </w:pPr>
    </w:p>
    <w:p w14:paraId="7FA78A48" w14:textId="46FF7C31" w:rsidR="007055D5" w:rsidRPr="00026EC1" w:rsidRDefault="007055D5" w:rsidP="00A64613">
      <w:pPr>
        <w:keepNext w:val="0"/>
        <w:rPr>
          <w:rFonts w:cs="Arial"/>
          <w:szCs w:val="24"/>
        </w:rPr>
      </w:pPr>
      <w:r w:rsidRPr="00026EC1">
        <w:rPr>
          <w:rFonts w:cs="Arial"/>
          <w:szCs w:val="24"/>
        </w:rPr>
        <w:t>Au retour de l</w:t>
      </w:r>
      <w:r w:rsidR="004A41E4" w:rsidRPr="00026EC1">
        <w:rPr>
          <w:rFonts w:cs="Arial"/>
          <w:szCs w:val="24"/>
        </w:rPr>
        <w:t>’</w:t>
      </w:r>
      <w:r w:rsidRPr="00026EC1">
        <w:rPr>
          <w:rFonts w:cs="Arial"/>
          <w:szCs w:val="24"/>
        </w:rPr>
        <w:t>un ou l</w:t>
      </w:r>
      <w:r w:rsidR="004A41E4" w:rsidRPr="00026EC1">
        <w:rPr>
          <w:rFonts w:cs="Arial"/>
          <w:szCs w:val="24"/>
        </w:rPr>
        <w:t>’</w:t>
      </w:r>
      <w:r w:rsidRPr="00026EC1">
        <w:rPr>
          <w:rFonts w:cs="Arial"/>
          <w:szCs w:val="24"/>
        </w:rPr>
        <w:t>autre des congés prévus à la clause</w:t>
      </w:r>
      <w:r w:rsidR="009E45A2" w:rsidRPr="00026EC1">
        <w:rPr>
          <w:rFonts w:cs="Arial"/>
          <w:szCs w:val="24"/>
        </w:rPr>
        <w:t> </w:t>
      </w:r>
      <w:r w:rsidRPr="00026EC1">
        <w:rPr>
          <w:rFonts w:cs="Arial"/>
          <w:szCs w:val="24"/>
        </w:rPr>
        <w:t>5</w:t>
      </w:r>
      <w:r w:rsidR="00984A6F">
        <w:rPr>
          <w:rFonts w:cs="Arial"/>
          <w:szCs w:val="24"/>
        </w:rPr>
        <w:noBreakHyphen/>
      </w:r>
      <w:r w:rsidRPr="00026EC1">
        <w:rPr>
          <w:rFonts w:cs="Arial"/>
          <w:szCs w:val="24"/>
        </w:rPr>
        <w:t>9.06, l</w:t>
      </w:r>
      <w:r w:rsidR="004A41E4" w:rsidRPr="00026EC1">
        <w:rPr>
          <w:rFonts w:cs="Arial"/>
          <w:szCs w:val="24"/>
        </w:rPr>
        <w:t>’</w:t>
      </w:r>
      <w:r w:rsidRPr="00026EC1">
        <w:rPr>
          <w:rFonts w:cs="Arial"/>
          <w:szCs w:val="24"/>
        </w:rPr>
        <w:t>enseignante ou l</w:t>
      </w:r>
      <w:r w:rsidR="004A41E4" w:rsidRPr="00026EC1">
        <w:rPr>
          <w:rFonts w:cs="Arial"/>
          <w:szCs w:val="24"/>
        </w:rPr>
        <w:t>’</w:t>
      </w:r>
      <w:r w:rsidRPr="00026EC1">
        <w:rPr>
          <w:rFonts w:cs="Arial"/>
          <w:szCs w:val="24"/>
        </w:rPr>
        <w:t>enseignant reprend soit son poste ou sa charge, soit le poste ou la charge qu</w:t>
      </w:r>
      <w:r w:rsidR="004A41E4" w:rsidRPr="00026EC1">
        <w:rPr>
          <w:rFonts w:cs="Arial"/>
          <w:szCs w:val="24"/>
        </w:rPr>
        <w:t>’</w:t>
      </w:r>
      <w:r w:rsidRPr="00026EC1">
        <w:rPr>
          <w:rFonts w:cs="Arial"/>
          <w:szCs w:val="24"/>
        </w:rPr>
        <w:t>elle ou il aurait obtenu à sa demande, sous réserve des dispositions de la convention collective relatives à l</w:t>
      </w:r>
      <w:r w:rsidR="004A41E4" w:rsidRPr="00026EC1">
        <w:rPr>
          <w:rFonts w:cs="Arial"/>
          <w:szCs w:val="24"/>
        </w:rPr>
        <w:t>’</w:t>
      </w:r>
      <w:r w:rsidRPr="00026EC1">
        <w:rPr>
          <w:rFonts w:cs="Arial"/>
          <w:szCs w:val="24"/>
        </w:rPr>
        <w:t>engagement et à la sécurité d</w:t>
      </w:r>
      <w:r w:rsidR="004A41E4" w:rsidRPr="00026EC1">
        <w:rPr>
          <w:rFonts w:cs="Arial"/>
          <w:szCs w:val="24"/>
        </w:rPr>
        <w:t>’</w:t>
      </w:r>
      <w:r w:rsidRPr="00026EC1">
        <w:rPr>
          <w:rFonts w:cs="Arial"/>
          <w:szCs w:val="24"/>
        </w:rPr>
        <w:t xml:space="preserve">emploi. </w:t>
      </w:r>
    </w:p>
    <w:p w14:paraId="5970DE0C" w14:textId="77777777" w:rsidR="007055D5" w:rsidRPr="00026EC1" w:rsidRDefault="007055D5" w:rsidP="00A64613">
      <w:pPr>
        <w:keepNext w:val="0"/>
        <w:rPr>
          <w:rFonts w:cs="Arial"/>
          <w:szCs w:val="24"/>
        </w:rPr>
      </w:pPr>
    </w:p>
    <w:p w14:paraId="5A034FCB" w14:textId="50DA3A47" w:rsidR="007055D5" w:rsidRPr="00026EC1" w:rsidRDefault="007055D5" w:rsidP="00A64613">
      <w:pPr>
        <w:pStyle w:val="NUMRODECLAUSE"/>
        <w:keepNext w:val="0"/>
        <w:rPr>
          <w:rFonts w:ascii="Arial Gras" w:hAnsi="Arial Gras"/>
        </w:rPr>
      </w:pPr>
      <w:r w:rsidRPr="00026EC1">
        <w:t>5</w:t>
      </w:r>
      <w:r w:rsidR="00984A6F">
        <w:noBreakHyphen/>
      </w:r>
      <w:r w:rsidRPr="00026EC1">
        <w:t>9.08</w:t>
      </w:r>
    </w:p>
    <w:p w14:paraId="4C190BFE" w14:textId="2341F6A7" w:rsidR="00CD7753" w:rsidRDefault="007055D5" w:rsidP="00A64613">
      <w:pPr>
        <w:keepNext w:val="0"/>
      </w:pPr>
      <w:r w:rsidRPr="00026EC1">
        <w:t>Les congés et absences prévus au présent article ne peuvent avoir pour effet de modifier les droits et avantages que procure une année d</w:t>
      </w:r>
      <w:r w:rsidR="004A41E4" w:rsidRPr="00026EC1">
        <w:t>’</w:t>
      </w:r>
      <w:r w:rsidRPr="00026EC1">
        <w:t>enseignement.</w:t>
      </w:r>
    </w:p>
    <w:p w14:paraId="34A03884" w14:textId="50A9D6B9" w:rsidR="00340159" w:rsidRDefault="00340159">
      <w:pPr>
        <w:keepNext w:val="0"/>
        <w:suppressAutoHyphens w:val="0"/>
        <w:jc w:val="left"/>
      </w:pPr>
      <w:r>
        <w:br w:type="page"/>
      </w:r>
    </w:p>
    <w:p w14:paraId="77EDE2AA" w14:textId="766012BE" w:rsidR="00404F34" w:rsidRPr="00026EC1" w:rsidRDefault="00404F34" w:rsidP="00A64613">
      <w:pPr>
        <w:pStyle w:val="Heading2"/>
        <w:keepNext w:val="0"/>
        <w:ind w:left="2127" w:hanging="2127"/>
      </w:pPr>
      <w:bookmarkStart w:id="477" w:name="_Toc535046606"/>
      <w:bookmarkStart w:id="478" w:name="_Toc133760779"/>
      <w:bookmarkStart w:id="479" w:name="_Toc393444609"/>
      <w:bookmarkStart w:id="480" w:name="_Toc393449560"/>
      <w:bookmarkStart w:id="481" w:name="_Toc393460929"/>
      <w:bookmarkStart w:id="482" w:name="_Toc393461207"/>
      <w:bookmarkStart w:id="483" w:name="_Toc393720768"/>
      <w:bookmarkStart w:id="484" w:name="_Toc393783929"/>
      <w:bookmarkStart w:id="485" w:name="_Toc393784068"/>
      <w:bookmarkStart w:id="486" w:name="_Toc168479522"/>
      <w:r w:rsidRPr="00026EC1">
        <w:t>Article 5</w:t>
      </w:r>
      <w:r w:rsidR="00984A6F">
        <w:t>-</w:t>
      </w:r>
      <w:r w:rsidRPr="00026EC1">
        <w:t>10.00</w:t>
      </w:r>
      <w:r w:rsidR="00C9604C" w:rsidRPr="00026EC1">
        <w:tab/>
      </w:r>
      <w:r w:rsidR="00984A6F">
        <w:t>-</w:t>
      </w:r>
      <w:r w:rsidR="00C9604C" w:rsidRPr="00026EC1">
        <w:tab/>
      </w:r>
      <w:r w:rsidRPr="00026EC1">
        <w:t>Échanges intercollèges</w:t>
      </w:r>
      <w:bookmarkEnd w:id="477"/>
      <w:bookmarkEnd w:id="478"/>
      <w:bookmarkEnd w:id="479"/>
      <w:bookmarkEnd w:id="480"/>
      <w:bookmarkEnd w:id="481"/>
      <w:bookmarkEnd w:id="482"/>
      <w:bookmarkEnd w:id="483"/>
      <w:bookmarkEnd w:id="484"/>
      <w:bookmarkEnd w:id="485"/>
      <w:bookmarkEnd w:id="486"/>
    </w:p>
    <w:p w14:paraId="16B66B0D" w14:textId="19F4F9CF" w:rsidR="00404F34" w:rsidRPr="00026EC1" w:rsidRDefault="00404F34" w:rsidP="00A64613">
      <w:pPr>
        <w:pStyle w:val="NUMRODECLAUSE"/>
        <w:keepNext w:val="0"/>
      </w:pPr>
      <w:r w:rsidRPr="00026EC1">
        <w:t>5</w:t>
      </w:r>
      <w:r w:rsidR="00984A6F">
        <w:noBreakHyphen/>
      </w:r>
      <w:r w:rsidRPr="00026EC1">
        <w:t>10.01</w:t>
      </w:r>
    </w:p>
    <w:p w14:paraId="6F357FCD" w14:textId="7BA1D639" w:rsidR="00404F34" w:rsidRPr="00026EC1" w:rsidRDefault="00404F34" w:rsidP="00A64613">
      <w:pPr>
        <w:keepNext w:val="0"/>
      </w:pPr>
      <w:r w:rsidRPr="00026EC1">
        <w:t>Deux (2) enseignantes ou enseignants d</w:t>
      </w:r>
      <w:r w:rsidR="004A41E4" w:rsidRPr="00026EC1">
        <w:t>’</w:t>
      </w:r>
      <w:r w:rsidRPr="00026EC1">
        <w:t>une même discipline peuvent changer réciproquement de collège selon les modalités et aux conditions prévues ci</w:t>
      </w:r>
      <w:r w:rsidR="00984A6F">
        <w:noBreakHyphen/>
      </w:r>
      <w:r w:rsidRPr="00026EC1">
        <w:t>après</w:t>
      </w:r>
      <w:r w:rsidR="00D8581B">
        <w:t> :</w:t>
      </w:r>
    </w:p>
    <w:p w14:paraId="7274D082" w14:textId="77777777" w:rsidR="00404F34" w:rsidRPr="00026EC1" w:rsidRDefault="00404F34" w:rsidP="00A64613">
      <w:pPr>
        <w:keepNext w:val="0"/>
      </w:pPr>
    </w:p>
    <w:p w14:paraId="067000F1" w14:textId="77777777" w:rsidR="00404F34" w:rsidRPr="00026EC1" w:rsidRDefault="00275751" w:rsidP="00A64613">
      <w:pPr>
        <w:keepNext w:val="0"/>
        <w:tabs>
          <w:tab w:val="left" w:pos="567"/>
        </w:tabs>
        <w:ind w:left="567" w:hanging="567"/>
      </w:pPr>
      <w:r w:rsidRPr="00026EC1">
        <w:t>a)</w:t>
      </w:r>
      <w:r w:rsidRPr="00026EC1">
        <w:tab/>
      </w:r>
      <w:r w:rsidR="00404F34" w:rsidRPr="00026EC1">
        <w:t>il s</w:t>
      </w:r>
      <w:r w:rsidR="004A41E4" w:rsidRPr="00026EC1">
        <w:t>’</w:t>
      </w:r>
      <w:r w:rsidR="00404F34" w:rsidRPr="00026EC1">
        <w:t>agit de deux (2) enseignantes ou enseignants permanents;</w:t>
      </w:r>
    </w:p>
    <w:p w14:paraId="11E0DED1" w14:textId="77777777" w:rsidR="00404F34" w:rsidRPr="00026EC1" w:rsidRDefault="00404F34" w:rsidP="00A64613">
      <w:pPr>
        <w:keepNext w:val="0"/>
      </w:pPr>
    </w:p>
    <w:p w14:paraId="7AD0B36A" w14:textId="77777777" w:rsidR="00404F34" w:rsidRPr="00026EC1" w:rsidRDefault="00275751" w:rsidP="00A64613">
      <w:pPr>
        <w:keepNext w:val="0"/>
        <w:tabs>
          <w:tab w:val="left" w:pos="567"/>
        </w:tabs>
        <w:ind w:left="567" w:hanging="567"/>
      </w:pPr>
      <w:r w:rsidRPr="00026EC1">
        <w:t>b)</w:t>
      </w:r>
      <w:r w:rsidRPr="00026EC1">
        <w:tab/>
      </w:r>
      <w:r w:rsidR="00404F34" w:rsidRPr="00026EC1">
        <w:t>l</w:t>
      </w:r>
      <w:r w:rsidR="004A41E4" w:rsidRPr="00026EC1">
        <w:t>’</w:t>
      </w:r>
      <w:r w:rsidR="00404F34" w:rsidRPr="00026EC1">
        <w:t>échange est d</w:t>
      </w:r>
      <w:r w:rsidR="004A41E4" w:rsidRPr="00026EC1">
        <w:t>’</w:t>
      </w:r>
      <w:r w:rsidR="00404F34" w:rsidRPr="00026EC1">
        <w:t>une durée minimale d</w:t>
      </w:r>
      <w:r w:rsidR="004A41E4" w:rsidRPr="00026EC1">
        <w:t>’</w:t>
      </w:r>
      <w:r w:rsidR="00404F34" w:rsidRPr="00026EC1">
        <w:t>une (1) année d</w:t>
      </w:r>
      <w:r w:rsidR="004A41E4" w:rsidRPr="00026EC1">
        <w:t>’</w:t>
      </w:r>
      <w:r w:rsidR="00404F34" w:rsidRPr="00026EC1">
        <w:t>engagement et d</w:t>
      </w:r>
      <w:r w:rsidR="004A41E4" w:rsidRPr="00026EC1">
        <w:t>’</w:t>
      </w:r>
      <w:r w:rsidR="00404F34" w:rsidRPr="00026EC1">
        <w:t>une durée maximale de deux (2) années d</w:t>
      </w:r>
      <w:r w:rsidR="004A41E4" w:rsidRPr="00026EC1">
        <w:t>’</w:t>
      </w:r>
      <w:r w:rsidR="00404F34" w:rsidRPr="00026EC1">
        <w:t>engagement; le début de l</w:t>
      </w:r>
      <w:r w:rsidR="004A41E4" w:rsidRPr="00026EC1">
        <w:t>’</w:t>
      </w:r>
      <w:r w:rsidR="00404F34" w:rsidRPr="00026EC1">
        <w:t>échange coïncide avec le début de l</w:t>
      </w:r>
      <w:r w:rsidR="004A41E4" w:rsidRPr="00026EC1">
        <w:t>’</w:t>
      </w:r>
      <w:r w:rsidR="00404F34" w:rsidRPr="00026EC1">
        <w:t>année d</w:t>
      </w:r>
      <w:r w:rsidR="004A41E4" w:rsidRPr="00026EC1">
        <w:t>’</w:t>
      </w:r>
      <w:r w:rsidR="00404F34" w:rsidRPr="00026EC1">
        <w:t>enseignement du Collège d</w:t>
      </w:r>
      <w:r w:rsidR="004A41E4" w:rsidRPr="00026EC1">
        <w:t>’</w:t>
      </w:r>
      <w:r w:rsidR="00404F34" w:rsidRPr="00026EC1">
        <w:t>origine;</w:t>
      </w:r>
    </w:p>
    <w:p w14:paraId="337FF241" w14:textId="77777777" w:rsidR="00404F34" w:rsidRPr="00026EC1" w:rsidRDefault="00404F34" w:rsidP="00A64613">
      <w:pPr>
        <w:keepNext w:val="0"/>
      </w:pPr>
    </w:p>
    <w:p w14:paraId="4E7D6E1F" w14:textId="77777777" w:rsidR="00404F34" w:rsidRPr="00026EC1" w:rsidRDefault="00275751" w:rsidP="00A64613">
      <w:pPr>
        <w:keepNext w:val="0"/>
        <w:tabs>
          <w:tab w:val="left" w:pos="567"/>
        </w:tabs>
        <w:ind w:left="567" w:hanging="567"/>
      </w:pPr>
      <w:r w:rsidRPr="00026EC1">
        <w:t>c)</w:t>
      </w:r>
      <w:r w:rsidRPr="00026EC1">
        <w:tab/>
      </w:r>
      <w:r w:rsidR="00404F34" w:rsidRPr="00026EC1">
        <w:t>chaque enseignante ou enseignant intéressé en fait la demande par écrit à son Collège avant le 1</w:t>
      </w:r>
      <w:r w:rsidR="00404F34" w:rsidRPr="00026EC1">
        <w:rPr>
          <w:vertAlign w:val="superscript"/>
        </w:rPr>
        <w:t>er</w:t>
      </w:r>
      <w:r w:rsidR="00404F34" w:rsidRPr="00026EC1">
        <w:t> avril précédant l</w:t>
      </w:r>
      <w:r w:rsidR="004A41E4" w:rsidRPr="00026EC1">
        <w:t>’</w:t>
      </w:r>
      <w:r w:rsidR="00404F34" w:rsidRPr="00026EC1">
        <w:t>année de l</w:t>
      </w:r>
      <w:r w:rsidR="004A41E4" w:rsidRPr="00026EC1">
        <w:t>’</w:t>
      </w:r>
      <w:r w:rsidR="00404F34" w:rsidRPr="00026EC1">
        <w:t>échange;</w:t>
      </w:r>
    </w:p>
    <w:p w14:paraId="3CF6722E" w14:textId="77777777" w:rsidR="00404F34" w:rsidRPr="00026EC1" w:rsidRDefault="00404F34" w:rsidP="00A64613">
      <w:pPr>
        <w:keepNext w:val="0"/>
      </w:pPr>
    </w:p>
    <w:p w14:paraId="55871D29" w14:textId="77777777" w:rsidR="00404F34" w:rsidRPr="00026EC1" w:rsidRDefault="00275751" w:rsidP="00A64613">
      <w:pPr>
        <w:keepNext w:val="0"/>
        <w:tabs>
          <w:tab w:val="left" w:pos="567"/>
        </w:tabs>
        <w:ind w:left="567" w:hanging="567"/>
      </w:pPr>
      <w:r w:rsidRPr="00026EC1">
        <w:t>d)</w:t>
      </w:r>
      <w:r w:rsidRPr="00026EC1">
        <w:tab/>
      </w:r>
      <w:r w:rsidR="00404F34" w:rsidRPr="00026EC1">
        <w:t>chaque département touché transmet aux Collèges visés un avis favorable à ce sujet;</w:t>
      </w:r>
    </w:p>
    <w:p w14:paraId="3B768E8D" w14:textId="77777777" w:rsidR="00404F34" w:rsidRPr="00026EC1" w:rsidRDefault="00404F34" w:rsidP="00A64613">
      <w:pPr>
        <w:keepNext w:val="0"/>
      </w:pPr>
    </w:p>
    <w:p w14:paraId="4E479D33" w14:textId="77777777" w:rsidR="00404F34" w:rsidRPr="00026EC1" w:rsidRDefault="00275751" w:rsidP="00A64613">
      <w:pPr>
        <w:keepNext w:val="0"/>
        <w:tabs>
          <w:tab w:val="left" w:pos="567"/>
        </w:tabs>
        <w:ind w:left="567" w:hanging="567"/>
      </w:pPr>
      <w:r w:rsidRPr="00026EC1">
        <w:t>e)</w:t>
      </w:r>
      <w:r w:rsidRPr="00026EC1">
        <w:tab/>
      </w:r>
      <w:r w:rsidR="00404F34" w:rsidRPr="00026EC1">
        <w:t>chaque Collège visé donne son accord par écrit, avant le 1</w:t>
      </w:r>
      <w:r w:rsidR="00404F34" w:rsidRPr="00026EC1">
        <w:rPr>
          <w:vertAlign w:val="superscript"/>
        </w:rPr>
        <w:t>er</w:t>
      </w:r>
      <w:r w:rsidR="00404F34" w:rsidRPr="00026EC1">
        <w:t> mai, après avoir soumis la question au CRT ou à une Rencontre entre le Collège et le Syndicat (RCS), selon le cas.</w:t>
      </w:r>
    </w:p>
    <w:p w14:paraId="2C668F89" w14:textId="77777777" w:rsidR="00404F34" w:rsidRPr="00026EC1" w:rsidRDefault="00404F34" w:rsidP="00A64613">
      <w:pPr>
        <w:keepNext w:val="0"/>
      </w:pPr>
    </w:p>
    <w:p w14:paraId="759D44B9" w14:textId="5B0F6A15" w:rsidR="00404F34" w:rsidRPr="00026EC1" w:rsidRDefault="00404F34" w:rsidP="00A64613">
      <w:pPr>
        <w:pStyle w:val="NUMRODECLAUSE"/>
        <w:keepNext w:val="0"/>
      </w:pPr>
      <w:r w:rsidRPr="00026EC1">
        <w:t>5</w:t>
      </w:r>
      <w:r w:rsidR="00984A6F">
        <w:noBreakHyphen/>
      </w:r>
      <w:r w:rsidRPr="00026EC1">
        <w:t>10.02</w:t>
      </w:r>
    </w:p>
    <w:p w14:paraId="2D6251C3" w14:textId="77777777" w:rsidR="00404F34" w:rsidRPr="00026EC1" w:rsidRDefault="00404F34" w:rsidP="00A64613">
      <w:pPr>
        <w:keepNext w:val="0"/>
      </w:pPr>
      <w:r w:rsidRPr="00026EC1">
        <w:t>Lors de l</w:t>
      </w:r>
      <w:r w:rsidR="004A41E4" w:rsidRPr="00026EC1">
        <w:t>’</w:t>
      </w:r>
      <w:r w:rsidRPr="00026EC1">
        <w:t>échange, le lien d</w:t>
      </w:r>
      <w:r w:rsidR="004A41E4" w:rsidRPr="00026EC1">
        <w:t>’</w:t>
      </w:r>
      <w:r w:rsidRPr="00026EC1">
        <w:t>emploi de l</w:t>
      </w:r>
      <w:r w:rsidR="004A41E4" w:rsidRPr="00026EC1">
        <w:t>’</w:t>
      </w:r>
      <w:r w:rsidRPr="00026EC1">
        <w:t>enseignante ou de l</w:t>
      </w:r>
      <w:r w:rsidR="004A41E4" w:rsidRPr="00026EC1">
        <w:t>’</w:t>
      </w:r>
      <w:r w:rsidRPr="00026EC1">
        <w:t>enseignant est maintenu avec son Collège d</w:t>
      </w:r>
      <w:r w:rsidR="004A41E4" w:rsidRPr="00026EC1">
        <w:t>’</w:t>
      </w:r>
      <w:r w:rsidRPr="00026EC1">
        <w:t>origine; toutefois, cette enseignante ou cet enseignant, à toutes fins que de droit, est considéré à l</w:t>
      </w:r>
      <w:r w:rsidR="004A41E4" w:rsidRPr="00026EC1">
        <w:t>’</w:t>
      </w:r>
      <w:r w:rsidRPr="00026EC1">
        <w:t>emploi du Collège d</w:t>
      </w:r>
      <w:r w:rsidR="004A41E4" w:rsidRPr="00026EC1">
        <w:t>’</w:t>
      </w:r>
      <w:r w:rsidRPr="00026EC1">
        <w:t>accueil pour la durée de l</w:t>
      </w:r>
      <w:r w:rsidR="004A41E4" w:rsidRPr="00026EC1">
        <w:t>’</w:t>
      </w:r>
      <w:r w:rsidRPr="00026EC1">
        <w:t>échange, sauf lorsqu</w:t>
      </w:r>
      <w:r w:rsidR="004A41E4" w:rsidRPr="00026EC1">
        <w:t>’</w:t>
      </w:r>
      <w:r w:rsidRPr="00026EC1">
        <w:t>il y a des implications devant prendre effet après l</w:t>
      </w:r>
      <w:r w:rsidR="004A41E4" w:rsidRPr="00026EC1">
        <w:t>’</w:t>
      </w:r>
      <w:r w:rsidRPr="00026EC1">
        <w:t>échange intercollèges.</w:t>
      </w:r>
    </w:p>
    <w:p w14:paraId="2FE776B0" w14:textId="77777777" w:rsidR="00404F34" w:rsidRPr="00026EC1" w:rsidRDefault="00404F34" w:rsidP="00A64613">
      <w:pPr>
        <w:keepNext w:val="0"/>
      </w:pPr>
    </w:p>
    <w:p w14:paraId="5DC11766" w14:textId="458C511F" w:rsidR="00404F34" w:rsidRPr="00026EC1" w:rsidRDefault="00404F34" w:rsidP="00A64613">
      <w:pPr>
        <w:pStyle w:val="NUMRODECLAUSE"/>
        <w:keepNext w:val="0"/>
      </w:pPr>
      <w:r w:rsidRPr="00026EC1">
        <w:t>5</w:t>
      </w:r>
      <w:r w:rsidR="00984A6F">
        <w:noBreakHyphen/>
      </w:r>
      <w:r w:rsidRPr="00026EC1">
        <w:t>10.03</w:t>
      </w:r>
    </w:p>
    <w:p w14:paraId="53AB9F9C" w14:textId="2C576459" w:rsidR="0000751E" w:rsidRDefault="00404F34" w:rsidP="00A64613">
      <w:pPr>
        <w:keepNext w:val="0"/>
      </w:pPr>
      <w:r w:rsidRPr="00026EC1">
        <w:t>À moins d</w:t>
      </w:r>
      <w:r w:rsidR="004A41E4" w:rsidRPr="00026EC1">
        <w:t>’</w:t>
      </w:r>
      <w:r w:rsidRPr="00026EC1">
        <w:t>entente entre les parties, les frais de déménagement encourus lors de cet échange sont à la charge de l</w:t>
      </w:r>
      <w:r w:rsidR="004A41E4" w:rsidRPr="00026EC1">
        <w:t>’</w:t>
      </w:r>
      <w:r w:rsidRPr="00026EC1">
        <w:t>enseignante ou de l</w:t>
      </w:r>
      <w:r w:rsidR="004A41E4" w:rsidRPr="00026EC1">
        <w:t>’</w:t>
      </w:r>
      <w:r w:rsidRPr="00026EC1">
        <w:t>enseignant.</w:t>
      </w:r>
    </w:p>
    <w:p w14:paraId="2FB16DC5" w14:textId="2026B9B9" w:rsidR="0000751E" w:rsidRDefault="0000751E">
      <w:pPr>
        <w:keepNext w:val="0"/>
        <w:suppressAutoHyphens w:val="0"/>
        <w:jc w:val="left"/>
      </w:pPr>
    </w:p>
    <w:p w14:paraId="620D9979" w14:textId="296CC812" w:rsidR="00404F34" w:rsidRPr="00026EC1" w:rsidRDefault="00404F34" w:rsidP="00A64613">
      <w:pPr>
        <w:pStyle w:val="NUMRODECLAUSE"/>
        <w:keepNext w:val="0"/>
      </w:pPr>
      <w:r w:rsidRPr="00026EC1">
        <w:t>5</w:t>
      </w:r>
      <w:r w:rsidR="00984A6F">
        <w:noBreakHyphen/>
      </w:r>
      <w:r w:rsidRPr="00026EC1">
        <w:t>10.04</w:t>
      </w:r>
    </w:p>
    <w:p w14:paraId="3EC59465" w14:textId="77777777" w:rsidR="00404F34" w:rsidRPr="00026EC1" w:rsidRDefault="00404F34" w:rsidP="00A64613">
      <w:pPr>
        <w:keepNext w:val="0"/>
      </w:pPr>
      <w:r w:rsidRPr="00026EC1">
        <w:t>Après avoir soumis la question au CRT, un Collège peut mettre fin à cet échange à la fin d</w:t>
      </w:r>
      <w:r w:rsidR="004A41E4" w:rsidRPr="00026EC1">
        <w:t>’</w:t>
      </w:r>
      <w:r w:rsidRPr="00026EC1">
        <w:t>une session par un avis d</w:t>
      </w:r>
      <w:r w:rsidR="004A41E4" w:rsidRPr="00026EC1">
        <w:t>’</w:t>
      </w:r>
      <w:r w:rsidRPr="00026EC1">
        <w:t>un (1) mois à cet effet.</w:t>
      </w:r>
    </w:p>
    <w:p w14:paraId="3CDAAD93" w14:textId="77777777" w:rsidR="00404F34" w:rsidRPr="00026EC1" w:rsidRDefault="00404F34" w:rsidP="00A64613">
      <w:pPr>
        <w:keepNext w:val="0"/>
      </w:pPr>
    </w:p>
    <w:p w14:paraId="2C41B3CD" w14:textId="49196742" w:rsidR="00404F34" w:rsidRPr="00026EC1" w:rsidRDefault="00404F34" w:rsidP="00A64613">
      <w:pPr>
        <w:pStyle w:val="NUMRODECLAUSE"/>
        <w:keepNext w:val="0"/>
      </w:pPr>
      <w:r w:rsidRPr="00026EC1">
        <w:t>5</w:t>
      </w:r>
      <w:r w:rsidR="00984A6F">
        <w:noBreakHyphen/>
      </w:r>
      <w:r w:rsidRPr="00026EC1">
        <w:t>10.05</w:t>
      </w:r>
    </w:p>
    <w:p w14:paraId="6F9B7951" w14:textId="545F4A3B" w:rsidR="00404F34" w:rsidRDefault="00404F34" w:rsidP="00A64613">
      <w:pPr>
        <w:keepNext w:val="0"/>
      </w:pPr>
      <w:r w:rsidRPr="00026EC1">
        <w:t>Après la durée maximale prévue à l</w:t>
      </w:r>
      <w:r w:rsidR="004A41E4" w:rsidRPr="00026EC1">
        <w:t>’</w:t>
      </w:r>
      <w:r w:rsidRPr="00026EC1">
        <w:t>alinéa b) de la clause 5</w:t>
      </w:r>
      <w:r w:rsidR="00984A6F">
        <w:noBreakHyphen/>
      </w:r>
      <w:r w:rsidRPr="00026EC1">
        <w:t>10.01, si les deux (2) enseignantes ou enseignants sont d</w:t>
      </w:r>
      <w:r w:rsidR="004A41E4" w:rsidRPr="00026EC1">
        <w:t>’</w:t>
      </w:r>
      <w:r w:rsidRPr="00026EC1">
        <w:t>accord et que chaque département et chaque Collège touchés sont aussi d</w:t>
      </w:r>
      <w:r w:rsidR="004A41E4" w:rsidRPr="00026EC1">
        <w:t>’</w:t>
      </w:r>
      <w:r w:rsidRPr="00026EC1">
        <w:t>accord, l</w:t>
      </w:r>
      <w:r w:rsidR="004A41E4" w:rsidRPr="00026EC1">
        <w:t>’</w:t>
      </w:r>
      <w:r w:rsidRPr="00026EC1">
        <w:t>échange peut devenir permanent après entente de chacun des CRT ou RCS, selon le cas.</w:t>
      </w:r>
    </w:p>
    <w:p w14:paraId="2CE56569" w14:textId="77777777" w:rsidR="00C34F7E" w:rsidRPr="00026EC1" w:rsidRDefault="00C34F7E" w:rsidP="00A64613">
      <w:pPr>
        <w:keepNext w:val="0"/>
      </w:pPr>
    </w:p>
    <w:p w14:paraId="5A6D5D72" w14:textId="77777777" w:rsidR="00404F34" w:rsidRDefault="00404F34" w:rsidP="00A64613">
      <w:pPr>
        <w:keepNext w:val="0"/>
      </w:pPr>
      <w:r w:rsidRPr="00026EC1">
        <w:t>Dans ce cas, l</w:t>
      </w:r>
      <w:r w:rsidR="004A41E4" w:rsidRPr="00026EC1">
        <w:t>’</w:t>
      </w:r>
      <w:r w:rsidRPr="00026EC1">
        <w:t>enseignante ou l</w:t>
      </w:r>
      <w:r w:rsidR="004A41E4" w:rsidRPr="00026EC1">
        <w:t>’</w:t>
      </w:r>
      <w:r w:rsidRPr="00026EC1">
        <w:t>enseignant est réputé ne plus être à l</w:t>
      </w:r>
      <w:r w:rsidR="004A41E4" w:rsidRPr="00026EC1">
        <w:t>’</w:t>
      </w:r>
      <w:r w:rsidRPr="00026EC1">
        <w:t>emploi de son Collège d</w:t>
      </w:r>
      <w:r w:rsidR="004A41E4" w:rsidRPr="00026EC1">
        <w:t>’</w:t>
      </w:r>
      <w:r w:rsidRPr="00026EC1">
        <w:t>origine et transfère tous ses droits dans la mesure où ils sont compatibles avec les dispositions prévues dans la convention collective en vigueur au Collège qui l</w:t>
      </w:r>
      <w:r w:rsidR="004A41E4" w:rsidRPr="00026EC1">
        <w:t>’</w:t>
      </w:r>
      <w:r w:rsidR="00BA79F8" w:rsidRPr="00026EC1">
        <w:t>engage.</w:t>
      </w:r>
    </w:p>
    <w:p w14:paraId="182BC1B2" w14:textId="5D5AD235" w:rsidR="00EF0E1A" w:rsidRDefault="00EF0E1A" w:rsidP="00A64613">
      <w:pPr>
        <w:keepNext w:val="0"/>
      </w:pPr>
      <w:r>
        <w:br w:type="page"/>
      </w:r>
    </w:p>
    <w:p w14:paraId="30A6D374" w14:textId="20E86A33" w:rsidR="00404F34" w:rsidRPr="00026EC1" w:rsidRDefault="00404F34" w:rsidP="00A64613">
      <w:pPr>
        <w:pStyle w:val="Heading2"/>
        <w:keepNext w:val="0"/>
      </w:pPr>
      <w:bookmarkStart w:id="487" w:name="_Toc535046607"/>
      <w:bookmarkStart w:id="488" w:name="_Toc133760780"/>
      <w:bookmarkStart w:id="489" w:name="_Toc393444610"/>
      <w:bookmarkStart w:id="490" w:name="_Toc393449561"/>
      <w:bookmarkStart w:id="491" w:name="_Toc393460930"/>
      <w:bookmarkStart w:id="492" w:name="_Toc393461208"/>
      <w:bookmarkStart w:id="493" w:name="_Toc393720769"/>
      <w:bookmarkStart w:id="494" w:name="_Toc393783930"/>
      <w:bookmarkStart w:id="495" w:name="_Toc393784069"/>
      <w:bookmarkStart w:id="496" w:name="_Toc168479523"/>
      <w:r w:rsidRPr="00026EC1">
        <w:t>Article 5</w:t>
      </w:r>
      <w:r w:rsidR="00984A6F">
        <w:t>-</w:t>
      </w:r>
      <w:r w:rsidRPr="00026EC1">
        <w:t>11.00</w:t>
      </w:r>
      <w:r w:rsidR="00C9604C" w:rsidRPr="00026EC1">
        <w:tab/>
      </w:r>
      <w:r w:rsidR="00984A6F">
        <w:t>-</w:t>
      </w:r>
      <w:r w:rsidR="00C9604C" w:rsidRPr="00026EC1">
        <w:tab/>
      </w:r>
      <w:r w:rsidRPr="00026EC1">
        <w:t>Assignation provisoire d</w:t>
      </w:r>
      <w:r w:rsidR="004A41E4" w:rsidRPr="00026EC1">
        <w:t>’</w:t>
      </w:r>
      <w:r w:rsidRPr="00026EC1">
        <w:t>une enseignante ou d</w:t>
      </w:r>
      <w:r w:rsidR="004A41E4" w:rsidRPr="00026EC1">
        <w:t>’</w:t>
      </w:r>
      <w:r w:rsidR="008A676A" w:rsidRPr="00026EC1">
        <w:t xml:space="preserve">un enseignant </w:t>
      </w:r>
      <w:r w:rsidR="008A676A" w:rsidRPr="00026EC1">
        <w:br/>
        <w:t xml:space="preserve">à </w:t>
      </w:r>
      <w:r w:rsidRPr="00026EC1">
        <w:t>une autre catégorie de personnel</w:t>
      </w:r>
      <w:bookmarkEnd w:id="487"/>
      <w:bookmarkEnd w:id="488"/>
      <w:bookmarkEnd w:id="489"/>
      <w:bookmarkEnd w:id="490"/>
      <w:bookmarkEnd w:id="491"/>
      <w:bookmarkEnd w:id="492"/>
      <w:bookmarkEnd w:id="493"/>
      <w:bookmarkEnd w:id="494"/>
      <w:bookmarkEnd w:id="495"/>
      <w:bookmarkEnd w:id="496"/>
    </w:p>
    <w:p w14:paraId="3A1A5B38" w14:textId="480A251C" w:rsidR="001041C3" w:rsidRPr="00026EC1" w:rsidRDefault="001041C3" w:rsidP="00A64613">
      <w:pPr>
        <w:pStyle w:val="NUMRODECLAUSE"/>
        <w:keepNext w:val="0"/>
      </w:pPr>
      <w:r w:rsidRPr="00026EC1">
        <w:t>5</w:t>
      </w:r>
      <w:r w:rsidR="00984A6F">
        <w:noBreakHyphen/>
      </w:r>
      <w:r w:rsidRPr="00026EC1">
        <w:t>11.01</w:t>
      </w:r>
    </w:p>
    <w:p w14:paraId="202A567A" w14:textId="77777777" w:rsidR="001041C3" w:rsidRPr="00026EC1" w:rsidRDefault="001041C3" w:rsidP="00A64613">
      <w:pPr>
        <w:keepNext w:val="0"/>
      </w:pPr>
      <w:r w:rsidRPr="00026EC1">
        <w:t>L</w:t>
      </w:r>
      <w:r w:rsidR="004A41E4" w:rsidRPr="00026EC1">
        <w:t>’</w:t>
      </w:r>
      <w:r w:rsidRPr="00026EC1">
        <w:t>assignation provisoire d</w:t>
      </w:r>
      <w:r w:rsidR="004A41E4" w:rsidRPr="00026EC1">
        <w:t>’</w:t>
      </w:r>
      <w:r w:rsidRPr="00026EC1">
        <w:t>une enseignante ou d</w:t>
      </w:r>
      <w:r w:rsidR="004A41E4" w:rsidRPr="00026EC1">
        <w:t>’</w:t>
      </w:r>
      <w:r w:rsidRPr="00026EC1">
        <w:t>un enseignant permanent à une autre catégorie de personnel peut être faite à la condition que l</w:t>
      </w:r>
      <w:r w:rsidR="004A41E4" w:rsidRPr="00026EC1">
        <w:t>’</w:t>
      </w:r>
      <w:r w:rsidRPr="00026EC1">
        <w:t>enseignante ou l</w:t>
      </w:r>
      <w:r w:rsidR="004A41E4" w:rsidRPr="00026EC1">
        <w:t>’</w:t>
      </w:r>
      <w:r w:rsidRPr="00026EC1">
        <w:t>enseignant accepte l</w:t>
      </w:r>
      <w:r w:rsidR="004A41E4" w:rsidRPr="00026EC1">
        <w:t>’</w:t>
      </w:r>
      <w:r w:rsidRPr="00026EC1">
        <w:t>offre du Collège.</w:t>
      </w:r>
    </w:p>
    <w:p w14:paraId="134445B6" w14:textId="77777777" w:rsidR="001041C3" w:rsidRPr="00026EC1" w:rsidRDefault="001041C3" w:rsidP="00A64613">
      <w:pPr>
        <w:keepNext w:val="0"/>
      </w:pPr>
    </w:p>
    <w:p w14:paraId="3D332438" w14:textId="1FF2B1E7" w:rsidR="001041C3" w:rsidRPr="00026EC1" w:rsidRDefault="001041C3" w:rsidP="00A64613">
      <w:pPr>
        <w:pStyle w:val="NUMRODECLAUSE"/>
        <w:keepNext w:val="0"/>
      </w:pPr>
      <w:r w:rsidRPr="00026EC1">
        <w:t>5</w:t>
      </w:r>
      <w:r w:rsidR="00984A6F">
        <w:noBreakHyphen/>
      </w:r>
      <w:r w:rsidRPr="00026EC1">
        <w:t>11.02</w:t>
      </w:r>
    </w:p>
    <w:p w14:paraId="6E014EA9" w14:textId="77777777" w:rsidR="001041C3" w:rsidRPr="00026EC1" w:rsidRDefault="001041C3" w:rsidP="00A64613">
      <w:pPr>
        <w:keepNext w:val="0"/>
      </w:pPr>
      <w:r w:rsidRPr="00026EC1">
        <w:t>L</w:t>
      </w:r>
      <w:r w:rsidR="004A41E4" w:rsidRPr="00026EC1">
        <w:t>’</w:t>
      </w:r>
      <w:r w:rsidRPr="00026EC1">
        <w:t>assignation provisoire d</w:t>
      </w:r>
      <w:r w:rsidR="004A41E4" w:rsidRPr="00026EC1">
        <w:t>’</w:t>
      </w:r>
      <w:r w:rsidRPr="00026EC1">
        <w:t>une enseignante ou d</w:t>
      </w:r>
      <w:r w:rsidR="004A41E4" w:rsidRPr="00026EC1">
        <w:t>’</w:t>
      </w:r>
      <w:r w:rsidRPr="00026EC1">
        <w:t>un enseignant n</w:t>
      </w:r>
      <w:r w:rsidR="004A41E4" w:rsidRPr="00026EC1">
        <w:t>’</w:t>
      </w:r>
      <w:r w:rsidRPr="00026EC1">
        <w:t>est possible qu</w:t>
      </w:r>
      <w:r w:rsidR="004A41E4" w:rsidRPr="00026EC1">
        <w:t>’</w:t>
      </w:r>
      <w:r w:rsidRPr="00026EC1">
        <w:t>à des fonctions de cadre, de professionnelle ou de professionnel ou de technicienne ou de technicien.</w:t>
      </w:r>
    </w:p>
    <w:p w14:paraId="43338CD3" w14:textId="77777777" w:rsidR="001041C3" w:rsidRPr="00026EC1" w:rsidRDefault="001041C3" w:rsidP="00A64613">
      <w:pPr>
        <w:keepNext w:val="0"/>
      </w:pPr>
    </w:p>
    <w:p w14:paraId="2BAE55FE" w14:textId="54FEFE2B" w:rsidR="001041C3" w:rsidRPr="00026EC1" w:rsidRDefault="001041C3" w:rsidP="00A64613">
      <w:pPr>
        <w:pStyle w:val="NUMRODECLAUSE"/>
        <w:keepNext w:val="0"/>
      </w:pPr>
      <w:r w:rsidRPr="00026EC1">
        <w:t>5</w:t>
      </w:r>
      <w:r w:rsidR="00984A6F">
        <w:noBreakHyphen/>
      </w:r>
      <w:r w:rsidRPr="00026EC1">
        <w:t>11.03</w:t>
      </w:r>
    </w:p>
    <w:p w14:paraId="5A25B4DC" w14:textId="77777777" w:rsidR="001041C3" w:rsidRPr="00026EC1" w:rsidRDefault="001041C3" w:rsidP="00A64613">
      <w:pPr>
        <w:keepNext w:val="0"/>
      </w:pPr>
      <w:r w:rsidRPr="00026EC1">
        <w:t>Les modalités de départ et de retour sont convenues entre l</w:t>
      </w:r>
      <w:r w:rsidR="004A41E4" w:rsidRPr="00026EC1">
        <w:t>’</w:t>
      </w:r>
      <w:r w:rsidRPr="00026EC1">
        <w:t>enseignante ou l</w:t>
      </w:r>
      <w:r w:rsidR="004A41E4" w:rsidRPr="00026EC1">
        <w:t>’</w:t>
      </w:r>
      <w:r w:rsidRPr="00026EC1">
        <w:t>enseignant et le Collège avant le début de l</w:t>
      </w:r>
      <w:r w:rsidR="004A41E4" w:rsidRPr="00026EC1">
        <w:t>’</w:t>
      </w:r>
      <w:r w:rsidRPr="00026EC1">
        <w:t>assignation.</w:t>
      </w:r>
    </w:p>
    <w:p w14:paraId="73982F9D" w14:textId="77777777" w:rsidR="001041C3" w:rsidRPr="00026EC1" w:rsidRDefault="001041C3" w:rsidP="00A64613">
      <w:pPr>
        <w:keepNext w:val="0"/>
      </w:pPr>
    </w:p>
    <w:p w14:paraId="3067961E" w14:textId="514587C6" w:rsidR="001041C3" w:rsidRPr="00026EC1" w:rsidRDefault="001041C3" w:rsidP="00A64613">
      <w:pPr>
        <w:pStyle w:val="NUMRODECLAUSE"/>
        <w:keepNext w:val="0"/>
      </w:pPr>
      <w:r w:rsidRPr="00026EC1">
        <w:t>5</w:t>
      </w:r>
      <w:r w:rsidR="00984A6F">
        <w:noBreakHyphen/>
      </w:r>
      <w:r w:rsidRPr="00026EC1">
        <w:t>11.04</w:t>
      </w:r>
    </w:p>
    <w:p w14:paraId="10F6CEF3" w14:textId="77777777" w:rsidR="001041C3" w:rsidRPr="00026EC1" w:rsidRDefault="001041C3" w:rsidP="00A64613">
      <w:pPr>
        <w:keepNext w:val="0"/>
      </w:pPr>
      <w:r w:rsidRPr="00026EC1">
        <w:t>Pendant la durée de l</w:t>
      </w:r>
      <w:r w:rsidR="004A41E4" w:rsidRPr="00026EC1">
        <w:t>’</w:t>
      </w:r>
      <w:r w:rsidRPr="00026EC1">
        <w:t>assignation provisoire, les conditions de travail de la catégorie de personnel à laquelle elle ou il est assigné s</w:t>
      </w:r>
      <w:r w:rsidR="004A41E4" w:rsidRPr="00026EC1">
        <w:t>’</w:t>
      </w:r>
      <w:r w:rsidRPr="00026EC1">
        <w:t>appliquent à l</w:t>
      </w:r>
      <w:r w:rsidR="004A41E4" w:rsidRPr="00026EC1">
        <w:t>’</w:t>
      </w:r>
      <w:r w:rsidRPr="00026EC1">
        <w:t>enseignante ou l</w:t>
      </w:r>
      <w:r w:rsidR="004A41E4" w:rsidRPr="00026EC1">
        <w:t>’</w:t>
      </w:r>
      <w:r w:rsidRPr="00026EC1">
        <w:t>enseignant visé.</w:t>
      </w:r>
    </w:p>
    <w:p w14:paraId="676DEFC8" w14:textId="77777777" w:rsidR="001041C3" w:rsidRPr="00026EC1" w:rsidRDefault="001041C3" w:rsidP="00A64613">
      <w:pPr>
        <w:keepNext w:val="0"/>
      </w:pPr>
    </w:p>
    <w:p w14:paraId="7F94ABA3" w14:textId="2A2EBE1D" w:rsidR="001041C3" w:rsidRPr="00026EC1" w:rsidRDefault="001041C3" w:rsidP="00A64613">
      <w:pPr>
        <w:keepNext w:val="0"/>
      </w:pPr>
      <w:r w:rsidRPr="00026EC1">
        <w:t>Toutefois, aux fins du maintien de ses assurances collectives, l</w:t>
      </w:r>
      <w:r w:rsidR="004A41E4" w:rsidRPr="00026EC1">
        <w:t>’</w:t>
      </w:r>
      <w:r w:rsidRPr="00026EC1">
        <w:t>enseignante ou l</w:t>
      </w:r>
      <w:r w:rsidR="004A41E4" w:rsidRPr="00026EC1">
        <w:t>’</w:t>
      </w:r>
      <w:r w:rsidRPr="00026EC1">
        <w:t xml:space="preserve">enseignant en assignation provisoire à des fonctions de cadre est considéré en congé sans </w:t>
      </w:r>
      <w:r w:rsidR="004B68D9" w:rsidRPr="00026EC1">
        <w:t>salaire</w:t>
      </w:r>
      <w:r w:rsidRPr="00026EC1">
        <w:t xml:space="preserve"> et demeure couvert par les conditions relatives au régime d</w:t>
      </w:r>
      <w:r w:rsidR="004A41E4" w:rsidRPr="00026EC1">
        <w:t>’</w:t>
      </w:r>
      <w:r w:rsidRPr="00026EC1">
        <w:t>assurances collectives applicables au personnel enseignant, à la condition que les contrats</w:t>
      </w:r>
      <w:r w:rsidR="00984A6F">
        <w:noBreakHyphen/>
      </w:r>
      <w:r w:rsidRPr="00026EC1">
        <w:t>cadres le permettent et si elle ou il en assume la totalité des coûts.</w:t>
      </w:r>
    </w:p>
    <w:p w14:paraId="05898035" w14:textId="77777777" w:rsidR="001041C3" w:rsidRPr="00026EC1" w:rsidRDefault="001041C3" w:rsidP="00A64613">
      <w:pPr>
        <w:keepNext w:val="0"/>
      </w:pPr>
    </w:p>
    <w:p w14:paraId="07082BA0" w14:textId="5FC297ED" w:rsidR="001041C3" w:rsidRPr="00026EC1" w:rsidRDefault="001041C3" w:rsidP="00A64613">
      <w:pPr>
        <w:pStyle w:val="NUMRODECLAUSE"/>
        <w:keepNext w:val="0"/>
      </w:pPr>
      <w:r w:rsidRPr="00026EC1">
        <w:t>5</w:t>
      </w:r>
      <w:r w:rsidR="00984A6F">
        <w:noBreakHyphen/>
      </w:r>
      <w:r w:rsidRPr="00026EC1">
        <w:t>11.05</w:t>
      </w:r>
    </w:p>
    <w:p w14:paraId="5F7E5FB5" w14:textId="77777777" w:rsidR="001041C3" w:rsidRPr="00026EC1" w:rsidRDefault="001041C3" w:rsidP="00A64613">
      <w:pPr>
        <w:keepNext w:val="0"/>
      </w:pPr>
      <w:r w:rsidRPr="00026EC1">
        <w:t>Une enseignante ou un enseignant peut être assigné provisoirement à temps complet ou à temps partiel et dans une seule catégorie de personnel à la fois.</w:t>
      </w:r>
    </w:p>
    <w:p w14:paraId="0E2A80A4" w14:textId="77777777" w:rsidR="001041C3" w:rsidRPr="00026EC1" w:rsidRDefault="001041C3" w:rsidP="00A64613">
      <w:pPr>
        <w:keepNext w:val="0"/>
      </w:pPr>
    </w:p>
    <w:p w14:paraId="0F95DDE9" w14:textId="2E5DC3A2" w:rsidR="001041C3" w:rsidRPr="00026EC1" w:rsidRDefault="001041C3" w:rsidP="00A64613">
      <w:pPr>
        <w:pStyle w:val="NUMRODECLAUSE"/>
        <w:keepNext w:val="0"/>
      </w:pPr>
      <w:r w:rsidRPr="00026EC1">
        <w:t>5</w:t>
      </w:r>
      <w:r w:rsidR="00984A6F">
        <w:noBreakHyphen/>
      </w:r>
      <w:r w:rsidRPr="00026EC1">
        <w:t>11.06</w:t>
      </w:r>
    </w:p>
    <w:p w14:paraId="036EEE51" w14:textId="77777777" w:rsidR="001041C3" w:rsidRPr="00026EC1" w:rsidRDefault="001041C3" w:rsidP="00A64613">
      <w:pPr>
        <w:keepNext w:val="0"/>
      </w:pPr>
      <w:r w:rsidRPr="00026EC1">
        <w:t>Au terme de son assignation provisoire, l</w:t>
      </w:r>
      <w:r w:rsidR="004A41E4" w:rsidRPr="00026EC1">
        <w:t>’</w:t>
      </w:r>
      <w:r w:rsidRPr="00026EC1">
        <w:t>enseignante ou l</w:t>
      </w:r>
      <w:r w:rsidR="004A41E4" w:rsidRPr="00026EC1">
        <w:t>’</w:t>
      </w:r>
      <w:r w:rsidRPr="00026EC1">
        <w:t>enseignant reprend son poste ou sa charge, avec tous ses droits et privilèges sous réserve des dispositions de la convention collective relatives à la sécurité d</w:t>
      </w:r>
      <w:r w:rsidR="004A41E4" w:rsidRPr="00026EC1">
        <w:t>’</w:t>
      </w:r>
      <w:r w:rsidRPr="00026EC1">
        <w:t>emploi, comme si elle ou il n</w:t>
      </w:r>
      <w:r w:rsidR="004A41E4" w:rsidRPr="00026EC1">
        <w:t>’</w:t>
      </w:r>
      <w:r w:rsidRPr="00026EC1">
        <w:t>avait jamais quitté sa catégorie de personnel.</w:t>
      </w:r>
    </w:p>
    <w:p w14:paraId="51B95584" w14:textId="77777777" w:rsidR="001041C3" w:rsidRPr="00026EC1" w:rsidRDefault="001041C3" w:rsidP="00A64613">
      <w:pPr>
        <w:keepNext w:val="0"/>
      </w:pPr>
    </w:p>
    <w:p w14:paraId="4E129CB8" w14:textId="164FA61E" w:rsidR="001041C3" w:rsidRPr="00026EC1" w:rsidRDefault="001041C3" w:rsidP="00A64613">
      <w:pPr>
        <w:pStyle w:val="NUMRODECLAUSE"/>
        <w:keepNext w:val="0"/>
      </w:pPr>
      <w:r w:rsidRPr="00026EC1">
        <w:t>5</w:t>
      </w:r>
      <w:r w:rsidR="00984A6F">
        <w:noBreakHyphen/>
      </w:r>
      <w:r w:rsidRPr="00026EC1">
        <w:t>11.07</w:t>
      </w:r>
    </w:p>
    <w:p w14:paraId="3B130AAC" w14:textId="77777777" w:rsidR="001041C3" w:rsidRPr="00026EC1" w:rsidRDefault="001041C3" w:rsidP="00A64613">
      <w:pPr>
        <w:keepNext w:val="0"/>
      </w:pPr>
      <w:r w:rsidRPr="00026EC1">
        <w:t>Pendant qu</w:t>
      </w:r>
      <w:r w:rsidR="004A41E4" w:rsidRPr="00026EC1">
        <w:t>’</w:t>
      </w:r>
      <w:r w:rsidRPr="00026EC1">
        <w:t>elle ou il est en assignation provisoire, l</w:t>
      </w:r>
      <w:r w:rsidR="004A41E4" w:rsidRPr="00026EC1">
        <w:t>’</w:t>
      </w:r>
      <w:r w:rsidRPr="00026EC1">
        <w:t>enseignante ou l</w:t>
      </w:r>
      <w:r w:rsidR="004A41E4" w:rsidRPr="00026EC1">
        <w:t>’</w:t>
      </w:r>
      <w:r w:rsidRPr="00026EC1">
        <w:t>enseignant demeure soumis à l</w:t>
      </w:r>
      <w:r w:rsidR="004A41E4" w:rsidRPr="00026EC1">
        <w:t>’</w:t>
      </w:r>
      <w:r w:rsidRPr="00026EC1">
        <w:t>application des mécanismes de replacement, mais si, en vertu des dispositions relatives à la sécurité d</w:t>
      </w:r>
      <w:r w:rsidR="004A41E4" w:rsidRPr="00026EC1">
        <w:t>’</w:t>
      </w:r>
      <w:r w:rsidRPr="00026EC1">
        <w:t>emploi, elle ou il doit accepter un poste, elle ou il n</w:t>
      </w:r>
      <w:r w:rsidR="004A41E4" w:rsidRPr="00026EC1">
        <w:t>’</w:t>
      </w:r>
      <w:r w:rsidRPr="00026EC1">
        <w:t>est pas tenu de l</w:t>
      </w:r>
      <w:r w:rsidR="004A41E4" w:rsidRPr="00026EC1">
        <w:t>’</w:t>
      </w:r>
      <w:r w:rsidRPr="00026EC1">
        <w:t>occuper avant la fin de son assignation provisoire.</w:t>
      </w:r>
    </w:p>
    <w:p w14:paraId="648D3B6E" w14:textId="77777777" w:rsidR="005B6FC0" w:rsidRPr="00026EC1" w:rsidRDefault="005B6FC0" w:rsidP="00A64613">
      <w:pPr>
        <w:pStyle w:val="NUMRODECLAUSE"/>
        <w:keepNext w:val="0"/>
      </w:pPr>
    </w:p>
    <w:p w14:paraId="192DC7BA" w14:textId="2936FC0D" w:rsidR="001041C3" w:rsidRPr="00026EC1" w:rsidRDefault="001041C3" w:rsidP="00A64613">
      <w:pPr>
        <w:pStyle w:val="NUMRODECLAUSE"/>
        <w:keepNext w:val="0"/>
      </w:pPr>
      <w:r w:rsidRPr="00026EC1">
        <w:t>5</w:t>
      </w:r>
      <w:r w:rsidR="00984A6F">
        <w:noBreakHyphen/>
      </w:r>
      <w:r w:rsidRPr="00026EC1">
        <w:t>11.08</w:t>
      </w:r>
    </w:p>
    <w:p w14:paraId="0C53D91B" w14:textId="09A51172" w:rsidR="00404F34" w:rsidRPr="00026EC1" w:rsidRDefault="001041C3" w:rsidP="00A64613">
      <w:pPr>
        <w:keepNext w:val="0"/>
      </w:pPr>
      <w:r w:rsidRPr="00026EC1">
        <w:t>L</w:t>
      </w:r>
      <w:r w:rsidR="004A41E4" w:rsidRPr="00026EC1">
        <w:t>’</w:t>
      </w:r>
      <w:r w:rsidRPr="00026EC1">
        <w:t>assignation provisoire est d</w:t>
      </w:r>
      <w:r w:rsidR="004A41E4" w:rsidRPr="00026EC1">
        <w:t>’</w:t>
      </w:r>
      <w:r w:rsidRPr="00026EC1">
        <w:t>une durée minimale de trois (3) semaines, d</w:t>
      </w:r>
      <w:r w:rsidR="004A41E4" w:rsidRPr="00026EC1">
        <w:t>’</w:t>
      </w:r>
      <w:r w:rsidRPr="00026EC1">
        <w:t>une durée maximale d</w:t>
      </w:r>
      <w:r w:rsidR="004A41E4" w:rsidRPr="00026EC1">
        <w:t>’</w:t>
      </w:r>
      <w:r w:rsidRPr="00026EC1">
        <w:t>un</w:t>
      </w:r>
      <w:r w:rsidR="0011678F">
        <w:t> </w:t>
      </w:r>
      <w:r w:rsidR="006C346F" w:rsidRPr="00026EC1">
        <w:t>(1)</w:t>
      </w:r>
      <w:r w:rsidRPr="00026EC1">
        <w:t xml:space="preserve"> an et elle est renouvelable.</w:t>
      </w:r>
    </w:p>
    <w:p w14:paraId="07BC8C92" w14:textId="36AA38CB" w:rsidR="00404F34" w:rsidRPr="00026EC1" w:rsidRDefault="00404F34" w:rsidP="00A64613">
      <w:pPr>
        <w:pStyle w:val="Heading2"/>
        <w:keepNext w:val="0"/>
        <w:ind w:left="2127" w:hanging="2127"/>
      </w:pPr>
      <w:r w:rsidRPr="00026EC1">
        <w:br w:type="page"/>
      </w:r>
      <w:bookmarkStart w:id="497" w:name="_Toc535046608"/>
      <w:bookmarkStart w:id="498" w:name="_Toc133760781"/>
      <w:bookmarkStart w:id="499" w:name="_Toc393444611"/>
      <w:bookmarkStart w:id="500" w:name="_Toc393449562"/>
      <w:bookmarkStart w:id="501" w:name="_Toc393460931"/>
      <w:bookmarkStart w:id="502" w:name="_Toc393461209"/>
      <w:bookmarkStart w:id="503" w:name="_Toc393720770"/>
      <w:bookmarkStart w:id="504" w:name="_Toc393783931"/>
      <w:bookmarkStart w:id="505" w:name="_Toc393784070"/>
      <w:bookmarkStart w:id="506" w:name="_Toc168479524"/>
      <w:r w:rsidRPr="00026EC1">
        <w:t>Article 5</w:t>
      </w:r>
      <w:r w:rsidR="00984A6F">
        <w:t>-</w:t>
      </w:r>
      <w:r w:rsidRPr="00026EC1">
        <w:t>12.00</w:t>
      </w:r>
      <w:r w:rsidR="00C9604C" w:rsidRPr="00026EC1">
        <w:tab/>
      </w:r>
      <w:r w:rsidR="00984A6F">
        <w:t>-</w:t>
      </w:r>
      <w:r w:rsidR="00C9604C" w:rsidRPr="00026EC1">
        <w:tab/>
      </w:r>
      <w:r w:rsidRPr="00026EC1">
        <w:t>Congé à traitement différé ou anticipé</w:t>
      </w:r>
      <w:bookmarkEnd w:id="497"/>
      <w:bookmarkEnd w:id="498"/>
      <w:bookmarkEnd w:id="499"/>
      <w:bookmarkEnd w:id="500"/>
      <w:bookmarkEnd w:id="501"/>
      <w:bookmarkEnd w:id="502"/>
      <w:bookmarkEnd w:id="503"/>
      <w:bookmarkEnd w:id="504"/>
      <w:bookmarkEnd w:id="505"/>
      <w:bookmarkEnd w:id="506"/>
    </w:p>
    <w:p w14:paraId="53814473" w14:textId="116925FC" w:rsidR="00312B8B" w:rsidRPr="00026EC1" w:rsidRDefault="00312B8B" w:rsidP="00A64613">
      <w:pPr>
        <w:pStyle w:val="NUMRODECLAUSE"/>
        <w:keepNext w:val="0"/>
      </w:pPr>
      <w:r w:rsidRPr="00026EC1">
        <w:t>5</w:t>
      </w:r>
      <w:r w:rsidR="00984A6F">
        <w:noBreakHyphen/>
      </w:r>
      <w:r w:rsidRPr="00026EC1">
        <w:t>12.01</w:t>
      </w:r>
    </w:p>
    <w:p w14:paraId="212BE425" w14:textId="77777777" w:rsidR="00312B8B" w:rsidRPr="00026EC1" w:rsidRDefault="00312B8B" w:rsidP="00A64613">
      <w:pPr>
        <w:keepNext w:val="0"/>
      </w:pPr>
      <w:r w:rsidRPr="00026EC1">
        <w:t>Le régime de congé à traitement différé ou anticipé a pour but de permettre à une enseignante ou un enseignant permanent qui n</w:t>
      </w:r>
      <w:r w:rsidR="004A41E4" w:rsidRPr="00026EC1">
        <w:t>’</w:t>
      </w:r>
      <w:r w:rsidRPr="00026EC1">
        <w:t>est pas mis en disponibilité d</w:t>
      </w:r>
      <w:r w:rsidR="004A41E4" w:rsidRPr="00026EC1">
        <w:t>’</w:t>
      </w:r>
      <w:r w:rsidRPr="00026EC1">
        <w:t>étaler son traitement de façon à pouvoir bénéficier d</w:t>
      </w:r>
      <w:r w:rsidR="004A41E4" w:rsidRPr="00026EC1">
        <w:t>’</w:t>
      </w:r>
      <w:r w:rsidRPr="00026EC1">
        <w:t>une rémunération pendant une période de congé. Cependant, le régime n</w:t>
      </w:r>
      <w:r w:rsidR="004A41E4" w:rsidRPr="00026EC1">
        <w:t>’</w:t>
      </w:r>
      <w:r w:rsidRPr="00026EC1">
        <w:t>a pas pour objectif de permettre à l</w:t>
      </w:r>
      <w:r w:rsidR="004A41E4" w:rsidRPr="00026EC1">
        <w:t>’</w:t>
      </w:r>
      <w:r w:rsidRPr="00026EC1">
        <w:t>enseignante ou l</w:t>
      </w:r>
      <w:r w:rsidR="004A41E4" w:rsidRPr="00026EC1">
        <w:t>’</w:t>
      </w:r>
      <w:r w:rsidRPr="00026EC1">
        <w:t>enseignant de différer de l</w:t>
      </w:r>
      <w:r w:rsidR="004A41E4" w:rsidRPr="00026EC1">
        <w:t>’</w:t>
      </w:r>
      <w:r w:rsidRPr="00026EC1">
        <w:t>impôt ou de bénéficier de prestations au moment de la retraite.</w:t>
      </w:r>
    </w:p>
    <w:p w14:paraId="2BDC164A" w14:textId="77777777" w:rsidR="00312B8B" w:rsidRPr="00026EC1" w:rsidRDefault="00312B8B" w:rsidP="00A64613">
      <w:pPr>
        <w:keepNext w:val="0"/>
      </w:pPr>
    </w:p>
    <w:p w14:paraId="354FED39" w14:textId="60B8422D" w:rsidR="00312B8B" w:rsidRPr="00026EC1" w:rsidRDefault="00312B8B" w:rsidP="00A64613">
      <w:pPr>
        <w:pStyle w:val="NUMRODECLAUSE"/>
        <w:keepNext w:val="0"/>
      </w:pPr>
      <w:r w:rsidRPr="00026EC1">
        <w:t>5</w:t>
      </w:r>
      <w:r w:rsidR="00984A6F">
        <w:noBreakHyphen/>
      </w:r>
      <w:r w:rsidRPr="00026EC1">
        <w:t>12.02</w:t>
      </w:r>
    </w:p>
    <w:p w14:paraId="564C8377" w14:textId="77777777" w:rsidR="00312B8B" w:rsidRPr="00026EC1" w:rsidRDefault="00312B8B" w:rsidP="00A64613">
      <w:pPr>
        <w:keepNext w:val="0"/>
      </w:pPr>
      <w:r w:rsidRPr="00026EC1">
        <w:t>Le régime de congé à traitement différé ou anticipé comporte une période de travail et une période de congé.</w:t>
      </w:r>
    </w:p>
    <w:p w14:paraId="505C4B50" w14:textId="77777777" w:rsidR="00312B8B" w:rsidRPr="00026EC1" w:rsidRDefault="00312B8B" w:rsidP="00A64613">
      <w:pPr>
        <w:keepNext w:val="0"/>
      </w:pPr>
    </w:p>
    <w:p w14:paraId="7FC22928" w14:textId="77777777" w:rsidR="00312B8B" w:rsidRPr="00026EC1" w:rsidRDefault="00312B8B" w:rsidP="00A64613">
      <w:pPr>
        <w:keepNext w:val="0"/>
      </w:pPr>
      <w:r w:rsidRPr="00026EC1">
        <w:t>Le congé à traitement différé est celui dont la période de congé se situe après toute la période de travail.</w:t>
      </w:r>
    </w:p>
    <w:p w14:paraId="56B1CF5A" w14:textId="77777777" w:rsidR="00312B8B" w:rsidRPr="00026EC1" w:rsidRDefault="00312B8B" w:rsidP="00A64613">
      <w:pPr>
        <w:keepNext w:val="0"/>
      </w:pPr>
    </w:p>
    <w:p w14:paraId="7E6C9837" w14:textId="77777777" w:rsidR="00312B8B" w:rsidRPr="00026EC1" w:rsidRDefault="00312B8B" w:rsidP="00A64613">
      <w:pPr>
        <w:keepNext w:val="0"/>
      </w:pPr>
      <w:r w:rsidRPr="00026EC1">
        <w:t>Le congé à traitement anticipé est celui dont la période de congé se situe avant une partie ou la totalité de la période de travail.</w:t>
      </w:r>
    </w:p>
    <w:p w14:paraId="27188518" w14:textId="77777777" w:rsidR="00312B8B" w:rsidRPr="00026EC1" w:rsidRDefault="00312B8B" w:rsidP="00A64613">
      <w:pPr>
        <w:keepNext w:val="0"/>
      </w:pPr>
    </w:p>
    <w:p w14:paraId="72B6C128" w14:textId="1674D012" w:rsidR="00312B8B" w:rsidRPr="00026EC1" w:rsidRDefault="00312B8B" w:rsidP="00A64613">
      <w:pPr>
        <w:pStyle w:val="NUMRODECLAUSE"/>
        <w:keepNext w:val="0"/>
      </w:pPr>
      <w:r w:rsidRPr="00026EC1">
        <w:t>5</w:t>
      </w:r>
      <w:r w:rsidR="00984A6F">
        <w:noBreakHyphen/>
      </w:r>
      <w:r w:rsidRPr="00026EC1">
        <w:t>12.03</w:t>
      </w:r>
    </w:p>
    <w:p w14:paraId="681D1AC2" w14:textId="77777777" w:rsidR="00312B8B" w:rsidRPr="00026EC1" w:rsidRDefault="00312B8B" w:rsidP="00A64613">
      <w:pPr>
        <w:keepNext w:val="0"/>
      </w:pPr>
      <w:r w:rsidRPr="00026EC1">
        <w:t>La durée du régime de congé à traitement différé ou anticipé peut être de deux (2) ans, trois (3) ans, quatre (4) ans ou cinq (5) ans.</w:t>
      </w:r>
    </w:p>
    <w:p w14:paraId="3F986ECD" w14:textId="77777777" w:rsidR="00312B8B" w:rsidRPr="00026EC1" w:rsidRDefault="00312B8B" w:rsidP="00A64613">
      <w:pPr>
        <w:keepNext w:val="0"/>
      </w:pPr>
    </w:p>
    <w:p w14:paraId="55DF7EA5" w14:textId="08FACF0D" w:rsidR="00312B8B" w:rsidRPr="00026EC1" w:rsidRDefault="00312B8B" w:rsidP="00A64613">
      <w:pPr>
        <w:keepNext w:val="0"/>
      </w:pPr>
      <w:r w:rsidRPr="00026EC1">
        <w:t>La durée prévue du régime peut cependant être prolongée dans les cas et de la manière prévus aux clauses 5</w:t>
      </w:r>
      <w:r w:rsidR="00984A6F">
        <w:noBreakHyphen/>
      </w:r>
      <w:r w:rsidRPr="00026EC1">
        <w:t>12.14, 5</w:t>
      </w:r>
      <w:r w:rsidR="00984A6F">
        <w:noBreakHyphen/>
      </w:r>
      <w:r w:rsidRPr="00026EC1">
        <w:t>12.17 et 5</w:t>
      </w:r>
      <w:r w:rsidR="00984A6F">
        <w:noBreakHyphen/>
      </w:r>
      <w:r w:rsidRPr="00026EC1">
        <w:t>12.18; toutefois, le congé débute au plus tard à l</w:t>
      </w:r>
      <w:r w:rsidR="004A41E4" w:rsidRPr="00026EC1">
        <w:t>’</w:t>
      </w:r>
      <w:r w:rsidRPr="00026EC1">
        <w:t>expiration d</w:t>
      </w:r>
      <w:r w:rsidR="004A41E4" w:rsidRPr="00026EC1">
        <w:t>’</w:t>
      </w:r>
      <w:r w:rsidRPr="00026EC1">
        <w:t>une période maximale de six (6) ans suivant la date à laquelle des montants commencent à être différés.</w:t>
      </w:r>
    </w:p>
    <w:p w14:paraId="7A0A676A" w14:textId="77777777" w:rsidR="00312B8B" w:rsidRPr="00026EC1" w:rsidRDefault="00312B8B" w:rsidP="00A64613">
      <w:pPr>
        <w:keepNext w:val="0"/>
      </w:pPr>
    </w:p>
    <w:p w14:paraId="7C2E47CA" w14:textId="46963682" w:rsidR="00312B8B" w:rsidRPr="00026EC1" w:rsidRDefault="00312B8B" w:rsidP="00A64613">
      <w:pPr>
        <w:pStyle w:val="NUMRODECLAUSE"/>
        <w:keepNext w:val="0"/>
      </w:pPr>
      <w:r w:rsidRPr="00026EC1">
        <w:t>5</w:t>
      </w:r>
      <w:r w:rsidR="00984A6F">
        <w:noBreakHyphen/>
      </w:r>
      <w:r w:rsidRPr="00026EC1">
        <w:t>12.04</w:t>
      </w:r>
    </w:p>
    <w:p w14:paraId="1684FB02" w14:textId="77777777" w:rsidR="00312B8B" w:rsidRPr="00026EC1" w:rsidRDefault="00312B8B" w:rsidP="00A64613">
      <w:pPr>
        <w:keepNext w:val="0"/>
      </w:pPr>
      <w:r w:rsidRPr="00026EC1">
        <w:t>La durée de la période de congé peut être de six (6) mois ou douze (12) mois consécutifs. La période de congé ne peut être interrompue pour quelque raison que ce soit, sauf dans le cas où le congé se situe en totalité avant la période de travail.</w:t>
      </w:r>
    </w:p>
    <w:p w14:paraId="069E417D" w14:textId="77777777" w:rsidR="00312B8B" w:rsidRPr="00026EC1" w:rsidRDefault="00312B8B" w:rsidP="00A64613">
      <w:pPr>
        <w:keepNext w:val="0"/>
      </w:pPr>
    </w:p>
    <w:p w14:paraId="00431003" w14:textId="5D15720A" w:rsidR="00312B8B" w:rsidRPr="00026EC1" w:rsidRDefault="00312B8B" w:rsidP="00A64613">
      <w:pPr>
        <w:pStyle w:val="NUMRODECLAUSE"/>
        <w:keepNext w:val="0"/>
      </w:pPr>
      <w:r w:rsidRPr="00026EC1">
        <w:t>5</w:t>
      </w:r>
      <w:r w:rsidR="00984A6F">
        <w:noBreakHyphen/>
      </w:r>
      <w:r w:rsidRPr="00026EC1">
        <w:t>12.05</w:t>
      </w:r>
    </w:p>
    <w:p w14:paraId="27C9EE07" w14:textId="77777777" w:rsidR="00312B8B" w:rsidRPr="00026EC1" w:rsidRDefault="00312B8B" w:rsidP="00A64613">
      <w:pPr>
        <w:keepNext w:val="0"/>
      </w:pPr>
      <w:r w:rsidRPr="00026EC1">
        <w:t>L</w:t>
      </w:r>
      <w:r w:rsidR="004A41E4" w:rsidRPr="00026EC1">
        <w:t>’</w:t>
      </w:r>
      <w:r w:rsidRPr="00026EC1">
        <w:t>enseignante ou l</w:t>
      </w:r>
      <w:r w:rsidR="004A41E4" w:rsidRPr="00026EC1">
        <w:t>’</w:t>
      </w:r>
      <w:r w:rsidRPr="00026EC1">
        <w:t>enseignant qui désire obtenir un congé à traitement différé ou anticipé en fait la demande écrite au Collège.</w:t>
      </w:r>
    </w:p>
    <w:p w14:paraId="08BD3919" w14:textId="77777777" w:rsidR="00312B8B" w:rsidRPr="00026EC1" w:rsidRDefault="00312B8B" w:rsidP="00A64613">
      <w:pPr>
        <w:keepNext w:val="0"/>
      </w:pPr>
    </w:p>
    <w:p w14:paraId="5E441892" w14:textId="77777777" w:rsidR="00312B8B" w:rsidRPr="00026EC1" w:rsidRDefault="00312B8B" w:rsidP="00A64613">
      <w:pPr>
        <w:keepNext w:val="0"/>
      </w:pPr>
      <w:r w:rsidRPr="00026EC1">
        <w:t>Cette demande indique la durée prévue du régime et de la période de congé, de même que les dates projetées de début et de fin de la période de congé et du régime. Le congé de six (6) mois vaut zéro virgule cinq (0,5) ETC.</w:t>
      </w:r>
    </w:p>
    <w:p w14:paraId="756F847C" w14:textId="77777777" w:rsidR="00312B8B" w:rsidRPr="00026EC1" w:rsidRDefault="00312B8B" w:rsidP="00A64613">
      <w:pPr>
        <w:keepNext w:val="0"/>
      </w:pPr>
    </w:p>
    <w:p w14:paraId="523A7505" w14:textId="093B4E41" w:rsidR="00312B8B" w:rsidRPr="00026EC1" w:rsidRDefault="00312B8B" w:rsidP="00A64613">
      <w:pPr>
        <w:pStyle w:val="NUMRODECLAUSE"/>
        <w:keepNext w:val="0"/>
      </w:pPr>
      <w:r w:rsidRPr="00026EC1">
        <w:t>5</w:t>
      </w:r>
      <w:r w:rsidR="00984A6F">
        <w:noBreakHyphen/>
      </w:r>
      <w:r w:rsidRPr="00026EC1">
        <w:t>12.06</w:t>
      </w:r>
    </w:p>
    <w:p w14:paraId="27A810EB" w14:textId="77777777" w:rsidR="00312B8B" w:rsidRPr="00026EC1" w:rsidRDefault="00312B8B" w:rsidP="00A64613">
      <w:pPr>
        <w:keepNext w:val="0"/>
      </w:pPr>
      <w:r w:rsidRPr="00026EC1">
        <w:t>Le Collège ne peut accepter la demande de participation au régime de congé à traitement différé ou anticipé d</w:t>
      </w:r>
      <w:r w:rsidR="004A41E4" w:rsidRPr="00026EC1">
        <w:t>’</w:t>
      </w:r>
      <w:r w:rsidRPr="00026EC1">
        <w:t>une enseignante ou d</w:t>
      </w:r>
      <w:r w:rsidR="004A41E4" w:rsidRPr="00026EC1">
        <w:t>’</w:t>
      </w:r>
      <w:r w:rsidRPr="00026EC1">
        <w:t>un enseignant invalide.</w:t>
      </w:r>
    </w:p>
    <w:p w14:paraId="759DC183" w14:textId="011DCF4A" w:rsidR="00312B8B" w:rsidRPr="00026EC1" w:rsidRDefault="00312B8B" w:rsidP="00A64613">
      <w:pPr>
        <w:pStyle w:val="NUMRODECLAUSE"/>
        <w:keepNext w:val="0"/>
      </w:pPr>
      <w:r w:rsidRPr="00026EC1">
        <w:br w:type="page"/>
        <w:t>5</w:t>
      </w:r>
      <w:r w:rsidR="00984A6F">
        <w:noBreakHyphen/>
      </w:r>
      <w:r w:rsidRPr="00026EC1">
        <w:t>12.07</w:t>
      </w:r>
    </w:p>
    <w:p w14:paraId="4015BCFF" w14:textId="77777777" w:rsidR="00312B8B" w:rsidRPr="00026EC1" w:rsidRDefault="00312B8B" w:rsidP="00A64613">
      <w:pPr>
        <w:keepNext w:val="0"/>
      </w:pPr>
      <w:r w:rsidRPr="00026EC1">
        <w:t>Le Collège n</w:t>
      </w:r>
      <w:r w:rsidR="004A41E4" w:rsidRPr="00026EC1">
        <w:t>’</w:t>
      </w:r>
      <w:r w:rsidRPr="00026EC1">
        <w:t>est pas tenu d</w:t>
      </w:r>
      <w:r w:rsidR="004A41E4" w:rsidRPr="00026EC1">
        <w:t>’</w:t>
      </w:r>
      <w:r w:rsidRPr="00026EC1">
        <w:t>accepter un nombre minimal de demandes de participation au régime de congé à traitement anticipé.</w:t>
      </w:r>
    </w:p>
    <w:p w14:paraId="1D004699" w14:textId="77777777" w:rsidR="00312B8B" w:rsidRPr="00026EC1" w:rsidRDefault="00312B8B" w:rsidP="00A64613">
      <w:pPr>
        <w:keepNext w:val="0"/>
      </w:pPr>
    </w:p>
    <w:p w14:paraId="2EA12BC2" w14:textId="2537104B" w:rsidR="00312B8B" w:rsidRPr="00026EC1" w:rsidRDefault="00312B8B" w:rsidP="00A64613">
      <w:pPr>
        <w:keepNext w:val="0"/>
      </w:pPr>
      <w:r w:rsidRPr="00026EC1">
        <w:t>Sous réserve de difficultés d</w:t>
      </w:r>
      <w:r w:rsidR="004A41E4" w:rsidRPr="00026EC1">
        <w:t>’</w:t>
      </w:r>
      <w:r w:rsidRPr="00026EC1">
        <w:t>ordre pédagogique, le Collège accepte une demande de participation au régime de congé à traitement différé. Cependant, pour une discipline donnée, le Collège n</w:t>
      </w:r>
      <w:r w:rsidR="004A41E4" w:rsidRPr="00026EC1">
        <w:t>’</w:t>
      </w:r>
      <w:r w:rsidRPr="00026EC1">
        <w:t>est pas tenu d</w:t>
      </w:r>
      <w:r w:rsidR="004A41E4" w:rsidRPr="00026EC1">
        <w:t>’</w:t>
      </w:r>
      <w:r w:rsidRPr="00026EC1">
        <w:t>accepter une demande de participation au régime qui aurait pour effet que plus d</w:t>
      </w:r>
      <w:r w:rsidR="004A41E4" w:rsidRPr="00026EC1">
        <w:t>’</w:t>
      </w:r>
      <w:r w:rsidRPr="00026EC1">
        <w:t>une (1) enseignante ou d</w:t>
      </w:r>
      <w:r w:rsidR="004A41E4" w:rsidRPr="00026EC1">
        <w:t>’</w:t>
      </w:r>
      <w:r w:rsidRPr="00026EC1">
        <w:t>un (1) enseignant ou plus de dix pour cent (10</w:t>
      </w:r>
      <w:r w:rsidR="00714A15">
        <w:t> %</w:t>
      </w:r>
      <w:r w:rsidRPr="00026EC1">
        <w:t>) des enseignantes et enseignants de cette discipline, si le nombre d</w:t>
      </w:r>
      <w:r w:rsidR="004A41E4" w:rsidRPr="00026EC1">
        <w:t>’</w:t>
      </w:r>
      <w:r w:rsidRPr="00026EC1">
        <w:t>enseignantes et d</w:t>
      </w:r>
      <w:r w:rsidR="004A41E4" w:rsidRPr="00026EC1">
        <w:t>’</w:t>
      </w:r>
      <w:r w:rsidRPr="00026EC1">
        <w:t>enseignants alloué à cette discipline est plus grand que dix (10), bénéficient de la période de congé en même temps.</w:t>
      </w:r>
    </w:p>
    <w:p w14:paraId="78187296" w14:textId="77777777" w:rsidR="00312B8B" w:rsidRPr="00026EC1" w:rsidRDefault="00312B8B" w:rsidP="00A64613">
      <w:pPr>
        <w:keepNext w:val="0"/>
      </w:pPr>
    </w:p>
    <w:p w14:paraId="5CF0DEC6" w14:textId="77777777" w:rsidR="00312B8B" w:rsidRPr="00026EC1" w:rsidRDefault="00312B8B" w:rsidP="00A64613">
      <w:pPr>
        <w:keepNext w:val="0"/>
      </w:pPr>
      <w:r w:rsidRPr="00026EC1">
        <w:t>Lorsque le Collège doit choisir parmi les demandes de participation au régime de congé à traitement différé ou anticipé de plusieurs enseignantes ou enseignants, les demandes sont acceptées par ordre d</w:t>
      </w:r>
      <w:r w:rsidR="004A41E4" w:rsidRPr="00026EC1">
        <w:t>’</w:t>
      </w:r>
      <w:r w:rsidRPr="00026EC1">
        <w:t>ancienneté, sous réserve de difficultés d</w:t>
      </w:r>
      <w:r w:rsidR="004A41E4" w:rsidRPr="00026EC1">
        <w:t>’</w:t>
      </w:r>
      <w:r w:rsidRPr="00026EC1">
        <w:t>ordre pédagogique.</w:t>
      </w:r>
    </w:p>
    <w:p w14:paraId="1F9F3C8E" w14:textId="77777777" w:rsidR="00312B8B" w:rsidRPr="00026EC1" w:rsidRDefault="00312B8B" w:rsidP="00A64613">
      <w:pPr>
        <w:keepNext w:val="0"/>
      </w:pPr>
    </w:p>
    <w:p w14:paraId="3AE2D945" w14:textId="77777777" w:rsidR="00312B8B" w:rsidRPr="00026EC1" w:rsidRDefault="00312B8B" w:rsidP="00A64613">
      <w:pPr>
        <w:keepNext w:val="0"/>
      </w:pPr>
      <w:r w:rsidRPr="00026EC1">
        <w:t>Lorsque le Collège accepte une demande de participation au régime de congé à traitement différé ou anticipé, il signifie son accord par écrit à l</w:t>
      </w:r>
      <w:r w:rsidR="004A41E4" w:rsidRPr="00026EC1">
        <w:t>’</w:t>
      </w:r>
      <w:r w:rsidRPr="00026EC1">
        <w:t>enseignante ou l</w:t>
      </w:r>
      <w:r w:rsidR="004A41E4" w:rsidRPr="00026EC1">
        <w:t>’</w:t>
      </w:r>
      <w:r w:rsidRPr="00026EC1">
        <w:t>enseignant.</w:t>
      </w:r>
    </w:p>
    <w:p w14:paraId="2BB6030F" w14:textId="77777777" w:rsidR="00312B8B" w:rsidRPr="00026EC1" w:rsidRDefault="00312B8B" w:rsidP="00A64613">
      <w:pPr>
        <w:keepNext w:val="0"/>
      </w:pPr>
    </w:p>
    <w:p w14:paraId="00A02BDF" w14:textId="4F2076A5" w:rsidR="00312B8B" w:rsidRPr="00026EC1" w:rsidRDefault="00312B8B" w:rsidP="00A64613">
      <w:pPr>
        <w:pStyle w:val="NUMRODECLAUSE"/>
        <w:keepNext w:val="0"/>
      </w:pPr>
      <w:r w:rsidRPr="00026EC1">
        <w:t>5</w:t>
      </w:r>
      <w:r w:rsidR="00984A6F">
        <w:noBreakHyphen/>
      </w:r>
      <w:r w:rsidRPr="00026EC1">
        <w:t>12.08</w:t>
      </w:r>
    </w:p>
    <w:p w14:paraId="1BBFC030" w14:textId="77777777" w:rsidR="00312B8B" w:rsidRPr="00026EC1" w:rsidRDefault="00312B8B" w:rsidP="00A64613">
      <w:pPr>
        <w:keepNext w:val="0"/>
      </w:pPr>
      <w:r w:rsidRPr="00026EC1">
        <w:t>Au terme de la période de congé, l</w:t>
      </w:r>
      <w:r w:rsidR="004A41E4" w:rsidRPr="00026EC1">
        <w:t>’</w:t>
      </w:r>
      <w:r w:rsidRPr="00026EC1">
        <w:t>enseignante ou l</w:t>
      </w:r>
      <w:r w:rsidR="004A41E4" w:rsidRPr="00026EC1">
        <w:t>’</w:t>
      </w:r>
      <w:r w:rsidRPr="00026EC1">
        <w:t>enseignant réintègre son poste sous réserve des dispositions de la convention collective et elle ou il demeure à l</w:t>
      </w:r>
      <w:r w:rsidR="004A41E4" w:rsidRPr="00026EC1">
        <w:t>’</w:t>
      </w:r>
      <w:r w:rsidRPr="00026EC1">
        <w:t>emploi du Collège pour une durée au moins équivalente à la durée de sa période de congé.</w:t>
      </w:r>
    </w:p>
    <w:p w14:paraId="263CB16E" w14:textId="77777777" w:rsidR="00312B8B" w:rsidRPr="00026EC1" w:rsidRDefault="00312B8B" w:rsidP="00A64613">
      <w:pPr>
        <w:keepNext w:val="0"/>
      </w:pPr>
    </w:p>
    <w:p w14:paraId="016F8C96" w14:textId="2DEA4F92" w:rsidR="00312B8B" w:rsidRPr="00026EC1" w:rsidRDefault="00312B8B" w:rsidP="00A64613">
      <w:pPr>
        <w:pStyle w:val="NUMRODECLAUSE"/>
        <w:keepNext w:val="0"/>
      </w:pPr>
      <w:r w:rsidRPr="00026EC1">
        <w:t>5</w:t>
      </w:r>
      <w:r w:rsidR="00984A6F">
        <w:noBreakHyphen/>
      </w:r>
      <w:r w:rsidRPr="00026EC1">
        <w:t>12.09</w:t>
      </w:r>
    </w:p>
    <w:p w14:paraId="2F711A7E" w14:textId="161280AD" w:rsidR="00312B8B" w:rsidRPr="00026EC1" w:rsidRDefault="00312B8B" w:rsidP="00A64613">
      <w:pPr>
        <w:keepNext w:val="0"/>
      </w:pPr>
      <w:r w:rsidRPr="00026EC1">
        <w:t>Pendant chacune des années de participation au régime de congé à traitement différé ou anticipé, l</w:t>
      </w:r>
      <w:r w:rsidR="004A41E4" w:rsidRPr="00026EC1">
        <w:t>’</w:t>
      </w:r>
      <w:r w:rsidRPr="00026EC1">
        <w:t>enseignante ou l</w:t>
      </w:r>
      <w:r w:rsidR="004A41E4" w:rsidRPr="00026EC1">
        <w:t>’</w:t>
      </w:r>
      <w:r w:rsidRPr="00026EC1">
        <w:t>enseignant reçoit le pourcentage de son traitement prévu au tableau ci</w:t>
      </w:r>
      <w:r w:rsidR="00984A6F">
        <w:noBreakHyphen/>
      </w:r>
      <w:r w:rsidRPr="00026EC1">
        <w:t>dessous au regard de la durée du régime et de la durée du congé</w:t>
      </w:r>
      <w:r w:rsidR="00D8581B">
        <w:t> :</w:t>
      </w:r>
    </w:p>
    <w:p w14:paraId="21121441" w14:textId="77777777" w:rsidR="00312B8B" w:rsidRPr="00026EC1" w:rsidRDefault="00312B8B" w:rsidP="00A64613">
      <w:pPr>
        <w:keepNext w:val="0"/>
      </w:pPr>
    </w:p>
    <w:tbl>
      <w:tblPr>
        <w:tblW w:w="8640" w:type="dxa"/>
        <w:jc w:val="center"/>
        <w:tblLayout w:type="fixed"/>
        <w:tblCellMar>
          <w:left w:w="70" w:type="dxa"/>
          <w:right w:w="70" w:type="dxa"/>
        </w:tblCellMar>
        <w:tblLook w:val="04A0" w:firstRow="1" w:lastRow="0" w:firstColumn="1" w:lastColumn="0" w:noHBand="0" w:noVBand="1"/>
      </w:tblPr>
      <w:tblGrid>
        <w:gridCol w:w="1440"/>
        <w:gridCol w:w="1440"/>
        <w:gridCol w:w="1080"/>
        <w:gridCol w:w="1080"/>
        <w:gridCol w:w="1260"/>
        <w:gridCol w:w="2340"/>
      </w:tblGrid>
      <w:tr w:rsidR="00312B8B" w:rsidRPr="00026EC1" w14:paraId="249B166F" w14:textId="77777777" w:rsidTr="00B11D24">
        <w:trPr>
          <w:jc w:val="center"/>
        </w:trPr>
        <w:tc>
          <w:tcPr>
            <w:tcW w:w="2880" w:type="dxa"/>
            <w:gridSpan w:val="2"/>
            <w:tcBorders>
              <w:top w:val="nil"/>
              <w:left w:val="nil"/>
              <w:bottom w:val="nil"/>
              <w:right w:val="single" w:sz="4" w:space="0" w:color="auto"/>
            </w:tcBorders>
            <w:hideMark/>
          </w:tcPr>
          <w:p w14:paraId="4D9FB8FC" w14:textId="77777777" w:rsidR="00312B8B" w:rsidRPr="00026EC1" w:rsidRDefault="00312B8B" w:rsidP="00A64613">
            <w:pPr>
              <w:keepNext w:val="0"/>
              <w:rPr>
                <w:u w:val="single"/>
              </w:rPr>
            </w:pPr>
            <w:r w:rsidRPr="00026EC1">
              <w:rPr>
                <w:u w:val="single"/>
              </w:rPr>
              <w:t>Durée de participation au régime</w:t>
            </w:r>
          </w:p>
        </w:tc>
        <w:tc>
          <w:tcPr>
            <w:tcW w:w="1080" w:type="dxa"/>
            <w:tcBorders>
              <w:top w:val="single" w:sz="4" w:space="0" w:color="auto"/>
              <w:left w:val="single" w:sz="4" w:space="0" w:color="auto"/>
              <w:bottom w:val="single" w:sz="4" w:space="0" w:color="auto"/>
              <w:right w:val="single" w:sz="4" w:space="0" w:color="auto"/>
            </w:tcBorders>
            <w:hideMark/>
          </w:tcPr>
          <w:p w14:paraId="03887E4E" w14:textId="77777777" w:rsidR="00312B8B" w:rsidRPr="00026EC1" w:rsidRDefault="00312B8B" w:rsidP="00A64613">
            <w:pPr>
              <w:keepNext w:val="0"/>
              <w:spacing w:before="120"/>
              <w:jc w:val="center"/>
            </w:pPr>
            <w:r w:rsidRPr="00026EC1">
              <w:t>2 ans</w:t>
            </w:r>
          </w:p>
        </w:tc>
        <w:tc>
          <w:tcPr>
            <w:tcW w:w="1080" w:type="dxa"/>
            <w:tcBorders>
              <w:top w:val="single" w:sz="4" w:space="0" w:color="auto"/>
              <w:left w:val="single" w:sz="4" w:space="0" w:color="auto"/>
              <w:bottom w:val="single" w:sz="4" w:space="0" w:color="auto"/>
              <w:right w:val="single" w:sz="4" w:space="0" w:color="auto"/>
            </w:tcBorders>
            <w:hideMark/>
          </w:tcPr>
          <w:p w14:paraId="26623940" w14:textId="77777777" w:rsidR="00312B8B" w:rsidRPr="00026EC1" w:rsidRDefault="00312B8B" w:rsidP="00A64613">
            <w:pPr>
              <w:keepNext w:val="0"/>
              <w:spacing w:before="120"/>
              <w:jc w:val="center"/>
            </w:pPr>
            <w:r w:rsidRPr="00026EC1">
              <w:t>3 ans</w:t>
            </w:r>
          </w:p>
        </w:tc>
        <w:tc>
          <w:tcPr>
            <w:tcW w:w="1260" w:type="dxa"/>
            <w:tcBorders>
              <w:top w:val="single" w:sz="4" w:space="0" w:color="auto"/>
              <w:left w:val="single" w:sz="4" w:space="0" w:color="auto"/>
              <w:bottom w:val="single" w:sz="4" w:space="0" w:color="auto"/>
              <w:right w:val="single" w:sz="4" w:space="0" w:color="auto"/>
            </w:tcBorders>
            <w:hideMark/>
          </w:tcPr>
          <w:p w14:paraId="213B0798" w14:textId="77777777" w:rsidR="00312B8B" w:rsidRPr="00026EC1" w:rsidRDefault="00312B8B" w:rsidP="00A64613">
            <w:pPr>
              <w:keepNext w:val="0"/>
              <w:spacing w:before="120"/>
              <w:jc w:val="center"/>
            </w:pPr>
            <w:r w:rsidRPr="00026EC1">
              <w:t>4 ans</w:t>
            </w:r>
          </w:p>
        </w:tc>
        <w:tc>
          <w:tcPr>
            <w:tcW w:w="2340" w:type="dxa"/>
            <w:tcBorders>
              <w:top w:val="single" w:sz="4" w:space="0" w:color="auto"/>
              <w:left w:val="single" w:sz="4" w:space="0" w:color="auto"/>
              <w:bottom w:val="single" w:sz="4" w:space="0" w:color="auto"/>
              <w:right w:val="single" w:sz="4" w:space="0" w:color="auto"/>
            </w:tcBorders>
            <w:hideMark/>
          </w:tcPr>
          <w:p w14:paraId="709F26A9" w14:textId="77777777" w:rsidR="00312B8B" w:rsidRPr="00026EC1" w:rsidRDefault="00312B8B" w:rsidP="00A64613">
            <w:pPr>
              <w:keepNext w:val="0"/>
              <w:spacing w:before="120"/>
              <w:jc w:val="center"/>
            </w:pPr>
            <w:r w:rsidRPr="00026EC1">
              <w:t>5 ans</w:t>
            </w:r>
          </w:p>
        </w:tc>
      </w:tr>
      <w:tr w:rsidR="00312B8B" w:rsidRPr="00026EC1" w14:paraId="702051D9" w14:textId="77777777" w:rsidTr="00B11D24">
        <w:trPr>
          <w:cantSplit/>
          <w:jc w:val="center"/>
        </w:trPr>
        <w:tc>
          <w:tcPr>
            <w:tcW w:w="1440" w:type="dxa"/>
            <w:tcBorders>
              <w:top w:val="nil"/>
              <w:left w:val="nil"/>
              <w:bottom w:val="nil"/>
              <w:right w:val="single" w:sz="4" w:space="0" w:color="auto"/>
            </w:tcBorders>
          </w:tcPr>
          <w:p w14:paraId="6CB86FAC" w14:textId="77777777" w:rsidR="00312B8B" w:rsidRPr="00026EC1" w:rsidRDefault="00312B8B" w:rsidP="00A64613">
            <w:pPr>
              <w:keepNext w:val="0"/>
            </w:pPr>
          </w:p>
        </w:tc>
        <w:tc>
          <w:tcPr>
            <w:tcW w:w="1440" w:type="dxa"/>
            <w:tcBorders>
              <w:top w:val="single" w:sz="4" w:space="0" w:color="auto"/>
              <w:left w:val="single" w:sz="4" w:space="0" w:color="auto"/>
              <w:bottom w:val="single" w:sz="4" w:space="0" w:color="auto"/>
              <w:right w:val="single" w:sz="4" w:space="0" w:color="auto"/>
            </w:tcBorders>
            <w:hideMark/>
          </w:tcPr>
          <w:p w14:paraId="7AA10108" w14:textId="77777777" w:rsidR="00312B8B" w:rsidRPr="00026EC1" w:rsidRDefault="00312B8B" w:rsidP="00A64613">
            <w:pPr>
              <w:keepNext w:val="0"/>
              <w:jc w:val="center"/>
              <w:rPr>
                <w:u w:val="single"/>
              </w:rPr>
            </w:pPr>
            <w:r w:rsidRPr="00026EC1">
              <w:rPr>
                <w:u w:val="single"/>
              </w:rPr>
              <w:t>Durée du congé</w:t>
            </w:r>
          </w:p>
        </w:tc>
        <w:tc>
          <w:tcPr>
            <w:tcW w:w="5760" w:type="dxa"/>
            <w:gridSpan w:val="4"/>
            <w:tcBorders>
              <w:top w:val="single" w:sz="4" w:space="0" w:color="auto"/>
              <w:left w:val="single" w:sz="4" w:space="0" w:color="auto"/>
              <w:bottom w:val="single" w:sz="4" w:space="0" w:color="auto"/>
              <w:right w:val="single" w:sz="4" w:space="0" w:color="auto"/>
            </w:tcBorders>
            <w:vAlign w:val="center"/>
            <w:hideMark/>
          </w:tcPr>
          <w:p w14:paraId="0DB19150" w14:textId="77777777" w:rsidR="00312B8B" w:rsidRPr="00026EC1" w:rsidRDefault="00312B8B" w:rsidP="00A64613">
            <w:pPr>
              <w:keepNext w:val="0"/>
              <w:jc w:val="center"/>
              <w:rPr>
                <w:u w:val="single"/>
              </w:rPr>
            </w:pPr>
            <w:r w:rsidRPr="00026EC1">
              <w:rPr>
                <w:u w:val="single"/>
              </w:rPr>
              <w:t>Pourcentage du traitement</w:t>
            </w:r>
          </w:p>
        </w:tc>
      </w:tr>
      <w:tr w:rsidR="00312B8B" w:rsidRPr="00026EC1" w14:paraId="472C4CC3" w14:textId="77777777" w:rsidTr="00B11D24">
        <w:trPr>
          <w:cantSplit/>
          <w:jc w:val="center"/>
        </w:trPr>
        <w:tc>
          <w:tcPr>
            <w:tcW w:w="1440" w:type="dxa"/>
            <w:tcBorders>
              <w:top w:val="nil"/>
              <w:left w:val="nil"/>
              <w:bottom w:val="nil"/>
              <w:right w:val="single" w:sz="4" w:space="0" w:color="auto"/>
            </w:tcBorders>
          </w:tcPr>
          <w:p w14:paraId="22F0DCFB" w14:textId="77777777" w:rsidR="00312B8B" w:rsidRPr="00026EC1" w:rsidRDefault="00312B8B" w:rsidP="00A64613">
            <w:pPr>
              <w:keepNext w:val="0"/>
            </w:pPr>
          </w:p>
        </w:tc>
        <w:tc>
          <w:tcPr>
            <w:tcW w:w="1440" w:type="dxa"/>
            <w:vMerge w:val="restart"/>
            <w:tcBorders>
              <w:top w:val="single" w:sz="4" w:space="0" w:color="auto"/>
              <w:left w:val="single" w:sz="4" w:space="0" w:color="auto"/>
              <w:bottom w:val="single" w:sz="4" w:space="0" w:color="auto"/>
              <w:right w:val="single" w:sz="4" w:space="0" w:color="auto"/>
            </w:tcBorders>
          </w:tcPr>
          <w:p w14:paraId="0D5A596F" w14:textId="77777777" w:rsidR="00312B8B" w:rsidRPr="00026EC1" w:rsidRDefault="00312B8B" w:rsidP="00A64613">
            <w:pPr>
              <w:keepNext w:val="0"/>
              <w:spacing w:before="120"/>
              <w:jc w:val="center"/>
            </w:pPr>
            <w:r w:rsidRPr="00026EC1">
              <w:t>6 mois</w:t>
            </w:r>
          </w:p>
          <w:p w14:paraId="5E25BF67" w14:textId="77777777" w:rsidR="00312B8B" w:rsidRPr="00026EC1" w:rsidRDefault="00312B8B" w:rsidP="00A64613">
            <w:pPr>
              <w:keepNext w:val="0"/>
              <w:spacing w:before="120"/>
              <w:jc w:val="center"/>
            </w:pPr>
          </w:p>
          <w:p w14:paraId="692CC894" w14:textId="77777777" w:rsidR="00312B8B" w:rsidRPr="00026EC1" w:rsidRDefault="00312B8B" w:rsidP="00A64613">
            <w:pPr>
              <w:keepNext w:val="0"/>
              <w:spacing w:before="120"/>
              <w:jc w:val="center"/>
            </w:pPr>
            <w:r w:rsidRPr="00026EC1">
              <w:t>12 mois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617C0C3" w14:textId="530A0266" w:rsidR="00312B8B" w:rsidRPr="00026EC1" w:rsidRDefault="00312B8B" w:rsidP="00A64613">
            <w:pPr>
              <w:keepNext w:val="0"/>
              <w:spacing w:before="120"/>
              <w:jc w:val="center"/>
            </w:pPr>
            <w:r w:rsidRPr="00026EC1">
              <w:t>75,00</w:t>
            </w:r>
            <w:r w:rsidR="00714A15">
              <w:t> %</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084AE15E" w14:textId="37E296AE" w:rsidR="00312B8B" w:rsidRPr="00026EC1" w:rsidRDefault="00312B8B" w:rsidP="00A64613">
            <w:pPr>
              <w:pStyle w:val="Header"/>
              <w:keepNext w:val="0"/>
              <w:spacing w:before="120" w:after="0"/>
            </w:pPr>
            <w:r w:rsidRPr="00026EC1">
              <w:t>83,33</w:t>
            </w:r>
            <w:r w:rsidR="00714A15">
              <w:t> %</w:t>
            </w:r>
          </w:p>
        </w:tc>
        <w:tc>
          <w:tcPr>
            <w:tcW w:w="1260" w:type="dxa"/>
            <w:vMerge w:val="restart"/>
            <w:tcBorders>
              <w:top w:val="single" w:sz="4" w:space="0" w:color="auto"/>
              <w:left w:val="single" w:sz="4" w:space="0" w:color="auto"/>
              <w:bottom w:val="single" w:sz="4" w:space="0" w:color="auto"/>
              <w:right w:val="single" w:sz="4" w:space="0" w:color="auto"/>
            </w:tcBorders>
          </w:tcPr>
          <w:p w14:paraId="3BB4959C" w14:textId="527409FD" w:rsidR="00312B8B" w:rsidRPr="00026EC1" w:rsidRDefault="00312B8B" w:rsidP="00A64613">
            <w:pPr>
              <w:keepNext w:val="0"/>
              <w:spacing w:before="120"/>
              <w:jc w:val="center"/>
            </w:pPr>
            <w:r w:rsidRPr="00026EC1">
              <w:t>87,50</w:t>
            </w:r>
            <w:r w:rsidR="00714A15">
              <w:t> %</w:t>
            </w:r>
          </w:p>
          <w:p w14:paraId="19DC5FEF" w14:textId="77777777" w:rsidR="00312B8B" w:rsidRPr="00026EC1" w:rsidRDefault="00312B8B" w:rsidP="00A64613">
            <w:pPr>
              <w:keepNext w:val="0"/>
              <w:spacing w:before="120"/>
              <w:jc w:val="center"/>
            </w:pPr>
          </w:p>
          <w:p w14:paraId="36591AA2" w14:textId="26FB8084" w:rsidR="00312B8B" w:rsidRPr="00026EC1" w:rsidRDefault="00312B8B" w:rsidP="00A64613">
            <w:pPr>
              <w:keepNext w:val="0"/>
              <w:spacing w:before="120"/>
              <w:jc w:val="center"/>
            </w:pPr>
            <w:r w:rsidRPr="00026EC1">
              <w:t>75,00</w:t>
            </w:r>
            <w:r w:rsidR="00714A15">
              <w:t> %</w:t>
            </w:r>
          </w:p>
        </w:tc>
        <w:tc>
          <w:tcPr>
            <w:tcW w:w="2340" w:type="dxa"/>
            <w:vMerge w:val="restart"/>
            <w:tcBorders>
              <w:top w:val="single" w:sz="4" w:space="0" w:color="auto"/>
              <w:left w:val="single" w:sz="4" w:space="0" w:color="auto"/>
              <w:bottom w:val="single" w:sz="4" w:space="0" w:color="auto"/>
              <w:right w:val="single" w:sz="4" w:space="0" w:color="auto"/>
            </w:tcBorders>
          </w:tcPr>
          <w:p w14:paraId="135F8548" w14:textId="12F247D0" w:rsidR="00312B8B" w:rsidRPr="00026EC1" w:rsidRDefault="00312B8B" w:rsidP="00A64613">
            <w:pPr>
              <w:keepNext w:val="0"/>
              <w:spacing w:before="120"/>
              <w:jc w:val="center"/>
            </w:pPr>
            <w:r w:rsidRPr="00026EC1">
              <w:t>90,00</w:t>
            </w:r>
            <w:r w:rsidR="00714A15">
              <w:t> %</w:t>
            </w:r>
          </w:p>
          <w:p w14:paraId="5288D91F" w14:textId="77777777" w:rsidR="00312B8B" w:rsidRPr="00026EC1" w:rsidRDefault="00312B8B" w:rsidP="00A64613">
            <w:pPr>
              <w:keepNext w:val="0"/>
              <w:spacing w:before="120"/>
              <w:jc w:val="center"/>
            </w:pPr>
          </w:p>
          <w:p w14:paraId="66FE5C6A" w14:textId="38B98565" w:rsidR="00312B8B" w:rsidRPr="00026EC1" w:rsidRDefault="00312B8B" w:rsidP="00A64613">
            <w:pPr>
              <w:keepNext w:val="0"/>
              <w:spacing w:before="120"/>
              <w:jc w:val="center"/>
            </w:pPr>
            <w:r w:rsidRPr="00026EC1">
              <w:t>80,00</w:t>
            </w:r>
            <w:r w:rsidR="00714A15">
              <w:t> %</w:t>
            </w:r>
          </w:p>
        </w:tc>
      </w:tr>
      <w:tr w:rsidR="00312B8B" w:rsidRPr="00026EC1" w14:paraId="7CB638C4" w14:textId="77777777" w:rsidTr="00B11D24">
        <w:trPr>
          <w:cantSplit/>
          <w:jc w:val="center"/>
        </w:trPr>
        <w:tc>
          <w:tcPr>
            <w:tcW w:w="1440" w:type="dxa"/>
            <w:tcBorders>
              <w:top w:val="nil"/>
              <w:left w:val="nil"/>
              <w:bottom w:val="nil"/>
              <w:right w:val="single" w:sz="4" w:space="0" w:color="auto"/>
            </w:tcBorders>
          </w:tcPr>
          <w:p w14:paraId="0989B128" w14:textId="77777777" w:rsidR="00312B8B" w:rsidRPr="00026EC1" w:rsidRDefault="00312B8B" w:rsidP="00A64613">
            <w:pPr>
              <w:keepNext w:val="0"/>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25DF69E" w14:textId="77777777" w:rsidR="00312B8B" w:rsidRPr="00026EC1" w:rsidRDefault="00312B8B" w:rsidP="00A64613">
            <w:pPr>
              <w:keepNext w:val="0"/>
              <w:jc w:val="left"/>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CACFE1" w14:textId="77777777" w:rsidR="00312B8B" w:rsidRPr="00026EC1" w:rsidRDefault="00312B8B" w:rsidP="00A64613">
            <w:pPr>
              <w:keepNext w:val="0"/>
              <w:jc w:val="left"/>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95EBB2" w14:textId="77777777" w:rsidR="00312B8B" w:rsidRPr="00026EC1" w:rsidRDefault="00312B8B" w:rsidP="00A64613">
            <w:pPr>
              <w:keepNext w:val="0"/>
              <w:jc w:val="left"/>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7FC6EF" w14:textId="77777777" w:rsidR="00312B8B" w:rsidRPr="00026EC1" w:rsidRDefault="00312B8B" w:rsidP="00A64613">
            <w:pPr>
              <w:keepNext w:val="0"/>
              <w:jc w:val="left"/>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0EFF8C4E" w14:textId="77777777" w:rsidR="00312B8B" w:rsidRPr="00026EC1" w:rsidRDefault="00312B8B" w:rsidP="00A64613">
            <w:pPr>
              <w:keepNext w:val="0"/>
              <w:jc w:val="left"/>
            </w:pPr>
          </w:p>
        </w:tc>
      </w:tr>
      <w:tr w:rsidR="00312B8B" w:rsidRPr="00026EC1" w14:paraId="04C04246" w14:textId="77777777" w:rsidTr="00B11D24">
        <w:trPr>
          <w:cantSplit/>
          <w:jc w:val="center"/>
        </w:trPr>
        <w:tc>
          <w:tcPr>
            <w:tcW w:w="1440" w:type="dxa"/>
            <w:tcBorders>
              <w:top w:val="nil"/>
              <w:left w:val="nil"/>
              <w:bottom w:val="nil"/>
              <w:right w:val="single" w:sz="4" w:space="0" w:color="auto"/>
            </w:tcBorders>
          </w:tcPr>
          <w:p w14:paraId="75ACAC63" w14:textId="77777777" w:rsidR="00312B8B" w:rsidRPr="00026EC1" w:rsidRDefault="00312B8B" w:rsidP="00A64613">
            <w:pPr>
              <w:keepNext w:val="0"/>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C5E5576" w14:textId="77777777" w:rsidR="00312B8B" w:rsidRPr="00026EC1" w:rsidRDefault="00312B8B" w:rsidP="00A64613">
            <w:pPr>
              <w:keepNext w:val="0"/>
              <w:jc w:val="left"/>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A0187AD" w14:textId="77777777" w:rsidR="00312B8B" w:rsidRPr="00026EC1" w:rsidRDefault="00312B8B" w:rsidP="00A64613">
            <w:pPr>
              <w:keepNext w:val="0"/>
              <w:jc w:val="left"/>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7BEE2C5" w14:textId="77777777" w:rsidR="00312B8B" w:rsidRPr="00026EC1" w:rsidRDefault="00312B8B" w:rsidP="00A64613">
            <w:pPr>
              <w:keepNext w:val="0"/>
              <w:jc w:val="left"/>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10E8120" w14:textId="77777777" w:rsidR="00312B8B" w:rsidRPr="00026EC1" w:rsidRDefault="00312B8B" w:rsidP="00A64613">
            <w:pPr>
              <w:keepNext w:val="0"/>
              <w:jc w:val="left"/>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147C6F23" w14:textId="77777777" w:rsidR="00312B8B" w:rsidRPr="00026EC1" w:rsidRDefault="00312B8B" w:rsidP="00A64613">
            <w:pPr>
              <w:keepNext w:val="0"/>
              <w:jc w:val="left"/>
            </w:pPr>
          </w:p>
        </w:tc>
      </w:tr>
    </w:tbl>
    <w:p w14:paraId="5EBB1F84" w14:textId="77777777" w:rsidR="00312B8B" w:rsidRPr="00026EC1" w:rsidRDefault="00312B8B" w:rsidP="00A64613">
      <w:pPr>
        <w:keepNext w:val="0"/>
      </w:pPr>
    </w:p>
    <w:p w14:paraId="4BB4EB9C" w14:textId="77777777" w:rsidR="00312B8B" w:rsidRPr="00026EC1" w:rsidRDefault="00312B8B" w:rsidP="00A64613">
      <w:pPr>
        <w:keepNext w:val="0"/>
      </w:pPr>
      <w:r w:rsidRPr="00026EC1">
        <w:t>Le traitement sur lequel le pourcentage est appliqué est le salaire prévu à l</w:t>
      </w:r>
      <w:r w:rsidR="004A41E4" w:rsidRPr="00026EC1">
        <w:t>’</w:t>
      </w:r>
      <w:r w:rsidRPr="00026EC1">
        <w:t>échelle pour l</w:t>
      </w:r>
      <w:r w:rsidR="004A41E4" w:rsidRPr="00026EC1">
        <w:t>’</w:t>
      </w:r>
      <w:r w:rsidRPr="00026EC1">
        <w:t>enseignante ou l</w:t>
      </w:r>
      <w:r w:rsidR="004A41E4" w:rsidRPr="00026EC1">
        <w:t>’</w:t>
      </w:r>
      <w:r w:rsidRPr="00026EC1">
        <w:t>enseignant.</w:t>
      </w:r>
    </w:p>
    <w:p w14:paraId="76BFA5A5" w14:textId="77777777" w:rsidR="00312B8B" w:rsidRPr="00026EC1" w:rsidRDefault="00312B8B" w:rsidP="00A64613">
      <w:pPr>
        <w:keepNext w:val="0"/>
      </w:pPr>
    </w:p>
    <w:p w14:paraId="3142B350" w14:textId="319FD98C" w:rsidR="00312B8B" w:rsidRPr="00026EC1" w:rsidRDefault="00312B8B" w:rsidP="00A64613">
      <w:pPr>
        <w:keepNext w:val="0"/>
      </w:pPr>
      <w:r w:rsidRPr="00026EC1">
        <w:t>La prime pour disparités régionales est traitée de la manière prévue à la clause 2.05 de l</w:t>
      </w:r>
      <w:r w:rsidR="004A41E4" w:rsidRPr="00026EC1">
        <w:t>’</w:t>
      </w:r>
      <w:r w:rsidR="00242EC4" w:rsidRPr="00026EC1">
        <w:t>A</w:t>
      </w:r>
      <w:r w:rsidRPr="00026EC1">
        <w:t>nnexe VI</w:t>
      </w:r>
      <w:r w:rsidR="00984A6F">
        <w:noBreakHyphen/>
      </w:r>
      <w:r w:rsidRPr="00026EC1">
        <w:t>2.</w:t>
      </w:r>
    </w:p>
    <w:p w14:paraId="66E5CE04" w14:textId="77777777" w:rsidR="00312B8B" w:rsidRPr="00026EC1" w:rsidRDefault="00312B8B" w:rsidP="00A64613">
      <w:pPr>
        <w:keepNext w:val="0"/>
      </w:pPr>
    </w:p>
    <w:p w14:paraId="191D5402" w14:textId="77777777" w:rsidR="00312B8B" w:rsidRPr="00026EC1" w:rsidRDefault="003710C9" w:rsidP="00A64613">
      <w:pPr>
        <w:keepNext w:val="0"/>
      </w:pPr>
      <w:r w:rsidRPr="00026EC1">
        <w:br w:type="page"/>
      </w:r>
      <w:r w:rsidR="00312B8B" w:rsidRPr="00026EC1">
        <w:t>Au cours de la période de congé, l</w:t>
      </w:r>
      <w:r w:rsidR="004A41E4" w:rsidRPr="00026EC1">
        <w:t>’</w:t>
      </w:r>
      <w:r w:rsidR="00312B8B" w:rsidRPr="00026EC1">
        <w:t>enseignante ou l</w:t>
      </w:r>
      <w:r w:rsidR="004A41E4" w:rsidRPr="00026EC1">
        <w:t>’</w:t>
      </w:r>
      <w:r w:rsidR="00312B8B" w:rsidRPr="00026EC1">
        <w:t>enseignant ne peut recevoir, du Collège ou d</w:t>
      </w:r>
      <w:r w:rsidR="004A41E4" w:rsidRPr="00026EC1">
        <w:t>’</w:t>
      </w:r>
      <w:r w:rsidR="00312B8B" w:rsidRPr="00026EC1">
        <w:t>une autre personne ou société avec qui le Collège a un lien de dépendance, aucune autre rémunération que le montant correspondant au pourcentage de son traitement pour la durée du régime.</w:t>
      </w:r>
    </w:p>
    <w:p w14:paraId="152CA16D" w14:textId="77777777" w:rsidR="003710C9" w:rsidRPr="00026EC1" w:rsidRDefault="003710C9" w:rsidP="00A64613">
      <w:pPr>
        <w:keepNext w:val="0"/>
      </w:pPr>
    </w:p>
    <w:p w14:paraId="6C399E1F" w14:textId="5D46C232" w:rsidR="00312B8B" w:rsidRPr="00026EC1" w:rsidRDefault="00312B8B" w:rsidP="00A64613">
      <w:pPr>
        <w:pStyle w:val="NUMRODECLAUSE"/>
        <w:keepNext w:val="0"/>
      </w:pPr>
      <w:r w:rsidRPr="00026EC1">
        <w:t>5</w:t>
      </w:r>
      <w:r w:rsidR="00984A6F">
        <w:noBreakHyphen/>
      </w:r>
      <w:r w:rsidRPr="00026EC1">
        <w:t>12.10</w:t>
      </w:r>
    </w:p>
    <w:p w14:paraId="79740F0F" w14:textId="77777777" w:rsidR="00312B8B" w:rsidRPr="00026EC1" w:rsidRDefault="00312B8B" w:rsidP="00A64613">
      <w:pPr>
        <w:keepNext w:val="0"/>
      </w:pPr>
      <w:r w:rsidRPr="00026EC1">
        <w:t>Pendant la période de travail, la disponibilité au sens de la convention collective et la charge individuelle de travail de l</w:t>
      </w:r>
      <w:r w:rsidR="004A41E4" w:rsidRPr="00026EC1">
        <w:t>’</w:t>
      </w:r>
      <w:r w:rsidRPr="00026EC1">
        <w:t>enseignante ou de l</w:t>
      </w:r>
      <w:r w:rsidR="004A41E4" w:rsidRPr="00026EC1">
        <w:t>’</w:t>
      </w:r>
      <w:r w:rsidRPr="00026EC1">
        <w:t>enseignant sont les mêmes que celles qu</w:t>
      </w:r>
      <w:r w:rsidR="004A41E4" w:rsidRPr="00026EC1">
        <w:t>’</w:t>
      </w:r>
      <w:r w:rsidRPr="00026EC1">
        <w:t>elle ou il assumerait si elle ou il ne participait pas au régime.</w:t>
      </w:r>
    </w:p>
    <w:p w14:paraId="74729FC4" w14:textId="77777777" w:rsidR="00312B8B" w:rsidRPr="00026EC1" w:rsidRDefault="00312B8B" w:rsidP="00A64613">
      <w:pPr>
        <w:keepNext w:val="0"/>
      </w:pPr>
    </w:p>
    <w:p w14:paraId="6C682301" w14:textId="32A48FDC" w:rsidR="00312B8B" w:rsidRPr="00026EC1" w:rsidRDefault="00312B8B" w:rsidP="00A64613">
      <w:pPr>
        <w:pStyle w:val="NUMRODECLAUSE"/>
        <w:keepNext w:val="0"/>
      </w:pPr>
      <w:r w:rsidRPr="00026EC1">
        <w:t>5</w:t>
      </w:r>
      <w:r w:rsidR="00984A6F">
        <w:noBreakHyphen/>
      </w:r>
      <w:r w:rsidRPr="00026EC1">
        <w:t>12.11</w:t>
      </w:r>
    </w:p>
    <w:p w14:paraId="7213C07E" w14:textId="77777777" w:rsidR="00312B8B" w:rsidRPr="00026EC1" w:rsidRDefault="00312B8B" w:rsidP="00A64613">
      <w:pPr>
        <w:keepNext w:val="0"/>
      </w:pPr>
      <w:r w:rsidRPr="00026EC1">
        <w:t>Sous réserve des dispositions prévues au présent article, l</w:t>
      </w:r>
      <w:r w:rsidR="004A41E4" w:rsidRPr="00026EC1">
        <w:t>’</w:t>
      </w:r>
      <w:r w:rsidRPr="00026EC1">
        <w:t>enseignante ou l</w:t>
      </w:r>
      <w:r w:rsidR="004A41E4" w:rsidRPr="00026EC1">
        <w:t>’</w:t>
      </w:r>
      <w:r w:rsidRPr="00026EC1">
        <w:t>enseignant bénéficie des avantages de la convention collective auxquels elle ou il aurait droit si elle ou il ne participait pas au régime.</w:t>
      </w:r>
    </w:p>
    <w:p w14:paraId="7ACC8799" w14:textId="77777777" w:rsidR="00312B8B" w:rsidRPr="00026EC1" w:rsidRDefault="00312B8B" w:rsidP="00A64613">
      <w:pPr>
        <w:keepNext w:val="0"/>
      </w:pPr>
    </w:p>
    <w:p w14:paraId="137AF318" w14:textId="35A86C09" w:rsidR="00312B8B" w:rsidRPr="00026EC1" w:rsidRDefault="00312B8B" w:rsidP="00A64613">
      <w:pPr>
        <w:pStyle w:val="NUMRODECLAUSE"/>
        <w:keepNext w:val="0"/>
      </w:pPr>
      <w:r w:rsidRPr="00026EC1">
        <w:t>5</w:t>
      </w:r>
      <w:r w:rsidR="00984A6F">
        <w:noBreakHyphen/>
      </w:r>
      <w:r w:rsidRPr="00026EC1">
        <w:t>12.12</w:t>
      </w:r>
    </w:p>
    <w:p w14:paraId="6ECC9298" w14:textId="77777777" w:rsidR="00312B8B" w:rsidRPr="00026EC1" w:rsidRDefault="00312B8B" w:rsidP="00A64613">
      <w:pPr>
        <w:keepNext w:val="0"/>
      </w:pPr>
      <w:r w:rsidRPr="00026EC1">
        <w:t>Pour le calcul d</w:t>
      </w:r>
      <w:r w:rsidR="004A41E4" w:rsidRPr="00026EC1">
        <w:t>’</w:t>
      </w:r>
      <w:r w:rsidRPr="00026EC1">
        <w:t>une pension aux fins d</w:t>
      </w:r>
      <w:r w:rsidR="004A41E4" w:rsidRPr="00026EC1">
        <w:t>’</w:t>
      </w:r>
      <w:r w:rsidRPr="00026EC1">
        <w:t>un régime de retraite, une (1) année de service est reconnue à l</w:t>
      </w:r>
      <w:r w:rsidR="004A41E4" w:rsidRPr="00026EC1">
        <w:t>’</w:t>
      </w:r>
      <w:r w:rsidRPr="00026EC1">
        <w:t>enseignante ou l</w:t>
      </w:r>
      <w:r w:rsidR="004A41E4" w:rsidRPr="00026EC1">
        <w:t>’</w:t>
      </w:r>
      <w:r w:rsidRPr="00026EC1">
        <w:t>enseignant pour chacune des années de participation au régime de congé à traitement différé ou anticipé, de même qu</w:t>
      </w:r>
      <w:r w:rsidR="004A41E4" w:rsidRPr="00026EC1">
        <w:t>’</w:t>
      </w:r>
      <w:r w:rsidRPr="00026EC1">
        <w:t>un traitement moyen établi sur la base du salaire qu</w:t>
      </w:r>
      <w:r w:rsidR="004A41E4" w:rsidRPr="00026EC1">
        <w:t>’</w:t>
      </w:r>
      <w:r w:rsidRPr="00026EC1">
        <w:t>elle ou il aurait reçu si elle ou il n</w:t>
      </w:r>
      <w:r w:rsidR="004A41E4" w:rsidRPr="00026EC1">
        <w:t>’</w:t>
      </w:r>
      <w:r w:rsidRPr="00026EC1">
        <w:t>avait pas participé au régime de congé à traitement différé ou anticipé.</w:t>
      </w:r>
    </w:p>
    <w:p w14:paraId="3920B7DF" w14:textId="77777777" w:rsidR="00312B8B" w:rsidRPr="00026EC1" w:rsidRDefault="00312B8B" w:rsidP="00A64613">
      <w:pPr>
        <w:keepNext w:val="0"/>
      </w:pPr>
    </w:p>
    <w:p w14:paraId="373ABA28" w14:textId="77777777" w:rsidR="00312B8B" w:rsidRPr="00026EC1" w:rsidRDefault="00312B8B" w:rsidP="00A64613">
      <w:pPr>
        <w:keepNext w:val="0"/>
      </w:pPr>
      <w:r w:rsidRPr="00026EC1">
        <w:t>La cotisation de l</w:t>
      </w:r>
      <w:r w:rsidR="004A41E4" w:rsidRPr="00026EC1">
        <w:t>’</w:t>
      </w:r>
      <w:r w:rsidRPr="00026EC1">
        <w:t>enseignante ou de l</w:t>
      </w:r>
      <w:r w:rsidR="004A41E4" w:rsidRPr="00026EC1">
        <w:t>’</w:t>
      </w:r>
      <w:r w:rsidRPr="00026EC1">
        <w:t>enseignant à un régime de retraite pendant les années de participation au régime de congé à traitement différé ou anticipé est établie par la loi propre à son régime de retraite.</w:t>
      </w:r>
    </w:p>
    <w:p w14:paraId="630469B2" w14:textId="77777777" w:rsidR="00312B8B" w:rsidRPr="00026EC1" w:rsidRDefault="00312B8B" w:rsidP="00A64613">
      <w:pPr>
        <w:keepNext w:val="0"/>
      </w:pPr>
    </w:p>
    <w:p w14:paraId="3B57B159" w14:textId="16A4E3C7" w:rsidR="00312B8B" w:rsidRPr="00026EC1" w:rsidRDefault="00312B8B" w:rsidP="00A64613">
      <w:pPr>
        <w:pStyle w:val="NUMRODECLAUSE"/>
        <w:keepNext w:val="0"/>
      </w:pPr>
      <w:r w:rsidRPr="00026EC1">
        <w:t>5</w:t>
      </w:r>
      <w:r w:rsidR="00984A6F">
        <w:noBreakHyphen/>
      </w:r>
      <w:r w:rsidRPr="00026EC1">
        <w:t>12.13</w:t>
      </w:r>
    </w:p>
    <w:p w14:paraId="2E3B7B73" w14:textId="43AE152B" w:rsidR="00312B8B" w:rsidRPr="00026EC1" w:rsidRDefault="00312B8B" w:rsidP="00A64613">
      <w:pPr>
        <w:keepNext w:val="0"/>
      </w:pPr>
      <w:r w:rsidRPr="00026EC1">
        <w:t>Lorsqu</w:t>
      </w:r>
      <w:r w:rsidR="004A41E4" w:rsidRPr="00026EC1">
        <w:t>’</w:t>
      </w:r>
      <w:r w:rsidRPr="00026EC1">
        <w:t>une enseignante ou un enseignant cesse d</w:t>
      </w:r>
      <w:r w:rsidR="004A41E4" w:rsidRPr="00026EC1">
        <w:t>’</w:t>
      </w:r>
      <w:r w:rsidRPr="00026EC1">
        <w:t>être à l</w:t>
      </w:r>
      <w:r w:rsidR="004A41E4" w:rsidRPr="00026EC1">
        <w:t>’</w:t>
      </w:r>
      <w:r w:rsidRPr="00026EC1">
        <w:t>emploi du Collège, prend sa retraite ou se désiste du régime de congé à traitement différé ou anticipé, le régime prend fin immédiatement et les modalités suivantes s</w:t>
      </w:r>
      <w:r w:rsidR="004A41E4" w:rsidRPr="00026EC1">
        <w:t>’</w:t>
      </w:r>
      <w:r w:rsidRPr="00026EC1">
        <w:t>appliquent</w:t>
      </w:r>
      <w:r w:rsidR="00D8581B">
        <w:t> :</w:t>
      </w:r>
    </w:p>
    <w:p w14:paraId="3AFBB5A2" w14:textId="77777777" w:rsidR="00312B8B" w:rsidRPr="00026EC1" w:rsidRDefault="00312B8B" w:rsidP="00A64613">
      <w:pPr>
        <w:keepNext w:val="0"/>
      </w:pPr>
    </w:p>
    <w:p w14:paraId="6573CCEF" w14:textId="2D9AF2DF" w:rsidR="00312B8B" w:rsidRPr="00026EC1" w:rsidRDefault="00275751" w:rsidP="00A64613">
      <w:pPr>
        <w:keepNext w:val="0"/>
        <w:tabs>
          <w:tab w:val="left" w:pos="567"/>
        </w:tabs>
        <w:snapToGrid w:val="0"/>
        <w:ind w:left="567" w:hanging="567"/>
      </w:pPr>
      <w:r w:rsidRPr="00026EC1">
        <w:t>a)</w:t>
      </w:r>
      <w:r w:rsidRPr="00026EC1">
        <w:tab/>
      </w:r>
      <w:r w:rsidR="00312B8B" w:rsidRPr="00026EC1">
        <w:t>si l</w:t>
      </w:r>
      <w:r w:rsidR="004A41E4" w:rsidRPr="00026EC1">
        <w:t>’</w:t>
      </w:r>
      <w:r w:rsidR="00312B8B" w:rsidRPr="00026EC1">
        <w:t>enseignante ou l</w:t>
      </w:r>
      <w:r w:rsidR="004A41E4" w:rsidRPr="00026EC1">
        <w:t>’</w:t>
      </w:r>
      <w:r w:rsidR="00312B8B" w:rsidRPr="00026EC1">
        <w:t>enseignant a déjà bénéficié de la période de congé, elle ou il rembourse, sans intérêt, le montant qu</w:t>
      </w:r>
      <w:r w:rsidR="004A41E4" w:rsidRPr="00026EC1">
        <w:t>’</w:t>
      </w:r>
      <w:r w:rsidR="00312B8B" w:rsidRPr="00026EC1">
        <w:t>elle ou il a reçu durant la période de congé moins les montants déjà déduits de son traitement pendant la période de travail en application de la clause 5</w:t>
      </w:r>
      <w:r w:rsidR="00984A6F">
        <w:noBreakHyphen/>
      </w:r>
      <w:r w:rsidR="00312B8B" w:rsidRPr="00026EC1">
        <w:t>12.09;</w:t>
      </w:r>
    </w:p>
    <w:p w14:paraId="2689D8CC" w14:textId="77777777" w:rsidR="00312B8B" w:rsidRPr="00026EC1" w:rsidRDefault="00312B8B" w:rsidP="00A64613">
      <w:pPr>
        <w:keepNext w:val="0"/>
      </w:pPr>
    </w:p>
    <w:p w14:paraId="114EDA23" w14:textId="77777777" w:rsidR="00312B8B" w:rsidRPr="00026EC1" w:rsidRDefault="00275751" w:rsidP="00A64613">
      <w:pPr>
        <w:keepNext w:val="0"/>
        <w:tabs>
          <w:tab w:val="left" w:pos="567"/>
        </w:tabs>
        <w:snapToGrid w:val="0"/>
        <w:ind w:left="567" w:hanging="567"/>
      </w:pPr>
      <w:r w:rsidRPr="00026EC1">
        <w:t>b)</w:t>
      </w:r>
      <w:r w:rsidRPr="00026EC1">
        <w:tab/>
      </w:r>
      <w:r w:rsidR="00312B8B" w:rsidRPr="00026EC1">
        <w:t>si l</w:t>
      </w:r>
      <w:r w:rsidR="004A41E4" w:rsidRPr="00026EC1">
        <w:t>’</w:t>
      </w:r>
      <w:r w:rsidR="00312B8B" w:rsidRPr="00026EC1">
        <w:t>enseignante ou l</w:t>
      </w:r>
      <w:r w:rsidR="004A41E4" w:rsidRPr="00026EC1">
        <w:t>’</w:t>
      </w:r>
      <w:r w:rsidR="00312B8B" w:rsidRPr="00026EC1">
        <w:t>enseignant n</w:t>
      </w:r>
      <w:r w:rsidR="004A41E4" w:rsidRPr="00026EC1">
        <w:t>’</w:t>
      </w:r>
      <w:r w:rsidR="00312B8B" w:rsidRPr="00026EC1">
        <w:t>a pas encore bénéficié de la période de congé, le Collège lui rembourse, sans intérêt, la différence entre le traitement qu</w:t>
      </w:r>
      <w:r w:rsidR="004A41E4" w:rsidRPr="00026EC1">
        <w:t>’</w:t>
      </w:r>
      <w:r w:rsidR="00312B8B" w:rsidRPr="00026EC1">
        <w:t>elle ou il aurait reçu si elle ou il n</w:t>
      </w:r>
      <w:r w:rsidR="004A41E4" w:rsidRPr="00026EC1">
        <w:t>’</w:t>
      </w:r>
      <w:r w:rsidR="00312B8B" w:rsidRPr="00026EC1">
        <w:t>avait pas participé au régime et le traitement qu</w:t>
      </w:r>
      <w:r w:rsidR="004A41E4" w:rsidRPr="00026EC1">
        <w:t>’</w:t>
      </w:r>
      <w:r w:rsidR="00312B8B" w:rsidRPr="00026EC1">
        <w:t>elle ou il a effectivement reçu depuis le début du régime;</w:t>
      </w:r>
    </w:p>
    <w:p w14:paraId="191323E5" w14:textId="77777777" w:rsidR="00312B8B" w:rsidRPr="00026EC1" w:rsidRDefault="00312B8B" w:rsidP="00A64613">
      <w:pPr>
        <w:keepNext w:val="0"/>
      </w:pPr>
    </w:p>
    <w:p w14:paraId="0E54BDFE" w14:textId="323F24E5" w:rsidR="001B37B0" w:rsidRDefault="00275751" w:rsidP="00A64613">
      <w:pPr>
        <w:keepNext w:val="0"/>
        <w:tabs>
          <w:tab w:val="left" w:pos="567"/>
        </w:tabs>
        <w:snapToGrid w:val="0"/>
        <w:ind w:left="567" w:hanging="567"/>
      </w:pPr>
      <w:r w:rsidRPr="00026EC1">
        <w:t>c)</w:t>
      </w:r>
      <w:r w:rsidRPr="00026EC1">
        <w:tab/>
      </w:r>
      <w:r w:rsidR="00312B8B" w:rsidRPr="00026EC1">
        <w:t>si la période de congé se situe en totalité avant la période de travail et que la période de congé est en cours, l</w:t>
      </w:r>
      <w:r w:rsidR="004A41E4" w:rsidRPr="00026EC1">
        <w:t>’</w:t>
      </w:r>
      <w:r w:rsidR="00312B8B" w:rsidRPr="00026EC1">
        <w:t>enseignante ou l</w:t>
      </w:r>
      <w:r w:rsidR="004A41E4" w:rsidRPr="00026EC1">
        <w:t>’</w:t>
      </w:r>
      <w:r w:rsidR="00312B8B" w:rsidRPr="00026EC1">
        <w:t>enseignant rembourse au Collège, sans intérêt, le montant qu</w:t>
      </w:r>
      <w:r w:rsidR="004A41E4" w:rsidRPr="00026EC1">
        <w:t>’</w:t>
      </w:r>
      <w:r w:rsidR="00312B8B" w:rsidRPr="00026EC1">
        <w:t>elle ou il a reçu durant la période de congé;</w:t>
      </w:r>
    </w:p>
    <w:p w14:paraId="3B773F2E" w14:textId="77777777" w:rsidR="001B37B0" w:rsidRDefault="001B37B0">
      <w:pPr>
        <w:keepNext w:val="0"/>
        <w:suppressAutoHyphens w:val="0"/>
        <w:jc w:val="left"/>
      </w:pPr>
      <w:r>
        <w:br w:type="page"/>
      </w:r>
    </w:p>
    <w:p w14:paraId="68A13439" w14:textId="042D835E" w:rsidR="00312B8B" w:rsidRPr="00026EC1" w:rsidRDefault="00275751" w:rsidP="00A64613">
      <w:pPr>
        <w:keepNext w:val="0"/>
        <w:tabs>
          <w:tab w:val="left" w:pos="567"/>
        </w:tabs>
        <w:snapToGrid w:val="0"/>
        <w:ind w:left="567" w:hanging="567"/>
      </w:pPr>
      <w:r w:rsidRPr="00026EC1">
        <w:t>d)</w:t>
      </w:r>
      <w:r w:rsidRPr="00026EC1">
        <w:tab/>
      </w:r>
      <w:r w:rsidR="00312B8B" w:rsidRPr="00026EC1">
        <w:t>aux fins des régimes de retraite, les droits reconnus sont ceux qui auraient eu cours si l</w:t>
      </w:r>
      <w:r w:rsidR="004A41E4" w:rsidRPr="00026EC1">
        <w:t>’</w:t>
      </w:r>
      <w:r w:rsidR="00312B8B" w:rsidRPr="00026EC1">
        <w:t>enseignante ou l</w:t>
      </w:r>
      <w:r w:rsidR="004A41E4" w:rsidRPr="00026EC1">
        <w:t>’</w:t>
      </w:r>
      <w:r w:rsidR="00312B8B" w:rsidRPr="00026EC1">
        <w:t>enseignant n</w:t>
      </w:r>
      <w:r w:rsidR="004A41E4" w:rsidRPr="00026EC1">
        <w:t>’</w:t>
      </w:r>
      <w:r w:rsidR="00312B8B" w:rsidRPr="00026EC1">
        <w:t>avait jamais adhéré au régime de congé à traitement différé ou anticipé. Ainsi, si la période de congé a été prise, les cotisations versées au cours de cette période sont utilisées pour compenser les cotisations manquantes des années travaillées en vue de combler les écarts de pension alors perdus; l</w:t>
      </w:r>
      <w:r w:rsidR="004A41E4" w:rsidRPr="00026EC1">
        <w:t>’</w:t>
      </w:r>
      <w:r w:rsidR="00312B8B" w:rsidRPr="00026EC1">
        <w:t>enseignante ou l</w:t>
      </w:r>
      <w:r w:rsidR="004A41E4" w:rsidRPr="00026EC1">
        <w:t>’</w:t>
      </w:r>
      <w:r w:rsidR="00312B8B" w:rsidRPr="00026EC1">
        <w:t xml:space="preserve">enseignant peut cependant racheter la période de service perdue selon les mêmes conditions que celles relatives au congé sans </w:t>
      </w:r>
      <w:r w:rsidR="00127A45" w:rsidRPr="00026EC1">
        <w:t>salaire</w:t>
      </w:r>
      <w:r w:rsidR="00312B8B" w:rsidRPr="00026EC1">
        <w:t xml:space="preserve"> (deux cents pour cent (200</w:t>
      </w:r>
      <w:r w:rsidR="00714A15">
        <w:t> %</w:t>
      </w:r>
      <w:r w:rsidR="00312B8B" w:rsidRPr="00026EC1">
        <w:t xml:space="preserve">) </w:t>
      </w:r>
      <w:r w:rsidR="005230E3">
        <w:t xml:space="preserve">au </w:t>
      </w:r>
      <w:r w:rsidR="000A1B18" w:rsidRPr="00026EC1">
        <w:t xml:space="preserve">Régime de retraite </w:t>
      </w:r>
      <w:r w:rsidR="00A33FA9" w:rsidRPr="00316277">
        <w:t>du personnel employé</w:t>
      </w:r>
      <w:r w:rsidR="00A33FA9">
        <w:t xml:space="preserve"> </w:t>
      </w:r>
      <w:r w:rsidR="000A1B18" w:rsidRPr="00026EC1">
        <w:t>du gouvernement et des organismes publics (</w:t>
      </w:r>
      <w:r w:rsidR="00312B8B" w:rsidRPr="00026EC1">
        <w:t>RREGOP</w:t>
      </w:r>
      <w:r w:rsidR="000A1B18" w:rsidRPr="00026EC1">
        <w:t>)</w:t>
      </w:r>
      <w:r w:rsidR="00312B8B" w:rsidRPr="00026EC1">
        <w:t xml:space="preserve"> et </w:t>
      </w:r>
      <w:r w:rsidR="005230E3">
        <w:t xml:space="preserve">au </w:t>
      </w:r>
      <w:r w:rsidR="00A519E6" w:rsidRPr="00026EC1">
        <w:t>Régime de retraite de certains enseignants (</w:t>
      </w:r>
      <w:r w:rsidR="00312B8B" w:rsidRPr="00026EC1">
        <w:t>RRCE</w:t>
      </w:r>
      <w:r w:rsidR="00A519E6" w:rsidRPr="00026EC1">
        <w:t>)</w:t>
      </w:r>
      <w:r w:rsidR="00312B8B" w:rsidRPr="00026EC1">
        <w:t>, cent pour cent (100</w:t>
      </w:r>
      <w:r w:rsidR="00714A15">
        <w:t> %</w:t>
      </w:r>
      <w:r w:rsidR="00312B8B" w:rsidRPr="00026EC1">
        <w:t xml:space="preserve">) </w:t>
      </w:r>
      <w:r w:rsidR="00985C85">
        <w:t xml:space="preserve">au </w:t>
      </w:r>
      <w:r w:rsidR="000A1B18" w:rsidRPr="00026EC1">
        <w:t>Régime de retraite des enseignantes ou enseignants (</w:t>
      </w:r>
      <w:r w:rsidR="00312B8B" w:rsidRPr="00026EC1">
        <w:t>RRE</w:t>
      </w:r>
      <w:r w:rsidR="000A1B18" w:rsidRPr="00026EC1">
        <w:t>)</w:t>
      </w:r>
      <w:r w:rsidR="00312B8B" w:rsidRPr="00026EC1">
        <w:t xml:space="preserve"> et </w:t>
      </w:r>
      <w:r w:rsidR="00985C85">
        <w:t xml:space="preserve">au </w:t>
      </w:r>
      <w:r w:rsidR="000A1B18" w:rsidRPr="00026EC1">
        <w:t>Régime de retraite des fonctionnaires (</w:t>
      </w:r>
      <w:r w:rsidR="00312B8B" w:rsidRPr="00026EC1">
        <w:t>RRF)</w:t>
      </w:r>
      <w:r w:rsidR="007E6F2A" w:rsidRPr="00026EC1">
        <w:t>)</w:t>
      </w:r>
      <w:r w:rsidR="00312B8B" w:rsidRPr="00026EC1">
        <w:t>. Par ailleurs, si la période de congé n</w:t>
      </w:r>
      <w:r w:rsidR="004A41E4" w:rsidRPr="00026EC1">
        <w:t>’</w:t>
      </w:r>
      <w:r w:rsidR="00312B8B" w:rsidRPr="00026EC1">
        <w:t>a pas été prise, les cotisations manquantes pour reconnaître la totalité des années travaillées sont prélevées à même le remboursement de traitement qui est effectué à l</w:t>
      </w:r>
      <w:r w:rsidR="004A41E4" w:rsidRPr="00026EC1">
        <w:t>’</w:t>
      </w:r>
      <w:r w:rsidR="00312B8B" w:rsidRPr="00026EC1">
        <w:t>enseignante ou l</w:t>
      </w:r>
      <w:r w:rsidR="004A41E4" w:rsidRPr="00026EC1">
        <w:t>’</w:t>
      </w:r>
      <w:r w:rsidR="00312B8B" w:rsidRPr="00026EC1">
        <w:t>enseignant.</w:t>
      </w:r>
    </w:p>
    <w:p w14:paraId="0B5D66BF" w14:textId="77777777" w:rsidR="00312B8B" w:rsidRPr="00026EC1" w:rsidRDefault="00312B8B" w:rsidP="00A64613">
      <w:pPr>
        <w:keepNext w:val="0"/>
      </w:pPr>
    </w:p>
    <w:p w14:paraId="193B606A" w14:textId="77777777" w:rsidR="00312B8B" w:rsidRPr="00026EC1" w:rsidRDefault="00312B8B" w:rsidP="00A64613">
      <w:pPr>
        <w:keepNext w:val="0"/>
      </w:pPr>
      <w:r w:rsidRPr="00026EC1">
        <w:t>Lorsque l</w:t>
      </w:r>
      <w:r w:rsidR="004A41E4" w:rsidRPr="00026EC1">
        <w:t>’</w:t>
      </w:r>
      <w:r w:rsidRPr="00026EC1">
        <w:t>enseignante ou l</w:t>
      </w:r>
      <w:r w:rsidR="004A41E4" w:rsidRPr="00026EC1">
        <w:t>’</w:t>
      </w:r>
      <w:r w:rsidRPr="00026EC1">
        <w:t>enseignant a l</w:t>
      </w:r>
      <w:r w:rsidR="004A41E4" w:rsidRPr="00026EC1">
        <w:t>’</w:t>
      </w:r>
      <w:r w:rsidRPr="00026EC1">
        <w:t>obligation de rembourser le Collège, elle ou il peut s</w:t>
      </w:r>
      <w:r w:rsidR="004A41E4" w:rsidRPr="00026EC1">
        <w:t>’</w:t>
      </w:r>
      <w:r w:rsidRPr="00026EC1">
        <w:t>entendre avec le Collège sur les modalités de remboursement.</w:t>
      </w:r>
    </w:p>
    <w:p w14:paraId="15EE90BC" w14:textId="77777777" w:rsidR="00312B8B" w:rsidRPr="00026EC1" w:rsidRDefault="00312B8B" w:rsidP="00A64613">
      <w:pPr>
        <w:keepNext w:val="0"/>
      </w:pPr>
    </w:p>
    <w:p w14:paraId="7C33480C" w14:textId="19523F49" w:rsidR="00312B8B" w:rsidRPr="00026EC1" w:rsidRDefault="00312B8B" w:rsidP="00A64613">
      <w:pPr>
        <w:pStyle w:val="NUMRODECLAUSE"/>
        <w:keepNext w:val="0"/>
      </w:pPr>
      <w:r w:rsidRPr="00026EC1">
        <w:t>5</w:t>
      </w:r>
      <w:r w:rsidR="00984A6F">
        <w:noBreakHyphen/>
      </w:r>
      <w:r w:rsidRPr="00026EC1">
        <w:t>12.14</w:t>
      </w:r>
    </w:p>
    <w:p w14:paraId="565FE6B3" w14:textId="11CC6265" w:rsidR="00312B8B" w:rsidRPr="00026EC1" w:rsidRDefault="00312B8B" w:rsidP="00A64613">
      <w:pPr>
        <w:keepNext w:val="0"/>
      </w:pPr>
      <w:r w:rsidRPr="00026EC1">
        <w:t>Pendant la durée du régime, le total des absences sans traitement d</w:t>
      </w:r>
      <w:r w:rsidR="004A41E4" w:rsidRPr="00026EC1">
        <w:t>’</w:t>
      </w:r>
      <w:r w:rsidRPr="00026EC1">
        <w:t>une enseignante ou d</w:t>
      </w:r>
      <w:r w:rsidR="004A41E4" w:rsidRPr="00026EC1">
        <w:t>’</w:t>
      </w:r>
      <w:r w:rsidRPr="00026EC1">
        <w:t>un enseignant pour quelque motif que ce soit, autorisées ou non, ne peut excéder douze (12) mois. Si le total des absences sans traitement pour quelque motif que ce soit, autorisées ou non, est supérieur à douze (12) mois, le régime prend fin à la date où cette durée excède douze (12) mois et les modalités prévues aux alinéas a), b), c) et d) de la clause 5</w:t>
      </w:r>
      <w:r w:rsidR="00984A6F">
        <w:noBreakHyphen/>
      </w:r>
      <w:r w:rsidRPr="00026EC1">
        <w:t>12.13 s</w:t>
      </w:r>
      <w:r w:rsidR="004A41E4" w:rsidRPr="00026EC1">
        <w:t>’</w:t>
      </w:r>
      <w:r w:rsidRPr="00026EC1">
        <w:t>appliquent alors avec les adaptations nécessaires.</w:t>
      </w:r>
    </w:p>
    <w:p w14:paraId="3822420F" w14:textId="77777777" w:rsidR="00312B8B" w:rsidRPr="00026EC1" w:rsidRDefault="00312B8B" w:rsidP="00A64613">
      <w:pPr>
        <w:keepNext w:val="0"/>
      </w:pPr>
    </w:p>
    <w:p w14:paraId="154D1BE8" w14:textId="77777777" w:rsidR="00312B8B" w:rsidRPr="00026EC1" w:rsidRDefault="00312B8B" w:rsidP="00A64613">
      <w:pPr>
        <w:keepNext w:val="0"/>
      </w:pPr>
      <w:r w:rsidRPr="00026EC1">
        <w:t>Lorsque le total des absences sans traitement d</w:t>
      </w:r>
      <w:r w:rsidR="004A41E4" w:rsidRPr="00026EC1">
        <w:t>’</w:t>
      </w:r>
      <w:r w:rsidRPr="00026EC1">
        <w:t>une enseignante ou d</w:t>
      </w:r>
      <w:r w:rsidR="004A41E4" w:rsidRPr="00026EC1">
        <w:t>’</w:t>
      </w:r>
      <w:r w:rsidRPr="00026EC1">
        <w:t>un enseignant pour quelque motif que ce soit, autorisées ou non, est égal ou inférieur à douze (12) mois, la durée du régime est prolongée d</w:t>
      </w:r>
      <w:r w:rsidR="004A41E4" w:rsidRPr="00026EC1">
        <w:t>’</w:t>
      </w:r>
      <w:r w:rsidRPr="00026EC1">
        <w:t>une durée égale au total des absences.</w:t>
      </w:r>
    </w:p>
    <w:p w14:paraId="4A3460AF" w14:textId="77777777" w:rsidR="00312B8B" w:rsidRPr="00026EC1" w:rsidRDefault="00312B8B" w:rsidP="00A64613">
      <w:pPr>
        <w:keepNext w:val="0"/>
      </w:pPr>
    </w:p>
    <w:p w14:paraId="566DE567" w14:textId="14566CD0" w:rsidR="00312B8B" w:rsidRPr="00026EC1" w:rsidRDefault="00312B8B" w:rsidP="00A64613">
      <w:pPr>
        <w:pStyle w:val="NUMRODECLAUSE"/>
        <w:keepNext w:val="0"/>
      </w:pPr>
      <w:r w:rsidRPr="00026EC1">
        <w:t>5</w:t>
      </w:r>
      <w:r w:rsidR="00984A6F">
        <w:noBreakHyphen/>
      </w:r>
      <w:r w:rsidRPr="00026EC1">
        <w:t>12.15</w:t>
      </w:r>
    </w:p>
    <w:p w14:paraId="5106735D" w14:textId="1C9B08ED" w:rsidR="00312B8B" w:rsidRPr="0011678F" w:rsidRDefault="00312B8B" w:rsidP="00A64613">
      <w:pPr>
        <w:pStyle w:val="NUMRODECLAUSE"/>
        <w:keepNext w:val="0"/>
        <w:rPr>
          <w:u w:val="single"/>
        </w:rPr>
      </w:pPr>
      <w:r w:rsidRPr="0011678F">
        <w:rPr>
          <w:u w:val="single"/>
        </w:rPr>
        <w:t>Régime de congé à traitement anticipé</w:t>
      </w:r>
    </w:p>
    <w:p w14:paraId="7F84938B" w14:textId="582D6F1A" w:rsidR="00312B8B" w:rsidRPr="00026EC1" w:rsidRDefault="00275751" w:rsidP="00A64613">
      <w:pPr>
        <w:keepNext w:val="0"/>
        <w:tabs>
          <w:tab w:val="left" w:pos="567"/>
        </w:tabs>
        <w:snapToGrid w:val="0"/>
        <w:ind w:left="567" w:hanging="567"/>
      </w:pPr>
      <w:r w:rsidRPr="00026EC1">
        <w:t>a)</w:t>
      </w:r>
      <w:r w:rsidRPr="00026EC1">
        <w:tab/>
      </w:r>
      <w:r w:rsidR="00312B8B" w:rsidRPr="00026EC1">
        <w:t>Si l</w:t>
      </w:r>
      <w:r w:rsidR="004A41E4" w:rsidRPr="00026EC1">
        <w:t>’</w:t>
      </w:r>
      <w:r w:rsidR="00312B8B" w:rsidRPr="00026EC1">
        <w:t>enseignante ou l</w:t>
      </w:r>
      <w:r w:rsidR="004A41E4" w:rsidRPr="00026EC1">
        <w:t>’</w:t>
      </w:r>
      <w:r w:rsidR="00312B8B" w:rsidRPr="00026EC1">
        <w:t>enseignant est mis en disponibilité pendant la durée du régime</w:t>
      </w:r>
      <w:r w:rsidR="00127A45" w:rsidRPr="00026EC1">
        <w:t>,</w:t>
      </w:r>
      <w:r w:rsidR="00312B8B" w:rsidRPr="00026EC1">
        <w:t xml:space="preserve"> mais après la période de congé, le régime prend fin le 30 octobre qui suit sa mise en disponibilité et les modalités prévues à la clause 5</w:t>
      </w:r>
      <w:r w:rsidR="00984A6F">
        <w:noBreakHyphen/>
      </w:r>
      <w:r w:rsidR="00312B8B" w:rsidRPr="00026EC1">
        <w:t>12.13 s</w:t>
      </w:r>
      <w:r w:rsidR="004A41E4" w:rsidRPr="00026EC1">
        <w:t>’</w:t>
      </w:r>
      <w:r w:rsidR="00312B8B" w:rsidRPr="00026EC1">
        <w:t>appliquent</w:t>
      </w:r>
      <w:r w:rsidR="00127A45" w:rsidRPr="00026EC1">
        <w:t>,</w:t>
      </w:r>
      <w:r w:rsidR="00312B8B" w:rsidRPr="00026EC1">
        <w:t xml:space="preserve"> mais sans perte de droits au niveau du régime de retraite</w:t>
      </w:r>
      <w:r w:rsidR="00D8581B">
        <w:t> :</w:t>
      </w:r>
      <w:r w:rsidR="00312B8B" w:rsidRPr="00026EC1">
        <w:t xml:space="preserve"> les cotisations versées en trop aux fins du régime de retraite ne sont pas exigibles (une (1) pleine année de service est alors créditée pour chaque pleine année de participation au régime).</w:t>
      </w:r>
    </w:p>
    <w:p w14:paraId="1C1D36C1" w14:textId="77777777" w:rsidR="00312B8B" w:rsidRPr="00026EC1" w:rsidRDefault="00312B8B" w:rsidP="00A64613">
      <w:pPr>
        <w:keepNext w:val="0"/>
      </w:pPr>
    </w:p>
    <w:p w14:paraId="27CA5C50" w14:textId="082E3DC4" w:rsidR="00312B8B" w:rsidRDefault="00275751" w:rsidP="00A64613">
      <w:pPr>
        <w:keepNext w:val="0"/>
        <w:tabs>
          <w:tab w:val="left" w:pos="567"/>
        </w:tabs>
        <w:snapToGrid w:val="0"/>
        <w:ind w:left="567" w:hanging="567"/>
      </w:pPr>
      <w:r w:rsidRPr="00026EC1">
        <w:t>b)</w:t>
      </w:r>
      <w:r w:rsidRPr="00026EC1">
        <w:tab/>
      </w:r>
      <w:r w:rsidR="00312B8B" w:rsidRPr="00026EC1">
        <w:t>Si l</w:t>
      </w:r>
      <w:r w:rsidR="004A41E4" w:rsidRPr="00026EC1">
        <w:t>’</w:t>
      </w:r>
      <w:r w:rsidR="00312B8B" w:rsidRPr="00026EC1">
        <w:t>enseignante ou l</w:t>
      </w:r>
      <w:r w:rsidR="004A41E4" w:rsidRPr="00026EC1">
        <w:t>’</w:t>
      </w:r>
      <w:r w:rsidR="00312B8B" w:rsidRPr="00026EC1">
        <w:t>enseignant est mis en disponibilité pendant la période de congé, le régime prend fin le 30 octobre qui suit sa mise en disponibilité ou à la fin de la période de congé, si le congé est toujours en cours à cette date. Les modalités prévues à la clause</w:t>
      </w:r>
      <w:r w:rsidR="00B11D24" w:rsidRPr="00026EC1">
        <w:t> </w:t>
      </w:r>
      <w:r w:rsidR="00312B8B" w:rsidRPr="00026EC1">
        <w:t>5</w:t>
      </w:r>
      <w:r w:rsidR="00984A6F">
        <w:noBreakHyphen/>
      </w:r>
      <w:r w:rsidR="00312B8B" w:rsidRPr="00026EC1">
        <w:t>12.13 s</w:t>
      </w:r>
      <w:r w:rsidR="004A41E4" w:rsidRPr="00026EC1">
        <w:t>’</w:t>
      </w:r>
      <w:r w:rsidR="00312B8B" w:rsidRPr="00026EC1">
        <w:t>appliquent</w:t>
      </w:r>
      <w:r w:rsidR="00127A45" w:rsidRPr="00026EC1">
        <w:t>,</w:t>
      </w:r>
      <w:r w:rsidR="00312B8B" w:rsidRPr="00026EC1">
        <w:t xml:space="preserve"> mais sans perte de droits au niveau du régime de retraite</w:t>
      </w:r>
      <w:r w:rsidR="00D8581B">
        <w:t> :</w:t>
      </w:r>
      <w:r w:rsidR="00312B8B" w:rsidRPr="00026EC1">
        <w:t xml:space="preserve"> les cotisations versées en trop aux fins du régime de retraite ne sont pas exigibles (une (1) pleine année de service est alors créditée pour chaque pleine année de participation au régime).</w:t>
      </w:r>
    </w:p>
    <w:p w14:paraId="19442682" w14:textId="4CE217D2" w:rsidR="00312B8B" w:rsidRPr="00026EC1" w:rsidRDefault="00275751" w:rsidP="00A64613">
      <w:pPr>
        <w:keepNext w:val="0"/>
        <w:tabs>
          <w:tab w:val="left" w:pos="567"/>
        </w:tabs>
        <w:snapToGrid w:val="0"/>
        <w:ind w:left="567" w:hanging="567"/>
      </w:pPr>
      <w:r w:rsidRPr="00026EC1">
        <w:t>c)</w:t>
      </w:r>
      <w:r w:rsidRPr="00026EC1">
        <w:tab/>
      </w:r>
      <w:r w:rsidR="00312B8B" w:rsidRPr="00026EC1">
        <w:t>Si l</w:t>
      </w:r>
      <w:r w:rsidR="004A41E4" w:rsidRPr="00026EC1">
        <w:t>’</w:t>
      </w:r>
      <w:r w:rsidR="00312B8B" w:rsidRPr="00026EC1">
        <w:t>enseignante ou l</w:t>
      </w:r>
      <w:r w:rsidR="004A41E4" w:rsidRPr="00026EC1">
        <w:t>’</w:t>
      </w:r>
      <w:r w:rsidR="00312B8B" w:rsidRPr="00026EC1">
        <w:t>enseignant est mis en disponibilité pendant la durée du régime</w:t>
      </w:r>
      <w:r w:rsidR="00127A45" w:rsidRPr="00026EC1">
        <w:t>,</w:t>
      </w:r>
      <w:r w:rsidR="00312B8B" w:rsidRPr="00026EC1">
        <w:t xml:space="preserve"> mais avant la période de congé, le congé ne peut commencer et le régime prend fin le 30 octobre qui suit sa mise en disponibilité et les modalités prévues à la clause 5</w:t>
      </w:r>
      <w:r w:rsidR="00984A6F">
        <w:noBreakHyphen/>
      </w:r>
      <w:r w:rsidR="00312B8B" w:rsidRPr="00026EC1">
        <w:t>12.13 s</w:t>
      </w:r>
      <w:r w:rsidR="004A41E4" w:rsidRPr="00026EC1">
        <w:t>’</w:t>
      </w:r>
      <w:r w:rsidR="00312B8B" w:rsidRPr="00026EC1">
        <w:t>appliquent</w:t>
      </w:r>
      <w:r w:rsidR="00127A45" w:rsidRPr="00026EC1">
        <w:t>,</w:t>
      </w:r>
      <w:r w:rsidR="00312B8B" w:rsidRPr="00026EC1">
        <w:t xml:space="preserve"> mais sans perte de droits au niveau du régime de retraite</w:t>
      </w:r>
      <w:r w:rsidR="00D8581B">
        <w:t> :</w:t>
      </w:r>
      <w:r w:rsidR="00312B8B" w:rsidRPr="00026EC1">
        <w:t xml:space="preserve"> les cotisations versées en trop aux fins du régime de retraite ne sont pas exigibles (une (1) pleine année de service est alors créditée pour chaque pleine année de participation au régime) et le traitement non versé est remboursé sans être assujetti à la cotisation au régime de retraite.</w:t>
      </w:r>
    </w:p>
    <w:p w14:paraId="6685FA9A" w14:textId="77777777" w:rsidR="00312B8B" w:rsidRPr="00026EC1" w:rsidRDefault="00312B8B" w:rsidP="00A64613">
      <w:pPr>
        <w:keepNext w:val="0"/>
      </w:pPr>
    </w:p>
    <w:p w14:paraId="3CEBDAAF" w14:textId="77777777" w:rsidR="00312B8B" w:rsidRPr="00026EC1" w:rsidRDefault="00275751" w:rsidP="00A64613">
      <w:pPr>
        <w:keepNext w:val="0"/>
        <w:tabs>
          <w:tab w:val="left" w:pos="567"/>
        </w:tabs>
        <w:snapToGrid w:val="0"/>
        <w:ind w:left="567" w:hanging="567"/>
      </w:pPr>
      <w:r w:rsidRPr="00026EC1">
        <w:t>d)</w:t>
      </w:r>
      <w:r w:rsidRPr="00026EC1">
        <w:tab/>
      </w:r>
      <w:r w:rsidR="00312B8B" w:rsidRPr="00026EC1">
        <w:t>Malgré les alinéas précédents, le régime continue si l</w:t>
      </w:r>
      <w:r w:rsidR="004A41E4" w:rsidRPr="00026EC1">
        <w:t>’</w:t>
      </w:r>
      <w:r w:rsidR="00312B8B" w:rsidRPr="00026EC1">
        <w:t>enseignante ou l</w:t>
      </w:r>
      <w:r w:rsidR="004A41E4" w:rsidRPr="00026EC1">
        <w:t>’</w:t>
      </w:r>
      <w:r w:rsidR="00312B8B" w:rsidRPr="00026EC1">
        <w:t>enseignant est assuré de son plein traitement annuel au 30 octobre ou à la fin de la période de congé, selon le cas. Cette disposition est applicable à chacune des années du régime.</w:t>
      </w:r>
    </w:p>
    <w:p w14:paraId="3F314544" w14:textId="77777777" w:rsidR="00312B8B" w:rsidRPr="00026EC1" w:rsidRDefault="00312B8B" w:rsidP="00A64613">
      <w:pPr>
        <w:keepNext w:val="0"/>
      </w:pPr>
    </w:p>
    <w:p w14:paraId="603B0570" w14:textId="77777777" w:rsidR="00312B8B" w:rsidRPr="00026EC1" w:rsidRDefault="00312B8B" w:rsidP="00A64613">
      <w:pPr>
        <w:keepNext w:val="0"/>
        <w:rPr>
          <w:u w:val="single"/>
        </w:rPr>
      </w:pPr>
      <w:r w:rsidRPr="00026EC1">
        <w:rPr>
          <w:b/>
          <w:bCs/>
          <w:u w:val="single"/>
        </w:rPr>
        <w:t>Régime de congé à traitement différé</w:t>
      </w:r>
    </w:p>
    <w:p w14:paraId="534C7B51" w14:textId="67DD2650" w:rsidR="00312B8B" w:rsidRPr="00026EC1" w:rsidRDefault="00275751" w:rsidP="00A64613">
      <w:pPr>
        <w:keepNext w:val="0"/>
        <w:tabs>
          <w:tab w:val="left" w:pos="567"/>
        </w:tabs>
        <w:snapToGrid w:val="0"/>
        <w:ind w:left="567" w:hanging="567"/>
        <w:rPr>
          <w:bCs/>
        </w:rPr>
      </w:pPr>
      <w:r w:rsidRPr="00026EC1">
        <w:rPr>
          <w:bCs/>
        </w:rPr>
        <w:t>e)</w:t>
      </w:r>
      <w:r w:rsidRPr="00026EC1">
        <w:rPr>
          <w:bCs/>
        </w:rPr>
        <w:tab/>
      </w:r>
      <w:r w:rsidR="00312B8B" w:rsidRPr="00026EC1">
        <w:rPr>
          <w:bCs/>
        </w:rPr>
        <w:t>Si l</w:t>
      </w:r>
      <w:r w:rsidR="004A41E4" w:rsidRPr="00026EC1">
        <w:rPr>
          <w:bCs/>
        </w:rPr>
        <w:t>’</w:t>
      </w:r>
      <w:r w:rsidR="00312B8B" w:rsidRPr="00026EC1">
        <w:rPr>
          <w:bCs/>
        </w:rPr>
        <w:t>enseignante ou l</w:t>
      </w:r>
      <w:r w:rsidR="004A41E4" w:rsidRPr="00026EC1">
        <w:rPr>
          <w:bCs/>
        </w:rPr>
        <w:t>’</w:t>
      </w:r>
      <w:r w:rsidR="00312B8B" w:rsidRPr="00026EC1">
        <w:rPr>
          <w:bCs/>
        </w:rPr>
        <w:t>enseignante est mis en disponibilité pendant la durée du régime, avant la période de congé, le régime est maintenu aux conditions suivantes</w:t>
      </w:r>
      <w:r w:rsidR="00D8581B">
        <w:rPr>
          <w:bCs/>
        </w:rPr>
        <w:t> :</w:t>
      </w:r>
    </w:p>
    <w:p w14:paraId="3823C644" w14:textId="77777777" w:rsidR="00312B8B" w:rsidRPr="00026EC1" w:rsidRDefault="00312B8B" w:rsidP="00A64613">
      <w:pPr>
        <w:keepNext w:val="0"/>
        <w:rPr>
          <w:bCs/>
        </w:rPr>
      </w:pPr>
    </w:p>
    <w:p w14:paraId="4F79F180" w14:textId="7DFF31DE" w:rsidR="00312B8B"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312B8B" w:rsidRPr="00026EC1">
        <w:t>au 30</w:t>
      </w:r>
      <w:r w:rsidR="008A5719">
        <w:t> </w:t>
      </w:r>
      <w:r w:rsidR="00312B8B" w:rsidRPr="00026EC1">
        <w:t>octobre qui suit sa mise en disponibilité, la charge individuelle de travail</w:t>
      </w:r>
      <w:r w:rsidR="00DD1F43">
        <w:t> </w:t>
      </w:r>
      <w:r w:rsidR="00312B8B" w:rsidRPr="00026EC1">
        <w:t>(CI) constatée à la session d</w:t>
      </w:r>
      <w:r w:rsidR="004A41E4" w:rsidRPr="00026EC1">
        <w:t>’</w:t>
      </w:r>
      <w:r w:rsidR="00312B8B" w:rsidRPr="00026EC1">
        <w:t>automne est au moins égale à trente</w:t>
      </w:r>
      <w:r w:rsidR="00984A6F">
        <w:noBreakHyphen/>
      </w:r>
      <w:r w:rsidR="00312B8B" w:rsidRPr="00026EC1">
        <w:t>six</w:t>
      </w:r>
      <w:r w:rsidR="00DD1F43">
        <w:t> </w:t>
      </w:r>
      <w:r w:rsidR="00312B8B" w:rsidRPr="00026EC1">
        <w:t>(36) unités;</w:t>
      </w:r>
    </w:p>
    <w:p w14:paraId="14328A54" w14:textId="77777777" w:rsidR="00312B8B" w:rsidRPr="00026EC1" w:rsidRDefault="00312B8B" w:rsidP="00A64613">
      <w:pPr>
        <w:keepNext w:val="0"/>
        <w:tabs>
          <w:tab w:val="left" w:pos="1134"/>
        </w:tabs>
        <w:ind w:left="1134" w:hanging="567"/>
      </w:pPr>
    </w:p>
    <w:p w14:paraId="71F16F49" w14:textId="60480807" w:rsidR="00312B8B"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312B8B" w:rsidRPr="00026EC1">
        <w:t>au 30</w:t>
      </w:r>
      <w:r w:rsidR="008A5719">
        <w:t> </w:t>
      </w:r>
      <w:r w:rsidR="00312B8B" w:rsidRPr="00026EC1">
        <w:t>octobre qui suit sa mise en disponibilité, la charge individuelle de travail</w:t>
      </w:r>
      <w:r w:rsidR="00DD1F43">
        <w:t> </w:t>
      </w:r>
      <w:r w:rsidR="00312B8B" w:rsidRPr="00026EC1">
        <w:t>(CI) constatée est au moins égale à quarante</w:t>
      </w:r>
      <w:r w:rsidR="008A5719">
        <w:t> </w:t>
      </w:r>
      <w:r w:rsidR="00312B8B" w:rsidRPr="00026EC1">
        <w:t>(40) unités, si la période de congé est prévue pour la session d</w:t>
      </w:r>
      <w:r w:rsidR="004A41E4" w:rsidRPr="00026EC1">
        <w:t>’</w:t>
      </w:r>
      <w:r w:rsidR="00312B8B" w:rsidRPr="00026EC1">
        <w:t>hiver;</w:t>
      </w:r>
    </w:p>
    <w:p w14:paraId="56473B41" w14:textId="77777777" w:rsidR="00312B8B" w:rsidRPr="00026EC1" w:rsidRDefault="00312B8B" w:rsidP="00A64613">
      <w:pPr>
        <w:keepNext w:val="0"/>
        <w:tabs>
          <w:tab w:val="left" w:pos="1134"/>
        </w:tabs>
        <w:ind w:left="1134" w:hanging="567"/>
      </w:pPr>
    </w:p>
    <w:p w14:paraId="05B910A5" w14:textId="3A5A0411" w:rsidR="00312B8B"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312B8B" w:rsidRPr="00026EC1">
        <w:t>au 15</w:t>
      </w:r>
      <w:r w:rsidR="008A5719">
        <w:t> </w:t>
      </w:r>
      <w:r w:rsidR="00312B8B" w:rsidRPr="00026EC1">
        <w:t>février qui suit sa mise en disponibilité, la charge individuelle de travail constatée est au moins égale à quatre</w:t>
      </w:r>
      <w:r w:rsidR="00984A6F">
        <w:noBreakHyphen/>
      </w:r>
      <w:r w:rsidR="00312B8B" w:rsidRPr="00026EC1">
        <w:t>vingts</w:t>
      </w:r>
      <w:r w:rsidR="008A5719">
        <w:t> </w:t>
      </w:r>
      <w:r w:rsidR="00312B8B" w:rsidRPr="00026EC1">
        <w:t>(80) unités.</w:t>
      </w:r>
    </w:p>
    <w:p w14:paraId="27C0503A" w14:textId="77777777" w:rsidR="00312B8B" w:rsidRPr="00026EC1" w:rsidRDefault="00312B8B" w:rsidP="00A64613">
      <w:pPr>
        <w:keepNext w:val="0"/>
        <w:rPr>
          <w:bCs/>
        </w:rPr>
      </w:pPr>
    </w:p>
    <w:p w14:paraId="17D28316" w14:textId="79AA05C9" w:rsidR="00312B8B" w:rsidRPr="00026EC1" w:rsidRDefault="00312B8B" w:rsidP="00A64613">
      <w:pPr>
        <w:pStyle w:val="Texte1cm00000"/>
        <w:keepNext w:val="0"/>
        <w:rPr>
          <w:bCs/>
        </w:rPr>
      </w:pPr>
      <w:r w:rsidRPr="00026EC1">
        <w:rPr>
          <w:bCs/>
        </w:rPr>
        <w:t>Le régime prend fin si les conditions précédentes ne peuvent être respectées et les modalités prévues à la clause</w:t>
      </w:r>
      <w:r w:rsidR="00867B11" w:rsidRPr="00026EC1">
        <w:rPr>
          <w:bCs/>
        </w:rPr>
        <w:t> </w:t>
      </w:r>
      <w:r w:rsidRPr="00026EC1">
        <w:rPr>
          <w:bCs/>
        </w:rPr>
        <w:t>5</w:t>
      </w:r>
      <w:r w:rsidR="00984A6F">
        <w:rPr>
          <w:bCs/>
        </w:rPr>
        <w:noBreakHyphen/>
      </w:r>
      <w:r w:rsidRPr="00026EC1">
        <w:rPr>
          <w:bCs/>
        </w:rPr>
        <w:t>12.13 s</w:t>
      </w:r>
      <w:r w:rsidR="004A41E4" w:rsidRPr="00026EC1">
        <w:rPr>
          <w:bCs/>
        </w:rPr>
        <w:t>’</w:t>
      </w:r>
      <w:r w:rsidRPr="00026EC1">
        <w:rPr>
          <w:bCs/>
        </w:rPr>
        <w:t>appliquent</w:t>
      </w:r>
      <w:r w:rsidR="00127A45" w:rsidRPr="00026EC1">
        <w:rPr>
          <w:bCs/>
        </w:rPr>
        <w:t>,</w:t>
      </w:r>
      <w:r w:rsidRPr="00026EC1">
        <w:rPr>
          <w:bCs/>
        </w:rPr>
        <w:t xml:space="preserve"> mais sans perte de droits au niveau du régime de retraite</w:t>
      </w:r>
      <w:r w:rsidR="00D8581B">
        <w:rPr>
          <w:bCs/>
        </w:rPr>
        <w:t> :</w:t>
      </w:r>
      <w:r w:rsidRPr="00026EC1">
        <w:rPr>
          <w:bCs/>
        </w:rPr>
        <w:t xml:space="preserve"> les cotisations versées en trop aux fins du régime de retraite ne sont pas exigibles (une</w:t>
      </w:r>
      <w:r w:rsidR="008A5719">
        <w:rPr>
          <w:bCs/>
        </w:rPr>
        <w:t> </w:t>
      </w:r>
      <w:r w:rsidRPr="00026EC1">
        <w:rPr>
          <w:bCs/>
        </w:rPr>
        <w:t>(1) pleine année de service est alors créditée pour chaque pleine année de participation au régime) et le traitement non versé est remboursé sans être assujetti au régime de retraite.</w:t>
      </w:r>
    </w:p>
    <w:p w14:paraId="01FB9772" w14:textId="77777777" w:rsidR="00312B8B" w:rsidRPr="00026EC1" w:rsidRDefault="00312B8B" w:rsidP="00A64613">
      <w:pPr>
        <w:keepNext w:val="0"/>
      </w:pPr>
    </w:p>
    <w:p w14:paraId="2BEDA996" w14:textId="7584C56E" w:rsidR="00312B8B" w:rsidRPr="00026EC1" w:rsidRDefault="00312B8B" w:rsidP="00A64613">
      <w:pPr>
        <w:pStyle w:val="Texte1cm00000"/>
        <w:keepNext w:val="0"/>
        <w:tabs>
          <w:tab w:val="left" w:pos="360"/>
        </w:tabs>
        <w:ind w:left="0"/>
      </w:pPr>
      <w:r w:rsidRPr="00026EC1">
        <w:rPr>
          <w:bCs/>
        </w:rPr>
        <w:t>De plus, pour le régime de congé à traitement anticipé et différé, si l</w:t>
      </w:r>
      <w:r w:rsidR="004A41E4" w:rsidRPr="00026EC1">
        <w:rPr>
          <w:bCs/>
        </w:rPr>
        <w:t>’</w:t>
      </w:r>
      <w:r w:rsidRPr="00026EC1">
        <w:rPr>
          <w:bCs/>
        </w:rPr>
        <w:t>enseignante ou l</w:t>
      </w:r>
      <w:r w:rsidR="004A41E4" w:rsidRPr="00026EC1">
        <w:rPr>
          <w:bCs/>
        </w:rPr>
        <w:t>’</w:t>
      </w:r>
      <w:r w:rsidRPr="00026EC1">
        <w:rPr>
          <w:bCs/>
        </w:rPr>
        <w:t>enseignant est replacé avant le 30</w:t>
      </w:r>
      <w:r w:rsidR="008A5719">
        <w:rPr>
          <w:bCs/>
        </w:rPr>
        <w:t> </w:t>
      </w:r>
      <w:r w:rsidRPr="00026EC1">
        <w:rPr>
          <w:bCs/>
        </w:rPr>
        <w:t>octobre, le régime peut être transféré chez son nouvel employeur si ce dernier y consent.</w:t>
      </w:r>
    </w:p>
    <w:p w14:paraId="578FA9AC" w14:textId="77777777" w:rsidR="00312B8B" w:rsidRPr="00026EC1" w:rsidRDefault="00312B8B" w:rsidP="00A64613">
      <w:pPr>
        <w:keepNext w:val="0"/>
        <w:rPr>
          <w:bCs/>
        </w:rPr>
      </w:pPr>
    </w:p>
    <w:p w14:paraId="3D6D1595" w14:textId="2899A03F" w:rsidR="00312B8B" w:rsidRPr="00026EC1" w:rsidRDefault="00312B8B" w:rsidP="00A64613">
      <w:pPr>
        <w:pStyle w:val="NUMRODECLAUSE"/>
        <w:keepNext w:val="0"/>
      </w:pPr>
      <w:r w:rsidRPr="00026EC1">
        <w:t>5</w:t>
      </w:r>
      <w:r w:rsidR="00984A6F">
        <w:noBreakHyphen/>
      </w:r>
      <w:r w:rsidRPr="00026EC1">
        <w:t>12.16</w:t>
      </w:r>
    </w:p>
    <w:p w14:paraId="1CE1D6C3" w14:textId="6AD2B89F" w:rsidR="00312B8B" w:rsidRPr="00026EC1" w:rsidRDefault="00312B8B" w:rsidP="00A64613">
      <w:pPr>
        <w:keepNext w:val="0"/>
      </w:pPr>
      <w:r w:rsidRPr="00026EC1">
        <w:t>Si l</w:t>
      </w:r>
      <w:r w:rsidR="004A41E4" w:rsidRPr="00026EC1">
        <w:t>’</w:t>
      </w:r>
      <w:r w:rsidRPr="00026EC1">
        <w:t>enseignante ou l</w:t>
      </w:r>
      <w:r w:rsidR="004A41E4" w:rsidRPr="00026EC1">
        <w:t>’</w:t>
      </w:r>
      <w:r w:rsidRPr="00026EC1">
        <w:t>enseignant décède pendant la durée du régime, celui</w:t>
      </w:r>
      <w:r w:rsidR="00984A6F">
        <w:noBreakHyphen/>
      </w:r>
      <w:r w:rsidRPr="00026EC1">
        <w:t>ci prend fin à la date du décès et les modalités prévues à la clause 5</w:t>
      </w:r>
      <w:r w:rsidR="00984A6F">
        <w:noBreakHyphen/>
      </w:r>
      <w:r w:rsidRPr="00026EC1">
        <w:t>12.13 s</w:t>
      </w:r>
      <w:r w:rsidR="004A41E4" w:rsidRPr="00026EC1">
        <w:t>’</w:t>
      </w:r>
      <w:r w:rsidRPr="00026EC1">
        <w:t>appliquent. Cependant, le traitement versé en trop ne devient pas exigible et le traitement non versé est remboursé sans être assujetti à la cotisation au régime de retraite.</w:t>
      </w:r>
    </w:p>
    <w:p w14:paraId="1B5EBC24" w14:textId="77777777" w:rsidR="00384F03" w:rsidRDefault="00384F03" w:rsidP="00A64613">
      <w:pPr>
        <w:keepNext w:val="0"/>
      </w:pPr>
    </w:p>
    <w:p w14:paraId="1EF8C451" w14:textId="1D3BF90D" w:rsidR="00312B8B" w:rsidRPr="00026EC1" w:rsidRDefault="00312B8B" w:rsidP="00A64613">
      <w:pPr>
        <w:keepNext w:val="0"/>
      </w:pPr>
      <w:r w:rsidRPr="00026EC1">
        <w:t>Si la période de congé est en cours et que celle</w:t>
      </w:r>
      <w:r w:rsidR="00984A6F">
        <w:noBreakHyphen/>
      </w:r>
      <w:r w:rsidRPr="00026EC1">
        <w:t>ci se situe après une partie ou la totalité de la période de travail, le régime prend fin à la date du décès. Le traitement versé en trop ne devient pas exigible et le traitement non versé est remboursé sans être assujetti à la cotisation au régime de retraite. Dans ce cas, le calcul du montant dû par le Collège s</w:t>
      </w:r>
      <w:r w:rsidR="004A41E4" w:rsidRPr="00026EC1">
        <w:t>’</w:t>
      </w:r>
      <w:r w:rsidRPr="00026EC1">
        <w:t>effectue de la façon suivante</w:t>
      </w:r>
      <w:r w:rsidR="00D8581B">
        <w:t> :</w:t>
      </w:r>
      <w:r w:rsidRPr="00026EC1">
        <w:t xml:space="preserve"> le montant reçu par l</w:t>
      </w:r>
      <w:r w:rsidR="004A41E4" w:rsidRPr="00026EC1">
        <w:t>’</w:t>
      </w:r>
      <w:r w:rsidRPr="00026EC1">
        <w:t>enseignante ou l</w:t>
      </w:r>
      <w:r w:rsidR="004A41E4" w:rsidRPr="00026EC1">
        <w:t>’</w:t>
      </w:r>
      <w:r w:rsidRPr="00026EC1">
        <w:t>enseignant durant la période de congé moins les montants déjà déduits du traitement de l</w:t>
      </w:r>
      <w:r w:rsidR="004A41E4" w:rsidRPr="00026EC1">
        <w:t>’</w:t>
      </w:r>
      <w:r w:rsidRPr="00026EC1">
        <w:t>enseignante ou de l</w:t>
      </w:r>
      <w:r w:rsidR="004A41E4" w:rsidRPr="00026EC1">
        <w:t>’</w:t>
      </w:r>
      <w:r w:rsidRPr="00026EC1">
        <w:t>enseignant pendant la période de travail en application de la clause 5</w:t>
      </w:r>
      <w:r w:rsidR="00984A6F">
        <w:noBreakHyphen/>
      </w:r>
      <w:r w:rsidRPr="00026EC1">
        <w:t>12.09.</w:t>
      </w:r>
    </w:p>
    <w:p w14:paraId="48902A39" w14:textId="77777777" w:rsidR="00312B8B" w:rsidRPr="00026EC1" w:rsidRDefault="00312B8B" w:rsidP="00A64613">
      <w:pPr>
        <w:keepNext w:val="0"/>
      </w:pPr>
    </w:p>
    <w:p w14:paraId="5DB09B88" w14:textId="20CD847B" w:rsidR="00312B8B" w:rsidRPr="00026EC1" w:rsidRDefault="00312B8B" w:rsidP="00A64613">
      <w:pPr>
        <w:pStyle w:val="NUMRODECLAUSE"/>
        <w:keepNext w:val="0"/>
      </w:pPr>
      <w:r w:rsidRPr="00026EC1">
        <w:t>5</w:t>
      </w:r>
      <w:r w:rsidR="00984A6F">
        <w:noBreakHyphen/>
      </w:r>
      <w:r w:rsidRPr="00026EC1">
        <w:t>12.17</w:t>
      </w:r>
    </w:p>
    <w:p w14:paraId="5B4B8D8A" w14:textId="10E7DEE6" w:rsidR="00312B8B" w:rsidRPr="00026EC1" w:rsidRDefault="00312B8B" w:rsidP="00A64613">
      <w:pPr>
        <w:keepNext w:val="0"/>
      </w:pPr>
      <w:r w:rsidRPr="00026EC1">
        <w:t>Lorsqu</w:t>
      </w:r>
      <w:r w:rsidR="004A41E4" w:rsidRPr="00026EC1">
        <w:t>’</w:t>
      </w:r>
      <w:r w:rsidRPr="00026EC1">
        <w:t>une enseignante ou un enseignant devient invalide au sens de l</w:t>
      </w:r>
      <w:r w:rsidR="004A41E4" w:rsidRPr="00026EC1">
        <w:t>’</w:t>
      </w:r>
      <w:r w:rsidRPr="00026EC1">
        <w:t>article 5</w:t>
      </w:r>
      <w:r w:rsidR="00984A6F">
        <w:noBreakHyphen/>
      </w:r>
      <w:r w:rsidRPr="00026EC1">
        <w:t>5.00 pendant la durée du régime, les modalités suivantes s</w:t>
      </w:r>
      <w:r w:rsidR="004A41E4" w:rsidRPr="00026EC1">
        <w:t>’</w:t>
      </w:r>
      <w:r w:rsidRPr="00026EC1">
        <w:t>appliquent</w:t>
      </w:r>
      <w:r w:rsidR="00D8581B">
        <w:t> :</w:t>
      </w:r>
    </w:p>
    <w:p w14:paraId="7C81DEDD" w14:textId="77777777" w:rsidR="00312B8B" w:rsidRPr="00026EC1" w:rsidRDefault="00312B8B" w:rsidP="00A64613">
      <w:pPr>
        <w:keepNext w:val="0"/>
      </w:pPr>
    </w:p>
    <w:p w14:paraId="1D4FCE88" w14:textId="166108DF" w:rsidR="00312B8B" w:rsidRPr="00026EC1" w:rsidRDefault="00275751" w:rsidP="00A64613">
      <w:pPr>
        <w:keepNext w:val="0"/>
        <w:tabs>
          <w:tab w:val="left" w:pos="567"/>
        </w:tabs>
        <w:snapToGrid w:val="0"/>
        <w:ind w:left="567" w:hanging="567"/>
      </w:pPr>
      <w:r w:rsidRPr="00026EC1">
        <w:t>a)</w:t>
      </w:r>
      <w:r w:rsidRPr="00026EC1">
        <w:tab/>
      </w:r>
      <w:r w:rsidR="00312B8B" w:rsidRPr="00026EC1">
        <w:t>si l</w:t>
      </w:r>
      <w:r w:rsidR="004A41E4" w:rsidRPr="00026EC1">
        <w:t>’</w:t>
      </w:r>
      <w:r w:rsidR="00312B8B" w:rsidRPr="00026EC1">
        <w:t>invalidité survient au cours de la période de congé</w:t>
      </w:r>
      <w:r w:rsidR="00D8581B">
        <w:t> :</w:t>
      </w:r>
    </w:p>
    <w:p w14:paraId="19B2EFD4" w14:textId="77777777" w:rsidR="00312B8B" w:rsidRPr="00026EC1" w:rsidRDefault="00312B8B" w:rsidP="00A64613">
      <w:pPr>
        <w:keepNext w:val="0"/>
      </w:pPr>
    </w:p>
    <w:p w14:paraId="00A7693E" w14:textId="77777777" w:rsidR="00312B8B" w:rsidRPr="00026EC1" w:rsidRDefault="00312B8B" w:rsidP="00A64613">
      <w:pPr>
        <w:pStyle w:val="Texte1cm00000"/>
        <w:keepNext w:val="0"/>
      </w:pPr>
      <w:r w:rsidRPr="00026EC1">
        <w:t>l</w:t>
      </w:r>
      <w:r w:rsidR="004A41E4" w:rsidRPr="00026EC1">
        <w:t>’</w:t>
      </w:r>
      <w:r w:rsidRPr="00026EC1">
        <w:t>invalidité est présumée ne pas avoir cours durant la période de congé et elle est considérée comme débutant le jour prévu par le régime pour le retour au travail de l</w:t>
      </w:r>
      <w:r w:rsidR="004A41E4" w:rsidRPr="00026EC1">
        <w:t>’</w:t>
      </w:r>
      <w:r w:rsidRPr="00026EC1">
        <w:t>enseignante ou de l</w:t>
      </w:r>
      <w:r w:rsidR="004A41E4" w:rsidRPr="00026EC1">
        <w:t>’</w:t>
      </w:r>
      <w:r w:rsidRPr="00026EC1">
        <w:t>enseignant au terme de la période de congé.</w:t>
      </w:r>
    </w:p>
    <w:p w14:paraId="317D1F1B" w14:textId="77777777" w:rsidR="00312B8B" w:rsidRPr="00026EC1" w:rsidRDefault="00312B8B" w:rsidP="00A64613">
      <w:pPr>
        <w:keepNext w:val="0"/>
      </w:pPr>
    </w:p>
    <w:p w14:paraId="281F0F66" w14:textId="6F91F8DB" w:rsidR="00312B8B" w:rsidRPr="00026EC1" w:rsidRDefault="00312B8B" w:rsidP="00A64613">
      <w:pPr>
        <w:pStyle w:val="Texte1cm00000"/>
        <w:keepNext w:val="0"/>
      </w:pPr>
      <w:r w:rsidRPr="00026EC1">
        <w:t>Elle ou il a droit, durant sa période de congé, au traitement prévu au régime. À compter de la date prévue de retour au travail, si elle ou il est encore invalide, elle ou il a droit à la prestation d</w:t>
      </w:r>
      <w:r w:rsidR="004A41E4" w:rsidRPr="00026EC1">
        <w:t>’</w:t>
      </w:r>
      <w:r w:rsidRPr="00026EC1">
        <w:t>assurance</w:t>
      </w:r>
      <w:r w:rsidR="00984A6F">
        <w:noBreakHyphen/>
      </w:r>
      <w:r w:rsidRPr="00026EC1">
        <w:t>traitement prévue à la convention collective tant et aussi longtemps qu</w:t>
      </w:r>
      <w:r w:rsidR="004A41E4" w:rsidRPr="00026EC1">
        <w:t>’</w:t>
      </w:r>
      <w:r w:rsidRPr="00026EC1">
        <w:t>elle ou il est couvert par le régime. La prestation d</w:t>
      </w:r>
      <w:r w:rsidR="004A41E4" w:rsidRPr="00026EC1">
        <w:t>’</w:t>
      </w:r>
      <w:r w:rsidRPr="00026EC1">
        <w:t>assurance</w:t>
      </w:r>
      <w:r w:rsidR="00984A6F">
        <w:noBreakHyphen/>
      </w:r>
      <w:r w:rsidRPr="00026EC1">
        <w:t>traitement est basée sur le traitement déterminé dans le régime. Si elle ou il est encore invalide à l</w:t>
      </w:r>
      <w:r w:rsidR="004A41E4" w:rsidRPr="00026EC1">
        <w:t>’</w:t>
      </w:r>
      <w:r w:rsidRPr="00026EC1">
        <w:t>expiration du régime, elle ou il reçoit alors une prestation d</w:t>
      </w:r>
      <w:r w:rsidR="004A41E4" w:rsidRPr="00026EC1">
        <w:t>’</w:t>
      </w:r>
      <w:r w:rsidRPr="00026EC1">
        <w:t>assurance</w:t>
      </w:r>
      <w:r w:rsidR="00984A6F">
        <w:noBreakHyphen/>
      </w:r>
      <w:r w:rsidRPr="00026EC1">
        <w:t>traitement basée sur son traitement habituel;</w:t>
      </w:r>
    </w:p>
    <w:p w14:paraId="4A9E910F" w14:textId="77777777" w:rsidR="00312B8B" w:rsidRPr="00026EC1" w:rsidRDefault="00312B8B" w:rsidP="00A64613">
      <w:pPr>
        <w:pStyle w:val="Texte1cm00000"/>
        <w:keepNext w:val="0"/>
      </w:pPr>
    </w:p>
    <w:p w14:paraId="402FDC34" w14:textId="03B03574" w:rsidR="00312B8B" w:rsidRPr="00026EC1" w:rsidRDefault="00275751" w:rsidP="00A64613">
      <w:pPr>
        <w:keepNext w:val="0"/>
        <w:tabs>
          <w:tab w:val="left" w:pos="567"/>
        </w:tabs>
        <w:snapToGrid w:val="0"/>
        <w:ind w:left="567" w:hanging="567"/>
      </w:pPr>
      <w:r w:rsidRPr="00026EC1">
        <w:t>b)</w:t>
      </w:r>
      <w:r w:rsidRPr="00026EC1">
        <w:tab/>
      </w:r>
      <w:r w:rsidR="00312B8B" w:rsidRPr="00026EC1">
        <w:t>si l</w:t>
      </w:r>
      <w:r w:rsidR="004A41E4" w:rsidRPr="00026EC1">
        <w:t>’</w:t>
      </w:r>
      <w:r w:rsidR="00312B8B" w:rsidRPr="00026EC1">
        <w:t>invalidité survient après la période de congé</w:t>
      </w:r>
      <w:r w:rsidR="00D8581B">
        <w:t> :</w:t>
      </w:r>
    </w:p>
    <w:p w14:paraId="071FA0B1" w14:textId="77777777" w:rsidR="00312B8B" w:rsidRPr="00026EC1" w:rsidRDefault="00312B8B" w:rsidP="00A64613">
      <w:pPr>
        <w:keepNext w:val="0"/>
      </w:pPr>
    </w:p>
    <w:p w14:paraId="63646C0F" w14:textId="56DDE8B9" w:rsidR="00312B8B" w:rsidRPr="00026EC1" w:rsidRDefault="00312B8B" w:rsidP="00A64613">
      <w:pPr>
        <w:pStyle w:val="Texte1cm00000"/>
        <w:keepNext w:val="0"/>
      </w:pPr>
      <w:r w:rsidRPr="00026EC1">
        <w:t>la participation de l</w:t>
      </w:r>
      <w:r w:rsidR="004A41E4" w:rsidRPr="00026EC1">
        <w:t>’</w:t>
      </w:r>
      <w:r w:rsidRPr="00026EC1">
        <w:t>enseignante ou de l</w:t>
      </w:r>
      <w:r w:rsidR="004A41E4" w:rsidRPr="00026EC1">
        <w:t>’</w:t>
      </w:r>
      <w:r w:rsidRPr="00026EC1">
        <w:t>enseignant au régime se poursuit et la prestation d</w:t>
      </w:r>
      <w:r w:rsidR="004A41E4" w:rsidRPr="00026EC1">
        <w:t>’</w:t>
      </w:r>
      <w:r w:rsidRPr="00026EC1">
        <w:t>assurance</w:t>
      </w:r>
      <w:r w:rsidR="00984A6F">
        <w:noBreakHyphen/>
      </w:r>
      <w:r w:rsidRPr="00026EC1">
        <w:t>traitement est basée sur le traitement déterminé au régime tant que dure l</w:t>
      </w:r>
      <w:r w:rsidR="004A41E4" w:rsidRPr="00026EC1">
        <w:t>’</w:t>
      </w:r>
      <w:r w:rsidRPr="00026EC1">
        <w:t>invalidité. À compter de l</w:t>
      </w:r>
      <w:r w:rsidR="004A41E4" w:rsidRPr="00026EC1">
        <w:t>’</w:t>
      </w:r>
      <w:r w:rsidRPr="00026EC1">
        <w:t>expiration du régime, l</w:t>
      </w:r>
      <w:r w:rsidR="004A41E4" w:rsidRPr="00026EC1">
        <w:t>’</w:t>
      </w:r>
      <w:r w:rsidRPr="00026EC1">
        <w:t>enseignante ou l</w:t>
      </w:r>
      <w:r w:rsidR="004A41E4" w:rsidRPr="00026EC1">
        <w:t>’</w:t>
      </w:r>
      <w:r w:rsidRPr="00026EC1">
        <w:t>enseignant encore invalide reçoit une prestation d</w:t>
      </w:r>
      <w:r w:rsidR="004A41E4" w:rsidRPr="00026EC1">
        <w:t>’</w:t>
      </w:r>
      <w:r w:rsidRPr="00026EC1">
        <w:t>assurance</w:t>
      </w:r>
      <w:r w:rsidR="00984A6F">
        <w:noBreakHyphen/>
      </w:r>
      <w:r w:rsidRPr="00026EC1">
        <w:t>traitement basée sur son traitement habituel;</w:t>
      </w:r>
    </w:p>
    <w:p w14:paraId="1E925969" w14:textId="77777777" w:rsidR="00312B8B" w:rsidRPr="00026EC1" w:rsidRDefault="00312B8B" w:rsidP="00A64613">
      <w:pPr>
        <w:keepNext w:val="0"/>
      </w:pPr>
    </w:p>
    <w:p w14:paraId="6F7CE270" w14:textId="721B2F0B" w:rsidR="00312B8B" w:rsidRPr="00026EC1" w:rsidRDefault="00275751" w:rsidP="00A64613">
      <w:pPr>
        <w:keepNext w:val="0"/>
        <w:tabs>
          <w:tab w:val="left" w:pos="567"/>
        </w:tabs>
        <w:snapToGrid w:val="0"/>
        <w:ind w:left="567" w:hanging="567"/>
      </w:pPr>
      <w:r w:rsidRPr="00026EC1">
        <w:t>c)</w:t>
      </w:r>
      <w:r w:rsidRPr="00026EC1">
        <w:tab/>
      </w:r>
      <w:r w:rsidR="00312B8B" w:rsidRPr="00026EC1">
        <w:t>si l</w:t>
      </w:r>
      <w:r w:rsidR="004A41E4" w:rsidRPr="00026EC1">
        <w:t>’</w:t>
      </w:r>
      <w:r w:rsidR="00312B8B" w:rsidRPr="00026EC1">
        <w:t>invalidité survient avant et se termine avant la période de congé</w:t>
      </w:r>
      <w:r w:rsidR="00D8581B">
        <w:t> :</w:t>
      </w:r>
    </w:p>
    <w:p w14:paraId="2507E5F7" w14:textId="77777777" w:rsidR="00312B8B" w:rsidRPr="00026EC1" w:rsidRDefault="00312B8B" w:rsidP="00A64613">
      <w:pPr>
        <w:keepNext w:val="0"/>
      </w:pPr>
    </w:p>
    <w:p w14:paraId="3B0DF133" w14:textId="2157738E" w:rsidR="00312B8B" w:rsidRPr="00026EC1" w:rsidRDefault="00312B8B" w:rsidP="00A64613">
      <w:pPr>
        <w:pStyle w:val="Texte1cm00000"/>
        <w:keepNext w:val="0"/>
      </w:pPr>
      <w:r w:rsidRPr="00026EC1">
        <w:t>la participation de l</w:t>
      </w:r>
      <w:r w:rsidR="004A41E4" w:rsidRPr="00026EC1">
        <w:t>’</w:t>
      </w:r>
      <w:r w:rsidRPr="00026EC1">
        <w:t>enseignante ou de l</w:t>
      </w:r>
      <w:r w:rsidR="004A41E4" w:rsidRPr="00026EC1">
        <w:t>’</w:t>
      </w:r>
      <w:r w:rsidRPr="00026EC1">
        <w:t>enseignant au régime se poursuit et la prestation d</w:t>
      </w:r>
      <w:r w:rsidR="004A41E4" w:rsidRPr="00026EC1">
        <w:t>’</w:t>
      </w:r>
      <w:r w:rsidRPr="00026EC1">
        <w:t>assurance</w:t>
      </w:r>
      <w:r w:rsidR="00984A6F">
        <w:noBreakHyphen/>
      </w:r>
      <w:r w:rsidRPr="00026EC1">
        <w:t>traitement est basée sur le traitement déterminé au régime tant que dure l</w:t>
      </w:r>
      <w:r w:rsidR="004A41E4" w:rsidRPr="00026EC1">
        <w:t>’</w:t>
      </w:r>
      <w:r w:rsidRPr="00026EC1">
        <w:t>invalidité;</w:t>
      </w:r>
    </w:p>
    <w:p w14:paraId="20EAFB69" w14:textId="77777777" w:rsidR="00312B8B" w:rsidRPr="00026EC1" w:rsidRDefault="00312B8B" w:rsidP="00A64613">
      <w:pPr>
        <w:keepNext w:val="0"/>
      </w:pPr>
    </w:p>
    <w:p w14:paraId="71BBA25D" w14:textId="559FD0A7" w:rsidR="00312B8B" w:rsidRPr="00026EC1" w:rsidRDefault="00275751" w:rsidP="00A64613">
      <w:pPr>
        <w:keepNext w:val="0"/>
        <w:tabs>
          <w:tab w:val="left" w:pos="567"/>
        </w:tabs>
        <w:snapToGrid w:val="0"/>
        <w:ind w:left="567" w:hanging="567"/>
      </w:pPr>
      <w:r w:rsidRPr="00026EC1">
        <w:t>d)</w:t>
      </w:r>
      <w:r w:rsidRPr="00026EC1">
        <w:tab/>
      </w:r>
      <w:r w:rsidR="00312B8B" w:rsidRPr="00026EC1">
        <w:t>si l</w:t>
      </w:r>
      <w:r w:rsidR="004A41E4" w:rsidRPr="00026EC1">
        <w:t>’</w:t>
      </w:r>
      <w:r w:rsidR="00312B8B" w:rsidRPr="00026EC1">
        <w:t>invalidité survient avant la période de congé et perdure à la date prévue au régime pour le début de la période de congé</w:t>
      </w:r>
      <w:r w:rsidR="00D8581B">
        <w:t> :</w:t>
      </w:r>
    </w:p>
    <w:p w14:paraId="4650C4F8" w14:textId="77777777" w:rsidR="00312B8B" w:rsidRPr="00026EC1" w:rsidRDefault="00312B8B" w:rsidP="00A64613">
      <w:pPr>
        <w:keepNext w:val="0"/>
      </w:pPr>
    </w:p>
    <w:p w14:paraId="23A12940" w14:textId="7CC5AD10" w:rsidR="00312B8B" w:rsidRPr="00026EC1" w:rsidRDefault="00312B8B" w:rsidP="00A64613">
      <w:pPr>
        <w:pStyle w:val="Texte1cm00000"/>
        <w:keepNext w:val="0"/>
      </w:pPr>
      <w:r w:rsidRPr="00026EC1">
        <w:t>dans ce cas, l</w:t>
      </w:r>
      <w:r w:rsidR="004A41E4" w:rsidRPr="00026EC1">
        <w:t>’</w:t>
      </w:r>
      <w:r w:rsidRPr="00026EC1">
        <w:t>enseignante ou l</w:t>
      </w:r>
      <w:r w:rsidR="004A41E4" w:rsidRPr="00026EC1">
        <w:t>’</w:t>
      </w:r>
      <w:r w:rsidRPr="00026EC1">
        <w:t>enseignant peut choisir l</w:t>
      </w:r>
      <w:r w:rsidR="004A41E4" w:rsidRPr="00026EC1">
        <w:t>’</w:t>
      </w:r>
      <w:r w:rsidRPr="00026EC1">
        <w:t>une des options suivantes</w:t>
      </w:r>
      <w:r w:rsidR="00D8581B">
        <w:t> :</w:t>
      </w:r>
    </w:p>
    <w:p w14:paraId="78B836D7" w14:textId="77777777" w:rsidR="00312B8B" w:rsidRPr="00026EC1" w:rsidRDefault="00312B8B" w:rsidP="00A64613">
      <w:pPr>
        <w:keepNext w:val="0"/>
      </w:pPr>
    </w:p>
    <w:p w14:paraId="4E1CD7F5" w14:textId="5403EB3E" w:rsidR="00312B8B" w:rsidRPr="00026EC1" w:rsidRDefault="00275751" w:rsidP="00A64613">
      <w:pPr>
        <w:keepNext w:val="0"/>
        <w:tabs>
          <w:tab w:val="left" w:pos="1120"/>
        </w:tabs>
        <w:snapToGrid w:val="0"/>
        <w:ind w:left="1134" w:hanging="567"/>
      </w:pPr>
      <w:r w:rsidRPr="00026EC1">
        <w:t>i)</w:t>
      </w:r>
      <w:r w:rsidRPr="00026EC1">
        <w:tab/>
      </w:r>
      <w:r w:rsidR="00312B8B" w:rsidRPr="00026EC1">
        <w:t>continuer sa participation au régime et reporter la période de congé à un moment où elle ou il ne sera plus invalide. L</w:t>
      </w:r>
      <w:r w:rsidR="004A41E4" w:rsidRPr="00026EC1">
        <w:t>’</w:t>
      </w:r>
      <w:r w:rsidR="00312B8B" w:rsidRPr="00026EC1">
        <w:t>enseignante ou l</w:t>
      </w:r>
      <w:r w:rsidR="004A41E4" w:rsidRPr="00026EC1">
        <w:t>’</w:t>
      </w:r>
      <w:r w:rsidR="00312B8B" w:rsidRPr="00026EC1">
        <w:t>enseignant a droit à sa prestation d</w:t>
      </w:r>
      <w:r w:rsidR="004A41E4" w:rsidRPr="00026EC1">
        <w:t>’</w:t>
      </w:r>
      <w:r w:rsidR="00312B8B" w:rsidRPr="00026EC1">
        <w:t>assurance</w:t>
      </w:r>
      <w:r w:rsidR="00984A6F">
        <w:noBreakHyphen/>
      </w:r>
      <w:r w:rsidR="00312B8B" w:rsidRPr="00026EC1">
        <w:t>traitement basée sur le traitement prévu au régime. Si l</w:t>
      </w:r>
      <w:r w:rsidR="004A41E4" w:rsidRPr="00026EC1">
        <w:t>’</w:t>
      </w:r>
      <w:r w:rsidR="00312B8B" w:rsidRPr="00026EC1">
        <w:t>invalidité persiste durant la dernière année du régime, celui</w:t>
      </w:r>
      <w:r w:rsidR="00984A6F">
        <w:noBreakHyphen/>
      </w:r>
      <w:r w:rsidR="00312B8B" w:rsidRPr="00026EC1">
        <w:t>ci peut alors être interrompu à compter du début de la dernière année jusqu</w:t>
      </w:r>
      <w:r w:rsidR="004A41E4" w:rsidRPr="00026EC1">
        <w:t>’</w:t>
      </w:r>
      <w:r w:rsidR="00312B8B" w:rsidRPr="00026EC1">
        <w:t>à la fin de l</w:t>
      </w:r>
      <w:r w:rsidR="004A41E4" w:rsidRPr="00026EC1">
        <w:t>’</w:t>
      </w:r>
      <w:r w:rsidR="00312B8B" w:rsidRPr="00026EC1">
        <w:t>invalidité. Durant cette période d</w:t>
      </w:r>
      <w:r w:rsidR="004A41E4" w:rsidRPr="00026EC1">
        <w:t>’</w:t>
      </w:r>
      <w:r w:rsidR="00312B8B" w:rsidRPr="00026EC1">
        <w:t>interruption, l</w:t>
      </w:r>
      <w:r w:rsidR="004A41E4" w:rsidRPr="00026EC1">
        <w:t>’</w:t>
      </w:r>
      <w:r w:rsidR="00312B8B" w:rsidRPr="00026EC1">
        <w:t>enseignante ou l</w:t>
      </w:r>
      <w:r w:rsidR="004A41E4" w:rsidRPr="00026EC1">
        <w:t>’</w:t>
      </w:r>
      <w:r w:rsidR="00312B8B" w:rsidRPr="00026EC1">
        <w:t>enseignant a droit à la prestation d</w:t>
      </w:r>
      <w:r w:rsidR="004A41E4" w:rsidRPr="00026EC1">
        <w:t>’</w:t>
      </w:r>
      <w:r w:rsidR="00312B8B" w:rsidRPr="00026EC1">
        <w:t>assurance</w:t>
      </w:r>
      <w:r w:rsidR="00984A6F">
        <w:noBreakHyphen/>
      </w:r>
      <w:r w:rsidR="00312B8B" w:rsidRPr="00026EC1">
        <w:t>traitement basée sur son traitement habituel;</w:t>
      </w:r>
    </w:p>
    <w:p w14:paraId="4395A39A" w14:textId="77777777" w:rsidR="00312B8B" w:rsidRPr="00026EC1" w:rsidRDefault="00312B8B" w:rsidP="00A64613">
      <w:pPr>
        <w:keepNext w:val="0"/>
      </w:pPr>
    </w:p>
    <w:p w14:paraId="5EB21D5D" w14:textId="6B21C330" w:rsidR="00312B8B" w:rsidRPr="00026EC1" w:rsidRDefault="00275751" w:rsidP="00A64613">
      <w:pPr>
        <w:keepNext w:val="0"/>
        <w:tabs>
          <w:tab w:val="left" w:pos="1120"/>
        </w:tabs>
        <w:snapToGrid w:val="0"/>
        <w:ind w:left="1134" w:hanging="567"/>
      </w:pPr>
      <w:r w:rsidRPr="00026EC1">
        <w:t>ii)</w:t>
      </w:r>
      <w:r w:rsidRPr="00026EC1">
        <w:tab/>
      </w:r>
      <w:r w:rsidR="00312B8B" w:rsidRPr="00026EC1">
        <w:t>mettre fin au régime et ainsi recevoir les montants non versés ainsi que sa prestation d</w:t>
      </w:r>
      <w:r w:rsidR="004A41E4" w:rsidRPr="00026EC1">
        <w:t>’</w:t>
      </w:r>
      <w:r w:rsidR="00312B8B" w:rsidRPr="00026EC1">
        <w:t>assurance</w:t>
      </w:r>
      <w:r w:rsidR="00984A6F">
        <w:noBreakHyphen/>
      </w:r>
      <w:r w:rsidR="00312B8B" w:rsidRPr="00026EC1">
        <w:t>traitement basée sur son traitement habituel. Ces montants non versés sont assujettis à la cotisation au régime de retraite;</w:t>
      </w:r>
    </w:p>
    <w:p w14:paraId="721D717E" w14:textId="77777777" w:rsidR="003710C9" w:rsidRPr="00026EC1" w:rsidRDefault="003710C9" w:rsidP="00A64613">
      <w:pPr>
        <w:keepNext w:val="0"/>
        <w:snapToGrid w:val="0"/>
      </w:pPr>
    </w:p>
    <w:p w14:paraId="6E97E083" w14:textId="305EB4BE" w:rsidR="00312B8B" w:rsidRPr="00026EC1" w:rsidRDefault="00275751" w:rsidP="00A64613">
      <w:pPr>
        <w:keepNext w:val="0"/>
        <w:tabs>
          <w:tab w:val="left" w:pos="567"/>
        </w:tabs>
        <w:snapToGrid w:val="0"/>
        <w:ind w:left="567" w:hanging="567"/>
      </w:pPr>
      <w:r w:rsidRPr="00026EC1">
        <w:t>e)</w:t>
      </w:r>
      <w:r w:rsidRPr="00026EC1">
        <w:tab/>
      </w:r>
      <w:r w:rsidR="00312B8B" w:rsidRPr="00026EC1">
        <w:t>si l</w:t>
      </w:r>
      <w:r w:rsidR="004A41E4" w:rsidRPr="00026EC1">
        <w:t>’</w:t>
      </w:r>
      <w:r w:rsidR="00312B8B" w:rsidRPr="00026EC1">
        <w:t>invalidité dure plus de trois (3) mois</w:t>
      </w:r>
      <w:r w:rsidR="00D8581B">
        <w:t> :</w:t>
      </w:r>
    </w:p>
    <w:p w14:paraId="538CF79A" w14:textId="77777777" w:rsidR="00312B8B" w:rsidRPr="00026EC1" w:rsidRDefault="00312B8B" w:rsidP="00A64613">
      <w:pPr>
        <w:keepNext w:val="0"/>
      </w:pPr>
    </w:p>
    <w:p w14:paraId="6203AC14" w14:textId="47E7A425" w:rsidR="00312B8B" w:rsidRPr="00026EC1" w:rsidRDefault="00275751" w:rsidP="00A64613">
      <w:pPr>
        <w:keepNext w:val="0"/>
        <w:tabs>
          <w:tab w:val="left" w:pos="1120"/>
          <w:tab w:val="num" w:pos="1287"/>
        </w:tabs>
        <w:snapToGrid w:val="0"/>
        <w:ind w:left="1134" w:hanging="567"/>
      </w:pPr>
      <w:r w:rsidRPr="00026EC1">
        <w:t>i)</w:t>
      </w:r>
      <w:r w:rsidRPr="00026EC1">
        <w:tab/>
      </w:r>
      <w:r w:rsidR="00312B8B" w:rsidRPr="00026EC1">
        <w:t>dans les cas prévus à l</w:t>
      </w:r>
      <w:r w:rsidR="004A41E4" w:rsidRPr="00026EC1">
        <w:t>’</w:t>
      </w:r>
      <w:r w:rsidR="00312B8B" w:rsidRPr="00026EC1">
        <w:t>alinéa a), lorsque le congé se situe en totalité avant la période de travail, et dans les cas prévus aux alinéas b), c) et d) qui précèdent, l</w:t>
      </w:r>
      <w:r w:rsidR="004A41E4" w:rsidRPr="00026EC1">
        <w:t>’</w:t>
      </w:r>
      <w:r w:rsidR="00312B8B" w:rsidRPr="00026EC1">
        <w:t>enseignante ou l</w:t>
      </w:r>
      <w:r w:rsidR="004A41E4" w:rsidRPr="00026EC1">
        <w:t>’</w:t>
      </w:r>
      <w:r w:rsidR="00312B8B" w:rsidRPr="00026EC1">
        <w:t>enseignant peut se prévaloir de l</w:t>
      </w:r>
      <w:r w:rsidR="004A41E4" w:rsidRPr="00026EC1">
        <w:t>’</w:t>
      </w:r>
      <w:r w:rsidR="00312B8B" w:rsidRPr="00026EC1">
        <w:t>option suivante qui remplace alors les options et modalités prévues à ces alinéas</w:t>
      </w:r>
      <w:r w:rsidR="00D8581B">
        <w:t> :</w:t>
      </w:r>
    </w:p>
    <w:p w14:paraId="41ED7300" w14:textId="77777777" w:rsidR="00312B8B" w:rsidRPr="00026EC1" w:rsidRDefault="00312B8B" w:rsidP="00A64613">
      <w:pPr>
        <w:keepNext w:val="0"/>
      </w:pPr>
    </w:p>
    <w:p w14:paraId="4D61AAE1" w14:textId="657D00CC" w:rsidR="00312B8B" w:rsidRPr="00026EC1" w:rsidRDefault="00312B8B" w:rsidP="00A64613">
      <w:pPr>
        <w:pStyle w:val="Texte3cm"/>
        <w:keepNext w:val="0"/>
      </w:pPr>
      <w:r w:rsidRPr="00026EC1">
        <w:t>à compter du début du quatrième (4</w:t>
      </w:r>
      <w:r w:rsidRPr="00026EC1">
        <w:rPr>
          <w:vertAlign w:val="superscript"/>
        </w:rPr>
        <w:t>e</w:t>
      </w:r>
      <w:r w:rsidRPr="00026EC1">
        <w:t>) mois d</w:t>
      </w:r>
      <w:r w:rsidR="004A41E4" w:rsidRPr="00026EC1">
        <w:t>’</w:t>
      </w:r>
      <w:r w:rsidRPr="00026EC1">
        <w:t>invalidité continue, le régime est interrompu. Durant cette période d</w:t>
      </w:r>
      <w:r w:rsidR="004A41E4" w:rsidRPr="00026EC1">
        <w:t>’</w:t>
      </w:r>
      <w:r w:rsidRPr="00026EC1">
        <w:t>interruption, l</w:t>
      </w:r>
      <w:r w:rsidR="004A41E4" w:rsidRPr="00026EC1">
        <w:t>’</w:t>
      </w:r>
      <w:r w:rsidRPr="00026EC1">
        <w:t>enseignante ou l</w:t>
      </w:r>
      <w:r w:rsidR="004A41E4" w:rsidRPr="00026EC1">
        <w:t>’</w:t>
      </w:r>
      <w:r w:rsidRPr="00026EC1">
        <w:t>enseignant a droit à la prestation d</w:t>
      </w:r>
      <w:r w:rsidR="004A41E4" w:rsidRPr="00026EC1">
        <w:t>’</w:t>
      </w:r>
      <w:r w:rsidRPr="00026EC1">
        <w:t>assurance</w:t>
      </w:r>
      <w:r w:rsidR="00984A6F">
        <w:noBreakHyphen/>
      </w:r>
      <w:r w:rsidRPr="00026EC1">
        <w:t>traitement basée sur son traitement habituel. Cette période d</w:t>
      </w:r>
      <w:r w:rsidR="004A41E4" w:rsidRPr="00026EC1">
        <w:t>’</w:t>
      </w:r>
      <w:r w:rsidRPr="00026EC1">
        <w:t>interruption cesse à la fin du douzième (12</w:t>
      </w:r>
      <w:r w:rsidRPr="00026EC1">
        <w:rPr>
          <w:vertAlign w:val="superscript"/>
        </w:rPr>
        <w:t>e</w:t>
      </w:r>
      <w:r w:rsidRPr="00026EC1">
        <w:t>) mois d</w:t>
      </w:r>
      <w:r w:rsidR="004A41E4" w:rsidRPr="00026EC1">
        <w:t>’</w:t>
      </w:r>
      <w:r w:rsidRPr="00026EC1">
        <w:t>invalidité continue et le régime reprend dès lors. Si l</w:t>
      </w:r>
      <w:r w:rsidR="004A41E4" w:rsidRPr="00026EC1">
        <w:t>’</w:t>
      </w:r>
      <w:r w:rsidRPr="00026EC1">
        <w:t>invalidité se poursuit, la prestation d</w:t>
      </w:r>
      <w:r w:rsidR="004A41E4" w:rsidRPr="00026EC1">
        <w:t>’</w:t>
      </w:r>
      <w:r w:rsidRPr="00026EC1">
        <w:t>assurance</w:t>
      </w:r>
      <w:r w:rsidR="00984A6F">
        <w:noBreakHyphen/>
      </w:r>
      <w:r w:rsidRPr="00026EC1">
        <w:t>traitement de l</w:t>
      </w:r>
      <w:r w:rsidR="004A41E4" w:rsidRPr="00026EC1">
        <w:t>’</w:t>
      </w:r>
      <w:r w:rsidRPr="00026EC1">
        <w:t>enseignante ou de l</w:t>
      </w:r>
      <w:r w:rsidR="004A41E4" w:rsidRPr="00026EC1">
        <w:t>’</w:t>
      </w:r>
      <w:r w:rsidRPr="00026EC1">
        <w:t>enseignant est basée sur le traitement prévu au régime;</w:t>
      </w:r>
    </w:p>
    <w:p w14:paraId="36E55873" w14:textId="77777777" w:rsidR="00312B8B" w:rsidRPr="00026EC1" w:rsidRDefault="00312B8B" w:rsidP="00A64613">
      <w:pPr>
        <w:keepNext w:val="0"/>
      </w:pPr>
    </w:p>
    <w:p w14:paraId="177EFE09" w14:textId="00B530F6" w:rsidR="00312B8B" w:rsidRPr="00026EC1" w:rsidRDefault="00275751" w:rsidP="00A64613">
      <w:pPr>
        <w:keepNext w:val="0"/>
        <w:tabs>
          <w:tab w:val="left" w:pos="1120"/>
          <w:tab w:val="num" w:pos="1287"/>
        </w:tabs>
        <w:snapToGrid w:val="0"/>
        <w:ind w:left="1134" w:hanging="567"/>
      </w:pPr>
      <w:r w:rsidRPr="00026EC1">
        <w:t>ii)</w:t>
      </w:r>
      <w:r w:rsidRPr="00026EC1">
        <w:tab/>
      </w:r>
      <w:r w:rsidR="00312B8B" w:rsidRPr="00026EC1">
        <w:t>dans le cas prévu à l</w:t>
      </w:r>
      <w:r w:rsidR="004A41E4" w:rsidRPr="00026EC1">
        <w:t>’</w:t>
      </w:r>
      <w:r w:rsidR="00312B8B" w:rsidRPr="00026EC1">
        <w:t>alinéa a), lorsque la période de congé se situe après une partie ou la totalité de la période de travail, l</w:t>
      </w:r>
      <w:r w:rsidR="004A41E4" w:rsidRPr="00026EC1">
        <w:t>’</w:t>
      </w:r>
      <w:r w:rsidR="00312B8B" w:rsidRPr="00026EC1">
        <w:t>enseignante ou l</w:t>
      </w:r>
      <w:r w:rsidR="004A41E4" w:rsidRPr="00026EC1">
        <w:t>’</w:t>
      </w:r>
      <w:r w:rsidR="00312B8B" w:rsidRPr="00026EC1">
        <w:t>enseignant peut se prévaloir de l</w:t>
      </w:r>
      <w:r w:rsidR="004A41E4" w:rsidRPr="00026EC1">
        <w:t>’</w:t>
      </w:r>
      <w:r w:rsidR="00312B8B" w:rsidRPr="00026EC1">
        <w:t>option suivante qui remplace alors les options et modalités prévues à l</w:t>
      </w:r>
      <w:r w:rsidR="004A41E4" w:rsidRPr="00026EC1">
        <w:t>’</w:t>
      </w:r>
      <w:r w:rsidR="00312B8B" w:rsidRPr="00026EC1">
        <w:t>alinéa a)</w:t>
      </w:r>
      <w:r w:rsidR="00D8581B">
        <w:t> :</w:t>
      </w:r>
    </w:p>
    <w:p w14:paraId="7DE452F7" w14:textId="77777777" w:rsidR="00312B8B" w:rsidRPr="00026EC1" w:rsidRDefault="00312B8B" w:rsidP="00A64613">
      <w:pPr>
        <w:keepNext w:val="0"/>
      </w:pPr>
    </w:p>
    <w:p w14:paraId="7EE8F2B8" w14:textId="49B4807F" w:rsidR="00974510" w:rsidRDefault="00312B8B" w:rsidP="00974510">
      <w:pPr>
        <w:pStyle w:val="Texte3cm"/>
        <w:keepNext w:val="0"/>
      </w:pPr>
      <w:r w:rsidRPr="00026EC1">
        <w:t>à compter du jour prévu par le régime pour le retour au travail de l</w:t>
      </w:r>
      <w:r w:rsidR="004A41E4" w:rsidRPr="00026EC1">
        <w:t>’</w:t>
      </w:r>
      <w:r w:rsidRPr="00026EC1">
        <w:t>enseignante ou de l</w:t>
      </w:r>
      <w:r w:rsidR="004A41E4" w:rsidRPr="00026EC1">
        <w:t>’</w:t>
      </w:r>
      <w:r w:rsidRPr="00026EC1">
        <w:t>enseignant au terme de la période de congé, le régime est interrompu. Durant cette période d</w:t>
      </w:r>
      <w:r w:rsidR="004A41E4" w:rsidRPr="00026EC1">
        <w:t>’</w:t>
      </w:r>
      <w:r w:rsidRPr="00026EC1">
        <w:t>interruption, l</w:t>
      </w:r>
      <w:r w:rsidR="004A41E4" w:rsidRPr="00026EC1">
        <w:t>’</w:t>
      </w:r>
      <w:r w:rsidRPr="00026EC1">
        <w:t>enseignante ou l</w:t>
      </w:r>
      <w:r w:rsidR="004A41E4" w:rsidRPr="00026EC1">
        <w:t>’</w:t>
      </w:r>
      <w:r w:rsidRPr="00026EC1">
        <w:t>enseignant a droit à la prestation d</w:t>
      </w:r>
      <w:r w:rsidR="004A41E4" w:rsidRPr="00026EC1">
        <w:t>’</w:t>
      </w:r>
      <w:r w:rsidRPr="00026EC1">
        <w:t>assurance</w:t>
      </w:r>
      <w:r w:rsidR="00984A6F">
        <w:noBreakHyphen/>
      </w:r>
      <w:r w:rsidRPr="00026EC1">
        <w:t>traitement basée sur son traitement habituel. Cette période d</w:t>
      </w:r>
      <w:r w:rsidR="004A41E4" w:rsidRPr="00026EC1">
        <w:t>’</w:t>
      </w:r>
      <w:r w:rsidRPr="00026EC1">
        <w:t>interruption cesse à la fin du douzième (12</w:t>
      </w:r>
      <w:r w:rsidRPr="00026EC1">
        <w:rPr>
          <w:vertAlign w:val="superscript"/>
        </w:rPr>
        <w:t>e</w:t>
      </w:r>
      <w:r w:rsidRPr="00026EC1">
        <w:t>) mois d</w:t>
      </w:r>
      <w:r w:rsidR="004A41E4" w:rsidRPr="00026EC1">
        <w:t>’</w:t>
      </w:r>
      <w:r w:rsidRPr="00026EC1">
        <w:t>invalidité continue et le régime reprend dès lors. Si l</w:t>
      </w:r>
      <w:r w:rsidR="004A41E4" w:rsidRPr="00026EC1">
        <w:t>’</w:t>
      </w:r>
      <w:r w:rsidRPr="00026EC1">
        <w:t>invalidité se poursuit, la prestation d</w:t>
      </w:r>
      <w:r w:rsidR="004A41E4" w:rsidRPr="00026EC1">
        <w:t>’</w:t>
      </w:r>
      <w:r w:rsidRPr="00026EC1">
        <w:t>assurance</w:t>
      </w:r>
      <w:r w:rsidR="00984A6F">
        <w:noBreakHyphen/>
      </w:r>
      <w:r w:rsidRPr="00026EC1">
        <w:t>traitement de l</w:t>
      </w:r>
      <w:r w:rsidR="004A41E4" w:rsidRPr="00026EC1">
        <w:t>’</w:t>
      </w:r>
      <w:r w:rsidRPr="00026EC1">
        <w:t>enseignante ou de l</w:t>
      </w:r>
      <w:r w:rsidR="004A41E4" w:rsidRPr="00026EC1">
        <w:t>’</w:t>
      </w:r>
      <w:r w:rsidRPr="00026EC1">
        <w:t>enseignant est basée sur le traitement prévu au régime;</w:t>
      </w:r>
      <w:r w:rsidR="00974510">
        <w:br w:type="page"/>
      </w:r>
    </w:p>
    <w:p w14:paraId="5D9CE1CF" w14:textId="7ACE09CD" w:rsidR="00312B8B" w:rsidRPr="00026EC1" w:rsidRDefault="00275751" w:rsidP="00A64613">
      <w:pPr>
        <w:keepNext w:val="0"/>
        <w:tabs>
          <w:tab w:val="left" w:pos="567"/>
        </w:tabs>
        <w:snapToGrid w:val="0"/>
        <w:ind w:left="567" w:hanging="567"/>
      </w:pPr>
      <w:r w:rsidRPr="00026EC1">
        <w:t>f)</w:t>
      </w:r>
      <w:r w:rsidRPr="00026EC1">
        <w:tab/>
      </w:r>
      <w:r w:rsidR="00312B8B" w:rsidRPr="00026EC1">
        <w:t>si l</w:t>
      </w:r>
      <w:r w:rsidR="004A41E4" w:rsidRPr="00026EC1">
        <w:t>’</w:t>
      </w:r>
      <w:r w:rsidR="00312B8B" w:rsidRPr="00026EC1">
        <w:t>invalidité dure plus de deux (2) ans</w:t>
      </w:r>
      <w:r w:rsidR="00D8581B">
        <w:t> :</w:t>
      </w:r>
    </w:p>
    <w:p w14:paraId="668FA5A1" w14:textId="77777777" w:rsidR="00312B8B" w:rsidRPr="00026EC1" w:rsidRDefault="00312B8B" w:rsidP="00A64613">
      <w:pPr>
        <w:keepNext w:val="0"/>
      </w:pPr>
    </w:p>
    <w:p w14:paraId="2FD1F837" w14:textId="36E5260B" w:rsidR="00312B8B" w:rsidRPr="00026EC1" w:rsidRDefault="00312B8B" w:rsidP="00A64613">
      <w:pPr>
        <w:pStyle w:val="Texte1cm00000"/>
        <w:keepNext w:val="0"/>
      </w:pPr>
      <w:r w:rsidRPr="00026EC1">
        <w:t>durant les deux (2) premières années, l</w:t>
      </w:r>
      <w:r w:rsidR="004A41E4" w:rsidRPr="00026EC1">
        <w:t>’</w:t>
      </w:r>
      <w:r w:rsidRPr="00026EC1">
        <w:t>enseignante ou l</w:t>
      </w:r>
      <w:r w:rsidR="004A41E4" w:rsidRPr="00026EC1">
        <w:t>’</w:t>
      </w:r>
      <w:r w:rsidRPr="00026EC1">
        <w:t>enseignant est traité tel qu</w:t>
      </w:r>
      <w:r w:rsidR="004A41E4" w:rsidRPr="00026EC1">
        <w:t>’</w:t>
      </w:r>
      <w:r w:rsidRPr="00026EC1">
        <w:t>il est prévu précédemment. À la fin de ces deux (2) années, le régime cesse et</w:t>
      </w:r>
      <w:r w:rsidR="00D8581B">
        <w:t> :</w:t>
      </w:r>
    </w:p>
    <w:p w14:paraId="252C30F2" w14:textId="77777777" w:rsidR="00312B8B" w:rsidRPr="00026EC1" w:rsidRDefault="00312B8B" w:rsidP="00A64613">
      <w:pPr>
        <w:pStyle w:val="Texte1cm00000"/>
        <w:keepNext w:val="0"/>
      </w:pPr>
    </w:p>
    <w:p w14:paraId="2B5E7B06" w14:textId="77777777" w:rsidR="00312B8B" w:rsidRPr="00026EC1" w:rsidRDefault="00275751" w:rsidP="00A64613">
      <w:pPr>
        <w:keepNext w:val="0"/>
        <w:tabs>
          <w:tab w:val="left" w:pos="1120"/>
        </w:tabs>
        <w:snapToGrid w:val="0"/>
        <w:ind w:left="1134" w:hanging="567"/>
      </w:pPr>
      <w:r w:rsidRPr="00026EC1">
        <w:t>i)</w:t>
      </w:r>
      <w:r w:rsidRPr="00026EC1">
        <w:tab/>
      </w:r>
      <w:r w:rsidR="00312B8B" w:rsidRPr="00026EC1">
        <w:t>si l</w:t>
      </w:r>
      <w:r w:rsidR="004A41E4" w:rsidRPr="00026EC1">
        <w:t>’</w:t>
      </w:r>
      <w:r w:rsidR="00312B8B" w:rsidRPr="00026EC1">
        <w:t>enseignante ou l</w:t>
      </w:r>
      <w:r w:rsidR="004A41E4" w:rsidRPr="00026EC1">
        <w:t>’</w:t>
      </w:r>
      <w:r w:rsidR="00312B8B" w:rsidRPr="00026EC1">
        <w:t>enseignant a déjà pris sa période de congé, le traitement versé en trop n</w:t>
      </w:r>
      <w:r w:rsidR="004A41E4" w:rsidRPr="00026EC1">
        <w:t>’</w:t>
      </w:r>
      <w:r w:rsidR="00312B8B" w:rsidRPr="00026EC1">
        <w:t>est pas exigible et il n</w:t>
      </w:r>
      <w:r w:rsidR="004A41E4" w:rsidRPr="00026EC1">
        <w:t>’</w:t>
      </w:r>
      <w:r w:rsidR="00312B8B" w:rsidRPr="00026EC1">
        <w:t>y a pas de perte de droits au niveau du régime de retraite (une (1) pleine année de service est alors créditée pour chaque pleine année de participation au régime);</w:t>
      </w:r>
    </w:p>
    <w:p w14:paraId="62A2571D" w14:textId="77777777" w:rsidR="00312B8B" w:rsidRPr="00026EC1" w:rsidRDefault="00312B8B" w:rsidP="00A64613">
      <w:pPr>
        <w:keepNext w:val="0"/>
      </w:pPr>
    </w:p>
    <w:p w14:paraId="08F4EDBF" w14:textId="77777777" w:rsidR="00312B8B" w:rsidRPr="00026EC1" w:rsidRDefault="00275751" w:rsidP="00A64613">
      <w:pPr>
        <w:keepNext w:val="0"/>
        <w:tabs>
          <w:tab w:val="left" w:pos="1120"/>
        </w:tabs>
        <w:snapToGrid w:val="0"/>
        <w:ind w:left="1134" w:hanging="567"/>
      </w:pPr>
      <w:r w:rsidRPr="00026EC1">
        <w:t>ii)</w:t>
      </w:r>
      <w:r w:rsidRPr="00026EC1">
        <w:tab/>
      </w:r>
      <w:r w:rsidR="00312B8B" w:rsidRPr="00026EC1">
        <w:t>si l</w:t>
      </w:r>
      <w:r w:rsidR="004A41E4" w:rsidRPr="00026EC1">
        <w:t>’</w:t>
      </w:r>
      <w:r w:rsidR="00312B8B" w:rsidRPr="00026EC1">
        <w:t>enseignante ou l</w:t>
      </w:r>
      <w:r w:rsidR="004A41E4" w:rsidRPr="00026EC1">
        <w:t>’</w:t>
      </w:r>
      <w:r w:rsidR="00312B8B" w:rsidRPr="00026EC1">
        <w:t>enseignant n</w:t>
      </w:r>
      <w:r w:rsidR="004A41E4" w:rsidRPr="00026EC1">
        <w:t>’</w:t>
      </w:r>
      <w:r w:rsidR="00312B8B" w:rsidRPr="00026EC1">
        <w:t>a pas déjà pris sa période de congé, le traitement non versé est remboursé, sans intérêt, sans être assujetti à une cotisation aux fins du régime de retraite et toute pension d</w:t>
      </w:r>
      <w:r w:rsidR="004A41E4" w:rsidRPr="00026EC1">
        <w:t>’</w:t>
      </w:r>
      <w:r w:rsidR="00312B8B" w:rsidRPr="00026EC1">
        <w:t>invalidité à laquelle elle ou il a droit en vertu de son régime de retraite devient payable immédiatement.</w:t>
      </w:r>
    </w:p>
    <w:p w14:paraId="375175AE" w14:textId="77777777" w:rsidR="00312B8B" w:rsidRPr="00026EC1" w:rsidRDefault="00312B8B" w:rsidP="00A64613">
      <w:pPr>
        <w:keepNext w:val="0"/>
      </w:pPr>
    </w:p>
    <w:p w14:paraId="4B1C5E04" w14:textId="5445F53C" w:rsidR="00312B8B" w:rsidRPr="00026EC1" w:rsidRDefault="00312B8B" w:rsidP="00A64613">
      <w:pPr>
        <w:keepNext w:val="0"/>
      </w:pPr>
      <w:r w:rsidRPr="00026EC1">
        <w:t>Les périodes d</w:t>
      </w:r>
      <w:r w:rsidR="004A41E4" w:rsidRPr="00026EC1">
        <w:t>’</w:t>
      </w:r>
      <w:r w:rsidRPr="00026EC1">
        <w:t>interruption prévues à l</w:t>
      </w:r>
      <w:r w:rsidR="004A41E4" w:rsidRPr="00026EC1">
        <w:t>’</w:t>
      </w:r>
      <w:r w:rsidRPr="00026EC1">
        <w:t>alinéa e) et au sous</w:t>
      </w:r>
      <w:r w:rsidR="00984A6F">
        <w:noBreakHyphen/>
      </w:r>
      <w:r w:rsidRPr="00026EC1">
        <w:t>alinéa i) de l</w:t>
      </w:r>
      <w:r w:rsidR="004A41E4" w:rsidRPr="00026EC1">
        <w:t>’</w:t>
      </w:r>
      <w:r w:rsidRPr="00026EC1">
        <w:t>alinéa d) sont exclues de la durée du régime.</w:t>
      </w:r>
    </w:p>
    <w:p w14:paraId="1A4F9613" w14:textId="77777777" w:rsidR="003710C9" w:rsidRPr="00026EC1" w:rsidRDefault="003710C9" w:rsidP="00A64613">
      <w:pPr>
        <w:keepNext w:val="0"/>
      </w:pPr>
    </w:p>
    <w:p w14:paraId="7A3D097A" w14:textId="4B53FC51" w:rsidR="00312B8B" w:rsidRPr="00026EC1" w:rsidRDefault="00312B8B" w:rsidP="00A64613">
      <w:pPr>
        <w:pStyle w:val="NUMRODECLAUSE"/>
        <w:keepNext w:val="0"/>
      </w:pPr>
      <w:r w:rsidRPr="00026EC1">
        <w:t>5</w:t>
      </w:r>
      <w:r w:rsidR="00984A6F">
        <w:noBreakHyphen/>
      </w:r>
      <w:r w:rsidRPr="00026EC1">
        <w:t>12.18</w:t>
      </w:r>
    </w:p>
    <w:p w14:paraId="12A17E77" w14:textId="5595A644" w:rsidR="00312B8B" w:rsidRPr="00026EC1" w:rsidRDefault="00312B8B" w:rsidP="00A64613">
      <w:pPr>
        <w:keepNext w:val="0"/>
        <w:rPr>
          <w:bCs/>
        </w:rPr>
      </w:pPr>
      <w:r w:rsidRPr="00026EC1">
        <w:t>Si un congé de maternité, de paternité ou d</w:t>
      </w:r>
      <w:r w:rsidR="004A41E4" w:rsidRPr="00026EC1">
        <w:t>’</w:t>
      </w:r>
      <w:r w:rsidRPr="00026EC1">
        <w:t xml:space="preserve">adoption </w:t>
      </w:r>
      <w:r w:rsidRPr="00026EC1">
        <w:rPr>
          <w:bCs/>
        </w:rPr>
        <w:t>prévu à l</w:t>
      </w:r>
      <w:r w:rsidR="004A41E4" w:rsidRPr="00026EC1">
        <w:rPr>
          <w:bCs/>
        </w:rPr>
        <w:t>’</w:t>
      </w:r>
      <w:r w:rsidRPr="00026EC1">
        <w:rPr>
          <w:bCs/>
        </w:rPr>
        <w:t>article</w:t>
      </w:r>
      <w:r w:rsidR="00867B11" w:rsidRPr="00026EC1">
        <w:rPr>
          <w:bCs/>
        </w:rPr>
        <w:t> </w:t>
      </w:r>
      <w:r w:rsidRPr="00026EC1">
        <w:rPr>
          <w:bCs/>
        </w:rPr>
        <w:t>5</w:t>
      </w:r>
      <w:r w:rsidR="00984A6F">
        <w:rPr>
          <w:bCs/>
        </w:rPr>
        <w:noBreakHyphen/>
      </w:r>
      <w:r w:rsidRPr="00026EC1">
        <w:rPr>
          <w:bCs/>
        </w:rPr>
        <w:t xml:space="preserve">6.00 </w:t>
      </w:r>
      <w:r w:rsidRPr="00026EC1">
        <w:t>débute avant ou après la période de congé ou débute pendant la période de congé dans le cas d</w:t>
      </w:r>
      <w:r w:rsidR="004A41E4" w:rsidRPr="00026EC1">
        <w:t>’</w:t>
      </w:r>
      <w:r w:rsidRPr="00026EC1">
        <w:t xml:space="preserve">un congé qui se situe en totalité avant la période de travail, la participation au régime est suspendue pour une période maximale </w:t>
      </w:r>
      <w:r w:rsidRPr="00026EC1">
        <w:rPr>
          <w:bCs/>
        </w:rPr>
        <w:t xml:space="preserve">équivalente à la durée du congé </w:t>
      </w:r>
      <w:r w:rsidRPr="00026EC1">
        <w:t xml:space="preserve">et le régime est alors prolongé </w:t>
      </w:r>
      <w:r w:rsidRPr="00026EC1">
        <w:rPr>
          <w:bCs/>
        </w:rPr>
        <w:t>d</w:t>
      </w:r>
      <w:r w:rsidR="004A41E4" w:rsidRPr="00026EC1">
        <w:rPr>
          <w:bCs/>
        </w:rPr>
        <w:t>’</w:t>
      </w:r>
      <w:r w:rsidRPr="00026EC1">
        <w:rPr>
          <w:bCs/>
        </w:rPr>
        <w:t>une durée égale à la durée du congé de maternité,</w:t>
      </w:r>
      <w:r w:rsidRPr="00026EC1">
        <w:t xml:space="preserve"> de paternité ou d</w:t>
      </w:r>
      <w:r w:rsidR="004A41E4" w:rsidRPr="00026EC1">
        <w:t>’</w:t>
      </w:r>
      <w:r w:rsidRPr="00026EC1">
        <w:t>adoption.</w:t>
      </w:r>
    </w:p>
    <w:p w14:paraId="587D597F" w14:textId="77777777" w:rsidR="00312B8B" w:rsidRPr="00026EC1" w:rsidRDefault="00312B8B" w:rsidP="00A64613">
      <w:pPr>
        <w:keepNext w:val="0"/>
      </w:pPr>
    </w:p>
    <w:p w14:paraId="5BDF34CD" w14:textId="77777777" w:rsidR="00312B8B" w:rsidRPr="00026EC1" w:rsidRDefault="00312B8B" w:rsidP="00A64613">
      <w:pPr>
        <w:keepNext w:val="0"/>
      </w:pPr>
      <w:r w:rsidRPr="00026EC1">
        <w:t>Toutefois, si le congé de maternité, de paternité ou d</w:t>
      </w:r>
      <w:r w:rsidR="004A41E4" w:rsidRPr="00026EC1">
        <w:t>’</w:t>
      </w:r>
      <w:r w:rsidRPr="00026EC1">
        <w:t>adoption survient avant la période de congé, l</w:t>
      </w:r>
      <w:r w:rsidR="004A41E4" w:rsidRPr="00026EC1">
        <w:t>’</w:t>
      </w:r>
      <w:r w:rsidRPr="00026EC1">
        <w:t>enseignante</w:t>
      </w:r>
      <w:r w:rsidR="0084520F" w:rsidRPr="00026EC1">
        <w:t xml:space="preserve"> ou l</w:t>
      </w:r>
      <w:r w:rsidR="004A41E4" w:rsidRPr="00026EC1">
        <w:t>’</w:t>
      </w:r>
      <w:r w:rsidR="0084520F" w:rsidRPr="00026EC1">
        <w:t>enseignant</w:t>
      </w:r>
      <w:r w:rsidRPr="00026EC1">
        <w:t xml:space="preserve"> peut mettre fin au régime. Elle </w:t>
      </w:r>
      <w:r w:rsidR="0084520F" w:rsidRPr="00026EC1">
        <w:t xml:space="preserve">ou il </w:t>
      </w:r>
      <w:r w:rsidRPr="00026EC1">
        <w:t>reçoit alors le traitement non versé, sans intérêt, ainsi que la prestation prévue pour les congés de maternité</w:t>
      </w:r>
      <w:r w:rsidR="0084520F" w:rsidRPr="00026EC1">
        <w:t>, de paternité ou d</w:t>
      </w:r>
      <w:r w:rsidR="004A41E4" w:rsidRPr="00026EC1">
        <w:t>’</w:t>
      </w:r>
      <w:r w:rsidR="0084520F" w:rsidRPr="00026EC1">
        <w:t>adoption</w:t>
      </w:r>
      <w:r w:rsidRPr="00026EC1">
        <w:t>. Les montants ainsi remboursés sont assujettis à la cotisation au régime de retraite.</w:t>
      </w:r>
    </w:p>
    <w:p w14:paraId="1CF98A3F" w14:textId="77777777" w:rsidR="00312B8B" w:rsidRPr="00026EC1" w:rsidRDefault="00312B8B" w:rsidP="00A64613">
      <w:pPr>
        <w:keepNext w:val="0"/>
      </w:pPr>
    </w:p>
    <w:p w14:paraId="2C394A56" w14:textId="68DDFD93" w:rsidR="00312B8B" w:rsidRPr="00026EC1" w:rsidRDefault="00312B8B" w:rsidP="00A64613">
      <w:pPr>
        <w:pStyle w:val="NUMRODECLAUSE"/>
        <w:keepNext w:val="0"/>
      </w:pPr>
      <w:r w:rsidRPr="00026EC1">
        <w:t>5</w:t>
      </w:r>
      <w:r w:rsidR="00984A6F">
        <w:noBreakHyphen/>
      </w:r>
      <w:r w:rsidRPr="00026EC1">
        <w:t>12.19</w:t>
      </w:r>
    </w:p>
    <w:p w14:paraId="2CE5889B" w14:textId="77777777" w:rsidR="00D45CB4" w:rsidRPr="00026EC1" w:rsidRDefault="00312B8B" w:rsidP="00A64613">
      <w:pPr>
        <w:keepNext w:val="0"/>
      </w:pPr>
      <w:r w:rsidRPr="00026EC1">
        <w:t>Dans tous les cas où l</w:t>
      </w:r>
      <w:r w:rsidR="004A41E4" w:rsidRPr="00026EC1">
        <w:t>’</w:t>
      </w:r>
      <w:r w:rsidRPr="00026EC1">
        <w:t>enseignante ou l</w:t>
      </w:r>
      <w:r w:rsidR="004A41E4" w:rsidRPr="00026EC1">
        <w:t>’</w:t>
      </w:r>
      <w:r w:rsidRPr="00026EC1">
        <w:t>enseignant ne prend pas sa période de congé pendant la durée du régime, le Collège lui verse, dès la première (1</w:t>
      </w:r>
      <w:r w:rsidRPr="00026EC1">
        <w:rPr>
          <w:vertAlign w:val="superscript"/>
        </w:rPr>
        <w:t>re</w:t>
      </w:r>
      <w:r w:rsidRPr="00026EC1">
        <w:t>) année d</w:t>
      </w:r>
      <w:r w:rsidR="004A41E4" w:rsidRPr="00026EC1">
        <w:t>’</w:t>
      </w:r>
      <w:r w:rsidRPr="00026EC1">
        <w:t xml:space="preserve">imposition suivant la fin du régime, la totalité des </w:t>
      </w:r>
      <w:r w:rsidR="00BA79F8" w:rsidRPr="00026EC1">
        <w:t>montants du traitement différé.</w:t>
      </w:r>
    </w:p>
    <w:p w14:paraId="7CB66118" w14:textId="1639BEAF" w:rsidR="00404F34" w:rsidRPr="00026EC1" w:rsidRDefault="00404F34" w:rsidP="00A64613">
      <w:pPr>
        <w:pStyle w:val="Heading2"/>
        <w:keepNext w:val="0"/>
        <w:ind w:left="2127" w:hanging="2127"/>
      </w:pPr>
      <w:r w:rsidRPr="00026EC1">
        <w:br w:type="page"/>
      </w:r>
      <w:bookmarkStart w:id="507" w:name="_Toc535046609"/>
      <w:bookmarkStart w:id="508" w:name="_Toc133760782"/>
      <w:bookmarkStart w:id="509" w:name="_Toc393444612"/>
      <w:bookmarkStart w:id="510" w:name="_Toc393449563"/>
      <w:bookmarkStart w:id="511" w:name="_Toc393460932"/>
      <w:bookmarkStart w:id="512" w:name="_Toc393461210"/>
      <w:bookmarkStart w:id="513" w:name="_Toc393720771"/>
      <w:bookmarkStart w:id="514" w:name="_Toc393783932"/>
      <w:bookmarkStart w:id="515" w:name="_Toc393784071"/>
      <w:bookmarkStart w:id="516" w:name="_Toc168479525"/>
      <w:r w:rsidRPr="00026EC1">
        <w:t>Article 5</w:t>
      </w:r>
      <w:r w:rsidR="00984A6F">
        <w:t>-</w:t>
      </w:r>
      <w:r w:rsidRPr="00026EC1">
        <w:t>13.00</w:t>
      </w:r>
      <w:r w:rsidR="00C9604C" w:rsidRPr="00026EC1">
        <w:tab/>
      </w:r>
      <w:r w:rsidR="00984A6F">
        <w:t>-</w:t>
      </w:r>
      <w:r w:rsidR="00C9604C" w:rsidRPr="00026EC1">
        <w:tab/>
      </w:r>
      <w:r w:rsidRPr="00026EC1">
        <w:t>Échanges avec une institution d</w:t>
      </w:r>
      <w:r w:rsidR="004A41E4" w:rsidRPr="00026EC1">
        <w:t>’</w:t>
      </w:r>
      <w:r w:rsidRPr="00026EC1">
        <w:t>enseignement hors Québec</w:t>
      </w:r>
      <w:bookmarkEnd w:id="507"/>
      <w:bookmarkEnd w:id="508"/>
      <w:bookmarkEnd w:id="509"/>
      <w:bookmarkEnd w:id="510"/>
      <w:bookmarkEnd w:id="511"/>
      <w:bookmarkEnd w:id="512"/>
      <w:bookmarkEnd w:id="513"/>
      <w:bookmarkEnd w:id="514"/>
      <w:bookmarkEnd w:id="515"/>
      <w:bookmarkEnd w:id="516"/>
    </w:p>
    <w:p w14:paraId="57D2C241" w14:textId="51F89D68" w:rsidR="00404F34" w:rsidRPr="00026EC1" w:rsidRDefault="00404F34" w:rsidP="00A64613">
      <w:pPr>
        <w:pStyle w:val="NUMRODECLAUSE"/>
        <w:keepNext w:val="0"/>
      </w:pPr>
      <w:r w:rsidRPr="00026EC1">
        <w:t>5</w:t>
      </w:r>
      <w:r w:rsidR="00984A6F">
        <w:noBreakHyphen/>
      </w:r>
      <w:r w:rsidRPr="00026EC1">
        <w:t>13.01</w:t>
      </w:r>
    </w:p>
    <w:p w14:paraId="4B731F17" w14:textId="3AA17FD2" w:rsidR="00404F34" w:rsidRPr="00026EC1" w:rsidRDefault="00404F34" w:rsidP="00A64613">
      <w:pPr>
        <w:keepNext w:val="0"/>
      </w:pPr>
      <w:r w:rsidRPr="00026EC1">
        <w:t>Une enseignante ou un enseignant du Collège et une enseignante ou un enseignant d</w:t>
      </w:r>
      <w:r w:rsidR="004A41E4" w:rsidRPr="00026EC1">
        <w:t>’</w:t>
      </w:r>
      <w:r w:rsidRPr="00026EC1">
        <w:t>une institution d</w:t>
      </w:r>
      <w:r w:rsidR="004A41E4" w:rsidRPr="00026EC1">
        <w:t>’</w:t>
      </w:r>
      <w:r w:rsidRPr="00026EC1">
        <w:t>enseignement hors Québec peuvent changer réciproquement d</w:t>
      </w:r>
      <w:r w:rsidR="004A41E4" w:rsidRPr="00026EC1">
        <w:t>’</w:t>
      </w:r>
      <w:r w:rsidRPr="00026EC1">
        <w:t>institution d</w:t>
      </w:r>
      <w:r w:rsidR="004A41E4" w:rsidRPr="00026EC1">
        <w:t>’</w:t>
      </w:r>
      <w:r w:rsidRPr="00026EC1">
        <w:t>enseignement selon les modalités et aux conditions prévues ci</w:t>
      </w:r>
      <w:r w:rsidR="00984A6F">
        <w:noBreakHyphen/>
      </w:r>
      <w:r w:rsidRPr="00026EC1">
        <w:t>après</w:t>
      </w:r>
      <w:r w:rsidR="00D8581B">
        <w:t> :</w:t>
      </w:r>
    </w:p>
    <w:p w14:paraId="1A7C8947" w14:textId="77777777" w:rsidR="00404F34" w:rsidRPr="00026EC1" w:rsidRDefault="00404F34" w:rsidP="00A64613">
      <w:pPr>
        <w:keepNext w:val="0"/>
      </w:pPr>
    </w:p>
    <w:p w14:paraId="36AB2D0E" w14:textId="77777777" w:rsidR="00404F34" w:rsidRPr="00026EC1" w:rsidRDefault="00275751" w:rsidP="00A64613">
      <w:pPr>
        <w:keepNext w:val="0"/>
        <w:tabs>
          <w:tab w:val="left" w:pos="567"/>
        </w:tabs>
        <w:ind w:left="567" w:hanging="567"/>
      </w:pPr>
      <w:r w:rsidRPr="00026EC1">
        <w:t>a)</w:t>
      </w:r>
      <w:r w:rsidRPr="00026EC1">
        <w:tab/>
      </w:r>
      <w:r w:rsidR="00404F34" w:rsidRPr="00026EC1">
        <w:t>l</w:t>
      </w:r>
      <w:r w:rsidR="004A41E4" w:rsidRPr="00026EC1">
        <w:t>’</w:t>
      </w:r>
      <w:r w:rsidR="00404F34" w:rsidRPr="00026EC1">
        <w:t>enseignante ou l</w:t>
      </w:r>
      <w:r w:rsidR="004A41E4" w:rsidRPr="00026EC1">
        <w:t>’</w:t>
      </w:r>
      <w:r w:rsidR="00404F34" w:rsidRPr="00026EC1">
        <w:t>enseignant du Collège doit être permanent et détenteur d</w:t>
      </w:r>
      <w:r w:rsidR="004A41E4" w:rsidRPr="00026EC1">
        <w:t>’</w:t>
      </w:r>
      <w:r w:rsidR="00404F34" w:rsidRPr="00026EC1">
        <w:t>un poste;</w:t>
      </w:r>
    </w:p>
    <w:p w14:paraId="5FEC37C5" w14:textId="77777777" w:rsidR="00404F34" w:rsidRPr="00026EC1" w:rsidRDefault="00404F34" w:rsidP="00A64613">
      <w:pPr>
        <w:keepNext w:val="0"/>
      </w:pPr>
    </w:p>
    <w:p w14:paraId="04245790" w14:textId="77777777" w:rsidR="00404F34" w:rsidRPr="00026EC1" w:rsidRDefault="00275751" w:rsidP="00A64613">
      <w:pPr>
        <w:keepNext w:val="0"/>
        <w:tabs>
          <w:tab w:val="left" w:pos="567"/>
        </w:tabs>
        <w:ind w:left="567" w:hanging="567"/>
      </w:pPr>
      <w:r w:rsidRPr="00026EC1">
        <w:t>b)</w:t>
      </w:r>
      <w:r w:rsidRPr="00026EC1">
        <w:tab/>
      </w:r>
      <w:r w:rsidR="00404F34" w:rsidRPr="00026EC1">
        <w:t>l</w:t>
      </w:r>
      <w:r w:rsidR="004A41E4" w:rsidRPr="00026EC1">
        <w:t>’</w:t>
      </w:r>
      <w:r w:rsidR="00404F34" w:rsidRPr="00026EC1">
        <w:t>échange est d</w:t>
      </w:r>
      <w:r w:rsidR="004A41E4" w:rsidRPr="00026EC1">
        <w:t>’</w:t>
      </w:r>
      <w:r w:rsidR="00404F34" w:rsidRPr="00026EC1">
        <w:t>une durée minimale d</w:t>
      </w:r>
      <w:r w:rsidR="004A41E4" w:rsidRPr="00026EC1">
        <w:t>’</w:t>
      </w:r>
      <w:r w:rsidR="00404F34" w:rsidRPr="00026EC1">
        <w:t>une (1) année d</w:t>
      </w:r>
      <w:r w:rsidR="004A41E4" w:rsidRPr="00026EC1">
        <w:t>’</w:t>
      </w:r>
      <w:r w:rsidR="00404F34" w:rsidRPr="00026EC1">
        <w:t>engagement et d</w:t>
      </w:r>
      <w:r w:rsidR="004A41E4" w:rsidRPr="00026EC1">
        <w:t>’</w:t>
      </w:r>
      <w:r w:rsidR="00404F34" w:rsidRPr="00026EC1">
        <w:t>une durée maximale de deux (2) années d</w:t>
      </w:r>
      <w:r w:rsidR="004A41E4" w:rsidRPr="00026EC1">
        <w:t>’</w:t>
      </w:r>
      <w:r w:rsidR="00404F34" w:rsidRPr="00026EC1">
        <w:t>engagement; le début de l</w:t>
      </w:r>
      <w:r w:rsidR="004A41E4" w:rsidRPr="00026EC1">
        <w:t>’</w:t>
      </w:r>
      <w:r w:rsidR="00404F34" w:rsidRPr="00026EC1">
        <w:t>échange doit coïncider avec le début de l</w:t>
      </w:r>
      <w:r w:rsidR="004A41E4" w:rsidRPr="00026EC1">
        <w:t>’</w:t>
      </w:r>
      <w:r w:rsidR="00404F34" w:rsidRPr="00026EC1">
        <w:t>année d</w:t>
      </w:r>
      <w:r w:rsidR="004A41E4" w:rsidRPr="00026EC1">
        <w:t>’</w:t>
      </w:r>
      <w:r w:rsidR="00404F34" w:rsidRPr="00026EC1">
        <w:t>enseignement et le retour de l</w:t>
      </w:r>
      <w:r w:rsidR="004A41E4" w:rsidRPr="00026EC1">
        <w:t>’</w:t>
      </w:r>
      <w:r w:rsidR="00404F34" w:rsidRPr="00026EC1">
        <w:t>enseignante ou de l</w:t>
      </w:r>
      <w:r w:rsidR="004A41E4" w:rsidRPr="00026EC1">
        <w:t>’</w:t>
      </w:r>
      <w:r w:rsidR="00404F34" w:rsidRPr="00026EC1">
        <w:t>enseignant du Collège doit coïncider avec le début d</w:t>
      </w:r>
      <w:r w:rsidR="004A41E4" w:rsidRPr="00026EC1">
        <w:t>’</w:t>
      </w:r>
      <w:r w:rsidR="00404F34" w:rsidRPr="00026EC1">
        <w:t>une session;</w:t>
      </w:r>
    </w:p>
    <w:p w14:paraId="013FDE5F" w14:textId="77777777" w:rsidR="00404F34" w:rsidRPr="00026EC1" w:rsidRDefault="00404F34" w:rsidP="00A64613">
      <w:pPr>
        <w:keepNext w:val="0"/>
      </w:pPr>
    </w:p>
    <w:p w14:paraId="0A4298B0" w14:textId="77777777" w:rsidR="00404F34" w:rsidRPr="00026EC1" w:rsidRDefault="00275751" w:rsidP="00A64613">
      <w:pPr>
        <w:keepNext w:val="0"/>
        <w:tabs>
          <w:tab w:val="left" w:pos="567"/>
        </w:tabs>
        <w:ind w:left="567" w:hanging="567"/>
      </w:pPr>
      <w:r w:rsidRPr="00026EC1">
        <w:t>c)</w:t>
      </w:r>
      <w:r w:rsidRPr="00026EC1">
        <w:tab/>
      </w:r>
      <w:r w:rsidR="00404F34" w:rsidRPr="00026EC1">
        <w:t>l</w:t>
      </w:r>
      <w:r w:rsidR="004A41E4" w:rsidRPr="00026EC1">
        <w:t>’</w:t>
      </w:r>
      <w:r w:rsidR="00404F34" w:rsidRPr="00026EC1">
        <w:t>enseignante ou l</w:t>
      </w:r>
      <w:r w:rsidR="004A41E4" w:rsidRPr="00026EC1">
        <w:t>’</w:t>
      </w:r>
      <w:r w:rsidR="00404F34" w:rsidRPr="00026EC1">
        <w:t>enseignant fait la demande de l</w:t>
      </w:r>
      <w:r w:rsidR="004A41E4" w:rsidRPr="00026EC1">
        <w:t>’</w:t>
      </w:r>
      <w:r w:rsidR="00404F34" w:rsidRPr="00026EC1">
        <w:t>échange à son Collège, par écrit, avant le 1</w:t>
      </w:r>
      <w:r w:rsidR="00404F34" w:rsidRPr="00026EC1">
        <w:rPr>
          <w:vertAlign w:val="superscript"/>
        </w:rPr>
        <w:t>er </w:t>
      </w:r>
      <w:r w:rsidR="00404F34" w:rsidRPr="00026EC1">
        <w:t>avril précédant l</w:t>
      </w:r>
      <w:r w:rsidR="004A41E4" w:rsidRPr="00026EC1">
        <w:t>’</w:t>
      </w:r>
      <w:r w:rsidR="00404F34" w:rsidRPr="00026EC1">
        <w:t>année de cet échange;</w:t>
      </w:r>
    </w:p>
    <w:p w14:paraId="37E857EE" w14:textId="77777777" w:rsidR="00404F34" w:rsidRPr="00026EC1" w:rsidRDefault="00404F34" w:rsidP="00A64613">
      <w:pPr>
        <w:keepNext w:val="0"/>
      </w:pPr>
    </w:p>
    <w:p w14:paraId="67820915" w14:textId="77777777" w:rsidR="00404F34" w:rsidRPr="00026EC1" w:rsidRDefault="00275751" w:rsidP="00A64613">
      <w:pPr>
        <w:keepNext w:val="0"/>
        <w:tabs>
          <w:tab w:val="left" w:pos="567"/>
        </w:tabs>
        <w:ind w:left="567" w:hanging="567"/>
      </w:pPr>
      <w:r w:rsidRPr="00026EC1">
        <w:t>d)</w:t>
      </w:r>
      <w:r w:rsidRPr="00026EC1">
        <w:tab/>
      </w:r>
      <w:r w:rsidR="00404F34" w:rsidRPr="00026EC1">
        <w:t>le département visé doit transmettre au Collège un avis favorable à ce sujet;</w:t>
      </w:r>
    </w:p>
    <w:p w14:paraId="02A35508" w14:textId="77777777" w:rsidR="00404F34" w:rsidRPr="00026EC1" w:rsidRDefault="00404F34" w:rsidP="00A64613">
      <w:pPr>
        <w:keepNext w:val="0"/>
      </w:pPr>
    </w:p>
    <w:p w14:paraId="4F01C4AF" w14:textId="77777777" w:rsidR="00404F34" w:rsidRPr="00026EC1" w:rsidRDefault="00275751" w:rsidP="00A64613">
      <w:pPr>
        <w:keepNext w:val="0"/>
        <w:tabs>
          <w:tab w:val="left" w:pos="567"/>
        </w:tabs>
        <w:ind w:left="567" w:hanging="567"/>
      </w:pPr>
      <w:r w:rsidRPr="00026EC1">
        <w:t>e)</w:t>
      </w:r>
      <w:r w:rsidRPr="00026EC1">
        <w:tab/>
      </w:r>
      <w:r w:rsidR="00404F34" w:rsidRPr="00026EC1">
        <w:t>le Collège doit donner son accord, par écrit, avant le 1</w:t>
      </w:r>
      <w:r w:rsidR="00404F34" w:rsidRPr="00026EC1">
        <w:rPr>
          <w:vertAlign w:val="superscript"/>
        </w:rPr>
        <w:t>er</w:t>
      </w:r>
      <w:r w:rsidR="00404F34" w:rsidRPr="00026EC1">
        <w:t> mai, après avoir soumis la question au Syndicat conformément aux dispositions de la convention collective.</w:t>
      </w:r>
    </w:p>
    <w:p w14:paraId="11E350EF" w14:textId="77777777" w:rsidR="00404F34" w:rsidRPr="00026EC1" w:rsidRDefault="00404F34" w:rsidP="00A64613">
      <w:pPr>
        <w:keepNext w:val="0"/>
      </w:pPr>
    </w:p>
    <w:p w14:paraId="58A4A5C2" w14:textId="0F638D24" w:rsidR="00404F34" w:rsidRPr="00026EC1" w:rsidRDefault="00404F34" w:rsidP="00A64613">
      <w:pPr>
        <w:pStyle w:val="NUMRODECLAUSE"/>
        <w:keepNext w:val="0"/>
      </w:pPr>
      <w:r w:rsidRPr="00026EC1">
        <w:t>5</w:t>
      </w:r>
      <w:r w:rsidR="00984A6F">
        <w:noBreakHyphen/>
      </w:r>
      <w:r w:rsidRPr="00026EC1">
        <w:t>13.02</w:t>
      </w:r>
    </w:p>
    <w:p w14:paraId="3F77E183" w14:textId="10E5D46A" w:rsidR="00404F34" w:rsidRPr="00026EC1" w:rsidRDefault="00404F34" w:rsidP="00A64613">
      <w:pPr>
        <w:keepNext w:val="0"/>
      </w:pPr>
      <w:r w:rsidRPr="00026EC1">
        <w:t>L</w:t>
      </w:r>
      <w:r w:rsidR="004A41E4" w:rsidRPr="00026EC1">
        <w:t>’</w:t>
      </w:r>
      <w:r w:rsidRPr="00026EC1">
        <w:t>enseignante ou l</w:t>
      </w:r>
      <w:r w:rsidR="004A41E4" w:rsidRPr="00026EC1">
        <w:t>’</w:t>
      </w:r>
      <w:r w:rsidRPr="00026EC1">
        <w:t xml:space="preserve">enseignant du </w:t>
      </w:r>
      <w:r w:rsidR="004B68D9" w:rsidRPr="00026EC1">
        <w:t>C</w:t>
      </w:r>
      <w:r w:rsidRPr="00026EC1">
        <w:t>ollège est couvert pendant la durée de l</w:t>
      </w:r>
      <w:r w:rsidR="004A41E4" w:rsidRPr="00026EC1">
        <w:t>’</w:t>
      </w:r>
      <w:r w:rsidRPr="00026EC1">
        <w:t>échange par les dispositions suivantes</w:t>
      </w:r>
      <w:r w:rsidR="00D8581B">
        <w:t> :</w:t>
      </w:r>
    </w:p>
    <w:p w14:paraId="751336DA" w14:textId="77777777" w:rsidR="00404F34" w:rsidRPr="00026EC1" w:rsidRDefault="00404F34" w:rsidP="00A64613">
      <w:pPr>
        <w:keepNext w:val="0"/>
      </w:pPr>
    </w:p>
    <w:p w14:paraId="7D2C4858" w14:textId="77777777" w:rsidR="00404F34" w:rsidRPr="00026EC1" w:rsidRDefault="00275751" w:rsidP="00A64613">
      <w:pPr>
        <w:keepNext w:val="0"/>
        <w:tabs>
          <w:tab w:val="left" w:pos="567"/>
        </w:tabs>
        <w:ind w:left="567" w:hanging="567"/>
      </w:pPr>
      <w:r w:rsidRPr="00026EC1">
        <w:t>a)</w:t>
      </w:r>
      <w:r w:rsidRPr="00026EC1">
        <w:tab/>
      </w:r>
      <w:r w:rsidR="00404F34" w:rsidRPr="00026EC1">
        <w:t>à moins de stipulation expresse à l</w:t>
      </w:r>
      <w:r w:rsidR="004A41E4" w:rsidRPr="00026EC1">
        <w:t>’</w:t>
      </w:r>
      <w:r w:rsidR="00404F34" w:rsidRPr="00026EC1">
        <w:t>effet contraire, l</w:t>
      </w:r>
      <w:r w:rsidR="004A41E4" w:rsidRPr="00026EC1">
        <w:t>’</w:t>
      </w:r>
      <w:r w:rsidR="00404F34" w:rsidRPr="00026EC1">
        <w:t>échange avec une institution d</w:t>
      </w:r>
      <w:r w:rsidR="004A41E4" w:rsidRPr="00026EC1">
        <w:t>’</w:t>
      </w:r>
      <w:r w:rsidR="00404F34" w:rsidRPr="00026EC1">
        <w:t>enseignement hors Québec ne peut avoir pour effet de modifier les droits et avantages que procure une année d</w:t>
      </w:r>
      <w:r w:rsidR="004A41E4" w:rsidRPr="00026EC1">
        <w:t>’</w:t>
      </w:r>
      <w:r w:rsidR="00404F34" w:rsidRPr="00026EC1">
        <w:t>enseignement;</w:t>
      </w:r>
    </w:p>
    <w:p w14:paraId="26E0619D" w14:textId="77777777" w:rsidR="00404F34" w:rsidRPr="00026EC1" w:rsidRDefault="00404F34" w:rsidP="00A64613">
      <w:pPr>
        <w:keepNext w:val="0"/>
      </w:pPr>
    </w:p>
    <w:p w14:paraId="090D9171" w14:textId="6B0B3DC7" w:rsidR="00404F34" w:rsidRPr="00026EC1" w:rsidRDefault="00275751" w:rsidP="00A64613">
      <w:pPr>
        <w:keepNext w:val="0"/>
        <w:tabs>
          <w:tab w:val="left" w:pos="567"/>
        </w:tabs>
        <w:ind w:left="567" w:hanging="567"/>
      </w:pPr>
      <w:r w:rsidRPr="00026EC1">
        <w:t>b)</w:t>
      </w:r>
      <w:r w:rsidRPr="00026EC1">
        <w:tab/>
      </w:r>
      <w:r w:rsidR="00404F34" w:rsidRPr="00026EC1">
        <w:t>toutefois, l</w:t>
      </w:r>
      <w:r w:rsidR="004A41E4" w:rsidRPr="00026EC1">
        <w:t>’</w:t>
      </w:r>
      <w:r w:rsidR="00404F34" w:rsidRPr="00026EC1">
        <w:t>enseignante ou l</w:t>
      </w:r>
      <w:r w:rsidR="004A41E4" w:rsidRPr="00026EC1">
        <w:t>’</w:t>
      </w:r>
      <w:r w:rsidR="00404F34" w:rsidRPr="00026EC1">
        <w:t>enseignant ne reçoit du Collège aucun traitement au regard de la période de l</w:t>
      </w:r>
      <w:r w:rsidR="004A41E4" w:rsidRPr="00026EC1">
        <w:t>’</w:t>
      </w:r>
      <w:r w:rsidR="00404F34" w:rsidRPr="00026EC1">
        <w:t>échange et son expérience est reconnue conformément à l</w:t>
      </w:r>
      <w:r w:rsidR="004A41E4" w:rsidRPr="00026EC1">
        <w:t>’</w:t>
      </w:r>
      <w:r w:rsidR="00404F34" w:rsidRPr="00026EC1">
        <w:t>article 6</w:t>
      </w:r>
      <w:r w:rsidR="00984A6F">
        <w:noBreakHyphen/>
      </w:r>
      <w:r w:rsidR="00404F34" w:rsidRPr="00026EC1">
        <w:t>2.00;</w:t>
      </w:r>
    </w:p>
    <w:p w14:paraId="68914183" w14:textId="77777777" w:rsidR="00404F34" w:rsidRPr="00026EC1" w:rsidRDefault="00404F34" w:rsidP="00A64613">
      <w:pPr>
        <w:keepNext w:val="0"/>
      </w:pPr>
    </w:p>
    <w:p w14:paraId="278B37E7" w14:textId="73C53742" w:rsidR="00404F34" w:rsidRPr="00026EC1" w:rsidRDefault="00275751" w:rsidP="00A64613">
      <w:pPr>
        <w:keepNext w:val="0"/>
        <w:tabs>
          <w:tab w:val="left" w:pos="567"/>
        </w:tabs>
        <w:ind w:left="567" w:hanging="567"/>
      </w:pPr>
      <w:r w:rsidRPr="00026EC1">
        <w:t>c)</w:t>
      </w:r>
      <w:r w:rsidRPr="00026EC1">
        <w:tab/>
      </w:r>
      <w:r w:rsidR="00404F34" w:rsidRPr="00026EC1">
        <w:t>pendant la durée de l</w:t>
      </w:r>
      <w:r w:rsidR="004A41E4" w:rsidRPr="00026EC1">
        <w:t>’</w:t>
      </w:r>
      <w:r w:rsidR="00404F34" w:rsidRPr="00026EC1">
        <w:t>échange, l</w:t>
      </w:r>
      <w:r w:rsidR="004A41E4" w:rsidRPr="00026EC1">
        <w:t>’</w:t>
      </w:r>
      <w:r w:rsidR="00404F34" w:rsidRPr="00026EC1">
        <w:t>enseignante ou l</w:t>
      </w:r>
      <w:r w:rsidR="004A41E4" w:rsidRPr="00026EC1">
        <w:t>’</w:t>
      </w:r>
      <w:r w:rsidR="00404F34" w:rsidRPr="00026EC1">
        <w:t>enseignant est considéré en congé sans salaire aux fins de la participation au régime d</w:t>
      </w:r>
      <w:r w:rsidR="004A41E4" w:rsidRPr="00026EC1">
        <w:t>’</w:t>
      </w:r>
      <w:r w:rsidR="00404F34" w:rsidRPr="00026EC1">
        <w:t>assurance</w:t>
      </w:r>
      <w:r w:rsidR="00984A6F">
        <w:noBreakHyphen/>
      </w:r>
      <w:r w:rsidR="00404F34" w:rsidRPr="00026EC1">
        <w:t>maladie et les modalités des clauses 5</w:t>
      </w:r>
      <w:r w:rsidR="00984A6F">
        <w:noBreakHyphen/>
      </w:r>
      <w:r w:rsidR="00404F34" w:rsidRPr="00026EC1">
        <w:t>5.01 et 5</w:t>
      </w:r>
      <w:r w:rsidR="00984A6F">
        <w:noBreakHyphen/>
      </w:r>
      <w:r w:rsidR="00404F34" w:rsidRPr="00026EC1">
        <w:t>5.15 s</w:t>
      </w:r>
      <w:r w:rsidR="004A41E4" w:rsidRPr="00026EC1">
        <w:t>’</w:t>
      </w:r>
      <w:r w:rsidR="00404F34" w:rsidRPr="00026EC1">
        <w:t>appliquent;</w:t>
      </w:r>
    </w:p>
    <w:p w14:paraId="22EC4F51" w14:textId="77777777" w:rsidR="00404F34" w:rsidRPr="00026EC1" w:rsidRDefault="00404F34" w:rsidP="00A64613">
      <w:pPr>
        <w:keepNext w:val="0"/>
      </w:pPr>
    </w:p>
    <w:p w14:paraId="5EABAB51" w14:textId="5FB2C4D6" w:rsidR="00404F34" w:rsidRPr="00026EC1" w:rsidRDefault="00275751" w:rsidP="00A64613">
      <w:pPr>
        <w:keepNext w:val="0"/>
        <w:tabs>
          <w:tab w:val="left" w:pos="567"/>
        </w:tabs>
        <w:ind w:left="567" w:hanging="567"/>
      </w:pPr>
      <w:r w:rsidRPr="00026EC1">
        <w:t>d)</w:t>
      </w:r>
      <w:r w:rsidRPr="00026EC1">
        <w:tab/>
      </w:r>
      <w:r w:rsidR="00404F34" w:rsidRPr="00026EC1">
        <w:t>pour continuer de bénéficier durant la durée de l</w:t>
      </w:r>
      <w:r w:rsidR="004A41E4" w:rsidRPr="00026EC1">
        <w:t>’</w:t>
      </w:r>
      <w:r w:rsidR="00404F34" w:rsidRPr="00026EC1">
        <w:t>échange des avantages découlant des autres régimes d</w:t>
      </w:r>
      <w:r w:rsidR="004A41E4" w:rsidRPr="00026EC1">
        <w:t>’</w:t>
      </w:r>
      <w:r w:rsidR="00404F34" w:rsidRPr="00026EC1">
        <w:t>assurances ou des régimes de retraite, l</w:t>
      </w:r>
      <w:r w:rsidR="004A41E4" w:rsidRPr="00026EC1">
        <w:t>’</w:t>
      </w:r>
      <w:r w:rsidR="00404F34" w:rsidRPr="00026EC1">
        <w:t>enseignante ou l</w:t>
      </w:r>
      <w:r w:rsidR="004A41E4" w:rsidRPr="00026EC1">
        <w:t>’</w:t>
      </w:r>
      <w:r w:rsidR="00404F34" w:rsidRPr="00026EC1">
        <w:t>enseignant en assume le coût, à la condition que les contrats</w:t>
      </w:r>
      <w:r w:rsidR="00984A6F">
        <w:noBreakHyphen/>
      </w:r>
      <w:r w:rsidR="00404F34" w:rsidRPr="00026EC1">
        <w:t>cadres ou les régimes le permettent;</w:t>
      </w:r>
    </w:p>
    <w:p w14:paraId="7AD83AE8" w14:textId="77777777" w:rsidR="00404F34" w:rsidRPr="00026EC1" w:rsidRDefault="00404F34" w:rsidP="00A64613">
      <w:pPr>
        <w:keepNext w:val="0"/>
      </w:pPr>
    </w:p>
    <w:p w14:paraId="5458D97B" w14:textId="41FE4537" w:rsidR="00404F34" w:rsidRDefault="00275751" w:rsidP="00A64613">
      <w:pPr>
        <w:keepNext w:val="0"/>
        <w:tabs>
          <w:tab w:val="left" w:pos="567"/>
        </w:tabs>
        <w:ind w:left="567" w:hanging="567"/>
      </w:pPr>
      <w:r w:rsidRPr="00026EC1">
        <w:t>e)</w:t>
      </w:r>
      <w:r w:rsidRPr="00026EC1">
        <w:tab/>
      </w:r>
      <w:r w:rsidR="00404F34" w:rsidRPr="00026EC1">
        <w:t>lorsque l</w:t>
      </w:r>
      <w:r w:rsidR="004A41E4" w:rsidRPr="00026EC1">
        <w:t>’</w:t>
      </w:r>
      <w:r w:rsidR="00404F34" w:rsidRPr="00026EC1">
        <w:t>enseignante ou l</w:t>
      </w:r>
      <w:r w:rsidR="004A41E4" w:rsidRPr="00026EC1">
        <w:t>’</w:t>
      </w:r>
      <w:r w:rsidR="00404F34" w:rsidRPr="00026EC1">
        <w:t>enseignant est mis en disponibilité pendant la durée de l</w:t>
      </w:r>
      <w:r w:rsidR="004A41E4" w:rsidRPr="00026EC1">
        <w:t>’</w:t>
      </w:r>
      <w:r w:rsidR="00404F34" w:rsidRPr="00026EC1">
        <w:t>échange, le Collège met fin à l</w:t>
      </w:r>
      <w:r w:rsidR="004A41E4" w:rsidRPr="00026EC1">
        <w:t>’</w:t>
      </w:r>
      <w:r w:rsidR="00404F34" w:rsidRPr="00026EC1">
        <w:t>échange à la fin de l</w:t>
      </w:r>
      <w:r w:rsidR="004A41E4" w:rsidRPr="00026EC1">
        <w:t>’</w:t>
      </w:r>
      <w:r w:rsidR="00404F34" w:rsidRPr="00026EC1">
        <w:t>année d</w:t>
      </w:r>
      <w:r w:rsidR="004A41E4" w:rsidRPr="00026EC1">
        <w:t>’</w:t>
      </w:r>
      <w:r w:rsidR="00404F34" w:rsidRPr="00026EC1">
        <w:t>engagement où la mise en disponibilité est signifiée.</w:t>
      </w:r>
    </w:p>
    <w:p w14:paraId="52B21A49" w14:textId="77777777" w:rsidR="00A33FA9" w:rsidRDefault="00A33FA9" w:rsidP="00A64613">
      <w:pPr>
        <w:keepNext w:val="0"/>
        <w:tabs>
          <w:tab w:val="left" w:pos="567"/>
        </w:tabs>
        <w:ind w:left="567" w:hanging="567"/>
      </w:pPr>
    </w:p>
    <w:p w14:paraId="6F9C1F9E" w14:textId="02FE3F6C" w:rsidR="00404F34" w:rsidRPr="00026EC1" w:rsidRDefault="00404F34" w:rsidP="00A64613">
      <w:pPr>
        <w:pStyle w:val="NUMRODECLAUSE"/>
        <w:keepNext w:val="0"/>
      </w:pPr>
      <w:r w:rsidRPr="00026EC1">
        <w:t>5</w:t>
      </w:r>
      <w:r w:rsidR="00984A6F">
        <w:noBreakHyphen/>
      </w:r>
      <w:r w:rsidRPr="00026EC1">
        <w:t>13.03</w:t>
      </w:r>
    </w:p>
    <w:p w14:paraId="5375EBBB" w14:textId="0D0E2538"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de l</w:t>
      </w:r>
      <w:r w:rsidR="004A41E4" w:rsidRPr="00026EC1">
        <w:t>’</w:t>
      </w:r>
      <w:r w:rsidRPr="00026EC1">
        <w:t>institution d</w:t>
      </w:r>
      <w:r w:rsidR="004A41E4" w:rsidRPr="00026EC1">
        <w:t>’</w:t>
      </w:r>
      <w:r w:rsidRPr="00026EC1">
        <w:t>enseignement hors Québec est couvert par la convention collective pendant la période que dure l</w:t>
      </w:r>
      <w:r w:rsidR="004A41E4" w:rsidRPr="00026EC1">
        <w:t>’</w:t>
      </w:r>
      <w:r w:rsidRPr="00026EC1">
        <w:t>échange, à l</w:t>
      </w:r>
      <w:r w:rsidR="004A41E4" w:rsidRPr="00026EC1">
        <w:t>’</w:t>
      </w:r>
      <w:r w:rsidRPr="00026EC1">
        <w:t>exclusion des articles 5</w:t>
      </w:r>
      <w:r w:rsidR="00984A6F">
        <w:noBreakHyphen/>
      </w:r>
      <w:r w:rsidRPr="00026EC1">
        <w:t>2.00, 5</w:t>
      </w:r>
      <w:r w:rsidR="00984A6F">
        <w:noBreakHyphen/>
      </w:r>
      <w:r w:rsidRPr="00026EC1">
        <w:t>3.00 et 5</w:t>
      </w:r>
      <w:r w:rsidR="00984A6F">
        <w:noBreakHyphen/>
      </w:r>
      <w:r w:rsidRPr="00026EC1">
        <w:t>4.00 qui ne s</w:t>
      </w:r>
      <w:r w:rsidR="004A41E4" w:rsidRPr="00026EC1">
        <w:t>’</w:t>
      </w:r>
      <w:r w:rsidRPr="00026EC1">
        <w:t>appliquent pas.</w:t>
      </w:r>
    </w:p>
    <w:p w14:paraId="6DE13E2C" w14:textId="77777777" w:rsidR="00404F34" w:rsidRPr="00026EC1" w:rsidRDefault="00404F34" w:rsidP="00A64613">
      <w:pPr>
        <w:keepNext w:val="0"/>
      </w:pPr>
    </w:p>
    <w:p w14:paraId="751B04A2" w14:textId="5FD9AFE4" w:rsidR="00404F34" w:rsidRPr="00026EC1" w:rsidRDefault="00404F34" w:rsidP="00A64613">
      <w:pPr>
        <w:pStyle w:val="NUMRODECLAUSE"/>
        <w:keepNext w:val="0"/>
      </w:pPr>
      <w:r w:rsidRPr="00026EC1">
        <w:t>5</w:t>
      </w:r>
      <w:r w:rsidR="00984A6F">
        <w:noBreakHyphen/>
      </w:r>
      <w:r w:rsidRPr="00026EC1">
        <w:t>13.04</w:t>
      </w:r>
    </w:p>
    <w:p w14:paraId="288DB55C" w14:textId="77777777" w:rsidR="00404F34" w:rsidRPr="00026EC1" w:rsidRDefault="00404F34" w:rsidP="00A64613">
      <w:pPr>
        <w:keepNext w:val="0"/>
      </w:pPr>
      <w:r w:rsidRPr="00026EC1">
        <w:t>À moins d</w:t>
      </w:r>
      <w:r w:rsidR="004A41E4" w:rsidRPr="00026EC1">
        <w:t>’</w:t>
      </w:r>
      <w:r w:rsidRPr="00026EC1">
        <w:t>entente entre les parties, les frais de déménagement encourus lors d</w:t>
      </w:r>
      <w:r w:rsidR="004A41E4" w:rsidRPr="00026EC1">
        <w:t>’</w:t>
      </w:r>
      <w:r w:rsidRPr="00026EC1">
        <w:t>un tel échange sont à la charge de l</w:t>
      </w:r>
      <w:r w:rsidR="004A41E4" w:rsidRPr="00026EC1">
        <w:t>’</w:t>
      </w:r>
      <w:r w:rsidRPr="00026EC1">
        <w:t>enseignante ou de l</w:t>
      </w:r>
      <w:r w:rsidR="004A41E4" w:rsidRPr="00026EC1">
        <w:t>’</w:t>
      </w:r>
      <w:r w:rsidRPr="00026EC1">
        <w:t>enseignant.</w:t>
      </w:r>
    </w:p>
    <w:p w14:paraId="5F7363A9" w14:textId="77777777" w:rsidR="00404F34" w:rsidRPr="00026EC1" w:rsidRDefault="00404F34" w:rsidP="00A64613">
      <w:pPr>
        <w:keepNext w:val="0"/>
      </w:pPr>
    </w:p>
    <w:p w14:paraId="68C3310B" w14:textId="0082BAB1" w:rsidR="00404F34" w:rsidRPr="00026EC1" w:rsidRDefault="00404F34" w:rsidP="00A64613">
      <w:pPr>
        <w:pStyle w:val="NUMRODECLAUSE"/>
        <w:keepNext w:val="0"/>
      </w:pPr>
      <w:r w:rsidRPr="00026EC1">
        <w:t>5</w:t>
      </w:r>
      <w:r w:rsidR="00984A6F">
        <w:noBreakHyphen/>
      </w:r>
      <w:r w:rsidRPr="00026EC1">
        <w:t>13.05</w:t>
      </w:r>
    </w:p>
    <w:p w14:paraId="233D6D5B" w14:textId="77777777" w:rsidR="00404F34" w:rsidRPr="00026EC1" w:rsidRDefault="00404F34" w:rsidP="00A64613">
      <w:pPr>
        <w:keepNext w:val="0"/>
      </w:pPr>
      <w:r w:rsidRPr="00026EC1">
        <w:t>Après avoir soumis la question au Syndicat conformément aux dispositions de la convention collective, le Collège peut mettre fin à un tel échange à la fin d</w:t>
      </w:r>
      <w:r w:rsidR="004A41E4" w:rsidRPr="00026EC1">
        <w:t>’</w:t>
      </w:r>
      <w:r w:rsidRPr="00026EC1">
        <w:t>une session, sur avis d</w:t>
      </w:r>
      <w:r w:rsidR="004A41E4" w:rsidRPr="00026EC1">
        <w:t>’</w:t>
      </w:r>
      <w:r w:rsidR="00BA79F8" w:rsidRPr="00026EC1">
        <w:t>un (1) mois à cet effet.</w:t>
      </w:r>
    </w:p>
    <w:p w14:paraId="0699074A" w14:textId="73414364" w:rsidR="00404F34" w:rsidRPr="00026EC1" w:rsidRDefault="00404F34" w:rsidP="00A64613">
      <w:pPr>
        <w:pStyle w:val="Heading2"/>
        <w:keepNext w:val="0"/>
        <w:ind w:left="2127" w:hanging="2127"/>
      </w:pPr>
      <w:r w:rsidRPr="00026EC1">
        <w:br w:type="page"/>
      </w:r>
      <w:bookmarkStart w:id="517" w:name="_Toc535046610"/>
      <w:bookmarkStart w:id="518" w:name="_Toc133760783"/>
      <w:bookmarkStart w:id="519" w:name="_Toc393444613"/>
      <w:bookmarkStart w:id="520" w:name="_Toc393449564"/>
      <w:bookmarkStart w:id="521" w:name="_Toc393460933"/>
      <w:bookmarkStart w:id="522" w:name="_Toc393461211"/>
      <w:bookmarkStart w:id="523" w:name="_Toc393720772"/>
      <w:bookmarkStart w:id="524" w:name="_Toc393783933"/>
      <w:bookmarkStart w:id="525" w:name="_Toc393784072"/>
      <w:bookmarkStart w:id="526" w:name="_Toc168479526"/>
      <w:r w:rsidRPr="00026EC1">
        <w:t>Article 5</w:t>
      </w:r>
      <w:r w:rsidR="00984A6F">
        <w:t>-</w:t>
      </w:r>
      <w:r w:rsidRPr="00026EC1">
        <w:t>14.00</w:t>
      </w:r>
      <w:r w:rsidR="00C9604C" w:rsidRPr="00026EC1">
        <w:tab/>
      </w:r>
      <w:r w:rsidR="00984A6F">
        <w:t>-</w:t>
      </w:r>
      <w:r w:rsidR="00C9604C" w:rsidRPr="00026EC1">
        <w:tab/>
      </w:r>
      <w:r w:rsidRPr="00026EC1">
        <w:t>Programme volontaire de réduction du temps de travail</w:t>
      </w:r>
      <w:bookmarkEnd w:id="517"/>
      <w:bookmarkEnd w:id="518"/>
      <w:bookmarkEnd w:id="519"/>
      <w:bookmarkEnd w:id="520"/>
      <w:bookmarkEnd w:id="521"/>
      <w:bookmarkEnd w:id="522"/>
      <w:bookmarkEnd w:id="523"/>
      <w:bookmarkEnd w:id="524"/>
      <w:bookmarkEnd w:id="525"/>
      <w:bookmarkEnd w:id="526"/>
    </w:p>
    <w:p w14:paraId="5E28E3C7" w14:textId="1CF24D93" w:rsidR="00404F34" w:rsidRPr="00026EC1" w:rsidRDefault="00404F34" w:rsidP="00A64613">
      <w:pPr>
        <w:pStyle w:val="NUMRODECLAUSE"/>
        <w:keepNext w:val="0"/>
      </w:pPr>
      <w:r w:rsidRPr="00026EC1">
        <w:t>5</w:t>
      </w:r>
      <w:r w:rsidR="00984A6F">
        <w:noBreakHyphen/>
      </w:r>
      <w:r w:rsidRPr="00026EC1">
        <w:t>14.01</w:t>
      </w:r>
    </w:p>
    <w:p w14:paraId="61B7418D" w14:textId="61156352" w:rsidR="00404F34" w:rsidRPr="00026EC1" w:rsidRDefault="00404F34" w:rsidP="00A64613">
      <w:pPr>
        <w:keepNext w:val="0"/>
      </w:pPr>
      <w:r w:rsidRPr="00026EC1">
        <w:t>Le programme volontaire de réduction du temps de travail a pour effet de permettre la réduction de la charge d</w:t>
      </w:r>
      <w:r w:rsidR="004A41E4" w:rsidRPr="00026EC1">
        <w:t>’</w:t>
      </w:r>
      <w:r w:rsidRPr="00026EC1">
        <w:t>enseignement qu</w:t>
      </w:r>
      <w:r w:rsidR="004A41E4" w:rsidRPr="00026EC1">
        <w:t>’</w:t>
      </w:r>
      <w:r w:rsidRPr="00026EC1">
        <w:t>accomplit une enseignante ou un enseignant à temps complet. La charge annuelle d</w:t>
      </w:r>
      <w:r w:rsidR="004A41E4" w:rsidRPr="00026EC1">
        <w:t>’</w:t>
      </w:r>
      <w:r w:rsidRPr="00026EC1">
        <w:t>enseignement de l</w:t>
      </w:r>
      <w:r w:rsidR="004A41E4" w:rsidRPr="00026EC1">
        <w:t>’</w:t>
      </w:r>
      <w:r w:rsidRPr="00026EC1">
        <w:t>enseignante ou de l</w:t>
      </w:r>
      <w:r w:rsidR="004A41E4" w:rsidRPr="00026EC1">
        <w:t>’</w:t>
      </w:r>
      <w:r w:rsidRPr="00026EC1">
        <w:t>enseignant participant au programme ne peut être inférieure à zéro virgule quatre (0,4) ETC ou supérieure à zéro virgule neuf (0,9) ETC. Cependant, si la réduction de la charge d</w:t>
      </w:r>
      <w:r w:rsidR="004A41E4" w:rsidRPr="00026EC1">
        <w:t>’</w:t>
      </w:r>
      <w:r w:rsidRPr="00026EC1">
        <w:t>enseignement ne vise qu</w:t>
      </w:r>
      <w:r w:rsidR="004A41E4" w:rsidRPr="00026EC1">
        <w:t>’</w:t>
      </w:r>
      <w:r w:rsidRPr="00026EC1">
        <w:t>une seule session, la charge d</w:t>
      </w:r>
      <w:r w:rsidR="004A41E4" w:rsidRPr="00026EC1">
        <w:t>’</w:t>
      </w:r>
      <w:r w:rsidRPr="00026EC1">
        <w:t>enseignement</w:t>
      </w:r>
      <w:r w:rsidRPr="000F4A46">
        <w:t xml:space="preserve"> </w:t>
      </w:r>
      <w:r w:rsidRPr="00026EC1">
        <w:t>pour cette session</w:t>
      </w:r>
      <w:r w:rsidR="000F4A46">
        <w:t xml:space="preserve"> </w:t>
      </w:r>
      <w:r w:rsidR="000F4A46" w:rsidRPr="00316277">
        <w:t>ne peut être supérieure à quatre-vingts pour cent (80 %) d’une pleine charge session</w:t>
      </w:r>
      <w:r w:rsidRPr="00026EC1">
        <w:t>.</w:t>
      </w:r>
    </w:p>
    <w:p w14:paraId="4E5AAC84" w14:textId="77777777" w:rsidR="00404F34" w:rsidRPr="00026EC1" w:rsidRDefault="00404F34" w:rsidP="00A64613">
      <w:pPr>
        <w:keepNext w:val="0"/>
      </w:pPr>
    </w:p>
    <w:p w14:paraId="07992C2F" w14:textId="2DD214C4" w:rsidR="00404F34" w:rsidRPr="00026EC1" w:rsidRDefault="00404F34" w:rsidP="00A64613">
      <w:pPr>
        <w:pStyle w:val="NUMRODECLAUSE"/>
        <w:keepNext w:val="0"/>
      </w:pPr>
      <w:r w:rsidRPr="00026EC1">
        <w:t>5</w:t>
      </w:r>
      <w:r w:rsidR="00984A6F">
        <w:noBreakHyphen/>
      </w:r>
      <w:r w:rsidRPr="00026EC1">
        <w:t>14.02</w:t>
      </w:r>
    </w:p>
    <w:p w14:paraId="1A40AD97" w14:textId="77777777" w:rsidR="00404F34" w:rsidRPr="00026EC1" w:rsidRDefault="00404F34" w:rsidP="00A64613">
      <w:pPr>
        <w:keepNext w:val="0"/>
      </w:pPr>
      <w:r w:rsidRPr="00026EC1">
        <w:t>La participation à ce programme de réduction du temps de travail est volontaire.</w:t>
      </w:r>
    </w:p>
    <w:p w14:paraId="3E503B45" w14:textId="77777777" w:rsidR="00404F34" w:rsidRPr="00026EC1" w:rsidRDefault="00404F34" w:rsidP="00A64613">
      <w:pPr>
        <w:keepNext w:val="0"/>
      </w:pPr>
    </w:p>
    <w:p w14:paraId="26FE8F7F" w14:textId="3A82D856" w:rsidR="00404F34" w:rsidRPr="00026EC1" w:rsidRDefault="00404F34" w:rsidP="00A64613">
      <w:pPr>
        <w:pStyle w:val="NUMRODECLAUSE"/>
        <w:keepNext w:val="0"/>
      </w:pPr>
      <w:r w:rsidRPr="00026EC1">
        <w:t>5</w:t>
      </w:r>
      <w:r w:rsidR="00984A6F">
        <w:noBreakHyphen/>
      </w:r>
      <w:r w:rsidRPr="00026EC1">
        <w:t>14.03</w:t>
      </w:r>
      <w:r w:rsidR="000457D7">
        <w:t> </w:t>
      </w:r>
      <w:r w:rsidRPr="008A5719">
        <w:rPr>
          <w:u w:val="single"/>
        </w:rPr>
        <w:t>Admissibilité</w:t>
      </w:r>
    </w:p>
    <w:p w14:paraId="0ED3D547"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est admissible au programme volontaire de réduction du temps de travail si elle ou il a au moins trois (3) années d</w:t>
      </w:r>
      <w:r w:rsidR="004A41E4" w:rsidRPr="00026EC1">
        <w:t>’</w:t>
      </w:r>
      <w:r w:rsidRPr="00026EC1">
        <w:t>ancienneté.</w:t>
      </w:r>
    </w:p>
    <w:p w14:paraId="6FA9CBF9" w14:textId="77777777" w:rsidR="00404F34" w:rsidRPr="00026EC1" w:rsidRDefault="00404F34" w:rsidP="00A64613">
      <w:pPr>
        <w:keepNext w:val="0"/>
      </w:pPr>
    </w:p>
    <w:p w14:paraId="6002FEB9" w14:textId="77777777" w:rsidR="00404F34" w:rsidRPr="00026EC1" w:rsidRDefault="00404F34" w:rsidP="00A64613">
      <w:pPr>
        <w:keepNext w:val="0"/>
      </w:pPr>
      <w:r w:rsidRPr="00026EC1">
        <w:t>Toutefois, l</w:t>
      </w:r>
      <w:r w:rsidR="004A41E4" w:rsidRPr="00026EC1">
        <w:t>’</w:t>
      </w:r>
      <w:r w:rsidRPr="00026EC1">
        <w:t>enseignante ou l</w:t>
      </w:r>
      <w:r w:rsidR="004A41E4" w:rsidRPr="00026EC1">
        <w:t>’</w:t>
      </w:r>
      <w:r w:rsidRPr="00026EC1">
        <w:t>enseignant non permanent est admissible au programme volontaire de réduction du temps de travail si elle ou il détient une charge d</w:t>
      </w:r>
      <w:r w:rsidR="004A41E4" w:rsidRPr="00026EC1">
        <w:t>’</w:t>
      </w:r>
      <w:r w:rsidRPr="00026EC1">
        <w:t>enseignement à temps complet pour l</w:t>
      </w:r>
      <w:r w:rsidR="004A41E4" w:rsidRPr="00026EC1">
        <w:t>’</w:t>
      </w:r>
      <w:r w:rsidRPr="00026EC1">
        <w:t>année où elle ou il désire participer au programme.</w:t>
      </w:r>
    </w:p>
    <w:p w14:paraId="6DF2F55E" w14:textId="77777777" w:rsidR="00404F34" w:rsidRPr="00026EC1" w:rsidRDefault="00404F34" w:rsidP="00A64613">
      <w:pPr>
        <w:keepNext w:val="0"/>
      </w:pPr>
    </w:p>
    <w:p w14:paraId="1CBC0226" w14:textId="75A5CF94" w:rsidR="00404F34" w:rsidRPr="00026EC1" w:rsidRDefault="00404F34" w:rsidP="00A64613">
      <w:pPr>
        <w:pStyle w:val="NUMRODECLAUSE"/>
        <w:keepNext w:val="0"/>
      </w:pPr>
      <w:r w:rsidRPr="00026EC1">
        <w:t>5</w:t>
      </w:r>
      <w:r w:rsidR="00984A6F">
        <w:noBreakHyphen/>
      </w:r>
      <w:r w:rsidRPr="00026EC1">
        <w:t>14.04</w:t>
      </w:r>
      <w:r w:rsidRPr="00026EC1">
        <w:tab/>
      </w:r>
      <w:r w:rsidRPr="008A5719">
        <w:rPr>
          <w:u w:val="single"/>
        </w:rPr>
        <w:t>Participation au programme</w:t>
      </w:r>
    </w:p>
    <w:p w14:paraId="73AB2DF7"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désire participer au programme volontaire de réduction du temps de travail en fait la demande, par écrit, au plus tard le 15 mai pour une participation à la session automne, et au plus tard le 15 novembre, pour une participation à la session hiver.</w:t>
      </w:r>
    </w:p>
    <w:p w14:paraId="090F457C" w14:textId="77777777" w:rsidR="00404F34" w:rsidRPr="00026EC1" w:rsidRDefault="00404F34" w:rsidP="00A64613">
      <w:pPr>
        <w:keepNext w:val="0"/>
      </w:pPr>
    </w:p>
    <w:p w14:paraId="29E95720" w14:textId="65C74896" w:rsidR="00404F34" w:rsidRPr="00026EC1" w:rsidRDefault="00404F34" w:rsidP="00A64613">
      <w:pPr>
        <w:pStyle w:val="NUMRODECLAUSE"/>
        <w:keepNext w:val="0"/>
      </w:pPr>
      <w:r w:rsidRPr="00026EC1">
        <w:t>5</w:t>
      </w:r>
      <w:r w:rsidR="00984A6F">
        <w:noBreakHyphen/>
      </w:r>
      <w:r w:rsidRPr="00026EC1">
        <w:t>14.05</w:t>
      </w:r>
    </w:p>
    <w:p w14:paraId="77C03F7D" w14:textId="77777777" w:rsidR="00404F34" w:rsidRPr="00026EC1" w:rsidRDefault="00404F34" w:rsidP="00A64613">
      <w:pPr>
        <w:keepNext w:val="0"/>
      </w:pPr>
      <w:r w:rsidRPr="00026EC1">
        <w:t>La participation au programme est établie pour une session à la fois ou pour toute l</w:t>
      </w:r>
      <w:r w:rsidR="004A41E4" w:rsidRPr="00026EC1">
        <w:t>’</w:t>
      </w:r>
      <w:r w:rsidRPr="00026EC1">
        <w:t>année d</w:t>
      </w:r>
      <w:r w:rsidR="004A41E4" w:rsidRPr="00026EC1">
        <w:t>’</w:t>
      </w:r>
      <w:r w:rsidRPr="00026EC1">
        <w:t>engagement selon la demande faite par l</w:t>
      </w:r>
      <w:r w:rsidR="004A41E4" w:rsidRPr="00026EC1">
        <w:t>’</w:t>
      </w:r>
      <w:r w:rsidRPr="00026EC1">
        <w:t>enseignante ou l</w:t>
      </w:r>
      <w:r w:rsidR="004A41E4" w:rsidRPr="00026EC1">
        <w:t>’</w:t>
      </w:r>
      <w:r w:rsidRPr="00026EC1">
        <w:t>enseignant et la réduction du temps de travail peut varier d</w:t>
      </w:r>
      <w:r w:rsidR="004A41E4" w:rsidRPr="00026EC1">
        <w:t>’</w:t>
      </w:r>
      <w:r w:rsidRPr="00026EC1">
        <w:t>une session à l</w:t>
      </w:r>
      <w:r w:rsidR="004A41E4" w:rsidRPr="00026EC1">
        <w:t>’</w:t>
      </w:r>
      <w:r w:rsidRPr="00026EC1">
        <w:t>autre.</w:t>
      </w:r>
    </w:p>
    <w:p w14:paraId="25508896" w14:textId="77777777" w:rsidR="00404F34" w:rsidRPr="00026EC1" w:rsidRDefault="00404F34" w:rsidP="00A64613">
      <w:pPr>
        <w:keepNext w:val="0"/>
      </w:pPr>
    </w:p>
    <w:p w14:paraId="1D94A4CE" w14:textId="78FAC40B" w:rsidR="00404F34" w:rsidRPr="00026EC1" w:rsidRDefault="00404F34" w:rsidP="00A64613">
      <w:pPr>
        <w:keepNext w:val="0"/>
      </w:pPr>
      <w:r w:rsidRPr="00026EC1">
        <w:t>Aux fins de la clause 5</w:t>
      </w:r>
      <w:r w:rsidR="00984A6F">
        <w:noBreakHyphen/>
      </w:r>
      <w:r w:rsidRPr="00026EC1">
        <w:t>14.06, l</w:t>
      </w:r>
      <w:r w:rsidR="004A41E4" w:rsidRPr="00026EC1">
        <w:t>’</w:t>
      </w:r>
      <w:r w:rsidRPr="00026EC1">
        <w:t>enseignante ou l</w:t>
      </w:r>
      <w:r w:rsidR="004A41E4" w:rsidRPr="00026EC1">
        <w:t>’</w:t>
      </w:r>
      <w:r w:rsidRPr="00026EC1">
        <w:t>enseignant qui a participé au programme à la session automne et qui participe à nouveau à la session hiver est considéré comme ayant participé une seule fois.</w:t>
      </w:r>
    </w:p>
    <w:p w14:paraId="6A834328" w14:textId="77777777" w:rsidR="00404F34" w:rsidRPr="00026EC1" w:rsidRDefault="00404F34" w:rsidP="00A64613">
      <w:pPr>
        <w:keepNext w:val="0"/>
      </w:pPr>
    </w:p>
    <w:p w14:paraId="48B44AF2" w14:textId="7957949D" w:rsidR="00404F34" w:rsidRPr="00026EC1" w:rsidRDefault="00404F34" w:rsidP="00A64613">
      <w:pPr>
        <w:pStyle w:val="NUMRODECLAUSE"/>
        <w:keepNext w:val="0"/>
      </w:pPr>
      <w:r w:rsidRPr="00026EC1">
        <w:t>5</w:t>
      </w:r>
      <w:r w:rsidR="00984A6F">
        <w:noBreakHyphen/>
      </w:r>
      <w:r w:rsidRPr="00026EC1">
        <w:t>14.06</w:t>
      </w:r>
    </w:p>
    <w:p w14:paraId="47ABF197" w14:textId="21C744D6" w:rsidR="00404F34" w:rsidRPr="00026EC1" w:rsidRDefault="00404F34" w:rsidP="00A64613">
      <w:pPr>
        <w:keepNext w:val="0"/>
      </w:pPr>
      <w:r w:rsidRPr="00026EC1">
        <w:t>Sous réserve de difficultés d</w:t>
      </w:r>
      <w:r w:rsidR="004A41E4" w:rsidRPr="00026EC1">
        <w:t>’</w:t>
      </w:r>
      <w:r w:rsidRPr="00026EC1">
        <w:t>ordre pédagogique ou de recrutement, le Collège est tenu d</w:t>
      </w:r>
      <w:r w:rsidR="004A41E4" w:rsidRPr="00026EC1">
        <w:t>’</w:t>
      </w:r>
      <w:r w:rsidRPr="00026EC1">
        <w:t>accepter une demande de participation au programme. Cependant, pour une discipline donnée, le Collège n</w:t>
      </w:r>
      <w:r w:rsidR="004A41E4" w:rsidRPr="00026EC1">
        <w:t>’</w:t>
      </w:r>
      <w:r w:rsidRPr="00026EC1">
        <w:t>est pas tenu d</w:t>
      </w:r>
      <w:r w:rsidR="004A41E4" w:rsidRPr="00026EC1">
        <w:t>’</w:t>
      </w:r>
      <w:r w:rsidRPr="00026EC1">
        <w:t>accepter une demande de participation qui aurait pour effet que la somme des pourcentages de réduction de charges d</w:t>
      </w:r>
      <w:r w:rsidR="004A41E4" w:rsidRPr="00026EC1">
        <w:t>’</w:t>
      </w:r>
      <w:r w:rsidRPr="00026EC1">
        <w:t>enseignement générés par le programme en équivalent temps complet (ETC) soit supérieure à dix pour cent (10</w:t>
      </w:r>
      <w:r w:rsidR="00714A15">
        <w:t> %</w:t>
      </w:r>
      <w:r w:rsidRPr="00026EC1">
        <w:t>) du nombre total d</w:t>
      </w:r>
      <w:r w:rsidR="004A41E4" w:rsidRPr="00026EC1">
        <w:t>’</w:t>
      </w:r>
      <w:r w:rsidRPr="00026EC1">
        <w:t>équivalent temps complet (ETC) ou qui aurait pour effet de permettre la participation de plus de six (</w:t>
      </w:r>
      <w:r w:rsidR="00BA79F8" w:rsidRPr="00026EC1">
        <w:t>6) enseignantes ou enseignants.</w:t>
      </w:r>
    </w:p>
    <w:p w14:paraId="2A60193B" w14:textId="77777777" w:rsidR="00404F34" w:rsidRPr="00026EC1" w:rsidRDefault="003710C9" w:rsidP="00A64613">
      <w:pPr>
        <w:keepNext w:val="0"/>
      </w:pPr>
      <w:r w:rsidRPr="00026EC1">
        <w:br w:type="page"/>
      </w:r>
      <w:r w:rsidR="00404F34" w:rsidRPr="00026EC1">
        <w:t>Malgré ce qui précède, le Collège est tenu d</w:t>
      </w:r>
      <w:r w:rsidR="004A41E4" w:rsidRPr="00026EC1">
        <w:t>’</w:t>
      </w:r>
      <w:r w:rsidR="00404F34" w:rsidRPr="00026EC1">
        <w:t>accepter la demande de participation d</w:t>
      </w:r>
      <w:r w:rsidR="004A41E4" w:rsidRPr="00026EC1">
        <w:t>’</w:t>
      </w:r>
      <w:r w:rsidR="00404F34" w:rsidRPr="00026EC1">
        <w:t>au moins une (1) enseignante ou un (1) enseignant par discipline.</w:t>
      </w:r>
    </w:p>
    <w:p w14:paraId="43B4AB13" w14:textId="77777777" w:rsidR="00404F34" w:rsidRPr="00026EC1" w:rsidRDefault="00404F34" w:rsidP="00A64613">
      <w:pPr>
        <w:keepNext w:val="0"/>
      </w:pPr>
    </w:p>
    <w:p w14:paraId="0513CC0D" w14:textId="3C835F75" w:rsidR="00404F34" w:rsidRPr="00026EC1" w:rsidRDefault="00404F34" w:rsidP="00A64613">
      <w:pPr>
        <w:pStyle w:val="NUMRODECLAUSE"/>
        <w:keepNext w:val="0"/>
      </w:pPr>
      <w:r w:rsidRPr="00026EC1">
        <w:t>5</w:t>
      </w:r>
      <w:r w:rsidR="00984A6F">
        <w:noBreakHyphen/>
      </w:r>
      <w:r w:rsidRPr="00026EC1">
        <w:t>14.07</w:t>
      </w:r>
    </w:p>
    <w:p w14:paraId="6387C186" w14:textId="77777777" w:rsidR="00404F34" w:rsidRPr="00026EC1" w:rsidRDefault="00404F34" w:rsidP="00A64613">
      <w:pPr>
        <w:keepNext w:val="0"/>
      </w:pPr>
      <w:r w:rsidRPr="00026EC1">
        <w:t>Pour une demande visant la session automne ou toute l</w:t>
      </w:r>
      <w:r w:rsidR="004A41E4" w:rsidRPr="00026EC1">
        <w:t>’</w:t>
      </w:r>
      <w:r w:rsidRPr="00026EC1">
        <w:t>année d</w:t>
      </w:r>
      <w:r w:rsidR="004A41E4" w:rsidRPr="00026EC1">
        <w:t>’</w:t>
      </w:r>
      <w:r w:rsidRPr="00026EC1">
        <w:t>engagement, la réponse du Collège est transmise au plus tard le 27 juin à l</w:t>
      </w:r>
      <w:r w:rsidR="004A41E4" w:rsidRPr="00026EC1">
        <w:t>’</w:t>
      </w:r>
      <w:r w:rsidRPr="00026EC1">
        <w:t>enseignante ou l</w:t>
      </w:r>
      <w:r w:rsidR="004A41E4" w:rsidRPr="00026EC1">
        <w:t>’</w:t>
      </w:r>
      <w:r w:rsidRPr="00026EC1">
        <w:t>enseignant permanent et, à compter de cette date, à l</w:t>
      </w:r>
      <w:r w:rsidR="004A41E4" w:rsidRPr="00026EC1">
        <w:t>’</w:t>
      </w:r>
      <w:r w:rsidRPr="00026EC1">
        <w:t>enseignante ou l</w:t>
      </w:r>
      <w:r w:rsidR="004A41E4" w:rsidRPr="00026EC1">
        <w:t>’</w:t>
      </w:r>
      <w:r w:rsidRPr="00026EC1">
        <w:t>enseignant non permanent.</w:t>
      </w:r>
    </w:p>
    <w:p w14:paraId="6A18115C" w14:textId="77777777" w:rsidR="00404F34" w:rsidRPr="00026EC1" w:rsidRDefault="00404F34" w:rsidP="00A64613">
      <w:pPr>
        <w:keepNext w:val="0"/>
      </w:pPr>
    </w:p>
    <w:p w14:paraId="385EF4E7" w14:textId="77777777" w:rsidR="00404F34" w:rsidRPr="00026EC1" w:rsidRDefault="00404F34" w:rsidP="00A64613">
      <w:pPr>
        <w:keepNext w:val="0"/>
      </w:pPr>
      <w:r w:rsidRPr="00026EC1">
        <w:t>Pour une demande de participation au programme visant la session hiver, la réponse du Collège est transmise à l</w:t>
      </w:r>
      <w:r w:rsidR="004A41E4" w:rsidRPr="00026EC1">
        <w:t>’</w:t>
      </w:r>
      <w:r w:rsidRPr="00026EC1">
        <w:t>enseignante ou l</w:t>
      </w:r>
      <w:r w:rsidR="004A41E4" w:rsidRPr="00026EC1">
        <w:t>’</w:t>
      </w:r>
      <w:r w:rsidRPr="00026EC1">
        <w:t>enseignant au plus tard le 15 décembre.</w:t>
      </w:r>
    </w:p>
    <w:p w14:paraId="2DE60CC6" w14:textId="77777777" w:rsidR="00404F34" w:rsidRPr="00026EC1" w:rsidRDefault="00404F34" w:rsidP="00A64613">
      <w:pPr>
        <w:keepNext w:val="0"/>
      </w:pPr>
    </w:p>
    <w:p w14:paraId="6D84CD03" w14:textId="5945CF26" w:rsidR="00404F34" w:rsidRPr="00026EC1" w:rsidRDefault="00404F34" w:rsidP="00A64613">
      <w:pPr>
        <w:pStyle w:val="NUMRODECLAUSE"/>
        <w:keepNext w:val="0"/>
      </w:pPr>
      <w:r w:rsidRPr="00026EC1">
        <w:t>5</w:t>
      </w:r>
      <w:r w:rsidR="00984A6F">
        <w:noBreakHyphen/>
      </w:r>
      <w:r w:rsidRPr="00026EC1">
        <w:t>14.08</w:t>
      </w:r>
      <w:r w:rsidRPr="00026EC1">
        <w:tab/>
      </w:r>
      <w:r w:rsidRPr="00026EC1">
        <w:rPr>
          <w:u w:val="single"/>
        </w:rPr>
        <w:t>Salaire</w:t>
      </w:r>
    </w:p>
    <w:p w14:paraId="1AB9D810" w14:textId="44A7EBCB" w:rsidR="00404F34" w:rsidRPr="00026EC1" w:rsidRDefault="00404F34" w:rsidP="00A64613">
      <w:pPr>
        <w:keepNext w:val="0"/>
      </w:pPr>
      <w:r w:rsidRPr="00026EC1">
        <w:t>Pendant la durée du programme, l</w:t>
      </w:r>
      <w:r w:rsidR="004A41E4" w:rsidRPr="00026EC1">
        <w:t>’</w:t>
      </w:r>
      <w:r w:rsidRPr="00026EC1">
        <w:t>enseignante ou l</w:t>
      </w:r>
      <w:r w:rsidR="004A41E4" w:rsidRPr="00026EC1">
        <w:t>’</w:t>
      </w:r>
      <w:r w:rsidRPr="00026EC1">
        <w:t>enseignant est rémunéré en fonction du pourcentage résultant de l</w:t>
      </w:r>
      <w:r w:rsidR="004A41E4" w:rsidRPr="00026EC1">
        <w:t>’</w:t>
      </w:r>
      <w:r w:rsidRPr="00026EC1">
        <w:t>application de la clause 5</w:t>
      </w:r>
      <w:r w:rsidR="00984A6F">
        <w:noBreakHyphen/>
      </w:r>
      <w:r w:rsidRPr="00026EC1">
        <w:t>14.01. Le traitement sur lequel le pourcentage est appliqué est celui que l</w:t>
      </w:r>
      <w:r w:rsidR="004A41E4" w:rsidRPr="00026EC1">
        <w:t>’</w:t>
      </w:r>
      <w:r w:rsidRPr="00026EC1">
        <w:t>enseignante ou l</w:t>
      </w:r>
      <w:r w:rsidR="004A41E4" w:rsidRPr="00026EC1">
        <w:t>’</w:t>
      </w:r>
      <w:r w:rsidRPr="00026EC1">
        <w:t>enseignant recevrait si elle ou il ne participait pas au programme.</w:t>
      </w:r>
    </w:p>
    <w:p w14:paraId="66A2ADE9" w14:textId="77777777" w:rsidR="00404F34" w:rsidRPr="00026EC1" w:rsidRDefault="00404F34" w:rsidP="00A64613">
      <w:pPr>
        <w:keepNext w:val="0"/>
      </w:pPr>
    </w:p>
    <w:p w14:paraId="09F6A428" w14:textId="1C52F5F3" w:rsidR="00404F34" w:rsidRPr="00026EC1" w:rsidRDefault="00404F34" w:rsidP="00A64613">
      <w:pPr>
        <w:pStyle w:val="NUMRODECLAUSE"/>
        <w:keepNext w:val="0"/>
      </w:pPr>
      <w:r w:rsidRPr="00026EC1">
        <w:t>5</w:t>
      </w:r>
      <w:r w:rsidR="00984A6F">
        <w:noBreakHyphen/>
      </w:r>
      <w:r w:rsidRPr="00026EC1">
        <w:t>14.09</w:t>
      </w:r>
      <w:r w:rsidRPr="00026EC1">
        <w:tab/>
      </w:r>
      <w:r w:rsidRPr="008A5719">
        <w:rPr>
          <w:u w:val="single"/>
        </w:rPr>
        <w:t>Réduction de la charge d</w:t>
      </w:r>
      <w:r w:rsidR="004A41E4" w:rsidRPr="008A5719">
        <w:rPr>
          <w:u w:val="single"/>
        </w:rPr>
        <w:t>’</w:t>
      </w:r>
      <w:r w:rsidRPr="008A5719">
        <w:rPr>
          <w:u w:val="single"/>
        </w:rPr>
        <w:t>enseignement et disponibilité</w:t>
      </w:r>
    </w:p>
    <w:p w14:paraId="56044435" w14:textId="77777777" w:rsidR="00404F34" w:rsidRPr="00026EC1" w:rsidRDefault="00404F34" w:rsidP="00A64613">
      <w:pPr>
        <w:keepNext w:val="0"/>
      </w:pPr>
      <w:r w:rsidRPr="00026EC1">
        <w:t>Pendant la durée de sa participation au programme, la charge d</w:t>
      </w:r>
      <w:r w:rsidR="004A41E4" w:rsidRPr="00026EC1">
        <w:t>’</w:t>
      </w:r>
      <w:r w:rsidRPr="00026EC1">
        <w:t>enseignement de l</w:t>
      </w:r>
      <w:r w:rsidR="004A41E4" w:rsidRPr="00026EC1">
        <w:t>’</w:t>
      </w:r>
      <w:r w:rsidRPr="00026EC1">
        <w:t>enseignante ou de l</w:t>
      </w:r>
      <w:r w:rsidR="004A41E4" w:rsidRPr="00026EC1">
        <w:t>’</w:t>
      </w:r>
      <w:r w:rsidRPr="00026EC1">
        <w:t>enseignant est celle d</w:t>
      </w:r>
      <w:r w:rsidR="004A41E4" w:rsidRPr="00026EC1">
        <w:t>’</w:t>
      </w:r>
      <w:r w:rsidRPr="00026EC1">
        <w:t>une enseignante ou d</w:t>
      </w:r>
      <w:r w:rsidR="004A41E4" w:rsidRPr="00026EC1">
        <w:t>’</w:t>
      </w:r>
      <w:r w:rsidRPr="00026EC1">
        <w:t>un enseignant à temps complet et elle est établie à l</w:t>
      </w:r>
      <w:r w:rsidR="004A41E4" w:rsidRPr="00026EC1">
        <w:t>’</w:t>
      </w:r>
      <w:r w:rsidRPr="00026EC1">
        <w:t xml:space="preserve">aide de la formule de la CI. Dans ce cas, le L de la </w:t>
      </w:r>
      <w:r w:rsidRPr="00026EC1">
        <w:rPr>
          <w:bCs/>
        </w:rPr>
        <w:t>CI</w:t>
      </w:r>
      <w:r w:rsidR="004B68D9" w:rsidRPr="00026EC1">
        <w:rPr>
          <w:bCs/>
          <w:vertAlign w:val="subscript"/>
        </w:rPr>
        <w:t>L</w:t>
      </w:r>
      <w:r w:rsidRPr="00026EC1">
        <w:t xml:space="preserve"> est égal au pourcentage de réduction de la charge d</w:t>
      </w:r>
      <w:r w:rsidR="004A41E4" w:rsidRPr="00026EC1">
        <w:t>’</w:t>
      </w:r>
      <w:r w:rsidRPr="00026EC1">
        <w:t>enseignement de l</w:t>
      </w:r>
      <w:r w:rsidR="004A41E4" w:rsidRPr="00026EC1">
        <w:t>’</w:t>
      </w:r>
      <w:r w:rsidRPr="00026EC1">
        <w:t>enseignante ou de l</w:t>
      </w:r>
      <w:r w:rsidR="004A41E4" w:rsidRPr="00026EC1">
        <w:t>’</w:t>
      </w:r>
      <w:r w:rsidRPr="00026EC1">
        <w:t>enseignant.</w:t>
      </w:r>
    </w:p>
    <w:p w14:paraId="7CB98F80" w14:textId="77777777" w:rsidR="00404F34" w:rsidRPr="00026EC1" w:rsidRDefault="00404F34" w:rsidP="00A64613">
      <w:pPr>
        <w:keepNext w:val="0"/>
      </w:pPr>
    </w:p>
    <w:p w14:paraId="75C31111" w14:textId="77777777" w:rsidR="00404F34" w:rsidRPr="00026EC1" w:rsidRDefault="00404F34" w:rsidP="00A64613">
      <w:pPr>
        <w:keepNext w:val="0"/>
      </w:pPr>
      <w:r w:rsidRPr="00026EC1">
        <w:t>Le pourcentage de réduction de la charge d</w:t>
      </w:r>
      <w:r w:rsidR="004A41E4" w:rsidRPr="00026EC1">
        <w:t>’</w:t>
      </w:r>
      <w:r w:rsidRPr="00026EC1">
        <w:t>enseignement de même que son aménagement sont convenus entre l</w:t>
      </w:r>
      <w:r w:rsidR="004A41E4" w:rsidRPr="00026EC1">
        <w:t>’</w:t>
      </w:r>
      <w:r w:rsidRPr="00026EC1">
        <w:t>enseignante ou l</w:t>
      </w:r>
      <w:r w:rsidR="004A41E4" w:rsidRPr="00026EC1">
        <w:t>’</w:t>
      </w:r>
      <w:r w:rsidRPr="00026EC1">
        <w:t>enseignant et le Collège.</w:t>
      </w:r>
    </w:p>
    <w:p w14:paraId="5772A4D9" w14:textId="77777777" w:rsidR="00404F34" w:rsidRPr="00026EC1" w:rsidRDefault="00404F34" w:rsidP="00A64613">
      <w:pPr>
        <w:keepNext w:val="0"/>
      </w:pPr>
    </w:p>
    <w:p w14:paraId="642AF36B" w14:textId="1038426C" w:rsidR="00404F34" w:rsidRPr="00026EC1" w:rsidRDefault="00404F34" w:rsidP="00A64613">
      <w:pPr>
        <w:pStyle w:val="NUMRODECLAUSE"/>
        <w:keepNext w:val="0"/>
      </w:pPr>
      <w:r w:rsidRPr="00026EC1">
        <w:t>5</w:t>
      </w:r>
      <w:r w:rsidR="00984A6F">
        <w:noBreakHyphen/>
      </w:r>
      <w:r w:rsidRPr="00026EC1">
        <w:t>14.10</w:t>
      </w:r>
      <w:r w:rsidRPr="00026EC1">
        <w:tab/>
      </w:r>
      <w:r w:rsidRPr="008A5719">
        <w:rPr>
          <w:u w:val="single"/>
        </w:rPr>
        <w:t>Ancienneté</w:t>
      </w:r>
    </w:p>
    <w:p w14:paraId="5EC940DD" w14:textId="77777777" w:rsidR="00404F34" w:rsidRPr="00026EC1" w:rsidRDefault="00404F34" w:rsidP="00A64613">
      <w:pPr>
        <w:keepNext w:val="0"/>
      </w:pPr>
      <w:r w:rsidRPr="00026EC1">
        <w:t>Pendant la durée de sa participation au programme, l</w:t>
      </w:r>
      <w:r w:rsidR="004A41E4" w:rsidRPr="00026EC1">
        <w:t>’</w:t>
      </w:r>
      <w:r w:rsidRPr="00026EC1">
        <w:t>enseignante ou l</w:t>
      </w:r>
      <w:r w:rsidR="004A41E4" w:rsidRPr="00026EC1">
        <w:t>’</w:t>
      </w:r>
      <w:r w:rsidRPr="00026EC1">
        <w:t>enseignant se voit reconnaître l</w:t>
      </w:r>
      <w:r w:rsidR="004A41E4" w:rsidRPr="00026EC1">
        <w:t>’</w:t>
      </w:r>
      <w:r w:rsidRPr="00026EC1">
        <w:t>ancienneté comme si elle ou il ne participait pas au programme.</w:t>
      </w:r>
    </w:p>
    <w:p w14:paraId="69CA34D3" w14:textId="77777777" w:rsidR="00404F34" w:rsidRPr="00026EC1" w:rsidRDefault="00404F34" w:rsidP="00A64613">
      <w:pPr>
        <w:keepNext w:val="0"/>
      </w:pPr>
    </w:p>
    <w:p w14:paraId="0D597AFE" w14:textId="42AA71AF" w:rsidR="00404F34" w:rsidRPr="00026EC1" w:rsidRDefault="00404F34" w:rsidP="00A64613">
      <w:pPr>
        <w:pStyle w:val="NUMRODECLAUSE"/>
        <w:keepNext w:val="0"/>
      </w:pPr>
      <w:r w:rsidRPr="00026EC1">
        <w:t>5</w:t>
      </w:r>
      <w:r w:rsidR="00984A6F">
        <w:noBreakHyphen/>
      </w:r>
      <w:r w:rsidRPr="00026EC1">
        <w:t>14.11</w:t>
      </w:r>
      <w:r w:rsidRPr="00026EC1">
        <w:tab/>
      </w:r>
      <w:r w:rsidRPr="008A5719">
        <w:rPr>
          <w:u w:val="single"/>
        </w:rPr>
        <w:t>Expérience</w:t>
      </w:r>
    </w:p>
    <w:p w14:paraId="3CD00ACF" w14:textId="77777777" w:rsidR="00404F34" w:rsidRPr="00026EC1" w:rsidRDefault="00404F34" w:rsidP="00A64613">
      <w:pPr>
        <w:keepNext w:val="0"/>
      </w:pPr>
      <w:r w:rsidRPr="00026EC1">
        <w:t>Pendant la durée de sa participation au programme, l</w:t>
      </w:r>
      <w:r w:rsidR="004A41E4" w:rsidRPr="00026EC1">
        <w:t>’</w:t>
      </w:r>
      <w:r w:rsidRPr="00026EC1">
        <w:t>enseignante ou l</w:t>
      </w:r>
      <w:r w:rsidR="004A41E4" w:rsidRPr="00026EC1">
        <w:t>’</w:t>
      </w:r>
      <w:r w:rsidRPr="00026EC1">
        <w:t>enseignant se voit reconnaître l</w:t>
      </w:r>
      <w:r w:rsidR="004A41E4" w:rsidRPr="00026EC1">
        <w:t>’</w:t>
      </w:r>
      <w:r w:rsidRPr="00026EC1">
        <w:t>expérience comme si elle ou il ne participait pas au programme.</w:t>
      </w:r>
    </w:p>
    <w:p w14:paraId="143B8B4E" w14:textId="77777777" w:rsidR="00404F34" w:rsidRPr="00026EC1" w:rsidRDefault="00404F34" w:rsidP="00A64613">
      <w:pPr>
        <w:keepNext w:val="0"/>
      </w:pPr>
    </w:p>
    <w:p w14:paraId="4B5BFC96" w14:textId="4115978B" w:rsidR="00404F34" w:rsidRPr="00026EC1" w:rsidRDefault="00404F34" w:rsidP="00A64613">
      <w:pPr>
        <w:pStyle w:val="NUMRODECLAUSE"/>
        <w:keepNext w:val="0"/>
      </w:pPr>
      <w:r w:rsidRPr="00026EC1">
        <w:t>5</w:t>
      </w:r>
      <w:r w:rsidR="00984A6F">
        <w:noBreakHyphen/>
      </w:r>
      <w:r w:rsidRPr="00026EC1">
        <w:t>14.12</w:t>
      </w:r>
      <w:r w:rsidRPr="00026EC1">
        <w:tab/>
      </w:r>
      <w:r w:rsidRPr="008A5719">
        <w:rPr>
          <w:u w:val="single"/>
        </w:rPr>
        <w:t>Invalidité ou droits parentaux</w:t>
      </w:r>
    </w:p>
    <w:p w14:paraId="22F5EAC0" w14:textId="77777777" w:rsidR="00404F34" w:rsidRPr="00026EC1" w:rsidRDefault="00404F34" w:rsidP="00A64613">
      <w:pPr>
        <w:keepNext w:val="0"/>
      </w:pPr>
      <w:r w:rsidRPr="00026EC1">
        <w:t>Lorsqu</w:t>
      </w:r>
      <w:r w:rsidR="004A41E4" w:rsidRPr="00026EC1">
        <w:t>’</w:t>
      </w:r>
      <w:r w:rsidRPr="00026EC1">
        <w:t>une enseignante ou un enseignant s</w:t>
      </w:r>
      <w:r w:rsidR="004A41E4" w:rsidRPr="00026EC1">
        <w:t>’</w:t>
      </w:r>
      <w:r w:rsidRPr="00026EC1">
        <w:t>absente en raison d</w:t>
      </w:r>
      <w:r w:rsidR="004A41E4" w:rsidRPr="00026EC1">
        <w:t>’</w:t>
      </w:r>
      <w:r w:rsidRPr="00026EC1">
        <w:t>une invalidité ou d</w:t>
      </w:r>
      <w:r w:rsidR="004A41E4" w:rsidRPr="00026EC1">
        <w:t>’</w:t>
      </w:r>
      <w:r w:rsidRPr="00026EC1">
        <w:t>un congé découlant des droits parentaux, la prestation ou l</w:t>
      </w:r>
      <w:r w:rsidR="004A41E4" w:rsidRPr="00026EC1">
        <w:t>’</w:t>
      </w:r>
      <w:r w:rsidRPr="00026EC1">
        <w:t>indemnité versée pendant sa participation au programme est calculée au prorata de sa charge d</w:t>
      </w:r>
      <w:r w:rsidR="004A41E4" w:rsidRPr="00026EC1">
        <w:t>’</w:t>
      </w:r>
      <w:r w:rsidRPr="00026EC1">
        <w:t>enseignement ainsi réduite.</w:t>
      </w:r>
    </w:p>
    <w:p w14:paraId="4F3B7C93" w14:textId="17AC1A7F" w:rsidR="00404F34" w:rsidRPr="00026EC1" w:rsidRDefault="00404F34" w:rsidP="00A64613">
      <w:pPr>
        <w:keepNext w:val="0"/>
      </w:pPr>
    </w:p>
    <w:p w14:paraId="3826EF6A" w14:textId="28568866" w:rsidR="00404F34" w:rsidRPr="00026EC1" w:rsidRDefault="00404F34" w:rsidP="00A64613">
      <w:pPr>
        <w:pStyle w:val="NUMRODECLAUSE"/>
        <w:keepNext w:val="0"/>
      </w:pPr>
      <w:r w:rsidRPr="00026EC1">
        <w:t>5</w:t>
      </w:r>
      <w:r w:rsidR="00984A6F">
        <w:noBreakHyphen/>
      </w:r>
      <w:r w:rsidRPr="00026EC1">
        <w:t>14.13</w:t>
      </w:r>
      <w:r w:rsidRPr="00026EC1">
        <w:tab/>
      </w:r>
      <w:r w:rsidRPr="008A5719">
        <w:rPr>
          <w:u w:val="single"/>
        </w:rPr>
        <w:t>Régime de retraite</w:t>
      </w:r>
    </w:p>
    <w:p w14:paraId="48BB9172" w14:textId="77777777" w:rsidR="00404F34" w:rsidRPr="00026EC1" w:rsidRDefault="00404F34" w:rsidP="00A64613">
      <w:pPr>
        <w:keepNext w:val="0"/>
      </w:pPr>
      <w:r w:rsidRPr="00026EC1">
        <w:t>Sous réserve des lois fiscales en vigueur, pendant toute la durée de sa participation au programme, l</w:t>
      </w:r>
      <w:r w:rsidR="004A41E4" w:rsidRPr="00026EC1">
        <w:t>’</w:t>
      </w:r>
      <w:r w:rsidRPr="00026EC1">
        <w:t>enseignante ou l</w:t>
      </w:r>
      <w:r w:rsidR="004A41E4" w:rsidRPr="00026EC1">
        <w:t>’</w:t>
      </w:r>
      <w:r w:rsidRPr="00026EC1">
        <w:t>enseignant se voit reconnaître aux fins de son régime de retraite le service qui lui serait reconnu si elle ou il ne participait pas au programme. Le traitement admissible pour la cotisation de l</w:t>
      </w:r>
      <w:r w:rsidR="004A41E4" w:rsidRPr="00026EC1">
        <w:t>’</w:t>
      </w:r>
      <w:r w:rsidRPr="00026EC1">
        <w:t>enseignante ou de l</w:t>
      </w:r>
      <w:r w:rsidR="004A41E4" w:rsidRPr="00026EC1">
        <w:t>’</w:t>
      </w:r>
      <w:r w:rsidRPr="00026EC1">
        <w:t>enseignant est celui qu</w:t>
      </w:r>
      <w:r w:rsidR="004A41E4" w:rsidRPr="00026EC1">
        <w:t>’</w:t>
      </w:r>
      <w:r w:rsidRPr="00026EC1">
        <w:t>elle ou il aurait reçu n</w:t>
      </w:r>
      <w:r w:rsidR="004A41E4" w:rsidRPr="00026EC1">
        <w:t>’</w:t>
      </w:r>
      <w:r w:rsidRPr="00026EC1">
        <w:t>eût été de sa participation au programme. De même, la contribution de l</w:t>
      </w:r>
      <w:r w:rsidR="004A41E4" w:rsidRPr="00026EC1">
        <w:t>’</w:t>
      </w:r>
      <w:r w:rsidRPr="00026EC1">
        <w:t>employeur est versée sur le traitement que l</w:t>
      </w:r>
      <w:r w:rsidR="004A41E4" w:rsidRPr="00026EC1">
        <w:t>’</w:t>
      </w:r>
      <w:r w:rsidRPr="00026EC1">
        <w:t>enseignante ou l</w:t>
      </w:r>
      <w:r w:rsidR="004A41E4" w:rsidRPr="00026EC1">
        <w:t>’</w:t>
      </w:r>
      <w:r w:rsidRPr="00026EC1">
        <w:t>enseignant aurait reçu n</w:t>
      </w:r>
      <w:r w:rsidR="004A41E4" w:rsidRPr="00026EC1">
        <w:t>’</w:t>
      </w:r>
      <w:r w:rsidRPr="00026EC1">
        <w:t>eût été de sa participation au programme.</w:t>
      </w:r>
    </w:p>
    <w:p w14:paraId="5EC79762" w14:textId="77777777" w:rsidR="00404F34" w:rsidRPr="00026EC1" w:rsidRDefault="00404F34" w:rsidP="00A64613">
      <w:pPr>
        <w:keepNext w:val="0"/>
      </w:pPr>
    </w:p>
    <w:p w14:paraId="2A0763B1" w14:textId="3EAC9C82" w:rsidR="00404F34" w:rsidRPr="00026EC1" w:rsidRDefault="00404F34" w:rsidP="00A64613">
      <w:pPr>
        <w:pStyle w:val="NUMRODECLAUSE"/>
        <w:keepNext w:val="0"/>
      </w:pPr>
      <w:r w:rsidRPr="00026EC1">
        <w:t>5</w:t>
      </w:r>
      <w:r w:rsidR="00984A6F">
        <w:noBreakHyphen/>
      </w:r>
      <w:r w:rsidRPr="00026EC1">
        <w:t>14.14</w:t>
      </w:r>
      <w:r w:rsidRPr="00026EC1">
        <w:tab/>
      </w:r>
      <w:r w:rsidRPr="008A5719">
        <w:rPr>
          <w:u w:val="single"/>
        </w:rPr>
        <w:t>Assurance</w:t>
      </w:r>
      <w:r w:rsidR="00984A6F">
        <w:rPr>
          <w:u w:val="single"/>
        </w:rPr>
        <w:noBreakHyphen/>
      </w:r>
      <w:r w:rsidRPr="008A5719">
        <w:rPr>
          <w:u w:val="single"/>
        </w:rPr>
        <w:t>maladie, vie et traitement</w:t>
      </w:r>
    </w:p>
    <w:p w14:paraId="78885603" w14:textId="77A1E736" w:rsidR="00404F34" w:rsidRPr="00026EC1" w:rsidRDefault="00404F34" w:rsidP="00A64613">
      <w:pPr>
        <w:keepNext w:val="0"/>
      </w:pPr>
      <w:r w:rsidRPr="00026EC1">
        <w:t>Pendant sa participation au programme, l</w:t>
      </w:r>
      <w:r w:rsidR="004A41E4" w:rsidRPr="00026EC1">
        <w:t>’</w:t>
      </w:r>
      <w:r w:rsidRPr="00026EC1">
        <w:t>enseignante ou l</w:t>
      </w:r>
      <w:r w:rsidR="004A41E4" w:rsidRPr="00026EC1">
        <w:t>’</w:t>
      </w:r>
      <w:r w:rsidRPr="00026EC1">
        <w:t>enseignant maintient sa participation au régime d</w:t>
      </w:r>
      <w:r w:rsidR="004A41E4" w:rsidRPr="00026EC1">
        <w:t>’</w:t>
      </w:r>
      <w:r w:rsidRPr="00026EC1">
        <w:t>assurance</w:t>
      </w:r>
      <w:r w:rsidR="00984A6F">
        <w:noBreakHyphen/>
      </w:r>
      <w:r w:rsidRPr="00026EC1">
        <w:t>maladie</w:t>
      </w:r>
      <w:r w:rsidR="00A33FA9">
        <w:t xml:space="preserve"> </w:t>
      </w:r>
      <w:r w:rsidR="00A33FA9" w:rsidRPr="00316277">
        <w:rPr>
          <w:rStyle w:val="cf01"/>
          <w:rFonts w:ascii="Arial" w:hAnsi="Arial" w:cs="Arial"/>
          <w:sz w:val="24"/>
          <w:szCs w:val="24"/>
        </w:rPr>
        <w:t>en versant sa quote-part des primes. Le Collège continue de verser sa contribution au régime d’assurance</w:t>
      </w:r>
      <w:r w:rsidR="003B3A05">
        <w:rPr>
          <w:rStyle w:val="cf01"/>
          <w:rFonts w:ascii="Arial" w:hAnsi="Arial" w:cs="Arial"/>
          <w:sz w:val="24"/>
          <w:szCs w:val="24"/>
        </w:rPr>
        <w:t>-</w:t>
      </w:r>
      <w:r w:rsidR="00A33FA9" w:rsidRPr="00316277">
        <w:rPr>
          <w:rStyle w:val="cf01"/>
          <w:rFonts w:ascii="Arial" w:hAnsi="Arial" w:cs="Arial"/>
          <w:sz w:val="24"/>
          <w:szCs w:val="24"/>
        </w:rPr>
        <w:t>maladie comme si l’enseignante ou l’enseignant ne s’était pas prévalu du programme</w:t>
      </w:r>
      <w:r w:rsidRPr="00026EC1">
        <w:t>. Par ailleurs, pour continuer de bénéficier des avantages découlant des autres régimes d</w:t>
      </w:r>
      <w:r w:rsidR="004A41E4" w:rsidRPr="00026EC1">
        <w:t>’</w:t>
      </w:r>
      <w:r w:rsidRPr="00026EC1">
        <w:t>assurance, l</w:t>
      </w:r>
      <w:r w:rsidR="004A41E4" w:rsidRPr="00026EC1">
        <w:t>’</w:t>
      </w:r>
      <w:r w:rsidRPr="00026EC1">
        <w:t>enseignante ou l</w:t>
      </w:r>
      <w:r w:rsidR="004A41E4" w:rsidRPr="00026EC1">
        <w:t>’</w:t>
      </w:r>
      <w:r w:rsidRPr="00026EC1">
        <w:t>enseignant en assume le coût total à la condition que les contrats</w:t>
      </w:r>
      <w:r w:rsidR="00984A6F">
        <w:noBreakHyphen/>
      </w:r>
      <w:r w:rsidRPr="00026EC1">
        <w:t>cadres le permettent.</w:t>
      </w:r>
    </w:p>
    <w:p w14:paraId="2158B3B1" w14:textId="77777777" w:rsidR="00404F34" w:rsidRPr="00026EC1" w:rsidRDefault="00404F34" w:rsidP="00A64613">
      <w:pPr>
        <w:keepNext w:val="0"/>
      </w:pPr>
    </w:p>
    <w:p w14:paraId="62F257DA" w14:textId="6BA6549A" w:rsidR="00404F34" w:rsidRPr="00026EC1" w:rsidRDefault="00404F34" w:rsidP="00A64613">
      <w:pPr>
        <w:pStyle w:val="NUMRODECLAUSE"/>
        <w:keepNext w:val="0"/>
      </w:pPr>
      <w:r w:rsidRPr="00026EC1">
        <w:t>5</w:t>
      </w:r>
      <w:r w:rsidR="00984A6F">
        <w:noBreakHyphen/>
      </w:r>
      <w:r w:rsidRPr="00026EC1">
        <w:t>14.15</w:t>
      </w:r>
    </w:p>
    <w:p w14:paraId="06213C23" w14:textId="77777777" w:rsidR="00404F34" w:rsidRPr="00026EC1" w:rsidRDefault="00404F34" w:rsidP="00A64613">
      <w:pPr>
        <w:keepNext w:val="0"/>
      </w:pPr>
      <w:r w:rsidRPr="00026EC1">
        <w:t>Sous réserve de la présente entente, la participation au programme volontaire de réduction du temps de travail ne peut être concurrente à un autre programme ou congé prévu dans la convention collective, à l</w:t>
      </w:r>
      <w:r w:rsidR="004A41E4" w:rsidRPr="00026EC1">
        <w:t>’</w:t>
      </w:r>
      <w:r w:rsidRPr="00026EC1">
        <w:t>exception des congés découlant des droits parentaux, des absences pour invalidité et des congés ou absences pour activités syndicales.</w:t>
      </w:r>
    </w:p>
    <w:p w14:paraId="440CBA72" w14:textId="77777777" w:rsidR="00404F34" w:rsidRPr="00026EC1" w:rsidRDefault="00404F34" w:rsidP="00A64613">
      <w:pPr>
        <w:keepNext w:val="0"/>
      </w:pPr>
    </w:p>
    <w:p w14:paraId="375975F1" w14:textId="4B9FF6AF" w:rsidR="00404F34" w:rsidRPr="00026EC1" w:rsidRDefault="00404F34" w:rsidP="00A64613">
      <w:pPr>
        <w:pStyle w:val="NUMRODECLAUSE"/>
        <w:keepNext w:val="0"/>
      </w:pPr>
      <w:r w:rsidRPr="00026EC1">
        <w:t>5</w:t>
      </w:r>
      <w:r w:rsidR="00984A6F">
        <w:noBreakHyphen/>
      </w:r>
      <w:r w:rsidRPr="00026EC1">
        <w:t>14.16</w:t>
      </w:r>
    </w:p>
    <w:p w14:paraId="7E0E5FCF" w14:textId="1042F0D0" w:rsidR="00404F34" w:rsidRPr="00026EC1" w:rsidRDefault="00404F34" w:rsidP="00A64613">
      <w:pPr>
        <w:keepNext w:val="0"/>
      </w:pPr>
      <w:r w:rsidRPr="00026EC1">
        <w:t>Les dates prévues aux clauses 5</w:t>
      </w:r>
      <w:r w:rsidR="00984A6F">
        <w:noBreakHyphen/>
      </w:r>
      <w:r w:rsidRPr="00026EC1">
        <w:t>14.04 et 5</w:t>
      </w:r>
      <w:r w:rsidR="00984A6F">
        <w:noBreakHyphen/>
      </w:r>
      <w:r w:rsidRPr="00026EC1">
        <w:t>14.07 peuvent être modifiées par entente entre les parties.</w:t>
      </w:r>
    </w:p>
    <w:p w14:paraId="087E906C"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7A773B66" w14:textId="77777777" w:rsidR="00404F34" w:rsidRPr="00026EC1" w:rsidRDefault="00404F34" w:rsidP="00A64613">
      <w:pPr>
        <w:keepNext w:val="0"/>
      </w:pPr>
    </w:p>
    <w:p w14:paraId="4B2EB2C9" w14:textId="3CA026C3" w:rsidR="00404F34" w:rsidRPr="00026EC1" w:rsidRDefault="00404F34" w:rsidP="00A64613">
      <w:pPr>
        <w:pStyle w:val="NUMRODECLAUSE"/>
        <w:keepNext w:val="0"/>
      </w:pPr>
      <w:r w:rsidRPr="00026EC1">
        <w:t>5</w:t>
      </w:r>
      <w:r w:rsidR="00984A6F">
        <w:noBreakHyphen/>
      </w:r>
      <w:r w:rsidRPr="00026EC1">
        <w:t>14.17</w:t>
      </w:r>
    </w:p>
    <w:p w14:paraId="598DB73D" w14:textId="77777777" w:rsidR="00404F34" w:rsidRPr="00026EC1" w:rsidRDefault="00404F34" w:rsidP="00A64613">
      <w:pPr>
        <w:keepNext w:val="0"/>
      </w:pPr>
      <w:r w:rsidRPr="00026EC1">
        <w:t>Lorsque les ressources disponibles et l</w:t>
      </w:r>
      <w:r w:rsidR="004A41E4" w:rsidRPr="00026EC1">
        <w:t>’</w:t>
      </w:r>
      <w:r w:rsidRPr="00026EC1">
        <w:t>organisation de l</w:t>
      </w:r>
      <w:r w:rsidR="004A41E4" w:rsidRPr="00026EC1">
        <w:t>’</w:t>
      </w:r>
      <w:r w:rsidRPr="00026EC1">
        <w:t xml:space="preserve">enseignement le permettent, le </w:t>
      </w:r>
      <w:r w:rsidRPr="00026EC1">
        <w:rPr>
          <w:shd w:val="clear" w:color="auto" w:fill="FFFFFF"/>
        </w:rPr>
        <w:t>Collège favorise l</w:t>
      </w:r>
      <w:r w:rsidR="004A41E4" w:rsidRPr="00026EC1">
        <w:rPr>
          <w:shd w:val="clear" w:color="auto" w:fill="FFFFFF"/>
        </w:rPr>
        <w:t>’</w:t>
      </w:r>
      <w:r w:rsidRPr="00026EC1">
        <w:rPr>
          <w:shd w:val="clear" w:color="auto" w:fill="FFFFFF"/>
        </w:rPr>
        <w:t>aménagement d</w:t>
      </w:r>
      <w:r w:rsidR="004A41E4" w:rsidRPr="00026EC1">
        <w:rPr>
          <w:shd w:val="clear" w:color="auto" w:fill="FFFFFF"/>
        </w:rPr>
        <w:t>’</w:t>
      </w:r>
      <w:r w:rsidRPr="00026EC1">
        <w:rPr>
          <w:shd w:val="clear" w:color="auto" w:fill="FFFFFF"/>
        </w:rPr>
        <w:t>un horaire en fonction de la réduction de la charge d</w:t>
      </w:r>
      <w:r w:rsidR="004A41E4" w:rsidRPr="00026EC1">
        <w:rPr>
          <w:shd w:val="clear" w:color="auto" w:fill="FFFFFF"/>
        </w:rPr>
        <w:t>’</w:t>
      </w:r>
      <w:r w:rsidRPr="00026EC1">
        <w:rPr>
          <w:shd w:val="clear" w:color="auto" w:fill="FFFFFF"/>
        </w:rPr>
        <w:t>enseignement</w:t>
      </w:r>
      <w:r w:rsidR="00BA79F8" w:rsidRPr="00026EC1">
        <w:t>.</w:t>
      </w:r>
    </w:p>
    <w:p w14:paraId="2CBB806B" w14:textId="5E85071C" w:rsidR="00404F34" w:rsidRPr="00026EC1" w:rsidRDefault="00404F34" w:rsidP="00A64613">
      <w:pPr>
        <w:pStyle w:val="Heading2"/>
        <w:keepNext w:val="0"/>
        <w:ind w:left="2127" w:hanging="2127"/>
      </w:pPr>
      <w:r w:rsidRPr="00026EC1">
        <w:br w:type="page"/>
      </w:r>
      <w:bookmarkStart w:id="527" w:name="_Toc535046611"/>
      <w:bookmarkStart w:id="528" w:name="_Toc133760784"/>
      <w:bookmarkStart w:id="529" w:name="_Toc393444614"/>
      <w:bookmarkStart w:id="530" w:name="_Toc393449565"/>
      <w:bookmarkStart w:id="531" w:name="_Toc393460934"/>
      <w:bookmarkStart w:id="532" w:name="_Toc393461212"/>
      <w:bookmarkStart w:id="533" w:name="_Toc393720773"/>
      <w:bookmarkStart w:id="534" w:name="_Toc393783934"/>
      <w:bookmarkStart w:id="535" w:name="_Toc393784073"/>
      <w:bookmarkStart w:id="536" w:name="_Toc168479527"/>
      <w:r w:rsidRPr="00026EC1">
        <w:t>Article 5</w:t>
      </w:r>
      <w:r w:rsidR="00984A6F">
        <w:t>-</w:t>
      </w:r>
      <w:r w:rsidRPr="00026EC1">
        <w:t>15.00</w:t>
      </w:r>
      <w:r w:rsidR="00C9604C" w:rsidRPr="00026EC1">
        <w:tab/>
      </w:r>
      <w:r w:rsidR="00984A6F">
        <w:t>-</w:t>
      </w:r>
      <w:r w:rsidR="00C9604C" w:rsidRPr="00026EC1">
        <w:tab/>
      </w:r>
      <w:r w:rsidRPr="00026EC1">
        <w:t>Congé sans salaire</w:t>
      </w:r>
      <w:bookmarkEnd w:id="527"/>
      <w:bookmarkEnd w:id="528"/>
      <w:bookmarkEnd w:id="529"/>
      <w:bookmarkEnd w:id="530"/>
      <w:bookmarkEnd w:id="531"/>
      <w:bookmarkEnd w:id="532"/>
      <w:bookmarkEnd w:id="533"/>
      <w:bookmarkEnd w:id="534"/>
      <w:bookmarkEnd w:id="535"/>
      <w:bookmarkEnd w:id="536"/>
    </w:p>
    <w:p w14:paraId="4996810D" w14:textId="17E45E9D" w:rsidR="00404F34" w:rsidRPr="00026EC1" w:rsidRDefault="00404F34" w:rsidP="00A64613">
      <w:pPr>
        <w:pStyle w:val="NUMRODECLAUSE"/>
        <w:keepNext w:val="0"/>
      </w:pPr>
      <w:r w:rsidRPr="00026EC1">
        <w:t>5</w:t>
      </w:r>
      <w:r w:rsidR="00984A6F">
        <w:noBreakHyphen/>
      </w:r>
      <w:r w:rsidRPr="00026EC1">
        <w:t>15.01</w:t>
      </w:r>
    </w:p>
    <w:p w14:paraId="2DE19CAD" w14:textId="4DAB33EE" w:rsidR="00404F34" w:rsidRPr="00026EC1" w:rsidRDefault="00404F34" w:rsidP="00A64613">
      <w:pPr>
        <w:keepNext w:val="0"/>
      </w:pPr>
      <w:r w:rsidRPr="00026EC1">
        <w:t>Pendant la durée d</w:t>
      </w:r>
      <w:r w:rsidR="004A41E4" w:rsidRPr="00026EC1">
        <w:t>’</w:t>
      </w:r>
      <w:r w:rsidRPr="00026EC1">
        <w:t>un congé sans salaire à temps complet, l</w:t>
      </w:r>
      <w:r w:rsidR="004A41E4" w:rsidRPr="00026EC1">
        <w:t>’</w:t>
      </w:r>
      <w:r w:rsidRPr="00026EC1">
        <w:t>enseignante ou l</w:t>
      </w:r>
      <w:r w:rsidR="004A41E4" w:rsidRPr="00026EC1">
        <w:t>’</w:t>
      </w:r>
      <w:r w:rsidRPr="00026EC1">
        <w:t>enseignant maintient sa participation au régime d</w:t>
      </w:r>
      <w:r w:rsidR="004A41E4" w:rsidRPr="00026EC1">
        <w:t>’</w:t>
      </w:r>
      <w:r w:rsidRPr="00026EC1">
        <w:t>assurance</w:t>
      </w:r>
      <w:r w:rsidR="00984A6F">
        <w:noBreakHyphen/>
      </w:r>
      <w:r w:rsidRPr="00026EC1">
        <w:t>maladie selon les modalités prévues aux clauses 5</w:t>
      </w:r>
      <w:r w:rsidR="00984A6F">
        <w:noBreakHyphen/>
      </w:r>
      <w:r w:rsidRPr="00026EC1">
        <w:t>5.01 et 5</w:t>
      </w:r>
      <w:r w:rsidR="00984A6F">
        <w:noBreakHyphen/>
      </w:r>
      <w:r w:rsidRPr="00026EC1">
        <w:t>5.15. Par ailleurs, pour continuer de bénéficier des avantages découlant des autres régimes d</w:t>
      </w:r>
      <w:r w:rsidR="004A41E4" w:rsidRPr="00026EC1">
        <w:t>’</w:t>
      </w:r>
      <w:r w:rsidRPr="00026EC1">
        <w:t>assurances ou des régimes de retraite, l</w:t>
      </w:r>
      <w:r w:rsidR="004A41E4" w:rsidRPr="00026EC1">
        <w:t>’</w:t>
      </w:r>
      <w:r w:rsidRPr="00026EC1">
        <w:t>enseignante ou l</w:t>
      </w:r>
      <w:r w:rsidR="004A41E4" w:rsidRPr="00026EC1">
        <w:t>’</w:t>
      </w:r>
      <w:r w:rsidRPr="00026EC1">
        <w:t>enseignant en assume le coût, à la condition que les contrats</w:t>
      </w:r>
      <w:r w:rsidR="00984A6F">
        <w:noBreakHyphen/>
      </w:r>
      <w:r w:rsidRPr="00026EC1">
        <w:t>cadres ou les régimes le permettent.</w:t>
      </w:r>
    </w:p>
    <w:p w14:paraId="4344613A" w14:textId="77777777" w:rsidR="00404F34" w:rsidRPr="00026EC1" w:rsidRDefault="00404F34" w:rsidP="00A64613">
      <w:pPr>
        <w:keepNext w:val="0"/>
      </w:pPr>
    </w:p>
    <w:p w14:paraId="3152D9BE" w14:textId="1E95C14D" w:rsidR="00404F34" w:rsidRPr="00026EC1" w:rsidRDefault="00404F34" w:rsidP="00A64613">
      <w:pPr>
        <w:pStyle w:val="NUMRODECLAUSE"/>
        <w:keepNext w:val="0"/>
      </w:pPr>
      <w:r w:rsidRPr="00026EC1">
        <w:t>5</w:t>
      </w:r>
      <w:r w:rsidR="00984A6F">
        <w:noBreakHyphen/>
      </w:r>
      <w:r w:rsidRPr="00026EC1">
        <w:t>15.02</w:t>
      </w:r>
    </w:p>
    <w:p w14:paraId="52782889" w14:textId="1DAA03D9"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en congé sans salaire à temps complet se voit reconnaître toute expérience pertinente conformément à l</w:t>
      </w:r>
      <w:r w:rsidR="004A41E4" w:rsidRPr="00026EC1">
        <w:t>’</w:t>
      </w:r>
      <w:r w:rsidRPr="00026EC1">
        <w:t>article 6</w:t>
      </w:r>
      <w:r w:rsidR="00984A6F">
        <w:noBreakHyphen/>
      </w:r>
      <w:r w:rsidRPr="00026EC1">
        <w:t>2.00.</w:t>
      </w:r>
    </w:p>
    <w:p w14:paraId="66B7F9CB"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3AF6BB69" w14:textId="77777777" w:rsidR="00404F34" w:rsidRPr="00026EC1" w:rsidRDefault="00404F34" w:rsidP="00A64613">
      <w:pPr>
        <w:keepNext w:val="0"/>
      </w:pPr>
    </w:p>
    <w:p w14:paraId="26807CBE" w14:textId="403830F4" w:rsidR="00404F34" w:rsidRPr="00026EC1" w:rsidRDefault="00404F34" w:rsidP="00A64613">
      <w:pPr>
        <w:pStyle w:val="NUMRODECLAUSE"/>
        <w:keepNext w:val="0"/>
      </w:pPr>
      <w:r w:rsidRPr="00026EC1">
        <w:t>5</w:t>
      </w:r>
      <w:r w:rsidR="00984A6F">
        <w:noBreakHyphen/>
      </w:r>
      <w:r w:rsidRPr="00026EC1">
        <w:t>15.03</w:t>
      </w:r>
    </w:p>
    <w:p w14:paraId="2A3E5772" w14:textId="4FBA95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non permanent qui a à son crédit au moins trois</w:t>
      </w:r>
      <w:r w:rsidR="007114A6">
        <w:t> </w:t>
      </w:r>
      <w:r w:rsidRPr="00026EC1">
        <w:t>(3) années d</w:t>
      </w:r>
      <w:r w:rsidR="004A41E4" w:rsidRPr="00026EC1">
        <w:t>’</w:t>
      </w:r>
      <w:r w:rsidRPr="00026EC1">
        <w:t>ancienneté ou qui a occupé une charge à temps complet au Collège pendant deux</w:t>
      </w:r>
      <w:r w:rsidR="008A5719">
        <w:t> </w:t>
      </w:r>
      <w:r w:rsidRPr="00026EC1">
        <w:t>(2) années ou l</w:t>
      </w:r>
      <w:r w:rsidR="004A41E4" w:rsidRPr="00026EC1">
        <w:t>’</w:t>
      </w:r>
      <w:r w:rsidRPr="00026EC1">
        <w:t>enseignante ou l</w:t>
      </w:r>
      <w:r w:rsidR="004A41E4" w:rsidRPr="00026EC1">
        <w:t>’</w:t>
      </w:r>
      <w:r w:rsidRPr="00026EC1">
        <w:t>enseignant permanent obtient, sur avis écrit au Collège et selon la procédure prévue au présent article, un congé sans salaire à temps plein pour l</w:t>
      </w:r>
      <w:r w:rsidR="004A41E4" w:rsidRPr="00026EC1">
        <w:t>’</w:t>
      </w:r>
      <w:r w:rsidRPr="00026EC1">
        <w:t>année d</w:t>
      </w:r>
      <w:r w:rsidR="004A41E4" w:rsidRPr="00026EC1">
        <w:t>’</w:t>
      </w:r>
      <w:r w:rsidRPr="00026EC1">
        <w:t>enseignement suivante. Un tel congé peut être renouvelé pour une</w:t>
      </w:r>
      <w:r w:rsidR="007114A6">
        <w:t> </w:t>
      </w:r>
      <w:r w:rsidR="0084520F" w:rsidRPr="00026EC1">
        <w:t>(1)</w:t>
      </w:r>
      <w:r w:rsidRPr="00026EC1">
        <w:t xml:space="preserve"> année seulement.</w:t>
      </w:r>
    </w:p>
    <w:p w14:paraId="34AD82C3" w14:textId="77777777" w:rsidR="00404F34" w:rsidRPr="00026EC1" w:rsidRDefault="00404F34" w:rsidP="00A64613">
      <w:pPr>
        <w:keepNext w:val="0"/>
      </w:pPr>
    </w:p>
    <w:p w14:paraId="7F7E3E37" w14:textId="07F242A7" w:rsidR="00404F34" w:rsidRPr="00026EC1" w:rsidRDefault="00404F34" w:rsidP="00A64613">
      <w:pPr>
        <w:pStyle w:val="NUMRODECLAUSE"/>
        <w:keepNext w:val="0"/>
      </w:pPr>
      <w:r w:rsidRPr="00026EC1">
        <w:t>5</w:t>
      </w:r>
      <w:r w:rsidR="00984A6F">
        <w:noBreakHyphen/>
      </w:r>
      <w:r w:rsidRPr="00026EC1">
        <w:t>15.04</w:t>
      </w:r>
    </w:p>
    <w:p w14:paraId="2925B9D8" w14:textId="77777777" w:rsidR="00404F34" w:rsidRPr="00026EC1" w:rsidRDefault="00404F34" w:rsidP="00A64613">
      <w:pPr>
        <w:keepNext w:val="0"/>
      </w:pPr>
      <w:r w:rsidRPr="00026EC1">
        <w:t>En aucun cas, un tel congé ne peut être utilisé pour occuper un emploi à moins d</w:t>
      </w:r>
      <w:r w:rsidR="004A41E4" w:rsidRPr="00026EC1">
        <w:t>’</w:t>
      </w:r>
      <w:r w:rsidRPr="00026EC1">
        <w:t>une autorisation écrite à la suite d</w:t>
      </w:r>
      <w:r w:rsidR="004A41E4" w:rsidRPr="00026EC1">
        <w:t>’</w:t>
      </w:r>
      <w:r w:rsidRPr="00026EC1">
        <w:t>une entente au CRT.</w:t>
      </w:r>
    </w:p>
    <w:p w14:paraId="275762AB" w14:textId="77777777" w:rsidR="00404F34" w:rsidRPr="00026EC1" w:rsidRDefault="00404F34" w:rsidP="00A64613">
      <w:pPr>
        <w:keepNext w:val="0"/>
      </w:pPr>
    </w:p>
    <w:p w14:paraId="5E7113BC" w14:textId="6A551E74" w:rsidR="00404F34" w:rsidRPr="00026EC1" w:rsidRDefault="00404F34" w:rsidP="00A64613">
      <w:pPr>
        <w:pStyle w:val="NUMRODECLAUSE"/>
        <w:keepNext w:val="0"/>
      </w:pPr>
      <w:r w:rsidRPr="00026EC1">
        <w:t>5</w:t>
      </w:r>
      <w:r w:rsidR="00984A6F">
        <w:noBreakHyphen/>
      </w:r>
      <w:r w:rsidRPr="00026EC1">
        <w:t>15.05</w:t>
      </w:r>
    </w:p>
    <w:p w14:paraId="330EF66E" w14:textId="1BE94A1C" w:rsidR="00404F34" w:rsidRPr="00026EC1" w:rsidRDefault="00404F34" w:rsidP="00A64613">
      <w:pPr>
        <w:keepNext w:val="0"/>
      </w:pPr>
      <w:r w:rsidRPr="00026EC1">
        <w:t>Un tel avis doit être donné au Collège avant le 15</w:t>
      </w:r>
      <w:r w:rsidR="008A5719">
        <w:t> </w:t>
      </w:r>
      <w:r w:rsidRPr="00026EC1">
        <w:t>avril.</w:t>
      </w:r>
    </w:p>
    <w:p w14:paraId="60109959" w14:textId="77777777" w:rsidR="00404F34" w:rsidRPr="00026EC1" w:rsidRDefault="00404F34" w:rsidP="00A64613">
      <w:pPr>
        <w:keepNext w:val="0"/>
      </w:pPr>
    </w:p>
    <w:p w14:paraId="77D7DECB" w14:textId="29155E68" w:rsidR="00404F34" w:rsidRPr="00026EC1" w:rsidRDefault="00404F34" w:rsidP="00A64613">
      <w:pPr>
        <w:pStyle w:val="NUMRODECLAUSE"/>
        <w:keepNext w:val="0"/>
      </w:pPr>
      <w:r w:rsidRPr="00026EC1">
        <w:t>5</w:t>
      </w:r>
      <w:r w:rsidR="00984A6F">
        <w:noBreakHyphen/>
      </w:r>
      <w:r w:rsidRPr="00026EC1">
        <w:t>15.06</w:t>
      </w:r>
    </w:p>
    <w:p w14:paraId="2F8B0E6E" w14:textId="49E8ED81"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en congé sans salaire accumule pendant la première</w:t>
      </w:r>
      <w:r w:rsidR="007114A6">
        <w:t> </w:t>
      </w:r>
      <w:r w:rsidRPr="00026EC1">
        <w:t>(1</w:t>
      </w:r>
      <w:r w:rsidRPr="00026EC1">
        <w:rPr>
          <w:vertAlign w:val="superscript"/>
        </w:rPr>
        <w:t>re</w:t>
      </w:r>
      <w:r w:rsidRPr="00026EC1">
        <w:t>) année de ce congé une</w:t>
      </w:r>
      <w:r w:rsidR="007114A6">
        <w:t> </w:t>
      </w:r>
      <w:r w:rsidRPr="00026EC1">
        <w:t>(1)</w:t>
      </w:r>
      <w:r w:rsidR="007114A6">
        <w:t xml:space="preserve"> </w:t>
      </w:r>
      <w:r w:rsidRPr="00026EC1">
        <w:t>année d</w:t>
      </w:r>
      <w:r w:rsidR="004A41E4" w:rsidRPr="00026EC1">
        <w:t>’</w:t>
      </w:r>
      <w:r w:rsidRPr="00026EC1">
        <w:t>ancienneté.</w:t>
      </w:r>
    </w:p>
    <w:p w14:paraId="04B54F08" w14:textId="77777777" w:rsidR="00404F34" w:rsidRPr="00026EC1" w:rsidRDefault="00404F34" w:rsidP="00A64613">
      <w:pPr>
        <w:keepNext w:val="0"/>
      </w:pPr>
    </w:p>
    <w:p w14:paraId="3AA59ACE" w14:textId="56119297" w:rsidR="00404F34" w:rsidRPr="00026EC1" w:rsidRDefault="00404F34" w:rsidP="00A64613">
      <w:pPr>
        <w:pStyle w:val="NUMRODECLAUSE"/>
        <w:keepNext w:val="0"/>
      </w:pPr>
      <w:r w:rsidRPr="00026EC1">
        <w:t>5</w:t>
      </w:r>
      <w:r w:rsidR="00984A6F">
        <w:noBreakHyphen/>
      </w:r>
      <w:r w:rsidRPr="00026EC1">
        <w:t>15.07</w:t>
      </w:r>
    </w:p>
    <w:p w14:paraId="7E30B3D0" w14:textId="77777777" w:rsidR="00404F34" w:rsidRPr="00026EC1" w:rsidRDefault="00404F34" w:rsidP="00A64613">
      <w:pPr>
        <w:keepNext w:val="0"/>
      </w:pPr>
      <w:r w:rsidRPr="00026EC1">
        <w:t>Le Collège informe le Syndicat de tout avis d</w:t>
      </w:r>
      <w:r w:rsidR="004A41E4" w:rsidRPr="00026EC1">
        <w:t>’</w:t>
      </w:r>
      <w:r w:rsidR="00BA79F8" w:rsidRPr="00026EC1">
        <w:t>un tel congé sans salaire.</w:t>
      </w:r>
    </w:p>
    <w:p w14:paraId="2D6F30BE" w14:textId="06488B16" w:rsidR="00404F34" w:rsidRPr="00026EC1" w:rsidRDefault="00404F34" w:rsidP="00A64613">
      <w:pPr>
        <w:pStyle w:val="Heading2"/>
        <w:keepNext w:val="0"/>
        <w:ind w:left="2127" w:hanging="2127"/>
      </w:pPr>
      <w:r w:rsidRPr="00026EC1">
        <w:br w:type="page"/>
      </w:r>
      <w:bookmarkStart w:id="537" w:name="_Toc535046612"/>
      <w:bookmarkStart w:id="538" w:name="_Toc133760785"/>
      <w:bookmarkStart w:id="539" w:name="_Toc393444615"/>
      <w:bookmarkStart w:id="540" w:name="_Toc393449566"/>
      <w:bookmarkStart w:id="541" w:name="_Toc393460935"/>
      <w:bookmarkStart w:id="542" w:name="_Toc393461213"/>
      <w:bookmarkStart w:id="543" w:name="_Toc393720774"/>
      <w:bookmarkStart w:id="544" w:name="_Toc393783935"/>
      <w:bookmarkStart w:id="545" w:name="_Toc393784074"/>
      <w:bookmarkStart w:id="546" w:name="_Toc168479528"/>
      <w:r w:rsidRPr="00026EC1">
        <w:t>Article 5</w:t>
      </w:r>
      <w:r w:rsidR="00984A6F">
        <w:t>-</w:t>
      </w:r>
      <w:r w:rsidRPr="00026EC1">
        <w:t>16.00</w:t>
      </w:r>
      <w:r w:rsidR="00C9604C" w:rsidRPr="00026EC1">
        <w:tab/>
      </w:r>
      <w:r w:rsidR="00984A6F">
        <w:t>-</w:t>
      </w:r>
      <w:r w:rsidR="00C9604C" w:rsidRPr="00026EC1">
        <w:tab/>
      </w:r>
      <w:r w:rsidRPr="00026EC1">
        <w:t>Congé mi</w:t>
      </w:r>
      <w:r w:rsidR="00864798">
        <w:t>-</w:t>
      </w:r>
      <w:r w:rsidRPr="00026EC1">
        <w:t>temps</w:t>
      </w:r>
      <w:bookmarkEnd w:id="537"/>
      <w:bookmarkEnd w:id="538"/>
      <w:bookmarkEnd w:id="539"/>
      <w:bookmarkEnd w:id="540"/>
      <w:bookmarkEnd w:id="541"/>
      <w:bookmarkEnd w:id="542"/>
      <w:bookmarkEnd w:id="543"/>
      <w:bookmarkEnd w:id="544"/>
      <w:bookmarkEnd w:id="545"/>
      <w:bookmarkEnd w:id="546"/>
    </w:p>
    <w:p w14:paraId="2D6CF1B8" w14:textId="43230AFD" w:rsidR="00404F34" w:rsidRPr="00026EC1" w:rsidRDefault="00404F34" w:rsidP="00A64613">
      <w:pPr>
        <w:pStyle w:val="NUMRODECLAUSE"/>
        <w:keepNext w:val="0"/>
      </w:pPr>
      <w:r w:rsidRPr="00026EC1">
        <w:t>5</w:t>
      </w:r>
      <w:r w:rsidR="00984A6F">
        <w:noBreakHyphen/>
      </w:r>
      <w:r w:rsidRPr="00026EC1">
        <w:t>16.01</w:t>
      </w:r>
    </w:p>
    <w:p w14:paraId="4781E3F4" w14:textId="6D63274C" w:rsidR="00404F34" w:rsidRPr="00026EC1" w:rsidRDefault="00404F34" w:rsidP="00A64613">
      <w:pPr>
        <w:keepNext w:val="0"/>
      </w:pPr>
      <w:r w:rsidRPr="00026EC1">
        <w:t>À moins de stipulation contraire dans la convention collective, l</w:t>
      </w:r>
      <w:r w:rsidR="004A41E4" w:rsidRPr="00026EC1">
        <w:t>’</w:t>
      </w:r>
      <w:r w:rsidRPr="00026EC1">
        <w:t>enseignante ou l</w:t>
      </w:r>
      <w:r w:rsidR="004A41E4" w:rsidRPr="00026EC1">
        <w:t>’</w:t>
      </w:r>
      <w:r w:rsidRPr="00026EC1">
        <w:t>enseignant en congé mi</w:t>
      </w:r>
      <w:r w:rsidR="00984A6F">
        <w:noBreakHyphen/>
      </w:r>
      <w:r w:rsidRPr="00026EC1">
        <w:t>temps est considéré comme une enseignante ou un enseignant à demi</w:t>
      </w:r>
      <w:r w:rsidR="00984A6F">
        <w:noBreakHyphen/>
      </w:r>
      <w:r w:rsidRPr="00026EC1">
        <w:t xml:space="preserve">temps aux fins des congés de maternité, </w:t>
      </w:r>
      <w:r w:rsidR="004B68D9" w:rsidRPr="00026EC1">
        <w:t>de paternité et d</w:t>
      </w:r>
      <w:r w:rsidR="004A41E4" w:rsidRPr="00026EC1">
        <w:t>’</w:t>
      </w:r>
      <w:r w:rsidR="004B68D9" w:rsidRPr="00026EC1">
        <w:t xml:space="preserve">adoption, </w:t>
      </w:r>
      <w:r w:rsidRPr="00026EC1">
        <w:t>des régimes d</w:t>
      </w:r>
      <w:r w:rsidR="004A41E4" w:rsidRPr="00026EC1">
        <w:t>’</w:t>
      </w:r>
      <w:r w:rsidRPr="00026EC1">
        <w:t>assurances et de retraite.</w:t>
      </w:r>
    </w:p>
    <w:p w14:paraId="5D12E5C0" w14:textId="77777777" w:rsidR="00404F34" w:rsidRPr="00026EC1" w:rsidRDefault="00404F34" w:rsidP="00A64613">
      <w:pPr>
        <w:keepNext w:val="0"/>
      </w:pPr>
    </w:p>
    <w:p w14:paraId="3904D5FC" w14:textId="3F0B8E01" w:rsidR="00404F34" w:rsidRPr="00026EC1" w:rsidRDefault="00404F34" w:rsidP="00A64613">
      <w:pPr>
        <w:keepNext w:val="0"/>
      </w:pPr>
      <w:r w:rsidRPr="00026EC1">
        <w:t>Dans un tel cas, à la condition que le régime le permette, l</w:t>
      </w:r>
      <w:r w:rsidR="004A41E4" w:rsidRPr="00026EC1">
        <w:t>’</w:t>
      </w:r>
      <w:r w:rsidRPr="00026EC1">
        <w:t>enseignante ou l</w:t>
      </w:r>
      <w:r w:rsidR="004A41E4" w:rsidRPr="00026EC1">
        <w:t>’</w:t>
      </w:r>
      <w:r w:rsidRPr="00026EC1">
        <w:t>enseignant est considéré à temps complet si elle ou il le désire aux fins d</w:t>
      </w:r>
      <w:r w:rsidR="004A41E4" w:rsidRPr="00026EC1">
        <w:t>’</w:t>
      </w:r>
      <w:r w:rsidRPr="00026EC1">
        <w:t>admissibilité au régime de retraite et le Collège n</w:t>
      </w:r>
      <w:r w:rsidR="004A41E4" w:rsidRPr="00026EC1">
        <w:t>’</w:t>
      </w:r>
      <w:r w:rsidRPr="00026EC1">
        <w:t>est alors tenu de verser que la contribution afférente au demi</w:t>
      </w:r>
      <w:r w:rsidR="00984A6F">
        <w:noBreakHyphen/>
      </w:r>
      <w:r w:rsidRPr="00026EC1">
        <w:t>salaire. Le solde de la contribution et la cotisation sont payés en entier par l</w:t>
      </w:r>
      <w:r w:rsidR="004A41E4" w:rsidRPr="00026EC1">
        <w:t>’</w:t>
      </w:r>
      <w:r w:rsidRPr="00026EC1">
        <w:t>enseignante ou l</w:t>
      </w:r>
      <w:r w:rsidR="004A41E4" w:rsidRPr="00026EC1">
        <w:t>’</w:t>
      </w:r>
      <w:r w:rsidRPr="00026EC1">
        <w:t>enseignant.</w:t>
      </w:r>
    </w:p>
    <w:p w14:paraId="0991F938" w14:textId="77777777" w:rsidR="00404F34" w:rsidRPr="00026EC1" w:rsidRDefault="00404F34" w:rsidP="00A64613">
      <w:pPr>
        <w:keepNext w:val="0"/>
      </w:pPr>
    </w:p>
    <w:p w14:paraId="4012968F" w14:textId="5800ABB0" w:rsidR="00404F34" w:rsidRPr="00026EC1" w:rsidRDefault="00404F34" w:rsidP="00A64613">
      <w:pPr>
        <w:keepNext w:val="0"/>
      </w:pPr>
      <w:r w:rsidRPr="00026EC1">
        <w:t>En outre, à la condition que les contrats</w:t>
      </w:r>
      <w:r w:rsidR="00984A6F">
        <w:noBreakHyphen/>
      </w:r>
      <w:r w:rsidRPr="00026EC1">
        <w:t>cadres le permettent, l</w:t>
      </w:r>
      <w:r w:rsidR="004A41E4" w:rsidRPr="00026EC1">
        <w:t>’</w:t>
      </w:r>
      <w:r w:rsidRPr="00026EC1">
        <w:t>enseignante ou l</w:t>
      </w:r>
      <w:r w:rsidR="004A41E4" w:rsidRPr="00026EC1">
        <w:t>’</w:t>
      </w:r>
      <w:r w:rsidRPr="00026EC1">
        <w:t>enseignant peut continuer à contribuer et à bénéficier durant un tel congé des avantages découlant d</w:t>
      </w:r>
      <w:r w:rsidR="004A41E4" w:rsidRPr="00026EC1">
        <w:t>’</w:t>
      </w:r>
      <w:r w:rsidRPr="00026EC1">
        <w:t>assurances collectives complémentaires comme si elle ou il était à temps complet.</w:t>
      </w:r>
    </w:p>
    <w:p w14:paraId="2426D527" w14:textId="77777777" w:rsidR="00404F34" w:rsidRPr="00026EC1" w:rsidRDefault="00404F34" w:rsidP="00A64613">
      <w:pPr>
        <w:keepNext w:val="0"/>
      </w:pPr>
    </w:p>
    <w:p w14:paraId="00CBED8C" w14:textId="7A4BD1EE" w:rsidR="00404F34" w:rsidRPr="00026EC1" w:rsidRDefault="00404F34" w:rsidP="00A64613">
      <w:pPr>
        <w:pStyle w:val="NUMRODECLAUSE"/>
        <w:keepNext w:val="0"/>
      </w:pPr>
      <w:r w:rsidRPr="00026EC1">
        <w:t>5</w:t>
      </w:r>
      <w:r w:rsidR="00984A6F">
        <w:noBreakHyphen/>
      </w:r>
      <w:r w:rsidRPr="00026EC1">
        <w:t>16.02</w:t>
      </w:r>
    </w:p>
    <w:p w14:paraId="2A64C610" w14:textId="5BBD0D9C"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en congé mi</w:t>
      </w:r>
      <w:r w:rsidR="00984A6F">
        <w:noBreakHyphen/>
      </w:r>
      <w:r w:rsidRPr="00026EC1">
        <w:t>temps reçoit un demi</w:t>
      </w:r>
      <w:r w:rsidR="00984A6F">
        <w:noBreakHyphen/>
      </w:r>
      <w:r w:rsidRPr="00026EC1">
        <w:t>salaire annuel et accumule pendant ce congé</w:t>
      </w:r>
      <w:r w:rsidR="00D8581B">
        <w:t> :</w:t>
      </w:r>
    </w:p>
    <w:p w14:paraId="770F221C" w14:textId="77777777" w:rsidR="00404F34" w:rsidRPr="00026EC1" w:rsidRDefault="00404F34" w:rsidP="00A64613">
      <w:pPr>
        <w:keepNext w:val="0"/>
      </w:pPr>
    </w:p>
    <w:p w14:paraId="1A9C90C3" w14:textId="255AF559" w:rsidR="00404F34" w:rsidRPr="00026EC1" w:rsidRDefault="00275751" w:rsidP="00A64613">
      <w:pPr>
        <w:keepNext w:val="0"/>
        <w:tabs>
          <w:tab w:val="left" w:pos="567"/>
        </w:tabs>
        <w:ind w:left="567" w:hanging="567"/>
      </w:pPr>
      <w:r w:rsidRPr="00026EC1">
        <w:t>a)</w:t>
      </w:r>
      <w:r w:rsidRPr="00026EC1">
        <w:tab/>
      </w:r>
      <w:r w:rsidR="00404F34" w:rsidRPr="00026EC1">
        <w:t>une demi</w:t>
      </w:r>
      <w:r w:rsidR="00984A6F">
        <w:noBreakHyphen/>
      </w:r>
      <w:r w:rsidR="00404F34" w:rsidRPr="00026EC1">
        <w:t>année</w:t>
      </w:r>
      <w:r w:rsidR="008A5719">
        <w:t> </w:t>
      </w:r>
      <w:r w:rsidR="00A95161" w:rsidRPr="00026EC1">
        <w:t>(0,5)</w:t>
      </w:r>
      <w:r w:rsidR="00404F34" w:rsidRPr="00026EC1">
        <w:t xml:space="preserve"> d</w:t>
      </w:r>
      <w:r w:rsidR="004A41E4" w:rsidRPr="00026EC1">
        <w:t>’</w:t>
      </w:r>
      <w:r w:rsidR="00404F34" w:rsidRPr="00026EC1">
        <w:t>expérience par année de congé pour sa charge au Collège;</w:t>
      </w:r>
    </w:p>
    <w:p w14:paraId="036A3906" w14:textId="77777777" w:rsidR="00404F34" w:rsidRPr="00026EC1" w:rsidRDefault="00404F34" w:rsidP="00A64613">
      <w:pPr>
        <w:keepNext w:val="0"/>
      </w:pPr>
    </w:p>
    <w:p w14:paraId="1D1A46CA" w14:textId="1C783CDE" w:rsidR="00404F34" w:rsidRPr="00026EC1" w:rsidRDefault="00275751" w:rsidP="00A64613">
      <w:pPr>
        <w:keepNext w:val="0"/>
        <w:tabs>
          <w:tab w:val="left" w:pos="567"/>
        </w:tabs>
        <w:ind w:left="567" w:hanging="567"/>
      </w:pPr>
      <w:r w:rsidRPr="00026EC1">
        <w:t>b)</w:t>
      </w:r>
      <w:r w:rsidRPr="00026EC1">
        <w:tab/>
      </w:r>
      <w:r w:rsidR="00404F34" w:rsidRPr="00026EC1">
        <w:t>toute autre expérience pertinente conformément à l</w:t>
      </w:r>
      <w:r w:rsidR="004A41E4" w:rsidRPr="00026EC1">
        <w:t>’</w:t>
      </w:r>
      <w:r w:rsidR="00404F34" w:rsidRPr="00026EC1">
        <w:t>article 6</w:t>
      </w:r>
      <w:r w:rsidR="00984A6F">
        <w:noBreakHyphen/>
      </w:r>
      <w:r w:rsidR="00404F34" w:rsidRPr="00026EC1">
        <w:t>2.00.</w:t>
      </w:r>
    </w:p>
    <w:p w14:paraId="141A8249"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5804E842" w14:textId="77777777" w:rsidR="00404F34" w:rsidRPr="00026EC1" w:rsidRDefault="00404F34" w:rsidP="00A64613">
      <w:pPr>
        <w:keepNext w:val="0"/>
      </w:pPr>
    </w:p>
    <w:p w14:paraId="4F4F1F97" w14:textId="311C87BA" w:rsidR="00404F34" w:rsidRPr="00026EC1" w:rsidRDefault="00404F34" w:rsidP="00A64613">
      <w:pPr>
        <w:pStyle w:val="NUMRODECLAUSE"/>
        <w:keepNext w:val="0"/>
      </w:pPr>
      <w:r w:rsidRPr="00026EC1">
        <w:t>5</w:t>
      </w:r>
      <w:r w:rsidR="00984A6F">
        <w:noBreakHyphen/>
      </w:r>
      <w:r w:rsidRPr="00026EC1">
        <w:t>16.03</w:t>
      </w:r>
    </w:p>
    <w:p w14:paraId="297BC81C" w14:textId="5CA83F3A"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en congé mi</w:t>
      </w:r>
      <w:r w:rsidR="00984A6F">
        <w:noBreakHyphen/>
      </w:r>
      <w:r w:rsidRPr="00026EC1">
        <w:t>temps est une enseignante ou un enseignant à temps complet qui n</w:t>
      </w:r>
      <w:r w:rsidR="004A41E4" w:rsidRPr="00026EC1">
        <w:t>’</w:t>
      </w:r>
      <w:r w:rsidRPr="00026EC1">
        <w:t>accomplit que la moitié de la charge annuelle qu</w:t>
      </w:r>
      <w:r w:rsidR="004A41E4" w:rsidRPr="00026EC1">
        <w:t>’</w:t>
      </w:r>
      <w:r w:rsidRPr="00026EC1">
        <w:t>elle ou il assumerait autrement. Cette enseignante ou cet enseignant peut accomplir sa charge à l</w:t>
      </w:r>
      <w:r w:rsidR="004A41E4" w:rsidRPr="00026EC1">
        <w:t>’</w:t>
      </w:r>
      <w:r w:rsidRPr="00026EC1">
        <w:t>intérieur d</w:t>
      </w:r>
      <w:r w:rsidR="004A41E4" w:rsidRPr="00026EC1">
        <w:t>’</w:t>
      </w:r>
      <w:r w:rsidRPr="00026EC1">
        <w:t>une (1) ou deux</w:t>
      </w:r>
      <w:r w:rsidR="008A5719">
        <w:t> </w:t>
      </w:r>
      <w:r w:rsidRPr="00026EC1">
        <w:t>(2) sessions de la même année d</w:t>
      </w:r>
      <w:r w:rsidR="004A41E4" w:rsidRPr="00026EC1">
        <w:t>’</w:t>
      </w:r>
      <w:r w:rsidRPr="00026EC1">
        <w:t>enseignement.</w:t>
      </w:r>
    </w:p>
    <w:p w14:paraId="0CB8B55D" w14:textId="77777777" w:rsidR="00404F34" w:rsidRPr="00026EC1" w:rsidRDefault="00404F34" w:rsidP="00A64613">
      <w:pPr>
        <w:keepNext w:val="0"/>
      </w:pPr>
    </w:p>
    <w:p w14:paraId="25126670" w14:textId="20EF5DB5" w:rsidR="00404F34" w:rsidRPr="00026EC1" w:rsidRDefault="00404F34" w:rsidP="00A64613">
      <w:pPr>
        <w:pStyle w:val="NUMRODECLAUSE"/>
        <w:keepNext w:val="0"/>
      </w:pPr>
      <w:r w:rsidRPr="00026EC1">
        <w:t>5</w:t>
      </w:r>
      <w:r w:rsidR="00984A6F">
        <w:noBreakHyphen/>
      </w:r>
      <w:r w:rsidRPr="00026EC1">
        <w:t>16.04</w:t>
      </w:r>
    </w:p>
    <w:p w14:paraId="4DF08C43" w14:textId="5A66786F"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non permanent qui a à son crédit au moins trois</w:t>
      </w:r>
      <w:r w:rsidR="008A5719">
        <w:t> </w:t>
      </w:r>
      <w:r w:rsidR="009E1A22">
        <w:t>(</w:t>
      </w:r>
      <w:r w:rsidRPr="00026EC1">
        <w:t>3) années d</w:t>
      </w:r>
      <w:r w:rsidR="004A41E4" w:rsidRPr="00026EC1">
        <w:t>’</w:t>
      </w:r>
      <w:r w:rsidRPr="00026EC1">
        <w:t>ancienneté ou qui a occupé une charge à temps complet au Collège pendant deux</w:t>
      </w:r>
      <w:r w:rsidR="008A5719">
        <w:t> </w:t>
      </w:r>
      <w:r w:rsidRPr="00026EC1">
        <w:t>(2) années ou l</w:t>
      </w:r>
      <w:r w:rsidR="004A41E4" w:rsidRPr="00026EC1">
        <w:t>’</w:t>
      </w:r>
      <w:r w:rsidRPr="00026EC1">
        <w:t>enseignante ou l</w:t>
      </w:r>
      <w:r w:rsidR="004A41E4" w:rsidRPr="00026EC1">
        <w:t>’</w:t>
      </w:r>
      <w:r w:rsidRPr="00026EC1">
        <w:t>enseignant permanent obtient du Collège un congé mi</w:t>
      </w:r>
      <w:r w:rsidR="00984A6F">
        <w:noBreakHyphen/>
      </w:r>
      <w:r w:rsidRPr="00026EC1">
        <w:t>temps commençant la session suivante moyennant un avis donné au Collège avant le 15</w:t>
      </w:r>
      <w:r w:rsidR="008A5719">
        <w:t> </w:t>
      </w:r>
      <w:r w:rsidRPr="00026EC1">
        <w:t>avril ou le 15 octobre, selon le cas, et l</w:t>
      </w:r>
      <w:r w:rsidR="004A41E4" w:rsidRPr="00026EC1">
        <w:t>’</w:t>
      </w:r>
      <w:r w:rsidRPr="00026EC1">
        <w:t>autorisation écrite du Collège donnée dans les dix</w:t>
      </w:r>
      <w:r w:rsidR="008A5719">
        <w:t> </w:t>
      </w:r>
      <w:r w:rsidRPr="00026EC1">
        <w:t>(10) jours ouvrables de l</w:t>
      </w:r>
      <w:r w:rsidR="004A41E4" w:rsidRPr="00026EC1">
        <w:t>’</w:t>
      </w:r>
      <w:r w:rsidRPr="00026EC1">
        <w:t>une ou l</w:t>
      </w:r>
      <w:r w:rsidR="004A41E4" w:rsidRPr="00026EC1">
        <w:t>’</w:t>
      </w:r>
      <w:r w:rsidRPr="00026EC1">
        <w:t>autre de ces dates. Cette autorisation ne peut être refusée que pour un motif raisonnable. Dans le cas de l</w:t>
      </w:r>
      <w:r w:rsidR="004A41E4" w:rsidRPr="00026EC1">
        <w:t>’</w:t>
      </w:r>
      <w:r w:rsidRPr="00026EC1">
        <w:t>enseignante ou l</w:t>
      </w:r>
      <w:r w:rsidR="004A41E4" w:rsidRPr="00026EC1">
        <w:t>’</w:t>
      </w:r>
      <w:r w:rsidRPr="00026EC1">
        <w:t>enseignant non permanent, cette autorisation est conditionnelle à ce qu</w:t>
      </w:r>
      <w:r w:rsidR="004A41E4" w:rsidRPr="00026EC1">
        <w:t>’</w:t>
      </w:r>
      <w:r w:rsidRPr="00026EC1">
        <w:t>elle ou il détienne ou obtienne une charge d</w:t>
      </w:r>
      <w:r w:rsidR="004A41E4" w:rsidRPr="00026EC1">
        <w:t>’</w:t>
      </w:r>
      <w:r w:rsidRPr="00026EC1">
        <w:t>enseignement à temps complet pour l</w:t>
      </w:r>
      <w:r w:rsidR="004A41E4" w:rsidRPr="00026EC1">
        <w:t>’</w:t>
      </w:r>
      <w:r w:rsidRPr="00026EC1">
        <w:t>année où elle ou il désire être en congé mi</w:t>
      </w:r>
      <w:r w:rsidR="00984A6F">
        <w:noBreakHyphen/>
      </w:r>
      <w:r w:rsidRPr="00026EC1">
        <w:t>temps.</w:t>
      </w:r>
    </w:p>
    <w:p w14:paraId="2041BB50" w14:textId="77777777" w:rsidR="00404F34" w:rsidRPr="00026EC1" w:rsidRDefault="00404F34" w:rsidP="00A64613">
      <w:pPr>
        <w:keepNext w:val="0"/>
      </w:pPr>
    </w:p>
    <w:p w14:paraId="14BB9ECB" w14:textId="345E8D88" w:rsidR="00404F34" w:rsidRPr="00026EC1" w:rsidRDefault="00404F34" w:rsidP="00A64613">
      <w:pPr>
        <w:pStyle w:val="NUMRODECLAUSE"/>
        <w:keepNext w:val="0"/>
      </w:pPr>
      <w:r w:rsidRPr="00026EC1">
        <w:t>5</w:t>
      </w:r>
      <w:r w:rsidR="00984A6F">
        <w:noBreakHyphen/>
      </w:r>
      <w:r w:rsidRPr="00026EC1">
        <w:t>16.05</w:t>
      </w:r>
    </w:p>
    <w:p w14:paraId="7CC78418" w14:textId="5873AF06"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en congé mi</w:t>
      </w:r>
      <w:r w:rsidR="00984A6F">
        <w:noBreakHyphen/>
      </w:r>
      <w:r w:rsidRPr="00026EC1">
        <w:t>temps reçoit un demi</w:t>
      </w:r>
      <w:r w:rsidR="00984A6F">
        <w:noBreakHyphen/>
      </w:r>
      <w:r w:rsidRPr="00026EC1">
        <w:t>salaire et accumule pendant ce congé</w:t>
      </w:r>
      <w:r w:rsidR="00D8581B">
        <w:t> :</w:t>
      </w:r>
    </w:p>
    <w:p w14:paraId="0D238F52" w14:textId="77777777" w:rsidR="00404F34" w:rsidRPr="00026EC1" w:rsidRDefault="00404F34" w:rsidP="00A64613">
      <w:pPr>
        <w:keepNext w:val="0"/>
      </w:pPr>
    </w:p>
    <w:p w14:paraId="283E0758" w14:textId="6ABA6B0B" w:rsidR="00404F34" w:rsidRPr="00026EC1" w:rsidRDefault="00275751" w:rsidP="00A64613">
      <w:pPr>
        <w:keepNext w:val="0"/>
        <w:tabs>
          <w:tab w:val="left" w:pos="567"/>
        </w:tabs>
        <w:ind w:left="567" w:hanging="567"/>
      </w:pPr>
      <w:r w:rsidRPr="00026EC1">
        <w:t>a)</w:t>
      </w:r>
      <w:r w:rsidRPr="00026EC1">
        <w:tab/>
      </w:r>
      <w:r w:rsidR="00404F34" w:rsidRPr="00026EC1">
        <w:t>une</w:t>
      </w:r>
      <w:r w:rsidR="008A5719">
        <w:t> </w:t>
      </w:r>
      <w:r w:rsidR="00404F34" w:rsidRPr="00026EC1">
        <w:t>(1) année d</w:t>
      </w:r>
      <w:r w:rsidR="004A41E4" w:rsidRPr="00026EC1">
        <w:t>’</w:t>
      </w:r>
      <w:r w:rsidR="00404F34" w:rsidRPr="00026EC1">
        <w:t>ancienneté par année pour les deux</w:t>
      </w:r>
      <w:r w:rsidR="008A5719">
        <w:t> </w:t>
      </w:r>
      <w:r w:rsidR="00404F34" w:rsidRPr="00026EC1">
        <w:t>(2) premières années;</w:t>
      </w:r>
    </w:p>
    <w:p w14:paraId="6EAC8A8A" w14:textId="77777777" w:rsidR="00404F34" w:rsidRPr="00026EC1" w:rsidRDefault="00404F34" w:rsidP="00A64613">
      <w:pPr>
        <w:keepNext w:val="0"/>
      </w:pPr>
    </w:p>
    <w:p w14:paraId="6C4BCC96" w14:textId="68009C8D" w:rsidR="00404F34" w:rsidRPr="00026EC1" w:rsidRDefault="00275751" w:rsidP="00A64613">
      <w:pPr>
        <w:keepNext w:val="0"/>
        <w:tabs>
          <w:tab w:val="left" w:pos="567"/>
        </w:tabs>
        <w:ind w:left="567" w:hanging="567"/>
      </w:pPr>
      <w:r w:rsidRPr="00026EC1">
        <w:t>b)</w:t>
      </w:r>
      <w:r w:rsidRPr="00026EC1">
        <w:tab/>
      </w:r>
      <w:r w:rsidR="00404F34" w:rsidRPr="00026EC1">
        <w:t>une demi</w:t>
      </w:r>
      <w:r w:rsidR="00984A6F">
        <w:noBreakHyphen/>
      </w:r>
      <w:r w:rsidR="00404F34" w:rsidRPr="00026EC1">
        <w:t>année</w:t>
      </w:r>
      <w:r w:rsidR="008A5719">
        <w:t> </w:t>
      </w:r>
      <w:r w:rsidR="00404F34" w:rsidRPr="00026EC1">
        <w:t>(</w:t>
      </w:r>
      <w:r w:rsidR="00A95161" w:rsidRPr="00026EC1">
        <w:t>0,5</w:t>
      </w:r>
      <w:r w:rsidR="00404F34" w:rsidRPr="00026EC1">
        <w:t>) d</w:t>
      </w:r>
      <w:r w:rsidR="004A41E4" w:rsidRPr="00026EC1">
        <w:t>’</w:t>
      </w:r>
      <w:r w:rsidR="00404F34" w:rsidRPr="00026EC1">
        <w:t>ancienneté pour toute autre année supplémentaire.</w:t>
      </w:r>
    </w:p>
    <w:p w14:paraId="32F48B75" w14:textId="77777777" w:rsidR="00404F34" w:rsidRPr="00026EC1" w:rsidRDefault="00404F34" w:rsidP="00A64613">
      <w:pPr>
        <w:keepNext w:val="0"/>
      </w:pPr>
    </w:p>
    <w:p w14:paraId="6A96CFCF" w14:textId="05D36E80" w:rsidR="00404F34" w:rsidRPr="00026EC1" w:rsidRDefault="00404F34" w:rsidP="00A64613">
      <w:pPr>
        <w:pStyle w:val="NUMRODECLAUSE"/>
        <w:keepNext w:val="0"/>
      </w:pPr>
      <w:r w:rsidRPr="00026EC1">
        <w:t>5</w:t>
      </w:r>
      <w:r w:rsidR="00984A6F">
        <w:noBreakHyphen/>
      </w:r>
      <w:r w:rsidRPr="00026EC1">
        <w:t>16.06</w:t>
      </w:r>
    </w:p>
    <w:p w14:paraId="36AF1CE7" w14:textId="729355F8" w:rsidR="00404F34" w:rsidRPr="00026EC1" w:rsidRDefault="00404F34" w:rsidP="00A64613">
      <w:pPr>
        <w:keepNext w:val="0"/>
      </w:pPr>
      <w:r w:rsidRPr="00026EC1">
        <w:t>Sous réserve de l</w:t>
      </w:r>
      <w:r w:rsidR="004A41E4" w:rsidRPr="00026EC1">
        <w:t>’</w:t>
      </w:r>
      <w:r w:rsidRPr="00026EC1">
        <w:t>application de l</w:t>
      </w:r>
      <w:r w:rsidR="004A41E4" w:rsidRPr="00026EC1">
        <w:t>’</w:t>
      </w:r>
      <w:r w:rsidRPr="00026EC1">
        <w:t>article</w:t>
      </w:r>
      <w:r w:rsidR="00831CEF" w:rsidRPr="00026EC1">
        <w:t> </w:t>
      </w:r>
      <w:r w:rsidRPr="00026EC1">
        <w:t>5</w:t>
      </w:r>
      <w:r w:rsidR="00984A6F">
        <w:noBreakHyphen/>
      </w:r>
      <w:r w:rsidRPr="00026EC1">
        <w:t>4.00, l</w:t>
      </w:r>
      <w:r w:rsidR="004A41E4" w:rsidRPr="00026EC1">
        <w:t>’</w:t>
      </w:r>
      <w:r w:rsidRPr="00026EC1">
        <w:t>enseignante ou l</w:t>
      </w:r>
      <w:r w:rsidR="004A41E4" w:rsidRPr="00026EC1">
        <w:t>’</w:t>
      </w:r>
      <w:r w:rsidRPr="00026EC1">
        <w:t>enseignant qui se prévaut des clauses</w:t>
      </w:r>
      <w:r w:rsidR="007F445F" w:rsidRPr="00026EC1">
        <w:t> </w:t>
      </w:r>
      <w:r w:rsidRPr="00026EC1">
        <w:t>5</w:t>
      </w:r>
      <w:r w:rsidR="00984A6F">
        <w:noBreakHyphen/>
      </w:r>
      <w:r w:rsidRPr="00026EC1">
        <w:t>16.03, 5</w:t>
      </w:r>
      <w:r w:rsidR="00984A6F">
        <w:noBreakHyphen/>
      </w:r>
      <w:r w:rsidRPr="00026EC1">
        <w:t>16.04 et 5</w:t>
      </w:r>
      <w:r w:rsidR="00984A6F">
        <w:noBreakHyphen/>
      </w:r>
      <w:r w:rsidRPr="00026EC1">
        <w:t>16.05 peut réintégrer son poste ou sa charge d</w:t>
      </w:r>
      <w:r w:rsidR="004A41E4" w:rsidRPr="00026EC1">
        <w:t>’</w:t>
      </w:r>
      <w:r w:rsidRPr="00026EC1">
        <w:t>enseignement pour l</w:t>
      </w:r>
      <w:r w:rsidR="004A41E4" w:rsidRPr="00026EC1">
        <w:t>’</w:t>
      </w:r>
      <w:r w:rsidRPr="00026EC1">
        <w:t>année scolaire suivante si elle ou il avise le Col</w:t>
      </w:r>
      <w:r w:rsidR="00BA79F8" w:rsidRPr="00026EC1">
        <w:t>lège avant le 15 </w:t>
      </w:r>
      <w:r w:rsidRPr="00026EC1">
        <w:t>avril, à moins que la date de son retour n</w:t>
      </w:r>
      <w:r w:rsidR="004A41E4" w:rsidRPr="00026EC1">
        <w:t>’</w:t>
      </w:r>
      <w:r w:rsidRPr="00026EC1">
        <w:t>ait déj</w:t>
      </w:r>
      <w:r w:rsidR="00BA79F8" w:rsidRPr="00026EC1">
        <w:t>à été convenue avec le Collège.</w:t>
      </w:r>
    </w:p>
    <w:p w14:paraId="76F4A88D" w14:textId="6DB426E2" w:rsidR="00404F34" w:rsidRPr="00026EC1" w:rsidRDefault="00404F34" w:rsidP="00A64613">
      <w:pPr>
        <w:pStyle w:val="Heading2"/>
        <w:keepNext w:val="0"/>
        <w:ind w:left="2127" w:hanging="2127"/>
      </w:pPr>
      <w:r w:rsidRPr="00026EC1">
        <w:br w:type="page"/>
      </w:r>
      <w:bookmarkStart w:id="547" w:name="_Toc535046613"/>
      <w:bookmarkStart w:id="548" w:name="_Toc133760786"/>
      <w:bookmarkStart w:id="549" w:name="_Toc393444616"/>
      <w:bookmarkStart w:id="550" w:name="_Toc393449567"/>
      <w:bookmarkStart w:id="551" w:name="_Toc393460936"/>
      <w:bookmarkStart w:id="552" w:name="_Toc393461214"/>
      <w:bookmarkStart w:id="553" w:name="_Toc393720775"/>
      <w:bookmarkStart w:id="554" w:name="_Toc393783936"/>
      <w:bookmarkStart w:id="555" w:name="_Toc393784075"/>
      <w:bookmarkStart w:id="556" w:name="_Toc168479529"/>
      <w:r w:rsidRPr="00026EC1">
        <w:t>Article 5</w:t>
      </w:r>
      <w:r w:rsidR="00984A6F">
        <w:t>-</w:t>
      </w:r>
      <w:r w:rsidRPr="00026EC1">
        <w:t>17.00</w:t>
      </w:r>
      <w:r w:rsidR="00C9604C" w:rsidRPr="00026EC1">
        <w:tab/>
      </w:r>
      <w:r w:rsidR="00984A6F">
        <w:t>-</w:t>
      </w:r>
      <w:r w:rsidR="00C9604C" w:rsidRPr="00026EC1">
        <w:tab/>
      </w:r>
      <w:r w:rsidRPr="00026EC1">
        <w:t>Congé pour activités professionnelles</w:t>
      </w:r>
      <w:bookmarkEnd w:id="547"/>
      <w:bookmarkEnd w:id="548"/>
      <w:bookmarkEnd w:id="549"/>
      <w:bookmarkEnd w:id="550"/>
      <w:bookmarkEnd w:id="551"/>
      <w:bookmarkEnd w:id="552"/>
      <w:bookmarkEnd w:id="553"/>
      <w:bookmarkEnd w:id="554"/>
      <w:bookmarkEnd w:id="555"/>
      <w:bookmarkEnd w:id="556"/>
    </w:p>
    <w:p w14:paraId="6227D358" w14:textId="38A1C25F" w:rsidR="00404F34" w:rsidRPr="00026EC1" w:rsidRDefault="00404F34" w:rsidP="00A64613">
      <w:pPr>
        <w:pStyle w:val="NUMRODECLAUSE"/>
        <w:keepNext w:val="0"/>
      </w:pPr>
      <w:r w:rsidRPr="00026EC1">
        <w:t>5</w:t>
      </w:r>
      <w:r w:rsidR="00984A6F">
        <w:noBreakHyphen/>
      </w:r>
      <w:r w:rsidRPr="00026EC1">
        <w:t>17.01</w:t>
      </w:r>
    </w:p>
    <w:p w14:paraId="2CE3CB1C" w14:textId="77777777" w:rsidR="00404F34" w:rsidRPr="00026EC1" w:rsidRDefault="00404F34" w:rsidP="00A64613">
      <w:pPr>
        <w:keepNext w:val="0"/>
      </w:pPr>
      <w:r w:rsidRPr="00026EC1">
        <w:t>À moins de stipulation expresse à l</w:t>
      </w:r>
      <w:r w:rsidR="004A41E4" w:rsidRPr="00026EC1">
        <w:t>’</w:t>
      </w:r>
      <w:r w:rsidRPr="00026EC1">
        <w:t>effet contraire, les congés pour activités professionnelles ne peuvent modifier les droits et avantages que procure une année d</w:t>
      </w:r>
      <w:r w:rsidR="004A41E4" w:rsidRPr="00026EC1">
        <w:t>’</w:t>
      </w:r>
      <w:r w:rsidRPr="00026EC1">
        <w:t>enseignement.</w:t>
      </w:r>
    </w:p>
    <w:p w14:paraId="39F3B97A"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561F6206" w14:textId="77777777" w:rsidR="00404F34" w:rsidRPr="00026EC1" w:rsidRDefault="00404F34" w:rsidP="00A64613">
      <w:pPr>
        <w:keepNext w:val="0"/>
      </w:pPr>
    </w:p>
    <w:p w14:paraId="0D005ED1" w14:textId="1A903CF2" w:rsidR="00404F34" w:rsidRPr="00026EC1" w:rsidRDefault="00404F34" w:rsidP="00A64613">
      <w:pPr>
        <w:pStyle w:val="NUMRODECLAUSE"/>
        <w:keepNext w:val="0"/>
      </w:pPr>
      <w:r w:rsidRPr="00026EC1">
        <w:t>5</w:t>
      </w:r>
      <w:r w:rsidR="00984A6F">
        <w:noBreakHyphen/>
      </w:r>
      <w:r w:rsidRPr="00026EC1">
        <w:t>17.02</w:t>
      </w:r>
    </w:p>
    <w:p w14:paraId="62423B36" w14:textId="58E0F026"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obtient un congé moyennant un avis donné dans un délai raisonnable et après avoir obtenu l</w:t>
      </w:r>
      <w:r w:rsidR="004A41E4" w:rsidRPr="00026EC1">
        <w:t>’</w:t>
      </w:r>
      <w:r w:rsidRPr="00026EC1">
        <w:t>autorisation du Collège</w:t>
      </w:r>
      <w:r w:rsidR="00D8581B">
        <w:t> :</w:t>
      </w:r>
    </w:p>
    <w:p w14:paraId="21E664CE" w14:textId="77777777" w:rsidR="00404F34" w:rsidRPr="00026EC1" w:rsidRDefault="00404F34" w:rsidP="00A64613">
      <w:pPr>
        <w:keepNext w:val="0"/>
      </w:pPr>
    </w:p>
    <w:p w14:paraId="1EB5F2AD" w14:textId="77777777" w:rsidR="00404F34" w:rsidRPr="00026EC1" w:rsidRDefault="00275751" w:rsidP="00A64613">
      <w:pPr>
        <w:keepNext w:val="0"/>
        <w:tabs>
          <w:tab w:val="left" w:pos="567"/>
        </w:tabs>
        <w:ind w:left="567" w:hanging="567"/>
      </w:pPr>
      <w:r w:rsidRPr="00026EC1">
        <w:t>a)</w:t>
      </w:r>
      <w:r w:rsidRPr="00026EC1">
        <w:tab/>
      </w:r>
      <w:r w:rsidR="00404F34" w:rsidRPr="00026EC1">
        <w:t>pour assister aux conférences ou aux congrès d</w:t>
      </w:r>
      <w:r w:rsidR="004A41E4" w:rsidRPr="00026EC1">
        <w:t>’</w:t>
      </w:r>
      <w:r w:rsidR="00404F34" w:rsidRPr="00026EC1">
        <w:t>une association à but culturel ou d</w:t>
      </w:r>
      <w:r w:rsidR="004A41E4" w:rsidRPr="00026EC1">
        <w:t>’</w:t>
      </w:r>
      <w:r w:rsidR="00404F34" w:rsidRPr="00026EC1">
        <w:t>une corporation professionnelle ou d</w:t>
      </w:r>
      <w:r w:rsidR="004A41E4" w:rsidRPr="00026EC1">
        <w:t>’</w:t>
      </w:r>
      <w:r w:rsidR="00404F34" w:rsidRPr="00026EC1">
        <w:t xml:space="preserve">une société scientifique; </w:t>
      </w:r>
    </w:p>
    <w:p w14:paraId="452BA765" w14:textId="77777777" w:rsidR="00404F34" w:rsidRPr="00026EC1" w:rsidRDefault="00404F34" w:rsidP="00A64613">
      <w:pPr>
        <w:keepNext w:val="0"/>
      </w:pPr>
    </w:p>
    <w:p w14:paraId="36C1B1A6" w14:textId="77777777" w:rsidR="00404F34" w:rsidRPr="00026EC1" w:rsidRDefault="00275751" w:rsidP="00A64613">
      <w:pPr>
        <w:keepNext w:val="0"/>
        <w:tabs>
          <w:tab w:val="left" w:pos="567"/>
        </w:tabs>
        <w:ind w:left="567" w:hanging="567"/>
      </w:pPr>
      <w:r w:rsidRPr="00026EC1">
        <w:t>b)</w:t>
      </w:r>
      <w:r w:rsidRPr="00026EC1">
        <w:tab/>
      </w:r>
      <w:r w:rsidR="00404F34" w:rsidRPr="00026EC1">
        <w:t>si elle ou il est invité à donner des cours ou des conférences sur des sujets éducatifs, ou à participer à des travaux d</w:t>
      </w:r>
      <w:r w:rsidR="004A41E4" w:rsidRPr="00026EC1">
        <w:t>’</w:t>
      </w:r>
      <w:r w:rsidR="00404F34" w:rsidRPr="00026EC1">
        <w:t>ordre éducatif.</w:t>
      </w:r>
    </w:p>
    <w:p w14:paraId="3FC8EC9F" w14:textId="77777777" w:rsidR="00404F34" w:rsidRPr="00026EC1" w:rsidRDefault="00404F34" w:rsidP="00A64613">
      <w:pPr>
        <w:keepNext w:val="0"/>
      </w:pPr>
    </w:p>
    <w:p w14:paraId="1A2A55E6"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en vertu de la présente clause ne subit pas de réduction de salaire.</w:t>
      </w:r>
    </w:p>
    <w:p w14:paraId="652E0CA1" w14:textId="77777777" w:rsidR="00404F34" w:rsidRPr="00026EC1" w:rsidRDefault="00404F34" w:rsidP="00A64613">
      <w:pPr>
        <w:keepNext w:val="0"/>
      </w:pPr>
    </w:p>
    <w:p w14:paraId="32A75F8B" w14:textId="60BDCF96" w:rsidR="00404F34" w:rsidRPr="00026EC1" w:rsidRDefault="00404F34" w:rsidP="00A64613">
      <w:pPr>
        <w:pStyle w:val="NUMRODECLAUSE"/>
        <w:keepNext w:val="0"/>
      </w:pPr>
      <w:r w:rsidRPr="00026EC1">
        <w:t>5</w:t>
      </w:r>
      <w:r w:rsidR="00984A6F">
        <w:noBreakHyphen/>
      </w:r>
      <w:r w:rsidRPr="00026EC1">
        <w:t>17.03</w:t>
      </w:r>
    </w:p>
    <w:p w14:paraId="5A093647"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obtient un congé du Collège moyennant un avis écrit donné dans un délai raisonnable et une autorisation écrite du Collège, autorisation qui ne peut être refusée sans motif raisonnable, si elle ou il est invité à siéger au sein de commissions ministérielles, de comités régionaux de planification, de comités ou commissions du Ministère, ou de tout autre comité ou commission du même ordre.</w:t>
      </w:r>
    </w:p>
    <w:p w14:paraId="2E743961" w14:textId="77777777" w:rsidR="00404F34" w:rsidRPr="00026EC1" w:rsidRDefault="00404F34" w:rsidP="00A64613">
      <w:pPr>
        <w:keepNext w:val="0"/>
      </w:pPr>
    </w:p>
    <w:p w14:paraId="3BCA142E" w14:textId="77777777" w:rsidR="00404F34" w:rsidRPr="00026EC1" w:rsidRDefault="00404F34" w:rsidP="00A64613">
      <w:pPr>
        <w:keepNext w:val="0"/>
      </w:pPr>
      <w:r w:rsidRPr="00026EC1">
        <w:t>En aucun cas, l</w:t>
      </w:r>
      <w:r w:rsidR="004A41E4" w:rsidRPr="00026EC1">
        <w:t>’</w:t>
      </w:r>
      <w:r w:rsidRPr="00026EC1">
        <w:t>enseignante ou l</w:t>
      </w:r>
      <w:r w:rsidR="004A41E4" w:rsidRPr="00026EC1">
        <w:t>’</w:t>
      </w:r>
      <w:r w:rsidRPr="00026EC1">
        <w:t>enseignant qui bénéficie d</w:t>
      </w:r>
      <w:r w:rsidR="004A41E4" w:rsidRPr="00026EC1">
        <w:t>’</w:t>
      </w:r>
      <w:r w:rsidRPr="00026EC1">
        <w:t>un congé en vertu de la présente clause ne subit de perte de salaire. De plus, sa charge d</w:t>
      </w:r>
      <w:r w:rsidR="004A41E4" w:rsidRPr="00026EC1">
        <w:t>’</w:t>
      </w:r>
      <w:r w:rsidRPr="00026EC1">
        <w:t>enseignement est aménagée ou réduite en conséquence. Cette réduction est absorbée par le Collège.</w:t>
      </w:r>
    </w:p>
    <w:p w14:paraId="52750FA9" w14:textId="77777777" w:rsidR="00404F34" w:rsidRPr="00026EC1" w:rsidRDefault="00404F34" w:rsidP="00A64613">
      <w:pPr>
        <w:keepNext w:val="0"/>
      </w:pPr>
    </w:p>
    <w:p w14:paraId="6FE6B643" w14:textId="40D6904C" w:rsidR="00404F34" w:rsidRPr="00026EC1" w:rsidRDefault="00404F34" w:rsidP="00A64613">
      <w:pPr>
        <w:pStyle w:val="NUMRODECLAUSE"/>
        <w:keepNext w:val="0"/>
      </w:pPr>
      <w:r w:rsidRPr="00026EC1">
        <w:t>5</w:t>
      </w:r>
      <w:r w:rsidR="00984A6F">
        <w:noBreakHyphen/>
      </w:r>
      <w:r w:rsidRPr="00026EC1">
        <w:t>17.04</w:t>
      </w:r>
    </w:p>
    <w:p w14:paraId="00EB0973" w14:textId="764FAAC1"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peut obtenir, moyennant un avis écrit donné dans un délai raisonnable et l</w:t>
      </w:r>
      <w:r w:rsidR="004A41E4" w:rsidRPr="00026EC1">
        <w:t>’</w:t>
      </w:r>
      <w:r w:rsidRPr="00026EC1">
        <w:t>autorisation écrite du Collège, un congé sans salaire d</w:t>
      </w:r>
      <w:r w:rsidR="004A41E4" w:rsidRPr="00026EC1">
        <w:t>’</w:t>
      </w:r>
      <w:r w:rsidRPr="00026EC1">
        <w:t>une durée maximale de deux</w:t>
      </w:r>
      <w:r w:rsidR="008A5719">
        <w:t> </w:t>
      </w:r>
      <w:r w:rsidRPr="00026EC1">
        <w:t>(2) ans pour participer à tout programme de coopération avec les provinces canadiennes ou les pays étrangers, programme officiellement reconnu par le Gouvernement du Québec ou le Gouvernement du Canada.</w:t>
      </w:r>
    </w:p>
    <w:p w14:paraId="53D643D6" w14:textId="4081291E" w:rsidR="00404F34" w:rsidRPr="00026EC1" w:rsidRDefault="00404F34" w:rsidP="00A64613">
      <w:pPr>
        <w:keepNext w:val="0"/>
      </w:pPr>
    </w:p>
    <w:p w14:paraId="5DF55863" w14:textId="4B2918D0" w:rsidR="00404F34" w:rsidRPr="00026EC1" w:rsidRDefault="00404F34" w:rsidP="00A64613">
      <w:pPr>
        <w:pStyle w:val="NUMRODECLAUSE"/>
        <w:keepNext w:val="0"/>
      </w:pPr>
      <w:r w:rsidRPr="00026EC1">
        <w:t>5</w:t>
      </w:r>
      <w:r w:rsidR="00984A6F">
        <w:noBreakHyphen/>
      </w:r>
      <w:r w:rsidRPr="00026EC1">
        <w:t>17.05</w:t>
      </w:r>
    </w:p>
    <w:p w14:paraId="284CA5A2" w14:textId="3AC0E9E6"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peut obtenir, moyennant un avis écrit donné dans un délai raisonnable et l</w:t>
      </w:r>
      <w:r w:rsidR="004A41E4" w:rsidRPr="00026EC1">
        <w:t>’</w:t>
      </w:r>
      <w:r w:rsidRPr="00026EC1">
        <w:t>autorisation écrite du Collège, un congé sans salaire d</w:t>
      </w:r>
      <w:r w:rsidR="004A41E4" w:rsidRPr="00026EC1">
        <w:t>’</w:t>
      </w:r>
      <w:r w:rsidRPr="00026EC1">
        <w:t>une durée maximale de deux</w:t>
      </w:r>
      <w:r w:rsidR="008A5719">
        <w:t> </w:t>
      </w:r>
      <w:r w:rsidRPr="00026EC1">
        <w:t>(2) ans pour exercer une fonction pédagogique hors du Québec en vertu du programme d</w:t>
      </w:r>
      <w:r w:rsidR="004A41E4" w:rsidRPr="00026EC1">
        <w:t>’</w:t>
      </w:r>
      <w:r w:rsidRPr="00026EC1">
        <w:t>aide aux étrangers, d</w:t>
      </w:r>
      <w:r w:rsidR="004A41E4" w:rsidRPr="00026EC1">
        <w:t>’</w:t>
      </w:r>
      <w:r w:rsidRPr="00026EC1">
        <w:t>un programme d</w:t>
      </w:r>
      <w:r w:rsidR="004A41E4" w:rsidRPr="00026EC1">
        <w:t>’</w:t>
      </w:r>
      <w:r w:rsidRPr="00026EC1">
        <w:t>échanges ou d</w:t>
      </w:r>
      <w:r w:rsidR="004A41E4" w:rsidRPr="00026EC1">
        <w:t>’</w:t>
      </w:r>
      <w:r w:rsidRPr="00026EC1">
        <w:t>un programme d</w:t>
      </w:r>
      <w:r w:rsidR="004A41E4" w:rsidRPr="00026EC1">
        <w:t>’</w:t>
      </w:r>
      <w:r w:rsidRPr="00026EC1">
        <w:t xml:space="preserve">enseignement extraterritorial. </w:t>
      </w:r>
    </w:p>
    <w:p w14:paraId="1F7AFF43" w14:textId="77777777" w:rsidR="003710C9" w:rsidRPr="00026EC1" w:rsidRDefault="003710C9" w:rsidP="00A64613">
      <w:pPr>
        <w:keepNext w:val="0"/>
      </w:pPr>
    </w:p>
    <w:p w14:paraId="4C9F64C9" w14:textId="4638710E" w:rsidR="00404F34" w:rsidRPr="00026EC1" w:rsidRDefault="00404F34" w:rsidP="00A64613">
      <w:pPr>
        <w:pStyle w:val="NUMRODECLAUSE"/>
        <w:keepNext w:val="0"/>
      </w:pPr>
      <w:r w:rsidRPr="00026EC1">
        <w:t>5</w:t>
      </w:r>
      <w:r w:rsidR="00984A6F">
        <w:noBreakHyphen/>
      </w:r>
      <w:r w:rsidRPr="00026EC1">
        <w:t>17.06</w:t>
      </w:r>
    </w:p>
    <w:p w14:paraId="19EA5CBF" w14:textId="217B5C38" w:rsidR="00404F34" w:rsidRPr="00026EC1" w:rsidRDefault="00404F34" w:rsidP="00A64613">
      <w:pPr>
        <w:keepNext w:val="0"/>
      </w:pPr>
      <w:r w:rsidRPr="00026EC1">
        <w:t>L</w:t>
      </w:r>
      <w:r w:rsidR="004A41E4" w:rsidRPr="00026EC1">
        <w:t>’</w:t>
      </w:r>
      <w:r w:rsidRPr="00026EC1">
        <w:t>autorisation du Collège à l</w:t>
      </w:r>
      <w:r w:rsidR="004A41E4" w:rsidRPr="00026EC1">
        <w:t>’</w:t>
      </w:r>
      <w:r w:rsidRPr="00026EC1">
        <w:t>enseignante ou l</w:t>
      </w:r>
      <w:r w:rsidR="004A41E4" w:rsidRPr="00026EC1">
        <w:t>’</w:t>
      </w:r>
      <w:r w:rsidRPr="00026EC1">
        <w:t>enseignant visé par les clauses</w:t>
      </w:r>
      <w:r w:rsidR="007F445F" w:rsidRPr="00026EC1">
        <w:t> </w:t>
      </w:r>
      <w:r w:rsidRPr="00026EC1">
        <w:t>5</w:t>
      </w:r>
      <w:r w:rsidR="00984A6F">
        <w:noBreakHyphen/>
      </w:r>
      <w:r w:rsidRPr="00026EC1">
        <w:t>17.04 et 5</w:t>
      </w:r>
      <w:r w:rsidR="00984A6F">
        <w:noBreakHyphen/>
      </w:r>
      <w:r w:rsidRPr="00026EC1">
        <w:t>17.05 doit prévoir la date de retour de l</w:t>
      </w:r>
      <w:r w:rsidR="004A41E4" w:rsidRPr="00026EC1">
        <w:t>’</w:t>
      </w:r>
      <w:r w:rsidRPr="00026EC1">
        <w:t>enseignante ou de l</w:t>
      </w:r>
      <w:r w:rsidR="004A41E4" w:rsidRPr="00026EC1">
        <w:t>’</w:t>
      </w:r>
      <w:r w:rsidRPr="00026EC1">
        <w:t>enseignant. Cette date doit coïncider avec celle du début d</w:t>
      </w:r>
      <w:r w:rsidR="004A41E4" w:rsidRPr="00026EC1">
        <w:t>’</w:t>
      </w:r>
      <w:r w:rsidRPr="00026EC1">
        <w:t>une session.</w:t>
      </w:r>
    </w:p>
    <w:p w14:paraId="4EF4CA2D" w14:textId="77777777" w:rsidR="00404F34" w:rsidRPr="00026EC1" w:rsidRDefault="00404F34" w:rsidP="00A64613">
      <w:pPr>
        <w:keepNext w:val="0"/>
      </w:pPr>
    </w:p>
    <w:p w14:paraId="1FFD026E" w14:textId="14C4986E" w:rsidR="00404F34" w:rsidRPr="00026EC1" w:rsidRDefault="00404F34" w:rsidP="00A64613">
      <w:pPr>
        <w:keepNext w:val="0"/>
      </w:pPr>
      <w:r w:rsidRPr="00026EC1">
        <w:t>À son retour, l</w:t>
      </w:r>
      <w:r w:rsidR="004A41E4" w:rsidRPr="00026EC1">
        <w:t>’</w:t>
      </w:r>
      <w:r w:rsidRPr="00026EC1">
        <w:t>enseignante ou l</w:t>
      </w:r>
      <w:r w:rsidR="004A41E4" w:rsidRPr="00026EC1">
        <w:t>’</w:t>
      </w:r>
      <w:r w:rsidRPr="00026EC1">
        <w:t>enseignant est affecté à la discipline d</w:t>
      </w:r>
      <w:r w:rsidR="004A41E4" w:rsidRPr="00026EC1">
        <w:t>’</w:t>
      </w:r>
      <w:r w:rsidRPr="00026EC1">
        <w:t>enseignement qui était la sienne au moment de son départ ou à celle qui avait été prévue pour elle ou lui au moment de son départ, le tout sous réserve de l</w:t>
      </w:r>
      <w:r w:rsidR="004A41E4" w:rsidRPr="00026EC1">
        <w:t>’</w:t>
      </w:r>
      <w:r w:rsidRPr="00026EC1">
        <w:t>application de l</w:t>
      </w:r>
      <w:r w:rsidR="004A41E4" w:rsidRPr="00026EC1">
        <w:t>’</w:t>
      </w:r>
      <w:r w:rsidRPr="00026EC1">
        <w:t>article</w:t>
      </w:r>
      <w:r w:rsidR="00831CEF" w:rsidRPr="00026EC1">
        <w:t> </w:t>
      </w:r>
      <w:r w:rsidRPr="00026EC1">
        <w:t>5</w:t>
      </w:r>
      <w:r w:rsidR="00984A6F">
        <w:noBreakHyphen/>
      </w:r>
      <w:r w:rsidRPr="00026EC1">
        <w:t>4.00.</w:t>
      </w:r>
    </w:p>
    <w:p w14:paraId="485306E2" w14:textId="77777777" w:rsidR="00404F34" w:rsidRPr="00026EC1" w:rsidRDefault="00404F34" w:rsidP="00A64613">
      <w:pPr>
        <w:keepNext w:val="0"/>
      </w:pPr>
    </w:p>
    <w:p w14:paraId="343BEC89" w14:textId="23AF8C16" w:rsidR="00404F34" w:rsidRPr="00026EC1" w:rsidRDefault="00404F34" w:rsidP="00A64613">
      <w:pPr>
        <w:pStyle w:val="NUMRODECLAUSE"/>
        <w:keepNext w:val="0"/>
      </w:pPr>
      <w:r w:rsidRPr="00026EC1">
        <w:t>5</w:t>
      </w:r>
      <w:r w:rsidR="00984A6F">
        <w:noBreakHyphen/>
      </w:r>
      <w:r w:rsidRPr="00026EC1">
        <w:t>17.07</w:t>
      </w:r>
    </w:p>
    <w:p w14:paraId="79EE14D7" w14:textId="77777777" w:rsidR="00404F34" w:rsidRPr="00026EC1" w:rsidRDefault="00404F34" w:rsidP="00A64613">
      <w:pPr>
        <w:keepNext w:val="0"/>
      </w:pPr>
      <w:r w:rsidRPr="00026EC1">
        <w:t>À moins de stipulation expresse à l</w:t>
      </w:r>
      <w:r w:rsidR="004A41E4" w:rsidRPr="00026EC1">
        <w:t>’</w:t>
      </w:r>
      <w:r w:rsidRPr="00026EC1">
        <w:t>effet contraire, les congés prévus au présent article ne peuvent modifier les droits et avantages que procure une année d</w:t>
      </w:r>
      <w:r w:rsidR="004A41E4" w:rsidRPr="00026EC1">
        <w:t>’</w:t>
      </w:r>
      <w:r w:rsidR="00BA79F8" w:rsidRPr="00026EC1">
        <w:t>enseignement.</w:t>
      </w:r>
    </w:p>
    <w:p w14:paraId="3DA26A7A" w14:textId="0EC8165D" w:rsidR="00404F34" w:rsidRPr="00026EC1" w:rsidRDefault="00404F34" w:rsidP="00A64613">
      <w:pPr>
        <w:pStyle w:val="Heading2"/>
        <w:keepNext w:val="0"/>
        <w:ind w:left="2127" w:hanging="2127"/>
      </w:pPr>
      <w:r w:rsidRPr="00026EC1">
        <w:br w:type="page"/>
      </w:r>
      <w:bookmarkStart w:id="557" w:name="_Toc535046614"/>
      <w:bookmarkStart w:id="558" w:name="_Toc393444617"/>
      <w:bookmarkStart w:id="559" w:name="_Toc393449568"/>
      <w:bookmarkStart w:id="560" w:name="_Toc393460937"/>
      <w:bookmarkStart w:id="561" w:name="_Toc393461215"/>
      <w:bookmarkStart w:id="562" w:name="_Toc393720776"/>
      <w:bookmarkStart w:id="563" w:name="_Toc393783937"/>
      <w:bookmarkStart w:id="564" w:name="_Toc393784076"/>
      <w:bookmarkStart w:id="565" w:name="_Toc168479530"/>
      <w:r w:rsidRPr="00026EC1">
        <w:t>Article</w:t>
      </w:r>
      <w:r w:rsidR="000F2D2C" w:rsidRPr="00026EC1">
        <w:t> </w:t>
      </w:r>
      <w:r w:rsidRPr="00026EC1">
        <w:t>5</w:t>
      </w:r>
      <w:r w:rsidR="00984A6F">
        <w:t>-</w:t>
      </w:r>
      <w:r w:rsidRPr="00026EC1">
        <w:t>18.00</w:t>
      </w:r>
      <w:r w:rsidR="00C9604C" w:rsidRPr="00026EC1">
        <w:tab/>
      </w:r>
      <w:r w:rsidR="00984A6F">
        <w:t>-</w:t>
      </w:r>
      <w:r w:rsidR="00C9604C" w:rsidRPr="00026EC1">
        <w:tab/>
      </w:r>
      <w:r w:rsidRPr="00026EC1">
        <w:t>Mesures disciplinaires</w:t>
      </w:r>
      <w:bookmarkEnd w:id="557"/>
      <w:bookmarkEnd w:id="558"/>
      <w:bookmarkEnd w:id="559"/>
      <w:bookmarkEnd w:id="560"/>
      <w:bookmarkEnd w:id="561"/>
      <w:bookmarkEnd w:id="562"/>
      <w:bookmarkEnd w:id="563"/>
      <w:bookmarkEnd w:id="564"/>
      <w:bookmarkEnd w:id="565"/>
    </w:p>
    <w:p w14:paraId="1ADB933A"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74ABE7CB" w14:textId="77777777" w:rsidR="00656A1E" w:rsidRPr="00026EC1" w:rsidRDefault="00656A1E" w:rsidP="00A64613">
      <w:pPr>
        <w:keepNext w:val="0"/>
      </w:pPr>
    </w:p>
    <w:p w14:paraId="01E83AC8" w14:textId="251D8E2A" w:rsidR="00404F34" w:rsidRPr="00026EC1" w:rsidRDefault="00404F34" w:rsidP="00A64613">
      <w:pPr>
        <w:pStyle w:val="NUMRODECLAUSE"/>
        <w:keepNext w:val="0"/>
      </w:pPr>
      <w:r w:rsidRPr="00026EC1">
        <w:t>5</w:t>
      </w:r>
      <w:r w:rsidR="00984A6F">
        <w:noBreakHyphen/>
      </w:r>
      <w:r w:rsidRPr="00026EC1">
        <w:t>18.01</w:t>
      </w:r>
    </w:p>
    <w:p w14:paraId="4523AAA7" w14:textId="1C9B0BBE" w:rsidR="00404F34" w:rsidRPr="00026EC1" w:rsidRDefault="00404F34" w:rsidP="00A64613">
      <w:pPr>
        <w:keepNext w:val="0"/>
      </w:pPr>
      <w:r w:rsidRPr="00026EC1">
        <w:t>Le Collège ne peut imposer une mesure disciplinaire à une enseignante ou un enseignant, sans avoir rempli les conditions suivantes</w:t>
      </w:r>
      <w:r w:rsidR="00D8581B">
        <w:t> :</w:t>
      </w:r>
    </w:p>
    <w:p w14:paraId="045691A8" w14:textId="77777777" w:rsidR="00404F34" w:rsidRPr="00026EC1" w:rsidRDefault="00404F34" w:rsidP="00A64613">
      <w:pPr>
        <w:keepNext w:val="0"/>
      </w:pPr>
    </w:p>
    <w:p w14:paraId="081E7B01" w14:textId="77777777" w:rsidR="00404F34" w:rsidRPr="00026EC1" w:rsidRDefault="00275751" w:rsidP="00A64613">
      <w:pPr>
        <w:keepNext w:val="0"/>
        <w:tabs>
          <w:tab w:val="left" w:pos="567"/>
        </w:tabs>
        <w:ind w:left="567" w:hanging="567"/>
      </w:pPr>
      <w:r w:rsidRPr="00026EC1">
        <w:t>a)</w:t>
      </w:r>
      <w:r w:rsidRPr="00026EC1">
        <w:tab/>
      </w:r>
      <w:r w:rsidR="00404F34" w:rsidRPr="00026EC1">
        <w:t xml:space="preserve">le Collège doit avoir </w:t>
      </w:r>
      <w:r w:rsidR="00404F34" w:rsidRPr="00026EC1">
        <w:rPr>
          <w:shd w:val="clear" w:color="auto" w:fill="FFFFFF"/>
        </w:rPr>
        <w:t>préalablement</w:t>
      </w:r>
      <w:r w:rsidR="00404F34" w:rsidRPr="00026EC1">
        <w:t xml:space="preserve"> convoqué l</w:t>
      </w:r>
      <w:r w:rsidR="004A41E4" w:rsidRPr="00026EC1">
        <w:t>’</w:t>
      </w:r>
      <w:r w:rsidR="00404F34" w:rsidRPr="00026EC1">
        <w:t>enseignante ou l</w:t>
      </w:r>
      <w:r w:rsidR="004A41E4" w:rsidRPr="00026EC1">
        <w:t>’</w:t>
      </w:r>
      <w:r w:rsidR="00404F34" w:rsidRPr="00026EC1">
        <w:t xml:space="preserve">enseignant à une rencontre portant sur les problèmes identifiés afin de recevoir sa version des faits. </w:t>
      </w:r>
      <w:r w:rsidR="00404F34" w:rsidRPr="00026EC1">
        <w:rPr>
          <w:shd w:val="clear" w:color="auto" w:fill="FFFFFF"/>
        </w:rPr>
        <w:t xml:space="preserve">Cette convocation est simultanément transmise au Syndicat. </w:t>
      </w:r>
      <w:r w:rsidR="00404F34" w:rsidRPr="00026EC1">
        <w:t>L</w:t>
      </w:r>
      <w:r w:rsidR="004A41E4" w:rsidRPr="00026EC1">
        <w:t>’</w:t>
      </w:r>
      <w:r w:rsidR="00404F34" w:rsidRPr="00026EC1">
        <w:t>enseignante ou l</w:t>
      </w:r>
      <w:r w:rsidR="004A41E4" w:rsidRPr="00026EC1">
        <w:t>’</w:t>
      </w:r>
      <w:r w:rsidR="00404F34" w:rsidRPr="00026EC1">
        <w:t>enseignant peut être accompagné d</w:t>
      </w:r>
      <w:r w:rsidR="004A41E4" w:rsidRPr="00026EC1">
        <w:t>’</w:t>
      </w:r>
      <w:r w:rsidR="00404F34" w:rsidRPr="00026EC1">
        <w:t>une personne représentant le Syndica</w:t>
      </w:r>
      <w:r w:rsidR="00EC3141" w:rsidRPr="00026EC1">
        <w:t>t.</w:t>
      </w:r>
    </w:p>
    <w:p w14:paraId="146185D8" w14:textId="77777777" w:rsidR="00404F34" w:rsidRPr="00026EC1" w:rsidRDefault="00404F34" w:rsidP="00A64613">
      <w:pPr>
        <w:keepNext w:val="0"/>
      </w:pPr>
    </w:p>
    <w:p w14:paraId="7C5876F2" w14:textId="550C64C8" w:rsidR="00404F34" w:rsidRPr="00026EC1" w:rsidRDefault="00404F34" w:rsidP="00A64613">
      <w:pPr>
        <w:pStyle w:val="Texte1cm00000"/>
        <w:keepNext w:val="0"/>
      </w:pPr>
      <w:r w:rsidRPr="00026EC1">
        <w:t>À la suite de cette rencontre, le Collège dispose de quinze</w:t>
      </w:r>
      <w:r w:rsidR="008A5719">
        <w:t> </w:t>
      </w:r>
      <w:r w:rsidRPr="00026EC1">
        <w:t>(15) jours ouvrables pour transmettre sa décision par écrit à l</w:t>
      </w:r>
      <w:r w:rsidR="004A41E4" w:rsidRPr="00026EC1">
        <w:t>’</w:t>
      </w:r>
      <w:r w:rsidRPr="00026EC1">
        <w:t>enseignante ou à l</w:t>
      </w:r>
      <w:r w:rsidR="004A41E4" w:rsidRPr="00026EC1">
        <w:t>’</w:t>
      </w:r>
      <w:r w:rsidRPr="00026EC1">
        <w:t>enseignant;</w:t>
      </w:r>
    </w:p>
    <w:p w14:paraId="68D82D0E" w14:textId="77777777" w:rsidR="00404F34" w:rsidRPr="00026EC1" w:rsidRDefault="00404F34" w:rsidP="00A64613">
      <w:pPr>
        <w:keepNext w:val="0"/>
        <w:ind w:left="360" w:hanging="360"/>
      </w:pPr>
    </w:p>
    <w:p w14:paraId="484557C3" w14:textId="59B6595A" w:rsidR="00404F34" w:rsidRPr="00026EC1" w:rsidRDefault="00275751" w:rsidP="00A64613">
      <w:pPr>
        <w:keepNext w:val="0"/>
        <w:ind w:left="567" w:hanging="567"/>
      </w:pPr>
      <w:r w:rsidRPr="00026EC1">
        <w:t>b)</w:t>
      </w:r>
      <w:r w:rsidRPr="00026EC1">
        <w:tab/>
      </w:r>
      <w:r w:rsidR="00404F34" w:rsidRPr="00026EC1">
        <w:t xml:space="preserve">le Collège doit </w:t>
      </w:r>
      <w:r w:rsidR="00404F34" w:rsidRPr="00026EC1">
        <w:rPr>
          <w:shd w:val="clear" w:color="auto" w:fill="FFFFFF"/>
        </w:rPr>
        <w:t>lui avoir au préalable fait part d</w:t>
      </w:r>
      <w:r w:rsidR="004A41E4" w:rsidRPr="00026EC1">
        <w:rPr>
          <w:shd w:val="clear" w:color="auto" w:fill="FFFFFF"/>
        </w:rPr>
        <w:t>’</w:t>
      </w:r>
      <w:r w:rsidR="00404F34" w:rsidRPr="00026EC1">
        <w:rPr>
          <w:shd w:val="clear" w:color="auto" w:fill="FFFFFF"/>
        </w:rPr>
        <w:t xml:space="preserve">au moins </w:t>
      </w:r>
      <w:r w:rsidR="00404F34" w:rsidRPr="00026EC1">
        <w:t>deux</w:t>
      </w:r>
      <w:r w:rsidR="008A5719">
        <w:t> </w:t>
      </w:r>
      <w:r w:rsidR="00404F34" w:rsidRPr="00026EC1">
        <w:t>(2) avis écrits sur un sujet de nature similaire durant une période d</w:t>
      </w:r>
      <w:r w:rsidR="004A41E4" w:rsidRPr="00026EC1">
        <w:t>’</w:t>
      </w:r>
      <w:r w:rsidR="00404F34" w:rsidRPr="00026EC1">
        <w:t>une année. Le délai entre les deux</w:t>
      </w:r>
      <w:r w:rsidR="008A5719">
        <w:t> </w:t>
      </w:r>
      <w:r w:rsidR="00404F34" w:rsidRPr="00026EC1">
        <w:t>(2) avis doit permettre à l</w:t>
      </w:r>
      <w:r w:rsidR="004A41E4" w:rsidRPr="00026EC1">
        <w:t>’</w:t>
      </w:r>
      <w:r w:rsidR="00404F34" w:rsidRPr="00026EC1">
        <w:t>enseignante ou à l</w:t>
      </w:r>
      <w:r w:rsidR="004A41E4" w:rsidRPr="00026EC1">
        <w:t>’</w:t>
      </w:r>
      <w:r w:rsidR="00404F34" w:rsidRPr="00026EC1">
        <w:t>enseignant de s</w:t>
      </w:r>
      <w:r w:rsidR="004A41E4" w:rsidRPr="00026EC1">
        <w:t>’</w:t>
      </w:r>
      <w:r w:rsidR="00404F34" w:rsidRPr="00026EC1">
        <w:t>amender;</w:t>
      </w:r>
    </w:p>
    <w:p w14:paraId="2744C056" w14:textId="77777777" w:rsidR="00404F34" w:rsidRPr="00026EC1" w:rsidRDefault="00404F34" w:rsidP="00A64613">
      <w:pPr>
        <w:keepNext w:val="0"/>
      </w:pPr>
    </w:p>
    <w:p w14:paraId="13937DAF" w14:textId="2BC216FA" w:rsidR="00404F34" w:rsidRPr="00026EC1" w:rsidRDefault="00275751" w:rsidP="00A64613">
      <w:pPr>
        <w:keepNext w:val="0"/>
        <w:ind w:left="567" w:hanging="567"/>
      </w:pPr>
      <w:r w:rsidRPr="00026EC1">
        <w:t>c)</w:t>
      </w:r>
      <w:r w:rsidRPr="00026EC1">
        <w:tab/>
      </w:r>
      <w:r w:rsidR="00404F34" w:rsidRPr="00026EC1">
        <w:t>si le Collège décide d</w:t>
      </w:r>
      <w:r w:rsidR="004A41E4" w:rsidRPr="00026EC1">
        <w:t>’</w:t>
      </w:r>
      <w:r w:rsidR="00404F34" w:rsidRPr="00026EC1">
        <w:t>imposer une suspension ou un congédiement</w:t>
      </w:r>
      <w:r w:rsidR="00404F34" w:rsidRPr="00026EC1">
        <w:rPr>
          <w:shd w:val="clear" w:color="auto" w:fill="FFFFFF"/>
        </w:rPr>
        <w:t>, il</w:t>
      </w:r>
      <w:r w:rsidR="00404F34" w:rsidRPr="00026EC1">
        <w:t xml:space="preserve"> doit avoir préalablement soumis la question au </w:t>
      </w:r>
      <w:r w:rsidR="00630FFC" w:rsidRPr="00026EC1">
        <w:t>CRT</w:t>
      </w:r>
      <w:r w:rsidR="00404F34" w:rsidRPr="00026EC1">
        <w:t xml:space="preserve"> conformément aux dispositions de l</w:t>
      </w:r>
      <w:r w:rsidR="004A41E4" w:rsidRPr="00026EC1">
        <w:t>’</w:t>
      </w:r>
      <w:r w:rsidR="00404F34" w:rsidRPr="00026EC1">
        <w:t>article 4</w:t>
      </w:r>
      <w:r w:rsidR="00984A6F">
        <w:noBreakHyphen/>
      </w:r>
      <w:r w:rsidR="00404F34" w:rsidRPr="00026EC1">
        <w:t>3.00.</w:t>
      </w:r>
    </w:p>
    <w:p w14:paraId="1C495F45" w14:textId="77777777" w:rsidR="00404F34" w:rsidRPr="00026EC1" w:rsidRDefault="00404F34" w:rsidP="00A64613">
      <w:pPr>
        <w:keepNext w:val="0"/>
      </w:pPr>
    </w:p>
    <w:p w14:paraId="45D8927D" w14:textId="031F8462" w:rsidR="00404F34" w:rsidRPr="00026EC1" w:rsidRDefault="00404F34" w:rsidP="00A64613">
      <w:pPr>
        <w:pStyle w:val="NUMRODECLAUSE"/>
        <w:keepNext w:val="0"/>
      </w:pPr>
      <w:r w:rsidRPr="00026EC1">
        <w:t>5</w:t>
      </w:r>
      <w:r w:rsidR="00984A6F">
        <w:noBreakHyphen/>
      </w:r>
      <w:r w:rsidRPr="00026EC1">
        <w:t>18.02</w:t>
      </w:r>
    </w:p>
    <w:p w14:paraId="207896A2" w14:textId="374F3E4E" w:rsidR="00404F34" w:rsidRPr="00026EC1" w:rsidRDefault="00404F34" w:rsidP="00A64613">
      <w:pPr>
        <w:keepNext w:val="0"/>
      </w:pPr>
      <w:r w:rsidRPr="00026EC1">
        <w:t>Toutefois, malgré la clause</w:t>
      </w:r>
      <w:r w:rsidR="00BD38A6" w:rsidRPr="00026EC1">
        <w:t> </w:t>
      </w:r>
      <w:r w:rsidRPr="00026EC1">
        <w:t>5</w:t>
      </w:r>
      <w:r w:rsidR="00984A6F">
        <w:noBreakHyphen/>
      </w:r>
      <w:r w:rsidRPr="00026EC1">
        <w:t>18.01 et exceptionnellement, si une enseignante ou un enseignant cause au Collège, à ses membres, à son personnel ou aux étudiantes et étudiants un préjudice qui, par sa nature et gravité, nécessite une intervention immédiate</w:t>
      </w:r>
      <w:r w:rsidR="00D8581B">
        <w:t> :</w:t>
      </w:r>
    </w:p>
    <w:p w14:paraId="4D379ACB" w14:textId="77777777" w:rsidR="00404F34" w:rsidRPr="00026EC1" w:rsidRDefault="00404F34" w:rsidP="00A64613">
      <w:pPr>
        <w:keepNext w:val="0"/>
      </w:pPr>
    </w:p>
    <w:p w14:paraId="693A44B2" w14:textId="0221FE02" w:rsidR="00404F34" w:rsidRPr="00026EC1" w:rsidRDefault="00275751" w:rsidP="00A64613">
      <w:pPr>
        <w:keepNext w:val="0"/>
        <w:tabs>
          <w:tab w:val="left" w:pos="567"/>
        </w:tabs>
        <w:ind w:left="567" w:hanging="567"/>
      </w:pPr>
      <w:r w:rsidRPr="00026EC1">
        <w:t>a)</w:t>
      </w:r>
      <w:r w:rsidRPr="00026EC1">
        <w:tab/>
      </w:r>
      <w:r w:rsidR="00404F34" w:rsidRPr="00026EC1">
        <w:t>le Collège</w:t>
      </w:r>
      <w:r w:rsidR="00D8581B">
        <w:t> :</w:t>
      </w:r>
    </w:p>
    <w:p w14:paraId="7B6A5087" w14:textId="77777777" w:rsidR="00404F34" w:rsidRPr="00026EC1" w:rsidRDefault="00404F34" w:rsidP="00A64613">
      <w:pPr>
        <w:keepNext w:val="0"/>
      </w:pPr>
    </w:p>
    <w:p w14:paraId="38A05284" w14:textId="77777777" w:rsidR="00404F34" w:rsidRPr="00026EC1" w:rsidRDefault="00275751" w:rsidP="00A64613">
      <w:pPr>
        <w:keepNext w:val="0"/>
        <w:tabs>
          <w:tab w:val="left" w:pos="1134"/>
        </w:tabs>
        <w:ind w:left="1134" w:hanging="567"/>
      </w:pPr>
      <w:r w:rsidRPr="00026EC1">
        <w:t>1.</w:t>
      </w:r>
      <w:r w:rsidRPr="00026EC1">
        <w:tab/>
      </w:r>
      <w:r w:rsidR="00404F34" w:rsidRPr="00026EC1">
        <w:t>suspend temporairement l</w:t>
      </w:r>
      <w:r w:rsidR="004A41E4" w:rsidRPr="00026EC1">
        <w:t>’</w:t>
      </w:r>
      <w:r w:rsidR="00404F34" w:rsidRPr="00026EC1">
        <w:t>enseignante ou l</w:t>
      </w:r>
      <w:r w:rsidR="004A41E4" w:rsidRPr="00026EC1">
        <w:t>’</w:t>
      </w:r>
      <w:r w:rsidR="00404F34" w:rsidRPr="00026EC1">
        <w:t>enseignant de ses fonctions sans perte de salaire, en lui envoyant un avis écrit qui doit comprendre les motifs de sa suspension, et en envoyant une copie de cet avis en même temps au Syndicat;</w:t>
      </w:r>
    </w:p>
    <w:p w14:paraId="798A5503" w14:textId="77777777" w:rsidR="00404F34" w:rsidRPr="00026EC1" w:rsidRDefault="00404F34" w:rsidP="00A64613">
      <w:pPr>
        <w:keepNext w:val="0"/>
      </w:pPr>
    </w:p>
    <w:p w14:paraId="4AEC43BC" w14:textId="61343C18" w:rsidR="00404F34" w:rsidRPr="00026EC1" w:rsidRDefault="00275751" w:rsidP="00A64613">
      <w:pPr>
        <w:keepNext w:val="0"/>
        <w:tabs>
          <w:tab w:val="left" w:pos="1134"/>
        </w:tabs>
        <w:ind w:left="1134" w:hanging="567"/>
      </w:pPr>
      <w:r w:rsidRPr="00026EC1">
        <w:t>2.</w:t>
      </w:r>
      <w:r w:rsidRPr="00026EC1">
        <w:tab/>
      </w:r>
      <w:r w:rsidR="00404F34" w:rsidRPr="00026EC1">
        <w:t>dispose alors de quinze</w:t>
      </w:r>
      <w:r w:rsidR="008A5719">
        <w:t> </w:t>
      </w:r>
      <w:r w:rsidR="00404F34" w:rsidRPr="00026EC1">
        <w:t>(15)</w:t>
      </w:r>
      <w:r w:rsidR="00404F34" w:rsidRPr="00026EC1">
        <w:rPr>
          <w:bCs/>
        </w:rPr>
        <w:t xml:space="preserve"> </w:t>
      </w:r>
      <w:r w:rsidR="00404F34" w:rsidRPr="00026EC1">
        <w:t>jours</w:t>
      </w:r>
      <w:r w:rsidR="00404F34" w:rsidRPr="00026EC1">
        <w:rPr>
          <w:bCs/>
        </w:rPr>
        <w:t xml:space="preserve"> </w:t>
      </w:r>
      <w:r w:rsidR="00404F34" w:rsidRPr="00026EC1">
        <w:t>ouvrables pour aviser par écrit l</w:t>
      </w:r>
      <w:r w:rsidR="004A41E4" w:rsidRPr="00026EC1">
        <w:t>’</w:t>
      </w:r>
      <w:r w:rsidR="00404F34" w:rsidRPr="00026EC1">
        <w:t>enseignante ou l</w:t>
      </w:r>
      <w:r w:rsidR="004A41E4" w:rsidRPr="00026EC1">
        <w:t>’</w:t>
      </w:r>
      <w:r w:rsidR="00404F34" w:rsidRPr="00026EC1">
        <w:t>enseignant de son intention de prendre action et pour convoquer le CRT, à défaut de quoi l</w:t>
      </w:r>
      <w:r w:rsidR="004A41E4" w:rsidRPr="00026EC1">
        <w:t>’</w:t>
      </w:r>
      <w:r w:rsidR="00404F34" w:rsidRPr="00026EC1">
        <w:t>enseignante ou l</w:t>
      </w:r>
      <w:r w:rsidR="004A41E4" w:rsidRPr="00026EC1">
        <w:t>’</w:t>
      </w:r>
      <w:r w:rsidR="00404F34" w:rsidRPr="00026EC1">
        <w:t>enseignant est réinstallé sans préjudice. Ce délai peut être prolongé par entente entre les parties;</w:t>
      </w:r>
    </w:p>
    <w:p w14:paraId="64EF4FA6" w14:textId="77777777" w:rsidR="00404F34" w:rsidRPr="00026EC1" w:rsidRDefault="00404F34" w:rsidP="00A64613">
      <w:pPr>
        <w:keepNext w:val="0"/>
      </w:pPr>
    </w:p>
    <w:p w14:paraId="4BCF70AA" w14:textId="0B3F189F" w:rsidR="00404F34" w:rsidRDefault="00275751" w:rsidP="00A64613">
      <w:pPr>
        <w:keepNext w:val="0"/>
        <w:tabs>
          <w:tab w:val="left" w:pos="567"/>
        </w:tabs>
        <w:ind w:left="567" w:hanging="567"/>
      </w:pPr>
      <w:r w:rsidRPr="00026EC1">
        <w:t>b)</w:t>
      </w:r>
      <w:r w:rsidRPr="00026EC1">
        <w:tab/>
      </w:r>
      <w:r w:rsidR="00404F34" w:rsidRPr="00026EC1">
        <w:t>le Collège et le Syndicat disposent alors de cinq</w:t>
      </w:r>
      <w:r w:rsidR="008A5719">
        <w:t> </w:t>
      </w:r>
      <w:r w:rsidR="00404F34" w:rsidRPr="00026EC1">
        <w:t>(5) jours ouvrables suivant la date prévue de la rencontre du CRT pour étudier le cas.</w:t>
      </w:r>
    </w:p>
    <w:p w14:paraId="45C8850A" w14:textId="77777777" w:rsidR="00593BA0" w:rsidRPr="00026EC1" w:rsidRDefault="00593BA0" w:rsidP="00A64613">
      <w:pPr>
        <w:keepNext w:val="0"/>
        <w:tabs>
          <w:tab w:val="left" w:pos="567"/>
        </w:tabs>
        <w:ind w:left="567" w:hanging="567"/>
      </w:pPr>
    </w:p>
    <w:p w14:paraId="70221008" w14:textId="582831BA" w:rsidR="00404F34" w:rsidRPr="00026EC1" w:rsidRDefault="00404F34" w:rsidP="00A64613">
      <w:pPr>
        <w:pStyle w:val="Texte1cm"/>
        <w:keepNext w:val="0"/>
      </w:pPr>
      <w:r w:rsidRPr="00026EC1">
        <w:t>Le Collège communique sa décision par écrit à l</w:t>
      </w:r>
      <w:r w:rsidR="004A41E4" w:rsidRPr="00026EC1">
        <w:t>’</w:t>
      </w:r>
      <w:r w:rsidRPr="00026EC1">
        <w:t>enseignante ou l</w:t>
      </w:r>
      <w:r w:rsidR="004A41E4" w:rsidRPr="00026EC1">
        <w:t>’</w:t>
      </w:r>
      <w:r w:rsidRPr="00026EC1">
        <w:t>enseignant et au Syndicat dans les trois</w:t>
      </w:r>
      <w:r w:rsidR="008A5719">
        <w:t> </w:t>
      </w:r>
      <w:r w:rsidRPr="00026EC1">
        <w:t>(3) jours ouvrables qui suivent l</w:t>
      </w:r>
      <w:r w:rsidR="004A41E4" w:rsidRPr="00026EC1">
        <w:t>’</w:t>
      </w:r>
      <w:r w:rsidRPr="00026EC1">
        <w:t>expiration du délai mentionné au paragraphe précédent, à défaut de quoi l</w:t>
      </w:r>
      <w:r w:rsidR="004A41E4" w:rsidRPr="00026EC1">
        <w:t>’</w:t>
      </w:r>
      <w:r w:rsidRPr="00026EC1">
        <w:t>enseignante ou l</w:t>
      </w:r>
      <w:r w:rsidR="004A41E4" w:rsidRPr="00026EC1">
        <w:t>’</w:t>
      </w:r>
      <w:r w:rsidRPr="00026EC1">
        <w:t>enseignant est réinstallé sans préjudice.</w:t>
      </w:r>
    </w:p>
    <w:p w14:paraId="65CE00C9" w14:textId="77777777" w:rsidR="003710C9" w:rsidRPr="00026EC1" w:rsidRDefault="003710C9" w:rsidP="00A64613">
      <w:pPr>
        <w:pStyle w:val="Texte1cm"/>
        <w:keepNext w:val="0"/>
      </w:pPr>
    </w:p>
    <w:p w14:paraId="2B00FEDB" w14:textId="77777777" w:rsidR="00404F34" w:rsidRPr="00026EC1" w:rsidRDefault="00404F34" w:rsidP="00A64613">
      <w:pPr>
        <w:pStyle w:val="Texte1cm"/>
        <w:keepNext w:val="0"/>
      </w:pPr>
      <w:r w:rsidRPr="00026EC1">
        <w:t>Sans préjudice de son droit de recours à la procédure de grief, l</w:t>
      </w:r>
      <w:r w:rsidR="004A41E4" w:rsidRPr="00026EC1">
        <w:t>’</w:t>
      </w:r>
      <w:r w:rsidRPr="00026EC1">
        <w:t>enseignante ou l</w:t>
      </w:r>
      <w:r w:rsidR="004A41E4" w:rsidRPr="00026EC1">
        <w:t>’</w:t>
      </w:r>
      <w:r w:rsidRPr="00026EC1">
        <w:t>enseignant peut se faire entendre lors de cette rencontre;</w:t>
      </w:r>
    </w:p>
    <w:p w14:paraId="603DD73F" w14:textId="77777777" w:rsidR="00404F34" w:rsidRPr="00026EC1" w:rsidRDefault="00404F34" w:rsidP="00A64613">
      <w:pPr>
        <w:keepNext w:val="0"/>
      </w:pPr>
    </w:p>
    <w:p w14:paraId="3F7774DD" w14:textId="4A826400" w:rsidR="00404F34" w:rsidRPr="00026EC1" w:rsidRDefault="00275751" w:rsidP="00A64613">
      <w:pPr>
        <w:keepNext w:val="0"/>
        <w:tabs>
          <w:tab w:val="left" w:pos="567"/>
        </w:tabs>
        <w:ind w:left="567" w:hanging="567"/>
      </w:pPr>
      <w:r w:rsidRPr="00026EC1">
        <w:t>c)</w:t>
      </w:r>
      <w:r w:rsidRPr="00026EC1">
        <w:tab/>
      </w:r>
      <w:r w:rsidR="00404F34" w:rsidRPr="00026EC1">
        <w:t>les délais prévus à la présente clause ont préséance sur les délais prévus à la clause 4</w:t>
      </w:r>
      <w:r w:rsidR="00984A6F">
        <w:noBreakHyphen/>
      </w:r>
      <w:r w:rsidR="00404F34" w:rsidRPr="00026EC1">
        <w:t>3.07 et la clause</w:t>
      </w:r>
      <w:r w:rsidR="00F61E7A" w:rsidRPr="00026EC1">
        <w:t> </w:t>
      </w:r>
      <w:r w:rsidR="00404F34" w:rsidRPr="00026EC1">
        <w:t>4</w:t>
      </w:r>
      <w:r w:rsidR="00984A6F">
        <w:noBreakHyphen/>
      </w:r>
      <w:r w:rsidR="00404F34" w:rsidRPr="00026EC1">
        <w:t>3.08 ne s</w:t>
      </w:r>
      <w:r w:rsidR="004A41E4" w:rsidRPr="00026EC1">
        <w:t>’</w:t>
      </w:r>
      <w:r w:rsidR="00404F34" w:rsidRPr="00026EC1">
        <w:t>applique pas;</w:t>
      </w:r>
    </w:p>
    <w:p w14:paraId="64CB081E" w14:textId="77777777" w:rsidR="00404F34" w:rsidRPr="00026EC1" w:rsidRDefault="00404F34" w:rsidP="00A64613">
      <w:pPr>
        <w:keepNext w:val="0"/>
      </w:pPr>
    </w:p>
    <w:p w14:paraId="5C034BD3" w14:textId="64B77EE8" w:rsidR="00404F34" w:rsidRPr="00026EC1" w:rsidRDefault="00275751" w:rsidP="00A64613">
      <w:pPr>
        <w:keepNext w:val="0"/>
        <w:tabs>
          <w:tab w:val="left" w:pos="567"/>
        </w:tabs>
        <w:ind w:left="567" w:hanging="567"/>
      </w:pPr>
      <w:r w:rsidRPr="00026EC1">
        <w:t>d)</w:t>
      </w:r>
      <w:r w:rsidRPr="00026EC1">
        <w:tab/>
      </w:r>
      <w:r w:rsidR="00404F34" w:rsidRPr="00026EC1">
        <w:t>l</w:t>
      </w:r>
      <w:r w:rsidR="004A41E4" w:rsidRPr="00026EC1">
        <w:t>’</w:t>
      </w:r>
      <w:r w:rsidR="00404F34" w:rsidRPr="00026EC1">
        <w:t>enseignante ou l</w:t>
      </w:r>
      <w:r w:rsidR="004A41E4" w:rsidRPr="00026EC1">
        <w:t>’</w:t>
      </w:r>
      <w:r w:rsidR="00404F34" w:rsidRPr="00026EC1">
        <w:t>enseignant peut faire parvenir sa démission écrite au Collège depuis le moment où elle ou il reçoit l</w:t>
      </w:r>
      <w:r w:rsidR="004A41E4" w:rsidRPr="00026EC1">
        <w:t>’</w:t>
      </w:r>
      <w:r w:rsidR="00404F34" w:rsidRPr="00026EC1">
        <w:t>avis de suspension prévu à l</w:t>
      </w:r>
      <w:r w:rsidR="004A41E4" w:rsidRPr="00026EC1">
        <w:t>’</w:t>
      </w:r>
      <w:r w:rsidR="00404F34" w:rsidRPr="00026EC1">
        <w:t>alinéa</w:t>
      </w:r>
      <w:r w:rsidR="00757E12" w:rsidRPr="00026EC1">
        <w:t> </w:t>
      </w:r>
      <w:r w:rsidR="00404F34" w:rsidRPr="00026EC1">
        <w:t>a) de la présente clause et jusqu</w:t>
      </w:r>
      <w:r w:rsidR="004A41E4" w:rsidRPr="00026EC1">
        <w:t>’</w:t>
      </w:r>
      <w:r w:rsidR="00404F34" w:rsidRPr="00026EC1">
        <w:t>à cinq</w:t>
      </w:r>
      <w:r w:rsidR="008A5719">
        <w:t> </w:t>
      </w:r>
      <w:r w:rsidR="00404F34" w:rsidRPr="00026EC1">
        <w:t>(5) jours après la décision du Collège conformément à l</w:t>
      </w:r>
      <w:r w:rsidR="004A41E4" w:rsidRPr="00026EC1">
        <w:t>’</w:t>
      </w:r>
      <w:r w:rsidR="00404F34" w:rsidRPr="00026EC1">
        <w:t>alinéa</w:t>
      </w:r>
      <w:r w:rsidR="00757E12" w:rsidRPr="00026EC1">
        <w:t> </w:t>
      </w:r>
      <w:r w:rsidR="00404F34" w:rsidRPr="00026EC1">
        <w:t>b) de la présente clause.</w:t>
      </w:r>
    </w:p>
    <w:p w14:paraId="0580D132" w14:textId="77777777" w:rsidR="00404F34" w:rsidRPr="00026EC1" w:rsidRDefault="00404F34" w:rsidP="00A64613">
      <w:pPr>
        <w:keepNext w:val="0"/>
      </w:pPr>
    </w:p>
    <w:p w14:paraId="39E62216" w14:textId="35E3B28E" w:rsidR="00404F34" w:rsidRPr="00026EC1" w:rsidRDefault="00404F34" w:rsidP="00A64613">
      <w:pPr>
        <w:pStyle w:val="NUMRODECLAUSE"/>
        <w:keepNext w:val="0"/>
      </w:pPr>
      <w:r w:rsidRPr="00026EC1">
        <w:t>5</w:t>
      </w:r>
      <w:r w:rsidR="00984A6F">
        <w:noBreakHyphen/>
      </w:r>
      <w:r w:rsidRPr="00026EC1">
        <w:t>18.03</w:t>
      </w:r>
    </w:p>
    <w:p w14:paraId="4CB6854D" w14:textId="1D428FE8" w:rsidR="00404F34" w:rsidRPr="00026EC1" w:rsidRDefault="00404F34" w:rsidP="00A64613">
      <w:pPr>
        <w:keepNext w:val="0"/>
      </w:pPr>
      <w:r w:rsidRPr="00026EC1">
        <w:t>Toute décision relative à une mesure disciplinaire doit être communiquée par écrit à l</w:t>
      </w:r>
      <w:r w:rsidR="004A41E4" w:rsidRPr="00026EC1">
        <w:t>’</w:t>
      </w:r>
      <w:r w:rsidRPr="00026EC1">
        <w:t>enseignante ou à l</w:t>
      </w:r>
      <w:r w:rsidR="004A41E4" w:rsidRPr="00026EC1">
        <w:t>’</w:t>
      </w:r>
      <w:r w:rsidRPr="00026EC1">
        <w:t>enseignant et transmise en même temps au Syndicat, avec ses motifs. L</w:t>
      </w:r>
      <w:r w:rsidR="004A41E4" w:rsidRPr="00026EC1">
        <w:t>’</w:t>
      </w:r>
      <w:r w:rsidRPr="00026EC1">
        <w:t>enseignante ou l</w:t>
      </w:r>
      <w:r w:rsidR="004A41E4" w:rsidRPr="00026EC1">
        <w:t>’</w:t>
      </w:r>
      <w:r w:rsidRPr="00026EC1">
        <w:t>enseignant peut, dans les cinq</w:t>
      </w:r>
      <w:r w:rsidR="008A5719">
        <w:t> </w:t>
      </w:r>
      <w:r w:rsidRPr="00026EC1">
        <w:t>(5) jours qui suivent la réception d</w:t>
      </w:r>
      <w:r w:rsidR="004A41E4" w:rsidRPr="00026EC1">
        <w:t>’</w:t>
      </w:r>
      <w:r w:rsidRPr="00026EC1">
        <w:t>une telle décision, faire parvenir au Collège sa démission écrite et, au Syndicat, une copie de sa démission.</w:t>
      </w:r>
    </w:p>
    <w:p w14:paraId="1124B69D" w14:textId="77777777" w:rsidR="00404F34" w:rsidRPr="00026EC1" w:rsidRDefault="00404F34" w:rsidP="00A64613">
      <w:pPr>
        <w:keepNext w:val="0"/>
      </w:pPr>
    </w:p>
    <w:p w14:paraId="487E5E21" w14:textId="4023E010" w:rsidR="00404F34" w:rsidRPr="00026EC1" w:rsidRDefault="00404F34" w:rsidP="00A64613">
      <w:pPr>
        <w:pStyle w:val="NUMRODECLAUSE"/>
        <w:keepNext w:val="0"/>
      </w:pPr>
      <w:r w:rsidRPr="00026EC1">
        <w:t>5</w:t>
      </w:r>
      <w:r w:rsidR="00984A6F">
        <w:noBreakHyphen/>
      </w:r>
      <w:r w:rsidRPr="00026EC1">
        <w:t>18.04</w:t>
      </w:r>
    </w:p>
    <w:p w14:paraId="32EE0190" w14:textId="77777777" w:rsidR="00404F34" w:rsidRPr="00026EC1" w:rsidRDefault="00404F34" w:rsidP="00A64613">
      <w:pPr>
        <w:keepNext w:val="0"/>
      </w:pPr>
      <w:r w:rsidRPr="00026EC1">
        <w:t>Aucun aveu signé par une enseignante ou un enseignant ne peut lui être opposé devant un tribunal d</w:t>
      </w:r>
      <w:r w:rsidR="004A41E4" w:rsidRPr="00026EC1">
        <w:t>’</w:t>
      </w:r>
      <w:r w:rsidRPr="00026EC1">
        <w:t>arbitrage à moins qu</w:t>
      </w:r>
      <w:r w:rsidR="004A41E4" w:rsidRPr="00026EC1">
        <w:t>’</w:t>
      </w:r>
      <w:r w:rsidRPr="00026EC1">
        <w:t>il ne s</w:t>
      </w:r>
      <w:r w:rsidR="004A41E4" w:rsidRPr="00026EC1">
        <w:t>’</w:t>
      </w:r>
      <w:r w:rsidRPr="00026EC1">
        <w:t>agisse d</w:t>
      </w:r>
      <w:r w:rsidR="004A41E4" w:rsidRPr="00026EC1">
        <w:t>’</w:t>
      </w:r>
      <w:r w:rsidRPr="00026EC1">
        <w:t>un aveu signé devant une représentante ou un représentant du Syndicat.</w:t>
      </w:r>
    </w:p>
    <w:p w14:paraId="6FBEC887" w14:textId="77777777" w:rsidR="00404F34" w:rsidRPr="00026EC1" w:rsidRDefault="00404F34" w:rsidP="00A64613">
      <w:pPr>
        <w:keepNext w:val="0"/>
      </w:pPr>
    </w:p>
    <w:p w14:paraId="051FCD5F" w14:textId="2AA32634" w:rsidR="00404F34" w:rsidRPr="00026EC1" w:rsidRDefault="00404F34" w:rsidP="00A64613">
      <w:pPr>
        <w:pStyle w:val="NUMRODECLAUSE"/>
        <w:keepNext w:val="0"/>
      </w:pPr>
      <w:r w:rsidRPr="00026EC1">
        <w:t>5</w:t>
      </w:r>
      <w:r w:rsidR="00984A6F">
        <w:noBreakHyphen/>
      </w:r>
      <w:r w:rsidRPr="00026EC1">
        <w:t>18.05</w:t>
      </w:r>
    </w:p>
    <w:p w14:paraId="30165F66" w14:textId="4FAD7278" w:rsidR="00404F34" w:rsidRPr="00026EC1" w:rsidRDefault="00404F34" w:rsidP="00A64613">
      <w:pPr>
        <w:keepNext w:val="0"/>
      </w:pPr>
      <w:r w:rsidRPr="00026EC1">
        <w:t>Dans les cas prévus à la clause</w:t>
      </w:r>
      <w:r w:rsidR="00F61E7A" w:rsidRPr="00026EC1">
        <w:t> </w:t>
      </w:r>
      <w:r w:rsidRPr="00026EC1">
        <w:t>5</w:t>
      </w:r>
      <w:r w:rsidR="00984A6F">
        <w:noBreakHyphen/>
      </w:r>
      <w:r w:rsidRPr="00026EC1">
        <w:t>18.01, l</w:t>
      </w:r>
      <w:r w:rsidR="004A41E4" w:rsidRPr="00026EC1">
        <w:t>’</w:t>
      </w:r>
      <w:r w:rsidRPr="00026EC1">
        <w:t>enseignante ou l</w:t>
      </w:r>
      <w:r w:rsidR="004A41E4" w:rsidRPr="00026EC1">
        <w:t>’</w:t>
      </w:r>
      <w:r w:rsidRPr="00026EC1">
        <w:t>enseignant ne peut être congédié qu</w:t>
      </w:r>
      <w:r w:rsidR="004A41E4" w:rsidRPr="00026EC1">
        <w:t>’</w:t>
      </w:r>
      <w:r w:rsidRPr="00026EC1">
        <w:t>à l</w:t>
      </w:r>
      <w:r w:rsidR="004A41E4" w:rsidRPr="00026EC1">
        <w:t>’</w:t>
      </w:r>
      <w:r w:rsidRPr="00026EC1">
        <w:t>expiration de son contrat. Si le Collège lui communique cette décision après le 1</w:t>
      </w:r>
      <w:r w:rsidRPr="00026EC1">
        <w:rPr>
          <w:szCs w:val="24"/>
          <w:vertAlign w:val="superscript"/>
        </w:rPr>
        <w:t>er</w:t>
      </w:r>
      <w:r w:rsidRPr="00026EC1">
        <w:t xml:space="preserve"> avril précédant l</w:t>
      </w:r>
      <w:r w:rsidR="004A41E4" w:rsidRPr="00026EC1">
        <w:t>’</w:t>
      </w:r>
      <w:r w:rsidRPr="00026EC1">
        <w:t>expiration de son contrat, au moins un</w:t>
      </w:r>
      <w:r w:rsidR="008A5719">
        <w:t> </w:t>
      </w:r>
      <w:r w:rsidRPr="00026EC1">
        <w:t>(1) des deux</w:t>
      </w:r>
      <w:r w:rsidR="008A5719">
        <w:t> </w:t>
      </w:r>
      <w:r w:rsidRPr="00026EC1">
        <w:t>(2) avis prévus à l</w:t>
      </w:r>
      <w:r w:rsidR="004A41E4" w:rsidRPr="00026EC1">
        <w:t>’</w:t>
      </w:r>
      <w:r w:rsidRPr="00026EC1">
        <w:t>alinéa</w:t>
      </w:r>
      <w:r w:rsidR="00757E12" w:rsidRPr="00026EC1">
        <w:t> </w:t>
      </w:r>
      <w:r w:rsidRPr="00026EC1">
        <w:t>a) de la clause</w:t>
      </w:r>
      <w:r w:rsidR="00F61E7A" w:rsidRPr="00026EC1">
        <w:t> </w:t>
      </w:r>
      <w:r w:rsidRPr="00026EC1">
        <w:t>5</w:t>
      </w:r>
      <w:r w:rsidR="00984A6F">
        <w:noBreakHyphen/>
      </w:r>
      <w:r w:rsidRPr="00026EC1">
        <w:t>18.01 doit être justifié par un fait survenu après cette date.</w:t>
      </w:r>
    </w:p>
    <w:p w14:paraId="65569422" w14:textId="77777777" w:rsidR="00404F34" w:rsidRPr="00026EC1" w:rsidRDefault="00404F34" w:rsidP="00A64613">
      <w:pPr>
        <w:keepNext w:val="0"/>
      </w:pPr>
    </w:p>
    <w:p w14:paraId="457DD283" w14:textId="33C01191" w:rsidR="00404F34" w:rsidRPr="00026EC1" w:rsidRDefault="00404F34" w:rsidP="00A64613">
      <w:pPr>
        <w:pStyle w:val="NUMRODECLAUSE"/>
        <w:keepNext w:val="0"/>
      </w:pPr>
      <w:r w:rsidRPr="00026EC1">
        <w:t>5</w:t>
      </w:r>
      <w:r w:rsidR="00984A6F">
        <w:noBreakHyphen/>
      </w:r>
      <w:r w:rsidRPr="00026EC1">
        <w:t>18.06</w:t>
      </w:r>
    </w:p>
    <w:p w14:paraId="0701D697" w14:textId="33005949" w:rsidR="00404F34" w:rsidRPr="00026EC1" w:rsidRDefault="00404F34" w:rsidP="00A64613">
      <w:pPr>
        <w:keepNext w:val="0"/>
      </w:pPr>
      <w:r w:rsidRPr="00026EC1">
        <w:t>Les avis et remarques défavorables</w:t>
      </w:r>
      <w:r w:rsidRPr="00026EC1">
        <w:rPr>
          <w:bCs/>
        </w:rPr>
        <w:t xml:space="preserve"> </w:t>
      </w:r>
      <w:r w:rsidRPr="00026EC1">
        <w:t>adressés à l</w:t>
      </w:r>
      <w:r w:rsidR="004A41E4" w:rsidRPr="00026EC1">
        <w:t>’</w:t>
      </w:r>
      <w:r w:rsidRPr="00026EC1">
        <w:t>enseignante ou l</w:t>
      </w:r>
      <w:r w:rsidR="004A41E4" w:rsidRPr="00026EC1">
        <w:t>’</w:t>
      </w:r>
      <w:r w:rsidRPr="00026EC1">
        <w:t>enseignant ou toute pièce incriminante</w:t>
      </w:r>
      <w:r w:rsidRPr="00026EC1">
        <w:rPr>
          <w:bCs/>
        </w:rPr>
        <w:t xml:space="preserve"> </w:t>
      </w:r>
      <w:r w:rsidRPr="00026EC1">
        <w:t>ne peuvent être utilisés contre elle ou lui s</w:t>
      </w:r>
      <w:r w:rsidR="004A41E4" w:rsidRPr="00026EC1">
        <w:t>’</w:t>
      </w:r>
      <w:r w:rsidRPr="00026EC1">
        <w:t>il s</w:t>
      </w:r>
      <w:r w:rsidR="004A41E4" w:rsidRPr="00026EC1">
        <w:t>’</w:t>
      </w:r>
      <w:r w:rsidRPr="00026EC1">
        <w:t>est écoulé</w:t>
      </w:r>
      <w:r w:rsidR="00630FFC" w:rsidRPr="00026EC1">
        <w:t xml:space="preserve"> un</w:t>
      </w:r>
      <w:r w:rsidR="008A5719">
        <w:t> </w:t>
      </w:r>
      <w:r w:rsidRPr="00026EC1">
        <w:t>(1) an sans qu</w:t>
      </w:r>
      <w:r w:rsidR="004A41E4" w:rsidRPr="00026EC1">
        <w:t>’</w:t>
      </w:r>
      <w:r w:rsidRPr="00026EC1">
        <w:t xml:space="preserve">un autre avis portant sur un sujet de nature similaire ne lui ait été </w:t>
      </w:r>
      <w:r w:rsidRPr="007E51E2">
        <w:t xml:space="preserve">communiqué. </w:t>
      </w:r>
      <w:r w:rsidR="004B2A84" w:rsidRPr="007E51E2">
        <w:t>En cas d’absence de plus de trente</w:t>
      </w:r>
      <w:r w:rsidR="008A5719">
        <w:t> </w:t>
      </w:r>
      <w:r w:rsidR="004B2A84" w:rsidRPr="007E51E2">
        <w:t>(30) jours consécutifs, ce délai est prolongé du nombre de jours d’absence consécutifs dépassant trente</w:t>
      </w:r>
      <w:r w:rsidR="008A5719">
        <w:t> </w:t>
      </w:r>
      <w:r w:rsidR="004B2A84" w:rsidRPr="007E51E2">
        <w:t>(30) jours sans toutefois dépasser dix</w:t>
      </w:r>
      <w:r w:rsidR="00984A6F">
        <w:noBreakHyphen/>
      </w:r>
      <w:r w:rsidR="004B2A84" w:rsidRPr="007E51E2">
        <w:t>huit</w:t>
      </w:r>
      <w:r w:rsidR="00593BA0" w:rsidRPr="007E51E2">
        <w:t> </w:t>
      </w:r>
      <w:r w:rsidR="004B2A84" w:rsidRPr="007E51E2">
        <w:t xml:space="preserve">(18) mois. </w:t>
      </w:r>
      <w:r w:rsidRPr="007E51E2">
        <w:t>Ce délai expiré, ces avis, remarques ou pièces sont alors retirés</w:t>
      </w:r>
      <w:r w:rsidRPr="00026EC1">
        <w:t xml:space="preserve"> du dossier.</w:t>
      </w:r>
    </w:p>
    <w:p w14:paraId="6C922104" w14:textId="77777777" w:rsidR="00404F34" w:rsidRPr="00026EC1" w:rsidRDefault="00404F34" w:rsidP="00A64613">
      <w:pPr>
        <w:keepNext w:val="0"/>
      </w:pPr>
    </w:p>
    <w:p w14:paraId="3D097F34" w14:textId="2D6E2CD7" w:rsidR="00404F34" w:rsidRPr="00026EC1" w:rsidRDefault="00404F34" w:rsidP="00A64613">
      <w:pPr>
        <w:pStyle w:val="NUMRODECLAUSE"/>
        <w:keepNext w:val="0"/>
      </w:pPr>
      <w:r w:rsidRPr="00026EC1">
        <w:t>5</w:t>
      </w:r>
      <w:r w:rsidR="00984A6F">
        <w:noBreakHyphen/>
      </w:r>
      <w:r w:rsidRPr="00026EC1">
        <w:t>18.07</w:t>
      </w:r>
    </w:p>
    <w:p w14:paraId="39C644FA" w14:textId="77777777" w:rsidR="00522997" w:rsidRDefault="00404F34" w:rsidP="00A64613">
      <w:pPr>
        <w:keepNext w:val="0"/>
      </w:pPr>
      <w:r w:rsidRPr="00026EC1">
        <w:t>En tout temps, l</w:t>
      </w:r>
      <w:r w:rsidR="004A41E4" w:rsidRPr="00026EC1">
        <w:t>’</w:t>
      </w:r>
      <w:r w:rsidRPr="00026EC1">
        <w:t>enseignante ou l</w:t>
      </w:r>
      <w:r w:rsidR="004A41E4" w:rsidRPr="00026EC1">
        <w:t>’</w:t>
      </w:r>
      <w:r w:rsidRPr="00026EC1">
        <w:t>enseignant accompagné ou non d</w:t>
      </w:r>
      <w:r w:rsidR="004A41E4" w:rsidRPr="00026EC1">
        <w:t>’</w:t>
      </w:r>
      <w:r w:rsidRPr="00026EC1">
        <w:t>une représentante ou d</w:t>
      </w:r>
      <w:r w:rsidR="004A41E4" w:rsidRPr="00026EC1">
        <w:t>’</w:t>
      </w:r>
      <w:r w:rsidRPr="00026EC1">
        <w:t>un représentant du Syndicat peut consulter son dossier qui comprend</w:t>
      </w:r>
      <w:r w:rsidR="00D8581B">
        <w:t> :</w:t>
      </w:r>
    </w:p>
    <w:p w14:paraId="31DC26BF" w14:textId="60BBA569" w:rsidR="00404F34" w:rsidRPr="00026EC1" w:rsidRDefault="00404F34" w:rsidP="004F71C1">
      <w:pPr>
        <w:pStyle w:val="ListParagraph"/>
        <w:numPr>
          <w:ilvl w:val="0"/>
          <w:numId w:val="36"/>
        </w:numPr>
        <w:ind w:left="567" w:hanging="567"/>
      </w:pPr>
      <w:r w:rsidRPr="00026EC1">
        <w:t>le formulaire de demande d</w:t>
      </w:r>
      <w:r w:rsidR="004A41E4" w:rsidRPr="00026EC1">
        <w:t>’</w:t>
      </w:r>
      <w:r w:rsidRPr="00026EC1">
        <w:t>emploi;</w:t>
      </w:r>
    </w:p>
    <w:p w14:paraId="65C73132" w14:textId="77777777" w:rsidR="00404F34" w:rsidRPr="00026EC1" w:rsidRDefault="00404F34" w:rsidP="00A64613">
      <w:pPr>
        <w:keepNext w:val="0"/>
      </w:pPr>
    </w:p>
    <w:p w14:paraId="25B733C4" w14:textId="77777777" w:rsidR="00404F34" w:rsidRPr="00026EC1" w:rsidRDefault="00275751" w:rsidP="00A64613">
      <w:pPr>
        <w:keepNext w:val="0"/>
        <w:tabs>
          <w:tab w:val="left" w:pos="567"/>
        </w:tabs>
        <w:ind w:left="567" w:hanging="567"/>
      </w:pPr>
      <w:r w:rsidRPr="00026EC1">
        <w:t>b)</w:t>
      </w:r>
      <w:r w:rsidRPr="00026EC1">
        <w:tab/>
      </w:r>
      <w:r w:rsidR="00404F34" w:rsidRPr="00026EC1">
        <w:t>le contrat d</w:t>
      </w:r>
      <w:r w:rsidR="004A41E4" w:rsidRPr="00026EC1">
        <w:t>’</w:t>
      </w:r>
      <w:r w:rsidR="00404F34" w:rsidRPr="00026EC1">
        <w:t>engagement;</w:t>
      </w:r>
    </w:p>
    <w:p w14:paraId="0049AF90" w14:textId="77777777" w:rsidR="00404F34" w:rsidRPr="00026EC1" w:rsidRDefault="00404F34" w:rsidP="00A64613">
      <w:pPr>
        <w:keepNext w:val="0"/>
      </w:pPr>
    </w:p>
    <w:p w14:paraId="25E0D41F" w14:textId="77777777" w:rsidR="00404F34" w:rsidRPr="00026EC1" w:rsidRDefault="00275751" w:rsidP="00A64613">
      <w:pPr>
        <w:keepNext w:val="0"/>
        <w:tabs>
          <w:tab w:val="left" w:pos="567"/>
        </w:tabs>
        <w:ind w:left="567" w:hanging="567"/>
      </w:pPr>
      <w:r w:rsidRPr="00026EC1">
        <w:t>c)</w:t>
      </w:r>
      <w:r w:rsidRPr="00026EC1">
        <w:tab/>
      </w:r>
      <w:r w:rsidR="00404F34" w:rsidRPr="00026EC1">
        <w:t>toute autorisation de déduction;</w:t>
      </w:r>
    </w:p>
    <w:p w14:paraId="3D367491" w14:textId="77777777" w:rsidR="00D45CB4" w:rsidRPr="00026EC1" w:rsidRDefault="00D45CB4" w:rsidP="00A64613">
      <w:pPr>
        <w:keepNext w:val="0"/>
      </w:pPr>
    </w:p>
    <w:p w14:paraId="6D22B597" w14:textId="77777777" w:rsidR="00404F34" w:rsidRPr="00026EC1" w:rsidRDefault="00275751" w:rsidP="00A64613">
      <w:pPr>
        <w:keepNext w:val="0"/>
        <w:tabs>
          <w:tab w:val="left" w:pos="567"/>
        </w:tabs>
        <w:ind w:left="567" w:hanging="567"/>
        <w:rPr>
          <w:bCs/>
        </w:rPr>
      </w:pPr>
      <w:r w:rsidRPr="00026EC1">
        <w:rPr>
          <w:bCs/>
        </w:rPr>
        <w:t>d)</w:t>
      </w:r>
      <w:r w:rsidRPr="00026EC1">
        <w:rPr>
          <w:bCs/>
        </w:rPr>
        <w:tab/>
      </w:r>
      <w:r w:rsidR="00404F34" w:rsidRPr="00026EC1">
        <w:t xml:space="preserve">les avis, aveux, remarques défavorables et pièces incriminantes prévus au présent article; </w:t>
      </w:r>
    </w:p>
    <w:p w14:paraId="679D56AB" w14:textId="77777777" w:rsidR="00404F34" w:rsidRPr="00026EC1" w:rsidRDefault="00404F34" w:rsidP="00A64613">
      <w:pPr>
        <w:keepNext w:val="0"/>
      </w:pPr>
    </w:p>
    <w:p w14:paraId="1A12BEDB" w14:textId="77777777" w:rsidR="00404F34" w:rsidRPr="00026EC1" w:rsidRDefault="00275751" w:rsidP="00A64613">
      <w:pPr>
        <w:keepNext w:val="0"/>
        <w:tabs>
          <w:tab w:val="left" w:pos="567"/>
        </w:tabs>
        <w:ind w:left="567" w:hanging="567"/>
      </w:pPr>
      <w:r w:rsidRPr="00026EC1">
        <w:t>e)</w:t>
      </w:r>
      <w:r w:rsidRPr="00026EC1">
        <w:tab/>
      </w:r>
      <w:r w:rsidR="00404F34" w:rsidRPr="00026EC1">
        <w:t>toute demande pour remplir un poste ou une charge;</w:t>
      </w:r>
    </w:p>
    <w:p w14:paraId="5C309E24" w14:textId="77777777" w:rsidR="003710C9" w:rsidRPr="00026EC1" w:rsidRDefault="003710C9" w:rsidP="00A64613">
      <w:pPr>
        <w:keepNext w:val="0"/>
      </w:pPr>
    </w:p>
    <w:p w14:paraId="502FA8F6" w14:textId="77777777" w:rsidR="00404F34" w:rsidRPr="00026EC1" w:rsidRDefault="00275751" w:rsidP="00A64613">
      <w:pPr>
        <w:keepNext w:val="0"/>
        <w:tabs>
          <w:tab w:val="left" w:pos="567"/>
        </w:tabs>
        <w:ind w:left="567" w:hanging="567"/>
      </w:pPr>
      <w:r w:rsidRPr="00026EC1">
        <w:t>f)</w:t>
      </w:r>
      <w:r w:rsidRPr="00026EC1">
        <w:tab/>
      </w:r>
      <w:r w:rsidR="00404F34" w:rsidRPr="00026EC1">
        <w:t>les documents relatifs à la classification et au classement de l</w:t>
      </w:r>
      <w:r w:rsidR="004A41E4" w:rsidRPr="00026EC1">
        <w:t>’</w:t>
      </w:r>
      <w:r w:rsidR="00404F34" w:rsidRPr="00026EC1">
        <w:t>enseignante ou de l</w:t>
      </w:r>
      <w:r w:rsidR="004A41E4" w:rsidRPr="00026EC1">
        <w:t>’</w:t>
      </w:r>
      <w:r w:rsidR="00404F34" w:rsidRPr="00026EC1">
        <w:t>enseignant.</w:t>
      </w:r>
    </w:p>
    <w:p w14:paraId="4F71D60F" w14:textId="77777777" w:rsidR="00404F34" w:rsidRPr="00026EC1" w:rsidRDefault="00404F34" w:rsidP="00A64613">
      <w:pPr>
        <w:keepNext w:val="0"/>
      </w:pPr>
    </w:p>
    <w:p w14:paraId="5D2DDE7B" w14:textId="77777777" w:rsidR="00404F34" w:rsidRPr="00026EC1" w:rsidRDefault="00404F34" w:rsidP="00A64613">
      <w:pPr>
        <w:keepNext w:val="0"/>
      </w:pPr>
      <w:r w:rsidRPr="00026EC1">
        <w:t>Le dossier de l</w:t>
      </w:r>
      <w:r w:rsidR="004A41E4" w:rsidRPr="00026EC1">
        <w:t>’</w:t>
      </w:r>
      <w:r w:rsidRPr="00026EC1">
        <w:t>enseignante ou de l</w:t>
      </w:r>
      <w:r w:rsidR="004A41E4" w:rsidRPr="00026EC1">
        <w:t>’</w:t>
      </w:r>
      <w:r w:rsidRPr="00026EC1">
        <w:t>enseignant ne peut être consulté par les représentantes ou représentants des parties que lors d</w:t>
      </w:r>
      <w:r w:rsidR="004A41E4" w:rsidRPr="00026EC1">
        <w:t>’</w:t>
      </w:r>
      <w:r w:rsidRPr="00026EC1">
        <w:t>une rencontre du CRT.</w:t>
      </w:r>
    </w:p>
    <w:p w14:paraId="43BCF724" w14:textId="77777777" w:rsidR="00404F34" w:rsidRPr="00026EC1" w:rsidRDefault="00404F34" w:rsidP="00A64613">
      <w:pPr>
        <w:keepNext w:val="0"/>
      </w:pPr>
    </w:p>
    <w:p w14:paraId="4361ED7B" w14:textId="7CAC0147" w:rsidR="00404F34" w:rsidRPr="00026EC1" w:rsidRDefault="00404F34" w:rsidP="00A64613">
      <w:pPr>
        <w:pStyle w:val="NUMRODECLAUSE"/>
        <w:keepNext w:val="0"/>
      </w:pPr>
      <w:r w:rsidRPr="00026EC1">
        <w:t>5</w:t>
      </w:r>
      <w:r w:rsidR="00984A6F">
        <w:noBreakHyphen/>
      </w:r>
      <w:r w:rsidRPr="00026EC1">
        <w:t>18.08</w:t>
      </w:r>
    </w:p>
    <w:p w14:paraId="1EE05383"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est toujours informé avant qu</w:t>
      </w:r>
      <w:r w:rsidR="004A41E4" w:rsidRPr="00026EC1">
        <w:t>’</w:t>
      </w:r>
      <w:r w:rsidRPr="00026EC1">
        <w:t>une remarque défavorable ou une pièce incriminante ne soit versée à son dossier. Dans ce cas, le dossier doit contenir une attestation à l</w:t>
      </w:r>
      <w:r w:rsidR="004A41E4" w:rsidRPr="00026EC1">
        <w:t>’</w:t>
      </w:r>
      <w:r w:rsidRPr="00026EC1">
        <w:t>effet que l</w:t>
      </w:r>
      <w:r w:rsidR="004A41E4" w:rsidRPr="00026EC1">
        <w:t>’</w:t>
      </w:r>
      <w:r w:rsidRPr="00026EC1">
        <w:t>enseignante ou l</w:t>
      </w:r>
      <w:r w:rsidR="004A41E4" w:rsidRPr="00026EC1">
        <w:t>’</w:t>
      </w:r>
      <w:r w:rsidRPr="00026EC1">
        <w:t>enseignant a pris connaissance de la remarque. D</w:t>
      </w:r>
      <w:r w:rsidR="004A41E4" w:rsidRPr="00026EC1">
        <w:t>’</w:t>
      </w:r>
      <w:r w:rsidRPr="00026EC1">
        <w:t>aucune façon, une telle attestation ne peut être invoquée contre l</w:t>
      </w:r>
      <w:r w:rsidR="004A41E4" w:rsidRPr="00026EC1">
        <w:t>’</w:t>
      </w:r>
      <w:r w:rsidRPr="00026EC1">
        <w:t>enseignante ou contre l</w:t>
      </w:r>
      <w:r w:rsidR="004A41E4" w:rsidRPr="00026EC1">
        <w:t>’</w:t>
      </w:r>
      <w:r w:rsidRPr="00026EC1">
        <w:t>enseignant comme un aveu.</w:t>
      </w:r>
    </w:p>
    <w:p w14:paraId="1EF09B8A" w14:textId="77777777" w:rsidR="00404F34" w:rsidRPr="00026EC1" w:rsidRDefault="00404F34" w:rsidP="00A64613">
      <w:pPr>
        <w:keepNext w:val="0"/>
      </w:pPr>
    </w:p>
    <w:p w14:paraId="0F8BB389" w14:textId="77777777" w:rsidR="00404F34" w:rsidRPr="00026EC1" w:rsidRDefault="00404F34" w:rsidP="00A64613">
      <w:pPr>
        <w:keepNext w:val="0"/>
      </w:pPr>
      <w:r w:rsidRPr="00026EC1">
        <w:t>Une copie de toute doléance, remarque défavorable ou pièce incriminante versée au dossier d</w:t>
      </w:r>
      <w:r w:rsidR="004A41E4" w:rsidRPr="00026EC1">
        <w:t>’</w:t>
      </w:r>
      <w:r w:rsidRPr="00026EC1">
        <w:t>une enseignante ou d</w:t>
      </w:r>
      <w:r w:rsidR="004A41E4" w:rsidRPr="00026EC1">
        <w:t>’</w:t>
      </w:r>
      <w:r w:rsidRPr="00026EC1">
        <w:t>un enseignant est transmise au Syndicat, à moins que l</w:t>
      </w:r>
      <w:r w:rsidR="004A41E4" w:rsidRPr="00026EC1">
        <w:t>’</w:t>
      </w:r>
      <w:r w:rsidRPr="00026EC1">
        <w:t>enseignante ou l</w:t>
      </w:r>
      <w:r w:rsidR="004A41E4" w:rsidRPr="00026EC1">
        <w:t>’</w:t>
      </w:r>
      <w:r w:rsidRPr="00026EC1">
        <w:t>enseignant ne s</w:t>
      </w:r>
      <w:r w:rsidR="004A41E4" w:rsidRPr="00026EC1">
        <w:t>’</w:t>
      </w:r>
      <w:r w:rsidRPr="00026EC1">
        <w:t>y soit opposé par écrit dans les trois (3) jours ouvrables suivant le jour où l</w:t>
      </w:r>
      <w:r w:rsidR="004A41E4" w:rsidRPr="00026EC1">
        <w:t>’</w:t>
      </w:r>
      <w:r w:rsidRPr="00026EC1">
        <w:t>enseignante ou l</w:t>
      </w:r>
      <w:r w:rsidR="004A41E4" w:rsidRPr="00026EC1">
        <w:t>’</w:t>
      </w:r>
      <w:r w:rsidRPr="00026EC1">
        <w:t>enseignant est informé conformément au paragraphe précédent.</w:t>
      </w:r>
    </w:p>
    <w:p w14:paraId="7D733D4C" w14:textId="77777777" w:rsidR="00404F34" w:rsidRPr="00026EC1" w:rsidRDefault="00404F34" w:rsidP="00A64613">
      <w:pPr>
        <w:keepNext w:val="0"/>
      </w:pPr>
    </w:p>
    <w:p w14:paraId="49038518" w14:textId="145A81A9" w:rsidR="00404F34" w:rsidRPr="00026EC1" w:rsidRDefault="00404F34" w:rsidP="00A64613">
      <w:pPr>
        <w:pStyle w:val="NUMRODECLAUSE"/>
        <w:keepNext w:val="0"/>
      </w:pPr>
      <w:r w:rsidRPr="00026EC1">
        <w:t>5</w:t>
      </w:r>
      <w:r w:rsidR="00984A6F">
        <w:noBreakHyphen/>
      </w:r>
      <w:r w:rsidRPr="00026EC1">
        <w:t>18.09</w:t>
      </w:r>
    </w:p>
    <w:p w14:paraId="2715C68F" w14:textId="77777777" w:rsidR="00404F34" w:rsidRPr="00026EC1" w:rsidRDefault="00404F34" w:rsidP="00A64613">
      <w:pPr>
        <w:keepNext w:val="0"/>
      </w:pPr>
      <w:r w:rsidRPr="00026EC1">
        <w:t>Toute remarque défavorable ou une pièce incriminante versée au dossier d</w:t>
      </w:r>
      <w:r w:rsidR="004A41E4" w:rsidRPr="00026EC1">
        <w:t>’</w:t>
      </w:r>
      <w:r w:rsidRPr="00026EC1">
        <w:t>une enseignante ou d</w:t>
      </w:r>
      <w:r w:rsidR="004A41E4" w:rsidRPr="00026EC1">
        <w:t>’</w:t>
      </w:r>
      <w:r w:rsidRPr="00026EC1">
        <w:t>un enseignant peut être contestée par l</w:t>
      </w:r>
      <w:r w:rsidR="004A41E4" w:rsidRPr="00026EC1">
        <w:t>’</w:t>
      </w:r>
      <w:r w:rsidRPr="00026EC1">
        <w:t>enseignante ou l</w:t>
      </w:r>
      <w:r w:rsidR="004A41E4" w:rsidRPr="00026EC1">
        <w:t>’</w:t>
      </w:r>
      <w:r w:rsidRPr="00026EC1">
        <w:t>enseignant ou le Syndicat par le recours au CRT et par la procédure de grief.</w:t>
      </w:r>
    </w:p>
    <w:p w14:paraId="096F1174" w14:textId="77777777" w:rsidR="00404F34" w:rsidRPr="00026EC1" w:rsidRDefault="00404F34" w:rsidP="00A64613">
      <w:pPr>
        <w:keepNext w:val="0"/>
      </w:pPr>
    </w:p>
    <w:p w14:paraId="04FD36C8" w14:textId="2B8D0CE3" w:rsidR="00404F34" w:rsidRPr="00026EC1" w:rsidRDefault="00404F34" w:rsidP="00A64613">
      <w:pPr>
        <w:keepNext w:val="0"/>
      </w:pPr>
      <w:r w:rsidRPr="00026EC1">
        <w:t>Si le Collège reconnaît le bien</w:t>
      </w:r>
      <w:r w:rsidR="00984A6F">
        <w:noBreakHyphen/>
      </w:r>
      <w:r w:rsidRPr="00026EC1">
        <w:t>fondé de la requête de l</w:t>
      </w:r>
      <w:r w:rsidR="004A41E4" w:rsidRPr="00026EC1">
        <w:t>’</w:t>
      </w:r>
      <w:r w:rsidRPr="00026EC1">
        <w:t>enseignante ou de l</w:t>
      </w:r>
      <w:r w:rsidR="004A41E4" w:rsidRPr="00026EC1">
        <w:t>’</w:t>
      </w:r>
      <w:r w:rsidRPr="00026EC1">
        <w:t>enseignant ou du Syndicat après rencontre au CRT, la pièce contestée est immédiatement retirée du dossier. Il en est de même si le jugement du tribunal d</w:t>
      </w:r>
      <w:r w:rsidR="004A41E4" w:rsidRPr="00026EC1">
        <w:t>’</w:t>
      </w:r>
      <w:r w:rsidRPr="00026EC1">
        <w:t>arbitrage fait droit au grief de l</w:t>
      </w:r>
      <w:r w:rsidR="004A41E4" w:rsidRPr="00026EC1">
        <w:t>’</w:t>
      </w:r>
      <w:r w:rsidRPr="00026EC1">
        <w:t>enseignante ou de l</w:t>
      </w:r>
      <w:r w:rsidR="004A41E4" w:rsidRPr="00026EC1">
        <w:t>’</w:t>
      </w:r>
      <w:r w:rsidRPr="00026EC1">
        <w:t>enseignant ou du Syndicat.</w:t>
      </w:r>
    </w:p>
    <w:p w14:paraId="012B4D82" w14:textId="77777777" w:rsidR="00404F34" w:rsidRPr="00026EC1" w:rsidRDefault="00404F34" w:rsidP="00A64613">
      <w:pPr>
        <w:keepNext w:val="0"/>
      </w:pPr>
    </w:p>
    <w:p w14:paraId="75492633" w14:textId="3654A387" w:rsidR="00404F34" w:rsidRPr="00026EC1" w:rsidRDefault="00404F34" w:rsidP="00A64613">
      <w:pPr>
        <w:pStyle w:val="NUMRODECLAUSE"/>
        <w:keepNext w:val="0"/>
      </w:pPr>
      <w:r w:rsidRPr="00026EC1">
        <w:t>5</w:t>
      </w:r>
      <w:r w:rsidR="00984A6F">
        <w:noBreakHyphen/>
      </w:r>
      <w:r w:rsidRPr="00026EC1">
        <w:t>18.10</w:t>
      </w:r>
    </w:p>
    <w:p w14:paraId="124B78A7" w14:textId="77777777" w:rsidR="00404F34" w:rsidRPr="00026EC1" w:rsidRDefault="00404F34" w:rsidP="00A64613">
      <w:pPr>
        <w:keepNext w:val="0"/>
      </w:pPr>
      <w:r w:rsidRPr="00026EC1">
        <w:t>À la demande de l</w:t>
      </w:r>
      <w:r w:rsidR="004A41E4" w:rsidRPr="00026EC1">
        <w:t>’</w:t>
      </w:r>
      <w:r w:rsidRPr="00026EC1">
        <w:t>enseignante ou de l</w:t>
      </w:r>
      <w:r w:rsidR="004A41E4" w:rsidRPr="00026EC1">
        <w:t>’</w:t>
      </w:r>
      <w:r w:rsidRPr="00026EC1">
        <w:t>enseignant, le dossier peut aussi faire mention de la participation de l</w:t>
      </w:r>
      <w:r w:rsidR="004A41E4" w:rsidRPr="00026EC1">
        <w:t>’</w:t>
      </w:r>
      <w:r w:rsidRPr="00026EC1">
        <w:t>enseignante ou de l</w:t>
      </w:r>
      <w:r w:rsidR="004A41E4" w:rsidRPr="00026EC1">
        <w:t>’</w:t>
      </w:r>
      <w:r w:rsidRPr="00026EC1">
        <w:t>enseignant à tout comité créé par le Ministère ou le Collège, de même qu</w:t>
      </w:r>
      <w:r w:rsidR="004A41E4" w:rsidRPr="00026EC1">
        <w:t>’</w:t>
      </w:r>
      <w:r w:rsidRPr="00026EC1">
        <w:t xml:space="preserve">à toute activité professionnelle accomplie au Collège. </w:t>
      </w:r>
    </w:p>
    <w:p w14:paraId="746062ED" w14:textId="77777777" w:rsidR="00404F34" w:rsidRPr="00026EC1" w:rsidRDefault="00404F34" w:rsidP="00A64613">
      <w:pPr>
        <w:keepNext w:val="0"/>
      </w:pPr>
    </w:p>
    <w:p w14:paraId="102EC934" w14:textId="77777777" w:rsidR="00522997" w:rsidRDefault="00404F34" w:rsidP="00522997">
      <w:pPr>
        <w:keepNext w:val="0"/>
      </w:pPr>
      <w:r w:rsidRPr="00026EC1">
        <w:t>L</w:t>
      </w:r>
      <w:r w:rsidR="004A41E4" w:rsidRPr="00026EC1">
        <w:t>’</w:t>
      </w:r>
      <w:r w:rsidRPr="00026EC1">
        <w:t>enseignante ou l</w:t>
      </w:r>
      <w:r w:rsidR="004A41E4" w:rsidRPr="00026EC1">
        <w:t>’</w:t>
      </w:r>
      <w:r w:rsidRPr="00026EC1">
        <w:t>enseignant peut également exiger que soit portée à son dossier une appréciation favorable à son sujet de la part du CRT ou d</w:t>
      </w:r>
      <w:r w:rsidR="004A41E4" w:rsidRPr="00026EC1">
        <w:t>’</w:t>
      </w:r>
      <w:r w:rsidRPr="00026EC1">
        <w:t>un tribunal d</w:t>
      </w:r>
      <w:r w:rsidR="004A41E4" w:rsidRPr="00026EC1">
        <w:t>’</w:t>
      </w:r>
      <w:r w:rsidR="00BA79F8" w:rsidRPr="00026EC1">
        <w:t>arbitrage.</w:t>
      </w:r>
      <w:r w:rsidR="00522997">
        <w:t xml:space="preserve"> </w:t>
      </w:r>
    </w:p>
    <w:p w14:paraId="52520495" w14:textId="2043B6CB" w:rsidR="00404F34" w:rsidRPr="00026EC1" w:rsidRDefault="00404F34" w:rsidP="00522997">
      <w:pPr>
        <w:pStyle w:val="NUMRODECLAUSE"/>
        <w:keepNext w:val="0"/>
      </w:pPr>
      <w:r w:rsidRPr="00026EC1">
        <w:t>5</w:t>
      </w:r>
      <w:r w:rsidR="00984A6F">
        <w:noBreakHyphen/>
      </w:r>
      <w:r w:rsidRPr="00026EC1">
        <w:t>18.11</w:t>
      </w:r>
    </w:p>
    <w:p w14:paraId="2F86AB7C" w14:textId="009BDA72" w:rsidR="00404F34" w:rsidRPr="00026EC1" w:rsidRDefault="00404F34" w:rsidP="00A64613">
      <w:pPr>
        <w:keepNext w:val="0"/>
      </w:pPr>
      <w:r w:rsidRPr="00026EC1">
        <w:t>Une copie du dossier complet est remise à l</w:t>
      </w:r>
      <w:r w:rsidR="004A41E4" w:rsidRPr="00026EC1">
        <w:t>’</w:t>
      </w:r>
      <w:r w:rsidRPr="00026EC1">
        <w:t>enseignante ou l</w:t>
      </w:r>
      <w:r w:rsidR="004A41E4" w:rsidRPr="00026EC1">
        <w:t>’</w:t>
      </w:r>
      <w:r w:rsidRPr="00026EC1">
        <w:t>enseignant au moment de l</w:t>
      </w:r>
      <w:r w:rsidR="004A41E4" w:rsidRPr="00026EC1">
        <w:t>’</w:t>
      </w:r>
      <w:r w:rsidRPr="00026EC1">
        <w:t>avis de congédiement. Une copie des pièces prévues à l</w:t>
      </w:r>
      <w:r w:rsidR="004A41E4" w:rsidRPr="00026EC1">
        <w:t>’</w:t>
      </w:r>
      <w:r w:rsidRPr="00026EC1">
        <w:t>alinéa</w:t>
      </w:r>
      <w:r w:rsidR="00757E12" w:rsidRPr="00026EC1">
        <w:t> </w:t>
      </w:r>
      <w:r w:rsidRPr="00026EC1">
        <w:t>d) de la clause</w:t>
      </w:r>
      <w:r w:rsidR="00F61E7A" w:rsidRPr="00026EC1">
        <w:t> </w:t>
      </w:r>
      <w:r w:rsidRPr="00026EC1">
        <w:t>5</w:t>
      </w:r>
      <w:r w:rsidR="00984A6F">
        <w:noBreakHyphen/>
      </w:r>
      <w:r w:rsidRPr="00026EC1">
        <w:t>18.07 est remise à l</w:t>
      </w:r>
      <w:r w:rsidR="004A41E4" w:rsidRPr="00026EC1">
        <w:t>’</w:t>
      </w:r>
      <w:r w:rsidRPr="00026EC1">
        <w:t>enseignante ou l</w:t>
      </w:r>
      <w:r w:rsidR="004A41E4" w:rsidRPr="00026EC1">
        <w:t>’</w:t>
      </w:r>
      <w:r w:rsidRPr="00026EC1">
        <w:t>enseignant en même temps que son avis de suspension.</w:t>
      </w:r>
    </w:p>
    <w:p w14:paraId="5C6D8857" w14:textId="77777777" w:rsidR="00404F34" w:rsidRPr="00026EC1" w:rsidRDefault="00404F34" w:rsidP="00A64613">
      <w:pPr>
        <w:keepNext w:val="0"/>
      </w:pPr>
    </w:p>
    <w:p w14:paraId="711458B4" w14:textId="12DDF909" w:rsidR="00404F34" w:rsidRPr="00026EC1" w:rsidRDefault="00404F34" w:rsidP="00A64613">
      <w:pPr>
        <w:pStyle w:val="NUMRODECLAUSE"/>
        <w:keepNext w:val="0"/>
      </w:pPr>
      <w:r w:rsidRPr="00026EC1">
        <w:t>5</w:t>
      </w:r>
      <w:r w:rsidR="00984A6F">
        <w:noBreakHyphen/>
      </w:r>
      <w:r w:rsidRPr="00026EC1">
        <w:t>18.12</w:t>
      </w:r>
    </w:p>
    <w:p w14:paraId="349BEF32" w14:textId="7FC9EFCB" w:rsidR="00404F34" w:rsidRPr="00026EC1" w:rsidRDefault="00404F34" w:rsidP="00A64613">
      <w:pPr>
        <w:keepNext w:val="0"/>
      </w:pPr>
      <w:r w:rsidRPr="00026EC1">
        <w:t>Si l</w:t>
      </w:r>
      <w:r w:rsidR="004A41E4" w:rsidRPr="00026EC1">
        <w:t>’</w:t>
      </w:r>
      <w:r w:rsidRPr="00026EC1">
        <w:t>enseignante ou l</w:t>
      </w:r>
      <w:r w:rsidR="004A41E4" w:rsidRPr="00026EC1">
        <w:t>’</w:t>
      </w:r>
      <w:r w:rsidRPr="00026EC1">
        <w:t>enseignant formule un grief en vertu du présent article, le Collège doit établir par preuve les motifs et le bien</w:t>
      </w:r>
      <w:r w:rsidR="00984A6F">
        <w:noBreakHyphen/>
      </w:r>
      <w:r w:rsidRPr="00026EC1">
        <w:t>fondé de la mesure disciplinaire.</w:t>
      </w:r>
    </w:p>
    <w:p w14:paraId="5D342A1A" w14:textId="77777777" w:rsidR="00404F34" w:rsidRPr="00026EC1" w:rsidRDefault="00404F34" w:rsidP="00A64613">
      <w:pPr>
        <w:keepNext w:val="0"/>
      </w:pPr>
    </w:p>
    <w:p w14:paraId="35401897" w14:textId="26FE4BDB" w:rsidR="00404F34" w:rsidRPr="00026EC1" w:rsidRDefault="00404F34" w:rsidP="00A64613">
      <w:pPr>
        <w:pStyle w:val="NUMRODECLAUSE"/>
        <w:keepNext w:val="0"/>
      </w:pPr>
      <w:r w:rsidRPr="00026EC1">
        <w:t>5</w:t>
      </w:r>
      <w:r w:rsidR="00984A6F">
        <w:noBreakHyphen/>
      </w:r>
      <w:r w:rsidRPr="00026EC1">
        <w:t>18.13</w:t>
      </w:r>
    </w:p>
    <w:p w14:paraId="76FC16F8" w14:textId="77777777" w:rsidR="00404F34" w:rsidRPr="00026EC1" w:rsidRDefault="00404F34" w:rsidP="00A64613">
      <w:pPr>
        <w:keepNext w:val="0"/>
      </w:pPr>
      <w:r w:rsidRPr="00026EC1">
        <w:t>Le Collège ne peut mettre en preuve devant l</w:t>
      </w:r>
      <w:r w:rsidR="004A41E4" w:rsidRPr="00026EC1">
        <w:t>’</w:t>
      </w:r>
      <w:r w:rsidRPr="00026EC1">
        <w:t>arbitre que les motifs qu</w:t>
      </w:r>
      <w:r w:rsidR="004A41E4" w:rsidRPr="00026EC1">
        <w:t>’</w:t>
      </w:r>
      <w:r w:rsidRPr="00026EC1">
        <w:t>il a invoqués par écrit, au moment de la suspension, du congédiement ou d</w:t>
      </w:r>
      <w:r w:rsidR="004A41E4" w:rsidRPr="00026EC1">
        <w:t>’</w:t>
      </w:r>
      <w:r w:rsidRPr="00026EC1">
        <w:t>autres mesures disciplinaires.</w:t>
      </w:r>
    </w:p>
    <w:p w14:paraId="400A1830" w14:textId="77777777" w:rsidR="00404F34" w:rsidRPr="00026EC1" w:rsidRDefault="00404F34" w:rsidP="00A64613">
      <w:pPr>
        <w:keepNext w:val="0"/>
      </w:pPr>
    </w:p>
    <w:p w14:paraId="5E4EB916" w14:textId="0E48F455" w:rsidR="00404F34" w:rsidRPr="00026EC1" w:rsidRDefault="00404F34" w:rsidP="00A64613">
      <w:pPr>
        <w:pStyle w:val="NUMRODECLAUSE"/>
        <w:keepNext w:val="0"/>
      </w:pPr>
      <w:r w:rsidRPr="00026EC1">
        <w:t>5</w:t>
      </w:r>
      <w:r w:rsidR="00984A6F">
        <w:noBreakHyphen/>
      </w:r>
      <w:r w:rsidRPr="00026EC1">
        <w:t>18.14</w:t>
      </w:r>
    </w:p>
    <w:p w14:paraId="0D1F5E0E" w14:textId="04586345" w:rsidR="00404F34" w:rsidRPr="00026EC1" w:rsidRDefault="00404F34" w:rsidP="00A64613">
      <w:pPr>
        <w:keepNext w:val="0"/>
      </w:pPr>
      <w:r w:rsidRPr="00026EC1">
        <w:t>Dans tous les cas de suspension, de congédiement ou d</w:t>
      </w:r>
      <w:r w:rsidR="004A41E4" w:rsidRPr="00026EC1">
        <w:t>’</w:t>
      </w:r>
      <w:r w:rsidRPr="00026EC1">
        <w:t>autres mesures disciplinaires pour une juste cause, le tribunal d</w:t>
      </w:r>
      <w:r w:rsidR="004A41E4" w:rsidRPr="00026EC1">
        <w:t>’</w:t>
      </w:r>
      <w:r w:rsidRPr="00026EC1">
        <w:t>arbitrage a toute latitude pour maintenir, modifier ou rescinder la décision du Collège et l</w:t>
      </w:r>
      <w:r w:rsidR="004A41E4" w:rsidRPr="00026EC1">
        <w:t>’</w:t>
      </w:r>
      <w:r w:rsidRPr="00026EC1">
        <w:t>autorité pour établir tout droit ou privilège partiellement ou totalement, selon qu</w:t>
      </w:r>
      <w:r w:rsidR="004A41E4" w:rsidRPr="00026EC1">
        <w:t>’</w:t>
      </w:r>
      <w:r w:rsidRPr="00026EC1">
        <w:t>il maintient, modifie ou rejette en partie ou en totalité cette décision. Si le tribunal juge à propos d</w:t>
      </w:r>
      <w:r w:rsidR="004A41E4" w:rsidRPr="00026EC1">
        <w:t>’</w:t>
      </w:r>
      <w:r w:rsidRPr="00026EC1">
        <w:t>accorder une indemnité à l</w:t>
      </w:r>
      <w:r w:rsidR="004A41E4" w:rsidRPr="00026EC1">
        <w:t>’</w:t>
      </w:r>
      <w:r w:rsidRPr="00026EC1">
        <w:t>enseignante ou l</w:t>
      </w:r>
      <w:r w:rsidR="004A41E4" w:rsidRPr="00026EC1">
        <w:t>’</w:t>
      </w:r>
      <w:r w:rsidRPr="00026EC1">
        <w:t>enseignant, il doit tenir compte de tout salaire que l</w:t>
      </w:r>
      <w:r w:rsidR="004A41E4" w:rsidRPr="00026EC1">
        <w:t>’</w:t>
      </w:r>
      <w:r w:rsidRPr="00026EC1">
        <w:t>enseignante ou l</w:t>
      </w:r>
      <w:r w:rsidR="004A41E4" w:rsidRPr="00026EC1">
        <w:t>’</w:t>
      </w:r>
      <w:r w:rsidRPr="00026EC1">
        <w:t>enseignant a perçu dans l</w:t>
      </w:r>
      <w:r w:rsidR="004A41E4" w:rsidRPr="00026EC1">
        <w:t>’</w:t>
      </w:r>
      <w:r w:rsidRPr="00026EC1">
        <w:t>intervalle. Le tribunal peut ordonner que les sommes dues à l</w:t>
      </w:r>
      <w:r w:rsidR="004A41E4" w:rsidRPr="00026EC1">
        <w:t>’</w:t>
      </w:r>
      <w:r w:rsidRPr="00026EC1">
        <w:t>enseignante ou l</w:t>
      </w:r>
      <w:r w:rsidR="004A41E4" w:rsidRPr="00026EC1">
        <w:t>’</w:t>
      </w:r>
      <w:r w:rsidRPr="00026EC1">
        <w:t>enseignant portent intérêt au taux fixé par règlement adopté en vertu de l</w:t>
      </w:r>
      <w:r w:rsidR="004A41E4" w:rsidRPr="00026EC1">
        <w:t>’</w:t>
      </w:r>
      <w:r w:rsidRPr="00026EC1">
        <w:t>article</w:t>
      </w:r>
      <w:r w:rsidR="00831CEF" w:rsidRPr="00026EC1">
        <w:t> </w:t>
      </w:r>
      <w:r w:rsidRPr="00026EC1">
        <w:t xml:space="preserve">28 de la </w:t>
      </w:r>
      <w:r w:rsidRPr="00026EC1">
        <w:rPr>
          <w:iCs/>
        </w:rPr>
        <w:t>Loi sur</w:t>
      </w:r>
      <w:r w:rsidR="001E0E78">
        <w:rPr>
          <w:iCs/>
        </w:rPr>
        <w:t xml:space="preserve"> </w:t>
      </w:r>
      <w:r w:rsidR="000F4A46" w:rsidRPr="00316277">
        <w:rPr>
          <w:iCs/>
        </w:rPr>
        <w:t>l’administration fiscale (A</w:t>
      </w:r>
      <w:r w:rsidR="000F4A46" w:rsidRPr="00316277">
        <w:rPr>
          <w:iCs/>
        </w:rPr>
        <w:noBreakHyphen/>
        <w:t>6.002)</w:t>
      </w:r>
      <w:r w:rsidRPr="00026EC1">
        <w:t>.</w:t>
      </w:r>
    </w:p>
    <w:p w14:paraId="0768097E" w14:textId="77777777" w:rsidR="00404F34" w:rsidRPr="00026EC1" w:rsidRDefault="00404F34" w:rsidP="00A64613">
      <w:pPr>
        <w:keepNext w:val="0"/>
      </w:pPr>
    </w:p>
    <w:p w14:paraId="3D40E869" w14:textId="596528AA" w:rsidR="00404F34" w:rsidRPr="00026EC1" w:rsidRDefault="00404F34" w:rsidP="00A64613">
      <w:pPr>
        <w:pStyle w:val="NUMRODECLAUSE"/>
        <w:keepNext w:val="0"/>
      </w:pPr>
      <w:r w:rsidRPr="00026EC1">
        <w:t>5</w:t>
      </w:r>
      <w:r w:rsidR="00984A6F">
        <w:noBreakHyphen/>
      </w:r>
      <w:r w:rsidRPr="00026EC1">
        <w:t>18.15</w:t>
      </w:r>
    </w:p>
    <w:p w14:paraId="7E20E27A" w14:textId="77B58DC1" w:rsidR="00404F34" w:rsidRPr="00026EC1" w:rsidRDefault="00404F34" w:rsidP="00A64613">
      <w:pPr>
        <w:keepNext w:val="0"/>
      </w:pPr>
      <w:r w:rsidRPr="00026EC1">
        <w:t>Si la décision du tribunal maintient une enseignante ou un enseignant dans ses fonctions, celle</w:t>
      </w:r>
      <w:r w:rsidR="00984A6F">
        <w:noBreakHyphen/>
      </w:r>
      <w:r w:rsidRPr="00026EC1">
        <w:t>ci ou celui</w:t>
      </w:r>
      <w:r w:rsidR="00984A6F">
        <w:noBreakHyphen/>
      </w:r>
      <w:r w:rsidRPr="00026EC1">
        <w:t>ci reprend tous ses droits, ses années d</w:t>
      </w:r>
      <w:r w:rsidR="004A41E4" w:rsidRPr="00026EC1">
        <w:t>’</w:t>
      </w:r>
      <w:r w:rsidRPr="00026EC1">
        <w:t>expérience, ses avantages sociaux et autres avantages comme si elle ou il n</w:t>
      </w:r>
      <w:r w:rsidR="004A41E4" w:rsidRPr="00026EC1">
        <w:t>’</w:t>
      </w:r>
      <w:r w:rsidRPr="00026EC1">
        <w:t>avait pas subi de mesures disciplinaires à moins que le tribunal n</w:t>
      </w:r>
      <w:r w:rsidR="004A41E4" w:rsidRPr="00026EC1">
        <w:t>’</w:t>
      </w:r>
      <w:r w:rsidR="00BA79F8" w:rsidRPr="00026EC1">
        <w:t>en décide autrement.</w:t>
      </w:r>
    </w:p>
    <w:p w14:paraId="4E9D5675" w14:textId="7EBB7DFF" w:rsidR="00404F34" w:rsidRPr="00026EC1" w:rsidRDefault="00404F34" w:rsidP="00A64613">
      <w:pPr>
        <w:pStyle w:val="Heading2"/>
        <w:keepNext w:val="0"/>
        <w:ind w:left="2127" w:hanging="2127"/>
      </w:pPr>
      <w:r w:rsidRPr="00026EC1">
        <w:br w:type="page"/>
      </w:r>
      <w:bookmarkStart w:id="566" w:name="_Toc535046615"/>
      <w:bookmarkStart w:id="567" w:name="_Toc393444618"/>
      <w:bookmarkStart w:id="568" w:name="_Toc393449569"/>
      <w:bookmarkStart w:id="569" w:name="_Toc393460938"/>
      <w:bookmarkStart w:id="570" w:name="_Toc393461216"/>
      <w:bookmarkStart w:id="571" w:name="_Toc393720777"/>
      <w:bookmarkStart w:id="572" w:name="_Toc393783938"/>
      <w:bookmarkStart w:id="573" w:name="_Toc393784077"/>
      <w:bookmarkStart w:id="574" w:name="_Toc168479531"/>
      <w:r w:rsidRPr="00026EC1">
        <w:t>Article</w:t>
      </w:r>
      <w:r w:rsidR="00831CEF" w:rsidRPr="00026EC1">
        <w:t> </w:t>
      </w:r>
      <w:r w:rsidRPr="00026EC1">
        <w:t>5</w:t>
      </w:r>
      <w:r w:rsidR="00984A6F">
        <w:t>-</w:t>
      </w:r>
      <w:r w:rsidR="00C9604C" w:rsidRPr="00026EC1">
        <w:t>19.00</w:t>
      </w:r>
      <w:r w:rsidR="00C9604C" w:rsidRPr="00026EC1">
        <w:tab/>
      </w:r>
      <w:r w:rsidR="00984A6F">
        <w:t>-</w:t>
      </w:r>
      <w:r w:rsidR="00C9604C" w:rsidRPr="00026EC1">
        <w:tab/>
      </w:r>
      <w:r w:rsidRPr="00026EC1">
        <w:t>Responsabilité civile</w:t>
      </w:r>
      <w:bookmarkEnd w:id="566"/>
      <w:bookmarkEnd w:id="567"/>
      <w:bookmarkEnd w:id="568"/>
      <w:bookmarkEnd w:id="569"/>
      <w:bookmarkEnd w:id="570"/>
      <w:bookmarkEnd w:id="571"/>
      <w:bookmarkEnd w:id="572"/>
      <w:bookmarkEnd w:id="573"/>
      <w:bookmarkEnd w:id="574"/>
    </w:p>
    <w:p w14:paraId="050AB554"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06DAFD6F" w14:textId="77777777" w:rsidR="00404F34" w:rsidRPr="00026EC1" w:rsidRDefault="00404F34" w:rsidP="00A64613">
      <w:pPr>
        <w:keepNext w:val="0"/>
      </w:pPr>
    </w:p>
    <w:p w14:paraId="1A393B5B" w14:textId="52DD95CE" w:rsidR="00404F34" w:rsidRPr="00026EC1" w:rsidRDefault="00404F34" w:rsidP="00A64613">
      <w:pPr>
        <w:pStyle w:val="NUMRODECLAUSE"/>
        <w:keepNext w:val="0"/>
      </w:pPr>
      <w:r w:rsidRPr="00026EC1">
        <w:t>5</w:t>
      </w:r>
      <w:r w:rsidR="00984A6F">
        <w:noBreakHyphen/>
      </w:r>
      <w:r w:rsidRPr="00026EC1">
        <w:t>19.01</w:t>
      </w:r>
    </w:p>
    <w:p w14:paraId="20A6D619" w14:textId="77777777" w:rsidR="00404F34" w:rsidRPr="00026EC1" w:rsidRDefault="00404F34" w:rsidP="00A64613">
      <w:pPr>
        <w:keepNext w:val="0"/>
      </w:pPr>
      <w:r w:rsidRPr="00026EC1">
        <w:t>Le Collège s</w:t>
      </w:r>
      <w:r w:rsidR="004A41E4" w:rsidRPr="00026EC1">
        <w:t>’</w:t>
      </w:r>
      <w:r w:rsidRPr="00026EC1">
        <w:t>engage à protéger l</w:t>
      </w:r>
      <w:r w:rsidR="004A41E4" w:rsidRPr="00026EC1">
        <w:t>’</w:t>
      </w:r>
      <w:r w:rsidRPr="00026EC1">
        <w:t>enseignante ou l</w:t>
      </w:r>
      <w:r w:rsidR="004A41E4" w:rsidRPr="00026EC1">
        <w:t>’</w:t>
      </w:r>
      <w:r w:rsidRPr="00026EC1">
        <w:t>enseignant dès que la responsabilité civile de cette dernière ou de ce dernier est mise en cause par le fait de l</w:t>
      </w:r>
      <w:r w:rsidR="004A41E4" w:rsidRPr="00026EC1">
        <w:t>’</w:t>
      </w:r>
      <w:r w:rsidRPr="00026EC1">
        <w:t>exercice de ses fonctions. Le Collège s</w:t>
      </w:r>
      <w:r w:rsidR="004A41E4" w:rsidRPr="00026EC1">
        <w:t>’</w:t>
      </w:r>
      <w:r w:rsidRPr="00026EC1">
        <w:t>engage alors à prendre fait et cause pour l</w:t>
      </w:r>
      <w:r w:rsidR="004A41E4" w:rsidRPr="00026EC1">
        <w:t>’</w:t>
      </w:r>
      <w:r w:rsidRPr="00026EC1">
        <w:t>enseignante ou l</w:t>
      </w:r>
      <w:r w:rsidR="004A41E4" w:rsidRPr="00026EC1">
        <w:t>’</w:t>
      </w:r>
      <w:r w:rsidRPr="00026EC1">
        <w:t>enseignant et convient de n</w:t>
      </w:r>
      <w:r w:rsidR="004A41E4" w:rsidRPr="00026EC1">
        <w:t>’</w:t>
      </w:r>
      <w:r w:rsidRPr="00026EC1">
        <w:t>exercer contre cette dernière ou ce dernier aucune réclamation à cet égard.</w:t>
      </w:r>
    </w:p>
    <w:p w14:paraId="3B702DDC" w14:textId="77777777" w:rsidR="00404F34" w:rsidRPr="00026EC1" w:rsidRDefault="00404F34" w:rsidP="00A64613">
      <w:pPr>
        <w:keepNext w:val="0"/>
      </w:pPr>
    </w:p>
    <w:p w14:paraId="599C3447" w14:textId="77777777" w:rsidR="00404F34" w:rsidRPr="00026EC1" w:rsidRDefault="00404F34" w:rsidP="00A64613">
      <w:pPr>
        <w:keepNext w:val="0"/>
      </w:pPr>
      <w:r w:rsidRPr="00026EC1">
        <w:t>De plus, toute absence nécessitée par cette mise en cause n</w:t>
      </w:r>
      <w:r w:rsidR="004A41E4" w:rsidRPr="00026EC1">
        <w:t>’</w:t>
      </w:r>
      <w:r w:rsidRPr="00026EC1">
        <w:t>entraîne aucune perte de salaire, ni de droits.</w:t>
      </w:r>
    </w:p>
    <w:p w14:paraId="588E5C16" w14:textId="77777777" w:rsidR="00404F34" w:rsidRPr="00026EC1" w:rsidRDefault="00404F34" w:rsidP="00A64613">
      <w:pPr>
        <w:keepNext w:val="0"/>
      </w:pPr>
    </w:p>
    <w:p w14:paraId="686F9F17" w14:textId="491A161B" w:rsidR="00404F34" w:rsidRPr="00026EC1" w:rsidRDefault="00404F34" w:rsidP="00A64613">
      <w:pPr>
        <w:pStyle w:val="NUMRODECLAUSE"/>
        <w:keepNext w:val="0"/>
      </w:pPr>
      <w:r w:rsidRPr="00026EC1">
        <w:t>5</w:t>
      </w:r>
      <w:r w:rsidR="00984A6F">
        <w:noBreakHyphen/>
      </w:r>
      <w:r w:rsidRPr="00026EC1">
        <w:t>19.02</w:t>
      </w:r>
    </w:p>
    <w:p w14:paraId="1D37332A" w14:textId="77777777" w:rsidR="00404F34" w:rsidRPr="00026EC1" w:rsidRDefault="00404F34" w:rsidP="00A64613">
      <w:pPr>
        <w:keepNext w:val="0"/>
      </w:pPr>
      <w:r w:rsidRPr="00026EC1">
        <w:t>Dès que la responsabilité légale du Collège a été établie, le Collège dédommage l</w:t>
      </w:r>
      <w:r w:rsidR="004A41E4" w:rsidRPr="00026EC1">
        <w:t>’</w:t>
      </w:r>
      <w:r w:rsidRPr="00026EC1">
        <w:t>enseignante ou l</w:t>
      </w:r>
      <w:r w:rsidR="004A41E4" w:rsidRPr="00026EC1">
        <w:t>’</w:t>
      </w:r>
      <w:r w:rsidRPr="00026EC1">
        <w:t>enseignant pour la perte totale ou partielle, le vol ou la destruction de biens personnels de leur nature normalement utilisés ou apportés au Collège, sauf si l</w:t>
      </w:r>
      <w:r w:rsidR="004A41E4" w:rsidRPr="00026EC1">
        <w:t>’</w:t>
      </w:r>
      <w:r w:rsidRPr="00026EC1">
        <w:t>enseignante ou l</w:t>
      </w:r>
      <w:r w:rsidR="004A41E4" w:rsidRPr="00026EC1">
        <w:t>’</w:t>
      </w:r>
      <w:r w:rsidRPr="00026EC1">
        <w:t>enseignant a fait preuve de négligence grossière. Lorsque la perte, le vol ou la destruction sont déjà couverts par une assurance détenue par l</w:t>
      </w:r>
      <w:r w:rsidR="004A41E4" w:rsidRPr="00026EC1">
        <w:t>’</w:t>
      </w:r>
      <w:r w:rsidRPr="00026EC1">
        <w:t>enseignante ou l</w:t>
      </w:r>
      <w:r w:rsidR="004A41E4" w:rsidRPr="00026EC1">
        <w:t>’</w:t>
      </w:r>
      <w:r w:rsidRPr="00026EC1">
        <w:t>enseignant, la compensation versée est égale à la perte effectivement subie par l</w:t>
      </w:r>
      <w:r w:rsidR="004A41E4" w:rsidRPr="00026EC1">
        <w:t>’</w:t>
      </w:r>
      <w:r w:rsidRPr="00026EC1">
        <w:t>enseignante ou l</w:t>
      </w:r>
      <w:r w:rsidR="004A41E4" w:rsidRPr="00026EC1">
        <w:t>’</w:t>
      </w:r>
      <w:r w:rsidRPr="00026EC1">
        <w:t>enseignant.</w:t>
      </w:r>
    </w:p>
    <w:p w14:paraId="69B284C2" w14:textId="77777777" w:rsidR="00404F34" w:rsidRPr="00026EC1" w:rsidRDefault="00404F34" w:rsidP="00A64613">
      <w:pPr>
        <w:keepNext w:val="0"/>
      </w:pPr>
    </w:p>
    <w:p w14:paraId="009BF0A7" w14:textId="04C95FED" w:rsidR="00404F34" w:rsidRPr="00026EC1" w:rsidRDefault="00404F34" w:rsidP="00A64613">
      <w:pPr>
        <w:pStyle w:val="NUMRODECLAUSE"/>
        <w:keepNext w:val="0"/>
      </w:pPr>
      <w:r w:rsidRPr="00026EC1">
        <w:t>5</w:t>
      </w:r>
      <w:r w:rsidR="00984A6F">
        <w:noBreakHyphen/>
      </w:r>
      <w:r w:rsidRPr="00026EC1">
        <w:t>19.03</w:t>
      </w:r>
    </w:p>
    <w:p w14:paraId="796BF8E7" w14:textId="77777777" w:rsidR="00404F34" w:rsidRPr="00026EC1" w:rsidRDefault="00404F34" w:rsidP="00A64613">
      <w:pPr>
        <w:keepNext w:val="0"/>
      </w:pPr>
      <w:r w:rsidRPr="00026EC1">
        <w:t>Sous réserve du respect des règles d</w:t>
      </w:r>
      <w:r w:rsidR="004A41E4" w:rsidRPr="00026EC1">
        <w:t>’</w:t>
      </w:r>
      <w:r w:rsidRPr="00026EC1">
        <w:t>utilisation déterminées par le Collège et à moins que l</w:t>
      </w:r>
      <w:r w:rsidR="004A41E4" w:rsidRPr="00026EC1">
        <w:t>’</w:t>
      </w:r>
      <w:r w:rsidRPr="00026EC1">
        <w:t>enseignante ou l</w:t>
      </w:r>
      <w:r w:rsidR="004A41E4" w:rsidRPr="00026EC1">
        <w:t>’</w:t>
      </w:r>
      <w:r w:rsidRPr="00026EC1">
        <w:t>enseignant n</w:t>
      </w:r>
      <w:r w:rsidR="004A41E4" w:rsidRPr="00026EC1">
        <w:t>’</w:t>
      </w:r>
      <w:r w:rsidRPr="00026EC1">
        <w:t>ait fait preuve de négligence grossière, le Collège ne peut exiger le remboursement des sommes pour le vol, la destruction ou la détérioration de matériel emprunté au Collège par l</w:t>
      </w:r>
      <w:r w:rsidR="004A41E4" w:rsidRPr="00026EC1">
        <w:t>’</w:t>
      </w:r>
      <w:r w:rsidRPr="00026EC1">
        <w:t>enseignante ou l</w:t>
      </w:r>
      <w:r w:rsidR="004A41E4" w:rsidRPr="00026EC1">
        <w:t>’</w:t>
      </w:r>
      <w:r w:rsidRPr="00026EC1">
        <w:t>enseignant dans le cadre d</w:t>
      </w:r>
      <w:r w:rsidR="004A41E4" w:rsidRPr="00026EC1">
        <w:t>’</w:t>
      </w:r>
      <w:r w:rsidRPr="00026EC1">
        <w:t>activi</w:t>
      </w:r>
      <w:r w:rsidR="00BA79F8" w:rsidRPr="00026EC1">
        <w:t>tés reliées à son enseignement.</w:t>
      </w:r>
    </w:p>
    <w:p w14:paraId="3E38A5A3" w14:textId="0B969AFB" w:rsidR="00404F34" w:rsidRPr="00026EC1" w:rsidRDefault="00404F34" w:rsidP="00A64613">
      <w:pPr>
        <w:pStyle w:val="Heading2"/>
        <w:keepNext w:val="0"/>
        <w:ind w:left="2127" w:hanging="2127"/>
      </w:pPr>
      <w:bookmarkStart w:id="575" w:name="_Toc535046616"/>
      <w:r w:rsidRPr="00026EC1">
        <w:br w:type="page"/>
      </w:r>
      <w:bookmarkStart w:id="576" w:name="_Toc393444619"/>
      <w:bookmarkStart w:id="577" w:name="_Toc393449570"/>
      <w:bookmarkStart w:id="578" w:name="_Toc393460939"/>
      <w:bookmarkStart w:id="579" w:name="_Toc393461217"/>
      <w:bookmarkStart w:id="580" w:name="_Toc393720778"/>
      <w:bookmarkStart w:id="581" w:name="_Toc393783939"/>
      <w:bookmarkStart w:id="582" w:name="_Toc393784078"/>
      <w:bookmarkStart w:id="583" w:name="_Toc168479532"/>
      <w:r w:rsidRPr="00026EC1">
        <w:t>Article</w:t>
      </w:r>
      <w:r w:rsidR="00831CEF" w:rsidRPr="00026EC1">
        <w:t> </w:t>
      </w:r>
      <w:r w:rsidRPr="00026EC1">
        <w:t>5</w:t>
      </w:r>
      <w:r w:rsidR="00984A6F">
        <w:t>-</w:t>
      </w:r>
      <w:r w:rsidRPr="00026EC1">
        <w:t>20.00</w:t>
      </w:r>
      <w:r w:rsidR="00C9604C" w:rsidRPr="00026EC1">
        <w:tab/>
      </w:r>
      <w:r w:rsidR="00984A6F">
        <w:t>-</w:t>
      </w:r>
      <w:r w:rsidR="00C9604C" w:rsidRPr="00026EC1">
        <w:tab/>
      </w:r>
      <w:r w:rsidRPr="00026EC1">
        <w:t>Santé et sécurité au travail</w:t>
      </w:r>
      <w:bookmarkEnd w:id="575"/>
      <w:bookmarkEnd w:id="576"/>
      <w:bookmarkEnd w:id="577"/>
      <w:bookmarkEnd w:id="578"/>
      <w:bookmarkEnd w:id="579"/>
      <w:bookmarkEnd w:id="580"/>
      <w:bookmarkEnd w:id="581"/>
      <w:bookmarkEnd w:id="582"/>
      <w:bookmarkEnd w:id="583"/>
    </w:p>
    <w:p w14:paraId="1E373D00"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482BFA39" w14:textId="77777777" w:rsidR="00404F34" w:rsidRPr="00026EC1" w:rsidRDefault="00404F34" w:rsidP="00A64613">
      <w:pPr>
        <w:keepNext w:val="0"/>
      </w:pPr>
    </w:p>
    <w:p w14:paraId="5A2B32A6" w14:textId="3B00CE0E" w:rsidR="00404F34" w:rsidRPr="00026EC1" w:rsidRDefault="00404F34" w:rsidP="00A64613">
      <w:pPr>
        <w:pStyle w:val="NUMRODECLAUSE"/>
        <w:keepNext w:val="0"/>
      </w:pPr>
      <w:r w:rsidRPr="00026EC1">
        <w:t>5</w:t>
      </w:r>
      <w:r w:rsidR="00984A6F">
        <w:noBreakHyphen/>
      </w:r>
      <w:r w:rsidRPr="00026EC1">
        <w:t>20.01</w:t>
      </w:r>
    </w:p>
    <w:p w14:paraId="4642F142" w14:textId="68B4AE59" w:rsidR="00404F34" w:rsidRDefault="00404F34" w:rsidP="00A64613">
      <w:pPr>
        <w:keepNext w:val="0"/>
      </w:pPr>
      <w:r w:rsidRPr="00026EC1">
        <w:t>En vue d</w:t>
      </w:r>
      <w:r w:rsidR="004A41E4" w:rsidRPr="00026EC1">
        <w:t>’</w:t>
      </w:r>
      <w:r w:rsidRPr="00026EC1">
        <w:t>assurer le bien</w:t>
      </w:r>
      <w:r w:rsidR="00984A6F">
        <w:noBreakHyphen/>
      </w:r>
      <w:r w:rsidRPr="00026EC1">
        <w:t xml:space="preserve">être et prévenir les maladies </w:t>
      </w:r>
      <w:r w:rsidR="0000751E" w:rsidRPr="00316277">
        <w:t>professionnelles</w:t>
      </w:r>
      <w:r w:rsidR="0000751E">
        <w:t xml:space="preserve"> </w:t>
      </w:r>
      <w:r w:rsidRPr="00026EC1">
        <w:t>et les accidents du travail, le Collège doit prendre les mesures nécessaires pour protéger la santé, assurer la sécurité et l</w:t>
      </w:r>
      <w:r w:rsidR="004A41E4" w:rsidRPr="00026EC1">
        <w:t>’</w:t>
      </w:r>
      <w:r w:rsidRPr="00026EC1">
        <w:t xml:space="preserve">intégrité physique </w:t>
      </w:r>
      <w:r w:rsidR="0000751E" w:rsidRPr="00316277">
        <w:t>et psychique</w:t>
      </w:r>
      <w:r w:rsidR="0000751E">
        <w:t xml:space="preserve"> </w:t>
      </w:r>
      <w:r w:rsidRPr="00026EC1">
        <w:t>de l</w:t>
      </w:r>
      <w:r w:rsidR="004A41E4" w:rsidRPr="00026EC1">
        <w:t>’</w:t>
      </w:r>
      <w:r w:rsidRPr="00026EC1">
        <w:t>enseignante ou de l</w:t>
      </w:r>
      <w:r w:rsidR="004A41E4" w:rsidRPr="00026EC1">
        <w:t>’</w:t>
      </w:r>
      <w:r w:rsidRPr="00026EC1">
        <w:t>enseignant</w:t>
      </w:r>
      <w:r w:rsidR="0000751E">
        <w:t xml:space="preserve"> </w:t>
      </w:r>
      <w:r w:rsidR="0000751E" w:rsidRPr="00316277">
        <w:t>sur les lieux de travail, incluant la violence conjugale, familiale ou à caractère sexuel</w:t>
      </w:r>
      <w:r w:rsidRPr="00316277">
        <w:t>.</w:t>
      </w:r>
    </w:p>
    <w:p w14:paraId="769177C7" w14:textId="77777777" w:rsidR="0000751E" w:rsidRDefault="0000751E" w:rsidP="00A64613">
      <w:pPr>
        <w:keepNext w:val="0"/>
      </w:pPr>
    </w:p>
    <w:p w14:paraId="0B14C08F" w14:textId="27BEE051" w:rsidR="0000751E" w:rsidRPr="00316277" w:rsidRDefault="0000751E" w:rsidP="00A64613">
      <w:pPr>
        <w:keepNext w:val="0"/>
      </w:pPr>
      <w:r w:rsidRPr="00316277">
        <w:t>Les parties collaborent afin de faire du Collège un milieu exempt de violences à caractère sexuel et de violence conjugale et familiale.</w:t>
      </w:r>
    </w:p>
    <w:p w14:paraId="60B05B8A" w14:textId="77777777" w:rsidR="0000751E" w:rsidRPr="00316277" w:rsidRDefault="0000751E" w:rsidP="00A64613">
      <w:pPr>
        <w:keepNext w:val="0"/>
      </w:pPr>
    </w:p>
    <w:p w14:paraId="6B615014" w14:textId="6548750A" w:rsidR="0000751E" w:rsidRPr="00026EC1" w:rsidRDefault="0000751E" w:rsidP="00A64613">
      <w:pPr>
        <w:keepNext w:val="0"/>
      </w:pPr>
      <w:r w:rsidRPr="00316277">
        <w:t>Dans le cas d’une situation de violence conjugale ou familiale, le Collège est tenu de prendre les mesures lorsqu’il sait ou devrait raisonnablement savoir que l’enseignante ou l’enseignant est exposé à cette violence.</w:t>
      </w:r>
    </w:p>
    <w:p w14:paraId="112E3A7C" w14:textId="77777777" w:rsidR="00404F34" w:rsidRPr="00026EC1" w:rsidRDefault="00404F34" w:rsidP="00A64613">
      <w:pPr>
        <w:keepNext w:val="0"/>
      </w:pPr>
    </w:p>
    <w:p w14:paraId="358661CB" w14:textId="005E4742" w:rsidR="00404F34" w:rsidRPr="00026EC1" w:rsidRDefault="00404F34" w:rsidP="00A64613">
      <w:pPr>
        <w:pStyle w:val="NUMRODECLAUSE"/>
        <w:keepNext w:val="0"/>
      </w:pPr>
      <w:r w:rsidRPr="00026EC1">
        <w:t>5</w:t>
      </w:r>
      <w:r w:rsidR="00984A6F">
        <w:noBreakHyphen/>
      </w:r>
      <w:r w:rsidRPr="00026EC1">
        <w:t>20.02</w:t>
      </w:r>
    </w:p>
    <w:p w14:paraId="7F626BCE" w14:textId="77777777" w:rsidR="00404F34" w:rsidRPr="00026EC1" w:rsidRDefault="00404F34" w:rsidP="00A64613">
      <w:pPr>
        <w:keepNext w:val="0"/>
      </w:pPr>
      <w:r w:rsidRPr="00026EC1">
        <w:t>Le Collège s</w:t>
      </w:r>
      <w:r w:rsidR="004A41E4" w:rsidRPr="00026EC1">
        <w:t>’</w:t>
      </w:r>
      <w:r w:rsidRPr="00026EC1">
        <w:t>engage à fournir gratuitement, dans ses immeubles, les locaux et instruments exigés par les règlements municipaux ou de régie interne ou par les règlements et normes promulgués en vertu des lois concernant l</w:t>
      </w:r>
      <w:r w:rsidR="004A41E4" w:rsidRPr="00026EC1">
        <w:t>’</w:t>
      </w:r>
      <w:r w:rsidRPr="00026EC1">
        <w:t>hygiène, la santé et la sécurité.</w:t>
      </w:r>
    </w:p>
    <w:p w14:paraId="7DCEAD7A" w14:textId="77777777" w:rsidR="00404F34" w:rsidRPr="00026EC1" w:rsidRDefault="00404F34" w:rsidP="00A64613">
      <w:pPr>
        <w:keepNext w:val="0"/>
      </w:pPr>
    </w:p>
    <w:p w14:paraId="7CE21408" w14:textId="26E393B5" w:rsidR="00404F34" w:rsidRPr="00026EC1" w:rsidRDefault="00404F34" w:rsidP="00A64613">
      <w:pPr>
        <w:pStyle w:val="NUMRODECLAUSE"/>
        <w:keepNext w:val="0"/>
      </w:pPr>
      <w:r w:rsidRPr="00026EC1">
        <w:t>5</w:t>
      </w:r>
      <w:r w:rsidR="00984A6F">
        <w:noBreakHyphen/>
      </w:r>
      <w:r w:rsidRPr="00026EC1">
        <w:t>20.03</w:t>
      </w:r>
    </w:p>
    <w:p w14:paraId="08277AB5" w14:textId="77777777" w:rsidR="00404F34" w:rsidRPr="00026EC1" w:rsidRDefault="00404F34" w:rsidP="00A64613">
      <w:pPr>
        <w:keepNext w:val="0"/>
      </w:pPr>
      <w:r w:rsidRPr="00026EC1">
        <w:t>En cas d</w:t>
      </w:r>
      <w:r w:rsidR="004A41E4" w:rsidRPr="00026EC1">
        <w:t>’</w:t>
      </w:r>
      <w:r w:rsidRPr="00026EC1">
        <w:t>accident ou lors de la déclaration d</w:t>
      </w:r>
      <w:r w:rsidR="004A41E4" w:rsidRPr="00026EC1">
        <w:t>’</w:t>
      </w:r>
      <w:r w:rsidRPr="00026EC1">
        <w:t>une maladie professionnelle, le Collège informe immédiatement le Syndicat.</w:t>
      </w:r>
    </w:p>
    <w:p w14:paraId="6D9B38B5" w14:textId="77777777" w:rsidR="00404F34" w:rsidRPr="00026EC1" w:rsidRDefault="00404F34" w:rsidP="00A64613">
      <w:pPr>
        <w:keepNext w:val="0"/>
      </w:pPr>
    </w:p>
    <w:p w14:paraId="76DB787A" w14:textId="1FE5E3A0" w:rsidR="00404F34" w:rsidRPr="00026EC1" w:rsidRDefault="00404F34" w:rsidP="00A64613">
      <w:pPr>
        <w:pStyle w:val="NUMRODECLAUSE"/>
        <w:keepNext w:val="0"/>
      </w:pPr>
      <w:r w:rsidRPr="00026EC1">
        <w:t>5</w:t>
      </w:r>
      <w:r w:rsidR="00984A6F">
        <w:noBreakHyphen/>
      </w:r>
      <w:r w:rsidRPr="00026EC1">
        <w:t>20.04</w:t>
      </w:r>
    </w:p>
    <w:p w14:paraId="5CA9E2EB" w14:textId="77777777" w:rsidR="00404F34" w:rsidRPr="00026EC1" w:rsidRDefault="00404F34" w:rsidP="00A64613">
      <w:pPr>
        <w:keepNext w:val="0"/>
      </w:pPr>
      <w:r w:rsidRPr="00026EC1">
        <w:t>Les enseignantes et enseignants ont accès, durant les heures de travail, aux services de santé offerts aux étudiant</w:t>
      </w:r>
      <w:r w:rsidR="00630FFC" w:rsidRPr="00026EC1">
        <w:t>e</w:t>
      </w:r>
      <w:r w:rsidRPr="00026EC1">
        <w:t>s et étudiants.</w:t>
      </w:r>
    </w:p>
    <w:p w14:paraId="7C734249" w14:textId="77777777" w:rsidR="00404F34" w:rsidRPr="00026EC1" w:rsidRDefault="00404F34" w:rsidP="00A64613">
      <w:pPr>
        <w:keepNext w:val="0"/>
      </w:pPr>
    </w:p>
    <w:p w14:paraId="6CC2E074" w14:textId="0F6DDDBE" w:rsidR="00404F34" w:rsidRPr="00026EC1" w:rsidRDefault="00404F34" w:rsidP="00A64613">
      <w:pPr>
        <w:pStyle w:val="NUMRODECLAUSE"/>
        <w:keepNext w:val="0"/>
      </w:pPr>
      <w:r w:rsidRPr="00026EC1">
        <w:t>5</w:t>
      </w:r>
      <w:r w:rsidR="00984A6F">
        <w:noBreakHyphen/>
      </w:r>
      <w:r w:rsidRPr="00026EC1">
        <w:t>20.05</w:t>
      </w:r>
    </w:p>
    <w:p w14:paraId="0B29BEC0" w14:textId="4C4FF142" w:rsidR="00404F34" w:rsidRPr="00026EC1" w:rsidRDefault="00404F34" w:rsidP="00A64613">
      <w:pPr>
        <w:keepNext w:val="0"/>
      </w:pPr>
      <w:r w:rsidRPr="00026EC1">
        <w:t>Le Collège fournit gratuitement aux enseignantes et enseignants tout vêtement particulier et équipement qu</w:t>
      </w:r>
      <w:r w:rsidR="004A41E4" w:rsidRPr="00026EC1">
        <w:t>’</w:t>
      </w:r>
      <w:r w:rsidRPr="00026EC1">
        <w:t>il leur demande de porter ou que celles</w:t>
      </w:r>
      <w:r w:rsidR="00984A6F">
        <w:noBreakHyphen/>
      </w:r>
      <w:r w:rsidRPr="00026EC1">
        <w:t>ci et ceux</w:t>
      </w:r>
      <w:r w:rsidR="00984A6F">
        <w:noBreakHyphen/>
      </w:r>
      <w:r w:rsidRPr="00026EC1">
        <w:t>ci portent selon les exigences des règlements et normes promulgués en vertu des lois concernant l</w:t>
      </w:r>
      <w:r w:rsidR="004A41E4" w:rsidRPr="00026EC1">
        <w:t>’</w:t>
      </w:r>
      <w:r w:rsidRPr="00026EC1">
        <w:t>hygiène, la santé et la sécurité.</w:t>
      </w:r>
    </w:p>
    <w:p w14:paraId="5B8781EC" w14:textId="77777777" w:rsidR="00404F34" w:rsidRPr="00026EC1" w:rsidRDefault="00404F34" w:rsidP="00A64613">
      <w:pPr>
        <w:keepNext w:val="0"/>
      </w:pPr>
    </w:p>
    <w:p w14:paraId="78902115" w14:textId="202DF8E9" w:rsidR="00404F34" w:rsidRPr="00026EC1" w:rsidRDefault="00404F34" w:rsidP="00A64613">
      <w:pPr>
        <w:keepNext w:val="0"/>
      </w:pPr>
      <w:r w:rsidRPr="00026EC1">
        <w:t>Après avoir soumis la question au CRT, le Collège donne une somme forfaitaire aux enseignantes et enseignants concernés à titre de compensation ou leur fournit les vêtements suivants</w:t>
      </w:r>
      <w:r w:rsidR="00D8581B">
        <w:t> :</w:t>
      </w:r>
    </w:p>
    <w:p w14:paraId="4C52277A" w14:textId="77777777" w:rsidR="00404F34" w:rsidRPr="00026EC1" w:rsidRDefault="00404F34" w:rsidP="00A64613">
      <w:pPr>
        <w:keepNext w:val="0"/>
      </w:pPr>
    </w:p>
    <w:p w14:paraId="06C14F1C" w14:textId="77777777" w:rsidR="00404F34" w:rsidRPr="00026EC1" w:rsidRDefault="00275751" w:rsidP="00A64613">
      <w:pPr>
        <w:keepNext w:val="0"/>
        <w:tabs>
          <w:tab w:val="left" w:pos="567"/>
        </w:tabs>
        <w:ind w:left="567" w:hanging="567"/>
      </w:pPr>
      <w:r w:rsidRPr="00026EC1">
        <w:t>a)</w:t>
      </w:r>
      <w:r w:rsidRPr="00026EC1">
        <w:tab/>
      </w:r>
      <w:r w:rsidR="00404F34" w:rsidRPr="00026EC1">
        <w:t>les uniformes aux infirmières et infirmiers qui doivent faire des stages en milieux hospitaliers; ces uniformes doivent être conformes aux exigences des milieux de stages;</w:t>
      </w:r>
    </w:p>
    <w:p w14:paraId="4104AC34" w14:textId="77777777" w:rsidR="00404F34" w:rsidRPr="00026EC1" w:rsidRDefault="00404F34" w:rsidP="00A64613">
      <w:pPr>
        <w:keepNext w:val="0"/>
      </w:pPr>
    </w:p>
    <w:p w14:paraId="6B4F2838" w14:textId="77777777" w:rsidR="00404F34" w:rsidRPr="00026EC1" w:rsidRDefault="00275751" w:rsidP="00A64613">
      <w:pPr>
        <w:keepNext w:val="0"/>
        <w:tabs>
          <w:tab w:val="left" w:pos="567"/>
        </w:tabs>
        <w:ind w:left="567" w:hanging="567"/>
      </w:pPr>
      <w:r w:rsidRPr="00026EC1">
        <w:t>b)</w:t>
      </w:r>
      <w:r w:rsidRPr="00026EC1">
        <w:tab/>
      </w:r>
      <w:r w:rsidR="00404F34" w:rsidRPr="00026EC1">
        <w:t>les uniformes des enseignantes et enseignants des techniques paramédicales lorsque les milieux de stages l</w:t>
      </w:r>
      <w:r w:rsidR="004A41E4" w:rsidRPr="00026EC1">
        <w:t>’</w:t>
      </w:r>
      <w:r w:rsidR="00404F34" w:rsidRPr="00026EC1">
        <w:t>exigent;</w:t>
      </w:r>
    </w:p>
    <w:p w14:paraId="56C6EAAC" w14:textId="77777777" w:rsidR="00404F34" w:rsidRPr="00026EC1" w:rsidRDefault="00404F34" w:rsidP="00A64613">
      <w:pPr>
        <w:keepNext w:val="0"/>
      </w:pPr>
    </w:p>
    <w:p w14:paraId="2825ABEA" w14:textId="77777777" w:rsidR="00404F34" w:rsidRPr="00026EC1" w:rsidRDefault="00275751" w:rsidP="00A64613">
      <w:pPr>
        <w:keepNext w:val="0"/>
        <w:tabs>
          <w:tab w:val="left" w:pos="567"/>
        </w:tabs>
        <w:ind w:left="567" w:hanging="567"/>
      </w:pPr>
      <w:r w:rsidRPr="00026EC1">
        <w:t>c)</w:t>
      </w:r>
      <w:r w:rsidRPr="00026EC1">
        <w:tab/>
      </w:r>
      <w:r w:rsidR="00404F34" w:rsidRPr="00026EC1">
        <w:t>les vêtements et équipements nécessaires pour l</w:t>
      </w:r>
      <w:r w:rsidR="004A41E4" w:rsidRPr="00026EC1">
        <w:t>’</w:t>
      </w:r>
      <w:r w:rsidR="00404F34" w:rsidRPr="00026EC1">
        <w:t>éducation physique;</w:t>
      </w:r>
    </w:p>
    <w:p w14:paraId="48410B45" w14:textId="77777777" w:rsidR="00404F34" w:rsidRPr="00026EC1" w:rsidRDefault="00404F34" w:rsidP="00A64613">
      <w:pPr>
        <w:keepNext w:val="0"/>
      </w:pPr>
    </w:p>
    <w:p w14:paraId="025A390D" w14:textId="77777777" w:rsidR="00404F34" w:rsidRPr="00026EC1" w:rsidRDefault="00275751" w:rsidP="00A64613">
      <w:pPr>
        <w:keepNext w:val="0"/>
        <w:tabs>
          <w:tab w:val="left" w:pos="567"/>
        </w:tabs>
        <w:ind w:left="567" w:hanging="567"/>
      </w:pPr>
      <w:r w:rsidRPr="00026EC1">
        <w:t>d)</w:t>
      </w:r>
      <w:r w:rsidRPr="00026EC1">
        <w:tab/>
      </w:r>
      <w:r w:rsidR="00404F34" w:rsidRPr="00026EC1">
        <w:t>les sarraus pour les laboratoires et les ateliers;</w:t>
      </w:r>
    </w:p>
    <w:p w14:paraId="5A4B592D" w14:textId="77777777" w:rsidR="00404F34" w:rsidRPr="00026EC1" w:rsidRDefault="00404F34" w:rsidP="00A64613">
      <w:pPr>
        <w:keepNext w:val="0"/>
      </w:pPr>
    </w:p>
    <w:p w14:paraId="17A8E8B2" w14:textId="1F34237F" w:rsidR="00404F34" w:rsidRDefault="00275751" w:rsidP="00A64613">
      <w:pPr>
        <w:keepNext w:val="0"/>
        <w:tabs>
          <w:tab w:val="left" w:pos="567"/>
        </w:tabs>
        <w:ind w:left="567" w:hanging="567"/>
      </w:pPr>
      <w:r w:rsidRPr="00026EC1">
        <w:t>e)</w:t>
      </w:r>
      <w:r w:rsidRPr="00026EC1">
        <w:tab/>
      </w:r>
      <w:r w:rsidR="00404F34" w:rsidRPr="00026EC1">
        <w:t>tout vêtement particulier pour les enseignantes et enseignants de l</w:t>
      </w:r>
      <w:r w:rsidR="004A41E4" w:rsidRPr="00026EC1">
        <w:t>’</w:t>
      </w:r>
      <w:r w:rsidR="00404F34" w:rsidRPr="00026EC1">
        <w:t>enseignement aéronautique du Collège de Chicoutimi.</w:t>
      </w:r>
    </w:p>
    <w:p w14:paraId="2E428E1D" w14:textId="77777777" w:rsidR="001126F1" w:rsidRPr="00026EC1" w:rsidRDefault="001126F1" w:rsidP="00A64613">
      <w:pPr>
        <w:keepNext w:val="0"/>
        <w:tabs>
          <w:tab w:val="left" w:pos="567"/>
        </w:tabs>
        <w:ind w:left="567" w:hanging="567"/>
      </w:pPr>
    </w:p>
    <w:p w14:paraId="3254DE6B" w14:textId="0FFA7370" w:rsidR="00404F34" w:rsidRPr="00026EC1" w:rsidRDefault="00404F34" w:rsidP="00A64613">
      <w:pPr>
        <w:pStyle w:val="NUMRODECLAUSE"/>
        <w:keepNext w:val="0"/>
      </w:pPr>
      <w:r w:rsidRPr="00026EC1">
        <w:t>5</w:t>
      </w:r>
      <w:r w:rsidR="00984A6F">
        <w:noBreakHyphen/>
      </w:r>
      <w:r w:rsidRPr="00026EC1">
        <w:t>20.06</w:t>
      </w:r>
    </w:p>
    <w:p w14:paraId="7CE58DCD" w14:textId="77777777" w:rsidR="00404F34" w:rsidRPr="00026EC1" w:rsidRDefault="00404F34" w:rsidP="00A64613">
      <w:pPr>
        <w:keepNext w:val="0"/>
      </w:pPr>
      <w:r w:rsidRPr="00026EC1">
        <w:t>Les vêtements particuliers fournis par le Collège conformément au présent article demeurent sa propriété et le remplacement ne peut être fait que sur remise du vieux vêtement, sauf en cas de force majeure. Il appartient au Collège de décider si un vêtement doit être remplacé.</w:t>
      </w:r>
    </w:p>
    <w:p w14:paraId="0D7DF700" w14:textId="77777777" w:rsidR="00404F34" w:rsidRPr="00026EC1" w:rsidRDefault="00404F34" w:rsidP="00A64613">
      <w:pPr>
        <w:keepNext w:val="0"/>
      </w:pPr>
    </w:p>
    <w:p w14:paraId="3479627D" w14:textId="178273FD" w:rsidR="00404F34" w:rsidRPr="00026EC1" w:rsidRDefault="00404F34" w:rsidP="00A64613">
      <w:pPr>
        <w:pStyle w:val="NUMRODECLAUSE"/>
        <w:keepNext w:val="0"/>
      </w:pPr>
      <w:r w:rsidRPr="00026EC1">
        <w:t>5</w:t>
      </w:r>
      <w:r w:rsidR="00984A6F">
        <w:noBreakHyphen/>
      </w:r>
      <w:r w:rsidRPr="00026EC1">
        <w:t>20.07</w:t>
      </w:r>
    </w:p>
    <w:p w14:paraId="2FC424B0" w14:textId="77777777" w:rsidR="00404F34" w:rsidRPr="00026EC1" w:rsidRDefault="00404F34" w:rsidP="00A64613">
      <w:pPr>
        <w:keepNext w:val="0"/>
      </w:pPr>
      <w:r w:rsidRPr="00026EC1">
        <w:t>L</w:t>
      </w:r>
      <w:r w:rsidR="004A41E4" w:rsidRPr="00026EC1">
        <w:t>’</w:t>
      </w:r>
      <w:r w:rsidRPr="00026EC1">
        <w:t>entretien des vêtements particuliers prévus au présent article est à la charge du Collège.</w:t>
      </w:r>
    </w:p>
    <w:p w14:paraId="12C02E29" w14:textId="77777777" w:rsidR="00404F34" w:rsidRPr="00026EC1" w:rsidRDefault="00404F34" w:rsidP="00A64613">
      <w:pPr>
        <w:keepNext w:val="0"/>
      </w:pPr>
    </w:p>
    <w:p w14:paraId="71B7938A" w14:textId="13BDBD82" w:rsidR="00404F34" w:rsidRPr="00026EC1" w:rsidRDefault="00404F34" w:rsidP="00A64613">
      <w:pPr>
        <w:pStyle w:val="NUMRODECLAUSE"/>
        <w:keepNext w:val="0"/>
      </w:pPr>
      <w:r w:rsidRPr="00026EC1">
        <w:t>5</w:t>
      </w:r>
      <w:r w:rsidR="00984A6F">
        <w:noBreakHyphen/>
      </w:r>
      <w:r w:rsidRPr="00026EC1">
        <w:t>20.08</w:t>
      </w:r>
    </w:p>
    <w:p w14:paraId="2AA3FB43" w14:textId="53F29FC8" w:rsidR="00404F34" w:rsidRPr="00026EC1" w:rsidRDefault="00404F34" w:rsidP="00A64613">
      <w:pPr>
        <w:keepNext w:val="0"/>
      </w:pPr>
      <w:r w:rsidRPr="00026EC1">
        <w:t>Le Collège doit convoquer le CRT conformément à l</w:t>
      </w:r>
      <w:r w:rsidR="004A41E4" w:rsidRPr="00026EC1">
        <w:t>’</w:t>
      </w:r>
      <w:r w:rsidRPr="00026EC1">
        <w:t>article</w:t>
      </w:r>
      <w:r w:rsidR="00831CEF" w:rsidRPr="00026EC1">
        <w:t> </w:t>
      </w:r>
      <w:r w:rsidRPr="00026EC1">
        <w:t>4</w:t>
      </w:r>
      <w:r w:rsidR="00984A6F">
        <w:noBreakHyphen/>
      </w:r>
      <w:r w:rsidRPr="00026EC1">
        <w:t>3.00 sur tout litige que lui soumet le Syndicat relativement à la santé et la sécurité au travail. À cet effet, le Collège fournit, s</w:t>
      </w:r>
      <w:r w:rsidR="004A41E4" w:rsidRPr="00026EC1">
        <w:t>’</w:t>
      </w:r>
      <w:r w:rsidRPr="00026EC1">
        <w:t>il y a lieu, la documentation qu</w:t>
      </w:r>
      <w:r w:rsidR="004A41E4" w:rsidRPr="00026EC1">
        <w:t>’</w:t>
      </w:r>
      <w:r w:rsidRPr="00026EC1">
        <w:t>il possède et juge pertinente.</w:t>
      </w:r>
    </w:p>
    <w:p w14:paraId="6FEB02FE" w14:textId="77777777" w:rsidR="00404F34" w:rsidRPr="00026EC1" w:rsidRDefault="00404F34" w:rsidP="00A64613">
      <w:pPr>
        <w:keepNext w:val="0"/>
      </w:pPr>
    </w:p>
    <w:p w14:paraId="25DEB952" w14:textId="2E317B2A" w:rsidR="00404F34" w:rsidRPr="00026EC1" w:rsidRDefault="00404F34" w:rsidP="00A64613">
      <w:pPr>
        <w:pStyle w:val="NUMRODECLAUSE"/>
        <w:keepNext w:val="0"/>
      </w:pPr>
      <w:r w:rsidRPr="00026EC1">
        <w:t>5</w:t>
      </w:r>
      <w:r w:rsidR="00984A6F">
        <w:noBreakHyphen/>
      </w:r>
      <w:r w:rsidRPr="00026EC1">
        <w:t>20.09</w:t>
      </w:r>
      <w:r w:rsidR="00437788">
        <w:tab/>
      </w:r>
      <w:r w:rsidR="00437788" w:rsidRPr="00316277">
        <w:rPr>
          <w:u w:val="single"/>
        </w:rPr>
        <w:t>Comité paritaire de santé et de sécurité</w:t>
      </w:r>
    </w:p>
    <w:p w14:paraId="36D6C579" w14:textId="7F9244D9" w:rsidR="00437788" w:rsidRPr="00316277" w:rsidRDefault="00437788" w:rsidP="008F3E30">
      <w:pPr>
        <w:pStyle w:val="N-FNEEQ"/>
        <w:spacing w:before="0" w:after="0"/>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 xml:space="preserve">Le Collège forme un </w:t>
      </w:r>
      <w:r w:rsidR="005E2629" w:rsidRPr="00316277">
        <w:rPr>
          <w:rFonts w:ascii="Arial" w:eastAsia="Times New Roman" w:hAnsi="Arial" w:cs="Times New Roman"/>
          <w:snapToGrid w:val="0"/>
          <w:color w:val="auto"/>
          <w:sz w:val="24"/>
          <w:lang w:eastAsia="fr-FR"/>
        </w:rPr>
        <w:t>c</w:t>
      </w:r>
      <w:r w:rsidRPr="00316277">
        <w:rPr>
          <w:rFonts w:ascii="Arial" w:eastAsia="Times New Roman" w:hAnsi="Arial" w:cs="Times New Roman"/>
          <w:snapToGrid w:val="0"/>
          <w:color w:val="auto"/>
          <w:sz w:val="24"/>
          <w:lang w:eastAsia="fr-FR"/>
        </w:rPr>
        <w:t>omité paritaire de santé et de sécurité étant entendu que toutes les catégories de personnel peuvent y participer.</w:t>
      </w:r>
    </w:p>
    <w:p w14:paraId="6862781D" w14:textId="7D3D1C58" w:rsidR="00437788" w:rsidRPr="00316277" w:rsidRDefault="00437788" w:rsidP="00437788">
      <w:pPr>
        <w:pStyle w:val="N-FNEEQ"/>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Le comité a le mandat de traiter toute question relative à la santé et à la sécurité au travail, incluant ce qui est prévu à la Loi sur la santé et la sécurité du travail (RLRQ, c. S-2</w:t>
      </w:r>
      <w:r w:rsidR="00A33FA9"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1) et ses règlements. Sous réserve de ces derniers, le comité détermine ses règles de fonctionnement.</w:t>
      </w:r>
    </w:p>
    <w:p w14:paraId="24A6E37A" w14:textId="036BAA43" w:rsidR="00437788" w:rsidRDefault="00437788" w:rsidP="00437788">
      <w:pPr>
        <w:pStyle w:val="N-FNEEQ"/>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Le comité peut inviter aux réunions une personne-ressource externe détenant une expertise en santé et sécurité au travail.</w:t>
      </w:r>
    </w:p>
    <w:p w14:paraId="546F88A8" w14:textId="77777777" w:rsidR="00437788" w:rsidRPr="00437788" w:rsidRDefault="00437788" w:rsidP="00437788">
      <w:pPr>
        <w:pStyle w:val="N-FNEEQ"/>
        <w:ind w:left="0"/>
        <w:rPr>
          <w:rFonts w:ascii="Arial" w:eastAsia="Times New Roman" w:hAnsi="Arial" w:cs="Times New Roman"/>
          <w:snapToGrid w:val="0"/>
          <w:color w:val="auto"/>
          <w:sz w:val="24"/>
          <w:lang w:eastAsia="fr-FR"/>
        </w:rPr>
      </w:pPr>
    </w:p>
    <w:p w14:paraId="560289D3" w14:textId="07A11669" w:rsidR="00437788" w:rsidRPr="00026EC1" w:rsidRDefault="00437788" w:rsidP="00437788">
      <w:pPr>
        <w:pStyle w:val="NUMRODECLAUSE"/>
        <w:keepNext w:val="0"/>
      </w:pPr>
      <w:r w:rsidRPr="00316277">
        <w:t>5</w:t>
      </w:r>
      <w:r w:rsidRPr="00316277">
        <w:noBreakHyphen/>
        <w:t>20.10</w:t>
      </w:r>
      <w:r w:rsidRPr="00316277">
        <w:tab/>
      </w:r>
      <w:r w:rsidRPr="00316277">
        <w:rPr>
          <w:u w:val="single"/>
        </w:rPr>
        <w:t>Personne représentante en santé et en sécurité</w:t>
      </w:r>
    </w:p>
    <w:p w14:paraId="665A3609" w14:textId="2B1EEF99" w:rsidR="00437788" w:rsidRPr="00316277" w:rsidRDefault="00437788" w:rsidP="00437788">
      <w:pPr>
        <w:pStyle w:val="N-FNEEQ"/>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 xml:space="preserve">Conformément à </w:t>
      </w:r>
      <w:r w:rsidR="00A80F3E" w:rsidRPr="00316277">
        <w:rPr>
          <w:rFonts w:ascii="Arial" w:eastAsia="Times New Roman" w:hAnsi="Arial" w:cs="Times New Roman"/>
          <w:snapToGrid w:val="0"/>
          <w:color w:val="auto"/>
          <w:sz w:val="24"/>
          <w:lang w:eastAsia="fr-FR"/>
        </w:rPr>
        <w:t xml:space="preserve">la </w:t>
      </w:r>
      <w:r w:rsidRPr="00316277">
        <w:rPr>
          <w:rFonts w:ascii="Arial" w:eastAsia="Times New Roman" w:hAnsi="Arial" w:cs="Times New Roman"/>
          <w:snapToGrid w:val="0"/>
          <w:color w:val="auto"/>
          <w:sz w:val="24"/>
          <w:lang w:eastAsia="fr-FR"/>
        </w:rPr>
        <w:t>Loi sur la santé et la sécurité du travail (RLRQ, c. S-2</w:t>
      </w:r>
      <w:r w:rsidR="00A33FA9"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1) et ses règlements, une personne représentante en santé et en sécurité doit être désignée parmi le personnel du collège, toutes catégories de personnel confondues, à l’exception du personnel cadre. Le comité peut convenir que plus d’une personne représentante soit désignée.</w:t>
      </w:r>
    </w:p>
    <w:p w14:paraId="2DD7E4BE" w14:textId="476629CC" w:rsidR="00437788" w:rsidRPr="00316277" w:rsidRDefault="00437788" w:rsidP="00437788">
      <w:pPr>
        <w:pStyle w:val="N-FNEEQ"/>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La personne représentante en santé et en sécurité peut se voir confier des mandats spécifiques par le comité en plus des fonctions qui lui sont dévolues par la Loi sur la santé et la sécurité du travail (RLRQ, c. S-2</w:t>
      </w:r>
      <w:r w:rsidR="00A33FA9"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1) et ses règlements.</w:t>
      </w:r>
    </w:p>
    <w:p w14:paraId="4E6F0EF6" w14:textId="7E572BD1" w:rsidR="00437788" w:rsidRPr="00437788" w:rsidRDefault="00437788" w:rsidP="004C296A">
      <w:pPr>
        <w:pStyle w:val="N-FNEEQ"/>
        <w:spacing w:before="0" w:after="0"/>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La personne représentante en santé et en sécurité dispose d’une libération avec solde afin de mener à bien ses différents mandats. La hauteur de cette libération est déterminée par entente entre les membres du comité en considération des caractéristiques et risques associés au milieu. À défaut d’entente, les modalités prévues à la Loi sur la santé et la sécurité du travail (RLRQ, c. S-2</w:t>
      </w:r>
      <w:r w:rsidR="00A33FA9"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1) et ses règlements s’appliquent.</w:t>
      </w:r>
      <w:r w:rsidRPr="00437788">
        <w:rPr>
          <w:rFonts w:ascii="Arial" w:eastAsia="Times New Roman" w:hAnsi="Arial" w:cs="Times New Roman"/>
          <w:snapToGrid w:val="0"/>
          <w:color w:val="auto"/>
          <w:sz w:val="24"/>
          <w:lang w:eastAsia="fr-FR"/>
        </w:rPr>
        <w:t xml:space="preserve"> </w:t>
      </w:r>
    </w:p>
    <w:p w14:paraId="12EF08A5" w14:textId="77777777" w:rsidR="00437788" w:rsidRPr="00026EC1" w:rsidRDefault="00437788" w:rsidP="00A64613">
      <w:pPr>
        <w:keepNext w:val="0"/>
      </w:pPr>
    </w:p>
    <w:p w14:paraId="488FA8E5" w14:textId="09B06607" w:rsidR="00404F34" w:rsidRPr="00026EC1" w:rsidRDefault="00437788" w:rsidP="00A64613">
      <w:pPr>
        <w:pStyle w:val="NUMRODECLAUSE"/>
        <w:keepNext w:val="0"/>
      </w:pPr>
      <w:r w:rsidRPr="00316277">
        <w:t>5</w:t>
      </w:r>
      <w:r w:rsidRPr="00316277">
        <w:noBreakHyphen/>
        <w:t>20.11</w:t>
      </w:r>
    </w:p>
    <w:p w14:paraId="4A4F3102" w14:textId="77777777" w:rsidR="00404F34" w:rsidRPr="00026EC1" w:rsidRDefault="00404F34" w:rsidP="00A64613">
      <w:pPr>
        <w:keepNext w:val="0"/>
      </w:pPr>
      <w:r w:rsidRPr="00026EC1">
        <w:t>Les parties peuvent convenir de mettre en place un programme d</w:t>
      </w:r>
      <w:r w:rsidR="004A41E4" w:rsidRPr="00026EC1">
        <w:t>’</w:t>
      </w:r>
      <w:r w:rsidRPr="00026EC1">
        <w:t>aide aux enseignantes et enseignants.</w:t>
      </w:r>
    </w:p>
    <w:p w14:paraId="5B17EF12" w14:textId="77777777" w:rsidR="00404F34" w:rsidRPr="00026EC1" w:rsidRDefault="00404F34" w:rsidP="00A64613">
      <w:pPr>
        <w:keepNext w:val="0"/>
      </w:pPr>
    </w:p>
    <w:p w14:paraId="403B5B1C" w14:textId="77777777" w:rsidR="00404F34" w:rsidRPr="00026EC1" w:rsidRDefault="00404F34" w:rsidP="00A64613">
      <w:pPr>
        <w:keepNext w:val="0"/>
      </w:pPr>
      <w:r w:rsidRPr="00026EC1">
        <w:t>L</w:t>
      </w:r>
      <w:r w:rsidR="004A41E4" w:rsidRPr="00026EC1">
        <w:t>’</w:t>
      </w:r>
      <w:r w:rsidRPr="00026EC1">
        <w:t>introduction de la présente clause n</w:t>
      </w:r>
      <w:r w:rsidR="004A41E4" w:rsidRPr="00026EC1">
        <w:t>’</w:t>
      </w:r>
      <w:r w:rsidRPr="00026EC1">
        <w:t>a pas pour effet d</w:t>
      </w:r>
      <w:r w:rsidR="004A41E4" w:rsidRPr="00026EC1">
        <w:t>’</w:t>
      </w:r>
      <w:r w:rsidRPr="00026EC1">
        <w:t>invalider un programme déjà en place à la signatur</w:t>
      </w:r>
      <w:r w:rsidR="00BA79F8" w:rsidRPr="00026EC1">
        <w:t>e de la convention collective.</w:t>
      </w:r>
    </w:p>
    <w:p w14:paraId="40230548" w14:textId="569BF891" w:rsidR="00851E32" w:rsidRPr="00026EC1" w:rsidRDefault="00851E32" w:rsidP="00A64613">
      <w:pPr>
        <w:pStyle w:val="Heading2"/>
        <w:keepNext w:val="0"/>
        <w:ind w:left="2127" w:hanging="2127"/>
      </w:pPr>
      <w:r w:rsidRPr="00026EC1">
        <w:br w:type="page"/>
      </w:r>
      <w:bookmarkStart w:id="584" w:name="_Toc393444620"/>
      <w:bookmarkStart w:id="585" w:name="_Toc393449571"/>
      <w:bookmarkStart w:id="586" w:name="_Toc393460940"/>
      <w:bookmarkStart w:id="587" w:name="_Toc393461218"/>
      <w:bookmarkStart w:id="588" w:name="_Toc393720779"/>
      <w:bookmarkStart w:id="589" w:name="_Toc393783940"/>
      <w:bookmarkStart w:id="590" w:name="_Toc393784079"/>
      <w:bookmarkStart w:id="591" w:name="_Toc168479533"/>
      <w:r w:rsidRPr="00026EC1">
        <w:t>Article 5</w:t>
      </w:r>
      <w:r w:rsidR="00984A6F">
        <w:t>-</w:t>
      </w:r>
      <w:r w:rsidRPr="00026EC1">
        <w:t>21.00</w:t>
      </w:r>
      <w:r w:rsidR="00C9604C" w:rsidRPr="00026EC1">
        <w:tab/>
      </w:r>
      <w:r w:rsidR="00984A6F">
        <w:t>-</w:t>
      </w:r>
      <w:r w:rsidR="00C9604C" w:rsidRPr="00026EC1">
        <w:tab/>
      </w:r>
      <w:r w:rsidRPr="00026EC1">
        <w:t>Prêt de services</w:t>
      </w:r>
      <w:bookmarkEnd w:id="584"/>
      <w:bookmarkEnd w:id="585"/>
      <w:bookmarkEnd w:id="586"/>
      <w:bookmarkEnd w:id="587"/>
      <w:bookmarkEnd w:id="588"/>
      <w:bookmarkEnd w:id="589"/>
      <w:bookmarkEnd w:id="590"/>
      <w:bookmarkEnd w:id="591"/>
    </w:p>
    <w:p w14:paraId="66CF04EF" w14:textId="659527DA" w:rsidR="005B0A7D" w:rsidRPr="00026EC1" w:rsidRDefault="005B0A7D" w:rsidP="00A64613">
      <w:pPr>
        <w:pStyle w:val="NUMRODECLAUSE"/>
        <w:keepNext w:val="0"/>
      </w:pPr>
      <w:r w:rsidRPr="00026EC1">
        <w:t>5</w:t>
      </w:r>
      <w:r w:rsidR="00984A6F">
        <w:noBreakHyphen/>
      </w:r>
      <w:r w:rsidRPr="00026EC1">
        <w:t>21.01</w:t>
      </w:r>
    </w:p>
    <w:p w14:paraId="2EFD3FDC" w14:textId="78B72931" w:rsidR="005B0A7D" w:rsidRPr="00026EC1" w:rsidRDefault="005B0A7D" w:rsidP="00A64613">
      <w:pPr>
        <w:keepNext w:val="0"/>
      </w:pPr>
      <w:r w:rsidRPr="00026EC1">
        <w:t>Le prêt de services consiste en ce qu</w:t>
      </w:r>
      <w:r w:rsidR="004A41E4" w:rsidRPr="00026EC1">
        <w:t>’</w:t>
      </w:r>
      <w:r w:rsidRPr="00026EC1">
        <w:t>un organisme autre que le Collège utilise les services d</w:t>
      </w:r>
      <w:r w:rsidR="004A41E4" w:rsidRPr="00026EC1">
        <w:t>’</w:t>
      </w:r>
      <w:r w:rsidRPr="00026EC1">
        <w:t>une enseignante ou d</w:t>
      </w:r>
      <w:r w:rsidR="004A41E4" w:rsidRPr="00026EC1">
        <w:t>’</w:t>
      </w:r>
      <w:r w:rsidRPr="00026EC1">
        <w:t>un enseignant consentant qui continue de recevoir son salaire du Collège, sous réserve des dispositions du présent article. La durée d</w:t>
      </w:r>
      <w:r w:rsidR="004A41E4" w:rsidRPr="00026EC1">
        <w:t>’</w:t>
      </w:r>
      <w:r w:rsidRPr="00026EC1">
        <w:t>un prêt de services ne peut excéder cinq</w:t>
      </w:r>
      <w:r w:rsidR="008A5719">
        <w:t> </w:t>
      </w:r>
      <w:r w:rsidRPr="00026EC1">
        <w:t>(5) ans, sauf par entente entre le Collège et le Syndicat.</w:t>
      </w:r>
    </w:p>
    <w:p w14:paraId="44879823" w14:textId="77777777" w:rsidR="005B0A7D" w:rsidRPr="00026EC1" w:rsidRDefault="005B0A7D" w:rsidP="00A64613">
      <w:pPr>
        <w:keepNext w:val="0"/>
      </w:pPr>
    </w:p>
    <w:p w14:paraId="20E45FEB" w14:textId="5D4FDAC8" w:rsidR="005B0A7D" w:rsidRPr="00026EC1" w:rsidRDefault="005B0A7D" w:rsidP="00A64613">
      <w:pPr>
        <w:keepNext w:val="0"/>
      </w:pPr>
      <w:r w:rsidRPr="00026EC1">
        <w:t>Dans le cas de l</w:t>
      </w:r>
      <w:r w:rsidR="004A41E4" w:rsidRPr="00026EC1">
        <w:t>’</w:t>
      </w:r>
      <w:r w:rsidRPr="00026EC1">
        <w:t>enseignante ou l</w:t>
      </w:r>
      <w:r w:rsidR="004A41E4" w:rsidRPr="00026EC1">
        <w:t>’</w:t>
      </w:r>
      <w:r w:rsidRPr="00026EC1">
        <w:t>enseignant visé par la clause 5</w:t>
      </w:r>
      <w:r w:rsidR="00984A6F">
        <w:noBreakHyphen/>
      </w:r>
      <w:r w:rsidRPr="00026EC1">
        <w:t>4.24, pendant la durée du prêt de services, elle ou il continue de recevoir, son salaire conformément au deuxième paragraphe de l</w:t>
      </w:r>
      <w:r w:rsidR="004A41E4" w:rsidRPr="00026EC1">
        <w:t>’</w:t>
      </w:r>
      <w:r w:rsidRPr="00026EC1">
        <w:t>alinéa I) de la clause 5</w:t>
      </w:r>
      <w:r w:rsidR="00984A6F">
        <w:noBreakHyphen/>
      </w:r>
      <w:r w:rsidRPr="00026EC1">
        <w:t>4.07.</w:t>
      </w:r>
    </w:p>
    <w:p w14:paraId="74406EBE" w14:textId="77777777" w:rsidR="005B0A7D" w:rsidRPr="00026EC1" w:rsidRDefault="005B0A7D" w:rsidP="00A64613">
      <w:pPr>
        <w:keepNext w:val="0"/>
      </w:pPr>
    </w:p>
    <w:p w14:paraId="66E56DF3" w14:textId="327E4DCF" w:rsidR="005B0A7D" w:rsidRPr="00026EC1" w:rsidRDefault="005B0A7D" w:rsidP="00A64613">
      <w:pPr>
        <w:pStyle w:val="NUMRODECLAUSE"/>
        <w:keepNext w:val="0"/>
      </w:pPr>
      <w:r w:rsidRPr="00026EC1">
        <w:t>5</w:t>
      </w:r>
      <w:r w:rsidR="00984A6F">
        <w:noBreakHyphen/>
      </w:r>
      <w:r w:rsidRPr="00026EC1">
        <w:t>21.02</w:t>
      </w:r>
    </w:p>
    <w:p w14:paraId="0AB7F818" w14:textId="77777777" w:rsidR="005B0A7D" w:rsidRPr="00026EC1" w:rsidRDefault="005B0A7D" w:rsidP="00A64613">
      <w:pPr>
        <w:keepNext w:val="0"/>
      </w:pPr>
      <w:r w:rsidRPr="00026EC1">
        <w:t>Le Collège, l</w:t>
      </w:r>
      <w:r w:rsidR="004A41E4" w:rsidRPr="00026EC1">
        <w:t>’</w:t>
      </w:r>
      <w:r w:rsidRPr="00026EC1">
        <w:t>enseignante ou l</w:t>
      </w:r>
      <w:r w:rsidR="004A41E4" w:rsidRPr="00026EC1">
        <w:t>’</w:t>
      </w:r>
      <w:r w:rsidRPr="00026EC1">
        <w:t>enseignant visé et l</w:t>
      </w:r>
      <w:r w:rsidR="004A41E4" w:rsidRPr="00026EC1">
        <w:t>’</w:t>
      </w:r>
      <w:r w:rsidRPr="00026EC1">
        <w:t>organisme conviennent de la période et des conditions du prêt de services. Le Collège transmet au Syndicat une copie de l</w:t>
      </w:r>
      <w:r w:rsidR="004A41E4" w:rsidRPr="00026EC1">
        <w:t>’</w:t>
      </w:r>
      <w:r w:rsidRPr="00026EC1">
        <w:t>entente signée.</w:t>
      </w:r>
    </w:p>
    <w:p w14:paraId="4EB56B03" w14:textId="77777777" w:rsidR="005B0A7D" w:rsidRPr="00026EC1" w:rsidRDefault="005B0A7D" w:rsidP="00A64613">
      <w:pPr>
        <w:keepNext w:val="0"/>
      </w:pPr>
    </w:p>
    <w:p w14:paraId="20D73812" w14:textId="540A8A14" w:rsidR="005B0A7D" w:rsidRPr="00026EC1" w:rsidRDefault="005B0A7D" w:rsidP="00A64613">
      <w:pPr>
        <w:pStyle w:val="NUMRODECLAUSE"/>
        <w:keepNext w:val="0"/>
      </w:pPr>
      <w:r w:rsidRPr="00026EC1">
        <w:t>5</w:t>
      </w:r>
      <w:r w:rsidR="00984A6F">
        <w:noBreakHyphen/>
      </w:r>
      <w:r w:rsidRPr="00026EC1">
        <w:t>21.03</w:t>
      </w:r>
    </w:p>
    <w:p w14:paraId="7B8EC62E" w14:textId="77777777" w:rsidR="005B0A7D" w:rsidRPr="00026EC1" w:rsidRDefault="005B0A7D" w:rsidP="00A64613">
      <w:pPr>
        <w:keepNext w:val="0"/>
      </w:pPr>
      <w:r w:rsidRPr="00026EC1">
        <w:t>L</w:t>
      </w:r>
      <w:r w:rsidR="004A41E4" w:rsidRPr="00026EC1">
        <w:t>’</w:t>
      </w:r>
      <w:r w:rsidRPr="00026EC1">
        <w:t>enseignante ou l</w:t>
      </w:r>
      <w:r w:rsidR="004A41E4" w:rsidRPr="00026EC1">
        <w:t>’</w:t>
      </w:r>
      <w:r w:rsidRPr="00026EC1">
        <w:t>enseignant dont les services sont prêtés conserve les droits et avantages prévus à la convention collective.</w:t>
      </w:r>
    </w:p>
    <w:p w14:paraId="2F55C308" w14:textId="77777777" w:rsidR="005B0A7D" w:rsidRPr="00026EC1" w:rsidRDefault="005B0A7D" w:rsidP="00A64613">
      <w:pPr>
        <w:keepNext w:val="0"/>
      </w:pPr>
    </w:p>
    <w:p w14:paraId="0827C82D" w14:textId="07D46295" w:rsidR="005B0A7D" w:rsidRPr="00026EC1" w:rsidRDefault="005B0A7D" w:rsidP="00A64613">
      <w:pPr>
        <w:pStyle w:val="NUMRODECLAUSE"/>
        <w:keepNext w:val="0"/>
      </w:pPr>
      <w:r w:rsidRPr="00026EC1">
        <w:t>5</w:t>
      </w:r>
      <w:r w:rsidR="00984A6F">
        <w:noBreakHyphen/>
      </w:r>
      <w:r w:rsidRPr="00026EC1">
        <w:t>21.04</w:t>
      </w:r>
    </w:p>
    <w:p w14:paraId="309A53C3" w14:textId="77777777" w:rsidR="00271EF7" w:rsidRDefault="005B0A7D" w:rsidP="00A64613">
      <w:pPr>
        <w:keepNext w:val="0"/>
        <w:sectPr w:rsidR="00271EF7" w:rsidSect="00522997">
          <w:headerReference w:type="default" r:id="rId27"/>
          <w:footnotePr>
            <w:numRestart w:val="eachPage"/>
          </w:footnotePr>
          <w:pgSz w:w="12240" w:h="15840" w:code="1"/>
          <w:pgMar w:top="720" w:right="1077" w:bottom="1242" w:left="1684" w:header="709" w:footer="709" w:gutter="0"/>
          <w:cols w:space="708"/>
          <w:docGrid w:linePitch="360"/>
        </w:sectPr>
      </w:pPr>
      <w:r w:rsidRPr="00026EC1">
        <w:t>À son retour, l</w:t>
      </w:r>
      <w:r w:rsidR="004A41E4" w:rsidRPr="00026EC1">
        <w:t>’</w:t>
      </w:r>
      <w:r w:rsidRPr="00026EC1">
        <w:t>enseignante ou l</w:t>
      </w:r>
      <w:r w:rsidR="004A41E4" w:rsidRPr="00026EC1">
        <w:t>’</w:t>
      </w:r>
      <w:r w:rsidRPr="00026EC1">
        <w:t>enseignant visé par un prêt de services réintègre sa catégorie de personnel avec ses droits et privilèges, sous réserve des dispositio</w:t>
      </w:r>
      <w:r w:rsidR="00BA79F8" w:rsidRPr="00026EC1">
        <w:t>ns de la convention collective.</w:t>
      </w:r>
    </w:p>
    <w:p w14:paraId="51932913" w14:textId="4AF06AB0" w:rsidR="00404F34" w:rsidRPr="00026EC1" w:rsidRDefault="00404F34" w:rsidP="00A64613">
      <w:pPr>
        <w:pStyle w:val="Heading1"/>
        <w:keepNext w:val="0"/>
        <w:tabs>
          <w:tab w:val="left" w:pos="1701"/>
          <w:tab w:val="left" w:pos="1985"/>
        </w:tabs>
        <w:ind w:left="2127" w:hanging="2127"/>
      </w:pPr>
      <w:bookmarkStart w:id="592" w:name="_Toc535046617"/>
      <w:bookmarkStart w:id="593" w:name="_Toc133760787"/>
      <w:bookmarkStart w:id="594" w:name="_Toc133916935"/>
      <w:bookmarkStart w:id="595" w:name="_Toc134437206"/>
      <w:bookmarkStart w:id="596" w:name="_Toc393449572"/>
      <w:r w:rsidRPr="00026EC1">
        <w:t>CHAPITRE 6</w:t>
      </w:r>
      <w:r w:rsidR="00C9604C" w:rsidRPr="00026EC1">
        <w:tab/>
      </w:r>
      <w:r w:rsidR="00984A6F">
        <w:t>-</w:t>
      </w:r>
      <w:r w:rsidR="00C9604C" w:rsidRPr="00026EC1">
        <w:tab/>
      </w:r>
      <w:r w:rsidRPr="00026EC1">
        <w:t>RÉMUNÉRATION</w:t>
      </w:r>
      <w:bookmarkEnd w:id="592"/>
      <w:bookmarkEnd w:id="593"/>
      <w:bookmarkEnd w:id="594"/>
      <w:bookmarkEnd w:id="595"/>
      <w:bookmarkEnd w:id="596"/>
      <w:r w:rsidR="00593BA0" w:rsidRPr="0035151D">
        <w:fldChar w:fldCharType="begin"/>
      </w:r>
      <w:r w:rsidR="00593BA0" w:rsidRPr="0035151D">
        <w:instrText xml:space="preserve"> TC " </w:instrText>
      </w:r>
      <w:bookmarkStart w:id="597" w:name="_Toc94949737"/>
      <w:bookmarkStart w:id="598" w:name="_Toc94952745"/>
      <w:bookmarkStart w:id="599" w:name="_Toc94954649"/>
      <w:bookmarkStart w:id="600" w:name="_Toc94966326"/>
      <w:bookmarkStart w:id="601" w:name="_Toc95035204"/>
      <w:bookmarkStart w:id="602" w:name="_Toc95035347"/>
      <w:bookmarkStart w:id="603" w:name="_Toc95035490"/>
      <w:bookmarkStart w:id="604" w:name="_Toc95035635"/>
      <w:bookmarkStart w:id="605" w:name="_Toc157589260"/>
      <w:bookmarkStart w:id="606" w:name="_Toc161323708"/>
      <w:bookmarkStart w:id="607" w:name="_Toc163483048"/>
      <w:bookmarkStart w:id="608" w:name="_Toc163483647"/>
      <w:bookmarkStart w:id="609" w:name="_Toc163483837"/>
      <w:bookmarkStart w:id="610" w:name="_Toc167870807"/>
      <w:bookmarkStart w:id="611" w:name="_Toc167870971"/>
      <w:bookmarkStart w:id="612" w:name="_Toc167871127"/>
      <w:bookmarkStart w:id="613" w:name="_Toc167871303"/>
      <w:bookmarkStart w:id="614" w:name="_Toc168049371"/>
      <w:bookmarkStart w:id="615" w:name="_Toc168401535"/>
      <w:bookmarkStart w:id="616" w:name="_Toc168402151"/>
      <w:bookmarkStart w:id="617" w:name="_Toc168409586"/>
      <w:bookmarkStart w:id="618" w:name="_Toc168410340"/>
      <w:bookmarkStart w:id="619" w:name="_Toc168410586"/>
      <w:bookmarkStart w:id="620" w:name="_Toc168410827"/>
      <w:bookmarkStart w:id="621" w:name="_Toc168479534"/>
      <w:r w:rsidR="00593BA0" w:rsidRPr="0035151D">
        <w:instrText xml:space="preserve">CHAPITRE </w:instrText>
      </w:r>
      <w:r w:rsidR="00593BA0">
        <w:instrText>6</w:instrText>
      </w:r>
      <w:r w:rsidR="00593BA0" w:rsidRPr="0035151D">
        <w:instrText xml:space="preserve">  </w:instrText>
      </w:r>
      <w:r w:rsidR="00984A6F">
        <w:noBreakHyphen/>
      </w:r>
      <w:r w:rsidR="00593BA0" w:rsidRPr="0035151D">
        <w:instrText xml:space="preserve">  </w:instrText>
      </w:r>
      <w:r w:rsidR="00593BA0">
        <w:instrText>rémunération</w:instrTex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00593BA0" w:rsidRPr="0035151D">
        <w:instrText>"\N</w:instrText>
      </w:r>
      <w:r w:rsidR="00593BA0" w:rsidRPr="0035151D">
        <w:fldChar w:fldCharType="end"/>
      </w:r>
    </w:p>
    <w:p w14:paraId="159B9BCA" w14:textId="42826025" w:rsidR="00807CEE" w:rsidRPr="00026EC1" w:rsidRDefault="00807CEE" w:rsidP="00A64613">
      <w:pPr>
        <w:pStyle w:val="Heading2"/>
        <w:keepNext w:val="0"/>
        <w:tabs>
          <w:tab w:val="clear" w:pos="1843"/>
          <w:tab w:val="clear" w:pos="2127"/>
          <w:tab w:val="left" w:pos="1701"/>
          <w:tab w:val="left" w:pos="1985"/>
        </w:tabs>
        <w:ind w:left="2127" w:hanging="2127"/>
      </w:pPr>
      <w:bookmarkStart w:id="622" w:name="_Toc133760788"/>
      <w:bookmarkStart w:id="623" w:name="_Toc393444622"/>
      <w:bookmarkStart w:id="624" w:name="_Toc393449573"/>
      <w:bookmarkStart w:id="625" w:name="_Toc393460942"/>
      <w:bookmarkStart w:id="626" w:name="_Toc393461220"/>
      <w:bookmarkStart w:id="627" w:name="_Toc393720781"/>
      <w:bookmarkStart w:id="628" w:name="_Toc393783942"/>
      <w:bookmarkStart w:id="629" w:name="_Toc393784081"/>
      <w:bookmarkStart w:id="630" w:name="_Toc168479535"/>
      <w:bookmarkStart w:id="631" w:name="_Toc535046618"/>
      <w:r w:rsidRPr="00026EC1">
        <w:t>Article 6</w:t>
      </w:r>
      <w:r w:rsidR="00984A6F">
        <w:t>-</w:t>
      </w:r>
      <w:r w:rsidRPr="00026EC1">
        <w:t>1.00</w:t>
      </w:r>
      <w:r w:rsidR="00C9604C" w:rsidRPr="00026EC1">
        <w:tab/>
      </w:r>
      <w:r w:rsidR="00984A6F">
        <w:t>-</w:t>
      </w:r>
      <w:r w:rsidR="00C9604C" w:rsidRPr="00026EC1">
        <w:tab/>
      </w:r>
      <w:r w:rsidRPr="00026EC1">
        <w:t>Traitement</w:t>
      </w:r>
      <w:bookmarkEnd w:id="622"/>
      <w:bookmarkEnd w:id="623"/>
      <w:bookmarkEnd w:id="624"/>
      <w:bookmarkEnd w:id="625"/>
      <w:bookmarkEnd w:id="626"/>
      <w:bookmarkEnd w:id="627"/>
      <w:bookmarkEnd w:id="628"/>
      <w:bookmarkEnd w:id="629"/>
      <w:bookmarkEnd w:id="630"/>
      <w:r w:rsidRPr="00026EC1">
        <w:t xml:space="preserve"> </w:t>
      </w:r>
      <w:bookmarkEnd w:id="631"/>
    </w:p>
    <w:p w14:paraId="5BA24D26" w14:textId="47FE00B5" w:rsidR="00C5649C" w:rsidRPr="00026EC1" w:rsidRDefault="00C5649C" w:rsidP="00A64613">
      <w:pPr>
        <w:pStyle w:val="NUMRODECLAUSE"/>
        <w:keepNext w:val="0"/>
      </w:pPr>
      <w:r w:rsidRPr="00026EC1">
        <w:t>6</w:t>
      </w:r>
      <w:r w:rsidR="00984A6F">
        <w:noBreakHyphen/>
      </w:r>
      <w:r w:rsidRPr="00026EC1">
        <w:t>1.01</w:t>
      </w:r>
    </w:p>
    <w:p w14:paraId="15C57A35" w14:textId="77777777" w:rsidR="00A33FA9" w:rsidRDefault="00C5649C" w:rsidP="00A33FA9">
      <w:pPr>
        <w:keepNext w:val="0"/>
        <w:tabs>
          <w:tab w:val="left" w:pos="4500"/>
        </w:tabs>
      </w:pPr>
      <w:r w:rsidRPr="00026EC1">
        <w:t xml:space="preserve">Aux fins du présent article, le </w:t>
      </w:r>
      <w:r w:rsidRPr="00026EC1">
        <w:rPr>
          <w:bCs/>
        </w:rPr>
        <w:t xml:space="preserve">traitement </w:t>
      </w:r>
      <w:r w:rsidRPr="00026EC1">
        <w:t>de l</w:t>
      </w:r>
      <w:r w:rsidR="004A41E4" w:rsidRPr="00026EC1">
        <w:t>’</w:t>
      </w:r>
      <w:r w:rsidRPr="00026EC1">
        <w:t>enseignante ou de l</w:t>
      </w:r>
      <w:r w:rsidR="004A41E4" w:rsidRPr="00026EC1">
        <w:t>’</w:t>
      </w:r>
      <w:r w:rsidRPr="00026EC1">
        <w:t>enseignant à temps complet ou à temps partiel est fixé selon l</w:t>
      </w:r>
      <w:r w:rsidR="004A41E4" w:rsidRPr="00026EC1">
        <w:t>’</w:t>
      </w:r>
      <w:r w:rsidRPr="00026EC1">
        <w:t>article 6</w:t>
      </w:r>
      <w:r w:rsidR="00984A6F">
        <w:noBreakHyphen/>
      </w:r>
      <w:r w:rsidRPr="00026EC1">
        <w:t>4.00 et l</w:t>
      </w:r>
      <w:r w:rsidR="004A41E4" w:rsidRPr="00026EC1">
        <w:t>’</w:t>
      </w:r>
      <w:r w:rsidRPr="00026EC1">
        <w:t>Annexe VI</w:t>
      </w:r>
      <w:r w:rsidR="00984A6F">
        <w:noBreakHyphen/>
      </w:r>
      <w:r w:rsidRPr="00026EC1">
        <w:rPr>
          <w:bCs/>
        </w:rPr>
        <w:t>1</w:t>
      </w:r>
      <w:r w:rsidRPr="00026EC1">
        <w:t xml:space="preserve"> par l</w:t>
      </w:r>
      <w:r w:rsidR="004A41E4" w:rsidRPr="00026EC1">
        <w:t>’</w:t>
      </w:r>
      <w:r w:rsidRPr="00026EC1">
        <w:t>expérience et la scolarité définies aux articles 6</w:t>
      </w:r>
      <w:r w:rsidR="00984A6F">
        <w:noBreakHyphen/>
      </w:r>
      <w:r w:rsidRPr="00026EC1">
        <w:t>2.00 et 6</w:t>
      </w:r>
      <w:r w:rsidR="00984A6F">
        <w:noBreakHyphen/>
      </w:r>
      <w:r w:rsidRPr="00026EC1">
        <w:t xml:space="preserve">3.00. </w:t>
      </w:r>
      <w:r w:rsidR="00A33FA9" w:rsidRPr="00316277">
        <w:t>De plus, un (1) échelon correspond à une (1) année d’expérience.</w:t>
      </w:r>
    </w:p>
    <w:p w14:paraId="5871F4D6" w14:textId="77777777" w:rsidR="002F386B" w:rsidRPr="00026EC1" w:rsidRDefault="002F386B" w:rsidP="00A64613">
      <w:pPr>
        <w:keepNext w:val="0"/>
        <w:tabs>
          <w:tab w:val="left" w:pos="4500"/>
        </w:tabs>
      </w:pPr>
    </w:p>
    <w:p w14:paraId="488D14ED" w14:textId="7C665530" w:rsidR="00C5649C" w:rsidRPr="00026EC1" w:rsidRDefault="002F386B" w:rsidP="00F420CB">
      <w:pPr>
        <w:pStyle w:val="ListParagraph"/>
        <w:numPr>
          <w:ilvl w:val="0"/>
          <w:numId w:val="42"/>
        </w:numPr>
        <w:ind w:left="567" w:hanging="567"/>
      </w:pPr>
      <w:r w:rsidRPr="00316277">
        <w:t>Malgré ce qui précède</w:t>
      </w:r>
      <w:r w:rsidR="003B3A05">
        <w:t>,</w:t>
      </w:r>
      <w:r>
        <w:t xml:space="preserve"> </w:t>
      </w:r>
      <w:r w:rsidR="00C5649C" w:rsidRPr="00026EC1">
        <w:t>à compter de l</w:t>
      </w:r>
      <w:r w:rsidR="004A41E4" w:rsidRPr="00026EC1">
        <w:t>’</w:t>
      </w:r>
      <w:r w:rsidR="00C5649C" w:rsidRPr="00026EC1">
        <w:t>année d</w:t>
      </w:r>
      <w:r w:rsidR="004A41E4" w:rsidRPr="00026EC1">
        <w:t>’</w:t>
      </w:r>
      <w:r w:rsidR="00C5649C" w:rsidRPr="00026EC1">
        <w:t>engagement 2010</w:t>
      </w:r>
      <w:r w:rsidR="00984A6F">
        <w:noBreakHyphen/>
      </w:r>
      <w:r w:rsidR="00C5649C" w:rsidRPr="00026EC1">
        <w:t>2011, une enseignante ou un enseignant</w:t>
      </w:r>
      <w:r w:rsidR="00E367ED" w:rsidRPr="00026EC1">
        <w:t>,</w:t>
      </w:r>
      <w:r w:rsidR="00C5649C" w:rsidRPr="00026EC1">
        <w:t xml:space="preserve"> engagé par le Collège ou par un autre cégep du réseau</w:t>
      </w:r>
      <w:r w:rsidR="005F2985" w:rsidRPr="00026EC1">
        <w:t>,</w:t>
      </w:r>
      <w:r w:rsidR="00FF3448" w:rsidRPr="00026EC1">
        <w:t xml:space="preserve"> </w:t>
      </w:r>
      <w:r w:rsidR="00C5649C" w:rsidRPr="00026EC1">
        <w:t>dont l</w:t>
      </w:r>
      <w:r w:rsidR="004A41E4" w:rsidRPr="00026EC1">
        <w:t>’</w:t>
      </w:r>
      <w:r w:rsidR="00C5649C" w:rsidRPr="00026EC1">
        <w:t>expérience et la scolarité fixent le traitement à l</w:t>
      </w:r>
      <w:r w:rsidR="004A41E4" w:rsidRPr="00026EC1">
        <w:t>’</w:t>
      </w:r>
      <w:r w:rsidR="00C5649C" w:rsidRPr="00026EC1">
        <w:t>un ou l</w:t>
      </w:r>
      <w:r w:rsidR="004A41E4" w:rsidRPr="00026EC1">
        <w:t>’</w:t>
      </w:r>
      <w:r w:rsidR="00C5649C" w:rsidRPr="00026EC1">
        <w:t>autre des quatre</w:t>
      </w:r>
      <w:r w:rsidR="005E2801">
        <w:t> </w:t>
      </w:r>
      <w:r w:rsidR="00C5649C" w:rsidRPr="00026EC1">
        <w:t>(4) premiers échelons bénéficie d</w:t>
      </w:r>
      <w:r w:rsidR="004A41E4" w:rsidRPr="00026EC1">
        <w:t>’</w:t>
      </w:r>
      <w:r w:rsidR="00C5649C" w:rsidRPr="00026EC1">
        <w:t>une progression accélérée selon les dispositions suivantes</w:t>
      </w:r>
      <w:r w:rsidR="00D8581B">
        <w:t> :</w:t>
      </w:r>
    </w:p>
    <w:p w14:paraId="6768A216" w14:textId="77777777" w:rsidR="00C5649C" w:rsidRPr="00026EC1" w:rsidRDefault="00C5649C" w:rsidP="00A64613">
      <w:pPr>
        <w:keepNext w:val="0"/>
      </w:pPr>
    </w:p>
    <w:p w14:paraId="341F059A" w14:textId="4F46DA9B" w:rsidR="00C5649C" w:rsidRPr="00026EC1" w:rsidRDefault="00A33FA9" w:rsidP="004201F5">
      <w:pPr>
        <w:keepNext w:val="0"/>
        <w:ind w:left="1134" w:hanging="567"/>
      </w:pPr>
      <w:r>
        <w:t xml:space="preserve"> </w:t>
      </w:r>
      <w:r w:rsidRPr="00316277">
        <w:t>i</w:t>
      </w:r>
      <w:r w:rsidR="00275751" w:rsidRPr="00026EC1">
        <w:t>)</w:t>
      </w:r>
      <w:r w:rsidR="00275751" w:rsidRPr="00026EC1">
        <w:tab/>
      </w:r>
      <w:r w:rsidR="00C5649C" w:rsidRPr="00026EC1">
        <w:t>pour l</w:t>
      </w:r>
      <w:r w:rsidR="004A41E4" w:rsidRPr="00026EC1">
        <w:t>’</w:t>
      </w:r>
      <w:r w:rsidR="00C5649C" w:rsidRPr="00026EC1">
        <w:t>enseignante ou l</w:t>
      </w:r>
      <w:r w:rsidR="004A41E4" w:rsidRPr="00026EC1">
        <w:t>’</w:t>
      </w:r>
      <w:r w:rsidR="00C5649C" w:rsidRPr="00026EC1">
        <w:t>enseignant à temps partiel, pour les contrats subséquents à celui de son entrée en fonction jusqu</w:t>
      </w:r>
      <w:r w:rsidR="004A41E4" w:rsidRPr="00026EC1">
        <w:t>’</w:t>
      </w:r>
      <w:r w:rsidR="00C5649C" w:rsidRPr="00026EC1">
        <w:t>à l</w:t>
      </w:r>
      <w:r w:rsidR="004A41E4" w:rsidRPr="00026EC1">
        <w:t>’</w:t>
      </w:r>
      <w:r w:rsidR="00C5649C" w:rsidRPr="00026EC1">
        <w:t>atteinte du cinquième</w:t>
      </w:r>
      <w:r w:rsidR="005E2801">
        <w:t> </w:t>
      </w:r>
      <w:r w:rsidR="00C5649C" w:rsidRPr="00026EC1">
        <w:t>(5</w:t>
      </w:r>
      <w:r w:rsidR="00C5649C" w:rsidRPr="00026EC1">
        <w:rPr>
          <w:vertAlign w:val="superscript"/>
        </w:rPr>
        <w:t>e</w:t>
      </w:r>
      <w:r w:rsidR="00C5649C" w:rsidRPr="00026EC1">
        <w:t>) échelon</w:t>
      </w:r>
      <w:r w:rsidR="00D8581B">
        <w:t> :</w:t>
      </w:r>
      <w:r w:rsidR="00C5649C" w:rsidRPr="00026EC1">
        <w:t xml:space="preserve"> un échelon correspond à zéro virgule cinq</w:t>
      </w:r>
      <w:r w:rsidR="005E2801">
        <w:t> </w:t>
      </w:r>
      <w:r w:rsidR="00C5649C" w:rsidRPr="00026EC1">
        <w:t>(0,5)</w:t>
      </w:r>
      <w:r w:rsidR="00FF3448" w:rsidRPr="00026EC1">
        <w:t xml:space="preserve"> </w:t>
      </w:r>
      <w:r w:rsidR="00C5649C" w:rsidRPr="00026EC1">
        <w:t>ETC soit en enseignement, soit en expérience professionnelle ou industrielle pertinente, soit dans les deux</w:t>
      </w:r>
      <w:r w:rsidR="005F2985" w:rsidRPr="00026EC1">
        <w:t>;</w:t>
      </w:r>
    </w:p>
    <w:p w14:paraId="2526B618" w14:textId="77777777" w:rsidR="00C5649C" w:rsidRPr="00026EC1" w:rsidRDefault="00C5649C" w:rsidP="004201F5">
      <w:pPr>
        <w:keepNext w:val="0"/>
        <w:ind w:left="1134" w:hanging="567"/>
      </w:pPr>
    </w:p>
    <w:p w14:paraId="592485B1" w14:textId="6C3D51C2" w:rsidR="00C5649C" w:rsidRPr="00026EC1" w:rsidRDefault="00A33FA9" w:rsidP="004201F5">
      <w:pPr>
        <w:keepNext w:val="0"/>
        <w:ind w:left="1134" w:hanging="567"/>
      </w:pPr>
      <w:r>
        <w:t xml:space="preserve"> </w:t>
      </w:r>
      <w:r w:rsidRPr="00316277">
        <w:t>ii</w:t>
      </w:r>
      <w:r w:rsidR="00275751" w:rsidRPr="00026EC1">
        <w:t>)</w:t>
      </w:r>
      <w:r w:rsidR="00275751" w:rsidRPr="00026EC1">
        <w:tab/>
      </w:r>
      <w:r w:rsidR="00C5649C" w:rsidRPr="00026EC1">
        <w:t>pour l</w:t>
      </w:r>
      <w:r w:rsidR="004A41E4" w:rsidRPr="00026EC1">
        <w:t>’</w:t>
      </w:r>
      <w:r w:rsidR="00C5649C" w:rsidRPr="00026EC1">
        <w:t>enseignante ou l</w:t>
      </w:r>
      <w:r w:rsidR="004A41E4" w:rsidRPr="00026EC1">
        <w:t>’</w:t>
      </w:r>
      <w:r w:rsidR="00C5649C" w:rsidRPr="00026EC1">
        <w:t>enseignant à temps complet jusqu</w:t>
      </w:r>
      <w:r w:rsidR="004A41E4" w:rsidRPr="00026EC1">
        <w:t>’</w:t>
      </w:r>
      <w:r w:rsidR="00C5649C" w:rsidRPr="00026EC1">
        <w:t>à l</w:t>
      </w:r>
      <w:r w:rsidR="004A41E4" w:rsidRPr="00026EC1">
        <w:t>’</w:t>
      </w:r>
      <w:r w:rsidR="00C5649C" w:rsidRPr="00026EC1">
        <w:t>atteinte du cinquième</w:t>
      </w:r>
      <w:r w:rsidR="00EE3027">
        <w:t> </w:t>
      </w:r>
      <w:r w:rsidR="00C5649C" w:rsidRPr="00026EC1">
        <w:t>(5</w:t>
      </w:r>
      <w:r w:rsidR="00C5649C" w:rsidRPr="00026EC1">
        <w:rPr>
          <w:vertAlign w:val="superscript"/>
        </w:rPr>
        <w:t>e</w:t>
      </w:r>
      <w:r w:rsidR="00C5649C" w:rsidRPr="00026EC1">
        <w:t>) échelon</w:t>
      </w:r>
      <w:r w:rsidR="00D8581B">
        <w:t> :</w:t>
      </w:r>
      <w:r w:rsidR="00C5649C" w:rsidRPr="00026EC1">
        <w:t xml:space="preserve"> l</w:t>
      </w:r>
      <w:r w:rsidR="004A41E4" w:rsidRPr="00026EC1">
        <w:t>’</w:t>
      </w:r>
      <w:r w:rsidR="00C5649C" w:rsidRPr="00026EC1">
        <w:t>obtention de l</w:t>
      </w:r>
      <w:r w:rsidR="004A41E4" w:rsidRPr="00026EC1">
        <w:t>’</w:t>
      </w:r>
      <w:r w:rsidR="00C5649C" w:rsidRPr="00026EC1">
        <w:t>échelon suivant au début de la quatorzième</w:t>
      </w:r>
      <w:r w:rsidR="00EE3027">
        <w:t> </w:t>
      </w:r>
      <w:r w:rsidR="00C5649C" w:rsidRPr="00026EC1">
        <w:t>(14</w:t>
      </w:r>
      <w:r w:rsidR="00C5649C" w:rsidRPr="00026EC1">
        <w:rPr>
          <w:vertAlign w:val="superscript"/>
        </w:rPr>
        <w:t>e</w:t>
      </w:r>
      <w:r w:rsidR="00C5649C" w:rsidRPr="00026EC1">
        <w:t>) paye de l</w:t>
      </w:r>
      <w:r w:rsidR="004A41E4" w:rsidRPr="00026EC1">
        <w:t>’</w:t>
      </w:r>
      <w:r w:rsidR="00C5649C" w:rsidRPr="00026EC1">
        <w:t>année d</w:t>
      </w:r>
      <w:r w:rsidR="004A41E4" w:rsidRPr="00026EC1">
        <w:t>’</w:t>
      </w:r>
      <w:r w:rsidR="00C5649C" w:rsidRPr="00026EC1">
        <w:t>engagement pour laquelle elle ou il détient une charge d</w:t>
      </w:r>
      <w:r w:rsidR="004A41E4" w:rsidRPr="00026EC1">
        <w:t>’</w:t>
      </w:r>
      <w:r w:rsidR="00C5649C" w:rsidRPr="00026EC1">
        <w:t>enseignement à temps complet.</w:t>
      </w:r>
    </w:p>
    <w:p w14:paraId="6929C25F" w14:textId="77777777" w:rsidR="00C5649C" w:rsidRPr="00026EC1" w:rsidRDefault="00C5649C" w:rsidP="004201F5">
      <w:pPr>
        <w:pStyle w:val="Texte1cm00000"/>
        <w:keepNext w:val="0"/>
        <w:ind w:left="1134" w:hanging="567"/>
      </w:pPr>
    </w:p>
    <w:p w14:paraId="0212A602" w14:textId="28F42E88" w:rsidR="00C5649C" w:rsidRPr="00026EC1" w:rsidRDefault="00C5649C" w:rsidP="004201F5">
      <w:pPr>
        <w:pStyle w:val="Texte1cm00000"/>
        <w:keepNext w:val="0"/>
        <w:ind w:left="1134"/>
      </w:pPr>
      <w:r w:rsidRPr="00026EC1">
        <w:t>Cependant, si une enseignante ou un enseignant détient ou obtient une charge d</w:t>
      </w:r>
      <w:r w:rsidR="004A41E4" w:rsidRPr="00026EC1">
        <w:t>’</w:t>
      </w:r>
      <w:r w:rsidRPr="00026EC1">
        <w:t>enseignement à temps complet pour laquelle son traitement est fixé au cinquième</w:t>
      </w:r>
      <w:r w:rsidR="00EE3027">
        <w:t> </w:t>
      </w:r>
      <w:r w:rsidRPr="00026EC1">
        <w:t>(5</w:t>
      </w:r>
      <w:r w:rsidRPr="00026EC1">
        <w:rPr>
          <w:vertAlign w:val="superscript"/>
        </w:rPr>
        <w:t>e</w:t>
      </w:r>
      <w:r w:rsidRPr="00026EC1">
        <w:t>) échelon au début de la session d</w:t>
      </w:r>
      <w:r w:rsidR="004A41E4" w:rsidRPr="00026EC1">
        <w:t>’</w:t>
      </w:r>
      <w:r w:rsidRPr="00026EC1">
        <w:t>hiver, alors les dispositions suivantes s</w:t>
      </w:r>
      <w:r w:rsidR="004A41E4" w:rsidRPr="00026EC1">
        <w:t>’</w:t>
      </w:r>
      <w:r w:rsidRPr="00026EC1">
        <w:t>appliquent</w:t>
      </w:r>
      <w:r w:rsidR="00D8581B">
        <w:t> :</w:t>
      </w:r>
    </w:p>
    <w:p w14:paraId="207758FF" w14:textId="77777777" w:rsidR="00C5649C" w:rsidRPr="00026EC1" w:rsidRDefault="00C5649C" w:rsidP="00A64613">
      <w:pPr>
        <w:pStyle w:val="Texte1cm00000"/>
        <w:keepNext w:val="0"/>
      </w:pPr>
    </w:p>
    <w:p w14:paraId="1D9DDFF2" w14:textId="2AF65AD8" w:rsidR="00C5649C" w:rsidRPr="00026EC1" w:rsidRDefault="00275751" w:rsidP="004201F5">
      <w:pPr>
        <w:keepNext w:val="0"/>
        <w:ind w:left="1701" w:hanging="567"/>
        <w:rPr>
          <w:i/>
        </w:rPr>
      </w:pPr>
      <w:r w:rsidRPr="00026EC1">
        <w:rPr>
          <w:rFonts w:ascii="Symbol" w:hAnsi="Symbol"/>
        </w:rPr>
        <w:t></w:t>
      </w:r>
      <w:r w:rsidRPr="00026EC1">
        <w:rPr>
          <w:rFonts w:ascii="Symbol" w:hAnsi="Symbol"/>
        </w:rPr>
        <w:tab/>
      </w:r>
      <w:r w:rsidR="00C5649C" w:rsidRPr="00026EC1">
        <w:t>elle ou il est réputé à temps partiel aux fins de la progression accélérée et visé par l</w:t>
      </w:r>
      <w:r w:rsidR="004A41E4" w:rsidRPr="00026EC1">
        <w:t>’</w:t>
      </w:r>
      <w:r w:rsidR="00C5649C" w:rsidRPr="00026EC1">
        <w:t>alinéa d) de la clause 6</w:t>
      </w:r>
      <w:r w:rsidR="00984A6F">
        <w:noBreakHyphen/>
      </w:r>
      <w:r w:rsidR="00C5649C" w:rsidRPr="00026EC1">
        <w:t>2.01 pour l</w:t>
      </w:r>
      <w:r w:rsidR="004A41E4" w:rsidRPr="00026EC1">
        <w:t>’</w:t>
      </w:r>
      <w:r w:rsidR="00C5649C" w:rsidRPr="00026EC1">
        <w:t>année au cours de laquelle elle ou il atteint le cinquième</w:t>
      </w:r>
      <w:r w:rsidR="005E2801">
        <w:t> </w:t>
      </w:r>
      <w:r w:rsidR="00C5649C" w:rsidRPr="00026EC1">
        <w:t>(5</w:t>
      </w:r>
      <w:r w:rsidR="00C5649C" w:rsidRPr="00026EC1">
        <w:rPr>
          <w:vertAlign w:val="superscript"/>
        </w:rPr>
        <w:t>e</w:t>
      </w:r>
      <w:r w:rsidR="00C5649C" w:rsidRPr="00026EC1">
        <w:t>) échelon; en conséquence, elle ou il bénéficie du sixième</w:t>
      </w:r>
      <w:r w:rsidR="005E2801">
        <w:t> </w:t>
      </w:r>
      <w:r w:rsidR="00C5649C" w:rsidRPr="00026EC1">
        <w:t>(6</w:t>
      </w:r>
      <w:r w:rsidR="00C5649C" w:rsidRPr="00026EC1">
        <w:rPr>
          <w:vertAlign w:val="superscript"/>
        </w:rPr>
        <w:t>e</w:t>
      </w:r>
      <w:r w:rsidR="00C5649C" w:rsidRPr="00026EC1">
        <w:t>) échelon au début de l</w:t>
      </w:r>
      <w:r w:rsidR="004A41E4" w:rsidRPr="00026EC1">
        <w:t>’</w:t>
      </w:r>
      <w:r w:rsidR="00C5649C" w:rsidRPr="00026EC1">
        <w:t>année d</w:t>
      </w:r>
      <w:r w:rsidR="004A41E4" w:rsidRPr="00026EC1">
        <w:t>’</w:t>
      </w:r>
      <w:r w:rsidR="00C5649C" w:rsidRPr="00026EC1">
        <w:t>engagement suivante.</w:t>
      </w:r>
    </w:p>
    <w:p w14:paraId="1B715C6E" w14:textId="64B009AC" w:rsidR="002F386B" w:rsidRPr="00316277" w:rsidRDefault="00A33FA9" w:rsidP="00F420CB">
      <w:pPr>
        <w:pStyle w:val="ListParagraph"/>
        <w:numPr>
          <w:ilvl w:val="0"/>
          <w:numId w:val="42"/>
        </w:numPr>
        <w:autoSpaceDE w:val="0"/>
        <w:autoSpaceDN w:val="0"/>
        <w:adjustRightInd w:val="0"/>
        <w:spacing w:before="240"/>
        <w:ind w:left="567" w:hanging="567"/>
        <w:contextualSpacing/>
        <w:rPr>
          <w:rFonts w:cs="Arial"/>
          <w:color w:val="000000"/>
          <w:lang w:eastAsia="fr-CA"/>
        </w:rPr>
        <w:sectPr w:rsidR="002F386B" w:rsidRPr="00316277" w:rsidSect="00522997">
          <w:headerReference w:type="default" r:id="rId28"/>
          <w:footnotePr>
            <w:numRestart w:val="eachPage"/>
          </w:footnotePr>
          <w:pgSz w:w="12240" w:h="15840" w:code="1"/>
          <w:pgMar w:top="720" w:right="1077" w:bottom="1242" w:left="1684" w:header="709" w:footer="709" w:gutter="0"/>
          <w:cols w:space="708"/>
          <w:docGrid w:linePitch="360"/>
        </w:sectPr>
      </w:pPr>
      <w:r w:rsidRPr="00316277">
        <w:rPr>
          <w:rFonts w:cs="Arial"/>
          <w:color w:val="000000"/>
          <w:lang w:eastAsia="fr-CA"/>
        </w:rPr>
        <w:t xml:space="preserve">Malgré le </w:t>
      </w:r>
      <w:r w:rsidR="00F92CF9" w:rsidRPr="00316277">
        <w:rPr>
          <w:rFonts w:cs="Arial"/>
          <w:color w:val="000000"/>
          <w:lang w:eastAsia="fr-CA"/>
        </w:rPr>
        <w:t>premier (</w:t>
      </w:r>
      <w:r w:rsidRPr="00316277">
        <w:rPr>
          <w:rFonts w:cs="Arial"/>
          <w:color w:val="000000"/>
          <w:lang w:eastAsia="fr-CA"/>
        </w:rPr>
        <w:t>1</w:t>
      </w:r>
      <w:r w:rsidRPr="00316277">
        <w:rPr>
          <w:rFonts w:cs="Arial"/>
          <w:color w:val="000000"/>
          <w:vertAlign w:val="superscript"/>
          <w:lang w:eastAsia="fr-CA"/>
        </w:rPr>
        <w:t>er</w:t>
      </w:r>
      <w:r w:rsidR="00F92CF9" w:rsidRPr="00316277">
        <w:rPr>
          <w:rFonts w:cs="Arial"/>
          <w:color w:val="000000"/>
          <w:lang w:eastAsia="fr-CA"/>
        </w:rPr>
        <w:t xml:space="preserve">) </w:t>
      </w:r>
      <w:r w:rsidRPr="00316277">
        <w:rPr>
          <w:rFonts w:cs="Arial"/>
          <w:color w:val="000000"/>
          <w:lang w:eastAsia="fr-CA"/>
        </w:rPr>
        <w:t>paragraphe de la présente clause, à compter du 1</w:t>
      </w:r>
      <w:r w:rsidRPr="00316277">
        <w:rPr>
          <w:rFonts w:cs="Arial"/>
          <w:color w:val="000000"/>
          <w:vertAlign w:val="superscript"/>
          <w:lang w:eastAsia="fr-CA"/>
        </w:rPr>
        <w:t>er</w:t>
      </w:r>
      <w:r w:rsidR="001470D4" w:rsidRPr="00316277">
        <w:rPr>
          <w:rFonts w:cs="Arial"/>
          <w:color w:val="000000"/>
          <w:lang w:eastAsia="fr-CA"/>
        </w:rPr>
        <w:t> </w:t>
      </w:r>
      <w:r w:rsidRPr="00316277">
        <w:rPr>
          <w:rFonts w:cs="Arial"/>
          <w:color w:val="000000"/>
          <w:lang w:eastAsia="fr-CA"/>
        </w:rPr>
        <w:t>juillet</w:t>
      </w:r>
      <w:r w:rsidR="001470D4" w:rsidRPr="00316277">
        <w:rPr>
          <w:rFonts w:cs="Arial"/>
          <w:color w:val="000000"/>
          <w:lang w:eastAsia="fr-CA"/>
        </w:rPr>
        <w:t> </w:t>
      </w:r>
      <w:r w:rsidRPr="00316277">
        <w:rPr>
          <w:rFonts w:cs="Arial"/>
          <w:color w:val="000000"/>
          <w:lang w:eastAsia="fr-CA"/>
        </w:rPr>
        <w:t xml:space="preserve">2024, </w:t>
      </w:r>
      <w:r w:rsidR="00551345" w:rsidRPr="00316277">
        <w:rPr>
          <w:rFonts w:cs="Arial"/>
          <w:color w:val="000000"/>
          <w:lang w:eastAsia="fr-CA"/>
        </w:rPr>
        <w:t>une enseignante ou un enseignant, engagé par le Collège ou par un autre cégep du réseau, dont l’expérience et la scolarité fixent le traitement à l’un ou l’autre des six (6)</w:t>
      </w:r>
      <w:r w:rsidR="007742A2" w:rsidRPr="00316277">
        <w:rPr>
          <w:rFonts w:cs="Arial"/>
          <w:color w:val="000000"/>
          <w:lang w:eastAsia="fr-CA"/>
        </w:rPr>
        <w:t> </w:t>
      </w:r>
      <w:r w:rsidR="00551345" w:rsidRPr="00316277">
        <w:rPr>
          <w:rFonts w:cs="Arial"/>
          <w:color w:val="000000"/>
          <w:lang w:eastAsia="fr-CA"/>
        </w:rPr>
        <w:t>premiers échelons bénéficie d’une progression accélérée selon les dispositions suivantes :</w:t>
      </w:r>
    </w:p>
    <w:p w14:paraId="58C9E696" w14:textId="395C356A" w:rsidR="002F386B" w:rsidRPr="00316277" w:rsidRDefault="00551345" w:rsidP="00864798">
      <w:pPr>
        <w:pStyle w:val="ListParagraph"/>
        <w:numPr>
          <w:ilvl w:val="0"/>
          <w:numId w:val="69"/>
        </w:numPr>
        <w:autoSpaceDE w:val="0"/>
        <w:autoSpaceDN w:val="0"/>
        <w:adjustRightInd w:val="0"/>
        <w:spacing w:before="120" w:after="120"/>
        <w:ind w:left="1134" w:hanging="425"/>
        <w:rPr>
          <w:rFonts w:eastAsia="Times New Roman" w:cs="Arial"/>
          <w:color w:val="000000"/>
          <w:lang w:eastAsia="fr-CA"/>
        </w:rPr>
      </w:pPr>
      <w:r w:rsidRPr="00316277">
        <w:rPr>
          <w:rFonts w:eastAsia="Times New Roman" w:cs="Arial"/>
          <w:color w:val="000000"/>
          <w:lang w:eastAsia="fr-CA"/>
        </w:rPr>
        <w:t>pour l’enseignante ou l’enseignant à temps partiel, pour les contrats subséquents à celui de son entrée en fonction jusqu’à l’atteinte du septième</w:t>
      </w:r>
      <w:r w:rsidR="007742A2" w:rsidRPr="00316277">
        <w:rPr>
          <w:rFonts w:eastAsia="Times New Roman" w:cs="Arial"/>
          <w:color w:val="000000"/>
          <w:lang w:eastAsia="fr-CA"/>
        </w:rPr>
        <w:t> </w:t>
      </w:r>
      <w:r w:rsidRPr="00316277">
        <w:rPr>
          <w:rFonts w:eastAsia="Times New Roman" w:cs="Arial"/>
          <w:color w:val="000000"/>
          <w:lang w:eastAsia="fr-CA"/>
        </w:rPr>
        <w:t>(7e) échelon : un échelon correspond à zéro virgule cinq</w:t>
      </w:r>
      <w:r w:rsidR="007742A2" w:rsidRPr="00316277">
        <w:rPr>
          <w:rFonts w:eastAsia="Times New Roman" w:cs="Arial"/>
          <w:color w:val="000000"/>
          <w:lang w:eastAsia="fr-CA"/>
        </w:rPr>
        <w:t> </w:t>
      </w:r>
      <w:r w:rsidRPr="00316277">
        <w:rPr>
          <w:rFonts w:eastAsia="Times New Roman" w:cs="Arial"/>
          <w:color w:val="000000"/>
          <w:lang w:eastAsia="fr-CA"/>
        </w:rPr>
        <w:t>(0,5) ETC soit en enseignement, soit en expérience professionnelle ou industrielle pertinente</w:t>
      </w:r>
      <w:r w:rsidR="00F92CF9" w:rsidRPr="00316277">
        <w:rPr>
          <w:rFonts w:eastAsia="Times New Roman" w:cs="Arial"/>
          <w:color w:val="000000"/>
          <w:lang w:eastAsia="fr-CA"/>
        </w:rPr>
        <w:t>,</w:t>
      </w:r>
      <w:r w:rsidRPr="00316277">
        <w:rPr>
          <w:rFonts w:eastAsia="Times New Roman" w:cs="Arial"/>
          <w:color w:val="000000"/>
          <w:lang w:eastAsia="fr-CA"/>
        </w:rPr>
        <w:t xml:space="preserve"> soit </w:t>
      </w:r>
      <w:r w:rsidR="00FA053C" w:rsidRPr="00316277">
        <w:rPr>
          <w:rFonts w:eastAsia="Times New Roman" w:cs="Arial"/>
          <w:color w:val="000000"/>
          <w:lang w:eastAsia="fr-CA"/>
        </w:rPr>
        <w:t xml:space="preserve">dans </w:t>
      </w:r>
      <w:r w:rsidRPr="00316277">
        <w:rPr>
          <w:rFonts w:eastAsia="Times New Roman" w:cs="Arial"/>
          <w:color w:val="000000"/>
          <w:lang w:eastAsia="fr-CA"/>
        </w:rPr>
        <w:t>les deux;</w:t>
      </w:r>
    </w:p>
    <w:p w14:paraId="2565E403" w14:textId="37FF50C2" w:rsidR="00551345" w:rsidRPr="00316277" w:rsidRDefault="00551345" w:rsidP="00864798">
      <w:pPr>
        <w:pStyle w:val="ListParagraph"/>
        <w:numPr>
          <w:ilvl w:val="0"/>
          <w:numId w:val="69"/>
        </w:numPr>
        <w:autoSpaceDE w:val="0"/>
        <w:autoSpaceDN w:val="0"/>
        <w:adjustRightInd w:val="0"/>
        <w:spacing w:before="120" w:after="120"/>
        <w:ind w:left="1134" w:hanging="425"/>
        <w:rPr>
          <w:rFonts w:eastAsia="Times New Roman" w:cs="Arial"/>
          <w:color w:val="000000"/>
          <w:lang w:eastAsia="fr-CA"/>
        </w:rPr>
      </w:pPr>
      <w:r w:rsidRPr="00316277">
        <w:rPr>
          <w:rFonts w:cs="Arial"/>
          <w:color w:val="000000"/>
          <w:lang w:eastAsia="fr-CA"/>
        </w:rPr>
        <w:t>pour l’enseignante ou l’enseignant à temps complet jusqu’à l’atteinte du septième (7e) échelon: l’obtention de l’échelon suivant au début de la quatorzième</w:t>
      </w:r>
      <w:r w:rsidR="007742A2" w:rsidRPr="00316277">
        <w:rPr>
          <w:rFonts w:cs="Arial"/>
          <w:color w:val="000000"/>
          <w:lang w:eastAsia="fr-CA"/>
        </w:rPr>
        <w:t> </w:t>
      </w:r>
      <w:r w:rsidRPr="00316277">
        <w:rPr>
          <w:rFonts w:cs="Arial"/>
          <w:color w:val="000000"/>
          <w:lang w:eastAsia="fr-CA"/>
        </w:rPr>
        <w:t>(14e) paye de l’année d’engagement pour laquelle elle ou il détient une charge d’enseignement à temps complet.</w:t>
      </w:r>
    </w:p>
    <w:p w14:paraId="50E8FADD" w14:textId="374F4537" w:rsidR="00551345" w:rsidRPr="00316277" w:rsidRDefault="00551345" w:rsidP="004201F5">
      <w:pPr>
        <w:pStyle w:val="ListParagraph"/>
        <w:autoSpaceDE w:val="0"/>
        <w:autoSpaceDN w:val="0"/>
        <w:adjustRightInd w:val="0"/>
        <w:spacing w:before="120" w:after="120"/>
        <w:ind w:left="1134"/>
        <w:rPr>
          <w:rFonts w:eastAsia="Times New Roman" w:cs="Arial"/>
          <w:color w:val="000000"/>
          <w:lang w:eastAsia="fr-CA"/>
        </w:rPr>
      </w:pPr>
      <w:r w:rsidRPr="00316277">
        <w:rPr>
          <w:rFonts w:eastAsia="Times New Roman" w:cs="Arial"/>
          <w:color w:val="000000"/>
          <w:lang w:eastAsia="fr-CA"/>
        </w:rPr>
        <w:t>Cependant, si une enseignante ou un enseignant détient ou obtient une charge d’enseignement à temps complet pour laquelle son traitement est fixé au septième</w:t>
      </w:r>
      <w:r w:rsidR="007742A2" w:rsidRPr="00316277">
        <w:rPr>
          <w:rFonts w:eastAsia="Times New Roman" w:cs="Arial"/>
          <w:color w:val="000000"/>
          <w:lang w:eastAsia="fr-CA"/>
        </w:rPr>
        <w:t> </w:t>
      </w:r>
      <w:r w:rsidRPr="00316277">
        <w:rPr>
          <w:rFonts w:eastAsia="Times New Roman" w:cs="Arial"/>
          <w:color w:val="000000"/>
          <w:lang w:eastAsia="fr-CA"/>
        </w:rPr>
        <w:t>(7e) échelon au début de la session d’hiver, alors les dispositions suivantes s’appliquent :</w:t>
      </w:r>
    </w:p>
    <w:p w14:paraId="14ECDDD5" w14:textId="36D788F1" w:rsidR="00551345" w:rsidRPr="00316277" w:rsidRDefault="00551345" w:rsidP="00FA053C">
      <w:pPr>
        <w:pStyle w:val="sous-titre"/>
        <w:spacing w:before="0" w:after="0"/>
        <w:ind w:left="1701" w:hanging="567"/>
        <w:rPr>
          <w:rFonts w:eastAsia="Times New Roman"/>
          <w:b w:val="0"/>
          <w:bCs w:val="0"/>
          <w:color w:val="000000"/>
          <w:lang w:eastAsia="fr-CA" w:bidi="ar-SA"/>
        </w:rPr>
      </w:pPr>
      <w:r w:rsidRPr="00316277">
        <w:rPr>
          <w:rFonts w:eastAsia="Times New Roman"/>
          <w:b w:val="0"/>
          <w:bCs w:val="0"/>
          <w:color w:val="000000"/>
          <w:lang w:eastAsia="fr-CA" w:bidi="ar-SA"/>
        </w:rPr>
        <w:t>−</w:t>
      </w:r>
      <w:r w:rsidRPr="00316277">
        <w:rPr>
          <w:rFonts w:eastAsia="Times New Roman"/>
          <w:b w:val="0"/>
          <w:bCs w:val="0"/>
          <w:color w:val="000000"/>
          <w:lang w:eastAsia="fr-CA" w:bidi="ar-SA"/>
        </w:rPr>
        <w:tab/>
        <w:t>elle ou il est réputé à temps partiel aux fins de la progression accélérée et visé par l’alinéa d) de la clause</w:t>
      </w:r>
      <w:r w:rsidR="007742A2" w:rsidRPr="00316277">
        <w:rPr>
          <w:rFonts w:eastAsia="Times New Roman"/>
          <w:b w:val="0"/>
          <w:bCs w:val="0"/>
          <w:color w:val="000000"/>
          <w:lang w:eastAsia="fr-CA" w:bidi="ar-SA"/>
        </w:rPr>
        <w:t> </w:t>
      </w:r>
      <w:r w:rsidRPr="00316277">
        <w:rPr>
          <w:rFonts w:eastAsia="Times New Roman"/>
          <w:b w:val="0"/>
          <w:bCs w:val="0"/>
          <w:color w:val="000000"/>
          <w:lang w:eastAsia="fr-CA" w:bidi="ar-SA"/>
        </w:rPr>
        <w:t>6-2.01 pour l’année au cours de laquelle elle ou il atteint le septième</w:t>
      </w:r>
      <w:r w:rsidR="007742A2" w:rsidRPr="00316277">
        <w:rPr>
          <w:rFonts w:eastAsia="Times New Roman"/>
          <w:b w:val="0"/>
          <w:bCs w:val="0"/>
          <w:color w:val="000000"/>
          <w:lang w:eastAsia="fr-CA" w:bidi="ar-SA"/>
        </w:rPr>
        <w:t> </w:t>
      </w:r>
      <w:r w:rsidRPr="00316277">
        <w:rPr>
          <w:rFonts w:eastAsia="Times New Roman"/>
          <w:b w:val="0"/>
          <w:bCs w:val="0"/>
          <w:color w:val="000000"/>
          <w:lang w:eastAsia="fr-CA" w:bidi="ar-SA"/>
        </w:rPr>
        <w:t>(7e) échelon; en conséquence, elle ou il bénéficie du huitième (8e) échelon au début de l’année d’engagement suivante.</w:t>
      </w:r>
    </w:p>
    <w:p w14:paraId="05AD62B1" w14:textId="77777777" w:rsidR="00FA053C" w:rsidRPr="00316277" w:rsidRDefault="00FA053C" w:rsidP="00FA053C">
      <w:pPr>
        <w:pStyle w:val="sous-titre"/>
        <w:spacing w:before="0" w:after="0"/>
        <w:ind w:left="1701" w:hanging="567"/>
        <w:rPr>
          <w:rFonts w:eastAsia="Times New Roman"/>
          <w:b w:val="0"/>
          <w:bCs w:val="0"/>
          <w:color w:val="000000"/>
          <w:lang w:eastAsia="fr-CA" w:bidi="ar-SA"/>
        </w:rPr>
      </w:pPr>
    </w:p>
    <w:p w14:paraId="70D5F81C" w14:textId="6E819ABD" w:rsidR="00C5649C" w:rsidRPr="00026EC1" w:rsidRDefault="00C5649C" w:rsidP="004201F5">
      <w:pPr>
        <w:pStyle w:val="NUMRODECLAUSE"/>
        <w:keepNext w:val="0"/>
        <w:rPr>
          <w:strike/>
        </w:rPr>
      </w:pPr>
      <w:r w:rsidRPr="00026EC1">
        <w:t>6</w:t>
      </w:r>
      <w:r w:rsidR="00984A6F">
        <w:noBreakHyphen/>
      </w:r>
      <w:r w:rsidRPr="00026EC1">
        <w:t>1.02</w:t>
      </w:r>
    </w:p>
    <w:p w14:paraId="5B9C34B8" w14:textId="6F025B61" w:rsidR="00C5649C" w:rsidRPr="00026EC1" w:rsidRDefault="00C5649C" w:rsidP="00A64613">
      <w:pPr>
        <w:keepNext w:val="0"/>
        <w:tabs>
          <w:tab w:val="left" w:pos="4500"/>
        </w:tabs>
      </w:pPr>
      <w:r w:rsidRPr="00026EC1">
        <w:t>L</w:t>
      </w:r>
      <w:r w:rsidR="004A41E4" w:rsidRPr="00026EC1">
        <w:t>’</w:t>
      </w:r>
      <w:r w:rsidRPr="00026EC1">
        <w:t>enseignante ou l</w:t>
      </w:r>
      <w:r w:rsidR="004A41E4" w:rsidRPr="00026EC1">
        <w:t>’</w:t>
      </w:r>
      <w:r w:rsidRPr="00026EC1">
        <w:t>enseignant à temps partiel est rémunéré suivant sa scolarité et son expérience en fonction de son équivalent temps complet calculé selon les dispositions de la clause </w:t>
      </w:r>
      <w:r w:rsidRPr="00026EC1">
        <w:rPr>
          <w:bCs/>
        </w:rPr>
        <w:t>8</w:t>
      </w:r>
      <w:r w:rsidR="00984A6F">
        <w:rPr>
          <w:bCs/>
        </w:rPr>
        <w:noBreakHyphen/>
      </w:r>
      <w:r w:rsidRPr="00026EC1">
        <w:rPr>
          <w:bCs/>
        </w:rPr>
        <w:t>5.12</w:t>
      </w:r>
      <w:r w:rsidRPr="00026EC1">
        <w:t>.</w:t>
      </w:r>
    </w:p>
    <w:p w14:paraId="491E3EEE" w14:textId="77777777" w:rsidR="00551345" w:rsidRDefault="00551345" w:rsidP="00A64613">
      <w:pPr>
        <w:keepNext w:val="0"/>
        <w:tabs>
          <w:tab w:val="left" w:pos="4500"/>
        </w:tabs>
      </w:pPr>
    </w:p>
    <w:p w14:paraId="069C0798" w14:textId="15C88836" w:rsidR="00C5649C" w:rsidRPr="00026EC1" w:rsidRDefault="00C5649C" w:rsidP="00A64613">
      <w:pPr>
        <w:keepNext w:val="0"/>
        <w:tabs>
          <w:tab w:val="left" w:pos="4500"/>
        </w:tabs>
      </w:pPr>
      <w:r w:rsidRPr="00026EC1">
        <w:t>L</w:t>
      </w:r>
      <w:r w:rsidR="004A41E4" w:rsidRPr="00026EC1">
        <w:t>’</w:t>
      </w:r>
      <w:r w:rsidRPr="00026EC1">
        <w:t>enseignante ou l</w:t>
      </w:r>
      <w:r w:rsidR="004A41E4" w:rsidRPr="00026EC1">
        <w:t>’</w:t>
      </w:r>
      <w:r w:rsidRPr="00026EC1">
        <w:t>enseignant à temps partiel engagé pour une charge d</w:t>
      </w:r>
      <w:r w:rsidR="004A41E4" w:rsidRPr="00026EC1">
        <w:t>’</w:t>
      </w:r>
      <w:r w:rsidRPr="00026EC1">
        <w:t>une durée de moins d</w:t>
      </w:r>
      <w:r w:rsidR="004A41E4" w:rsidRPr="00026EC1">
        <w:t>’</w:t>
      </w:r>
      <w:r w:rsidRPr="00026EC1">
        <w:t>une (1) session est rémunéré suivant sa scolarité et son expérience en fonction de son équivalent temps complet établi conformément à la clause </w:t>
      </w:r>
      <w:r w:rsidRPr="00026EC1">
        <w:rPr>
          <w:bCs/>
        </w:rPr>
        <w:t>8</w:t>
      </w:r>
      <w:r w:rsidR="00984A6F">
        <w:rPr>
          <w:bCs/>
        </w:rPr>
        <w:noBreakHyphen/>
      </w:r>
      <w:r w:rsidRPr="00026EC1">
        <w:rPr>
          <w:bCs/>
        </w:rPr>
        <w:t>5.12</w:t>
      </w:r>
      <w:r w:rsidRPr="00026EC1">
        <w:t>. Toutefois, dans ce cas, la CI</w:t>
      </w:r>
      <w:r w:rsidRPr="00026EC1">
        <w:rPr>
          <w:vertAlign w:val="subscript"/>
        </w:rPr>
        <w:t>t</w:t>
      </w:r>
      <w:r w:rsidRPr="00026EC1">
        <w:t xml:space="preserve"> est déterminée de la façon suivante</w:t>
      </w:r>
      <w:r w:rsidR="00D8581B">
        <w:t> :</w:t>
      </w:r>
    </w:p>
    <w:p w14:paraId="2ADBF8A9" w14:textId="76A0D465" w:rsidR="00C5649C" w:rsidRPr="00026EC1" w:rsidRDefault="00C5649C" w:rsidP="00A64613">
      <w:pPr>
        <w:keepNext w:val="0"/>
        <w:tabs>
          <w:tab w:val="left" w:pos="4500"/>
        </w:tabs>
        <w:rPr>
          <w:szCs w:val="24"/>
        </w:rPr>
      </w:pPr>
    </w:p>
    <w:tbl>
      <w:tblPr>
        <w:tblW w:w="0" w:type="auto"/>
        <w:tblInd w:w="1690" w:type="dxa"/>
        <w:tblCellMar>
          <w:left w:w="70" w:type="dxa"/>
          <w:right w:w="70" w:type="dxa"/>
        </w:tblCellMar>
        <w:tblLook w:val="0000" w:firstRow="0" w:lastRow="0" w:firstColumn="0" w:lastColumn="0" w:noHBand="0" w:noVBand="0"/>
      </w:tblPr>
      <w:tblGrid>
        <w:gridCol w:w="1440"/>
        <w:gridCol w:w="1260"/>
        <w:gridCol w:w="3780"/>
      </w:tblGrid>
      <w:tr w:rsidR="00C5649C" w:rsidRPr="00026EC1" w14:paraId="622D30D0" w14:textId="77777777" w:rsidTr="00C5649C">
        <w:tc>
          <w:tcPr>
            <w:tcW w:w="1440" w:type="dxa"/>
          </w:tcPr>
          <w:p w14:paraId="53DF25D6" w14:textId="77777777" w:rsidR="00C5649C" w:rsidRPr="00026EC1" w:rsidRDefault="00C5649C" w:rsidP="00A64613">
            <w:pPr>
              <w:keepNext w:val="0"/>
              <w:tabs>
                <w:tab w:val="left" w:pos="540"/>
                <w:tab w:val="left" w:pos="4500"/>
              </w:tabs>
            </w:pPr>
            <w:r w:rsidRPr="00026EC1">
              <w:t>CI</w:t>
            </w:r>
            <w:r w:rsidRPr="00026EC1">
              <w:rPr>
                <w:vertAlign w:val="subscript"/>
              </w:rPr>
              <w:t>t</w:t>
            </w:r>
            <w:r w:rsidRPr="00026EC1">
              <w:rPr>
                <w:vertAlign w:val="subscript"/>
              </w:rPr>
              <w:tab/>
            </w:r>
            <w:r w:rsidRPr="00026EC1">
              <w:t>=</w:t>
            </w:r>
          </w:p>
        </w:tc>
        <w:tc>
          <w:tcPr>
            <w:tcW w:w="1260" w:type="dxa"/>
            <w:tcBorders>
              <w:bottom w:val="single" w:sz="4" w:space="0" w:color="auto"/>
            </w:tcBorders>
          </w:tcPr>
          <w:p w14:paraId="32BB76A8" w14:textId="77777777" w:rsidR="00C5649C" w:rsidRPr="00026EC1" w:rsidRDefault="00C5649C" w:rsidP="00A64613">
            <w:pPr>
              <w:pStyle w:val="CommentText"/>
              <w:keepNext w:val="0"/>
              <w:tabs>
                <w:tab w:val="clear" w:pos="3969"/>
                <w:tab w:val="left" w:pos="552"/>
                <w:tab w:val="left" w:pos="1190"/>
                <w:tab w:val="left" w:pos="4500"/>
              </w:tabs>
            </w:pPr>
            <w:r w:rsidRPr="00026EC1">
              <w:rPr>
                <w:rFonts w:ascii="Symbol" w:eastAsia="Symbol" w:hAnsi="Symbol" w:cs="Symbol"/>
              </w:rPr>
              <w:t></w:t>
            </w:r>
            <w:r w:rsidRPr="00026EC1">
              <w:tab/>
              <w:t>CI</w:t>
            </w:r>
          </w:p>
        </w:tc>
        <w:tc>
          <w:tcPr>
            <w:tcW w:w="3780" w:type="dxa"/>
            <w:tcBorders>
              <w:bottom w:val="single" w:sz="4" w:space="0" w:color="auto"/>
            </w:tcBorders>
          </w:tcPr>
          <w:p w14:paraId="5CC3E4CB" w14:textId="77777777" w:rsidR="00C5649C" w:rsidRPr="00026EC1" w:rsidRDefault="00C5649C" w:rsidP="00A64613">
            <w:pPr>
              <w:pStyle w:val="CommentText"/>
              <w:keepNext w:val="0"/>
              <w:tabs>
                <w:tab w:val="clear" w:pos="3969"/>
                <w:tab w:val="left" w:pos="4500"/>
              </w:tabs>
            </w:pPr>
            <w:r w:rsidRPr="00026EC1">
              <w:t>réellement effectuée à chacune des semaines de travail</w:t>
            </w:r>
          </w:p>
        </w:tc>
      </w:tr>
      <w:tr w:rsidR="00C5649C" w:rsidRPr="00026EC1" w14:paraId="1A170A77" w14:textId="77777777" w:rsidTr="00C5649C">
        <w:trPr>
          <w:cantSplit/>
        </w:trPr>
        <w:tc>
          <w:tcPr>
            <w:tcW w:w="1440" w:type="dxa"/>
          </w:tcPr>
          <w:p w14:paraId="7AB67912" w14:textId="77777777" w:rsidR="00C5649C" w:rsidRPr="00026EC1" w:rsidRDefault="00C5649C" w:rsidP="00A64613">
            <w:pPr>
              <w:keepNext w:val="0"/>
              <w:tabs>
                <w:tab w:val="left" w:pos="4500"/>
              </w:tabs>
            </w:pPr>
          </w:p>
        </w:tc>
        <w:tc>
          <w:tcPr>
            <w:tcW w:w="5040" w:type="dxa"/>
            <w:gridSpan w:val="2"/>
            <w:tcBorders>
              <w:top w:val="single" w:sz="4" w:space="0" w:color="auto"/>
            </w:tcBorders>
          </w:tcPr>
          <w:p w14:paraId="454F9BC1" w14:textId="77777777" w:rsidR="00C5649C" w:rsidRPr="00026EC1" w:rsidRDefault="00C5649C" w:rsidP="00A64613">
            <w:pPr>
              <w:pStyle w:val="Header"/>
              <w:keepNext w:val="0"/>
              <w:tabs>
                <w:tab w:val="left" w:pos="4500"/>
              </w:tabs>
              <w:spacing w:after="0"/>
            </w:pPr>
            <w:r w:rsidRPr="00026EC1">
              <w:t>15</w:t>
            </w:r>
          </w:p>
        </w:tc>
      </w:tr>
    </w:tbl>
    <w:p w14:paraId="00F9386C" w14:textId="77777777" w:rsidR="005C01E7" w:rsidRPr="00026EC1" w:rsidRDefault="005C01E7" w:rsidP="00A64613">
      <w:pPr>
        <w:keepNext w:val="0"/>
        <w:tabs>
          <w:tab w:val="left" w:pos="4500"/>
        </w:tabs>
      </w:pPr>
    </w:p>
    <w:p w14:paraId="73F63BC2" w14:textId="51B1B71B" w:rsidR="00C5649C" w:rsidRPr="00026EC1" w:rsidRDefault="00C5649C" w:rsidP="00A64613">
      <w:pPr>
        <w:keepNext w:val="0"/>
        <w:tabs>
          <w:tab w:val="left" w:pos="4500"/>
        </w:tabs>
      </w:pPr>
      <w:r w:rsidRPr="00026EC1">
        <w:t>L</w:t>
      </w:r>
      <w:r w:rsidR="004A41E4" w:rsidRPr="00026EC1">
        <w:t>’</w:t>
      </w:r>
      <w:r w:rsidRPr="00026EC1">
        <w:t>enseignante ou l</w:t>
      </w:r>
      <w:r w:rsidR="004A41E4" w:rsidRPr="00026EC1">
        <w:t>’</w:t>
      </w:r>
      <w:r w:rsidRPr="00026EC1">
        <w:t>enseignant à temps partiel engagé pour une pleine charge session reçoit un demi</w:t>
      </w:r>
      <w:r w:rsidR="00984A6F">
        <w:noBreakHyphen/>
      </w:r>
      <w:r w:rsidRPr="00026EC1">
        <w:rPr>
          <w:bCs/>
        </w:rPr>
        <w:t xml:space="preserve">traitement </w:t>
      </w:r>
      <w:r w:rsidRPr="00026EC1">
        <w:t>annuel.</w:t>
      </w:r>
    </w:p>
    <w:p w14:paraId="485F67FB" w14:textId="77777777" w:rsidR="00C5649C" w:rsidRPr="00026EC1" w:rsidRDefault="00C5649C" w:rsidP="00A64613">
      <w:pPr>
        <w:keepNext w:val="0"/>
        <w:tabs>
          <w:tab w:val="left" w:pos="4500"/>
        </w:tabs>
      </w:pPr>
    </w:p>
    <w:p w14:paraId="0F24D9C9" w14:textId="2D4528F3" w:rsidR="00A72E2B" w:rsidRDefault="00C5649C" w:rsidP="00A64613">
      <w:pPr>
        <w:keepNext w:val="0"/>
        <w:tabs>
          <w:tab w:val="left" w:pos="4500"/>
        </w:tabs>
      </w:pPr>
      <w:r w:rsidRPr="00026EC1">
        <w:t>La charge individuelle de travail d</w:t>
      </w:r>
      <w:r w:rsidR="004A41E4" w:rsidRPr="00026EC1">
        <w:t>’</w:t>
      </w:r>
      <w:r w:rsidRPr="00026EC1">
        <w:t>une enseignante ou d</w:t>
      </w:r>
      <w:r w:rsidR="004A41E4" w:rsidRPr="00026EC1">
        <w:t>’</w:t>
      </w:r>
      <w:r w:rsidRPr="00026EC1">
        <w:t>un enseignant à temps partiel calculée selon l</w:t>
      </w:r>
      <w:r w:rsidR="004A41E4" w:rsidRPr="00026EC1">
        <w:t>’</w:t>
      </w:r>
      <w:r w:rsidRPr="00026EC1">
        <w:t>Annexe I</w:t>
      </w:r>
      <w:r w:rsidR="00984A6F">
        <w:noBreakHyphen/>
      </w:r>
      <w:r w:rsidRPr="00026EC1">
        <w:t>1 ne peut entraîner un ETC inférieur à celui résultant de la charge qui lui est confiée au début de la session, à moins que la baisse des inscriptions aux cours impliqués ne conduise à une diminution du nombre d</w:t>
      </w:r>
      <w:r w:rsidR="004A41E4" w:rsidRPr="00026EC1">
        <w:t>’</w:t>
      </w:r>
      <w:r w:rsidRPr="00026EC1">
        <w:t>heures de prestation</w:t>
      </w:r>
      <w:r w:rsidR="005E2801">
        <w:t> </w:t>
      </w:r>
      <w:r w:rsidRPr="00026EC1">
        <w:t>(HC).</w:t>
      </w:r>
    </w:p>
    <w:p w14:paraId="5140AF91" w14:textId="77777777" w:rsidR="00A72E2B" w:rsidRDefault="00A72E2B">
      <w:pPr>
        <w:keepNext w:val="0"/>
        <w:suppressAutoHyphens w:val="0"/>
        <w:jc w:val="left"/>
      </w:pPr>
      <w:r>
        <w:br w:type="page"/>
      </w:r>
    </w:p>
    <w:p w14:paraId="52E0F19C" w14:textId="1B67F431" w:rsidR="00C5649C" w:rsidRPr="00EC0432" w:rsidRDefault="00EC0432" w:rsidP="00A64613">
      <w:pPr>
        <w:pStyle w:val="NUMRODECLAUSE"/>
        <w:keepNext w:val="0"/>
      </w:pPr>
      <w:r w:rsidRPr="00EC0432">
        <w:t>6</w:t>
      </w:r>
      <w:r w:rsidR="00984A6F">
        <w:noBreakHyphen/>
      </w:r>
      <w:r w:rsidRPr="00EC0432">
        <w:t>1.03</w:t>
      </w:r>
    </w:p>
    <w:p w14:paraId="7D9BAD67" w14:textId="1D3B6AAA" w:rsidR="00276664" w:rsidRPr="008E1EB8" w:rsidRDefault="00C5649C" w:rsidP="00276664">
      <w:pPr>
        <w:keepNext w:val="0"/>
        <w:tabs>
          <w:tab w:val="left" w:pos="4500"/>
        </w:tabs>
      </w:pPr>
      <w:r w:rsidRPr="00026EC1">
        <w:t>L</w:t>
      </w:r>
      <w:r w:rsidR="004A41E4" w:rsidRPr="00026EC1">
        <w:t>’</w:t>
      </w:r>
      <w:r w:rsidRPr="00026EC1">
        <w:t>enseignante ou l</w:t>
      </w:r>
      <w:r w:rsidR="004A41E4" w:rsidRPr="00026EC1">
        <w:t>’</w:t>
      </w:r>
      <w:r w:rsidRPr="00026EC1">
        <w:t>enseignant qui donne un enseignement rémunéré au taux horaire (enseignante ou enseignant chargé de cours, cours supplémentaire, charge additionnelle) ou qui fait de la suppléance de courte durée reçoit, pour chaque heure de cours, le taux horaire déterminé conformément à l</w:t>
      </w:r>
      <w:r w:rsidR="004A41E4" w:rsidRPr="00026EC1">
        <w:t>’</w:t>
      </w:r>
      <w:r w:rsidRPr="00026EC1">
        <w:t>article 6</w:t>
      </w:r>
      <w:r w:rsidR="00984A6F">
        <w:noBreakHyphen/>
      </w:r>
      <w:r w:rsidRPr="00026EC1">
        <w:t>5.00 et à l</w:t>
      </w:r>
      <w:r w:rsidR="004A41E4" w:rsidRPr="00026EC1">
        <w:t>’</w:t>
      </w:r>
      <w:r w:rsidRPr="00026EC1">
        <w:t>Annexe VI</w:t>
      </w:r>
      <w:r w:rsidR="00984A6F">
        <w:noBreakHyphen/>
      </w:r>
      <w:r w:rsidRPr="00026EC1">
        <w:rPr>
          <w:bCs/>
        </w:rPr>
        <w:t>1</w:t>
      </w:r>
      <w:r w:rsidRPr="00026EC1">
        <w:t>.</w:t>
      </w:r>
      <w:r w:rsidR="00276664">
        <w:t xml:space="preserve"> </w:t>
      </w:r>
      <w:r w:rsidR="00276664" w:rsidRPr="00316277">
        <w:rPr>
          <w:rStyle w:val="ElevSoulign"/>
          <w:b w:val="0"/>
          <w:bCs w:val="0"/>
          <w:u w:val="none"/>
        </w:rPr>
        <w:t xml:space="preserve">De plus, chaque heure d’enseignement comodal vaut une virgule vingt (1,20) </w:t>
      </w:r>
      <w:r w:rsidR="00F92CF9" w:rsidRPr="00316277">
        <w:rPr>
          <w:rStyle w:val="ElevSoulign"/>
          <w:b w:val="0"/>
          <w:bCs w:val="0"/>
          <w:u w:val="none"/>
        </w:rPr>
        <w:t xml:space="preserve">heure </w:t>
      </w:r>
      <w:r w:rsidR="00276664" w:rsidRPr="00316277">
        <w:rPr>
          <w:rStyle w:val="ElevSoulign"/>
          <w:b w:val="0"/>
          <w:bCs w:val="0"/>
          <w:u w:val="none"/>
        </w:rPr>
        <w:t>de cours.</w:t>
      </w:r>
    </w:p>
    <w:p w14:paraId="78C7031E" w14:textId="77777777" w:rsidR="00276664" w:rsidRPr="00026EC1" w:rsidRDefault="00276664" w:rsidP="00A64613">
      <w:pPr>
        <w:keepNext w:val="0"/>
        <w:tabs>
          <w:tab w:val="left" w:pos="4500"/>
        </w:tabs>
      </w:pPr>
    </w:p>
    <w:p w14:paraId="607FBA13" w14:textId="07767D6F" w:rsidR="00347849" w:rsidRPr="00FC1E7E" w:rsidRDefault="00FC1E7E" w:rsidP="00A64613">
      <w:pPr>
        <w:keepNext w:val="0"/>
      </w:pPr>
      <w:r w:rsidRPr="00316277">
        <w:t>C</w:t>
      </w:r>
      <w:r w:rsidR="00347849" w:rsidRPr="00FC1E7E">
        <w:t>e</w:t>
      </w:r>
      <w:r w:rsidR="009B2D89" w:rsidRPr="00FC1E7E">
        <w:t>tte</w:t>
      </w:r>
      <w:r w:rsidR="00347849" w:rsidRPr="00FC1E7E">
        <w:t xml:space="preserve"> enseignante ou </w:t>
      </w:r>
      <w:r w:rsidR="00D60BAF" w:rsidRPr="00FC1E7E">
        <w:t xml:space="preserve">cet </w:t>
      </w:r>
      <w:r w:rsidR="00347849" w:rsidRPr="00FC1E7E">
        <w:t xml:space="preserve">enseignant </w:t>
      </w:r>
      <w:r w:rsidR="0009666A" w:rsidRPr="00FC1E7E">
        <w:t>est</w:t>
      </w:r>
      <w:r w:rsidR="00347849" w:rsidRPr="00FC1E7E">
        <w:t xml:space="preserve"> rémunéré selon le tableau</w:t>
      </w:r>
      <w:r w:rsidR="00174454">
        <w:t> </w:t>
      </w:r>
      <w:r w:rsidR="00347849" w:rsidRPr="00FC1E7E">
        <w:t>B de l’Annexe</w:t>
      </w:r>
      <w:r w:rsidR="00D0580F" w:rsidRPr="00FC1E7E">
        <w:t> </w:t>
      </w:r>
      <w:r w:rsidR="00347849" w:rsidRPr="00FC1E7E">
        <w:t>VI</w:t>
      </w:r>
      <w:r w:rsidR="00984A6F" w:rsidRPr="00FC1E7E">
        <w:noBreakHyphen/>
      </w:r>
      <w:r w:rsidR="00347849" w:rsidRPr="00FC1E7E">
        <w:t xml:space="preserve">1 en fonction de </w:t>
      </w:r>
      <w:r w:rsidR="0055322A" w:rsidRPr="00FC1E7E">
        <w:t>sa</w:t>
      </w:r>
      <w:r w:rsidR="00347849" w:rsidRPr="00FC1E7E">
        <w:t xml:space="preserve"> scolarité et de </w:t>
      </w:r>
      <w:r w:rsidR="0055322A" w:rsidRPr="00FC1E7E">
        <w:t>son</w:t>
      </w:r>
      <w:r w:rsidR="00347849" w:rsidRPr="00FC1E7E">
        <w:t xml:space="preserve"> expérience telle que calculée selon l’article</w:t>
      </w:r>
      <w:r w:rsidR="005E2801" w:rsidRPr="00FC1E7E">
        <w:t> </w:t>
      </w:r>
      <w:r w:rsidR="00347849" w:rsidRPr="00FC1E7E">
        <w:t>6</w:t>
      </w:r>
      <w:r w:rsidR="00984A6F" w:rsidRPr="00FC1E7E">
        <w:noBreakHyphen/>
      </w:r>
      <w:r w:rsidR="00347849" w:rsidRPr="00FC1E7E">
        <w:t>2.00. De plus, un (1) échelon correspond à une (1) année d’expérience.</w:t>
      </w:r>
    </w:p>
    <w:p w14:paraId="11A5D5F1" w14:textId="77777777" w:rsidR="004201F5" w:rsidRDefault="004201F5" w:rsidP="00A64613">
      <w:pPr>
        <w:keepNext w:val="0"/>
        <w:tabs>
          <w:tab w:val="left" w:pos="4500"/>
        </w:tabs>
      </w:pPr>
    </w:p>
    <w:p w14:paraId="02A0DCDB" w14:textId="132BC80A" w:rsidR="00C5649C" w:rsidRDefault="00C5649C" w:rsidP="00A64613">
      <w:pPr>
        <w:keepNext w:val="0"/>
        <w:tabs>
          <w:tab w:val="left" w:pos="4500"/>
        </w:tabs>
      </w:pPr>
      <w:r w:rsidRPr="00026EC1">
        <w:t>L</w:t>
      </w:r>
      <w:r w:rsidR="004A41E4" w:rsidRPr="00026EC1">
        <w:t>’</w:t>
      </w:r>
      <w:r w:rsidRPr="00026EC1">
        <w:t>enseignante ou l</w:t>
      </w:r>
      <w:r w:rsidR="004A41E4" w:rsidRPr="00026EC1">
        <w:t>’</w:t>
      </w:r>
      <w:r w:rsidRPr="00026EC1">
        <w:t>enseignant rémunéré au taux horaire pour la supervision d</w:t>
      </w:r>
      <w:r w:rsidR="004A41E4" w:rsidRPr="00026EC1">
        <w:t>’</w:t>
      </w:r>
      <w:r w:rsidRPr="00026EC1">
        <w:t>un stage pour lequel il n</w:t>
      </w:r>
      <w:r w:rsidR="004A41E4" w:rsidRPr="00026EC1">
        <w:t>’</w:t>
      </w:r>
      <w:r w:rsidRPr="00026EC1">
        <w:t>existe pas de Ne</w:t>
      </w:r>
      <w:r w:rsidRPr="00026EC1">
        <w:rPr>
          <w:vertAlign w:val="subscript"/>
        </w:rPr>
        <w:t>jk</w:t>
      </w:r>
      <w:r w:rsidRPr="00026EC1">
        <w:t>, lorsque l</w:t>
      </w:r>
      <w:r w:rsidR="004A41E4" w:rsidRPr="00026EC1">
        <w:t>’</w:t>
      </w:r>
      <w:r w:rsidRPr="00026EC1">
        <w:t>Annexe I</w:t>
      </w:r>
      <w:r w:rsidR="00984A6F">
        <w:noBreakHyphen/>
      </w:r>
      <w:r w:rsidRPr="00026EC1">
        <w:t>1 ne s</w:t>
      </w:r>
      <w:r w:rsidR="004A41E4" w:rsidRPr="00026EC1">
        <w:t>’</w:t>
      </w:r>
      <w:r w:rsidRPr="00026EC1">
        <w:t>applique pas, est rémunéré pour les heures requises par le plan de supervision.</w:t>
      </w:r>
    </w:p>
    <w:p w14:paraId="704569D7" w14:textId="77777777" w:rsidR="00C5649C" w:rsidRPr="00026EC1" w:rsidRDefault="00C5649C" w:rsidP="00A64613">
      <w:pPr>
        <w:keepNext w:val="0"/>
      </w:pPr>
    </w:p>
    <w:p w14:paraId="5B898788" w14:textId="4CD6FE79" w:rsidR="00B127E5" w:rsidRPr="007E51E2" w:rsidRDefault="00897D39" w:rsidP="00A64613">
      <w:pPr>
        <w:pStyle w:val="ListParagraph"/>
        <w:suppressAutoHyphens/>
        <w:ind w:left="0"/>
        <w:rPr>
          <w:rFonts w:cs="Arial"/>
          <w:b/>
        </w:rPr>
      </w:pPr>
      <w:r w:rsidRPr="007E51E2">
        <w:rPr>
          <w:rFonts w:cs="Arial"/>
          <w:b/>
        </w:rPr>
        <w:t>6</w:t>
      </w:r>
      <w:r w:rsidR="00984A6F">
        <w:rPr>
          <w:rFonts w:cs="Arial"/>
          <w:b/>
        </w:rPr>
        <w:noBreakHyphen/>
      </w:r>
      <w:r w:rsidRPr="007E51E2">
        <w:rPr>
          <w:rFonts w:cs="Arial"/>
          <w:b/>
        </w:rPr>
        <w:t>1.04</w:t>
      </w:r>
    </w:p>
    <w:p w14:paraId="560317C5" w14:textId="6C5069B3" w:rsidR="00897D39" w:rsidRPr="007E51E2" w:rsidRDefault="00897D39" w:rsidP="00A64613">
      <w:pPr>
        <w:pStyle w:val="ListParagraph"/>
        <w:suppressAutoHyphens/>
        <w:ind w:left="0"/>
        <w:rPr>
          <w:rFonts w:eastAsia="Times New Roman" w:cs="Arial"/>
          <w:snapToGrid w:val="0"/>
          <w:szCs w:val="20"/>
          <w:lang w:eastAsia="fr-FR"/>
        </w:rPr>
      </w:pPr>
      <w:r w:rsidRPr="007E51E2">
        <w:rPr>
          <w:rFonts w:eastAsia="Times New Roman" w:cs="Arial"/>
          <w:snapToGrid w:val="0"/>
          <w:szCs w:val="20"/>
          <w:lang w:eastAsia="fr-FR"/>
        </w:rPr>
        <w:t xml:space="preserve">L’enseignante ou </w:t>
      </w:r>
      <w:r w:rsidR="00324964" w:rsidRPr="007E51E2">
        <w:rPr>
          <w:rFonts w:eastAsia="Times New Roman" w:cs="Arial"/>
          <w:snapToGrid w:val="0"/>
          <w:szCs w:val="20"/>
          <w:lang w:eastAsia="fr-FR"/>
        </w:rPr>
        <w:t>l’</w:t>
      </w:r>
      <w:r w:rsidRPr="007E51E2">
        <w:rPr>
          <w:rFonts w:eastAsia="Times New Roman" w:cs="Arial"/>
          <w:snapToGrid w:val="0"/>
          <w:szCs w:val="20"/>
          <w:lang w:eastAsia="fr-FR"/>
        </w:rPr>
        <w:t xml:space="preserve">enseignant </w:t>
      </w:r>
      <w:r w:rsidR="00B6483A" w:rsidRPr="007E51E2">
        <w:rPr>
          <w:rFonts w:eastAsia="Times New Roman" w:cs="Arial"/>
          <w:snapToGrid w:val="0"/>
          <w:szCs w:val="20"/>
          <w:lang w:eastAsia="fr-FR"/>
        </w:rPr>
        <w:t xml:space="preserve">peut </w:t>
      </w:r>
      <w:r w:rsidRPr="007E51E2">
        <w:rPr>
          <w:rFonts w:eastAsia="Times New Roman" w:cs="Arial"/>
          <w:snapToGrid w:val="0"/>
          <w:szCs w:val="20"/>
          <w:lang w:eastAsia="fr-FR"/>
        </w:rPr>
        <w:t>réalise</w:t>
      </w:r>
      <w:r w:rsidR="00B6483A" w:rsidRPr="007E51E2">
        <w:rPr>
          <w:rFonts w:eastAsia="Times New Roman" w:cs="Arial"/>
          <w:snapToGrid w:val="0"/>
          <w:szCs w:val="20"/>
          <w:lang w:eastAsia="fr-FR"/>
        </w:rPr>
        <w:t>r</w:t>
      </w:r>
      <w:r w:rsidRPr="007E51E2">
        <w:rPr>
          <w:rFonts w:eastAsia="Times New Roman" w:cs="Arial"/>
          <w:snapToGrid w:val="0"/>
          <w:szCs w:val="20"/>
          <w:lang w:eastAsia="fr-FR"/>
        </w:rPr>
        <w:t>, à la demande du Collège et dans la mesure où elle ou il y consent, des activités autres que celles prévues dans sa tâche d’enseignement</w:t>
      </w:r>
      <w:r w:rsidR="009F1E77" w:rsidRPr="007E51E2">
        <w:rPr>
          <w:rFonts w:eastAsia="Times New Roman" w:cs="Arial"/>
          <w:snapToGrid w:val="0"/>
          <w:szCs w:val="20"/>
          <w:lang w:eastAsia="fr-FR"/>
        </w:rPr>
        <w:t xml:space="preserve"> telles que</w:t>
      </w:r>
      <w:r w:rsidR="00D8581B" w:rsidRPr="007E51E2">
        <w:rPr>
          <w:rFonts w:eastAsia="Times New Roman" w:cs="Arial"/>
          <w:snapToGrid w:val="0"/>
          <w:szCs w:val="20"/>
          <w:lang w:eastAsia="fr-FR"/>
        </w:rPr>
        <w:t> :</w:t>
      </w:r>
      <w:r w:rsidRPr="007E51E2">
        <w:rPr>
          <w:rFonts w:eastAsia="Times New Roman" w:cs="Arial"/>
          <w:snapToGrid w:val="0"/>
          <w:szCs w:val="20"/>
          <w:lang w:eastAsia="fr-FR"/>
        </w:rPr>
        <w:t xml:space="preserve"> </w:t>
      </w:r>
    </w:p>
    <w:p w14:paraId="4FB3D35B" w14:textId="77777777" w:rsidR="00897D39" w:rsidRPr="007E51E2" w:rsidRDefault="00897D39" w:rsidP="00A64613">
      <w:pPr>
        <w:keepNext w:val="0"/>
        <w:ind w:left="709" w:hanging="425"/>
        <w:rPr>
          <w:rFonts w:cs="Arial"/>
          <w:szCs w:val="24"/>
        </w:rPr>
      </w:pPr>
    </w:p>
    <w:p w14:paraId="40C02E63" w14:textId="7F0AA6EB" w:rsidR="00897D39" w:rsidRPr="007E51E2" w:rsidRDefault="001E0DC6" w:rsidP="00A64613">
      <w:pPr>
        <w:keepNext w:val="0"/>
        <w:ind w:left="709" w:hanging="425"/>
        <w:rPr>
          <w:rFonts w:eastAsiaTheme="minorEastAsia" w:cs="Arial"/>
          <w:szCs w:val="24"/>
        </w:rPr>
      </w:pPr>
      <w:r w:rsidRPr="007E51E2">
        <w:rPr>
          <w:rFonts w:cs="Arial"/>
          <w:szCs w:val="24"/>
        </w:rPr>
        <w:t>–</w:t>
      </w:r>
      <w:r w:rsidR="0047366C" w:rsidRPr="007E51E2">
        <w:rPr>
          <w:rFonts w:cs="Arial"/>
          <w:szCs w:val="24"/>
        </w:rPr>
        <w:tab/>
      </w:r>
      <w:r w:rsidR="00897D39" w:rsidRPr="007E51E2">
        <w:rPr>
          <w:rFonts w:cs="Arial"/>
          <w:szCs w:val="24"/>
        </w:rPr>
        <w:t>La correction d’examens et de travaux autres que les siens;</w:t>
      </w:r>
    </w:p>
    <w:p w14:paraId="27C06E1F" w14:textId="16C44C4B" w:rsidR="00897D39" w:rsidRPr="007E51E2" w:rsidRDefault="001E0DC6" w:rsidP="00A64613">
      <w:pPr>
        <w:keepNext w:val="0"/>
        <w:ind w:left="709" w:hanging="425"/>
        <w:rPr>
          <w:rFonts w:eastAsiaTheme="minorEastAsia" w:cs="Arial"/>
          <w:szCs w:val="24"/>
        </w:rPr>
      </w:pPr>
      <w:r w:rsidRPr="007E51E2">
        <w:rPr>
          <w:rFonts w:cs="Arial"/>
          <w:szCs w:val="24"/>
        </w:rPr>
        <w:t>–</w:t>
      </w:r>
      <w:r w:rsidR="0047366C" w:rsidRPr="007E51E2">
        <w:rPr>
          <w:rFonts w:cs="Arial"/>
          <w:szCs w:val="24"/>
        </w:rPr>
        <w:tab/>
      </w:r>
      <w:r w:rsidR="00897D39" w:rsidRPr="007E51E2">
        <w:rPr>
          <w:rFonts w:cs="Arial"/>
          <w:szCs w:val="24"/>
        </w:rPr>
        <w:t>L’encadrement des étudiantes ou étudiants autres que les siens;</w:t>
      </w:r>
    </w:p>
    <w:p w14:paraId="1763DE1B" w14:textId="77777777" w:rsidR="004C296A" w:rsidRDefault="001E0DC6" w:rsidP="00A64613">
      <w:pPr>
        <w:keepNext w:val="0"/>
        <w:ind w:left="709" w:hanging="425"/>
        <w:rPr>
          <w:rFonts w:cs="Arial"/>
          <w:szCs w:val="24"/>
        </w:rPr>
      </w:pPr>
      <w:r w:rsidRPr="00276664">
        <w:rPr>
          <w:rFonts w:cs="Arial"/>
          <w:szCs w:val="24"/>
        </w:rPr>
        <w:t>–</w:t>
      </w:r>
      <w:r w:rsidR="0047366C" w:rsidRPr="00276664">
        <w:rPr>
          <w:rFonts w:cs="Arial"/>
          <w:szCs w:val="24"/>
        </w:rPr>
        <w:tab/>
      </w:r>
      <w:r w:rsidR="00897D39" w:rsidRPr="00276664">
        <w:rPr>
          <w:rFonts w:cs="Arial"/>
          <w:szCs w:val="24"/>
        </w:rPr>
        <w:t>Les activités réalisées dans le cadre de la RAC;</w:t>
      </w:r>
    </w:p>
    <w:p w14:paraId="62477B7A" w14:textId="44374521" w:rsidR="00897D39" w:rsidRPr="007E51E2" w:rsidRDefault="001E0DC6" w:rsidP="00A64613">
      <w:pPr>
        <w:keepNext w:val="0"/>
        <w:ind w:left="709" w:hanging="425"/>
        <w:rPr>
          <w:rFonts w:cs="Arial"/>
          <w:szCs w:val="24"/>
        </w:rPr>
      </w:pPr>
      <w:r w:rsidRPr="007E51E2">
        <w:rPr>
          <w:rFonts w:cs="Arial"/>
          <w:szCs w:val="24"/>
        </w:rPr>
        <w:t>–</w:t>
      </w:r>
      <w:r w:rsidR="0047366C" w:rsidRPr="007E51E2">
        <w:rPr>
          <w:rFonts w:cs="Arial"/>
          <w:szCs w:val="24"/>
        </w:rPr>
        <w:tab/>
      </w:r>
      <w:r w:rsidR="00897D39" w:rsidRPr="007E51E2">
        <w:rPr>
          <w:rFonts w:cs="Arial"/>
          <w:szCs w:val="24"/>
        </w:rPr>
        <w:t>L'évaluation réalisée dans le cadre d’équivalence de cours ou de test d’admission;</w:t>
      </w:r>
    </w:p>
    <w:p w14:paraId="6B58EF21" w14:textId="1C6A2490" w:rsidR="00897D39" w:rsidRPr="007E51E2" w:rsidRDefault="001E0DC6" w:rsidP="00A64613">
      <w:pPr>
        <w:keepNext w:val="0"/>
        <w:ind w:left="709" w:hanging="425"/>
        <w:rPr>
          <w:rFonts w:cs="Arial"/>
          <w:szCs w:val="24"/>
        </w:rPr>
      </w:pPr>
      <w:r w:rsidRPr="007E51E2">
        <w:rPr>
          <w:rFonts w:cs="Arial"/>
          <w:szCs w:val="24"/>
        </w:rPr>
        <w:t>–</w:t>
      </w:r>
      <w:r w:rsidR="0047366C" w:rsidRPr="007E51E2">
        <w:rPr>
          <w:rFonts w:cs="Arial"/>
          <w:szCs w:val="24"/>
        </w:rPr>
        <w:tab/>
      </w:r>
      <w:r w:rsidR="00897D39" w:rsidRPr="007E51E2">
        <w:rPr>
          <w:rFonts w:cs="Arial"/>
          <w:szCs w:val="24"/>
        </w:rPr>
        <w:t>La participation à un comité de sélection prévu à l’article</w:t>
      </w:r>
      <w:r w:rsidR="005E2801">
        <w:rPr>
          <w:rFonts w:cs="Arial"/>
          <w:szCs w:val="24"/>
        </w:rPr>
        <w:t> </w:t>
      </w:r>
      <w:r w:rsidR="00897D39" w:rsidRPr="007E51E2">
        <w:rPr>
          <w:rFonts w:cs="Arial"/>
          <w:szCs w:val="24"/>
        </w:rPr>
        <w:t>8</w:t>
      </w:r>
      <w:r w:rsidR="00984A6F">
        <w:rPr>
          <w:rFonts w:cs="Arial"/>
          <w:szCs w:val="24"/>
        </w:rPr>
        <w:noBreakHyphen/>
      </w:r>
      <w:r w:rsidR="00897D39" w:rsidRPr="007E51E2">
        <w:rPr>
          <w:rFonts w:cs="Arial"/>
          <w:szCs w:val="24"/>
        </w:rPr>
        <w:t>7.00 ou à un comité de sélection prévu à l’article</w:t>
      </w:r>
      <w:r w:rsidR="001126F1">
        <w:rPr>
          <w:rFonts w:cs="Arial"/>
          <w:szCs w:val="24"/>
        </w:rPr>
        <w:t> </w:t>
      </w:r>
      <w:r w:rsidR="00897D39" w:rsidRPr="007E51E2">
        <w:rPr>
          <w:rFonts w:cs="Arial"/>
          <w:szCs w:val="24"/>
        </w:rPr>
        <w:t>4</w:t>
      </w:r>
      <w:r w:rsidR="00984A6F">
        <w:rPr>
          <w:rFonts w:cs="Arial"/>
          <w:szCs w:val="24"/>
        </w:rPr>
        <w:noBreakHyphen/>
      </w:r>
      <w:r w:rsidR="00897D39" w:rsidRPr="007E51E2">
        <w:rPr>
          <w:rFonts w:cs="Arial"/>
          <w:szCs w:val="24"/>
        </w:rPr>
        <w:t>4.00 pendant une période de non</w:t>
      </w:r>
      <w:r w:rsidR="00984A6F">
        <w:rPr>
          <w:rFonts w:cs="Arial"/>
          <w:szCs w:val="24"/>
        </w:rPr>
        <w:noBreakHyphen/>
      </w:r>
      <w:r w:rsidR="00897D39" w:rsidRPr="007E51E2">
        <w:rPr>
          <w:rFonts w:cs="Arial"/>
          <w:szCs w:val="24"/>
        </w:rPr>
        <w:t>disponibilité;</w:t>
      </w:r>
    </w:p>
    <w:p w14:paraId="4DDAAFD6" w14:textId="46DBDDBE" w:rsidR="00897D39" w:rsidRPr="007E51E2" w:rsidRDefault="001E0DC6" w:rsidP="00A64613">
      <w:pPr>
        <w:keepNext w:val="0"/>
        <w:ind w:left="709" w:hanging="425"/>
        <w:rPr>
          <w:rFonts w:cs="Arial"/>
          <w:szCs w:val="24"/>
        </w:rPr>
      </w:pPr>
      <w:r w:rsidRPr="007E51E2">
        <w:rPr>
          <w:rFonts w:cs="Arial"/>
          <w:szCs w:val="24"/>
        </w:rPr>
        <w:t>–</w:t>
      </w:r>
      <w:r w:rsidR="0047366C" w:rsidRPr="007E51E2">
        <w:rPr>
          <w:rFonts w:cs="Arial"/>
          <w:szCs w:val="24"/>
        </w:rPr>
        <w:tab/>
      </w:r>
      <w:r w:rsidR="00897D39" w:rsidRPr="007E51E2">
        <w:rPr>
          <w:rFonts w:cs="Arial"/>
          <w:szCs w:val="24"/>
        </w:rPr>
        <w:t>La participation à un comité de programme d’études de la formation continue ou de ce qui en tient lieu et toute tâche afférente.</w:t>
      </w:r>
    </w:p>
    <w:p w14:paraId="77013A16" w14:textId="77777777" w:rsidR="001E0DC6" w:rsidRPr="007E51E2" w:rsidRDefault="001E0DC6" w:rsidP="00A64613">
      <w:pPr>
        <w:keepNext w:val="0"/>
        <w:ind w:left="709" w:hanging="425"/>
        <w:rPr>
          <w:rFonts w:cs="Arial"/>
          <w:szCs w:val="24"/>
        </w:rPr>
      </w:pPr>
    </w:p>
    <w:p w14:paraId="497BE78D" w14:textId="6AB6B9A4" w:rsidR="00897D39" w:rsidRPr="007E51E2" w:rsidRDefault="004201F5" w:rsidP="00A64613">
      <w:pPr>
        <w:keepNext w:val="0"/>
        <w:spacing w:line="259" w:lineRule="auto"/>
        <w:rPr>
          <w:rFonts w:cs="Arial"/>
        </w:rPr>
      </w:pPr>
      <w:r w:rsidRPr="00316277">
        <w:rPr>
          <w:rFonts w:cs="Arial"/>
        </w:rPr>
        <w:t>C</w:t>
      </w:r>
      <w:r w:rsidR="002302B0" w:rsidRPr="007E51E2">
        <w:rPr>
          <w:rFonts w:cs="Arial"/>
        </w:rPr>
        <w:t xml:space="preserve">ette </w:t>
      </w:r>
      <w:r w:rsidR="00897D39" w:rsidRPr="007E51E2">
        <w:rPr>
          <w:rFonts w:cs="Arial"/>
        </w:rPr>
        <w:t xml:space="preserve">enseignante ou </w:t>
      </w:r>
      <w:r w:rsidR="002302B0" w:rsidRPr="007E51E2">
        <w:rPr>
          <w:rFonts w:cs="Arial"/>
        </w:rPr>
        <w:t xml:space="preserve">cet </w:t>
      </w:r>
      <w:r w:rsidR="00897D39" w:rsidRPr="007E51E2">
        <w:rPr>
          <w:rFonts w:cs="Arial"/>
        </w:rPr>
        <w:t xml:space="preserve">enseignant est rémunéré au taux horaire prévu </w:t>
      </w:r>
      <w:r w:rsidR="00433715" w:rsidRPr="007E51E2">
        <w:rPr>
          <w:rFonts w:cs="Arial"/>
        </w:rPr>
        <w:t>au tableau</w:t>
      </w:r>
      <w:r w:rsidR="00C56867" w:rsidRPr="007E51E2">
        <w:rPr>
          <w:rFonts w:cs="Arial"/>
        </w:rPr>
        <w:t xml:space="preserve"> </w:t>
      </w:r>
      <w:r w:rsidR="006F05DE" w:rsidRPr="007E51E2">
        <w:rPr>
          <w:rFonts w:cs="Arial"/>
        </w:rPr>
        <w:t>C</w:t>
      </w:r>
      <w:r w:rsidR="00433715" w:rsidRPr="007E51E2">
        <w:rPr>
          <w:rFonts w:cs="Arial"/>
        </w:rPr>
        <w:t xml:space="preserve"> </w:t>
      </w:r>
      <w:r w:rsidR="009E10EC" w:rsidRPr="007E51E2">
        <w:rPr>
          <w:rFonts w:cs="Arial"/>
        </w:rPr>
        <w:t>de l’Annexe</w:t>
      </w:r>
      <w:r w:rsidR="001A41F7" w:rsidRPr="007E51E2">
        <w:rPr>
          <w:rFonts w:cs="Arial"/>
        </w:rPr>
        <w:t> </w:t>
      </w:r>
      <w:r w:rsidR="009E10EC" w:rsidRPr="007E51E2">
        <w:rPr>
          <w:rFonts w:cs="Arial"/>
        </w:rPr>
        <w:t>VI</w:t>
      </w:r>
      <w:r w:rsidR="00984A6F">
        <w:rPr>
          <w:rFonts w:cs="Arial"/>
        </w:rPr>
        <w:noBreakHyphen/>
      </w:r>
      <w:r w:rsidR="0077355C" w:rsidRPr="007E51E2">
        <w:rPr>
          <w:rFonts w:cs="Arial"/>
        </w:rPr>
        <w:t>1</w:t>
      </w:r>
      <w:r w:rsidR="00897D39" w:rsidRPr="007E51E2">
        <w:rPr>
          <w:rFonts w:cs="Arial"/>
        </w:rPr>
        <w:t>.</w:t>
      </w:r>
      <w:r w:rsidR="0044595B" w:rsidRPr="007E51E2">
        <w:rPr>
          <w:rFonts w:cs="Arial"/>
        </w:rPr>
        <w:t xml:space="preserve"> </w:t>
      </w:r>
    </w:p>
    <w:p w14:paraId="75F439CE" w14:textId="77777777" w:rsidR="001E0DC6" w:rsidRPr="00316277" w:rsidRDefault="001E0DC6" w:rsidP="00A64613">
      <w:pPr>
        <w:keepNext w:val="0"/>
        <w:spacing w:line="259" w:lineRule="auto"/>
        <w:rPr>
          <w:rFonts w:cs="Arial"/>
        </w:rPr>
      </w:pPr>
    </w:p>
    <w:p w14:paraId="31FA445C" w14:textId="13E87D1F" w:rsidR="00C5649C" w:rsidRPr="007E51E2" w:rsidRDefault="00B6159C" w:rsidP="00A64613">
      <w:pPr>
        <w:pStyle w:val="NUMRODECLAUSE"/>
        <w:keepNext w:val="0"/>
        <w:rPr>
          <w:strike/>
        </w:rPr>
      </w:pPr>
      <w:r>
        <w:t>6</w:t>
      </w:r>
      <w:r w:rsidR="00984A6F">
        <w:noBreakHyphen/>
      </w:r>
      <w:r w:rsidR="00C5649C" w:rsidRPr="0047366C">
        <w:t>1.</w:t>
      </w:r>
      <w:r w:rsidR="001E0DC6" w:rsidRPr="007E51E2">
        <w:t>05</w:t>
      </w:r>
    </w:p>
    <w:p w14:paraId="691D5383" w14:textId="0C959E9F" w:rsidR="00C5649C" w:rsidRPr="007E51E2" w:rsidRDefault="00C5649C" w:rsidP="00A64613">
      <w:pPr>
        <w:keepNext w:val="0"/>
        <w:tabs>
          <w:tab w:val="left" w:pos="4500"/>
        </w:tabs>
      </w:pPr>
      <w:r w:rsidRPr="007E51E2">
        <w:t>Sous réserve de l</w:t>
      </w:r>
      <w:r w:rsidR="004A41E4" w:rsidRPr="007E51E2">
        <w:t>’</w:t>
      </w:r>
      <w:r w:rsidRPr="007E51E2">
        <w:t>article 6</w:t>
      </w:r>
      <w:r w:rsidR="00984A6F">
        <w:noBreakHyphen/>
      </w:r>
      <w:r w:rsidRPr="007E51E2">
        <w:t xml:space="preserve">3.00, une enseignante ou un enseignant ne peut se voir attribuer un </w:t>
      </w:r>
      <w:r w:rsidRPr="007E51E2">
        <w:rPr>
          <w:bCs/>
        </w:rPr>
        <w:t xml:space="preserve">traitement </w:t>
      </w:r>
      <w:r w:rsidRPr="007E51E2">
        <w:t>basé sur une autre scolarité que celle correspondant à son attestation officielle de scolarité.</w:t>
      </w:r>
    </w:p>
    <w:p w14:paraId="2519BD7B" w14:textId="77777777" w:rsidR="00C5649C" w:rsidRPr="007E51E2" w:rsidRDefault="00C5649C" w:rsidP="00A64613">
      <w:pPr>
        <w:keepNext w:val="0"/>
      </w:pPr>
    </w:p>
    <w:p w14:paraId="6786D8F2" w14:textId="1AFA408D" w:rsidR="00C5649C" w:rsidRPr="00026EC1" w:rsidRDefault="00C5649C" w:rsidP="00A64613">
      <w:pPr>
        <w:pStyle w:val="NUMRODECLAUSE"/>
        <w:keepNext w:val="0"/>
        <w:rPr>
          <w:strike/>
        </w:rPr>
      </w:pPr>
      <w:r w:rsidRPr="007E51E2">
        <w:t>6</w:t>
      </w:r>
      <w:r w:rsidR="00984A6F">
        <w:noBreakHyphen/>
      </w:r>
      <w:r w:rsidRPr="007E51E2">
        <w:t>1.</w:t>
      </w:r>
      <w:r w:rsidR="001E0DC6" w:rsidRPr="007E51E2">
        <w:t>06</w:t>
      </w:r>
    </w:p>
    <w:p w14:paraId="3B3D9DC5" w14:textId="1F72F92F" w:rsidR="00C5649C" w:rsidRPr="00026EC1" w:rsidRDefault="00C5649C" w:rsidP="00A64613">
      <w:pPr>
        <w:keepNext w:val="0"/>
        <w:tabs>
          <w:tab w:val="left" w:pos="4500"/>
        </w:tabs>
      </w:pPr>
      <w:r w:rsidRPr="00026EC1">
        <w:t>Le reclassement des enseignantes et enseignants se fait deux (2) fois par année. S</w:t>
      </w:r>
      <w:r w:rsidR="004A41E4" w:rsidRPr="00026EC1">
        <w:t>’</w:t>
      </w:r>
      <w:r w:rsidRPr="00026EC1">
        <w:t xml:space="preserve">il y a lieu, le rajustement du </w:t>
      </w:r>
      <w:r w:rsidRPr="00026EC1">
        <w:rPr>
          <w:bCs/>
        </w:rPr>
        <w:t>traitement r</w:t>
      </w:r>
      <w:r w:rsidRPr="00026EC1">
        <w:t>ésultant du reclassement prend effet rétroactivement</w:t>
      </w:r>
      <w:r w:rsidR="00D8581B">
        <w:t> :</w:t>
      </w:r>
    </w:p>
    <w:p w14:paraId="45DA70F2" w14:textId="77777777" w:rsidR="00C5649C" w:rsidRPr="00026EC1" w:rsidRDefault="00C5649C" w:rsidP="00A64613">
      <w:pPr>
        <w:keepNext w:val="0"/>
        <w:tabs>
          <w:tab w:val="left" w:pos="4500"/>
        </w:tabs>
      </w:pPr>
    </w:p>
    <w:p w14:paraId="682BE0B5" w14:textId="3AE70B06" w:rsidR="00C5649C" w:rsidRPr="00026EC1" w:rsidRDefault="00275751" w:rsidP="00A64613">
      <w:pPr>
        <w:keepNext w:val="0"/>
        <w:tabs>
          <w:tab w:val="left" w:pos="567"/>
          <w:tab w:val="left" w:pos="4500"/>
        </w:tabs>
        <w:ind w:left="567" w:hanging="567"/>
      </w:pPr>
      <w:r w:rsidRPr="00026EC1">
        <w:t>a)</w:t>
      </w:r>
      <w:r w:rsidRPr="00026EC1">
        <w:tab/>
      </w:r>
      <w:r w:rsidR="00C5649C" w:rsidRPr="00026EC1">
        <w:t>au 1</w:t>
      </w:r>
      <w:r w:rsidR="00C5649C" w:rsidRPr="00026EC1">
        <w:rPr>
          <w:vertAlign w:val="superscript"/>
        </w:rPr>
        <w:t>er</w:t>
      </w:r>
      <w:r w:rsidR="00C5649C" w:rsidRPr="00026EC1">
        <w:t> septembre de l</w:t>
      </w:r>
      <w:r w:rsidR="004A41E4" w:rsidRPr="00026EC1">
        <w:t>’</w:t>
      </w:r>
      <w:r w:rsidR="00C5649C" w:rsidRPr="00026EC1">
        <w:t>année d</w:t>
      </w:r>
      <w:r w:rsidR="004A41E4" w:rsidRPr="00026EC1">
        <w:t>’</w:t>
      </w:r>
      <w:r w:rsidR="00C5649C" w:rsidRPr="00026EC1">
        <w:t>engagement en cours</w:t>
      </w:r>
      <w:r w:rsidR="00D8581B">
        <w:t> :</w:t>
      </w:r>
    </w:p>
    <w:p w14:paraId="76587610" w14:textId="77777777" w:rsidR="00C5649C" w:rsidRPr="00026EC1" w:rsidRDefault="00C5649C" w:rsidP="00A64613">
      <w:pPr>
        <w:keepNext w:val="0"/>
      </w:pPr>
    </w:p>
    <w:p w14:paraId="3AB63CBF" w14:textId="77777777" w:rsidR="00C5649C" w:rsidRPr="00026EC1" w:rsidRDefault="00275751" w:rsidP="00A64613">
      <w:pPr>
        <w:keepNext w:val="0"/>
        <w:tabs>
          <w:tab w:val="left" w:pos="1134"/>
          <w:tab w:val="left" w:pos="4500"/>
        </w:tabs>
        <w:ind w:left="1134" w:hanging="567"/>
      </w:pPr>
      <w:r w:rsidRPr="00026EC1">
        <w:t>1.</w:t>
      </w:r>
      <w:r w:rsidRPr="00026EC1">
        <w:tab/>
      </w:r>
      <w:r w:rsidR="00C5649C" w:rsidRPr="00026EC1">
        <w:t>si, au 31 août précédent, l</w:t>
      </w:r>
      <w:r w:rsidR="004A41E4" w:rsidRPr="00026EC1">
        <w:t>’</w:t>
      </w:r>
      <w:r w:rsidR="00C5649C" w:rsidRPr="00026EC1">
        <w:t>enseignante ou l</w:t>
      </w:r>
      <w:r w:rsidR="004A41E4" w:rsidRPr="00026EC1">
        <w:t>’</w:t>
      </w:r>
      <w:r w:rsidR="00C5649C" w:rsidRPr="00026EC1">
        <w:t xml:space="preserve">enseignant a complété les études nécessaires à une nouvelle évaluation de ses années de scolarité </w:t>
      </w:r>
    </w:p>
    <w:p w14:paraId="7C454BD1" w14:textId="77777777" w:rsidR="00C5649C" w:rsidRPr="00026EC1" w:rsidRDefault="00C5649C" w:rsidP="00A64613">
      <w:pPr>
        <w:keepNext w:val="0"/>
        <w:tabs>
          <w:tab w:val="left" w:pos="4500"/>
        </w:tabs>
      </w:pPr>
    </w:p>
    <w:p w14:paraId="097A885D" w14:textId="77777777" w:rsidR="00C5649C" w:rsidRPr="00026EC1" w:rsidRDefault="00C5649C" w:rsidP="00A64613">
      <w:pPr>
        <w:pStyle w:val="Texte2cm"/>
        <w:keepNext w:val="0"/>
        <w:tabs>
          <w:tab w:val="left" w:pos="4500"/>
        </w:tabs>
      </w:pPr>
      <w:r w:rsidRPr="00026EC1">
        <w:t>et</w:t>
      </w:r>
    </w:p>
    <w:p w14:paraId="3CCE1FF1" w14:textId="77777777" w:rsidR="00C5649C" w:rsidRPr="00026EC1" w:rsidRDefault="00C5649C" w:rsidP="00A64613">
      <w:pPr>
        <w:keepNext w:val="0"/>
        <w:tabs>
          <w:tab w:val="left" w:pos="4500"/>
        </w:tabs>
      </w:pPr>
    </w:p>
    <w:p w14:paraId="4AAC3751" w14:textId="2FB39A04" w:rsidR="00C5649C" w:rsidRPr="00026EC1" w:rsidRDefault="00275751" w:rsidP="00A64613">
      <w:pPr>
        <w:keepNext w:val="0"/>
        <w:tabs>
          <w:tab w:val="left" w:pos="1134"/>
          <w:tab w:val="left" w:pos="4500"/>
        </w:tabs>
        <w:ind w:left="1134" w:hanging="567"/>
      </w:pPr>
      <w:r w:rsidRPr="00026EC1">
        <w:t>2.</w:t>
      </w:r>
      <w:r w:rsidRPr="00026EC1">
        <w:tab/>
      </w:r>
      <w:r w:rsidR="00C5649C" w:rsidRPr="00026EC1">
        <w:t>si elle ou il a fourni, avant le 31 octobre de cette année d</w:t>
      </w:r>
      <w:r w:rsidR="004A41E4" w:rsidRPr="00026EC1">
        <w:t>’</w:t>
      </w:r>
      <w:r w:rsidR="00C5649C" w:rsidRPr="00026EC1">
        <w:t>engagement ou plus tard si le retard ne peut lui être imputé, les documents requis selon la clause 6</w:t>
      </w:r>
      <w:r w:rsidR="00984A6F">
        <w:noBreakHyphen/>
      </w:r>
      <w:r w:rsidR="00C5649C" w:rsidRPr="00026EC1">
        <w:t>3.01;</w:t>
      </w:r>
    </w:p>
    <w:p w14:paraId="4BD3054D" w14:textId="77777777" w:rsidR="00C5649C" w:rsidRPr="00026EC1" w:rsidRDefault="00C5649C" w:rsidP="00A64613">
      <w:pPr>
        <w:keepNext w:val="0"/>
        <w:tabs>
          <w:tab w:val="left" w:pos="4500"/>
        </w:tabs>
      </w:pPr>
    </w:p>
    <w:p w14:paraId="75499C49" w14:textId="7EF96CAB" w:rsidR="00C5649C" w:rsidRPr="00026EC1" w:rsidRDefault="00275751" w:rsidP="00A64613">
      <w:pPr>
        <w:keepNext w:val="0"/>
        <w:tabs>
          <w:tab w:val="left" w:pos="567"/>
          <w:tab w:val="left" w:pos="4500"/>
        </w:tabs>
        <w:ind w:left="567" w:hanging="567"/>
      </w:pPr>
      <w:r w:rsidRPr="00026EC1">
        <w:t>b)</w:t>
      </w:r>
      <w:r w:rsidRPr="00026EC1">
        <w:tab/>
      </w:r>
      <w:r w:rsidR="00C5649C" w:rsidRPr="00026EC1">
        <w:t>au début de la douzième (12</w:t>
      </w:r>
      <w:r w:rsidR="00C5649C" w:rsidRPr="00026EC1">
        <w:rPr>
          <w:vertAlign w:val="superscript"/>
        </w:rPr>
        <w:t>e</w:t>
      </w:r>
      <w:r w:rsidR="00C5649C" w:rsidRPr="00026EC1">
        <w:t>) paye de l</w:t>
      </w:r>
      <w:r w:rsidR="004A41E4" w:rsidRPr="00026EC1">
        <w:t>’</w:t>
      </w:r>
      <w:r w:rsidR="00C5649C" w:rsidRPr="00026EC1">
        <w:t>année d</w:t>
      </w:r>
      <w:r w:rsidR="004A41E4" w:rsidRPr="00026EC1">
        <w:t>’</w:t>
      </w:r>
      <w:r w:rsidR="00C5649C" w:rsidRPr="00026EC1">
        <w:t>engagement en cours</w:t>
      </w:r>
      <w:r w:rsidR="00D8581B">
        <w:t> :</w:t>
      </w:r>
    </w:p>
    <w:p w14:paraId="23FD9F92" w14:textId="77777777" w:rsidR="00C5649C" w:rsidRPr="00026EC1" w:rsidRDefault="00C5649C" w:rsidP="00A64613">
      <w:pPr>
        <w:keepNext w:val="0"/>
        <w:tabs>
          <w:tab w:val="left" w:pos="7335"/>
        </w:tabs>
      </w:pPr>
      <w:r w:rsidRPr="00026EC1">
        <w:tab/>
      </w:r>
    </w:p>
    <w:p w14:paraId="53DF720A" w14:textId="77777777" w:rsidR="00C5649C" w:rsidRPr="00026EC1" w:rsidRDefault="00275751" w:rsidP="00A64613">
      <w:pPr>
        <w:keepNext w:val="0"/>
        <w:tabs>
          <w:tab w:val="left" w:pos="1134"/>
          <w:tab w:val="left" w:pos="4500"/>
        </w:tabs>
        <w:ind w:left="1134" w:hanging="567"/>
      </w:pPr>
      <w:r w:rsidRPr="00026EC1">
        <w:t>1.</w:t>
      </w:r>
      <w:r w:rsidRPr="00026EC1">
        <w:tab/>
      </w:r>
      <w:r w:rsidR="00C5649C" w:rsidRPr="00026EC1">
        <w:t>si, à la fin de la onzième (11</w:t>
      </w:r>
      <w:r w:rsidR="00C5649C" w:rsidRPr="00026EC1">
        <w:rPr>
          <w:vertAlign w:val="superscript"/>
        </w:rPr>
        <w:t>e</w:t>
      </w:r>
      <w:r w:rsidR="00C5649C" w:rsidRPr="00026EC1">
        <w:t>) paye de cette année d</w:t>
      </w:r>
      <w:r w:rsidR="004A41E4" w:rsidRPr="00026EC1">
        <w:t>’</w:t>
      </w:r>
      <w:r w:rsidR="00C5649C" w:rsidRPr="00026EC1">
        <w:t>engagement, l</w:t>
      </w:r>
      <w:r w:rsidR="004A41E4" w:rsidRPr="00026EC1">
        <w:t>’</w:t>
      </w:r>
      <w:r w:rsidR="00C5649C" w:rsidRPr="00026EC1">
        <w:t>enseignante ou l</w:t>
      </w:r>
      <w:r w:rsidR="004A41E4" w:rsidRPr="00026EC1">
        <w:t>’</w:t>
      </w:r>
      <w:r w:rsidR="00C5649C" w:rsidRPr="00026EC1">
        <w:t xml:space="preserve">enseignant a complété les études nécessaires à une nouvelle évaluation de ses années de scolarité </w:t>
      </w:r>
    </w:p>
    <w:p w14:paraId="3E26C6D8" w14:textId="77777777" w:rsidR="00C5649C" w:rsidRPr="00026EC1" w:rsidRDefault="00C5649C" w:rsidP="00A64613">
      <w:pPr>
        <w:keepNext w:val="0"/>
        <w:tabs>
          <w:tab w:val="left" w:pos="4500"/>
        </w:tabs>
      </w:pPr>
    </w:p>
    <w:p w14:paraId="70A724CE" w14:textId="77777777" w:rsidR="00C5649C" w:rsidRPr="00026EC1" w:rsidRDefault="00C5649C" w:rsidP="00A64613">
      <w:pPr>
        <w:pStyle w:val="Texte2cm"/>
        <w:keepNext w:val="0"/>
        <w:tabs>
          <w:tab w:val="left" w:pos="4500"/>
        </w:tabs>
      </w:pPr>
      <w:r w:rsidRPr="00026EC1">
        <w:t>et</w:t>
      </w:r>
    </w:p>
    <w:p w14:paraId="573BF8F5" w14:textId="77777777" w:rsidR="00C5649C" w:rsidRPr="00026EC1" w:rsidRDefault="00C5649C" w:rsidP="00A64613">
      <w:pPr>
        <w:keepNext w:val="0"/>
        <w:tabs>
          <w:tab w:val="left" w:pos="4500"/>
        </w:tabs>
      </w:pPr>
    </w:p>
    <w:p w14:paraId="32CAAE3D" w14:textId="5C36944B" w:rsidR="00C5649C" w:rsidRPr="00026EC1" w:rsidRDefault="00275751" w:rsidP="00A64613">
      <w:pPr>
        <w:keepNext w:val="0"/>
        <w:tabs>
          <w:tab w:val="left" w:pos="1134"/>
          <w:tab w:val="left" w:pos="4500"/>
        </w:tabs>
        <w:ind w:left="1134" w:hanging="567"/>
      </w:pPr>
      <w:r w:rsidRPr="00026EC1">
        <w:t>2.</w:t>
      </w:r>
      <w:r w:rsidRPr="00026EC1">
        <w:tab/>
      </w:r>
      <w:r w:rsidR="00C5649C" w:rsidRPr="00026EC1">
        <w:t>si elle ou il a fourni, avant le 31 mars de cette année d</w:t>
      </w:r>
      <w:r w:rsidR="004A41E4" w:rsidRPr="00026EC1">
        <w:t>’</w:t>
      </w:r>
      <w:r w:rsidR="00C5649C" w:rsidRPr="00026EC1">
        <w:t>engagement ou plus tard si le retard ne peut lui être imputé, les documents requis selon la clause 6</w:t>
      </w:r>
      <w:r w:rsidR="00984A6F">
        <w:noBreakHyphen/>
      </w:r>
      <w:r w:rsidR="00C5649C" w:rsidRPr="00026EC1">
        <w:t>3.01.</w:t>
      </w:r>
    </w:p>
    <w:p w14:paraId="248B2ED5" w14:textId="77777777" w:rsidR="005C01E7" w:rsidRPr="00026EC1" w:rsidRDefault="005C01E7" w:rsidP="00A64613">
      <w:pPr>
        <w:keepNext w:val="0"/>
        <w:tabs>
          <w:tab w:val="left" w:pos="4500"/>
        </w:tabs>
      </w:pPr>
    </w:p>
    <w:p w14:paraId="0A905E99" w14:textId="272FEBF2" w:rsidR="00C5649C" w:rsidRPr="007E51E2" w:rsidRDefault="00C5649C" w:rsidP="00A64613">
      <w:pPr>
        <w:pStyle w:val="NUMRODECLAUSE"/>
        <w:keepNext w:val="0"/>
        <w:rPr>
          <w:strike/>
        </w:rPr>
      </w:pPr>
      <w:r w:rsidRPr="00026EC1">
        <w:t>6</w:t>
      </w:r>
      <w:r w:rsidR="00984A6F">
        <w:noBreakHyphen/>
      </w:r>
      <w:r w:rsidRPr="00026EC1">
        <w:t>1.</w:t>
      </w:r>
      <w:r w:rsidR="001E0DC6" w:rsidRPr="007E51E2">
        <w:t>07</w:t>
      </w:r>
    </w:p>
    <w:p w14:paraId="5F89D66B" w14:textId="77777777" w:rsidR="00C5649C" w:rsidRPr="007E51E2" w:rsidRDefault="00C5649C" w:rsidP="00A64613">
      <w:pPr>
        <w:keepNext w:val="0"/>
        <w:tabs>
          <w:tab w:val="left" w:pos="4500"/>
        </w:tabs>
      </w:pPr>
      <w:r w:rsidRPr="007E51E2">
        <w:t>L</w:t>
      </w:r>
      <w:r w:rsidR="004A41E4" w:rsidRPr="007E51E2">
        <w:t>’</w:t>
      </w:r>
      <w:r w:rsidRPr="007E51E2">
        <w:t>entrée en vigueur de la convention collective n</w:t>
      </w:r>
      <w:r w:rsidR="004A41E4" w:rsidRPr="007E51E2">
        <w:t>’</w:t>
      </w:r>
      <w:r w:rsidRPr="007E51E2">
        <w:t>invalide pas l</w:t>
      </w:r>
      <w:r w:rsidR="004A41E4" w:rsidRPr="007E51E2">
        <w:t>’</w:t>
      </w:r>
      <w:r w:rsidRPr="007E51E2">
        <w:t>attestation officielle de scolarité d</w:t>
      </w:r>
      <w:r w:rsidR="004A41E4" w:rsidRPr="007E51E2">
        <w:t>’</w:t>
      </w:r>
      <w:r w:rsidRPr="007E51E2">
        <w:t>une enseignante ou d</w:t>
      </w:r>
      <w:r w:rsidR="004A41E4" w:rsidRPr="007E51E2">
        <w:t>’</w:t>
      </w:r>
      <w:r w:rsidRPr="007E51E2">
        <w:t>un enseignant délivrée par la ou le Ministre avant l</w:t>
      </w:r>
      <w:r w:rsidR="004A41E4" w:rsidRPr="007E51E2">
        <w:t>’</w:t>
      </w:r>
      <w:r w:rsidRPr="007E51E2">
        <w:t>entrée en vigueur de la convention collective.</w:t>
      </w:r>
    </w:p>
    <w:p w14:paraId="45F3A19C" w14:textId="77777777" w:rsidR="00C5649C" w:rsidRPr="007E51E2" w:rsidRDefault="00C5649C" w:rsidP="00A64613">
      <w:pPr>
        <w:keepNext w:val="0"/>
      </w:pPr>
    </w:p>
    <w:p w14:paraId="2E8BB63D" w14:textId="3F56F655" w:rsidR="00C5649C" w:rsidRPr="007E51E2" w:rsidRDefault="00C5649C" w:rsidP="00A64613">
      <w:pPr>
        <w:pStyle w:val="NUMRODECLAUSE"/>
        <w:keepNext w:val="0"/>
        <w:rPr>
          <w:strike/>
        </w:rPr>
      </w:pPr>
      <w:r w:rsidRPr="007E51E2">
        <w:t>6</w:t>
      </w:r>
      <w:r w:rsidR="00984A6F">
        <w:noBreakHyphen/>
      </w:r>
      <w:r w:rsidRPr="007E51E2">
        <w:t>1.</w:t>
      </w:r>
      <w:r w:rsidR="001E0DC6" w:rsidRPr="007E51E2">
        <w:t>08</w:t>
      </w:r>
    </w:p>
    <w:p w14:paraId="40DB1076" w14:textId="0F7C1D60" w:rsidR="00404F34" w:rsidRDefault="00C5649C" w:rsidP="00A64613">
      <w:pPr>
        <w:keepNext w:val="0"/>
        <w:tabs>
          <w:tab w:val="left" w:pos="4500"/>
        </w:tabs>
      </w:pPr>
      <w:r w:rsidRPr="007E51E2">
        <w:t>Chaque jour</w:t>
      </w:r>
      <w:r w:rsidRPr="00026EC1">
        <w:t xml:space="preserve"> de travail effectué par une enseignante ou un enseignant à la demande du Collège durant les jours fériés visés à l</w:t>
      </w:r>
      <w:r w:rsidR="004A41E4" w:rsidRPr="00026EC1">
        <w:t>’</w:t>
      </w:r>
      <w:r w:rsidRPr="00026EC1">
        <w:t>article 5</w:t>
      </w:r>
      <w:r w:rsidR="00984A6F">
        <w:noBreakHyphen/>
      </w:r>
      <w:r w:rsidRPr="00026EC1">
        <w:t>8.00 ou durant ses vacances est rémunéré au taux de un deux cent soixantième (1/260</w:t>
      </w:r>
      <w:r w:rsidRPr="00026EC1">
        <w:rPr>
          <w:vertAlign w:val="superscript"/>
        </w:rPr>
        <w:t>e</w:t>
      </w:r>
      <w:r w:rsidRPr="00026EC1">
        <w:t xml:space="preserve">) du </w:t>
      </w:r>
      <w:r w:rsidRPr="00026EC1">
        <w:rPr>
          <w:bCs/>
        </w:rPr>
        <w:t xml:space="preserve">traitement </w:t>
      </w:r>
      <w:r w:rsidR="00BA79F8" w:rsidRPr="00026EC1">
        <w:t>annuel.</w:t>
      </w:r>
    </w:p>
    <w:p w14:paraId="277F9BFB" w14:textId="658FB72F" w:rsidR="00276664" w:rsidRDefault="00276664" w:rsidP="00A64613">
      <w:pPr>
        <w:keepNext w:val="0"/>
        <w:tabs>
          <w:tab w:val="left" w:pos="4500"/>
        </w:tabs>
      </w:pPr>
    </w:p>
    <w:p w14:paraId="4AED8F3C" w14:textId="77777777" w:rsidR="00276664" w:rsidRPr="00316277" w:rsidRDefault="00276664" w:rsidP="00276664">
      <w:pPr>
        <w:pStyle w:val="NUMRODECLAUSE"/>
        <w:keepNext w:val="0"/>
      </w:pPr>
      <w:r w:rsidRPr="00316277">
        <w:t>6-1.09</w:t>
      </w:r>
    </w:p>
    <w:p w14:paraId="169CC193" w14:textId="0DBA7D9B" w:rsidR="00276664" w:rsidRPr="000237F3" w:rsidRDefault="00276664" w:rsidP="00276664">
      <w:pPr>
        <w:keepNext w:val="0"/>
        <w:tabs>
          <w:tab w:val="left" w:pos="868"/>
          <w:tab w:val="left" w:pos="4500"/>
        </w:tabs>
        <w:rPr>
          <w:rStyle w:val="ui-provider"/>
        </w:rPr>
      </w:pPr>
      <w:r w:rsidRPr="00316277">
        <w:rPr>
          <w:rStyle w:val="ui-provider"/>
        </w:rPr>
        <w:t>L'avancement d'un</w:t>
      </w:r>
      <w:r w:rsidR="00A72E2B">
        <w:rPr>
          <w:rStyle w:val="ui-provider"/>
        </w:rPr>
        <w:t> (1)</w:t>
      </w:r>
      <w:r w:rsidRPr="00316277">
        <w:rPr>
          <w:rStyle w:val="ui-provider"/>
        </w:rPr>
        <w:t xml:space="preserve"> échelon accordé au 1</w:t>
      </w:r>
      <w:r w:rsidRPr="00316277">
        <w:rPr>
          <w:rStyle w:val="ui-provider"/>
          <w:vertAlign w:val="superscript"/>
        </w:rPr>
        <w:t>er</w:t>
      </w:r>
      <w:r w:rsidRPr="00316277">
        <w:rPr>
          <w:rStyle w:val="ui-provider"/>
        </w:rPr>
        <w:t xml:space="preserve"> juillet 2024 à l’enseignante ou l’enseignant </w:t>
      </w:r>
      <w:r w:rsidRPr="00316277">
        <w:rPr>
          <w:rFonts w:cs="Arial"/>
          <w:szCs w:val="24"/>
        </w:rPr>
        <w:t>à temps complet ou à temps partiel</w:t>
      </w:r>
      <w:r w:rsidRPr="00316277">
        <w:rPr>
          <w:rStyle w:val="ui-provider"/>
        </w:rPr>
        <w:t xml:space="preserve"> en vertu du point 3.1 de l'</w:t>
      </w:r>
      <w:r w:rsidR="00926507" w:rsidRPr="00316277">
        <w:rPr>
          <w:rStyle w:val="ui-provider"/>
        </w:rPr>
        <w:t>A</w:t>
      </w:r>
      <w:r w:rsidRPr="00316277">
        <w:rPr>
          <w:rStyle w:val="ui-provider"/>
        </w:rPr>
        <w:t>nnexe VI-4 doit être maintenu lors de son réengagement dans son collège d'origine ou dans un autre collège.</w:t>
      </w:r>
    </w:p>
    <w:p w14:paraId="2F135197" w14:textId="72491EF6" w:rsidR="00404F34" w:rsidRPr="00026EC1" w:rsidRDefault="008435B1" w:rsidP="00A64613">
      <w:pPr>
        <w:pStyle w:val="Heading2"/>
        <w:keepNext w:val="0"/>
        <w:tabs>
          <w:tab w:val="clear" w:pos="1843"/>
          <w:tab w:val="clear" w:pos="2127"/>
          <w:tab w:val="left" w:pos="1701"/>
          <w:tab w:val="left" w:pos="1985"/>
        </w:tabs>
        <w:ind w:left="1701" w:hanging="1701"/>
      </w:pPr>
      <w:r w:rsidRPr="00026EC1">
        <w:br w:type="page"/>
      </w:r>
      <w:bookmarkStart w:id="632" w:name="_Toc535046619"/>
      <w:bookmarkStart w:id="633" w:name="_Toc133760789"/>
      <w:bookmarkStart w:id="634" w:name="_Toc393444623"/>
      <w:bookmarkStart w:id="635" w:name="_Toc393449574"/>
      <w:bookmarkStart w:id="636" w:name="_Toc393460943"/>
      <w:bookmarkStart w:id="637" w:name="_Toc393461221"/>
      <w:bookmarkStart w:id="638" w:name="_Toc393720782"/>
      <w:bookmarkStart w:id="639" w:name="_Toc393783943"/>
      <w:bookmarkStart w:id="640" w:name="_Toc393784082"/>
      <w:bookmarkStart w:id="641" w:name="_Toc168479536"/>
      <w:r w:rsidR="00404F34" w:rsidRPr="00026EC1">
        <w:t>Article 6</w:t>
      </w:r>
      <w:r w:rsidR="00984A6F">
        <w:t>-</w:t>
      </w:r>
      <w:r w:rsidR="00404F34" w:rsidRPr="00026EC1">
        <w:t>2.00</w:t>
      </w:r>
      <w:r w:rsidR="00C9604C" w:rsidRPr="00026EC1">
        <w:tab/>
      </w:r>
      <w:r w:rsidR="00984A6F">
        <w:t>-</w:t>
      </w:r>
      <w:r w:rsidR="00C9604C" w:rsidRPr="00026EC1">
        <w:tab/>
      </w:r>
      <w:r w:rsidR="00404F34" w:rsidRPr="00026EC1">
        <w:t>Calcul de l</w:t>
      </w:r>
      <w:r w:rsidR="004A41E4" w:rsidRPr="00026EC1">
        <w:t>’</w:t>
      </w:r>
      <w:r w:rsidR="00404F34" w:rsidRPr="00026EC1">
        <w:t>expérience</w:t>
      </w:r>
      <w:bookmarkEnd w:id="632"/>
      <w:bookmarkEnd w:id="633"/>
      <w:bookmarkEnd w:id="634"/>
      <w:bookmarkEnd w:id="635"/>
      <w:bookmarkEnd w:id="636"/>
      <w:bookmarkEnd w:id="637"/>
      <w:bookmarkEnd w:id="638"/>
      <w:bookmarkEnd w:id="639"/>
      <w:bookmarkEnd w:id="640"/>
      <w:bookmarkEnd w:id="641"/>
    </w:p>
    <w:p w14:paraId="606C885F" w14:textId="4E315122" w:rsidR="00D51707" w:rsidRPr="00026EC1" w:rsidRDefault="00D51707" w:rsidP="00A64613">
      <w:pPr>
        <w:pStyle w:val="NUMRODECLAUSE"/>
        <w:keepNext w:val="0"/>
      </w:pPr>
      <w:r w:rsidRPr="00026EC1">
        <w:t>6</w:t>
      </w:r>
      <w:r w:rsidR="00984A6F">
        <w:noBreakHyphen/>
      </w:r>
      <w:r w:rsidRPr="00026EC1">
        <w:t>2.01</w:t>
      </w:r>
    </w:p>
    <w:p w14:paraId="3EB89BDF" w14:textId="77777777" w:rsidR="00D51707" w:rsidRPr="00026EC1" w:rsidRDefault="00D51707" w:rsidP="00A64613">
      <w:pPr>
        <w:keepNext w:val="0"/>
        <w:tabs>
          <w:tab w:val="left" w:pos="4500"/>
        </w:tabs>
      </w:pPr>
      <w:r w:rsidRPr="00026EC1">
        <w:t>L</w:t>
      </w:r>
      <w:r w:rsidR="004A41E4" w:rsidRPr="00026EC1">
        <w:t>’</w:t>
      </w:r>
      <w:r w:rsidRPr="00026EC1">
        <w:t>enseignante ou l</w:t>
      </w:r>
      <w:r w:rsidR="004A41E4" w:rsidRPr="00026EC1">
        <w:t>’</w:t>
      </w:r>
      <w:r w:rsidRPr="00026EC1">
        <w:t>enseignant remet au Collège les documents servant à déterminer son expérience d</w:t>
      </w:r>
      <w:r w:rsidR="004A41E4" w:rsidRPr="00026EC1">
        <w:t>’</w:t>
      </w:r>
      <w:r w:rsidRPr="00026EC1">
        <w:t>enseignement et professionnelle au plus tard trente (30) jours après sa date d</w:t>
      </w:r>
      <w:r w:rsidR="004A41E4" w:rsidRPr="00026EC1">
        <w:t>’</w:t>
      </w:r>
      <w:r w:rsidRPr="00026EC1">
        <w:t>engagement.</w:t>
      </w:r>
    </w:p>
    <w:p w14:paraId="4B40A16A" w14:textId="77777777" w:rsidR="00D51707" w:rsidRPr="00026EC1" w:rsidRDefault="00D51707" w:rsidP="00A64613">
      <w:pPr>
        <w:keepNext w:val="0"/>
        <w:tabs>
          <w:tab w:val="left" w:pos="4500"/>
        </w:tabs>
      </w:pPr>
    </w:p>
    <w:p w14:paraId="097D2C76" w14:textId="1EE348EF" w:rsidR="00D51707" w:rsidRPr="00026EC1" w:rsidRDefault="00D51707" w:rsidP="00A64613">
      <w:pPr>
        <w:keepNext w:val="0"/>
        <w:tabs>
          <w:tab w:val="left" w:pos="4500"/>
        </w:tabs>
      </w:pPr>
      <w:r w:rsidRPr="00026EC1">
        <w:t>Aux fins d</w:t>
      </w:r>
      <w:r w:rsidR="004A41E4" w:rsidRPr="00026EC1">
        <w:t>’</w:t>
      </w:r>
      <w:r w:rsidRPr="00026EC1">
        <w:t>application de la convention collective, constitue une (1) année d</w:t>
      </w:r>
      <w:r w:rsidR="004A41E4" w:rsidRPr="00026EC1">
        <w:t>’</w:t>
      </w:r>
      <w:r w:rsidRPr="00026EC1">
        <w:t>expérience</w:t>
      </w:r>
      <w:r w:rsidR="00D8581B">
        <w:t> :</w:t>
      </w:r>
    </w:p>
    <w:p w14:paraId="221F7340" w14:textId="77777777" w:rsidR="00D51707" w:rsidRPr="00026EC1" w:rsidRDefault="00D51707" w:rsidP="00A64613">
      <w:pPr>
        <w:keepNext w:val="0"/>
        <w:tabs>
          <w:tab w:val="left" w:pos="4500"/>
        </w:tabs>
      </w:pPr>
    </w:p>
    <w:p w14:paraId="2B95238F" w14:textId="77777777" w:rsidR="00D51707" w:rsidRPr="00026EC1" w:rsidRDefault="00275751" w:rsidP="00A64613">
      <w:pPr>
        <w:keepNext w:val="0"/>
        <w:tabs>
          <w:tab w:val="left" w:pos="567"/>
          <w:tab w:val="left" w:pos="4500"/>
        </w:tabs>
        <w:ind w:left="567" w:hanging="567"/>
      </w:pPr>
      <w:r w:rsidRPr="00026EC1">
        <w:t>a)</w:t>
      </w:r>
      <w:r w:rsidRPr="00026EC1">
        <w:tab/>
      </w:r>
      <w:r w:rsidR="00D51707" w:rsidRPr="00026EC1">
        <w:t>pour tous les ordres d</w:t>
      </w:r>
      <w:r w:rsidR="004A41E4" w:rsidRPr="00026EC1">
        <w:t>’</w:t>
      </w:r>
      <w:r w:rsidR="00D51707" w:rsidRPr="00026EC1">
        <w:t>enseignement</w:t>
      </w:r>
      <w:r w:rsidR="00D51707" w:rsidRPr="00026EC1">
        <w:rPr>
          <w:rStyle w:val="FootnoteReference"/>
        </w:rPr>
        <w:footnoteReference w:id="33"/>
      </w:r>
      <w:r w:rsidR="00D51707" w:rsidRPr="00026EC1">
        <w:t>, toute année d</w:t>
      </w:r>
      <w:r w:rsidR="004A41E4" w:rsidRPr="00026EC1">
        <w:t>’</w:t>
      </w:r>
      <w:r w:rsidR="00D51707" w:rsidRPr="00026EC1">
        <w:t>enseignement à temps complet dans un établissement d</w:t>
      </w:r>
      <w:r w:rsidR="004A41E4" w:rsidRPr="00026EC1">
        <w:t>’</w:t>
      </w:r>
      <w:r w:rsidR="00D51707" w:rsidRPr="00026EC1">
        <w:t>enseignement reconnu par le Ministère ou, s</w:t>
      </w:r>
      <w:r w:rsidR="004A41E4" w:rsidRPr="00026EC1">
        <w:t>’</w:t>
      </w:r>
      <w:r w:rsidR="00D51707" w:rsidRPr="00026EC1">
        <w:t>il s</w:t>
      </w:r>
      <w:r w:rsidR="004A41E4" w:rsidRPr="00026EC1">
        <w:t>’</w:t>
      </w:r>
      <w:r w:rsidR="00D51707" w:rsidRPr="00026EC1">
        <w:t>agit d</w:t>
      </w:r>
      <w:r w:rsidR="004A41E4" w:rsidRPr="00026EC1">
        <w:t>’</w:t>
      </w:r>
      <w:r w:rsidR="00D51707" w:rsidRPr="00026EC1">
        <w:t>un établissement hors du Québec, dans un établissement reconnu par l</w:t>
      </w:r>
      <w:r w:rsidR="004A41E4" w:rsidRPr="00026EC1">
        <w:t>’</w:t>
      </w:r>
      <w:r w:rsidR="00D51707" w:rsidRPr="00026EC1">
        <w:t>autorité gouvernementale compétente;</w:t>
      </w:r>
    </w:p>
    <w:p w14:paraId="1381FF77" w14:textId="77777777" w:rsidR="00D51707" w:rsidRPr="00026EC1" w:rsidRDefault="00D51707" w:rsidP="00A64613">
      <w:pPr>
        <w:keepNext w:val="0"/>
        <w:tabs>
          <w:tab w:val="left" w:pos="4500"/>
        </w:tabs>
      </w:pPr>
    </w:p>
    <w:p w14:paraId="7D323BE3" w14:textId="6CA2C40D" w:rsidR="00D51707" w:rsidRPr="00026EC1" w:rsidRDefault="00275751" w:rsidP="00A64613">
      <w:pPr>
        <w:keepNext w:val="0"/>
        <w:tabs>
          <w:tab w:val="left" w:pos="567"/>
          <w:tab w:val="left" w:pos="4500"/>
        </w:tabs>
        <w:ind w:left="567" w:hanging="567"/>
      </w:pPr>
      <w:r w:rsidRPr="00026EC1">
        <w:t>b)</w:t>
      </w:r>
      <w:r w:rsidRPr="00026EC1">
        <w:tab/>
      </w:r>
      <w:r w:rsidR="00D51707" w:rsidRPr="00026EC1">
        <w:t>l</w:t>
      </w:r>
      <w:r w:rsidR="004A41E4" w:rsidRPr="00026EC1">
        <w:t>’</w:t>
      </w:r>
      <w:r w:rsidR="00D51707" w:rsidRPr="00026EC1">
        <w:t>enseignement à temps complet, sous contrat annuel, pendant au moins quatre</w:t>
      </w:r>
      <w:r w:rsidR="00984A6F">
        <w:noBreakHyphen/>
      </w:r>
      <w:r w:rsidR="00D51707" w:rsidRPr="00026EC1">
        <w:t>vingt</w:t>
      </w:r>
      <w:r w:rsidR="00984A6F">
        <w:noBreakHyphen/>
      </w:r>
      <w:r w:rsidR="00D51707" w:rsidRPr="00026EC1">
        <w:t>dix</w:t>
      </w:r>
      <w:r w:rsidR="004C48E0">
        <w:t> </w:t>
      </w:r>
      <w:r w:rsidR="00D51707" w:rsidRPr="00026EC1">
        <w:t>(90) jours, consécutifs ou non, durant une même année d</w:t>
      </w:r>
      <w:r w:rsidR="004A41E4" w:rsidRPr="00026EC1">
        <w:t>’</w:t>
      </w:r>
      <w:r w:rsidR="00D51707" w:rsidRPr="00026EC1">
        <w:t>engagement;</w:t>
      </w:r>
    </w:p>
    <w:p w14:paraId="0B30747F" w14:textId="77777777" w:rsidR="00D51707" w:rsidRPr="00026EC1" w:rsidRDefault="00D51707" w:rsidP="00A64613">
      <w:pPr>
        <w:keepNext w:val="0"/>
        <w:tabs>
          <w:tab w:val="left" w:pos="4500"/>
        </w:tabs>
      </w:pPr>
    </w:p>
    <w:p w14:paraId="5CF1D785" w14:textId="3AD6646A" w:rsidR="00D51707" w:rsidRPr="00026EC1" w:rsidRDefault="00275751" w:rsidP="00A64613">
      <w:pPr>
        <w:keepNext w:val="0"/>
        <w:tabs>
          <w:tab w:val="left" w:pos="567"/>
          <w:tab w:val="left" w:pos="4500"/>
        </w:tabs>
        <w:ind w:left="567" w:hanging="567"/>
      </w:pPr>
      <w:r w:rsidRPr="00026EC1">
        <w:t>c)</w:t>
      </w:r>
      <w:r w:rsidRPr="00026EC1">
        <w:tab/>
      </w:r>
      <w:r w:rsidR="00D51707" w:rsidRPr="00026EC1">
        <w:t>à l</w:t>
      </w:r>
      <w:r w:rsidR="004A41E4" w:rsidRPr="00026EC1">
        <w:t>’</w:t>
      </w:r>
      <w:r w:rsidR="00D51707" w:rsidRPr="00026EC1">
        <w:t>exclusion de l</w:t>
      </w:r>
      <w:r w:rsidR="004A41E4" w:rsidRPr="00026EC1">
        <w:t>’</w:t>
      </w:r>
      <w:r w:rsidR="00D51707" w:rsidRPr="00026EC1">
        <w:t>enseignement dans un cégep, le temps d</w:t>
      </w:r>
      <w:r w:rsidR="004A41E4" w:rsidRPr="00026EC1">
        <w:t>’</w:t>
      </w:r>
      <w:r w:rsidR="00D51707" w:rsidRPr="00026EC1">
        <w:t>enseignement comme enseignante ou enseignant à temps partiel ou chargé de cours peut être accumulé pour constituer une (1) année d</w:t>
      </w:r>
      <w:r w:rsidR="004A41E4" w:rsidRPr="00026EC1">
        <w:t>’</w:t>
      </w:r>
      <w:r w:rsidR="00D51707" w:rsidRPr="00026EC1">
        <w:t>expérience et, alors, le nombre requis pour constituer une (1) année d</w:t>
      </w:r>
      <w:r w:rsidR="004A41E4" w:rsidRPr="00026EC1">
        <w:t>’</w:t>
      </w:r>
      <w:r w:rsidR="00D51707" w:rsidRPr="00026EC1">
        <w:t>expérience est l</w:t>
      </w:r>
      <w:r w:rsidR="004A41E4" w:rsidRPr="00026EC1">
        <w:t>’</w:t>
      </w:r>
      <w:r w:rsidR="00D51707" w:rsidRPr="00026EC1">
        <w:t>équivalent de quatre</w:t>
      </w:r>
      <w:r w:rsidR="00984A6F">
        <w:noBreakHyphen/>
      </w:r>
      <w:r w:rsidR="00D51707" w:rsidRPr="00026EC1">
        <w:t>vingt</w:t>
      </w:r>
      <w:r w:rsidR="00984A6F">
        <w:noBreakHyphen/>
      </w:r>
      <w:r w:rsidR="00D51707" w:rsidRPr="00026EC1">
        <w:t>dix (90) jours d</w:t>
      </w:r>
      <w:r w:rsidR="004A41E4" w:rsidRPr="00026EC1">
        <w:t>’</w:t>
      </w:r>
      <w:r w:rsidR="00D51707" w:rsidRPr="00026EC1">
        <w:t>enseignement à temps complet. Elle ou il ne peut cependant commencer à accumuler une nouvelle année d</w:t>
      </w:r>
      <w:r w:rsidR="004A41E4" w:rsidRPr="00026EC1">
        <w:t>’</w:t>
      </w:r>
      <w:r w:rsidR="00D51707" w:rsidRPr="00026EC1">
        <w:t>expérience que lorsqu</w:t>
      </w:r>
      <w:r w:rsidR="004A41E4" w:rsidRPr="00026EC1">
        <w:t>’</w:t>
      </w:r>
      <w:r w:rsidR="00D51707" w:rsidRPr="00026EC1">
        <w:t>elle ou il a complété l</w:t>
      </w:r>
      <w:r w:rsidR="004A41E4" w:rsidRPr="00026EC1">
        <w:t>’</w:t>
      </w:r>
      <w:r w:rsidR="00D51707" w:rsidRPr="00026EC1">
        <w:t>équivalent de cent trente</w:t>
      </w:r>
      <w:r w:rsidR="00984A6F">
        <w:noBreakHyphen/>
      </w:r>
      <w:r w:rsidR="00D51707" w:rsidRPr="00026EC1">
        <w:t>cinq (135) jours d</w:t>
      </w:r>
      <w:r w:rsidR="004A41E4" w:rsidRPr="00026EC1">
        <w:t>’</w:t>
      </w:r>
      <w:r w:rsidR="00D51707" w:rsidRPr="00026EC1">
        <w:t>enseignement à temps complet; l</w:t>
      </w:r>
      <w:r w:rsidR="004A41E4" w:rsidRPr="00026EC1">
        <w:t>’</w:t>
      </w:r>
      <w:r w:rsidR="00D51707" w:rsidRPr="00026EC1">
        <w:t>expérience ainsi acquise s</w:t>
      </w:r>
      <w:r w:rsidR="004A41E4" w:rsidRPr="00026EC1">
        <w:t>’</w:t>
      </w:r>
      <w:r w:rsidR="00D51707" w:rsidRPr="00026EC1">
        <w:t>évalue selon les règles suivantes</w:t>
      </w:r>
      <w:r w:rsidR="00D8581B">
        <w:t> :</w:t>
      </w:r>
    </w:p>
    <w:p w14:paraId="44E5E9AD" w14:textId="77777777" w:rsidR="00D51707" w:rsidRPr="00026EC1" w:rsidRDefault="00D51707" w:rsidP="00A64613">
      <w:pPr>
        <w:pStyle w:val="Texte1cm00000"/>
        <w:keepNext w:val="0"/>
      </w:pPr>
    </w:p>
    <w:tbl>
      <w:tblPr>
        <w:tblW w:w="0" w:type="auto"/>
        <w:jc w:val="center"/>
        <w:tblCellMar>
          <w:left w:w="70" w:type="dxa"/>
          <w:right w:w="70" w:type="dxa"/>
        </w:tblCellMar>
        <w:tblLook w:val="0000" w:firstRow="0" w:lastRow="0" w:firstColumn="0" w:lastColumn="0" w:noHBand="0" w:noVBand="0"/>
      </w:tblPr>
      <w:tblGrid>
        <w:gridCol w:w="3032"/>
        <w:gridCol w:w="3414"/>
        <w:gridCol w:w="217"/>
      </w:tblGrid>
      <w:tr w:rsidR="00D51707" w:rsidRPr="00026EC1" w14:paraId="01092D07" w14:textId="77777777" w:rsidTr="00D51707">
        <w:trPr>
          <w:cantSplit/>
          <w:jc w:val="center"/>
        </w:trPr>
        <w:tc>
          <w:tcPr>
            <w:tcW w:w="6663" w:type="dxa"/>
            <w:gridSpan w:val="3"/>
          </w:tcPr>
          <w:p w14:paraId="43425BF4" w14:textId="77777777" w:rsidR="00D51707" w:rsidRPr="00026EC1" w:rsidRDefault="00D51707" w:rsidP="00A64613">
            <w:pPr>
              <w:pStyle w:val="Header"/>
              <w:keepNext w:val="0"/>
              <w:tabs>
                <w:tab w:val="left" w:pos="4500"/>
              </w:tabs>
              <w:spacing w:after="0"/>
              <w:rPr>
                <w:u w:val="single"/>
              </w:rPr>
            </w:pPr>
            <w:r w:rsidRPr="00026EC1">
              <w:rPr>
                <w:u w:val="single"/>
              </w:rPr>
              <w:t>Expérience d</w:t>
            </w:r>
            <w:r w:rsidR="004A41E4" w:rsidRPr="00026EC1">
              <w:rPr>
                <w:u w:val="single"/>
              </w:rPr>
              <w:t>’</w:t>
            </w:r>
            <w:r w:rsidRPr="00026EC1">
              <w:rPr>
                <w:u w:val="single"/>
              </w:rPr>
              <w:t>enseignement acquise à temps</w:t>
            </w:r>
          </w:p>
          <w:p w14:paraId="63CE6BC4" w14:textId="77777777" w:rsidR="00D51707" w:rsidRPr="00026EC1" w:rsidRDefault="00D51707" w:rsidP="00A64613">
            <w:pPr>
              <w:pStyle w:val="Header"/>
              <w:keepNext w:val="0"/>
              <w:tabs>
                <w:tab w:val="left" w:pos="4500"/>
              </w:tabs>
              <w:spacing w:after="0"/>
            </w:pPr>
            <w:r w:rsidRPr="00026EC1">
              <w:rPr>
                <w:u w:val="single"/>
              </w:rPr>
              <w:t>partiel ou comme chargée ou chargé de cours</w:t>
            </w:r>
          </w:p>
        </w:tc>
      </w:tr>
      <w:tr w:rsidR="00D51707" w:rsidRPr="00026EC1" w14:paraId="71F0B835" w14:textId="77777777" w:rsidTr="00D51707">
        <w:trPr>
          <w:jc w:val="center"/>
        </w:trPr>
        <w:tc>
          <w:tcPr>
            <w:tcW w:w="3032" w:type="dxa"/>
          </w:tcPr>
          <w:p w14:paraId="58110B75" w14:textId="77777777" w:rsidR="00D51707" w:rsidRPr="00026EC1" w:rsidRDefault="00D51707" w:rsidP="00A64613">
            <w:pPr>
              <w:keepNext w:val="0"/>
              <w:tabs>
                <w:tab w:val="left" w:pos="4500"/>
              </w:tabs>
            </w:pPr>
          </w:p>
        </w:tc>
        <w:tc>
          <w:tcPr>
            <w:tcW w:w="3414" w:type="dxa"/>
          </w:tcPr>
          <w:p w14:paraId="20F15DE6" w14:textId="77777777" w:rsidR="00D51707" w:rsidRPr="00026EC1" w:rsidRDefault="00D51707" w:rsidP="00A64613">
            <w:pPr>
              <w:pStyle w:val="Header"/>
              <w:keepNext w:val="0"/>
              <w:tabs>
                <w:tab w:val="left" w:pos="4500"/>
              </w:tabs>
              <w:spacing w:after="0"/>
            </w:pPr>
          </w:p>
        </w:tc>
        <w:tc>
          <w:tcPr>
            <w:tcW w:w="217" w:type="dxa"/>
          </w:tcPr>
          <w:p w14:paraId="66AC100D" w14:textId="77777777" w:rsidR="00D51707" w:rsidRPr="00026EC1" w:rsidRDefault="00D51707" w:rsidP="00A64613">
            <w:pPr>
              <w:keepNext w:val="0"/>
              <w:tabs>
                <w:tab w:val="left" w:pos="4500"/>
              </w:tabs>
            </w:pPr>
          </w:p>
        </w:tc>
      </w:tr>
    </w:tbl>
    <w:p w14:paraId="3AD7C244" w14:textId="77777777" w:rsidR="00D51707" w:rsidRPr="00026EC1" w:rsidRDefault="00D51707" w:rsidP="00A64613">
      <w:pPr>
        <w:keepNext w:val="0"/>
      </w:pPr>
    </w:p>
    <w:tbl>
      <w:tblPr>
        <w:tblW w:w="0" w:type="auto"/>
        <w:jc w:val="center"/>
        <w:tblCellMar>
          <w:left w:w="70" w:type="dxa"/>
          <w:right w:w="70" w:type="dxa"/>
        </w:tblCellMar>
        <w:tblLook w:val="0000" w:firstRow="0" w:lastRow="0" w:firstColumn="0" w:lastColumn="0" w:noHBand="0" w:noVBand="0"/>
      </w:tblPr>
      <w:tblGrid>
        <w:gridCol w:w="2287"/>
        <w:gridCol w:w="1525"/>
        <w:gridCol w:w="2256"/>
        <w:gridCol w:w="2283"/>
      </w:tblGrid>
      <w:tr w:rsidR="00D51707" w:rsidRPr="00026EC1" w14:paraId="55539AF8" w14:textId="77777777" w:rsidTr="00372F43">
        <w:trPr>
          <w:jc w:val="center"/>
        </w:trPr>
        <w:tc>
          <w:tcPr>
            <w:tcW w:w="2287" w:type="dxa"/>
          </w:tcPr>
          <w:p w14:paraId="02446BAC" w14:textId="77777777" w:rsidR="00D51707" w:rsidRPr="00026EC1" w:rsidRDefault="00D51707" w:rsidP="00A64613">
            <w:pPr>
              <w:keepNext w:val="0"/>
              <w:tabs>
                <w:tab w:val="left" w:pos="4500"/>
              </w:tabs>
              <w:jc w:val="left"/>
              <w:rPr>
                <w:u w:val="single"/>
              </w:rPr>
            </w:pPr>
            <w:r w:rsidRPr="00026EC1">
              <w:rPr>
                <w:u w:val="single"/>
              </w:rPr>
              <w:t>Niveau</w:t>
            </w:r>
          </w:p>
        </w:tc>
        <w:tc>
          <w:tcPr>
            <w:tcW w:w="1525" w:type="dxa"/>
          </w:tcPr>
          <w:p w14:paraId="15E3451B" w14:textId="77777777" w:rsidR="00D51707" w:rsidRPr="00026EC1" w:rsidRDefault="00D51707" w:rsidP="00A64613">
            <w:pPr>
              <w:pStyle w:val="Header"/>
              <w:keepNext w:val="0"/>
              <w:tabs>
                <w:tab w:val="left" w:pos="4500"/>
              </w:tabs>
              <w:spacing w:after="0"/>
            </w:pPr>
            <w:r w:rsidRPr="00026EC1">
              <w:rPr>
                <w:u w:val="single"/>
              </w:rPr>
              <w:t>Jours</w:t>
            </w:r>
          </w:p>
        </w:tc>
        <w:tc>
          <w:tcPr>
            <w:tcW w:w="2256" w:type="dxa"/>
          </w:tcPr>
          <w:p w14:paraId="4ADEE950" w14:textId="77777777" w:rsidR="00D51707" w:rsidRPr="00026EC1" w:rsidRDefault="00D51707" w:rsidP="00A64613">
            <w:pPr>
              <w:keepNext w:val="0"/>
              <w:tabs>
                <w:tab w:val="left" w:pos="4500"/>
              </w:tabs>
              <w:jc w:val="center"/>
              <w:rPr>
                <w:u w:val="single"/>
              </w:rPr>
            </w:pPr>
            <w:r w:rsidRPr="00026EC1">
              <w:rPr>
                <w:u w:val="single"/>
              </w:rPr>
              <w:t>Heures ou périodes</w:t>
            </w:r>
          </w:p>
        </w:tc>
        <w:tc>
          <w:tcPr>
            <w:tcW w:w="2283" w:type="dxa"/>
          </w:tcPr>
          <w:p w14:paraId="64A97DFF" w14:textId="77777777" w:rsidR="00D51707" w:rsidRPr="00026EC1" w:rsidRDefault="00D51707" w:rsidP="00A64613">
            <w:pPr>
              <w:keepNext w:val="0"/>
              <w:tabs>
                <w:tab w:val="left" w:pos="4500"/>
              </w:tabs>
              <w:jc w:val="center"/>
              <w:rPr>
                <w:u w:val="single"/>
              </w:rPr>
            </w:pPr>
            <w:r w:rsidRPr="00026EC1">
              <w:rPr>
                <w:u w:val="single"/>
              </w:rPr>
              <w:t>Équivalent en</w:t>
            </w:r>
            <w:r w:rsidR="00372F43" w:rsidRPr="00026EC1">
              <w:rPr>
                <w:u w:val="single"/>
              </w:rPr>
              <w:t xml:space="preserve"> </w:t>
            </w:r>
            <w:r w:rsidRPr="00026EC1">
              <w:rPr>
                <w:u w:val="single"/>
              </w:rPr>
              <w:t>ETC</w:t>
            </w:r>
          </w:p>
        </w:tc>
      </w:tr>
      <w:tr w:rsidR="00D51707" w:rsidRPr="00026EC1" w14:paraId="1E53D622" w14:textId="77777777" w:rsidTr="00372F43">
        <w:trPr>
          <w:cantSplit/>
          <w:jc w:val="center"/>
        </w:trPr>
        <w:tc>
          <w:tcPr>
            <w:tcW w:w="2287" w:type="dxa"/>
          </w:tcPr>
          <w:p w14:paraId="036CF530" w14:textId="77777777" w:rsidR="00D51707" w:rsidRPr="00026EC1" w:rsidRDefault="00D51707" w:rsidP="00A64613">
            <w:pPr>
              <w:keepNext w:val="0"/>
              <w:tabs>
                <w:tab w:val="left" w:pos="4500"/>
              </w:tabs>
            </w:pPr>
          </w:p>
        </w:tc>
        <w:tc>
          <w:tcPr>
            <w:tcW w:w="1525" w:type="dxa"/>
          </w:tcPr>
          <w:p w14:paraId="0606E4CB" w14:textId="77777777" w:rsidR="00D51707" w:rsidRPr="00026EC1" w:rsidRDefault="00D51707" w:rsidP="00A64613">
            <w:pPr>
              <w:keepNext w:val="0"/>
              <w:tabs>
                <w:tab w:val="left" w:pos="4500"/>
              </w:tabs>
              <w:jc w:val="center"/>
            </w:pPr>
          </w:p>
        </w:tc>
        <w:tc>
          <w:tcPr>
            <w:tcW w:w="2256" w:type="dxa"/>
          </w:tcPr>
          <w:p w14:paraId="5183F59E" w14:textId="77777777" w:rsidR="00D51707" w:rsidRPr="00026EC1" w:rsidRDefault="00D51707" w:rsidP="00A64613">
            <w:pPr>
              <w:keepNext w:val="0"/>
              <w:tabs>
                <w:tab w:val="left" w:pos="4500"/>
              </w:tabs>
            </w:pPr>
          </w:p>
        </w:tc>
        <w:tc>
          <w:tcPr>
            <w:tcW w:w="2283" w:type="dxa"/>
          </w:tcPr>
          <w:p w14:paraId="4E729F3D" w14:textId="77777777" w:rsidR="00D51707" w:rsidRPr="00026EC1" w:rsidRDefault="00D51707" w:rsidP="00A64613">
            <w:pPr>
              <w:keepNext w:val="0"/>
              <w:tabs>
                <w:tab w:val="left" w:pos="4500"/>
              </w:tabs>
            </w:pPr>
          </w:p>
        </w:tc>
      </w:tr>
      <w:tr w:rsidR="00D51707" w:rsidRPr="00026EC1" w14:paraId="653B3621" w14:textId="77777777" w:rsidTr="00372F43">
        <w:trPr>
          <w:cantSplit/>
          <w:jc w:val="center"/>
        </w:trPr>
        <w:tc>
          <w:tcPr>
            <w:tcW w:w="2287" w:type="dxa"/>
            <w:vMerge w:val="restart"/>
          </w:tcPr>
          <w:p w14:paraId="114A8A35" w14:textId="18E3DADC" w:rsidR="00D51707" w:rsidRPr="00026EC1" w:rsidRDefault="00D51707" w:rsidP="00A64613">
            <w:pPr>
              <w:keepNext w:val="0"/>
              <w:tabs>
                <w:tab w:val="left" w:pos="4500"/>
              </w:tabs>
            </w:pPr>
            <w:r w:rsidRPr="00026EC1">
              <w:t xml:space="preserve">Préscolaire, </w:t>
            </w:r>
          </w:p>
          <w:p w14:paraId="73A4BB0A" w14:textId="77777777" w:rsidR="00D51707" w:rsidRPr="00026EC1" w:rsidRDefault="00D51707" w:rsidP="00A64613">
            <w:pPr>
              <w:keepNext w:val="0"/>
              <w:tabs>
                <w:tab w:val="left" w:pos="4500"/>
              </w:tabs>
            </w:pPr>
            <w:r w:rsidRPr="00026EC1">
              <w:t xml:space="preserve">primaire et </w:t>
            </w:r>
          </w:p>
          <w:p w14:paraId="11A859C9" w14:textId="77777777" w:rsidR="00D51707" w:rsidRPr="00026EC1" w:rsidRDefault="00D51707" w:rsidP="00A64613">
            <w:pPr>
              <w:keepNext w:val="0"/>
              <w:tabs>
                <w:tab w:val="left" w:pos="4500"/>
              </w:tabs>
            </w:pPr>
            <w:r w:rsidRPr="00026EC1">
              <w:t>secondaire</w:t>
            </w:r>
          </w:p>
        </w:tc>
        <w:tc>
          <w:tcPr>
            <w:tcW w:w="1525" w:type="dxa"/>
          </w:tcPr>
          <w:p w14:paraId="02891DE9" w14:textId="77777777" w:rsidR="00D51707" w:rsidRPr="00026EC1" w:rsidRDefault="00D51707" w:rsidP="00A64613">
            <w:pPr>
              <w:keepNext w:val="0"/>
              <w:tabs>
                <w:tab w:val="left" w:pos="4500"/>
              </w:tabs>
              <w:jc w:val="center"/>
            </w:pPr>
            <w:r w:rsidRPr="00026EC1">
              <w:t>90</w:t>
            </w:r>
          </w:p>
        </w:tc>
        <w:tc>
          <w:tcPr>
            <w:tcW w:w="2256" w:type="dxa"/>
          </w:tcPr>
          <w:p w14:paraId="614D155C" w14:textId="7B7C269A" w:rsidR="00D51707" w:rsidRPr="00026EC1" w:rsidRDefault="00D51707" w:rsidP="00A64613">
            <w:pPr>
              <w:pStyle w:val="Header"/>
              <w:keepNext w:val="0"/>
              <w:tabs>
                <w:tab w:val="left" w:pos="4500"/>
              </w:tabs>
              <w:spacing w:after="0"/>
              <w:ind w:left="320"/>
              <w:jc w:val="left"/>
            </w:pPr>
            <w:r w:rsidRPr="00026EC1">
              <w:t>18 x 22 = 396</w:t>
            </w:r>
          </w:p>
        </w:tc>
        <w:tc>
          <w:tcPr>
            <w:tcW w:w="2283" w:type="dxa"/>
          </w:tcPr>
          <w:p w14:paraId="65396096" w14:textId="77777777" w:rsidR="00D51707" w:rsidRPr="00026EC1" w:rsidRDefault="00D51707" w:rsidP="00A64613">
            <w:pPr>
              <w:pStyle w:val="Header"/>
              <w:keepNext w:val="0"/>
              <w:tabs>
                <w:tab w:val="left" w:pos="4500"/>
              </w:tabs>
              <w:spacing w:after="0"/>
            </w:pPr>
            <w:r w:rsidRPr="00026EC1">
              <w:t>0,50</w:t>
            </w:r>
          </w:p>
        </w:tc>
      </w:tr>
      <w:tr w:rsidR="00D51707" w:rsidRPr="00026EC1" w14:paraId="7FF61986" w14:textId="77777777" w:rsidTr="00372F43">
        <w:trPr>
          <w:cantSplit/>
          <w:jc w:val="center"/>
        </w:trPr>
        <w:tc>
          <w:tcPr>
            <w:tcW w:w="2287" w:type="dxa"/>
            <w:vMerge/>
          </w:tcPr>
          <w:p w14:paraId="2B986F73" w14:textId="77777777" w:rsidR="00D51707" w:rsidRPr="00026EC1" w:rsidRDefault="00D51707" w:rsidP="00A64613">
            <w:pPr>
              <w:keepNext w:val="0"/>
              <w:tabs>
                <w:tab w:val="left" w:pos="4500"/>
              </w:tabs>
            </w:pPr>
          </w:p>
        </w:tc>
        <w:tc>
          <w:tcPr>
            <w:tcW w:w="1525" w:type="dxa"/>
          </w:tcPr>
          <w:p w14:paraId="11F851FE" w14:textId="77777777" w:rsidR="00D51707" w:rsidRPr="00026EC1" w:rsidRDefault="00D51707" w:rsidP="00A64613">
            <w:pPr>
              <w:keepNext w:val="0"/>
              <w:tabs>
                <w:tab w:val="left" w:pos="4500"/>
              </w:tabs>
              <w:jc w:val="center"/>
            </w:pPr>
            <w:r w:rsidRPr="00026EC1">
              <w:t>135</w:t>
            </w:r>
          </w:p>
        </w:tc>
        <w:tc>
          <w:tcPr>
            <w:tcW w:w="2256" w:type="dxa"/>
          </w:tcPr>
          <w:p w14:paraId="7E6E2E20" w14:textId="1CF9F412" w:rsidR="00D51707" w:rsidRPr="00026EC1" w:rsidRDefault="00D51707" w:rsidP="00A64613">
            <w:pPr>
              <w:keepNext w:val="0"/>
              <w:tabs>
                <w:tab w:val="left" w:pos="4500"/>
              </w:tabs>
              <w:ind w:left="320"/>
              <w:jc w:val="left"/>
            </w:pPr>
            <w:r w:rsidRPr="00026EC1">
              <w:t>27</w:t>
            </w:r>
            <w:r w:rsidR="0084520F" w:rsidRPr="00026EC1">
              <w:t xml:space="preserve"> </w:t>
            </w:r>
            <w:r w:rsidRPr="00026EC1">
              <w:t>x 22 = 594</w:t>
            </w:r>
          </w:p>
        </w:tc>
        <w:tc>
          <w:tcPr>
            <w:tcW w:w="2283" w:type="dxa"/>
          </w:tcPr>
          <w:p w14:paraId="63EC6BF2" w14:textId="77777777" w:rsidR="00D51707" w:rsidRPr="00026EC1" w:rsidRDefault="00D51707" w:rsidP="00A64613">
            <w:pPr>
              <w:keepNext w:val="0"/>
              <w:tabs>
                <w:tab w:val="left" w:pos="4500"/>
              </w:tabs>
              <w:jc w:val="center"/>
            </w:pPr>
            <w:r w:rsidRPr="00026EC1">
              <w:t>0,75</w:t>
            </w:r>
          </w:p>
        </w:tc>
      </w:tr>
      <w:tr w:rsidR="00D51707" w:rsidRPr="00026EC1" w14:paraId="65DFAC28" w14:textId="77777777" w:rsidTr="00372F43">
        <w:trPr>
          <w:jc w:val="center"/>
        </w:trPr>
        <w:tc>
          <w:tcPr>
            <w:tcW w:w="2287" w:type="dxa"/>
          </w:tcPr>
          <w:p w14:paraId="1F3E1820" w14:textId="77777777" w:rsidR="00D51707" w:rsidRPr="00026EC1" w:rsidRDefault="00D51707" w:rsidP="00A64613">
            <w:pPr>
              <w:keepNext w:val="0"/>
              <w:tabs>
                <w:tab w:val="left" w:pos="4500"/>
              </w:tabs>
            </w:pPr>
          </w:p>
        </w:tc>
        <w:tc>
          <w:tcPr>
            <w:tcW w:w="1525" w:type="dxa"/>
          </w:tcPr>
          <w:p w14:paraId="2C305393" w14:textId="77777777" w:rsidR="00D51707" w:rsidRPr="00026EC1" w:rsidRDefault="00D51707" w:rsidP="00A64613">
            <w:pPr>
              <w:keepNext w:val="0"/>
              <w:tabs>
                <w:tab w:val="left" w:pos="4500"/>
              </w:tabs>
              <w:jc w:val="center"/>
            </w:pPr>
          </w:p>
        </w:tc>
        <w:tc>
          <w:tcPr>
            <w:tcW w:w="2256" w:type="dxa"/>
          </w:tcPr>
          <w:p w14:paraId="550300F9" w14:textId="77777777" w:rsidR="00D51707" w:rsidRPr="00026EC1" w:rsidRDefault="00D51707" w:rsidP="00A64613">
            <w:pPr>
              <w:keepNext w:val="0"/>
              <w:tabs>
                <w:tab w:val="left" w:pos="4500"/>
              </w:tabs>
              <w:ind w:left="320"/>
              <w:jc w:val="left"/>
            </w:pPr>
          </w:p>
        </w:tc>
        <w:tc>
          <w:tcPr>
            <w:tcW w:w="2283" w:type="dxa"/>
          </w:tcPr>
          <w:p w14:paraId="6F4930BD" w14:textId="77777777" w:rsidR="00D51707" w:rsidRPr="00026EC1" w:rsidRDefault="00D51707" w:rsidP="00A64613">
            <w:pPr>
              <w:keepNext w:val="0"/>
              <w:tabs>
                <w:tab w:val="left" w:pos="4500"/>
              </w:tabs>
              <w:jc w:val="center"/>
            </w:pPr>
          </w:p>
        </w:tc>
      </w:tr>
      <w:tr w:rsidR="00D51707" w:rsidRPr="00026EC1" w14:paraId="5ECA76F3" w14:textId="77777777" w:rsidTr="00372F43">
        <w:trPr>
          <w:cantSplit/>
          <w:jc w:val="center"/>
        </w:trPr>
        <w:tc>
          <w:tcPr>
            <w:tcW w:w="2287" w:type="dxa"/>
            <w:vMerge w:val="restart"/>
          </w:tcPr>
          <w:p w14:paraId="50DC7124" w14:textId="502D65E6" w:rsidR="00D51707" w:rsidRPr="00026EC1" w:rsidRDefault="00D51707" w:rsidP="00A64613">
            <w:pPr>
              <w:keepNext w:val="0"/>
              <w:tabs>
                <w:tab w:val="left" w:pos="4500"/>
              </w:tabs>
            </w:pPr>
            <w:r w:rsidRPr="00026EC1">
              <w:t>Post</w:t>
            </w:r>
            <w:r w:rsidR="00984A6F">
              <w:noBreakHyphen/>
            </w:r>
            <w:r w:rsidRPr="00026EC1">
              <w:t>secondaire autre que dans un cégep</w:t>
            </w:r>
          </w:p>
        </w:tc>
        <w:tc>
          <w:tcPr>
            <w:tcW w:w="1525" w:type="dxa"/>
          </w:tcPr>
          <w:p w14:paraId="33ED6086" w14:textId="77777777" w:rsidR="00D51707" w:rsidRPr="00026EC1" w:rsidRDefault="00D51707" w:rsidP="00A64613">
            <w:pPr>
              <w:keepNext w:val="0"/>
              <w:tabs>
                <w:tab w:val="left" w:pos="4500"/>
              </w:tabs>
              <w:jc w:val="center"/>
            </w:pPr>
            <w:r w:rsidRPr="00026EC1">
              <w:t>90</w:t>
            </w:r>
          </w:p>
        </w:tc>
        <w:tc>
          <w:tcPr>
            <w:tcW w:w="2256" w:type="dxa"/>
          </w:tcPr>
          <w:p w14:paraId="349CC47B" w14:textId="066ACEB0" w:rsidR="00D51707" w:rsidRPr="00026EC1" w:rsidRDefault="00D51707" w:rsidP="00A64613">
            <w:pPr>
              <w:keepNext w:val="0"/>
              <w:tabs>
                <w:tab w:val="left" w:pos="4500"/>
              </w:tabs>
              <w:ind w:left="320"/>
              <w:jc w:val="left"/>
            </w:pPr>
            <w:r w:rsidRPr="00026EC1">
              <w:t>18 x 15 = 270</w:t>
            </w:r>
          </w:p>
        </w:tc>
        <w:tc>
          <w:tcPr>
            <w:tcW w:w="2283" w:type="dxa"/>
          </w:tcPr>
          <w:p w14:paraId="7D2A6751" w14:textId="77777777" w:rsidR="00D51707" w:rsidRPr="00026EC1" w:rsidRDefault="00D51707" w:rsidP="00A64613">
            <w:pPr>
              <w:pStyle w:val="Header"/>
              <w:keepNext w:val="0"/>
              <w:tabs>
                <w:tab w:val="left" w:pos="4500"/>
              </w:tabs>
              <w:spacing w:after="0"/>
            </w:pPr>
            <w:r w:rsidRPr="00026EC1">
              <w:t>0,50</w:t>
            </w:r>
          </w:p>
        </w:tc>
      </w:tr>
      <w:tr w:rsidR="00D51707" w:rsidRPr="00026EC1" w14:paraId="5A747CFD" w14:textId="77777777" w:rsidTr="00372F43">
        <w:trPr>
          <w:cantSplit/>
          <w:jc w:val="center"/>
        </w:trPr>
        <w:tc>
          <w:tcPr>
            <w:tcW w:w="2287" w:type="dxa"/>
            <w:vMerge/>
          </w:tcPr>
          <w:p w14:paraId="1842311B" w14:textId="77777777" w:rsidR="00D51707" w:rsidRPr="00026EC1" w:rsidRDefault="00D51707" w:rsidP="00A64613">
            <w:pPr>
              <w:keepNext w:val="0"/>
              <w:tabs>
                <w:tab w:val="left" w:pos="4500"/>
              </w:tabs>
            </w:pPr>
          </w:p>
        </w:tc>
        <w:tc>
          <w:tcPr>
            <w:tcW w:w="1525" w:type="dxa"/>
          </w:tcPr>
          <w:p w14:paraId="3E6290B5" w14:textId="77777777" w:rsidR="00D51707" w:rsidRPr="00026EC1" w:rsidRDefault="00D51707" w:rsidP="00A64613">
            <w:pPr>
              <w:keepNext w:val="0"/>
              <w:tabs>
                <w:tab w:val="left" w:pos="4500"/>
              </w:tabs>
              <w:jc w:val="center"/>
            </w:pPr>
            <w:r w:rsidRPr="00026EC1">
              <w:t>135</w:t>
            </w:r>
          </w:p>
        </w:tc>
        <w:tc>
          <w:tcPr>
            <w:tcW w:w="2256" w:type="dxa"/>
          </w:tcPr>
          <w:p w14:paraId="6656368F" w14:textId="4A87EBBC" w:rsidR="00D51707" w:rsidRPr="00026EC1" w:rsidRDefault="00D51707" w:rsidP="00A64613">
            <w:pPr>
              <w:keepNext w:val="0"/>
              <w:tabs>
                <w:tab w:val="left" w:pos="4500"/>
              </w:tabs>
              <w:ind w:left="320"/>
              <w:jc w:val="left"/>
            </w:pPr>
            <w:r w:rsidRPr="00026EC1">
              <w:t>27 x 15 = 405</w:t>
            </w:r>
          </w:p>
        </w:tc>
        <w:tc>
          <w:tcPr>
            <w:tcW w:w="2283" w:type="dxa"/>
          </w:tcPr>
          <w:p w14:paraId="1477FEBE" w14:textId="77777777" w:rsidR="00D51707" w:rsidRPr="00026EC1" w:rsidRDefault="00D51707" w:rsidP="00A64613">
            <w:pPr>
              <w:keepNext w:val="0"/>
              <w:tabs>
                <w:tab w:val="left" w:pos="4500"/>
              </w:tabs>
              <w:jc w:val="center"/>
            </w:pPr>
            <w:r w:rsidRPr="00026EC1">
              <w:t>0,75</w:t>
            </w:r>
          </w:p>
        </w:tc>
      </w:tr>
      <w:tr w:rsidR="00D51707" w:rsidRPr="00026EC1" w14:paraId="0A2C8C69" w14:textId="77777777" w:rsidTr="00372F43">
        <w:trPr>
          <w:cantSplit/>
          <w:jc w:val="center"/>
        </w:trPr>
        <w:tc>
          <w:tcPr>
            <w:tcW w:w="2287" w:type="dxa"/>
          </w:tcPr>
          <w:p w14:paraId="41EBD811" w14:textId="77777777" w:rsidR="00D51707" w:rsidRPr="00026EC1" w:rsidRDefault="00D51707" w:rsidP="00A64613">
            <w:pPr>
              <w:keepNext w:val="0"/>
              <w:tabs>
                <w:tab w:val="left" w:pos="4500"/>
              </w:tabs>
            </w:pPr>
          </w:p>
        </w:tc>
        <w:tc>
          <w:tcPr>
            <w:tcW w:w="1525" w:type="dxa"/>
          </w:tcPr>
          <w:p w14:paraId="0FCCDC12" w14:textId="77777777" w:rsidR="00D51707" w:rsidRPr="00026EC1" w:rsidRDefault="00D51707" w:rsidP="00A64613">
            <w:pPr>
              <w:keepNext w:val="0"/>
              <w:tabs>
                <w:tab w:val="left" w:pos="4500"/>
              </w:tabs>
              <w:jc w:val="center"/>
            </w:pPr>
          </w:p>
        </w:tc>
        <w:tc>
          <w:tcPr>
            <w:tcW w:w="2256" w:type="dxa"/>
          </w:tcPr>
          <w:p w14:paraId="4123547D" w14:textId="77777777" w:rsidR="00D51707" w:rsidRPr="00026EC1" w:rsidRDefault="00D51707" w:rsidP="00A64613">
            <w:pPr>
              <w:keepNext w:val="0"/>
              <w:tabs>
                <w:tab w:val="left" w:pos="4500"/>
              </w:tabs>
              <w:ind w:left="320"/>
              <w:jc w:val="left"/>
            </w:pPr>
          </w:p>
        </w:tc>
        <w:tc>
          <w:tcPr>
            <w:tcW w:w="2283" w:type="dxa"/>
          </w:tcPr>
          <w:p w14:paraId="036D10DC" w14:textId="77777777" w:rsidR="00D51707" w:rsidRPr="00026EC1" w:rsidRDefault="00D51707" w:rsidP="00A64613">
            <w:pPr>
              <w:keepNext w:val="0"/>
              <w:tabs>
                <w:tab w:val="left" w:pos="4500"/>
              </w:tabs>
              <w:jc w:val="center"/>
            </w:pPr>
          </w:p>
        </w:tc>
      </w:tr>
      <w:tr w:rsidR="00D51707" w:rsidRPr="00026EC1" w14:paraId="6B2A79B2" w14:textId="77777777" w:rsidTr="00372F43">
        <w:trPr>
          <w:cantSplit/>
          <w:jc w:val="center"/>
        </w:trPr>
        <w:tc>
          <w:tcPr>
            <w:tcW w:w="2287" w:type="dxa"/>
            <w:vMerge w:val="restart"/>
          </w:tcPr>
          <w:p w14:paraId="6A134C5E" w14:textId="77777777" w:rsidR="00D51707" w:rsidRPr="00026EC1" w:rsidRDefault="00D51707" w:rsidP="00A64613">
            <w:pPr>
              <w:keepNext w:val="0"/>
              <w:tabs>
                <w:tab w:val="left" w:pos="4500"/>
              </w:tabs>
            </w:pPr>
            <w:r w:rsidRPr="00026EC1">
              <w:t>Universitaire</w:t>
            </w:r>
          </w:p>
        </w:tc>
        <w:tc>
          <w:tcPr>
            <w:tcW w:w="1525" w:type="dxa"/>
          </w:tcPr>
          <w:p w14:paraId="0165A325" w14:textId="77777777" w:rsidR="00D51707" w:rsidRPr="00026EC1" w:rsidRDefault="00D51707" w:rsidP="00A64613">
            <w:pPr>
              <w:keepNext w:val="0"/>
              <w:tabs>
                <w:tab w:val="left" w:pos="4500"/>
              </w:tabs>
              <w:jc w:val="center"/>
            </w:pPr>
            <w:r w:rsidRPr="00026EC1">
              <w:t>90</w:t>
            </w:r>
          </w:p>
        </w:tc>
        <w:tc>
          <w:tcPr>
            <w:tcW w:w="2256" w:type="dxa"/>
          </w:tcPr>
          <w:p w14:paraId="3330729F" w14:textId="256CFA2A" w:rsidR="00D51707" w:rsidRPr="00026EC1" w:rsidRDefault="00D51707" w:rsidP="00A64613">
            <w:pPr>
              <w:keepNext w:val="0"/>
              <w:tabs>
                <w:tab w:val="left" w:pos="4500"/>
              </w:tabs>
              <w:ind w:left="320"/>
              <w:jc w:val="left"/>
            </w:pPr>
            <w:r w:rsidRPr="00026EC1">
              <w:t>18 x 8 = 144</w:t>
            </w:r>
          </w:p>
        </w:tc>
        <w:tc>
          <w:tcPr>
            <w:tcW w:w="2283" w:type="dxa"/>
          </w:tcPr>
          <w:p w14:paraId="64AA0FBC" w14:textId="77777777" w:rsidR="00D51707" w:rsidRPr="00026EC1" w:rsidRDefault="00D51707" w:rsidP="00A64613">
            <w:pPr>
              <w:pStyle w:val="Header"/>
              <w:keepNext w:val="0"/>
              <w:tabs>
                <w:tab w:val="left" w:pos="4500"/>
              </w:tabs>
              <w:spacing w:after="0"/>
            </w:pPr>
            <w:r w:rsidRPr="00026EC1">
              <w:t>0,50</w:t>
            </w:r>
          </w:p>
        </w:tc>
      </w:tr>
      <w:tr w:rsidR="00D51707" w:rsidRPr="00026EC1" w14:paraId="1FBD2FE4" w14:textId="77777777" w:rsidTr="00372F43">
        <w:trPr>
          <w:cantSplit/>
          <w:jc w:val="center"/>
        </w:trPr>
        <w:tc>
          <w:tcPr>
            <w:tcW w:w="2287" w:type="dxa"/>
            <w:vMerge/>
          </w:tcPr>
          <w:p w14:paraId="578B9474" w14:textId="77777777" w:rsidR="00D51707" w:rsidRPr="00026EC1" w:rsidRDefault="00D51707" w:rsidP="00A64613">
            <w:pPr>
              <w:keepNext w:val="0"/>
              <w:tabs>
                <w:tab w:val="left" w:pos="4500"/>
              </w:tabs>
            </w:pPr>
          </w:p>
        </w:tc>
        <w:tc>
          <w:tcPr>
            <w:tcW w:w="1525" w:type="dxa"/>
          </w:tcPr>
          <w:p w14:paraId="20CB0A79" w14:textId="77777777" w:rsidR="00D51707" w:rsidRPr="00026EC1" w:rsidRDefault="00D51707" w:rsidP="00A64613">
            <w:pPr>
              <w:keepNext w:val="0"/>
              <w:tabs>
                <w:tab w:val="left" w:pos="4500"/>
              </w:tabs>
              <w:jc w:val="center"/>
            </w:pPr>
            <w:r w:rsidRPr="00026EC1">
              <w:t>135</w:t>
            </w:r>
          </w:p>
        </w:tc>
        <w:tc>
          <w:tcPr>
            <w:tcW w:w="2256" w:type="dxa"/>
          </w:tcPr>
          <w:p w14:paraId="285D7FC0" w14:textId="4F770E50" w:rsidR="00D51707" w:rsidRPr="00026EC1" w:rsidRDefault="00D51707" w:rsidP="00A64613">
            <w:pPr>
              <w:keepNext w:val="0"/>
              <w:tabs>
                <w:tab w:val="left" w:pos="4500"/>
              </w:tabs>
              <w:ind w:left="320"/>
              <w:jc w:val="left"/>
            </w:pPr>
            <w:r w:rsidRPr="00026EC1">
              <w:t>27 x 8 = 216</w:t>
            </w:r>
          </w:p>
        </w:tc>
        <w:tc>
          <w:tcPr>
            <w:tcW w:w="2283" w:type="dxa"/>
          </w:tcPr>
          <w:p w14:paraId="25FAC0A5" w14:textId="77777777" w:rsidR="00D51707" w:rsidRPr="00026EC1" w:rsidRDefault="00D51707" w:rsidP="00A64613">
            <w:pPr>
              <w:keepNext w:val="0"/>
              <w:tabs>
                <w:tab w:val="left" w:pos="4500"/>
              </w:tabs>
              <w:jc w:val="center"/>
            </w:pPr>
            <w:r w:rsidRPr="00026EC1">
              <w:t>0,75</w:t>
            </w:r>
          </w:p>
        </w:tc>
      </w:tr>
      <w:tr w:rsidR="00D51707" w:rsidRPr="00026EC1" w14:paraId="0BC234FB" w14:textId="77777777" w:rsidTr="00372F43">
        <w:trPr>
          <w:cantSplit/>
          <w:jc w:val="center"/>
        </w:trPr>
        <w:tc>
          <w:tcPr>
            <w:tcW w:w="2287" w:type="dxa"/>
          </w:tcPr>
          <w:p w14:paraId="37E30F47" w14:textId="77777777" w:rsidR="00D51707" w:rsidRPr="00026EC1" w:rsidRDefault="00D51707" w:rsidP="00A64613">
            <w:pPr>
              <w:keepNext w:val="0"/>
              <w:tabs>
                <w:tab w:val="left" w:pos="4500"/>
              </w:tabs>
            </w:pPr>
          </w:p>
        </w:tc>
        <w:tc>
          <w:tcPr>
            <w:tcW w:w="1525" w:type="dxa"/>
          </w:tcPr>
          <w:p w14:paraId="1CCDDB48" w14:textId="77777777" w:rsidR="00D51707" w:rsidRPr="00026EC1" w:rsidRDefault="00D51707" w:rsidP="00A64613">
            <w:pPr>
              <w:keepNext w:val="0"/>
              <w:tabs>
                <w:tab w:val="left" w:pos="4500"/>
              </w:tabs>
              <w:jc w:val="center"/>
            </w:pPr>
          </w:p>
        </w:tc>
        <w:tc>
          <w:tcPr>
            <w:tcW w:w="2256" w:type="dxa"/>
          </w:tcPr>
          <w:p w14:paraId="20620D62" w14:textId="77777777" w:rsidR="00D51707" w:rsidRPr="00026EC1" w:rsidRDefault="00D51707" w:rsidP="00A64613">
            <w:pPr>
              <w:keepNext w:val="0"/>
              <w:tabs>
                <w:tab w:val="left" w:pos="4500"/>
              </w:tabs>
              <w:jc w:val="center"/>
            </w:pPr>
          </w:p>
        </w:tc>
        <w:tc>
          <w:tcPr>
            <w:tcW w:w="2283" w:type="dxa"/>
          </w:tcPr>
          <w:p w14:paraId="6CA8333A" w14:textId="77777777" w:rsidR="00D51707" w:rsidRPr="00026EC1" w:rsidRDefault="00D51707" w:rsidP="00A64613">
            <w:pPr>
              <w:keepNext w:val="0"/>
              <w:tabs>
                <w:tab w:val="left" w:pos="4500"/>
              </w:tabs>
              <w:jc w:val="center"/>
            </w:pPr>
          </w:p>
        </w:tc>
      </w:tr>
    </w:tbl>
    <w:p w14:paraId="34772CDE" w14:textId="533CF1BA" w:rsidR="00D51707" w:rsidRPr="00026EC1" w:rsidRDefault="00275751" w:rsidP="00A64613">
      <w:pPr>
        <w:keepNext w:val="0"/>
        <w:tabs>
          <w:tab w:val="left" w:pos="567"/>
        </w:tabs>
        <w:ind w:left="567" w:hanging="567"/>
      </w:pPr>
      <w:r w:rsidRPr="00026EC1">
        <w:t>d)</w:t>
      </w:r>
      <w:r w:rsidRPr="00026EC1">
        <w:tab/>
      </w:r>
      <w:r w:rsidR="00D51707" w:rsidRPr="00026EC1">
        <w:t>dans un cégep, le temps d</w:t>
      </w:r>
      <w:r w:rsidR="004A41E4" w:rsidRPr="00026EC1">
        <w:t>’</w:t>
      </w:r>
      <w:r w:rsidR="00D51707" w:rsidRPr="00026EC1">
        <w:t>enseignement à titre d</w:t>
      </w:r>
      <w:r w:rsidR="004A41E4" w:rsidRPr="00026EC1">
        <w:t>’</w:t>
      </w:r>
      <w:r w:rsidR="00D51707" w:rsidRPr="00026EC1">
        <w:t>enseignante ou d</w:t>
      </w:r>
      <w:r w:rsidR="004A41E4" w:rsidRPr="00026EC1">
        <w:t>’</w:t>
      </w:r>
      <w:r w:rsidR="00D51707" w:rsidRPr="00026EC1">
        <w:t>enseignant à temps partiel ou chargé de cours peut être accumulé pour constituer une</w:t>
      </w:r>
      <w:r w:rsidR="00805160" w:rsidRPr="00026EC1">
        <w:t xml:space="preserve"> (1)</w:t>
      </w:r>
      <w:r w:rsidR="00D51707" w:rsidRPr="00026EC1">
        <w:t xml:space="preserve"> année d</w:t>
      </w:r>
      <w:r w:rsidR="004A41E4" w:rsidRPr="00026EC1">
        <w:t>’</w:t>
      </w:r>
      <w:r w:rsidR="00D51707" w:rsidRPr="00026EC1">
        <w:t>expérience et correspond à la charge d</w:t>
      </w:r>
      <w:r w:rsidR="004A41E4" w:rsidRPr="00026EC1">
        <w:t>’</w:t>
      </w:r>
      <w:r w:rsidR="00D51707" w:rsidRPr="00026EC1">
        <w:t>enseignement exprimée en équivalent temps complet</w:t>
      </w:r>
      <w:r w:rsidR="004C48E0">
        <w:t> </w:t>
      </w:r>
      <w:r w:rsidR="00D51707" w:rsidRPr="00026EC1">
        <w:t>(ETC) selon la clause</w:t>
      </w:r>
      <w:r w:rsidR="000C4E0C" w:rsidRPr="00026EC1">
        <w:t> </w:t>
      </w:r>
      <w:r w:rsidR="00D51707" w:rsidRPr="00026EC1">
        <w:t>8</w:t>
      </w:r>
      <w:r w:rsidR="00984A6F">
        <w:noBreakHyphen/>
      </w:r>
      <w:r w:rsidR="00D51707" w:rsidRPr="00026EC1">
        <w:t>5.12; il est calculé par année d</w:t>
      </w:r>
      <w:r w:rsidR="004A41E4" w:rsidRPr="00026EC1">
        <w:t>’</w:t>
      </w:r>
      <w:r w:rsidR="00D51707" w:rsidRPr="00026EC1">
        <w:t>engagement selon la disposition suivante</w:t>
      </w:r>
      <w:r w:rsidR="00D8581B">
        <w:t> :</w:t>
      </w:r>
    </w:p>
    <w:p w14:paraId="5B011684" w14:textId="77777777" w:rsidR="00D51707" w:rsidRPr="00026EC1" w:rsidRDefault="00D51707" w:rsidP="00A64613">
      <w:pPr>
        <w:pStyle w:val="Texte1cm00000"/>
        <w:keepNext w:val="0"/>
      </w:pPr>
    </w:p>
    <w:p w14:paraId="53C9A5EF" w14:textId="2AE20A4D" w:rsidR="00D51707" w:rsidRPr="00026EC1" w:rsidRDefault="00275751" w:rsidP="00A64613">
      <w:pPr>
        <w:keepNext w:val="0"/>
        <w:tabs>
          <w:tab w:val="left" w:pos="924"/>
        </w:tabs>
        <w:ind w:left="927" w:hanging="360"/>
      </w:pPr>
      <w:r w:rsidRPr="00026EC1">
        <w:rPr>
          <w:rFonts w:ascii="Symbol" w:hAnsi="Symbol"/>
        </w:rPr>
        <w:t></w:t>
      </w:r>
      <w:r w:rsidRPr="00026EC1">
        <w:rPr>
          <w:rFonts w:ascii="Symbol" w:hAnsi="Symbol"/>
        </w:rPr>
        <w:tab/>
      </w:r>
      <w:r w:rsidR="00D51707" w:rsidRPr="00026EC1">
        <w:tab/>
        <w:t>le nombre requis pour constituer une</w:t>
      </w:r>
      <w:r w:rsidR="004C48E0">
        <w:t> </w:t>
      </w:r>
      <w:r w:rsidR="00805160" w:rsidRPr="00026EC1">
        <w:t>(1)</w:t>
      </w:r>
      <w:r w:rsidR="00D51707" w:rsidRPr="00026EC1">
        <w:t xml:space="preserve"> année d</w:t>
      </w:r>
      <w:r w:rsidR="004A41E4" w:rsidRPr="00026EC1">
        <w:t>’</w:t>
      </w:r>
      <w:r w:rsidR="00D51707" w:rsidRPr="00026EC1">
        <w:t>expérience est l</w:t>
      </w:r>
      <w:r w:rsidR="004A41E4" w:rsidRPr="00026EC1">
        <w:t>’</w:t>
      </w:r>
      <w:r w:rsidR="00D51707" w:rsidRPr="00026EC1">
        <w:t>équivalent de zéro virgule cinq</w:t>
      </w:r>
      <w:r w:rsidR="004C48E0">
        <w:t> </w:t>
      </w:r>
      <w:r w:rsidR="00D51707" w:rsidRPr="00026EC1">
        <w:t>(0,5) ETC; cependant, une enseignante ou un enseignant ne peut commencer à accumuler une</w:t>
      </w:r>
      <w:r w:rsidR="004C48E0">
        <w:t> </w:t>
      </w:r>
      <w:r w:rsidR="00805160" w:rsidRPr="00026EC1">
        <w:t>(1)</w:t>
      </w:r>
      <w:r w:rsidR="00D51707" w:rsidRPr="00026EC1">
        <w:t xml:space="preserve"> nouvelle année d</w:t>
      </w:r>
      <w:r w:rsidR="004A41E4" w:rsidRPr="00026EC1">
        <w:t>’</w:t>
      </w:r>
      <w:r w:rsidR="00D51707" w:rsidRPr="00026EC1">
        <w:t>expérience que lorsqu</w:t>
      </w:r>
      <w:r w:rsidR="004A41E4" w:rsidRPr="00026EC1">
        <w:t>’</w:t>
      </w:r>
      <w:r w:rsidR="00D51707" w:rsidRPr="00026EC1">
        <w:t>elle ou il a cumulé l</w:t>
      </w:r>
      <w:r w:rsidR="004A41E4" w:rsidRPr="00026EC1">
        <w:t>’</w:t>
      </w:r>
      <w:r w:rsidR="00D51707" w:rsidRPr="00026EC1">
        <w:t>équivalent de zéro virgule soixante</w:t>
      </w:r>
      <w:r w:rsidR="00984A6F">
        <w:noBreakHyphen/>
      </w:r>
      <w:r w:rsidR="00D51707" w:rsidRPr="00026EC1">
        <w:t>quinze</w:t>
      </w:r>
      <w:r w:rsidR="004C48E0">
        <w:t> </w:t>
      </w:r>
      <w:r w:rsidR="00D51707" w:rsidRPr="00026EC1">
        <w:t>(0,75) ETC;</w:t>
      </w:r>
    </w:p>
    <w:p w14:paraId="79EFB5CF" w14:textId="77777777" w:rsidR="00D51707" w:rsidRPr="00026EC1" w:rsidRDefault="00D51707" w:rsidP="00A64613">
      <w:pPr>
        <w:pStyle w:val="Texte1cm00000"/>
        <w:keepNext w:val="0"/>
      </w:pPr>
    </w:p>
    <w:p w14:paraId="7C1ECD4B" w14:textId="77777777" w:rsidR="00D51707" w:rsidRPr="00026EC1" w:rsidRDefault="00275751" w:rsidP="00A64613">
      <w:pPr>
        <w:keepNext w:val="0"/>
        <w:tabs>
          <w:tab w:val="left" w:pos="567"/>
          <w:tab w:val="left" w:pos="4500"/>
        </w:tabs>
        <w:ind w:left="567" w:hanging="567"/>
      </w:pPr>
      <w:r w:rsidRPr="00026EC1">
        <w:t>e)</w:t>
      </w:r>
      <w:r w:rsidRPr="00026EC1">
        <w:tab/>
      </w:r>
      <w:r w:rsidR="00D51707" w:rsidRPr="00026EC1">
        <w:t>l</w:t>
      </w:r>
      <w:r w:rsidR="004A41E4" w:rsidRPr="00026EC1">
        <w:t>’</w:t>
      </w:r>
      <w:r w:rsidR="00D51707" w:rsidRPr="00026EC1">
        <w:t>année d</w:t>
      </w:r>
      <w:r w:rsidR="004A41E4" w:rsidRPr="00026EC1">
        <w:t>’</w:t>
      </w:r>
      <w:r w:rsidR="00D51707" w:rsidRPr="00026EC1">
        <w:t>enseignement pendant laquelle une enseignante ou un enseignant, malgré une ou plusieurs périodes d</w:t>
      </w:r>
      <w:r w:rsidR="004A41E4" w:rsidRPr="00026EC1">
        <w:t>’</w:t>
      </w:r>
      <w:r w:rsidR="00D51707" w:rsidRPr="00026EC1">
        <w:t>invalidité, fournit sa disponibilité pendant au moins cinq (5) mois;</w:t>
      </w:r>
    </w:p>
    <w:p w14:paraId="44B6A344" w14:textId="77777777" w:rsidR="00D51707" w:rsidRDefault="00D51707" w:rsidP="00A64613">
      <w:pPr>
        <w:pStyle w:val="Texte1cm00000"/>
        <w:keepNext w:val="0"/>
      </w:pPr>
    </w:p>
    <w:p w14:paraId="7A44258C" w14:textId="7EFCADCD" w:rsidR="00F6348C" w:rsidRPr="00B44130" w:rsidRDefault="00F6348C" w:rsidP="00A64613">
      <w:pPr>
        <w:keepNext w:val="0"/>
        <w:ind w:left="567"/>
        <w:rPr>
          <w:rFonts w:cs="Arial"/>
          <w:szCs w:val="24"/>
        </w:rPr>
      </w:pPr>
      <w:r w:rsidRPr="00B44130">
        <w:rPr>
          <w:rFonts w:cs="Arial"/>
          <w:szCs w:val="24"/>
        </w:rPr>
        <w:t>cependant, à compter de l’année d’engagement 2021</w:t>
      </w:r>
      <w:r w:rsidR="00984A6F">
        <w:rPr>
          <w:rFonts w:cs="Arial"/>
          <w:szCs w:val="24"/>
        </w:rPr>
        <w:noBreakHyphen/>
      </w:r>
      <w:r w:rsidRPr="00B44130">
        <w:rPr>
          <w:rFonts w:cs="Arial"/>
          <w:szCs w:val="24"/>
        </w:rPr>
        <w:t xml:space="preserve">2022, les périodes d’invalidité </w:t>
      </w:r>
      <w:r w:rsidR="00EC5D0B" w:rsidRPr="00316277">
        <w:rPr>
          <w:rFonts w:cs="Arial"/>
          <w:szCs w:val="24"/>
        </w:rPr>
        <w:t>de cent quatre</w:t>
      </w:r>
      <w:r w:rsidR="00537465" w:rsidRPr="00316277">
        <w:rPr>
          <w:rFonts w:cs="Arial"/>
          <w:szCs w:val="24"/>
        </w:rPr>
        <w:t> </w:t>
      </w:r>
      <w:r w:rsidR="00EC5D0B" w:rsidRPr="00316277">
        <w:rPr>
          <w:rFonts w:cs="Arial"/>
          <w:szCs w:val="24"/>
        </w:rPr>
        <w:t>(104) semaines et moins</w:t>
      </w:r>
      <w:r w:rsidR="00EC5D0B">
        <w:rPr>
          <w:rFonts w:cs="Arial"/>
          <w:szCs w:val="24"/>
        </w:rPr>
        <w:t xml:space="preserve"> </w:t>
      </w:r>
      <w:r w:rsidRPr="00B44130">
        <w:rPr>
          <w:rFonts w:cs="Arial"/>
          <w:szCs w:val="24"/>
        </w:rPr>
        <w:t xml:space="preserve">sont reconnues comme si l’enseignante ou l’enseignant était au travail; </w:t>
      </w:r>
    </w:p>
    <w:p w14:paraId="28AC6FA2" w14:textId="77777777" w:rsidR="00184D5F" w:rsidRPr="00B44130" w:rsidRDefault="00184D5F" w:rsidP="00A64613">
      <w:pPr>
        <w:pStyle w:val="Texte1cm00000"/>
        <w:keepNext w:val="0"/>
      </w:pPr>
    </w:p>
    <w:p w14:paraId="6EB82C62" w14:textId="79C4CB9E" w:rsidR="005165F2" w:rsidRPr="00B44130" w:rsidRDefault="005165F2" w:rsidP="00A64613">
      <w:pPr>
        <w:keepNext w:val="0"/>
        <w:ind w:left="567" w:hanging="567"/>
      </w:pPr>
      <w:r w:rsidRPr="00B44130">
        <w:t>f)</w:t>
      </w:r>
      <w:r w:rsidRPr="00B44130">
        <w:tab/>
        <w:t>les activités prévues à la clause</w:t>
      </w:r>
      <w:r w:rsidR="004C48E0">
        <w:t> </w:t>
      </w:r>
      <w:r w:rsidRPr="00B44130">
        <w:t>6</w:t>
      </w:r>
      <w:r w:rsidR="00984A6F">
        <w:noBreakHyphen/>
      </w:r>
      <w:r w:rsidRPr="00B44130">
        <w:t>1.04</w:t>
      </w:r>
      <w:r w:rsidR="001C6030">
        <w:t xml:space="preserve"> </w:t>
      </w:r>
      <w:r w:rsidRPr="00B44130">
        <w:t>sont reconnues à titre d’expérience professionnelle et la règle suivante s’applique</w:t>
      </w:r>
      <w:r w:rsidR="00D8581B" w:rsidRPr="00B44130">
        <w:t> :</w:t>
      </w:r>
    </w:p>
    <w:p w14:paraId="2A8BA5D0" w14:textId="77777777" w:rsidR="005165F2" w:rsidRPr="00B44130" w:rsidRDefault="005165F2" w:rsidP="00A64613">
      <w:pPr>
        <w:keepNext w:val="0"/>
        <w:ind w:left="567" w:hanging="567"/>
      </w:pPr>
    </w:p>
    <w:tbl>
      <w:tblPr>
        <w:tblW w:w="7218" w:type="dxa"/>
        <w:jc w:val="center"/>
        <w:tblCellMar>
          <w:left w:w="70" w:type="dxa"/>
          <w:right w:w="70" w:type="dxa"/>
        </w:tblCellMar>
        <w:tblLook w:val="0000" w:firstRow="0" w:lastRow="0" w:firstColumn="0" w:lastColumn="0" w:noHBand="0" w:noVBand="0"/>
      </w:tblPr>
      <w:tblGrid>
        <w:gridCol w:w="2268"/>
        <w:gridCol w:w="718"/>
        <w:gridCol w:w="1538"/>
        <w:gridCol w:w="2694"/>
      </w:tblGrid>
      <w:tr w:rsidR="005165F2" w:rsidRPr="00B44130" w14:paraId="4D853992" w14:textId="77777777" w:rsidTr="003142F7">
        <w:trPr>
          <w:jc w:val="center"/>
        </w:trPr>
        <w:tc>
          <w:tcPr>
            <w:tcW w:w="2268" w:type="dxa"/>
          </w:tcPr>
          <w:p w14:paraId="4A64D9EE" w14:textId="77777777" w:rsidR="005165F2" w:rsidRPr="00B44130" w:rsidRDefault="005165F2" w:rsidP="00A64613">
            <w:pPr>
              <w:keepNext w:val="0"/>
            </w:pPr>
          </w:p>
        </w:tc>
        <w:tc>
          <w:tcPr>
            <w:tcW w:w="718" w:type="dxa"/>
          </w:tcPr>
          <w:p w14:paraId="1A09503C" w14:textId="77777777" w:rsidR="005165F2" w:rsidRPr="00B44130" w:rsidRDefault="005165F2" w:rsidP="00A64613">
            <w:pPr>
              <w:keepNext w:val="0"/>
            </w:pPr>
          </w:p>
        </w:tc>
        <w:tc>
          <w:tcPr>
            <w:tcW w:w="1538" w:type="dxa"/>
          </w:tcPr>
          <w:p w14:paraId="7257E04A" w14:textId="77777777" w:rsidR="005165F2" w:rsidRPr="00B44130" w:rsidRDefault="005165F2" w:rsidP="00A64613">
            <w:pPr>
              <w:keepNext w:val="0"/>
            </w:pPr>
          </w:p>
        </w:tc>
        <w:tc>
          <w:tcPr>
            <w:tcW w:w="2694" w:type="dxa"/>
          </w:tcPr>
          <w:p w14:paraId="30447690" w14:textId="77777777" w:rsidR="005165F2" w:rsidRPr="00B44130" w:rsidRDefault="005165F2" w:rsidP="00A64613">
            <w:pPr>
              <w:keepNext w:val="0"/>
              <w:jc w:val="center"/>
              <w:rPr>
                <w:u w:val="single"/>
              </w:rPr>
            </w:pPr>
            <w:r w:rsidRPr="00B44130">
              <w:rPr>
                <w:u w:val="single"/>
              </w:rPr>
              <w:t>Équivalent en ETC</w:t>
            </w:r>
          </w:p>
        </w:tc>
      </w:tr>
      <w:tr w:rsidR="005165F2" w:rsidRPr="00B44130" w14:paraId="0C214851" w14:textId="77777777" w:rsidTr="003142F7">
        <w:trPr>
          <w:jc w:val="center"/>
        </w:trPr>
        <w:tc>
          <w:tcPr>
            <w:tcW w:w="2268" w:type="dxa"/>
          </w:tcPr>
          <w:p w14:paraId="0AFE65EB" w14:textId="77777777" w:rsidR="005165F2" w:rsidRPr="00B44130" w:rsidRDefault="005165F2" w:rsidP="00A64613">
            <w:pPr>
              <w:keepNext w:val="0"/>
            </w:pPr>
          </w:p>
        </w:tc>
        <w:tc>
          <w:tcPr>
            <w:tcW w:w="718" w:type="dxa"/>
          </w:tcPr>
          <w:p w14:paraId="5C988D9C" w14:textId="77777777" w:rsidR="005165F2" w:rsidRPr="00B44130" w:rsidRDefault="005165F2" w:rsidP="00A64613">
            <w:pPr>
              <w:keepNext w:val="0"/>
            </w:pPr>
          </w:p>
        </w:tc>
        <w:tc>
          <w:tcPr>
            <w:tcW w:w="1538" w:type="dxa"/>
          </w:tcPr>
          <w:p w14:paraId="637D7E13" w14:textId="77777777" w:rsidR="005165F2" w:rsidRPr="00B44130" w:rsidRDefault="005165F2" w:rsidP="00A64613">
            <w:pPr>
              <w:keepNext w:val="0"/>
            </w:pPr>
          </w:p>
        </w:tc>
        <w:tc>
          <w:tcPr>
            <w:tcW w:w="2694" w:type="dxa"/>
          </w:tcPr>
          <w:p w14:paraId="605A8806" w14:textId="77777777" w:rsidR="005165F2" w:rsidRPr="00B44130" w:rsidRDefault="005165F2" w:rsidP="00A64613">
            <w:pPr>
              <w:keepNext w:val="0"/>
              <w:jc w:val="center"/>
              <w:rPr>
                <w:u w:val="single"/>
              </w:rPr>
            </w:pPr>
          </w:p>
        </w:tc>
      </w:tr>
      <w:tr w:rsidR="005165F2" w:rsidRPr="00713CB1" w14:paraId="4E05322E" w14:textId="77777777" w:rsidTr="003142F7">
        <w:trPr>
          <w:jc w:val="center"/>
        </w:trPr>
        <w:tc>
          <w:tcPr>
            <w:tcW w:w="2268" w:type="dxa"/>
          </w:tcPr>
          <w:p w14:paraId="73E001BF" w14:textId="77777777" w:rsidR="005165F2" w:rsidRPr="00B44130" w:rsidRDefault="005165F2" w:rsidP="00A64613">
            <w:pPr>
              <w:keepNext w:val="0"/>
            </w:pPr>
            <w:r w:rsidRPr="00B44130">
              <w:t>7 heures</w:t>
            </w:r>
          </w:p>
        </w:tc>
        <w:tc>
          <w:tcPr>
            <w:tcW w:w="718" w:type="dxa"/>
          </w:tcPr>
          <w:p w14:paraId="73AFF0AC" w14:textId="1C50738C" w:rsidR="005165F2" w:rsidRPr="00B44130" w:rsidRDefault="00D8581B" w:rsidP="00A64613">
            <w:pPr>
              <w:keepNext w:val="0"/>
            </w:pPr>
            <w:r w:rsidRPr="00B44130">
              <w:t> :</w:t>
            </w:r>
          </w:p>
        </w:tc>
        <w:tc>
          <w:tcPr>
            <w:tcW w:w="1538" w:type="dxa"/>
          </w:tcPr>
          <w:p w14:paraId="3FB0F317" w14:textId="77777777" w:rsidR="005165F2" w:rsidRPr="00B44130" w:rsidRDefault="005165F2" w:rsidP="00A64613">
            <w:pPr>
              <w:keepNext w:val="0"/>
            </w:pPr>
            <w:r w:rsidRPr="00B44130">
              <w:t>1 journée</w:t>
            </w:r>
          </w:p>
        </w:tc>
        <w:tc>
          <w:tcPr>
            <w:tcW w:w="2694" w:type="dxa"/>
          </w:tcPr>
          <w:p w14:paraId="026A95E5" w14:textId="77777777" w:rsidR="005165F2" w:rsidRPr="00713CB1" w:rsidRDefault="005165F2" w:rsidP="00A64613">
            <w:pPr>
              <w:keepNext w:val="0"/>
              <w:jc w:val="center"/>
            </w:pPr>
            <w:r w:rsidRPr="00B44130">
              <w:t>0,0040</w:t>
            </w:r>
          </w:p>
        </w:tc>
      </w:tr>
    </w:tbl>
    <w:p w14:paraId="3862ED33" w14:textId="77777777" w:rsidR="005165F2" w:rsidRDefault="005165F2" w:rsidP="00A64613">
      <w:pPr>
        <w:keepNext w:val="0"/>
        <w:ind w:left="567" w:hanging="567"/>
        <w:rPr>
          <w:rFonts w:cs="Arial"/>
          <w:szCs w:val="24"/>
        </w:rPr>
      </w:pPr>
    </w:p>
    <w:p w14:paraId="2DA24CA2" w14:textId="1D3EB32D" w:rsidR="00D51707" w:rsidRPr="00026EC1" w:rsidRDefault="005165F2" w:rsidP="00A64613">
      <w:pPr>
        <w:keepNext w:val="0"/>
        <w:tabs>
          <w:tab w:val="left" w:pos="567"/>
          <w:tab w:val="left" w:pos="4500"/>
        </w:tabs>
        <w:ind w:left="567" w:hanging="567"/>
      </w:pPr>
      <w:r w:rsidRPr="00B44130">
        <w:t>g</w:t>
      </w:r>
      <w:r w:rsidR="00275751" w:rsidRPr="00026EC1">
        <w:t>)</w:t>
      </w:r>
      <w:r w:rsidR="00275751" w:rsidRPr="00026EC1">
        <w:tab/>
      </w:r>
      <w:r w:rsidR="00D51707" w:rsidRPr="00026EC1">
        <w:t>chacune des années d</w:t>
      </w:r>
      <w:r w:rsidR="004A41E4" w:rsidRPr="00026EC1">
        <w:t>’</w:t>
      </w:r>
      <w:r w:rsidR="00D51707" w:rsidRPr="00026EC1">
        <w:t>expérience professionnelle ou industrielle pertinente à temps complet dans un domaine autre que l</w:t>
      </w:r>
      <w:r w:rsidR="004A41E4" w:rsidRPr="00026EC1">
        <w:t>’</w:t>
      </w:r>
      <w:r w:rsidR="00D51707" w:rsidRPr="00026EC1">
        <w:t xml:space="preserve">enseignement. </w:t>
      </w:r>
      <w:r w:rsidR="00805160" w:rsidRPr="00026EC1">
        <w:t>C</w:t>
      </w:r>
      <w:r w:rsidR="00D51707" w:rsidRPr="00026EC1">
        <w:t>es années peuvent toutefois s</w:t>
      </w:r>
      <w:r w:rsidR="004A41E4" w:rsidRPr="00026EC1">
        <w:t>’</w:t>
      </w:r>
      <w:r w:rsidR="00D51707" w:rsidRPr="00026EC1">
        <w:t>accumuler à partir d</w:t>
      </w:r>
      <w:r w:rsidR="004A41E4" w:rsidRPr="00026EC1">
        <w:t>’</w:t>
      </w:r>
      <w:r w:rsidR="00D51707" w:rsidRPr="00026EC1">
        <w:t>expérience d</w:t>
      </w:r>
      <w:r w:rsidR="004A41E4" w:rsidRPr="00026EC1">
        <w:t>’</w:t>
      </w:r>
      <w:r w:rsidR="00D51707" w:rsidRPr="00026EC1">
        <w:t>une durée minimale d</w:t>
      </w:r>
      <w:r w:rsidR="004A41E4" w:rsidRPr="00026EC1">
        <w:t>’</w:t>
      </w:r>
      <w:r w:rsidR="00D51707" w:rsidRPr="00026EC1">
        <w:t>un (1) mois, selon les règles suivantes</w:t>
      </w:r>
      <w:r w:rsidR="00D8581B">
        <w:t> :</w:t>
      </w:r>
    </w:p>
    <w:p w14:paraId="4662B007" w14:textId="77777777" w:rsidR="00D51707" w:rsidRPr="00026EC1" w:rsidRDefault="00D51707" w:rsidP="00A64613">
      <w:pPr>
        <w:keepNext w:val="0"/>
        <w:ind w:left="567"/>
        <w:rPr>
          <w:sz w:val="16"/>
          <w:szCs w:val="16"/>
        </w:rPr>
      </w:pPr>
    </w:p>
    <w:tbl>
      <w:tblPr>
        <w:tblW w:w="7867" w:type="dxa"/>
        <w:tblInd w:w="1134" w:type="dxa"/>
        <w:tblCellMar>
          <w:left w:w="70" w:type="dxa"/>
          <w:right w:w="70" w:type="dxa"/>
        </w:tblCellMar>
        <w:tblLook w:val="0000" w:firstRow="0" w:lastRow="0" w:firstColumn="0" w:lastColumn="0" w:noHBand="0" w:noVBand="0"/>
      </w:tblPr>
      <w:tblGrid>
        <w:gridCol w:w="2923"/>
        <w:gridCol w:w="720"/>
        <w:gridCol w:w="1530"/>
        <w:gridCol w:w="2694"/>
      </w:tblGrid>
      <w:tr w:rsidR="00D51707" w:rsidRPr="00026EC1" w14:paraId="6F25559F" w14:textId="77777777" w:rsidTr="00D51707">
        <w:tc>
          <w:tcPr>
            <w:tcW w:w="2923" w:type="dxa"/>
          </w:tcPr>
          <w:p w14:paraId="5307D9D4" w14:textId="77777777" w:rsidR="00D51707" w:rsidRPr="00026EC1" w:rsidRDefault="00D51707" w:rsidP="00A64613">
            <w:pPr>
              <w:pStyle w:val="Texte1cm"/>
              <w:keepNext w:val="0"/>
              <w:ind w:left="0"/>
              <w:rPr>
                <w:szCs w:val="24"/>
              </w:rPr>
            </w:pPr>
          </w:p>
        </w:tc>
        <w:tc>
          <w:tcPr>
            <w:tcW w:w="720" w:type="dxa"/>
          </w:tcPr>
          <w:p w14:paraId="6F3C7952" w14:textId="77777777" w:rsidR="00D51707" w:rsidRPr="00026EC1" w:rsidRDefault="00D51707" w:rsidP="00A64613">
            <w:pPr>
              <w:pStyle w:val="Texte1cm"/>
              <w:keepNext w:val="0"/>
              <w:ind w:left="0"/>
              <w:rPr>
                <w:szCs w:val="24"/>
              </w:rPr>
            </w:pPr>
          </w:p>
        </w:tc>
        <w:tc>
          <w:tcPr>
            <w:tcW w:w="1530" w:type="dxa"/>
          </w:tcPr>
          <w:p w14:paraId="7E0740C9" w14:textId="77777777" w:rsidR="00D51707" w:rsidRPr="00026EC1" w:rsidRDefault="00D51707" w:rsidP="00A64613">
            <w:pPr>
              <w:pStyle w:val="Texte1cm"/>
              <w:keepNext w:val="0"/>
              <w:ind w:left="0"/>
              <w:rPr>
                <w:szCs w:val="24"/>
              </w:rPr>
            </w:pPr>
          </w:p>
        </w:tc>
        <w:tc>
          <w:tcPr>
            <w:tcW w:w="2694" w:type="dxa"/>
          </w:tcPr>
          <w:p w14:paraId="774D64EA" w14:textId="77777777" w:rsidR="00D51707" w:rsidRPr="00026EC1" w:rsidRDefault="00D51707" w:rsidP="00A64613">
            <w:pPr>
              <w:pStyle w:val="Texte1cm"/>
              <w:keepNext w:val="0"/>
              <w:ind w:left="0"/>
              <w:jc w:val="center"/>
              <w:rPr>
                <w:szCs w:val="24"/>
                <w:u w:val="single"/>
              </w:rPr>
            </w:pPr>
            <w:r w:rsidRPr="00026EC1">
              <w:rPr>
                <w:szCs w:val="24"/>
                <w:u w:val="single"/>
              </w:rPr>
              <w:t>Équivalent en ETC</w:t>
            </w:r>
          </w:p>
        </w:tc>
      </w:tr>
      <w:tr w:rsidR="00D51707" w:rsidRPr="00026EC1" w14:paraId="70D91B1A" w14:textId="77777777" w:rsidTr="00D51707">
        <w:tc>
          <w:tcPr>
            <w:tcW w:w="2923" w:type="dxa"/>
          </w:tcPr>
          <w:p w14:paraId="0652B545" w14:textId="77777777" w:rsidR="00D51707" w:rsidRPr="00026EC1" w:rsidRDefault="00D51707" w:rsidP="00A64613">
            <w:pPr>
              <w:pStyle w:val="Texte1cm"/>
              <w:keepNext w:val="0"/>
              <w:ind w:left="0"/>
              <w:rPr>
                <w:szCs w:val="24"/>
              </w:rPr>
            </w:pPr>
            <w:r w:rsidRPr="00026EC1">
              <w:rPr>
                <w:szCs w:val="24"/>
              </w:rPr>
              <w:t>12 mois</w:t>
            </w:r>
          </w:p>
        </w:tc>
        <w:tc>
          <w:tcPr>
            <w:tcW w:w="720" w:type="dxa"/>
          </w:tcPr>
          <w:p w14:paraId="2E00B8F6"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530" w:type="dxa"/>
          </w:tcPr>
          <w:p w14:paraId="6CC4853D" w14:textId="77777777" w:rsidR="00D51707" w:rsidRPr="00026EC1" w:rsidRDefault="00D51707" w:rsidP="00A64613">
            <w:pPr>
              <w:pStyle w:val="Texte1cm"/>
              <w:keepNext w:val="0"/>
              <w:ind w:left="0"/>
              <w:rPr>
                <w:szCs w:val="24"/>
              </w:rPr>
            </w:pPr>
            <w:r w:rsidRPr="00026EC1">
              <w:rPr>
                <w:szCs w:val="24"/>
              </w:rPr>
              <w:t>1 année</w:t>
            </w:r>
          </w:p>
        </w:tc>
        <w:tc>
          <w:tcPr>
            <w:tcW w:w="2694" w:type="dxa"/>
          </w:tcPr>
          <w:p w14:paraId="4A386720" w14:textId="77777777" w:rsidR="00D51707" w:rsidRPr="00026EC1" w:rsidRDefault="00D51707" w:rsidP="00A64613">
            <w:pPr>
              <w:pStyle w:val="Texte1cm"/>
              <w:keepNext w:val="0"/>
              <w:ind w:left="0"/>
              <w:jc w:val="center"/>
              <w:rPr>
                <w:szCs w:val="24"/>
              </w:rPr>
            </w:pPr>
            <w:r w:rsidRPr="00026EC1">
              <w:rPr>
                <w:szCs w:val="24"/>
              </w:rPr>
              <w:t>1,00</w:t>
            </w:r>
          </w:p>
        </w:tc>
      </w:tr>
      <w:tr w:rsidR="00D51707" w:rsidRPr="00026EC1" w14:paraId="4F0873A1" w14:textId="77777777" w:rsidTr="00D51707">
        <w:tc>
          <w:tcPr>
            <w:tcW w:w="2923" w:type="dxa"/>
          </w:tcPr>
          <w:p w14:paraId="53F1A48A" w14:textId="77777777" w:rsidR="00D51707" w:rsidRPr="00026EC1" w:rsidRDefault="00D51707" w:rsidP="00A64613">
            <w:pPr>
              <w:pStyle w:val="Texte1cm"/>
              <w:keepNext w:val="0"/>
              <w:ind w:left="0"/>
              <w:rPr>
                <w:szCs w:val="24"/>
              </w:rPr>
            </w:pPr>
            <w:r w:rsidRPr="00026EC1">
              <w:rPr>
                <w:szCs w:val="24"/>
              </w:rPr>
              <w:t>52 semaines</w:t>
            </w:r>
          </w:p>
        </w:tc>
        <w:tc>
          <w:tcPr>
            <w:tcW w:w="720" w:type="dxa"/>
          </w:tcPr>
          <w:p w14:paraId="784211C7"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530" w:type="dxa"/>
          </w:tcPr>
          <w:p w14:paraId="19B102B8" w14:textId="77777777" w:rsidR="00D51707" w:rsidRPr="00026EC1" w:rsidRDefault="00D51707" w:rsidP="00A64613">
            <w:pPr>
              <w:pStyle w:val="Texte1cm"/>
              <w:keepNext w:val="0"/>
              <w:ind w:left="0"/>
              <w:rPr>
                <w:szCs w:val="24"/>
              </w:rPr>
            </w:pPr>
            <w:r w:rsidRPr="00026EC1">
              <w:rPr>
                <w:szCs w:val="24"/>
              </w:rPr>
              <w:t>1 année</w:t>
            </w:r>
          </w:p>
        </w:tc>
        <w:tc>
          <w:tcPr>
            <w:tcW w:w="2694" w:type="dxa"/>
          </w:tcPr>
          <w:p w14:paraId="36C21766" w14:textId="77777777" w:rsidR="00D51707" w:rsidRPr="00026EC1" w:rsidRDefault="00D51707" w:rsidP="00A64613">
            <w:pPr>
              <w:pStyle w:val="Texte1cm"/>
              <w:keepNext w:val="0"/>
              <w:ind w:left="0"/>
              <w:jc w:val="center"/>
              <w:rPr>
                <w:szCs w:val="24"/>
              </w:rPr>
            </w:pPr>
            <w:r w:rsidRPr="00026EC1">
              <w:rPr>
                <w:szCs w:val="24"/>
              </w:rPr>
              <w:t>1,00</w:t>
            </w:r>
          </w:p>
        </w:tc>
      </w:tr>
    </w:tbl>
    <w:p w14:paraId="1248BD96" w14:textId="77777777" w:rsidR="00D51707" w:rsidRPr="00026EC1" w:rsidRDefault="00D51707" w:rsidP="00A64613">
      <w:pPr>
        <w:keepNext w:val="0"/>
        <w:ind w:left="567"/>
      </w:pPr>
    </w:p>
    <w:p w14:paraId="0B9DCBA8" w14:textId="175D6BBD" w:rsidR="00D51707" w:rsidRPr="00026EC1" w:rsidRDefault="00D51707" w:rsidP="00A64613">
      <w:pPr>
        <w:pStyle w:val="Texte1cm"/>
        <w:keepNext w:val="0"/>
      </w:pPr>
      <w:r w:rsidRPr="00026EC1">
        <w:t>Cependant, lorsqu</w:t>
      </w:r>
      <w:r w:rsidR="004A41E4" w:rsidRPr="00026EC1">
        <w:t>’</w:t>
      </w:r>
      <w:r w:rsidRPr="00026EC1">
        <w:t>il s</w:t>
      </w:r>
      <w:r w:rsidR="004A41E4" w:rsidRPr="00026EC1">
        <w:t>’</w:t>
      </w:r>
      <w:r w:rsidRPr="00026EC1">
        <w:t>agit de travail continu</w:t>
      </w:r>
      <w:r w:rsidR="00D8581B">
        <w:t> :</w:t>
      </w:r>
      <w:r w:rsidRPr="00026EC1">
        <w:t xml:space="preserve"> </w:t>
      </w:r>
    </w:p>
    <w:p w14:paraId="3F9AAD4B" w14:textId="77777777" w:rsidR="00D51707" w:rsidRPr="00026EC1" w:rsidRDefault="00D51707" w:rsidP="00A64613">
      <w:pPr>
        <w:pStyle w:val="Texte1cm00000"/>
        <w:keepNext w:val="0"/>
        <w:rPr>
          <w:sz w:val="16"/>
          <w:szCs w:val="16"/>
        </w:rPr>
      </w:pPr>
    </w:p>
    <w:tbl>
      <w:tblPr>
        <w:tblW w:w="7867" w:type="dxa"/>
        <w:tblInd w:w="1134" w:type="dxa"/>
        <w:tblCellMar>
          <w:left w:w="70" w:type="dxa"/>
          <w:right w:w="70" w:type="dxa"/>
        </w:tblCellMar>
        <w:tblLook w:val="0000" w:firstRow="0" w:lastRow="0" w:firstColumn="0" w:lastColumn="0" w:noHBand="0" w:noVBand="0"/>
      </w:tblPr>
      <w:tblGrid>
        <w:gridCol w:w="2923"/>
        <w:gridCol w:w="720"/>
        <w:gridCol w:w="1530"/>
        <w:gridCol w:w="2694"/>
      </w:tblGrid>
      <w:tr w:rsidR="00D51707" w:rsidRPr="00026EC1" w14:paraId="42812F24" w14:textId="77777777" w:rsidTr="00D51707">
        <w:tc>
          <w:tcPr>
            <w:tcW w:w="2923" w:type="dxa"/>
          </w:tcPr>
          <w:p w14:paraId="2BF6F81B" w14:textId="77777777" w:rsidR="00D51707" w:rsidRPr="00026EC1" w:rsidRDefault="00D51707" w:rsidP="00A64613">
            <w:pPr>
              <w:pStyle w:val="Texte1cm"/>
              <w:keepNext w:val="0"/>
              <w:ind w:left="0"/>
              <w:rPr>
                <w:szCs w:val="24"/>
              </w:rPr>
            </w:pPr>
          </w:p>
        </w:tc>
        <w:tc>
          <w:tcPr>
            <w:tcW w:w="720" w:type="dxa"/>
          </w:tcPr>
          <w:p w14:paraId="3C98DFD4" w14:textId="77777777" w:rsidR="00D51707" w:rsidRPr="00026EC1" w:rsidRDefault="00D51707" w:rsidP="00A64613">
            <w:pPr>
              <w:pStyle w:val="Texte1cm"/>
              <w:keepNext w:val="0"/>
              <w:ind w:left="0"/>
              <w:rPr>
                <w:szCs w:val="24"/>
              </w:rPr>
            </w:pPr>
          </w:p>
        </w:tc>
        <w:tc>
          <w:tcPr>
            <w:tcW w:w="1530" w:type="dxa"/>
          </w:tcPr>
          <w:p w14:paraId="4FCF8E73" w14:textId="77777777" w:rsidR="00D51707" w:rsidRPr="00026EC1" w:rsidRDefault="00D51707" w:rsidP="00A64613">
            <w:pPr>
              <w:pStyle w:val="Texte1cm"/>
              <w:keepNext w:val="0"/>
              <w:ind w:left="0"/>
              <w:rPr>
                <w:szCs w:val="24"/>
              </w:rPr>
            </w:pPr>
          </w:p>
        </w:tc>
        <w:tc>
          <w:tcPr>
            <w:tcW w:w="2694" w:type="dxa"/>
          </w:tcPr>
          <w:p w14:paraId="6898A1B9" w14:textId="77777777" w:rsidR="00D51707" w:rsidRPr="00026EC1" w:rsidRDefault="00D51707" w:rsidP="00A64613">
            <w:pPr>
              <w:pStyle w:val="Texte1cm"/>
              <w:keepNext w:val="0"/>
              <w:ind w:left="0"/>
              <w:jc w:val="center"/>
              <w:rPr>
                <w:szCs w:val="24"/>
                <w:u w:val="single"/>
              </w:rPr>
            </w:pPr>
            <w:r w:rsidRPr="00026EC1">
              <w:rPr>
                <w:szCs w:val="24"/>
                <w:u w:val="single"/>
              </w:rPr>
              <w:t>Équivalent en ETC</w:t>
            </w:r>
          </w:p>
        </w:tc>
      </w:tr>
      <w:tr w:rsidR="00D51707" w:rsidRPr="00026EC1" w14:paraId="088F164A" w14:textId="77777777" w:rsidTr="00D51707">
        <w:tc>
          <w:tcPr>
            <w:tcW w:w="2923" w:type="dxa"/>
          </w:tcPr>
          <w:p w14:paraId="70FA585C" w14:textId="77777777" w:rsidR="00D51707" w:rsidRPr="00026EC1" w:rsidRDefault="00D51707" w:rsidP="00A64613">
            <w:pPr>
              <w:pStyle w:val="Texte1cm"/>
              <w:keepNext w:val="0"/>
              <w:ind w:left="0"/>
              <w:rPr>
                <w:szCs w:val="24"/>
              </w:rPr>
            </w:pPr>
            <w:r w:rsidRPr="00026EC1">
              <w:rPr>
                <w:szCs w:val="24"/>
              </w:rPr>
              <w:t>10 à 12 mois</w:t>
            </w:r>
          </w:p>
        </w:tc>
        <w:tc>
          <w:tcPr>
            <w:tcW w:w="720" w:type="dxa"/>
          </w:tcPr>
          <w:p w14:paraId="4F1CAAEC"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530" w:type="dxa"/>
          </w:tcPr>
          <w:p w14:paraId="19D5EFFC" w14:textId="77777777" w:rsidR="00D51707" w:rsidRPr="00026EC1" w:rsidRDefault="00D51707" w:rsidP="00A64613">
            <w:pPr>
              <w:pStyle w:val="Texte1cm"/>
              <w:keepNext w:val="0"/>
              <w:ind w:left="0"/>
              <w:rPr>
                <w:szCs w:val="24"/>
              </w:rPr>
            </w:pPr>
            <w:r w:rsidRPr="00026EC1">
              <w:rPr>
                <w:szCs w:val="24"/>
              </w:rPr>
              <w:t>1 année</w:t>
            </w:r>
          </w:p>
        </w:tc>
        <w:tc>
          <w:tcPr>
            <w:tcW w:w="2694" w:type="dxa"/>
          </w:tcPr>
          <w:p w14:paraId="3F645EA1" w14:textId="77777777" w:rsidR="00D51707" w:rsidRPr="00026EC1" w:rsidRDefault="00D51707" w:rsidP="00A64613">
            <w:pPr>
              <w:pStyle w:val="Texte1cm"/>
              <w:keepNext w:val="0"/>
              <w:ind w:left="0"/>
              <w:jc w:val="center"/>
              <w:rPr>
                <w:szCs w:val="24"/>
              </w:rPr>
            </w:pPr>
            <w:r w:rsidRPr="00026EC1">
              <w:rPr>
                <w:szCs w:val="24"/>
              </w:rPr>
              <w:t>1,00</w:t>
            </w:r>
          </w:p>
        </w:tc>
      </w:tr>
      <w:tr w:rsidR="00D51707" w:rsidRPr="00026EC1" w14:paraId="3B71F733" w14:textId="77777777" w:rsidTr="00D51707">
        <w:tc>
          <w:tcPr>
            <w:tcW w:w="2923" w:type="dxa"/>
          </w:tcPr>
          <w:p w14:paraId="7456D984" w14:textId="77777777" w:rsidR="00D51707" w:rsidRPr="00026EC1" w:rsidRDefault="00D51707" w:rsidP="00A64613">
            <w:pPr>
              <w:pStyle w:val="Texte1cm"/>
              <w:keepNext w:val="0"/>
              <w:ind w:left="0"/>
              <w:rPr>
                <w:szCs w:val="24"/>
              </w:rPr>
            </w:pPr>
            <w:r w:rsidRPr="00026EC1">
              <w:rPr>
                <w:szCs w:val="24"/>
              </w:rPr>
              <w:t>43 à 52 semaines</w:t>
            </w:r>
          </w:p>
        </w:tc>
        <w:tc>
          <w:tcPr>
            <w:tcW w:w="720" w:type="dxa"/>
          </w:tcPr>
          <w:p w14:paraId="42E3857A"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530" w:type="dxa"/>
          </w:tcPr>
          <w:p w14:paraId="2D848225" w14:textId="77777777" w:rsidR="00D51707" w:rsidRPr="00026EC1" w:rsidRDefault="00D51707" w:rsidP="00A64613">
            <w:pPr>
              <w:pStyle w:val="Texte1cm"/>
              <w:keepNext w:val="0"/>
              <w:ind w:left="0"/>
              <w:rPr>
                <w:szCs w:val="24"/>
              </w:rPr>
            </w:pPr>
            <w:r w:rsidRPr="00026EC1">
              <w:rPr>
                <w:szCs w:val="24"/>
              </w:rPr>
              <w:t>1 année</w:t>
            </w:r>
          </w:p>
        </w:tc>
        <w:tc>
          <w:tcPr>
            <w:tcW w:w="2694" w:type="dxa"/>
          </w:tcPr>
          <w:p w14:paraId="4F81A3B3" w14:textId="77777777" w:rsidR="00D51707" w:rsidRPr="00026EC1" w:rsidRDefault="00D51707" w:rsidP="00A64613">
            <w:pPr>
              <w:pStyle w:val="Texte1cm"/>
              <w:keepNext w:val="0"/>
              <w:ind w:left="0"/>
              <w:jc w:val="center"/>
              <w:rPr>
                <w:szCs w:val="24"/>
              </w:rPr>
            </w:pPr>
            <w:r w:rsidRPr="00026EC1">
              <w:rPr>
                <w:szCs w:val="24"/>
              </w:rPr>
              <w:t>1,00</w:t>
            </w:r>
          </w:p>
        </w:tc>
      </w:tr>
    </w:tbl>
    <w:p w14:paraId="1E252BF5" w14:textId="77777777" w:rsidR="00D51707" w:rsidRPr="00026EC1" w:rsidRDefault="00D51707" w:rsidP="00A64613">
      <w:pPr>
        <w:keepNext w:val="0"/>
        <w:ind w:left="567"/>
      </w:pPr>
    </w:p>
    <w:p w14:paraId="131413F9" w14:textId="7832FA01" w:rsidR="00DE729B" w:rsidRDefault="00D51707" w:rsidP="00A64613">
      <w:pPr>
        <w:pStyle w:val="Texte1cm"/>
        <w:keepNext w:val="0"/>
      </w:pPr>
      <w:r w:rsidRPr="00026EC1">
        <w:t>Le calcul de la durée de l</w:t>
      </w:r>
      <w:r w:rsidR="004A41E4" w:rsidRPr="00026EC1">
        <w:t>’</w:t>
      </w:r>
      <w:r w:rsidRPr="00026EC1">
        <w:t>expérience s</w:t>
      </w:r>
      <w:r w:rsidR="004A41E4" w:rsidRPr="00026EC1">
        <w:t>’</w:t>
      </w:r>
      <w:r w:rsidRPr="00026EC1">
        <w:t>effectue par la soustraction des dates de début et de fin d</w:t>
      </w:r>
      <w:r w:rsidR="004A41E4" w:rsidRPr="00026EC1">
        <w:t>’</w:t>
      </w:r>
      <w:r w:rsidRPr="00026EC1">
        <w:t>emploi (années</w:t>
      </w:r>
      <w:r w:rsidR="00984A6F">
        <w:noBreakHyphen/>
      </w:r>
      <w:r w:rsidRPr="00026EC1">
        <w:t>mois</w:t>
      </w:r>
      <w:r w:rsidR="00984A6F">
        <w:noBreakHyphen/>
      </w:r>
      <w:r w:rsidRPr="00026EC1">
        <w:t>jours).</w:t>
      </w:r>
    </w:p>
    <w:p w14:paraId="56ADDE44" w14:textId="77777777" w:rsidR="00DE729B" w:rsidRDefault="00DE729B">
      <w:pPr>
        <w:keepNext w:val="0"/>
        <w:suppressAutoHyphens w:val="0"/>
        <w:jc w:val="left"/>
      </w:pPr>
      <w:r>
        <w:br w:type="page"/>
      </w:r>
    </w:p>
    <w:p w14:paraId="63D6B624" w14:textId="378B267D" w:rsidR="00D51707" w:rsidRPr="00026EC1" w:rsidRDefault="00D51707" w:rsidP="00A64613">
      <w:pPr>
        <w:pStyle w:val="Texte1cm"/>
        <w:keepNext w:val="0"/>
      </w:pPr>
      <w:r w:rsidRPr="00026EC1">
        <w:t>Si l</w:t>
      </w:r>
      <w:r w:rsidR="004A41E4" w:rsidRPr="00026EC1">
        <w:t>’</w:t>
      </w:r>
      <w:r w:rsidRPr="00026EC1">
        <w:t>expérience est donnée en semaines, en jours ou en heures, les règles suivantes s</w:t>
      </w:r>
      <w:r w:rsidR="004A41E4" w:rsidRPr="00026EC1">
        <w:t>’</w:t>
      </w:r>
      <w:r w:rsidRPr="00026EC1">
        <w:t>appliquent</w:t>
      </w:r>
      <w:r w:rsidR="00D8581B">
        <w:t> :</w:t>
      </w:r>
    </w:p>
    <w:p w14:paraId="3F165F64" w14:textId="77777777" w:rsidR="00D51707" w:rsidRPr="00026EC1" w:rsidRDefault="00D51707" w:rsidP="00A64613">
      <w:pPr>
        <w:keepNext w:val="0"/>
        <w:ind w:left="567"/>
        <w:rPr>
          <w:sz w:val="16"/>
          <w:szCs w:val="16"/>
        </w:rPr>
      </w:pPr>
    </w:p>
    <w:tbl>
      <w:tblPr>
        <w:tblW w:w="8008" w:type="dxa"/>
        <w:tblInd w:w="1134" w:type="dxa"/>
        <w:tblCellMar>
          <w:left w:w="70" w:type="dxa"/>
          <w:right w:w="70" w:type="dxa"/>
        </w:tblCellMar>
        <w:tblLook w:val="0000" w:firstRow="0" w:lastRow="0" w:firstColumn="0" w:lastColumn="0" w:noHBand="0" w:noVBand="0"/>
      </w:tblPr>
      <w:tblGrid>
        <w:gridCol w:w="2917"/>
        <w:gridCol w:w="718"/>
        <w:gridCol w:w="1255"/>
        <w:gridCol w:w="3118"/>
      </w:tblGrid>
      <w:tr w:rsidR="00D51707" w:rsidRPr="00026EC1" w14:paraId="5935457A" w14:textId="77777777" w:rsidTr="00D51707">
        <w:tc>
          <w:tcPr>
            <w:tcW w:w="2917" w:type="dxa"/>
          </w:tcPr>
          <w:p w14:paraId="585650C6" w14:textId="77777777" w:rsidR="00D51707" w:rsidRPr="00026EC1" w:rsidRDefault="00D51707" w:rsidP="00A64613">
            <w:pPr>
              <w:pStyle w:val="Texte1cm"/>
              <w:keepNext w:val="0"/>
              <w:ind w:left="0"/>
              <w:rPr>
                <w:szCs w:val="24"/>
              </w:rPr>
            </w:pPr>
          </w:p>
        </w:tc>
        <w:tc>
          <w:tcPr>
            <w:tcW w:w="718" w:type="dxa"/>
          </w:tcPr>
          <w:p w14:paraId="0265A6C8" w14:textId="77777777" w:rsidR="00D51707" w:rsidRPr="00026EC1" w:rsidRDefault="00D51707" w:rsidP="00A64613">
            <w:pPr>
              <w:pStyle w:val="Texte1cm"/>
              <w:keepNext w:val="0"/>
              <w:ind w:left="0"/>
              <w:rPr>
                <w:szCs w:val="24"/>
              </w:rPr>
            </w:pPr>
          </w:p>
        </w:tc>
        <w:tc>
          <w:tcPr>
            <w:tcW w:w="1255" w:type="dxa"/>
          </w:tcPr>
          <w:p w14:paraId="10BBFAE2" w14:textId="77777777" w:rsidR="00D51707" w:rsidRPr="00026EC1" w:rsidRDefault="00D51707" w:rsidP="00A64613">
            <w:pPr>
              <w:pStyle w:val="Texte1cm"/>
              <w:keepNext w:val="0"/>
              <w:ind w:left="0"/>
              <w:rPr>
                <w:szCs w:val="24"/>
              </w:rPr>
            </w:pPr>
          </w:p>
        </w:tc>
        <w:tc>
          <w:tcPr>
            <w:tcW w:w="3118" w:type="dxa"/>
          </w:tcPr>
          <w:p w14:paraId="16947ABC" w14:textId="77777777" w:rsidR="00D51707" w:rsidRPr="00026EC1" w:rsidRDefault="00D51707" w:rsidP="00A64613">
            <w:pPr>
              <w:pStyle w:val="Texte1cm"/>
              <w:keepNext w:val="0"/>
              <w:ind w:left="0"/>
              <w:jc w:val="center"/>
              <w:rPr>
                <w:szCs w:val="24"/>
                <w:u w:val="single"/>
              </w:rPr>
            </w:pPr>
            <w:r w:rsidRPr="00026EC1">
              <w:rPr>
                <w:szCs w:val="24"/>
                <w:u w:val="single"/>
              </w:rPr>
              <w:t xml:space="preserve">Équivalent en ETC </w:t>
            </w:r>
          </w:p>
        </w:tc>
      </w:tr>
      <w:tr w:rsidR="00D51707" w:rsidRPr="00026EC1" w14:paraId="7FCE0D92" w14:textId="77777777" w:rsidTr="00D51707">
        <w:tc>
          <w:tcPr>
            <w:tcW w:w="2917" w:type="dxa"/>
          </w:tcPr>
          <w:p w14:paraId="6BB74896" w14:textId="77777777" w:rsidR="00D51707" w:rsidRPr="00026EC1" w:rsidRDefault="00D51707" w:rsidP="00A64613">
            <w:pPr>
              <w:pStyle w:val="Texte1cm"/>
              <w:keepNext w:val="0"/>
              <w:ind w:left="0"/>
              <w:rPr>
                <w:szCs w:val="24"/>
              </w:rPr>
            </w:pPr>
            <w:r w:rsidRPr="00026EC1">
              <w:rPr>
                <w:szCs w:val="24"/>
              </w:rPr>
              <w:t>39 semaines</w:t>
            </w:r>
          </w:p>
        </w:tc>
        <w:tc>
          <w:tcPr>
            <w:tcW w:w="718" w:type="dxa"/>
          </w:tcPr>
          <w:p w14:paraId="71689894"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54B249CB" w14:textId="77777777" w:rsidR="00D51707" w:rsidRPr="00026EC1" w:rsidRDefault="00D51707" w:rsidP="00A64613">
            <w:pPr>
              <w:pStyle w:val="Texte1cm"/>
              <w:keepNext w:val="0"/>
              <w:ind w:left="0"/>
              <w:rPr>
                <w:szCs w:val="24"/>
              </w:rPr>
            </w:pPr>
            <w:r w:rsidRPr="00026EC1">
              <w:rPr>
                <w:szCs w:val="24"/>
              </w:rPr>
              <w:t>9 mois</w:t>
            </w:r>
          </w:p>
        </w:tc>
        <w:tc>
          <w:tcPr>
            <w:tcW w:w="3118" w:type="dxa"/>
          </w:tcPr>
          <w:p w14:paraId="56C5DD77" w14:textId="77777777" w:rsidR="00D51707" w:rsidRPr="00026EC1" w:rsidRDefault="00D51707" w:rsidP="00A64613">
            <w:pPr>
              <w:pStyle w:val="Texte1cm"/>
              <w:keepNext w:val="0"/>
              <w:ind w:left="0"/>
              <w:jc w:val="center"/>
              <w:rPr>
                <w:szCs w:val="24"/>
              </w:rPr>
            </w:pPr>
            <w:r w:rsidRPr="00026EC1">
              <w:rPr>
                <w:szCs w:val="24"/>
              </w:rPr>
              <w:t>0,75</w:t>
            </w:r>
          </w:p>
        </w:tc>
      </w:tr>
      <w:tr w:rsidR="00D51707" w:rsidRPr="00026EC1" w14:paraId="4D652805" w14:textId="77777777" w:rsidTr="00D51707">
        <w:tc>
          <w:tcPr>
            <w:tcW w:w="2917" w:type="dxa"/>
          </w:tcPr>
          <w:p w14:paraId="1EEB9719" w14:textId="77777777" w:rsidR="00D51707" w:rsidRPr="00026EC1" w:rsidRDefault="00D51707" w:rsidP="00A64613">
            <w:pPr>
              <w:pStyle w:val="Texte1cm"/>
              <w:keepNext w:val="0"/>
              <w:ind w:left="0"/>
              <w:rPr>
                <w:szCs w:val="24"/>
              </w:rPr>
            </w:pPr>
            <w:r w:rsidRPr="00026EC1">
              <w:rPr>
                <w:szCs w:val="24"/>
              </w:rPr>
              <w:t>26 semaines</w:t>
            </w:r>
          </w:p>
        </w:tc>
        <w:tc>
          <w:tcPr>
            <w:tcW w:w="718" w:type="dxa"/>
          </w:tcPr>
          <w:p w14:paraId="4F1053B4"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4067EE04" w14:textId="77777777" w:rsidR="00D51707" w:rsidRPr="00026EC1" w:rsidRDefault="00D51707" w:rsidP="00A64613">
            <w:pPr>
              <w:pStyle w:val="Texte1cm"/>
              <w:keepNext w:val="0"/>
              <w:ind w:left="0"/>
              <w:rPr>
                <w:szCs w:val="24"/>
              </w:rPr>
            </w:pPr>
            <w:r w:rsidRPr="00026EC1">
              <w:rPr>
                <w:szCs w:val="24"/>
              </w:rPr>
              <w:t>6 mois</w:t>
            </w:r>
          </w:p>
        </w:tc>
        <w:tc>
          <w:tcPr>
            <w:tcW w:w="3118" w:type="dxa"/>
          </w:tcPr>
          <w:p w14:paraId="6E22F02F" w14:textId="77777777" w:rsidR="00D51707" w:rsidRPr="00026EC1" w:rsidRDefault="00D51707" w:rsidP="00A64613">
            <w:pPr>
              <w:pStyle w:val="Texte1cm"/>
              <w:keepNext w:val="0"/>
              <w:ind w:left="0"/>
              <w:jc w:val="center"/>
              <w:rPr>
                <w:szCs w:val="24"/>
              </w:rPr>
            </w:pPr>
            <w:r w:rsidRPr="00026EC1">
              <w:rPr>
                <w:szCs w:val="24"/>
              </w:rPr>
              <w:t>0,50</w:t>
            </w:r>
          </w:p>
        </w:tc>
      </w:tr>
      <w:tr w:rsidR="00D51707" w:rsidRPr="00026EC1" w14:paraId="0B767D85" w14:textId="77777777" w:rsidTr="00D51707">
        <w:tc>
          <w:tcPr>
            <w:tcW w:w="2917" w:type="dxa"/>
          </w:tcPr>
          <w:p w14:paraId="3CBD25DA" w14:textId="77777777" w:rsidR="00D51707" w:rsidRPr="00026EC1" w:rsidRDefault="00D51707" w:rsidP="00A64613">
            <w:pPr>
              <w:pStyle w:val="Texte1cm"/>
              <w:keepNext w:val="0"/>
              <w:ind w:left="0"/>
              <w:rPr>
                <w:szCs w:val="24"/>
              </w:rPr>
            </w:pPr>
            <w:r w:rsidRPr="00026EC1">
              <w:rPr>
                <w:szCs w:val="24"/>
              </w:rPr>
              <w:t>13 semaines</w:t>
            </w:r>
          </w:p>
        </w:tc>
        <w:tc>
          <w:tcPr>
            <w:tcW w:w="718" w:type="dxa"/>
          </w:tcPr>
          <w:p w14:paraId="3F61F476"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2BEC2BA9" w14:textId="77777777" w:rsidR="00D51707" w:rsidRPr="00026EC1" w:rsidRDefault="00D51707" w:rsidP="00A64613">
            <w:pPr>
              <w:pStyle w:val="Texte1cm"/>
              <w:keepNext w:val="0"/>
              <w:ind w:left="0"/>
              <w:rPr>
                <w:szCs w:val="24"/>
              </w:rPr>
            </w:pPr>
            <w:r w:rsidRPr="00026EC1">
              <w:rPr>
                <w:szCs w:val="24"/>
              </w:rPr>
              <w:t>3 mois</w:t>
            </w:r>
          </w:p>
        </w:tc>
        <w:tc>
          <w:tcPr>
            <w:tcW w:w="3118" w:type="dxa"/>
          </w:tcPr>
          <w:p w14:paraId="1E53AF3D" w14:textId="77777777" w:rsidR="00D51707" w:rsidRPr="00026EC1" w:rsidRDefault="00D51707" w:rsidP="00A64613">
            <w:pPr>
              <w:pStyle w:val="Texte1cm"/>
              <w:keepNext w:val="0"/>
              <w:ind w:left="0"/>
              <w:jc w:val="center"/>
              <w:rPr>
                <w:szCs w:val="24"/>
              </w:rPr>
            </w:pPr>
            <w:r w:rsidRPr="00026EC1">
              <w:rPr>
                <w:szCs w:val="24"/>
              </w:rPr>
              <w:t>0,25</w:t>
            </w:r>
          </w:p>
        </w:tc>
      </w:tr>
      <w:tr w:rsidR="00D51707" w:rsidRPr="00026EC1" w14:paraId="12C03E55" w14:textId="77777777" w:rsidTr="00D51707">
        <w:tc>
          <w:tcPr>
            <w:tcW w:w="2917" w:type="dxa"/>
          </w:tcPr>
          <w:p w14:paraId="5BBA204C" w14:textId="77777777" w:rsidR="00D51707" w:rsidRPr="00026EC1" w:rsidRDefault="00D51707" w:rsidP="00A64613">
            <w:pPr>
              <w:pStyle w:val="Texte1cm"/>
              <w:keepNext w:val="0"/>
              <w:ind w:left="0"/>
              <w:rPr>
                <w:szCs w:val="24"/>
              </w:rPr>
            </w:pPr>
            <w:r w:rsidRPr="00026EC1">
              <w:rPr>
                <w:szCs w:val="24"/>
              </w:rPr>
              <w:t>4 semaines</w:t>
            </w:r>
          </w:p>
        </w:tc>
        <w:tc>
          <w:tcPr>
            <w:tcW w:w="718" w:type="dxa"/>
          </w:tcPr>
          <w:p w14:paraId="0E75DA4E"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5A449BE1" w14:textId="77777777" w:rsidR="00D51707" w:rsidRPr="00026EC1" w:rsidRDefault="00D51707" w:rsidP="00A64613">
            <w:pPr>
              <w:pStyle w:val="Texte1cm"/>
              <w:keepNext w:val="0"/>
              <w:ind w:left="0"/>
              <w:rPr>
                <w:szCs w:val="24"/>
              </w:rPr>
            </w:pPr>
            <w:r w:rsidRPr="00026EC1">
              <w:rPr>
                <w:szCs w:val="24"/>
              </w:rPr>
              <w:t>1 mois</w:t>
            </w:r>
          </w:p>
        </w:tc>
        <w:tc>
          <w:tcPr>
            <w:tcW w:w="3118" w:type="dxa"/>
          </w:tcPr>
          <w:p w14:paraId="151CF3C3" w14:textId="77777777" w:rsidR="00D51707" w:rsidRPr="00026EC1" w:rsidRDefault="00D51707" w:rsidP="00A64613">
            <w:pPr>
              <w:pStyle w:val="Texte1cm"/>
              <w:keepNext w:val="0"/>
              <w:ind w:left="0"/>
              <w:jc w:val="center"/>
              <w:rPr>
                <w:szCs w:val="24"/>
              </w:rPr>
            </w:pPr>
            <w:r w:rsidRPr="00026EC1">
              <w:rPr>
                <w:szCs w:val="24"/>
              </w:rPr>
              <w:t>0,0833</w:t>
            </w:r>
          </w:p>
        </w:tc>
      </w:tr>
      <w:tr w:rsidR="00D51707" w:rsidRPr="00026EC1" w14:paraId="63C15E3D" w14:textId="77777777" w:rsidTr="00D51707">
        <w:tc>
          <w:tcPr>
            <w:tcW w:w="2917" w:type="dxa"/>
          </w:tcPr>
          <w:p w14:paraId="74240915" w14:textId="77777777" w:rsidR="00D51707" w:rsidRPr="00026EC1" w:rsidRDefault="00D51707" w:rsidP="00A64613">
            <w:pPr>
              <w:pStyle w:val="Texte1cm"/>
              <w:keepNext w:val="0"/>
              <w:ind w:left="0"/>
              <w:rPr>
                <w:szCs w:val="24"/>
              </w:rPr>
            </w:pPr>
            <w:r w:rsidRPr="00026EC1">
              <w:rPr>
                <w:szCs w:val="24"/>
              </w:rPr>
              <w:t>21 jours ouvrables</w:t>
            </w:r>
          </w:p>
        </w:tc>
        <w:tc>
          <w:tcPr>
            <w:tcW w:w="718" w:type="dxa"/>
          </w:tcPr>
          <w:p w14:paraId="257D7267"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589A91FD" w14:textId="77777777" w:rsidR="00D51707" w:rsidRPr="00026EC1" w:rsidRDefault="00D51707" w:rsidP="00A64613">
            <w:pPr>
              <w:pStyle w:val="Texte1cm"/>
              <w:keepNext w:val="0"/>
              <w:ind w:left="0"/>
              <w:rPr>
                <w:szCs w:val="24"/>
              </w:rPr>
            </w:pPr>
            <w:r w:rsidRPr="00026EC1">
              <w:rPr>
                <w:szCs w:val="24"/>
              </w:rPr>
              <w:t>1 mois</w:t>
            </w:r>
          </w:p>
        </w:tc>
        <w:tc>
          <w:tcPr>
            <w:tcW w:w="3118" w:type="dxa"/>
          </w:tcPr>
          <w:p w14:paraId="3CDF7612" w14:textId="77777777" w:rsidR="00D51707" w:rsidRPr="00026EC1" w:rsidRDefault="00D51707" w:rsidP="00A64613">
            <w:pPr>
              <w:pStyle w:val="Texte1cm"/>
              <w:keepNext w:val="0"/>
              <w:ind w:left="0"/>
              <w:jc w:val="center"/>
              <w:rPr>
                <w:szCs w:val="24"/>
              </w:rPr>
            </w:pPr>
            <w:r w:rsidRPr="00026EC1">
              <w:rPr>
                <w:szCs w:val="24"/>
              </w:rPr>
              <w:t>0,0833</w:t>
            </w:r>
          </w:p>
        </w:tc>
      </w:tr>
      <w:tr w:rsidR="00D51707" w:rsidRPr="00026EC1" w14:paraId="5FC815B4" w14:textId="77777777" w:rsidTr="00D51707">
        <w:tc>
          <w:tcPr>
            <w:tcW w:w="2917" w:type="dxa"/>
          </w:tcPr>
          <w:p w14:paraId="0C4931DD" w14:textId="77777777" w:rsidR="00D51707" w:rsidRPr="00026EC1" w:rsidRDefault="00D51707" w:rsidP="00A64613">
            <w:pPr>
              <w:pStyle w:val="Texte1cm"/>
              <w:keepNext w:val="0"/>
              <w:ind w:left="0"/>
              <w:rPr>
                <w:szCs w:val="24"/>
              </w:rPr>
            </w:pPr>
            <w:r w:rsidRPr="00026EC1">
              <w:rPr>
                <w:szCs w:val="24"/>
              </w:rPr>
              <w:t>7 heures</w:t>
            </w:r>
          </w:p>
        </w:tc>
        <w:tc>
          <w:tcPr>
            <w:tcW w:w="718" w:type="dxa"/>
          </w:tcPr>
          <w:p w14:paraId="6F0AADBE"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255" w:type="dxa"/>
          </w:tcPr>
          <w:p w14:paraId="07B856A6" w14:textId="77777777" w:rsidR="00D51707" w:rsidRPr="00026EC1" w:rsidRDefault="00D51707" w:rsidP="00A64613">
            <w:pPr>
              <w:pStyle w:val="Texte1cm"/>
              <w:keepNext w:val="0"/>
              <w:ind w:left="0"/>
              <w:rPr>
                <w:szCs w:val="24"/>
              </w:rPr>
            </w:pPr>
            <w:r w:rsidRPr="00026EC1">
              <w:rPr>
                <w:szCs w:val="24"/>
              </w:rPr>
              <w:t>1 journée</w:t>
            </w:r>
          </w:p>
        </w:tc>
        <w:tc>
          <w:tcPr>
            <w:tcW w:w="3118" w:type="dxa"/>
          </w:tcPr>
          <w:p w14:paraId="45E0E543" w14:textId="77777777" w:rsidR="00D51707" w:rsidRPr="00026EC1" w:rsidRDefault="00D51707" w:rsidP="00A64613">
            <w:pPr>
              <w:pStyle w:val="Texte1cm"/>
              <w:keepNext w:val="0"/>
              <w:ind w:left="0"/>
              <w:jc w:val="center"/>
              <w:rPr>
                <w:szCs w:val="24"/>
              </w:rPr>
            </w:pPr>
            <w:r w:rsidRPr="00026EC1">
              <w:rPr>
                <w:szCs w:val="24"/>
              </w:rPr>
              <w:t>0,0040</w:t>
            </w:r>
          </w:p>
        </w:tc>
      </w:tr>
    </w:tbl>
    <w:p w14:paraId="19F5767B" w14:textId="77777777" w:rsidR="00D51707" w:rsidRPr="00026EC1" w:rsidRDefault="00D51707" w:rsidP="00A64613">
      <w:pPr>
        <w:keepNext w:val="0"/>
        <w:ind w:left="567"/>
      </w:pPr>
    </w:p>
    <w:p w14:paraId="78CF0939" w14:textId="54F6F733" w:rsidR="00D51707" w:rsidRPr="00026EC1" w:rsidRDefault="00D51707" w:rsidP="00A64613">
      <w:pPr>
        <w:pStyle w:val="Texte1cm"/>
        <w:keepNext w:val="0"/>
      </w:pPr>
      <w:r w:rsidRPr="00026EC1">
        <w:t>Les jours qui restent après l</w:t>
      </w:r>
      <w:r w:rsidR="004A41E4" w:rsidRPr="00026EC1">
        <w:t>’</w:t>
      </w:r>
      <w:r w:rsidRPr="00026EC1">
        <w:t>application des règles précédentes s</w:t>
      </w:r>
      <w:r w:rsidR="004A41E4" w:rsidRPr="00026EC1">
        <w:t>’</w:t>
      </w:r>
      <w:r w:rsidRPr="00026EC1">
        <w:t>évaluent comme suit</w:t>
      </w:r>
      <w:r w:rsidR="00D8581B">
        <w:t> :</w:t>
      </w:r>
    </w:p>
    <w:p w14:paraId="39A1C6EB" w14:textId="77777777" w:rsidR="00D51707" w:rsidRPr="00026EC1" w:rsidRDefault="00D51707" w:rsidP="00A64613">
      <w:pPr>
        <w:keepNext w:val="0"/>
        <w:ind w:left="567"/>
        <w:rPr>
          <w:sz w:val="16"/>
          <w:szCs w:val="16"/>
        </w:rPr>
      </w:pPr>
    </w:p>
    <w:tbl>
      <w:tblPr>
        <w:tblW w:w="8008" w:type="dxa"/>
        <w:tblInd w:w="1134" w:type="dxa"/>
        <w:tblCellMar>
          <w:left w:w="70" w:type="dxa"/>
          <w:right w:w="70" w:type="dxa"/>
        </w:tblCellMar>
        <w:tblLook w:val="0000" w:firstRow="0" w:lastRow="0" w:firstColumn="0" w:lastColumn="0" w:noHBand="0" w:noVBand="0"/>
      </w:tblPr>
      <w:tblGrid>
        <w:gridCol w:w="2854"/>
        <w:gridCol w:w="706"/>
        <w:gridCol w:w="1330"/>
        <w:gridCol w:w="3118"/>
      </w:tblGrid>
      <w:tr w:rsidR="00D51707" w:rsidRPr="00026EC1" w14:paraId="1CE8064F" w14:textId="77777777" w:rsidTr="00D51707">
        <w:tc>
          <w:tcPr>
            <w:tcW w:w="2854" w:type="dxa"/>
          </w:tcPr>
          <w:p w14:paraId="0E58FEEA" w14:textId="77777777" w:rsidR="00D51707" w:rsidRPr="00026EC1" w:rsidRDefault="00D51707" w:rsidP="00A64613">
            <w:pPr>
              <w:pStyle w:val="Texte1cm"/>
              <w:keepNext w:val="0"/>
              <w:ind w:left="0"/>
              <w:rPr>
                <w:szCs w:val="24"/>
              </w:rPr>
            </w:pPr>
          </w:p>
        </w:tc>
        <w:tc>
          <w:tcPr>
            <w:tcW w:w="706" w:type="dxa"/>
          </w:tcPr>
          <w:p w14:paraId="07380CCF" w14:textId="77777777" w:rsidR="00D51707" w:rsidRPr="00026EC1" w:rsidRDefault="00D51707" w:rsidP="00A64613">
            <w:pPr>
              <w:pStyle w:val="Texte1cm"/>
              <w:keepNext w:val="0"/>
              <w:ind w:left="0"/>
              <w:rPr>
                <w:szCs w:val="24"/>
              </w:rPr>
            </w:pPr>
          </w:p>
        </w:tc>
        <w:tc>
          <w:tcPr>
            <w:tcW w:w="1330" w:type="dxa"/>
          </w:tcPr>
          <w:p w14:paraId="0C5024B7" w14:textId="77777777" w:rsidR="00D51707" w:rsidRPr="00026EC1" w:rsidRDefault="00D51707" w:rsidP="00A64613">
            <w:pPr>
              <w:pStyle w:val="Texte1cm"/>
              <w:keepNext w:val="0"/>
              <w:ind w:left="0"/>
              <w:rPr>
                <w:szCs w:val="24"/>
              </w:rPr>
            </w:pPr>
          </w:p>
        </w:tc>
        <w:tc>
          <w:tcPr>
            <w:tcW w:w="3118" w:type="dxa"/>
          </w:tcPr>
          <w:p w14:paraId="799D26D7" w14:textId="77777777" w:rsidR="00D51707" w:rsidRPr="00026EC1" w:rsidRDefault="00D51707" w:rsidP="00A64613">
            <w:pPr>
              <w:pStyle w:val="Texte1cm"/>
              <w:keepNext w:val="0"/>
              <w:ind w:left="0"/>
              <w:jc w:val="center"/>
              <w:rPr>
                <w:szCs w:val="24"/>
                <w:u w:val="single"/>
              </w:rPr>
            </w:pPr>
            <w:r w:rsidRPr="00026EC1">
              <w:rPr>
                <w:szCs w:val="24"/>
                <w:u w:val="single"/>
              </w:rPr>
              <w:t>Équivalent en ETC</w:t>
            </w:r>
          </w:p>
        </w:tc>
      </w:tr>
      <w:tr w:rsidR="00D51707" w:rsidRPr="00026EC1" w14:paraId="641EA782" w14:textId="77777777" w:rsidTr="00D51707">
        <w:tc>
          <w:tcPr>
            <w:tcW w:w="2854" w:type="dxa"/>
          </w:tcPr>
          <w:p w14:paraId="0C46D673" w14:textId="77777777" w:rsidR="00D51707" w:rsidRPr="00026EC1" w:rsidRDefault="00D51707" w:rsidP="00A64613">
            <w:pPr>
              <w:pStyle w:val="Texte1cm"/>
              <w:keepNext w:val="0"/>
              <w:ind w:left="0"/>
              <w:rPr>
                <w:szCs w:val="24"/>
              </w:rPr>
            </w:pPr>
            <w:r w:rsidRPr="00026EC1">
              <w:rPr>
                <w:szCs w:val="24"/>
              </w:rPr>
              <w:t>de 5 à 11 jours</w:t>
            </w:r>
          </w:p>
        </w:tc>
        <w:tc>
          <w:tcPr>
            <w:tcW w:w="706" w:type="dxa"/>
          </w:tcPr>
          <w:p w14:paraId="149DB3C6"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330" w:type="dxa"/>
          </w:tcPr>
          <w:p w14:paraId="01067D0A" w14:textId="77777777" w:rsidR="00D51707" w:rsidRPr="00026EC1" w:rsidRDefault="00D51707" w:rsidP="00A64613">
            <w:pPr>
              <w:pStyle w:val="Texte1cm"/>
              <w:keepNext w:val="0"/>
              <w:ind w:left="0"/>
              <w:rPr>
                <w:szCs w:val="24"/>
              </w:rPr>
            </w:pPr>
            <w:r w:rsidRPr="00026EC1">
              <w:rPr>
                <w:szCs w:val="24"/>
              </w:rPr>
              <w:t>1/4 mois</w:t>
            </w:r>
          </w:p>
        </w:tc>
        <w:tc>
          <w:tcPr>
            <w:tcW w:w="3118" w:type="dxa"/>
          </w:tcPr>
          <w:p w14:paraId="70F78E65" w14:textId="77777777" w:rsidR="00D51707" w:rsidRPr="00026EC1" w:rsidRDefault="00D51707" w:rsidP="00A64613">
            <w:pPr>
              <w:pStyle w:val="Texte1cm"/>
              <w:keepNext w:val="0"/>
              <w:ind w:left="0"/>
              <w:jc w:val="center"/>
              <w:rPr>
                <w:szCs w:val="24"/>
              </w:rPr>
            </w:pPr>
            <w:r w:rsidRPr="00026EC1">
              <w:rPr>
                <w:szCs w:val="24"/>
              </w:rPr>
              <w:t>0,0208</w:t>
            </w:r>
          </w:p>
        </w:tc>
      </w:tr>
      <w:tr w:rsidR="00D51707" w:rsidRPr="00026EC1" w14:paraId="54F110E8" w14:textId="77777777" w:rsidTr="00D51707">
        <w:tc>
          <w:tcPr>
            <w:tcW w:w="2854" w:type="dxa"/>
          </w:tcPr>
          <w:p w14:paraId="070D247C" w14:textId="77777777" w:rsidR="00D51707" w:rsidRPr="00026EC1" w:rsidRDefault="00D51707" w:rsidP="00A64613">
            <w:pPr>
              <w:pStyle w:val="Texte1cm"/>
              <w:keepNext w:val="0"/>
              <w:ind w:left="0"/>
              <w:rPr>
                <w:szCs w:val="24"/>
              </w:rPr>
            </w:pPr>
            <w:r w:rsidRPr="00026EC1">
              <w:rPr>
                <w:szCs w:val="24"/>
              </w:rPr>
              <w:t>de 12 à 18 jours</w:t>
            </w:r>
          </w:p>
        </w:tc>
        <w:tc>
          <w:tcPr>
            <w:tcW w:w="706" w:type="dxa"/>
          </w:tcPr>
          <w:p w14:paraId="1E3D5EFF"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330" w:type="dxa"/>
          </w:tcPr>
          <w:p w14:paraId="33722E16" w14:textId="77777777" w:rsidR="00D51707" w:rsidRPr="00026EC1" w:rsidRDefault="00D51707" w:rsidP="00A64613">
            <w:pPr>
              <w:pStyle w:val="Texte1cm"/>
              <w:keepNext w:val="0"/>
              <w:ind w:left="0"/>
              <w:rPr>
                <w:szCs w:val="24"/>
              </w:rPr>
            </w:pPr>
            <w:r w:rsidRPr="00026EC1">
              <w:rPr>
                <w:szCs w:val="24"/>
              </w:rPr>
              <w:t>1/2 mois</w:t>
            </w:r>
          </w:p>
        </w:tc>
        <w:tc>
          <w:tcPr>
            <w:tcW w:w="3118" w:type="dxa"/>
          </w:tcPr>
          <w:p w14:paraId="3E5EC67A" w14:textId="77777777" w:rsidR="00D51707" w:rsidRPr="00026EC1" w:rsidRDefault="00D51707" w:rsidP="00A64613">
            <w:pPr>
              <w:pStyle w:val="Texte1cm"/>
              <w:keepNext w:val="0"/>
              <w:ind w:left="0"/>
              <w:jc w:val="center"/>
              <w:rPr>
                <w:szCs w:val="24"/>
              </w:rPr>
            </w:pPr>
            <w:r w:rsidRPr="00026EC1">
              <w:rPr>
                <w:szCs w:val="24"/>
              </w:rPr>
              <w:t>0,0417</w:t>
            </w:r>
          </w:p>
        </w:tc>
      </w:tr>
      <w:tr w:rsidR="00D51707" w:rsidRPr="00026EC1" w14:paraId="4142A407" w14:textId="77777777" w:rsidTr="00D51707">
        <w:tc>
          <w:tcPr>
            <w:tcW w:w="2854" w:type="dxa"/>
          </w:tcPr>
          <w:p w14:paraId="3F228546" w14:textId="77777777" w:rsidR="00D51707" w:rsidRPr="00026EC1" w:rsidRDefault="00D51707" w:rsidP="00A64613">
            <w:pPr>
              <w:pStyle w:val="Texte1cm"/>
              <w:keepNext w:val="0"/>
              <w:ind w:left="0"/>
              <w:rPr>
                <w:szCs w:val="24"/>
              </w:rPr>
            </w:pPr>
            <w:r w:rsidRPr="00026EC1">
              <w:rPr>
                <w:szCs w:val="24"/>
              </w:rPr>
              <w:t>de 19 à 24 jours</w:t>
            </w:r>
          </w:p>
        </w:tc>
        <w:tc>
          <w:tcPr>
            <w:tcW w:w="706" w:type="dxa"/>
          </w:tcPr>
          <w:p w14:paraId="2A5FA4F9"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330" w:type="dxa"/>
          </w:tcPr>
          <w:p w14:paraId="3248B66E" w14:textId="77777777" w:rsidR="00D51707" w:rsidRPr="00026EC1" w:rsidRDefault="00D51707" w:rsidP="00A64613">
            <w:pPr>
              <w:pStyle w:val="Texte1cm"/>
              <w:keepNext w:val="0"/>
              <w:ind w:left="0"/>
              <w:rPr>
                <w:szCs w:val="24"/>
              </w:rPr>
            </w:pPr>
            <w:r w:rsidRPr="00026EC1">
              <w:rPr>
                <w:szCs w:val="24"/>
              </w:rPr>
              <w:t>3/4 mois</w:t>
            </w:r>
          </w:p>
        </w:tc>
        <w:tc>
          <w:tcPr>
            <w:tcW w:w="3118" w:type="dxa"/>
          </w:tcPr>
          <w:p w14:paraId="2A8B68DD" w14:textId="77777777" w:rsidR="00D51707" w:rsidRPr="00026EC1" w:rsidRDefault="00D51707" w:rsidP="00A64613">
            <w:pPr>
              <w:pStyle w:val="Texte1cm"/>
              <w:keepNext w:val="0"/>
              <w:ind w:left="0"/>
              <w:jc w:val="center"/>
              <w:rPr>
                <w:szCs w:val="24"/>
              </w:rPr>
            </w:pPr>
            <w:r w:rsidRPr="00026EC1">
              <w:rPr>
                <w:szCs w:val="24"/>
              </w:rPr>
              <w:t>0,0625</w:t>
            </w:r>
          </w:p>
        </w:tc>
      </w:tr>
      <w:tr w:rsidR="00D51707" w:rsidRPr="00026EC1" w14:paraId="753350B6" w14:textId="77777777" w:rsidTr="00D51707">
        <w:tc>
          <w:tcPr>
            <w:tcW w:w="2854" w:type="dxa"/>
          </w:tcPr>
          <w:p w14:paraId="349B6DCC" w14:textId="77777777" w:rsidR="00D51707" w:rsidRPr="00026EC1" w:rsidRDefault="00D51707" w:rsidP="00A64613">
            <w:pPr>
              <w:pStyle w:val="Texte1cm"/>
              <w:keepNext w:val="0"/>
              <w:ind w:left="0"/>
              <w:rPr>
                <w:szCs w:val="24"/>
              </w:rPr>
            </w:pPr>
            <w:r w:rsidRPr="00026EC1">
              <w:rPr>
                <w:szCs w:val="24"/>
              </w:rPr>
              <w:t>25 jours et plus</w:t>
            </w:r>
          </w:p>
        </w:tc>
        <w:tc>
          <w:tcPr>
            <w:tcW w:w="706" w:type="dxa"/>
          </w:tcPr>
          <w:p w14:paraId="49CFE900" w14:textId="77777777" w:rsidR="00D51707" w:rsidRPr="00026EC1" w:rsidRDefault="00D51707" w:rsidP="00A64613">
            <w:pPr>
              <w:pStyle w:val="Texte1cm"/>
              <w:keepNext w:val="0"/>
              <w:ind w:left="0"/>
              <w:rPr>
                <w:szCs w:val="24"/>
              </w:rPr>
            </w:pPr>
            <w:r w:rsidRPr="00026EC1">
              <w:rPr>
                <w:szCs w:val="24"/>
              </w:rPr>
              <w:t> </w:t>
            </w:r>
            <w:r w:rsidR="00805160" w:rsidRPr="00026EC1">
              <w:rPr>
                <w:szCs w:val="24"/>
              </w:rPr>
              <w:t>=</w:t>
            </w:r>
          </w:p>
        </w:tc>
        <w:tc>
          <w:tcPr>
            <w:tcW w:w="1330" w:type="dxa"/>
          </w:tcPr>
          <w:p w14:paraId="482A8030" w14:textId="77777777" w:rsidR="00D51707" w:rsidRPr="00026EC1" w:rsidRDefault="00D51707" w:rsidP="00A64613">
            <w:pPr>
              <w:pStyle w:val="Texte1cm"/>
              <w:keepNext w:val="0"/>
              <w:ind w:left="0"/>
              <w:rPr>
                <w:szCs w:val="24"/>
              </w:rPr>
            </w:pPr>
            <w:r w:rsidRPr="00026EC1">
              <w:rPr>
                <w:szCs w:val="24"/>
              </w:rPr>
              <w:t>1 mois</w:t>
            </w:r>
          </w:p>
        </w:tc>
        <w:tc>
          <w:tcPr>
            <w:tcW w:w="3118" w:type="dxa"/>
          </w:tcPr>
          <w:p w14:paraId="21848D74" w14:textId="77777777" w:rsidR="00D51707" w:rsidRPr="00026EC1" w:rsidRDefault="00D51707" w:rsidP="00A64613">
            <w:pPr>
              <w:pStyle w:val="Texte1cm"/>
              <w:keepNext w:val="0"/>
              <w:ind w:left="0"/>
              <w:jc w:val="center"/>
              <w:rPr>
                <w:szCs w:val="24"/>
              </w:rPr>
            </w:pPr>
            <w:r w:rsidRPr="00026EC1">
              <w:rPr>
                <w:szCs w:val="24"/>
              </w:rPr>
              <w:t>0,0833</w:t>
            </w:r>
          </w:p>
        </w:tc>
      </w:tr>
    </w:tbl>
    <w:p w14:paraId="4CAC5173" w14:textId="77777777" w:rsidR="005C01E7" w:rsidRPr="00026EC1" w:rsidRDefault="005C01E7" w:rsidP="00A64613">
      <w:pPr>
        <w:pStyle w:val="Texte1cm"/>
        <w:keepNext w:val="0"/>
        <w:tabs>
          <w:tab w:val="left" w:pos="1260"/>
          <w:tab w:val="left" w:pos="4500"/>
        </w:tabs>
      </w:pPr>
    </w:p>
    <w:p w14:paraId="09BD8205" w14:textId="77777777" w:rsidR="00D51707" w:rsidRPr="00026EC1" w:rsidRDefault="00D51707" w:rsidP="00A64613">
      <w:pPr>
        <w:pStyle w:val="Texte1cm"/>
        <w:keepNext w:val="0"/>
        <w:tabs>
          <w:tab w:val="left" w:pos="1260"/>
          <w:tab w:val="left" w:pos="4500"/>
        </w:tabs>
      </w:pPr>
      <w:r w:rsidRPr="00026EC1">
        <w:t>Aucune expérience d</w:t>
      </w:r>
      <w:r w:rsidR="004A41E4" w:rsidRPr="00026EC1">
        <w:t>’</w:t>
      </w:r>
      <w:r w:rsidRPr="00026EC1">
        <w:t>une durée inférieure à un (1) mois ne peut faire l</w:t>
      </w:r>
      <w:r w:rsidR="004A41E4" w:rsidRPr="00026EC1">
        <w:t>’</w:t>
      </w:r>
      <w:r w:rsidRPr="00026EC1">
        <w:t>objet de l</w:t>
      </w:r>
      <w:r w:rsidR="004A41E4" w:rsidRPr="00026EC1">
        <w:t>’</w:t>
      </w:r>
      <w:r w:rsidRPr="00026EC1">
        <w:t>application de ces règles.</w:t>
      </w:r>
    </w:p>
    <w:p w14:paraId="4631BA1B" w14:textId="77777777" w:rsidR="00D51707" w:rsidRPr="00026EC1" w:rsidRDefault="00D51707" w:rsidP="00A64613">
      <w:pPr>
        <w:pStyle w:val="Texte1cm00000"/>
        <w:keepNext w:val="0"/>
      </w:pPr>
    </w:p>
    <w:p w14:paraId="7CBD71CD" w14:textId="77777777" w:rsidR="00D51707" w:rsidRPr="00026EC1" w:rsidRDefault="00D51707" w:rsidP="00A64613">
      <w:pPr>
        <w:pStyle w:val="Texte1cm"/>
        <w:keepNext w:val="0"/>
        <w:tabs>
          <w:tab w:val="left" w:pos="4500"/>
        </w:tabs>
      </w:pPr>
      <w:r w:rsidRPr="00026EC1">
        <w:t>L</w:t>
      </w:r>
      <w:r w:rsidR="004A41E4" w:rsidRPr="00026EC1">
        <w:t>’</w:t>
      </w:r>
      <w:r w:rsidRPr="00026EC1">
        <w:t>expérience professionnelle ou industrielle pertinente acquise à temps partiel est reconnue à l</w:t>
      </w:r>
      <w:r w:rsidR="004A41E4" w:rsidRPr="00026EC1">
        <w:t>’</w:t>
      </w:r>
      <w:r w:rsidRPr="00026EC1">
        <w:t>enseignante ou l</w:t>
      </w:r>
      <w:r w:rsidR="004A41E4" w:rsidRPr="00026EC1">
        <w:t>’</w:t>
      </w:r>
      <w:r w:rsidRPr="00026EC1">
        <w:t>enseignant suivant les règles du présent alinéa en y apportant les adaptations nécessaires.</w:t>
      </w:r>
    </w:p>
    <w:p w14:paraId="0AC3B711" w14:textId="77777777" w:rsidR="00D51707" w:rsidRPr="00026EC1" w:rsidRDefault="00D51707" w:rsidP="00A64613">
      <w:pPr>
        <w:pStyle w:val="Texte1cm00000"/>
        <w:keepNext w:val="0"/>
      </w:pPr>
    </w:p>
    <w:p w14:paraId="1152C8BE" w14:textId="61635A47" w:rsidR="00D51707" w:rsidRPr="00026EC1" w:rsidRDefault="00D51707" w:rsidP="00A64613">
      <w:pPr>
        <w:keepNext w:val="0"/>
        <w:ind w:left="567"/>
      </w:pPr>
      <w:r w:rsidRPr="00026EC1">
        <w:t>L</w:t>
      </w:r>
      <w:r w:rsidR="004A41E4" w:rsidRPr="00026EC1">
        <w:t>’</w:t>
      </w:r>
      <w:r w:rsidRPr="00026EC1">
        <w:t>expérience professionnelle ou industrielle pertinente peut être accumulée par année d</w:t>
      </w:r>
      <w:r w:rsidR="004A41E4" w:rsidRPr="00026EC1">
        <w:t>’</w:t>
      </w:r>
      <w:r w:rsidRPr="00026EC1">
        <w:t>engagement pour constituer une</w:t>
      </w:r>
      <w:r w:rsidR="004C48E0">
        <w:t> </w:t>
      </w:r>
      <w:r w:rsidR="00805160" w:rsidRPr="00026EC1">
        <w:t>(1)</w:t>
      </w:r>
      <w:r w:rsidRPr="00026EC1">
        <w:t xml:space="preserve"> année d</w:t>
      </w:r>
      <w:r w:rsidR="004A41E4" w:rsidRPr="00026EC1">
        <w:t>’</w:t>
      </w:r>
      <w:r w:rsidRPr="00026EC1">
        <w:t>expérience selon la disposition suivante</w:t>
      </w:r>
      <w:r w:rsidR="00D8581B">
        <w:t> :</w:t>
      </w:r>
    </w:p>
    <w:p w14:paraId="2FEBD207" w14:textId="77777777" w:rsidR="00D51707" w:rsidRPr="00026EC1" w:rsidRDefault="00D51707" w:rsidP="00A64613">
      <w:pPr>
        <w:pStyle w:val="Texte1cm00000"/>
        <w:keepNext w:val="0"/>
      </w:pPr>
    </w:p>
    <w:p w14:paraId="04E52872" w14:textId="54D81159" w:rsidR="00D51707" w:rsidRPr="00026EC1" w:rsidRDefault="00275751" w:rsidP="00A64613">
      <w:pPr>
        <w:keepNext w:val="0"/>
        <w:ind w:left="1134" w:hanging="567"/>
      </w:pPr>
      <w:r w:rsidRPr="00026EC1">
        <w:rPr>
          <w:rFonts w:ascii="Symbol" w:hAnsi="Symbol"/>
        </w:rPr>
        <w:t></w:t>
      </w:r>
      <w:r w:rsidRPr="00026EC1">
        <w:rPr>
          <w:rFonts w:ascii="Symbol" w:hAnsi="Symbol"/>
        </w:rPr>
        <w:tab/>
      </w:r>
      <w:r w:rsidR="00D51707" w:rsidRPr="00026EC1">
        <w:tab/>
        <w:t>le nombre requis pour constituer une</w:t>
      </w:r>
      <w:r w:rsidR="004C48E0">
        <w:t> </w:t>
      </w:r>
      <w:r w:rsidR="00805160" w:rsidRPr="00026EC1">
        <w:t>(1)</w:t>
      </w:r>
      <w:r w:rsidR="00D51707" w:rsidRPr="00026EC1">
        <w:t xml:space="preserve"> année d</w:t>
      </w:r>
      <w:r w:rsidR="004A41E4" w:rsidRPr="00026EC1">
        <w:t>’</w:t>
      </w:r>
      <w:r w:rsidR="00D51707" w:rsidRPr="00026EC1">
        <w:t>expérience est l</w:t>
      </w:r>
      <w:r w:rsidR="004A41E4" w:rsidRPr="00026EC1">
        <w:t>’</w:t>
      </w:r>
      <w:r w:rsidR="00D51707" w:rsidRPr="00026EC1">
        <w:t>équivalent de zéro virgule cinq</w:t>
      </w:r>
      <w:r w:rsidR="004C48E0">
        <w:t> </w:t>
      </w:r>
      <w:r w:rsidR="00D51707" w:rsidRPr="00026EC1">
        <w:t>(0,5) ETC; cependant, une</w:t>
      </w:r>
      <w:r w:rsidR="00805160" w:rsidRPr="00026EC1">
        <w:t xml:space="preserve"> </w:t>
      </w:r>
      <w:r w:rsidR="00D51707" w:rsidRPr="00026EC1">
        <w:t>enseignante ou un enseignant ne peut commencer à accumuler une</w:t>
      </w:r>
      <w:r w:rsidR="004C48E0">
        <w:t> </w:t>
      </w:r>
      <w:r w:rsidR="008A76D5" w:rsidRPr="00026EC1">
        <w:t xml:space="preserve">(1) </w:t>
      </w:r>
      <w:r w:rsidR="00D51707" w:rsidRPr="00026EC1">
        <w:t>nouvelle année d</w:t>
      </w:r>
      <w:r w:rsidR="004A41E4" w:rsidRPr="00026EC1">
        <w:t>’</w:t>
      </w:r>
      <w:r w:rsidR="00D51707" w:rsidRPr="00026EC1">
        <w:t>expérience que lorsqu</w:t>
      </w:r>
      <w:r w:rsidR="004A41E4" w:rsidRPr="00026EC1">
        <w:t>’</w:t>
      </w:r>
      <w:r w:rsidR="00D51707" w:rsidRPr="00026EC1">
        <w:t>elle ou il a cumulé l</w:t>
      </w:r>
      <w:r w:rsidR="004A41E4" w:rsidRPr="00026EC1">
        <w:t>’</w:t>
      </w:r>
      <w:r w:rsidR="00D51707" w:rsidRPr="00026EC1">
        <w:t>équivalent de zéro virgule soixante</w:t>
      </w:r>
      <w:r w:rsidR="00984A6F">
        <w:noBreakHyphen/>
      </w:r>
      <w:r w:rsidR="00D51707" w:rsidRPr="00026EC1">
        <w:t>quinze</w:t>
      </w:r>
      <w:r w:rsidR="004C48E0">
        <w:t> </w:t>
      </w:r>
      <w:r w:rsidR="00D51707" w:rsidRPr="00026EC1">
        <w:t>(0,75) ETC;</w:t>
      </w:r>
    </w:p>
    <w:p w14:paraId="664D3EFB" w14:textId="77777777" w:rsidR="00D51707" w:rsidRPr="00026EC1" w:rsidRDefault="00D51707" w:rsidP="00A64613">
      <w:pPr>
        <w:pStyle w:val="Texte1cm00000"/>
        <w:keepNext w:val="0"/>
      </w:pPr>
    </w:p>
    <w:p w14:paraId="3C760B69" w14:textId="096C9394" w:rsidR="00D51707" w:rsidRPr="00026EC1" w:rsidRDefault="003142F7" w:rsidP="00A64613">
      <w:pPr>
        <w:keepNext w:val="0"/>
        <w:ind w:left="567" w:hanging="567"/>
        <w:rPr>
          <w:szCs w:val="24"/>
        </w:rPr>
      </w:pPr>
      <w:r w:rsidRPr="00B44130">
        <w:rPr>
          <w:rFonts w:cs="Arial"/>
        </w:rPr>
        <w:t>h</w:t>
      </w:r>
      <w:r w:rsidR="00275751" w:rsidRPr="00B44130">
        <w:rPr>
          <w:rFonts w:cs="Arial"/>
        </w:rPr>
        <w:t>)</w:t>
      </w:r>
      <w:r w:rsidR="00275751" w:rsidRPr="00026EC1">
        <w:rPr>
          <w:szCs w:val="24"/>
        </w:rPr>
        <w:tab/>
      </w:r>
      <w:r w:rsidR="00D51707" w:rsidRPr="00026EC1">
        <w:rPr>
          <w:rFonts w:cs="Arial"/>
          <w:szCs w:val="24"/>
        </w:rPr>
        <w:t>le cumul de l</w:t>
      </w:r>
      <w:r w:rsidR="004A41E4" w:rsidRPr="00026EC1">
        <w:rPr>
          <w:rFonts w:cs="Arial"/>
        </w:rPr>
        <w:t>’</w:t>
      </w:r>
      <w:r w:rsidR="00D51707" w:rsidRPr="00026EC1">
        <w:rPr>
          <w:rFonts w:cs="Arial"/>
        </w:rPr>
        <w:t>expérience en enseignement en vertu des alinéas</w:t>
      </w:r>
      <w:r w:rsidR="00C5649C" w:rsidRPr="00026EC1">
        <w:rPr>
          <w:rFonts w:cs="Arial"/>
        </w:rPr>
        <w:t> </w:t>
      </w:r>
      <w:r w:rsidR="00D51707" w:rsidRPr="00026EC1">
        <w:rPr>
          <w:rFonts w:cs="Arial"/>
        </w:rPr>
        <w:t>c) et d) et de l</w:t>
      </w:r>
      <w:r w:rsidR="004A41E4" w:rsidRPr="00026EC1">
        <w:rPr>
          <w:rFonts w:cs="Arial"/>
        </w:rPr>
        <w:t>’</w:t>
      </w:r>
      <w:r w:rsidR="00D51707" w:rsidRPr="00026EC1">
        <w:rPr>
          <w:rFonts w:cs="Arial"/>
        </w:rPr>
        <w:t>expérience professionnelle ou industrielle pertinente en vertu de l</w:t>
      </w:r>
      <w:r w:rsidR="004A41E4" w:rsidRPr="00026EC1">
        <w:rPr>
          <w:rFonts w:cs="Arial"/>
        </w:rPr>
        <w:t>’</w:t>
      </w:r>
      <w:r w:rsidR="00D51707" w:rsidRPr="00026EC1">
        <w:rPr>
          <w:rFonts w:cs="Arial"/>
        </w:rPr>
        <w:t>alinéa</w:t>
      </w:r>
      <w:r w:rsidR="00C5649C" w:rsidRPr="00026EC1">
        <w:rPr>
          <w:rFonts w:cs="Arial"/>
        </w:rPr>
        <w:t> </w:t>
      </w:r>
      <w:r w:rsidR="00D51707" w:rsidRPr="00026EC1">
        <w:rPr>
          <w:rFonts w:cs="Arial"/>
        </w:rPr>
        <w:t>f); l</w:t>
      </w:r>
      <w:r w:rsidR="004A41E4" w:rsidRPr="00026EC1">
        <w:rPr>
          <w:rFonts w:cs="Arial"/>
        </w:rPr>
        <w:t>’</w:t>
      </w:r>
      <w:r w:rsidR="00D51707" w:rsidRPr="00026EC1">
        <w:rPr>
          <w:rFonts w:cs="Arial"/>
        </w:rPr>
        <w:t>expérience est calculée par année d</w:t>
      </w:r>
      <w:r w:rsidR="004A41E4" w:rsidRPr="00026EC1">
        <w:rPr>
          <w:rFonts w:cs="Arial"/>
        </w:rPr>
        <w:t>’</w:t>
      </w:r>
      <w:r w:rsidR="00D51707" w:rsidRPr="00026EC1">
        <w:rPr>
          <w:rFonts w:cs="Arial"/>
        </w:rPr>
        <w:t>engagement</w:t>
      </w:r>
      <w:r w:rsidR="00D51707" w:rsidRPr="00026EC1">
        <w:rPr>
          <w:rFonts w:ascii="Arial Gras" w:hAnsi="Arial Gras"/>
        </w:rPr>
        <w:t xml:space="preserve"> </w:t>
      </w:r>
      <w:r w:rsidR="00D51707" w:rsidRPr="00026EC1">
        <w:t>selon la disposition suivante</w:t>
      </w:r>
      <w:r w:rsidR="00D8581B">
        <w:t> :</w:t>
      </w:r>
    </w:p>
    <w:p w14:paraId="17A08806" w14:textId="77777777" w:rsidR="00D51707" w:rsidRPr="00026EC1" w:rsidRDefault="00D51707" w:rsidP="00A64613">
      <w:pPr>
        <w:pStyle w:val="Texte1cm00000"/>
        <w:keepNext w:val="0"/>
      </w:pPr>
    </w:p>
    <w:p w14:paraId="048F0F99" w14:textId="273CBA6B" w:rsidR="00D51707" w:rsidRPr="00026EC1" w:rsidRDefault="00275751" w:rsidP="00A64613">
      <w:pPr>
        <w:keepNext w:val="0"/>
        <w:ind w:left="1134" w:hanging="567"/>
      </w:pPr>
      <w:r w:rsidRPr="00026EC1">
        <w:rPr>
          <w:rFonts w:ascii="Symbol" w:hAnsi="Symbol"/>
        </w:rPr>
        <w:t></w:t>
      </w:r>
      <w:r w:rsidRPr="00026EC1">
        <w:rPr>
          <w:rFonts w:ascii="Symbol" w:hAnsi="Symbol"/>
        </w:rPr>
        <w:tab/>
      </w:r>
      <w:r w:rsidR="00D51707" w:rsidRPr="00026EC1">
        <w:tab/>
        <w:t>le nombre requis pour constituer une</w:t>
      </w:r>
      <w:r w:rsidR="004C48E0">
        <w:t> </w:t>
      </w:r>
      <w:r w:rsidR="00805160" w:rsidRPr="00026EC1">
        <w:t>(1)</w:t>
      </w:r>
      <w:r w:rsidR="00D51707" w:rsidRPr="00026EC1">
        <w:t xml:space="preserve"> année d</w:t>
      </w:r>
      <w:r w:rsidR="004A41E4" w:rsidRPr="00026EC1">
        <w:t>’</w:t>
      </w:r>
      <w:r w:rsidR="00D51707" w:rsidRPr="00026EC1">
        <w:t>expérience est l</w:t>
      </w:r>
      <w:r w:rsidR="004A41E4" w:rsidRPr="00026EC1">
        <w:t>’</w:t>
      </w:r>
      <w:r w:rsidR="00D51707" w:rsidRPr="00026EC1">
        <w:t>équivalent de zéro virgule cinq</w:t>
      </w:r>
      <w:r w:rsidR="004C48E0">
        <w:t> </w:t>
      </w:r>
      <w:r w:rsidR="00D51707" w:rsidRPr="00026EC1">
        <w:t>(0,5) ETC; cependant, une enseignante ou un enseignant ne peut commencer à accumuler une</w:t>
      </w:r>
      <w:r w:rsidR="004C48E0">
        <w:t> </w:t>
      </w:r>
      <w:r w:rsidR="00805160" w:rsidRPr="00026EC1">
        <w:t>(1)</w:t>
      </w:r>
      <w:r w:rsidR="00D51707" w:rsidRPr="00026EC1">
        <w:t xml:space="preserve"> nouvelle année d</w:t>
      </w:r>
      <w:r w:rsidR="004A41E4" w:rsidRPr="00026EC1">
        <w:t>’</w:t>
      </w:r>
      <w:r w:rsidR="00D51707" w:rsidRPr="00026EC1">
        <w:t>expérience que lorsqu</w:t>
      </w:r>
      <w:r w:rsidR="004A41E4" w:rsidRPr="00026EC1">
        <w:t>’</w:t>
      </w:r>
      <w:r w:rsidR="00D51707" w:rsidRPr="00026EC1">
        <w:t>elle ou il a cumulé l</w:t>
      </w:r>
      <w:r w:rsidR="004A41E4" w:rsidRPr="00026EC1">
        <w:t>’</w:t>
      </w:r>
      <w:r w:rsidR="00D51707" w:rsidRPr="00026EC1">
        <w:t>équivalent de zéro virgule soixante</w:t>
      </w:r>
      <w:r w:rsidR="00984A6F">
        <w:noBreakHyphen/>
      </w:r>
      <w:r w:rsidR="00D51707" w:rsidRPr="00026EC1">
        <w:t>quinze (0,75) ETC.</w:t>
      </w:r>
    </w:p>
    <w:p w14:paraId="21D6D172" w14:textId="57369063" w:rsidR="00C17379" w:rsidRDefault="00D51707" w:rsidP="00A64613">
      <w:pPr>
        <w:keepNext w:val="0"/>
        <w:tabs>
          <w:tab w:val="left" w:pos="4500"/>
        </w:tabs>
      </w:pPr>
      <w:r w:rsidRPr="00026EC1">
        <w:t>En aucun cas, l</w:t>
      </w:r>
      <w:r w:rsidR="004A41E4" w:rsidRPr="00026EC1">
        <w:t>’</w:t>
      </w:r>
      <w:r w:rsidRPr="00026EC1">
        <w:t>enseignante ou l</w:t>
      </w:r>
      <w:r w:rsidR="004A41E4" w:rsidRPr="00026EC1">
        <w:t>’</w:t>
      </w:r>
      <w:r w:rsidRPr="00026EC1">
        <w:t>enseignant ne peut accumuler plus d</w:t>
      </w:r>
      <w:r w:rsidR="004A41E4" w:rsidRPr="00026EC1">
        <w:t>’</w:t>
      </w:r>
      <w:r w:rsidRPr="00026EC1">
        <w:t>une (1) année d</w:t>
      </w:r>
      <w:r w:rsidR="004A41E4" w:rsidRPr="00026EC1">
        <w:t>’</w:t>
      </w:r>
      <w:r w:rsidRPr="00026EC1">
        <w:t>expérience durant une même année d</w:t>
      </w:r>
      <w:r w:rsidR="004A41E4" w:rsidRPr="00026EC1">
        <w:t>’</w:t>
      </w:r>
      <w:r w:rsidRPr="00026EC1">
        <w:t>engagement.</w:t>
      </w:r>
    </w:p>
    <w:p w14:paraId="634DF9A8" w14:textId="5E50B2F4" w:rsidR="00C17379" w:rsidRDefault="00C17379">
      <w:pPr>
        <w:keepNext w:val="0"/>
        <w:suppressAutoHyphens w:val="0"/>
        <w:jc w:val="left"/>
      </w:pPr>
    </w:p>
    <w:p w14:paraId="7C9E9B5B" w14:textId="24F0AFAF" w:rsidR="00D51707" w:rsidRPr="00026EC1" w:rsidRDefault="00D51707" w:rsidP="00A64613">
      <w:pPr>
        <w:pStyle w:val="NUMRODECLAUSE"/>
        <w:keepNext w:val="0"/>
      </w:pPr>
      <w:r w:rsidRPr="00026EC1">
        <w:t>6</w:t>
      </w:r>
      <w:r w:rsidR="00984A6F">
        <w:noBreakHyphen/>
      </w:r>
      <w:r w:rsidRPr="00026EC1">
        <w:t>2.02</w:t>
      </w:r>
    </w:p>
    <w:p w14:paraId="6BBAE406" w14:textId="3E23657B" w:rsidR="00D51707" w:rsidRPr="00026EC1" w:rsidRDefault="00D51707" w:rsidP="00A64613">
      <w:pPr>
        <w:keepNext w:val="0"/>
        <w:tabs>
          <w:tab w:val="left" w:pos="4500"/>
        </w:tabs>
      </w:pPr>
      <w:r w:rsidRPr="00026EC1">
        <w:t>La clause 6</w:t>
      </w:r>
      <w:r w:rsidR="00984A6F">
        <w:noBreakHyphen/>
      </w:r>
      <w:r w:rsidRPr="00026EC1">
        <w:t>2.01 ne peut avoir pour effet de réduire les années d</w:t>
      </w:r>
      <w:r w:rsidR="004A41E4" w:rsidRPr="00026EC1">
        <w:t>’</w:t>
      </w:r>
      <w:r w:rsidRPr="00026EC1">
        <w:t>expérience qui étaient reconnues à l</w:t>
      </w:r>
      <w:r w:rsidR="004A41E4" w:rsidRPr="00026EC1">
        <w:t>’</w:t>
      </w:r>
      <w:r w:rsidRPr="00026EC1">
        <w:t>enseignante ou l</w:t>
      </w:r>
      <w:r w:rsidR="004A41E4" w:rsidRPr="00026EC1">
        <w:t>’</w:t>
      </w:r>
      <w:r w:rsidRPr="00026EC1">
        <w:t>enseignant à l</w:t>
      </w:r>
      <w:r w:rsidR="004A41E4" w:rsidRPr="00026EC1">
        <w:t>’</w:t>
      </w:r>
      <w:r w:rsidRPr="00026EC1">
        <w:t xml:space="preserve">emploi du Collège </w:t>
      </w:r>
      <w:r w:rsidR="00121B25" w:rsidRPr="00026EC1">
        <w:t>avant le début de l’année d’engagement 2010</w:t>
      </w:r>
      <w:r w:rsidR="00984A6F">
        <w:noBreakHyphen/>
      </w:r>
      <w:r w:rsidR="00121B25" w:rsidRPr="00026EC1">
        <w:t>2011</w:t>
      </w:r>
      <w:r w:rsidRPr="00026EC1">
        <w:t xml:space="preserve"> en conformité avec les barèmes des régimes officiels antérieurement en vigueur au Collège.</w:t>
      </w:r>
    </w:p>
    <w:p w14:paraId="7BCA9EA8" w14:textId="77777777" w:rsidR="00D51707" w:rsidRPr="00026EC1" w:rsidRDefault="00D51707" w:rsidP="00A64613">
      <w:pPr>
        <w:keepNext w:val="0"/>
        <w:tabs>
          <w:tab w:val="left" w:pos="4500"/>
        </w:tabs>
      </w:pPr>
    </w:p>
    <w:p w14:paraId="27358333" w14:textId="5DA97C75" w:rsidR="00D51707" w:rsidRPr="00026EC1" w:rsidRDefault="00D51707" w:rsidP="00A64613">
      <w:pPr>
        <w:keepNext w:val="0"/>
        <w:tabs>
          <w:tab w:val="left" w:pos="4500"/>
        </w:tabs>
      </w:pPr>
      <w:r w:rsidRPr="00026EC1">
        <w:t>Il en est de même pour les années d</w:t>
      </w:r>
      <w:r w:rsidR="004A41E4" w:rsidRPr="00026EC1">
        <w:t>’</w:t>
      </w:r>
      <w:r w:rsidRPr="00026EC1">
        <w:t>expérience déjà sanctionnées par l</w:t>
      </w:r>
      <w:r w:rsidR="004A41E4" w:rsidRPr="00026EC1">
        <w:t>’</w:t>
      </w:r>
      <w:r w:rsidRPr="00026EC1">
        <w:t>ex</w:t>
      </w:r>
      <w:r w:rsidR="00984A6F">
        <w:noBreakHyphen/>
      </w:r>
      <w:r w:rsidRPr="00026EC1">
        <w:t>comité provincial de classification des enseignantes et enseignants des collèges.</w:t>
      </w:r>
    </w:p>
    <w:p w14:paraId="4AF71238" w14:textId="77777777" w:rsidR="00D51707" w:rsidRPr="00026EC1" w:rsidRDefault="00D51707" w:rsidP="00A64613">
      <w:pPr>
        <w:keepNext w:val="0"/>
        <w:tabs>
          <w:tab w:val="left" w:pos="4500"/>
        </w:tabs>
      </w:pPr>
    </w:p>
    <w:p w14:paraId="0382CE42" w14:textId="2922570D" w:rsidR="00D51707" w:rsidRPr="00026EC1" w:rsidRDefault="00D51707" w:rsidP="00A64613">
      <w:pPr>
        <w:pStyle w:val="NUMRODECLAUSE"/>
        <w:keepNext w:val="0"/>
      </w:pPr>
      <w:r w:rsidRPr="00026EC1">
        <w:t>6</w:t>
      </w:r>
      <w:r w:rsidR="00984A6F">
        <w:noBreakHyphen/>
      </w:r>
      <w:r w:rsidRPr="00026EC1">
        <w:t>2.03</w:t>
      </w:r>
    </w:p>
    <w:p w14:paraId="4C2F5A45" w14:textId="3083166B" w:rsidR="00404F34" w:rsidRDefault="00D51707" w:rsidP="00A64613">
      <w:pPr>
        <w:keepNext w:val="0"/>
        <w:tabs>
          <w:tab w:val="left" w:pos="4500"/>
        </w:tabs>
      </w:pPr>
      <w:r w:rsidRPr="00026EC1">
        <w:t>L</w:t>
      </w:r>
      <w:r w:rsidR="004A41E4" w:rsidRPr="00026EC1">
        <w:t>’</w:t>
      </w:r>
      <w:r w:rsidRPr="00026EC1">
        <w:t>enseignante ou l</w:t>
      </w:r>
      <w:r w:rsidR="004A41E4" w:rsidRPr="00026EC1">
        <w:t>’</w:t>
      </w:r>
      <w:r w:rsidRPr="00026EC1">
        <w:t>enseignant mis en disponibilité et non replacé est considéré à temps complet et son expérience est établie selon les modali</w:t>
      </w:r>
      <w:r w:rsidR="00BA79F8" w:rsidRPr="00026EC1">
        <w:t>tés prévues à la clause 6</w:t>
      </w:r>
      <w:r w:rsidR="00984A6F">
        <w:noBreakHyphen/>
      </w:r>
      <w:r w:rsidR="00BA79F8" w:rsidRPr="00026EC1">
        <w:t>2.01.</w:t>
      </w:r>
    </w:p>
    <w:p w14:paraId="22E37F50" w14:textId="77777777" w:rsidR="00192BD7" w:rsidRDefault="00192BD7" w:rsidP="00A64613">
      <w:pPr>
        <w:keepNext w:val="0"/>
        <w:tabs>
          <w:tab w:val="left" w:pos="4500"/>
        </w:tabs>
      </w:pPr>
    </w:p>
    <w:p w14:paraId="4290FF46" w14:textId="037C98E7" w:rsidR="00192BD7" w:rsidRPr="00B44130" w:rsidRDefault="00192BD7" w:rsidP="00A64613">
      <w:pPr>
        <w:pStyle w:val="NUMRODECLAUSE"/>
        <w:keepNext w:val="0"/>
      </w:pPr>
      <w:r w:rsidRPr="00B44130">
        <w:t>6</w:t>
      </w:r>
      <w:r w:rsidR="00984A6F">
        <w:noBreakHyphen/>
      </w:r>
      <w:r w:rsidRPr="00B44130">
        <w:t>2.04</w:t>
      </w:r>
    </w:p>
    <w:p w14:paraId="187D1BDD" w14:textId="58EE1215" w:rsidR="007C0FF5" w:rsidRPr="00026EC1" w:rsidRDefault="00192BD7" w:rsidP="00A64613">
      <w:pPr>
        <w:keepNext w:val="0"/>
        <w:tabs>
          <w:tab w:val="left" w:pos="4500"/>
        </w:tabs>
      </w:pPr>
      <w:r w:rsidRPr="00B44130">
        <w:t>L’enseignante ou l’enseignant en congé sans salaire non prévu à la convention collective</w:t>
      </w:r>
      <w:r w:rsidR="00344F1C">
        <w:t>, à la session d’hiver 2021,</w:t>
      </w:r>
      <w:r w:rsidRPr="00B44130">
        <w:t xml:space="preserve"> en lien avec la crise sanitaire</w:t>
      </w:r>
      <w:r w:rsidR="00CC7F55">
        <w:t>,</w:t>
      </w:r>
      <w:r w:rsidRPr="00B44130">
        <w:t xml:space="preserve"> se voit reconnaître toute expérience pertinente comme si elle ou il était au travail au prorata de sa charge d’enseignement.</w:t>
      </w:r>
      <w:r w:rsidRPr="00B44130">
        <w:rPr>
          <w:rStyle w:val="FootnoteReference"/>
        </w:rPr>
        <w:footnoteReference w:id="34"/>
      </w:r>
    </w:p>
    <w:p w14:paraId="4FA6EDEB" w14:textId="4FF27105" w:rsidR="00404F34" w:rsidRPr="00026EC1" w:rsidRDefault="005C01E7" w:rsidP="00A64613">
      <w:pPr>
        <w:pStyle w:val="Heading2"/>
        <w:keepNext w:val="0"/>
        <w:tabs>
          <w:tab w:val="clear" w:pos="1843"/>
          <w:tab w:val="clear" w:pos="2127"/>
          <w:tab w:val="left" w:pos="1701"/>
          <w:tab w:val="left" w:pos="1985"/>
        </w:tabs>
        <w:ind w:left="1985" w:hanging="1985"/>
      </w:pPr>
      <w:bookmarkStart w:id="642" w:name="_Toc535046620"/>
      <w:bookmarkStart w:id="643" w:name="_Toc133760790"/>
      <w:r w:rsidRPr="00026EC1">
        <w:br w:type="page"/>
      </w:r>
      <w:bookmarkStart w:id="644" w:name="_Toc393444624"/>
      <w:bookmarkStart w:id="645" w:name="_Toc393449575"/>
      <w:bookmarkStart w:id="646" w:name="_Toc393460944"/>
      <w:bookmarkStart w:id="647" w:name="_Toc393461222"/>
      <w:bookmarkStart w:id="648" w:name="_Toc393720783"/>
      <w:bookmarkStart w:id="649" w:name="_Toc393783944"/>
      <w:bookmarkStart w:id="650" w:name="_Toc393784083"/>
      <w:bookmarkStart w:id="651" w:name="_Toc168479537"/>
      <w:r w:rsidR="00404F34" w:rsidRPr="00026EC1">
        <w:t>Article 6</w:t>
      </w:r>
      <w:r w:rsidR="00984A6F">
        <w:t>-</w:t>
      </w:r>
      <w:r w:rsidR="00C9604C" w:rsidRPr="00026EC1">
        <w:t>3.00</w:t>
      </w:r>
      <w:r w:rsidR="00C9604C" w:rsidRPr="00026EC1">
        <w:tab/>
      </w:r>
      <w:r w:rsidR="00984A6F">
        <w:t>-</w:t>
      </w:r>
      <w:r w:rsidR="00C9604C" w:rsidRPr="00026EC1">
        <w:tab/>
      </w:r>
      <w:r w:rsidR="00404F34" w:rsidRPr="00026EC1">
        <w:t>Évaluation de la scolarité</w:t>
      </w:r>
      <w:bookmarkEnd w:id="642"/>
      <w:r w:rsidR="00404F34" w:rsidRPr="00026EC1">
        <w:t xml:space="preserve"> et reconnaissance du diplôme de maîtrise aux</w:t>
      </w:r>
      <w:r w:rsidRPr="00026EC1">
        <w:t xml:space="preserve"> </w:t>
      </w:r>
      <w:r w:rsidR="00404F34" w:rsidRPr="00026EC1">
        <w:t>fins de la rémunération</w:t>
      </w:r>
      <w:bookmarkEnd w:id="643"/>
      <w:bookmarkEnd w:id="644"/>
      <w:bookmarkEnd w:id="645"/>
      <w:bookmarkEnd w:id="646"/>
      <w:bookmarkEnd w:id="647"/>
      <w:bookmarkEnd w:id="648"/>
      <w:bookmarkEnd w:id="649"/>
      <w:bookmarkEnd w:id="650"/>
      <w:bookmarkEnd w:id="651"/>
    </w:p>
    <w:p w14:paraId="52023CF1" w14:textId="62719A79" w:rsidR="00404F34" w:rsidRPr="00026EC1" w:rsidRDefault="00404F34" w:rsidP="00A64613">
      <w:pPr>
        <w:pStyle w:val="NUMRODECLAUSE"/>
        <w:keepNext w:val="0"/>
      </w:pPr>
      <w:r w:rsidRPr="00026EC1">
        <w:t>6</w:t>
      </w:r>
      <w:r w:rsidR="00984A6F">
        <w:noBreakHyphen/>
      </w:r>
      <w:r w:rsidRPr="00026EC1">
        <w:t>3.01</w:t>
      </w:r>
    </w:p>
    <w:p w14:paraId="3AE8CAF5" w14:textId="1E5EBF1D" w:rsidR="00A00164" w:rsidRPr="00026EC1" w:rsidRDefault="00A00164" w:rsidP="00A64613">
      <w:pPr>
        <w:keepNext w:val="0"/>
        <w:tabs>
          <w:tab w:val="left" w:pos="4500"/>
        </w:tabs>
        <w:ind w:right="-19"/>
      </w:pPr>
      <w:r w:rsidRPr="00026EC1">
        <w:t xml:space="preserve">L’enseignante ou l’enseignant remet au Collège les documents </w:t>
      </w:r>
      <w:r w:rsidRPr="00E04D8F">
        <w:t>officiels relatifs à sa</w:t>
      </w:r>
      <w:r w:rsidRPr="00026EC1">
        <w:t xml:space="preserve"> scolarité</w:t>
      </w:r>
      <w:r w:rsidRPr="00026EC1">
        <w:rPr>
          <w:b/>
        </w:rPr>
        <w:t xml:space="preserve"> </w:t>
      </w:r>
      <w:r w:rsidRPr="00026EC1">
        <w:t xml:space="preserve">comportant le sceau officiel de l’institution d’enseignement ou la signature des autorités désignées par l’établissement et prévus au </w:t>
      </w:r>
      <w:r w:rsidRPr="00026EC1">
        <w:rPr>
          <w:i/>
        </w:rPr>
        <w:t>Manuel d’évaluation de la scolarité</w:t>
      </w:r>
      <w:r w:rsidRPr="00026EC1">
        <w:rPr>
          <w:b/>
        </w:rPr>
        <w:t xml:space="preserve"> </w:t>
      </w:r>
      <w:r w:rsidRPr="00026EC1">
        <w:t>(diplômes, relevés de notes, bulletins, certificats, brevets, etc.), au plus tard trente (30) jours après sa date d’engagement, s’il s’agit d’une nouvelle enseignante ou d’un nouvel enseignant, ou conformément à la clause </w:t>
      </w:r>
      <w:r w:rsidRPr="00B46208">
        <w:t>6</w:t>
      </w:r>
      <w:r w:rsidR="00984A6F">
        <w:noBreakHyphen/>
      </w:r>
      <w:r w:rsidRPr="00B46208">
        <w:t>1.</w:t>
      </w:r>
      <w:r w:rsidRPr="00B44130">
        <w:t>0</w:t>
      </w:r>
      <w:r w:rsidR="009E60BA" w:rsidRPr="00B44130">
        <w:t>6</w:t>
      </w:r>
      <w:r w:rsidRPr="00B44130">
        <w:t>, s’il</w:t>
      </w:r>
      <w:r w:rsidRPr="00026EC1">
        <w:t xml:space="preserve"> s’agit d’une enseignante ou d’un enseignant qui est reclassé.</w:t>
      </w:r>
    </w:p>
    <w:p w14:paraId="0FBEF7F1" w14:textId="77777777" w:rsidR="00FF7630" w:rsidRPr="00026EC1" w:rsidRDefault="00FF7630" w:rsidP="00A64613">
      <w:pPr>
        <w:keepNext w:val="0"/>
      </w:pPr>
    </w:p>
    <w:p w14:paraId="2C3A9159" w14:textId="77777777" w:rsidR="00FF7630" w:rsidRPr="00026EC1" w:rsidRDefault="00E37580" w:rsidP="00A64613">
      <w:pPr>
        <w:keepNext w:val="0"/>
      </w:pPr>
      <w:r w:rsidRPr="00026EC1">
        <w:t>Aux fins de reconnaissance et d’évaluation de la scolarité, il incombe au Col</w:t>
      </w:r>
      <w:r w:rsidR="00A00164" w:rsidRPr="00026EC1">
        <w:t>lège d’initier une demande de « qualification particulière </w:t>
      </w:r>
      <w:r w:rsidRPr="00026EC1">
        <w:t xml:space="preserve">» auprès </w:t>
      </w:r>
      <w:r w:rsidR="005434FF" w:rsidRPr="00026EC1">
        <w:t xml:space="preserve">de la ou du </w:t>
      </w:r>
      <w:r w:rsidRPr="00026EC1">
        <w:t>M</w:t>
      </w:r>
      <w:r w:rsidR="009A02B3" w:rsidRPr="00026EC1">
        <w:t>inistre</w:t>
      </w:r>
      <w:r w:rsidRPr="00026EC1">
        <w:t xml:space="preserve"> pour des compétences acquises autrement que </w:t>
      </w:r>
      <w:r w:rsidR="005434FF" w:rsidRPr="00026EC1">
        <w:t>par des études reconnues par le Ministère</w:t>
      </w:r>
      <w:r w:rsidRPr="00026EC1">
        <w:t>.</w:t>
      </w:r>
    </w:p>
    <w:p w14:paraId="5DE6D108" w14:textId="77777777" w:rsidR="00E37580" w:rsidRPr="00026EC1" w:rsidRDefault="00E37580" w:rsidP="00A64613">
      <w:pPr>
        <w:keepNext w:val="0"/>
      </w:pPr>
    </w:p>
    <w:p w14:paraId="7AEE079B" w14:textId="06DF7B84" w:rsidR="00FF7630" w:rsidRPr="00026EC1" w:rsidRDefault="00FF7630" w:rsidP="00A64613">
      <w:pPr>
        <w:keepNext w:val="0"/>
        <w:tabs>
          <w:tab w:val="left" w:pos="4500"/>
        </w:tabs>
      </w:pPr>
      <w:r w:rsidRPr="00026EC1">
        <w:t>Dans les trente</w:t>
      </w:r>
      <w:r w:rsidR="004C48E0">
        <w:t> </w:t>
      </w:r>
      <w:r w:rsidRPr="00026EC1">
        <w:t>(30) jours de la réception du diplôme de maîtrise</w:t>
      </w:r>
      <w:r w:rsidRPr="00026EC1">
        <w:rPr>
          <w:bCs/>
        </w:rPr>
        <w:t>,</w:t>
      </w:r>
      <w:r w:rsidRPr="00026EC1">
        <w:t xml:space="preserve"> le Collège fait connaître par écrit à la nouvelle enseignante ou au nouvel enseignant sa réponse quant à la reconnaissance de son diplôme de maîtrise aux fins de la rémunération.</w:t>
      </w:r>
    </w:p>
    <w:p w14:paraId="18A6AE23" w14:textId="77777777" w:rsidR="00FF7630" w:rsidRPr="00026EC1" w:rsidRDefault="00FF7630" w:rsidP="00A64613">
      <w:pPr>
        <w:keepNext w:val="0"/>
        <w:tabs>
          <w:tab w:val="left" w:pos="4500"/>
        </w:tabs>
      </w:pPr>
    </w:p>
    <w:p w14:paraId="4D732CB0" w14:textId="43FA9CEF" w:rsidR="00404F34" w:rsidRPr="00026EC1" w:rsidRDefault="00A00164" w:rsidP="00A64613">
      <w:pPr>
        <w:keepNext w:val="0"/>
        <w:tabs>
          <w:tab w:val="left" w:pos="4500"/>
        </w:tabs>
      </w:pPr>
      <w:r w:rsidRPr="00026EC1">
        <w:t>En tout temps l’enseignante ou l’enseignant qui obtient un diplôme de maîtrise le transmet au Collège. Dans les trente</w:t>
      </w:r>
      <w:r w:rsidR="004C48E0">
        <w:t> </w:t>
      </w:r>
      <w:r w:rsidRPr="00026EC1">
        <w:t>(30) jours suivant la réception du diplôme, le Collège fait connaître par écrit sa réponse quant à la reconnaissance de son diplôme de maîtrise aux fins de la rémunération. Le traitement de l’enseignante ou de l’enseignant est rajusté selon les dispositions de la clause</w:t>
      </w:r>
      <w:r w:rsidR="004C48E0">
        <w:t> </w:t>
      </w:r>
      <w:r w:rsidR="006D2B3C" w:rsidRPr="00B46208">
        <w:t>6</w:t>
      </w:r>
      <w:r w:rsidR="00984A6F">
        <w:noBreakHyphen/>
      </w:r>
      <w:r w:rsidR="006D2B3C" w:rsidRPr="00B46208">
        <w:t>1.</w:t>
      </w:r>
      <w:r w:rsidR="006D2B3C" w:rsidRPr="00B44130">
        <w:t>06</w:t>
      </w:r>
      <w:r w:rsidRPr="00B44130">
        <w:t>.</w:t>
      </w:r>
    </w:p>
    <w:p w14:paraId="568629B6" w14:textId="77777777" w:rsidR="00A00164" w:rsidRPr="00026EC1" w:rsidRDefault="00A00164" w:rsidP="00A64613">
      <w:pPr>
        <w:keepNext w:val="0"/>
        <w:tabs>
          <w:tab w:val="left" w:pos="4500"/>
        </w:tabs>
      </w:pPr>
    </w:p>
    <w:p w14:paraId="73FB19C9" w14:textId="7FA4368B" w:rsidR="00404F34" w:rsidRPr="00026EC1" w:rsidRDefault="00404F34" w:rsidP="00A64613">
      <w:pPr>
        <w:keepNext w:val="0"/>
        <w:tabs>
          <w:tab w:val="left" w:pos="4500"/>
        </w:tabs>
      </w:pPr>
      <w:r w:rsidRPr="00026EC1">
        <w:t>Conformément aux dispositions de l</w:t>
      </w:r>
      <w:r w:rsidR="004A41E4" w:rsidRPr="00026EC1">
        <w:t>’</w:t>
      </w:r>
      <w:r w:rsidR="004E1EBE" w:rsidRPr="00026EC1">
        <w:t>A</w:t>
      </w:r>
      <w:r w:rsidRPr="00026EC1">
        <w:t>nnexe VI</w:t>
      </w:r>
      <w:r w:rsidR="00984A6F">
        <w:noBreakHyphen/>
      </w:r>
      <w:r w:rsidRPr="00026EC1">
        <w:t>1, un diplôme de maîtrise est reconnu aux fins de la rémunération s</w:t>
      </w:r>
      <w:r w:rsidR="004A41E4" w:rsidRPr="00026EC1">
        <w:t>’</w:t>
      </w:r>
      <w:r w:rsidRPr="00026EC1">
        <w:t>il est acquis dans la discipline enseignée ou acquis dans une discipline apparentée et utile à l</w:t>
      </w:r>
      <w:r w:rsidR="004A41E4" w:rsidRPr="00026EC1">
        <w:t>’</w:t>
      </w:r>
      <w:r w:rsidRPr="00026EC1">
        <w:t>enseignement de la discipline au contrat de l</w:t>
      </w:r>
      <w:r w:rsidR="004A41E4" w:rsidRPr="00026EC1">
        <w:t>’</w:t>
      </w:r>
      <w:r w:rsidRPr="00026EC1">
        <w:t>enseignante ou l</w:t>
      </w:r>
      <w:r w:rsidR="004A41E4" w:rsidRPr="00026EC1">
        <w:t>’</w:t>
      </w:r>
      <w:r w:rsidRPr="00026EC1">
        <w:t>enseignant.</w:t>
      </w:r>
    </w:p>
    <w:p w14:paraId="031918BA" w14:textId="77777777" w:rsidR="00404F34" w:rsidRPr="00026EC1" w:rsidRDefault="00404F34" w:rsidP="00A64613">
      <w:pPr>
        <w:keepNext w:val="0"/>
        <w:tabs>
          <w:tab w:val="left" w:pos="4500"/>
        </w:tabs>
      </w:pPr>
    </w:p>
    <w:p w14:paraId="74D64FD7" w14:textId="2BEC05A1"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détenant un diplôme reconnu aux fins de l</w:t>
      </w:r>
      <w:r w:rsidR="004A41E4" w:rsidRPr="00026EC1">
        <w:t>’</w:t>
      </w:r>
      <w:r w:rsidRPr="00026EC1">
        <w:t>accès aux échelles « avec maîtrise » et à l</w:t>
      </w:r>
      <w:r w:rsidR="004A41E4" w:rsidRPr="00026EC1">
        <w:t>’</w:t>
      </w:r>
      <w:r w:rsidRPr="00026EC1">
        <w:t>échelon 18 de l</w:t>
      </w:r>
      <w:r w:rsidR="004A41E4" w:rsidRPr="00026EC1">
        <w:t>’</w:t>
      </w:r>
      <w:r w:rsidRPr="00026EC1">
        <w:t>échelle unique de l</w:t>
      </w:r>
      <w:r w:rsidR="004A41E4" w:rsidRPr="00026EC1">
        <w:t>’</w:t>
      </w:r>
      <w:r w:rsidR="004E1EBE" w:rsidRPr="00026EC1">
        <w:t>A</w:t>
      </w:r>
      <w:r w:rsidRPr="00026EC1">
        <w:t>nnexe VI</w:t>
      </w:r>
      <w:r w:rsidR="00984A6F">
        <w:noBreakHyphen/>
      </w:r>
      <w:r w:rsidRPr="00026EC1">
        <w:rPr>
          <w:bCs/>
        </w:rPr>
        <w:t>1</w:t>
      </w:r>
      <w:r w:rsidRPr="00026EC1">
        <w:t>, qui change de discipline ou de Collège en vertu d</w:t>
      </w:r>
      <w:r w:rsidR="004A41E4" w:rsidRPr="00026EC1">
        <w:t>’</w:t>
      </w:r>
      <w:r w:rsidRPr="00026EC1">
        <w:t>un droit ou d</w:t>
      </w:r>
      <w:r w:rsidR="004A41E4" w:rsidRPr="00026EC1">
        <w:t>’</w:t>
      </w:r>
      <w:r w:rsidRPr="00026EC1">
        <w:t xml:space="preserve">une obligation </w:t>
      </w:r>
      <w:r w:rsidRPr="00026EC1">
        <w:rPr>
          <w:bCs/>
        </w:rPr>
        <w:t>conformément à l</w:t>
      </w:r>
      <w:r w:rsidR="004A41E4" w:rsidRPr="00026EC1">
        <w:rPr>
          <w:bCs/>
        </w:rPr>
        <w:t>’</w:t>
      </w:r>
      <w:r w:rsidRPr="00026EC1">
        <w:rPr>
          <w:bCs/>
        </w:rPr>
        <w:t>article</w:t>
      </w:r>
      <w:r w:rsidR="00831CEF" w:rsidRPr="00026EC1">
        <w:rPr>
          <w:bCs/>
        </w:rPr>
        <w:t> </w:t>
      </w:r>
      <w:r w:rsidRPr="00026EC1">
        <w:rPr>
          <w:bCs/>
        </w:rPr>
        <w:t>5</w:t>
      </w:r>
      <w:r w:rsidR="00984A6F">
        <w:rPr>
          <w:bCs/>
        </w:rPr>
        <w:noBreakHyphen/>
      </w:r>
      <w:r w:rsidRPr="00026EC1">
        <w:rPr>
          <w:bCs/>
        </w:rPr>
        <w:t xml:space="preserve">4.00 </w:t>
      </w:r>
      <w:r w:rsidRPr="00026EC1">
        <w:t>maintient son droit à une rémunération basée sur une telle reconnaissance.</w:t>
      </w:r>
    </w:p>
    <w:p w14:paraId="5CC1D4C1" w14:textId="77777777" w:rsidR="00404F34" w:rsidRPr="00026EC1" w:rsidRDefault="00404F34" w:rsidP="00A64613">
      <w:pPr>
        <w:keepNext w:val="0"/>
        <w:tabs>
          <w:tab w:val="left" w:pos="4500"/>
        </w:tabs>
        <w:rPr>
          <w:bCs/>
        </w:rPr>
      </w:pPr>
    </w:p>
    <w:p w14:paraId="130BE561" w14:textId="6707BC57" w:rsidR="00404F34" w:rsidRPr="00026EC1" w:rsidRDefault="00404F34" w:rsidP="00A64613">
      <w:pPr>
        <w:pStyle w:val="NUMRODECLAUSE"/>
        <w:keepNext w:val="0"/>
        <w:rPr>
          <w:strike/>
        </w:rPr>
      </w:pPr>
      <w:r w:rsidRPr="00026EC1">
        <w:t>6</w:t>
      </w:r>
      <w:r w:rsidR="00984A6F">
        <w:noBreakHyphen/>
      </w:r>
      <w:r w:rsidRPr="00026EC1">
        <w:t>3.02</w:t>
      </w:r>
    </w:p>
    <w:p w14:paraId="4A6B77FB" w14:textId="2AE210E8" w:rsidR="00404F34" w:rsidRPr="00026EC1" w:rsidRDefault="00404F34" w:rsidP="00A64613">
      <w:pPr>
        <w:keepNext w:val="0"/>
        <w:tabs>
          <w:tab w:val="left" w:pos="4500"/>
        </w:tabs>
      </w:pPr>
      <w:r w:rsidRPr="00026EC1">
        <w:t>S</w:t>
      </w:r>
      <w:r w:rsidR="004A41E4" w:rsidRPr="00026EC1">
        <w:t>’</w:t>
      </w:r>
      <w:r w:rsidRPr="00026EC1">
        <w:t>il s</w:t>
      </w:r>
      <w:r w:rsidR="004A41E4" w:rsidRPr="00026EC1">
        <w:t>’</w:t>
      </w:r>
      <w:r w:rsidRPr="00026EC1">
        <w:t>agit d</w:t>
      </w:r>
      <w:r w:rsidR="004A41E4" w:rsidRPr="00026EC1">
        <w:t>’</w:t>
      </w:r>
      <w:r w:rsidRPr="00026EC1">
        <w:t>une nouvelle enseignante ou d</w:t>
      </w:r>
      <w:r w:rsidR="004A41E4" w:rsidRPr="00026EC1">
        <w:t>’</w:t>
      </w:r>
      <w:r w:rsidRPr="00026EC1">
        <w:t>un nouvel enseignant, le Collège procède à l</w:t>
      </w:r>
      <w:r w:rsidR="004A41E4" w:rsidRPr="00026EC1">
        <w:t>’</w:t>
      </w:r>
      <w:r w:rsidRPr="00026EC1">
        <w:t>évaluation provisoire de la scolarité de cette enseignante ou de cet enseignant. Au plus tard trois (3) mois après le dépôt par l</w:t>
      </w:r>
      <w:r w:rsidR="004A41E4" w:rsidRPr="00026EC1">
        <w:t>’</w:t>
      </w:r>
      <w:r w:rsidRPr="00026EC1">
        <w:t>enseignante ou l</w:t>
      </w:r>
      <w:r w:rsidR="004A41E4" w:rsidRPr="00026EC1">
        <w:t>’</w:t>
      </w:r>
      <w:r w:rsidRPr="00026EC1">
        <w:t>enseignant des documents prévus à la clause 6</w:t>
      </w:r>
      <w:r w:rsidR="00984A6F">
        <w:noBreakHyphen/>
      </w:r>
      <w:r w:rsidRPr="00026EC1">
        <w:t>3.01, le Collège délivre l</w:t>
      </w:r>
      <w:r w:rsidR="004A41E4" w:rsidRPr="00026EC1">
        <w:t>’</w:t>
      </w:r>
      <w:r w:rsidRPr="00026EC1">
        <w:t xml:space="preserve">attestation officielle de scolarité en se basant sur le </w:t>
      </w:r>
      <w:r w:rsidRPr="00026EC1">
        <w:rPr>
          <w:i/>
          <w:iCs/>
        </w:rPr>
        <w:t>Manuel d</w:t>
      </w:r>
      <w:r w:rsidR="004A41E4" w:rsidRPr="00026EC1">
        <w:rPr>
          <w:i/>
          <w:iCs/>
        </w:rPr>
        <w:t>’</w:t>
      </w:r>
      <w:r w:rsidRPr="00026EC1">
        <w:rPr>
          <w:i/>
          <w:iCs/>
        </w:rPr>
        <w:t>évaluation de la scolarité</w:t>
      </w:r>
      <w:r w:rsidRPr="00026EC1">
        <w:t xml:space="preserve"> en vigueur ou par analogie avec des cas semblables du </w:t>
      </w:r>
      <w:r w:rsidR="004C0D74" w:rsidRPr="00026EC1">
        <w:rPr>
          <w:i/>
          <w:iCs/>
        </w:rPr>
        <w:t>Manuel d’évaluation de la scolarité</w:t>
      </w:r>
      <w:r w:rsidRPr="00026EC1">
        <w:t>, si le cas présenté par l</w:t>
      </w:r>
      <w:r w:rsidR="004A41E4" w:rsidRPr="00026EC1">
        <w:t>’</w:t>
      </w:r>
      <w:r w:rsidRPr="00026EC1">
        <w:t>enseignante ou l</w:t>
      </w:r>
      <w:r w:rsidR="004A41E4" w:rsidRPr="00026EC1">
        <w:t>’</w:t>
      </w:r>
      <w:r w:rsidRPr="00026EC1">
        <w:t>enseignant n</w:t>
      </w:r>
      <w:r w:rsidR="004A41E4" w:rsidRPr="00026EC1">
        <w:t>’</w:t>
      </w:r>
      <w:r w:rsidRPr="00026EC1">
        <w:t>est pas prévu au manuel.</w:t>
      </w:r>
    </w:p>
    <w:p w14:paraId="17E6A570" w14:textId="0A74773A" w:rsidR="00404F34" w:rsidRPr="00026EC1" w:rsidRDefault="00FF7630" w:rsidP="00A64613">
      <w:pPr>
        <w:pStyle w:val="NUMRODECLAUSE"/>
        <w:keepNext w:val="0"/>
        <w:rPr>
          <w:strike/>
        </w:rPr>
      </w:pPr>
      <w:r w:rsidRPr="00026EC1">
        <w:br w:type="page"/>
      </w:r>
      <w:r w:rsidR="00404F34" w:rsidRPr="00026EC1">
        <w:t>6</w:t>
      </w:r>
      <w:r w:rsidR="00984A6F">
        <w:noBreakHyphen/>
      </w:r>
      <w:r w:rsidR="00404F34" w:rsidRPr="00026EC1">
        <w:t>3.03</w:t>
      </w:r>
    </w:p>
    <w:p w14:paraId="06657795" w14:textId="77777777" w:rsidR="00404F34" w:rsidRPr="00026EC1" w:rsidRDefault="00404F34" w:rsidP="00A64613">
      <w:pPr>
        <w:keepNext w:val="0"/>
        <w:tabs>
          <w:tab w:val="left" w:pos="4500"/>
        </w:tabs>
      </w:pPr>
      <w:r w:rsidRPr="00026EC1">
        <w:t>Si, pour une enseignante ou un enseignant qui a déjà reçu une attestation officielle de scolarité, le Collège juge, selon les données du manuel, que l</w:t>
      </w:r>
      <w:r w:rsidR="004A41E4" w:rsidRPr="00026EC1">
        <w:t>’</w:t>
      </w:r>
      <w:r w:rsidRPr="00026EC1">
        <w:t>enseignante ou l</w:t>
      </w:r>
      <w:r w:rsidR="004A41E4" w:rsidRPr="00026EC1">
        <w:t>’</w:t>
      </w:r>
      <w:r w:rsidRPr="00026EC1">
        <w:t>enseignant peut obtenir une année entière de scolarité additionnelle, le Collège modifie la scolarité de l</w:t>
      </w:r>
      <w:r w:rsidR="004A41E4" w:rsidRPr="00026EC1">
        <w:t>’</w:t>
      </w:r>
      <w:r w:rsidRPr="00026EC1">
        <w:t>enseignante ou de l</w:t>
      </w:r>
      <w:r w:rsidR="004A41E4" w:rsidRPr="00026EC1">
        <w:t>’</w:t>
      </w:r>
      <w:r w:rsidRPr="00026EC1">
        <w:t xml:space="preserve">enseignant. Son </w:t>
      </w:r>
      <w:r w:rsidRPr="00026EC1">
        <w:rPr>
          <w:bCs/>
        </w:rPr>
        <w:t xml:space="preserve">traitement </w:t>
      </w:r>
      <w:r w:rsidRPr="00026EC1">
        <w:t>est alors modifié en conséquence.</w:t>
      </w:r>
    </w:p>
    <w:p w14:paraId="7DA943F3" w14:textId="77777777" w:rsidR="00FF7630" w:rsidRPr="00026EC1" w:rsidRDefault="00FF7630" w:rsidP="00A64613">
      <w:pPr>
        <w:pStyle w:val="NUMRODECLAUSE"/>
        <w:keepNext w:val="0"/>
      </w:pPr>
    </w:p>
    <w:p w14:paraId="61A0C3A7" w14:textId="19B527E7" w:rsidR="00404F34" w:rsidRPr="00026EC1" w:rsidRDefault="00404F34" w:rsidP="00A64613">
      <w:pPr>
        <w:pStyle w:val="NUMRODECLAUSE"/>
        <w:keepNext w:val="0"/>
        <w:rPr>
          <w:strike/>
        </w:rPr>
      </w:pPr>
      <w:r w:rsidRPr="00026EC1">
        <w:t>6</w:t>
      </w:r>
      <w:r w:rsidR="00984A6F">
        <w:noBreakHyphen/>
      </w:r>
      <w:r w:rsidRPr="00026EC1">
        <w:t>3.04</w:t>
      </w:r>
    </w:p>
    <w:p w14:paraId="6F7EB99A" w14:textId="77777777" w:rsidR="00404F34" w:rsidRPr="00026EC1" w:rsidRDefault="00404F34" w:rsidP="00A64613">
      <w:pPr>
        <w:keepNext w:val="0"/>
        <w:tabs>
          <w:tab w:val="left" w:pos="4500"/>
        </w:tabs>
      </w:pPr>
      <w:r w:rsidRPr="00026EC1">
        <w:t>Le Collège n</w:t>
      </w:r>
      <w:r w:rsidR="004A41E4" w:rsidRPr="00026EC1">
        <w:t>’</w:t>
      </w:r>
      <w:r w:rsidRPr="00026EC1">
        <w:t>effectue aucune réclamation d</w:t>
      </w:r>
      <w:r w:rsidR="004A41E4" w:rsidRPr="00026EC1">
        <w:t>’</w:t>
      </w:r>
      <w:r w:rsidRPr="00026EC1">
        <w:t>argent à la suite d</w:t>
      </w:r>
      <w:r w:rsidR="004A41E4" w:rsidRPr="00026EC1">
        <w:t>’</w:t>
      </w:r>
      <w:r w:rsidRPr="00026EC1">
        <w:t>une décision de modification à la baisse d</w:t>
      </w:r>
      <w:r w:rsidR="004A41E4" w:rsidRPr="00026EC1">
        <w:t>’</w:t>
      </w:r>
      <w:r w:rsidRPr="00026EC1">
        <w:t>une évaluation provisoire de scolarité pour la période antérieure au premier (1</w:t>
      </w:r>
      <w:r w:rsidRPr="00026EC1">
        <w:rPr>
          <w:vertAlign w:val="superscript"/>
        </w:rPr>
        <w:t>er</w:t>
      </w:r>
      <w:r w:rsidRPr="00026EC1">
        <w:t>) jour du mois suivant la date de réception par l</w:t>
      </w:r>
      <w:r w:rsidR="004A41E4" w:rsidRPr="00026EC1">
        <w:t>’</w:t>
      </w:r>
      <w:r w:rsidRPr="00026EC1">
        <w:t>enseignante ou l</w:t>
      </w:r>
      <w:r w:rsidR="004A41E4" w:rsidRPr="00026EC1">
        <w:t>’</w:t>
      </w:r>
      <w:r w:rsidRPr="00026EC1">
        <w:t>enseignant de cet avis de modification.</w:t>
      </w:r>
    </w:p>
    <w:p w14:paraId="6BA34446" w14:textId="77777777" w:rsidR="00404F34" w:rsidRPr="00026EC1" w:rsidRDefault="00404F34" w:rsidP="00A64613">
      <w:pPr>
        <w:keepNext w:val="0"/>
      </w:pPr>
    </w:p>
    <w:p w14:paraId="717F3108" w14:textId="0B16354D" w:rsidR="00404F34" w:rsidRPr="00026EC1" w:rsidRDefault="00404F34" w:rsidP="00A64613">
      <w:pPr>
        <w:pStyle w:val="NUMRODECLAUSE"/>
        <w:keepNext w:val="0"/>
        <w:rPr>
          <w:strike/>
        </w:rPr>
      </w:pPr>
      <w:r w:rsidRPr="00026EC1">
        <w:t>6</w:t>
      </w:r>
      <w:r w:rsidR="00984A6F">
        <w:noBreakHyphen/>
      </w:r>
      <w:r w:rsidRPr="00026EC1">
        <w:t>3.05</w:t>
      </w:r>
    </w:p>
    <w:p w14:paraId="3788E6A2" w14:textId="77777777" w:rsidR="00404F34" w:rsidRPr="00026EC1" w:rsidRDefault="00404F34" w:rsidP="00A64613">
      <w:pPr>
        <w:keepNext w:val="0"/>
        <w:tabs>
          <w:tab w:val="left" w:pos="4500"/>
        </w:tabs>
      </w:pPr>
      <w:r w:rsidRPr="00026EC1">
        <w:t>Lorsque l</w:t>
      </w:r>
      <w:r w:rsidR="004A41E4" w:rsidRPr="00026EC1">
        <w:t>’</w:t>
      </w:r>
      <w:r w:rsidRPr="00026EC1">
        <w:t>enseignante ou l</w:t>
      </w:r>
      <w:r w:rsidR="004A41E4" w:rsidRPr="00026EC1">
        <w:t>’</w:t>
      </w:r>
      <w:r w:rsidRPr="00026EC1">
        <w:t>enseignant ne satisfait pas à une demande de document de la part du Collège dans les soixante (60) jours suivant la date de cette demande, le Collège émet une attestation officielle basée sur les documents considérés complets au dossier de l</w:t>
      </w:r>
      <w:r w:rsidR="004A41E4" w:rsidRPr="00026EC1">
        <w:t>’</w:t>
      </w:r>
      <w:r w:rsidRPr="00026EC1">
        <w:t>enseignante ou de l</w:t>
      </w:r>
      <w:r w:rsidR="004A41E4" w:rsidRPr="00026EC1">
        <w:t>’</w:t>
      </w:r>
      <w:r w:rsidRPr="00026EC1">
        <w:t>enseignant.</w:t>
      </w:r>
    </w:p>
    <w:p w14:paraId="1A04AFE4" w14:textId="77777777" w:rsidR="00404F34" w:rsidRPr="00026EC1" w:rsidRDefault="00404F34" w:rsidP="00A64613">
      <w:pPr>
        <w:keepNext w:val="0"/>
        <w:tabs>
          <w:tab w:val="left" w:pos="4500"/>
        </w:tabs>
      </w:pPr>
    </w:p>
    <w:p w14:paraId="40DC8BE7" w14:textId="77777777" w:rsidR="00404F34" w:rsidRPr="00026EC1" w:rsidRDefault="00404F34" w:rsidP="00A64613">
      <w:pPr>
        <w:keepNext w:val="0"/>
        <w:tabs>
          <w:tab w:val="left" w:pos="4500"/>
        </w:tabs>
      </w:pPr>
      <w:r w:rsidRPr="00026EC1">
        <w:t>Malgré le paragraphe précédent, si l</w:t>
      </w:r>
      <w:r w:rsidR="004A41E4" w:rsidRPr="00026EC1">
        <w:t>’</w:t>
      </w:r>
      <w:r w:rsidRPr="00026EC1">
        <w:t>attestation du Collège est émise sur la base de documents incomplets, le Collège, à la demande de l</w:t>
      </w:r>
      <w:r w:rsidR="004A41E4" w:rsidRPr="00026EC1">
        <w:t>’</w:t>
      </w:r>
      <w:r w:rsidRPr="00026EC1">
        <w:t>enseignante ou de l</w:t>
      </w:r>
      <w:r w:rsidR="004A41E4" w:rsidRPr="00026EC1">
        <w:t>’</w:t>
      </w:r>
      <w:r w:rsidRPr="00026EC1">
        <w:t>enseignant, réévalue la scolarité à la condition que le retard de la production des documents ne puisse être imputé à l</w:t>
      </w:r>
      <w:r w:rsidR="004A41E4" w:rsidRPr="00026EC1">
        <w:t>’</w:t>
      </w:r>
      <w:r w:rsidRPr="00026EC1">
        <w:t>enseignante ou l</w:t>
      </w:r>
      <w:r w:rsidR="004A41E4" w:rsidRPr="00026EC1">
        <w:t>’</w:t>
      </w:r>
      <w:r w:rsidRPr="00026EC1">
        <w:t>enseignant.</w:t>
      </w:r>
    </w:p>
    <w:p w14:paraId="67F00118" w14:textId="77777777" w:rsidR="00404F34" w:rsidRPr="00026EC1" w:rsidRDefault="00404F34" w:rsidP="00A64613">
      <w:pPr>
        <w:keepNext w:val="0"/>
      </w:pPr>
    </w:p>
    <w:p w14:paraId="7D66F04C" w14:textId="31C9E518" w:rsidR="00404F34" w:rsidRPr="00026EC1" w:rsidRDefault="00404F34" w:rsidP="00A64613">
      <w:pPr>
        <w:pStyle w:val="NUMRODECLAUSE"/>
        <w:keepNext w:val="0"/>
        <w:rPr>
          <w:strike/>
        </w:rPr>
      </w:pPr>
      <w:r w:rsidRPr="00026EC1">
        <w:t>6</w:t>
      </w:r>
      <w:r w:rsidR="00984A6F">
        <w:noBreakHyphen/>
      </w:r>
      <w:r w:rsidRPr="00026EC1">
        <w:t>3.06</w:t>
      </w:r>
    </w:p>
    <w:p w14:paraId="711D9A1A" w14:textId="77777777" w:rsidR="003C3D25" w:rsidRPr="00026EC1" w:rsidRDefault="003C3D25" w:rsidP="00A64613">
      <w:pPr>
        <w:keepNext w:val="0"/>
        <w:tabs>
          <w:tab w:val="left" w:pos="4500"/>
        </w:tabs>
        <w:rPr>
          <w:bCs/>
        </w:rPr>
      </w:pPr>
      <w:r w:rsidRPr="00026EC1">
        <w:t xml:space="preserve">L’attestation officielle de scolarité est remise à l’enseignante ou l’enseignant avec copie au Syndicat. Cette attestation est reconnue par l’ensemble des collèges du réseau des cégeps. Elle fait état des références du </w:t>
      </w:r>
      <w:r w:rsidRPr="00026EC1">
        <w:rPr>
          <w:i/>
        </w:rPr>
        <w:t>Manuel d’évaluation de la scolarité</w:t>
      </w:r>
      <w:r w:rsidR="00F35921" w:rsidRPr="00026EC1">
        <w:t xml:space="preserve"> pour chacun des documents </w:t>
      </w:r>
      <w:r w:rsidR="00AB451F" w:rsidRPr="00026EC1">
        <w:t xml:space="preserve">officiels relatifs </w:t>
      </w:r>
      <w:r w:rsidRPr="00026EC1">
        <w:t>à sa scolarité et des pièces produites à l’appui de la demande qui n’ajoutent pas à la scolarité. L’attestation officielle de scolarité fait mention, s’il y a lieu, de la reconnaissance du diplôme de maîtrise aux fins de la rémunération.</w:t>
      </w:r>
    </w:p>
    <w:p w14:paraId="17ADD973" w14:textId="77777777" w:rsidR="00404F34" w:rsidRPr="00026EC1" w:rsidRDefault="00404F34" w:rsidP="00A64613">
      <w:pPr>
        <w:keepNext w:val="0"/>
      </w:pPr>
    </w:p>
    <w:p w14:paraId="037BC9F4" w14:textId="61FF3239" w:rsidR="00404F34" w:rsidRPr="00026EC1" w:rsidRDefault="00404F34" w:rsidP="00A64613">
      <w:pPr>
        <w:pStyle w:val="NUMRODECLAUSE"/>
        <w:keepNext w:val="0"/>
        <w:rPr>
          <w:strike/>
        </w:rPr>
      </w:pPr>
      <w:r w:rsidRPr="00026EC1">
        <w:t>6</w:t>
      </w:r>
      <w:r w:rsidR="00984A6F">
        <w:noBreakHyphen/>
      </w:r>
      <w:r w:rsidRPr="00026EC1">
        <w:t>3.07</w:t>
      </w:r>
    </w:p>
    <w:p w14:paraId="3EFF3975" w14:textId="47F5CC49" w:rsidR="00404F34" w:rsidRPr="00026EC1" w:rsidRDefault="00404F34" w:rsidP="00A64613">
      <w:pPr>
        <w:keepNext w:val="0"/>
        <w:tabs>
          <w:tab w:val="left" w:pos="4500"/>
        </w:tabs>
      </w:pPr>
      <w:r w:rsidRPr="00026EC1">
        <w:t>Si l</w:t>
      </w:r>
      <w:r w:rsidR="004A41E4" w:rsidRPr="00026EC1">
        <w:t>’</w:t>
      </w:r>
      <w:r w:rsidRPr="00026EC1">
        <w:t>attestation officielle de scolarité assure à l</w:t>
      </w:r>
      <w:r w:rsidR="004A41E4" w:rsidRPr="00026EC1">
        <w:t>’</w:t>
      </w:r>
      <w:r w:rsidRPr="00026EC1">
        <w:t>enseignante ou l</w:t>
      </w:r>
      <w:r w:rsidR="004A41E4" w:rsidRPr="00026EC1">
        <w:t>’</w:t>
      </w:r>
      <w:r w:rsidRPr="00026EC1">
        <w:t>enseignant une scolarité supérieure à celle de l</w:t>
      </w:r>
      <w:r w:rsidR="004A41E4" w:rsidRPr="00026EC1">
        <w:t>’</w:t>
      </w:r>
      <w:r w:rsidRPr="00026EC1">
        <w:t xml:space="preserve">évaluation provisoire, le </w:t>
      </w:r>
      <w:r w:rsidRPr="00026EC1">
        <w:rPr>
          <w:bCs/>
        </w:rPr>
        <w:t xml:space="preserve">traitement </w:t>
      </w:r>
      <w:r w:rsidRPr="00026EC1">
        <w:t>de l</w:t>
      </w:r>
      <w:r w:rsidR="004A41E4" w:rsidRPr="00026EC1">
        <w:t>’</w:t>
      </w:r>
      <w:r w:rsidRPr="00026EC1">
        <w:t>enseignante ou de l</w:t>
      </w:r>
      <w:r w:rsidR="004A41E4" w:rsidRPr="00026EC1">
        <w:t>’</w:t>
      </w:r>
      <w:r w:rsidRPr="00026EC1">
        <w:t>enseignant est rajusté rétroactivement conformément aux dispositions de la clause </w:t>
      </w:r>
      <w:r w:rsidR="006D2B3C" w:rsidRPr="00B46208">
        <w:t>6</w:t>
      </w:r>
      <w:r w:rsidR="00984A6F">
        <w:noBreakHyphen/>
      </w:r>
      <w:r w:rsidR="006D2B3C" w:rsidRPr="00B46208">
        <w:t>1.</w:t>
      </w:r>
      <w:r w:rsidR="006D2B3C" w:rsidRPr="00B44130">
        <w:t xml:space="preserve">06 </w:t>
      </w:r>
      <w:r w:rsidRPr="00B44130">
        <w:t>ou</w:t>
      </w:r>
      <w:r w:rsidRPr="00026EC1">
        <w:t xml:space="preserve"> à sa date d</w:t>
      </w:r>
      <w:r w:rsidR="004A41E4" w:rsidRPr="00026EC1">
        <w:t>’</w:t>
      </w:r>
      <w:r w:rsidRPr="00026EC1">
        <w:t>engagement si elle est postérieure à une de ces dates.</w:t>
      </w:r>
    </w:p>
    <w:p w14:paraId="604C1099" w14:textId="77777777" w:rsidR="00404F34" w:rsidRPr="00026EC1" w:rsidRDefault="00404F34" w:rsidP="00A64613">
      <w:pPr>
        <w:keepNext w:val="0"/>
        <w:tabs>
          <w:tab w:val="left" w:pos="4500"/>
        </w:tabs>
      </w:pPr>
    </w:p>
    <w:p w14:paraId="6125A847" w14:textId="77777777" w:rsidR="00404F34" w:rsidRPr="00026EC1" w:rsidRDefault="00404F34" w:rsidP="00A64613">
      <w:pPr>
        <w:keepNext w:val="0"/>
        <w:tabs>
          <w:tab w:val="left" w:pos="4500"/>
        </w:tabs>
      </w:pPr>
      <w:r w:rsidRPr="00026EC1">
        <w:t>Toutefois, si, exceptionnellement, la date d</w:t>
      </w:r>
      <w:r w:rsidR="004A41E4" w:rsidRPr="00026EC1">
        <w:t>’</w:t>
      </w:r>
      <w:r w:rsidRPr="00026EC1">
        <w:t>entrée en fonction se situe entre le 15 août et le 1</w:t>
      </w:r>
      <w:r w:rsidRPr="00026EC1">
        <w:rPr>
          <w:vertAlign w:val="superscript"/>
        </w:rPr>
        <w:t>er</w:t>
      </w:r>
      <w:r w:rsidRPr="00026EC1">
        <w:t xml:space="preserve"> septembre, le </w:t>
      </w:r>
      <w:r w:rsidRPr="00026EC1">
        <w:rPr>
          <w:bCs/>
        </w:rPr>
        <w:t xml:space="preserve">traitement </w:t>
      </w:r>
      <w:r w:rsidRPr="00026EC1">
        <w:t>est rajusté à cette date.</w:t>
      </w:r>
    </w:p>
    <w:p w14:paraId="7CB59ECE" w14:textId="77777777" w:rsidR="00404F34" w:rsidRPr="00026EC1" w:rsidRDefault="00404F34" w:rsidP="00A64613">
      <w:pPr>
        <w:keepNext w:val="0"/>
        <w:tabs>
          <w:tab w:val="left" w:pos="4500"/>
        </w:tabs>
      </w:pPr>
    </w:p>
    <w:p w14:paraId="5E9A3E12" w14:textId="4EAAB383" w:rsidR="00DE729B" w:rsidRDefault="00404F34" w:rsidP="00A64613">
      <w:pPr>
        <w:keepNext w:val="0"/>
        <w:tabs>
          <w:tab w:val="left" w:pos="4500"/>
        </w:tabs>
      </w:pPr>
      <w:r w:rsidRPr="00026EC1">
        <w:t>Lorsque le Collège verse à l</w:t>
      </w:r>
      <w:r w:rsidR="004A41E4" w:rsidRPr="00026EC1">
        <w:t>’</w:t>
      </w:r>
      <w:r w:rsidRPr="00026EC1">
        <w:t>enseignante ou l</w:t>
      </w:r>
      <w:r w:rsidR="004A41E4" w:rsidRPr="00026EC1">
        <w:t>’</w:t>
      </w:r>
      <w:r w:rsidRPr="00026EC1">
        <w:t>enseignant un montant rétroactif, les intérêts sont calculés selon les modalités prévues à la clause 9</w:t>
      </w:r>
      <w:r w:rsidR="00984A6F">
        <w:noBreakHyphen/>
      </w:r>
      <w:r w:rsidRPr="00026EC1">
        <w:t>2.13, sauf qu</w:t>
      </w:r>
      <w:r w:rsidR="004A41E4" w:rsidRPr="00026EC1">
        <w:t>’</w:t>
      </w:r>
      <w:r w:rsidRPr="00026EC1">
        <w:t>ils ne commencent à courir qu</w:t>
      </w:r>
      <w:r w:rsidR="004A41E4" w:rsidRPr="00026EC1">
        <w:t>’</w:t>
      </w:r>
      <w:r w:rsidRPr="00026EC1">
        <w:t>à compter du cinquième (5</w:t>
      </w:r>
      <w:r w:rsidRPr="00026EC1">
        <w:rPr>
          <w:vertAlign w:val="superscript"/>
        </w:rPr>
        <w:t>e</w:t>
      </w:r>
      <w:r w:rsidRPr="00026EC1">
        <w:t>) mois qui suit le dépôt au Collège des documents relatifs à sa demande conformément aux directives du Collège.</w:t>
      </w:r>
    </w:p>
    <w:p w14:paraId="05B59850" w14:textId="77777777" w:rsidR="00DE729B" w:rsidRDefault="00DE729B">
      <w:pPr>
        <w:keepNext w:val="0"/>
        <w:suppressAutoHyphens w:val="0"/>
        <w:jc w:val="left"/>
      </w:pPr>
      <w:r>
        <w:br w:type="page"/>
      </w:r>
    </w:p>
    <w:p w14:paraId="26D46BA3" w14:textId="77777777" w:rsidR="00404F34" w:rsidRPr="00026EC1" w:rsidRDefault="00404F34" w:rsidP="00A64613">
      <w:pPr>
        <w:keepNext w:val="0"/>
        <w:tabs>
          <w:tab w:val="left" w:pos="4500"/>
        </w:tabs>
      </w:pPr>
      <w:r w:rsidRPr="00026EC1">
        <w:t>Si l</w:t>
      </w:r>
      <w:r w:rsidR="004A41E4" w:rsidRPr="00026EC1">
        <w:t>’</w:t>
      </w:r>
      <w:r w:rsidRPr="00026EC1">
        <w:t>attestation officielle de scolarité assure à l</w:t>
      </w:r>
      <w:r w:rsidR="004A41E4" w:rsidRPr="00026EC1">
        <w:t>’</w:t>
      </w:r>
      <w:r w:rsidRPr="00026EC1">
        <w:t>enseignante ou l</w:t>
      </w:r>
      <w:r w:rsidR="004A41E4" w:rsidRPr="00026EC1">
        <w:t>’</w:t>
      </w:r>
      <w:r w:rsidRPr="00026EC1">
        <w:t>enseignant une scolarité inférieure à celle de l</w:t>
      </w:r>
      <w:r w:rsidR="004A41E4" w:rsidRPr="00026EC1">
        <w:t>’</w:t>
      </w:r>
      <w:r w:rsidRPr="00026EC1">
        <w:t xml:space="preserve">évaluation provisoire, le </w:t>
      </w:r>
      <w:r w:rsidRPr="00026EC1">
        <w:rPr>
          <w:bCs/>
        </w:rPr>
        <w:t xml:space="preserve">traitement </w:t>
      </w:r>
      <w:r w:rsidRPr="00026EC1">
        <w:t>de l</w:t>
      </w:r>
      <w:r w:rsidR="004A41E4" w:rsidRPr="00026EC1">
        <w:t>’</w:t>
      </w:r>
      <w:r w:rsidRPr="00026EC1">
        <w:t>enseignante ou de l</w:t>
      </w:r>
      <w:r w:rsidR="004A41E4" w:rsidRPr="00026EC1">
        <w:t>’</w:t>
      </w:r>
      <w:r w:rsidRPr="00026EC1">
        <w:t>enseignant est rajusté à partir de la date de réception par l</w:t>
      </w:r>
      <w:r w:rsidR="004A41E4" w:rsidRPr="00026EC1">
        <w:t>’</w:t>
      </w:r>
      <w:r w:rsidRPr="00026EC1">
        <w:t>enseignante ou l</w:t>
      </w:r>
      <w:r w:rsidR="004A41E4" w:rsidRPr="00026EC1">
        <w:t>’</w:t>
      </w:r>
      <w:r w:rsidRPr="00026EC1">
        <w:t>enseignant de cette attestation.</w:t>
      </w:r>
    </w:p>
    <w:p w14:paraId="3E3215B8" w14:textId="77777777" w:rsidR="002D5FAE" w:rsidRPr="00026EC1" w:rsidRDefault="002D5FAE" w:rsidP="00A64613">
      <w:pPr>
        <w:pStyle w:val="NUMRODECLAUSE"/>
        <w:keepNext w:val="0"/>
      </w:pPr>
    </w:p>
    <w:p w14:paraId="227814F4" w14:textId="1269B086" w:rsidR="00404F34" w:rsidRPr="00026EC1" w:rsidRDefault="00404F34" w:rsidP="00A64613">
      <w:pPr>
        <w:pStyle w:val="NUMRODECLAUSE"/>
        <w:keepNext w:val="0"/>
        <w:rPr>
          <w:strike/>
        </w:rPr>
      </w:pPr>
      <w:r w:rsidRPr="00026EC1">
        <w:t>6</w:t>
      </w:r>
      <w:r w:rsidR="00984A6F">
        <w:noBreakHyphen/>
      </w:r>
      <w:r w:rsidRPr="00026EC1">
        <w:t>3.08</w:t>
      </w:r>
    </w:p>
    <w:p w14:paraId="73C897B3" w14:textId="7B96AD49" w:rsidR="00404F34" w:rsidRPr="00026EC1" w:rsidRDefault="00404F34" w:rsidP="00A64613">
      <w:pPr>
        <w:keepNext w:val="0"/>
        <w:tabs>
          <w:tab w:val="left" w:pos="4500"/>
        </w:tabs>
      </w:pPr>
      <w:r w:rsidRPr="00026EC1">
        <w:t>Dans les trente (30) jours suivant l</w:t>
      </w:r>
      <w:r w:rsidR="004A41E4" w:rsidRPr="00026EC1">
        <w:t>’</w:t>
      </w:r>
      <w:r w:rsidRPr="00026EC1">
        <w:t>entrée en vigueur de la convention collective, la</w:t>
      </w:r>
      <w:r w:rsidR="0099754D">
        <w:t> </w:t>
      </w:r>
      <w:r w:rsidRPr="00026EC1">
        <w:t>FNEEQ (CSN) nomme une (1) représentante ou un (1) représentant accrédité auprès de la ou du Ministre. La ou le Ministre consulte cette représentante ou ce représentant avant d</w:t>
      </w:r>
      <w:r w:rsidR="004A41E4" w:rsidRPr="00026EC1">
        <w:t>’</w:t>
      </w:r>
      <w:r w:rsidRPr="00026EC1">
        <w:t xml:space="preserve">ajouter une nouvelle décision au </w:t>
      </w:r>
      <w:r w:rsidRPr="00026EC1">
        <w:rPr>
          <w:i/>
          <w:iCs/>
        </w:rPr>
        <w:t>Manuel d</w:t>
      </w:r>
      <w:r w:rsidR="004A41E4" w:rsidRPr="00026EC1">
        <w:rPr>
          <w:i/>
          <w:iCs/>
        </w:rPr>
        <w:t>’</w:t>
      </w:r>
      <w:r w:rsidRPr="00026EC1">
        <w:rPr>
          <w:i/>
          <w:iCs/>
        </w:rPr>
        <w:t>évaluation de la scolarité</w:t>
      </w:r>
      <w:r w:rsidRPr="00026EC1">
        <w:t xml:space="preserve"> en vigueur à la date </w:t>
      </w:r>
      <w:r w:rsidRPr="00026EC1">
        <w:rPr>
          <w:bCs/>
        </w:rPr>
        <w:t>d</w:t>
      </w:r>
      <w:r w:rsidR="004A41E4" w:rsidRPr="00026EC1">
        <w:rPr>
          <w:bCs/>
        </w:rPr>
        <w:t>’</w:t>
      </w:r>
      <w:r w:rsidRPr="00026EC1">
        <w:rPr>
          <w:bCs/>
        </w:rPr>
        <w:t xml:space="preserve">entrée en vigueur </w:t>
      </w:r>
      <w:r w:rsidRPr="00026EC1">
        <w:t>de la convention collective.</w:t>
      </w:r>
    </w:p>
    <w:p w14:paraId="71709DAB" w14:textId="77777777" w:rsidR="00404F34" w:rsidRPr="00026EC1" w:rsidRDefault="00404F34" w:rsidP="00A64613">
      <w:pPr>
        <w:keepNext w:val="0"/>
      </w:pPr>
    </w:p>
    <w:p w14:paraId="085D9BD7" w14:textId="22EF41AB" w:rsidR="00404F34" w:rsidRPr="00026EC1" w:rsidRDefault="00404F34" w:rsidP="00A64613">
      <w:pPr>
        <w:pStyle w:val="NUMRODECLAUSE"/>
        <w:keepNext w:val="0"/>
        <w:rPr>
          <w:strike/>
        </w:rPr>
      </w:pPr>
      <w:r w:rsidRPr="00026EC1">
        <w:t>6</w:t>
      </w:r>
      <w:r w:rsidR="00984A6F">
        <w:noBreakHyphen/>
      </w:r>
      <w:r w:rsidRPr="00026EC1">
        <w:t>3.09</w:t>
      </w:r>
    </w:p>
    <w:p w14:paraId="0A303E2E" w14:textId="08F00150" w:rsidR="00404F34" w:rsidRPr="00026EC1" w:rsidRDefault="00404F34" w:rsidP="00A64613">
      <w:pPr>
        <w:keepNext w:val="0"/>
        <w:tabs>
          <w:tab w:val="left" w:pos="4500"/>
        </w:tabs>
      </w:pPr>
      <w:r w:rsidRPr="00026EC1">
        <w:t xml:space="preserve">La représentante ou le représentant accrédité avise la ou le Ministre dans les trente (30) jours qui suivent la date de la consultation sur les nouvelles décisions à ajouter au </w:t>
      </w:r>
      <w:r w:rsidRPr="00026EC1">
        <w:rPr>
          <w:i/>
          <w:iCs/>
        </w:rPr>
        <w:t>Manuel d</w:t>
      </w:r>
      <w:r w:rsidR="004A41E4" w:rsidRPr="00026EC1">
        <w:rPr>
          <w:i/>
          <w:iCs/>
        </w:rPr>
        <w:t>’</w:t>
      </w:r>
      <w:r w:rsidRPr="00026EC1">
        <w:rPr>
          <w:i/>
          <w:iCs/>
        </w:rPr>
        <w:t>évaluation de la scolarité</w:t>
      </w:r>
      <w:r w:rsidR="00D8581B">
        <w:t> :</w:t>
      </w:r>
      <w:r w:rsidRPr="00026EC1">
        <w:t xml:space="preserve"> les mois de juillet et août ne sont pas pris en compte pour le calcul du délai.</w:t>
      </w:r>
    </w:p>
    <w:p w14:paraId="77CE3197" w14:textId="77777777" w:rsidR="005C01E7" w:rsidRPr="00026EC1" w:rsidRDefault="005C01E7" w:rsidP="00A64613">
      <w:pPr>
        <w:keepNext w:val="0"/>
        <w:tabs>
          <w:tab w:val="left" w:pos="4500"/>
        </w:tabs>
      </w:pPr>
    </w:p>
    <w:p w14:paraId="3C51679D" w14:textId="381670CE" w:rsidR="00404F34" w:rsidRPr="00026EC1" w:rsidRDefault="00404F34" w:rsidP="00A64613">
      <w:pPr>
        <w:pStyle w:val="NUMRODECLAUSE"/>
        <w:keepNext w:val="0"/>
        <w:rPr>
          <w:strike/>
        </w:rPr>
      </w:pPr>
      <w:r w:rsidRPr="00026EC1">
        <w:t>6</w:t>
      </w:r>
      <w:r w:rsidR="00984A6F">
        <w:noBreakHyphen/>
      </w:r>
      <w:r w:rsidRPr="00026EC1">
        <w:t>3.10</w:t>
      </w:r>
    </w:p>
    <w:p w14:paraId="1A00D252" w14:textId="7E9BEBC5" w:rsidR="00362FA2" w:rsidRPr="00026EC1" w:rsidRDefault="00362FA2" w:rsidP="00A64613">
      <w:pPr>
        <w:keepNext w:val="0"/>
        <w:tabs>
          <w:tab w:val="left" w:pos="4500"/>
        </w:tabs>
        <w:ind w:right="-19"/>
      </w:pPr>
      <w:r w:rsidRPr="00026EC1">
        <w:t>L’enseignante ou l’enseignant qui se croit lésé dans l’évaluation de sa scolarité par l’attestation officielle peut, dans les soixante (60) jours de la réception de l’attestation par l’enseignante ou l’enseignant, déposer une plainte au CNR prévue à la clause 2</w:t>
      </w:r>
      <w:r w:rsidR="00984A6F">
        <w:noBreakHyphen/>
      </w:r>
      <w:r w:rsidRPr="00026EC1">
        <w:t>2.05. Le Syndicat peut aussi déposer une telle plainte aux mêmes conditions.</w:t>
      </w:r>
      <w:r w:rsidRPr="00D21F8E">
        <w:t xml:space="preserve"> Le délai de soixante</w:t>
      </w:r>
      <w:r w:rsidR="00B46800">
        <w:t> </w:t>
      </w:r>
      <w:r w:rsidRPr="00D21F8E">
        <w:t>(60) jours est de rigueur mais ne court pas durant la période de vacances prévue à l’article</w:t>
      </w:r>
      <w:r w:rsidR="004C48E0">
        <w:t> </w:t>
      </w:r>
      <w:r w:rsidRPr="00D21F8E">
        <w:t>8</w:t>
      </w:r>
      <w:r w:rsidR="00984A6F">
        <w:noBreakHyphen/>
      </w:r>
      <w:r w:rsidRPr="00D21F8E">
        <w:t>2.00.</w:t>
      </w:r>
    </w:p>
    <w:p w14:paraId="2C9156ED" w14:textId="77777777" w:rsidR="00362FA2" w:rsidRPr="00026EC1" w:rsidRDefault="00362FA2" w:rsidP="00A64613">
      <w:pPr>
        <w:keepNext w:val="0"/>
        <w:tabs>
          <w:tab w:val="left" w:pos="4500"/>
        </w:tabs>
        <w:ind w:right="-716"/>
      </w:pPr>
    </w:p>
    <w:p w14:paraId="5EC09258" w14:textId="20F505F5" w:rsidR="00404F34" w:rsidRPr="00026EC1" w:rsidRDefault="00362FA2" w:rsidP="00A64613">
      <w:pPr>
        <w:keepNext w:val="0"/>
      </w:pPr>
      <w:r w:rsidRPr="00026EC1">
        <w:t>L’enseignante ou l’enseignant qui conteste la réponse du Collège quant à la reconnaissance de son diplôme de maîtrise peut déposer une plainte écrite au CNR prévue à la clause 2</w:t>
      </w:r>
      <w:r w:rsidR="00984A6F">
        <w:noBreakHyphen/>
      </w:r>
      <w:r w:rsidRPr="00026EC1">
        <w:t>2.05, avec copie au Collège et au Syndicat.</w:t>
      </w:r>
    </w:p>
    <w:p w14:paraId="1CBB286A" w14:textId="77777777" w:rsidR="00362FA2" w:rsidRPr="00026EC1" w:rsidRDefault="00362FA2" w:rsidP="00A64613">
      <w:pPr>
        <w:keepNext w:val="0"/>
      </w:pPr>
    </w:p>
    <w:p w14:paraId="530A3A4E" w14:textId="53987B91" w:rsidR="002D5FAE" w:rsidRPr="00026EC1" w:rsidRDefault="002D5FAE" w:rsidP="00A64613">
      <w:pPr>
        <w:pStyle w:val="NUMRODECLAUSE"/>
        <w:keepNext w:val="0"/>
      </w:pPr>
      <w:r w:rsidRPr="00026EC1">
        <w:t>6</w:t>
      </w:r>
      <w:r w:rsidR="00984A6F">
        <w:noBreakHyphen/>
      </w:r>
      <w:r w:rsidRPr="00026EC1">
        <w:t>3.11</w:t>
      </w:r>
    </w:p>
    <w:p w14:paraId="4A6BAD55" w14:textId="77777777" w:rsidR="00362FA2" w:rsidRPr="00026EC1" w:rsidRDefault="00362FA2" w:rsidP="00A64613">
      <w:pPr>
        <w:keepNext w:val="0"/>
        <w:ind w:right="-19"/>
      </w:pPr>
      <w:r w:rsidRPr="00026EC1">
        <w:t xml:space="preserve">Le CNR, lorsqu’il traite de questions de scolarité, a pour mandat d’analyser si la décision mentionnée à l’attestation officielle et touchant l’évaluation de la scolarité de l’enseignante ou de l’enseignant est conforme aux règles du </w:t>
      </w:r>
      <w:r w:rsidRPr="00026EC1">
        <w:rPr>
          <w:i/>
        </w:rPr>
        <w:t>Manuel d’évaluation de la scolarité</w:t>
      </w:r>
      <w:r w:rsidRPr="00026EC1">
        <w:t>. Pour ce faire, il s’appuie sur les pièces énumérées à l’attestation qui ont été présentées au Collège dans le dossier d’évaluation de la scolarité de l’enseignante ou de l’enseignant en cause. Toutefois, tout document explicatif aux documents officiels énumérés à l’attestation est également pris en compte.</w:t>
      </w:r>
    </w:p>
    <w:p w14:paraId="1FE57E68" w14:textId="77777777" w:rsidR="00362FA2" w:rsidRPr="00026EC1" w:rsidRDefault="00362FA2" w:rsidP="00A64613">
      <w:pPr>
        <w:keepNext w:val="0"/>
        <w:ind w:right="-19"/>
      </w:pPr>
    </w:p>
    <w:p w14:paraId="422F1E2B" w14:textId="77777777" w:rsidR="00362FA2" w:rsidRPr="00026EC1" w:rsidRDefault="00362FA2" w:rsidP="00A64613">
      <w:pPr>
        <w:keepNext w:val="0"/>
        <w:ind w:right="-19"/>
      </w:pPr>
      <w:r w:rsidRPr="00026EC1">
        <w:t>Si un document officiel de scolarité n’a jamais été présenté au Collège, le CNR ne peut en tenir compte dans le traitement de la plainte. Dans ce cas, il en avise l’enseignante ou l’enseignant qui doit transmettre le document au Collège aux fins d’évaluation.</w:t>
      </w:r>
    </w:p>
    <w:p w14:paraId="24A52EEA" w14:textId="77777777" w:rsidR="009B31E5" w:rsidRPr="00026EC1" w:rsidRDefault="009B31E5" w:rsidP="00A64613">
      <w:pPr>
        <w:keepNext w:val="0"/>
      </w:pPr>
    </w:p>
    <w:p w14:paraId="700591EF" w14:textId="16604BE6" w:rsidR="002D5FAE" w:rsidRPr="00026EC1" w:rsidRDefault="002D5FAE" w:rsidP="00A64613">
      <w:pPr>
        <w:pStyle w:val="NUMRODECLAUSE"/>
        <w:keepNext w:val="0"/>
      </w:pPr>
      <w:r w:rsidRPr="00026EC1">
        <w:t>6</w:t>
      </w:r>
      <w:r w:rsidR="00984A6F">
        <w:noBreakHyphen/>
      </w:r>
      <w:r w:rsidRPr="00026EC1">
        <w:t>3.12</w:t>
      </w:r>
    </w:p>
    <w:p w14:paraId="20BC703E" w14:textId="77777777" w:rsidR="00362FA2" w:rsidRPr="00026EC1" w:rsidRDefault="00362FA2" w:rsidP="00A64613">
      <w:pPr>
        <w:keepNext w:val="0"/>
        <w:ind w:right="-19"/>
      </w:pPr>
      <w:r w:rsidRPr="00026EC1">
        <w:t xml:space="preserve">Le CNR est lié par les règles du </w:t>
      </w:r>
      <w:r w:rsidRPr="00026EC1">
        <w:rPr>
          <w:i/>
        </w:rPr>
        <w:t>Manuel d’évaluation de la scolarité</w:t>
      </w:r>
      <w:r w:rsidRPr="00026EC1">
        <w:t xml:space="preserve">; il ne peut en ajouter, en soustraire ou en modifier. </w:t>
      </w:r>
    </w:p>
    <w:p w14:paraId="782ABC15" w14:textId="77777777" w:rsidR="00362FA2" w:rsidRPr="00026EC1" w:rsidRDefault="00362FA2" w:rsidP="00A64613">
      <w:pPr>
        <w:keepNext w:val="0"/>
        <w:ind w:right="-19"/>
      </w:pPr>
    </w:p>
    <w:p w14:paraId="1A7E6F5C" w14:textId="1C4FA6C4" w:rsidR="00362FA2" w:rsidRPr="00026EC1" w:rsidRDefault="00362FA2" w:rsidP="00A64613">
      <w:pPr>
        <w:keepNext w:val="0"/>
        <w:ind w:right="-19"/>
      </w:pPr>
      <w:r w:rsidRPr="00026EC1">
        <w:t xml:space="preserve">Le CNR peut joindre à sa décision une recommandation à la ou au Ministre portant sur une « qualification particulière » ou une « décision particulière » relative à une règle d’évaluation prévue au </w:t>
      </w:r>
      <w:r w:rsidRPr="00026EC1">
        <w:rPr>
          <w:i/>
        </w:rPr>
        <w:t>Manuel d’évaluation de la scolarité</w:t>
      </w:r>
      <w:r w:rsidRPr="00026EC1">
        <w:t>. Cette recommandation ne constitue pas une décision au sens de la clause</w:t>
      </w:r>
      <w:r w:rsidR="001126F1">
        <w:t> </w:t>
      </w:r>
      <w:r w:rsidRPr="00026EC1">
        <w:t>6</w:t>
      </w:r>
      <w:r w:rsidR="00984A6F">
        <w:noBreakHyphen/>
      </w:r>
      <w:r w:rsidRPr="00026EC1">
        <w:t>3.13 et ne lie le Ministère, le Syndicat, le Collège et l’enseignante ou l’enseignant que si la ou le Ministre y donne suite.</w:t>
      </w:r>
    </w:p>
    <w:p w14:paraId="7F82EE77" w14:textId="77777777" w:rsidR="002D5FAE" w:rsidRPr="00026EC1" w:rsidRDefault="002D5FAE" w:rsidP="00A64613">
      <w:pPr>
        <w:keepNext w:val="0"/>
      </w:pPr>
    </w:p>
    <w:p w14:paraId="5D034776" w14:textId="1D6E9FA4" w:rsidR="00404F34" w:rsidRPr="00026EC1" w:rsidRDefault="00404F34" w:rsidP="00A64613">
      <w:pPr>
        <w:pStyle w:val="NUMRODECLAUSE"/>
        <w:keepNext w:val="0"/>
        <w:rPr>
          <w:strike/>
        </w:rPr>
      </w:pPr>
      <w:r w:rsidRPr="00026EC1">
        <w:t>6</w:t>
      </w:r>
      <w:r w:rsidR="00984A6F">
        <w:noBreakHyphen/>
      </w:r>
      <w:r w:rsidRPr="00026EC1">
        <w:t>3.</w:t>
      </w:r>
      <w:r w:rsidR="002D5FAE" w:rsidRPr="00026EC1">
        <w:t>13</w:t>
      </w:r>
    </w:p>
    <w:p w14:paraId="61D95A00" w14:textId="77777777" w:rsidR="00404F34" w:rsidRPr="00026EC1" w:rsidRDefault="00404F34" w:rsidP="00A64613">
      <w:pPr>
        <w:keepNext w:val="0"/>
        <w:tabs>
          <w:tab w:val="left" w:pos="4500"/>
        </w:tabs>
      </w:pPr>
      <w:r w:rsidRPr="00026EC1">
        <w:t xml:space="preserve">Seule une position unanime du </w:t>
      </w:r>
      <w:r w:rsidR="003C3D25" w:rsidRPr="00026EC1">
        <w:t xml:space="preserve">CNR </w:t>
      </w:r>
      <w:r w:rsidRPr="00026EC1">
        <w:t>constitue une décision relative à la plainte soumise. Dans ce cas, cette décision est transmise à l</w:t>
      </w:r>
      <w:r w:rsidR="004A41E4" w:rsidRPr="00026EC1">
        <w:t>’</w:t>
      </w:r>
      <w:r w:rsidRPr="00026EC1">
        <w:t>enseignante ou l</w:t>
      </w:r>
      <w:r w:rsidR="004A41E4" w:rsidRPr="00026EC1">
        <w:t>’</w:t>
      </w:r>
      <w:r w:rsidRPr="00026EC1">
        <w:t>enseignant, au Collège et au Syndicat et le Collège délivre, s</w:t>
      </w:r>
      <w:r w:rsidR="004A41E4" w:rsidRPr="00026EC1">
        <w:t>’</w:t>
      </w:r>
      <w:r w:rsidRPr="00026EC1">
        <w:t>il y a lieu, une nouvelle attestation officielle conforme à cette décision.</w:t>
      </w:r>
    </w:p>
    <w:p w14:paraId="6A5E8D8F" w14:textId="77777777" w:rsidR="00404F34" w:rsidRPr="00026EC1" w:rsidRDefault="00404F34" w:rsidP="00A64613">
      <w:pPr>
        <w:keepNext w:val="0"/>
        <w:tabs>
          <w:tab w:val="left" w:pos="4500"/>
        </w:tabs>
      </w:pPr>
    </w:p>
    <w:p w14:paraId="4869A5CD" w14:textId="13A05F33" w:rsidR="00404F34" w:rsidRPr="00026EC1" w:rsidRDefault="00404F34" w:rsidP="00A64613">
      <w:pPr>
        <w:keepNext w:val="0"/>
        <w:tabs>
          <w:tab w:val="left" w:pos="4500"/>
        </w:tabs>
      </w:pPr>
      <w:r w:rsidRPr="00026EC1">
        <w:t>S</w:t>
      </w:r>
      <w:r w:rsidR="004A41E4" w:rsidRPr="00026EC1">
        <w:t>’</w:t>
      </w:r>
      <w:r w:rsidRPr="00026EC1">
        <w:t>il n</w:t>
      </w:r>
      <w:r w:rsidR="004A41E4" w:rsidRPr="00026EC1">
        <w:t>’</w:t>
      </w:r>
      <w:r w:rsidRPr="00026EC1">
        <w:t xml:space="preserve">y a pas de position unanime du </w:t>
      </w:r>
      <w:r w:rsidR="00435611" w:rsidRPr="00026EC1">
        <w:t>CNR</w:t>
      </w:r>
      <w:r w:rsidR="00D8581B">
        <w:t> :</w:t>
      </w:r>
    </w:p>
    <w:p w14:paraId="180A972C" w14:textId="77777777" w:rsidR="00404F34" w:rsidRPr="00026EC1" w:rsidRDefault="00404F34" w:rsidP="00A64613">
      <w:pPr>
        <w:keepNext w:val="0"/>
        <w:tabs>
          <w:tab w:val="left" w:pos="4500"/>
        </w:tabs>
      </w:pPr>
    </w:p>
    <w:p w14:paraId="69562376" w14:textId="68AC4965" w:rsidR="00404F34" w:rsidRPr="00026EC1" w:rsidRDefault="00275751" w:rsidP="00A64613">
      <w:pPr>
        <w:keepNext w:val="0"/>
        <w:tabs>
          <w:tab w:val="left" w:pos="567"/>
          <w:tab w:val="left" w:pos="4500"/>
        </w:tabs>
        <w:ind w:left="567" w:hanging="567"/>
      </w:pPr>
      <w:r w:rsidRPr="00026EC1">
        <w:rPr>
          <w:rFonts w:ascii="Symbol" w:hAnsi="Symbol"/>
        </w:rPr>
        <w:t></w:t>
      </w:r>
      <w:r w:rsidRPr="00026EC1">
        <w:rPr>
          <w:rFonts w:ascii="Symbol" w:hAnsi="Symbol"/>
        </w:rPr>
        <w:tab/>
      </w:r>
      <w:r w:rsidR="00404F34" w:rsidRPr="00026EC1">
        <w:t>la plainte relative à l</w:t>
      </w:r>
      <w:r w:rsidR="004A41E4" w:rsidRPr="00026EC1">
        <w:t>’</w:t>
      </w:r>
      <w:r w:rsidR="00404F34" w:rsidRPr="00026EC1">
        <w:t xml:space="preserve">évaluation de la scolarité est transmise au Comité de révision et de conseil </w:t>
      </w:r>
      <w:r w:rsidR="003C3D25" w:rsidRPr="00026EC1">
        <w:t xml:space="preserve">(CRC) </w:t>
      </w:r>
      <w:r w:rsidR="00404F34" w:rsidRPr="00026EC1">
        <w:t>prévu à la clause 6</w:t>
      </w:r>
      <w:r w:rsidR="00984A6F">
        <w:noBreakHyphen/>
      </w:r>
      <w:r w:rsidR="00404F34" w:rsidRPr="00026EC1">
        <w:t>3.</w:t>
      </w:r>
      <w:r w:rsidR="002D5FAE" w:rsidRPr="00026EC1">
        <w:t>14</w:t>
      </w:r>
      <w:r w:rsidR="00404F34" w:rsidRPr="00026EC1">
        <w:t xml:space="preserve"> et l</w:t>
      </w:r>
      <w:r w:rsidR="004A41E4" w:rsidRPr="00026EC1">
        <w:t>’</w:t>
      </w:r>
      <w:r w:rsidR="00404F34" w:rsidRPr="00026EC1">
        <w:t>enseignante ou l</w:t>
      </w:r>
      <w:r w:rsidR="004A41E4" w:rsidRPr="00026EC1">
        <w:t>’</w:t>
      </w:r>
      <w:r w:rsidR="00404F34" w:rsidRPr="00026EC1">
        <w:t>enseignant, le Collège et le Syndicat en sont informés;</w:t>
      </w:r>
    </w:p>
    <w:p w14:paraId="289B53B7" w14:textId="77777777" w:rsidR="00404F34" w:rsidRPr="00026EC1" w:rsidRDefault="00404F34" w:rsidP="00A64613">
      <w:pPr>
        <w:keepNext w:val="0"/>
        <w:tabs>
          <w:tab w:val="left" w:pos="4500"/>
        </w:tabs>
      </w:pPr>
    </w:p>
    <w:p w14:paraId="69E751E5" w14:textId="77777777" w:rsidR="00404F34" w:rsidRPr="00026EC1" w:rsidRDefault="00275751" w:rsidP="00A64613">
      <w:pPr>
        <w:keepNext w:val="0"/>
        <w:tabs>
          <w:tab w:val="left" w:pos="567"/>
          <w:tab w:val="left" w:pos="4500"/>
        </w:tabs>
        <w:ind w:left="567" w:hanging="567"/>
      </w:pPr>
      <w:r w:rsidRPr="00026EC1">
        <w:rPr>
          <w:rFonts w:ascii="Symbol" w:hAnsi="Symbol"/>
        </w:rPr>
        <w:t></w:t>
      </w:r>
      <w:r w:rsidRPr="00026EC1">
        <w:rPr>
          <w:rFonts w:ascii="Symbol" w:hAnsi="Symbol"/>
        </w:rPr>
        <w:tab/>
      </w:r>
      <w:r w:rsidR="00404F34" w:rsidRPr="00026EC1">
        <w:t>la plainte relative à la reconnaissance du diplôme de maîtrise est acheminée à un arbitre nommé par les parties nationales. La décision de l</w:t>
      </w:r>
      <w:r w:rsidR="004A41E4" w:rsidRPr="00026EC1">
        <w:t>’</w:t>
      </w:r>
      <w:r w:rsidR="00404F34" w:rsidRPr="00026EC1">
        <w:t>arbitre est finale et exécutoire. Le Collège délivre, s</w:t>
      </w:r>
      <w:r w:rsidR="004A41E4" w:rsidRPr="00026EC1">
        <w:t>’</w:t>
      </w:r>
      <w:r w:rsidR="00404F34" w:rsidRPr="00026EC1">
        <w:t>il y a lieu, une nouvelle attestation de scolarité.</w:t>
      </w:r>
    </w:p>
    <w:p w14:paraId="6A3DA3CB" w14:textId="77777777" w:rsidR="00404F34" w:rsidRPr="00026EC1" w:rsidRDefault="00404F34" w:rsidP="00A64613">
      <w:pPr>
        <w:keepNext w:val="0"/>
      </w:pPr>
    </w:p>
    <w:p w14:paraId="59C18846" w14:textId="74FD8325" w:rsidR="00404F34" w:rsidRPr="00026EC1" w:rsidRDefault="00404F34" w:rsidP="00A64613">
      <w:pPr>
        <w:pStyle w:val="NUMRODECLAUSE"/>
        <w:keepNext w:val="0"/>
        <w:rPr>
          <w:strike/>
        </w:rPr>
      </w:pPr>
      <w:r w:rsidRPr="00026EC1">
        <w:t>6</w:t>
      </w:r>
      <w:r w:rsidR="00984A6F">
        <w:noBreakHyphen/>
      </w:r>
      <w:r w:rsidRPr="00026EC1">
        <w:t>3.</w:t>
      </w:r>
      <w:r w:rsidR="002D5FAE" w:rsidRPr="00026EC1">
        <w:t>14</w:t>
      </w:r>
    </w:p>
    <w:p w14:paraId="7095C3FD" w14:textId="2AB05772" w:rsidR="00404F34" w:rsidRPr="00026EC1" w:rsidRDefault="00404F34" w:rsidP="00A64613">
      <w:pPr>
        <w:keepNext w:val="0"/>
        <w:tabs>
          <w:tab w:val="left" w:pos="4500"/>
        </w:tabs>
      </w:pPr>
      <w:r w:rsidRPr="00026EC1">
        <w:t>Dans les soixante (60) jours de l</w:t>
      </w:r>
      <w:r w:rsidR="004A41E4" w:rsidRPr="00026EC1">
        <w:t>’</w:t>
      </w:r>
      <w:r w:rsidRPr="00026EC1">
        <w:t xml:space="preserve">entrée en vigueur de la convention collective, un </w:t>
      </w:r>
      <w:r w:rsidR="002E6480" w:rsidRPr="00026EC1">
        <w:t xml:space="preserve">CRC </w:t>
      </w:r>
      <w:r w:rsidRPr="00026EC1">
        <w:t>est formé. Il est constitué comme suit</w:t>
      </w:r>
      <w:r w:rsidR="00D8581B">
        <w:t> :</w:t>
      </w:r>
    </w:p>
    <w:p w14:paraId="3C8CA397" w14:textId="77777777" w:rsidR="00404F34" w:rsidRPr="00026EC1" w:rsidRDefault="00404F34" w:rsidP="00A64613">
      <w:pPr>
        <w:keepNext w:val="0"/>
        <w:tabs>
          <w:tab w:val="left" w:pos="4500"/>
        </w:tabs>
      </w:pPr>
    </w:p>
    <w:p w14:paraId="7A6CBA3C" w14:textId="77777777" w:rsidR="00404F34" w:rsidRPr="00026EC1" w:rsidRDefault="00275751" w:rsidP="00A64613">
      <w:pPr>
        <w:keepNext w:val="0"/>
        <w:tabs>
          <w:tab w:val="left" w:pos="567"/>
          <w:tab w:val="left" w:pos="4500"/>
        </w:tabs>
        <w:ind w:left="567" w:hanging="567"/>
      </w:pPr>
      <w:r w:rsidRPr="00026EC1">
        <w:rPr>
          <w:rFonts w:ascii="Symbol" w:hAnsi="Symbol"/>
        </w:rPr>
        <w:t></w:t>
      </w:r>
      <w:r w:rsidRPr="00026EC1">
        <w:rPr>
          <w:rFonts w:ascii="Symbol" w:hAnsi="Symbol"/>
        </w:rPr>
        <w:tab/>
      </w:r>
      <w:r w:rsidR="00404F34" w:rsidRPr="00026EC1">
        <w:t>une (1) présidente ou un (1) président nommé pour le secteur de l</w:t>
      </w:r>
      <w:r w:rsidR="004A41E4" w:rsidRPr="00026EC1">
        <w:t>’</w:t>
      </w:r>
      <w:r w:rsidR="00404F34" w:rsidRPr="00026EC1">
        <w:t>Éducation;</w:t>
      </w:r>
    </w:p>
    <w:p w14:paraId="38317C98" w14:textId="77777777" w:rsidR="00404F34" w:rsidRPr="00026EC1" w:rsidRDefault="00404F34" w:rsidP="00A64613">
      <w:pPr>
        <w:pStyle w:val="CommentText"/>
        <w:keepNext w:val="0"/>
        <w:tabs>
          <w:tab w:val="clear" w:pos="3969"/>
          <w:tab w:val="left" w:pos="4500"/>
        </w:tabs>
      </w:pPr>
    </w:p>
    <w:p w14:paraId="5D85A32A" w14:textId="77777777" w:rsidR="00404F34" w:rsidRPr="00026EC1" w:rsidRDefault="00275751" w:rsidP="00A64613">
      <w:pPr>
        <w:keepNext w:val="0"/>
        <w:tabs>
          <w:tab w:val="left" w:pos="567"/>
          <w:tab w:val="left" w:pos="4500"/>
        </w:tabs>
        <w:ind w:left="567" w:hanging="567"/>
      </w:pPr>
      <w:r w:rsidRPr="00026EC1">
        <w:rPr>
          <w:rFonts w:ascii="Symbol" w:hAnsi="Symbol"/>
        </w:rPr>
        <w:t></w:t>
      </w:r>
      <w:r>
        <w:tab/>
      </w:r>
      <w:r w:rsidR="00404F34" w:rsidRPr="00026EC1">
        <w:t>une (1) représentante ou un (1) représentant de la partie patronale nationale;</w:t>
      </w:r>
    </w:p>
    <w:p w14:paraId="5D2E0A9F" w14:textId="5D34029F" w:rsidR="4C4DE533" w:rsidRDefault="4C4DE533" w:rsidP="00A64613">
      <w:pPr>
        <w:keepNext w:val="0"/>
        <w:tabs>
          <w:tab w:val="left" w:pos="567"/>
          <w:tab w:val="left" w:pos="4500"/>
        </w:tabs>
        <w:ind w:left="567" w:hanging="567"/>
        <w:rPr>
          <w:szCs w:val="24"/>
        </w:rPr>
      </w:pPr>
    </w:p>
    <w:p w14:paraId="6AD17B31" w14:textId="6EF1579B" w:rsidR="00404F34" w:rsidRPr="00026EC1" w:rsidRDefault="00275751" w:rsidP="00A64613">
      <w:pPr>
        <w:keepNext w:val="0"/>
        <w:tabs>
          <w:tab w:val="left" w:pos="567"/>
          <w:tab w:val="left" w:pos="4500"/>
        </w:tabs>
        <w:ind w:left="567" w:hanging="567"/>
      </w:pPr>
      <w:r w:rsidRPr="00026EC1">
        <w:rPr>
          <w:rFonts w:ascii="Symbol" w:hAnsi="Symbol"/>
        </w:rPr>
        <w:t></w:t>
      </w:r>
      <w:r w:rsidRPr="00026EC1">
        <w:rPr>
          <w:rFonts w:ascii="Symbol" w:hAnsi="Symbol"/>
        </w:rPr>
        <w:tab/>
      </w:r>
      <w:r w:rsidR="00404F34" w:rsidRPr="00026EC1">
        <w:t>la représentante ou le représentant de la FNEEQ (CSN) mentionné à la clause 6</w:t>
      </w:r>
      <w:r w:rsidR="00984A6F">
        <w:noBreakHyphen/>
      </w:r>
      <w:r w:rsidR="00404F34" w:rsidRPr="00026EC1">
        <w:t>3.08.</w:t>
      </w:r>
    </w:p>
    <w:p w14:paraId="016FE716" w14:textId="77777777" w:rsidR="00404F34" w:rsidRPr="00026EC1" w:rsidRDefault="00404F34" w:rsidP="00A64613">
      <w:pPr>
        <w:keepNext w:val="0"/>
        <w:tabs>
          <w:tab w:val="left" w:pos="4500"/>
        </w:tabs>
      </w:pPr>
    </w:p>
    <w:p w14:paraId="3D00FA34" w14:textId="77777777" w:rsidR="00404F34" w:rsidRPr="00026EC1" w:rsidRDefault="00404F34" w:rsidP="00A64613">
      <w:pPr>
        <w:keepNext w:val="0"/>
        <w:tabs>
          <w:tab w:val="left" w:pos="4500"/>
        </w:tabs>
      </w:pPr>
      <w:r w:rsidRPr="00026EC1">
        <w:t>Toutefois, les parties nationales nomment au moins une (1) ou un (1) substitut de leur membre désigné. Les substituts peuvent assister aux réunions du comité, mais n</w:t>
      </w:r>
      <w:r w:rsidR="004A41E4" w:rsidRPr="00026EC1">
        <w:t>’</w:t>
      </w:r>
      <w:r w:rsidRPr="00026EC1">
        <w:t>y ont aucun pouvoir de décision. Cependant, si une ou un membre désigné n</w:t>
      </w:r>
      <w:r w:rsidR="004A41E4" w:rsidRPr="00026EC1">
        <w:t>’</w:t>
      </w:r>
      <w:r w:rsidRPr="00026EC1">
        <w:t>assiste pas à une réunion du comité et si sa ou son substitut y assiste, cette ou ce substitut devient le membre désigné pour cette réunion.</w:t>
      </w:r>
    </w:p>
    <w:p w14:paraId="698B741B" w14:textId="77777777" w:rsidR="00404F34" w:rsidRPr="00026EC1" w:rsidRDefault="00404F34" w:rsidP="00A64613">
      <w:pPr>
        <w:keepNext w:val="0"/>
        <w:tabs>
          <w:tab w:val="left" w:pos="4500"/>
        </w:tabs>
      </w:pPr>
    </w:p>
    <w:p w14:paraId="25F22599" w14:textId="2C5432F5" w:rsidR="00DE729B" w:rsidRDefault="00404F34" w:rsidP="00A64613">
      <w:pPr>
        <w:keepNext w:val="0"/>
        <w:tabs>
          <w:tab w:val="left" w:pos="4500"/>
        </w:tabs>
      </w:pPr>
      <w:r w:rsidRPr="00026EC1">
        <w:t xml:space="preserve">Son mandat est de traiter des plaintes des enseignantes et enseignants qui lui sont transmises par le </w:t>
      </w:r>
      <w:r w:rsidR="00435611" w:rsidRPr="00026EC1">
        <w:t>CNR</w:t>
      </w:r>
      <w:r w:rsidRPr="00026EC1">
        <w:t xml:space="preserve"> et de recevoir, pour étude ou recommandation à la ou au Ministre, les plaintes ou suggestions relatives à une règle d</w:t>
      </w:r>
      <w:r w:rsidR="004A41E4" w:rsidRPr="00026EC1">
        <w:t>’</w:t>
      </w:r>
      <w:r w:rsidRPr="00026EC1">
        <w:t xml:space="preserve">évaluation contenue au </w:t>
      </w:r>
      <w:r w:rsidRPr="00026EC1">
        <w:rPr>
          <w:i/>
        </w:rPr>
        <w:t>Manuel d</w:t>
      </w:r>
      <w:r w:rsidR="004A41E4" w:rsidRPr="00026EC1">
        <w:rPr>
          <w:i/>
        </w:rPr>
        <w:t>’</w:t>
      </w:r>
      <w:r w:rsidRPr="00026EC1">
        <w:rPr>
          <w:i/>
        </w:rPr>
        <w:t>évaluation de la scolarité</w:t>
      </w:r>
      <w:r w:rsidRPr="00026EC1">
        <w:t>.</w:t>
      </w:r>
    </w:p>
    <w:p w14:paraId="3533B440" w14:textId="77777777" w:rsidR="00DE729B" w:rsidRDefault="00DE729B">
      <w:pPr>
        <w:keepNext w:val="0"/>
        <w:suppressAutoHyphens w:val="0"/>
        <w:jc w:val="left"/>
      </w:pPr>
      <w:r>
        <w:br w:type="page"/>
      </w:r>
    </w:p>
    <w:p w14:paraId="6F6FF76D" w14:textId="07844C73" w:rsidR="00404F34" w:rsidRPr="00026EC1" w:rsidRDefault="00404F34" w:rsidP="00A64613">
      <w:pPr>
        <w:pStyle w:val="NUMRODECLAUSE"/>
        <w:keepNext w:val="0"/>
        <w:rPr>
          <w:strike/>
        </w:rPr>
      </w:pPr>
      <w:r w:rsidRPr="00026EC1">
        <w:t>6</w:t>
      </w:r>
      <w:r w:rsidR="00984A6F">
        <w:noBreakHyphen/>
      </w:r>
      <w:r w:rsidRPr="00026EC1">
        <w:t>3.</w:t>
      </w:r>
      <w:r w:rsidR="002D5FAE" w:rsidRPr="00026EC1">
        <w:t>15</w:t>
      </w:r>
    </w:p>
    <w:p w14:paraId="3573F77A" w14:textId="77777777" w:rsidR="002E6480" w:rsidRPr="00026EC1" w:rsidRDefault="002E6480" w:rsidP="00A64613">
      <w:pPr>
        <w:keepNext w:val="0"/>
        <w:tabs>
          <w:tab w:val="left" w:pos="4500"/>
        </w:tabs>
      </w:pPr>
      <w:r w:rsidRPr="00026EC1">
        <w:t xml:space="preserve">Pour les plaintes transmises par le CNR, les décisions du </w:t>
      </w:r>
      <w:r w:rsidR="004878CF" w:rsidRPr="00026EC1">
        <w:t>CRC</w:t>
      </w:r>
      <w:r w:rsidR="003C3D25" w:rsidRPr="00026EC1">
        <w:t xml:space="preserve"> </w:t>
      </w:r>
      <w:r w:rsidRPr="00026EC1">
        <w:t>se prennent à la majorité des voix.</w:t>
      </w:r>
    </w:p>
    <w:p w14:paraId="3CE9C5EF" w14:textId="77777777" w:rsidR="00404F34" w:rsidRPr="00026EC1" w:rsidRDefault="00404F34" w:rsidP="00A64613">
      <w:pPr>
        <w:keepNext w:val="0"/>
        <w:tabs>
          <w:tab w:val="left" w:pos="4500"/>
        </w:tabs>
      </w:pPr>
    </w:p>
    <w:p w14:paraId="6F5B27A8" w14:textId="77777777" w:rsidR="00404F34" w:rsidRPr="00026EC1" w:rsidRDefault="00275751" w:rsidP="00A64613">
      <w:pPr>
        <w:keepNext w:val="0"/>
        <w:tabs>
          <w:tab w:val="left" w:pos="567"/>
          <w:tab w:val="left" w:pos="4500"/>
        </w:tabs>
        <w:ind w:left="567" w:hanging="567"/>
      </w:pPr>
      <w:r w:rsidRPr="00026EC1">
        <w:t>a)</w:t>
      </w:r>
      <w:r w:rsidRPr="00026EC1">
        <w:tab/>
      </w:r>
      <w:r w:rsidR="00404F34" w:rsidRPr="00026EC1">
        <w:t xml:space="preserve">Lorsque le </w:t>
      </w:r>
      <w:r w:rsidR="002E6480" w:rsidRPr="00026EC1">
        <w:t>CRC</w:t>
      </w:r>
      <w:r w:rsidR="00404F34" w:rsidRPr="00026EC1">
        <w:t xml:space="preserve"> juge que le cas qui lui est soumis est prévu au </w:t>
      </w:r>
      <w:r w:rsidR="00404F34" w:rsidRPr="00026EC1">
        <w:rPr>
          <w:i/>
        </w:rPr>
        <w:t>Manuel d</w:t>
      </w:r>
      <w:r w:rsidR="004A41E4" w:rsidRPr="00026EC1">
        <w:rPr>
          <w:i/>
        </w:rPr>
        <w:t>’</w:t>
      </w:r>
      <w:r w:rsidR="00404F34" w:rsidRPr="00026EC1">
        <w:rPr>
          <w:i/>
        </w:rPr>
        <w:t>évaluation de la scolarité</w:t>
      </w:r>
      <w:r w:rsidR="00404F34" w:rsidRPr="00026EC1">
        <w:t>, il recommande au Collège une évaluation de la scolarité basée sur le manuel; cette décision est sans appel et lie l</w:t>
      </w:r>
      <w:r w:rsidR="004A41E4" w:rsidRPr="00026EC1">
        <w:t>’</w:t>
      </w:r>
      <w:r w:rsidR="00404F34" w:rsidRPr="00026EC1">
        <w:t>enseignante ou l</w:t>
      </w:r>
      <w:r w:rsidR="004A41E4" w:rsidRPr="00026EC1">
        <w:t>’</w:t>
      </w:r>
      <w:r w:rsidR="00404F34" w:rsidRPr="00026EC1">
        <w:t>enseignant, le Syndicat et le Collège. Le Collège délivre alors une nouvelle attestation conforme à cette recommandation.</w:t>
      </w:r>
    </w:p>
    <w:p w14:paraId="170D3CF6" w14:textId="77777777" w:rsidR="00404F34" w:rsidRPr="00026EC1" w:rsidRDefault="00404F34" w:rsidP="00A64613">
      <w:pPr>
        <w:keepNext w:val="0"/>
        <w:tabs>
          <w:tab w:val="left" w:pos="4500"/>
        </w:tabs>
      </w:pPr>
    </w:p>
    <w:p w14:paraId="71E8769E" w14:textId="77777777" w:rsidR="00404F34" w:rsidRPr="00026EC1" w:rsidRDefault="00275751" w:rsidP="00A64613">
      <w:pPr>
        <w:keepNext w:val="0"/>
        <w:tabs>
          <w:tab w:val="left" w:pos="567"/>
          <w:tab w:val="left" w:pos="4500"/>
        </w:tabs>
        <w:ind w:left="567" w:hanging="567"/>
      </w:pPr>
      <w:r w:rsidRPr="00026EC1">
        <w:t>b)</w:t>
      </w:r>
      <w:r w:rsidRPr="00026EC1">
        <w:tab/>
      </w:r>
      <w:r w:rsidR="00404F34" w:rsidRPr="00026EC1">
        <w:t xml:space="preserve">Lorsque le </w:t>
      </w:r>
      <w:r w:rsidR="002E6480" w:rsidRPr="00026EC1">
        <w:t>CRC</w:t>
      </w:r>
      <w:r w:rsidR="00404F34" w:rsidRPr="00026EC1">
        <w:t xml:space="preserve"> juge que le cas n</w:t>
      </w:r>
      <w:r w:rsidR="004A41E4" w:rsidRPr="00026EC1">
        <w:t>’</w:t>
      </w:r>
      <w:r w:rsidR="00404F34" w:rsidRPr="00026EC1">
        <w:t>est pas prévu au manuel, il en fait part à la ou au Ministre.</w:t>
      </w:r>
    </w:p>
    <w:p w14:paraId="7E1B6FA6" w14:textId="77777777" w:rsidR="00404F34" w:rsidRPr="00026EC1" w:rsidRDefault="00404F34" w:rsidP="00A64613">
      <w:pPr>
        <w:keepNext w:val="0"/>
      </w:pPr>
    </w:p>
    <w:p w14:paraId="7D973501" w14:textId="5075B57B" w:rsidR="00404F34" w:rsidRPr="00026EC1" w:rsidRDefault="00275751" w:rsidP="00A64613">
      <w:pPr>
        <w:keepNext w:val="0"/>
        <w:tabs>
          <w:tab w:val="left" w:pos="567"/>
          <w:tab w:val="left" w:pos="4500"/>
        </w:tabs>
        <w:ind w:left="567" w:hanging="567"/>
      </w:pPr>
      <w:r w:rsidRPr="00026EC1">
        <w:t>c)</w:t>
      </w:r>
      <w:r w:rsidRPr="00026EC1">
        <w:tab/>
      </w:r>
      <w:r w:rsidR="00404F34" w:rsidRPr="00026EC1">
        <w:t xml:space="preserve">Le </w:t>
      </w:r>
      <w:r w:rsidR="002E6480" w:rsidRPr="00026EC1">
        <w:t>CRC</w:t>
      </w:r>
      <w:r w:rsidR="00404F34" w:rsidRPr="00026EC1">
        <w:t xml:space="preserve"> peut joindre à sa décision une recommandation à la ou au Ministre lorsque la demande de révision peut faire l</w:t>
      </w:r>
      <w:r w:rsidR="004A41E4" w:rsidRPr="00026EC1">
        <w:t>’</w:t>
      </w:r>
      <w:r w:rsidR="00404F34" w:rsidRPr="00026EC1">
        <w:t>objet soit d</w:t>
      </w:r>
      <w:r w:rsidR="004A41E4" w:rsidRPr="00026EC1">
        <w:t>’</w:t>
      </w:r>
      <w:r w:rsidR="00404F34" w:rsidRPr="00026EC1">
        <w:t>une évaluation de « qualification</w:t>
      </w:r>
      <w:r w:rsidR="009F1A8D">
        <w:t xml:space="preserve"> </w:t>
      </w:r>
      <w:r w:rsidR="00404F34" w:rsidRPr="00026EC1">
        <w:t>particulière</w:t>
      </w:r>
      <w:r w:rsidR="007E6F2A" w:rsidRPr="00026EC1">
        <w:t xml:space="preserve"> </w:t>
      </w:r>
      <w:r w:rsidR="00404F34" w:rsidRPr="00026EC1">
        <w:t>», soit d</w:t>
      </w:r>
      <w:r w:rsidR="004A41E4" w:rsidRPr="00026EC1">
        <w:t>’</w:t>
      </w:r>
      <w:r w:rsidR="00404F34" w:rsidRPr="00026EC1">
        <w:t>une « décision particulière » relative à une règle d</w:t>
      </w:r>
      <w:r w:rsidR="004A41E4" w:rsidRPr="00026EC1">
        <w:t>’</w:t>
      </w:r>
      <w:r w:rsidR="00404F34" w:rsidRPr="00026EC1">
        <w:t xml:space="preserve">évaluation du </w:t>
      </w:r>
      <w:r w:rsidR="00404F34" w:rsidRPr="00026EC1">
        <w:rPr>
          <w:i/>
          <w:iCs/>
        </w:rPr>
        <w:t>Manuel d</w:t>
      </w:r>
      <w:r w:rsidR="004A41E4" w:rsidRPr="00026EC1">
        <w:rPr>
          <w:i/>
          <w:iCs/>
        </w:rPr>
        <w:t>’</w:t>
      </w:r>
      <w:r w:rsidR="00404F34" w:rsidRPr="00026EC1">
        <w:rPr>
          <w:i/>
          <w:iCs/>
        </w:rPr>
        <w:t>évaluation de la scolarité</w:t>
      </w:r>
      <w:r w:rsidR="00404F34" w:rsidRPr="00026EC1">
        <w:t>. Une telle recommandation ne constitue pas une décision au sens de l</w:t>
      </w:r>
      <w:r w:rsidR="004A41E4" w:rsidRPr="00026EC1">
        <w:t>’</w:t>
      </w:r>
      <w:r w:rsidR="00404F34" w:rsidRPr="00026EC1">
        <w:t>alinéa a) et ne lie la ou le Ministre, le Syndicat, le Collège et l</w:t>
      </w:r>
      <w:r w:rsidR="004A41E4" w:rsidRPr="00026EC1">
        <w:t>’</w:t>
      </w:r>
      <w:r w:rsidR="00404F34" w:rsidRPr="00026EC1">
        <w:t>enseignante ou l</w:t>
      </w:r>
      <w:r w:rsidR="004A41E4" w:rsidRPr="00026EC1">
        <w:t>’</w:t>
      </w:r>
      <w:r w:rsidR="00404F34" w:rsidRPr="00026EC1">
        <w:t>enseignant que si la ou le Ministre y donne suite.</w:t>
      </w:r>
    </w:p>
    <w:p w14:paraId="2CD95163" w14:textId="77777777" w:rsidR="00404F34" w:rsidRPr="00026EC1" w:rsidRDefault="00404F34" w:rsidP="00A64613">
      <w:pPr>
        <w:keepNext w:val="0"/>
        <w:tabs>
          <w:tab w:val="left" w:pos="4500"/>
        </w:tabs>
      </w:pPr>
    </w:p>
    <w:p w14:paraId="28141DB4" w14:textId="77777777" w:rsidR="00404F34" w:rsidRPr="00026EC1" w:rsidRDefault="00404F34" w:rsidP="00A64613">
      <w:pPr>
        <w:pStyle w:val="Texte1cm"/>
        <w:keepNext w:val="0"/>
        <w:tabs>
          <w:tab w:val="left" w:pos="4500"/>
        </w:tabs>
      </w:pPr>
      <w:r w:rsidRPr="00026EC1">
        <w:t xml:space="preserve">Si la décision de la ou du Ministre faisant suite à la recommandation du </w:t>
      </w:r>
      <w:r w:rsidR="002E6480" w:rsidRPr="00026EC1">
        <w:t>CRC</w:t>
      </w:r>
      <w:r w:rsidRPr="00026EC1">
        <w:t xml:space="preserve"> implique un changement dans l</w:t>
      </w:r>
      <w:r w:rsidR="004A41E4" w:rsidRPr="00026EC1">
        <w:t>’</w:t>
      </w:r>
      <w:r w:rsidRPr="00026EC1">
        <w:t>évaluation de la scolarité en années complètes d</w:t>
      </w:r>
      <w:r w:rsidR="004A41E4" w:rsidRPr="00026EC1">
        <w:t>’</w:t>
      </w:r>
      <w:r w:rsidRPr="00026EC1">
        <w:t>une enseignante ou d</w:t>
      </w:r>
      <w:r w:rsidR="004A41E4" w:rsidRPr="00026EC1">
        <w:t>’</w:t>
      </w:r>
      <w:r w:rsidRPr="00026EC1">
        <w:t xml:space="preserve">un enseignant, le Collège fait parvenir à cette enseignante ou cet enseignant une nouvelle attestation officielle de scolarité. Lorsque la décision de la ou du Ministre donne suite à la recommandation du </w:t>
      </w:r>
      <w:r w:rsidR="002E6480" w:rsidRPr="00026EC1">
        <w:t>CRC</w:t>
      </w:r>
      <w:r w:rsidRPr="00026EC1">
        <w:t xml:space="preserve"> et que cette décision n</w:t>
      </w:r>
      <w:r w:rsidR="004A41E4" w:rsidRPr="00026EC1">
        <w:t>’</w:t>
      </w:r>
      <w:r w:rsidRPr="00026EC1">
        <w:t>implique pas un changement dans l</w:t>
      </w:r>
      <w:r w:rsidR="004A41E4" w:rsidRPr="00026EC1">
        <w:t>’</w:t>
      </w:r>
      <w:r w:rsidRPr="00026EC1">
        <w:t>évaluation de la scolarité en années complètes de l</w:t>
      </w:r>
      <w:r w:rsidR="004A41E4" w:rsidRPr="00026EC1">
        <w:t>’</w:t>
      </w:r>
      <w:r w:rsidRPr="00026EC1">
        <w:t>enseignante ou de l</w:t>
      </w:r>
      <w:r w:rsidR="004A41E4" w:rsidRPr="00026EC1">
        <w:t>’</w:t>
      </w:r>
      <w:r w:rsidRPr="00026EC1">
        <w:t>enseignant, le Collège l</w:t>
      </w:r>
      <w:r w:rsidR="004A41E4" w:rsidRPr="00026EC1">
        <w:t>’</w:t>
      </w:r>
      <w:r w:rsidRPr="00026EC1">
        <w:t>en avise par écrit.</w:t>
      </w:r>
    </w:p>
    <w:p w14:paraId="26C45AF5" w14:textId="77777777" w:rsidR="0080144E" w:rsidRPr="00026EC1" w:rsidRDefault="0080144E" w:rsidP="00A64613">
      <w:pPr>
        <w:keepNext w:val="0"/>
      </w:pPr>
    </w:p>
    <w:p w14:paraId="55E2374E" w14:textId="2DDC293E" w:rsidR="00404F34" w:rsidRPr="00026EC1" w:rsidRDefault="00404F34" w:rsidP="00A64613">
      <w:pPr>
        <w:pStyle w:val="NUMRODECLAUSE"/>
        <w:keepNext w:val="0"/>
        <w:rPr>
          <w:strike/>
        </w:rPr>
      </w:pPr>
      <w:r w:rsidRPr="00026EC1">
        <w:t>6</w:t>
      </w:r>
      <w:r w:rsidR="00984A6F">
        <w:noBreakHyphen/>
      </w:r>
      <w:r w:rsidRPr="00026EC1">
        <w:t>3.</w:t>
      </w:r>
      <w:r w:rsidR="002D5FAE" w:rsidRPr="00026EC1">
        <w:t>16</w:t>
      </w:r>
    </w:p>
    <w:p w14:paraId="62707E0E" w14:textId="77777777" w:rsidR="00404F34" w:rsidRPr="00026EC1" w:rsidRDefault="00404F34" w:rsidP="00A64613">
      <w:pPr>
        <w:keepNext w:val="0"/>
        <w:tabs>
          <w:tab w:val="left" w:pos="4500"/>
        </w:tabs>
      </w:pPr>
      <w:r w:rsidRPr="00026EC1">
        <w:t xml:space="preserve">La ou le membre désigné par la FNEEQ (CSN) peut déposer auprès du </w:t>
      </w:r>
      <w:r w:rsidR="002E6480" w:rsidRPr="00026EC1">
        <w:t>CRC</w:t>
      </w:r>
      <w:r w:rsidRPr="00026EC1">
        <w:t xml:space="preserve"> des plaintes ou suggestions relatives à une règle d</w:t>
      </w:r>
      <w:r w:rsidR="004A41E4" w:rsidRPr="00026EC1">
        <w:t>’</w:t>
      </w:r>
      <w:r w:rsidRPr="00026EC1">
        <w:t xml:space="preserve">évaluation du </w:t>
      </w:r>
      <w:r w:rsidRPr="00026EC1">
        <w:rPr>
          <w:i/>
          <w:iCs/>
        </w:rPr>
        <w:t>Manuel d</w:t>
      </w:r>
      <w:r w:rsidR="004A41E4" w:rsidRPr="00026EC1">
        <w:rPr>
          <w:i/>
          <w:iCs/>
        </w:rPr>
        <w:t>’</w:t>
      </w:r>
      <w:r w:rsidRPr="00026EC1">
        <w:rPr>
          <w:i/>
          <w:iCs/>
        </w:rPr>
        <w:t>évaluation de la scolarité</w:t>
      </w:r>
      <w:r w:rsidRPr="00026EC1">
        <w:t>.</w:t>
      </w:r>
    </w:p>
    <w:p w14:paraId="10A0CD4F" w14:textId="77777777" w:rsidR="0080144E" w:rsidRPr="00026EC1" w:rsidRDefault="0080144E" w:rsidP="00A64613">
      <w:pPr>
        <w:keepNext w:val="0"/>
        <w:tabs>
          <w:tab w:val="left" w:pos="4500"/>
        </w:tabs>
      </w:pPr>
    </w:p>
    <w:p w14:paraId="03F10A99" w14:textId="77777777" w:rsidR="00404F34" w:rsidRPr="00026EC1" w:rsidRDefault="00404F34" w:rsidP="00A64613">
      <w:pPr>
        <w:keepNext w:val="0"/>
        <w:tabs>
          <w:tab w:val="left" w:pos="4500"/>
        </w:tabs>
      </w:pPr>
      <w:r w:rsidRPr="00026EC1">
        <w:t xml:space="preserve">Une recommandation unanime du </w:t>
      </w:r>
      <w:r w:rsidR="002E6480" w:rsidRPr="00026EC1">
        <w:t>CRC</w:t>
      </w:r>
      <w:r w:rsidRPr="00026EC1">
        <w:t>, portant sur une règle d</w:t>
      </w:r>
      <w:r w:rsidR="004A41E4" w:rsidRPr="00026EC1">
        <w:t>’</w:t>
      </w:r>
      <w:r w:rsidRPr="00026EC1">
        <w:t>évaluation, entraîne une modification correspondante au manuel.</w:t>
      </w:r>
    </w:p>
    <w:p w14:paraId="51303A37" w14:textId="77777777" w:rsidR="00404F34" w:rsidRPr="00026EC1" w:rsidRDefault="00404F34" w:rsidP="00A64613">
      <w:pPr>
        <w:keepNext w:val="0"/>
      </w:pPr>
    </w:p>
    <w:p w14:paraId="42363762" w14:textId="5D79D3A6" w:rsidR="00404F34" w:rsidRPr="00026EC1" w:rsidRDefault="00404F34" w:rsidP="00A64613">
      <w:pPr>
        <w:pStyle w:val="NUMRODECLAUSE"/>
        <w:keepNext w:val="0"/>
        <w:rPr>
          <w:strike/>
        </w:rPr>
      </w:pPr>
      <w:r w:rsidRPr="00026EC1">
        <w:t>6</w:t>
      </w:r>
      <w:r w:rsidR="00984A6F">
        <w:noBreakHyphen/>
      </w:r>
      <w:r w:rsidRPr="00026EC1">
        <w:t>3.</w:t>
      </w:r>
      <w:r w:rsidR="002D5FAE" w:rsidRPr="00026EC1">
        <w:t>17</w:t>
      </w:r>
    </w:p>
    <w:p w14:paraId="34F7778E" w14:textId="77777777" w:rsidR="00404F34" w:rsidRPr="00026EC1" w:rsidRDefault="00404F34" w:rsidP="00A64613">
      <w:pPr>
        <w:keepNext w:val="0"/>
        <w:tabs>
          <w:tab w:val="left" w:pos="4500"/>
        </w:tabs>
      </w:pPr>
      <w:r w:rsidRPr="00026EC1">
        <w:t xml:space="preserve">Les honoraires et les dépenses de la présidente ou du président et les coûts de secrétariat du </w:t>
      </w:r>
      <w:r w:rsidR="002E6480" w:rsidRPr="00026EC1">
        <w:t>CRC</w:t>
      </w:r>
      <w:r w:rsidRPr="00026EC1">
        <w:t xml:space="preserve"> sont à la charge du Ministère. Les honoraires et les dépenses d</w:t>
      </w:r>
      <w:r w:rsidR="004A41E4" w:rsidRPr="00026EC1">
        <w:t>’</w:t>
      </w:r>
      <w:r w:rsidRPr="00026EC1">
        <w:t>une ou d</w:t>
      </w:r>
      <w:r w:rsidR="004A41E4" w:rsidRPr="00026EC1">
        <w:t>’</w:t>
      </w:r>
      <w:r w:rsidRPr="00026EC1">
        <w:t xml:space="preserve">un membre désigné au </w:t>
      </w:r>
      <w:r w:rsidR="002E6480" w:rsidRPr="00026EC1">
        <w:t>CRC</w:t>
      </w:r>
      <w:r w:rsidRPr="00026EC1">
        <w:t xml:space="preserve"> sont à la charge de la partie qui l</w:t>
      </w:r>
      <w:r w:rsidR="004A41E4" w:rsidRPr="00026EC1">
        <w:t>’</w:t>
      </w:r>
      <w:r w:rsidRPr="00026EC1">
        <w:t>a désigné.</w:t>
      </w:r>
    </w:p>
    <w:p w14:paraId="5B165BDE" w14:textId="77777777" w:rsidR="00707DAF" w:rsidRDefault="00707DAF" w:rsidP="00A64613">
      <w:pPr>
        <w:keepNext w:val="0"/>
        <w:rPr>
          <w:b/>
        </w:rPr>
      </w:pPr>
    </w:p>
    <w:p w14:paraId="14B24AF8" w14:textId="53801DBC" w:rsidR="00404F34" w:rsidRPr="00026EC1" w:rsidRDefault="00404F34" w:rsidP="00A64613">
      <w:pPr>
        <w:pStyle w:val="NUMRODECLAUSE"/>
        <w:keepNext w:val="0"/>
        <w:rPr>
          <w:strike/>
        </w:rPr>
      </w:pPr>
      <w:r w:rsidRPr="00026EC1">
        <w:t>6</w:t>
      </w:r>
      <w:r w:rsidR="00984A6F">
        <w:noBreakHyphen/>
      </w:r>
      <w:r w:rsidRPr="00026EC1">
        <w:t>3.</w:t>
      </w:r>
      <w:r w:rsidR="002D5FAE" w:rsidRPr="00026EC1">
        <w:t>18</w:t>
      </w:r>
    </w:p>
    <w:p w14:paraId="16F2D168" w14:textId="6E48BEE0" w:rsidR="00404F34" w:rsidRPr="00026EC1" w:rsidRDefault="00404F34" w:rsidP="00A64613">
      <w:pPr>
        <w:keepNext w:val="0"/>
        <w:tabs>
          <w:tab w:val="left" w:pos="4500"/>
        </w:tabs>
      </w:pPr>
      <w:r w:rsidRPr="00026EC1">
        <w:t>Une attestation officielle de scolarité ne peut être revue à la baisse. Aussi, le Collège ne peut modifier à la baisse un classement déjà sanctionné par un des ex</w:t>
      </w:r>
      <w:r w:rsidR="00984A6F">
        <w:noBreakHyphen/>
      </w:r>
      <w:r w:rsidRPr="00026EC1">
        <w:t>comités provinciaux de classification. Une attestation délivrée par le Comité temporaire de classement (CTC entente de décembre 1973) est réputée être un classement d</w:t>
      </w:r>
      <w:r w:rsidR="004A41E4" w:rsidRPr="00026EC1">
        <w:t>’</w:t>
      </w:r>
      <w:r w:rsidRPr="00026EC1">
        <w:t>un ex</w:t>
      </w:r>
      <w:r w:rsidR="00984A6F">
        <w:noBreakHyphen/>
      </w:r>
      <w:r w:rsidRPr="00026EC1">
        <w:t>comité provincial de classification (CPC).</w:t>
      </w:r>
    </w:p>
    <w:p w14:paraId="5F40327C" w14:textId="70EE6668" w:rsidR="00404F34" w:rsidRPr="00026EC1" w:rsidRDefault="00404F34" w:rsidP="00A64613">
      <w:pPr>
        <w:pStyle w:val="NUMRODECLAUSE"/>
        <w:keepNext w:val="0"/>
        <w:rPr>
          <w:strike/>
        </w:rPr>
      </w:pPr>
      <w:r w:rsidRPr="00026EC1">
        <w:t>6</w:t>
      </w:r>
      <w:r w:rsidR="00984A6F">
        <w:noBreakHyphen/>
      </w:r>
      <w:r w:rsidRPr="00026EC1">
        <w:t>3.</w:t>
      </w:r>
      <w:r w:rsidR="002D5FAE" w:rsidRPr="00026EC1">
        <w:t>19</w:t>
      </w:r>
    </w:p>
    <w:p w14:paraId="3CDD99C9" w14:textId="4AF10F56" w:rsidR="00404F34" w:rsidRDefault="00404F34" w:rsidP="00A64613">
      <w:pPr>
        <w:keepNext w:val="0"/>
        <w:tabs>
          <w:tab w:val="left" w:pos="4500"/>
        </w:tabs>
      </w:pPr>
      <w:r w:rsidRPr="00026EC1">
        <w:t>La demande d</w:t>
      </w:r>
      <w:r w:rsidR="004A41E4" w:rsidRPr="00026EC1">
        <w:t>’</w:t>
      </w:r>
      <w:r w:rsidRPr="00026EC1">
        <w:t>évaluation de scolarité additionnelle ne peut avoir pour résultat de réduire le nombre d</w:t>
      </w:r>
      <w:r w:rsidR="004A41E4" w:rsidRPr="00026EC1">
        <w:t>’</w:t>
      </w:r>
      <w:r w:rsidRPr="00026EC1">
        <w:t>années de scolarité attesté avant cette demande.</w:t>
      </w:r>
    </w:p>
    <w:p w14:paraId="1CE62572" w14:textId="77777777" w:rsidR="004C296A" w:rsidRPr="00026EC1" w:rsidRDefault="004C296A" w:rsidP="00A64613">
      <w:pPr>
        <w:keepNext w:val="0"/>
        <w:tabs>
          <w:tab w:val="left" w:pos="4500"/>
        </w:tabs>
      </w:pPr>
    </w:p>
    <w:p w14:paraId="655B24CA" w14:textId="797F48AB" w:rsidR="00404F34" w:rsidRPr="00026EC1" w:rsidRDefault="00404F34" w:rsidP="00A64613">
      <w:pPr>
        <w:pStyle w:val="NUMRODECLAUSE"/>
        <w:keepNext w:val="0"/>
        <w:rPr>
          <w:strike/>
        </w:rPr>
      </w:pPr>
      <w:r w:rsidRPr="00026EC1">
        <w:t>6</w:t>
      </w:r>
      <w:r w:rsidR="00984A6F">
        <w:noBreakHyphen/>
      </w:r>
      <w:r w:rsidRPr="00026EC1">
        <w:t>3.</w:t>
      </w:r>
      <w:r w:rsidR="002D5FAE" w:rsidRPr="00026EC1">
        <w:t>20</w:t>
      </w:r>
    </w:p>
    <w:p w14:paraId="749F5277" w14:textId="49E77F3D" w:rsidR="00404F34" w:rsidRPr="00026EC1" w:rsidRDefault="00404F34" w:rsidP="00A64613">
      <w:pPr>
        <w:keepNext w:val="0"/>
        <w:tabs>
          <w:tab w:val="left" w:pos="4500"/>
        </w:tabs>
      </w:pPr>
      <w:r w:rsidRPr="00026EC1">
        <w:t>Lorsque, aux fins de la sécurité d</w:t>
      </w:r>
      <w:r w:rsidR="004A41E4" w:rsidRPr="00026EC1">
        <w:t>’</w:t>
      </w:r>
      <w:r w:rsidRPr="00026EC1">
        <w:t>emploi, la scolarité constitue le critère déterminant, l</w:t>
      </w:r>
      <w:r w:rsidR="004A41E4" w:rsidRPr="00026EC1">
        <w:t>’</w:t>
      </w:r>
      <w:r w:rsidRPr="00026EC1">
        <w:t>attestation de classement d</w:t>
      </w:r>
      <w:r w:rsidR="004A41E4" w:rsidRPr="00026EC1">
        <w:t>’</w:t>
      </w:r>
      <w:r w:rsidRPr="00026EC1">
        <w:t>un ex</w:t>
      </w:r>
      <w:r w:rsidR="00984A6F">
        <w:noBreakHyphen/>
      </w:r>
      <w:r w:rsidRPr="00026EC1">
        <w:t>comité provincial de classification, du Bureau de reconnaissance des institutions et des études (BRIE), du Service des relations du travail (SRT) ou du Comité temporaire de classement prévaut sur l</w:t>
      </w:r>
      <w:r w:rsidR="004A41E4" w:rsidRPr="00026EC1">
        <w:t>’</w:t>
      </w:r>
      <w:r w:rsidRPr="00026EC1">
        <w:t>attestation officielle de scolarité.</w:t>
      </w:r>
    </w:p>
    <w:p w14:paraId="1F2B8D74" w14:textId="77777777" w:rsidR="00404F34" w:rsidRPr="00026EC1" w:rsidRDefault="00404F34" w:rsidP="00A64613">
      <w:pPr>
        <w:keepNext w:val="0"/>
        <w:tabs>
          <w:tab w:val="left" w:pos="4500"/>
        </w:tabs>
      </w:pPr>
    </w:p>
    <w:p w14:paraId="64DE561B" w14:textId="68C4D1D4" w:rsidR="00404F34" w:rsidRPr="00026EC1" w:rsidRDefault="00404F34" w:rsidP="00A64613">
      <w:pPr>
        <w:pStyle w:val="NUMRODECLAUSE"/>
        <w:keepNext w:val="0"/>
      </w:pPr>
      <w:r w:rsidRPr="00026EC1">
        <w:t>6</w:t>
      </w:r>
      <w:r w:rsidR="00984A6F">
        <w:noBreakHyphen/>
      </w:r>
      <w:r w:rsidRPr="00026EC1">
        <w:t>3.</w:t>
      </w:r>
      <w:r w:rsidR="002D5FAE" w:rsidRPr="00026EC1">
        <w:t>21</w:t>
      </w:r>
    </w:p>
    <w:p w14:paraId="409A4823" w14:textId="1F9CBDD2" w:rsidR="00404F34" w:rsidRPr="00026EC1" w:rsidRDefault="00404F34" w:rsidP="00A64613">
      <w:pPr>
        <w:keepNext w:val="0"/>
        <w:tabs>
          <w:tab w:val="left" w:pos="4500"/>
        </w:tabs>
      </w:pPr>
      <w:r w:rsidRPr="00026EC1">
        <w:t>L</w:t>
      </w:r>
      <w:r w:rsidR="004A41E4" w:rsidRPr="00026EC1">
        <w:t>’</w:t>
      </w:r>
      <w:r w:rsidRPr="00026EC1">
        <w:t>enseignante ou l</w:t>
      </w:r>
      <w:r w:rsidR="004A41E4" w:rsidRPr="00026EC1">
        <w:t>’</w:t>
      </w:r>
      <w:r w:rsidRPr="00026EC1">
        <w:t>enseignant détenteur d</w:t>
      </w:r>
      <w:r w:rsidR="004A41E4" w:rsidRPr="00026EC1">
        <w:t>’</w:t>
      </w:r>
      <w:r w:rsidRPr="00026EC1">
        <w:t>une attestation, avec ou sans réserve, délivrée par le Bureau de la reconnaissance des institutions et des études (BRIE) ou du Service des relations du travail du Ministère (SRT) est considéré comme ayant reçu une attestation d</w:t>
      </w:r>
      <w:r w:rsidR="004A41E4" w:rsidRPr="00026EC1">
        <w:t>’</w:t>
      </w:r>
      <w:r w:rsidRPr="00026EC1">
        <w:t>un ex</w:t>
      </w:r>
      <w:r w:rsidR="00984A6F">
        <w:noBreakHyphen/>
      </w:r>
      <w:r w:rsidRPr="00026EC1">
        <w:t>comité provincial de classification et bénéficie des mêmes droits.</w:t>
      </w:r>
    </w:p>
    <w:p w14:paraId="79CE49FE" w14:textId="77777777" w:rsidR="00404F34" w:rsidRPr="00026EC1" w:rsidRDefault="00404F34" w:rsidP="00A64613">
      <w:pPr>
        <w:keepNext w:val="0"/>
      </w:pPr>
    </w:p>
    <w:p w14:paraId="79F988F6" w14:textId="161FCA25" w:rsidR="00404F34" w:rsidRPr="00026EC1" w:rsidRDefault="00404F34" w:rsidP="00A64613">
      <w:pPr>
        <w:pStyle w:val="NUMRODECLAUSE"/>
        <w:keepNext w:val="0"/>
        <w:rPr>
          <w:strike/>
        </w:rPr>
      </w:pPr>
      <w:r w:rsidRPr="00026EC1">
        <w:t>6</w:t>
      </w:r>
      <w:r w:rsidR="00984A6F">
        <w:noBreakHyphen/>
      </w:r>
      <w:r w:rsidRPr="00026EC1">
        <w:t>3.</w:t>
      </w:r>
      <w:r w:rsidR="002D5FAE" w:rsidRPr="00026EC1">
        <w:t>22</w:t>
      </w:r>
    </w:p>
    <w:p w14:paraId="75083096" w14:textId="33868442" w:rsidR="00404F34" w:rsidRPr="00026EC1" w:rsidRDefault="00404F34" w:rsidP="00A64613">
      <w:pPr>
        <w:keepNext w:val="0"/>
        <w:tabs>
          <w:tab w:val="left" w:pos="4500"/>
        </w:tabs>
      </w:pPr>
      <w:r w:rsidRPr="00026EC1">
        <w:t>Lorsque les règles d</w:t>
      </w:r>
      <w:r w:rsidR="004A41E4" w:rsidRPr="00026EC1">
        <w:t>’</w:t>
      </w:r>
      <w:r w:rsidRPr="00026EC1">
        <w:t>évaluation de la scolarité sont modifiées (elles ne peuvent l</w:t>
      </w:r>
      <w:r w:rsidR="004A41E4" w:rsidRPr="00026EC1">
        <w:t>’</w:t>
      </w:r>
      <w:r w:rsidRPr="00026EC1">
        <w:t>être qu</w:t>
      </w:r>
      <w:r w:rsidR="004A41E4" w:rsidRPr="00026EC1">
        <w:t>’</w:t>
      </w:r>
      <w:r w:rsidRPr="00026EC1">
        <w:t>à la hausse), l</w:t>
      </w:r>
      <w:r w:rsidR="004A41E4" w:rsidRPr="00026EC1">
        <w:t>’</w:t>
      </w:r>
      <w:r w:rsidRPr="00026EC1">
        <w:t>enseignante ou l</w:t>
      </w:r>
      <w:r w:rsidR="004A41E4" w:rsidRPr="00026EC1">
        <w:t>’</w:t>
      </w:r>
      <w:r w:rsidRPr="00026EC1">
        <w:t xml:space="preserve">enseignant dont le cas est visé par cette modification voit son attestation officielle de scolarité corrigée et son </w:t>
      </w:r>
      <w:r w:rsidRPr="00026EC1">
        <w:rPr>
          <w:bCs/>
        </w:rPr>
        <w:t xml:space="preserve">traitement </w:t>
      </w:r>
      <w:r w:rsidRPr="00026EC1">
        <w:t>rajusté rétroactivement selon les conditions déterminées à la clause 10</w:t>
      </w:r>
      <w:r w:rsidR="00984A6F">
        <w:noBreakHyphen/>
      </w:r>
      <w:r w:rsidRPr="00026EC1">
        <w:t>1.18 du décret tenant lieu de convention collective (1972).</w:t>
      </w:r>
    </w:p>
    <w:p w14:paraId="563CE7FF" w14:textId="77777777" w:rsidR="00404F34" w:rsidRPr="00026EC1" w:rsidRDefault="00404F34" w:rsidP="00A64613">
      <w:pPr>
        <w:keepNext w:val="0"/>
        <w:tabs>
          <w:tab w:val="left" w:pos="4500"/>
        </w:tabs>
      </w:pPr>
    </w:p>
    <w:p w14:paraId="799D0510" w14:textId="77777777" w:rsidR="00404F34" w:rsidRPr="00026EC1" w:rsidRDefault="00404F34" w:rsidP="00A64613">
      <w:pPr>
        <w:keepNext w:val="0"/>
        <w:tabs>
          <w:tab w:val="left" w:pos="4500"/>
        </w:tabs>
      </w:pPr>
      <w:r w:rsidRPr="00026EC1">
        <w:t>Dans le calcul de cette rétroactivité, le Collège tient compte de toute somme déjà versée soit à titre d</w:t>
      </w:r>
      <w:r w:rsidR="004A41E4" w:rsidRPr="00026EC1">
        <w:t>’</w:t>
      </w:r>
      <w:r w:rsidRPr="00026EC1">
        <w:t>avance, soit à titre de versement forfaitaire en vertu de l</w:t>
      </w:r>
      <w:r w:rsidR="004A41E4" w:rsidRPr="00026EC1">
        <w:t>’</w:t>
      </w:r>
      <w:r w:rsidRPr="00026EC1">
        <w:t>article 3 de l</w:t>
      </w:r>
      <w:r w:rsidR="004A41E4" w:rsidRPr="00026EC1">
        <w:t>’</w:t>
      </w:r>
      <w:r w:rsidRPr="00026EC1">
        <w:t>entente sur la classification (décembre 1973) pour les périodes correspondantes.</w:t>
      </w:r>
      <w:r w:rsidR="002D5FAE" w:rsidRPr="00026EC1">
        <w:br w:type="page"/>
      </w:r>
    </w:p>
    <w:p w14:paraId="17D83871" w14:textId="030BDD54" w:rsidR="002E6480" w:rsidRPr="00026EC1" w:rsidRDefault="00404F34" w:rsidP="00A64613">
      <w:pPr>
        <w:pStyle w:val="Heading2"/>
        <w:keepNext w:val="0"/>
        <w:tabs>
          <w:tab w:val="clear" w:pos="1843"/>
          <w:tab w:val="clear" w:pos="2127"/>
          <w:tab w:val="left" w:pos="1701"/>
          <w:tab w:val="left" w:pos="1985"/>
        </w:tabs>
        <w:ind w:left="1985" w:hanging="1985"/>
      </w:pPr>
      <w:bookmarkStart w:id="652" w:name="_Toc531486667"/>
      <w:bookmarkStart w:id="653" w:name="_Toc133760791"/>
      <w:bookmarkStart w:id="654" w:name="_Toc393444625"/>
      <w:bookmarkStart w:id="655" w:name="_Toc393449576"/>
      <w:bookmarkStart w:id="656" w:name="_Toc393460945"/>
      <w:bookmarkStart w:id="657" w:name="_Toc393461223"/>
      <w:bookmarkStart w:id="658" w:name="_Toc393720784"/>
      <w:bookmarkStart w:id="659" w:name="_Toc393783945"/>
      <w:bookmarkStart w:id="660" w:name="_Toc393784084"/>
      <w:bookmarkStart w:id="661" w:name="_Toc168479538"/>
      <w:r w:rsidRPr="00026EC1">
        <w:t>Article</w:t>
      </w:r>
      <w:r w:rsidR="00831CEF" w:rsidRPr="00026EC1">
        <w:t> </w:t>
      </w:r>
      <w:r w:rsidRPr="00026EC1">
        <w:t>6</w:t>
      </w:r>
      <w:r w:rsidR="00984A6F">
        <w:t>-</w:t>
      </w:r>
      <w:r w:rsidRPr="00026EC1">
        <w:t>4.00</w:t>
      </w:r>
      <w:r w:rsidR="00C9604C" w:rsidRPr="00026EC1">
        <w:tab/>
      </w:r>
      <w:r w:rsidR="00984A6F">
        <w:t>-</w:t>
      </w:r>
      <w:r w:rsidR="00C9604C" w:rsidRPr="00026EC1">
        <w:tab/>
      </w:r>
      <w:r w:rsidRPr="00026EC1">
        <w:t>Échelles de traitement de l</w:t>
      </w:r>
      <w:r w:rsidR="004A41E4" w:rsidRPr="00026EC1">
        <w:t>’</w:t>
      </w:r>
      <w:r w:rsidRPr="00026EC1">
        <w:t>enseignante ou de l</w:t>
      </w:r>
      <w:r w:rsidR="004A41E4" w:rsidRPr="00026EC1">
        <w:t>’</w:t>
      </w:r>
      <w:r w:rsidRPr="00026EC1">
        <w:t>enseignant à temps complet ou à temps partiel</w:t>
      </w:r>
      <w:bookmarkEnd w:id="652"/>
      <w:bookmarkEnd w:id="653"/>
      <w:bookmarkEnd w:id="654"/>
      <w:bookmarkEnd w:id="655"/>
      <w:bookmarkEnd w:id="656"/>
      <w:bookmarkEnd w:id="657"/>
      <w:bookmarkEnd w:id="658"/>
      <w:bookmarkEnd w:id="659"/>
      <w:bookmarkEnd w:id="660"/>
      <w:bookmarkEnd w:id="661"/>
      <w:r w:rsidR="002E6480" w:rsidRPr="00026EC1">
        <w:t xml:space="preserve"> </w:t>
      </w:r>
    </w:p>
    <w:p w14:paraId="5BE43650" w14:textId="51660CA1" w:rsidR="00E17E05" w:rsidRPr="00026EC1" w:rsidRDefault="00E17E05" w:rsidP="00A64613">
      <w:pPr>
        <w:pStyle w:val="NUMRODECLAUSE"/>
        <w:keepNext w:val="0"/>
      </w:pPr>
      <w:r w:rsidRPr="00026EC1">
        <w:t>6</w:t>
      </w:r>
      <w:r w:rsidR="00984A6F">
        <w:noBreakHyphen/>
      </w:r>
      <w:r w:rsidRPr="00026EC1">
        <w:t>4.01</w:t>
      </w:r>
      <w:r w:rsidRPr="00026EC1">
        <w:tab/>
      </w:r>
      <w:r w:rsidRPr="004C48E0">
        <w:rPr>
          <w:u w:val="single"/>
        </w:rPr>
        <w:t>Échelles de traitement</w:t>
      </w:r>
    </w:p>
    <w:p w14:paraId="5D047174" w14:textId="363EA856" w:rsidR="00E17E05" w:rsidRPr="00026EC1" w:rsidRDefault="00E17E05" w:rsidP="00A64613">
      <w:pPr>
        <w:keepNext w:val="0"/>
        <w:tabs>
          <w:tab w:val="left" w:pos="4500"/>
        </w:tabs>
        <w:rPr>
          <w:rFonts w:cs="Arial"/>
        </w:rPr>
      </w:pPr>
      <w:r w:rsidRPr="00026EC1">
        <w:rPr>
          <w:rFonts w:cs="Arial"/>
        </w:rPr>
        <w:t xml:space="preserve">Aux fins des échelles de </w:t>
      </w:r>
      <w:r w:rsidRPr="00026EC1">
        <w:rPr>
          <w:rFonts w:cs="Arial"/>
          <w:bCs/>
        </w:rPr>
        <w:t>traitement</w:t>
      </w:r>
      <w:r w:rsidR="00121B25" w:rsidRPr="00026EC1">
        <w:rPr>
          <w:rFonts w:cs="Arial"/>
          <w:bCs/>
        </w:rPr>
        <w:t>,</w:t>
      </w:r>
      <w:r w:rsidRPr="00026EC1">
        <w:rPr>
          <w:rFonts w:cs="Arial"/>
          <w:bCs/>
        </w:rPr>
        <w:t xml:space="preserve"> </w:t>
      </w:r>
      <w:r w:rsidRPr="00026EC1">
        <w:rPr>
          <w:rFonts w:cs="Arial"/>
        </w:rPr>
        <w:t>le premier (1</w:t>
      </w:r>
      <w:r w:rsidRPr="00026EC1">
        <w:rPr>
          <w:rFonts w:cs="Arial"/>
          <w:vertAlign w:val="superscript"/>
        </w:rPr>
        <w:t>er</w:t>
      </w:r>
      <w:r w:rsidRPr="00026EC1">
        <w:rPr>
          <w:rFonts w:cs="Arial"/>
        </w:rPr>
        <w:t>) jour d</w:t>
      </w:r>
      <w:r w:rsidR="004A41E4" w:rsidRPr="00026EC1">
        <w:rPr>
          <w:rFonts w:cs="Arial"/>
        </w:rPr>
        <w:t>’</w:t>
      </w:r>
      <w:r w:rsidRPr="00026EC1">
        <w:rPr>
          <w:rFonts w:cs="Arial"/>
        </w:rPr>
        <w:t>une année d</w:t>
      </w:r>
      <w:r w:rsidR="004A41E4" w:rsidRPr="00026EC1">
        <w:rPr>
          <w:rFonts w:cs="Arial"/>
        </w:rPr>
        <w:t>’</w:t>
      </w:r>
      <w:r w:rsidRPr="00026EC1">
        <w:rPr>
          <w:rFonts w:cs="Arial"/>
        </w:rPr>
        <w:t>engagement se situe entre le 10 août et le 1</w:t>
      </w:r>
      <w:r w:rsidRPr="00026EC1">
        <w:rPr>
          <w:rFonts w:cs="Arial"/>
          <w:vertAlign w:val="superscript"/>
        </w:rPr>
        <w:t>er</w:t>
      </w:r>
      <w:r w:rsidRPr="00026EC1">
        <w:rPr>
          <w:rFonts w:cs="Arial"/>
        </w:rPr>
        <w:t> septembre.</w:t>
      </w:r>
    </w:p>
    <w:p w14:paraId="0E81598B" w14:textId="77777777" w:rsidR="00E17E05" w:rsidRPr="00026EC1" w:rsidRDefault="00E17E05" w:rsidP="00A64613">
      <w:pPr>
        <w:pStyle w:val="NUMRODECLAUSE"/>
        <w:keepNext w:val="0"/>
      </w:pPr>
    </w:p>
    <w:p w14:paraId="1354DA47" w14:textId="28074D0B" w:rsidR="00E17E05" w:rsidRPr="00026EC1" w:rsidRDefault="00E17E05" w:rsidP="00A64613">
      <w:pPr>
        <w:keepNext w:val="0"/>
        <w:tabs>
          <w:tab w:val="left" w:pos="4500"/>
        </w:tabs>
        <w:rPr>
          <w:rFonts w:cs="Arial"/>
        </w:rPr>
      </w:pPr>
      <w:r w:rsidRPr="00026EC1">
        <w:rPr>
          <w:rFonts w:cs="Arial"/>
          <w:bCs/>
        </w:rPr>
        <w:t>Les échelles de traitement applicables à l</w:t>
      </w:r>
      <w:r w:rsidR="004A41E4" w:rsidRPr="00026EC1">
        <w:rPr>
          <w:rFonts w:cs="Arial"/>
          <w:bCs/>
        </w:rPr>
        <w:t>’</w:t>
      </w:r>
      <w:r w:rsidRPr="00026EC1">
        <w:rPr>
          <w:rFonts w:cs="Arial"/>
          <w:bCs/>
        </w:rPr>
        <w:t>enseignante ou à l</w:t>
      </w:r>
      <w:r w:rsidR="004A41E4" w:rsidRPr="00026EC1">
        <w:rPr>
          <w:rFonts w:cs="Arial"/>
          <w:bCs/>
        </w:rPr>
        <w:t>’</w:t>
      </w:r>
      <w:r w:rsidRPr="00026EC1">
        <w:rPr>
          <w:rFonts w:cs="Arial"/>
          <w:bCs/>
        </w:rPr>
        <w:t>enseignant à temps complet ou à temps partiel ainsi que leurs modalités d</w:t>
      </w:r>
      <w:r w:rsidR="004A41E4" w:rsidRPr="00026EC1">
        <w:rPr>
          <w:rFonts w:cs="Arial"/>
          <w:bCs/>
        </w:rPr>
        <w:t>’</w:t>
      </w:r>
      <w:r w:rsidRPr="00026EC1">
        <w:rPr>
          <w:rFonts w:cs="Arial"/>
          <w:bCs/>
        </w:rPr>
        <w:t>application figurent au tableau A de l</w:t>
      </w:r>
      <w:r w:rsidR="004A41E4" w:rsidRPr="00026EC1">
        <w:rPr>
          <w:rFonts w:cs="Arial"/>
          <w:bCs/>
        </w:rPr>
        <w:t>’</w:t>
      </w:r>
      <w:r w:rsidR="00242EC4" w:rsidRPr="00026EC1">
        <w:rPr>
          <w:rFonts w:cs="Arial"/>
          <w:bCs/>
        </w:rPr>
        <w:t>A</w:t>
      </w:r>
      <w:r w:rsidRPr="00026EC1">
        <w:rPr>
          <w:rFonts w:cs="Arial"/>
          <w:bCs/>
        </w:rPr>
        <w:t>nnexe VI</w:t>
      </w:r>
      <w:r w:rsidR="00984A6F">
        <w:rPr>
          <w:rFonts w:cs="Arial"/>
          <w:bCs/>
        </w:rPr>
        <w:noBreakHyphen/>
      </w:r>
      <w:r w:rsidRPr="00026EC1">
        <w:rPr>
          <w:rFonts w:cs="Arial"/>
          <w:bCs/>
        </w:rPr>
        <w:t>1.</w:t>
      </w:r>
    </w:p>
    <w:p w14:paraId="394692C9" w14:textId="77777777" w:rsidR="00E17E05" w:rsidRPr="00026EC1" w:rsidRDefault="00E17E05" w:rsidP="00A64613">
      <w:pPr>
        <w:pStyle w:val="NUMRODECLAUSE"/>
        <w:keepNext w:val="0"/>
        <w:rPr>
          <w:rFonts w:eastAsia="Calibri"/>
          <w:snapToGrid/>
          <w:lang w:eastAsia="en-US"/>
        </w:rPr>
      </w:pPr>
    </w:p>
    <w:p w14:paraId="33ADFAC3" w14:textId="07865E41" w:rsidR="007A7406" w:rsidRPr="001D7A39" w:rsidRDefault="007A7406" w:rsidP="00A64613">
      <w:pPr>
        <w:pStyle w:val="NUMRODECLAUSE"/>
        <w:keepNext w:val="0"/>
      </w:pPr>
      <w:r w:rsidRPr="00713CB1">
        <w:t>6</w:t>
      </w:r>
      <w:r w:rsidR="00984A6F">
        <w:noBreakHyphen/>
      </w:r>
      <w:r w:rsidRPr="00713CB1">
        <w:t>4.02</w:t>
      </w:r>
      <w:r w:rsidRPr="00713CB1">
        <w:tab/>
      </w:r>
      <w:r w:rsidRPr="004C48E0">
        <w:rPr>
          <w:u w:val="single"/>
        </w:rPr>
        <w:t>Période du 1</w:t>
      </w:r>
      <w:r w:rsidRPr="004C48E0">
        <w:rPr>
          <w:u w:val="single"/>
          <w:vertAlign w:val="superscript"/>
        </w:rPr>
        <w:t>er</w:t>
      </w:r>
      <w:r w:rsidR="003D3A32">
        <w:rPr>
          <w:u w:val="single"/>
        </w:rPr>
        <w:t> </w:t>
      </w:r>
      <w:r w:rsidRPr="004C48E0">
        <w:rPr>
          <w:u w:val="single"/>
        </w:rPr>
        <w:t>avril</w:t>
      </w:r>
      <w:r w:rsidR="003D3A32">
        <w:rPr>
          <w:u w:val="single"/>
        </w:rPr>
        <w:t> </w:t>
      </w:r>
      <w:r w:rsidR="00174454" w:rsidRPr="00316277">
        <w:rPr>
          <w:u w:val="single"/>
        </w:rPr>
        <w:t>2023</w:t>
      </w:r>
      <w:r w:rsidRPr="004C48E0">
        <w:rPr>
          <w:u w:val="single"/>
        </w:rPr>
        <w:t xml:space="preserve"> au 31</w:t>
      </w:r>
      <w:r w:rsidR="003D3A32">
        <w:rPr>
          <w:u w:val="single"/>
        </w:rPr>
        <w:t> </w:t>
      </w:r>
      <w:r w:rsidRPr="004C48E0">
        <w:rPr>
          <w:u w:val="single"/>
        </w:rPr>
        <w:t>mars</w:t>
      </w:r>
      <w:r w:rsidR="00EE596B">
        <w:rPr>
          <w:u w:val="single"/>
        </w:rPr>
        <w:t> </w:t>
      </w:r>
      <w:r w:rsidR="00174454" w:rsidRPr="00316277">
        <w:rPr>
          <w:u w:val="single"/>
        </w:rPr>
        <w:t>202</w:t>
      </w:r>
      <w:r w:rsidR="00AB2545" w:rsidRPr="00316277">
        <w:rPr>
          <w:u w:val="single"/>
        </w:rPr>
        <w:t>4</w:t>
      </w:r>
    </w:p>
    <w:p w14:paraId="3479CFDA" w14:textId="1B96CD86" w:rsidR="007A7406" w:rsidRPr="001D7A39" w:rsidRDefault="007A7406" w:rsidP="00A64613">
      <w:pPr>
        <w:keepNext w:val="0"/>
        <w:tabs>
          <w:tab w:val="left" w:pos="4500"/>
        </w:tabs>
        <w:rPr>
          <w:rFonts w:cs="Arial"/>
          <w:bCs/>
        </w:rPr>
      </w:pPr>
      <w:r w:rsidRPr="001D7A39">
        <w:rPr>
          <w:rFonts w:cs="Arial"/>
          <w:bCs/>
        </w:rPr>
        <w:t>Chaque taux et chaque échelle de traitement en vigueur le 31</w:t>
      </w:r>
      <w:r w:rsidR="00C53409">
        <w:rPr>
          <w:rFonts w:cs="Arial"/>
          <w:bCs/>
        </w:rPr>
        <w:t> </w:t>
      </w:r>
      <w:r w:rsidRPr="001D7A39">
        <w:rPr>
          <w:rFonts w:cs="Arial"/>
          <w:bCs/>
        </w:rPr>
        <w:t>mars</w:t>
      </w:r>
      <w:r w:rsidR="00C53409">
        <w:rPr>
          <w:rFonts w:cs="Arial"/>
          <w:bCs/>
        </w:rPr>
        <w:t> </w:t>
      </w:r>
      <w:r w:rsidR="00AB2545" w:rsidRPr="00316277">
        <w:t>2023</w:t>
      </w:r>
      <w:r w:rsidRPr="001D7A39">
        <w:rPr>
          <w:rFonts w:cs="Arial"/>
          <w:bCs/>
        </w:rPr>
        <w:t xml:space="preserve"> est majoré de</w:t>
      </w:r>
      <w:r w:rsidR="00AB2545">
        <w:rPr>
          <w:rFonts w:cs="Arial"/>
          <w:bCs/>
        </w:rPr>
        <w:t xml:space="preserve"> </w:t>
      </w:r>
      <w:r w:rsidR="00AB2545" w:rsidRPr="00316277">
        <w:rPr>
          <w:rFonts w:cs="Arial"/>
          <w:bCs/>
        </w:rPr>
        <w:t>six</w:t>
      </w:r>
      <w:r w:rsidRPr="001D7A39">
        <w:rPr>
          <w:rFonts w:cs="Arial"/>
          <w:bCs/>
        </w:rPr>
        <w:t xml:space="preserve"> pour cent</w:t>
      </w:r>
      <w:r w:rsidRPr="001D7A39">
        <w:rPr>
          <w:rStyle w:val="FootnoteReference"/>
          <w:rFonts w:cs="Arial"/>
          <w:bCs/>
        </w:rPr>
        <w:footnoteReference w:id="35"/>
      </w:r>
      <w:r w:rsidRPr="001D7A39">
        <w:rPr>
          <w:rFonts w:cs="Arial"/>
          <w:bCs/>
        </w:rPr>
        <w:t xml:space="preserve"> (</w:t>
      </w:r>
      <w:r w:rsidR="00AB2545" w:rsidRPr="00316277">
        <w:rPr>
          <w:rFonts w:cs="Arial"/>
          <w:bCs/>
        </w:rPr>
        <w:t>6,00</w:t>
      </w:r>
      <w:r w:rsidR="00714A15" w:rsidRPr="001D7A39">
        <w:rPr>
          <w:rFonts w:cs="Arial"/>
          <w:bCs/>
        </w:rPr>
        <w:t> %</w:t>
      </w:r>
      <w:r w:rsidRPr="001D7A39">
        <w:rPr>
          <w:rFonts w:cs="Arial"/>
          <w:bCs/>
        </w:rPr>
        <w:t>) avec effet le 1</w:t>
      </w:r>
      <w:r w:rsidRPr="001D7A39">
        <w:rPr>
          <w:rFonts w:cs="Arial"/>
          <w:bCs/>
          <w:vertAlign w:val="superscript"/>
        </w:rPr>
        <w:t>er</w:t>
      </w:r>
      <w:r w:rsidR="003D3A32">
        <w:rPr>
          <w:rFonts w:cs="Arial"/>
          <w:bCs/>
          <w:vertAlign w:val="superscript"/>
        </w:rPr>
        <w:t> </w:t>
      </w:r>
      <w:r w:rsidRPr="001D7A39">
        <w:rPr>
          <w:rFonts w:cs="Arial"/>
          <w:bCs/>
        </w:rPr>
        <w:t>avril</w:t>
      </w:r>
      <w:r w:rsidR="00EE596B">
        <w:rPr>
          <w:rFonts w:cs="Arial"/>
          <w:bCs/>
        </w:rPr>
        <w:t> </w:t>
      </w:r>
      <w:r w:rsidR="00AB2545" w:rsidRPr="00316277">
        <w:t>2023</w:t>
      </w:r>
      <w:r w:rsidRPr="001D7A39">
        <w:rPr>
          <w:rFonts w:cs="Arial"/>
          <w:bCs/>
        </w:rPr>
        <w:t>.</w:t>
      </w:r>
    </w:p>
    <w:p w14:paraId="40279CD6" w14:textId="77777777" w:rsidR="007A7406" w:rsidRPr="001D7A39" w:rsidRDefault="007A7406" w:rsidP="00A64613">
      <w:pPr>
        <w:keepNext w:val="0"/>
        <w:rPr>
          <w:rFonts w:cs="Arial"/>
        </w:rPr>
      </w:pPr>
    </w:p>
    <w:p w14:paraId="4AB891E3" w14:textId="25494FE5" w:rsidR="007A7406" w:rsidRPr="001D7A39" w:rsidRDefault="007A7406" w:rsidP="00A64613">
      <w:pPr>
        <w:pStyle w:val="NUMRODECLAUSE"/>
        <w:keepNext w:val="0"/>
      </w:pPr>
      <w:r w:rsidRPr="001D7A39">
        <w:t>6</w:t>
      </w:r>
      <w:r w:rsidR="00984A6F">
        <w:noBreakHyphen/>
      </w:r>
      <w:r w:rsidRPr="001D7A39">
        <w:t>4.03</w:t>
      </w:r>
      <w:r w:rsidRPr="001D7A39">
        <w:tab/>
      </w:r>
      <w:r w:rsidRPr="004C48E0">
        <w:rPr>
          <w:u w:val="single"/>
        </w:rPr>
        <w:t>Période du 1</w:t>
      </w:r>
      <w:r w:rsidRPr="004C48E0">
        <w:rPr>
          <w:u w:val="single"/>
          <w:vertAlign w:val="superscript"/>
        </w:rPr>
        <w:t>er</w:t>
      </w:r>
      <w:r w:rsidR="00EE596B">
        <w:rPr>
          <w:u w:val="single"/>
          <w:vertAlign w:val="superscript"/>
        </w:rPr>
        <w:t> </w:t>
      </w:r>
      <w:r w:rsidRPr="004C48E0">
        <w:rPr>
          <w:u w:val="single"/>
        </w:rPr>
        <w:t>avril</w:t>
      </w:r>
      <w:r w:rsidR="00EE596B">
        <w:rPr>
          <w:u w:val="single"/>
        </w:rPr>
        <w:t> </w:t>
      </w:r>
      <w:r w:rsidR="00AB2545" w:rsidRPr="00316277">
        <w:rPr>
          <w:u w:val="single"/>
        </w:rPr>
        <w:t>2024</w:t>
      </w:r>
      <w:r w:rsidRPr="004C48E0">
        <w:rPr>
          <w:u w:val="single"/>
        </w:rPr>
        <w:t xml:space="preserve"> au 31</w:t>
      </w:r>
      <w:r w:rsidR="00EE596B">
        <w:rPr>
          <w:u w:val="single"/>
        </w:rPr>
        <w:t> </w:t>
      </w:r>
      <w:r w:rsidRPr="004C48E0">
        <w:rPr>
          <w:u w:val="single"/>
        </w:rPr>
        <w:t>mars</w:t>
      </w:r>
      <w:r w:rsidR="00EE596B">
        <w:rPr>
          <w:u w:val="single"/>
        </w:rPr>
        <w:t> </w:t>
      </w:r>
      <w:r w:rsidR="00AB2545" w:rsidRPr="00316277">
        <w:rPr>
          <w:u w:val="single"/>
        </w:rPr>
        <w:t>2025</w:t>
      </w:r>
    </w:p>
    <w:p w14:paraId="25C18AA2" w14:textId="255BD5C6" w:rsidR="007A7406" w:rsidRPr="001D7A39" w:rsidRDefault="007A7406" w:rsidP="00A64613">
      <w:pPr>
        <w:keepNext w:val="0"/>
        <w:rPr>
          <w:rFonts w:cs="Arial"/>
          <w:bCs/>
        </w:rPr>
      </w:pPr>
      <w:r w:rsidRPr="001D7A39">
        <w:rPr>
          <w:rFonts w:cs="Arial"/>
          <w:bCs/>
        </w:rPr>
        <w:t>Chaque taux et chaque échelle</w:t>
      </w:r>
      <w:r w:rsidR="00B44130" w:rsidRPr="001D7A39">
        <w:rPr>
          <w:rFonts w:cs="Arial"/>
          <w:bCs/>
        </w:rPr>
        <w:t xml:space="preserve"> </w:t>
      </w:r>
      <w:r w:rsidRPr="001D7A39">
        <w:rPr>
          <w:rFonts w:cs="Arial"/>
          <w:bCs/>
        </w:rPr>
        <w:t>de traitement en vigueur le 31 mars </w:t>
      </w:r>
      <w:r w:rsidR="00AB2545" w:rsidRPr="00316277">
        <w:rPr>
          <w:rFonts w:cs="Arial"/>
          <w:bCs/>
        </w:rPr>
        <w:t>2024</w:t>
      </w:r>
      <w:r w:rsidRPr="001D7A39">
        <w:rPr>
          <w:rFonts w:cs="Arial"/>
          <w:bCs/>
        </w:rPr>
        <w:t xml:space="preserve"> est majoré de deux</w:t>
      </w:r>
      <w:r w:rsidR="00AB2545">
        <w:rPr>
          <w:rFonts w:cs="Arial"/>
          <w:bCs/>
        </w:rPr>
        <w:t xml:space="preserve"> </w:t>
      </w:r>
      <w:r w:rsidR="00AB2545" w:rsidRPr="00316277">
        <w:rPr>
          <w:rFonts w:cs="Arial"/>
          <w:bCs/>
        </w:rPr>
        <w:t xml:space="preserve">virgule </w:t>
      </w:r>
      <w:r w:rsidR="002E109A" w:rsidRPr="00316277">
        <w:rPr>
          <w:rFonts w:cs="Arial"/>
          <w:bCs/>
        </w:rPr>
        <w:t>quatre-vingts</w:t>
      </w:r>
      <w:r w:rsidRPr="001D7A39">
        <w:rPr>
          <w:rFonts w:cs="Arial"/>
          <w:bCs/>
        </w:rPr>
        <w:t xml:space="preserve"> pour cent</w:t>
      </w:r>
      <w:r w:rsidRPr="001D7A39">
        <w:rPr>
          <w:rFonts w:cs="Arial"/>
          <w:bCs/>
          <w:vertAlign w:val="superscript"/>
        </w:rPr>
        <w:t>1</w:t>
      </w:r>
      <w:r w:rsidRPr="001D7A39">
        <w:rPr>
          <w:rFonts w:cs="Arial"/>
          <w:bCs/>
        </w:rPr>
        <w:t xml:space="preserve"> (</w:t>
      </w:r>
      <w:r w:rsidR="00AB2545" w:rsidRPr="00316277">
        <w:rPr>
          <w:rFonts w:cs="Arial"/>
          <w:bCs/>
        </w:rPr>
        <w:t>2,80</w:t>
      </w:r>
      <w:r w:rsidR="00714A15" w:rsidRPr="001D7A39">
        <w:rPr>
          <w:rFonts w:cs="Arial"/>
          <w:bCs/>
        </w:rPr>
        <w:t> %</w:t>
      </w:r>
      <w:r w:rsidRPr="001D7A39">
        <w:rPr>
          <w:rFonts w:cs="Arial"/>
          <w:bCs/>
        </w:rPr>
        <w:t>) avec effet le 1</w:t>
      </w:r>
      <w:r w:rsidRPr="001D7A39">
        <w:rPr>
          <w:rFonts w:cs="Arial"/>
          <w:bCs/>
          <w:vertAlign w:val="superscript"/>
        </w:rPr>
        <w:t>er</w:t>
      </w:r>
      <w:r w:rsidRPr="001D7A39">
        <w:rPr>
          <w:rFonts w:cs="Arial"/>
          <w:bCs/>
        </w:rPr>
        <w:t xml:space="preserve"> avril </w:t>
      </w:r>
      <w:r w:rsidR="00AB2545" w:rsidRPr="00316277">
        <w:rPr>
          <w:rFonts w:cs="Arial"/>
          <w:bCs/>
        </w:rPr>
        <w:t>2024</w:t>
      </w:r>
      <w:r w:rsidRPr="001D7A39">
        <w:rPr>
          <w:rFonts w:cs="Arial"/>
          <w:bCs/>
        </w:rPr>
        <w:t>.</w:t>
      </w:r>
    </w:p>
    <w:p w14:paraId="0CF0222D" w14:textId="77777777" w:rsidR="007A7406" w:rsidRPr="001D7A39" w:rsidRDefault="007A7406" w:rsidP="00A64613">
      <w:pPr>
        <w:keepNext w:val="0"/>
        <w:rPr>
          <w:rFonts w:cs="Arial"/>
        </w:rPr>
      </w:pPr>
    </w:p>
    <w:p w14:paraId="735BCA19" w14:textId="4F279099" w:rsidR="007A7406" w:rsidRPr="001D7A39" w:rsidRDefault="007A7406" w:rsidP="00A64613">
      <w:pPr>
        <w:pStyle w:val="NUMRODECLAUSE"/>
        <w:keepNext w:val="0"/>
      </w:pPr>
      <w:r w:rsidRPr="001D7A39">
        <w:t>6</w:t>
      </w:r>
      <w:r w:rsidR="00984A6F">
        <w:noBreakHyphen/>
      </w:r>
      <w:r w:rsidRPr="001D7A39">
        <w:t>4.04</w:t>
      </w:r>
      <w:r w:rsidRPr="001D7A39">
        <w:tab/>
      </w:r>
      <w:r w:rsidRPr="004C48E0">
        <w:rPr>
          <w:u w:val="single"/>
        </w:rPr>
        <w:t>Période du 1</w:t>
      </w:r>
      <w:r w:rsidRPr="004C48E0">
        <w:rPr>
          <w:u w:val="single"/>
          <w:vertAlign w:val="superscript"/>
        </w:rPr>
        <w:t>er</w:t>
      </w:r>
      <w:r w:rsidR="00EE596B">
        <w:rPr>
          <w:u w:val="single"/>
          <w:vertAlign w:val="superscript"/>
        </w:rPr>
        <w:t> </w:t>
      </w:r>
      <w:r w:rsidRPr="004C48E0">
        <w:rPr>
          <w:u w:val="single"/>
        </w:rPr>
        <w:t>avril</w:t>
      </w:r>
      <w:r w:rsidR="00EE596B">
        <w:rPr>
          <w:u w:val="single"/>
        </w:rPr>
        <w:t> </w:t>
      </w:r>
      <w:r w:rsidR="00AB2545" w:rsidRPr="00316277">
        <w:rPr>
          <w:u w:val="single"/>
        </w:rPr>
        <w:t>2025</w:t>
      </w:r>
      <w:r w:rsidR="00AB2545">
        <w:rPr>
          <w:u w:val="single"/>
        </w:rPr>
        <w:t xml:space="preserve"> </w:t>
      </w:r>
      <w:r w:rsidRPr="004C48E0">
        <w:rPr>
          <w:u w:val="single"/>
        </w:rPr>
        <w:t>au 31</w:t>
      </w:r>
      <w:r w:rsidR="00EE596B">
        <w:rPr>
          <w:u w:val="single"/>
        </w:rPr>
        <w:t> </w:t>
      </w:r>
      <w:r w:rsidRPr="004C48E0">
        <w:rPr>
          <w:u w:val="single"/>
        </w:rPr>
        <w:t>mars</w:t>
      </w:r>
      <w:r w:rsidR="00EE596B">
        <w:rPr>
          <w:u w:val="single"/>
        </w:rPr>
        <w:t> </w:t>
      </w:r>
      <w:r w:rsidR="00AB2545" w:rsidRPr="00316277">
        <w:rPr>
          <w:u w:val="single"/>
        </w:rPr>
        <w:t>2026</w:t>
      </w:r>
    </w:p>
    <w:p w14:paraId="777BD921" w14:textId="1595AAC4" w:rsidR="007A7406" w:rsidRDefault="007A7406" w:rsidP="002E109A">
      <w:pPr>
        <w:keepNext w:val="0"/>
        <w:rPr>
          <w:rFonts w:cs="Arial"/>
          <w:bCs/>
        </w:rPr>
      </w:pPr>
      <w:r w:rsidRPr="001D7A39">
        <w:rPr>
          <w:rFonts w:cs="Arial"/>
          <w:bCs/>
        </w:rPr>
        <w:t>Chaque taux et chaque échelle</w:t>
      </w:r>
      <w:r w:rsidR="00B44130" w:rsidRPr="001D7A39">
        <w:rPr>
          <w:rFonts w:cs="Arial"/>
          <w:bCs/>
        </w:rPr>
        <w:t xml:space="preserve"> </w:t>
      </w:r>
      <w:r w:rsidRPr="001D7A39">
        <w:rPr>
          <w:rFonts w:cs="Arial"/>
          <w:bCs/>
        </w:rPr>
        <w:t>de traitement en vigueur le 31 mars </w:t>
      </w:r>
      <w:r w:rsidR="00AB2545" w:rsidRPr="00316277">
        <w:rPr>
          <w:rFonts w:cs="Arial"/>
          <w:bCs/>
        </w:rPr>
        <w:t>2025</w:t>
      </w:r>
      <w:r w:rsidRPr="001D7A39">
        <w:rPr>
          <w:rFonts w:cs="Arial"/>
          <w:bCs/>
        </w:rPr>
        <w:t xml:space="preserve"> est majoré de deux</w:t>
      </w:r>
      <w:r w:rsidR="00AB2545">
        <w:rPr>
          <w:rFonts w:cs="Arial"/>
          <w:bCs/>
        </w:rPr>
        <w:t xml:space="preserve"> </w:t>
      </w:r>
      <w:r w:rsidR="00AB2545" w:rsidRPr="00316277">
        <w:rPr>
          <w:rFonts w:cs="Arial"/>
          <w:bCs/>
        </w:rPr>
        <w:t>virgule soixante</w:t>
      </w:r>
      <w:r w:rsidRPr="001D7A39">
        <w:rPr>
          <w:rFonts w:cs="Arial"/>
          <w:bCs/>
        </w:rPr>
        <w:t xml:space="preserve"> pour cent</w:t>
      </w:r>
      <w:r w:rsidRPr="001D7A39">
        <w:rPr>
          <w:rFonts w:cs="Arial"/>
          <w:bCs/>
          <w:vertAlign w:val="superscript"/>
        </w:rPr>
        <w:t>1</w:t>
      </w:r>
      <w:r w:rsidRPr="001D7A39">
        <w:rPr>
          <w:rFonts w:cs="Arial"/>
          <w:bCs/>
        </w:rPr>
        <w:t xml:space="preserve"> (</w:t>
      </w:r>
      <w:r w:rsidR="00AB2545" w:rsidRPr="00316277">
        <w:rPr>
          <w:rFonts w:cs="Arial"/>
          <w:bCs/>
        </w:rPr>
        <w:t>2,60</w:t>
      </w:r>
      <w:r w:rsidR="00714A15" w:rsidRPr="001D7A39">
        <w:rPr>
          <w:rFonts w:cs="Arial"/>
          <w:bCs/>
        </w:rPr>
        <w:t> %</w:t>
      </w:r>
      <w:r w:rsidRPr="001D7A39">
        <w:rPr>
          <w:rFonts w:cs="Arial"/>
          <w:bCs/>
        </w:rPr>
        <w:t>) avec effet le 1</w:t>
      </w:r>
      <w:r w:rsidRPr="001D7A39">
        <w:rPr>
          <w:rFonts w:cs="Arial"/>
          <w:bCs/>
          <w:vertAlign w:val="superscript"/>
        </w:rPr>
        <w:t>er</w:t>
      </w:r>
      <w:r w:rsidRPr="001D7A39">
        <w:rPr>
          <w:rFonts w:cs="Arial"/>
          <w:bCs/>
        </w:rPr>
        <w:t> avril </w:t>
      </w:r>
      <w:r w:rsidR="00AB2545" w:rsidRPr="00316277">
        <w:rPr>
          <w:rFonts w:cs="Arial"/>
          <w:bCs/>
        </w:rPr>
        <w:t>2025</w:t>
      </w:r>
      <w:r w:rsidRPr="001D7A39">
        <w:rPr>
          <w:rFonts w:cs="Arial"/>
          <w:bCs/>
        </w:rPr>
        <w:t>.</w:t>
      </w:r>
    </w:p>
    <w:p w14:paraId="5B0015FA" w14:textId="77777777" w:rsidR="002E109A" w:rsidRPr="002E109A" w:rsidRDefault="002E109A" w:rsidP="002E109A">
      <w:pPr>
        <w:keepNext w:val="0"/>
        <w:rPr>
          <w:rFonts w:cs="Arial"/>
          <w:bCs/>
        </w:rPr>
      </w:pPr>
    </w:p>
    <w:p w14:paraId="391F1953" w14:textId="64417923" w:rsidR="002E109A" w:rsidRPr="00316277" w:rsidRDefault="002E109A" w:rsidP="002E109A">
      <w:pPr>
        <w:pStyle w:val="NUMRODECLAUSE"/>
        <w:keepNext w:val="0"/>
        <w:rPr>
          <w:u w:val="single"/>
        </w:rPr>
      </w:pPr>
      <w:r w:rsidRPr="00316277">
        <w:t>6</w:t>
      </w:r>
      <w:r w:rsidRPr="00316277">
        <w:rPr>
          <w:snapToGrid/>
        </w:rPr>
        <w:t>-4.05</w:t>
      </w:r>
      <w:r w:rsidRPr="00316277">
        <w:rPr>
          <w:snapToGrid/>
        </w:rPr>
        <w:tab/>
      </w:r>
      <w:r w:rsidRPr="00316277">
        <w:rPr>
          <w:snapToGrid/>
          <w:u w:val="single"/>
        </w:rPr>
        <w:t>Période du 1</w:t>
      </w:r>
      <w:r w:rsidRPr="00316277">
        <w:rPr>
          <w:snapToGrid/>
          <w:u w:val="single"/>
          <w:vertAlign w:val="superscript"/>
        </w:rPr>
        <w:t>er</w:t>
      </w:r>
      <w:r w:rsidRPr="00316277">
        <w:rPr>
          <w:u w:val="single"/>
        </w:rPr>
        <w:t> </w:t>
      </w:r>
      <w:r w:rsidRPr="00316277">
        <w:rPr>
          <w:snapToGrid/>
          <w:u w:val="single"/>
        </w:rPr>
        <w:t>avril</w:t>
      </w:r>
      <w:r w:rsidRPr="00316277">
        <w:rPr>
          <w:u w:val="single"/>
        </w:rPr>
        <w:t> </w:t>
      </w:r>
      <w:r w:rsidRPr="00316277">
        <w:rPr>
          <w:snapToGrid/>
          <w:u w:val="single"/>
        </w:rPr>
        <w:t>2026 au 31</w:t>
      </w:r>
      <w:r w:rsidRPr="00316277">
        <w:rPr>
          <w:u w:val="single"/>
        </w:rPr>
        <w:t> </w:t>
      </w:r>
      <w:r w:rsidRPr="00316277">
        <w:rPr>
          <w:snapToGrid/>
          <w:u w:val="single"/>
        </w:rPr>
        <w:t>mars</w:t>
      </w:r>
      <w:r w:rsidRPr="00316277">
        <w:rPr>
          <w:u w:val="single"/>
        </w:rPr>
        <w:t> </w:t>
      </w:r>
      <w:r w:rsidRPr="00316277">
        <w:rPr>
          <w:snapToGrid/>
          <w:u w:val="single"/>
        </w:rPr>
        <w:t>2027</w:t>
      </w:r>
    </w:p>
    <w:p w14:paraId="791B667B" w14:textId="2168D75F" w:rsidR="002E109A" w:rsidRPr="00316277" w:rsidRDefault="002E109A" w:rsidP="002E109A">
      <w:pPr>
        <w:pStyle w:val="Default"/>
        <w:suppressAutoHyphens/>
        <w:jc w:val="both"/>
        <w:rPr>
          <w:rFonts w:ascii="Arial" w:hAnsi="Arial" w:cs="Arial"/>
          <w:color w:val="auto"/>
        </w:rPr>
      </w:pPr>
      <w:r w:rsidRPr="00316277">
        <w:rPr>
          <w:rFonts w:ascii="Arial" w:hAnsi="Arial" w:cs="Arial"/>
          <w:color w:val="auto"/>
        </w:rPr>
        <w:t>Chaque taux et chaque échelle de traitement en vigueur le 31 mars 2026 est majoré de deux virgule cinquante pour cent</w:t>
      </w:r>
      <w:r w:rsidRPr="00316277">
        <w:rPr>
          <w:rFonts w:ascii="Arial" w:hAnsi="Arial" w:cs="Arial"/>
          <w:color w:val="auto"/>
          <w:vertAlign w:val="superscript"/>
        </w:rPr>
        <w:t xml:space="preserve">1 </w:t>
      </w:r>
      <w:r w:rsidRPr="00316277">
        <w:rPr>
          <w:rFonts w:ascii="Arial" w:hAnsi="Arial" w:cs="Arial"/>
          <w:color w:val="auto"/>
        </w:rPr>
        <w:t>(2,50 %) avec effet le 1</w:t>
      </w:r>
      <w:r w:rsidRPr="00316277">
        <w:rPr>
          <w:rFonts w:ascii="Arial" w:hAnsi="Arial" w:cs="Arial"/>
          <w:color w:val="auto"/>
          <w:vertAlign w:val="superscript"/>
        </w:rPr>
        <w:t>er</w:t>
      </w:r>
      <w:r w:rsidRPr="00316277">
        <w:rPr>
          <w:rFonts w:ascii="Arial" w:hAnsi="Arial" w:cs="Arial"/>
          <w:color w:val="auto"/>
        </w:rPr>
        <w:t> avril 2026.</w:t>
      </w:r>
    </w:p>
    <w:p w14:paraId="4E1B1A0C" w14:textId="77777777" w:rsidR="002E109A" w:rsidRPr="00316277" w:rsidRDefault="002E109A" w:rsidP="002E109A">
      <w:pPr>
        <w:pStyle w:val="Default"/>
        <w:suppressAutoHyphens/>
        <w:jc w:val="both"/>
        <w:rPr>
          <w:rFonts w:ascii="Arial" w:hAnsi="Arial" w:cs="Arial"/>
          <w:color w:val="auto"/>
        </w:rPr>
      </w:pPr>
    </w:p>
    <w:p w14:paraId="2B377B04" w14:textId="77ACAAE2" w:rsidR="002E109A" w:rsidRPr="00316277" w:rsidRDefault="002E109A" w:rsidP="002E109A">
      <w:pPr>
        <w:pStyle w:val="NUMRODECLAUSE"/>
        <w:keepNext w:val="0"/>
      </w:pPr>
      <w:r w:rsidRPr="00316277">
        <w:t>6-4.06</w:t>
      </w:r>
      <w:r w:rsidRPr="00316277">
        <w:tab/>
      </w:r>
      <w:r w:rsidRPr="00316277">
        <w:rPr>
          <w:u w:val="single"/>
        </w:rPr>
        <w:t>Période du 1</w:t>
      </w:r>
      <w:r w:rsidRPr="00316277">
        <w:rPr>
          <w:u w:val="single"/>
          <w:vertAlign w:val="superscript"/>
        </w:rPr>
        <w:t>er</w:t>
      </w:r>
      <w:r w:rsidR="00316277">
        <w:rPr>
          <w:u w:val="single"/>
        </w:rPr>
        <w:t> </w:t>
      </w:r>
      <w:r w:rsidRPr="00316277">
        <w:rPr>
          <w:u w:val="single"/>
        </w:rPr>
        <w:t>avril</w:t>
      </w:r>
      <w:r w:rsidR="00316277">
        <w:rPr>
          <w:u w:val="single"/>
        </w:rPr>
        <w:t> </w:t>
      </w:r>
      <w:r w:rsidRPr="00316277">
        <w:rPr>
          <w:u w:val="single"/>
        </w:rPr>
        <w:t>2027 au 31</w:t>
      </w:r>
      <w:r w:rsidR="00316277">
        <w:rPr>
          <w:u w:val="single"/>
        </w:rPr>
        <w:t> </w:t>
      </w:r>
      <w:r w:rsidRPr="00316277">
        <w:rPr>
          <w:u w:val="single"/>
        </w:rPr>
        <w:t>mars</w:t>
      </w:r>
      <w:r w:rsidR="00316277">
        <w:rPr>
          <w:u w:val="single"/>
        </w:rPr>
        <w:t> </w:t>
      </w:r>
      <w:r w:rsidRPr="00316277">
        <w:rPr>
          <w:u w:val="single"/>
        </w:rPr>
        <w:t>2028</w:t>
      </w:r>
    </w:p>
    <w:p w14:paraId="0A770586" w14:textId="7EBC134C" w:rsidR="002E109A" w:rsidRPr="00316277" w:rsidRDefault="002E109A" w:rsidP="002E109A">
      <w:pPr>
        <w:pStyle w:val="Default"/>
        <w:suppressAutoHyphens/>
        <w:jc w:val="both"/>
        <w:rPr>
          <w:rFonts w:ascii="Arial" w:hAnsi="Arial" w:cs="Arial"/>
          <w:color w:val="auto"/>
        </w:rPr>
      </w:pPr>
      <w:r w:rsidRPr="00316277">
        <w:rPr>
          <w:rFonts w:ascii="Arial" w:hAnsi="Arial" w:cs="Arial"/>
          <w:color w:val="auto"/>
        </w:rPr>
        <w:t>Chaque taux et chaque échelle de traitement en vigueur le 31 mars 2027 est majoré de trois virgule cinquante pour cent</w:t>
      </w:r>
      <w:r w:rsidRPr="00316277">
        <w:rPr>
          <w:rFonts w:ascii="Arial" w:hAnsi="Arial" w:cs="Arial"/>
          <w:color w:val="auto"/>
          <w:vertAlign w:val="superscript"/>
        </w:rPr>
        <w:t xml:space="preserve">1 </w:t>
      </w:r>
      <w:r w:rsidRPr="00316277">
        <w:rPr>
          <w:rFonts w:ascii="Arial" w:hAnsi="Arial" w:cs="Arial"/>
          <w:color w:val="auto"/>
        </w:rPr>
        <w:t>(3,50) % avec effet le 1</w:t>
      </w:r>
      <w:r w:rsidRPr="00316277">
        <w:rPr>
          <w:rFonts w:ascii="Arial" w:hAnsi="Arial" w:cs="Arial"/>
          <w:color w:val="auto"/>
          <w:vertAlign w:val="superscript"/>
        </w:rPr>
        <w:t>er</w:t>
      </w:r>
      <w:r w:rsidRPr="00316277">
        <w:rPr>
          <w:rFonts w:ascii="Arial" w:hAnsi="Arial" w:cs="Arial"/>
          <w:color w:val="auto"/>
        </w:rPr>
        <w:t> avril 2027.</w:t>
      </w:r>
    </w:p>
    <w:p w14:paraId="103D36E2" w14:textId="77777777" w:rsidR="002E109A" w:rsidRPr="00316277" w:rsidRDefault="002E109A" w:rsidP="002E109A">
      <w:pPr>
        <w:pStyle w:val="Default"/>
        <w:suppressAutoHyphens/>
        <w:jc w:val="both"/>
        <w:rPr>
          <w:rFonts w:ascii="Arial" w:hAnsi="Arial" w:cs="Arial"/>
          <w:color w:val="auto"/>
        </w:rPr>
      </w:pPr>
    </w:p>
    <w:p w14:paraId="131B9A95" w14:textId="6062BBE3" w:rsidR="002E109A" w:rsidRPr="00316277" w:rsidRDefault="002E109A" w:rsidP="003D3A32">
      <w:pPr>
        <w:pStyle w:val="NUMRODECLAUSE"/>
        <w:keepNext w:val="0"/>
        <w:rPr>
          <w:strike/>
        </w:rPr>
      </w:pPr>
      <w:r w:rsidRPr="00316277">
        <w:t>6-4.07</w:t>
      </w:r>
      <w:r w:rsidRPr="00316277">
        <w:tab/>
      </w:r>
      <w:r w:rsidRPr="00316277">
        <w:rPr>
          <w:u w:val="single"/>
        </w:rPr>
        <w:t>Clause d’ajustement</w:t>
      </w:r>
    </w:p>
    <w:p w14:paraId="503060C4" w14:textId="7335D9D0" w:rsidR="002E109A" w:rsidRPr="00316277" w:rsidRDefault="002E109A" w:rsidP="00EE596B">
      <w:pPr>
        <w:pStyle w:val="Default"/>
        <w:suppressAutoHyphens/>
        <w:jc w:val="both"/>
        <w:rPr>
          <w:rFonts w:ascii="Arial" w:hAnsi="Arial" w:cs="Arial"/>
          <w:color w:val="auto"/>
        </w:rPr>
      </w:pPr>
      <w:r w:rsidRPr="00316277">
        <w:rPr>
          <w:rFonts w:ascii="Arial" w:hAnsi="Arial" w:cs="Arial"/>
          <w:color w:val="auto"/>
        </w:rPr>
        <w:t>Un ajustement salarial pourrait s’appliquer selon les modalités suivantes :</w:t>
      </w:r>
    </w:p>
    <w:p w14:paraId="0EE97A6B" w14:textId="3A6D9535" w:rsidR="003D3A32" w:rsidRPr="00316277" w:rsidRDefault="002E109A" w:rsidP="00864798">
      <w:pPr>
        <w:pStyle w:val="Default"/>
        <w:numPr>
          <w:ilvl w:val="0"/>
          <w:numId w:val="62"/>
        </w:numPr>
        <w:suppressAutoHyphens/>
        <w:spacing w:before="240" w:after="240"/>
        <w:ind w:left="567" w:hanging="567"/>
        <w:jc w:val="both"/>
        <w:rPr>
          <w:rFonts w:ascii="Arial" w:hAnsi="Arial" w:cs="Arial"/>
          <w:b/>
          <w:color w:val="auto"/>
          <w:u w:val="single"/>
        </w:rPr>
      </w:pPr>
      <w:r w:rsidRPr="00316277">
        <w:rPr>
          <w:rFonts w:ascii="Arial" w:hAnsi="Arial" w:cs="Arial"/>
        </w:rPr>
        <w:t>Au 31 mars 2026, chaque taux et chaque échelle</w:t>
      </w:r>
      <w:r w:rsidRPr="00316277">
        <w:rPr>
          <w:rStyle w:val="FootnoteReference"/>
          <w:rFonts w:ascii="Arial" w:hAnsi="Arial" w:cs="Arial"/>
          <w:color w:val="auto"/>
        </w:rPr>
        <w:footnoteReference w:id="36"/>
      </w:r>
      <w:r w:rsidRPr="00316277">
        <w:rPr>
          <w:rFonts w:ascii="Arial" w:hAnsi="Arial" w:cs="Arial"/>
        </w:rPr>
        <w:t xml:space="preserve"> de traitement en vigueur le 30 mars 2026 est majoré de la variation en pourcentage entre la moyenne annuelle de l’indice des prix à la consommation au Québec en 2025-2026 et la moyenne annuelle de l’indice des prix à la consommation au Québec en 2024-2025, laquelle</w:t>
      </w:r>
      <w:r w:rsidR="003D3A32" w:rsidRPr="00316277">
        <w:rPr>
          <w:rFonts w:ascii="Arial" w:hAnsi="Arial" w:cs="Arial"/>
        </w:rPr>
        <w:t xml:space="preserve"> </w:t>
      </w:r>
      <w:r w:rsidR="003D3A32" w:rsidRPr="00316277">
        <w:rPr>
          <w:rFonts w:ascii="Arial" w:hAnsi="Arial" w:cs="Arial"/>
          <w:color w:val="auto"/>
        </w:rPr>
        <w:t>variation est diminuée de 2,60 points de pourcentage. La majoration ne peut être supérieure à un pour cent</w:t>
      </w:r>
      <w:r w:rsidR="00EE596B" w:rsidRPr="00316277">
        <w:rPr>
          <w:rFonts w:ascii="Arial" w:hAnsi="Arial" w:cs="Arial"/>
          <w:color w:val="auto"/>
        </w:rPr>
        <w:t> </w:t>
      </w:r>
      <w:r w:rsidR="003D3A32" w:rsidRPr="00316277">
        <w:rPr>
          <w:rFonts w:ascii="Arial" w:hAnsi="Arial" w:cs="Arial"/>
          <w:color w:val="auto"/>
        </w:rPr>
        <w:t>(1,00 %).</w:t>
      </w:r>
    </w:p>
    <w:p w14:paraId="2E0A1C5C" w14:textId="3BD786E9" w:rsidR="003D3A32" w:rsidRPr="00316277" w:rsidRDefault="003D3A32" w:rsidP="00864798">
      <w:pPr>
        <w:pStyle w:val="Default"/>
        <w:numPr>
          <w:ilvl w:val="0"/>
          <w:numId w:val="62"/>
        </w:numPr>
        <w:suppressAutoHyphens/>
        <w:spacing w:before="240" w:after="240"/>
        <w:ind w:left="567" w:hanging="567"/>
        <w:jc w:val="both"/>
        <w:rPr>
          <w:rFonts w:ascii="Arial" w:hAnsi="Arial" w:cs="Arial"/>
          <w:b/>
          <w:color w:val="auto"/>
          <w:u w:val="single"/>
        </w:rPr>
      </w:pPr>
      <w:r w:rsidRPr="00316277">
        <w:rPr>
          <w:rFonts w:ascii="Arial" w:hAnsi="Arial" w:cs="Arial"/>
          <w:color w:val="auto"/>
        </w:rPr>
        <w:t>Au 31</w:t>
      </w:r>
      <w:r w:rsidR="00EE596B" w:rsidRPr="00316277">
        <w:rPr>
          <w:rFonts w:ascii="Arial" w:hAnsi="Arial" w:cs="Arial"/>
          <w:color w:val="auto"/>
        </w:rPr>
        <w:t> </w:t>
      </w:r>
      <w:r w:rsidRPr="00316277">
        <w:rPr>
          <w:rFonts w:ascii="Arial" w:hAnsi="Arial" w:cs="Arial"/>
          <w:color w:val="auto"/>
        </w:rPr>
        <w:t>mars</w:t>
      </w:r>
      <w:r w:rsidR="00EE596B" w:rsidRPr="00316277">
        <w:rPr>
          <w:rFonts w:ascii="Arial" w:hAnsi="Arial" w:cs="Arial"/>
          <w:color w:val="auto"/>
        </w:rPr>
        <w:t> </w:t>
      </w:r>
      <w:r w:rsidRPr="00316277">
        <w:rPr>
          <w:rFonts w:ascii="Arial" w:hAnsi="Arial" w:cs="Arial"/>
          <w:color w:val="auto"/>
        </w:rPr>
        <w:t>2027, chaque taux et chaque échelle</w:t>
      </w:r>
      <w:r w:rsidR="00EE596B" w:rsidRPr="00316277">
        <w:rPr>
          <w:rStyle w:val="FootnoteReference"/>
          <w:rFonts w:ascii="Arial" w:hAnsi="Arial" w:cs="Arial"/>
          <w:color w:val="auto"/>
        </w:rPr>
        <w:footnoteReference w:id="37"/>
      </w:r>
      <w:r w:rsidRPr="00316277">
        <w:rPr>
          <w:rFonts w:ascii="Arial" w:hAnsi="Arial" w:cs="Arial"/>
          <w:color w:val="auto"/>
        </w:rPr>
        <w:t xml:space="preserve"> de traitement en vigueur le 30</w:t>
      </w:r>
      <w:r w:rsidR="00EE596B" w:rsidRPr="00316277">
        <w:rPr>
          <w:rFonts w:ascii="Arial" w:hAnsi="Arial" w:cs="Arial"/>
          <w:color w:val="auto"/>
        </w:rPr>
        <w:t> m</w:t>
      </w:r>
      <w:r w:rsidRPr="00316277">
        <w:rPr>
          <w:rFonts w:ascii="Arial" w:hAnsi="Arial" w:cs="Arial"/>
          <w:color w:val="auto"/>
        </w:rPr>
        <w:t>ars 2027 est majoré de la variation en pourcentage entre la moyenne annuelle de l’indice des prix à la consommation au Québec en 2026-2027 et la moyenne annuelle de l’indice des prix à la consommation au Québec en 2025-2026, laquelle variation est diminuée de 2,50 points de pourcentage. La majoration ne peut être supérieure à un pour cent</w:t>
      </w:r>
      <w:r w:rsidR="00EE596B" w:rsidRPr="00316277">
        <w:rPr>
          <w:rFonts w:ascii="Arial" w:hAnsi="Arial" w:cs="Arial"/>
          <w:color w:val="auto"/>
        </w:rPr>
        <w:t> </w:t>
      </w:r>
      <w:r w:rsidRPr="00316277">
        <w:rPr>
          <w:rFonts w:ascii="Arial" w:hAnsi="Arial" w:cs="Arial"/>
          <w:color w:val="auto"/>
        </w:rPr>
        <w:t>(1,00 %).</w:t>
      </w:r>
    </w:p>
    <w:p w14:paraId="54EEC5D2" w14:textId="026937FE" w:rsidR="003D3A32" w:rsidRPr="00316277" w:rsidRDefault="003D3A32" w:rsidP="00864798">
      <w:pPr>
        <w:pStyle w:val="Default"/>
        <w:numPr>
          <w:ilvl w:val="0"/>
          <w:numId w:val="62"/>
        </w:numPr>
        <w:suppressAutoHyphens/>
        <w:spacing w:before="240" w:after="240"/>
        <w:ind w:left="567" w:hanging="567"/>
        <w:jc w:val="both"/>
        <w:rPr>
          <w:rFonts w:ascii="Arial" w:hAnsi="Arial" w:cs="Arial"/>
          <w:b/>
          <w:color w:val="auto"/>
          <w:u w:val="single"/>
        </w:rPr>
      </w:pPr>
      <w:r w:rsidRPr="00316277">
        <w:rPr>
          <w:rFonts w:ascii="Arial" w:hAnsi="Arial" w:cs="Arial"/>
          <w:color w:val="auto"/>
        </w:rPr>
        <w:t>Au 31</w:t>
      </w:r>
      <w:r w:rsidR="00EE596B" w:rsidRPr="00316277">
        <w:rPr>
          <w:rFonts w:ascii="Arial" w:hAnsi="Arial" w:cs="Arial"/>
          <w:color w:val="auto"/>
        </w:rPr>
        <w:t> </w:t>
      </w:r>
      <w:r w:rsidRPr="00316277">
        <w:rPr>
          <w:rFonts w:ascii="Arial" w:hAnsi="Arial" w:cs="Arial"/>
          <w:color w:val="auto"/>
        </w:rPr>
        <w:t>mars</w:t>
      </w:r>
      <w:r w:rsidR="00EE596B" w:rsidRPr="00316277">
        <w:rPr>
          <w:rFonts w:ascii="Arial" w:hAnsi="Arial" w:cs="Arial"/>
          <w:color w:val="auto"/>
        </w:rPr>
        <w:t> </w:t>
      </w:r>
      <w:r w:rsidRPr="00316277">
        <w:rPr>
          <w:rFonts w:ascii="Arial" w:hAnsi="Arial" w:cs="Arial"/>
          <w:color w:val="auto"/>
        </w:rPr>
        <w:t>2028, chaque taux et chaque échelle</w:t>
      </w:r>
      <w:r w:rsidR="00EE596B" w:rsidRPr="00316277">
        <w:rPr>
          <w:rStyle w:val="FootnoteReference"/>
          <w:rFonts w:ascii="Arial" w:hAnsi="Arial" w:cs="Arial"/>
          <w:color w:val="auto"/>
        </w:rPr>
        <w:t>1</w:t>
      </w:r>
      <w:r w:rsidRPr="00316277">
        <w:rPr>
          <w:rFonts w:ascii="Arial" w:hAnsi="Arial" w:cs="Arial"/>
          <w:color w:val="auto"/>
        </w:rPr>
        <w:t xml:space="preserve"> de traitement en vigueur le 30</w:t>
      </w:r>
      <w:r w:rsidR="00EE596B" w:rsidRPr="00316277">
        <w:rPr>
          <w:rFonts w:ascii="Arial" w:hAnsi="Arial" w:cs="Arial"/>
          <w:color w:val="auto"/>
        </w:rPr>
        <w:t> </w:t>
      </w:r>
      <w:r w:rsidRPr="00316277">
        <w:rPr>
          <w:rFonts w:ascii="Arial" w:hAnsi="Arial" w:cs="Arial"/>
          <w:color w:val="auto"/>
        </w:rPr>
        <w:t>mars</w:t>
      </w:r>
      <w:r w:rsidR="00EE596B" w:rsidRPr="00316277">
        <w:rPr>
          <w:rFonts w:ascii="Arial" w:hAnsi="Arial" w:cs="Arial"/>
          <w:color w:val="auto"/>
        </w:rPr>
        <w:t> </w:t>
      </w:r>
      <w:r w:rsidRPr="00316277">
        <w:rPr>
          <w:rFonts w:ascii="Arial" w:hAnsi="Arial" w:cs="Arial"/>
          <w:color w:val="auto"/>
        </w:rPr>
        <w:t>2028 est majoré de la variation en pourcentage entre la moyenne annuelle de l’indice des prix à la consommation au Québec en 2027-2028 et la moyenne annuelle de l’indice des prix à la consommation au Québec en 2026-2027, laquelle variation est diminuée de 3,50 points de pourcentage. La majoration ne peut être supérieure à un pour cent (1,00 %).</w:t>
      </w:r>
    </w:p>
    <w:p w14:paraId="6727DF4E" w14:textId="77777777" w:rsidR="003D3A32" w:rsidRPr="00316277" w:rsidRDefault="003D3A32" w:rsidP="003D3A32">
      <w:pPr>
        <w:pStyle w:val="Default"/>
        <w:suppressAutoHyphens/>
        <w:spacing w:before="240" w:after="240"/>
        <w:jc w:val="both"/>
        <w:rPr>
          <w:rFonts w:ascii="Arial" w:hAnsi="Arial" w:cs="Arial"/>
          <w:color w:val="auto"/>
        </w:rPr>
      </w:pPr>
      <w:r w:rsidRPr="00316277">
        <w:rPr>
          <w:rFonts w:ascii="Arial" w:hAnsi="Arial" w:cs="Arial"/>
          <w:color w:val="auto"/>
        </w:rPr>
        <w:t>Pour chaque majoration calculée précédemment, si le résultat est inférieur à 0,05 % les taux des échelles de traitement ne sont pas modifiés.</w:t>
      </w:r>
    </w:p>
    <w:p w14:paraId="7FAEA141" w14:textId="77777777" w:rsidR="003D3A32" w:rsidRPr="00316277" w:rsidRDefault="003D3A32" w:rsidP="003D3A32">
      <w:pPr>
        <w:keepNext w:val="0"/>
        <w:spacing w:before="240" w:after="240"/>
        <w:rPr>
          <w:rFonts w:cs="Arial"/>
          <w:szCs w:val="24"/>
        </w:rPr>
      </w:pPr>
      <w:r w:rsidRPr="00316277">
        <w:rPr>
          <w:rFonts w:cs="Arial"/>
          <w:szCs w:val="24"/>
        </w:rPr>
        <w:t>Les ajustements salariaux prévus aux paragraphes précédents sont appliqués sur la paie de l’enseignante et de l’enseignant et payés rétroactivement dans les 180 jours suivant la publication des données par Statistique Canada.</w:t>
      </w:r>
    </w:p>
    <w:p w14:paraId="696D265C" w14:textId="77777777" w:rsidR="003D3A32" w:rsidRPr="00316277" w:rsidRDefault="003D3A32" w:rsidP="003D3A32">
      <w:pPr>
        <w:keepNext w:val="0"/>
        <w:spacing w:before="240" w:after="240"/>
        <w:rPr>
          <w:rFonts w:cs="Arial"/>
          <w:szCs w:val="24"/>
        </w:rPr>
      </w:pPr>
      <w:r w:rsidRPr="00316277">
        <w:rPr>
          <w:rFonts w:cs="Arial"/>
          <w:szCs w:val="24"/>
        </w:rPr>
        <w:t>Aux fins du calcul de cette clause :</w:t>
      </w:r>
    </w:p>
    <w:p w14:paraId="1B65790E" w14:textId="77777777" w:rsidR="003D3A32" w:rsidRPr="00316277" w:rsidRDefault="003D3A32" w:rsidP="00864798">
      <w:pPr>
        <w:pStyle w:val="ListParagraph"/>
        <w:numPr>
          <w:ilvl w:val="0"/>
          <w:numId w:val="63"/>
        </w:numPr>
        <w:suppressAutoHyphens/>
        <w:spacing w:before="240" w:after="240"/>
        <w:ind w:left="851"/>
        <w:rPr>
          <w:szCs w:val="24"/>
        </w:rPr>
      </w:pPr>
      <w:r w:rsidRPr="00316277">
        <w:rPr>
          <w:szCs w:val="24"/>
        </w:rPr>
        <w:t>L’indice des prix à la consommation au Québec correspond à la moyenne par année financière (d’avril à mars) pour l’ensemble des produits, dont la source est Statistique Canada, Tableau 18-10-0004-01 Indice des prix à la consommation, mensuelle, non désaisonnalisé;</w:t>
      </w:r>
    </w:p>
    <w:p w14:paraId="1EE1DB90" w14:textId="77777777" w:rsidR="003D3A32" w:rsidRPr="00316277" w:rsidRDefault="003D3A32" w:rsidP="00864798">
      <w:pPr>
        <w:pStyle w:val="ListParagraph"/>
        <w:numPr>
          <w:ilvl w:val="0"/>
          <w:numId w:val="63"/>
        </w:numPr>
        <w:suppressAutoHyphens/>
        <w:spacing w:before="240" w:after="240"/>
        <w:ind w:left="851"/>
        <w:rPr>
          <w:szCs w:val="24"/>
        </w:rPr>
      </w:pPr>
      <w:r w:rsidRPr="00316277">
        <w:rPr>
          <w:szCs w:val="24"/>
        </w:rPr>
        <w:t>La variation de l’indice des prix à la consommation est exprimée en pourcentage et ce pourcentage est arrondi à deux décimales.</w:t>
      </w:r>
    </w:p>
    <w:p w14:paraId="59B0F61B" w14:textId="5299F246" w:rsidR="003D3A32" w:rsidRDefault="003D3A32" w:rsidP="00EE596B">
      <w:pPr>
        <w:keepNext w:val="0"/>
        <w:rPr>
          <w:rFonts w:cs="Arial"/>
          <w:szCs w:val="24"/>
        </w:rPr>
      </w:pPr>
      <w:r w:rsidRPr="00316277">
        <w:rPr>
          <w:rFonts w:cs="Arial"/>
          <w:szCs w:val="24"/>
        </w:rPr>
        <w:t>En aucun cas l’ajustement salarial ne peut être négatif.</w:t>
      </w:r>
    </w:p>
    <w:p w14:paraId="76F04E74" w14:textId="77777777" w:rsidR="00EE596B" w:rsidRPr="00C7455E" w:rsidRDefault="00EE596B" w:rsidP="00EE596B">
      <w:pPr>
        <w:keepNext w:val="0"/>
        <w:rPr>
          <w:rFonts w:cs="Arial"/>
          <w:szCs w:val="24"/>
        </w:rPr>
      </w:pPr>
    </w:p>
    <w:p w14:paraId="6545B9ED" w14:textId="29C4E5C4" w:rsidR="007A7406" w:rsidRPr="001D7A39" w:rsidRDefault="002E109A" w:rsidP="00EE596B">
      <w:pPr>
        <w:keepNext w:val="0"/>
        <w:rPr>
          <w:rFonts w:cs="Arial"/>
          <w:b/>
          <w:bCs/>
          <w:szCs w:val="24"/>
        </w:rPr>
      </w:pPr>
      <w:r w:rsidRPr="00316277">
        <w:rPr>
          <w:rFonts w:cs="Arial"/>
          <w:b/>
          <w:bCs/>
          <w:szCs w:val="24"/>
        </w:rPr>
        <w:t>6</w:t>
      </w:r>
      <w:r w:rsidRPr="00316277">
        <w:rPr>
          <w:rFonts w:cs="Arial"/>
          <w:b/>
          <w:bCs/>
          <w:szCs w:val="24"/>
        </w:rPr>
        <w:noBreakHyphen/>
        <w:t>4.08</w:t>
      </w:r>
    </w:p>
    <w:p w14:paraId="3EFAAB83" w14:textId="6E391D06" w:rsidR="00EE596B" w:rsidRDefault="007A7406" w:rsidP="00A64613">
      <w:pPr>
        <w:keepNext w:val="0"/>
        <w:rPr>
          <w:rFonts w:cs="Arial"/>
        </w:rPr>
      </w:pPr>
      <w:r w:rsidRPr="001D7A39">
        <w:rPr>
          <w:rFonts w:cs="Arial"/>
        </w:rPr>
        <w:t xml:space="preserve">Les taux et échelles </w:t>
      </w:r>
      <w:r w:rsidR="00187B39" w:rsidRPr="001D7A39">
        <w:rPr>
          <w:rFonts w:cs="Arial"/>
        </w:rPr>
        <w:t>de traitement</w:t>
      </w:r>
      <w:r w:rsidRPr="001D7A39">
        <w:rPr>
          <w:rFonts w:cs="Arial"/>
        </w:rPr>
        <w:t xml:space="preserve"> applicables à l’enseignante ou l’enseignant à temps complet ou à temps partiel sont déterminées selon la méthodologie prévue à l’Annexe</w:t>
      </w:r>
      <w:r w:rsidR="00D0580F" w:rsidRPr="001D7A39">
        <w:rPr>
          <w:rFonts w:cs="Arial"/>
        </w:rPr>
        <w:t> </w:t>
      </w:r>
      <w:r w:rsidRPr="001D7A39">
        <w:rPr>
          <w:rFonts w:cs="Arial"/>
        </w:rPr>
        <w:t>VI</w:t>
      </w:r>
      <w:r w:rsidR="00984A6F">
        <w:rPr>
          <w:rFonts w:cs="Arial"/>
        </w:rPr>
        <w:noBreakHyphen/>
      </w:r>
      <w:r w:rsidRPr="001D7A39">
        <w:rPr>
          <w:rFonts w:cs="Arial"/>
        </w:rPr>
        <w:t>4.</w:t>
      </w:r>
    </w:p>
    <w:p w14:paraId="201B6F3C" w14:textId="78799865" w:rsidR="00EE596B" w:rsidRDefault="00EE596B">
      <w:pPr>
        <w:keepNext w:val="0"/>
        <w:suppressAutoHyphens w:val="0"/>
        <w:jc w:val="left"/>
        <w:rPr>
          <w:rFonts w:cs="Arial"/>
        </w:rPr>
      </w:pPr>
    </w:p>
    <w:p w14:paraId="61AC57DB" w14:textId="01AF4B67" w:rsidR="007A7406" w:rsidRPr="00AA065D" w:rsidRDefault="002E109A" w:rsidP="008E7722">
      <w:pPr>
        <w:pStyle w:val="NUMRODECLAUSE"/>
        <w:keepNext w:val="0"/>
        <w:tabs>
          <w:tab w:val="clear" w:pos="4500"/>
        </w:tabs>
      </w:pPr>
      <w:r w:rsidRPr="00316277">
        <w:t>6</w:t>
      </w:r>
      <w:r w:rsidRPr="00316277">
        <w:noBreakHyphen/>
        <w:t>4.09</w:t>
      </w:r>
      <w:r w:rsidR="008E7722">
        <w:tab/>
      </w:r>
      <w:r w:rsidR="007A7406" w:rsidRPr="001126F1">
        <w:rPr>
          <w:u w:val="single"/>
        </w:rPr>
        <w:t>Majoration des primes</w:t>
      </w:r>
    </w:p>
    <w:p w14:paraId="2BB347AC" w14:textId="3CEC4E90" w:rsidR="007A7406" w:rsidRPr="00284FCB" w:rsidRDefault="007A7406" w:rsidP="00A64613">
      <w:pPr>
        <w:keepNext w:val="0"/>
        <w:tabs>
          <w:tab w:val="left" w:pos="4500"/>
        </w:tabs>
        <w:rPr>
          <w:rFonts w:cs="Arial"/>
        </w:rPr>
      </w:pPr>
      <w:r w:rsidRPr="00284FCB">
        <w:rPr>
          <w:rFonts w:cs="Arial"/>
        </w:rPr>
        <w:t>Chaque prime, à l’exception des primes fixes et des primes exprimées en pourcentage, est majorée à compter de la même date et des mêmes majorations des taux et échelles de traitement prévues aux clauses</w:t>
      </w:r>
      <w:r w:rsidR="004C48E0">
        <w:rPr>
          <w:rFonts w:cs="Arial"/>
        </w:rPr>
        <w:t> </w:t>
      </w:r>
      <w:r w:rsidRPr="00284FCB">
        <w:rPr>
          <w:rFonts w:cs="Arial"/>
        </w:rPr>
        <w:t>6</w:t>
      </w:r>
      <w:r w:rsidR="00984A6F">
        <w:rPr>
          <w:rFonts w:cs="Arial"/>
        </w:rPr>
        <w:noBreakHyphen/>
      </w:r>
      <w:r w:rsidRPr="00284FCB">
        <w:rPr>
          <w:rFonts w:cs="Arial"/>
        </w:rPr>
        <w:t xml:space="preserve">4.02 à </w:t>
      </w:r>
      <w:r w:rsidR="008E7722" w:rsidRPr="00316277">
        <w:rPr>
          <w:rFonts w:cs="Arial"/>
        </w:rPr>
        <w:t xml:space="preserve">6-4.06 et </w:t>
      </w:r>
      <w:r w:rsidR="00052270" w:rsidRPr="00316277">
        <w:rPr>
          <w:rFonts w:cs="Arial"/>
        </w:rPr>
        <w:t xml:space="preserve">6-4.07 </w:t>
      </w:r>
      <w:r w:rsidR="008E7722" w:rsidRPr="00316277">
        <w:rPr>
          <w:rFonts w:cs="Arial"/>
        </w:rPr>
        <w:t>le cas échéant</w:t>
      </w:r>
      <w:r w:rsidRPr="00284FCB">
        <w:rPr>
          <w:rFonts w:cs="Arial"/>
        </w:rPr>
        <w:t>.</w:t>
      </w:r>
    </w:p>
    <w:p w14:paraId="17D16688" w14:textId="77777777" w:rsidR="007A7406" w:rsidRPr="00284FCB" w:rsidRDefault="007A7406" w:rsidP="00A64613">
      <w:pPr>
        <w:keepNext w:val="0"/>
        <w:tabs>
          <w:tab w:val="left" w:pos="4500"/>
        </w:tabs>
        <w:rPr>
          <w:rFonts w:cs="Arial"/>
        </w:rPr>
      </w:pPr>
    </w:p>
    <w:p w14:paraId="5757291A" w14:textId="033CA5E2" w:rsidR="008E7722" w:rsidRDefault="007A7406" w:rsidP="00A64613">
      <w:pPr>
        <w:keepNext w:val="0"/>
        <w:tabs>
          <w:tab w:val="left" w:pos="4500"/>
        </w:tabs>
        <w:rPr>
          <w:rFonts w:cs="Arial"/>
        </w:rPr>
      </w:pPr>
      <w:r w:rsidRPr="00284FCB">
        <w:rPr>
          <w:rFonts w:cs="Arial"/>
        </w:rPr>
        <w:t>Les taux de ces primes apparaissent à la convention collective.</w:t>
      </w:r>
    </w:p>
    <w:p w14:paraId="5854C203" w14:textId="77777777" w:rsidR="008B1418" w:rsidRPr="00284FCB" w:rsidRDefault="008B1418" w:rsidP="00A64613">
      <w:pPr>
        <w:pStyle w:val="ListParagraph"/>
        <w:tabs>
          <w:tab w:val="left" w:pos="426"/>
        </w:tabs>
        <w:suppressAutoHyphens/>
        <w:ind w:left="0"/>
        <w:jc w:val="left"/>
        <w:rPr>
          <w:rFonts w:cs="Arial"/>
        </w:rPr>
      </w:pPr>
    </w:p>
    <w:p w14:paraId="4234DA56" w14:textId="508EC13B" w:rsidR="00E17E05" w:rsidRPr="00026EC1" w:rsidRDefault="008E7722" w:rsidP="008E7722">
      <w:pPr>
        <w:pStyle w:val="NUMRODECLAUSE"/>
        <w:keepNext w:val="0"/>
        <w:tabs>
          <w:tab w:val="clear" w:pos="4500"/>
          <w:tab w:val="left" w:pos="1701"/>
        </w:tabs>
      </w:pPr>
      <w:r w:rsidRPr="00316277">
        <w:t>6-4.10</w:t>
      </w:r>
      <w:r>
        <w:tab/>
      </w:r>
      <w:r w:rsidR="00E17E05" w:rsidRPr="001126F1">
        <w:rPr>
          <w:u w:val="single"/>
        </w:rPr>
        <w:t>Dispositions particulières</w:t>
      </w:r>
    </w:p>
    <w:p w14:paraId="00A8F528" w14:textId="6F2D62F5" w:rsidR="00E17E05" w:rsidRPr="00BA67E4" w:rsidRDefault="00E17E05" w:rsidP="004C296A">
      <w:pPr>
        <w:pStyle w:val="ListParagraph"/>
        <w:tabs>
          <w:tab w:val="left" w:pos="4500"/>
        </w:tabs>
        <w:ind w:left="0"/>
        <w:rPr>
          <w:rFonts w:cs="Arial"/>
        </w:rPr>
      </w:pPr>
      <w:r w:rsidRPr="00BA67E4">
        <w:rPr>
          <w:rFonts w:cs="Arial"/>
        </w:rPr>
        <w:t>Malgré la clause 6</w:t>
      </w:r>
      <w:r w:rsidR="00984A6F" w:rsidRPr="00BA67E4">
        <w:rPr>
          <w:rFonts w:cs="Arial"/>
        </w:rPr>
        <w:noBreakHyphen/>
      </w:r>
      <w:r w:rsidRPr="00BA67E4">
        <w:rPr>
          <w:rFonts w:cs="Arial"/>
        </w:rPr>
        <w:t xml:space="preserve">4.01, les échelles de </w:t>
      </w:r>
      <w:r w:rsidRPr="00BA67E4">
        <w:rPr>
          <w:rFonts w:cs="Arial"/>
          <w:bCs/>
        </w:rPr>
        <w:t xml:space="preserve">traitement </w:t>
      </w:r>
      <w:r w:rsidRPr="00BA67E4">
        <w:rPr>
          <w:rFonts w:cs="Arial"/>
        </w:rPr>
        <w:t>applicables aux enseignantes et enseignants visés par l</w:t>
      </w:r>
      <w:r w:rsidR="004A41E4" w:rsidRPr="00BA67E4">
        <w:rPr>
          <w:rFonts w:cs="Arial"/>
        </w:rPr>
        <w:t>’</w:t>
      </w:r>
      <w:r w:rsidR="00242EC4" w:rsidRPr="00BA67E4">
        <w:rPr>
          <w:rFonts w:cs="Arial"/>
        </w:rPr>
        <w:t>A</w:t>
      </w:r>
      <w:r w:rsidRPr="00BA67E4">
        <w:rPr>
          <w:rFonts w:cs="Arial"/>
        </w:rPr>
        <w:t>nnexe III</w:t>
      </w:r>
      <w:r w:rsidR="00984A6F" w:rsidRPr="00BA67E4">
        <w:rPr>
          <w:rFonts w:cs="Arial"/>
        </w:rPr>
        <w:noBreakHyphen/>
      </w:r>
      <w:r w:rsidRPr="00BA67E4">
        <w:rPr>
          <w:rFonts w:cs="Arial"/>
        </w:rPr>
        <w:t>1</w:t>
      </w:r>
      <w:r w:rsidR="008E7722">
        <w:rPr>
          <w:rFonts w:cs="Arial"/>
        </w:rPr>
        <w:t xml:space="preserve"> </w:t>
      </w:r>
      <w:r w:rsidR="008E7722" w:rsidRPr="00316277">
        <w:rPr>
          <w:rFonts w:cs="Arial"/>
        </w:rPr>
        <w:t>(CQFA</w:t>
      </w:r>
      <w:r w:rsidRPr="00BA67E4">
        <w:rPr>
          <w:rFonts w:cs="Arial"/>
        </w:rPr>
        <w:t>) sont celles qui figurent au tableau D de l</w:t>
      </w:r>
      <w:r w:rsidR="004A41E4" w:rsidRPr="00BA67E4">
        <w:rPr>
          <w:rFonts w:cs="Arial"/>
        </w:rPr>
        <w:t>’</w:t>
      </w:r>
      <w:r w:rsidR="00242EC4" w:rsidRPr="00BA67E4">
        <w:rPr>
          <w:rFonts w:cs="Arial"/>
        </w:rPr>
        <w:t>A</w:t>
      </w:r>
      <w:r w:rsidRPr="00BA67E4">
        <w:rPr>
          <w:rFonts w:cs="Arial"/>
        </w:rPr>
        <w:t>nnexe III</w:t>
      </w:r>
      <w:r w:rsidR="00984A6F" w:rsidRPr="00BA67E4">
        <w:rPr>
          <w:rFonts w:cs="Arial"/>
        </w:rPr>
        <w:noBreakHyphen/>
      </w:r>
      <w:r w:rsidRPr="00BA67E4">
        <w:rPr>
          <w:rFonts w:cs="Arial"/>
        </w:rPr>
        <w:t>1.</w:t>
      </w:r>
    </w:p>
    <w:p w14:paraId="6CD19FD3" w14:textId="77777777" w:rsidR="00E17E05" w:rsidRPr="00026EC1" w:rsidRDefault="00E17E05" w:rsidP="004C296A">
      <w:pPr>
        <w:keepNext w:val="0"/>
        <w:tabs>
          <w:tab w:val="left" w:pos="4500"/>
        </w:tabs>
        <w:rPr>
          <w:rFonts w:cs="Arial"/>
        </w:rPr>
      </w:pPr>
    </w:p>
    <w:p w14:paraId="40ED4682" w14:textId="0F97D9E4" w:rsidR="00E17E05" w:rsidRPr="00026EC1" w:rsidRDefault="00E17E05" w:rsidP="004C296A">
      <w:pPr>
        <w:keepNext w:val="0"/>
        <w:tabs>
          <w:tab w:val="left" w:pos="4500"/>
        </w:tabs>
        <w:rPr>
          <w:rFonts w:cs="Arial"/>
          <w:bCs/>
        </w:rPr>
      </w:pPr>
      <w:r w:rsidRPr="00026EC1">
        <w:rPr>
          <w:rFonts w:cs="Arial"/>
          <w:bCs/>
        </w:rPr>
        <w:t>Par ailleurs, les dates où sont prises en compte les majorations des taux et échelles de traitement pour l</w:t>
      </w:r>
      <w:r w:rsidR="004A41E4" w:rsidRPr="00026EC1">
        <w:rPr>
          <w:rFonts w:cs="Arial"/>
          <w:bCs/>
        </w:rPr>
        <w:t>’</w:t>
      </w:r>
      <w:r w:rsidRPr="00026EC1">
        <w:rPr>
          <w:rFonts w:cs="Arial"/>
          <w:bCs/>
        </w:rPr>
        <w:t>application des régimes de retraite sont celles prévues aux clauses</w:t>
      </w:r>
      <w:r w:rsidR="0075426D" w:rsidRPr="00026EC1">
        <w:rPr>
          <w:rFonts w:cs="Arial"/>
          <w:bCs/>
        </w:rPr>
        <w:t> </w:t>
      </w:r>
      <w:r w:rsidRPr="00026EC1">
        <w:rPr>
          <w:rFonts w:cs="Arial"/>
          <w:bCs/>
        </w:rPr>
        <w:t>6</w:t>
      </w:r>
      <w:r w:rsidR="00984A6F">
        <w:rPr>
          <w:rFonts w:cs="Arial"/>
          <w:bCs/>
        </w:rPr>
        <w:noBreakHyphen/>
      </w:r>
      <w:r w:rsidRPr="00026EC1">
        <w:rPr>
          <w:rFonts w:cs="Arial"/>
          <w:bCs/>
        </w:rPr>
        <w:t>4.02 à</w:t>
      </w:r>
      <w:r w:rsidR="008E7722">
        <w:rPr>
          <w:rFonts w:cs="Arial"/>
          <w:bCs/>
        </w:rPr>
        <w:t xml:space="preserve"> </w:t>
      </w:r>
      <w:r w:rsidR="008E7722" w:rsidRPr="00316277">
        <w:rPr>
          <w:rFonts w:cs="Arial"/>
          <w:bCs/>
        </w:rPr>
        <w:t>6-4.06 et 6-4.07 le cas échéant</w:t>
      </w:r>
      <w:r w:rsidR="002C1DDD" w:rsidRPr="00284FCB">
        <w:rPr>
          <w:rFonts w:cs="Arial"/>
          <w:bCs/>
        </w:rPr>
        <w:t>.</w:t>
      </w:r>
    </w:p>
    <w:p w14:paraId="1D519608" w14:textId="77777777" w:rsidR="00E17E05" w:rsidRPr="00026EC1" w:rsidRDefault="00E17E05" w:rsidP="00A64613">
      <w:pPr>
        <w:keepNext w:val="0"/>
        <w:tabs>
          <w:tab w:val="left" w:pos="4500"/>
        </w:tabs>
        <w:rPr>
          <w:rFonts w:cs="Arial"/>
        </w:rPr>
      </w:pPr>
    </w:p>
    <w:p w14:paraId="5DF57D08" w14:textId="4F8EB10E" w:rsidR="00E17E05" w:rsidRPr="00284FCB" w:rsidRDefault="003414CA" w:rsidP="003414CA">
      <w:pPr>
        <w:pStyle w:val="NUMRODECLAUSE"/>
        <w:keepNext w:val="0"/>
        <w:tabs>
          <w:tab w:val="clear" w:pos="4500"/>
          <w:tab w:val="left" w:pos="1701"/>
        </w:tabs>
      </w:pPr>
      <w:r w:rsidRPr="00316277">
        <w:t>6-4.11</w:t>
      </w:r>
      <w:r>
        <w:tab/>
      </w:r>
      <w:r w:rsidR="00E17E05" w:rsidRPr="001126F1">
        <w:rPr>
          <w:u w:val="single"/>
        </w:rPr>
        <w:t>Enseignante ou enseignant hors échelle</w:t>
      </w:r>
    </w:p>
    <w:p w14:paraId="2DCA8ABA" w14:textId="302B4CE4" w:rsidR="00E17E05" w:rsidRPr="00026EC1" w:rsidRDefault="00275751" w:rsidP="00A64613">
      <w:pPr>
        <w:keepNext w:val="0"/>
        <w:tabs>
          <w:tab w:val="left" w:pos="567"/>
          <w:tab w:val="left" w:pos="4500"/>
        </w:tabs>
        <w:ind w:left="567" w:hanging="567"/>
        <w:rPr>
          <w:rFonts w:cs="Arial"/>
        </w:rPr>
      </w:pPr>
      <w:r w:rsidRPr="00284FCB">
        <w:rPr>
          <w:rFonts w:cs="Arial"/>
        </w:rPr>
        <w:t>a)</w:t>
      </w:r>
      <w:r w:rsidRPr="00284FCB">
        <w:rPr>
          <w:rFonts w:cs="Arial"/>
        </w:rPr>
        <w:tab/>
      </w:r>
      <w:r w:rsidR="00E17E05" w:rsidRPr="00284FCB">
        <w:rPr>
          <w:rFonts w:cs="Arial"/>
        </w:rPr>
        <w:t xml:space="preserve">À compter du </w:t>
      </w:r>
      <w:r w:rsidR="0036464F" w:rsidRPr="00284FCB">
        <w:rPr>
          <w:rFonts w:cs="Arial"/>
        </w:rPr>
        <w:t>1</w:t>
      </w:r>
      <w:r w:rsidR="0036464F" w:rsidRPr="00284FCB">
        <w:rPr>
          <w:rFonts w:cs="Arial"/>
          <w:vertAlign w:val="superscript"/>
        </w:rPr>
        <w:t>er</w:t>
      </w:r>
      <w:r w:rsidR="001126F1">
        <w:rPr>
          <w:rFonts w:cs="Arial"/>
        </w:rPr>
        <w:t> </w:t>
      </w:r>
      <w:r w:rsidR="0036464F" w:rsidRPr="00284FCB">
        <w:rPr>
          <w:rFonts w:cs="Arial"/>
        </w:rPr>
        <w:t>avril</w:t>
      </w:r>
      <w:r w:rsidR="001126F1">
        <w:rPr>
          <w:rFonts w:cs="Arial"/>
        </w:rPr>
        <w:t> </w:t>
      </w:r>
      <w:r w:rsidR="00F33874" w:rsidRPr="00316277">
        <w:rPr>
          <w:rFonts w:cs="Arial"/>
        </w:rPr>
        <w:t>2023</w:t>
      </w:r>
      <w:r w:rsidR="00E17E05" w:rsidRPr="00284FCB">
        <w:rPr>
          <w:rFonts w:cs="Arial"/>
        </w:rPr>
        <w:t>, l</w:t>
      </w:r>
      <w:r w:rsidR="004A41E4" w:rsidRPr="00284FCB">
        <w:rPr>
          <w:rFonts w:cs="Arial"/>
        </w:rPr>
        <w:t>’</w:t>
      </w:r>
      <w:r w:rsidR="00E17E05" w:rsidRPr="00284FCB">
        <w:rPr>
          <w:rFonts w:cs="Arial"/>
        </w:rPr>
        <w:t>enseignante ou l</w:t>
      </w:r>
      <w:r w:rsidR="004A41E4" w:rsidRPr="00284FCB">
        <w:rPr>
          <w:rFonts w:cs="Arial"/>
        </w:rPr>
        <w:t>’</w:t>
      </w:r>
      <w:r w:rsidR="00E17E05" w:rsidRPr="00284FCB">
        <w:rPr>
          <w:rFonts w:cs="Arial"/>
        </w:rPr>
        <w:t xml:space="preserve">enseignant dont le </w:t>
      </w:r>
      <w:r w:rsidR="00E17E05" w:rsidRPr="00284FCB">
        <w:rPr>
          <w:rFonts w:cs="Arial"/>
          <w:bCs/>
        </w:rPr>
        <w:t>traitement</w:t>
      </w:r>
      <w:r w:rsidR="00E17E05" w:rsidRPr="00284FCB">
        <w:rPr>
          <w:rFonts w:cs="Arial"/>
        </w:rPr>
        <w:t>, le jour précédant la date de la majoration des</w:t>
      </w:r>
      <w:r w:rsidR="00E17E05" w:rsidRPr="00026EC1">
        <w:rPr>
          <w:rFonts w:cs="Arial"/>
        </w:rPr>
        <w:t xml:space="preserve"> échelles de </w:t>
      </w:r>
      <w:bookmarkStart w:id="662" w:name="OLE_LINK6"/>
      <w:r w:rsidR="00E17E05" w:rsidRPr="00026EC1">
        <w:rPr>
          <w:rFonts w:cs="Arial"/>
          <w:bCs/>
        </w:rPr>
        <w:t>traitement</w:t>
      </w:r>
      <w:bookmarkEnd w:id="662"/>
      <w:r w:rsidR="00E17E05" w:rsidRPr="00026EC1">
        <w:rPr>
          <w:rFonts w:cs="Arial"/>
        </w:rPr>
        <w:t>, est plus élevé que le maximum de l</w:t>
      </w:r>
      <w:r w:rsidR="004A41E4" w:rsidRPr="00026EC1">
        <w:rPr>
          <w:rFonts w:cs="Arial"/>
        </w:rPr>
        <w:t>’</w:t>
      </w:r>
      <w:r w:rsidR="00E17E05" w:rsidRPr="00026EC1">
        <w:rPr>
          <w:rFonts w:cs="Arial"/>
        </w:rPr>
        <w:t xml:space="preserve">échelle de </w:t>
      </w:r>
      <w:r w:rsidR="00E17E05" w:rsidRPr="00026EC1">
        <w:rPr>
          <w:rFonts w:cs="Arial"/>
          <w:bCs/>
        </w:rPr>
        <w:t xml:space="preserve">traitement </w:t>
      </w:r>
      <w:r w:rsidR="00E17E05" w:rsidRPr="00026EC1">
        <w:rPr>
          <w:rFonts w:cs="Arial"/>
        </w:rPr>
        <w:t xml:space="preserve">en vigueur correspondant à sa scolarité et son expérience, bénéficie, à la date de majoration des échelles de </w:t>
      </w:r>
      <w:r w:rsidR="00E17E05" w:rsidRPr="00026EC1">
        <w:rPr>
          <w:rFonts w:cs="Arial"/>
          <w:bCs/>
        </w:rPr>
        <w:t>traitement</w:t>
      </w:r>
      <w:r w:rsidR="00E17E05" w:rsidRPr="00026EC1">
        <w:rPr>
          <w:rFonts w:cs="Arial"/>
        </w:rPr>
        <w:t>, d</w:t>
      </w:r>
      <w:r w:rsidR="004A41E4" w:rsidRPr="00026EC1">
        <w:rPr>
          <w:rFonts w:cs="Arial"/>
        </w:rPr>
        <w:t>’</w:t>
      </w:r>
      <w:r w:rsidR="00E17E05" w:rsidRPr="00026EC1">
        <w:rPr>
          <w:rFonts w:cs="Arial"/>
        </w:rPr>
        <w:t>un taux minimum d</w:t>
      </w:r>
      <w:r w:rsidR="004A41E4" w:rsidRPr="00026EC1">
        <w:rPr>
          <w:rFonts w:cs="Arial"/>
        </w:rPr>
        <w:t>’</w:t>
      </w:r>
      <w:r w:rsidR="00E17E05" w:rsidRPr="00026EC1">
        <w:rPr>
          <w:rFonts w:cs="Arial"/>
        </w:rPr>
        <w:t>augmentation qui est égal à la moitié du pourcentage d</w:t>
      </w:r>
      <w:r w:rsidR="004A41E4" w:rsidRPr="00026EC1">
        <w:rPr>
          <w:rFonts w:cs="Arial"/>
        </w:rPr>
        <w:t>’</w:t>
      </w:r>
      <w:r w:rsidR="00E17E05" w:rsidRPr="00026EC1">
        <w:rPr>
          <w:rFonts w:cs="Arial"/>
        </w:rPr>
        <w:t>augmentation applicable, au premier (1</w:t>
      </w:r>
      <w:r w:rsidR="00E17E05" w:rsidRPr="00026EC1">
        <w:rPr>
          <w:rFonts w:cs="Arial"/>
          <w:vertAlign w:val="superscript"/>
        </w:rPr>
        <w:t>er</w:t>
      </w:r>
      <w:r w:rsidR="00E17E05" w:rsidRPr="00026EC1">
        <w:rPr>
          <w:rFonts w:cs="Arial"/>
        </w:rPr>
        <w:t>) jour de la période en cause par rapport au dernier jour de la période précédente, à l</w:t>
      </w:r>
      <w:r w:rsidR="004A41E4" w:rsidRPr="00026EC1">
        <w:rPr>
          <w:rFonts w:cs="Arial"/>
        </w:rPr>
        <w:t>’</w:t>
      </w:r>
      <w:r w:rsidR="00E17E05" w:rsidRPr="00026EC1">
        <w:rPr>
          <w:rFonts w:cs="Arial"/>
        </w:rPr>
        <w:t>échelon situé au maximum de l</w:t>
      </w:r>
      <w:r w:rsidR="004A41E4" w:rsidRPr="00026EC1">
        <w:rPr>
          <w:rFonts w:cs="Arial"/>
        </w:rPr>
        <w:t>’</w:t>
      </w:r>
      <w:r w:rsidR="00E17E05" w:rsidRPr="00026EC1">
        <w:rPr>
          <w:rFonts w:cs="Arial"/>
        </w:rPr>
        <w:t>échelle du dernier jour de la période précédente correspondant à sa scolarité et son expérience.</w:t>
      </w:r>
    </w:p>
    <w:p w14:paraId="4E38CDD9" w14:textId="77777777" w:rsidR="00E17E05" w:rsidRPr="00026EC1" w:rsidRDefault="00E17E05" w:rsidP="00A64613">
      <w:pPr>
        <w:keepNext w:val="0"/>
        <w:tabs>
          <w:tab w:val="left" w:pos="4500"/>
        </w:tabs>
        <w:rPr>
          <w:rFonts w:cs="Arial"/>
        </w:rPr>
      </w:pPr>
    </w:p>
    <w:p w14:paraId="743DD439" w14:textId="77777777" w:rsidR="00E17E05" w:rsidRPr="00026EC1" w:rsidRDefault="00275751" w:rsidP="00A64613">
      <w:pPr>
        <w:keepNext w:val="0"/>
        <w:tabs>
          <w:tab w:val="left" w:pos="567"/>
          <w:tab w:val="left" w:pos="4500"/>
        </w:tabs>
        <w:ind w:left="567" w:hanging="567"/>
        <w:rPr>
          <w:rFonts w:cs="Arial"/>
        </w:rPr>
      </w:pPr>
      <w:r w:rsidRPr="00026EC1">
        <w:rPr>
          <w:rFonts w:cs="Arial"/>
        </w:rPr>
        <w:t>b)</w:t>
      </w:r>
      <w:r w:rsidRPr="00026EC1">
        <w:rPr>
          <w:rFonts w:cs="Arial"/>
        </w:rPr>
        <w:tab/>
      </w:r>
      <w:r w:rsidR="00E17E05" w:rsidRPr="00026EC1">
        <w:rPr>
          <w:rFonts w:cs="Arial"/>
        </w:rPr>
        <w:t>Si l</w:t>
      </w:r>
      <w:r w:rsidR="004A41E4" w:rsidRPr="00026EC1">
        <w:rPr>
          <w:rFonts w:cs="Arial"/>
        </w:rPr>
        <w:t>’</w:t>
      </w:r>
      <w:r w:rsidR="00E17E05" w:rsidRPr="00026EC1">
        <w:rPr>
          <w:rFonts w:cs="Arial"/>
        </w:rPr>
        <w:t>application du taux minimum d</w:t>
      </w:r>
      <w:r w:rsidR="004A41E4" w:rsidRPr="00026EC1">
        <w:rPr>
          <w:rFonts w:cs="Arial"/>
        </w:rPr>
        <w:t>’</w:t>
      </w:r>
      <w:r w:rsidR="00E17E05" w:rsidRPr="00026EC1">
        <w:rPr>
          <w:rFonts w:cs="Arial"/>
        </w:rPr>
        <w:t>augmentation déterminé à l</w:t>
      </w:r>
      <w:r w:rsidR="004A41E4" w:rsidRPr="00026EC1">
        <w:rPr>
          <w:rFonts w:cs="Arial"/>
        </w:rPr>
        <w:t>’</w:t>
      </w:r>
      <w:r w:rsidR="00E17E05" w:rsidRPr="00026EC1">
        <w:rPr>
          <w:rFonts w:cs="Arial"/>
        </w:rPr>
        <w:t>alinéa a) a pour effet de situer au premier (1</w:t>
      </w:r>
      <w:r w:rsidR="00E17E05" w:rsidRPr="00026EC1">
        <w:rPr>
          <w:rFonts w:cs="Arial"/>
          <w:vertAlign w:val="superscript"/>
        </w:rPr>
        <w:t>er</w:t>
      </w:r>
      <w:r w:rsidR="00E17E05" w:rsidRPr="00026EC1">
        <w:rPr>
          <w:rFonts w:cs="Arial"/>
        </w:rPr>
        <w:t>) jour d</w:t>
      </w:r>
      <w:r w:rsidR="004A41E4" w:rsidRPr="00026EC1">
        <w:rPr>
          <w:rFonts w:cs="Arial"/>
        </w:rPr>
        <w:t>’</w:t>
      </w:r>
      <w:r w:rsidR="00E17E05" w:rsidRPr="00026EC1">
        <w:rPr>
          <w:rFonts w:cs="Arial"/>
        </w:rPr>
        <w:t xml:space="preserve">une période une enseignante ou un enseignant qui était hors échelle au dernier jour de la période précédente à un </w:t>
      </w:r>
      <w:r w:rsidR="00E17E05" w:rsidRPr="00026EC1">
        <w:rPr>
          <w:rFonts w:cs="Arial"/>
          <w:bCs/>
        </w:rPr>
        <w:t xml:space="preserve">traitement </w:t>
      </w:r>
      <w:r w:rsidR="00E17E05" w:rsidRPr="00026EC1">
        <w:rPr>
          <w:rFonts w:cs="Arial"/>
        </w:rPr>
        <w:t>inférieur à l</w:t>
      </w:r>
      <w:r w:rsidR="004A41E4" w:rsidRPr="00026EC1">
        <w:rPr>
          <w:rFonts w:cs="Arial"/>
        </w:rPr>
        <w:t>’</w:t>
      </w:r>
      <w:r w:rsidR="00E17E05" w:rsidRPr="00026EC1">
        <w:rPr>
          <w:rFonts w:cs="Arial"/>
        </w:rPr>
        <w:t>échelon maximum de l</w:t>
      </w:r>
      <w:r w:rsidR="004A41E4" w:rsidRPr="00026EC1">
        <w:rPr>
          <w:rFonts w:cs="Arial"/>
        </w:rPr>
        <w:t>’</w:t>
      </w:r>
      <w:r w:rsidR="00E17E05" w:rsidRPr="00026EC1">
        <w:rPr>
          <w:rFonts w:cs="Arial"/>
        </w:rPr>
        <w:t xml:space="preserve">échelle de </w:t>
      </w:r>
      <w:r w:rsidR="00E17E05" w:rsidRPr="00026EC1">
        <w:rPr>
          <w:rFonts w:cs="Arial"/>
          <w:bCs/>
        </w:rPr>
        <w:t xml:space="preserve">traitement </w:t>
      </w:r>
      <w:r w:rsidR="00E17E05" w:rsidRPr="00026EC1">
        <w:rPr>
          <w:rFonts w:cs="Arial"/>
        </w:rPr>
        <w:t>correspondant à sa scolarité et son expérience, ce taux minimum d</w:t>
      </w:r>
      <w:r w:rsidR="004A41E4" w:rsidRPr="00026EC1">
        <w:rPr>
          <w:rFonts w:cs="Arial"/>
        </w:rPr>
        <w:t>’</w:t>
      </w:r>
      <w:r w:rsidR="00E17E05" w:rsidRPr="00026EC1">
        <w:rPr>
          <w:rFonts w:cs="Arial"/>
        </w:rPr>
        <w:t>augmentation est porté au pourcentage nécessaire pour permettre à cette enseignante ou à cet enseignant l</w:t>
      </w:r>
      <w:r w:rsidR="004A41E4" w:rsidRPr="00026EC1">
        <w:rPr>
          <w:rFonts w:cs="Arial"/>
        </w:rPr>
        <w:t>’</w:t>
      </w:r>
      <w:r w:rsidR="00E17E05" w:rsidRPr="00026EC1">
        <w:rPr>
          <w:rFonts w:cs="Arial"/>
        </w:rPr>
        <w:t>atteinte du niveau de cet échelon.</w:t>
      </w:r>
    </w:p>
    <w:p w14:paraId="0303791C" w14:textId="77777777" w:rsidR="00E17E05" w:rsidRPr="00026EC1" w:rsidRDefault="00E17E05" w:rsidP="00A64613">
      <w:pPr>
        <w:keepNext w:val="0"/>
        <w:tabs>
          <w:tab w:val="left" w:pos="4500"/>
        </w:tabs>
        <w:rPr>
          <w:rFonts w:cs="Arial"/>
        </w:rPr>
      </w:pPr>
    </w:p>
    <w:p w14:paraId="3749D7F3" w14:textId="77777777" w:rsidR="00E17E05" w:rsidRPr="00026EC1" w:rsidRDefault="00275751" w:rsidP="00A64613">
      <w:pPr>
        <w:keepNext w:val="0"/>
        <w:tabs>
          <w:tab w:val="left" w:pos="567"/>
          <w:tab w:val="left" w:pos="4500"/>
        </w:tabs>
        <w:ind w:left="567" w:hanging="567"/>
        <w:rPr>
          <w:rFonts w:cs="Arial"/>
        </w:rPr>
      </w:pPr>
      <w:r w:rsidRPr="00026EC1">
        <w:rPr>
          <w:rFonts w:cs="Arial"/>
        </w:rPr>
        <w:t>c)</w:t>
      </w:r>
      <w:r w:rsidRPr="00026EC1">
        <w:rPr>
          <w:rFonts w:cs="Arial"/>
        </w:rPr>
        <w:tab/>
      </w:r>
      <w:r w:rsidR="00E17E05" w:rsidRPr="00026EC1">
        <w:rPr>
          <w:rFonts w:cs="Arial"/>
        </w:rPr>
        <w:t>La différence entre, d</w:t>
      </w:r>
      <w:r w:rsidR="004A41E4" w:rsidRPr="00026EC1">
        <w:rPr>
          <w:rFonts w:cs="Arial"/>
        </w:rPr>
        <w:t>’</w:t>
      </w:r>
      <w:r w:rsidR="00E17E05" w:rsidRPr="00026EC1">
        <w:rPr>
          <w:rFonts w:cs="Arial"/>
        </w:rPr>
        <w:t>une part, le pourcentage d</w:t>
      </w:r>
      <w:r w:rsidR="004A41E4" w:rsidRPr="00026EC1">
        <w:rPr>
          <w:rFonts w:cs="Arial"/>
        </w:rPr>
        <w:t>’</w:t>
      </w:r>
      <w:r w:rsidR="00E17E05" w:rsidRPr="00026EC1">
        <w:rPr>
          <w:rFonts w:cs="Arial"/>
        </w:rPr>
        <w:t>augmentation de l</w:t>
      </w:r>
      <w:r w:rsidR="004A41E4" w:rsidRPr="00026EC1">
        <w:rPr>
          <w:rFonts w:cs="Arial"/>
        </w:rPr>
        <w:t>’</w:t>
      </w:r>
      <w:r w:rsidR="00E17E05" w:rsidRPr="00026EC1">
        <w:rPr>
          <w:rFonts w:cs="Arial"/>
        </w:rPr>
        <w:t>échelon maximum de l</w:t>
      </w:r>
      <w:r w:rsidR="004A41E4" w:rsidRPr="00026EC1">
        <w:rPr>
          <w:rFonts w:cs="Arial"/>
        </w:rPr>
        <w:t>’</w:t>
      </w:r>
      <w:r w:rsidR="00E17E05" w:rsidRPr="00026EC1">
        <w:rPr>
          <w:rFonts w:cs="Arial"/>
        </w:rPr>
        <w:t xml:space="preserve">échelle de </w:t>
      </w:r>
      <w:r w:rsidR="00E17E05" w:rsidRPr="00026EC1">
        <w:rPr>
          <w:rFonts w:cs="Arial"/>
          <w:bCs/>
        </w:rPr>
        <w:t xml:space="preserve">traitement </w:t>
      </w:r>
      <w:r w:rsidR="00E17E05" w:rsidRPr="00026EC1">
        <w:rPr>
          <w:rFonts w:cs="Arial"/>
        </w:rPr>
        <w:t>correspondant à la scolarité et à l</w:t>
      </w:r>
      <w:r w:rsidR="004A41E4" w:rsidRPr="00026EC1">
        <w:rPr>
          <w:rFonts w:cs="Arial"/>
        </w:rPr>
        <w:t>’</w:t>
      </w:r>
      <w:r w:rsidR="00E17E05" w:rsidRPr="00026EC1">
        <w:rPr>
          <w:rFonts w:cs="Arial"/>
        </w:rPr>
        <w:t>expérience de l</w:t>
      </w:r>
      <w:r w:rsidR="004A41E4" w:rsidRPr="00026EC1">
        <w:rPr>
          <w:rFonts w:cs="Arial"/>
        </w:rPr>
        <w:t>’</w:t>
      </w:r>
      <w:r w:rsidR="00E17E05" w:rsidRPr="00026EC1">
        <w:rPr>
          <w:rFonts w:cs="Arial"/>
        </w:rPr>
        <w:t>enseignante ou de l</w:t>
      </w:r>
      <w:r w:rsidR="004A41E4" w:rsidRPr="00026EC1">
        <w:rPr>
          <w:rFonts w:cs="Arial"/>
        </w:rPr>
        <w:t>’</w:t>
      </w:r>
      <w:r w:rsidR="00E17E05" w:rsidRPr="00026EC1">
        <w:rPr>
          <w:rFonts w:cs="Arial"/>
        </w:rPr>
        <w:t>enseignant et, d</w:t>
      </w:r>
      <w:r w:rsidR="004A41E4" w:rsidRPr="00026EC1">
        <w:rPr>
          <w:rFonts w:cs="Arial"/>
        </w:rPr>
        <w:t>’</w:t>
      </w:r>
      <w:r w:rsidR="00E17E05" w:rsidRPr="00026EC1">
        <w:rPr>
          <w:rFonts w:cs="Arial"/>
        </w:rPr>
        <w:t>autre part, le taux minimum d</w:t>
      </w:r>
      <w:r w:rsidR="004A41E4" w:rsidRPr="00026EC1">
        <w:rPr>
          <w:rFonts w:cs="Arial"/>
        </w:rPr>
        <w:t>’</w:t>
      </w:r>
      <w:r w:rsidR="00E17E05" w:rsidRPr="00026EC1">
        <w:rPr>
          <w:rFonts w:cs="Arial"/>
        </w:rPr>
        <w:t>augmentation établi conformément aux alinéas a) et b), lui est versée sous forme d</w:t>
      </w:r>
      <w:r w:rsidR="004A41E4" w:rsidRPr="00026EC1">
        <w:rPr>
          <w:rFonts w:cs="Arial"/>
        </w:rPr>
        <w:t>’</w:t>
      </w:r>
      <w:r w:rsidR="00E17E05" w:rsidRPr="00026EC1">
        <w:rPr>
          <w:rFonts w:cs="Arial"/>
        </w:rPr>
        <w:t xml:space="preserve">un montant forfaitaire calculé sur la base de son </w:t>
      </w:r>
      <w:r w:rsidR="00E17E05" w:rsidRPr="00026EC1">
        <w:rPr>
          <w:rFonts w:cs="Arial"/>
          <w:bCs/>
        </w:rPr>
        <w:t xml:space="preserve">traitement </w:t>
      </w:r>
      <w:r w:rsidR="00E17E05" w:rsidRPr="00026EC1">
        <w:rPr>
          <w:rFonts w:cs="Arial"/>
        </w:rPr>
        <w:t>au dernier jour de la période précédente.</w:t>
      </w:r>
    </w:p>
    <w:p w14:paraId="26EE68A3" w14:textId="77777777" w:rsidR="00E17E05" w:rsidRPr="00026EC1" w:rsidRDefault="00E17E05" w:rsidP="00A64613">
      <w:pPr>
        <w:keepNext w:val="0"/>
        <w:tabs>
          <w:tab w:val="left" w:pos="4500"/>
        </w:tabs>
        <w:rPr>
          <w:rFonts w:cs="Arial"/>
        </w:rPr>
      </w:pPr>
    </w:p>
    <w:p w14:paraId="2330FA27" w14:textId="77777777" w:rsidR="00404F34" w:rsidRPr="00026EC1" w:rsidRDefault="00275751" w:rsidP="00A64613">
      <w:pPr>
        <w:keepNext w:val="0"/>
        <w:tabs>
          <w:tab w:val="left" w:pos="567"/>
          <w:tab w:val="left" w:pos="4500"/>
        </w:tabs>
        <w:ind w:left="567" w:hanging="567"/>
        <w:rPr>
          <w:rFonts w:cs="Arial"/>
        </w:rPr>
      </w:pPr>
      <w:r w:rsidRPr="00026EC1">
        <w:rPr>
          <w:rFonts w:cs="Arial"/>
        </w:rPr>
        <w:t>d)</w:t>
      </w:r>
      <w:r w:rsidRPr="00026EC1">
        <w:rPr>
          <w:rFonts w:cs="Arial"/>
        </w:rPr>
        <w:tab/>
      </w:r>
      <w:r w:rsidR="00E17E05" w:rsidRPr="00026EC1">
        <w:rPr>
          <w:rFonts w:cs="Arial"/>
        </w:rPr>
        <w:t>Le montant forfaitaire est réparti et versé à chaque période de paie au prorata de la charge individuelle de travail pour laquelle l</w:t>
      </w:r>
      <w:r w:rsidR="004A41E4" w:rsidRPr="00026EC1">
        <w:rPr>
          <w:rFonts w:cs="Arial"/>
        </w:rPr>
        <w:t>’</w:t>
      </w:r>
      <w:r w:rsidR="00E17E05" w:rsidRPr="00026EC1">
        <w:rPr>
          <w:rFonts w:cs="Arial"/>
        </w:rPr>
        <w:t>enseignante ou l</w:t>
      </w:r>
      <w:r w:rsidR="004A41E4" w:rsidRPr="00026EC1">
        <w:rPr>
          <w:rFonts w:cs="Arial"/>
        </w:rPr>
        <w:t>’</w:t>
      </w:r>
      <w:r w:rsidR="00BA79F8" w:rsidRPr="00026EC1">
        <w:rPr>
          <w:rFonts w:cs="Arial"/>
        </w:rPr>
        <w:t>enseignant est rémunéré.</w:t>
      </w:r>
    </w:p>
    <w:p w14:paraId="28F961D7" w14:textId="0D8B1D0E" w:rsidR="002E6480" w:rsidRPr="00284FCB" w:rsidRDefault="00404F34" w:rsidP="00A64613">
      <w:pPr>
        <w:pStyle w:val="Heading2"/>
        <w:keepNext w:val="0"/>
        <w:tabs>
          <w:tab w:val="clear" w:pos="1843"/>
          <w:tab w:val="clear" w:pos="2127"/>
          <w:tab w:val="left" w:pos="1701"/>
          <w:tab w:val="left" w:pos="1985"/>
        </w:tabs>
        <w:ind w:left="1985" w:hanging="1985"/>
        <w:jc w:val="both"/>
      </w:pPr>
      <w:r w:rsidRPr="00026EC1">
        <w:br w:type="page"/>
      </w:r>
      <w:bookmarkStart w:id="663" w:name="_Toc531486668"/>
      <w:bookmarkStart w:id="664" w:name="_Toc133760792"/>
      <w:bookmarkStart w:id="665" w:name="_Toc393444626"/>
      <w:bookmarkStart w:id="666" w:name="_Toc393449577"/>
      <w:bookmarkStart w:id="667" w:name="_Toc393460946"/>
      <w:bookmarkStart w:id="668" w:name="_Toc393461224"/>
      <w:bookmarkStart w:id="669" w:name="_Toc393720785"/>
      <w:bookmarkStart w:id="670" w:name="_Toc393783946"/>
      <w:bookmarkStart w:id="671" w:name="_Toc393784085"/>
      <w:bookmarkStart w:id="672" w:name="_Toc168479539"/>
      <w:r w:rsidRPr="00026EC1">
        <w:t>Article</w:t>
      </w:r>
      <w:r w:rsidR="00831CEF" w:rsidRPr="00026EC1">
        <w:t> </w:t>
      </w:r>
      <w:r w:rsidRPr="00026EC1">
        <w:t>6</w:t>
      </w:r>
      <w:r w:rsidR="00984A6F">
        <w:t>-</w:t>
      </w:r>
      <w:r w:rsidRPr="00026EC1">
        <w:t>5.00</w:t>
      </w:r>
      <w:r w:rsidR="00C9604C" w:rsidRPr="00026EC1">
        <w:tab/>
      </w:r>
      <w:r w:rsidR="00984A6F">
        <w:t>-</w:t>
      </w:r>
      <w:r w:rsidR="00C9604C" w:rsidRPr="00026EC1">
        <w:tab/>
      </w:r>
      <w:r w:rsidRPr="00026EC1">
        <w:t xml:space="preserve">Taux </w:t>
      </w:r>
      <w:r w:rsidRPr="00284FCB">
        <w:t xml:space="preserve">horaires </w:t>
      </w:r>
      <w:r w:rsidR="00C53091" w:rsidRPr="00284FCB">
        <w:t>et échelle</w:t>
      </w:r>
      <w:r w:rsidR="00BE2AAA" w:rsidRPr="00284FCB">
        <w:t>s</w:t>
      </w:r>
      <w:r w:rsidR="00C53091" w:rsidRPr="00284FCB">
        <w:t xml:space="preserve"> de traitement </w:t>
      </w:r>
      <w:r w:rsidRPr="00284FCB">
        <w:t>de l</w:t>
      </w:r>
      <w:r w:rsidR="004A41E4" w:rsidRPr="00284FCB">
        <w:t>’</w:t>
      </w:r>
      <w:r w:rsidRPr="00284FCB">
        <w:t>enseignante ou de l</w:t>
      </w:r>
      <w:r w:rsidR="004A41E4" w:rsidRPr="00284FCB">
        <w:t>’</w:t>
      </w:r>
      <w:r w:rsidRPr="00284FCB">
        <w:t>enseignant chargé de cours</w:t>
      </w:r>
      <w:bookmarkEnd w:id="663"/>
      <w:bookmarkEnd w:id="664"/>
      <w:bookmarkEnd w:id="665"/>
      <w:bookmarkEnd w:id="666"/>
      <w:bookmarkEnd w:id="667"/>
      <w:bookmarkEnd w:id="668"/>
      <w:bookmarkEnd w:id="669"/>
      <w:bookmarkEnd w:id="670"/>
      <w:bookmarkEnd w:id="671"/>
      <w:r w:rsidR="002E6480" w:rsidRPr="00284FCB">
        <w:t xml:space="preserve"> </w:t>
      </w:r>
      <w:r w:rsidR="009D010D" w:rsidRPr="00284FCB">
        <w:t>et taux horaires pour les autres activités</w:t>
      </w:r>
      <w:bookmarkEnd w:id="672"/>
    </w:p>
    <w:p w14:paraId="52440E4D" w14:textId="0D7E3D74" w:rsidR="00C7755D" w:rsidRPr="00284FCB" w:rsidRDefault="00C7755D" w:rsidP="00A64613">
      <w:pPr>
        <w:pStyle w:val="NUMRODECLAUSE"/>
        <w:keepNext w:val="0"/>
      </w:pPr>
      <w:r w:rsidRPr="00284FCB">
        <w:t>6</w:t>
      </w:r>
      <w:r w:rsidR="00984A6F">
        <w:noBreakHyphen/>
      </w:r>
      <w:r w:rsidRPr="00284FCB">
        <w:t>5.01</w:t>
      </w:r>
      <w:r w:rsidRPr="00284FCB">
        <w:tab/>
      </w:r>
      <w:r w:rsidRPr="004C48E0">
        <w:rPr>
          <w:u w:val="single"/>
        </w:rPr>
        <w:t>Taux horaires</w:t>
      </w:r>
      <w:r w:rsidR="00C53091" w:rsidRPr="004C48E0">
        <w:rPr>
          <w:u w:val="single"/>
        </w:rPr>
        <w:t xml:space="preserve"> et échelle</w:t>
      </w:r>
      <w:r w:rsidR="00BE2AAA" w:rsidRPr="004C48E0">
        <w:rPr>
          <w:u w:val="single"/>
        </w:rPr>
        <w:t>s</w:t>
      </w:r>
      <w:r w:rsidR="00C53091" w:rsidRPr="004C48E0">
        <w:rPr>
          <w:u w:val="single"/>
        </w:rPr>
        <w:t xml:space="preserve"> de traitement</w:t>
      </w:r>
    </w:p>
    <w:p w14:paraId="17E5832F" w14:textId="38ECD55E" w:rsidR="00C7755D" w:rsidRPr="00284FCB" w:rsidRDefault="00C7755D" w:rsidP="00A64613">
      <w:pPr>
        <w:keepNext w:val="0"/>
        <w:tabs>
          <w:tab w:val="left" w:pos="4500"/>
        </w:tabs>
        <w:rPr>
          <w:rFonts w:cs="Arial"/>
        </w:rPr>
      </w:pPr>
      <w:r w:rsidRPr="00284FCB">
        <w:rPr>
          <w:rFonts w:cs="Arial"/>
        </w:rPr>
        <w:t xml:space="preserve">Les taux horaires </w:t>
      </w:r>
      <w:r w:rsidR="001A3616" w:rsidRPr="00284FCB">
        <w:rPr>
          <w:rFonts w:cs="Arial"/>
        </w:rPr>
        <w:t xml:space="preserve">et les échelles de traitement </w:t>
      </w:r>
      <w:r w:rsidRPr="00284FCB">
        <w:rPr>
          <w:rFonts w:cs="Arial"/>
        </w:rPr>
        <w:t>de l</w:t>
      </w:r>
      <w:r w:rsidR="004A41E4" w:rsidRPr="00284FCB">
        <w:rPr>
          <w:rFonts w:cs="Arial"/>
        </w:rPr>
        <w:t>’</w:t>
      </w:r>
      <w:r w:rsidRPr="00284FCB">
        <w:rPr>
          <w:rFonts w:cs="Arial"/>
        </w:rPr>
        <w:t>enseignante ou de l</w:t>
      </w:r>
      <w:r w:rsidR="004A41E4" w:rsidRPr="00284FCB">
        <w:rPr>
          <w:rFonts w:cs="Arial"/>
        </w:rPr>
        <w:t>’</w:t>
      </w:r>
      <w:r w:rsidRPr="00284FCB">
        <w:rPr>
          <w:rFonts w:cs="Arial"/>
        </w:rPr>
        <w:t xml:space="preserve">enseignant chargé de cours sont ceux qui apparaissent au </w:t>
      </w:r>
      <w:r w:rsidRPr="00284FCB">
        <w:rPr>
          <w:rFonts w:cs="Arial"/>
          <w:bCs/>
        </w:rPr>
        <w:t>tableau B de l</w:t>
      </w:r>
      <w:r w:rsidR="004A41E4" w:rsidRPr="00284FCB">
        <w:rPr>
          <w:rFonts w:cs="Arial"/>
          <w:bCs/>
        </w:rPr>
        <w:t>’</w:t>
      </w:r>
      <w:r w:rsidR="004E1EBE" w:rsidRPr="00284FCB">
        <w:rPr>
          <w:rFonts w:cs="Arial"/>
          <w:bCs/>
        </w:rPr>
        <w:t>A</w:t>
      </w:r>
      <w:r w:rsidRPr="00284FCB">
        <w:rPr>
          <w:rFonts w:cs="Arial"/>
          <w:bCs/>
        </w:rPr>
        <w:t>nnexe VI</w:t>
      </w:r>
      <w:r w:rsidR="00984A6F">
        <w:rPr>
          <w:rFonts w:cs="Arial"/>
          <w:bCs/>
        </w:rPr>
        <w:noBreakHyphen/>
      </w:r>
      <w:r w:rsidRPr="00284FCB">
        <w:rPr>
          <w:rFonts w:cs="Arial"/>
          <w:bCs/>
        </w:rPr>
        <w:t>1.</w:t>
      </w:r>
    </w:p>
    <w:p w14:paraId="5AE65912" w14:textId="77777777" w:rsidR="00C7755D" w:rsidRPr="00284FCB" w:rsidRDefault="00C7755D" w:rsidP="00A64613">
      <w:pPr>
        <w:keepNext w:val="0"/>
        <w:tabs>
          <w:tab w:val="left" w:pos="4500"/>
        </w:tabs>
        <w:rPr>
          <w:rFonts w:cs="Arial"/>
        </w:rPr>
      </w:pPr>
    </w:p>
    <w:p w14:paraId="48C16D38" w14:textId="66EC6B23" w:rsidR="009C1FD3" w:rsidRPr="00284FCB" w:rsidRDefault="00C7755D" w:rsidP="00A64613">
      <w:pPr>
        <w:pStyle w:val="NUMRODECLAUSE"/>
        <w:keepNext w:val="0"/>
      </w:pPr>
      <w:bookmarkStart w:id="673" w:name="OLE_LINK4"/>
      <w:r w:rsidRPr="00284FCB">
        <w:t>6</w:t>
      </w:r>
      <w:r w:rsidR="00984A6F">
        <w:noBreakHyphen/>
      </w:r>
      <w:r w:rsidRPr="00284FCB">
        <w:t>5.02</w:t>
      </w:r>
      <w:r w:rsidRPr="00284FCB">
        <w:tab/>
      </w:r>
      <w:r w:rsidRPr="004C48E0">
        <w:rPr>
          <w:u w:val="single"/>
        </w:rPr>
        <w:t>Majoration des taux horaire</w:t>
      </w:r>
      <w:r w:rsidR="009C1FD3" w:rsidRPr="004C48E0">
        <w:rPr>
          <w:u w:val="single"/>
        </w:rPr>
        <w:t xml:space="preserve"> et échelle</w:t>
      </w:r>
      <w:r w:rsidR="00BE2AAA" w:rsidRPr="004C48E0">
        <w:rPr>
          <w:u w:val="single"/>
        </w:rPr>
        <w:t>s</w:t>
      </w:r>
      <w:r w:rsidR="009C1FD3" w:rsidRPr="004C48E0">
        <w:rPr>
          <w:u w:val="single"/>
        </w:rPr>
        <w:t xml:space="preserve"> de traitement</w:t>
      </w:r>
    </w:p>
    <w:bookmarkEnd w:id="673"/>
    <w:p w14:paraId="64C841D3" w14:textId="08318266" w:rsidR="00286081" w:rsidRPr="00284FCB" w:rsidRDefault="00286081" w:rsidP="00A64613">
      <w:pPr>
        <w:keepNext w:val="0"/>
        <w:tabs>
          <w:tab w:val="left" w:pos="4500"/>
        </w:tabs>
        <w:rPr>
          <w:rFonts w:cs="Arial"/>
          <w:strike/>
        </w:rPr>
      </w:pPr>
      <w:r w:rsidRPr="00284FCB">
        <w:rPr>
          <w:rFonts w:cs="Arial"/>
        </w:rPr>
        <w:t xml:space="preserve">Les taux horaires et les échelles de traitement applicables à l’enseignante et l’enseignant chargé de cours sont majorés avec effet aux dates prévues </w:t>
      </w:r>
      <w:r w:rsidRPr="00284FCB">
        <w:rPr>
          <w:rFonts w:cs="Arial"/>
          <w:bCs/>
        </w:rPr>
        <w:t>au tableau B de l’Annexe VI</w:t>
      </w:r>
      <w:r w:rsidR="00984A6F">
        <w:rPr>
          <w:rFonts w:cs="Arial"/>
          <w:bCs/>
        </w:rPr>
        <w:noBreakHyphen/>
      </w:r>
      <w:r w:rsidRPr="00284FCB">
        <w:rPr>
          <w:rFonts w:cs="Arial"/>
          <w:bCs/>
        </w:rPr>
        <w:t>1</w:t>
      </w:r>
      <w:r w:rsidRPr="00284FCB">
        <w:rPr>
          <w:rFonts w:cs="Arial"/>
        </w:rPr>
        <w:t xml:space="preserve"> et de la façon prévue aux clauses 6</w:t>
      </w:r>
      <w:r w:rsidR="00984A6F">
        <w:rPr>
          <w:rFonts w:cs="Arial"/>
        </w:rPr>
        <w:noBreakHyphen/>
      </w:r>
      <w:r w:rsidRPr="00284FCB">
        <w:rPr>
          <w:rFonts w:cs="Arial"/>
        </w:rPr>
        <w:t>4.02 à</w:t>
      </w:r>
      <w:r w:rsidR="00F33874" w:rsidRPr="00F33874">
        <w:rPr>
          <w:rFonts w:cs="Arial"/>
        </w:rPr>
        <w:t xml:space="preserve"> </w:t>
      </w:r>
      <w:r w:rsidR="00F33874" w:rsidRPr="00316277">
        <w:rPr>
          <w:rFonts w:cs="Arial"/>
        </w:rPr>
        <w:t>6-4.06 et 6-4.07 le cas échéant</w:t>
      </w:r>
      <w:r w:rsidRPr="00284FCB">
        <w:rPr>
          <w:rFonts w:cs="Arial"/>
        </w:rPr>
        <w:t>, avec les adaptations nécessaires.</w:t>
      </w:r>
    </w:p>
    <w:p w14:paraId="49BCC8E2" w14:textId="77777777" w:rsidR="00C7755D" w:rsidRPr="00284FCB" w:rsidRDefault="00C7755D" w:rsidP="00A64613">
      <w:pPr>
        <w:keepNext w:val="0"/>
        <w:tabs>
          <w:tab w:val="left" w:pos="4500"/>
        </w:tabs>
        <w:rPr>
          <w:rFonts w:cs="Arial"/>
          <w:strike/>
        </w:rPr>
      </w:pPr>
    </w:p>
    <w:p w14:paraId="6A736C27" w14:textId="732676DA" w:rsidR="00C7755D" w:rsidRPr="00284FCB" w:rsidRDefault="00C7755D" w:rsidP="00A64613">
      <w:pPr>
        <w:pStyle w:val="NUMRODECLAUSE"/>
        <w:keepNext w:val="0"/>
      </w:pPr>
      <w:r w:rsidRPr="00284FCB">
        <w:t>6</w:t>
      </w:r>
      <w:r w:rsidR="00984A6F">
        <w:noBreakHyphen/>
      </w:r>
      <w:r w:rsidRPr="00284FCB">
        <w:t>5.03</w:t>
      </w:r>
      <w:r w:rsidRPr="00284FCB">
        <w:tab/>
      </w:r>
      <w:r w:rsidRPr="004C48E0">
        <w:rPr>
          <w:u w:val="single"/>
        </w:rPr>
        <w:t>Dispositions particulières</w:t>
      </w:r>
    </w:p>
    <w:p w14:paraId="6908FD24" w14:textId="16E6C108" w:rsidR="00404F34" w:rsidRPr="00AF0A01" w:rsidRDefault="00C7755D" w:rsidP="00AF0A01">
      <w:pPr>
        <w:rPr>
          <w:rFonts w:cs="Arial"/>
        </w:rPr>
      </w:pPr>
      <w:r w:rsidRPr="00AF0A01">
        <w:rPr>
          <w:rFonts w:cs="Arial"/>
        </w:rPr>
        <w:t>Les dates où sont prises en compte les majorations des taux</w:t>
      </w:r>
      <w:r w:rsidR="002F6D23" w:rsidRPr="00AF0A01">
        <w:rPr>
          <w:rFonts w:cs="Arial"/>
        </w:rPr>
        <w:t xml:space="preserve"> horaire</w:t>
      </w:r>
      <w:r w:rsidR="009D6795" w:rsidRPr="00AF0A01">
        <w:rPr>
          <w:rFonts w:cs="Arial"/>
        </w:rPr>
        <w:t>s</w:t>
      </w:r>
      <w:r w:rsidRPr="00AF0A01">
        <w:rPr>
          <w:rFonts w:cs="Arial"/>
        </w:rPr>
        <w:t xml:space="preserve"> et </w:t>
      </w:r>
      <w:r w:rsidR="00EE5981" w:rsidRPr="00AF0A01">
        <w:rPr>
          <w:rFonts w:cs="Arial"/>
        </w:rPr>
        <w:t xml:space="preserve">des </w:t>
      </w:r>
      <w:r w:rsidRPr="00AF0A01">
        <w:rPr>
          <w:rFonts w:cs="Arial"/>
        </w:rPr>
        <w:t>échelles de traitement pour l</w:t>
      </w:r>
      <w:r w:rsidR="004A41E4" w:rsidRPr="00AF0A01">
        <w:rPr>
          <w:rFonts w:cs="Arial"/>
        </w:rPr>
        <w:t>’</w:t>
      </w:r>
      <w:r w:rsidRPr="00AF0A01">
        <w:rPr>
          <w:rFonts w:cs="Arial"/>
        </w:rPr>
        <w:t>application des régimes de retraite sont cel</w:t>
      </w:r>
      <w:r w:rsidR="00BA79F8" w:rsidRPr="00AF0A01">
        <w:rPr>
          <w:rFonts w:cs="Arial"/>
        </w:rPr>
        <w:t>les prévues à la clause 6</w:t>
      </w:r>
      <w:r w:rsidR="00984A6F" w:rsidRPr="00AF0A01">
        <w:rPr>
          <w:rFonts w:cs="Arial"/>
        </w:rPr>
        <w:noBreakHyphen/>
      </w:r>
      <w:r w:rsidR="00BA79F8" w:rsidRPr="00AF0A01">
        <w:rPr>
          <w:rFonts w:cs="Arial"/>
        </w:rPr>
        <w:t>5.02.</w:t>
      </w:r>
    </w:p>
    <w:p w14:paraId="248B5CDF" w14:textId="77777777" w:rsidR="0036464F" w:rsidRPr="008E2BC0" w:rsidRDefault="0036464F" w:rsidP="00A64613">
      <w:pPr>
        <w:keepNext w:val="0"/>
        <w:rPr>
          <w:rFonts w:cs="Arial"/>
        </w:rPr>
      </w:pPr>
    </w:p>
    <w:p w14:paraId="11768FF6" w14:textId="6E64460A" w:rsidR="0036464F" w:rsidRPr="008E2BC0" w:rsidRDefault="00F33874" w:rsidP="00A64613">
      <w:pPr>
        <w:pStyle w:val="NUMRODECLAUSE"/>
        <w:keepNext w:val="0"/>
      </w:pPr>
      <w:r w:rsidRPr="00316277">
        <w:t>6-5.04</w:t>
      </w:r>
    </w:p>
    <w:p w14:paraId="0692AF6B" w14:textId="3530E20E" w:rsidR="00DC20D0" w:rsidRDefault="00DC20D0" w:rsidP="00A64613">
      <w:pPr>
        <w:keepNext w:val="0"/>
      </w:pPr>
      <w:r w:rsidRPr="008E2BC0">
        <w:t xml:space="preserve">Les taux </w:t>
      </w:r>
      <w:r w:rsidRPr="008E2BC0">
        <w:rPr>
          <w:rFonts w:cs="Arial"/>
        </w:rPr>
        <w:t xml:space="preserve">horaires </w:t>
      </w:r>
      <w:r w:rsidRPr="008E2BC0">
        <w:t xml:space="preserve">et les échelles de traitement </w:t>
      </w:r>
      <w:r w:rsidR="00A800C8">
        <w:t xml:space="preserve">de </w:t>
      </w:r>
      <w:r w:rsidRPr="008E2BC0">
        <w:t>l’enseignante et de l’enseignant chargé de cours sont déterminées selon la méthodologie prévue à l’Annexe VI</w:t>
      </w:r>
      <w:r w:rsidR="00984A6F">
        <w:noBreakHyphen/>
      </w:r>
      <w:r w:rsidRPr="008E2BC0">
        <w:t>4.</w:t>
      </w:r>
    </w:p>
    <w:p w14:paraId="2F5D0E50" w14:textId="77777777" w:rsidR="00580E5F" w:rsidRPr="008E2BC0" w:rsidRDefault="00580E5F" w:rsidP="00A64613">
      <w:pPr>
        <w:keepNext w:val="0"/>
      </w:pPr>
    </w:p>
    <w:p w14:paraId="04AE22E1" w14:textId="17DFD64F" w:rsidR="00FC3409" w:rsidRPr="008E2BC0" w:rsidRDefault="00F33874" w:rsidP="00F33874">
      <w:pPr>
        <w:pStyle w:val="NUMRODECLAUSE"/>
        <w:keepNext w:val="0"/>
        <w:tabs>
          <w:tab w:val="clear" w:pos="4500"/>
          <w:tab w:val="left" w:pos="1701"/>
        </w:tabs>
      </w:pPr>
      <w:r w:rsidRPr="00316277">
        <w:t>6-5.05</w:t>
      </w:r>
      <w:r w:rsidR="006A5DB6">
        <w:tab/>
      </w:r>
      <w:r w:rsidR="00FC3409" w:rsidRPr="004C48E0">
        <w:rPr>
          <w:u w:val="single"/>
        </w:rPr>
        <w:t>Taux horaires pour les autres activités</w:t>
      </w:r>
    </w:p>
    <w:p w14:paraId="277CC19F" w14:textId="2263A3CD" w:rsidR="00FC3409" w:rsidRPr="008E2BC0" w:rsidRDefault="00FC3409" w:rsidP="00A64613">
      <w:pPr>
        <w:keepNext w:val="0"/>
        <w:rPr>
          <w:rFonts w:cs="Arial"/>
        </w:rPr>
      </w:pPr>
      <w:r w:rsidRPr="008E2BC0">
        <w:rPr>
          <w:rFonts w:cs="Arial"/>
        </w:rPr>
        <w:t>Les taux horaires de l’enseignante et de l’enseignant pour les autres activités prévues à la clause</w:t>
      </w:r>
      <w:r w:rsidR="00537465">
        <w:rPr>
          <w:rFonts w:cs="Arial"/>
        </w:rPr>
        <w:t> </w:t>
      </w:r>
      <w:r w:rsidRPr="008E2BC0">
        <w:rPr>
          <w:rFonts w:cs="Arial"/>
        </w:rPr>
        <w:t>6</w:t>
      </w:r>
      <w:r w:rsidR="00984A6F">
        <w:rPr>
          <w:rFonts w:cs="Arial"/>
        </w:rPr>
        <w:noBreakHyphen/>
      </w:r>
      <w:r w:rsidRPr="008E2BC0">
        <w:rPr>
          <w:rFonts w:cs="Arial"/>
        </w:rPr>
        <w:t>1.04</w:t>
      </w:r>
      <w:r w:rsidR="00537465">
        <w:rPr>
          <w:rFonts w:cs="Arial"/>
        </w:rPr>
        <w:t xml:space="preserve"> </w:t>
      </w:r>
      <w:r w:rsidRPr="008E2BC0">
        <w:rPr>
          <w:rFonts w:cs="Arial"/>
        </w:rPr>
        <w:t>sont prévus au tableau</w:t>
      </w:r>
      <w:r w:rsidR="0008587E">
        <w:rPr>
          <w:rFonts w:cs="Arial"/>
        </w:rPr>
        <w:t> </w:t>
      </w:r>
      <w:r w:rsidRPr="008E2BC0">
        <w:rPr>
          <w:rFonts w:cs="Arial"/>
        </w:rPr>
        <w:t>C de l’Annexe</w:t>
      </w:r>
      <w:r w:rsidR="00D0580F" w:rsidRPr="008E2BC0">
        <w:rPr>
          <w:rFonts w:cs="Arial"/>
        </w:rPr>
        <w:t> </w:t>
      </w:r>
      <w:r w:rsidRPr="008E2BC0">
        <w:rPr>
          <w:rFonts w:cs="Arial"/>
        </w:rPr>
        <w:t>VI</w:t>
      </w:r>
      <w:r w:rsidR="00984A6F">
        <w:rPr>
          <w:rFonts w:cs="Arial"/>
        </w:rPr>
        <w:noBreakHyphen/>
      </w:r>
      <w:r w:rsidRPr="008E2BC0">
        <w:rPr>
          <w:rFonts w:cs="Arial"/>
        </w:rPr>
        <w:t>1.</w:t>
      </w:r>
    </w:p>
    <w:p w14:paraId="781CA6DB" w14:textId="77777777" w:rsidR="00FC3409" w:rsidRPr="008E2BC0" w:rsidRDefault="00FC3409" w:rsidP="00A64613">
      <w:pPr>
        <w:keepNext w:val="0"/>
        <w:rPr>
          <w:rFonts w:cs="Arial"/>
        </w:rPr>
      </w:pPr>
    </w:p>
    <w:p w14:paraId="7E3A254D" w14:textId="012D651A" w:rsidR="00FC3409" w:rsidRPr="008E2BC0" w:rsidRDefault="00F33874" w:rsidP="00A64613">
      <w:pPr>
        <w:keepNext w:val="0"/>
        <w:rPr>
          <w:rFonts w:cs="Arial"/>
          <w:b/>
          <w:bCs/>
        </w:rPr>
      </w:pPr>
      <w:r w:rsidRPr="00316277">
        <w:rPr>
          <w:rFonts w:cs="Arial"/>
          <w:b/>
          <w:bCs/>
        </w:rPr>
        <w:t>6-5.06</w:t>
      </w:r>
    </w:p>
    <w:p w14:paraId="17B60405" w14:textId="3A383C50" w:rsidR="00FC3409" w:rsidRDefault="00FC3409" w:rsidP="00A64613">
      <w:pPr>
        <w:keepNext w:val="0"/>
        <w:rPr>
          <w:rFonts w:cs="Arial"/>
        </w:rPr>
      </w:pPr>
      <w:r w:rsidRPr="008E2BC0">
        <w:rPr>
          <w:rFonts w:cs="Arial"/>
        </w:rPr>
        <w:t>Les taux horaires de l’enseignante et de l’enseignant pour les autres activités sont déterminés selon la méthodologie prévue à l’Annexe</w:t>
      </w:r>
      <w:r w:rsidR="00D0580F" w:rsidRPr="008E2BC0">
        <w:rPr>
          <w:rFonts w:cs="Arial"/>
        </w:rPr>
        <w:t> </w:t>
      </w:r>
      <w:r w:rsidRPr="008E2BC0">
        <w:rPr>
          <w:rFonts w:cs="Arial"/>
        </w:rPr>
        <w:t>VI</w:t>
      </w:r>
      <w:r w:rsidR="00984A6F">
        <w:rPr>
          <w:rFonts w:cs="Arial"/>
        </w:rPr>
        <w:noBreakHyphen/>
      </w:r>
      <w:r w:rsidRPr="008E2BC0">
        <w:rPr>
          <w:rFonts w:cs="Arial"/>
        </w:rPr>
        <w:t>4.</w:t>
      </w:r>
    </w:p>
    <w:p w14:paraId="7257B9F5" w14:textId="77777777" w:rsidR="00283488" w:rsidRPr="00026EC1" w:rsidRDefault="00283488" w:rsidP="00A64613">
      <w:pPr>
        <w:keepNext w:val="0"/>
        <w:rPr>
          <w:rFonts w:cs="Arial"/>
        </w:rPr>
      </w:pPr>
    </w:p>
    <w:p w14:paraId="3B7976D8" w14:textId="35183394" w:rsidR="00404F34" w:rsidRPr="00026EC1" w:rsidRDefault="00404F34" w:rsidP="00A64613">
      <w:pPr>
        <w:pStyle w:val="Heading2"/>
        <w:keepNext w:val="0"/>
        <w:tabs>
          <w:tab w:val="clear" w:pos="1843"/>
          <w:tab w:val="clear" w:pos="2127"/>
          <w:tab w:val="left" w:pos="1701"/>
          <w:tab w:val="left" w:pos="1985"/>
        </w:tabs>
        <w:ind w:left="2127" w:hanging="2127"/>
      </w:pPr>
      <w:r w:rsidRPr="00026EC1">
        <w:br w:type="page"/>
      </w:r>
      <w:bookmarkStart w:id="674" w:name="_Toc535046623"/>
      <w:bookmarkStart w:id="675" w:name="_Toc393444627"/>
      <w:bookmarkStart w:id="676" w:name="_Toc393449578"/>
      <w:bookmarkStart w:id="677" w:name="_Toc393460947"/>
      <w:bookmarkStart w:id="678" w:name="_Toc393461225"/>
      <w:bookmarkStart w:id="679" w:name="_Toc393720786"/>
      <w:bookmarkStart w:id="680" w:name="_Toc393783947"/>
      <w:bookmarkStart w:id="681" w:name="_Toc393784086"/>
      <w:bookmarkStart w:id="682" w:name="_Toc168479540"/>
      <w:r w:rsidRPr="00026EC1">
        <w:t>Article</w:t>
      </w:r>
      <w:r w:rsidR="00831CEF" w:rsidRPr="00026EC1">
        <w:t> </w:t>
      </w:r>
      <w:r w:rsidRPr="00026EC1">
        <w:t>6</w:t>
      </w:r>
      <w:r w:rsidR="00984A6F">
        <w:t>-</w:t>
      </w:r>
      <w:r w:rsidRPr="00026EC1">
        <w:t>6.00</w:t>
      </w:r>
      <w:r w:rsidR="00C9604C" w:rsidRPr="00026EC1">
        <w:tab/>
      </w:r>
      <w:r w:rsidR="00984A6F">
        <w:t>-</w:t>
      </w:r>
      <w:r w:rsidR="00C9604C" w:rsidRPr="00026EC1">
        <w:tab/>
      </w:r>
      <w:r w:rsidRPr="00026EC1">
        <w:t>Modalités de versement du salaire</w:t>
      </w:r>
      <w:bookmarkEnd w:id="674"/>
      <w:bookmarkEnd w:id="675"/>
      <w:bookmarkEnd w:id="676"/>
      <w:bookmarkEnd w:id="677"/>
      <w:bookmarkEnd w:id="678"/>
      <w:bookmarkEnd w:id="679"/>
      <w:bookmarkEnd w:id="680"/>
      <w:bookmarkEnd w:id="681"/>
      <w:bookmarkEnd w:id="682"/>
    </w:p>
    <w:p w14:paraId="3DD113B0"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18ED0AE6" w14:textId="77777777" w:rsidR="00404F34" w:rsidRPr="00026EC1" w:rsidRDefault="00404F34" w:rsidP="00A64613">
      <w:pPr>
        <w:keepNext w:val="0"/>
      </w:pPr>
    </w:p>
    <w:p w14:paraId="58C7E9BA" w14:textId="71ED09F0" w:rsidR="00404F34" w:rsidRPr="00026EC1" w:rsidRDefault="00404F34" w:rsidP="00A64613">
      <w:pPr>
        <w:pStyle w:val="NUMRODECLAUSE"/>
        <w:keepNext w:val="0"/>
      </w:pPr>
      <w:r w:rsidRPr="00026EC1">
        <w:t>6</w:t>
      </w:r>
      <w:r w:rsidR="00984A6F">
        <w:noBreakHyphen/>
      </w:r>
      <w:r w:rsidRPr="00026EC1">
        <w:t>6.01</w:t>
      </w:r>
    </w:p>
    <w:p w14:paraId="085E6C0D" w14:textId="416D9BF3" w:rsidR="00404F34" w:rsidRPr="00026EC1" w:rsidRDefault="00404F34" w:rsidP="00A64613">
      <w:pPr>
        <w:keepNext w:val="0"/>
      </w:pPr>
      <w:r w:rsidRPr="00026EC1">
        <w:t>Sous réserve des clauses</w:t>
      </w:r>
      <w:r w:rsidR="00BD38A6" w:rsidRPr="00026EC1">
        <w:t> </w:t>
      </w:r>
      <w:r w:rsidRPr="00026EC1">
        <w:t>3</w:t>
      </w:r>
      <w:r w:rsidR="00984A6F">
        <w:noBreakHyphen/>
      </w:r>
      <w:r w:rsidRPr="00026EC1">
        <w:t>3.02 et 6</w:t>
      </w:r>
      <w:r w:rsidR="00984A6F">
        <w:noBreakHyphen/>
      </w:r>
      <w:r w:rsidRPr="00026EC1">
        <w:t>6.03 et des dispositions des divers régimes (impôts, assurances, retraite, etc.), le salaire de l</w:t>
      </w:r>
      <w:r w:rsidR="004A41E4" w:rsidRPr="00026EC1">
        <w:t>’</w:t>
      </w:r>
      <w:r w:rsidRPr="00026EC1">
        <w:t>enseignante ou de l</w:t>
      </w:r>
      <w:r w:rsidR="004A41E4" w:rsidRPr="00026EC1">
        <w:t>’</w:t>
      </w:r>
      <w:r w:rsidRPr="00026EC1">
        <w:t>enseignant à temps complet est payable en vingt</w:t>
      </w:r>
      <w:r w:rsidR="00984A6F">
        <w:noBreakHyphen/>
      </w:r>
      <w:r w:rsidRPr="00026EC1">
        <w:t>six</w:t>
      </w:r>
      <w:r w:rsidR="004C48E0">
        <w:t> </w:t>
      </w:r>
      <w:r w:rsidRPr="00026EC1">
        <w:t>(26) versements égaux, tous les deux</w:t>
      </w:r>
      <w:r w:rsidR="004C48E0">
        <w:t> </w:t>
      </w:r>
      <w:r w:rsidRPr="00026EC1">
        <w:t>(2) jeudis. Cependant, afin d</w:t>
      </w:r>
      <w:r w:rsidR="004A41E4" w:rsidRPr="00026EC1">
        <w:t>’</w:t>
      </w:r>
      <w:r w:rsidRPr="00026EC1">
        <w:t>éviter qu</w:t>
      </w:r>
      <w:r w:rsidR="004A41E4" w:rsidRPr="00026EC1">
        <w:t>’</w:t>
      </w:r>
      <w:r w:rsidRPr="00026EC1">
        <w:t>il y ait interruption dans la continuité du versement du salaire, lorsque le calendrier de paie comporte</w:t>
      </w:r>
      <w:r w:rsidR="00630FFC" w:rsidRPr="00026EC1">
        <w:t xml:space="preserve"> vingt</w:t>
      </w:r>
      <w:r w:rsidR="00984A6F">
        <w:noBreakHyphen/>
      </w:r>
      <w:r w:rsidR="00630FFC" w:rsidRPr="00026EC1">
        <w:t>sept</w:t>
      </w:r>
      <w:r w:rsidR="004C48E0">
        <w:t> </w:t>
      </w:r>
      <w:r w:rsidR="00630FFC" w:rsidRPr="00026EC1">
        <w:t>(</w:t>
      </w:r>
      <w:r w:rsidRPr="00026EC1">
        <w:t>27</w:t>
      </w:r>
      <w:r w:rsidR="00630FFC" w:rsidRPr="00026EC1">
        <w:t>)</w:t>
      </w:r>
      <w:r w:rsidRPr="00026EC1">
        <w:t xml:space="preserve"> jeudis de paie dans une année d</w:t>
      </w:r>
      <w:r w:rsidR="004A41E4" w:rsidRPr="00026EC1">
        <w:t>’</w:t>
      </w:r>
      <w:r w:rsidRPr="00026EC1">
        <w:t xml:space="preserve">engagement, le Collège procède au versement du salaire annuel en </w:t>
      </w:r>
      <w:r w:rsidR="00630FFC" w:rsidRPr="00026EC1">
        <w:t>vingt</w:t>
      </w:r>
      <w:r w:rsidR="00984A6F">
        <w:noBreakHyphen/>
      </w:r>
      <w:r w:rsidR="00630FFC" w:rsidRPr="00026EC1">
        <w:t>sept</w:t>
      </w:r>
      <w:r w:rsidR="004C48E0">
        <w:t> </w:t>
      </w:r>
      <w:r w:rsidR="00630FFC" w:rsidRPr="00026EC1">
        <w:t>(</w:t>
      </w:r>
      <w:r w:rsidRPr="00026EC1">
        <w:t>27</w:t>
      </w:r>
      <w:r w:rsidR="00630FFC" w:rsidRPr="00026EC1">
        <w:t>)</w:t>
      </w:r>
      <w:r w:rsidRPr="00026EC1">
        <w:t xml:space="preserve"> versements égaux au lieu de </w:t>
      </w:r>
      <w:r w:rsidR="00C7446A" w:rsidRPr="00026EC1">
        <w:t>vingt</w:t>
      </w:r>
      <w:r w:rsidR="00984A6F">
        <w:noBreakHyphen/>
      </w:r>
      <w:r w:rsidR="00C7446A" w:rsidRPr="00026EC1">
        <w:t>six</w:t>
      </w:r>
      <w:r w:rsidR="004C48E0">
        <w:t> </w:t>
      </w:r>
      <w:r w:rsidR="00C7446A" w:rsidRPr="00026EC1">
        <w:t>(</w:t>
      </w:r>
      <w:r w:rsidRPr="00026EC1">
        <w:t>26</w:t>
      </w:r>
      <w:r w:rsidR="00C7446A" w:rsidRPr="00026EC1">
        <w:t>)</w:t>
      </w:r>
      <w:r w:rsidRPr="00026EC1">
        <w:t>.</w:t>
      </w:r>
    </w:p>
    <w:p w14:paraId="2963DC48" w14:textId="77777777" w:rsidR="00404F34" w:rsidRPr="00026EC1" w:rsidRDefault="00404F34" w:rsidP="00A64613">
      <w:pPr>
        <w:keepNext w:val="0"/>
      </w:pPr>
    </w:p>
    <w:p w14:paraId="77067A6A" w14:textId="5B0C7DC6" w:rsidR="00404F34" w:rsidRPr="00026EC1" w:rsidRDefault="00404F34" w:rsidP="00A64613">
      <w:pPr>
        <w:keepNext w:val="0"/>
      </w:pPr>
      <w:r w:rsidRPr="00026EC1">
        <w:t>Le salaire de l</w:t>
      </w:r>
      <w:r w:rsidR="004A41E4" w:rsidRPr="00026EC1">
        <w:t>’</w:t>
      </w:r>
      <w:r w:rsidRPr="00026EC1">
        <w:t>enseignante ou de l</w:t>
      </w:r>
      <w:r w:rsidR="004A41E4" w:rsidRPr="00026EC1">
        <w:t>’</w:t>
      </w:r>
      <w:r w:rsidRPr="00026EC1">
        <w:t>enseignant à temps partiel ou de l</w:t>
      </w:r>
      <w:r w:rsidR="004A41E4" w:rsidRPr="00026EC1">
        <w:t>’</w:t>
      </w:r>
      <w:r w:rsidRPr="00026EC1">
        <w:t>enseignante ou de l</w:t>
      </w:r>
      <w:r w:rsidR="004A41E4" w:rsidRPr="00026EC1">
        <w:t>’</w:t>
      </w:r>
      <w:r w:rsidRPr="00026EC1">
        <w:t>enseignant chargé de cours est payable tous les deux</w:t>
      </w:r>
      <w:r w:rsidR="004C48E0">
        <w:t> </w:t>
      </w:r>
      <w:r w:rsidRPr="00026EC1">
        <w:t>(2) jeudis pour la durée de son contrat individuel.</w:t>
      </w:r>
    </w:p>
    <w:p w14:paraId="4E93208E" w14:textId="77777777" w:rsidR="00404F34" w:rsidRPr="00026EC1" w:rsidRDefault="00404F34" w:rsidP="00A64613">
      <w:pPr>
        <w:keepNext w:val="0"/>
      </w:pPr>
    </w:p>
    <w:p w14:paraId="7D54BEB9" w14:textId="39F769CE" w:rsidR="00404F34" w:rsidRPr="00026EC1" w:rsidRDefault="00404F34" w:rsidP="00A64613">
      <w:pPr>
        <w:pStyle w:val="NUMRODECLAUSE"/>
        <w:keepNext w:val="0"/>
      </w:pPr>
      <w:r w:rsidRPr="00026EC1">
        <w:t>6</w:t>
      </w:r>
      <w:r w:rsidR="00984A6F">
        <w:noBreakHyphen/>
      </w:r>
      <w:r w:rsidRPr="00026EC1">
        <w:t>6.02</w:t>
      </w:r>
    </w:p>
    <w:p w14:paraId="3725C8ED" w14:textId="77777777" w:rsidR="00404F34" w:rsidRPr="00026EC1" w:rsidRDefault="00404F34" w:rsidP="00A64613">
      <w:pPr>
        <w:keepNext w:val="0"/>
      </w:pPr>
      <w:r w:rsidRPr="00026EC1">
        <w:t>Lorsqu</w:t>
      </w:r>
      <w:r w:rsidR="004A41E4" w:rsidRPr="00026EC1">
        <w:t>’</w:t>
      </w:r>
      <w:r w:rsidRPr="00026EC1">
        <w:t>un versement de salaire échoit un jour férié, le Collège effectue ce versement le jour ouvrable qui précède.</w:t>
      </w:r>
    </w:p>
    <w:p w14:paraId="3F9A008B" w14:textId="77777777" w:rsidR="00404F34" w:rsidRPr="00026EC1" w:rsidRDefault="00404F34" w:rsidP="00A64613">
      <w:pPr>
        <w:keepNext w:val="0"/>
      </w:pPr>
    </w:p>
    <w:p w14:paraId="1213A32D" w14:textId="7AE55E98" w:rsidR="00404F34" w:rsidRPr="00026EC1" w:rsidRDefault="00404F34" w:rsidP="00A64613">
      <w:pPr>
        <w:pStyle w:val="NUMRODECLAUSE"/>
        <w:keepNext w:val="0"/>
      </w:pPr>
      <w:r w:rsidRPr="00026EC1">
        <w:t>6</w:t>
      </w:r>
      <w:r w:rsidR="00984A6F">
        <w:noBreakHyphen/>
      </w:r>
      <w:r w:rsidRPr="00026EC1">
        <w:t>6.03</w:t>
      </w:r>
    </w:p>
    <w:p w14:paraId="16679E30" w14:textId="0B8BB272" w:rsidR="00404F34" w:rsidRPr="00026EC1" w:rsidRDefault="00404F34" w:rsidP="00A64613">
      <w:pPr>
        <w:keepNext w:val="0"/>
      </w:pPr>
      <w:r w:rsidRPr="00026EC1">
        <w:t>Le versement du salaire est effectué aux deux</w:t>
      </w:r>
      <w:r w:rsidR="004C48E0">
        <w:t> </w:t>
      </w:r>
      <w:r w:rsidRPr="00026EC1">
        <w:t xml:space="preserve">(2) semaines pendant la période des vacances annuelles. </w:t>
      </w:r>
    </w:p>
    <w:p w14:paraId="202C4AB1" w14:textId="77777777" w:rsidR="00404F34" w:rsidRPr="00026EC1" w:rsidRDefault="00404F34" w:rsidP="00A64613">
      <w:pPr>
        <w:keepNext w:val="0"/>
      </w:pPr>
    </w:p>
    <w:p w14:paraId="5E3A2511" w14:textId="3AB3561F" w:rsidR="00404F34" w:rsidRPr="00026EC1" w:rsidRDefault="00404F34" w:rsidP="00A64613">
      <w:pPr>
        <w:pStyle w:val="NUMRODECLAUSE"/>
        <w:keepNext w:val="0"/>
      </w:pPr>
      <w:r w:rsidRPr="00026EC1">
        <w:t>6</w:t>
      </w:r>
      <w:r w:rsidR="00984A6F">
        <w:noBreakHyphen/>
      </w:r>
      <w:r w:rsidRPr="00026EC1">
        <w:t>6.04</w:t>
      </w:r>
    </w:p>
    <w:p w14:paraId="77ACE2ED" w14:textId="77777777" w:rsidR="00404F34" w:rsidRPr="00026EC1" w:rsidRDefault="00404F34" w:rsidP="00A64613">
      <w:pPr>
        <w:keepNext w:val="0"/>
      </w:pPr>
      <w:r w:rsidRPr="00026EC1">
        <w:t>Advenant une erreur sur la paie, le Collège corrige cette erreur au moment du versement de la paie suivante. Il joint alors une note donnant la nature de l</w:t>
      </w:r>
      <w:r w:rsidR="004A41E4" w:rsidRPr="00026EC1">
        <w:t>’</w:t>
      </w:r>
      <w:r w:rsidRPr="00026EC1">
        <w:t>erreur et la façon dont la correction a été effectuée.</w:t>
      </w:r>
    </w:p>
    <w:p w14:paraId="3E8A9190" w14:textId="77777777" w:rsidR="00404F34" w:rsidRPr="00026EC1" w:rsidRDefault="00404F34" w:rsidP="00A64613">
      <w:pPr>
        <w:keepNext w:val="0"/>
      </w:pPr>
    </w:p>
    <w:p w14:paraId="64FF17B4" w14:textId="2EA1167E" w:rsidR="00404F34" w:rsidRPr="00026EC1" w:rsidRDefault="00404F34" w:rsidP="00A64613">
      <w:pPr>
        <w:pStyle w:val="NUMRODECLAUSE"/>
        <w:keepNext w:val="0"/>
      </w:pPr>
      <w:r w:rsidRPr="00026EC1">
        <w:t>6</w:t>
      </w:r>
      <w:r w:rsidR="00984A6F">
        <w:noBreakHyphen/>
      </w:r>
      <w:r w:rsidRPr="00026EC1">
        <w:t>6.05</w:t>
      </w:r>
    </w:p>
    <w:p w14:paraId="293D3ECA" w14:textId="0100953E" w:rsidR="00404F34" w:rsidRPr="00026EC1" w:rsidRDefault="00404F34" w:rsidP="00A64613">
      <w:pPr>
        <w:keepNext w:val="0"/>
      </w:pPr>
      <w:r w:rsidRPr="00026EC1">
        <w:t>Le relevé de salaire est</w:t>
      </w:r>
      <w:r w:rsidRPr="00026EC1">
        <w:rPr>
          <w:shd w:val="clear" w:color="auto" w:fill="FFFFFF"/>
        </w:rPr>
        <w:t xml:space="preserve"> transmis </w:t>
      </w:r>
      <w:r w:rsidRPr="00026EC1">
        <w:t>à l</w:t>
      </w:r>
      <w:r w:rsidR="004A41E4" w:rsidRPr="00026EC1">
        <w:t>’</w:t>
      </w:r>
      <w:r w:rsidRPr="00026EC1">
        <w:t>enseignante ou à l</w:t>
      </w:r>
      <w:r w:rsidR="004A41E4" w:rsidRPr="00026EC1">
        <w:t>’</w:t>
      </w:r>
      <w:r w:rsidRPr="00026EC1">
        <w:t>enseignant sur support informatique et il contient au moins les renseignements suivants</w:t>
      </w:r>
      <w:r w:rsidR="00D8581B">
        <w:t> :</w:t>
      </w:r>
    </w:p>
    <w:p w14:paraId="2D9EA287" w14:textId="77777777" w:rsidR="00404F34" w:rsidRPr="00026EC1" w:rsidRDefault="00404F34" w:rsidP="00A64613">
      <w:pPr>
        <w:keepNext w:val="0"/>
      </w:pPr>
    </w:p>
    <w:p w14:paraId="39CDD209" w14:textId="77777777" w:rsidR="00404F34" w:rsidRPr="00026EC1" w:rsidRDefault="00275751" w:rsidP="00A64613">
      <w:pPr>
        <w:keepNext w:val="0"/>
        <w:tabs>
          <w:tab w:val="left" w:pos="567"/>
        </w:tabs>
        <w:ind w:left="567" w:hanging="567"/>
      </w:pPr>
      <w:r w:rsidRPr="00026EC1">
        <w:t>a)</w:t>
      </w:r>
      <w:r w:rsidRPr="00026EC1">
        <w:tab/>
      </w:r>
      <w:r w:rsidR="00404F34" w:rsidRPr="00026EC1">
        <w:t>nom et prénom;</w:t>
      </w:r>
    </w:p>
    <w:p w14:paraId="27FF7791" w14:textId="77777777" w:rsidR="00404F34" w:rsidRPr="00026EC1" w:rsidRDefault="00404F34" w:rsidP="00A64613">
      <w:pPr>
        <w:keepNext w:val="0"/>
      </w:pPr>
    </w:p>
    <w:p w14:paraId="0E9AB66B" w14:textId="77777777" w:rsidR="00404F34" w:rsidRPr="00026EC1" w:rsidRDefault="00275751" w:rsidP="00A64613">
      <w:pPr>
        <w:keepNext w:val="0"/>
        <w:tabs>
          <w:tab w:val="left" w:pos="567"/>
        </w:tabs>
        <w:ind w:left="567" w:hanging="567"/>
      </w:pPr>
      <w:r w:rsidRPr="00026EC1">
        <w:t>b)</w:t>
      </w:r>
      <w:r w:rsidRPr="00026EC1">
        <w:tab/>
      </w:r>
      <w:r w:rsidR="00404F34" w:rsidRPr="00026EC1">
        <w:t>date et période de paie;</w:t>
      </w:r>
    </w:p>
    <w:p w14:paraId="6054D7F3" w14:textId="77777777" w:rsidR="00404F34" w:rsidRPr="00026EC1" w:rsidRDefault="00404F34" w:rsidP="00A64613">
      <w:pPr>
        <w:keepNext w:val="0"/>
      </w:pPr>
    </w:p>
    <w:p w14:paraId="31ED5E25" w14:textId="77777777" w:rsidR="00404F34" w:rsidRPr="00026EC1" w:rsidRDefault="00275751" w:rsidP="00A64613">
      <w:pPr>
        <w:keepNext w:val="0"/>
        <w:tabs>
          <w:tab w:val="left" w:pos="567"/>
        </w:tabs>
        <w:ind w:left="567" w:hanging="567"/>
      </w:pPr>
      <w:r w:rsidRPr="00026EC1">
        <w:t>c)</w:t>
      </w:r>
      <w:r w:rsidRPr="00026EC1">
        <w:tab/>
      </w:r>
      <w:r w:rsidR="00404F34" w:rsidRPr="00026EC1">
        <w:t>salaire habituel brut;</w:t>
      </w:r>
    </w:p>
    <w:p w14:paraId="7A417540" w14:textId="77777777" w:rsidR="00404F34" w:rsidRPr="00026EC1" w:rsidRDefault="00404F34" w:rsidP="00A64613">
      <w:pPr>
        <w:keepNext w:val="0"/>
      </w:pPr>
    </w:p>
    <w:p w14:paraId="3C3C00DA" w14:textId="77777777" w:rsidR="00404F34" w:rsidRPr="00026EC1" w:rsidRDefault="00275751" w:rsidP="00A64613">
      <w:pPr>
        <w:keepNext w:val="0"/>
        <w:tabs>
          <w:tab w:val="left" w:pos="567"/>
        </w:tabs>
        <w:ind w:left="567" w:hanging="567"/>
      </w:pPr>
      <w:r w:rsidRPr="00026EC1">
        <w:t>d)</w:t>
      </w:r>
      <w:r w:rsidRPr="00026EC1">
        <w:tab/>
      </w:r>
      <w:r w:rsidR="00404F34" w:rsidRPr="00026EC1">
        <w:t>rémunération additionnelle;</w:t>
      </w:r>
    </w:p>
    <w:p w14:paraId="64F9748C" w14:textId="77777777" w:rsidR="00404F34" w:rsidRPr="00026EC1" w:rsidRDefault="00404F34" w:rsidP="00A64613">
      <w:pPr>
        <w:keepNext w:val="0"/>
      </w:pPr>
    </w:p>
    <w:p w14:paraId="50F91864" w14:textId="77777777" w:rsidR="00404F34" w:rsidRPr="00026EC1" w:rsidRDefault="00275751" w:rsidP="00A64613">
      <w:pPr>
        <w:keepNext w:val="0"/>
        <w:tabs>
          <w:tab w:val="left" w:pos="567"/>
        </w:tabs>
        <w:ind w:left="567" w:hanging="567"/>
      </w:pPr>
      <w:r w:rsidRPr="00026EC1">
        <w:t>e)</w:t>
      </w:r>
      <w:r w:rsidRPr="00026EC1">
        <w:tab/>
      </w:r>
      <w:r w:rsidR="00404F34" w:rsidRPr="00026EC1">
        <w:t>suppléances;</w:t>
      </w:r>
    </w:p>
    <w:p w14:paraId="7F29A5FE" w14:textId="77777777" w:rsidR="00404F34" w:rsidRPr="00026EC1" w:rsidRDefault="00404F34" w:rsidP="00A64613">
      <w:pPr>
        <w:keepNext w:val="0"/>
      </w:pPr>
    </w:p>
    <w:p w14:paraId="7BD1F02A" w14:textId="6C5A93D4" w:rsidR="00404F34" w:rsidRDefault="00275751" w:rsidP="00A64613">
      <w:pPr>
        <w:keepNext w:val="0"/>
        <w:tabs>
          <w:tab w:val="left" w:pos="567"/>
        </w:tabs>
        <w:ind w:left="567" w:hanging="567"/>
      </w:pPr>
      <w:r w:rsidRPr="00026EC1">
        <w:t>f)</w:t>
      </w:r>
      <w:r w:rsidRPr="00026EC1">
        <w:tab/>
      </w:r>
      <w:r w:rsidR="00404F34" w:rsidRPr="00026EC1">
        <w:t>primes;</w:t>
      </w:r>
    </w:p>
    <w:p w14:paraId="69E612BE" w14:textId="77777777" w:rsidR="00052270" w:rsidRPr="00026EC1" w:rsidRDefault="00052270" w:rsidP="00A64613">
      <w:pPr>
        <w:keepNext w:val="0"/>
        <w:tabs>
          <w:tab w:val="left" w:pos="567"/>
        </w:tabs>
        <w:ind w:left="567" w:hanging="567"/>
      </w:pPr>
    </w:p>
    <w:p w14:paraId="3FF774DE" w14:textId="77777777" w:rsidR="00404F34" w:rsidRPr="00026EC1" w:rsidRDefault="00275751" w:rsidP="00A64613">
      <w:pPr>
        <w:keepNext w:val="0"/>
        <w:tabs>
          <w:tab w:val="left" w:pos="567"/>
        </w:tabs>
        <w:ind w:left="567" w:hanging="567"/>
      </w:pPr>
      <w:r w:rsidRPr="00026EC1">
        <w:t>g)</w:t>
      </w:r>
      <w:r w:rsidRPr="00026EC1">
        <w:tab/>
      </w:r>
      <w:r w:rsidR="00404F34" w:rsidRPr="00026EC1">
        <w:t>détail des déductions;</w:t>
      </w:r>
    </w:p>
    <w:p w14:paraId="134B3AFF" w14:textId="77777777" w:rsidR="00C7446A" w:rsidRPr="00026EC1" w:rsidRDefault="00C7446A" w:rsidP="00A64613">
      <w:pPr>
        <w:keepNext w:val="0"/>
      </w:pPr>
    </w:p>
    <w:p w14:paraId="48231404" w14:textId="77777777" w:rsidR="00404F34" w:rsidRPr="00026EC1" w:rsidRDefault="00275751" w:rsidP="00A64613">
      <w:pPr>
        <w:keepNext w:val="0"/>
        <w:tabs>
          <w:tab w:val="left" w:pos="567"/>
        </w:tabs>
        <w:ind w:left="567" w:hanging="567"/>
      </w:pPr>
      <w:r w:rsidRPr="00026EC1">
        <w:t>h)</w:t>
      </w:r>
      <w:r w:rsidRPr="00026EC1">
        <w:tab/>
      </w:r>
      <w:r w:rsidR="00404F34" w:rsidRPr="00026EC1">
        <w:t>paie nette;</w:t>
      </w:r>
    </w:p>
    <w:p w14:paraId="04C3ACF5" w14:textId="77777777" w:rsidR="00404F34" w:rsidRPr="00026EC1" w:rsidRDefault="00404F34" w:rsidP="00A64613">
      <w:pPr>
        <w:keepNext w:val="0"/>
      </w:pPr>
    </w:p>
    <w:p w14:paraId="61CEDBC3" w14:textId="77777777" w:rsidR="00404F34" w:rsidRPr="00026EC1" w:rsidRDefault="00275751" w:rsidP="00A64613">
      <w:pPr>
        <w:keepNext w:val="0"/>
        <w:tabs>
          <w:tab w:val="left" w:pos="567"/>
        </w:tabs>
        <w:ind w:left="567" w:hanging="567"/>
      </w:pPr>
      <w:r w:rsidRPr="00026EC1">
        <w:t>i)</w:t>
      </w:r>
      <w:r w:rsidRPr="00026EC1">
        <w:tab/>
      </w:r>
      <w:r w:rsidR="00404F34" w:rsidRPr="00026EC1">
        <w:t>numéro matricule de l</w:t>
      </w:r>
      <w:r w:rsidR="004A41E4" w:rsidRPr="00026EC1">
        <w:t>’</w:t>
      </w:r>
      <w:r w:rsidR="00404F34" w:rsidRPr="00026EC1">
        <w:t>enseignante ou de l</w:t>
      </w:r>
      <w:r w:rsidR="004A41E4" w:rsidRPr="00026EC1">
        <w:t>’</w:t>
      </w:r>
      <w:r w:rsidR="00404F34" w:rsidRPr="00026EC1">
        <w:t>enseignant, s</w:t>
      </w:r>
      <w:r w:rsidR="004A41E4" w:rsidRPr="00026EC1">
        <w:t>’</w:t>
      </w:r>
      <w:r w:rsidR="00404F34" w:rsidRPr="00026EC1">
        <w:t>il y a lieu;</w:t>
      </w:r>
    </w:p>
    <w:p w14:paraId="57D1C0D9" w14:textId="77777777" w:rsidR="00404F34" w:rsidRPr="00026EC1" w:rsidRDefault="00404F34" w:rsidP="00A64613">
      <w:pPr>
        <w:keepNext w:val="0"/>
      </w:pPr>
    </w:p>
    <w:p w14:paraId="24E02C16" w14:textId="77777777" w:rsidR="00404F34" w:rsidRPr="00026EC1" w:rsidRDefault="00275751" w:rsidP="00A64613">
      <w:pPr>
        <w:keepNext w:val="0"/>
        <w:tabs>
          <w:tab w:val="left" w:pos="567"/>
        </w:tabs>
        <w:ind w:left="567" w:hanging="567"/>
      </w:pPr>
      <w:r w:rsidRPr="00026EC1">
        <w:t>j)</w:t>
      </w:r>
      <w:r w:rsidRPr="00026EC1">
        <w:tab/>
      </w:r>
      <w:r w:rsidR="00404F34" w:rsidRPr="00026EC1">
        <w:t>gains et déductions cumulés;</w:t>
      </w:r>
    </w:p>
    <w:p w14:paraId="47080702" w14:textId="77777777" w:rsidR="00404F34" w:rsidRPr="00026EC1" w:rsidRDefault="00404F34" w:rsidP="00A64613">
      <w:pPr>
        <w:keepNext w:val="0"/>
      </w:pPr>
    </w:p>
    <w:p w14:paraId="1A01A85A" w14:textId="77777777" w:rsidR="00404F34" w:rsidRPr="00026EC1" w:rsidRDefault="00275751" w:rsidP="00A64613">
      <w:pPr>
        <w:keepNext w:val="0"/>
        <w:tabs>
          <w:tab w:val="left" w:pos="567"/>
        </w:tabs>
        <w:ind w:left="567" w:hanging="567"/>
      </w:pPr>
      <w:r w:rsidRPr="00026EC1">
        <w:t>k)</w:t>
      </w:r>
      <w:r w:rsidRPr="00026EC1">
        <w:tab/>
      </w:r>
      <w:r w:rsidR="00404F34" w:rsidRPr="00026EC1">
        <w:t>déductions aux fins des régimes complémentaires d</w:t>
      </w:r>
      <w:r w:rsidR="004A41E4" w:rsidRPr="00026EC1">
        <w:t>’</w:t>
      </w:r>
      <w:r w:rsidR="00404F34" w:rsidRPr="00026EC1">
        <w:t>assurances, le cas échéant.</w:t>
      </w:r>
    </w:p>
    <w:p w14:paraId="4CA44941" w14:textId="77777777" w:rsidR="00404F34" w:rsidRPr="00026EC1" w:rsidRDefault="00404F34" w:rsidP="00A64613">
      <w:pPr>
        <w:keepNext w:val="0"/>
      </w:pPr>
    </w:p>
    <w:p w14:paraId="559B242B" w14:textId="5D5F40EA" w:rsidR="00404F34" w:rsidRPr="00026EC1" w:rsidRDefault="00404F34" w:rsidP="00A64613">
      <w:pPr>
        <w:keepNext w:val="0"/>
      </w:pPr>
      <w:r w:rsidRPr="00026EC1">
        <w:t>Lorsque le Collège souhaite modifier le mode de transmission du relevé de salaire, il avise le personnel enseignant du moment où cette modification aura lieu. L</w:t>
      </w:r>
      <w:r w:rsidR="004A41E4" w:rsidRPr="00026EC1">
        <w:t>’</w:t>
      </w:r>
      <w:r w:rsidRPr="00026EC1">
        <w:t>enseignante ou l</w:t>
      </w:r>
      <w:r w:rsidR="004A41E4" w:rsidRPr="00026EC1">
        <w:t>’</w:t>
      </w:r>
      <w:r w:rsidRPr="00026EC1">
        <w:t>enseignant qui désire continuer à recevoir un relevé de salaire sur support papier doit en informer le Collège, par écrit, dans un délai de quinze</w:t>
      </w:r>
      <w:r w:rsidR="00C6718B">
        <w:t> </w:t>
      </w:r>
      <w:r w:rsidRPr="00026EC1">
        <w:t>(15) jours ouvrables suivant l</w:t>
      </w:r>
      <w:r w:rsidR="004A41E4" w:rsidRPr="00026EC1">
        <w:t>’</w:t>
      </w:r>
      <w:r w:rsidRPr="00026EC1">
        <w:t>avis du Collège à cet effet.</w:t>
      </w:r>
    </w:p>
    <w:p w14:paraId="3BC7727E" w14:textId="77777777" w:rsidR="00AA7AF4" w:rsidRPr="00026EC1" w:rsidRDefault="00AA7AF4" w:rsidP="00A64613">
      <w:pPr>
        <w:keepNext w:val="0"/>
        <w:rPr>
          <w:i/>
          <w:iCs/>
        </w:rPr>
      </w:pPr>
    </w:p>
    <w:p w14:paraId="6D8022B0" w14:textId="77777777" w:rsidR="00404F34" w:rsidRPr="00026EC1" w:rsidRDefault="00404F34" w:rsidP="00A64613">
      <w:pPr>
        <w:keepNext w:val="0"/>
      </w:pPr>
      <w:r w:rsidRPr="00026EC1">
        <w:rPr>
          <w:iCs/>
          <w:shd w:val="clear" w:color="auto" w:fill="FFFFFF"/>
        </w:rPr>
        <w:t xml:space="preserve">Si le mode de transmission sur support informatique est déjà en application </w:t>
      </w:r>
      <w:r w:rsidRPr="00026EC1">
        <w:rPr>
          <w:shd w:val="clear" w:color="auto" w:fill="FFFFFF"/>
        </w:rPr>
        <w:t>au moment de l</w:t>
      </w:r>
      <w:r w:rsidR="004A41E4" w:rsidRPr="00026EC1">
        <w:rPr>
          <w:shd w:val="clear" w:color="auto" w:fill="FFFFFF"/>
        </w:rPr>
        <w:t>’</w:t>
      </w:r>
      <w:r w:rsidRPr="00026EC1">
        <w:rPr>
          <w:shd w:val="clear" w:color="auto" w:fill="FFFFFF"/>
        </w:rPr>
        <w:t>entrée en vigueur de la présente entente, l</w:t>
      </w:r>
      <w:r w:rsidR="004A41E4" w:rsidRPr="00026EC1">
        <w:rPr>
          <w:shd w:val="clear" w:color="auto" w:fill="FFFFFF"/>
        </w:rPr>
        <w:t>’</w:t>
      </w:r>
      <w:r w:rsidRPr="00026EC1">
        <w:rPr>
          <w:shd w:val="clear" w:color="auto" w:fill="FFFFFF"/>
        </w:rPr>
        <w:t>enseignante ou l</w:t>
      </w:r>
      <w:r w:rsidR="004A41E4" w:rsidRPr="00026EC1">
        <w:rPr>
          <w:shd w:val="clear" w:color="auto" w:fill="FFFFFF"/>
        </w:rPr>
        <w:t>’</w:t>
      </w:r>
      <w:r w:rsidRPr="00026EC1">
        <w:rPr>
          <w:shd w:val="clear" w:color="auto" w:fill="FFFFFF"/>
        </w:rPr>
        <w:t>enseignant qui reçoit un relevé de salaire sur support papier continue de le recevoir selon ce mode.</w:t>
      </w:r>
    </w:p>
    <w:p w14:paraId="67BFAEC0" w14:textId="77777777" w:rsidR="00404F34" w:rsidRPr="00026EC1" w:rsidRDefault="00404F34" w:rsidP="00A64613">
      <w:pPr>
        <w:keepNext w:val="0"/>
      </w:pPr>
    </w:p>
    <w:p w14:paraId="3F9FDC7C" w14:textId="1CB00A08" w:rsidR="00404F34" w:rsidRPr="00026EC1" w:rsidRDefault="00404F34" w:rsidP="00A64613">
      <w:pPr>
        <w:pStyle w:val="NUMRODECLAUSE"/>
        <w:keepNext w:val="0"/>
      </w:pPr>
      <w:r w:rsidRPr="00026EC1">
        <w:t>6</w:t>
      </w:r>
      <w:r w:rsidR="00984A6F">
        <w:noBreakHyphen/>
      </w:r>
      <w:r w:rsidRPr="00026EC1">
        <w:t>6.06</w:t>
      </w:r>
    </w:p>
    <w:p w14:paraId="72DA47A0" w14:textId="458C461A" w:rsidR="00404F34" w:rsidRPr="00026EC1" w:rsidRDefault="00404F34" w:rsidP="00A64613">
      <w:pPr>
        <w:keepNext w:val="0"/>
      </w:pPr>
      <w:r w:rsidRPr="00026EC1">
        <w:t>Le montant des retenues syndicales doit apparaître sur le formulaire</w:t>
      </w:r>
      <w:r w:rsidR="001126F1">
        <w:t> </w:t>
      </w:r>
      <w:r w:rsidRPr="00026EC1">
        <w:t>T</w:t>
      </w:r>
      <w:r w:rsidR="00984A6F">
        <w:noBreakHyphen/>
      </w:r>
      <w:r w:rsidRPr="00026EC1">
        <w:t>4 de Revenu Canada et le Relevé</w:t>
      </w:r>
      <w:r w:rsidR="001126F1">
        <w:t> </w:t>
      </w:r>
      <w:r w:rsidRPr="00026EC1">
        <w:t>1</w:t>
      </w:r>
      <w:r w:rsidR="006916CB">
        <w:t xml:space="preserve"> </w:t>
      </w:r>
      <w:r w:rsidR="006916CB" w:rsidRPr="00316277">
        <w:t>de l’</w:t>
      </w:r>
      <w:r w:rsidR="00AF0A01" w:rsidRPr="00316277">
        <w:t>Agence</w:t>
      </w:r>
      <w:r w:rsidR="00AF0A01">
        <w:t xml:space="preserve"> </w:t>
      </w:r>
      <w:r w:rsidRPr="00026EC1">
        <w:t>du revenu du Québec.</w:t>
      </w:r>
    </w:p>
    <w:p w14:paraId="3AFAC960" w14:textId="77777777" w:rsidR="00404F34" w:rsidRPr="00026EC1" w:rsidRDefault="00404F34" w:rsidP="00A64613">
      <w:pPr>
        <w:keepNext w:val="0"/>
      </w:pPr>
    </w:p>
    <w:p w14:paraId="420C3247" w14:textId="1AA62B1F" w:rsidR="00404F34" w:rsidRPr="00026EC1" w:rsidRDefault="00404F34" w:rsidP="00A64613">
      <w:pPr>
        <w:pStyle w:val="NUMRODECLAUSE"/>
        <w:keepNext w:val="0"/>
      </w:pPr>
      <w:r w:rsidRPr="00026EC1">
        <w:t>6</w:t>
      </w:r>
      <w:r w:rsidR="00984A6F">
        <w:noBreakHyphen/>
      </w:r>
      <w:r w:rsidRPr="00026EC1">
        <w:t>6.07</w:t>
      </w:r>
    </w:p>
    <w:p w14:paraId="68F1B5CB" w14:textId="1510FEFE" w:rsidR="00404F34" w:rsidRPr="00026EC1" w:rsidRDefault="00404F34" w:rsidP="00A64613">
      <w:pPr>
        <w:keepNext w:val="0"/>
      </w:pPr>
      <w:r w:rsidRPr="00026EC1">
        <w:t>Le 30 septembre, le Collège fournit à chaque enseignante et enseignant l</w:t>
      </w:r>
      <w:r w:rsidR="004A41E4" w:rsidRPr="00026EC1">
        <w:t>’</w:t>
      </w:r>
      <w:r w:rsidRPr="00026EC1">
        <w:t>état de sa réserve de jours de congé de maladie au 1</w:t>
      </w:r>
      <w:r w:rsidRPr="00026EC1">
        <w:rPr>
          <w:vertAlign w:val="superscript"/>
        </w:rPr>
        <w:t>er</w:t>
      </w:r>
      <w:r w:rsidR="00AB04BA">
        <w:t> </w:t>
      </w:r>
      <w:r w:rsidRPr="00026EC1">
        <w:t>septembre précédent.</w:t>
      </w:r>
    </w:p>
    <w:p w14:paraId="1BD80B15" w14:textId="77777777" w:rsidR="00404F34" w:rsidRPr="00026EC1" w:rsidRDefault="00404F34" w:rsidP="00A64613">
      <w:pPr>
        <w:keepNext w:val="0"/>
      </w:pPr>
    </w:p>
    <w:p w14:paraId="4A2DF267" w14:textId="361298EC" w:rsidR="00404F34" w:rsidRPr="00026EC1" w:rsidRDefault="00404F34" w:rsidP="00A64613">
      <w:pPr>
        <w:pStyle w:val="NUMRODECLAUSE"/>
        <w:keepNext w:val="0"/>
      </w:pPr>
      <w:r w:rsidRPr="00026EC1">
        <w:t>6</w:t>
      </w:r>
      <w:r w:rsidR="00984A6F">
        <w:noBreakHyphen/>
      </w:r>
      <w:r w:rsidRPr="00026EC1">
        <w:t>6.08</w:t>
      </w:r>
    </w:p>
    <w:p w14:paraId="5FB94816" w14:textId="77777777" w:rsidR="00404F34" w:rsidRPr="00026EC1" w:rsidRDefault="00404F34" w:rsidP="00A64613">
      <w:pPr>
        <w:keepNext w:val="0"/>
      </w:pPr>
      <w:r w:rsidRPr="00026EC1">
        <w:t>À la demande de l</w:t>
      </w:r>
      <w:r w:rsidR="004A41E4" w:rsidRPr="00026EC1">
        <w:t>’</w:t>
      </w:r>
      <w:r w:rsidRPr="00026EC1">
        <w:t>enseignante ou de l</w:t>
      </w:r>
      <w:r w:rsidR="004A41E4" w:rsidRPr="00026EC1">
        <w:t>’</w:t>
      </w:r>
      <w:r w:rsidRPr="00026EC1">
        <w:t>enseignant, le Collège s</w:t>
      </w:r>
      <w:r w:rsidR="004A41E4" w:rsidRPr="00026EC1">
        <w:t>’</w:t>
      </w:r>
      <w:r w:rsidRPr="00026EC1">
        <w:t>engage à déduire à la source toute somme aux fins de dépôt à une institution financière recon</w:t>
      </w:r>
      <w:r w:rsidR="00BA79F8" w:rsidRPr="00026EC1">
        <w:t>nue dans les locaux du Collège.</w:t>
      </w:r>
    </w:p>
    <w:p w14:paraId="620F58B2" w14:textId="0CEEE959" w:rsidR="00404F34" w:rsidRPr="00026EC1" w:rsidRDefault="00404F34" w:rsidP="00A64613">
      <w:pPr>
        <w:pStyle w:val="Heading2"/>
        <w:keepNext w:val="0"/>
        <w:tabs>
          <w:tab w:val="clear" w:pos="1843"/>
          <w:tab w:val="clear" w:pos="2127"/>
          <w:tab w:val="left" w:pos="1701"/>
          <w:tab w:val="left" w:pos="1985"/>
        </w:tabs>
        <w:ind w:left="2127" w:hanging="2127"/>
      </w:pPr>
      <w:r w:rsidRPr="00026EC1">
        <w:br w:type="page"/>
      </w:r>
      <w:bookmarkStart w:id="683" w:name="_Toc535046624"/>
      <w:bookmarkStart w:id="684" w:name="_Toc393444628"/>
      <w:bookmarkStart w:id="685" w:name="_Toc393449579"/>
      <w:bookmarkStart w:id="686" w:name="_Toc393460948"/>
      <w:bookmarkStart w:id="687" w:name="_Toc393461226"/>
      <w:bookmarkStart w:id="688" w:name="_Toc393720787"/>
      <w:bookmarkStart w:id="689" w:name="_Toc393783948"/>
      <w:bookmarkStart w:id="690" w:name="_Toc393784087"/>
      <w:bookmarkStart w:id="691" w:name="_Toc168479541"/>
      <w:r w:rsidRPr="00026EC1">
        <w:t>Article</w:t>
      </w:r>
      <w:r w:rsidR="00831CEF" w:rsidRPr="00026EC1">
        <w:t> </w:t>
      </w:r>
      <w:r w:rsidRPr="00026EC1">
        <w:t>6</w:t>
      </w:r>
      <w:r w:rsidR="00984A6F">
        <w:t>-</w:t>
      </w:r>
      <w:r w:rsidRPr="00026EC1">
        <w:t>7.00</w:t>
      </w:r>
      <w:r w:rsidR="00C9604C" w:rsidRPr="00026EC1">
        <w:tab/>
      </w:r>
      <w:r w:rsidR="00984A6F">
        <w:t>-</w:t>
      </w:r>
      <w:r w:rsidR="00C9604C" w:rsidRPr="00026EC1">
        <w:tab/>
      </w:r>
      <w:r w:rsidRPr="00026EC1">
        <w:t>Frais de déplacement</w:t>
      </w:r>
      <w:bookmarkEnd w:id="683"/>
      <w:bookmarkEnd w:id="684"/>
      <w:bookmarkEnd w:id="685"/>
      <w:bookmarkEnd w:id="686"/>
      <w:bookmarkEnd w:id="687"/>
      <w:bookmarkEnd w:id="688"/>
      <w:bookmarkEnd w:id="689"/>
      <w:bookmarkEnd w:id="690"/>
      <w:bookmarkEnd w:id="691"/>
      <w:r w:rsidRPr="00026EC1">
        <w:t xml:space="preserve"> </w:t>
      </w:r>
    </w:p>
    <w:p w14:paraId="01CA834D"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511BE442" w14:textId="77777777" w:rsidR="00404F34" w:rsidRPr="00026EC1" w:rsidRDefault="00404F34" w:rsidP="00A64613">
      <w:pPr>
        <w:keepNext w:val="0"/>
      </w:pPr>
    </w:p>
    <w:p w14:paraId="3610962A" w14:textId="7B9F37B5" w:rsidR="00404F34" w:rsidRPr="00026EC1" w:rsidRDefault="00404F34" w:rsidP="00A64613">
      <w:pPr>
        <w:pStyle w:val="NUMRODECLAUSE"/>
        <w:keepNext w:val="0"/>
      </w:pPr>
      <w:r w:rsidRPr="00026EC1">
        <w:t>6</w:t>
      </w:r>
      <w:r w:rsidR="00984A6F">
        <w:noBreakHyphen/>
      </w:r>
      <w:r w:rsidRPr="00026EC1">
        <w:t>7.01</w:t>
      </w:r>
    </w:p>
    <w:p w14:paraId="355DA01A" w14:textId="0F4A19CB" w:rsidR="00404F34" w:rsidRPr="00026EC1" w:rsidRDefault="00404F34" w:rsidP="00A64613">
      <w:pPr>
        <w:keepNext w:val="0"/>
      </w:pPr>
      <w:r w:rsidRPr="00026EC1">
        <w:t>Le Collège rembourse, selon le régime en vigueur au Collège, les frais de déplacement entre les sous</w:t>
      </w:r>
      <w:r w:rsidR="00984A6F">
        <w:noBreakHyphen/>
      </w:r>
      <w:r w:rsidRPr="00026EC1">
        <w:t>centres, campus ou pavillons du Collège, à l</w:t>
      </w:r>
      <w:r w:rsidR="004A41E4" w:rsidRPr="00026EC1">
        <w:t>’</w:t>
      </w:r>
      <w:r w:rsidRPr="00026EC1">
        <w:t>intérieur d</w:t>
      </w:r>
      <w:r w:rsidR="004A41E4" w:rsidRPr="00026EC1">
        <w:t>’</w:t>
      </w:r>
      <w:r w:rsidRPr="00026EC1">
        <w:t>une même localité où l</w:t>
      </w:r>
      <w:r w:rsidR="004A41E4" w:rsidRPr="00026EC1">
        <w:t>’</w:t>
      </w:r>
      <w:r w:rsidRPr="00026EC1">
        <w:t>enseignante ou l</w:t>
      </w:r>
      <w:r w:rsidR="004A41E4" w:rsidRPr="00026EC1">
        <w:t>’</w:t>
      </w:r>
      <w:r w:rsidRPr="00026EC1">
        <w:t>enseignant est normalement appelé à donner son enseignement pour autant que ce soit à l</w:t>
      </w:r>
      <w:r w:rsidR="004A41E4" w:rsidRPr="00026EC1">
        <w:t>’</w:t>
      </w:r>
      <w:r w:rsidRPr="00026EC1">
        <w:t>intérieur d</w:t>
      </w:r>
      <w:r w:rsidR="004A41E4" w:rsidRPr="00026EC1">
        <w:t>’</w:t>
      </w:r>
      <w:r w:rsidRPr="00026EC1">
        <w:t>une même journée.</w:t>
      </w:r>
    </w:p>
    <w:p w14:paraId="63D3CCED" w14:textId="77777777" w:rsidR="00404F34" w:rsidRPr="00026EC1" w:rsidRDefault="00404F34" w:rsidP="00A64613">
      <w:pPr>
        <w:keepNext w:val="0"/>
      </w:pPr>
    </w:p>
    <w:p w14:paraId="4F6984E0" w14:textId="77777777" w:rsidR="00404F34" w:rsidRPr="00026EC1" w:rsidRDefault="00404F34" w:rsidP="00A64613">
      <w:pPr>
        <w:keepNext w:val="0"/>
      </w:pPr>
      <w:r w:rsidRPr="00026EC1">
        <w:t>Le Collège rembourse également les frais encourus lors des déplacements autorisés pour la préparation des stages.</w:t>
      </w:r>
    </w:p>
    <w:p w14:paraId="1E1B6AFB" w14:textId="77777777" w:rsidR="00404F34" w:rsidRPr="00026EC1" w:rsidRDefault="00404F34" w:rsidP="00A64613">
      <w:pPr>
        <w:keepNext w:val="0"/>
      </w:pPr>
    </w:p>
    <w:p w14:paraId="1CE3DE5A" w14:textId="3CB4639D" w:rsidR="00404F34" w:rsidRPr="00026EC1" w:rsidRDefault="00404F34" w:rsidP="00A64613">
      <w:pPr>
        <w:pStyle w:val="NUMRODECLAUSE"/>
        <w:keepNext w:val="0"/>
      </w:pPr>
      <w:r w:rsidRPr="00026EC1">
        <w:t>6</w:t>
      </w:r>
      <w:r w:rsidR="00984A6F">
        <w:noBreakHyphen/>
      </w:r>
      <w:r w:rsidRPr="00026EC1">
        <w:t>7.02</w:t>
      </w:r>
    </w:p>
    <w:p w14:paraId="6CD5DAE4" w14:textId="0F7DF3A6" w:rsidR="00404F34" w:rsidRPr="00026EC1" w:rsidRDefault="00404F34" w:rsidP="00A64613">
      <w:pPr>
        <w:keepNext w:val="0"/>
      </w:pPr>
      <w:r w:rsidRPr="00026EC1">
        <w:t>Le Collège rembourse également, selon le régime en vigueur au Collège, les frais de déplacement, de pension et de séjour à l</w:t>
      </w:r>
      <w:r w:rsidR="004A41E4" w:rsidRPr="00026EC1">
        <w:t>’</w:t>
      </w:r>
      <w:r w:rsidRPr="00026EC1">
        <w:t>enseignante ou l</w:t>
      </w:r>
      <w:r w:rsidR="004A41E4" w:rsidRPr="00026EC1">
        <w:t>’</w:t>
      </w:r>
      <w:r w:rsidRPr="00026EC1">
        <w:t>enseignant qui doit se déplacer entre les sous</w:t>
      </w:r>
      <w:r w:rsidR="00984A6F">
        <w:noBreakHyphen/>
      </w:r>
      <w:r w:rsidRPr="00026EC1">
        <w:t>centres, campus ou pavillons du Collège qui ne sont pas situés dans la même localité. Il en est de même pour l</w:t>
      </w:r>
      <w:r w:rsidR="004A41E4" w:rsidRPr="00026EC1">
        <w:t>’</w:t>
      </w:r>
      <w:r w:rsidRPr="00026EC1">
        <w:t>enseignante ou l</w:t>
      </w:r>
      <w:r w:rsidR="004A41E4" w:rsidRPr="00026EC1">
        <w:t>’</w:t>
      </w:r>
      <w:r w:rsidRPr="00026EC1">
        <w:t>enseignant qui est appelé à enseigner dans une autre localité que celle où elle ou il dispense la majeure partie de son enseignement.</w:t>
      </w:r>
    </w:p>
    <w:p w14:paraId="633B3F82" w14:textId="77777777" w:rsidR="00404F34" w:rsidRPr="00026EC1" w:rsidRDefault="00404F34" w:rsidP="00A64613">
      <w:pPr>
        <w:keepNext w:val="0"/>
      </w:pPr>
    </w:p>
    <w:p w14:paraId="7300409B" w14:textId="7E8680FB" w:rsidR="00404F34" w:rsidRPr="00026EC1" w:rsidRDefault="00404F34" w:rsidP="00A64613">
      <w:pPr>
        <w:pStyle w:val="NUMRODECLAUSE"/>
        <w:keepNext w:val="0"/>
      </w:pPr>
      <w:r w:rsidRPr="00026EC1">
        <w:t>6</w:t>
      </w:r>
      <w:r w:rsidR="00984A6F">
        <w:noBreakHyphen/>
      </w:r>
      <w:r w:rsidRPr="00026EC1">
        <w:t>7.03</w:t>
      </w:r>
    </w:p>
    <w:p w14:paraId="6BBB671A" w14:textId="77777777" w:rsidR="00404F34" w:rsidRPr="00026EC1" w:rsidRDefault="00404F34" w:rsidP="00A64613">
      <w:pPr>
        <w:keepNext w:val="0"/>
      </w:pPr>
      <w:r w:rsidRPr="00026EC1">
        <w:t>Le Collège s</w:t>
      </w:r>
      <w:r w:rsidR="004A41E4" w:rsidRPr="00026EC1">
        <w:t>’</w:t>
      </w:r>
      <w:r w:rsidRPr="00026EC1">
        <w:t>engage à rembourser aux enseignantes et enseignants leurs débours pour la participation à des comités provinciaux formés par le Ministère ou institués en vertu des stipulations de la convention collective sur présentation d</w:t>
      </w:r>
      <w:r w:rsidR="004A41E4" w:rsidRPr="00026EC1">
        <w:t>’</w:t>
      </w:r>
      <w:r w:rsidRPr="00026EC1">
        <w:t>un rapport de dépenses, selon le régime en vigueur au Collège.</w:t>
      </w:r>
    </w:p>
    <w:p w14:paraId="0F6F46C3" w14:textId="77777777" w:rsidR="00404F34" w:rsidRPr="00026EC1" w:rsidRDefault="00404F34" w:rsidP="00A64613">
      <w:pPr>
        <w:keepNext w:val="0"/>
      </w:pPr>
    </w:p>
    <w:p w14:paraId="3AFA5320" w14:textId="23183A06" w:rsidR="00404F34" w:rsidRPr="00026EC1" w:rsidRDefault="00404F34" w:rsidP="00A64613">
      <w:pPr>
        <w:pStyle w:val="NUMRODECLAUSE"/>
        <w:keepNext w:val="0"/>
      </w:pPr>
      <w:r w:rsidRPr="00026EC1">
        <w:t>6</w:t>
      </w:r>
      <w:r w:rsidR="00984A6F">
        <w:noBreakHyphen/>
      </w:r>
      <w:r w:rsidRPr="00026EC1">
        <w:t>7.04</w:t>
      </w:r>
    </w:p>
    <w:p w14:paraId="45EFE1D7" w14:textId="0CEA5791" w:rsidR="00271EF7" w:rsidRDefault="00404F34" w:rsidP="00A64613">
      <w:pPr>
        <w:keepNext w:val="0"/>
        <w:sectPr w:rsidR="00271EF7" w:rsidSect="009E4F22">
          <w:headerReference w:type="default" r:id="rId29"/>
          <w:footnotePr>
            <w:numRestart w:val="eachPage"/>
          </w:footnotePr>
          <w:pgSz w:w="12240" w:h="15840" w:code="1"/>
          <w:pgMar w:top="720" w:right="1077" w:bottom="1242" w:left="1684" w:header="709" w:footer="709" w:gutter="0"/>
          <w:cols w:space="708"/>
          <w:docGrid w:linePitch="360"/>
        </w:sectPr>
      </w:pPr>
      <w:r w:rsidRPr="00026EC1">
        <w:t>Aux fins du présent article, les lieux de stages</w:t>
      </w:r>
      <w:r w:rsidR="00B576F5">
        <w:t xml:space="preserve"> </w:t>
      </w:r>
      <w:r w:rsidR="00B576F5" w:rsidRPr="00316277">
        <w:t>et les lieux d’enseignement désignés dans une entente telle qu’un partenariat avec un autre établissement</w:t>
      </w:r>
      <w:r w:rsidRPr="00026EC1">
        <w:t xml:space="preserve"> sont considérés comme des sous</w:t>
      </w:r>
      <w:r w:rsidR="00984A6F">
        <w:noBreakHyphen/>
      </w:r>
      <w:r w:rsidRPr="00026EC1">
        <w:t>centre</w:t>
      </w:r>
      <w:r w:rsidR="00BA79F8" w:rsidRPr="00026EC1">
        <w:t>s, des campus ou des pavillons.</w:t>
      </w:r>
    </w:p>
    <w:p w14:paraId="161A8DF9" w14:textId="34B028EB" w:rsidR="00404F34" w:rsidRPr="00026EC1" w:rsidRDefault="00404F34" w:rsidP="00A64613">
      <w:pPr>
        <w:pStyle w:val="Heading1"/>
        <w:keepNext w:val="0"/>
        <w:tabs>
          <w:tab w:val="left" w:pos="1701"/>
          <w:tab w:val="left" w:pos="1985"/>
        </w:tabs>
        <w:ind w:left="2127" w:hanging="2127"/>
      </w:pPr>
      <w:bookmarkStart w:id="692" w:name="_Toc535046625"/>
      <w:bookmarkStart w:id="693" w:name="_Toc133760793"/>
      <w:bookmarkStart w:id="694" w:name="_Toc133916941"/>
      <w:bookmarkStart w:id="695" w:name="_Toc134437214"/>
      <w:bookmarkStart w:id="696" w:name="_Toc393449580"/>
      <w:r w:rsidRPr="00026EC1">
        <w:t>CHAPITRE 7</w:t>
      </w:r>
      <w:r w:rsidR="00C9604C" w:rsidRPr="00026EC1">
        <w:tab/>
      </w:r>
      <w:r w:rsidR="00984A6F">
        <w:t>-</w:t>
      </w:r>
      <w:r w:rsidR="00C9604C" w:rsidRPr="00026EC1">
        <w:tab/>
      </w:r>
      <w:r w:rsidRPr="00026EC1">
        <w:t>PERFECTIONNEMENT</w:t>
      </w:r>
      <w:bookmarkEnd w:id="692"/>
      <w:bookmarkEnd w:id="693"/>
      <w:bookmarkEnd w:id="694"/>
      <w:bookmarkEnd w:id="695"/>
      <w:bookmarkEnd w:id="696"/>
      <w:r w:rsidR="0062490D" w:rsidRPr="0035151D">
        <w:fldChar w:fldCharType="begin"/>
      </w:r>
      <w:r w:rsidR="0062490D" w:rsidRPr="0035151D">
        <w:instrText xml:space="preserve"> TC " </w:instrText>
      </w:r>
      <w:bookmarkStart w:id="697" w:name="_Toc94952753"/>
      <w:bookmarkStart w:id="698" w:name="_Toc94954657"/>
      <w:bookmarkStart w:id="699" w:name="_Toc94966334"/>
      <w:bookmarkStart w:id="700" w:name="_Toc95035212"/>
      <w:bookmarkStart w:id="701" w:name="_Toc95035355"/>
      <w:bookmarkStart w:id="702" w:name="_Toc95035498"/>
      <w:bookmarkStart w:id="703" w:name="_Toc95035643"/>
      <w:bookmarkStart w:id="704" w:name="_Toc157589268"/>
      <w:bookmarkStart w:id="705" w:name="_Toc161323716"/>
      <w:bookmarkStart w:id="706" w:name="_Toc163483056"/>
      <w:bookmarkStart w:id="707" w:name="_Toc163483655"/>
      <w:bookmarkStart w:id="708" w:name="_Toc163483845"/>
      <w:bookmarkStart w:id="709" w:name="_Toc167870815"/>
      <w:bookmarkStart w:id="710" w:name="_Toc167870979"/>
      <w:bookmarkStart w:id="711" w:name="_Toc167871135"/>
      <w:bookmarkStart w:id="712" w:name="_Toc167871311"/>
      <w:bookmarkStart w:id="713" w:name="_Toc168049379"/>
      <w:bookmarkStart w:id="714" w:name="_Toc168401543"/>
      <w:bookmarkStart w:id="715" w:name="_Toc168402159"/>
      <w:bookmarkStart w:id="716" w:name="_Toc168409594"/>
      <w:bookmarkStart w:id="717" w:name="_Toc168410348"/>
      <w:bookmarkStart w:id="718" w:name="_Toc168410594"/>
      <w:bookmarkStart w:id="719" w:name="_Toc168410835"/>
      <w:bookmarkStart w:id="720" w:name="_Toc168479542"/>
      <w:r w:rsidR="0062490D" w:rsidRPr="0035151D">
        <w:instrText xml:space="preserve">CHAPITRE </w:instrText>
      </w:r>
      <w:r w:rsidR="0062490D">
        <w:instrText>7</w:instrText>
      </w:r>
      <w:r w:rsidR="0062490D" w:rsidRPr="0035151D">
        <w:instrText xml:space="preserve">  </w:instrText>
      </w:r>
      <w:r w:rsidR="00984A6F">
        <w:noBreakHyphen/>
      </w:r>
      <w:r w:rsidR="0062490D" w:rsidRPr="0035151D">
        <w:instrText xml:space="preserve">  </w:instrText>
      </w:r>
      <w:r w:rsidR="0062490D">
        <w:instrText>perfectionnement</w:instrTex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sidR="0062490D" w:rsidRPr="0035151D">
        <w:instrText>"\N</w:instrText>
      </w:r>
      <w:r w:rsidR="0062490D" w:rsidRPr="0035151D">
        <w:fldChar w:fldCharType="end"/>
      </w:r>
    </w:p>
    <w:p w14:paraId="13C533B8" w14:textId="5A0E76A1" w:rsidR="00404F34" w:rsidRPr="00026EC1" w:rsidRDefault="00404F34" w:rsidP="00A64613">
      <w:pPr>
        <w:pStyle w:val="Heading2"/>
        <w:keepNext w:val="0"/>
        <w:tabs>
          <w:tab w:val="clear" w:pos="1843"/>
          <w:tab w:val="clear" w:pos="2127"/>
          <w:tab w:val="left" w:pos="1701"/>
          <w:tab w:val="left" w:pos="1985"/>
        </w:tabs>
        <w:ind w:left="1701" w:hanging="1701"/>
      </w:pPr>
      <w:bookmarkStart w:id="721" w:name="_Toc535046626"/>
      <w:bookmarkStart w:id="722" w:name="_Toc133760794"/>
      <w:bookmarkStart w:id="723" w:name="_Toc393444630"/>
      <w:bookmarkStart w:id="724" w:name="_Toc393449581"/>
      <w:bookmarkStart w:id="725" w:name="_Toc393460950"/>
      <w:bookmarkStart w:id="726" w:name="_Toc393461228"/>
      <w:bookmarkStart w:id="727" w:name="_Toc393720789"/>
      <w:bookmarkStart w:id="728" w:name="_Toc393783950"/>
      <w:bookmarkStart w:id="729" w:name="_Toc393784089"/>
      <w:bookmarkStart w:id="730" w:name="_Toc168479543"/>
      <w:r w:rsidRPr="00026EC1">
        <w:t>Article 7</w:t>
      </w:r>
      <w:r w:rsidR="00984A6F">
        <w:t>-</w:t>
      </w:r>
      <w:r w:rsidRPr="00026EC1">
        <w:t>1.00</w:t>
      </w:r>
      <w:r w:rsidR="00C9604C" w:rsidRPr="00026EC1">
        <w:tab/>
      </w:r>
      <w:r w:rsidR="00984A6F">
        <w:t>-</w:t>
      </w:r>
      <w:r w:rsidR="00C9604C" w:rsidRPr="00026EC1">
        <w:tab/>
      </w:r>
      <w:r w:rsidRPr="00026EC1">
        <w:t>Dispositions générales</w:t>
      </w:r>
      <w:bookmarkEnd w:id="721"/>
      <w:bookmarkEnd w:id="722"/>
      <w:bookmarkEnd w:id="723"/>
      <w:bookmarkEnd w:id="724"/>
      <w:bookmarkEnd w:id="725"/>
      <w:bookmarkEnd w:id="726"/>
      <w:bookmarkEnd w:id="727"/>
      <w:bookmarkEnd w:id="728"/>
      <w:bookmarkEnd w:id="729"/>
      <w:bookmarkEnd w:id="730"/>
    </w:p>
    <w:p w14:paraId="1F29F6FA" w14:textId="0D3B09B9" w:rsidR="00C92650" w:rsidRPr="00026EC1" w:rsidRDefault="00C92650" w:rsidP="00A64613">
      <w:pPr>
        <w:pStyle w:val="NUMRODECLAUSE"/>
        <w:keepNext w:val="0"/>
      </w:pPr>
      <w:r w:rsidRPr="00026EC1">
        <w:t>7</w:t>
      </w:r>
      <w:r w:rsidR="00984A6F">
        <w:noBreakHyphen/>
      </w:r>
      <w:r w:rsidRPr="00026EC1">
        <w:t>1.01</w:t>
      </w:r>
    </w:p>
    <w:p w14:paraId="27F49B54" w14:textId="4141344B" w:rsidR="00C92650" w:rsidRPr="00026EC1" w:rsidRDefault="00C92650" w:rsidP="00A64613">
      <w:pPr>
        <w:keepNext w:val="0"/>
        <w:rPr>
          <w:rFonts w:cs="Arial"/>
        </w:rPr>
      </w:pPr>
      <w:r w:rsidRPr="00026EC1">
        <w:rPr>
          <w:rFonts w:cs="Arial"/>
        </w:rPr>
        <w:t>Aux fins du perfectionnement de ses enseignantes et enseignants, le Collège dispose annuellement, par enseignante et enseignant à temps complet ou l</w:t>
      </w:r>
      <w:r w:rsidR="004A41E4" w:rsidRPr="00026EC1">
        <w:rPr>
          <w:rFonts w:cs="Arial"/>
        </w:rPr>
        <w:t>’</w:t>
      </w:r>
      <w:r w:rsidRPr="00026EC1">
        <w:rPr>
          <w:rFonts w:cs="Arial"/>
        </w:rPr>
        <w:t>équivalent accordé en vertu de la clause 8</w:t>
      </w:r>
      <w:r w:rsidR="00984A6F">
        <w:rPr>
          <w:rFonts w:cs="Arial"/>
        </w:rPr>
        <w:noBreakHyphen/>
      </w:r>
      <w:r w:rsidRPr="00026EC1">
        <w:rPr>
          <w:rFonts w:cs="Arial"/>
        </w:rPr>
        <w:t>5.02, d</w:t>
      </w:r>
      <w:r w:rsidR="004A41E4" w:rsidRPr="00026EC1">
        <w:rPr>
          <w:rFonts w:cs="Arial"/>
        </w:rPr>
        <w:t>’</w:t>
      </w:r>
      <w:r w:rsidRPr="00026EC1">
        <w:rPr>
          <w:rFonts w:cs="Arial"/>
        </w:rPr>
        <w:t xml:space="preserve">un montant de </w:t>
      </w:r>
      <w:r w:rsidRPr="00026EC1">
        <w:rPr>
          <w:rFonts w:cs="Arial"/>
          <w:bCs/>
        </w:rPr>
        <w:t>cent quatre</w:t>
      </w:r>
      <w:r w:rsidR="00984A6F">
        <w:rPr>
          <w:rFonts w:cs="Arial"/>
          <w:bCs/>
        </w:rPr>
        <w:noBreakHyphen/>
      </w:r>
      <w:r w:rsidRPr="00026EC1">
        <w:rPr>
          <w:rFonts w:cs="Arial"/>
          <w:bCs/>
        </w:rPr>
        <w:t>vingt</w:t>
      </w:r>
      <w:r w:rsidR="00984A6F">
        <w:rPr>
          <w:rFonts w:cs="Arial"/>
          <w:bCs/>
        </w:rPr>
        <w:noBreakHyphen/>
      </w:r>
      <w:r w:rsidRPr="00026EC1">
        <w:rPr>
          <w:rFonts w:cs="Arial"/>
          <w:bCs/>
        </w:rPr>
        <w:t>quinze dollars (195</w:t>
      </w:r>
      <w:r w:rsidR="00D8581B">
        <w:rPr>
          <w:rFonts w:cs="Arial"/>
          <w:bCs/>
        </w:rPr>
        <w:t> $</w:t>
      </w:r>
      <w:r w:rsidRPr="00026EC1">
        <w:rPr>
          <w:rFonts w:cs="Arial"/>
          <w:bCs/>
        </w:rPr>
        <w:t>)</w:t>
      </w:r>
      <w:r w:rsidRPr="00026EC1">
        <w:rPr>
          <w:rFonts w:cs="Arial"/>
        </w:rPr>
        <w:t xml:space="preserve"> pour chaque année d</w:t>
      </w:r>
      <w:r w:rsidR="004A41E4" w:rsidRPr="00026EC1">
        <w:rPr>
          <w:rFonts w:cs="Arial"/>
        </w:rPr>
        <w:t>’</w:t>
      </w:r>
      <w:r w:rsidRPr="00026EC1">
        <w:rPr>
          <w:rFonts w:cs="Arial"/>
        </w:rPr>
        <w:t>enseignement.</w:t>
      </w:r>
    </w:p>
    <w:p w14:paraId="6DF7BC6E" w14:textId="77777777" w:rsidR="00C92650" w:rsidRPr="00026EC1" w:rsidRDefault="00C92650" w:rsidP="00A64613">
      <w:pPr>
        <w:keepNext w:val="0"/>
        <w:rPr>
          <w:rFonts w:cs="Arial"/>
        </w:rPr>
      </w:pPr>
    </w:p>
    <w:p w14:paraId="5404BCC6" w14:textId="32D02128" w:rsidR="00C92650" w:rsidRPr="00026EC1" w:rsidRDefault="00C92650" w:rsidP="00A64613">
      <w:pPr>
        <w:pStyle w:val="NUMRODECLAUSE"/>
        <w:keepNext w:val="0"/>
      </w:pPr>
      <w:r w:rsidRPr="00026EC1">
        <w:t>7</w:t>
      </w:r>
      <w:r w:rsidR="00984A6F">
        <w:noBreakHyphen/>
      </w:r>
      <w:r w:rsidRPr="00026EC1">
        <w:t>1.02</w:t>
      </w:r>
    </w:p>
    <w:p w14:paraId="54CAD8A9" w14:textId="05DAE276" w:rsidR="00C92650" w:rsidRPr="00026EC1" w:rsidRDefault="00C92650" w:rsidP="00A64613">
      <w:pPr>
        <w:keepNext w:val="0"/>
        <w:rPr>
          <w:rFonts w:cs="Arial"/>
        </w:rPr>
      </w:pPr>
      <w:r w:rsidRPr="00026EC1">
        <w:rPr>
          <w:rFonts w:cs="Arial"/>
        </w:rPr>
        <w:t>De plus, la partie patronale nationale constitue un fonds provincial de perfectionnement dont le montant est établi annuellement en multipliant</w:t>
      </w:r>
      <w:r w:rsidRPr="00026EC1">
        <w:rPr>
          <w:rFonts w:cs="Arial"/>
          <w:bCs/>
        </w:rPr>
        <w:t xml:space="preserve"> quarante</w:t>
      </w:r>
      <w:r w:rsidR="00984A6F">
        <w:rPr>
          <w:rFonts w:cs="Arial"/>
          <w:bCs/>
        </w:rPr>
        <w:noBreakHyphen/>
      </w:r>
      <w:r w:rsidRPr="00026EC1">
        <w:rPr>
          <w:rFonts w:cs="Arial"/>
          <w:bCs/>
        </w:rPr>
        <w:t>deux dollars (42</w:t>
      </w:r>
      <w:r w:rsidR="00D8581B">
        <w:rPr>
          <w:rFonts w:cs="Arial"/>
          <w:bCs/>
        </w:rPr>
        <w:t> $</w:t>
      </w:r>
      <w:r w:rsidRPr="00026EC1">
        <w:rPr>
          <w:rFonts w:cs="Arial"/>
          <w:bCs/>
        </w:rPr>
        <w:t>)</w:t>
      </w:r>
      <w:r w:rsidRPr="00026EC1">
        <w:rPr>
          <w:rFonts w:cs="Arial"/>
        </w:rPr>
        <w:t xml:space="preserve"> par le nombre d</w:t>
      </w:r>
      <w:r w:rsidR="004A41E4" w:rsidRPr="00026EC1">
        <w:rPr>
          <w:rFonts w:cs="Arial"/>
        </w:rPr>
        <w:t>’</w:t>
      </w:r>
      <w:r w:rsidRPr="00026EC1">
        <w:rPr>
          <w:rFonts w:cs="Arial"/>
        </w:rPr>
        <w:t>enseignantes et d</w:t>
      </w:r>
      <w:r w:rsidR="004A41E4" w:rsidRPr="00026EC1">
        <w:rPr>
          <w:rFonts w:cs="Arial"/>
        </w:rPr>
        <w:t>’</w:t>
      </w:r>
      <w:r w:rsidRPr="00026EC1">
        <w:rPr>
          <w:rFonts w:cs="Arial"/>
        </w:rPr>
        <w:t>enseignants à temps complet ou l</w:t>
      </w:r>
      <w:r w:rsidR="004A41E4" w:rsidRPr="00026EC1">
        <w:rPr>
          <w:rFonts w:cs="Arial"/>
        </w:rPr>
        <w:t>’</w:t>
      </w:r>
      <w:r w:rsidRPr="00026EC1">
        <w:rPr>
          <w:rFonts w:cs="Arial"/>
        </w:rPr>
        <w:t>équivalent accordé l</w:t>
      </w:r>
      <w:r w:rsidR="004A41E4" w:rsidRPr="00026EC1">
        <w:rPr>
          <w:rFonts w:cs="Arial"/>
        </w:rPr>
        <w:t>’</w:t>
      </w:r>
      <w:r w:rsidRPr="00026EC1">
        <w:rPr>
          <w:rFonts w:cs="Arial"/>
        </w:rPr>
        <w:t>année d</w:t>
      </w:r>
      <w:r w:rsidR="004A41E4" w:rsidRPr="00026EC1">
        <w:rPr>
          <w:rFonts w:cs="Arial"/>
        </w:rPr>
        <w:t>’</w:t>
      </w:r>
      <w:r w:rsidRPr="00026EC1">
        <w:rPr>
          <w:rFonts w:cs="Arial"/>
        </w:rPr>
        <w:t>enseignement précédente en vertu des clauses 8</w:t>
      </w:r>
      <w:r w:rsidR="00984A6F">
        <w:rPr>
          <w:rFonts w:cs="Arial"/>
        </w:rPr>
        <w:noBreakHyphen/>
      </w:r>
      <w:r w:rsidRPr="00026EC1">
        <w:rPr>
          <w:rFonts w:cs="Arial"/>
        </w:rPr>
        <w:t>5.03, 8</w:t>
      </w:r>
      <w:r w:rsidR="00984A6F">
        <w:rPr>
          <w:rFonts w:cs="Arial"/>
        </w:rPr>
        <w:noBreakHyphen/>
      </w:r>
      <w:r w:rsidRPr="00026EC1">
        <w:rPr>
          <w:rFonts w:cs="Arial"/>
        </w:rPr>
        <w:t>5.04</w:t>
      </w:r>
      <w:r w:rsidRPr="00026EC1">
        <w:rPr>
          <w:rFonts w:cs="Arial"/>
          <w:bCs/>
        </w:rPr>
        <w:t>,</w:t>
      </w:r>
      <w:r w:rsidRPr="00026EC1">
        <w:rPr>
          <w:rFonts w:cs="Arial"/>
        </w:rPr>
        <w:t xml:space="preserve"> 8</w:t>
      </w:r>
      <w:r w:rsidR="00984A6F">
        <w:rPr>
          <w:rFonts w:cs="Arial"/>
        </w:rPr>
        <w:noBreakHyphen/>
      </w:r>
      <w:r w:rsidRPr="00026EC1">
        <w:rPr>
          <w:rFonts w:cs="Arial"/>
        </w:rPr>
        <w:t xml:space="preserve">5.05 </w:t>
      </w:r>
      <w:r w:rsidRPr="00026EC1">
        <w:rPr>
          <w:rFonts w:cs="Arial"/>
          <w:bCs/>
        </w:rPr>
        <w:t>et</w:t>
      </w:r>
      <w:r w:rsidRPr="00026EC1">
        <w:rPr>
          <w:rFonts w:cs="Arial"/>
        </w:rPr>
        <w:t xml:space="preserve"> </w:t>
      </w:r>
      <w:r w:rsidRPr="00026EC1">
        <w:rPr>
          <w:rFonts w:cs="Arial"/>
          <w:bCs/>
        </w:rPr>
        <w:t>8</w:t>
      </w:r>
      <w:r w:rsidR="00984A6F">
        <w:rPr>
          <w:rFonts w:cs="Arial"/>
          <w:bCs/>
        </w:rPr>
        <w:noBreakHyphen/>
      </w:r>
      <w:r w:rsidRPr="00026EC1">
        <w:rPr>
          <w:rFonts w:cs="Arial"/>
          <w:bCs/>
        </w:rPr>
        <w:t xml:space="preserve">5.06 </w:t>
      </w:r>
      <w:r w:rsidRPr="00026EC1">
        <w:rPr>
          <w:rFonts w:cs="Arial"/>
        </w:rPr>
        <w:t>dans les Collèges dont les syndicats sont affiliés à la FNEEQ (CSN).</w:t>
      </w:r>
    </w:p>
    <w:p w14:paraId="04E6B858" w14:textId="77777777" w:rsidR="00C92650" w:rsidRPr="00026EC1" w:rsidRDefault="00C92650" w:rsidP="00A64613">
      <w:pPr>
        <w:keepNext w:val="0"/>
        <w:rPr>
          <w:rFonts w:cs="Arial"/>
        </w:rPr>
      </w:pPr>
    </w:p>
    <w:p w14:paraId="223ABF7E" w14:textId="77777777" w:rsidR="00C92650" w:rsidRPr="00026EC1" w:rsidRDefault="00C92650" w:rsidP="00A64613">
      <w:pPr>
        <w:keepNext w:val="0"/>
        <w:rPr>
          <w:rFonts w:cs="Arial"/>
        </w:rPr>
      </w:pPr>
      <w:r w:rsidRPr="00026EC1">
        <w:rPr>
          <w:rFonts w:cs="Arial"/>
        </w:rPr>
        <w:t>Ce fonds est utilisé aux fins de perfectionnement des enseignantes et enseignants des Collèges éloignés des centres universitaires de Montréal, Québec et Sherbrooke, principalement pour les frais de séjour et de déplacement.</w:t>
      </w:r>
    </w:p>
    <w:p w14:paraId="42D10F1A" w14:textId="77777777" w:rsidR="00C92650" w:rsidRPr="00026EC1" w:rsidRDefault="00C92650" w:rsidP="00A64613">
      <w:pPr>
        <w:keepNext w:val="0"/>
        <w:rPr>
          <w:rFonts w:cs="Arial"/>
        </w:rPr>
      </w:pPr>
    </w:p>
    <w:p w14:paraId="693D397A" w14:textId="35FA6C1E" w:rsidR="00C92650" w:rsidRPr="00026EC1" w:rsidRDefault="00C92650" w:rsidP="00A64613">
      <w:pPr>
        <w:keepNext w:val="0"/>
        <w:rPr>
          <w:rFonts w:cs="Arial"/>
        </w:rPr>
      </w:pPr>
      <w:r w:rsidRPr="00026EC1">
        <w:rPr>
          <w:rFonts w:cs="Arial"/>
        </w:rPr>
        <w:t>Dans les soixante</w:t>
      </w:r>
      <w:r w:rsidR="001126F1">
        <w:rPr>
          <w:rFonts w:cs="Arial"/>
        </w:rPr>
        <w:t> </w:t>
      </w:r>
      <w:r w:rsidRPr="00026EC1">
        <w:rPr>
          <w:rFonts w:cs="Arial"/>
        </w:rPr>
        <w:t>(60) jours de l</w:t>
      </w:r>
      <w:r w:rsidR="004A41E4" w:rsidRPr="00026EC1">
        <w:rPr>
          <w:rFonts w:cs="Arial"/>
        </w:rPr>
        <w:t>’</w:t>
      </w:r>
      <w:r w:rsidRPr="00026EC1">
        <w:rPr>
          <w:rFonts w:cs="Arial"/>
        </w:rPr>
        <w:t>entrée en vigueur de la convention collective, les parties nationales forment un comité qui dresse la liste des Collèges bénéficiaires de ce fonds et établit annuellement la répartition de ce fonds entre ces Collèges.</w:t>
      </w:r>
    </w:p>
    <w:p w14:paraId="6CD2DFC6"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70DFA2B1" w14:textId="77777777" w:rsidR="00C92650" w:rsidRPr="00026EC1" w:rsidRDefault="00C92650" w:rsidP="00A64613">
      <w:pPr>
        <w:keepNext w:val="0"/>
      </w:pPr>
    </w:p>
    <w:p w14:paraId="4E715291" w14:textId="489E5F8B" w:rsidR="00C92650" w:rsidRPr="00026EC1" w:rsidRDefault="00C92650" w:rsidP="00A64613">
      <w:pPr>
        <w:pStyle w:val="NUMRODECLAUSE"/>
        <w:keepNext w:val="0"/>
      </w:pPr>
      <w:r w:rsidRPr="00026EC1">
        <w:t>7</w:t>
      </w:r>
      <w:r w:rsidR="00984A6F">
        <w:noBreakHyphen/>
      </w:r>
      <w:r w:rsidRPr="00026EC1">
        <w:t>1.03</w:t>
      </w:r>
    </w:p>
    <w:p w14:paraId="6C795EAA" w14:textId="77777777" w:rsidR="00C92650" w:rsidRPr="00026EC1" w:rsidRDefault="00C92650" w:rsidP="00A64613">
      <w:pPr>
        <w:keepNext w:val="0"/>
        <w:rPr>
          <w:rFonts w:cs="Arial"/>
        </w:rPr>
      </w:pPr>
      <w:r w:rsidRPr="00026EC1">
        <w:rPr>
          <w:rFonts w:cs="Arial"/>
        </w:rPr>
        <w:t>Le Collège fournit à toutes les enseignantes et à tous les enseignants, dans les limites de ses ressources, les possibilités réelles de perfectionnement dans les activités, études ou travaux utiles à l</w:t>
      </w:r>
      <w:r w:rsidR="004A41E4" w:rsidRPr="00026EC1">
        <w:rPr>
          <w:rFonts w:cs="Arial"/>
        </w:rPr>
        <w:t>’</w:t>
      </w:r>
      <w:r w:rsidRPr="00026EC1">
        <w:rPr>
          <w:rFonts w:cs="Arial"/>
        </w:rPr>
        <w:t>enseignement.</w:t>
      </w:r>
    </w:p>
    <w:p w14:paraId="07317F5F" w14:textId="77777777" w:rsidR="00C92650" w:rsidRPr="00026EC1" w:rsidRDefault="00C92650" w:rsidP="00A64613">
      <w:pPr>
        <w:keepNext w:val="0"/>
        <w:rPr>
          <w:rFonts w:cs="Arial"/>
        </w:rPr>
      </w:pPr>
    </w:p>
    <w:p w14:paraId="10F00A4D" w14:textId="49408F6C" w:rsidR="00C92650" w:rsidRPr="00026EC1" w:rsidRDefault="00C92650" w:rsidP="00A64613">
      <w:pPr>
        <w:pStyle w:val="NUMRODECLAUSE"/>
        <w:keepNext w:val="0"/>
      </w:pPr>
      <w:r w:rsidRPr="00026EC1">
        <w:t>7</w:t>
      </w:r>
      <w:r w:rsidR="00984A6F">
        <w:noBreakHyphen/>
      </w:r>
      <w:r w:rsidRPr="00026EC1">
        <w:t>1.04</w:t>
      </w:r>
    </w:p>
    <w:p w14:paraId="63C7D495" w14:textId="77777777" w:rsidR="00C92650" w:rsidRPr="00026EC1" w:rsidRDefault="00C92650" w:rsidP="00A64613">
      <w:pPr>
        <w:keepNext w:val="0"/>
        <w:rPr>
          <w:rFonts w:cs="Arial"/>
        </w:rPr>
      </w:pPr>
      <w:r w:rsidRPr="00026EC1">
        <w:rPr>
          <w:rFonts w:cs="Arial"/>
        </w:rPr>
        <w:t>Les cours donnés par le Collège sont gratuits pour les enseignantes et enseignants du Collège. Cet avantage ne peut toutefois obliger le Collège à organiser des cours ou à engager du personnel enseignant supplémentaire.</w:t>
      </w:r>
    </w:p>
    <w:p w14:paraId="04334335" w14:textId="77777777" w:rsidR="00C92650" w:rsidRPr="00026EC1" w:rsidRDefault="00C92650" w:rsidP="00A64613">
      <w:pPr>
        <w:keepNext w:val="0"/>
        <w:rPr>
          <w:rFonts w:cs="Arial"/>
        </w:rPr>
      </w:pPr>
    </w:p>
    <w:p w14:paraId="3DA5EB05" w14:textId="20130F26" w:rsidR="00C92650" w:rsidRPr="00026EC1" w:rsidRDefault="00C92650" w:rsidP="00A64613">
      <w:pPr>
        <w:pStyle w:val="NUMRODECLAUSE"/>
        <w:keepNext w:val="0"/>
      </w:pPr>
      <w:r w:rsidRPr="00026EC1">
        <w:t>7</w:t>
      </w:r>
      <w:r w:rsidR="00984A6F">
        <w:noBreakHyphen/>
      </w:r>
      <w:r w:rsidRPr="00026EC1">
        <w:t>1.05</w:t>
      </w:r>
    </w:p>
    <w:p w14:paraId="520C884B" w14:textId="57B64CCD" w:rsidR="00C17379" w:rsidRDefault="00C92650" w:rsidP="00A64613">
      <w:pPr>
        <w:keepNext w:val="0"/>
        <w:rPr>
          <w:rFonts w:cs="Arial"/>
        </w:rPr>
        <w:sectPr w:rsidR="00C17379" w:rsidSect="009E4F22">
          <w:headerReference w:type="default" r:id="rId30"/>
          <w:footnotePr>
            <w:numRestart w:val="eachPage"/>
          </w:footnotePr>
          <w:pgSz w:w="12240" w:h="15840" w:code="1"/>
          <w:pgMar w:top="720" w:right="1077" w:bottom="1242" w:left="1684" w:header="709" w:footer="709" w:gutter="0"/>
          <w:cols w:space="708"/>
          <w:docGrid w:linePitch="360"/>
        </w:sectPr>
      </w:pPr>
      <w:r w:rsidRPr="00026EC1">
        <w:rPr>
          <w:rFonts w:cs="Arial"/>
        </w:rPr>
        <w:t>Sur demande faite au plus tard soixante</w:t>
      </w:r>
      <w:r w:rsidR="001126F1">
        <w:rPr>
          <w:rFonts w:cs="Arial"/>
        </w:rPr>
        <w:t> </w:t>
      </w:r>
      <w:r w:rsidRPr="00026EC1">
        <w:rPr>
          <w:rFonts w:cs="Arial"/>
        </w:rPr>
        <w:t>(60) jours avant le début d</w:t>
      </w:r>
      <w:r w:rsidR="004A41E4" w:rsidRPr="00026EC1">
        <w:rPr>
          <w:rFonts w:cs="Arial"/>
        </w:rPr>
        <w:t>’</w:t>
      </w:r>
      <w:r w:rsidRPr="00026EC1">
        <w:rPr>
          <w:rFonts w:cs="Arial"/>
        </w:rPr>
        <w:t>une session, le Collège tente d</w:t>
      </w:r>
      <w:r w:rsidR="004A41E4" w:rsidRPr="00026EC1">
        <w:rPr>
          <w:rFonts w:cs="Arial"/>
        </w:rPr>
        <w:t>’</w:t>
      </w:r>
      <w:r w:rsidRPr="00026EC1">
        <w:rPr>
          <w:rFonts w:cs="Arial"/>
        </w:rPr>
        <w:t>aménager l</w:t>
      </w:r>
      <w:r w:rsidR="004A41E4" w:rsidRPr="00026EC1">
        <w:rPr>
          <w:rFonts w:cs="Arial"/>
        </w:rPr>
        <w:t>’</w:t>
      </w:r>
      <w:r w:rsidRPr="00026EC1">
        <w:rPr>
          <w:rFonts w:cs="Arial"/>
        </w:rPr>
        <w:t>horaire de l</w:t>
      </w:r>
      <w:r w:rsidR="004A41E4" w:rsidRPr="00026EC1">
        <w:rPr>
          <w:rFonts w:cs="Arial"/>
        </w:rPr>
        <w:t>’</w:t>
      </w:r>
      <w:r w:rsidRPr="00026EC1">
        <w:rPr>
          <w:rFonts w:cs="Arial"/>
        </w:rPr>
        <w:t>enseignante ou de l</w:t>
      </w:r>
      <w:r w:rsidR="004A41E4" w:rsidRPr="00026EC1">
        <w:rPr>
          <w:rFonts w:cs="Arial"/>
        </w:rPr>
        <w:t>’</w:t>
      </w:r>
      <w:r w:rsidRPr="00026EC1">
        <w:rPr>
          <w:rFonts w:cs="Arial"/>
        </w:rPr>
        <w:t>enseignant de façon à lui permettre de suivre des cours ou de poursuivre des travaux de perfectionnement. La présente clause n</w:t>
      </w:r>
      <w:r w:rsidR="004A41E4" w:rsidRPr="00026EC1">
        <w:rPr>
          <w:rFonts w:cs="Arial"/>
        </w:rPr>
        <w:t>’</w:t>
      </w:r>
      <w:r w:rsidRPr="00026EC1">
        <w:rPr>
          <w:rFonts w:cs="Arial"/>
        </w:rPr>
        <w:t>a pas pour effet de réduire la tâche de l</w:t>
      </w:r>
      <w:r w:rsidR="004A41E4" w:rsidRPr="00026EC1">
        <w:rPr>
          <w:rFonts w:cs="Arial"/>
        </w:rPr>
        <w:t>’</w:t>
      </w:r>
      <w:r w:rsidRPr="00026EC1">
        <w:rPr>
          <w:rFonts w:cs="Arial"/>
        </w:rPr>
        <w:t>enseignante ou de l</w:t>
      </w:r>
      <w:r w:rsidR="004A41E4" w:rsidRPr="00026EC1">
        <w:rPr>
          <w:rFonts w:cs="Arial"/>
        </w:rPr>
        <w:t>’</w:t>
      </w:r>
      <w:r w:rsidRPr="00026EC1">
        <w:rPr>
          <w:rFonts w:cs="Arial"/>
        </w:rPr>
        <w:t>enseignant.</w:t>
      </w:r>
    </w:p>
    <w:p w14:paraId="302F0415" w14:textId="20187973" w:rsidR="00C92650" w:rsidRPr="00026EC1" w:rsidRDefault="00C92650" w:rsidP="00A64613">
      <w:pPr>
        <w:pStyle w:val="NUMRODECLAUSE"/>
        <w:keepNext w:val="0"/>
      </w:pPr>
      <w:r w:rsidRPr="00026EC1">
        <w:t>7</w:t>
      </w:r>
      <w:r w:rsidR="00984A6F">
        <w:noBreakHyphen/>
      </w:r>
      <w:r w:rsidRPr="00026EC1">
        <w:t>1.06</w:t>
      </w:r>
    </w:p>
    <w:p w14:paraId="16BC610A" w14:textId="293E60A7" w:rsidR="00C92650" w:rsidRPr="00026EC1" w:rsidRDefault="00C92650" w:rsidP="00A64613">
      <w:pPr>
        <w:keepNext w:val="0"/>
        <w:rPr>
          <w:rFonts w:cs="Arial"/>
        </w:rPr>
      </w:pPr>
      <w:r w:rsidRPr="00026EC1">
        <w:rPr>
          <w:rFonts w:cs="Arial"/>
        </w:rPr>
        <w:t>Le Collège respecte les engagements contractés antérieurement à la date d</w:t>
      </w:r>
      <w:r w:rsidR="004A41E4" w:rsidRPr="00026EC1">
        <w:rPr>
          <w:rFonts w:cs="Arial"/>
        </w:rPr>
        <w:t>’</w:t>
      </w:r>
      <w:r w:rsidRPr="00026EC1">
        <w:rPr>
          <w:rFonts w:cs="Arial"/>
        </w:rPr>
        <w:t>entrée en vigueur des présentes dispositions vis</w:t>
      </w:r>
      <w:r w:rsidR="00984A6F">
        <w:rPr>
          <w:rFonts w:cs="Arial"/>
        </w:rPr>
        <w:noBreakHyphen/>
      </w:r>
      <w:r w:rsidRPr="00026EC1">
        <w:rPr>
          <w:rFonts w:cs="Arial"/>
        </w:rPr>
        <w:t>à</w:t>
      </w:r>
      <w:r w:rsidR="00984A6F">
        <w:rPr>
          <w:rFonts w:cs="Arial"/>
        </w:rPr>
        <w:noBreakHyphen/>
      </w:r>
      <w:r w:rsidRPr="00026EC1">
        <w:rPr>
          <w:rFonts w:cs="Arial"/>
        </w:rPr>
        <w:t>vis les enseignantes et enseignants à son emploi et leur permet de compléter les activités de perfectionnement déjà entreprises.</w:t>
      </w:r>
    </w:p>
    <w:p w14:paraId="53E37414" w14:textId="77777777" w:rsidR="00C92650" w:rsidRPr="00026EC1" w:rsidRDefault="00C92650" w:rsidP="00A64613">
      <w:pPr>
        <w:keepNext w:val="0"/>
        <w:rPr>
          <w:rFonts w:cs="Arial"/>
        </w:rPr>
      </w:pPr>
    </w:p>
    <w:p w14:paraId="57E90CFD" w14:textId="6B2A782F" w:rsidR="00C92650" w:rsidRPr="00026EC1" w:rsidRDefault="00C92650" w:rsidP="00A64613">
      <w:pPr>
        <w:keepNext w:val="0"/>
        <w:rPr>
          <w:rFonts w:cs="Arial"/>
        </w:rPr>
      </w:pPr>
      <w:r w:rsidRPr="00026EC1">
        <w:rPr>
          <w:rFonts w:cs="Arial"/>
        </w:rPr>
        <w:t>Les sommes impliquées par ces engagements sont prises à même les montants prévus aux clauses 7</w:t>
      </w:r>
      <w:r w:rsidR="00984A6F">
        <w:rPr>
          <w:rFonts w:cs="Arial"/>
        </w:rPr>
        <w:noBreakHyphen/>
      </w:r>
      <w:r w:rsidRPr="00026EC1">
        <w:rPr>
          <w:rFonts w:cs="Arial"/>
        </w:rPr>
        <w:t>1.01 et 7</w:t>
      </w:r>
      <w:r w:rsidR="00984A6F">
        <w:rPr>
          <w:rFonts w:cs="Arial"/>
        </w:rPr>
        <w:noBreakHyphen/>
      </w:r>
      <w:r w:rsidRPr="00026EC1">
        <w:rPr>
          <w:rFonts w:cs="Arial"/>
        </w:rPr>
        <w:t>1.02 pour le perfectionnement d</w:t>
      </w:r>
      <w:r w:rsidR="00BA79F8" w:rsidRPr="00026EC1">
        <w:rPr>
          <w:rFonts w:cs="Arial"/>
        </w:rPr>
        <w:t>es enseignantes et enseignants.</w:t>
      </w:r>
    </w:p>
    <w:p w14:paraId="22A42B11" w14:textId="1BAB63A8" w:rsidR="00404F34" w:rsidRPr="00026EC1" w:rsidRDefault="00404F34" w:rsidP="004F54FA">
      <w:pPr>
        <w:pStyle w:val="Heading2"/>
        <w:keepNext w:val="0"/>
        <w:tabs>
          <w:tab w:val="clear" w:pos="1843"/>
          <w:tab w:val="clear" w:pos="2127"/>
          <w:tab w:val="left" w:pos="1701"/>
          <w:tab w:val="left" w:pos="1985"/>
        </w:tabs>
        <w:ind w:left="1701" w:hanging="1701"/>
      </w:pPr>
      <w:r w:rsidRPr="00026EC1">
        <w:br w:type="page"/>
      </w:r>
      <w:bookmarkStart w:id="731" w:name="_Toc535046627"/>
      <w:bookmarkStart w:id="732" w:name="_Toc133760795"/>
      <w:bookmarkStart w:id="733" w:name="_Toc393444631"/>
      <w:bookmarkStart w:id="734" w:name="_Toc393449582"/>
      <w:bookmarkStart w:id="735" w:name="_Toc393460951"/>
      <w:bookmarkStart w:id="736" w:name="_Toc393461229"/>
      <w:bookmarkStart w:id="737" w:name="_Toc393720790"/>
      <w:bookmarkStart w:id="738" w:name="_Toc393783951"/>
      <w:bookmarkStart w:id="739" w:name="_Toc393784090"/>
      <w:bookmarkStart w:id="740" w:name="_Toc168479544"/>
      <w:r w:rsidRPr="00026EC1">
        <w:t>Article 7</w:t>
      </w:r>
      <w:r w:rsidR="00984A6F">
        <w:t>-</w:t>
      </w:r>
      <w:r w:rsidRPr="00026EC1">
        <w:t>2.00</w:t>
      </w:r>
      <w:r w:rsidR="00C9604C" w:rsidRPr="00026EC1">
        <w:tab/>
      </w:r>
      <w:r w:rsidR="00984A6F">
        <w:t>-</w:t>
      </w:r>
      <w:r w:rsidR="00C9604C" w:rsidRPr="00026EC1">
        <w:tab/>
      </w:r>
      <w:r w:rsidRPr="00026EC1">
        <w:t>Dispositions relatives au congé de perfectionnement avec salaire</w:t>
      </w:r>
      <w:bookmarkEnd w:id="731"/>
      <w:bookmarkEnd w:id="732"/>
      <w:bookmarkEnd w:id="733"/>
      <w:bookmarkEnd w:id="734"/>
      <w:bookmarkEnd w:id="735"/>
      <w:bookmarkEnd w:id="736"/>
      <w:bookmarkEnd w:id="737"/>
      <w:bookmarkEnd w:id="738"/>
      <w:bookmarkEnd w:id="739"/>
      <w:bookmarkEnd w:id="740"/>
    </w:p>
    <w:p w14:paraId="2FEAB01E" w14:textId="316ADC36" w:rsidR="00404F34" w:rsidRPr="00026EC1" w:rsidRDefault="00404F34" w:rsidP="00A64613">
      <w:pPr>
        <w:pStyle w:val="NUMRODECLAUSE"/>
        <w:keepNext w:val="0"/>
      </w:pPr>
      <w:r w:rsidRPr="00026EC1">
        <w:t>7</w:t>
      </w:r>
      <w:r w:rsidR="00984A6F">
        <w:noBreakHyphen/>
      </w:r>
      <w:r w:rsidRPr="00026EC1">
        <w:t>2.01</w:t>
      </w:r>
    </w:p>
    <w:p w14:paraId="597328F7" w14:textId="77777777" w:rsidR="00404F34" w:rsidRPr="00026EC1" w:rsidRDefault="00404F34" w:rsidP="00A64613">
      <w:pPr>
        <w:keepNext w:val="0"/>
      </w:pPr>
      <w:r w:rsidRPr="00026EC1">
        <w:t>Tout congé de perfectionnement avec salaire prévu à la convention collective ne peut avoir pour effet de modifier les droits et avantages que procure une année d</w:t>
      </w:r>
      <w:r w:rsidR="004A41E4" w:rsidRPr="00026EC1">
        <w:t>’</w:t>
      </w:r>
      <w:r w:rsidRPr="00026EC1">
        <w:t>enseignement dans les présentes stipulations.</w:t>
      </w:r>
    </w:p>
    <w:p w14:paraId="31F7832B"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7F6FD0A0" w14:textId="77777777" w:rsidR="00404F34" w:rsidRPr="00026EC1" w:rsidRDefault="00404F34" w:rsidP="00A64613">
      <w:pPr>
        <w:keepNext w:val="0"/>
      </w:pPr>
    </w:p>
    <w:p w14:paraId="7FA37951" w14:textId="604BE046" w:rsidR="00404F34" w:rsidRPr="00026EC1" w:rsidRDefault="00404F34" w:rsidP="00A64613">
      <w:pPr>
        <w:pStyle w:val="NUMRODECLAUSE"/>
        <w:keepNext w:val="0"/>
      </w:pPr>
      <w:r w:rsidRPr="00026EC1">
        <w:t>7</w:t>
      </w:r>
      <w:r w:rsidR="00984A6F">
        <w:noBreakHyphen/>
      </w:r>
      <w:r w:rsidRPr="00026EC1">
        <w:t>2.02</w:t>
      </w:r>
    </w:p>
    <w:p w14:paraId="3D72078C" w14:textId="1D39BF93"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avec plein salaire s</w:t>
      </w:r>
      <w:r w:rsidR="004A41E4" w:rsidRPr="00026EC1">
        <w:t>’</w:t>
      </w:r>
      <w:r w:rsidRPr="00026EC1">
        <w:t>engage à demeurer à son retour, durant trois</w:t>
      </w:r>
      <w:r w:rsidR="001126F1">
        <w:t> </w:t>
      </w:r>
      <w:r w:rsidRPr="00026EC1">
        <w:t>(3) années, au service du Collège de qui elle ou il a obtenu le congé pour chaque année de salaire versé. Si un tel engagement n</w:t>
      </w:r>
      <w:r w:rsidR="004A41E4" w:rsidRPr="00026EC1">
        <w:t>’</w:t>
      </w:r>
      <w:r w:rsidRPr="00026EC1">
        <w:t>est pas respecté, l</w:t>
      </w:r>
      <w:r w:rsidR="004A41E4" w:rsidRPr="00026EC1">
        <w:t>’</w:t>
      </w:r>
      <w:r w:rsidRPr="00026EC1">
        <w:t>enseignante ou l</w:t>
      </w:r>
      <w:r w:rsidR="004A41E4" w:rsidRPr="00026EC1">
        <w:t>’</w:t>
      </w:r>
      <w:r w:rsidRPr="00026EC1">
        <w:t>enseignant rembourse à son départ le montant du salaire à raison d</w:t>
      </w:r>
      <w:r w:rsidR="004A41E4" w:rsidRPr="00026EC1">
        <w:t>’</w:t>
      </w:r>
      <w:r w:rsidRPr="00026EC1">
        <w:t>un tiers</w:t>
      </w:r>
      <w:r w:rsidR="001126F1">
        <w:t> </w:t>
      </w:r>
      <w:r w:rsidRPr="00026EC1">
        <w:t>(1/3) pour chaque année où elle ou il ne se conforme pas à son engagement.</w:t>
      </w:r>
    </w:p>
    <w:p w14:paraId="5A9847B8" w14:textId="77777777" w:rsidR="00404F34" w:rsidRPr="00026EC1" w:rsidRDefault="00404F34" w:rsidP="00A64613">
      <w:pPr>
        <w:keepNext w:val="0"/>
      </w:pPr>
    </w:p>
    <w:p w14:paraId="1F045116" w14:textId="07355312" w:rsidR="00404F34" w:rsidRPr="00026EC1" w:rsidRDefault="00404F34" w:rsidP="00A64613">
      <w:pPr>
        <w:keepNext w:val="0"/>
      </w:pPr>
      <w:r w:rsidRPr="00026EC1">
        <w:t>Dans le cas d</w:t>
      </w:r>
      <w:r w:rsidR="004A41E4" w:rsidRPr="00026EC1">
        <w:t>’</w:t>
      </w:r>
      <w:r w:rsidRPr="00026EC1">
        <w:t>un congé avec salaire partiel, l</w:t>
      </w:r>
      <w:r w:rsidR="004A41E4" w:rsidRPr="00026EC1">
        <w:t>’</w:t>
      </w:r>
      <w:r w:rsidRPr="00026EC1">
        <w:t>enseignante ou l</w:t>
      </w:r>
      <w:r w:rsidR="004A41E4" w:rsidRPr="00026EC1">
        <w:t>’</w:t>
      </w:r>
      <w:r w:rsidRPr="00026EC1">
        <w:t>enseignant s</w:t>
      </w:r>
      <w:r w:rsidR="004A41E4" w:rsidRPr="00026EC1">
        <w:t>’</w:t>
      </w:r>
      <w:r w:rsidRPr="00026EC1">
        <w:t>engage à demeurer deux</w:t>
      </w:r>
      <w:r w:rsidR="001126F1">
        <w:t> </w:t>
      </w:r>
      <w:r w:rsidRPr="00026EC1">
        <w:t>(2) années au service du Collège de qui elle ou il a obtenu le congé ou à rembourser, lors de son départ, la demie</w:t>
      </w:r>
      <w:r w:rsidR="001126F1">
        <w:t> </w:t>
      </w:r>
      <w:r w:rsidRPr="00026EC1">
        <w:t>(½) du montant du salaire partiel reçu pour chaque année où elle ou il ne se conforme pas à son engagement.</w:t>
      </w:r>
    </w:p>
    <w:p w14:paraId="03A77A69" w14:textId="77777777" w:rsidR="00404F34" w:rsidRPr="00026EC1" w:rsidRDefault="00404F34" w:rsidP="00A64613">
      <w:pPr>
        <w:keepNext w:val="0"/>
      </w:pPr>
    </w:p>
    <w:p w14:paraId="4B0FB136" w14:textId="1D8F3ABE" w:rsidR="00404F34" w:rsidRPr="00026EC1" w:rsidRDefault="00404F34" w:rsidP="00A64613">
      <w:pPr>
        <w:keepNext w:val="0"/>
      </w:pPr>
      <w:r w:rsidRPr="00026EC1">
        <w:t>Lorsque le congé de perfectionnement est de deux</w:t>
      </w:r>
      <w:r w:rsidR="001126F1">
        <w:t> </w:t>
      </w:r>
      <w:r w:rsidRPr="00026EC1">
        <w:t>(2) années consécutives à temps complet, l</w:t>
      </w:r>
      <w:r w:rsidR="004A41E4" w:rsidRPr="00026EC1">
        <w:t>’</w:t>
      </w:r>
      <w:r w:rsidRPr="00026EC1">
        <w:t>engagement à demeurer au service du Collège de qui elle ou il a obtenu le congé est de six (6) années et le remboursement est d</w:t>
      </w:r>
      <w:r w:rsidR="004A41E4" w:rsidRPr="00026EC1">
        <w:t>’</w:t>
      </w:r>
      <w:r w:rsidRPr="00026EC1">
        <w:t>un sixième</w:t>
      </w:r>
      <w:r w:rsidR="00AB04BA">
        <w:t> </w:t>
      </w:r>
      <w:r w:rsidRPr="00026EC1">
        <w:t>(1/6</w:t>
      </w:r>
      <w:r w:rsidRPr="00026EC1">
        <w:rPr>
          <w:vertAlign w:val="superscript"/>
        </w:rPr>
        <w:t>e</w:t>
      </w:r>
      <w:r w:rsidRPr="00026EC1">
        <w:t>) pour chaque année où cet engagement n</w:t>
      </w:r>
      <w:r w:rsidR="004A41E4" w:rsidRPr="00026EC1">
        <w:t>’</w:t>
      </w:r>
      <w:r w:rsidRPr="00026EC1">
        <w:t>est pas respecté.</w:t>
      </w:r>
    </w:p>
    <w:p w14:paraId="340E3EC2" w14:textId="77777777" w:rsidR="00404F34" w:rsidRPr="00026EC1" w:rsidRDefault="00404F34" w:rsidP="00A64613">
      <w:pPr>
        <w:keepNext w:val="0"/>
      </w:pPr>
    </w:p>
    <w:p w14:paraId="218A5FA9" w14:textId="2A5A5923" w:rsidR="00404F34" w:rsidRPr="00026EC1" w:rsidRDefault="00404F34" w:rsidP="00A64613">
      <w:pPr>
        <w:pStyle w:val="NUMRODECLAUSE"/>
        <w:keepNext w:val="0"/>
      </w:pPr>
      <w:r w:rsidRPr="00026EC1">
        <w:t>7</w:t>
      </w:r>
      <w:r w:rsidR="00984A6F">
        <w:noBreakHyphen/>
      </w:r>
      <w:r w:rsidRPr="00026EC1">
        <w:t>2.03</w:t>
      </w:r>
    </w:p>
    <w:p w14:paraId="54849F4D" w14:textId="17599E81" w:rsidR="00404F34" w:rsidRPr="00026EC1" w:rsidRDefault="00404F34" w:rsidP="00A64613">
      <w:pPr>
        <w:keepNext w:val="0"/>
      </w:pPr>
      <w:r w:rsidRPr="00026EC1">
        <w:t>À la condition que les documents requis soient produits dans les délais réglementaires, les bourses accordées ou toute autre forme d</w:t>
      </w:r>
      <w:r w:rsidR="004A41E4" w:rsidRPr="00026EC1">
        <w:t>’</w:t>
      </w:r>
      <w:r w:rsidRPr="00026EC1">
        <w:t>aide financière sont versées comme suit aux bénéficiaires à moins d</w:t>
      </w:r>
      <w:r w:rsidR="004A41E4" w:rsidRPr="00026EC1">
        <w:t>’</w:t>
      </w:r>
      <w:r w:rsidRPr="00026EC1">
        <w:t>entente différente au comité de perfectionnement</w:t>
      </w:r>
      <w:r w:rsidR="00D8581B">
        <w:t> :</w:t>
      </w:r>
    </w:p>
    <w:p w14:paraId="7EE01CB1" w14:textId="77777777" w:rsidR="00404F34" w:rsidRPr="00026EC1" w:rsidRDefault="00404F34" w:rsidP="00A64613">
      <w:pPr>
        <w:keepNext w:val="0"/>
      </w:pPr>
    </w:p>
    <w:p w14:paraId="76B9BCB1" w14:textId="1B74721D" w:rsidR="00404F34" w:rsidRPr="00026EC1" w:rsidRDefault="00275751" w:rsidP="00A64613">
      <w:pPr>
        <w:keepNext w:val="0"/>
        <w:tabs>
          <w:tab w:val="left" w:pos="567"/>
        </w:tabs>
        <w:ind w:left="567" w:hanging="567"/>
      </w:pPr>
      <w:r w:rsidRPr="00026EC1">
        <w:t>a)</w:t>
      </w:r>
      <w:r w:rsidRPr="00026EC1">
        <w:tab/>
      </w:r>
      <w:r w:rsidR="00404F34" w:rsidRPr="00026EC1">
        <w:t>les montants de cinq cents dollars</w:t>
      </w:r>
      <w:r w:rsidR="001126F1">
        <w:t> </w:t>
      </w:r>
      <w:r w:rsidR="00404F34" w:rsidRPr="00026EC1">
        <w:t>(500</w:t>
      </w:r>
      <w:r w:rsidR="00D8581B">
        <w:t> $</w:t>
      </w:r>
      <w:r w:rsidR="00404F34" w:rsidRPr="00026EC1">
        <w:t>) et moins sont versés en parts mensuelles égales calculées selon la durée des études pour lesquelles l</w:t>
      </w:r>
      <w:r w:rsidR="004A41E4" w:rsidRPr="00026EC1">
        <w:t>’</w:t>
      </w:r>
      <w:r w:rsidR="00404F34" w:rsidRPr="00026EC1">
        <w:t>aide est accordée. Le premier versement est effectué au début des études et les autres au début de chaque mois;</w:t>
      </w:r>
    </w:p>
    <w:p w14:paraId="4E88BF05" w14:textId="77777777" w:rsidR="00404F34" w:rsidRPr="00026EC1" w:rsidRDefault="00404F34" w:rsidP="00A64613">
      <w:pPr>
        <w:keepNext w:val="0"/>
      </w:pPr>
    </w:p>
    <w:p w14:paraId="6A149306" w14:textId="77777777" w:rsidR="004F54FA" w:rsidRDefault="00275751" w:rsidP="00A64613">
      <w:pPr>
        <w:keepNext w:val="0"/>
        <w:tabs>
          <w:tab w:val="left" w:pos="567"/>
        </w:tabs>
        <w:ind w:left="567" w:hanging="567"/>
        <w:sectPr w:rsidR="004F54FA" w:rsidSect="009E4F22">
          <w:headerReference w:type="default" r:id="rId31"/>
          <w:footnotePr>
            <w:numRestart w:val="eachPage"/>
          </w:footnotePr>
          <w:pgSz w:w="12240" w:h="15840" w:code="1"/>
          <w:pgMar w:top="720" w:right="1077" w:bottom="1242" w:left="1684" w:header="709" w:footer="709" w:gutter="0"/>
          <w:cols w:space="708"/>
          <w:docGrid w:linePitch="360"/>
        </w:sectPr>
      </w:pPr>
      <w:r w:rsidRPr="00026EC1">
        <w:t>b)</w:t>
      </w:r>
      <w:r w:rsidRPr="00026EC1">
        <w:tab/>
      </w:r>
      <w:r w:rsidR="00404F34" w:rsidRPr="00026EC1">
        <w:t>les montants de plus de cinq cents dollars</w:t>
      </w:r>
      <w:r w:rsidR="001126F1">
        <w:t> </w:t>
      </w:r>
      <w:r w:rsidR="00404F34" w:rsidRPr="00026EC1">
        <w:t>(500</w:t>
      </w:r>
      <w:r w:rsidR="00D8581B">
        <w:t> $</w:t>
      </w:r>
      <w:r w:rsidR="00404F34" w:rsidRPr="00026EC1">
        <w:t>) sont versés comme suit</w:t>
      </w:r>
      <w:r w:rsidR="00D8581B">
        <w:t> :</w:t>
      </w:r>
      <w:r w:rsidR="00404F34" w:rsidRPr="00026EC1">
        <w:t xml:space="preserve"> trente pour cent</w:t>
      </w:r>
      <w:r w:rsidR="001126F1">
        <w:t> </w:t>
      </w:r>
      <w:r w:rsidR="00404F34" w:rsidRPr="00026EC1">
        <w:t>(30</w:t>
      </w:r>
      <w:r w:rsidR="00714A15">
        <w:t> %</w:t>
      </w:r>
      <w:r w:rsidR="00404F34" w:rsidRPr="00026EC1">
        <w:t>) du montant total au début des études et le reste en parts mensuelles égales calculées selon la durée des études pour lesquelles l</w:t>
      </w:r>
      <w:r w:rsidR="004A41E4" w:rsidRPr="00026EC1">
        <w:t>’</w:t>
      </w:r>
      <w:r w:rsidR="00404F34" w:rsidRPr="00026EC1">
        <w:t>aide est accordée. Les versements se font le premier</w:t>
      </w:r>
      <w:r w:rsidR="001126F1">
        <w:t> </w:t>
      </w:r>
      <w:r w:rsidR="00404F34" w:rsidRPr="00026EC1">
        <w:t>(1</w:t>
      </w:r>
      <w:r w:rsidR="00404F34" w:rsidRPr="00026EC1">
        <w:rPr>
          <w:vertAlign w:val="superscript"/>
        </w:rPr>
        <w:t>er</w:t>
      </w:r>
      <w:r w:rsidR="00404F34" w:rsidRPr="00026EC1">
        <w:t>) de chaque mois.</w:t>
      </w:r>
    </w:p>
    <w:p w14:paraId="64661570" w14:textId="77326892" w:rsidR="00404F34" w:rsidRPr="00026EC1" w:rsidRDefault="00404F34" w:rsidP="00A64613">
      <w:pPr>
        <w:keepNext w:val="0"/>
      </w:pPr>
      <w:r w:rsidRPr="00026EC1">
        <w:t>Dans le cas d</w:t>
      </w:r>
      <w:r w:rsidR="004A41E4" w:rsidRPr="00026EC1">
        <w:t>’</w:t>
      </w:r>
      <w:r w:rsidRPr="00026EC1">
        <w:t>un congé avec salaire, le salaire lui</w:t>
      </w:r>
      <w:r w:rsidR="00984A6F">
        <w:noBreakHyphen/>
      </w:r>
      <w:r w:rsidRPr="00026EC1">
        <w:t>même n</w:t>
      </w:r>
      <w:r w:rsidR="004A41E4" w:rsidRPr="00026EC1">
        <w:t>’</w:t>
      </w:r>
      <w:r w:rsidRPr="00026EC1">
        <w:t>est pas assujetti aux dispositions de la présente clause et, à moins d</w:t>
      </w:r>
      <w:r w:rsidR="004A41E4" w:rsidRPr="00026EC1">
        <w:t>’</w:t>
      </w:r>
      <w:r w:rsidRPr="00026EC1">
        <w:t>entente différente avec le Collège, il est versé tel que cela est prévu à la convention collective pour le salaire habituel.</w:t>
      </w:r>
    </w:p>
    <w:p w14:paraId="3B516505" w14:textId="77777777" w:rsidR="00991BA7" w:rsidRPr="00026EC1" w:rsidRDefault="00991BA7" w:rsidP="00A64613">
      <w:pPr>
        <w:pStyle w:val="NUMRODECLAUSE"/>
        <w:keepNext w:val="0"/>
      </w:pPr>
    </w:p>
    <w:p w14:paraId="3C9D49E8" w14:textId="0A1EBA4A" w:rsidR="00404F34" w:rsidRPr="00026EC1" w:rsidRDefault="00404F34" w:rsidP="00A64613">
      <w:pPr>
        <w:pStyle w:val="NUMRODECLAUSE"/>
        <w:keepNext w:val="0"/>
      </w:pPr>
      <w:r w:rsidRPr="00026EC1">
        <w:t>7</w:t>
      </w:r>
      <w:r w:rsidR="00984A6F">
        <w:noBreakHyphen/>
      </w:r>
      <w:r w:rsidRPr="00026EC1">
        <w:t>2.04</w:t>
      </w:r>
    </w:p>
    <w:p w14:paraId="792921FE" w14:textId="77777777" w:rsidR="00404F34" w:rsidRPr="00026EC1" w:rsidRDefault="00404F34" w:rsidP="00A64613">
      <w:pPr>
        <w:keepNext w:val="0"/>
      </w:pPr>
      <w:r w:rsidRPr="00026EC1">
        <w:t>Chaque enseignante ou enseignant qui bénéficie actuellement des avantages d</w:t>
      </w:r>
      <w:r w:rsidR="004A41E4" w:rsidRPr="00026EC1">
        <w:t>’</w:t>
      </w:r>
      <w:r w:rsidRPr="00026EC1">
        <w:t>un congé avec salaire pour études à temps complet continue d</w:t>
      </w:r>
      <w:r w:rsidR="004A41E4" w:rsidRPr="00026EC1">
        <w:t>’</w:t>
      </w:r>
      <w:r w:rsidRPr="00026EC1">
        <w:t>en jouir. Ses obligations demeurent celles exigées au moment de l</w:t>
      </w:r>
      <w:r w:rsidR="004A41E4" w:rsidRPr="00026EC1">
        <w:t>’</w:t>
      </w:r>
      <w:r w:rsidRPr="00026EC1">
        <w:t>obtention de son congé à moins que le présent chapitre ne prévoie des conditions plus avantageuses.</w:t>
      </w:r>
    </w:p>
    <w:p w14:paraId="3A0A0FE0" w14:textId="77777777" w:rsidR="00404F34" w:rsidRPr="00026EC1" w:rsidRDefault="00404F34" w:rsidP="00A64613">
      <w:pPr>
        <w:keepNext w:val="0"/>
      </w:pPr>
    </w:p>
    <w:p w14:paraId="2F0FCEEE" w14:textId="644C4EA6" w:rsidR="00404F34" w:rsidRPr="00026EC1" w:rsidRDefault="00404F34" w:rsidP="00A64613">
      <w:pPr>
        <w:pStyle w:val="NUMRODECLAUSE"/>
        <w:keepNext w:val="0"/>
      </w:pPr>
      <w:r w:rsidRPr="00026EC1">
        <w:t>7</w:t>
      </w:r>
      <w:r w:rsidR="00984A6F">
        <w:noBreakHyphen/>
      </w:r>
      <w:r w:rsidRPr="00026EC1">
        <w:t>2.05</w:t>
      </w:r>
    </w:p>
    <w:p w14:paraId="0C82500A" w14:textId="77777777" w:rsidR="00404F34" w:rsidRPr="00026EC1" w:rsidRDefault="00404F34" w:rsidP="00A64613">
      <w:pPr>
        <w:keepNext w:val="0"/>
      </w:pPr>
      <w:r w:rsidRPr="00026EC1">
        <w:t>En cas d</w:t>
      </w:r>
      <w:r w:rsidR="004A41E4" w:rsidRPr="00026EC1">
        <w:t>’</w:t>
      </w:r>
      <w:r w:rsidRPr="00026EC1">
        <w:t>incapacité totale ou partielle, permanente ou temporaire de travail, le Collège et l</w:t>
      </w:r>
      <w:r w:rsidR="004A41E4" w:rsidRPr="00026EC1">
        <w:t>’</w:t>
      </w:r>
      <w:r w:rsidRPr="00026EC1">
        <w:t>enseignante ou l</w:t>
      </w:r>
      <w:r w:rsidR="004A41E4" w:rsidRPr="00026EC1">
        <w:t>’</w:t>
      </w:r>
      <w:r w:rsidRPr="00026EC1">
        <w:t xml:space="preserve">enseignant conviennent des modalités différentes de remboursement ou de libération de dette. Ces modalités doivent être portées à la connaissance du </w:t>
      </w:r>
      <w:r w:rsidR="00C7446A" w:rsidRPr="00026EC1">
        <w:t>CRT</w:t>
      </w:r>
      <w:r w:rsidRPr="00026EC1">
        <w:t xml:space="preserve"> et, à défaut d</w:t>
      </w:r>
      <w:r w:rsidR="004A41E4" w:rsidRPr="00026EC1">
        <w:t>’</w:t>
      </w:r>
      <w:r w:rsidRPr="00026EC1">
        <w:t>entente, les parties peuvent se prévaloir de la procédure de grief sur la base de l</w:t>
      </w:r>
      <w:r w:rsidR="004A41E4" w:rsidRPr="00026EC1">
        <w:t>’</w:t>
      </w:r>
      <w:r w:rsidRPr="00026EC1">
        <w:t>équité.</w:t>
      </w:r>
    </w:p>
    <w:p w14:paraId="7E453F5C" w14:textId="77777777" w:rsidR="00404F34" w:rsidRPr="00026EC1" w:rsidRDefault="00404F34" w:rsidP="00A64613">
      <w:pPr>
        <w:keepNext w:val="0"/>
      </w:pPr>
    </w:p>
    <w:p w14:paraId="419CA14F" w14:textId="5CD31FB8" w:rsidR="00404F34" w:rsidRPr="00026EC1" w:rsidRDefault="00404F34" w:rsidP="00A64613">
      <w:pPr>
        <w:pStyle w:val="NUMRODECLAUSE"/>
        <w:keepNext w:val="0"/>
      </w:pPr>
      <w:r w:rsidRPr="00026EC1">
        <w:t>7</w:t>
      </w:r>
      <w:r w:rsidR="00984A6F">
        <w:noBreakHyphen/>
      </w:r>
      <w:r w:rsidRPr="00026EC1">
        <w:t>2.06</w:t>
      </w:r>
    </w:p>
    <w:p w14:paraId="30E53B54" w14:textId="77777777" w:rsidR="00404F34" w:rsidRPr="00026EC1" w:rsidRDefault="00404F34" w:rsidP="00A64613">
      <w:pPr>
        <w:keepNext w:val="0"/>
      </w:pPr>
      <w:r w:rsidRPr="00026EC1">
        <w:t>En cas de décès ou d</w:t>
      </w:r>
      <w:r w:rsidR="004A41E4" w:rsidRPr="00026EC1">
        <w:t>’</w:t>
      </w:r>
      <w:r w:rsidRPr="00026EC1">
        <w:t>incapacité totale permanente, l</w:t>
      </w:r>
      <w:r w:rsidR="004A41E4" w:rsidRPr="00026EC1">
        <w:t>’</w:t>
      </w:r>
      <w:r w:rsidRPr="00026EC1">
        <w:t>obligation de rembourser est éteinte.</w:t>
      </w:r>
    </w:p>
    <w:p w14:paraId="6521C102" w14:textId="77777777" w:rsidR="00404F34" w:rsidRPr="00026EC1" w:rsidRDefault="00404F34" w:rsidP="00A64613">
      <w:pPr>
        <w:keepNext w:val="0"/>
      </w:pPr>
    </w:p>
    <w:p w14:paraId="5AF64C1B" w14:textId="5B256B7E" w:rsidR="00404F34" w:rsidRPr="00026EC1" w:rsidRDefault="00404F34" w:rsidP="00A64613">
      <w:pPr>
        <w:pStyle w:val="NUMRODECLAUSE"/>
        <w:keepNext w:val="0"/>
      </w:pPr>
      <w:r w:rsidRPr="00026EC1">
        <w:t>7</w:t>
      </w:r>
      <w:r w:rsidR="00984A6F">
        <w:noBreakHyphen/>
      </w:r>
      <w:r w:rsidRPr="00026EC1">
        <w:t>2.07</w:t>
      </w:r>
    </w:p>
    <w:p w14:paraId="35D2949B" w14:textId="77777777" w:rsidR="00404F34" w:rsidRPr="00026EC1" w:rsidRDefault="00404F34" w:rsidP="00A64613">
      <w:pPr>
        <w:keepNext w:val="0"/>
      </w:pPr>
      <w:r w:rsidRPr="00026EC1">
        <w:t>Tout congé prévu au présent article ne peut avoir pour effet de modifier les droits et avantages que procure une année d</w:t>
      </w:r>
      <w:r w:rsidR="004A41E4" w:rsidRPr="00026EC1">
        <w:t>’</w:t>
      </w:r>
      <w:r w:rsidR="00BA79F8" w:rsidRPr="00026EC1">
        <w:t>enseignement.</w:t>
      </w:r>
    </w:p>
    <w:p w14:paraId="6A9BCE41" w14:textId="4C6F7446"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741" w:name="_Toc535046628"/>
      <w:bookmarkStart w:id="742" w:name="_Toc133760796"/>
      <w:bookmarkStart w:id="743" w:name="_Toc393444632"/>
      <w:bookmarkStart w:id="744" w:name="_Toc393449583"/>
      <w:bookmarkStart w:id="745" w:name="_Toc393460952"/>
      <w:bookmarkStart w:id="746" w:name="_Toc393461230"/>
      <w:bookmarkStart w:id="747" w:name="_Toc393720791"/>
      <w:bookmarkStart w:id="748" w:name="_Toc393783952"/>
      <w:bookmarkStart w:id="749" w:name="_Toc393784091"/>
      <w:bookmarkStart w:id="750" w:name="_Toc168479545"/>
      <w:r w:rsidRPr="00026EC1">
        <w:t>Article 7</w:t>
      </w:r>
      <w:r w:rsidR="00984A6F">
        <w:t>-</w:t>
      </w:r>
      <w:r w:rsidRPr="00026EC1">
        <w:t>3.00</w:t>
      </w:r>
      <w:r w:rsidR="00C9604C" w:rsidRPr="00026EC1">
        <w:tab/>
      </w:r>
      <w:r w:rsidR="00984A6F">
        <w:t>-</w:t>
      </w:r>
      <w:r w:rsidR="00C9604C" w:rsidRPr="00026EC1">
        <w:tab/>
      </w:r>
      <w:r w:rsidRPr="00026EC1">
        <w:t>Dispositions relatives au congé de perfectionnement sans salaire</w:t>
      </w:r>
      <w:bookmarkEnd w:id="741"/>
      <w:bookmarkEnd w:id="742"/>
      <w:bookmarkEnd w:id="743"/>
      <w:bookmarkEnd w:id="744"/>
      <w:bookmarkEnd w:id="745"/>
      <w:bookmarkEnd w:id="746"/>
      <w:bookmarkEnd w:id="747"/>
      <w:bookmarkEnd w:id="748"/>
      <w:bookmarkEnd w:id="749"/>
      <w:bookmarkEnd w:id="750"/>
    </w:p>
    <w:p w14:paraId="3ED0B725" w14:textId="0C01CACA" w:rsidR="00404F34" w:rsidRPr="00026EC1" w:rsidRDefault="00404F34" w:rsidP="00A64613">
      <w:pPr>
        <w:pStyle w:val="NUMRODECLAUSE"/>
        <w:keepNext w:val="0"/>
      </w:pPr>
      <w:r w:rsidRPr="00026EC1">
        <w:t>7</w:t>
      </w:r>
      <w:r w:rsidR="00984A6F">
        <w:noBreakHyphen/>
      </w:r>
      <w:r w:rsidRPr="00026EC1">
        <w:t>3.01</w:t>
      </w:r>
    </w:p>
    <w:p w14:paraId="680EC9A6" w14:textId="77777777" w:rsidR="00404F34" w:rsidRPr="00026EC1" w:rsidRDefault="00404F34" w:rsidP="00A64613">
      <w:pPr>
        <w:keepNext w:val="0"/>
      </w:pPr>
      <w:r w:rsidRPr="00026EC1">
        <w:t>À moins de stipulation expresse à l</w:t>
      </w:r>
      <w:r w:rsidR="004A41E4" w:rsidRPr="00026EC1">
        <w:t>’</w:t>
      </w:r>
      <w:r w:rsidRPr="00026EC1">
        <w:t>effet contraire, tout congé de perfectionnement sans salaire prévu à la convention collective ne peut avoir pour effet de modifier les droits et avantages que procure une année d</w:t>
      </w:r>
      <w:r w:rsidR="004A41E4" w:rsidRPr="00026EC1">
        <w:t>’</w:t>
      </w:r>
      <w:r w:rsidRPr="00026EC1">
        <w:t>enseignement dans les présentes stipulations.</w:t>
      </w:r>
    </w:p>
    <w:p w14:paraId="1A5AE2E3" w14:textId="77777777" w:rsidR="00404F34" w:rsidRPr="00026EC1" w:rsidRDefault="00404F34" w:rsidP="00A64613">
      <w:pPr>
        <w:keepNext w:val="0"/>
      </w:pPr>
    </w:p>
    <w:p w14:paraId="2BBEE26D" w14:textId="19B45183" w:rsidR="00404F34" w:rsidRPr="00026EC1" w:rsidRDefault="00404F34" w:rsidP="00A64613">
      <w:pPr>
        <w:keepNext w:val="0"/>
      </w:pPr>
      <w:r w:rsidRPr="00026EC1">
        <w:t>Cependant, pendant la durée du congé de perfectionnement sans salaire, l</w:t>
      </w:r>
      <w:r w:rsidR="004A41E4" w:rsidRPr="00026EC1">
        <w:t>’</w:t>
      </w:r>
      <w:r w:rsidRPr="00026EC1">
        <w:t>enseignante ou l</w:t>
      </w:r>
      <w:r w:rsidR="004A41E4" w:rsidRPr="00026EC1">
        <w:t>’</w:t>
      </w:r>
      <w:r w:rsidRPr="00026EC1">
        <w:t>enseignant maintient sa participation au régime d</w:t>
      </w:r>
      <w:r w:rsidR="004A41E4" w:rsidRPr="00026EC1">
        <w:t>’</w:t>
      </w:r>
      <w:r w:rsidRPr="00026EC1">
        <w:t>assurance</w:t>
      </w:r>
      <w:r w:rsidR="00984A6F">
        <w:noBreakHyphen/>
      </w:r>
      <w:r w:rsidRPr="00026EC1">
        <w:t>maladie selon les modalités prévues aux clauses</w:t>
      </w:r>
      <w:r w:rsidR="00F61E7A" w:rsidRPr="00026EC1">
        <w:t> </w:t>
      </w:r>
      <w:r w:rsidRPr="00026EC1">
        <w:t>5</w:t>
      </w:r>
      <w:r w:rsidR="00984A6F">
        <w:noBreakHyphen/>
      </w:r>
      <w:r w:rsidRPr="00026EC1">
        <w:t>5.01 et 5</w:t>
      </w:r>
      <w:r w:rsidR="00984A6F">
        <w:noBreakHyphen/>
      </w:r>
      <w:r w:rsidRPr="00026EC1">
        <w:t>5.15. Par ailleurs, pour continuer à bénéficier des avantages découlant des autres régimes d</w:t>
      </w:r>
      <w:r w:rsidR="004A41E4" w:rsidRPr="00026EC1">
        <w:t>’</w:t>
      </w:r>
      <w:r w:rsidRPr="00026EC1">
        <w:t>assurance ou des régimes de retraite, l</w:t>
      </w:r>
      <w:r w:rsidR="004A41E4" w:rsidRPr="00026EC1">
        <w:t>’</w:t>
      </w:r>
      <w:r w:rsidRPr="00026EC1">
        <w:t>enseignante ou l</w:t>
      </w:r>
      <w:r w:rsidR="004A41E4" w:rsidRPr="00026EC1">
        <w:t>’</w:t>
      </w:r>
      <w:r w:rsidRPr="00026EC1">
        <w:t>enseignant en assume le coût total à la condition que les contrats</w:t>
      </w:r>
      <w:r w:rsidR="00984A6F">
        <w:noBreakHyphen/>
      </w:r>
      <w:r w:rsidRPr="00026EC1">
        <w:t>cadres ou les régimes le permettent.</w:t>
      </w:r>
    </w:p>
    <w:p w14:paraId="55013FC5"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2BF8500B" w14:textId="77777777" w:rsidR="00404F34" w:rsidRPr="00026EC1" w:rsidRDefault="00404F34" w:rsidP="00A64613">
      <w:pPr>
        <w:keepNext w:val="0"/>
      </w:pPr>
    </w:p>
    <w:p w14:paraId="702389EA" w14:textId="02DAB4AD" w:rsidR="00404F34" w:rsidRPr="00026EC1" w:rsidRDefault="00404F34" w:rsidP="00A64613">
      <w:pPr>
        <w:pStyle w:val="NUMRODECLAUSE"/>
        <w:keepNext w:val="0"/>
      </w:pPr>
      <w:r w:rsidRPr="00026EC1">
        <w:t>7</w:t>
      </w:r>
      <w:r w:rsidR="00984A6F">
        <w:noBreakHyphen/>
      </w:r>
      <w:r w:rsidRPr="00026EC1">
        <w:t>3.02</w:t>
      </w:r>
    </w:p>
    <w:p w14:paraId="19E0CC9D" w14:textId="176ED4D6" w:rsidR="00404F34" w:rsidRDefault="00404F34" w:rsidP="006916CB">
      <w:pPr>
        <w:keepNext w:val="0"/>
      </w:pPr>
    </w:p>
    <w:p w14:paraId="04E2B23A" w14:textId="39F35CF0" w:rsidR="008B06A8" w:rsidRPr="00316277" w:rsidRDefault="008B06A8" w:rsidP="006916CB">
      <w:pPr>
        <w:pStyle w:val="Default"/>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L’enseignante ou l’enseignant qui désire obtenir un congé de perfectionnement sans salaire fait la demande, par écrit</w:t>
      </w:r>
      <w:r w:rsidR="002433FA" w:rsidRPr="00316277">
        <w:rPr>
          <w:rFonts w:ascii="Arial" w:eastAsia="Times New Roman" w:hAnsi="Arial" w:cs="Times New Roman"/>
          <w:snapToGrid w:val="0"/>
          <w:color w:val="auto"/>
          <w:szCs w:val="20"/>
          <w:lang w:eastAsia="fr-FR"/>
        </w:rPr>
        <w:t xml:space="preserve"> au Collège</w:t>
      </w:r>
      <w:r w:rsidRPr="00316277">
        <w:rPr>
          <w:rFonts w:ascii="Arial" w:eastAsia="Times New Roman" w:hAnsi="Arial" w:cs="Times New Roman"/>
          <w:snapToGrid w:val="0"/>
          <w:color w:val="auto"/>
          <w:szCs w:val="20"/>
          <w:lang w:eastAsia="fr-FR"/>
        </w:rPr>
        <w:t>, au plus tard le 15</w:t>
      </w:r>
      <w:r w:rsidR="002433FA" w:rsidRPr="00316277">
        <w:rPr>
          <w:rFonts w:ascii="Arial" w:eastAsia="Times New Roman" w:hAnsi="Arial" w:cs="Times New Roman"/>
          <w:snapToGrid w:val="0"/>
          <w:color w:val="auto"/>
          <w:szCs w:val="20"/>
          <w:lang w:eastAsia="fr-FR"/>
        </w:rPr>
        <w:t> </w:t>
      </w:r>
      <w:r w:rsidRPr="00316277">
        <w:rPr>
          <w:rFonts w:ascii="Arial" w:eastAsia="Times New Roman" w:hAnsi="Arial" w:cs="Times New Roman"/>
          <w:snapToGrid w:val="0"/>
          <w:color w:val="auto"/>
          <w:szCs w:val="20"/>
          <w:lang w:eastAsia="fr-FR"/>
        </w:rPr>
        <w:t>mai pour une participation à la session d’automne et au plus tard le 15</w:t>
      </w:r>
      <w:r w:rsidR="002433FA" w:rsidRPr="00316277">
        <w:rPr>
          <w:rFonts w:ascii="Arial" w:eastAsia="Times New Roman" w:hAnsi="Arial" w:cs="Times New Roman"/>
          <w:snapToGrid w:val="0"/>
          <w:color w:val="auto"/>
          <w:szCs w:val="20"/>
          <w:lang w:eastAsia="fr-FR"/>
        </w:rPr>
        <w:t> </w:t>
      </w:r>
      <w:r w:rsidRPr="00316277">
        <w:rPr>
          <w:rFonts w:ascii="Arial" w:eastAsia="Times New Roman" w:hAnsi="Arial" w:cs="Times New Roman"/>
          <w:snapToGrid w:val="0"/>
          <w:color w:val="auto"/>
          <w:szCs w:val="20"/>
          <w:lang w:eastAsia="fr-FR"/>
        </w:rPr>
        <w:t>novembre pour une participation à la session d’hiver.</w:t>
      </w:r>
    </w:p>
    <w:p w14:paraId="48412713" w14:textId="77777777" w:rsidR="006916CB" w:rsidRPr="00316277" w:rsidRDefault="006916CB" w:rsidP="006916CB">
      <w:pPr>
        <w:pStyle w:val="Default"/>
        <w:jc w:val="both"/>
        <w:rPr>
          <w:rFonts w:ascii="Arial" w:eastAsia="Times New Roman" w:hAnsi="Arial" w:cs="Times New Roman"/>
          <w:snapToGrid w:val="0"/>
          <w:color w:val="auto"/>
          <w:szCs w:val="20"/>
          <w:lang w:eastAsia="fr-FR"/>
        </w:rPr>
      </w:pPr>
    </w:p>
    <w:p w14:paraId="07DC0269" w14:textId="3C81CE10" w:rsidR="008B06A8" w:rsidRPr="008B06A8" w:rsidRDefault="008B06A8" w:rsidP="006916CB">
      <w:pPr>
        <w:pStyle w:val="Default"/>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Sous réserve des difficultés d’ordre pédagogique ou de recrutement, le Collège accorde un tel congé.</w:t>
      </w:r>
    </w:p>
    <w:p w14:paraId="11E7CE51" w14:textId="77777777" w:rsidR="008B06A8" w:rsidRPr="00026EC1" w:rsidRDefault="008B06A8" w:rsidP="006916CB">
      <w:pPr>
        <w:keepNext w:val="0"/>
      </w:pPr>
    </w:p>
    <w:p w14:paraId="60165AA1" w14:textId="77777777" w:rsidR="00404F34" w:rsidRPr="00026EC1" w:rsidRDefault="00404F34" w:rsidP="00A64613">
      <w:pPr>
        <w:keepNext w:val="0"/>
      </w:pPr>
      <w:r w:rsidRPr="00026EC1">
        <w:t>Les conditions du départ et du retour de l</w:t>
      </w:r>
      <w:r w:rsidR="004A41E4" w:rsidRPr="00026EC1">
        <w:t>’</w:t>
      </w:r>
      <w:r w:rsidRPr="00026EC1">
        <w:t>enseignante ou de l</w:t>
      </w:r>
      <w:r w:rsidR="004A41E4" w:rsidRPr="00026EC1">
        <w:t>’</w:t>
      </w:r>
      <w:r w:rsidRPr="00026EC1">
        <w:t>enseignant ayant obtenu un congé de perfectionnement sans salaire doivent être arrêtées entre le Collège et l</w:t>
      </w:r>
      <w:r w:rsidR="004A41E4" w:rsidRPr="00026EC1">
        <w:t>’</w:t>
      </w:r>
      <w:r w:rsidRPr="00026EC1">
        <w:t>enseignante ou l</w:t>
      </w:r>
      <w:r w:rsidR="004A41E4" w:rsidRPr="00026EC1">
        <w:t>’</w:t>
      </w:r>
      <w:r w:rsidRPr="00026EC1">
        <w:t>enseignant visé conformément aux dispositions de la convention collective.</w:t>
      </w:r>
    </w:p>
    <w:p w14:paraId="549FCA26" w14:textId="77777777" w:rsidR="00404F34" w:rsidRPr="00026EC1" w:rsidRDefault="00404F34" w:rsidP="00A64613">
      <w:pPr>
        <w:keepNext w:val="0"/>
      </w:pPr>
    </w:p>
    <w:p w14:paraId="111AF0B8" w14:textId="33298517" w:rsidR="00404F34" w:rsidRPr="00026EC1" w:rsidRDefault="00404F34" w:rsidP="00A64613">
      <w:pPr>
        <w:pStyle w:val="NUMRODECLAUSE"/>
        <w:keepNext w:val="0"/>
      </w:pPr>
      <w:r w:rsidRPr="00026EC1">
        <w:t>7</w:t>
      </w:r>
      <w:r w:rsidR="00984A6F">
        <w:noBreakHyphen/>
      </w:r>
      <w:r w:rsidRPr="00026EC1">
        <w:t>3.03</w:t>
      </w:r>
    </w:p>
    <w:p w14:paraId="51917F4F" w14:textId="3D514339" w:rsidR="00404F34" w:rsidRPr="00026EC1" w:rsidRDefault="00404F34" w:rsidP="00A64613">
      <w:pPr>
        <w:keepNext w:val="0"/>
      </w:pPr>
      <w:r w:rsidRPr="00026EC1">
        <w:t>La durée normale d</w:t>
      </w:r>
      <w:r w:rsidR="004A41E4" w:rsidRPr="00026EC1">
        <w:t>’</w:t>
      </w:r>
      <w:r w:rsidRPr="00026EC1">
        <w:t>un congé de perfectionnement sans salaire est d</w:t>
      </w:r>
      <w:r w:rsidR="004A41E4" w:rsidRPr="00026EC1">
        <w:t>’</w:t>
      </w:r>
      <w:r w:rsidRPr="00026EC1">
        <w:t>au moins une</w:t>
      </w:r>
      <w:r w:rsidR="00C6718B">
        <w:t> </w:t>
      </w:r>
      <w:r w:rsidRPr="00026EC1">
        <w:t>(1) session et d</w:t>
      </w:r>
      <w:r w:rsidR="004A41E4" w:rsidRPr="00026EC1">
        <w:t>’</w:t>
      </w:r>
      <w:r w:rsidRPr="00026EC1">
        <w:t>au plus deux</w:t>
      </w:r>
      <w:r w:rsidR="00C6718B">
        <w:t> </w:t>
      </w:r>
      <w:r w:rsidRPr="00026EC1">
        <w:t>(2) années ou l</w:t>
      </w:r>
      <w:r w:rsidR="004A41E4" w:rsidRPr="00026EC1">
        <w:t>’</w:t>
      </w:r>
      <w:r w:rsidRPr="00026EC1">
        <w:t>équivalent.</w:t>
      </w:r>
    </w:p>
    <w:p w14:paraId="55CDE9F1" w14:textId="77777777" w:rsidR="00404F34" w:rsidRPr="00026EC1" w:rsidRDefault="00404F34" w:rsidP="00A64613">
      <w:pPr>
        <w:keepNext w:val="0"/>
      </w:pPr>
    </w:p>
    <w:p w14:paraId="5794A023" w14:textId="64D6A997" w:rsidR="00404F34" w:rsidRPr="00026EC1" w:rsidRDefault="00404F34" w:rsidP="00A64613">
      <w:pPr>
        <w:pStyle w:val="NUMRODECLAUSE"/>
        <w:keepNext w:val="0"/>
      </w:pPr>
      <w:r w:rsidRPr="00026EC1">
        <w:t>7</w:t>
      </w:r>
      <w:r w:rsidR="00984A6F">
        <w:noBreakHyphen/>
      </w:r>
      <w:r w:rsidRPr="00026EC1">
        <w:t>3.04</w:t>
      </w:r>
    </w:p>
    <w:p w14:paraId="7BD03388" w14:textId="77777777" w:rsidR="00404F34" w:rsidRPr="00026EC1" w:rsidRDefault="00404F34" w:rsidP="00A64613">
      <w:pPr>
        <w:keepNext w:val="0"/>
      </w:pPr>
      <w:r w:rsidRPr="00026EC1">
        <w:t>À moins de stipulations expresses à l</w:t>
      </w:r>
      <w:r w:rsidR="004A41E4" w:rsidRPr="00026EC1">
        <w:t>’</w:t>
      </w:r>
      <w:r w:rsidRPr="00026EC1">
        <w:t>effet contraire, tout congé prévu au présent article ne peut avoir pour effet de modifier les droits et avantages que procure une année d</w:t>
      </w:r>
      <w:r w:rsidR="004A41E4" w:rsidRPr="00026EC1">
        <w:t>’</w:t>
      </w:r>
      <w:r w:rsidR="00BA79F8" w:rsidRPr="00026EC1">
        <w:t>enseignement.</w:t>
      </w:r>
    </w:p>
    <w:p w14:paraId="7D55D9EB" w14:textId="7BBFEB8A"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751" w:name="_Toc535046629"/>
      <w:bookmarkStart w:id="752" w:name="_Toc393444633"/>
      <w:bookmarkStart w:id="753" w:name="_Toc393449584"/>
      <w:bookmarkStart w:id="754" w:name="_Toc393460953"/>
      <w:bookmarkStart w:id="755" w:name="_Toc393461231"/>
      <w:bookmarkStart w:id="756" w:name="_Toc393720792"/>
      <w:bookmarkStart w:id="757" w:name="_Toc393783953"/>
      <w:bookmarkStart w:id="758" w:name="_Toc393784092"/>
      <w:bookmarkStart w:id="759" w:name="_Toc168479546"/>
      <w:r w:rsidRPr="00026EC1">
        <w:t>Article</w:t>
      </w:r>
      <w:r w:rsidR="00831CEF" w:rsidRPr="00026EC1">
        <w:t> </w:t>
      </w:r>
      <w:r w:rsidRPr="00026EC1">
        <w:t>7</w:t>
      </w:r>
      <w:r w:rsidR="00984A6F">
        <w:t>-</w:t>
      </w:r>
      <w:r w:rsidRPr="00026EC1">
        <w:t>4.00</w:t>
      </w:r>
      <w:r w:rsidR="00C9604C" w:rsidRPr="00026EC1">
        <w:tab/>
      </w:r>
      <w:r w:rsidR="00984A6F">
        <w:t>-</w:t>
      </w:r>
      <w:r w:rsidR="00C9604C" w:rsidRPr="00026EC1">
        <w:tab/>
      </w:r>
      <w:r w:rsidRPr="00026EC1">
        <w:t>Comité de perfectionnement</w:t>
      </w:r>
      <w:bookmarkEnd w:id="751"/>
      <w:bookmarkEnd w:id="752"/>
      <w:bookmarkEnd w:id="753"/>
      <w:bookmarkEnd w:id="754"/>
      <w:bookmarkEnd w:id="755"/>
      <w:bookmarkEnd w:id="756"/>
      <w:bookmarkEnd w:id="757"/>
      <w:bookmarkEnd w:id="758"/>
      <w:bookmarkEnd w:id="759"/>
    </w:p>
    <w:p w14:paraId="619613C4"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558128BC" w14:textId="77777777" w:rsidR="00404F34" w:rsidRPr="00026EC1" w:rsidRDefault="00404F34" w:rsidP="00A64613">
      <w:pPr>
        <w:keepNext w:val="0"/>
      </w:pPr>
    </w:p>
    <w:p w14:paraId="570488AA" w14:textId="28E7D89A" w:rsidR="00404F34" w:rsidRPr="00026EC1" w:rsidRDefault="00404F34" w:rsidP="00A64613">
      <w:pPr>
        <w:pStyle w:val="NUMRODECLAUSE"/>
        <w:keepNext w:val="0"/>
      </w:pPr>
      <w:r w:rsidRPr="00026EC1">
        <w:t>7</w:t>
      </w:r>
      <w:r w:rsidR="00984A6F">
        <w:noBreakHyphen/>
      </w:r>
      <w:r w:rsidRPr="00026EC1">
        <w:t>4.01</w:t>
      </w:r>
    </w:p>
    <w:p w14:paraId="63FBCFD3" w14:textId="5D15B150" w:rsidR="00404F34" w:rsidRPr="00026EC1" w:rsidRDefault="00404F34" w:rsidP="00A64613">
      <w:pPr>
        <w:keepNext w:val="0"/>
      </w:pPr>
      <w:r w:rsidRPr="00026EC1">
        <w:t>Le Comité de perfectionnement est un comité permanent qui regroupe les parties. Le Collège et le Syndicat y nomment au plus trois</w:t>
      </w:r>
      <w:r w:rsidR="00C6718B">
        <w:t> </w:t>
      </w:r>
      <w:r w:rsidRPr="00026EC1">
        <w:t>(3) représentantes ou représentants chacun dans les trente</w:t>
      </w:r>
      <w:r w:rsidR="00C6718B">
        <w:t> </w:t>
      </w:r>
      <w:r w:rsidRPr="00026EC1">
        <w:t>(30) jours ouvrables qui suivent l</w:t>
      </w:r>
      <w:r w:rsidR="004A41E4" w:rsidRPr="00026EC1">
        <w:t>’</w:t>
      </w:r>
      <w:r w:rsidRPr="00026EC1">
        <w:t>entrée en vigueur des présentes dispositions. Par la suite, chaque partie nomme ses représentantes ou représentants, de préférence à la fin de l</w:t>
      </w:r>
      <w:r w:rsidR="004A41E4" w:rsidRPr="00026EC1">
        <w:t>’</w:t>
      </w:r>
      <w:r w:rsidRPr="00026EC1">
        <w:t>année d</w:t>
      </w:r>
      <w:r w:rsidR="004A41E4" w:rsidRPr="00026EC1">
        <w:t>’</w:t>
      </w:r>
      <w:r w:rsidRPr="00026EC1">
        <w:t>enseignement.</w:t>
      </w:r>
    </w:p>
    <w:p w14:paraId="4E60CB56" w14:textId="77777777" w:rsidR="00404F34" w:rsidRPr="00026EC1" w:rsidRDefault="00404F34" w:rsidP="00A64613">
      <w:pPr>
        <w:keepNext w:val="0"/>
      </w:pPr>
    </w:p>
    <w:p w14:paraId="72657B7B" w14:textId="3A9F1BF2" w:rsidR="00404F34" w:rsidRPr="00026EC1" w:rsidRDefault="00404F34" w:rsidP="00A64613">
      <w:pPr>
        <w:pStyle w:val="NUMRODECLAUSE"/>
        <w:keepNext w:val="0"/>
      </w:pPr>
      <w:r w:rsidRPr="00026EC1">
        <w:t>7</w:t>
      </w:r>
      <w:r w:rsidR="00984A6F">
        <w:noBreakHyphen/>
      </w:r>
      <w:r w:rsidRPr="00026EC1">
        <w:t>4.02</w:t>
      </w:r>
    </w:p>
    <w:p w14:paraId="3A3F0456" w14:textId="372BEB19" w:rsidR="00404F34" w:rsidRPr="00026EC1" w:rsidRDefault="00404F34" w:rsidP="00A64613">
      <w:pPr>
        <w:keepNext w:val="0"/>
      </w:pPr>
      <w:r w:rsidRPr="00026EC1">
        <w:t>Le mandat des représentantes et représentants des parties au comité de perfectionnement est normalement d</w:t>
      </w:r>
      <w:r w:rsidR="004A41E4" w:rsidRPr="00026EC1">
        <w:t>’</w:t>
      </w:r>
      <w:r w:rsidRPr="00026EC1">
        <w:t>un</w:t>
      </w:r>
      <w:r w:rsidR="001126F1">
        <w:t> </w:t>
      </w:r>
      <w:r w:rsidRPr="00026EC1">
        <w:t>(1) an et est renouvelable.</w:t>
      </w:r>
    </w:p>
    <w:p w14:paraId="1E962B64" w14:textId="77777777" w:rsidR="00404F34" w:rsidRPr="00026EC1" w:rsidRDefault="00404F34" w:rsidP="00A64613">
      <w:pPr>
        <w:keepNext w:val="0"/>
      </w:pPr>
    </w:p>
    <w:p w14:paraId="020B4E22" w14:textId="67FCA75D" w:rsidR="00404F34" w:rsidRPr="00026EC1" w:rsidRDefault="00404F34" w:rsidP="00A64613">
      <w:pPr>
        <w:pStyle w:val="NUMRODECLAUSE"/>
        <w:keepNext w:val="0"/>
      </w:pPr>
      <w:r w:rsidRPr="00026EC1">
        <w:t>7</w:t>
      </w:r>
      <w:r w:rsidR="00984A6F">
        <w:noBreakHyphen/>
      </w:r>
      <w:r w:rsidRPr="00026EC1">
        <w:t>4.03</w:t>
      </w:r>
    </w:p>
    <w:p w14:paraId="06C127AD" w14:textId="7243724D" w:rsidR="00404F34" w:rsidRPr="00026EC1" w:rsidRDefault="00404F34" w:rsidP="00A64613">
      <w:pPr>
        <w:keepNext w:val="0"/>
      </w:pPr>
      <w:r w:rsidRPr="00026EC1">
        <w:t>Le Comité de perfectionnement a pour fonction</w:t>
      </w:r>
      <w:r w:rsidR="00D8581B">
        <w:t> :</w:t>
      </w:r>
    </w:p>
    <w:p w14:paraId="3B1BC99A" w14:textId="77777777" w:rsidR="00404F34" w:rsidRPr="00026EC1" w:rsidRDefault="00404F34" w:rsidP="00A64613">
      <w:pPr>
        <w:keepNext w:val="0"/>
      </w:pPr>
    </w:p>
    <w:p w14:paraId="3411FACB" w14:textId="34E9BE15" w:rsidR="00404F34" w:rsidRPr="00026EC1" w:rsidRDefault="00275751" w:rsidP="00A64613">
      <w:pPr>
        <w:keepNext w:val="0"/>
        <w:tabs>
          <w:tab w:val="left" w:pos="567"/>
        </w:tabs>
        <w:ind w:left="567" w:hanging="567"/>
      </w:pPr>
      <w:r w:rsidRPr="00026EC1">
        <w:t>a)</w:t>
      </w:r>
      <w:r w:rsidRPr="00026EC1">
        <w:tab/>
      </w:r>
      <w:r w:rsidR="00404F34" w:rsidRPr="00026EC1">
        <w:t>d</w:t>
      </w:r>
      <w:r w:rsidR="004A41E4" w:rsidRPr="00026EC1">
        <w:t>’</w:t>
      </w:r>
      <w:r w:rsidR="00404F34" w:rsidRPr="00026EC1">
        <w:t>établir les priorités de perfectionnement des enseignantes et enseignants du Collège conformément, s</w:t>
      </w:r>
      <w:r w:rsidR="004A41E4" w:rsidRPr="00026EC1">
        <w:t>’</w:t>
      </w:r>
      <w:r w:rsidR="00404F34" w:rsidRPr="00026EC1">
        <w:t>il y a lieu, au programme d</w:t>
      </w:r>
      <w:r w:rsidR="004A41E4" w:rsidRPr="00026EC1">
        <w:t>’</w:t>
      </w:r>
      <w:r w:rsidR="00404F34" w:rsidRPr="00026EC1">
        <w:t>accès à l</w:t>
      </w:r>
      <w:r w:rsidR="004A41E4" w:rsidRPr="00026EC1">
        <w:t>’</w:t>
      </w:r>
      <w:r w:rsidR="00404F34" w:rsidRPr="00026EC1">
        <w:t>égalité en emploi établi selon l</w:t>
      </w:r>
      <w:r w:rsidR="004A41E4" w:rsidRPr="00026EC1">
        <w:t>’</w:t>
      </w:r>
      <w:r w:rsidR="00404F34" w:rsidRPr="00026EC1">
        <w:t>article</w:t>
      </w:r>
      <w:r w:rsidR="00831CEF" w:rsidRPr="00026EC1">
        <w:t> </w:t>
      </w:r>
      <w:r w:rsidR="00404F34" w:rsidRPr="00026EC1">
        <w:t>2</w:t>
      </w:r>
      <w:r w:rsidR="00984A6F">
        <w:noBreakHyphen/>
      </w:r>
      <w:r w:rsidR="00404F34" w:rsidRPr="00026EC1">
        <w:t>4.00;</w:t>
      </w:r>
    </w:p>
    <w:p w14:paraId="30CF10D8" w14:textId="77777777" w:rsidR="00404F34" w:rsidRPr="00026EC1" w:rsidRDefault="00404F34" w:rsidP="00A64613">
      <w:pPr>
        <w:keepNext w:val="0"/>
      </w:pPr>
    </w:p>
    <w:p w14:paraId="12C5F2CE" w14:textId="77777777" w:rsidR="00404F34" w:rsidRPr="00026EC1" w:rsidRDefault="00275751" w:rsidP="00A64613">
      <w:pPr>
        <w:keepNext w:val="0"/>
        <w:tabs>
          <w:tab w:val="left" w:pos="567"/>
        </w:tabs>
        <w:ind w:left="567" w:hanging="567"/>
      </w:pPr>
      <w:r w:rsidRPr="00026EC1">
        <w:t>b)</w:t>
      </w:r>
      <w:r w:rsidRPr="00026EC1">
        <w:tab/>
      </w:r>
      <w:r w:rsidR="00404F34" w:rsidRPr="00026EC1">
        <w:t>de définir les programmes de perfectionnement; aux fins du présent alinéa, les programmes peuvent comprendre, entre autres, des stages industriels et des cours donnés par un organisme autre qu</w:t>
      </w:r>
      <w:r w:rsidR="004A41E4" w:rsidRPr="00026EC1">
        <w:t>’</w:t>
      </w:r>
      <w:r w:rsidR="00404F34" w:rsidRPr="00026EC1">
        <w:t>un établissement d</w:t>
      </w:r>
      <w:r w:rsidR="004A41E4" w:rsidRPr="00026EC1">
        <w:t>’</w:t>
      </w:r>
      <w:r w:rsidR="00404F34" w:rsidRPr="00026EC1">
        <w:t>enseignement;</w:t>
      </w:r>
    </w:p>
    <w:p w14:paraId="4F00957D" w14:textId="77777777" w:rsidR="00404F34" w:rsidRPr="00026EC1" w:rsidRDefault="00404F34" w:rsidP="00A64613">
      <w:pPr>
        <w:keepNext w:val="0"/>
      </w:pPr>
    </w:p>
    <w:p w14:paraId="6473AF47" w14:textId="2A646E81" w:rsidR="00404F34" w:rsidRPr="00026EC1" w:rsidRDefault="00275751" w:rsidP="00A64613">
      <w:pPr>
        <w:keepNext w:val="0"/>
        <w:tabs>
          <w:tab w:val="left" w:pos="567"/>
        </w:tabs>
        <w:ind w:left="567" w:hanging="567"/>
      </w:pPr>
      <w:r w:rsidRPr="00026EC1">
        <w:t>c)</w:t>
      </w:r>
      <w:r w:rsidRPr="00026EC1">
        <w:tab/>
      </w:r>
      <w:r w:rsidR="00404F34" w:rsidRPr="00026EC1">
        <w:t>de déterminer l</w:t>
      </w:r>
      <w:r w:rsidR="004A41E4" w:rsidRPr="00026EC1">
        <w:t>’</w:t>
      </w:r>
      <w:r w:rsidR="00404F34" w:rsidRPr="00026EC1">
        <w:t>utilisation et la répartition des montants prévus à la clause</w:t>
      </w:r>
      <w:r w:rsidR="00F61E7A" w:rsidRPr="00026EC1">
        <w:t> </w:t>
      </w:r>
      <w:r w:rsidR="00404F34" w:rsidRPr="00026EC1">
        <w:t>7</w:t>
      </w:r>
      <w:r w:rsidR="00984A6F">
        <w:noBreakHyphen/>
      </w:r>
      <w:r w:rsidR="00404F34" w:rsidRPr="00026EC1">
        <w:t>1.01 à affecter à l</w:t>
      </w:r>
      <w:r w:rsidR="004A41E4" w:rsidRPr="00026EC1">
        <w:t>’</w:t>
      </w:r>
      <w:r w:rsidR="00404F34" w:rsidRPr="00026EC1">
        <w:t>un ou l</w:t>
      </w:r>
      <w:r w:rsidR="004A41E4" w:rsidRPr="00026EC1">
        <w:t>’</w:t>
      </w:r>
      <w:r w:rsidR="00404F34" w:rsidRPr="00026EC1">
        <w:t>autre des programmes de perfectionnement, de même que les modalités de versement des montants alloués aux enseignantes et enseignants;</w:t>
      </w:r>
    </w:p>
    <w:p w14:paraId="451832F3" w14:textId="77777777" w:rsidR="00404F34" w:rsidRPr="00026EC1" w:rsidRDefault="00404F34" w:rsidP="00A64613">
      <w:pPr>
        <w:keepNext w:val="0"/>
      </w:pPr>
    </w:p>
    <w:p w14:paraId="4C676D4B" w14:textId="77777777" w:rsidR="00404F34" w:rsidRPr="00026EC1" w:rsidRDefault="00275751" w:rsidP="00A64613">
      <w:pPr>
        <w:keepNext w:val="0"/>
        <w:tabs>
          <w:tab w:val="left" w:pos="567"/>
        </w:tabs>
        <w:ind w:left="567" w:hanging="567"/>
      </w:pPr>
      <w:r w:rsidRPr="00026EC1">
        <w:t>d)</w:t>
      </w:r>
      <w:r w:rsidRPr="00026EC1">
        <w:tab/>
      </w:r>
      <w:r w:rsidR="00404F34" w:rsidRPr="00026EC1">
        <w:t>de fixer les critères d</w:t>
      </w:r>
      <w:r w:rsidR="004A41E4" w:rsidRPr="00026EC1">
        <w:t>’</w:t>
      </w:r>
      <w:r w:rsidR="00404F34" w:rsidRPr="00026EC1">
        <w:t>éligibilité;</w:t>
      </w:r>
    </w:p>
    <w:p w14:paraId="36D8A7FE" w14:textId="77777777" w:rsidR="00404F34" w:rsidRPr="00026EC1" w:rsidRDefault="00404F34" w:rsidP="00A64613">
      <w:pPr>
        <w:keepNext w:val="0"/>
      </w:pPr>
    </w:p>
    <w:p w14:paraId="30B19BA2" w14:textId="77777777" w:rsidR="00404F34" w:rsidRPr="00026EC1" w:rsidRDefault="00275751" w:rsidP="00A64613">
      <w:pPr>
        <w:keepNext w:val="0"/>
        <w:tabs>
          <w:tab w:val="left" w:pos="567"/>
        </w:tabs>
        <w:ind w:left="567" w:hanging="567"/>
      </w:pPr>
      <w:r w:rsidRPr="00026EC1">
        <w:t>e)</w:t>
      </w:r>
      <w:r w:rsidRPr="00026EC1">
        <w:tab/>
      </w:r>
      <w:r w:rsidR="00404F34" w:rsidRPr="00026EC1">
        <w:t>de recevoir les demandes de perfectionnement des enseignantes et enseignants et de faire le choix des candidates et candidats en tenant compte de l</w:t>
      </w:r>
      <w:r w:rsidR="004A41E4" w:rsidRPr="00026EC1">
        <w:t>’</w:t>
      </w:r>
      <w:r w:rsidR="00404F34" w:rsidRPr="00026EC1">
        <w:t>avis du département.</w:t>
      </w:r>
    </w:p>
    <w:p w14:paraId="28AC5FF5" w14:textId="77777777" w:rsidR="00404F34" w:rsidRPr="00026EC1" w:rsidRDefault="00404F34" w:rsidP="00A64613">
      <w:pPr>
        <w:keepNext w:val="0"/>
      </w:pPr>
    </w:p>
    <w:p w14:paraId="77EA0621" w14:textId="3D103B50" w:rsidR="00404F34" w:rsidRPr="00026EC1" w:rsidRDefault="00404F34" w:rsidP="00A64613">
      <w:pPr>
        <w:pStyle w:val="NUMRODECLAUSE"/>
        <w:keepNext w:val="0"/>
      </w:pPr>
      <w:r w:rsidRPr="00026EC1">
        <w:t>7</w:t>
      </w:r>
      <w:r w:rsidR="00984A6F">
        <w:noBreakHyphen/>
      </w:r>
      <w:r w:rsidRPr="00026EC1">
        <w:t>4.04</w:t>
      </w:r>
    </w:p>
    <w:p w14:paraId="67FA0ECE" w14:textId="77777777" w:rsidR="00404F34" w:rsidRPr="00026EC1" w:rsidRDefault="00404F34" w:rsidP="00A64613">
      <w:pPr>
        <w:keepNext w:val="0"/>
      </w:pPr>
      <w:r w:rsidRPr="00026EC1">
        <w:t>Un accord des parties lie le Collège, le Syndicat et les enseignantes et enseignants.</w:t>
      </w:r>
    </w:p>
    <w:p w14:paraId="7F16E78C" w14:textId="77777777" w:rsidR="00404F34" w:rsidRPr="00026EC1" w:rsidRDefault="00404F34" w:rsidP="00A64613">
      <w:pPr>
        <w:keepNext w:val="0"/>
      </w:pPr>
    </w:p>
    <w:p w14:paraId="2CBDE996" w14:textId="148BA900" w:rsidR="00404F34" w:rsidRPr="00026EC1" w:rsidRDefault="00404F34" w:rsidP="00A64613">
      <w:pPr>
        <w:pStyle w:val="NUMRODECLAUSE"/>
        <w:keepNext w:val="0"/>
      </w:pPr>
      <w:r w:rsidRPr="00026EC1">
        <w:t>7</w:t>
      </w:r>
      <w:r w:rsidR="00984A6F">
        <w:noBreakHyphen/>
      </w:r>
      <w:r w:rsidRPr="00026EC1">
        <w:t>4.05</w:t>
      </w:r>
    </w:p>
    <w:p w14:paraId="0CB6DF8F" w14:textId="77777777" w:rsidR="00404F34" w:rsidRPr="00026EC1" w:rsidRDefault="00404F34" w:rsidP="00A64613">
      <w:pPr>
        <w:keepNext w:val="0"/>
      </w:pPr>
      <w:r w:rsidRPr="00026EC1">
        <w:t>Un montant non alloué une année, à cause d</w:t>
      </w:r>
      <w:r w:rsidR="004A41E4" w:rsidRPr="00026EC1">
        <w:t>’</w:t>
      </w:r>
      <w:r w:rsidRPr="00026EC1">
        <w:t>un désaccord entre les représentantes et représentants des parties, est transféré au budget de perfectionnement de l</w:t>
      </w:r>
      <w:r w:rsidR="004A41E4" w:rsidRPr="00026EC1">
        <w:t>’</w:t>
      </w:r>
      <w:r w:rsidRPr="00026EC1">
        <w:t>année d</w:t>
      </w:r>
      <w:r w:rsidR="004A41E4" w:rsidRPr="00026EC1">
        <w:t>’</w:t>
      </w:r>
      <w:r w:rsidR="00BA79F8" w:rsidRPr="00026EC1">
        <w:t>enseignement suivante.</w:t>
      </w:r>
    </w:p>
    <w:p w14:paraId="5EAB300A" w14:textId="258FB3EF" w:rsidR="00404F34" w:rsidRPr="00026EC1" w:rsidRDefault="0044769D" w:rsidP="00A64613">
      <w:pPr>
        <w:pStyle w:val="NUMRODECLAUSE"/>
        <w:keepNext w:val="0"/>
      </w:pPr>
      <w:r w:rsidRPr="00026EC1">
        <w:br w:type="page"/>
      </w:r>
      <w:r w:rsidR="00404F34" w:rsidRPr="00026EC1">
        <w:t>7</w:t>
      </w:r>
      <w:r w:rsidR="00984A6F">
        <w:noBreakHyphen/>
      </w:r>
      <w:r w:rsidR="00404F34" w:rsidRPr="00026EC1">
        <w:t>4.06</w:t>
      </w:r>
    </w:p>
    <w:p w14:paraId="685EC739" w14:textId="77777777" w:rsidR="00404F34" w:rsidRPr="00026EC1" w:rsidRDefault="00404F34" w:rsidP="00A64613">
      <w:pPr>
        <w:keepNext w:val="0"/>
      </w:pPr>
      <w:r w:rsidRPr="00026EC1">
        <w:t>Il peut également y avoir accord entre les représentantes et représentants des parties au comité pour transférer en tout ou en partie le budget de perfectionnement d</w:t>
      </w:r>
      <w:r w:rsidR="004A41E4" w:rsidRPr="00026EC1">
        <w:t>’</w:t>
      </w:r>
      <w:r w:rsidRPr="00026EC1">
        <w:t>une année d</w:t>
      </w:r>
      <w:r w:rsidR="004A41E4" w:rsidRPr="00026EC1">
        <w:t>’</w:t>
      </w:r>
      <w:r w:rsidRPr="00026EC1">
        <w:t>enseignement à la suivante.</w:t>
      </w:r>
    </w:p>
    <w:p w14:paraId="170DBC83" w14:textId="77777777" w:rsidR="00404F34" w:rsidRPr="00026EC1" w:rsidRDefault="00404F34" w:rsidP="00A64613">
      <w:pPr>
        <w:keepNext w:val="0"/>
      </w:pPr>
    </w:p>
    <w:p w14:paraId="0505A929" w14:textId="54BD52F1" w:rsidR="00404F34" w:rsidRPr="00026EC1" w:rsidRDefault="00404F34" w:rsidP="00A64613">
      <w:pPr>
        <w:pStyle w:val="NUMRODECLAUSE"/>
        <w:keepNext w:val="0"/>
      </w:pPr>
      <w:r w:rsidRPr="00026EC1">
        <w:t>7</w:t>
      </w:r>
      <w:r w:rsidR="00984A6F">
        <w:noBreakHyphen/>
      </w:r>
      <w:r w:rsidRPr="00026EC1">
        <w:t>4.07</w:t>
      </w:r>
    </w:p>
    <w:p w14:paraId="45374CE1" w14:textId="61E29370" w:rsidR="00404F34" w:rsidRPr="00026EC1" w:rsidRDefault="00404F34" w:rsidP="00A64613">
      <w:pPr>
        <w:keepNext w:val="0"/>
      </w:pPr>
      <w:r w:rsidRPr="00026EC1">
        <w:t>Chaque année, le Comité dispose du budget de perfectionnement de l</w:t>
      </w:r>
      <w:r w:rsidR="004A41E4" w:rsidRPr="00026EC1">
        <w:t>’</w:t>
      </w:r>
      <w:r w:rsidRPr="00026EC1">
        <w:t>année d</w:t>
      </w:r>
      <w:r w:rsidR="004A41E4" w:rsidRPr="00026EC1">
        <w:t>’</w:t>
      </w:r>
      <w:r w:rsidRPr="00026EC1">
        <w:t>enseignement en cours et, s</w:t>
      </w:r>
      <w:r w:rsidR="004A41E4" w:rsidRPr="00026EC1">
        <w:t>’</w:t>
      </w:r>
      <w:r w:rsidRPr="00026EC1">
        <w:t>il y a lieu, du budget de perfectionnement de l</w:t>
      </w:r>
      <w:r w:rsidR="004A41E4" w:rsidRPr="00026EC1">
        <w:t>’</w:t>
      </w:r>
      <w:r w:rsidRPr="00026EC1">
        <w:t>année précédente transféré en vertu des clauses</w:t>
      </w:r>
      <w:r w:rsidR="00F61E7A" w:rsidRPr="00026EC1">
        <w:t> </w:t>
      </w:r>
      <w:r w:rsidRPr="00026EC1">
        <w:t>7</w:t>
      </w:r>
      <w:r w:rsidR="00984A6F">
        <w:noBreakHyphen/>
      </w:r>
      <w:r w:rsidRPr="00026EC1">
        <w:t>4.05 et</w:t>
      </w:r>
      <w:r w:rsidR="006F547C">
        <w:t> </w:t>
      </w:r>
      <w:r w:rsidRPr="00026EC1">
        <w:t>7</w:t>
      </w:r>
      <w:r w:rsidR="00984A6F">
        <w:noBreakHyphen/>
      </w:r>
      <w:r w:rsidRPr="00026EC1">
        <w:t>4.06.</w:t>
      </w:r>
    </w:p>
    <w:p w14:paraId="758D3C69" w14:textId="77777777" w:rsidR="00404F34" w:rsidRPr="00026EC1" w:rsidRDefault="00404F34" w:rsidP="00A64613">
      <w:pPr>
        <w:keepNext w:val="0"/>
      </w:pPr>
    </w:p>
    <w:p w14:paraId="46537ED5" w14:textId="29BF0D52" w:rsidR="00404F34" w:rsidRPr="00026EC1" w:rsidRDefault="00404F34" w:rsidP="00A64613">
      <w:pPr>
        <w:pStyle w:val="NUMRODECLAUSE"/>
        <w:keepNext w:val="0"/>
      </w:pPr>
      <w:r w:rsidRPr="00026EC1">
        <w:t>7</w:t>
      </w:r>
      <w:r w:rsidR="00984A6F">
        <w:noBreakHyphen/>
      </w:r>
      <w:r w:rsidRPr="00026EC1">
        <w:t>4.08</w:t>
      </w:r>
    </w:p>
    <w:p w14:paraId="0C35806F" w14:textId="77777777" w:rsidR="00404F34" w:rsidRPr="00026EC1" w:rsidRDefault="00404F34" w:rsidP="00A64613">
      <w:pPr>
        <w:keepNext w:val="0"/>
      </w:pPr>
      <w:r w:rsidRPr="00026EC1">
        <w:t>Le Comité est auton</w:t>
      </w:r>
      <w:r w:rsidR="00BA79F8" w:rsidRPr="00026EC1">
        <w:t>ome quant à son fonctionnement.</w:t>
      </w:r>
    </w:p>
    <w:p w14:paraId="7B8CC7A3" w14:textId="3E67A51C"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760" w:name="_Toc535046630"/>
      <w:bookmarkStart w:id="761" w:name="_Toc393444634"/>
      <w:bookmarkStart w:id="762" w:name="_Toc393449585"/>
      <w:bookmarkStart w:id="763" w:name="_Toc393460954"/>
      <w:bookmarkStart w:id="764" w:name="_Toc393461232"/>
      <w:bookmarkStart w:id="765" w:name="_Toc393720793"/>
      <w:bookmarkStart w:id="766" w:name="_Toc393783954"/>
      <w:bookmarkStart w:id="767" w:name="_Toc393784093"/>
      <w:bookmarkStart w:id="768" w:name="_Toc168479547"/>
      <w:r w:rsidRPr="00026EC1">
        <w:t>Article</w:t>
      </w:r>
      <w:r w:rsidR="00831CEF" w:rsidRPr="00026EC1">
        <w:t> </w:t>
      </w:r>
      <w:r w:rsidRPr="00026EC1">
        <w:t>7</w:t>
      </w:r>
      <w:r w:rsidR="00984A6F">
        <w:t>-</w:t>
      </w:r>
      <w:r w:rsidRPr="00026EC1">
        <w:t>5.00</w:t>
      </w:r>
      <w:r w:rsidR="00C9604C" w:rsidRPr="00026EC1">
        <w:tab/>
      </w:r>
      <w:r w:rsidR="00984A6F">
        <w:t>-</w:t>
      </w:r>
      <w:r w:rsidR="00C9604C" w:rsidRPr="00026EC1">
        <w:tab/>
      </w:r>
      <w:r w:rsidRPr="00026EC1">
        <w:t>Réinstallation</w:t>
      </w:r>
      <w:bookmarkEnd w:id="760"/>
      <w:bookmarkEnd w:id="761"/>
      <w:bookmarkEnd w:id="762"/>
      <w:bookmarkEnd w:id="763"/>
      <w:bookmarkEnd w:id="764"/>
      <w:bookmarkEnd w:id="765"/>
      <w:bookmarkEnd w:id="766"/>
      <w:bookmarkEnd w:id="767"/>
      <w:bookmarkEnd w:id="768"/>
    </w:p>
    <w:p w14:paraId="62D3A396"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6C379691" w14:textId="77777777" w:rsidR="00404F34" w:rsidRPr="00026EC1" w:rsidRDefault="00404F34" w:rsidP="00A64613">
      <w:pPr>
        <w:keepNext w:val="0"/>
      </w:pPr>
    </w:p>
    <w:p w14:paraId="2B983A27" w14:textId="09EDF33E" w:rsidR="00404F34" w:rsidRPr="00026EC1" w:rsidRDefault="00404F34" w:rsidP="00A64613">
      <w:pPr>
        <w:pStyle w:val="NUMRODECLAUSE"/>
        <w:keepNext w:val="0"/>
      </w:pPr>
      <w:r w:rsidRPr="00026EC1">
        <w:t>7</w:t>
      </w:r>
      <w:r w:rsidR="00984A6F">
        <w:noBreakHyphen/>
      </w:r>
      <w:r w:rsidRPr="00026EC1">
        <w:t>5.01</w:t>
      </w:r>
    </w:p>
    <w:p w14:paraId="09FBBF37" w14:textId="75EAD6A2"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de perfectionnement doit informer par écrit le Collège de la date de son entrée en fonction avant le 15</w:t>
      </w:r>
      <w:r w:rsidR="001126F1">
        <w:t> </w:t>
      </w:r>
      <w:r w:rsidRPr="00026EC1">
        <w:t>mars si son retour doit coïncider avec le début de la session d</w:t>
      </w:r>
      <w:r w:rsidR="004A41E4" w:rsidRPr="00026EC1">
        <w:t>’</w:t>
      </w:r>
      <w:r w:rsidRPr="00026EC1">
        <w:t>automne et avant le 15</w:t>
      </w:r>
      <w:r w:rsidR="006F547C">
        <w:t> </w:t>
      </w:r>
      <w:r w:rsidRPr="00026EC1">
        <w:t>novembre si son retour doit coïncider avec le début de la session d</w:t>
      </w:r>
      <w:r w:rsidR="004A41E4" w:rsidRPr="00026EC1">
        <w:t>’</w:t>
      </w:r>
      <w:r w:rsidRPr="00026EC1">
        <w:t>hiver à moins que la date de son retour n</w:t>
      </w:r>
      <w:r w:rsidR="004A41E4" w:rsidRPr="00026EC1">
        <w:t>’</w:t>
      </w:r>
      <w:r w:rsidRPr="00026EC1">
        <w:t>ait déjà été convenue avec le Collège.</w:t>
      </w:r>
    </w:p>
    <w:p w14:paraId="19E35AAE" w14:textId="77777777" w:rsidR="00404F34" w:rsidRPr="00026EC1" w:rsidRDefault="00404F34" w:rsidP="00A64613">
      <w:pPr>
        <w:keepNext w:val="0"/>
      </w:pPr>
    </w:p>
    <w:p w14:paraId="421A7371" w14:textId="7CCD6D97" w:rsidR="00404F34" w:rsidRPr="00026EC1" w:rsidRDefault="00404F34" w:rsidP="00A64613">
      <w:pPr>
        <w:pStyle w:val="NUMRODECLAUSE"/>
        <w:keepNext w:val="0"/>
      </w:pPr>
      <w:r w:rsidRPr="00026EC1">
        <w:t>7</w:t>
      </w:r>
      <w:r w:rsidR="00984A6F">
        <w:noBreakHyphen/>
      </w:r>
      <w:r w:rsidRPr="00026EC1">
        <w:t>5.02</w:t>
      </w:r>
    </w:p>
    <w:p w14:paraId="0BCB92AA"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bénéficiaire d</w:t>
      </w:r>
      <w:r w:rsidR="004A41E4" w:rsidRPr="00026EC1">
        <w:t>’</w:t>
      </w:r>
      <w:r w:rsidRPr="00026EC1">
        <w:t>un tel congé doit, à son retour en fonction, présenter au Collège une attestation officielle écrite des études poursuivies, s</w:t>
      </w:r>
      <w:r w:rsidR="004A41E4" w:rsidRPr="00026EC1">
        <w:t>’</w:t>
      </w:r>
      <w:r w:rsidR="00BA79F8" w:rsidRPr="00026EC1">
        <w:t>il y a lieu.</w:t>
      </w:r>
    </w:p>
    <w:p w14:paraId="1BC64AB8" w14:textId="49CE10D8" w:rsidR="00404F34" w:rsidRPr="00026EC1" w:rsidRDefault="00404F34" w:rsidP="00A64613">
      <w:pPr>
        <w:pStyle w:val="Heading2"/>
        <w:keepNext w:val="0"/>
        <w:tabs>
          <w:tab w:val="clear" w:pos="1843"/>
          <w:tab w:val="clear" w:pos="2127"/>
          <w:tab w:val="left" w:pos="1701"/>
          <w:tab w:val="left" w:pos="1985"/>
        </w:tabs>
        <w:ind w:left="1985" w:hanging="1985"/>
        <w:rPr>
          <w:rFonts w:cs="Arial"/>
          <w:bCs/>
        </w:rPr>
      </w:pPr>
      <w:r w:rsidRPr="00026EC1">
        <w:br w:type="page"/>
      </w:r>
      <w:bookmarkStart w:id="769" w:name="_Toc133760797"/>
      <w:bookmarkStart w:id="770" w:name="_Toc393444635"/>
      <w:bookmarkStart w:id="771" w:name="_Toc393449586"/>
      <w:bookmarkStart w:id="772" w:name="_Toc393460955"/>
      <w:bookmarkStart w:id="773" w:name="_Toc393461233"/>
      <w:bookmarkStart w:id="774" w:name="_Toc393720794"/>
      <w:bookmarkStart w:id="775" w:name="_Toc393783955"/>
      <w:bookmarkStart w:id="776" w:name="_Toc393784094"/>
      <w:bookmarkStart w:id="777" w:name="_Toc168479548"/>
      <w:r w:rsidRPr="00026EC1">
        <w:t>Article 7</w:t>
      </w:r>
      <w:r w:rsidR="00984A6F">
        <w:t>-</w:t>
      </w:r>
      <w:r w:rsidRPr="00026EC1">
        <w:t>6.00</w:t>
      </w:r>
      <w:r w:rsidR="00C9604C" w:rsidRPr="00026EC1">
        <w:tab/>
      </w:r>
      <w:r w:rsidR="00984A6F">
        <w:t>-</w:t>
      </w:r>
      <w:r w:rsidR="00C9604C" w:rsidRPr="00026EC1">
        <w:tab/>
      </w:r>
      <w:r w:rsidRPr="00026EC1">
        <w:t>Dispositions relatives au congé pour l</w:t>
      </w:r>
      <w:r w:rsidR="004A41E4" w:rsidRPr="00026EC1">
        <w:t>’</w:t>
      </w:r>
      <w:r w:rsidRPr="00026EC1">
        <w:t>obtention d</w:t>
      </w:r>
      <w:r w:rsidR="004A41E4" w:rsidRPr="00026EC1">
        <w:t>’</w:t>
      </w:r>
      <w:r w:rsidRPr="00026EC1">
        <w:t>un diplôme donnant accès aux échelles « avec</w:t>
      </w:r>
      <w:r w:rsidRPr="00026EC1">
        <w:rPr>
          <w:rFonts w:cs="Arial"/>
          <w:bCs/>
        </w:rPr>
        <w:t xml:space="preserve"> maîtrise » et à l</w:t>
      </w:r>
      <w:r w:rsidR="004A41E4" w:rsidRPr="00026EC1">
        <w:rPr>
          <w:rFonts w:cs="Arial"/>
          <w:bCs/>
        </w:rPr>
        <w:t>’</w:t>
      </w:r>
      <w:r w:rsidRPr="00026EC1">
        <w:rPr>
          <w:rFonts w:cs="Arial"/>
          <w:bCs/>
        </w:rPr>
        <w:t>échelon 18</w:t>
      </w:r>
      <w:bookmarkEnd w:id="769"/>
      <w:bookmarkEnd w:id="770"/>
      <w:bookmarkEnd w:id="771"/>
      <w:bookmarkEnd w:id="772"/>
      <w:bookmarkEnd w:id="773"/>
      <w:bookmarkEnd w:id="774"/>
      <w:bookmarkEnd w:id="775"/>
      <w:bookmarkEnd w:id="776"/>
      <w:bookmarkEnd w:id="777"/>
      <w:r w:rsidRPr="00026EC1">
        <w:rPr>
          <w:rFonts w:cs="Arial"/>
          <w:bCs/>
        </w:rPr>
        <w:t xml:space="preserve"> </w:t>
      </w:r>
    </w:p>
    <w:p w14:paraId="5C84C28E" w14:textId="20BB789F" w:rsidR="003506E3" w:rsidRPr="00026EC1" w:rsidRDefault="003506E3" w:rsidP="00A64613">
      <w:pPr>
        <w:pStyle w:val="NUMRODECLAUSE"/>
        <w:keepNext w:val="0"/>
      </w:pPr>
      <w:r w:rsidRPr="00026EC1">
        <w:t>7</w:t>
      </w:r>
      <w:r w:rsidR="00984A6F">
        <w:noBreakHyphen/>
      </w:r>
      <w:r w:rsidRPr="00026EC1">
        <w:t>6.01</w:t>
      </w:r>
    </w:p>
    <w:p w14:paraId="6C28A47D" w14:textId="77777777" w:rsidR="003506E3" w:rsidRPr="00026EC1" w:rsidRDefault="003506E3" w:rsidP="00A64613">
      <w:pPr>
        <w:keepNext w:val="0"/>
      </w:pPr>
      <w:r w:rsidRPr="00026EC1">
        <w:t>Une enseignante ou un enseignant peut bénéficier d</w:t>
      </w:r>
      <w:r w:rsidR="004A41E4" w:rsidRPr="00026EC1">
        <w:t>’</w:t>
      </w:r>
      <w:r w:rsidRPr="00026EC1">
        <w:t>un congé avec salaire pour l</w:t>
      </w:r>
      <w:r w:rsidR="004A41E4" w:rsidRPr="00026EC1">
        <w:t>’</w:t>
      </w:r>
      <w:r w:rsidRPr="00026EC1">
        <w:t>obtention d</w:t>
      </w:r>
      <w:r w:rsidR="004A41E4" w:rsidRPr="00026EC1">
        <w:t>’</w:t>
      </w:r>
      <w:r w:rsidRPr="00026EC1">
        <w:t>un diplôme de maîtrise selon les modalités prévues au présent article.</w:t>
      </w:r>
    </w:p>
    <w:p w14:paraId="6E3B469E" w14:textId="77777777" w:rsidR="003506E3" w:rsidRPr="00026EC1" w:rsidRDefault="003506E3" w:rsidP="00A64613">
      <w:pPr>
        <w:keepNext w:val="0"/>
      </w:pPr>
    </w:p>
    <w:p w14:paraId="73111B4C" w14:textId="09C32F95" w:rsidR="003506E3" w:rsidRPr="00026EC1" w:rsidRDefault="003506E3" w:rsidP="00A64613">
      <w:pPr>
        <w:pStyle w:val="NUMRODECLAUSE"/>
        <w:keepNext w:val="0"/>
      </w:pPr>
      <w:r w:rsidRPr="00026EC1">
        <w:t>7</w:t>
      </w:r>
      <w:r w:rsidR="00984A6F">
        <w:noBreakHyphen/>
      </w:r>
      <w:r w:rsidRPr="00026EC1">
        <w:t>6.02</w:t>
      </w:r>
    </w:p>
    <w:p w14:paraId="72513535" w14:textId="316A1B01" w:rsidR="003506E3" w:rsidRPr="00026EC1" w:rsidRDefault="002433FA" w:rsidP="00A64613">
      <w:pPr>
        <w:keepNext w:val="0"/>
        <w:rPr>
          <w:rFonts w:cs="Arial"/>
        </w:rPr>
      </w:pPr>
      <w:r w:rsidRPr="00316277">
        <w:rPr>
          <w:rFonts w:cs="Arial"/>
          <w:szCs w:val="24"/>
        </w:rPr>
        <w:t xml:space="preserve">L’enseignante ou l’enseignant achemine son projet de formation au Collège. Au plus tard le 15 mai, le Collège transmet au </w:t>
      </w:r>
      <w:r w:rsidR="005E2629" w:rsidRPr="00316277">
        <w:rPr>
          <w:rFonts w:cs="Arial"/>
          <w:szCs w:val="24"/>
        </w:rPr>
        <w:t>c</w:t>
      </w:r>
      <w:r w:rsidRPr="00316277">
        <w:rPr>
          <w:rFonts w:cs="Arial"/>
          <w:szCs w:val="24"/>
        </w:rPr>
        <w:t>omité paritaire le projet accompagné d’un avis</w:t>
      </w:r>
      <w:r w:rsidRPr="00070BA8">
        <w:rPr>
          <w:rFonts w:cs="Arial"/>
          <w:szCs w:val="24"/>
        </w:rPr>
        <w:t xml:space="preserve"> </w:t>
      </w:r>
      <w:r w:rsidR="003506E3" w:rsidRPr="00026EC1">
        <w:t>confirmant la reconnaissance aux fins de la rémunération du diplôme de maîtrise visé par le projet.</w:t>
      </w:r>
    </w:p>
    <w:p w14:paraId="3073232C" w14:textId="77777777" w:rsidR="003506E3" w:rsidRPr="00026EC1" w:rsidRDefault="003506E3" w:rsidP="00A64613">
      <w:pPr>
        <w:keepNext w:val="0"/>
        <w:rPr>
          <w:rFonts w:cs="Arial"/>
        </w:rPr>
      </w:pPr>
    </w:p>
    <w:p w14:paraId="4C191EA2" w14:textId="7D3F7078" w:rsidR="003506E3" w:rsidRPr="00026EC1" w:rsidRDefault="003506E3" w:rsidP="00A64613">
      <w:pPr>
        <w:pStyle w:val="NUMRODECLAUSE"/>
        <w:keepNext w:val="0"/>
      </w:pPr>
      <w:r w:rsidRPr="00026EC1">
        <w:t>7</w:t>
      </w:r>
      <w:r w:rsidR="00984A6F">
        <w:noBreakHyphen/>
      </w:r>
      <w:r w:rsidRPr="00026EC1">
        <w:t>6.03</w:t>
      </w:r>
    </w:p>
    <w:p w14:paraId="7AB909E9" w14:textId="3F09F803" w:rsidR="003506E3" w:rsidRPr="00026EC1" w:rsidRDefault="003506E3" w:rsidP="00A64613">
      <w:pPr>
        <w:keepNext w:val="0"/>
      </w:pPr>
      <w:r w:rsidRPr="00026EC1">
        <w:t xml:space="preserve">Le </w:t>
      </w:r>
      <w:r w:rsidR="005E2629">
        <w:t>c</w:t>
      </w:r>
      <w:r w:rsidRPr="00026EC1">
        <w:t xml:space="preserve">omité paritaire de placement analyse les projets de formation et, selon les fonds disponibles </w:t>
      </w:r>
      <w:r w:rsidRPr="00026EC1">
        <w:rPr>
          <w:bCs/>
        </w:rPr>
        <w:t xml:space="preserve">en vertu de </w:t>
      </w:r>
      <w:r w:rsidRPr="00026EC1">
        <w:t>l</w:t>
      </w:r>
      <w:r w:rsidR="004A41E4" w:rsidRPr="00026EC1">
        <w:t>’</w:t>
      </w:r>
      <w:r w:rsidRPr="00026EC1">
        <w:t>alinéa C) de la clause 5</w:t>
      </w:r>
      <w:r w:rsidR="00984A6F">
        <w:noBreakHyphen/>
      </w:r>
      <w:r w:rsidRPr="00026EC1">
        <w:t>4.21, il accepte prioritairement les projets de formation des enseignantes et enseignants ayant atteint</w:t>
      </w:r>
      <w:r w:rsidR="00DB1E5F" w:rsidRPr="00026EC1">
        <w:t xml:space="preserve"> dix</w:t>
      </w:r>
      <w:r w:rsidR="00984A6F">
        <w:noBreakHyphen/>
      </w:r>
      <w:r w:rsidR="00DB1E5F" w:rsidRPr="00026EC1">
        <w:t>neuf</w:t>
      </w:r>
      <w:r w:rsidR="006F547C">
        <w:t> </w:t>
      </w:r>
      <w:r w:rsidR="00DB1E5F" w:rsidRPr="00026EC1">
        <w:t>(</w:t>
      </w:r>
      <w:r w:rsidRPr="00026EC1">
        <w:t>19</w:t>
      </w:r>
      <w:r w:rsidR="00DB1E5F" w:rsidRPr="00026EC1">
        <w:t xml:space="preserve">) </w:t>
      </w:r>
      <w:r w:rsidRPr="00026EC1">
        <w:t xml:space="preserve">ans de scolarité et qui </w:t>
      </w:r>
      <w:r w:rsidR="00DB1E5F" w:rsidRPr="00026EC1">
        <w:t>étaient</w:t>
      </w:r>
      <w:r w:rsidRPr="00026EC1">
        <w:t xml:space="preserve"> à l</w:t>
      </w:r>
      <w:r w:rsidR="004A41E4" w:rsidRPr="00026EC1">
        <w:t>’</w:t>
      </w:r>
      <w:r w:rsidRPr="00026EC1">
        <w:t>échelon 17 en 2005</w:t>
      </w:r>
      <w:r w:rsidR="00984A6F">
        <w:noBreakHyphen/>
      </w:r>
      <w:r w:rsidRPr="00026EC1">
        <w:t>2006.</w:t>
      </w:r>
    </w:p>
    <w:p w14:paraId="27BE206A" w14:textId="77777777" w:rsidR="003506E3" w:rsidRPr="00026EC1" w:rsidRDefault="003506E3" w:rsidP="00A64613">
      <w:pPr>
        <w:keepNext w:val="0"/>
      </w:pPr>
    </w:p>
    <w:p w14:paraId="43EE4438" w14:textId="62B3A2AF" w:rsidR="003506E3" w:rsidRPr="00026EC1" w:rsidRDefault="003506E3" w:rsidP="00A64613">
      <w:pPr>
        <w:pStyle w:val="NUMRODECLAUSE"/>
        <w:keepNext w:val="0"/>
      </w:pPr>
      <w:r w:rsidRPr="00026EC1">
        <w:t>7</w:t>
      </w:r>
      <w:r w:rsidR="00984A6F">
        <w:noBreakHyphen/>
      </w:r>
      <w:r w:rsidRPr="00026EC1">
        <w:t>6.04</w:t>
      </w:r>
    </w:p>
    <w:p w14:paraId="26BBFDA6" w14:textId="4BBA2A50" w:rsidR="003506E3" w:rsidRPr="00026EC1" w:rsidRDefault="003506E3" w:rsidP="00A64613">
      <w:pPr>
        <w:keepNext w:val="0"/>
        <w:rPr>
          <w:rFonts w:cs="Arial"/>
        </w:rPr>
      </w:pPr>
      <w:r w:rsidRPr="00026EC1">
        <w:rPr>
          <w:rFonts w:cs="Arial"/>
        </w:rPr>
        <w:t>À la suite de l</w:t>
      </w:r>
      <w:r w:rsidR="004A41E4" w:rsidRPr="00026EC1">
        <w:rPr>
          <w:rFonts w:cs="Arial"/>
        </w:rPr>
        <w:t>’</w:t>
      </w:r>
      <w:r w:rsidRPr="00026EC1">
        <w:rPr>
          <w:rFonts w:cs="Arial"/>
        </w:rPr>
        <w:t xml:space="preserve">acceptation du projet de formation par le </w:t>
      </w:r>
      <w:r w:rsidR="005E2629">
        <w:rPr>
          <w:rFonts w:cs="Arial"/>
        </w:rPr>
        <w:t>c</w:t>
      </w:r>
      <w:r w:rsidRPr="00026EC1">
        <w:rPr>
          <w:rFonts w:cs="Arial"/>
        </w:rPr>
        <w:t>omité paritaire de placement, le Collège accorde à l</w:t>
      </w:r>
      <w:r w:rsidR="004A41E4" w:rsidRPr="00026EC1">
        <w:rPr>
          <w:rFonts w:cs="Arial"/>
        </w:rPr>
        <w:t>’</w:t>
      </w:r>
      <w:r w:rsidRPr="00026EC1">
        <w:rPr>
          <w:rFonts w:cs="Arial"/>
        </w:rPr>
        <w:t>enseignante ou l</w:t>
      </w:r>
      <w:r w:rsidR="004A41E4" w:rsidRPr="00026EC1">
        <w:rPr>
          <w:rFonts w:cs="Arial"/>
        </w:rPr>
        <w:t>’</w:t>
      </w:r>
      <w:r w:rsidRPr="00026EC1">
        <w:rPr>
          <w:rFonts w:cs="Arial"/>
        </w:rPr>
        <w:t>enseignant un congé avec salaire pour la durée du projet de formation.</w:t>
      </w:r>
    </w:p>
    <w:p w14:paraId="14FE92F6" w14:textId="77777777" w:rsidR="003506E3" w:rsidRPr="00026EC1" w:rsidRDefault="003506E3" w:rsidP="00A64613">
      <w:pPr>
        <w:keepNext w:val="0"/>
        <w:rPr>
          <w:rFonts w:cs="Arial"/>
        </w:rPr>
      </w:pPr>
    </w:p>
    <w:p w14:paraId="0558B00D" w14:textId="42431BFB" w:rsidR="003506E3" w:rsidRPr="00026EC1" w:rsidRDefault="003506E3" w:rsidP="00A64613">
      <w:pPr>
        <w:pStyle w:val="NUMRODECLAUSE"/>
        <w:keepNext w:val="0"/>
      </w:pPr>
      <w:r w:rsidRPr="00026EC1">
        <w:t>7</w:t>
      </w:r>
      <w:r w:rsidR="00984A6F">
        <w:noBreakHyphen/>
      </w:r>
      <w:r w:rsidRPr="00026EC1">
        <w:t>6.05</w:t>
      </w:r>
    </w:p>
    <w:p w14:paraId="36669D8B" w14:textId="600C1D3E" w:rsidR="003506E3" w:rsidRPr="00026EC1" w:rsidRDefault="003506E3" w:rsidP="00A64613">
      <w:pPr>
        <w:keepNext w:val="0"/>
        <w:rPr>
          <w:rFonts w:cs="Arial"/>
        </w:rPr>
      </w:pPr>
      <w:r w:rsidRPr="00026EC1">
        <w:rPr>
          <w:rFonts w:cs="Arial"/>
        </w:rPr>
        <w:t>Le projet de formation peut être à temps complet ou à temps partiel. La durée du projet peut être</w:t>
      </w:r>
      <w:r w:rsidR="009E1B87" w:rsidRPr="00026EC1">
        <w:rPr>
          <w:rFonts w:cs="Arial"/>
        </w:rPr>
        <w:t xml:space="preserve"> de une</w:t>
      </w:r>
      <w:r w:rsidR="006F547C">
        <w:rPr>
          <w:rFonts w:cs="Arial"/>
        </w:rPr>
        <w:t> </w:t>
      </w:r>
      <w:r w:rsidRPr="00026EC1">
        <w:rPr>
          <w:rFonts w:cs="Arial"/>
        </w:rPr>
        <w:t>(1)</w:t>
      </w:r>
      <w:r w:rsidR="006F547C">
        <w:rPr>
          <w:rFonts w:cs="Arial"/>
        </w:rPr>
        <w:t> </w:t>
      </w:r>
      <w:r w:rsidRPr="00026EC1">
        <w:rPr>
          <w:rFonts w:cs="Arial"/>
        </w:rPr>
        <w:t>session sans dépasser quatre (4)</w:t>
      </w:r>
      <w:r w:rsidR="007114A6">
        <w:rPr>
          <w:rFonts w:cs="Arial"/>
        </w:rPr>
        <w:t xml:space="preserve"> </w:t>
      </w:r>
      <w:r w:rsidRPr="00026EC1">
        <w:rPr>
          <w:rFonts w:cs="Arial"/>
        </w:rPr>
        <w:t>sessions. La poursuite du projet de formation est conditionnelle à sa réussite. La vérification de la réussite du projet est faite par le Collège</w:t>
      </w:r>
      <w:r w:rsidR="00BE65BD" w:rsidRPr="00026EC1">
        <w:rPr>
          <w:rFonts w:cs="Arial"/>
        </w:rPr>
        <w:t>,</w:t>
      </w:r>
      <w:r w:rsidRPr="00026EC1">
        <w:rPr>
          <w:rFonts w:cs="Arial"/>
        </w:rPr>
        <w:t xml:space="preserve"> qui en informe le </w:t>
      </w:r>
      <w:r w:rsidR="005E2629">
        <w:rPr>
          <w:rFonts w:cs="Arial"/>
        </w:rPr>
        <w:t>c</w:t>
      </w:r>
      <w:r w:rsidRPr="00026EC1">
        <w:rPr>
          <w:rFonts w:cs="Arial"/>
        </w:rPr>
        <w:t>omité paritaire de placement.</w:t>
      </w:r>
    </w:p>
    <w:p w14:paraId="19B6A787" w14:textId="77777777" w:rsidR="003506E3" w:rsidRPr="00026EC1" w:rsidRDefault="003506E3" w:rsidP="00A64613">
      <w:pPr>
        <w:keepNext w:val="0"/>
      </w:pPr>
    </w:p>
    <w:p w14:paraId="0F45AB35" w14:textId="2EF459A4" w:rsidR="003506E3" w:rsidRPr="00026EC1" w:rsidRDefault="003506E3" w:rsidP="00A64613">
      <w:pPr>
        <w:pStyle w:val="NUMRODECLAUSE"/>
        <w:keepNext w:val="0"/>
        <w:rPr>
          <w:strike/>
        </w:rPr>
      </w:pPr>
      <w:r w:rsidRPr="00026EC1">
        <w:t>7</w:t>
      </w:r>
      <w:r w:rsidR="00984A6F">
        <w:noBreakHyphen/>
      </w:r>
      <w:r w:rsidRPr="00026EC1">
        <w:t>6.06</w:t>
      </w:r>
    </w:p>
    <w:p w14:paraId="7EC5B677" w14:textId="2D225AB2" w:rsidR="003506E3" w:rsidRPr="00026EC1" w:rsidRDefault="003506E3" w:rsidP="00A64613">
      <w:pPr>
        <w:keepNext w:val="0"/>
        <w:rPr>
          <w:rFonts w:cs="Arial"/>
        </w:rPr>
      </w:pPr>
      <w:r w:rsidRPr="00026EC1">
        <w:rPr>
          <w:rFonts w:cs="Arial"/>
        </w:rPr>
        <w:t>Dans le cas d</w:t>
      </w:r>
      <w:r w:rsidR="004A41E4" w:rsidRPr="00026EC1">
        <w:rPr>
          <w:rFonts w:cs="Arial"/>
        </w:rPr>
        <w:t>’</w:t>
      </w:r>
      <w:r w:rsidRPr="00026EC1">
        <w:rPr>
          <w:rFonts w:cs="Arial"/>
        </w:rPr>
        <w:t>une absence en raison d</w:t>
      </w:r>
      <w:r w:rsidR="004A41E4" w:rsidRPr="00026EC1">
        <w:rPr>
          <w:rFonts w:cs="Arial"/>
        </w:rPr>
        <w:t>’</w:t>
      </w:r>
      <w:r w:rsidRPr="00026EC1">
        <w:rPr>
          <w:rFonts w:cs="Arial"/>
        </w:rPr>
        <w:t>une invalidité, de l</w:t>
      </w:r>
      <w:r w:rsidR="004A41E4" w:rsidRPr="00026EC1">
        <w:rPr>
          <w:rFonts w:cs="Arial"/>
        </w:rPr>
        <w:t>’</w:t>
      </w:r>
      <w:r w:rsidRPr="00026EC1">
        <w:rPr>
          <w:rFonts w:cs="Arial"/>
        </w:rPr>
        <w:t>un ou l</w:t>
      </w:r>
      <w:r w:rsidR="004A41E4" w:rsidRPr="00026EC1">
        <w:rPr>
          <w:rFonts w:cs="Arial"/>
        </w:rPr>
        <w:t>’</w:t>
      </w:r>
      <w:r w:rsidRPr="00026EC1">
        <w:rPr>
          <w:rFonts w:cs="Arial"/>
        </w:rPr>
        <w:t>autre des congés découlant des droits parentaux ou d</w:t>
      </w:r>
      <w:r w:rsidR="004A41E4" w:rsidRPr="00026EC1">
        <w:rPr>
          <w:rFonts w:cs="Arial"/>
        </w:rPr>
        <w:t>’</w:t>
      </w:r>
      <w:r w:rsidRPr="00026EC1">
        <w:rPr>
          <w:rFonts w:cs="Arial"/>
        </w:rPr>
        <w:t>un congé pour raisons familiales</w:t>
      </w:r>
      <w:r w:rsidR="00DB1E5F" w:rsidRPr="00026EC1">
        <w:rPr>
          <w:rFonts w:cs="Arial"/>
        </w:rPr>
        <w:t>,</w:t>
      </w:r>
      <w:r w:rsidRPr="00026EC1">
        <w:rPr>
          <w:rFonts w:cs="Arial"/>
        </w:rPr>
        <w:t xml:space="preserve"> l</w:t>
      </w:r>
      <w:r w:rsidR="004A41E4" w:rsidRPr="00026EC1">
        <w:rPr>
          <w:rFonts w:cs="Arial"/>
        </w:rPr>
        <w:t>’</w:t>
      </w:r>
      <w:r w:rsidRPr="00026EC1">
        <w:rPr>
          <w:rFonts w:cs="Arial"/>
        </w:rPr>
        <w:t>enseignante ou l</w:t>
      </w:r>
      <w:r w:rsidR="004A41E4" w:rsidRPr="00026EC1">
        <w:rPr>
          <w:rFonts w:cs="Arial"/>
        </w:rPr>
        <w:t>’</w:t>
      </w:r>
      <w:r w:rsidRPr="00026EC1">
        <w:rPr>
          <w:rFonts w:cs="Arial"/>
        </w:rPr>
        <w:t>enseignant peut suspendre temporairement son projet de formation pour la durée de l</w:t>
      </w:r>
      <w:r w:rsidR="004A41E4" w:rsidRPr="00026EC1">
        <w:rPr>
          <w:rFonts w:cs="Arial"/>
        </w:rPr>
        <w:t>’</w:t>
      </w:r>
      <w:r w:rsidRPr="00026EC1">
        <w:rPr>
          <w:rFonts w:cs="Arial"/>
        </w:rPr>
        <w:t>absence sans dépasser toutefois une période maximale de deux (2) ans. Lorsque la durée de la suspension est effective pour une (1) session complète, le projet de formation n</w:t>
      </w:r>
      <w:r w:rsidR="004A41E4" w:rsidRPr="00026EC1">
        <w:rPr>
          <w:rFonts w:cs="Arial"/>
        </w:rPr>
        <w:t>’</w:t>
      </w:r>
      <w:r w:rsidRPr="00026EC1">
        <w:rPr>
          <w:rFonts w:cs="Arial"/>
        </w:rPr>
        <w:t>est pas comptabilisé aux fins de l</w:t>
      </w:r>
      <w:r w:rsidR="004A41E4" w:rsidRPr="00026EC1">
        <w:rPr>
          <w:rFonts w:cs="Arial"/>
        </w:rPr>
        <w:t>’</w:t>
      </w:r>
      <w:r w:rsidRPr="00026EC1">
        <w:rPr>
          <w:rFonts w:cs="Arial"/>
        </w:rPr>
        <w:t>alinéa C) de la clause</w:t>
      </w:r>
      <w:r w:rsidR="004935B9" w:rsidRPr="00026EC1">
        <w:rPr>
          <w:rFonts w:cs="Arial"/>
        </w:rPr>
        <w:t> </w:t>
      </w:r>
      <w:r w:rsidRPr="00026EC1">
        <w:t>5</w:t>
      </w:r>
      <w:r w:rsidR="00984A6F">
        <w:noBreakHyphen/>
      </w:r>
      <w:r w:rsidRPr="00026EC1">
        <w:t>4.21</w:t>
      </w:r>
      <w:r w:rsidRPr="00026EC1">
        <w:rPr>
          <w:rFonts w:cs="Arial"/>
        </w:rPr>
        <w:t>.</w:t>
      </w:r>
    </w:p>
    <w:p w14:paraId="01F5E580" w14:textId="77777777" w:rsidR="004935B9" w:rsidRPr="00026EC1" w:rsidRDefault="004935B9" w:rsidP="00A64613">
      <w:pPr>
        <w:keepNext w:val="0"/>
        <w:rPr>
          <w:rFonts w:cs="Arial"/>
        </w:rPr>
      </w:pPr>
    </w:p>
    <w:p w14:paraId="51721320" w14:textId="46F313BF" w:rsidR="003506E3" w:rsidRPr="00026EC1" w:rsidRDefault="003506E3" w:rsidP="00A64613">
      <w:pPr>
        <w:pStyle w:val="NUMRODECLAUSE"/>
        <w:keepNext w:val="0"/>
      </w:pPr>
      <w:r w:rsidRPr="00026EC1">
        <w:t>7</w:t>
      </w:r>
      <w:r w:rsidR="00984A6F">
        <w:noBreakHyphen/>
      </w:r>
      <w:r w:rsidRPr="00026EC1">
        <w:t>6.07</w:t>
      </w:r>
    </w:p>
    <w:p w14:paraId="2054923D" w14:textId="407EE42E" w:rsidR="00591B99" w:rsidRDefault="003506E3" w:rsidP="00A64613">
      <w:pPr>
        <w:keepNext w:val="0"/>
        <w:rPr>
          <w:rFonts w:cs="Arial"/>
        </w:rPr>
      </w:pPr>
      <w:r w:rsidRPr="00026EC1">
        <w:rPr>
          <w:rFonts w:cs="Arial"/>
        </w:rPr>
        <w:t>Dès que le projet de formation est interrompu pour d</w:t>
      </w:r>
      <w:r w:rsidR="004A41E4" w:rsidRPr="00026EC1">
        <w:rPr>
          <w:rFonts w:cs="Arial"/>
        </w:rPr>
        <w:t>’</w:t>
      </w:r>
      <w:r w:rsidRPr="00026EC1">
        <w:rPr>
          <w:rFonts w:cs="Arial"/>
        </w:rPr>
        <w:t>autres raisons que celles prévues à la clause</w:t>
      </w:r>
      <w:r w:rsidR="007C2E47" w:rsidRPr="00026EC1">
        <w:rPr>
          <w:rFonts w:cs="Arial"/>
        </w:rPr>
        <w:t> </w:t>
      </w:r>
      <w:r w:rsidRPr="00026EC1">
        <w:rPr>
          <w:rFonts w:cs="Arial"/>
          <w:bCs/>
        </w:rPr>
        <w:t>7</w:t>
      </w:r>
      <w:r w:rsidR="00984A6F">
        <w:rPr>
          <w:rFonts w:cs="Arial"/>
          <w:bCs/>
        </w:rPr>
        <w:noBreakHyphen/>
      </w:r>
      <w:r w:rsidRPr="00026EC1">
        <w:rPr>
          <w:rFonts w:cs="Arial"/>
          <w:bCs/>
        </w:rPr>
        <w:t>6.06</w:t>
      </w:r>
      <w:r w:rsidRPr="00026EC1">
        <w:rPr>
          <w:rFonts w:cs="Arial"/>
        </w:rPr>
        <w:t>, l</w:t>
      </w:r>
      <w:r w:rsidR="004A41E4" w:rsidRPr="00026EC1">
        <w:rPr>
          <w:rFonts w:cs="Arial"/>
        </w:rPr>
        <w:t>’</w:t>
      </w:r>
      <w:r w:rsidRPr="00026EC1">
        <w:rPr>
          <w:rFonts w:cs="Arial"/>
        </w:rPr>
        <w:t>enseignante ou l</w:t>
      </w:r>
      <w:r w:rsidR="004A41E4" w:rsidRPr="00026EC1">
        <w:rPr>
          <w:rFonts w:cs="Arial"/>
        </w:rPr>
        <w:t>’</w:t>
      </w:r>
      <w:r w:rsidRPr="00026EC1">
        <w:rPr>
          <w:rFonts w:cs="Arial"/>
        </w:rPr>
        <w:t>enseignant doit en aviser le Collège. Dans ce cas, le projet de formation prend fin et l</w:t>
      </w:r>
      <w:r w:rsidR="004A41E4" w:rsidRPr="00026EC1">
        <w:rPr>
          <w:rFonts w:cs="Arial"/>
        </w:rPr>
        <w:t>’</w:t>
      </w:r>
      <w:r w:rsidRPr="00026EC1">
        <w:rPr>
          <w:rFonts w:cs="Arial"/>
        </w:rPr>
        <w:t>enseignante ou l</w:t>
      </w:r>
      <w:r w:rsidR="004A41E4" w:rsidRPr="00026EC1">
        <w:rPr>
          <w:rFonts w:cs="Arial"/>
        </w:rPr>
        <w:t>’</w:t>
      </w:r>
      <w:r w:rsidRPr="00026EC1">
        <w:rPr>
          <w:rFonts w:cs="Arial"/>
        </w:rPr>
        <w:t>enseignant reprend son poste ou sa charge selon des modalités à convenir entre l</w:t>
      </w:r>
      <w:r w:rsidR="004A41E4" w:rsidRPr="00026EC1">
        <w:rPr>
          <w:rFonts w:cs="Arial"/>
        </w:rPr>
        <w:t>’</w:t>
      </w:r>
      <w:r w:rsidRPr="00026EC1">
        <w:rPr>
          <w:rFonts w:cs="Arial"/>
        </w:rPr>
        <w:t>enseignante ou l</w:t>
      </w:r>
      <w:r w:rsidR="004A41E4" w:rsidRPr="00026EC1">
        <w:rPr>
          <w:rFonts w:cs="Arial"/>
        </w:rPr>
        <w:t>’</w:t>
      </w:r>
      <w:r w:rsidRPr="00026EC1">
        <w:rPr>
          <w:rFonts w:cs="Arial"/>
        </w:rPr>
        <w:t>enseignant et le Collège.</w:t>
      </w:r>
    </w:p>
    <w:p w14:paraId="5F0490FA" w14:textId="77777777" w:rsidR="00591B99" w:rsidRDefault="00591B99">
      <w:pPr>
        <w:keepNext w:val="0"/>
        <w:suppressAutoHyphens w:val="0"/>
        <w:jc w:val="left"/>
        <w:rPr>
          <w:rFonts w:cs="Arial"/>
        </w:rPr>
      </w:pPr>
      <w:r>
        <w:rPr>
          <w:rFonts w:cs="Arial"/>
        </w:rPr>
        <w:br w:type="page"/>
      </w:r>
    </w:p>
    <w:p w14:paraId="7254032F" w14:textId="666023D9" w:rsidR="003506E3" w:rsidRPr="00026EC1" w:rsidRDefault="003506E3" w:rsidP="00A64613">
      <w:pPr>
        <w:pStyle w:val="NUMRODECLAUSE"/>
        <w:keepNext w:val="0"/>
      </w:pPr>
      <w:r w:rsidRPr="00026EC1">
        <w:t>7</w:t>
      </w:r>
      <w:r w:rsidR="00984A6F">
        <w:noBreakHyphen/>
      </w:r>
      <w:r w:rsidRPr="00026EC1">
        <w:t>6.08</w:t>
      </w:r>
    </w:p>
    <w:p w14:paraId="1C0B0DF9" w14:textId="27395870" w:rsidR="003506E3" w:rsidRPr="00026EC1" w:rsidRDefault="003506E3" w:rsidP="00A64613">
      <w:pPr>
        <w:keepNext w:val="0"/>
        <w:rPr>
          <w:rFonts w:cs="Arial"/>
        </w:rPr>
      </w:pPr>
      <w:r w:rsidRPr="00026EC1">
        <w:t>L</w:t>
      </w:r>
      <w:r w:rsidR="004A41E4" w:rsidRPr="00026EC1">
        <w:t>’</w:t>
      </w:r>
      <w:r w:rsidRPr="00026EC1">
        <w:t>enseignante ou l</w:t>
      </w:r>
      <w:r w:rsidR="004A41E4" w:rsidRPr="00026EC1">
        <w:t>’</w:t>
      </w:r>
      <w:r w:rsidRPr="00026EC1">
        <w:t>enseignant qui bénéficie d</w:t>
      </w:r>
      <w:r w:rsidR="004A41E4" w:rsidRPr="00026EC1">
        <w:t>’</w:t>
      </w:r>
      <w:r w:rsidRPr="00026EC1">
        <w:t>un congé prévu au présent article s</w:t>
      </w:r>
      <w:r w:rsidR="004A41E4" w:rsidRPr="00026EC1">
        <w:t>’</w:t>
      </w:r>
      <w:r w:rsidRPr="00026EC1">
        <w:t xml:space="preserve">engage, à son retour, à fournir une prestation de services au Collège ou dans un autre Collège du réseau pour une durée équivalente à la durée du projet de formation en équivalent temps complet (ETC); à </w:t>
      </w:r>
      <w:r w:rsidRPr="00026EC1">
        <w:rPr>
          <w:rFonts w:cs="Arial"/>
        </w:rPr>
        <w:t>défaut de respecter cet engagement, elle ou il rembourse, à son départ, un montant calculé de la manière suivante</w:t>
      </w:r>
      <w:r w:rsidR="00D8581B">
        <w:rPr>
          <w:rFonts w:cs="Arial"/>
        </w:rPr>
        <w:t> :</w:t>
      </w:r>
    </w:p>
    <w:p w14:paraId="6F23D282" w14:textId="77777777" w:rsidR="003506E3" w:rsidRPr="00026EC1" w:rsidRDefault="003506E3" w:rsidP="00A64613">
      <w:pPr>
        <w:keepNext w:val="0"/>
        <w:rPr>
          <w:rFonts w:cs="Arial"/>
        </w:rPr>
      </w:pPr>
    </w:p>
    <w:p w14:paraId="4C4FC940" w14:textId="77777777" w:rsidR="003506E3" w:rsidRPr="00026EC1" w:rsidRDefault="00275751" w:rsidP="00A64613">
      <w:pPr>
        <w:keepNext w:val="0"/>
        <w:ind w:left="567" w:hanging="567"/>
        <w:rPr>
          <w:rFonts w:cs="Arial"/>
        </w:rPr>
      </w:pPr>
      <w:r w:rsidRPr="00026EC1">
        <w:rPr>
          <w:rFonts w:ascii="Symbol" w:hAnsi="Symbol" w:cs="Arial"/>
        </w:rPr>
        <w:t></w:t>
      </w:r>
      <w:r w:rsidRPr="00026EC1">
        <w:rPr>
          <w:rFonts w:ascii="Symbol" w:hAnsi="Symbol" w:cs="Arial"/>
        </w:rPr>
        <w:tab/>
      </w:r>
      <w:r w:rsidR="003506E3" w:rsidRPr="00026EC1">
        <w:rPr>
          <w:rFonts w:cs="Arial"/>
        </w:rPr>
        <w:t>le salaire reçu pendant la durée du projet de formation moins le salaire reçu pendant la prestation de services fournie jusqu</w:t>
      </w:r>
      <w:r w:rsidR="004A41E4" w:rsidRPr="00026EC1">
        <w:rPr>
          <w:rFonts w:cs="Arial"/>
        </w:rPr>
        <w:t>’</w:t>
      </w:r>
      <w:r w:rsidR="003506E3" w:rsidRPr="00026EC1">
        <w:rPr>
          <w:rFonts w:cs="Arial"/>
        </w:rPr>
        <w:t>à la date de son départ</w:t>
      </w:r>
      <w:r w:rsidR="00DB1E5F" w:rsidRPr="00026EC1">
        <w:rPr>
          <w:rFonts w:cs="Arial"/>
        </w:rPr>
        <w:t>.</w:t>
      </w:r>
    </w:p>
    <w:p w14:paraId="2BE87830" w14:textId="77777777" w:rsidR="003506E3" w:rsidRPr="00026EC1" w:rsidRDefault="003506E3" w:rsidP="00A64613">
      <w:pPr>
        <w:keepNext w:val="0"/>
        <w:rPr>
          <w:rFonts w:cs="Arial"/>
        </w:rPr>
      </w:pPr>
    </w:p>
    <w:p w14:paraId="10579E69" w14:textId="77777777" w:rsidR="003506E3" w:rsidRPr="00026EC1" w:rsidRDefault="003506E3" w:rsidP="00A64613">
      <w:pPr>
        <w:keepNext w:val="0"/>
        <w:rPr>
          <w:rFonts w:cs="Arial"/>
        </w:rPr>
      </w:pPr>
      <w:r w:rsidRPr="00026EC1">
        <w:rPr>
          <w:rFonts w:cs="Arial"/>
        </w:rPr>
        <w:t>Aux fins de la présente clause, est considéré en prestation de services une enseignante ou un enseignant mis en disponibilité, en absence en raison d</w:t>
      </w:r>
      <w:r w:rsidR="004A41E4" w:rsidRPr="00026EC1">
        <w:rPr>
          <w:rFonts w:cs="Arial"/>
        </w:rPr>
        <w:t>’</w:t>
      </w:r>
      <w:r w:rsidRPr="00026EC1">
        <w:rPr>
          <w:rFonts w:cs="Arial"/>
        </w:rPr>
        <w:t>une invalidité ou en congé de maternité, de paternité ou d</w:t>
      </w:r>
      <w:r w:rsidR="004A41E4" w:rsidRPr="00026EC1">
        <w:rPr>
          <w:rFonts w:cs="Arial"/>
        </w:rPr>
        <w:t>’</w:t>
      </w:r>
      <w:r w:rsidRPr="00026EC1">
        <w:rPr>
          <w:rFonts w:cs="Arial"/>
        </w:rPr>
        <w:t>adoption.</w:t>
      </w:r>
    </w:p>
    <w:p w14:paraId="0C64D4E0" w14:textId="77777777" w:rsidR="003506E3" w:rsidRPr="00026EC1" w:rsidRDefault="003506E3" w:rsidP="00A64613">
      <w:pPr>
        <w:keepNext w:val="0"/>
        <w:rPr>
          <w:rFonts w:cs="Arial"/>
        </w:rPr>
      </w:pPr>
    </w:p>
    <w:p w14:paraId="134747BB" w14:textId="77777777" w:rsidR="003506E3" w:rsidRPr="00026EC1" w:rsidRDefault="003506E3" w:rsidP="00A64613">
      <w:pPr>
        <w:keepNext w:val="0"/>
        <w:rPr>
          <w:rFonts w:cs="Arial"/>
        </w:rPr>
      </w:pPr>
      <w:r w:rsidRPr="00026EC1">
        <w:rPr>
          <w:rFonts w:cs="Arial"/>
        </w:rPr>
        <w:t xml:space="preserve">Si, pendant la période au cours de laquelle elle ou il a fourni sa prestation de services, une enseignante ou </w:t>
      </w:r>
      <w:r w:rsidR="00DB1E5F" w:rsidRPr="00026EC1">
        <w:rPr>
          <w:rFonts w:cs="Arial"/>
        </w:rPr>
        <w:t xml:space="preserve">un </w:t>
      </w:r>
      <w:r w:rsidRPr="00026EC1">
        <w:rPr>
          <w:rFonts w:cs="Arial"/>
        </w:rPr>
        <w:t xml:space="preserve">enseignant a reçu une indemnité ou une prestation en vertu de la convention collective, le salaire reçu pendant cette période est calculé à partir du traitement hebdomadaire de base ayant servi à établir une telle indemnité ou une telle prestation. </w:t>
      </w:r>
    </w:p>
    <w:p w14:paraId="309786CF" w14:textId="77777777" w:rsidR="003506E3" w:rsidRPr="00026EC1" w:rsidRDefault="003506E3" w:rsidP="00A64613">
      <w:pPr>
        <w:keepNext w:val="0"/>
      </w:pPr>
    </w:p>
    <w:p w14:paraId="401B7DAE" w14:textId="30F6417E" w:rsidR="003506E3" w:rsidRPr="00026EC1" w:rsidRDefault="003506E3" w:rsidP="00A64613">
      <w:pPr>
        <w:pStyle w:val="NUMRODECLAUSE"/>
        <w:keepNext w:val="0"/>
      </w:pPr>
      <w:r w:rsidRPr="00026EC1">
        <w:t>7</w:t>
      </w:r>
      <w:r w:rsidR="00984A6F">
        <w:noBreakHyphen/>
      </w:r>
      <w:r w:rsidRPr="00026EC1">
        <w:t>6.09</w:t>
      </w:r>
    </w:p>
    <w:p w14:paraId="45E08245" w14:textId="77777777" w:rsidR="004F54FA" w:rsidRDefault="003506E3" w:rsidP="00A64613">
      <w:pPr>
        <w:keepNext w:val="0"/>
        <w:rPr>
          <w:rFonts w:cs="Arial"/>
        </w:rPr>
        <w:sectPr w:rsidR="004F54FA" w:rsidSect="009E4F22">
          <w:footnotePr>
            <w:numRestart w:val="eachPage"/>
          </w:footnotePr>
          <w:pgSz w:w="12240" w:h="15840" w:code="1"/>
          <w:pgMar w:top="720" w:right="1077" w:bottom="1242" w:left="1684" w:header="709" w:footer="709" w:gutter="0"/>
          <w:cols w:space="708"/>
          <w:docGrid w:linePitch="360"/>
        </w:sectPr>
      </w:pPr>
      <w:r w:rsidRPr="00026EC1">
        <w:rPr>
          <w:rFonts w:cs="Arial"/>
        </w:rPr>
        <w:t>Le congé prévu au présent article ne peut avoir pour effet de modifier les droits et avantages que procure une</w:t>
      </w:r>
      <w:r w:rsidR="006F547C">
        <w:rPr>
          <w:rFonts w:cs="Arial"/>
        </w:rPr>
        <w:t> </w:t>
      </w:r>
      <w:r w:rsidR="00DB1E5F" w:rsidRPr="00026EC1">
        <w:rPr>
          <w:rFonts w:cs="Arial"/>
        </w:rPr>
        <w:t>(1)</w:t>
      </w:r>
      <w:r w:rsidR="007114A6">
        <w:rPr>
          <w:rFonts w:cs="Arial"/>
        </w:rPr>
        <w:t xml:space="preserve"> </w:t>
      </w:r>
      <w:r w:rsidRPr="00026EC1">
        <w:rPr>
          <w:rFonts w:cs="Arial"/>
        </w:rPr>
        <w:t>année d</w:t>
      </w:r>
      <w:r w:rsidR="004A41E4" w:rsidRPr="00026EC1">
        <w:rPr>
          <w:rFonts w:cs="Arial"/>
        </w:rPr>
        <w:t>’</w:t>
      </w:r>
      <w:r w:rsidR="00BA79F8" w:rsidRPr="00026EC1">
        <w:rPr>
          <w:rFonts w:cs="Arial"/>
        </w:rPr>
        <w:t>enseignement.</w:t>
      </w:r>
    </w:p>
    <w:p w14:paraId="4563A6F2" w14:textId="270C3724" w:rsidR="008B06A8" w:rsidRPr="00026EC1" w:rsidRDefault="008B06A8" w:rsidP="008B06A8">
      <w:pPr>
        <w:pStyle w:val="Heading2"/>
        <w:keepNext w:val="0"/>
        <w:tabs>
          <w:tab w:val="clear" w:pos="1843"/>
          <w:tab w:val="clear" w:pos="2127"/>
          <w:tab w:val="left" w:pos="1701"/>
          <w:tab w:val="left" w:pos="1985"/>
        </w:tabs>
        <w:ind w:left="1985" w:hanging="1985"/>
        <w:rPr>
          <w:rFonts w:cs="Arial"/>
          <w:bCs/>
        </w:rPr>
      </w:pPr>
      <w:bookmarkStart w:id="778" w:name="_Toc168479549"/>
      <w:bookmarkStart w:id="779" w:name="_Toc535046631"/>
      <w:bookmarkStart w:id="780" w:name="_Toc133760798"/>
      <w:bookmarkStart w:id="781" w:name="_Toc133916946"/>
      <w:bookmarkStart w:id="782" w:name="_Toc134437221"/>
      <w:bookmarkStart w:id="783" w:name="_Toc393449587"/>
      <w:r w:rsidRPr="00316277">
        <w:t>Article 7-7.00</w:t>
      </w:r>
      <w:r w:rsidRPr="00026EC1">
        <w:tab/>
      </w:r>
      <w:r>
        <w:t>-</w:t>
      </w:r>
      <w:r w:rsidRPr="00026EC1">
        <w:tab/>
      </w:r>
      <w:r w:rsidR="00403DB2" w:rsidRPr="00316277">
        <w:t>Dispositions relatives aux libérations aux fins de maintien de l’expertise enseignante</w:t>
      </w:r>
      <w:bookmarkEnd w:id="778"/>
    </w:p>
    <w:p w14:paraId="6756CF14" w14:textId="10360442" w:rsidR="008B06A8" w:rsidRPr="005E2629" w:rsidRDefault="008B06A8" w:rsidP="005E2629">
      <w:pPr>
        <w:pStyle w:val="NUMRODECLAUSE"/>
        <w:keepNext w:val="0"/>
        <w:rPr>
          <w:strike/>
        </w:rPr>
      </w:pPr>
      <w:r w:rsidRPr="00316277">
        <w:t>7</w:t>
      </w:r>
      <w:r w:rsidRPr="00316277">
        <w:noBreakHyphen/>
        <w:t>7.01</w:t>
      </w:r>
    </w:p>
    <w:p w14:paraId="7BBAA371" w14:textId="38937E7D" w:rsidR="00403DB2" w:rsidRPr="00316277" w:rsidRDefault="00403DB2" w:rsidP="005E2629">
      <w:pPr>
        <w:keepNext w:val="0"/>
        <w:rPr>
          <w:rFonts w:cs="Arial"/>
        </w:rPr>
      </w:pPr>
      <w:r w:rsidRPr="00316277">
        <w:rPr>
          <w:rFonts w:cs="Arial"/>
        </w:rPr>
        <w:t xml:space="preserve">À compter de l’année d’engagement 2024-2025, </w:t>
      </w:r>
      <w:r w:rsidR="00052270" w:rsidRPr="00316277">
        <w:rPr>
          <w:rFonts w:cs="Arial"/>
        </w:rPr>
        <w:t>4,17</w:t>
      </w:r>
      <w:r w:rsidRPr="00316277">
        <w:rPr>
          <w:rFonts w:cs="Arial"/>
        </w:rPr>
        <w:t xml:space="preserve"> ETC </w:t>
      </w:r>
      <w:r w:rsidR="00AF0A01" w:rsidRPr="00316277">
        <w:rPr>
          <w:rFonts w:cs="Arial"/>
        </w:rPr>
        <w:t xml:space="preserve">par année </w:t>
      </w:r>
      <w:r w:rsidRPr="00316277">
        <w:rPr>
          <w:rFonts w:cs="Arial"/>
        </w:rPr>
        <w:t xml:space="preserve">sont alloués </w:t>
      </w:r>
      <w:r w:rsidR="00AF0A01" w:rsidRPr="00316277">
        <w:rPr>
          <w:rFonts w:cs="Arial"/>
        </w:rPr>
        <w:t xml:space="preserve">aux collèges dont le </w:t>
      </w:r>
      <w:r w:rsidR="0080113E" w:rsidRPr="00316277">
        <w:rPr>
          <w:rFonts w:cs="Arial"/>
        </w:rPr>
        <w:t>S</w:t>
      </w:r>
      <w:r w:rsidR="00AF0A01" w:rsidRPr="00316277">
        <w:rPr>
          <w:rFonts w:cs="Arial"/>
        </w:rPr>
        <w:t>yndicat des enseignantes et enseignants est affilié à la FNEEQ</w:t>
      </w:r>
      <w:r w:rsidR="001E2D8F" w:rsidRPr="00316277">
        <w:rPr>
          <w:rFonts w:cs="Arial"/>
        </w:rPr>
        <w:t xml:space="preserve"> (CSN) </w:t>
      </w:r>
      <w:r w:rsidRPr="00316277">
        <w:rPr>
          <w:rFonts w:cs="Arial"/>
        </w:rPr>
        <w:t xml:space="preserve">afin de permettre à </w:t>
      </w:r>
      <w:r w:rsidRPr="00316277">
        <w:rPr>
          <w:rStyle w:val="ElevSoulign"/>
          <w:rFonts w:cs="Arial"/>
          <w:b w:val="0"/>
          <w:bCs w:val="0"/>
          <w:u w:val="none"/>
        </w:rPr>
        <w:t>l’</w:t>
      </w:r>
      <w:r w:rsidRPr="00316277">
        <w:rPr>
          <w:rFonts w:cs="Arial"/>
        </w:rPr>
        <w:t xml:space="preserve">enseignante ou </w:t>
      </w:r>
      <w:r w:rsidRPr="00316277">
        <w:rPr>
          <w:rStyle w:val="ElevSoulign"/>
          <w:rFonts w:cs="Arial"/>
          <w:b w:val="0"/>
          <w:bCs w:val="0"/>
          <w:u w:val="none"/>
        </w:rPr>
        <w:t>l’</w:t>
      </w:r>
      <w:r w:rsidRPr="00316277">
        <w:rPr>
          <w:rFonts w:cs="Arial"/>
        </w:rPr>
        <w:t xml:space="preserve">enseignant d’une discipline </w:t>
      </w:r>
      <w:r w:rsidR="001E2D8F" w:rsidRPr="00316277">
        <w:rPr>
          <w:rFonts w:cs="Arial"/>
        </w:rPr>
        <w:t xml:space="preserve">hautement </w:t>
      </w:r>
      <w:r w:rsidRPr="00316277">
        <w:rPr>
          <w:rFonts w:cs="Arial"/>
        </w:rPr>
        <w:t>évolutive</w:t>
      </w:r>
      <w:r w:rsidR="001E2D8F" w:rsidRPr="00316277">
        <w:rPr>
          <w:rFonts w:cs="Arial"/>
        </w:rPr>
        <w:t xml:space="preserve"> ou</w:t>
      </w:r>
      <w:r w:rsidRPr="00316277">
        <w:rPr>
          <w:rFonts w:cs="Arial"/>
        </w:rPr>
        <w:t xml:space="preserve"> nécessitant des adaptations technologiques significatives de maintenir </w:t>
      </w:r>
      <w:r w:rsidR="001E2D8F" w:rsidRPr="00316277">
        <w:rPr>
          <w:rFonts w:cs="Arial"/>
        </w:rPr>
        <w:t>son</w:t>
      </w:r>
      <w:r w:rsidRPr="00316277">
        <w:rPr>
          <w:rFonts w:cs="Arial"/>
        </w:rPr>
        <w:t xml:space="preserve"> expertise.</w:t>
      </w:r>
    </w:p>
    <w:p w14:paraId="46C038C8" w14:textId="77777777" w:rsidR="00E3245C" w:rsidRPr="00316277" w:rsidRDefault="00E3245C" w:rsidP="005E2629">
      <w:pPr>
        <w:keepNext w:val="0"/>
        <w:rPr>
          <w:rFonts w:cs="Arial"/>
        </w:rPr>
      </w:pPr>
    </w:p>
    <w:p w14:paraId="421D31CB" w14:textId="108BD96D" w:rsidR="00403DB2" w:rsidRPr="00316277" w:rsidRDefault="00403DB2" w:rsidP="005E2629">
      <w:pPr>
        <w:keepNext w:val="0"/>
        <w:rPr>
          <w:rStyle w:val="ElevSoulign"/>
          <w:rFonts w:cs="Arial"/>
          <w:b w:val="0"/>
          <w:bCs w:val="0"/>
          <w:u w:val="none"/>
        </w:rPr>
      </w:pPr>
      <w:r w:rsidRPr="00316277">
        <w:rPr>
          <w:rStyle w:val="ElevSoulign"/>
          <w:rFonts w:cs="Arial"/>
          <w:b w:val="0"/>
          <w:bCs w:val="0"/>
          <w:u w:val="none"/>
        </w:rPr>
        <w:t>Les ressources non utilisées d’une année sont ajoutées aux ressources de l’année suivante.</w:t>
      </w:r>
    </w:p>
    <w:p w14:paraId="6020F4A0" w14:textId="6B5589A5" w:rsidR="00E3245C" w:rsidRPr="00316277" w:rsidRDefault="00E3245C" w:rsidP="005E2629">
      <w:pPr>
        <w:keepNext w:val="0"/>
        <w:rPr>
          <w:rStyle w:val="ElevSoulign"/>
          <w:rFonts w:cs="Arial"/>
          <w:b w:val="0"/>
          <w:bCs w:val="0"/>
          <w:u w:val="none"/>
        </w:rPr>
      </w:pPr>
    </w:p>
    <w:p w14:paraId="32B3B728" w14:textId="3F92FF37" w:rsidR="00E3245C" w:rsidRPr="005E2629" w:rsidRDefault="00E3245C" w:rsidP="005E2629">
      <w:pPr>
        <w:pStyle w:val="NUMRODECLAUSE"/>
        <w:keepNext w:val="0"/>
        <w:rPr>
          <w:strike/>
        </w:rPr>
      </w:pPr>
      <w:r w:rsidRPr="00316277">
        <w:t>7</w:t>
      </w:r>
      <w:r w:rsidRPr="00316277">
        <w:noBreakHyphen/>
        <w:t>7.02</w:t>
      </w:r>
    </w:p>
    <w:p w14:paraId="750C0971" w14:textId="02324FB1" w:rsidR="00403DB2" w:rsidRPr="00316277" w:rsidRDefault="00403DB2" w:rsidP="005E2629">
      <w:pPr>
        <w:keepNext w:val="0"/>
        <w:rPr>
          <w:rStyle w:val="ElevSoulign"/>
          <w:rFonts w:cs="Arial"/>
        </w:rPr>
      </w:pPr>
      <w:r w:rsidRPr="00316277">
        <w:rPr>
          <w:rFonts w:cs="Arial"/>
        </w:rPr>
        <w:t>L’enseignante ou l’enseignant à temps complet ou à temps partiel, ayant à son crédit au moins trois (3) années d’ancienneté</w:t>
      </w:r>
      <w:r w:rsidR="0080113E" w:rsidRPr="00316277">
        <w:rPr>
          <w:rFonts w:cs="Arial"/>
        </w:rPr>
        <w:t>,</w:t>
      </w:r>
      <w:r w:rsidRPr="00316277">
        <w:rPr>
          <w:rFonts w:cs="Arial"/>
        </w:rPr>
        <w:t xml:space="preserve"> est éligible à une libération à temps partiel </w:t>
      </w:r>
      <w:r w:rsidR="001E2D8F" w:rsidRPr="00316277">
        <w:rPr>
          <w:rFonts w:cs="Arial"/>
        </w:rPr>
        <w:t xml:space="preserve">si elle ou il </w:t>
      </w:r>
      <w:r w:rsidRPr="00316277">
        <w:rPr>
          <w:rFonts w:cs="Arial"/>
        </w:rPr>
        <w:t>entend suivre une formation auprès d’une institution d’enseignement supérieur, auprès d’un organisme habilité à offrir des activités de formation</w:t>
      </w:r>
      <w:r w:rsidR="00052270" w:rsidRPr="00316277">
        <w:rPr>
          <w:rFonts w:cs="Arial"/>
        </w:rPr>
        <w:t xml:space="preserve"> </w:t>
      </w:r>
      <w:r w:rsidRPr="00316277">
        <w:rPr>
          <w:rFonts w:cs="Arial"/>
        </w:rPr>
        <w:t>ou si</w:t>
      </w:r>
      <w:r w:rsidR="0080113E" w:rsidRPr="00316277">
        <w:rPr>
          <w:rFonts w:cs="Arial"/>
        </w:rPr>
        <w:t xml:space="preserve"> elle ou i</w:t>
      </w:r>
      <w:r w:rsidRPr="00316277">
        <w:rPr>
          <w:rFonts w:cs="Arial"/>
        </w:rPr>
        <w:t>l compte effectuer un stage non rémunéré. Dans tous ces cas, l’activité doit être liée à la discipline d’enseignement de la formation spécifique d’un programme technique.</w:t>
      </w:r>
    </w:p>
    <w:p w14:paraId="69D325F1" w14:textId="4926DD79" w:rsidR="00403DB2" w:rsidRPr="00316277" w:rsidRDefault="00403DB2" w:rsidP="005E2629">
      <w:pPr>
        <w:keepNext w:val="0"/>
        <w:rPr>
          <w:rFonts w:cs="Arial"/>
        </w:rPr>
      </w:pPr>
    </w:p>
    <w:p w14:paraId="12BFB342" w14:textId="1ABACA8E" w:rsidR="00E3245C" w:rsidRPr="005E2629" w:rsidRDefault="00E3245C" w:rsidP="005E2629">
      <w:pPr>
        <w:pStyle w:val="NUMRODECLAUSE"/>
        <w:keepNext w:val="0"/>
        <w:rPr>
          <w:strike/>
        </w:rPr>
      </w:pPr>
      <w:r w:rsidRPr="00316277">
        <w:t>7</w:t>
      </w:r>
      <w:r w:rsidRPr="00316277">
        <w:noBreakHyphen/>
        <w:t>7.03</w:t>
      </w:r>
    </w:p>
    <w:p w14:paraId="7B39246B" w14:textId="5F27E7FB" w:rsidR="00560CBD" w:rsidRPr="00316277" w:rsidRDefault="00560CBD" w:rsidP="00560CBD">
      <w:pPr>
        <w:pStyle w:val="N-Dcal"/>
        <w:suppressAutoHyphens/>
        <w:spacing w:before="0" w:after="0"/>
        <w:ind w:left="0" w:firstLine="1"/>
        <w:rPr>
          <w:rFonts w:ascii="Arial" w:hAnsi="Arial" w:cs="Times New Roman"/>
          <w:snapToGrid w:val="0"/>
          <w:sz w:val="24"/>
          <w:szCs w:val="20"/>
          <w:lang w:eastAsia="fr-FR"/>
        </w:rPr>
      </w:pPr>
      <w:r w:rsidRPr="00316277">
        <w:rPr>
          <w:rFonts w:ascii="Arial" w:hAnsi="Arial" w:cs="Times New Roman"/>
          <w:snapToGrid w:val="0"/>
          <w:sz w:val="24"/>
          <w:szCs w:val="20"/>
          <w:lang w:eastAsia="fr-FR"/>
        </w:rPr>
        <w:t>L’enseignante ou l’enseignant qui désire bénéficier d’une libération soumet, par écrit au Collège</w:t>
      </w:r>
      <w:r w:rsidR="00C84DB5" w:rsidRPr="00316277">
        <w:rPr>
          <w:rFonts w:ascii="Arial" w:hAnsi="Arial" w:cs="Times New Roman"/>
          <w:snapToGrid w:val="0"/>
          <w:sz w:val="24"/>
          <w:szCs w:val="20"/>
          <w:lang w:eastAsia="fr-FR"/>
        </w:rPr>
        <w:t>,</w:t>
      </w:r>
      <w:r w:rsidRPr="00316277">
        <w:rPr>
          <w:rFonts w:ascii="Arial" w:hAnsi="Arial" w:cs="Times New Roman"/>
          <w:snapToGrid w:val="0"/>
          <w:sz w:val="24"/>
          <w:szCs w:val="20"/>
          <w:lang w:eastAsia="fr-FR"/>
        </w:rPr>
        <w:t xml:space="preserve"> un projet</w:t>
      </w:r>
      <w:r w:rsidR="00C84DB5" w:rsidRPr="00316277">
        <w:rPr>
          <w:rFonts w:ascii="Arial" w:hAnsi="Arial" w:cs="Times New Roman"/>
          <w:snapToGrid w:val="0"/>
          <w:sz w:val="24"/>
          <w:szCs w:val="20"/>
          <w:lang w:eastAsia="fr-FR"/>
        </w:rPr>
        <w:t xml:space="preserve"> dont la libération</w:t>
      </w:r>
      <w:r w:rsidRPr="00316277">
        <w:rPr>
          <w:rFonts w:ascii="Arial" w:hAnsi="Arial" w:cs="Times New Roman"/>
          <w:snapToGrid w:val="0"/>
          <w:sz w:val="24"/>
          <w:szCs w:val="20"/>
          <w:lang w:eastAsia="fr-FR"/>
        </w:rPr>
        <w:t xml:space="preserve"> ne peut dépasser 0,5 ETC au cours d’une même année d’engagement et doit s’étaler minimalement sur une session. Le projet comprend notamment :</w:t>
      </w:r>
    </w:p>
    <w:p w14:paraId="5A3707CB" w14:textId="77777777" w:rsidR="00560CBD" w:rsidRPr="00316277" w:rsidRDefault="00560CBD" w:rsidP="00560CBD">
      <w:pPr>
        <w:pStyle w:val="N-Dcal"/>
        <w:suppressAutoHyphens/>
        <w:spacing w:before="0" w:after="0"/>
        <w:ind w:hanging="425"/>
        <w:rPr>
          <w:rFonts w:ascii="Arial" w:hAnsi="Arial" w:cs="Times New Roman"/>
          <w:snapToGrid w:val="0"/>
          <w:sz w:val="24"/>
          <w:szCs w:val="20"/>
          <w:lang w:eastAsia="fr-FR"/>
        </w:rPr>
      </w:pPr>
    </w:p>
    <w:p w14:paraId="0C32D862" w14:textId="77777777" w:rsidR="00560CBD" w:rsidRPr="00316277" w:rsidRDefault="00560CBD" w:rsidP="00377F9D">
      <w:pPr>
        <w:pStyle w:val="N-Dcal"/>
        <w:suppressAutoHyphens/>
        <w:spacing w:before="0" w:after="0"/>
        <w:ind w:left="1134"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 xml:space="preserve">- </w:t>
      </w:r>
      <w:r w:rsidRPr="00316277">
        <w:rPr>
          <w:rFonts w:ascii="Arial" w:hAnsi="Arial" w:cs="Times New Roman"/>
          <w:snapToGrid w:val="0"/>
          <w:sz w:val="24"/>
          <w:szCs w:val="20"/>
          <w:lang w:eastAsia="fr-FR"/>
        </w:rPr>
        <w:tab/>
        <w:t>la discipline de l’enseignante ou de l’enseignant;</w:t>
      </w:r>
    </w:p>
    <w:p w14:paraId="15A3CEB8" w14:textId="77777777" w:rsidR="00560CBD" w:rsidRPr="00316277" w:rsidRDefault="00560CBD" w:rsidP="00377F9D">
      <w:pPr>
        <w:pStyle w:val="N-Dcal"/>
        <w:suppressAutoHyphens/>
        <w:spacing w:before="0" w:after="0"/>
        <w:ind w:left="1134"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 xml:space="preserve">- </w:t>
      </w:r>
      <w:r w:rsidRPr="00316277">
        <w:rPr>
          <w:rFonts w:ascii="Arial" w:hAnsi="Arial" w:cs="Times New Roman"/>
          <w:snapToGrid w:val="0"/>
          <w:sz w:val="24"/>
          <w:szCs w:val="20"/>
          <w:lang w:eastAsia="fr-FR"/>
        </w:rPr>
        <w:tab/>
        <w:t>le ou les programme(s) d’études visé(s);</w:t>
      </w:r>
    </w:p>
    <w:p w14:paraId="483E1547" w14:textId="77777777" w:rsidR="00560CBD" w:rsidRPr="00316277" w:rsidRDefault="00560CBD" w:rsidP="00377F9D">
      <w:pPr>
        <w:pStyle w:val="N-Dcal"/>
        <w:suppressAutoHyphens/>
        <w:spacing w:before="0" w:after="0"/>
        <w:ind w:left="1134"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w:t>
      </w:r>
      <w:r w:rsidRPr="00316277">
        <w:rPr>
          <w:rFonts w:ascii="Arial" w:hAnsi="Arial" w:cs="Times New Roman"/>
          <w:snapToGrid w:val="0"/>
          <w:sz w:val="24"/>
          <w:szCs w:val="20"/>
          <w:lang w:eastAsia="fr-FR"/>
        </w:rPr>
        <w:tab/>
        <w:t>la description du projet :</w:t>
      </w:r>
    </w:p>
    <w:p w14:paraId="10C3139F" w14:textId="77777777" w:rsidR="00560CBD" w:rsidRPr="00316277" w:rsidRDefault="00560CBD" w:rsidP="00864798">
      <w:pPr>
        <w:pStyle w:val="N-Dcal"/>
        <w:numPr>
          <w:ilvl w:val="0"/>
          <w:numId w:val="68"/>
        </w:numPr>
        <w:suppressAutoHyphens/>
        <w:spacing w:before="0" w:after="0"/>
        <w:ind w:left="1701"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les objectifs poursuivis;</w:t>
      </w:r>
    </w:p>
    <w:p w14:paraId="26D47189" w14:textId="77777777" w:rsidR="00560CBD" w:rsidRPr="00316277" w:rsidRDefault="00560CBD" w:rsidP="00864798">
      <w:pPr>
        <w:pStyle w:val="N-Dcal"/>
        <w:numPr>
          <w:ilvl w:val="0"/>
          <w:numId w:val="68"/>
        </w:numPr>
        <w:suppressAutoHyphens/>
        <w:spacing w:before="0" w:after="0"/>
        <w:ind w:left="1701"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l’organisation auprès de laquelle elle ou il entend suivre cette formation ou effectuer un stage;</w:t>
      </w:r>
    </w:p>
    <w:p w14:paraId="3F146624" w14:textId="77777777" w:rsidR="00560CBD" w:rsidRPr="00316277" w:rsidRDefault="00560CBD" w:rsidP="00864798">
      <w:pPr>
        <w:pStyle w:val="N-Dcal"/>
        <w:numPr>
          <w:ilvl w:val="0"/>
          <w:numId w:val="68"/>
        </w:numPr>
        <w:suppressAutoHyphens/>
        <w:spacing w:before="0" w:after="0"/>
        <w:ind w:left="1701" w:hanging="567"/>
        <w:rPr>
          <w:rFonts w:ascii="Arial" w:hAnsi="Arial" w:cs="Times New Roman"/>
          <w:snapToGrid w:val="0"/>
          <w:sz w:val="24"/>
          <w:szCs w:val="20"/>
          <w:lang w:eastAsia="fr-FR"/>
        </w:rPr>
      </w:pPr>
      <w:r w:rsidRPr="00316277">
        <w:rPr>
          <w:rFonts w:ascii="Arial" w:hAnsi="Arial" w:cs="Times New Roman"/>
          <w:snapToGrid w:val="0"/>
          <w:sz w:val="24"/>
          <w:szCs w:val="20"/>
          <w:lang w:eastAsia="fr-FR"/>
        </w:rPr>
        <w:t>la durée du projet et la libération demandée.</w:t>
      </w:r>
    </w:p>
    <w:p w14:paraId="1602812F" w14:textId="77777777" w:rsidR="00403DB2" w:rsidRPr="00316277" w:rsidRDefault="00403DB2" w:rsidP="00377F9D">
      <w:pPr>
        <w:keepNext w:val="0"/>
        <w:ind w:left="1701" w:hanging="567"/>
        <w:rPr>
          <w:rFonts w:cs="Arial"/>
          <w:szCs w:val="24"/>
        </w:rPr>
      </w:pPr>
    </w:p>
    <w:p w14:paraId="0338D611" w14:textId="5C00B1D2" w:rsidR="00E3245C" w:rsidRPr="005E2629" w:rsidRDefault="00E3245C" w:rsidP="005E2629">
      <w:pPr>
        <w:pStyle w:val="NUMRODECLAUSE"/>
        <w:keepNext w:val="0"/>
        <w:rPr>
          <w:strike/>
        </w:rPr>
      </w:pPr>
      <w:r w:rsidRPr="00316277">
        <w:t>7</w:t>
      </w:r>
      <w:r w:rsidRPr="00316277">
        <w:noBreakHyphen/>
        <w:t>7.04</w:t>
      </w:r>
    </w:p>
    <w:p w14:paraId="53C5CB79" w14:textId="77777777" w:rsidR="00377F9D" w:rsidRPr="00316277" w:rsidRDefault="00560CBD" w:rsidP="00377F9D">
      <w:pPr>
        <w:pStyle w:val="N-Dcal"/>
        <w:spacing w:before="0" w:after="0"/>
        <w:ind w:left="0"/>
        <w:rPr>
          <w:rFonts w:ascii="Arial" w:hAnsi="Arial" w:cs="Times New Roman"/>
          <w:b/>
          <w:snapToGrid w:val="0"/>
          <w:sz w:val="24"/>
          <w:szCs w:val="24"/>
          <w:lang w:eastAsia="fr-FR"/>
        </w:rPr>
      </w:pPr>
      <w:r w:rsidRPr="00316277">
        <w:rPr>
          <w:rFonts w:ascii="Arial" w:hAnsi="Arial" w:cs="Times New Roman"/>
          <w:snapToGrid w:val="0"/>
          <w:sz w:val="24"/>
          <w:szCs w:val="24"/>
          <w:lang w:eastAsia="fr-FR"/>
        </w:rPr>
        <w:t>Le Collège analyse le projet et consulte le ou les départements concernés sur sa pertinence et ses retombées dans l’enseignement.</w:t>
      </w:r>
    </w:p>
    <w:p w14:paraId="54A2AA33" w14:textId="77777777" w:rsidR="00377F9D" w:rsidRPr="00316277" w:rsidRDefault="00377F9D" w:rsidP="00377F9D">
      <w:pPr>
        <w:pStyle w:val="N-Dcal"/>
        <w:spacing w:before="0" w:after="0"/>
        <w:ind w:left="0"/>
        <w:rPr>
          <w:rFonts w:ascii="Arial" w:hAnsi="Arial" w:cs="Times New Roman"/>
          <w:b/>
          <w:snapToGrid w:val="0"/>
          <w:sz w:val="24"/>
          <w:szCs w:val="24"/>
          <w:lang w:eastAsia="fr-FR"/>
        </w:rPr>
      </w:pPr>
    </w:p>
    <w:p w14:paraId="2A1F9EAD" w14:textId="64B6AC18" w:rsidR="00591B99" w:rsidRDefault="00560CBD" w:rsidP="00C84DB5">
      <w:pPr>
        <w:pStyle w:val="N-Dcal"/>
        <w:spacing w:before="0" w:after="0"/>
        <w:ind w:left="0"/>
        <w:rPr>
          <w:rFonts w:ascii="Arial" w:hAnsi="Arial" w:cs="Arial"/>
          <w:sz w:val="24"/>
          <w:szCs w:val="24"/>
        </w:rPr>
      </w:pPr>
      <w:r w:rsidRPr="00316277">
        <w:rPr>
          <w:rFonts w:ascii="Arial" w:hAnsi="Arial" w:cs="Arial"/>
          <w:sz w:val="24"/>
          <w:szCs w:val="24"/>
        </w:rPr>
        <w:t>Au plus tard le 15 mai,</w:t>
      </w:r>
      <w:r w:rsidRPr="00316277">
        <w:rPr>
          <w:rFonts w:ascii="Arial" w:hAnsi="Arial" w:cs="Arial"/>
          <w:b/>
          <w:sz w:val="24"/>
          <w:szCs w:val="24"/>
        </w:rPr>
        <w:t xml:space="preserve"> </w:t>
      </w:r>
      <w:r w:rsidRPr="00316277">
        <w:rPr>
          <w:rStyle w:val="ElevSoulign"/>
          <w:rFonts w:ascii="Arial" w:hAnsi="Arial" w:cs="Arial"/>
          <w:b w:val="0"/>
          <w:sz w:val="24"/>
          <w:szCs w:val="24"/>
          <w:u w:val="none"/>
        </w:rPr>
        <w:t>le Collège achemine au comité paritaire de placement les projets retenus, ainsi que la libération (CI</w:t>
      </w:r>
      <w:r w:rsidRPr="00316277">
        <w:rPr>
          <w:rStyle w:val="ElevSoulign"/>
          <w:rFonts w:ascii="Arial" w:hAnsi="Arial" w:cs="Arial"/>
          <w:b w:val="0"/>
          <w:sz w:val="24"/>
          <w:szCs w:val="24"/>
          <w:u w:val="none"/>
          <w:vertAlign w:val="subscript"/>
        </w:rPr>
        <w:t>L</w:t>
      </w:r>
      <w:r w:rsidRPr="00316277">
        <w:rPr>
          <w:rStyle w:val="ElevSoulign"/>
          <w:rFonts w:ascii="Arial" w:hAnsi="Arial" w:cs="Arial"/>
          <w:b w:val="0"/>
          <w:sz w:val="24"/>
          <w:szCs w:val="24"/>
          <w:u w:val="none"/>
        </w:rPr>
        <w:t xml:space="preserve">) </w:t>
      </w:r>
      <w:r w:rsidR="00C84DB5" w:rsidRPr="00316277">
        <w:rPr>
          <w:rStyle w:val="ElevSoulign"/>
          <w:rFonts w:ascii="Arial" w:hAnsi="Arial" w:cs="Arial"/>
          <w:b w:val="0"/>
          <w:sz w:val="24"/>
          <w:szCs w:val="24"/>
          <w:u w:val="none"/>
        </w:rPr>
        <w:t>associée à chaque projet</w:t>
      </w:r>
      <w:r w:rsidRPr="00316277">
        <w:rPr>
          <w:rStyle w:val="ElevSoulign"/>
          <w:rFonts w:ascii="Arial" w:hAnsi="Arial" w:cs="Arial"/>
          <w:b w:val="0"/>
          <w:sz w:val="24"/>
          <w:szCs w:val="24"/>
          <w:u w:val="none"/>
        </w:rPr>
        <w:t xml:space="preserve">. </w:t>
      </w:r>
      <w:r w:rsidRPr="00316277">
        <w:rPr>
          <w:rFonts w:ascii="Arial" w:hAnsi="Arial" w:cs="Arial"/>
          <w:sz w:val="24"/>
          <w:szCs w:val="24"/>
        </w:rPr>
        <w:t>Le comité donne une réponse au Collège au plus tard le 15 juin</w:t>
      </w:r>
      <w:r w:rsidRPr="00316277">
        <w:rPr>
          <w:rFonts w:cs="Arial"/>
          <w:szCs w:val="24"/>
        </w:rPr>
        <w:t>.</w:t>
      </w:r>
      <w:r w:rsidR="00C84DB5" w:rsidRPr="00316277">
        <w:rPr>
          <w:rFonts w:cs="Arial"/>
          <w:szCs w:val="24"/>
        </w:rPr>
        <w:t xml:space="preserve"> </w:t>
      </w:r>
      <w:r w:rsidR="00C84DB5" w:rsidRPr="00316277">
        <w:rPr>
          <w:rFonts w:ascii="Arial" w:hAnsi="Arial" w:cs="Arial"/>
          <w:sz w:val="24"/>
          <w:szCs w:val="24"/>
        </w:rPr>
        <w:t>Toutefois, pour l’année d’engagement 2024</w:t>
      </w:r>
      <w:r w:rsidR="0080113E" w:rsidRPr="00316277">
        <w:rPr>
          <w:rFonts w:ascii="Arial" w:hAnsi="Arial" w:cs="Arial"/>
          <w:sz w:val="24"/>
          <w:szCs w:val="24"/>
        </w:rPr>
        <w:noBreakHyphen/>
      </w:r>
      <w:r w:rsidR="00C84DB5" w:rsidRPr="00316277">
        <w:rPr>
          <w:rFonts w:ascii="Arial" w:hAnsi="Arial" w:cs="Arial"/>
          <w:sz w:val="24"/>
          <w:szCs w:val="24"/>
        </w:rPr>
        <w:t>2025, ces dates sont remplacées par le 1</w:t>
      </w:r>
      <w:r w:rsidR="00C84DB5" w:rsidRPr="00316277">
        <w:rPr>
          <w:rFonts w:ascii="Arial" w:hAnsi="Arial" w:cs="Arial"/>
          <w:sz w:val="24"/>
          <w:szCs w:val="24"/>
          <w:vertAlign w:val="superscript"/>
        </w:rPr>
        <w:t>er</w:t>
      </w:r>
      <w:r w:rsidR="00C84DB5" w:rsidRPr="00316277">
        <w:rPr>
          <w:rFonts w:ascii="Arial" w:hAnsi="Arial" w:cs="Arial"/>
          <w:sz w:val="24"/>
          <w:szCs w:val="24"/>
        </w:rPr>
        <w:t xml:space="preserve"> novembre et le 1</w:t>
      </w:r>
      <w:r w:rsidR="00C84DB5" w:rsidRPr="00316277">
        <w:rPr>
          <w:rFonts w:ascii="Arial" w:hAnsi="Arial" w:cs="Arial"/>
          <w:sz w:val="24"/>
          <w:szCs w:val="24"/>
          <w:vertAlign w:val="superscript"/>
        </w:rPr>
        <w:t>er</w:t>
      </w:r>
      <w:r w:rsidR="00C84DB5" w:rsidRPr="00316277">
        <w:rPr>
          <w:rFonts w:ascii="Arial" w:hAnsi="Arial" w:cs="Arial"/>
          <w:sz w:val="24"/>
          <w:szCs w:val="24"/>
        </w:rPr>
        <w:t> décembre 2024.</w:t>
      </w:r>
    </w:p>
    <w:p w14:paraId="4EF50410" w14:textId="77777777" w:rsidR="00591B99" w:rsidRDefault="00591B99">
      <w:pPr>
        <w:keepNext w:val="0"/>
        <w:suppressAutoHyphens w:val="0"/>
        <w:jc w:val="left"/>
        <w:rPr>
          <w:rFonts w:cs="Arial"/>
          <w:snapToGrid/>
          <w:szCs w:val="24"/>
          <w:lang w:eastAsia="fr-CA"/>
        </w:rPr>
      </w:pPr>
      <w:r>
        <w:rPr>
          <w:rFonts w:cs="Arial"/>
          <w:szCs w:val="24"/>
        </w:rPr>
        <w:br w:type="page"/>
      </w:r>
    </w:p>
    <w:p w14:paraId="33A4599C" w14:textId="20AA2601" w:rsidR="00E3245C" w:rsidRPr="005E2629" w:rsidRDefault="00E3245C" w:rsidP="005E2629">
      <w:pPr>
        <w:pStyle w:val="NUMRODECLAUSE"/>
        <w:keepNext w:val="0"/>
        <w:rPr>
          <w:strike/>
        </w:rPr>
      </w:pPr>
      <w:r w:rsidRPr="00316277">
        <w:t>7</w:t>
      </w:r>
      <w:r w:rsidRPr="00316277">
        <w:noBreakHyphen/>
        <w:t>7.05</w:t>
      </w:r>
    </w:p>
    <w:p w14:paraId="7F4DD5F2" w14:textId="60F1C32C" w:rsidR="00C84DB5" w:rsidRPr="003A39F7" w:rsidRDefault="00C84DB5" w:rsidP="00C84DB5">
      <w:pPr>
        <w:pStyle w:val="N-Commun-Puce"/>
        <w:spacing w:before="0" w:after="0"/>
        <w:ind w:left="0" w:firstLine="0"/>
        <w:rPr>
          <w:rFonts w:ascii="Arial" w:hAnsi="Arial" w:cs="Arial"/>
          <w:sz w:val="24"/>
        </w:rPr>
      </w:pPr>
      <w:r w:rsidRPr="00316277">
        <w:rPr>
          <w:rFonts w:ascii="Arial" w:hAnsi="Arial" w:cs="Arial"/>
          <w:sz w:val="24"/>
        </w:rPr>
        <w:t xml:space="preserve">Le </w:t>
      </w:r>
      <w:r w:rsidR="0080113E" w:rsidRPr="00316277">
        <w:rPr>
          <w:rFonts w:ascii="Arial" w:hAnsi="Arial" w:cs="Arial"/>
          <w:sz w:val="24"/>
        </w:rPr>
        <w:t>c</w:t>
      </w:r>
      <w:r w:rsidRPr="00316277">
        <w:rPr>
          <w:rFonts w:ascii="Arial" w:hAnsi="Arial" w:cs="Arial"/>
          <w:sz w:val="24"/>
        </w:rPr>
        <w:t xml:space="preserve">omité paritaire de placement attribue les libérations en commençant par le projet ayant la plus petite valeur en ETC. Dans l’éventualité où il n’y a pas suffisamment de ressources disponibles pour accorder tous les projets d’une même valeur, le </w:t>
      </w:r>
      <w:r w:rsidR="0080113E" w:rsidRPr="00316277">
        <w:rPr>
          <w:rFonts w:ascii="Arial" w:hAnsi="Arial" w:cs="Arial"/>
          <w:sz w:val="24"/>
        </w:rPr>
        <w:t>c</w:t>
      </w:r>
      <w:r w:rsidRPr="00316277">
        <w:rPr>
          <w:rFonts w:ascii="Arial" w:hAnsi="Arial" w:cs="Arial"/>
          <w:sz w:val="24"/>
        </w:rPr>
        <w:t xml:space="preserve">omité procède </w:t>
      </w:r>
      <w:r w:rsidR="0080113E" w:rsidRPr="00316277">
        <w:rPr>
          <w:rFonts w:ascii="Arial" w:hAnsi="Arial" w:cs="Arial"/>
          <w:sz w:val="24"/>
        </w:rPr>
        <w:t>par ordre d’</w:t>
      </w:r>
      <w:r w:rsidRPr="00316277">
        <w:rPr>
          <w:rFonts w:ascii="Arial" w:hAnsi="Arial" w:cs="Arial"/>
          <w:sz w:val="24"/>
        </w:rPr>
        <w:t>ancienneté de</w:t>
      </w:r>
      <w:r w:rsidR="0080113E" w:rsidRPr="00316277">
        <w:rPr>
          <w:rFonts w:ascii="Arial" w:hAnsi="Arial" w:cs="Arial"/>
          <w:sz w:val="24"/>
        </w:rPr>
        <w:t xml:space="preserve">s </w:t>
      </w:r>
      <w:r w:rsidRPr="00316277">
        <w:rPr>
          <w:rFonts w:ascii="Arial" w:hAnsi="Arial" w:cs="Arial"/>
          <w:sz w:val="24"/>
        </w:rPr>
        <w:t>enseignante</w:t>
      </w:r>
      <w:r w:rsidR="0080113E" w:rsidRPr="00316277">
        <w:rPr>
          <w:rFonts w:ascii="Arial" w:hAnsi="Arial" w:cs="Arial"/>
          <w:sz w:val="24"/>
        </w:rPr>
        <w:t>s</w:t>
      </w:r>
      <w:r w:rsidRPr="00316277">
        <w:rPr>
          <w:rFonts w:ascii="Arial" w:hAnsi="Arial" w:cs="Arial"/>
          <w:sz w:val="24"/>
        </w:rPr>
        <w:t xml:space="preserve"> </w:t>
      </w:r>
      <w:r w:rsidR="0080113E" w:rsidRPr="00316277">
        <w:rPr>
          <w:rFonts w:ascii="Arial" w:hAnsi="Arial" w:cs="Arial"/>
          <w:sz w:val="24"/>
        </w:rPr>
        <w:t>et</w:t>
      </w:r>
      <w:r w:rsidRPr="00316277">
        <w:rPr>
          <w:rFonts w:ascii="Arial" w:hAnsi="Arial" w:cs="Arial"/>
          <w:sz w:val="24"/>
        </w:rPr>
        <w:t xml:space="preserve"> de</w:t>
      </w:r>
      <w:r w:rsidR="0080113E" w:rsidRPr="00316277">
        <w:rPr>
          <w:rFonts w:ascii="Arial" w:hAnsi="Arial" w:cs="Arial"/>
          <w:sz w:val="24"/>
        </w:rPr>
        <w:t xml:space="preserve">s </w:t>
      </w:r>
      <w:r w:rsidRPr="00316277">
        <w:rPr>
          <w:rFonts w:ascii="Arial" w:hAnsi="Arial" w:cs="Arial"/>
          <w:sz w:val="24"/>
        </w:rPr>
        <w:t>enseignant</w:t>
      </w:r>
      <w:r w:rsidR="0080113E" w:rsidRPr="00316277">
        <w:rPr>
          <w:rFonts w:ascii="Arial" w:hAnsi="Arial" w:cs="Arial"/>
          <w:sz w:val="24"/>
        </w:rPr>
        <w:t>s</w:t>
      </w:r>
      <w:r w:rsidRPr="00316277">
        <w:rPr>
          <w:rFonts w:ascii="Arial" w:hAnsi="Arial" w:cs="Arial"/>
          <w:sz w:val="24"/>
        </w:rPr>
        <w:t>.</w:t>
      </w:r>
    </w:p>
    <w:p w14:paraId="152C9C46" w14:textId="77777777" w:rsidR="005E2629" w:rsidRPr="00316277" w:rsidRDefault="005E2629" w:rsidP="005E2629">
      <w:pPr>
        <w:pStyle w:val="ListParagraph"/>
        <w:ind w:left="1134"/>
        <w:rPr>
          <w:szCs w:val="24"/>
        </w:rPr>
      </w:pPr>
    </w:p>
    <w:p w14:paraId="25DDB600" w14:textId="169CE1BE" w:rsidR="005E2629" w:rsidRPr="005E2629" w:rsidRDefault="005E2629" w:rsidP="005E2629">
      <w:pPr>
        <w:pStyle w:val="NUMRODECLAUSE"/>
        <w:keepNext w:val="0"/>
        <w:rPr>
          <w:strike/>
        </w:rPr>
      </w:pPr>
      <w:r w:rsidRPr="00316277">
        <w:t>7</w:t>
      </w:r>
      <w:r w:rsidRPr="00316277">
        <w:noBreakHyphen/>
        <w:t>7.06</w:t>
      </w:r>
    </w:p>
    <w:p w14:paraId="10584B98" w14:textId="459BF2BE" w:rsidR="00403DB2" w:rsidRPr="00316277" w:rsidRDefault="00403DB2" w:rsidP="005E2629">
      <w:pPr>
        <w:keepNext w:val="0"/>
        <w:rPr>
          <w:szCs w:val="24"/>
        </w:rPr>
      </w:pPr>
      <w:r w:rsidRPr="00316277">
        <w:rPr>
          <w:szCs w:val="24"/>
        </w:rPr>
        <w:t>Pendant la durée de son projet, l’enseignante ou l’enseignant reçoit le salaire qu’elle ou il recevrait si elle ou il était au travail; elle ou il bénéficie des droits et avantages que procure une année d’enseignement.</w:t>
      </w:r>
    </w:p>
    <w:p w14:paraId="0ABC4D93" w14:textId="77777777" w:rsidR="005E2629" w:rsidRPr="00316277" w:rsidRDefault="005E2629" w:rsidP="005E2629">
      <w:pPr>
        <w:keepNext w:val="0"/>
        <w:rPr>
          <w:szCs w:val="24"/>
        </w:rPr>
      </w:pPr>
    </w:p>
    <w:p w14:paraId="0107F123" w14:textId="0A0A3C8A" w:rsidR="005E2629" w:rsidRPr="005E2629" w:rsidRDefault="005E2629" w:rsidP="005E2629">
      <w:pPr>
        <w:pStyle w:val="NUMRODECLAUSE"/>
        <w:keepNext w:val="0"/>
        <w:rPr>
          <w:strike/>
        </w:rPr>
      </w:pPr>
      <w:r w:rsidRPr="00316277">
        <w:t>7</w:t>
      </w:r>
      <w:r w:rsidRPr="00316277">
        <w:noBreakHyphen/>
        <w:t>7.07</w:t>
      </w:r>
    </w:p>
    <w:p w14:paraId="37459767" w14:textId="436C8EED" w:rsidR="00403DB2" w:rsidRPr="00316277" w:rsidRDefault="00403DB2" w:rsidP="005E2629">
      <w:pPr>
        <w:keepNext w:val="0"/>
        <w:rPr>
          <w:szCs w:val="24"/>
        </w:rPr>
      </w:pPr>
      <w:r w:rsidRPr="00316277">
        <w:rPr>
          <w:szCs w:val="24"/>
        </w:rPr>
        <w:t>Dans le cas d’une absence en raison d’une invalidité, de l’un ou l’autre des congés découlant des droits parentaux ou d’un congé pour raisons familiales, où l’enseignante ou l’enseignant doit interrompre son projet et ne peut le reporter au cours de l’année d’engagement en cours, le projet prend fin.</w:t>
      </w:r>
    </w:p>
    <w:p w14:paraId="10B74B36" w14:textId="77777777" w:rsidR="00F420CB" w:rsidRPr="00316277" w:rsidRDefault="00F420CB" w:rsidP="005E2629">
      <w:pPr>
        <w:keepNext w:val="0"/>
        <w:rPr>
          <w:szCs w:val="24"/>
        </w:rPr>
      </w:pPr>
    </w:p>
    <w:p w14:paraId="03CE1C05" w14:textId="1A7D7A1C" w:rsidR="00403DB2" w:rsidRPr="00316277" w:rsidRDefault="00403DB2" w:rsidP="005E2629">
      <w:pPr>
        <w:keepNext w:val="0"/>
        <w:rPr>
          <w:szCs w:val="24"/>
        </w:rPr>
      </w:pPr>
      <w:r w:rsidRPr="00316277">
        <w:rPr>
          <w:szCs w:val="24"/>
        </w:rPr>
        <w:t>Lorsque le projet est interrompu pour d’autres raisons que celles prévues au paragraphe précédent, l’enseignante ou l’enseignant doit en aviser le Collège. Dans ce cas, le projet prend fin et l’enseignante ou l’enseignant reprend une charge d’enseignement selon les modalités à convenir entre l’enseignante ou l’enseignant et le Collège.</w:t>
      </w:r>
    </w:p>
    <w:p w14:paraId="5AC24B47" w14:textId="77777777" w:rsidR="00F420CB" w:rsidRPr="00316277" w:rsidRDefault="00F420CB" w:rsidP="005E2629">
      <w:pPr>
        <w:keepNext w:val="0"/>
        <w:rPr>
          <w:szCs w:val="24"/>
        </w:rPr>
      </w:pPr>
    </w:p>
    <w:p w14:paraId="151597E1" w14:textId="7D9F1FD3" w:rsidR="00403DB2" w:rsidRPr="00316277" w:rsidRDefault="00403DB2" w:rsidP="005E2629">
      <w:pPr>
        <w:keepNext w:val="0"/>
        <w:rPr>
          <w:szCs w:val="24"/>
        </w:rPr>
      </w:pPr>
      <w:r w:rsidRPr="00316277">
        <w:rPr>
          <w:szCs w:val="24"/>
        </w:rPr>
        <w:t xml:space="preserve">Dans ces cas, le Collège avise le </w:t>
      </w:r>
      <w:r w:rsidR="00E3245C" w:rsidRPr="00316277">
        <w:rPr>
          <w:szCs w:val="24"/>
        </w:rPr>
        <w:t>c</w:t>
      </w:r>
      <w:r w:rsidRPr="00316277">
        <w:rPr>
          <w:szCs w:val="24"/>
        </w:rPr>
        <w:t>omité paritaire de placement de l’interruption du projet et les ressources non utilisées sont reportées à l’année d’engagement suivante.</w:t>
      </w:r>
    </w:p>
    <w:p w14:paraId="3F55A5A1" w14:textId="7AB50706" w:rsidR="008B06A8" w:rsidRPr="00316277" w:rsidRDefault="008B06A8" w:rsidP="00647E1F">
      <w:pPr>
        <w:pStyle w:val="N-Commun-Puce"/>
        <w:numPr>
          <w:ilvl w:val="0"/>
          <w:numId w:val="43"/>
        </w:numPr>
        <w:ind w:left="0" w:firstLine="0"/>
        <w:rPr>
          <w:rFonts w:ascii="Arial" w:eastAsia="Calibri" w:hAnsi="Arial" w:cs="Times New Roman"/>
          <w:sz w:val="24"/>
          <w:szCs w:val="22"/>
        </w:rPr>
        <w:sectPr w:rsidR="008B06A8" w:rsidRPr="00316277" w:rsidSect="00F420CB">
          <w:headerReference w:type="default" r:id="rId32"/>
          <w:footnotePr>
            <w:numRestart w:val="eachPage"/>
          </w:footnotePr>
          <w:pgSz w:w="12240" w:h="15840" w:code="1"/>
          <w:pgMar w:top="720" w:right="1077" w:bottom="1242" w:left="1843" w:header="709" w:footer="709" w:gutter="0"/>
          <w:cols w:space="708"/>
          <w:docGrid w:linePitch="360"/>
        </w:sectPr>
      </w:pPr>
    </w:p>
    <w:p w14:paraId="20A9E024" w14:textId="4BC8403E" w:rsidR="00404F34" w:rsidRPr="00026EC1" w:rsidRDefault="00404F34" w:rsidP="00A64613">
      <w:pPr>
        <w:pStyle w:val="Heading1"/>
        <w:keepNext w:val="0"/>
        <w:tabs>
          <w:tab w:val="left" w:pos="1701"/>
          <w:tab w:val="left" w:pos="1985"/>
        </w:tabs>
        <w:ind w:left="2127" w:hanging="2127"/>
      </w:pPr>
      <w:r w:rsidRPr="00026EC1">
        <w:t>CHAPITRE 8</w:t>
      </w:r>
      <w:r w:rsidR="00CB6B97" w:rsidRPr="00026EC1">
        <w:tab/>
      </w:r>
      <w:r w:rsidR="00984A6F">
        <w:t>-</w:t>
      </w:r>
      <w:r w:rsidR="00CB6B97" w:rsidRPr="00026EC1">
        <w:tab/>
      </w:r>
      <w:r w:rsidRPr="00026EC1">
        <w:t>LA TÂCHE D</w:t>
      </w:r>
      <w:r w:rsidR="004A41E4" w:rsidRPr="00026EC1">
        <w:t>’</w:t>
      </w:r>
      <w:r w:rsidRPr="00026EC1">
        <w:t>ENSEIGNEMENT ET SON AMÉNAGEMENT</w:t>
      </w:r>
      <w:bookmarkEnd w:id="779"/>
      <w:bookmarkEnd w:id="780"/>
      <w:bookmarkEnd w:id="781"/>
      <w:bookmarkEnd w:id="782"/>
      <w:bookmarkEnd w:id="783"/>
      <w:r w:rsidR="0009729D" w:rsidRPr="0035151D">
        <w:fldChar w:fldCharType="begin"/>
      </w:r>
      <w:r w:rsidR="0009729D" w:rsidRPr="0035151D">
        <w:instrText xml:space="preserve"> TC " </w:instrText>
      </w:r>
      <w:bookmarkStart w:id="784" w:name="_Toc94952760"/>
      <w:bookmarkStart w:id="785" w:name="_Toc94954664"/>
      <w:bookmarkStart w:id="786" w:name="_Toc94966341"/>
      <w:bookmarkStart w:id="787" w:name="_Toc95035219"/>
      <w:bookmarkStart w:id="788" w:name="_Toc95035362"/>
      <w:bookmarkStart w:id="789" w:name="_Toc95035505"/>
      <w:bookmarkStart w:id="790" w:name="_Toc95035650"/>
      <w:bookmarkStart w:id="791" w:name="_Toc157589275"/>
      <w:bookmarkStart w:id="792" w:name="_Toc161323724"/>
      <w:bookmarkStart w:id="793" w:name="_Toc163483064"/>
      <w:bookmarkStart w:id="794" w:name="_Toc163483663"/>
      <w:bookmarkStart w:id="795" w:name="_Toc163483853"/>
      <w:bookmarkStart w:id="796" w:name="_Toc167870823"/>
      <w:bookmarkStart w:id="797" w:name="_Toc167870987"/>
      <w:bookmarkStart w:id="798" w:name="_Toc167871143"/>
      <w:bookmarkStart w:id="799" w:name="_Toc167871319"/>
      <w:bookmarkStart w:id="800" w:name="_Toc168049387"/>
      <w:bookmarkStart w:id="801" w:name="_Toc168401551"/>
      <w:bookmarkStart w:id="802" w:name="_Toc168402167"/>
      <w:bookmarkStart w:id="803" w:name="_Toc168409602"/>
      <w:bookmarkStart w:id="804" w:name="_Toc168410356"/>
      <w:bookmarkStart w:id="805" w:name="_Toc168410602"/>
      <w:bookmarkStart w:id="806" w:name="_Toc168410843"/>
      <w:bookmarkStart w:id="807" w:name="_Toc168479550"/>
      <w:r w:rsidR="0009729D" w:rsidRPr="0035151D">
        <w:instrText xml:space="preserve">CHAPITRE </w:instrText>
      </w:r>
      <w:r w:rsidR="0009729D">
        <w:instrText>8</w:instrText>
      </w:r>
      <w:r w:rsidR="0009729D" w:rsidRPr="0035151D">
        <w:instrText xml:space="preserve">  </w:instrText>
      </w:r>
      <w:r w:rsidR="00984A6F">
        <w:noBreakHyphen/>
      </w:r>
      <w:r w:rsidR="0009729D" w:rsidRPr="0035151D">
        <w:instrText xml:space="preserve">  </w:instrText>
      </w:r>
      <w:r w:rsidR="0009729D">
        <w:instrText>la tâche d’enseignement et son aménagement</w:instrTex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0009729D" w:rsidRPr="0035151D">
        <w:instrText>"\N</w:instrText>
      </w:r>
      <w:r w:rsidR="0009729D" w:rsidRPr="0035151D">
        <w:fldChar w:fldCharType="end"/>
      </w:r>
    </w:p>
    <w:p w14:paraId="3008933B" w14:textId="5D17E1BA" w:rsidR="00404F34" w:rsidRPr="00026EC1" w:rsidRDefault="00404F34" w:rsidP="00A64613">
      <w:pPr>
        <w:pStyle w:val="Heading2"/>
        <w:keepNext w:val="0"/>
        <w:tabs>
          <w:tab w:val="clear" w:pos="1843"/>
          <w:tab w:val="clear" w:pos="2127"/>
          <w:tab w:val="left" w:pos="1701"/>
          <w:tab w:val="left" w:pos="1985"/>
        </w:tabs>
        <w:ind w:left="1701" w:hanging="1701"/>
      </w:pPr>
      <w:bookmarkStart w:id="808" w:name="_Toc535046632"/>
      <w:bookmarkStart w:id="809" w:name="_Toc133760799"/>
      <w:bookmarkStart w:id="810" w:name="_Toc393444637"/>
      <w:bookmarkStart w:id="811" w:name="_Toc393449588"/>
      <w:bookmarkStart w:id="812" w:name="_Toc393460957"/>
      <w:bookmarkStart w:id="813" w:name="_Toc393461235"/>
      <w:bookmarkStart w:id="814" w:name="_Toc393720796"/>
      <w:bookmarkStart w:id="815" w:name="_Toc393783957"/>
      <w:bookmarkStart w:id="816" w:name="_Toc393784096"/>
      <w:bookmarkStart w:id="817" w:name="_Toc168479551"/>
      <w:r w:rsidRPr="00026EC1">
        <w:t>Article 8</w:t>
      </w:r>
      <w:r w:rsidR="00B92165">
        <w:t>-</w:t>
      </w:r>
      <w:r w:rsidRPr="00026EC1">
        <w:t>1.00</w:t>
      </w:r>
      <w:r w:rsidR="00CB6B97" w:rsidRPr="00026EC1">
        <w:tab/>
      </w:r>
      <w:r w:rsidR="00B92165">
        <w:t>-</w:t>
      </w:r>
      <w:r w:rsidR="00CB6B97" w:rsidRPr="00026EC1">
        <w:tab/>
      </w:r>
      <w:r w:rsidRPr="00026EC1">
        <w:t>Dispositions générales</w:t>
      </w:r>
      <w:bookmarkEnd w:id="808"/>
      <w:bookmarkEnd w:id="809"/>
      <w:bookmarkEnd w:id="810"/>
      <w:bookmarkEnd w:id="811"/>
      <w:bookmarkEnd w:id="812"/>
      <w:bookmarkEnd w:id="813"/>
      <w:bookmarkEnd w:id="814"/>
      <w:bookmarkEnd w:id="815"/>
      <w:bookmarkEnd w:id="816"/>
      <w:bookmarkEnd w:id="817"/>
    </w:p>
    <w:p w14:paraId="5F594B71" w14:textId="563A288F" w:rsidR="00404F34" w:rsidRPr="00026EC1" w:rsidRDefault="00404F34" w:rsidP="00A64613">
      <w:pPr>
        <w:pStyle w:val="NUMRODECLAUSE"/>
        <w:keepNext w:val="0"/>
      </w:pPr>
      <w:r w:rsidRPr="00026EC1">
        <w:t>8</w:t>
      </w:r>
      <w:r w:rsidR="00984A6F">
        <w:noBreakHyphen/>
      </w:r>
      <w:r w:rsidRPr="00026EC1">
        <w:t>1.01</w:t>
      </w:r>
    </w:p>
    <w:p w14:paraId="7FB00E8E" w14:textId="77777777" w:rsidR="00404F34" w:rsidRPr="00026EC1" w:rsidRDefault="00404F34" w:rsidP="00A64613">
      <w:pPr>
        <w:keepNext w:val="0"/>
      </w:pPr>
      <w:r w:rsidRPr="00026EC1">
        <w:t>En aucun cas, l</w:t>
      </w:r>
      <w:r w:rsidR="004A41E4" w:rsidRPr="00026EC1">
        <w:t>’</w:t>
      </w:r>
      <w:r w:rsidRPr="00026EC1">
        <w:t>enseignante ou l</w:t>
      </w:r>
      <w:r w:rsidR="004A41E4" w:rsidRPr="00026EC1">
        <w:t>’</w:t>
      </w:r>
      <w:r w:rsidRPr="00026EC1">
        <w:t>enseignant n</w:t>
      </w:r>
      <w:r w:rsidR="004A41E4" w:rsidRPr="00026EC1">
        <w:t>’</w:t>
      </w:r>
      <w:r w:rsidRPr="00026EC1">
        <w:t>est tenu d</w:t>
      </w:r>
      <w:r w:rsidR="004A41E4" w:rsidRPr="00026EC1">
        <w:t>’</w:t>
      </w:r>
      <w:r w:rsidRPr="00026EC1">
        <w:t>exécuter ou de faire exécuter par ses étudiantes et étudiants du travail de production, de construction, de déménagement ou d</w:t>
      </w:r>
      <w:r w:rsidR="004A41E4" w:rsidRPr="00026EC1">
        <w:t>’</w:t>
      </w:r>
      <w:r w:rsidRPr="00026EC1">
        <w:t>entretien, d</w:t>
      </w:r>
      <w:r w:rsidR="004A41E4" w:rsidRPr="00026EC1">
        <w:t>’</w:t>
      </w:r>
      <w:r w:rsidRPr="00026EC1">
        <w:t>inventaire, d</w:t>
      </w:r>
      <w:r w:rsidR="004A41E4" w:rsidRPr="00026EC1">
        <w:t>’</w:t>
      </w:r>
      <w:r w:rsidRPr="00026EC1">
        <w:t>installation ou de service. Seuls des travaux de production directement reliés au programme d</w:t>
      </w:r>
      <w:r w:rsidR="004A41E4" w:rsidRPr="00026EC1">
        <w:t>’</w:t>
      </w:r>
      <w:r w:rsidRPr="00026EC1">
        <w:t>étude et aux fins pour lesquelles ils sont prévus peuvent être exécutés et sur les heures de travail seulement. L</w:t>
      </w:r>
      <w:r w:rsidR="004A41E4" w:rsidRPr="00026EC1">
        <w:t>’</w:t>
      </w:r>
      <w:r w:rsidRPr="00026EC1">
        <w:t>enseignante ou l</w:t>
      </w:r>
      <w:r w:rsidR="004A41E4" w:rsidRPr="00026EC1">
        <w:t>’</w:t>
      </w:r>
      <w:r w:rsidRPr="00026EC1">
        <w:t>enseignant n</w:t>
      </w:r>
      <w:r w:rsidR="004A41E4" w:rsidRPr="00026EC1">
        <w:t>’</w:t>
      </w:r>
      <w:r w:rsidRPr="00026EC1">
        <w:t>exécute et ne fait exécuter aucun travail de même nature à ses fins personnelles, sur les lieux du travail, à moins d</w:t>
      </w:r>
      <w:r w:rsidR="004A41E4" w:rsidRPr="00026EC1">
        <w:t>’</w:t>
      </w:r>
      <w:r w:rsidRPr="00026EC1">
        <w:t>une autorisation écrite du Collège.</w:t>
      </w:r>
    </w:p>
    <w:p w14:paraId="202B5BFE" w14:textId="77777777" w:rsidR="00404F34" w:rsidRPr="00026EC1" w:rsidRDefault="00404F34" w:rsidP="00A64613">
      <w:pPr>
        <w:keepNext w:val="0"/>
      </w:pPr>
    </w:p>
    <w:p w14:paraId="3A74E33C" w14:textId="0AF80BED" w:rsidR="00404F34" w:rsidRPr="00026EC1" w:rsidRDefault="00404F34" w:rsidP="00A64613">
      <w:pPr>
        <w:pStyle w:val="NUMRODECLAUSE"/>
        <w:keepNext w:val="0"/>
      </w:pPr>
      <w:r w:rsidRPr="00026EC1">
        <w:t>8</w:t>
      </w:r>
      <w:r w:rsidR="00984A6F">
        <w:noBreakHyphen/>
      </w:r>
      <w:r w:rsidRPr="00026EC1">
        <w:t>1.02</w:t>
      </w:r>
    </w:p>
    <w:p w14:paraId="313E44F9" w14:textId="77777777" w:rsidR="00404F34" w:rsidRPr="00026EC1" w:rsidRDefault="00404F34" w:rsidP="00A64613">
      <w:pPr>
        <w:keepNext w:val="0"/>
      </w:pPr>
      <w:r w:rsidRPr="00026EC1">
        <w:t>La révision de notes d</w:t>
      </w:r>
      <w:r w:rsidR="004A41E4" w:rsidRPr="00026EC1">
        <w:t>’</w:t>
      </w:r>
      <w:r w:rsidRPr="00026EC1">
        <w:t>une étudiante ou d</w:t>
      </w:r>
      <w:r w:rsidR="004A41E4" w:rsidRPr="00026EC1">
        <w:t>’</w:t>
      </w:r>
      <w:r w:rsidRPr="00026EC1">
        <w:t>un étudiant est faite sur demande du Collège ou à la suite d</w:t>
      </w:r>
      <w:r w:rsidR="004A41E4" w:rsidRPr="00026EC1">
        <w:t>’</w:t>
      </w:r>
      <w:r w:rsidRPr="00026EC1">
        <w:t>une demande de l</w:t>
      </w:r>
      <w:r w:rsidR="004A41E4" w:rsidRPr="00026EC1">
        <w:t>’</w:t>
      </w:r>
      <w:r w:rsidRPr="00026EC1">
        <w:t>étudiante ou de l</w:t>
      </w:r>
      <w:r w:rsidR="004A41E4" w:rsidRPr="00026EC1">
        <w:t>’</w:t>
      </w:r>
      <w:r w:rsidRPr="00026EC1">
        <w:t>étudiant adressée au Collège.</w:t>
      </w:r>
    </w:p>
    <w:p w14:paraId="3CE8C592" w14:textId="77777777" w:rsidR="00404F34" w:rsidRPr="00026EC1" w:rsidRDefault="00404F34" w:rsidP="00A64613">
      <w:pPr>
        <w:keepNext w:val="0"/>
      </w:pPr>
    </w:p>
    <w:p w14:paraId="48F045F5" w14:textId="77777777" w:rsidR="00404F34" w:rsidRPr="00026EC1" w:rsidRDefault="00404F34" w:rsidP="00A64613">
      <w:pPr>
        <w:keepNext w:val="0"/>
      </w:pPr>
      <w:r w:rsidRPr="00026EC1">
        <w:t>Ce dernier transmet les demandes à la coordonnatrice ou au coordonnateur du département visé et le comité de révision prévu à la convention collective est saisi du cas.</w:t>
      </w:r>
    </w:p>
    <w:p w14:paraId="44B8B2A0" w14:textId="77777777" w:rsidR="00404F34" w:rsidRPr="00026EC1" w:rsidRDefault="00404F34" w:rsidP="00A64613">
      <w:pPr>
        <w:keepNext w:val="0"/>
      </w:pPr>
    </w:p>
    <w:p w14:paraId="7CA9902B" w14:textId="77777777" w:rsidR="00404F34" w:rsidRPr="00026EC1" w:rsidRDefault="00404F34" w:rsidP="00A64613">
      <w:pPr>
        <w:keepNext w:val="0"/>
      </w:pPr>
      <w:r w:rsidRPr="00026EC1">
        <w:t>Seule l</w:t>
      </w:r>
      <w:r w:rsidR="004A41E4" w:rsidRPr="00026EC1">
        <w:t>’</w:t>
      </w:r>
      <w:r w:rsidRPr="00026EC1">
        <w:t>enseignante ou seul l</w:t>
      </w:r>
      <w:r w:rsidR="004A41E4" w:rsidRPr="00026EC1">
        <w:t>’</w:t>
      </w:r>
      <w:r w:rsidRPr="00026EC1">
        <w:t>enseignant impliqué ou le comité de révision peut modifier la note d</w:t>
      </w:r>
      <w:r w:rsidR="004A41E4" w:rsidRPr="00026EC1">
        <w:t>’</w:t>
      </w:r>
      <w:r w:rsidRPr="00026EC1">
        <w:t>une étudiante ou d</w:t>
      </w:r>
      <w:r w:rsidR="004A41E4" w:rsidRPr="00026EC1">
        <w:t>’</w:t>
      </w:r>
      <w:r w:rsidRPr="00026EC1">
        <w:t>un étudiant.</w:t>
      </w:r>
    </w:p>
    <w:p w14:paraId="100CBEFB" w14:textId="77777777" w:rsidR="00404F34" w:rsidRPr="00026EC1" w:rsidRDefault="00404F34" w:rsidP="00A64613">
      <w:pPr>
        <w:keepNext w:val="0"/>
      </w:pPr>
    </w:p>
    <w:p w14:paraId="54075250" w14:textId="157419CB" w:rsidR="00404F34" w:rsidRPr="00026EC1" w:rsidRDefault="00404F34" w:rsidP="00A64613">
      <w:pPr>
        <w:pStyle w:val="NUMRODECLAUSE"/>
        <w:keepNext w:val="0"/>
      </w:pPr>
      <w:r w:rsidRPr="00026EC1">
        <w:t>8</w:t>
      </w:r>
      <w:r w:rsidR="00984A6F">
        <w:noBreakHyphen/>
      </w:r>
      <w:r w:rsidRPr="00026EC1">
        <w:t>1.03</w:t>
      </w:r>
    </w:p>
    <w:p w14:paraId="37EDAA91" w14:textId="77777777" w:rsidR="00404F34" w:rsidRPr="00026EC1" w:rsidRDefault="00404F34" w:rsidP="00A64613">
      <w:pPr>
        <w:keepNext w:val="0"/>
      </w:pPr>
      <w:r w:rsidRPr="00026EC1">
        <w:t>Les cahiers de cours ou les notes de cours, y compris sous forme audiovisuelle ou informatisée, dont l</w:t>
      </w:r>
      <w:r w:rsidR="004A41E4" w:rsidRPr="00026EC1">
        <w:t>’</w:t>
      </w:r>
      <w:r w:rsidRPr="00026EC1">
        <w:t>enseignante ou l</w:t>
      </w:r>
      <w:r w:rsidR="004A41E4" w:rsidRPr="00026EC1">
        <w:t>’</w:t>
      </w:r>
      <w:r w:rsidRPr="00026EC1">
        <w:t>enseignant est soit l</w:t>
      </w:r>
      <w:r w:rsidR="004A41E4" w:rsidRPr="00026EC1">
        <w:t>’</w:t>
      </w:r>
      <w:r w:rsidRPr="00026EC1">
        <w:t>auteure ou l</w:t>
      </w:r>
      <w:r w:rsidR="004A41E4" w:rsidRPr="00026EC1">
        <w:t>’</w:t>
      </w:r>
      <w:r w:rsidRPr="00026EC1">
        <w:t>auteur, soit l</w:t>
      </w:r>
      <w:r w:rsidR="004A41E4" w:rsidRPr="00026EC1">
        <w:t>’</w:t>
      </w:r>
      <w:r w:rsidRPr="00026EC1">
        <w:t>une ou l</w:t>
      </w:r>
      <w:r w:rsidR="004A41E4" w:rsidRPr="00026EC1">
        <w:t>’</w:t>
      </w:r>
      <w:r w:rsidRPr="00026EC1">
        <w:t>un des auteures ou auteurs, ne peuvent être utilisés sans son consentement.</w:t>
      </w:r>
    </w:p>
    <w:p w14:paraId="33B55EE8" w14:textId="77777777" w:rsidR="00404F34" w:rsidRPr="00026EC1" w:rsidRDefault="00404F34" w:rsidP="00A64613">
      <w:pPr>
        <w:keepNext w:val="0"/>
      </w:pPr>
    </w:p>
    <w:p w14:paraId="5006C924" w14:textId="175D9037" w:rsidR="00404F34" w:rsidRPr="00026EC1" w:rsidRDefault="00404F34" w:rsidP="00A64613">
      <w:pPr>
        <w:keepNext w:val="0"/>
      </w:pPr>
      <w:r w:rsidRPr="00026EC1">
        <w:t>L</w:t>
      </w:r>
      <w:r w:rsidR="004A41E4" w:rsidRPr="00026EC1">
        <w:t>’</w:t>
      </w:r>
      <w:r w:rsidRPr="00026EC1">
        <w:t>utilisation d</w:t>
      </w:r>
      <w:r w:rsidR="004A41E4" w:rsidRPr="00026EC1">
        <w:t>’</w:t>
      </w:r>
      <w:r w:rsidRPr="00026EC1">
        <w:t xml:space="preserve">une </w:t>
      </w:r>
      <w:r w:rsidR="00FA58E4" w:rsidRPr="00026EC1">
        <w:t>œuvre</w:t>
      </w:r>
      <w:r w:rsidRPr="00026EC1">
        <w:t xml:space="preserve"> dont une enseignante ou un enseignant est soit l</w:t>
      </w:r>
      <w:r w:rsidR="004A41E4" w:rsidRPr="00026EC1">
        <w:t>’</w:t>
      </w:r>
      <w:r w:rsidRPr="00026EC1">
        <w:t>auteure ou l</w:t>
      </w:r>
      <w:r w:rsidR="004A41E4" w:rsidRPr="00026EC1">
        <w:t>’</w:t>
      </w:r>
      <w:r w:rsidRPr="00026EC1">
        <w:t>auteur, soit l</w:t>
      </w:r>
      <w:r w:rsidR="004A41E4" w:rsidRPr="00026EC1">
        <w:t>’</w:t>
      </w:r>
      <w:r w:rsidRPr="00026EC1">
        <w:t>une ou l</w:t>
      </w:r>
      <w:r w:rsidR="004A41E4" w:rsidRPr="00026EC1">
        <w:t>’</w:t>
      </w:r>
      <w:r w:rsidRPr="00026EC1">
        <w:t xml:space="preserve">un des auteures ou auteurs, est soumise aux dispositions de </w:t>
      </w:r>
      <w:r w:rsidRPr="0037171A">
        <w:t>l</w:t>
      </w:r>
      <w:r w:rsidR="004A41E4" w:rsidRPr="0037171A">
        <w:t>’</w:t>
      </w:r>
      <w:r w:rsidR="005871CE" w:rsidRPr="0037171A">
        <w:t>A</w:t>
      </w:r>
      <w:r w:rsidRPr="0037171A">
        <w:t>nnexe V</w:t>
      </w:r>
      <w:r w:rsidR="00984A6F">
        <w:noBreakHyphen/>
      </w:r>
      <w:r w:rsidR="0051678C" w:rsidRPr="0037171A">
        <w:t>3</w:t>
      </w:r>
      <w:r w:rsidRPr="0037171A">
        <w:t>.</w:t>
      </w:r>
    </w:p>
    <w:p w14:paraId="2F5F4245" w14:textId="77777777" w:rsidR="00404F34" w:rsidRPr="00026EC1" w:rsidRDefault="00404F34" w:rsidP="00A64613">
      <w:pPr>
        <w:keepNext w:val="0"/>
      </w:pPr>
    </w:p>
    <w:p w14:paraId="747E22E3" w14:textId="77777777" w:rsidR="00404F34" w:rsidRPr="00026EC1" w:rsidRDefault="00404F34" w:rsidP="00A64613">
      <w:pPr>
        <w:keepNext w:val="0"/>
      </w:pPr>
      <w:r w:rsidRPr="00026EC1">
        <w:rPr>
          <w:bCs/>
        </w:rPr>
        <w:t>Le plan de cours ne peut être utilisé par le Collège sans le consentement de l</w:t>
      </w:r>
      <w:r w:rsidR="004A41E4" w:rsidRPr="00026EC1">
        <w:rPr>
          <w:bCs/>
        </w:rPr>
        <w:t>’</w:t>
      </w:r>
      <w:r w:rsidRPr="00026EC1">
        <w:rPr>
          <w:bCs/>
        </w:rPr>
        <w:t>enseignante ou l</w:t>
      </w:r>
      <w:r w:rsidR="004A41E4" w:rsidRPr="00026EC1">
        <w:rPr>
          <w:bCs/>
        </w:rPr>
        <w:t>’</w:t>
      </w:r>
      <w:r w:rsidRPr="00026EC1">
        <w:rPr>
          <w:bCs/>
        </w:rPr>
        <w:t>enseignant qui ne peut le retenir sans motif raisonnable.</w:t>
      </w:r>
    </w:p>
    <w:p w14:paraId="260D45CB" w14:textId="77777777" w:rsidR="00404F34" w:rsidRPr="00026EC1" w:rsidRDefault="00404F34" w:rsidP="00A64613">
      <w:pPr>
        <w:keepNext w:val="0"/>
      </w:pPr>
    </w:p>
    <w:p w14:paraId="663B42CD" w14:textId="6C7EF20F" w:rsidR="00404F34" w:rsidRPr="00026EC1" w:rsidRDefault="00404F34" w:rsidP="00A64613">
      <w:pPr>
        <w:pStyle w:val="NUMRODECLAUSE"/>
        <w:keepNext w:val="0"/>
      </w:pPr>
      <w:r w:rsidRPr="00026EC1">
        <w:t>8</w:t>
      </w:r>
      <w:r w:rsidR="00984A6F">
        <w:noBreakHyphen/>
      </w:r>
      <w:r w:rsidRPr="00026EC1">
        <w:t>1.04</w:t>
      </w:r>
    </w:p>
    <w:p w14:paraId="0A7EAC4F"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dispose d</w:t>
      </w:r>
      <w:r w:rsidR="004A41E4" w:rsidRPr="00026EC1">
        <w:t>’</w:t>
      </w:r>
      <w:r w:rsidRPr="00026EC1">
        <w:t>un local individuel dans la mesure du possible. Ce local lui est accessible sans discontinuité, compte tenu des règlements d</w:t>
      </w:r>
      <w:r w:rsidR="004A41E4" w:rsidRPr="00026EC1">
        <w:t>’</w:t>
      </w:r>
      <w:r w:rsidRPr="00026EC1">
        <w:t>accès.</w:t>
      </w:r>
    </w:p>
    <w:p w14:paraId="5E163205" w14:textId="77777777" w:rsidR="00F72697" w:rsidRDefault="00F72697" w:rsidP="00A64613">
      <w:pPr>
        <w:pStyle w:val="NUMRODECLAUSE"/>
        <w:keepNext w:val="0"/>
      </w:pPr>
    </w:p>
    <w:p w14:paraId="58AEB8D2" w14:textId="248BB507" w:rsidR="002D4973" w:rsidRPr="00026EC1" w:rsidRDefault="002D4973" w:rsidP="00A64613">
      <w:pPr>
        <w:pStyle w:val="NUMRODECLAUSE"/>
        <w:keepNext w:val="0"/>
      </w:pPr>
      <w:r w:rsidRPr="00026EC1">
        <w:t>8</w:t>
      </w:r>
      <w:r w:rsidR="00984A6F">
        <w:noBreakHyphen/>
      </w:r>
      <w:r w:rsidRPr="00026EC1">
        <w:t>1.05</w:t>
      </w:r>
    </w:p>
    <w:p w14:paraId="4C6F5215" w14:textId="77777777" w:rsidR="00B6500A" w:rsidRDefault="00404F34" w:rsidP="00A64613">
      <w:pPr>
        <w:keepNext w:val="0"/>
        <w:rPr>
          <w:bCs/>
        </w:rPr>
        <w:sectPr w:rsidR="00B6500A" w:rsidSect="009E4F22">
          <w:headerReference w:type="default" r:id="rId33"/>
          <w:footnotePr>
            <w:numRestart w:val="eachPage"/>
          </w:footnotePr>
          <w:pgSz w:w="12240" w:h="15840" w:code="1"/>
          <w:pgMar w:top="720" w:right="1077" w:bottom="1242" w:left="1684" w:header="709" w:footer="709" w:gutter="0"/>
          <w:cols w:space="708"/>
          <w:docGrid w:linePitch="360"/>
        </w:sectPr>
      </w:pPr>
      <w:r w:rsidRPr="00026EC1">
        <w:rPr>
          <w:bCs/>
        </w:rPr>
        <w:t>Lorsqu</w:t>
      </w:r>
      <w:r w:rsidR="004A41E4" w:rsidRPr="00026EC1">
        <w:rPr>
          <w:bCs/>
        </w:rPr>
        <w:t>’</w:t>
      </w:r>
      <w:r w:rsidRPr="00026EC1">
        <w:rPr>
          <w:bCs/>
        </w:rPr>
        <w:t>une enseignante ou un enseignant ne dispose pas d</w:t>
      </w:r>
      <w:r w:rsidR="004A41E4" w:rsidRPr="00026EC1">
        <w:rPr>
          <w:bCs/>
        </w:rPr>
        <w:t>’</w:t>
      </w:r>
      <w:r w:rsidRPr="00026EC1">
        <w:rPr>
          <w:bCs/>
        </w:rPr>
        <w:t>un local individuel</w:t>
      </w:r>
      <w:r w:rsidR="005452D4" w:rsidRPr="00026EC1">
        <w:rPr>
          <w:bCs/>
        </w:rPr>
        <w:t>,</w:t>
      </w:r>
      <w:r w:rsidRPr="00026EC1">
        <w:rPr>
          <w:bCs/>
        </w:rPr>
        <w:t xml:space="preserve"> notamment pour l</w:t>
      </w:r>
      <w:r w:rsidR="004A41E4" w:rsidRPr="00026EC1">
        <w:rPr>
          <w:bCs/>
        </w:rPr>
        <w:t>’</w:t>
      </w:r>
      <w:r w:rsidRPr="00026EC1">
        <w:rPr>
          <w:bCs/>
        </w:rPr>
        <w:t>encadrement de ses étudiantes et étudiants, le Collège fournit un local commun consacré à cette fin.</w:t>
      </w:r>
    </w:p>
    <w:p w14:paraId="5C604692" w14:textId="5CF23690" w:rsidR="00404F34" w:rsidRPr="00026EC1" w:rsidRDefault="00404F34" w:rsidP="00A64613">
      <w:pPr>
        <w:keepNext w:val="0"/>
        <w:rPr>
          <w:b/>
        </w:rPr>
      </w:pPr>
      <w:r w:rsidRPr="00026EC1">
        <w:rPr>
          <w:b/>
        </w:rPr>
        <w:t>8</w:t>
      </w:r>
      <w:r w:rsidR="00984A6F">
        <w:rPr>
          <w:b/>
        </w:rPr>
        <w:noBreakHyphen/>
      </w:r>
      <w:r w:rsidRPr="00026EC1">
        <w:rPr>
          <w:b/>
        </w:rPr>
        <w:t>1.06</w:t>
      </w:r>
    </w:p>
    <w:p w14:paraId="113674B7" w14:textId="77777777" w:rsidR="00C17379" w:rsidRDefault="00404F34" w:rsidP="00A64613">
      <w:pPr>
        <w:keepNext w:val="0"/>
        <w:rPr>
          <w:bCs/>
        </w:rPr>
        <w:sectPr w:rsidR="00C17379" w:rsidSect="009E4F22">
          <w:headerReference w:type="default" r:id="rId34"/>
          <w:footnotePr>
            <w:numRestart w:val="eachPage"/>
          </w:footnotePr>
          <w:pgSz w:w="12240" w:h="15840" w:code="1"/>
          <w:pgMar w:top="720" w:right="1077" w:bottom="1242" w:left="1684" w:header="709" w:footer="709" w:gutter="0"/>
          <w:cols w:space="708"/>
          <w:docGrid w:linePitch="360"/>
        </w:sectPr>
      </w:pPr>
      <w:r w:rsidRPr="00026EC1">
        <w:rPr>
          <w:bCs/>
        </w:rPr>
        <w:t>L</w:t>
      </w:r>
      <w:r w:rsidR="004A41E4" w:rsidRPr="00026EC1">
        <w:rPr>
          <w:bCs/>
        </w:rPr>
        <w:t>’</w:t>
      </w:r>
      <w:r w:rsidRPr="00026EC1">
        <w:rPr>
          <w:bCs/>
        </w:rPr>
        <w:t>enseignante ou l</w:t>
      </w:r>
      <w:r w:rsidR="004A41E4" w:rsidRPr="00026EC1">
        <w:rPr>
          <w:bCs/>
        </w:rPr>
        <w:t>’</w:t>
      </w:r>
      <w:r w:rsidRPr="00026EC1">
        <w:rPr>
          <w:bCs/>
        </w:rPr>
        <w:t>enseignant a accès à l</w:t>
      </w:r>
      <w:r w:rsidR="004A41E4" w:rsidRPr="00026EC1">
        <w:rPr>
          <w:bCs/>
        </w:rPr>
        <w:t>’</w:t>
      </w:r>
      <w:r w:rsidRPr="00026EC1">
        <w:rPr>
          <w:bCs/>
        </w:rPr>
        <w:t>équipement informatique et aux logiciels qui sont liés à sa charge d</w:t>
      </w:r>
      <w:r w:rsidR="004A41E4" w:rsidRPr="00026EC1">
        <w:rPr>
          <w:bCs/>
        </w:rPr>
        <w:t>’</w:t>
      </w:r>
      <w:r w:rsidRPr="00026EC1">
        <w:rPr>
          <w:bCs/>
        </w:rPr>
        <w:t>enseignement selon les modalités déterminées par les politiques et les pratiques du Collège.</w:t>
      </w:r>
    </w:p>
    <w:p w14:paraId="755C3E02" w14:textId="60E9E657" w:rsidR="00404F34" w:rsidRPr="00026EC1" w:rsidRDefault="00404F34" w:rsidP="00A64613">
      <w:pPr>
        <w:pStyle w:val="Heading2"/>
        <w:keepNext w:val="0"/>
        <w:tabs>
          <w:tab w:val="clear" w:pos="1843"/>
          <w:tab w:val="clear" w:pos="2127"/>
          <w:tab w:val="left" w:pos="1701"/>
          <w:tab w:val="left" w:pos="1985"/>
        </w:tabs>
        <w:ind w:left="1701" w:hanging="1701"/>
      </w:pPr>
      <w:bookmarkStart w:id="818" w:name="_Toc535046633"/>
      <w:bookmarkStart w:id="819" w:name="_Toc133760800"/>
      <w:bookmarkStart w:id="820" w:name="_Toc393444638"/>
      <w:bookmarkStart w:id="821" w:name="_Toc393449589"/>
      <w:bookmarkStart w:id="822" w:name="_Toc393460958"/>
      <w:bookmarkStart w:id="823" w:name="_Toc393461236"/>
      <w:bookmarkStart w:id="824" w:name="_Toc393720797"/>
      <w:bookmarkStart w:id="825" w:name="_Toc393783958"/>
      <w:bookmarkStart w:id="826" w:name="_Toc393784097"/>
      <w:bookmarkStart w:id="827" w:name="_Toc168479552"/>
      <w:r w:rsidRPr="00026EC1">
        <w:t>Article 8</w:t>
      </w:r>
      <w:r w:rsidR="00B92165">
        <w:t>-</w:t>
      </w:r>
      <w:r w:rsidRPr="00026EC1">
        <w:t>2.00</w:t>
      </w:r>
      <w:r w:rsidR="00CB6B97" w:rsidRPr="00026EC1">
        <w:tab/>
      </w:r>
      <w:r w:rsidR="00B92165">
        <w:t>-</w:t>
      </w:r>
      <w:r w:rsidR="00CB6B97" w:rsidRPr="00026EC1">
        <w:tab/>
      </w:r>
      <w:r w:rsidRPr="00026EC1">
        <w:t>Dispositions relatives aux vacances</w:t>
      </w:r>
      <w:bookmarkEnd w:id="818"/>
      <w:bookmarkEnd w:id="819"/>
      <w:bookmarkEnd w:id="820"/>
      <w:bookmarkEnd w:id="821"/>
      <w:bookmarkEnd w:id="822"/>
      <w:bookmarkEnd w:id="823"/>
      <w:bookmarkEnd w:id="824"/>
      <w:bookmarkEnd w:id="825"/>
      <w:bookmarkEnd w:id="826"/>
      <w:bookmarkEnd w:id="827"/>
    </w:p>
    <w:p w14:paraId="68C7CE7B" w14:textId="11D85913" w:rsidR="00404F34" w:rsidRPr="00026EC1" w:rsidRDefault="00404F34" w:rsidP="00A64613">
      <w:pPr>
        <w:pStyle w:val="NUMRODECLAUSE"/>
        <w:keepNext w:val="0"/>
      </w:pPr>
      <w:r w:rsidRPr="00026EC1">
        <w:t>8</w:t>
      </w:r>
      <w:r w:rsidR="00984A6F">
        <w:noBreakHyphen/>
      </w:r>
      <w:r w:rsidRPr="00026EC1">
        <w:t>2.01</w:t>
      </w:r>
    </w:p>
    <w:p w14:paraId="544946AF" w14:textId="2456A592"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régulier a droit à une période de vacances rémunérées selon les modalités suivantes</w:t>
      </w:r>
      <w:r w:rsidR="00D8581B">
        <w:t> :</w:t>
      </w:r>
    </w:p>
    <w:p w14:paraId="1A298709" w14:textId="77777777" w:rsidR="00404F34" w:rsidRPr="00026EC1" w:rsidRDefault="00404F34" w:rsidP="00A64613">
      <w:pPr>
        <w:keepNext w:val="0"/>
      </w:pPr>
    </w:p>
    <w:p w14:paraId="462E277B" w14:textId="77777777" w:rsidR="00404F34" w:rsidRPr="00026EC1" w:rsidRDefault="00275751" w:rsidP="00A64613">
      <w:pPr>
        <w:keepNext w:val="0"/>
        <w:tabs>
          <w:tab w:val="left" w:pos="567"/>
        </w:tabs>
        <w:ind w:left="567" w:hanging="567"/>
      </w:pPr>
      <w:r w:rsidRPr="00026EC1">
        <w:t>a)</w:t>
      </w:r>
      <w:r w:rsidRPr="00026EC1">
        <w:tab/>
      </w:r>
      <w:r w:rsidR="00404F34" w:rsidRPr="00026EC1">
        <w:t>l</w:t>
      </w:r>
      <w:r w:rsidR="004A41E4" w:rsidRPr="00026EC1">
        <w:t>’</w:t>
      </w:r>
      <w:r w:rsidR="00404F34" w:rsidRPr="00026EC1">
        <w:t>enseignante ou l</w:t>
      </w:r>
      <w:r w:rsidR="004A41E4" w:rsidRPr="00026EC1">
        <w:t>’</w:t>
      </w:r>
      <w:r w:rsidR="00404F34" w:rsidRPr="00026EC1">
        <w:t>enseignant à temps complet a droit à deux (2) mois de vacances rémunérées pour autant qu</w:t>
      </w:r>
      <w:r w:rsidR="004A41E4" w:rsidRPr="00026EC1">
        <w:t>’</w:t>
      </w:r>
      <w:r w:rsidR="00404F34" w:rsidRPr="00026EC1">
        <w:t>elle ou il ait été disponible au sens de la convention collective pendant dix (10) mois;</w:t>
      </w:r>
    </w:p>
    <w:p w14:paraId="73AD70E6" w14:textId="77777777" w:rsidR="00404F34" w:rsidRPr="00026EC1" w:rsidRDefault="00404F34" w:rsidP="00A64613">
      <w:pPr>
        <w:keepNext w:val="0"/>
      </w:pPr>
    </w:p>
    <w:p w14:paraId="5FD111E0" w14:textId="625B5510" w:rsidR="00404F34" w:rsidRPr="00026EC1" w:rsidRDefault="00275751" w:rsidP="00A64613">
      <w:pPr>
        <w:keepNext w:val="0"/>
        <w:tabs>
          <w:tab w:val="left" w:pos="567"/>
        </w:tabs>
        <w:ind w:left="567" w:hanging="567"/>
      </w:pPr>
      <w:r w:rsidRPr="00026EC1">
        <w:t>b)</w:t>
      </w:r>
      <w:r w:rsidRPr="00026EC1">
        <w:tab/>
      </w:r>
      <w:r w:rsidR="00404F34" w:rsidRPr="00026EC1">
        <w:t>l</w:t>
      </w:r>
      <w:r w:rsidR="004A41E4" w:rsidRPr="00026EC1">
        <w:t>’</w:t>
      </w:r>
      <w:r w:rsidR="00404F34" w:rsidRPr="00026EC1">
        <w:t>enseignante ou l</w:t>
      </w:r>
      <w:r w:rsidR="004A41E4" w:rsidRPr="00026EC1">
        <w:t>’</w:t>
      </w:r>
      <w:r w:rsidR="00404F34" w:rsidRPr="00026EC1">
        <w:t>enseignant à temps partiel a droit, à titre de vacances rémunérées, à une partie des deux (2) mois au prorata de son équivalent temps complet calculé selon la clause</w:t>
      </w:r>
      <w:r w:rsidR="00F61E7A" w:rsidRPr="00026EC1">
        <w:t> </w:t>
      </w:r>
      <w:r w:rsidR="00404F34" w:rsidRPr="00026EC1">
        <w:rPr>
          <w:bCs/>
        </w:rPr>
        <w:t>8</w:t>
      </w:r>
      <w:r w:rsidR="00984A6F">
        <w:rPr>
          <w:bCs/>
        </w:rPr>
        <w:noBreakHyphen/>
      </w:r>
      <w:r w:rsidR="00404F34" w:rsidRPr="00026EC1">
        <w:rPr>
          <w:bCs/>
        </w:rPr>
        <w:t>5.12</w:t>
      </w:r>
      <w:r w:rsidR="005871CE" w:rsidRPr="00026EC1">
        <w:rPr>
          <w:bCs/>
        </w:rPr>
        <w:t>;</w:t>
      </w:r>
    </w:p>
    <w:p w14:paraId="72A7B4FC" w14:textId="77777777" w:rsidR="00404F34" w:rsidRPr="00026EC1" w:rsidRDefault="00404F34" w:rsidP="00A64613">
      <w:pPr>
        <w:keepNext w:val="0"/>
      </w:pPr>
    </w:p>
    <w:p w14:paraId="26D715FE" w14:textId="77777777" w:rsidR="00404F34" w:rsidRPr="00026EC1" w:rsidRDefault="00275751" w:rsidP="00A64613">
      <w:pPr>
        <w:keepNext w:val="0"/>
        <w:tabs>
          <w:tab w:val="left" w:pos="567"/>
        </w:tabs>
        <w:ind w:left="567" w:hanging="567"/>
      </w:pPr>
      <w:r w:rsidRPr="00026EC1">
        <w:t>c)</w:t>
      </w:r>
      <w:r w:rsidRPr="00026EC1">
        <w:tab/>
      </w:r>
      <w:r w:rsidR="00404F34" w:rsidRPr="00026EC1">
        <w:t>l</w:t>
      </w:r>
      <w:r w:rsidR="004A41E4" w:rsidRPr="00026EC1">
        <w:t>’</w:t>
      </w:r>
      <w:r w:rsidR="00404F34" w:rsidRPr="00026EC1">
        <w:t>enseignante ou l</w:t>
      </w:r>
      <w:r w:rsidR="004A41E4" w:rsidRPr="00026EC1">
        <w:t>’</w:t>
      </w:r>
      <w:r w:rsidR="00404F34" w:rsidRPr="00026EC1">
        <w:t>enseignant à temps complet ou à temps partiel qui ne fournit pas la disponibilité prévue à son contrat n</w:t>
      </w:r>
      <w:r w:rsidR="004A41E4" w:rsidRPr="00026EC1">
        <w:t>’</w:t>
      </w:r>
      <w:r w:rsidR="00404F34" w:rsidRPr="00026EC1">
        <w:t>a droit, à titre de vacances rémunérées, qu</w:t>
      </w:r>
      <w:r w:rsidR="004A41E4" w:rsidRPr="00026EC1">
        <w:t>’</w:t>
      </w:r>
      <w:r w:rsidR="00404F34" w:rsidRPr="00026EC1">
        <w:t>à une partie des vacances définies aux alinéas a) ou b) selon le cas, au prorata de la disponibilité fournie.</w:t>
      </w:r>
    </w:p>
    <w:p w14:paraId="24738139" w14:textId="77777777" w:rsidR="00404F34" w:rsidRPr="00026EC1" w:rsidRDefault="00404F34" w:rsidP="00A64613">
      <w:pPr>
        <w:keepNext w:val="0"/>
      </w:pPr>
    </w:p>
    <w:p w14:paraId="7E313A46" w14:textId="49184EF5" w:rsidR="00404F34" w:rsidRPr="00026EC1" w:rsidRDefault="00404F34" w:rsidP="00A64613">
      <w:pPr>
        <w:pStyle w:val="NUMRODECLAUSE"/>
        <w:keepNext w:val="0"/>
      </w:pPr>
      <w:r w:rsidRPr="00026EC1">
        <w:t>8</w:t>
      </w:r>
      <w:r w:rsidR="00984A6F">
        <w:noBreakHyphen/>
      </w:r>
      <w:r w:rsidRPr="00026EC1">
        <w:t>2.02</w:t>
      </w:r>
    </w:p>
    <w:p w14:paraId="41959613" w14:textId="754B667E" w:rsidR="00404F34" w:rsidRPr="0037171A" w:rsidRDefault="00404F34" w:rsidP="00A64613">
      <w:pPr>
        <w:keepNext w:val="0"/>
      </w:pPr>
      <w:r w:rsidRPr="00026EC1">
        <w:t>Aux fins de la clause 8</w:t>
      </w:r>
      <w:r w:rsidR="00984A6F">
        <w:noBreakHyphen/>
      </w:r>
      <w:r w:rsidRPr="00026EC1">
        <w:t>2.01, les congés prévus à l</w:t>
      </w:r>
      <w:r w:rsidR="004A41E4" w:rsidRPr="00026EC1">
        <w:t>’</w:t>
      </w:r>
      <w:r w:rsidRPr="00026EC1">
        <w:t>article 5</w:t>
      </w:r>
      <w:r w:rsidR="00984A6F">
        <w:noBreakHyphen/>
      </w:r>
      <w:r w:rsidRPr="00026EC1">
        <w:t>6.00, selon les modalités qui y sont spécifiées, les périodes couvertes par l</w:t>
      </w:r>
      <w:r w:rsidR="004A41E4" w:rsidRPr="00026EC1">
        <w:t>’</w:t>
      </w:r>
      <w:r w:rsidRPr="00026EC1">
        <w:t>assurance</w:t>
      </w:r>
      <w:r w:rsidR="00984A6F">
        <w:noBreakHyphen/>
      </w:r>
      <w:r w:rsidRPr="00026EC1">
        <w:t xml:space="preserve">traitement pour une durée totale ne dépassant </w:t>
      </w:r>
      <w:r w:rsidRPr="0037171A">
        <w:t xml:space="preserve">pas </w:t>
      </w:r>
      <w:r w:rsidR="006E6D79" w:rsidRPr="0037171A">
        <w:t>douze</w:t>
      </w:r>
      <w:r w:rsidR="00286B47">
        <w:t> </w:t>
      </w:r>
      <w:r w:rsidR="006E6D79" w:rsidRPr="0037171A">
        <w:t xml:space="preserve">(12) </w:t>
      </w:r>
      <w:r w:rsidRPr="0037171A">
        <w:t>mois, de même qu</w:t>
      </w:r>
      <w:r w:rsidR="004A41E4" w:rsidRPr="0037171A">
        <w:t>’</w:t>
      </w:r>
      <w:r w:rsidRPr="0037171A">
        <w:t>une absence avec salaire sous forme de congé ou de libération</w:t>
      </w:r>
      <w:r w:rsidR="00D8638F" w:rsidRPr="0037171A">
        <w:t>,</w:t>
      </w:r>
      <w:r w:rsidRPr="0037171A">
        <w:t xml:space="preserve"> sont considérés comme du temps de service pour l</w:t>
      </w:r>
      <w:r w:rsidR="004A41E4" w:rsidRPr="0037171A">
        <w:t>’</w:t>
      </w:r>
      <w:r w:rsidRPr="0037171A">
        <w:t>enseignante ou l</w:t>
      </w:r>
      <w:r w:rsidR="004A41E4" w:rsidRPr="0037171A">
        <w:t>’</w:t>
      </w:r>
      <w:r w:rsidRPr="0037171A">
        <w:t>enseignant qui en bénéficie</w:t>
      </w:r>
      <w:r w:rsidR="005452D4" w:rsidRPr="0037171A">
        <w:t>; il en est de même pour les absences avec salaire prévues à l’alinéa A) de la clause</w:t>
      </w:r>
      <w:r w:rsidR="00AB04BA">
        <w:t> </w:t>
      </w:r>
      <w:r w:rsidR="005452D4" w:rsidRPr="0037171A">
        <w:t>5</w:t>
      </w:r>
      <w:r w:rsidR="00984A6F">
        <w:noBreakHyphen/>
      </w:r>
      <w:r w:rsidR="005452D4" w:rsidRPr="0037171A">
        <w:t>9.06</w:t>
      </w:r>
      <w:r w:rsidRPr="0037171A">
        <w:t>.</w:t>
      </w:r>
    </w:p>
    <w:p w14:paraId="22AB407A" w14:textId="77777777" w:rsidR="00404F34" w:rsidRPr="0037171A" w:rsidRDefault="00404F34" w:rsidP="00A64613">
      <w:pPr>
        <w:keepNext w:val="0"/>
      </w:pPr>
    </w:p>
    <w:p w14:paraId="1ED55F8A" w14:textId="0B719D4E" w:rsidR="00404F34" w:rsidRPr="00026EC1" w:rsidRDefault="00404F34" w:rsidP="00A64613">
      <w:pPr>
        <w:keepNext w:val="0"/>
      </w:pPr>
      <w:r w:rsidRPr="0037171A">
        <w:t>Lorsque, pour une enseignante ou un enseignant, la période totale couverte par l</w:t>
      </w:r>
      <w:r w:rsidR="004A41E4" w:rsidRPr="0037171A">
        <w:t>’</w:t>
      </w:r>
      <w:r w:rsidRPr="0037171A">
        <w:t>assurance</w:t>
      </w:r>
      <w:r w:rsidR="00984A6F">
        <w:noBreakHyphen/>
      </w:r>
      <w:r w:rsidRPr="0037171A">
        <w:t xml:space="preserve">traitement dépasse </w:t>
      </w:r>
      <w:r w:rsidR="00AE41A4" w:rsidRPr="0037171A">
        <w:t>douze</w:t>
      </w:r>
      <w:r w:rsidR="007114A6">
        <w:t> </w:t>
      </w:r>
      <w:r w:rsidR="00AE41A4" w:rsidRPr="0037171A">
        <w:t xml:space="preserve">(12) </w:t>
      </w:r>
      <w:r w:rsidRPr="0037171A">
        <w:t>mois, la rémunération pour les vacances de l</w:t>
      </w:r>
      <w:r w:rsidR="004A41E4" w:rsidRPr="0037171A">
        <w:t>’</w:t>
      </w:r>
      <w:r w:rsidRPr="0037171A">
        <w:t>enseignante ou de l</w:t>
      </w:r>
      <w:r w:rsidR="004A41E4" w:rsidRPr="0037171A">
        <w:t>’</w:t>
      </w:r>
      <w:r w:rsidRPr="0037171A">
        <w:t>enseignant est établie de la</w:t>
      </w:r>
      <w:r w:rsidRPr="00026EC1">
        <w:t xml:space="preserve"> façon suivante</w:t>
      </w:r>
      <w:r w:rsidR="00D8581B">
        <w:t> :</w:t>
      </w:r>
      <w:r w:rsidRPr="00026EC1">
        <w:t xml:space="preserve"> un cinquième (1/5</w:t>
      </w:r>
      <w:r w:rsidRPr="00026EC1">
        <w:rPr>
          <w:vertAlign w:val="superscript"/>
        </w:rPr>
        <w:t>e</w:t>
      </w:r>
      <w:r w:rsidRPr="00026EC1">
        <w:t>) du salaire habituel gagné, un cinquième (1/5</w:t>
      </w:r>
      <w:r w:rsidRPr="00026EC1">
        <w:rPr>
          <w:vertAlign w:val="superscript"/>
        </w:rPr>
        <w:t>e</w:t>
      </w:r>
      <w:r w:rsidRPr="00026EC1">
        <w:t>) des prestations d</w:t>
      </w:r>
      <w:r w:rsidR="004A41E4" w:rsidRPr="00026EC1">
        <w:t>’</w:t>
      </w:r>
      <w:r w:rsidRPr="00026EC1">
        <w:t>assurance</w:t>
      </w:r>
      <w:r w:rsidR="00984A6F">
        <w:noBreakHyphen/>
      </w:r>
      <w:r w:rsidRPr="00026EC1">
        <w:t>traitement et de toute prestation d</w:t>
      </w:r>
      <w:r w:rsidR="004A41E4" w:rsidRPr="00026EC1">
        <w:t>’</w:t>
      </w:r>
      <w:r w:rsidRPr="00026EC1">
        <w:t>invalidité versée à l</w:t>
      </w:r>
      <w:r w:rsidR="004A41E4" w:rsidRPr="00026EC1">
        <w:t>’</w:t>
      </w:r>
      <w:r w:rsidRPr="00026EC1">
        <w:t>enseignante ou l</w:t>
      </w:r>
      <w:r w:rsidR="004A41E4" w:rsidRPr="00026EC1">
        <w:t>’</w:t>
      </w:r>
      <w:r w:rsidRPr="00026EC1">
        <w:t>enseignant par un autre organisme que le Collège en vertu d</w:t>
      </w:r>
      <w:r w:rsidR="004A41E4" w:rsidRPr="00026EC1">
        <w:t>’</w:t>
      </w:r>
      <w:r w:rsidRPr="00026EC1">
        <w:t>une loi fédérale ou provinciale reçues au cours de l</w:t>
      </w:r>
      <w:r w:rsidR="004A41E4" w:rsidRPr="00026EC1">
        <w:t>’</w:t>
      </w:r>
      <w:r w:rsidRPr="00026EC1">
        <w:t>année d</w:t>
      </w:r>
      <w:r w:rsidR="004A41E4" w:rsidRPr="00026EC1">
        <w:t>’</w:t>
      </w:r>
      <w:r w:rsidRPr="00026EC1">
        <w:t>enseignement.</w:t>
      </w:r>
    </w:p>
    <w:p w14:paraId="7ABEF517" w14:textId="77777777" w:rsidR="00404F34" w:rsidRPr="00026EC1" w:rsidRDefault="00404F34" w:rsidP="00A64613">
      <w:pPr>
        <w:keepNext w:val="0"/>
      </w:pPr>
    </w:p>
    <w:p w14:paraId="0ACD69E5" w14:textId="10C065C8" w:rsidR="00404F34" w:rsidRPr="00026EC1" w:rsidRDefault="00404F34" w:rsidP="00A64613">
      <w:pPr>
        <w:pStyle w:val="NUMRODECLAUSE"/>
        <w:keepNext w:val="0"/>
      </w:pPr>
      <w:r w:rsidRPr="00026EC1">
        <w:t>8</w:t>
      </w:r>
      <w:r w:rsidR="00984A6F">
        <w:noBreakHyphen/>
      </w:r>
      <w:r w:rsidRPr="00026EC1">
        <w:t>2.03</w:t>
      </w:r>
    </w:p>
    <w:p w14:paraId="05643775" w14:textId="1CEADEC1" w:rsidR="00404F34" w:rsidRDefault="00404F34" w:rsidP="00A64613">
      <w:pPr>
        <w:keepNext w:val="0"/>
      </w:pPr>
      <w:r w:rsidRPr="00026EC1">
        <w:t>Le salaire de l</w:t>
      </w:r>
      <w:r w:rsidR="004A41E4" w:rsidRPr="00026EC1">
        <w:t>’</w:t>
      </w:r>
      <w:r w:rsidRPr="00026EC1">
        <w:t>enseignante ou de l</w:t>
      </w:r>
      <w:r w:rsidR="004A41E4" w:rsidRPr="00026EC1">
        <w:t>’</w:t>
      </w:r>
      <w:r w:rsidRPr="00026EC1">
        <w:t>enseignant à temps complet ou à temps partiel de même que le taux horaire de l</w:t>
      </w:r>
      <w:r w:rsidR="004A41E4" w:rsidRPr="00026EC1">
        <w:t>’</w:t>
      </w:r>
      <w:r w:rsidRPr="00026EC1">
        <w:t>enseignante ou de l</w:t>
      </w:r>
      <w:r w:rsidR="004A41E4" w:rsidRPr="00026EC1">
        <w:t>’</w:t>
      </w:r>
      <w:r w:rsidRPr="00026EC1">
        <w:t>enseignant chargé de cours comprennent la rémunération due à titre de vacances.</w:t>
      </w:r>
    </w:p>
    <w:p w14:paraId="79705CAA" w14:textId="77777777" w:rsidR="008F6845" w:rsidRDefault="008F6845" w:rsidP="00A64613">
      <w:pPr>
        <w:keepNext w:val="0"/>
      </w:pPr>
    </w:p>
    <w:p w14:paraId="70CCA05D" w14:textId="3D97FC1C" w:rsidR="00591B99" w:rsidRDefault="008F6845" w:rsidP="00A64613">
      <w:pPr>
        <w:keepNext w:val="0"/>
      </w:pPr>
      <w:r w:rsidRPr="00316277">
        <w:t xml:space="preserve">De plus, le taux horaire pour les autres activités prévues </w:t>
      </w:r>
      <w:r w:rsidR="00C84DB5" w:rsidRPr="00316277">
        <w:t xml:space="preserve">à la clause 6-1.04 </w:t>
      </w:r>
      <w:r w:rsidRPr="00316277">
        <w:t>comprend la rémunération due à titre de vacances et de jours fériés.</w:t>
      </w:r>
    </w:p>
    <w:p w14:paraId="0AAF92C5" w14:textId="77777777" w:rsidR="00591B99" w:rsidRDefault="00591B99">
      <w:pPr>
        <w:keepNext w:val="0"/>
        <w:suppressAutoHyphens w:val="0"/>
        <w:jc w:val="left"/>
      </w:pPr>
      <w:r>
        <w:br w:type="page"/>
      </w:r>
    </w:p>
    <w:p w14:paraId="346D9F05" w14:textId="5E1377FE" w:rsidR="00404F34" w:rsidRPr="00026EC1" w:rsidRDefault="00404F34" w:rsidP="00A64613">
      <w:pPr>
        <w:pStyle w:val="NUMRODECLAUSE"/>
        <w:keepNext w:val="0"/>
      </w:pPr>
      <w:r w:rsidRPr="00026EC1">
        <w:t>8</w:t>
      </w:r>
      <w:r w:rsidR="00984A6F">
        <w:noBreakHyphen/>
      </w:r>
      <w:r w:rsidRPr="00026EC1">
        <w:t>2.04</w:t>
      </w:r>
    </w:p>
    <w:p w14:paraId="6C7A4952" w14:textId="7777777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à temps complet ou à temps partiel qui cesse d</w:t>
      </w:r>
      <w:r w:rsidR="004A41E4" w:rsidRPr="00026EC1">
        <w:t>’</w:t>
      </w:r>
      <w:r w:rsidRPr="00026EC1">
        <w:t>être à l</w:t>
      </w:r>
      <w:r w:rsidR="004A41E4" w:rsidRPr="00026EC1">
        <w:t>’</w:t>
      </w:r>
      <w:r w:rsidRPr="00026EC1">
        <w:t>emploi du Collège avant la fin prévue de son contrat reçoit, à titre de salaire de vacances, un cinquième (1/5</w:t>
      </w:r>
      <w:r w:rsidRPr="00026EC1">
        <w:rPr>
          <w:vertAlign w:val="superscript"/>
        </w:rPr>
        <w:t>e</w:t>
      </w:r>
      <w:r w:rsidRPr="00026EC1">
        <w:t>) du salaire total gagné entre la date où a commencé son dernier contrat et la date effective de son départ.</w:t>
      </w:r>
    </w:p>
    <w:p w14:paraId="2A5BCC12" w14:textId="77777777" w:rsidR="00404F34" w:rsidRPr="00026EC1" w:rsidRDefault="00404F34" w:rsidP="00A64613">
      <w:pPr>
        <w:keepNext w:val="0"/>
      </w:pPr>
    </w:p>
    <w:p w14:paraId="1EB09CFE" w14:textId="1C52027F"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78837691" w14:textId="77777777" w:rsidR="00656A1E" w:rsidRPr="00026EC1" w:rsidRDefault="00656A1E" w:rsidP="00A64613">
      <w:pPr>
        <w:keepNext w:val="0"/>
      </w:pPr>
    </w:p>
    <w:p w14:paraId="66687EA7" w14:textId="138617A5" w:rsidR="00404F34" w:rsidRPr="00026EC1" w:rsidRDefault="00404F34" w:rsidP="00A64613">
      <w:pPr>
        <w:pStyle w:val="NUMRODECLAUSE"/>
        <w:keepNext w:val="0"/>
      </w:pPr>
      <w:r w:rsidRPr="00026EC1">
        <w:t>8</w:t>
      </w:r>
      <w:r w:rsidR="00984A6F">
        <w:noBreakHyphen/>
      </w:r>
      <w:r w:rsidRPr="00026EC1">
        <w:t>2.05</w:t>
      </w:r>
    </w:p>
    <w:p w14:paraId="51CFAEC0" w14:textId="1715799E" w:rsidR="00404F34" w:rsidRPr="00026EC1" w:rsidRDefault="00404F34" w:rsidP="00A64613">
      <w:pPr>
        <w:keepNext w:val="0"/>
      </w:pPr>
      <w:r w:rsidRPr="00026EC1">
        <w:t>De façon générale, la période de vacances rémunérées de l</w:t>
      </w:r>
      <w:r w:rsidR="004A41E4" w:rsidRPr="00026EC1">
        <w:t>’</w:t>
      </w:r>
      <w:r w:rsidRPr="00026EC1">
        <w:t>enseignante ou de l</w:t>
      </w:r>
      <w:r w:rsidR="004A41E4" w:rsidRPr="00026EC1">
        <w:t>’</w:t>
      </w:r>
      <w:r w:rsidRPr="00026EC1">
        <w:t>enseignant régulier se situe entre le 15</w:t>
      </w:r>
      <w:r w:rsidR="008443D7">
        <w:t> </w:t>
      </w:r>
      <w:r w:rsidRPr="00026EC1">
        <w:t>juin et le 1</w:t>
      </w:r>
      <w:r w:rsidRPr="00026EC1">
        <w:rPr>
          <w:vertAlign w:val="superscript"/>
        </w:rPr>
        <w:t>er</w:t>
      </w:r>
      <w:r w:rsidR="007114A6">
        <w:t> </w:t>
      </w:r>
      <w:r w:rsidRPr="00026EC1">
        <w:t>septembre, à l</w:t>
      </w:r>
      <w:r w:rsidR="004A41E4" w:rsidRPr="00026EC1">
        <w:t>’</w:t>
      </w:r>
      <w:r w:rsidRPr="00026EC1">
        <w:t>exclusion du 24</w:t>
      </w:r>
      <w:r w:rsidR="007114A6">
        <w:t> </w:t>
      </w:r>
      <w:r w:rsidRPr="00026EC1">
        <w:t>juin (Fête nationale).</w:t>
      </w:r>
    </w:p>
    <w:p w14:paraId="276FCCAD" w14:textId="77777777" w:rsidR="00404F34" w:rsidRPr="00026EC1" w:rsidRDefault="00404F34" w:rsidP="00A64613">
      <w:pPr>
        <w:keepNext w:val="0"/>
      </w:pPr>
    </w:p>
    <w:p w14:paraId="070BC2EC" w14:textId="4E9AC636" w:rsidR="00404F34" w:rsidRPr="00026EC1" w:rsidRDefault="00404F34" w:rsidP="00A64613">
      <w:pPr>
        <w:keepNext w:val="0"/>
      </w:pPr>
      <w:r w:rsidRPr="00026EC1">
        <w:t>Cependant, lorsque les objectifs pédagogiques d</w:t>
      </w:r>
      <w:r w:rsidR="004A41E4" w:rsidRPr="00026EC1">
        <w:t>’</w:t>
      </w:r>
      <w:r w:rsidRPr="00026EC1">
        <w:t>un cours, d</w:t>
      </w:r>
      <w:r w:rsidR="004A41E4" w:rsidRPr="00026EC1">
        <w:t>’</w:t>
      </w:r>
      <w:r w:rsidRPr="00026EC1">
        <w:t>une option</w:t>
      </w:r>
      <w:r w:rsidR="008F6845" w:rsidRPr="00316277">
        <w:t>,</w:t>
      </w:r>
      <w:r w:rsidRPr="00026EC1">
        <w:t xml:space="preserve"> d</w:t>
      </w:r>
      <w:r w:rsidR="004A41E4" w:rsidRPr="00026EC1">
        <w:t>’</w:t>
      </w:r>
      <w:r w:rsidRPr="00026EC1">
        <w:t xml:space="preserve">un programme </w:t>
      </w:r>
      <w:r w:rsidR="008F6845" w:rsidRPr="00316277">
        <w:t>ou lorsque l’exercice de fonctions de recherche</w:t>
      </w:r>
      <w:r w:rsidR="008F6845">
        <w:t xml:space="preserve"> </w:t>
      </w:r>
      <w:r w:rsidRPr="00026EC1">
        <w:t>sont tels que l</w:t>
      </w:r>
      <w:r w:rsidR="004A41E4" w:rsidRPr="00026EC1">
        <w:t>’</w:t>
      </w:r>
      <w:r w:rsidRPr="00026EC1">
        <w:t>enseignante ou l</w:t>
      </w:r>
      <w:r w:rsidR="004A41E4" w:rsidRPr="00026EC1">
        <w:t>’</w:t>
      </w:r>
      <w:r w:rsidRPr="00026EC1">
        <w:t xml:space="preserve">enseignant régulier doit enseigner </w:t>
      </w:r>
      <w:r w:rsidR="008F6845" w:rsidRPr="00316277">
        <w:t>ou exercer ces fonctions</w:t>
      </w:r>
      <w:r w:rsidR="008F6845">
        <w:t xml:space="preserve"> </w:t>
      </w:r>
      <w:r w:rsidRPr="00026EC1">
        <w:t>entre le 15</w:t>
      </w:r>
      <w:r w:rsidR="001F6F32">
        <w:t> </w:t>
      </w:r>
      <w:r w:rsidRPr="00026EC1">
        <w:t>juin et le 1</w:t>
      </w:r>
      <w:r w:rsidRPr="00026EC1">
        <w:rPr>
          <w:vertAlign w:val="superscript"/>
        </w:rPr>
        <w:t>er</w:t>
      </w:r>
      <w:r w:rsidRPr="00026EC1">
        <w:t> septembre, le Collège, après consultation du CRT, peut établir la période de vacances rémunérées de l</w:t>
      </w:r>
      <w:r w:rsidR="004A41E4" w:rsidRPr="00026EC1">
        <w:t>’</w:t>
      </w:r>
      <w:r w:rsidRPr="00026EC1">
        <w:t>enseignante ou de l</w:t>
      </w:r>
      <w:r w:rsidR="004A41E4" w:rsidRPr="00026EC1">
        <w:t>’</w:t>
      </w:r>
      <w:r w:rsidRPr="00026EC1">
        <w:t>enseignant concerné à un autre moment de l</w:t>
      </w:r>
      <w:r w:rsidR="004A41E4" w:rsidRPr="00026EC1">
        <w:t>’</w:t>
      </w:r>
      <w:r w:rsidRPr="00026EC1">
        <w:t>année d</w:t>
      </w:r>
      <w:r w:rsidR="004A41E4" w:rsidRPr="00026EC1">
        <w:t>’</w:t>
      </w:r>
      <w:r w:rsidR="00BA79F8" w:rsidRPr="00026EC1">
        <w:t>engagement.</w:t>
      </w:r>
    </w:p>
    <w:p w14:paraId="69418271" w14:textId="632A29CB"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828" w:name="_Toc535046634"/>
      <w:bookmarkStart w:id="829" w:name="_Toc133760801"/>
      <w:bookmarkStart w:id="830" w:name="_Toc393444639"/>
      <w:bookmarkStart w:id="831" w:name="_Toc393449590"/>
      <w:bookmarkStart w:id="832" w:name="_Toc393460959"/>
      <w:bookmarkStart w:id="833" w:name="_Toc393461237"/>
      <w:bookmarkStart w:id="834" w:name="_Toc393720798"/>
      <w:bookmarkStart w:id="835" w:name="_Toc393783959"/>
      <w:bookmarkStart w:id="836" w:name="_Toc393784098"/>
      <w:bookmarkStart w:id="837" w:name="_Toc168479553"/>
      <w:r w:rsidRPr="00026EC1">
        <w:t>Article 8</w:t>
      </w:r>
      <w:r w:rsidR="00B92165">
        <w:t>-</w:t>
      </w:r>
      <w:r w:rsidRPr="00026EC1">
        <w:t>3.00</w:t>
      </w:r>
      <w:r w:rsidR="00CB6B97" w:rsidRPr="00026EC1">
        <w:tab/>
      </w:r>
      <w:r w:rsidR="00B92165">
        <w:t>-</w:t>
      </w:r>
      <w:r w:rsidR="00CB6B97" w:rsidRPr="00026EC1">
        <w:tab/>
      </w:r>
      <w:r w:rsidRPr="00026EC1">
        <w:t>Dispositions relatives à la disponibilité</w:t>
      </w:r>
      <w:bookmarkEnd w:id="828"/>
      <w:bookmarkEnd w:id="829"/>
      <w:bookmarkEnd w:id="830"/>
      <w:bookmarkEnd w:id="831"/>
      <w:bookmarkEnd w:id="832"/>
      <w:bookmarkEnd w:id="833"/>
      <w:bookmarkEnd w:id="834"/>
      <w:bookmarkEnd w:id="835"/>
      <w:bookmarkEnd w:id="836"/>
      <w:bookmarkEnd w:id="837"/>
    </w:p>
    <w:p w14:paraId="632D5310" w14:textId="2743EA59" w:rsidR="00404F34" w:rsidRPr="00026EC1" w:rsidRDefault="00404F34" w:rsidP="00A64613">
      <w:pPr>
        <w:pStyle w:val="NUMRODECLAUSE"/>
        <w:keepNext w:val="0"/>
      </w:pPr>
      <w:r w:rsidRPr="00026EC1">
        <w:t>8</w:t>
      </w:r>
      <w:r w:rsidR="00984A6F">
        <w:noBreakHyphen/>
      </w:r>
      <w:r w:rsidRPr="00026EC1">
        <w:t>3.01</w:t>
      </w:r>
    </w:p>
    <w:p w14:paraId="5CD87BEE" w14:textId="62A68C5B" w:rsidR="00404F34" w:rsidRPr="00026EC1" w:rsidRDefault="00275751" w:rsidP="00A64613">
      <w:pPr>
        <w:keepNext w:val="0"/>
        <w:tabs>
          <w:tab w:val="left" w:pos="567"/>
        </w:tabs>
        <w:ind w:left="567" w:hanging="567"/>
      </w:pPr>
      <w:r w:rsidRPr="00026EC1">
        <w:t>a)</w:t>
      </w:r>
      <w:r w:rsidRPr="00026EC1">
        <w:tab/>
      </w:r>
      <w:r w:rsidR="00404F34" w:rsidRPr="00026EC1">
        <w:t>L</w:t>
      </w:r>
      <w:r w:rsidR="004A41E4" w:rsidRPr="00026EC1">
        <w:t>’</w:t>
      </w:r>
      <w:r w:rsidR="00404F34" w:rsidRPr="00026EC1">
        <w:t>enseignante ou l</w:t>
      </w:r>
      <w:r w:rsidR="004A41E4" w:rsidRPr="00026EC1">
        <w:t>’</w:t>
      </w:r>
      <w:r w:rsidR="00404F34" w:rsidRPr="00026EC1">
        <w:t>enseignant à temps complet est à la disposition du Collège trente</w:t>
      </w:r>
      <w:r w:rsidR="00984A6F">
        <w:noBreakHyphen/>
      </w:r>
      <w:r w:rsidR="00404F34" w:rsidRPr="00026EC1">
        <w:t>deux heures et demie (32</w:t>
      </w:r>
      <w:r w:rsidR="003C5366" w:rsidRPr="00026EC1">
        <w:t> </w:t>
      </w:r>
      <w:r w:rsidR="00404F34" w:rsidRPr="00026EC1">
        <w:t>½) par semaine. Cette disponibilité est normalement établie à six heures et demie (6</w:t>
      </w:r>
      <w:r w:rsidR="003C5366" w:rsidRPr="00026EC1">
        <w:t> </w:t>
      </w:r>
      <w:r w:rsidR="00404F34" w:rsidRPr="00026EC1">
        <w:t>½) par jour.</w:t>
      </w:r>
    </w:p>
    <w:p w14:paraId="7817419C" w14:textId="77777777" w:rsidR="00404F34" w:rsidRPr="00026EC1" w:rsidRDefault="00404F34" w:rsidP="00A64613">
      <w:pPr>
        <w:keepNext w:val="0"/>
      </w:pPr>
    </w:p>
    <w:p w14:paraId="2F3CE9F2" w14:textId="77777777" w:rsidR="00404F34" w:rsidRPr="00026EC1" w:rsidRDefault="00275751" w:rsidP="00A64613">
      <w:pPr>
        <w:keepNext w:val="0"/>
        <w:tabs>
          <w:tab w:val="left" w:pos="567"/>
        </w:tabs>
        <w:ind w:left="567" w:hanging="567"/>
      </w:pPr>
      <w:r w:rsidRPr="00026EC1">
        <w:t>b)</w:t>
      </w:r>
      <w:r w:rsidRPr="00026EC1">
        <w:tab/>
      </w:r>
      <w:r w:rsidR="00404F34" w:rsidRPr="00026EC1">
        <w:t>L</w:t>
      </w:r>
      <w:r w:rsidR="004A41E4" w:rsidRPr="00026EC1">
        <w:t>’</w:t>
      </w:r>
      <w:r w:rsidR="00404F34" w:rsidRPr="00026EC1">
        <w:t>enseignante ou l</w:t>
      </w:r>
      <w:r w:rsidR="004A41E4" w:rsidRPr="00026EC1">
        <w:t>’</w:t>
      </w:r>
      <w:r w:rsidR="00404F34" w:rsidRPr="00026EC1">
        <w:t>enseignant à temps partiel fournit une disponibilité équivalente à sa charge et au prorata de celle de l</w:t>
      </w:r>
      <w:r w:rsidR="004A41E4" w:rsidRPr="00026EC1">
        <w:t>’</w:t>
      </w:r>
      <w:r w:rsidR="00404F34" w:rsidRPr="00026EC1">
        <w:t>enseignante ou de l</w:t>
      </w:r>
      <w:r w:rsidR="004A41E4" w:rsidRPr="00026EC1">
        <w:t>’</w:t>
      </w:r>
      <w:r w:rsidR="00404F34" w:rsidRPr="00026EC1">
        <w:t>enseignant à temps complet.</w:t>
      </w:r>
    </w:p>
    <w:p w14:paraId="4EE7AE86" w14:textId="77777777" w:rsidR="00404F34" w:rsidRPr="00026EC1" w:rsidRDefault="00404F34" w:rsidP="00A64613">
      <w:pPr>
        <w:keepNext w:val="0"/>
      </w:pPr>
    </w:p>
    <w:p w14:paraId="291F1AB4" w14:textId="77777777" w:rsidR="00404F34" w:rsidRPr="00026EC1" w:rsidRDefault="00275751" w:rsidP="00A64613">
      <w:pPr>
        <w:keepNext w:val="0"/>
        <w:tabs>
          <w:tab w:val="left" w:pos="567"/>
        </w:tabs>
        <w:ind w:left="567" w:hanging="567"/>
      </w:pPr>
      <w:r w:rsidRPr="00026EC1">
        <w:t>c)</w:t>
      </w:r>
      <w:r w:rsidRPr="00026EC1">
        <w:tab/>
      </w:r>
      <w:r w:rsidR="00404F34" w:rsidRPr="00026EC1">
        <w:t>L</w:t>
      </w:r>
      <w:r w:rsidR="004A41E4" w:rsidRPr="00026EC1">
        <w:t>’</w:t>
      </w:r>
      <w:r w:rsidR="00404F34" w:rsidRPr="00026EC1">
        <w:t>enseignante ou l</w:t>
      </w:r>
      <w:r w:rsidR="004A41E4" w:rsidRPr="00026EC1">
        <w:t>’</w:t>
      </w:r>
      <w:r w:rsidR="00404F34" w:rsidRPr="00026EC1">
        <w:t>enseignant mis en disponibilité ne peut être tenu de fournir une disponibilité plus grande que celle équivalente à la proportion de son salaire par rapport au salaire annuel qu</w:t>
      </w:r>
      <w:r w:rsidR="004A41E4" w:rsidRPr="00026EC1">
        <w:t>’</w:t>
      </w:r>
      <w:r w:rsidR="00404F34" w:rsidRPr="00026EC1">
        <w:t>elle ou il recevrait si elle ou il assumait une pleine charge d</w:t>
      </w:r>
      <w:r w:rsidR="004A41E4" w:rsidRPr="00026EC1">
        <w:t>’</w:t>
      </w:r>
      <w:r w:rsidR="00404F34" w:rsidRPr="00026EC1">
        <w:t>enseignement.</w:t>
      </w:r>
    </w:p>
    <w:p w14:paraId="295044EF"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07713AA0" w14:textId="77777777" w:rsidR="00404F34" w:rsidRPr="00026EC1" w:rsidRDefault="00404F34" w:rsidP="00A64613">
      <w:pPr>
        <w:keepNext w:val="0"/>
      </w:pPr>
    </w:p>
    <w:p w14:paraId="1DE2CFA3" w14:textId="43419F9A" w:rsidR="00404F34" w:rsidRPr="00026EC1" w:rsidRDefault="00404F34" w:rsidP="00A64613">
      <w:pPr>
        <w:pStyle w:val="NUMRODECLAUSE"/>
        <w:keepNext w:val="0"/>
      </w:pPr>
      <w:r w:rsidRPr="00026EC1">
        <w:t>8</w:t>
      </w:r>
      <w:r w:rsidR="00984A6F">
        <w:noBreakHyphen/>
      </w:r>
      <w:r w:rsidRPr="00026EC1">
        <w:t>3.02</w:t>
      </w:r>
    </w:p>
    <w:p w14:paraId="21446CF2" w14:textId="2EA51CD0"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à temps complet doit être à la disposition du Collège du lundi au vendredi. Cette disponibilité est établie pour un minimum d</w:t>
      </w:r>
      <w:r w:rsidR="004A41E4" w:rsidRPr="00026EC1">
        <w:t>’</w:t>
      </w:r>
      <w:r w:rsidRPr="00026EC1">
        <w:t>une session entre la huitième</w:t>
      </w:r>
      <w:r w:rsidR="00286B47">
        <w:t> </w:t>
      </w:r>
      <w:r w:rsidRPr="00026EC1">
        <w:t>(8</w:t>
      </w:r>
      <w:r w:rsidRPr="00026EC1">
        <w:rPr>
          <w:vertAlign w:val="superscript"/>
        </w:rPr>
        <w:t>e</w:t>
      </w:r>
      <w:r w:rsidRPr="00026EC1">
        <w:t>) et la vingt</w:t>
      </w:r>
      <w:r w:rsidR="00984A6F">
        <w:noBreakHyphen/>
      </w:r>
      <w:r w:rsidRPr="00026EC1">
        <w:t>troisième</w:t>
      </w:r>
      <w:r w:rsidR="00286B47">
        <w:t> </w:t>
      </w:r>
      <w:r w:rsidRPr="00026EC1">
        <w:t>(23</w:t>
      </w:r>
      <w:r w:rsidRPr="00026EC1">
        <w:rPr>
          <w:vertAlign w:val="superscript"/>
        </w:rPr>
        <w:t>e</w:t>
      </w:r>
      <w:r w:rsidRPr="00026EC1">
        <w:t>) heure, à moins d</w:t>
      </w:r>
      <w:r w:rsidR="004A41E4" w:rsidRPr="00026EC1">
        <w:t>’</w:t>
      </w:r>
      <w:r w:rsidRPr="00026EC1">
        <w:t>entente entre les parties.</w:t>
      </w:r>
    </w:p>
    <w:p w14:paraId="59143363" w14:textId="77777777" w:rsidR="00404F34" w:rsidRPr="00026EC1" w:rsidRDefault="00404F34" w:rsidP="00A64613">
      <w:pPr>
        <w:keepNext w:val="0"/>
      </w:pPr>
    </w:p>
    <w:p w14:paraId="770454FF" w14:textId="6ACE1D9B" w:rsidR="00404F34" w:rsidRPr="00026EC1" w:rsidRDefault="00404F34" w:rsidP="00A64613">
      <w:pPr>
        <w:pStyle w:val="NUMRODECLAUSE"/>
        <w:keepNext w:val="0"/>
      </w:pPr>
      <w:r w:rsidRPr="00026EC1">
        <w:t>8</w:t>
      </w:r>
      <w:r w:rsidR="00984A6F">
        <w:noBreakHyphen/>
      </w:r>
      <w:r w:rsidRPr="00026EC1">
        <w:t>3.03</w:t>
      </w:r>
    </w:p>
    <w:p w14:paraId="7C3DBA63" w14:textId="0171125C" w:rsidR="00404F34" w:rsidRPr="00026EC1" w:rsidRDefault="00275751" w:rsidP="00A64613">
      <w:pPr>
        <w:keepNext w:val="0"/>
        <w:tabs>
          <w:tab w:val="left" w:pos="567"/>
        </w:tabs>
        <w:ind w:left="567" w:hanging="567"/>
      </w:pPr>
      <w:r w:rsidRPr="00026EC1">
        <w:t>a)</w:t>
      </w:r>
      <w:r w:rsidRPr="00026EC1">
        <w:tab/>
      </w:r>
      <w:r w:rsidR="00404F34" w:rsidRPr="00026EC1">
        <w:t>Lorsque l</w:t>
      </w:r>
      <w:r w:rsidR="004A41E4" w:rsidRPr="00026EC1">
        <w:t>’</w:t>
      </w:r>
      <w:r w:rsidR="00404F34" w:rsidRPr="00026EC1">
        <w:t>horaire du lieu de stage l</w:t>
      </w:r>
      <w:r w:rsidR="004A41E4" w:rsidRPr="00026EC1">
        <w:t>’</w:t>
      </w:r>
      <w:r w:rsidR="00404F34" w:rsidRPr="00026EC1">
        <w:t>exige, le Collège peut établir la disponibilité de l</w:t>
      </w:r>
      <w:r w:rsidR="004A41E4" w:rsidRPr="00026EC1">
        <w:t>’</w:t>
      </w:r>
      <w:r w:rsidR="00404F34" w:rsidRPr="00026EC1">
        <w:t>enseignante ou de l</w:t>
      </w:r>
      <w:r w:rsidR="004A41E4" w:rsidRPr="00026EC1">
        <w:t>’</w:t>
      </w:r>
      <w:r w:rsidR="00404F34" w:rsidRPr="00026EC1">
        <w:t>enseignant en dehors du cadre horaire prévu à la clause</w:t>
      </w:r>
      <w:r w:rsidR="00F61E7A" w:rsidRPr="00026EC1">
        <w:t> </w:t>
      </w:r>
      <w:r w:rsidR="00404F34" w:rsidRPr="00026EC1">
        <w:t>8</w:t>
      </w:r>
      <w:r w:rsidR="00984A6F">
        <w:noBreakHyphen/>
      </w:r>
      <w:r w:rsidR="00404F34" w:rsidRPr="00026EC1">
        <w:t>3.02.</w:t>
      </w:r>
    </w:p>
    <w:p w14:paraId="67245CA0" w14:textId="77777777" w:rsidR="00404F34" w:rsidRPr="00026EC1" w:rsidRDefault="00404F34" w:rsidP="00A64613">
      <w:pPr>
        <w:keepNext w:val="0"/>
      </w:pPr>
    </w:p>
    <w:p w14:paraId="79025F48" w14:textId="375111E9" w:rsidR="00404F34" w:rsidRPr="00026EC1" w:rsidRDefault="00275751" w:rsidP="00A64613">
      <w:pPr>
        <w:keepNext w:val="0"/>
        <w:tabs>
          <w:tab w:val="left" w:pos="567"/>
        </w:tabs>
        <w:ind w:left="567" w:hanging="567"/>
      </w:pPr>
      <w:r w:rsidRPr="00026EC1">
        <w:t>b)</w:t>
      </w:r>
      <w:r w:rsidRPr="00026EC1">
        <w:tab/>
      </w:r>
      <w:r w:rsidR="00404F34" w:rsidRPr="00026EC1">
        <w:t>Quand la prestation de l</w:t>
      </w:r>
      <w:r w:rsidR="004A41E4" w:rsidRPr="00026EC1">
        <w:t>’</w:t>
      </w:r>
      <w:r w:rsidR="00404F34" w:rsidRPr="00026EC1">
        <w:t>enseignement exige une disponibilité excédant six heures et demie</w:t>
      </w:r>
      <w:r w:rsidR="007114A6">
        <w:t> </w:t>
      </w:r>
      <w:r w:rsidR="00404F34" w:rsidRPr="00026EC1">
        <w:t>(6</w:t>
      </w:r>
      <w:r w:rsidR="003C5366" w:rsidRPr="00026EC1">
        <w:t> </w:t>
      </w:r>
      <w:r w:rsidR="00404F34" w:rsidRPr="00026EC1">
        <w:t>½) par jour, le Collège reconnaît à l</w:t>
      </w:r>
      <w:r w:rsidR="004A41E4" w:rsidRPr="00026EC1">
        <w:t>’</w:t>
      </w:r>
      <w:r w:rsidR="00404F34" w:rsidRPr="00026EC1">
        <w:t>enseignante ou à l</w:t>
      </w:r>
      <w:r w:rsidR="004A41E4" w:rsidRPr="00026EC1">
        <w:t>’</w:t>
      </w:r>
      <w:r w:rsidR="00404F34" w:rsidRPr="00026EC1">
        <w:t>enseignant une période de non</w:t>
      </w:r>
      <w:r w:rsidR="00984A6F">
        <w:noBreakHyphen/>
      </w:r>
      <w:r w:rsidR="00404F34" w:rsidRPr="00026EC1">
        <w:t>disponibilité à un autre moment de la semaine, de sorte que la disponibilité hebdomadaire n</w:t>
      </w:r>
      <w:r w:rsidR="004A41E4" w:rsidRPr="00026EC1">
        <w:t>’</w:t>
      </w:r>
      <w:r w:rsidR="00404F34" w:rsidRPr="00026EC1">
        <w:t>excède pas trente</w:t>
      </w:r>
      <w:r w:rsidR="00984A6F">
        <w:noBreakHyphen/>
      </w:r>
      <w:r w:rsidR="00404F34" w:rsidRPr="00026EC1">
        <w:t>deux heures et demie</w:t>
      </w:r>
      <w:r w:rsidR="007114A6">
        <w:t> </w:t>
      </w:r>
      <w:r w:rsidR="00404F34" w:rsidRPr="00026EC1">
        <w:t>(32</w:t>
      </w:r>
      <w:r w:rsidR="003C5366" w:rsidRPr="00026EC1">
        <w:t> </w:t>
      </w:r>
      <w:r w:rsidR="00404F34" w:rsidRPr="00026EC1">
        <w:t>½). Cette période est fixée après entente entre le Collège et l</w:t>
      </w:r>
      <w:r w:rsidR="004A41E4" w:rsidRPr="00026EC1">
        <w:t>’</w:t>
      </w:r>
      <w:r w:rsidR="00404F34" w:rsidRPr="00026EC1">
        <w:t>enseignante ou l</w:t>
      </w:r>
      <w:r w:rsidR="004A41E4" w:rsidRPr="00026EC1">
        <w:t>’</w:t>
      </w:r>
      <w:r w:rsidR="00404F34" w:rsidRPr="00026EC1">
        <w:t>enseignant.</w:t>
      </w:r>
    </w:p>
    <w:p w14:paraId="6B0E4257" w14:textId="77777777" w:rsidR="00404F34" w:rsidRPr="00026EC1" w:rsidRDefault="00404F34" w:rsidP="00A64613">
      <w:pPr>
        <w:keepNext w:val="0"/>
      </w:pPr>
    </w:p>
    <w:p w14:paraId="1D14071B" w14:textId="0AD60770" w:rsidR="00404F34" w:rsidRPr="00026EC1" w:rsidRDefault="00275751" w:rsidP="00A64613">
      <w:pPr>
        <w:keepNext w:val="0"/>
        <w:tabs>
          <w:tab w:val="left" w:pos="567"/>
        </w:tabs>
        <w:ind w:left="567" w:hanging="567"/>
      </w:pPr>
      <w:r w:rsidRPr="00026EC1">
        <w:t>c)</w:t>
      </w:r>
      <w:r w:rsidRPr="00026EC1">
        <w:tab/>
      </w:r>
      <w:r w:rsidR="00404F34" w:rsidRPr="00026EC1">
        <w:rPr>
          <w:shd w:val="clear" w:color="auto" w:fill="FFFFFF"/>
        </w:rPr>
        <w:t>Lorsque les ressources disponibles et l</w:t>
      </w:r>
      <w:r w:rsidR="004A41E4" w:rsidRPr="00026EC1">
        <w:rPr>
          <w:shd w:val="clear" w:color="auto" w:fill="FFFFFF"/>
        </w:rPr>
        <w:t>’</w:t>
      </w:r>
      <w:r w:rsidR="00404F34" w:rsidRPr="00026EC1">
        <w:rPr>
          <w:shd w:val="clear" w:color="auto" w:fill="FFFFFF"/>
        </w:rPr>
        <w:t>organisation de l</w:t>
      </w:r>
      <w:r w:rsidR="004A41E4" w:rsidRPr="00026EC1">
        <w:rPr>
          <w:shd w:val="clear" w:color="auto" w:fill="FFFFFF"/>
        </w:rPr>
        <w:t>’</w:t>
      </w:r>
      <w:r w:rsidR="00404F34" w:rsidRPr="00026EC1">
        <w:rPr>
          <w:shd w:val="clear" w:color="auto" w:fill="FFFFFF"/>
        </w:rPr>
        <w:t>enseignement le permettent, le Collège favorise l</w:t>
      </w:r>
      <w:r w:rsidR="004A41E4" w:rsidRPr="00026EC1">
        <w:rPr>
          <w:shd w:val="clear" w:color="auto" w:fill="FFFFFF"/>
        </w:rPr>
        <w:t>’</w:t>
      </w:r>
      <w:r w:rsidR="00404F34" w:rsidRPr="00026EC1">
        <w:rPr>
          <w:shd w:val="clear" w:color="auto" w:fill="FFFFFF"/>
        </w:rPr>
        <w:t>aménagement d</w:t>
      </w:r>
      <w:r w:rsidR="004A41E4" w:rsidRPr="00026EC1">
        <w:rPr>
          <w:shd w:val="clear" w:color="auto" w:fill="FFFFFF"/>
        </w:rPr>
        <w:t>’</w:t>
      </w:r>
      <w:r w:rsidR="00404F34" w:rsidRPr="00026EC1">
        <w:rPr>
          <w:shd w:val="clear" w:color="auto" w:fill="FFFFFF"/>
        </w:rPr>
        <w:t>un horaire qui facilite la conciliation travail</w:t>
      </w:r>
      <w:r w:rsidR="00984A6F">
        <w:rPr>
          <w:shd w:val="clear" w:color="auto" w:fill="FFFFFF"/>
        </w:rPr>
        <w:noBreakHyphen/>
      </w:r>
      <w:r w:rsidR="00404F34" w:rsidRPr="0037171A">
        <w:rPr>
          <w:shd w:val="clear" w:color="auto" w:fill="FFFFFF"/>
        </w:rPr>
        <w:t>famille</w:t>
      </w:r>
      <w:r w:rsidR="005063DC" w:rsidRPr="0037171A">
        <w:t>, laquelle inclut les proches aidants</w:t>
      </w:r>
      <w:r w:rsidR="00953234" w:rsidRPr="0037171A">
        <w:rPr>
          <w:rStyle w:val="FootnoteReference"/>
        </w:rPr>
        <w:footnoteReference w:id="38"/>
      </w:r>
      <w:r w:rsidR="005063DC" w:rsidRPr="0037171A">
        <w:t>.</w:t>
      </w:r>
    </w:p>
    <w:p w14:paraId="7232D56D" w14:textId="77777777" w:rsidR="004C0E90" w:rsidRDefault="004C0E90" w:rsidP="00A64613">
      <w:pPr>
        <w:pStyle w:val="NUMRODECLAUSE"/>
        <w:keepNext w:val="0"/>
      </w:pPr>
    </w:p>
    <w:p w14:paraId="24616842" w14:textId="1228964A" w:rsidR="00404F34" w:rsidRPr="00026EC1" w:rsidRDefault="00404F34" w:rsidP="00A64613">
      <w:pPr>
        <w:pStyle w:val="NUMRODECLAUSE"/>
        <w:keepNext w:val="0"/>
      </w:pPr>
      <w:r w:rsidRPr="00026EC1">
        <w:t>8</w:t>
      </w:r>
      <w:r w:rsidR="00984A6F">
        <w:noBreakHyphen/>
      </w:r>
      <w:r w:rsidRPr="00026EC1">
        <w:t>3.04</w:t>
      </w:r>
    </w:p>
    <w:p w14:paraId="47E97076" w14:textId="20D64DF2" w:rsidR="00404F34" w:rsidRPr="00026EC1" w:rsidRDefault="00404F34" w:rsidP="00A64613">
      <w:pPr>
        <w:keepNext w:val="0"/>
      </w:pPr>
      <w:r w:rsidRPr="00026EC1">
        <w:t>Dans le cadre du présent article, les contraintes suivantes doivent être respectées</w:t>
      </w:r>
      <w:r w:rsidR="00D8581B">
        <w:t> :</w:t>
      </w:r>
    </w:p>
    <w:p w14:paraId="618C3974" w14:textId="77777777" w:rsidR="00404F34" w:rsidRPr="00026EC1" w:rsidRDefault="00404F34" w:rsidP="00A64613">
      <w:pPr>
        <w:keepNext w:val="0"/>
      </w:pPr>
    </w:p>
    <w:p w14:paraId="5B850822" w14:textId="2AC20F09" w:rsidR="00404F34" w:rsidRPr="00026EC1" w:rsidRDefault="00275751" w:rsidP="00A64613">
      <w:pPr>
        <w:keepNext w:val="0"/>
        <w:tabs>
          <w:tab w:val="left" w:pos="567"/>
        </w:tabs>
        <w:ind w:left="567" w:hanging="567"/>
      </w:pPr>
      <w:r w:rsidRPr="00026EC1">
        <w:t>a)</w:t>
      </w:r>
      <w:r w:rsidRPr="00026EC1">
        <w:tab/>
      </w:r>
      <w:r w:rsidR="00404F34" w:rsidRPr="00026EC1">
        <w:t>une durée minimale de quatorze</w:t>
      </w:r>
      <w:r w:rsidR="00286B47">
        <w:t> </w:t>
      </w:r>
      <w:r w:rsidR="00404F34" w:rsidRPr="00026EC1">
        <w:t>(14) heures doit s</w:t>
      </w:r>
      <w:r w:rsidR="004A41E4" w:rsidRPr="00026EC1">
        <w:t>’</w:t>
      </w:r>
      <w:r w:rsidR="00404F34" w:rsidRPr="00026EC1">
        <w:t>écouler entre la fin de la période de disponibilité d</w:t>
      </w:r>
      <w:r w:rsidR="004A41E4" w:rsidRPr="00026EC1">
        <w:t>’</w:t>
      </w:r>
      <w:r w:rsidR="00404F34" w:rsidRPr="00026EC1">
        <w:t>une journée et le début de la période suivante;</w:t>
      </w:r>
    </w:p>
    <w:p w14:paraId="1995D6E5" w14:textId="77777777" w:rsidR="00404F34" w:rsidRPr="00026EC1" w:rsidRDefault="00404F34" w:rsidP="00A64613">
      <w:pPr>
        <w:keepNext w:val="0"/>
      </w:pPr>
    </w:p>
    <w:p w14:paraId="2461E12A" w14:textId="2A424DC9" w:rsidR="00404F34" w:rsidRDefault="00275751" w:rsidP="00A64613">
      <w:pPr>
        <w:keepNext w:val="0"/>
        <w:tabs>
          <w:tab w:val="left" w:pos="567"/>
        </w:tabs>
        <w:ind w:left="567" w:hanging="567"/>
      </w:pPr>
      <w:r w:rsidRPr="00026EC1">
        <w:t>b)</w:t>
      </w:r>
      <w:r w:rsidRPr="00026EC1">
        <w:tab/>
      </w:r>
      <w:r w:rsidR="00404F34" w:rsidRPr="00026EC1">
        <w:t>la période de disponibilité doit se situer à l</w:t>
      </w:r>
      <w:r w:rsidR="004A41E4" w:rsidRPr="00026EC1">
        <w:t>’</w:t>
      </w:r>
      <w:r w:rsidR="00404F34" w:rsidRPr="00026EC1">
        <w:t>intérieur d</w:t>
      </w:r>
      <w:r w:rsidR="004A41E4" w:rsidRPr="00026EC1">
        <w:t>’</w:t>
      </w:r>
      <w:r w:rsidR="00404F34" w:rsidRPr="00026EC1">
        <w:t>une période de dix</w:t>
      </w:r>
      <w:r w:rsidR="00286B47">
        <w:t> </w:t>
      </w:r>
      <w:r w:rsidR="00404F34" w:rsidRPr="00026EC1">
        <w:t>(10) heures.</w:t>
      </w:r>
    </w:p>
    <w:p w14:paraId="4CAED2EA" w14:textId="77777777" w:rsidR="003377DF" w:rsidRPr="00026EC1" w:rsidRDefault="003377DF" w:rsidP="00A64613">
      <w:pPr>
        <w:keepNext w:val="0"/>
        <w:tabs>
          <w:tab w:val="left" w:pos="567"/>
        </w:tabs>
        <w:ind w:left="567" w:hanging="567"/>
      </w:pPr>
    </w:p>
    <w:p w14:paraId="79D5FDA2" w14:textId="1CD568EA" w:rsidR="00404F34" w:rsidRPr="00026EC1" w:rsidRDefault="00404F34" w:rsidP="00A64613">
      <w:pPr>
        <w:pStyle w:val="NUMRODECLAUSE"/>
        <w:keepNext w:val="0"/>
      </w:pPr>
      <w:r w:rsidRPr="00026EC1">
        <w:t>8</w:t>
      </w:r>
      <w:r w:rsidR="00984A6F">
        <w:noBreakHyphen/>
      </w:r>
      <w:r w:rsidRPr="00026EC1">
        <w:t>3.05</w:t>
      </w:r>
    </w:p>
    <w:p w14:paraId="21702378" w14:textId="4B1F64F9"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dispose d</w:t>
      </w:r>
      <w:r w:rsidR="004A41E4" w:rsidRPr="00026EC1">
        <w:t>’</w:t>
      </w:r>
      <w:r w:rsidRPr="00026EC1">
        <w:t>une heure et demie</w:t>
      </w:r>
      <w:r w:rsidR="007114A6">
        <w:t> </w:t>
      </w:r>
      <w:r w:rsidRPr="00026EC1">
        <w:t>(1½) pour les repas à moins d</w:t>
      </w:r>
      <w:r w:rsidR="004A41E4" w:rsidRPr="00026EC1">
        <w:t>’</w:t>
      </w:r>
      <w:r w:rsidRPr="00026EC1">
        <w:t>entente entre les parties.</w:t>
      </w:r>
    </w:p>
    <w:p w14:paraId="660D708F" w14:textId="77777777" w:rsidR="005C01E7" w:rsidRPr="00026EC1" w:rsidRDefault="005C01E7" w:rsidP="00A64613">
      <w:pPr>
        <w:keepNext w:val="0"/>
      </w:pPr>
    </w:p>
    <w:p w14:paraId="2CA4001B" w14:textId="60A26C45" w:rsidR="00404F34" w:rsidRPr="00026EC1" w:rsidRDefault="00404F34" w:rsidP="00A64613">
      <w:pPr>
        <w:pStyle w:val="NUMRODECLAUSE"/>
        <w:keepNext w:val="0"/>
      </w:pPr>
      <w:r w:rsidRPr="00026EC1">
        <w:t>8</w:t>
      </w:r>
      <w:r w:rsidR="00984A6F">
        <w:noBreakHyphen/>
      </w:r>
      <w:r w:rsidRPr="00026EC1">
        <w:t>3.06</w:t>
      </w:r>
    </w:p>
    <w:p w14:paraId="2AA4E3B3" w14:textId="38B40C11"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remplit normalement sa tâche dans les locaux du Collège.</w:t>
      </w:r>
      <w:r w:rsidR="00ED5B07">
        <w:t xml:space="preserve"> </w:t>
      </w:r>
      <w:r w:rsidRPr="00026EC1">
        <w:t>Elle ou il est tenu d</w:t>
      </w:r>
      <w:r w:rsidR="004A41E4" w:rsidRPr="00026EC1">
        <w:t>’</w:t>
      </w:r>
      <w:r w:rsidRPr="00026EC1">
        <w:t>y être au moment où les devoirs de sa tâche l</w:t>
      </w:r>
      <w:r w:rsidR="004A41E4" w:rsidRPr="00026EC1">
        <w:t>’</w:t>
      </w:r>
      <w:r w:rsidRPr="00026EC1">
        <w:t>exigent.</w:t>
      </w:r>
    </w:p>
    <w:p w14:paraId="12C02658" w14:textId="77777777" w:rsidR="00404F34" w:rsidRPr="00026EC1" w:rsidRDefault="00404F34" w:rsidP="00A64613">
      <w:pPr>
        <w:keepNext w:val="0"/>
      </w:pPr>
    </w:p>
    <w:p w14:paraId="708BA90D" w14:textId="4562BF63" w:rsidR="00404F34" w:rsidRPr="00026EC1" w:rsidRDefault="00404F34" w:rsidP="00A64613">
      <w:pPr>
        <w:pStyle w:val="NUMRODECLAUSE"/>
        <w:keepNext w:val="0"/>
      </w:pPr>
      <w:r w:rsidRPr="00026EC1">
        <w:t>8</w:t>
      </w:r>
      <w:r w:rsidR="00984A6F">
        <w:noBreakHyphen/>
      </w:r>
      <w:r w:rsidRPr="00026EC1">
        <w:t>3.07</w:t>
      </w:r>
    </w:p>
    <w:p w14:paraId="38E14292" w14:textId="373E3827" w:rsidR="00404F34" w:rsidRPr="00026EC1" w:rsidRDefault="00404F34" w:rsidP="00A64613">
      <w:pPr>
        <w:keepNext w:val="0"/>
      </w:pPr>
      <w:r w:rsidRPr="00026EC1">
        <w:t>L</w:t>
      </w:r>
      <w:r w:rsidR="004A41E4" w:rsidRPr="00026EC1">
        <w:t>’</w:t>
      </w:r>
      <w:r w:rsidRPr="00026EC1">
        <w:t>enseignante ou l</w:t>
      </w:r>
      <w:r w:rsidR="004A41E4" w:rsidRPr="00026EC1">
        <w:t>’</w:t>
      </w:r>
      <w:r w:rsidRPr="00026EC1">
        <w:t>enseignant qui donne son enseignement dans divers sous</w:t>
      </w:r>
      <w:r w:rsidR="00984A6F">
        <w:noBreakHyphen/>
      </w:r>
      <w:r w:rsidRPr="00026EC1">
        <w:t>centres, pavillons ou campus du même Collège bénéficie d</w:t>
      </w:r>
      <w:r w:rsidR="004A41E4" w:rsidRPr="00026EC1">
        <w:t>’</w:t>
      </w:r>
      <w:r w:rsidRPr="00026EC1">
        <w:t>un délai raisonnable pour ses déplacements à l</w:t>
      </w:r>
      <w:r w:rsidR="004A41E4" w:rsidRPr="00026EC1">
        <w:t>’</w:t>
      </w:r>
      <w:r w:rsidRPr="00026EC1">
        <w:t>intérieur de sa période de disponibilité hebdomadaire. Les frais entraînés par ces déplacements sont remboursés à l</w:t>
      </w:r>
      <w:r w:rsidR="004A41E4" w:rsidRPr="00026EC1">
        <w:t>’</w:t>
      </w:r>
      <w:r w:rsidRPr="00026EC1">
        <w:t>enseignante ou à l</w:t>
      </w:r>
      <w:r w:rsidR="004A41E4" w:rsidRPr="00026EC1">
        <w:t>’</w:t>
      </w:r>
      <w:r w:rsidRPr="00026EC1">
        <w:t>enseignant conformément aux dispositions de l</w:t>
      </w:r>
      <w:r w:rsidR="004A41E4" w:rsidRPr="00026EC1">
        <w:t>’</w:t>
      </w:r>
      <w:r w:rsidRPr="00026EC1">
        <w:t>article</w:t>
      </w:r>
      <w:r w:rsidR="00831CEF" w:rsidRPr="00026EC1">
        <w:t> </w:t>
      </w:r>
      <w:r w:rsidRPr="00026EC1">
        <w:t>6</w:t>
      </w:r>
      <w:r w:rsidR="00984A6F">
        <w:noBreakHyphen/>
      </w:r>
      <w:r w:rsidRPr="00026EC1">
        <w:t>7.00.</w:t>
      </w:r>
    </w:p>
    <w:p w14:paraId="34C3B5C7" w14:textId="77777777" w:rsidR="00404F34" w:rsidRPr="00026EC1" w:rsidRDefault="00404F34" w:rsidP="00A64613">
      <w:pPr>
        <w:keepNext w:val="0"/>
      </w:pPr>
    </w:p>
    <w:p w14:paraId="53216BDB" w14:textId="4AB88B77" w:rsidR="00404F34" w:rsidRPr="00026EC1" w:rsidRDefault="00404F34" w:rsidP="00A64613">
      <w:pPr>
        <w:keepNext w:val="0"/>
      </w:pPr>
      <w:r w:rsidRPr="00026EC1">
        <w:t>Le Collège tient compte, dans l</w:t>
      </w:r>
      <w:r w:rsidR="004A41E4" w:rsidRPr="00026EC1">
        <w:t>’</w:t>
      </w:r>
      <w:r w:rsidRPr="00026EC1">
        <w:t>établissement de la tâche, du temps de déplacement prévu à la clause</w:t>
      </w:r>
      <w:r w:rsidR="00F61E7A" w:rsidRPr="00026EC1">
        <w:t> </w:t>
      </w:r>
      <w:r w:rsidRPr="00026EC1">
        <w:t>6</w:t>
      </w:r>
      <w:r w:rsidR="00984A6F">
        <w:noBreakHyphen/>
      </w:r>
      <w:r w:rsidRPr="00026EC1">
        <w:t>7.02, après a</w:t>
      </w:r>
      <w:r w:rsidR="00BA79F8" w:rsidRPr="00026EC1">
        <w:t>voir soumis la question au CRT.</w:t>
      </w:r>
    </w:p>
    <w:p w14:paraId="4433A539" w14:textId="6DD814EB"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838" w:name="_Toc535046635"/>
      <w:bookmarkStart w:id="839" w:name="_Toc133760802"/>
      <w:bookmarkStart w:id="840" w:name="_Toc393444640"/>
      <w:bookmarkStart w:id="841" w:name="_Toc393449591"/>
      <w:bookmarkStart w:id="842" w:name="_Toc393460960"/>
      <w:bookmarkStart w:id="843" w:name="_Toc393461238"/>
      <w:bookmarkStart w:id="844" w:name="_Toc393720799"/>
      <w:bookmarkStart w:id="845" w:name="_Toc393783960"/>
      <w:bookmarkStart w:id="846" w:name="_Toc393784099"/>
      <w:bookmarkStart w:id="847" w:name="_Toc168479554"/>
      <w:r w:rsidRPr="00026EC1">
        <w:t>Article 8</w:t>
      </w:r>
      <w:r w:rsidR="00B92165">
        <w:t>-</w:t>
      </w:r>
      <w:r w:rsidRPr="00026EC1">
        <w:t>4.00</w:t>
      </w:r>
      <w:r w:rsidR="00CB6B97" w:rsidRPr="00026EC1">
        <w:tab/>
      </w:r>
      <w:r w:rsidR="00B92165">
        <w:t>-</w:t>
      </w:r>
      <w:r w:rsidR="00CB6B97" w:rsidRPr="00026EC1">
        <w:tab/>
      </w:r>
      <w:r w:rsidRPr="00026EC1">
        <w:t>Tâche d</w:t>
      </w:r>
      <w:r w:rsidR="004A41E4" w:rsidRPr="00026EC1">
        <w:t>’</w:t>
      </w:r>
      <w:r w:rsidRPr="00026EC1">
        <w:t>enseignement</w:t>
      </w:r>
      <w:bookmarkEnd w:id="838"/>
      <w:bookmarkEnd w:id="839"/>
      <w:bookmarkEnd w:id="840"/>
      <w:bookmarkEnd w:id="841"/>
      <w:bookmarkEnd w:id="842"/>
      <w:bookmarkEnd w:id="843"/>
      <w:bookmarkEnd w:id="844"/>
      <w:bookmarkEnd w:id="845"/>
      <w:bookmarkEnd w:id="846"/>
      <w:bookmarkEnd w:id="847"/>
    </w:p>
    <w:p w14:paraId="660B99D1" w14:textId="6ACDBA86" w:rsidR="00825FA0" w:rsidRPr="00026EC1" w:rsidRDefault="00825FA0" w:rsidP="00A64613">
      <w:pPr>
        <w:pStyle w:val="NUMRODECLAUSE"/>
        <w:keepNext w:val="0"/>
      </w:pPr>
      <w:r w:rsidRPr="00026EC1">
        <w:t>8</w:t>
      </w:r>
      <w:r w:rsidR="00984A6F">
        <w:noBreakHyphen/>
      </w:r>
      <w:r w:rsidRPr="00026EC1">
        <w:t>4.01</w:t>
      </w:r>
    </w:p>
    <w:p w14:paraId="6618C82E" w14:textId="77777777" w:rsidR="00825FA0" w:rsidRPr="00026EC1" w:rsidRDefault="00275751" w:rsidP="00A64613">
      <w:pPr>
        <w:keepNext w:val="0"/>
        <w:tabs>
          <w:tab w:val="left" w:pos="567"/>
        </w:tabs>
        <w:ind w:left="567" w:hanging="567"/>
        <w:rPr>
          <w:u w:val="single"/>
        </w:rPr>
      </w:pPr>
      <w:r w:rsidRPr="00026EC1">
        <w:t>a)</w:t>
      </w:r>
      <w:r w:rsidRPr="00026EC1">
        <w:tab/>
      </w:r>
      <w:r w:rsidR="00825FA0" w:rsidRPr="00026EC1">
        <w:rPr>
          <w:u w:val="single"/>
        </w:rPr>
        <w:t>Volet 1</w:t>
      </w:r>
    </w:p>
    <w:p w14:paraId="5FC48412" w14:textId="76A3B6A2" w:rsidR="00825FA0" w:rsidRPr="00026EC1" w:rsidRDefault="00825FA0" w:rsidP="00A64613">
      <w:pPr>
        <w:keepNext w:val="0"/>
      </w:pPr>
      <w:r w:rsidRPr="00026EC1">
        <w:t>La tâche d</w:t>
      </w:r>
      <w:r w:rsidR="004A41E4" w:rsidRPr="00026EC1">
        <w:t>’</w:t>
      </w:r>
      <w:r w:rsidRPr="00026EC1">
        <w:t>enseignement</w:t>
      </w:r>
      <w:r w:rsidR="00E948C4" w:rsidRPr="00316277">
        <w:rPr>
          <w:rStyle w:val="FootnoteReference"/>
        </w:rPr>
        <w:footnoteReference w:id="39"/>
      </w:r>
      <w:r w:rsidRPr="00026EC1">
        <w:t xml:space="preserve"> de chaque enseignante et enseignant comprend toutes les activités inhérentes à l</w:t>
      </w:r>
      <w:r w:rsidR="004A41E4" w:rsidRPr="00026EC1">
        <w:t>’</w:t>
      </w:r>
      <w:r w:rsidRPr="00026EC1">
        <w:t>enseignement, notamment</w:t>
      </w:r>
      <w:r w:rsidR="00D8581B">
        <w:t> :</w:t>
      </w:r>
    </w:p>
    <w:p w14:paraId="110B8DF1" w14:textId="77777777" w:rsidR="00825FA0" w:rsidRPr="00026EC1" w:rsidRDefault="00825FA0" w:rsidP="00A64613">
      <w:pPr>
        <w:keepNext w:val="0"/>
      </w:pPr>
    </w:p>
    <w:p w14:paraId="03512382"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préparation du plan d</w:t>
      </w:r>
      <w:r w:rsidR="004A41E4" w:rsidRPr="00026EC1">
        <w:t>’</w:t>
      </w:r>
      <w:r w:rsidR="00825FA0" w:rsidRPr="00026EC1">
        <w:t>études;</w:t>
      </w:r>
    </w:p>
    <w:p w14:paraId="5ACBD43E"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préparation de cours, de laboratoires ou de stages;</w:t>
      </w:r>
    </w:p>
    <w:p w14:paraId="589A3A32"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prestation de cours, de laboratoires ou de stages;</w:t>
      </w:r>
    </w:p>
    <w:p w14:paraId="2FB781AF"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w:t>
      </w:r>
      <w:r w:rsidR="004A41E4" w:rsidRPr="00026EC1">
        <w:t>’</w:t>
      </w:r>
      <w:r w:rsidR="00825FA0" w:rsidRPr="00026EC1">
        <w:t>adaptation;</w:t>
      </w:r>
    </w:p>
    <w:p w14:paraId="2DF6D12B"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w:t>
      </w:r>
      <w:r w:rsidR="004A41E4" w:rsidRPr="00026EC1">
        <w:t>’</w:t>
      </w:r>
      <w:r w:rsidR="00825FA0" w:rsidRPr="00026EC1">
        <w:t>encadrement de ses étudiantes et étudiants;</w:t>
      </w:r>
    </w:p>
    <w:p w14:paraId="70C33A1B"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préparation, la surveillance et la correction d</w:t>
      </w:r>
      <w:r w:rsidR="004A41E4" w:rsidRPr="00026EC1">
        <w:t>’</w:t>
      </w:r>
      <w:r w:rsidR="00825FA0" w:rsidRPr="00026EC1">
        <w:t>examens;</w:t>
      </w:r>
    </w:p>
    <w:p w14:paraId="0C9915B3"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révision de corrections demandée par les étudiantes et les étudiants;</w:t>
      </w:r>
    </w:p>
    <w:p w14:paraId="67E2191D"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participation aux journées pédagogiques organisées par le Collège;</w:t>
      </w:r>
    </w:p>
    <w:p w14:paraId="67EA6A5D"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participation aux rencontres départementales et aux activités requises pour la réalisation des fonctions du département.</w:t>
      </w:r>
    </w:p>
    <w:p w14:paraId="26FF6327" w14:textId="77777777" w:rsidR="00825FA0" w:rsidRPr="00026EC1" w:rsidRDefault="00825FA0" w:rsidP="00A64613">
      <w:pPr>
        <w:keepNext w:val="0"/>
      </w:pPr>
    </w:p>
    <w:p w14:paraId="2E8BA231" w14:textId="77777777" w:rsidR="00825FA0" w:rsidRPr="00026EC1" w:rsidRDefault="00275751" w:rsidP="00A64613">
      <w:pPr>
        <w:keepNext w:val="0"/>
        <w:tabs>
          <w:tab w:val="left" w:pos="567"/>
        </w:tabs>
        <w:ind w:left="567" w:hanging="567"/>
        <w:rPr>
          <w:u w:val="single"/>
        </w:rPr>
      </w:pPr>
      <w:r w:rsidRPr="00026EC1">
        <w:t>b)</w:t>
      </w:r>
      <w:r w:rsidRPr="00026EC1">
        <w:tab/>
      </w:r>
      <w:r w:rsidR="00825FA0" w:rsidRPr="00026EC1">
        <w:rPr>
          <w:u w:val="single"/>
        </w:rPr>
        <w:t>Volet 2</w:t>
      </w:r>
    </w:p>
    <w:p w14:paraId="3DD9EF2B" w14:textId="4CAF9B66" w:rsidR="00825FA0" w:rsidRPr="00026EC1" w:rsidRDefault="00825FA0" w:rsidP="00A64613">
      <w:pPr>
        <w:keepNext w:val="0"/>
      </w:pPr>
      <w:r w:rsidRPr="00026EC1">
        <w:t>Elle peut aussi comprendre, pour certaines enseignantes et certains enseignants, des fonctions liées aux responsabilités collectives</w:t>
      </w:r>
      <w:r w:rsidR="00D8581B">
        <w:t> :</w:t>
      </w:r>
    </w:p>
    <w:p w14:paraId="6CB91564" w14:textId="77777777" w:rsidR="00825FA0" w:rsidRPr="00026EC1" w:rsidRDefault="00825FA0" w:rsidP="00A64613">
      <w:pPr>
        <w:keepNext w:val="0"/>
      </w:pPr>
    </w:p>
    <w:p w14:paraId="13769631"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coordination départementale;</w:t>
      </w:r>
    </w:p>
    <w:p w14:paraId="476C88D4"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coordination des comités de programme;</w:t>
      </w:r>
    </w:p>
    <w:p w14:paraId="29C9FB3E"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les activités particulières d</w:t>
      </w:r>
      <w:r w:rsidR="004A41E4" w:rsidRPr="00026EC1">
        <w:t>’</w:t>
      </w:r>
      <w:r w:rsidR="00825FA0" w:rsidRPr="00026EC1">
        <w:t>encadrement des étudiantes et des étudiants;</w:t>
      </w:r>
    </w:p>
    <w:p w14:paraId="44B84547"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participation aux activités de programmes;</w:t>
      </w:r>
    </w:p>
    <w:p w14:paraId="6C4680C5"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participation au développement, à l</w:t>
      </w:r>
      <w:r w:rsidR="004A41E4" w:rsidRPr="00026EC1">
        <w:t>’</w:t>
      </w:r>
      <w:r w:rsidR="00825FA0" w:rsidRPr="00026EC1">
        <w:t>implantation et à l</w:t>
      </w:r>
      <w:r w:rsidR="004A41E4" w:rsidRPr="00026EC1">
        <w:t>’</w:t>
      </w:r>
      <w:r w:rsidR="00825FA0" w:rsidRPr="00026EC1">
        <w:t>évaluation des programmes.</w:t>
      </w:r>
    </w:p>
    <w:p w14:paraId="67C6E672" w14:textId="77777777" w:rsidR="00825FA0" w:rsidRPr="00026EC1" w:rsidRDefault="00825FA0" w:rsidP="00A64613">
      <w:pPr>
        <w:keepNext w:val="0"/>
      </w:pPr>
    </w:p>
    <w:p w14:paraId="54839E5F" w14:textId="77777777" w:rsidR="00825FA0" w:rsidRPr="00026EC1" w:rsidRDefault="00275751" w:rsidP="00A64613">
      <w:pPr>
        <w:keepNext w:val="0"/>
        <w:tabs>
          <w:tab w:val="left" w:pos="567"/>
        </w:tabs>
        <w:ind w:left="567" w:hanging="567"/>
        <w:rPr>
          <w:u w:val="single"/>
        </w:rPr>
      </w:pPr>
      <w:r w:rsidRPr="00026EC1">
        <w:t>c)</w:t>
      </w:r>
      <w:r w:rsidRPr="00026EC1">
        <w:tab/>
      </w:r>
      <w:r w:rsidR="00825FA0" w:rsidRPr="00026EC1">
        <w:rPr>
          <w:u w:val="single"/>
        </w:rPr>
        <w:t>Volet 3</w:t>
      </w:r>
    </w:p>
    <w:p w14:paraId="585F7F1F" w14:textId="1FA9A80D" w:rsidR="00825FA0" w:rsidRPr="00026EC1" w:rsidRDefault="00825FA0" w:rsidP="00A64613">
      <w:pPr>
        <w:keepNext w:val="0"/>
      </w:pPr>
      <w:r w:rsidRPr="00026EC1">
        <w:t>Elle peut comprendre également, dans la mesure où l</w:t>
      </w:r>
      <w:r w:rsidR="004A41E4" w:rsidRPr="00026EC1">
        <w:t>’</w:t>
      </w:r>
      <w:r w:rsidRPr="00026EC1">
        <w:t>enseignante ou l</w:t>
      </w:r>
      <w:r w:rsidR="004A41E4" w:rsidRPr="00026EC1">
        <w:t>’</w:t>
      </w:r>
      <w:r w:rsidRPr="00026EC1">
        <w:t>enseignant y consent</w:t>
      </w:r>
      <w:r w:rsidR="00D8581B">
        <w:t> :</w:t>
      </w:r>
    </w:p>
    <w:p w14:paraId="629CB595" w14:textId="77777777" w:rsidR="00825FA0" w:rsidRPr="00026EC1" w:rsidRDefault="00825FA0" w:rsidP="00A64613">
      <w:pPr>
        <w:keepNext w:val="0"/>
      </w:pPr>
    </w:p>
    <w:p w14:paraId="30EEEF7E"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des activités de perfectionnement;</w:t>
      </w:r>
    </w:p>
    <w:p w14:paraId="596690DC"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le recyclage;</w:t>
      </w:r>
    </w:p>
    <w:p w14:paraId="4ED02AD4"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les stages ou activités en milieu de travail reliés à la discipline;</w:t>
      </w:r>
    </w:p>
    <w:p w14:paraId="2307D7DE"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des fonctions de recherche et d</w:t>
      </w:r>
      <w:r w:rsidR="004A41E4" w:rsidRPr="00026EC1">
        <w:t>’</w:t>
      </w:r>
      <w:r w:rsidR="00825FA0" w:rsidRPr="00026EC1">
        <w:t>innovation pédagogiques;</w:t>
      </w:r>
    </w:p>
    <w:p w14:paraId="7EF112BF"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des activités dans les centres de transfert technologique;</w:t>
      </w:r>
    </w:p>
    <w:p w14:paraId="016924F3" w14:textId="77777777" w:rsidR="00825FA0"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25FA0" w:rsidRPr="00026EC1">
        <w:t>la participation au développement institutionn</w:t>
      </w:r>
      <w:r w:rsidR="00BA79F8" w:rsidRPr="00026EC1">
        <w:t>el.</w:t>
      </w:r>
    </w:p>
    <w:p w14:paraId="39BB1F9F" w14:textId="5FDC4243" w:rsidR="00825FA0" w:rsidRPr="00026EC1" w:rsidRDefault="005C01E7" w:rsidP="00A64613">
      <w:pPr>
        <w:pStyle w:val="NUMRODECLAUSE"/>
        <w:keepNext w:val="0"/>
      </w:pPr>
      <w:r w:rsidRPr="00026EC1">
        <w:br w:type="page"/>
      </w:r>
      <w:r w:rsidR="00825FA0" w:rsidRPr="00026EC1">
        <w:t>8</w:t>
      </w:r>
      <w:r w:rsidR="00984A6F">
        <w:noBreakHyphen/>
      </w:r>
      <w:r w:rsidR="00825FA0" w:rsidRPr="00026EC1">
        <w:t>4.02</w:t>
      </w:r>
    </w:p>
    <w:p w14:paraId="5AB8EA15" w14:textId="11B7C729" w:rsidR="00825FA0" w:rsidRPr="00026EC1" w:rsidRDefault="00825FA0" w:rsidP="00A64613">
      <w:pPr>
        <w:keepNext w:val="0"/>
      </w:pPr>
      <w:r w:rsidRPr="00026EC1">
        <w:t>À moins d</w:t>
      </w:r>
      <w:r w:rsidR="004A41E4" w:rsidRPr="00026EC1">
        <w:t>’</w:t>
      </w:r>
      <w:r w:rsidRPr="00026EC1">
        <w:t>entente contraire entre les parties, l</w:t>
      </w:r>
      <w:r w:rsidR="004A41E4" w:rsidRPr="00026EC1">
        <w:t>’</w:t>
      </w:r>
      <w:r w:rsidRPr="00026EC1">
        <w:t>enseignante ou l</w:t>
      </w:r>
      <w:r w:rsidR="004A41E4" w:rsidRPr="00026EC1">
        <w:t>’</w:t>
      </w:r>
      <w:r w:rsidRPr="00026EC1">
        <w:t>enseignant</w:t>
      </w:r>
      <w:r w:rsidR="00D8581B">
        <w:t> :</w:t>
      </w:r>
    </w:p>
    <w:p w14:paraId="02F90C56" w14:textId="77777777" w:rsidR="00825FA0" w:rsidRPr="00026EC1" w:rsidRDefault="00825FA0" w:rsidP="00A64613">
      <w:pPr>
        <w:keepNext w:val="0"/>
      </w:pPr>
    </w:p>
    <w:p w14:paraId="275AF784" w14:textId="2973FA8A" w:rsidR="00825FA0" w:rsidRPr="00026EC1" w:rsidRDefault="00275751" w:rsidP="00A64613">
      <w:pPr>
        <w:keepNext w:val="0"/>
        <w:tabs>
          <w:tab w:val="left" w:pos="567"/>
        </w:tabs>
        <w:ind w:left="567" w:hanging="567"/>
      </w:pPr>
      <w:r w:rsidRPr="00026EC1">
        <w:t>a)</w:t>
      </w:r>
      <w:r w:rsidRPr="00026EC1">
        <w:tab/>
      </w:r>
      <w:r w:rsidR="00825FA0" w:rsidRPr="00026EC1">
        <w:t>compile elle</w:t>
      </w:r>
      <w:r w:rsidR="00984A6F">
        <w:noBreakHyphen/>
      </w:r>
      <w:r w:rsidR="00825FA0" w:rsidRPr="00026EC1">
        <w:t>même ou lui</w:t>
      </w:r>
      <w:r w:rsidR="00984A6F">
        <w:noBreakHyphen/>
      </w:r>
      <w:r w:rsidR="00825FA0" w:rsidRPr="00026EC1">
        <w:t>même les notes de chacun des contrôles, des examens ou des travaux qu</w:t>
      </w:r>
      <w:r w:rsidR="004A41E4" w:rsidRPr="00026EC1">
        <w:t>’</w:t>
      </w:r>
      <w:r w:rsidR="00825FA0" w:rsidRPr="00026EC1">
        <w:t>elle ou il donne aux étudiantes et étudiants;</w:t>
      </w:r>
    </w:p>
    <w:p w14:paraId="67D6463D" w14:textId="77777777" w:rsidR="00825FA0" w:rsidRPr="00026EC1" w:rsidRDefault="00825FA0" w:rsidP="00A64613">
      <w:pPr>
        <w:keepNext w:val="0"/>
      </w:pPr>
    </w:p>
    <w:p w14:paraId="2251875A" w14:textId="77777777" w:rsidR="00825FA0" w:rsidRPr="00026EC1" w:rsidRDefault="00275751" w:rsidP="00A64613">
      <w:pPr>
        <w:keepNext w:val="0"/>
        <w:tabs>
          <w:tab w:val="left" w:pos="567"/>
        </w:tabs>
        <w:ind w:left="567" w:hanging="567"/>
      </w:pPr>
      <w:r w:rsidRPr="00026EC1">
        <w:t>b)</w:t>
      </w:r>
      <w:r w:rsidRPr="00026EC1">
        <w:tab/>
      </w:r>
      <w:r w:rsidR="00825FA0" w:rsidRPr="00026EC1">
        <w:t>remet les notes selon les directives techniques du Collège;</w:t>
      </w:r>
    </w:p>
    <w:p w14:paraId="2CC23E78" w14:textId="77777777" w:rsidR="00825FA0" w:rsidRPr="00026EC1" w:rsidRDefault="00825FA0" w:rsidP="00A64613">
      <w:pPr>
        <w:keepNext w:val="0"/>
      </w:pPr>
    </w:p>
    <w:p w14:paraId="32E352F8" w14:textId="77777777" w:rsidR="00825FA0" w:rsidRPr="00026EC1" w:rsidRDefault="00275751" w:rsidP="00A64613">
      <w:pPr>
        <w:keepNext w:val="0"/>
        <w:tabs>
          <w:tab w:val="left" w:pos="567"/>
        </w:tabs>
        <w:ind w:left="567" w:hanging="567"/>
      </w:pPr>
      <w:r w:rsidRPr="00026EC1">
        <w:t>c)</w:t>
      </w:r>
      <w:r w:rsidRPr="00026EC1">
        <w:tab/>
      </w:r>
      <w:r w:rsidR="00825FA0" w:rsidRPr="00026EC1">
        <w:t>remet une note finale pour chaque cours au plus tard cinq (5) jours ouvrables après la fin de chacune des sessions fixées au calendrier scolaire.</w:t>
      </w:r>
    </w:p>
    <w:p w14:paraId="55F2B19C" w14:textId="77777777" w:rsidR="00825FA0" w:rsidRPr="00026EC1" w:rsidRDefault="00825FA0" w:rsidP="00A64613">
      <w:pPr>
        <w:keepNext w:val="0"/>
      </w:pPr>
    </w:p>
    <w:p w14:paraId="5A948C61" w14:textId="1F0BF9A9" w:rsidR="00825FA0" w:rsidRPr="00026EC1" w:rsidRDefault="00825FA0" w:rsidP="00A64613">
      <w:pPr>
        <w:pStyle w:val="NUMRODECLAUSE"/>
        <w:keepNext w:val="0"/>
      </w:pPr>
      <w:r w:rsidRPr="00026EC1">
        <w:t>8</w:t>
      </w:r>
      <w:r w:rsidR="00984A6F">
        <w:noBreakHyphen/>
      </w:r>
      <w:r w:rsidRPr="00026EC1">
        <w:t>4.03</w:t>
      </w:r>
      <w:r w:rsidRPr="00026EC1">
        <w:tab/>
      </w:r>
      <w:r w:rsidRPr="008443D7">
        <w:rPr>
          <w:u w:val="single"/>
        </w:rPr>
        <w:t>Services professionnels rendus</w:t>
      </w:r>
    </w:p>
    <w:p w14:paraId="0FDA55DC" w14:textId="1DA87FD5" w:rsidR="00825FA0" w:rsidRPr="00026EC1" w:rsidRDefault="00825FA0" w:rsidP="00A64613">
      <w:pPr>
        <w:keepNext w:val="0"/>
      </w:pPr>
      <w:r w:rsidRPr="00026EC1">
        <w:t>Dans le cadre de la reconnaissance des services professionnels rendus par les enseignantes et enseignants des cégeps, sans limiter la portée des articles 4</w:t>
      </w:r>
      <w:r w:rsidR="00984A6F">
        <w:noBreakHyphen/>
      </w:r>
      <w:r w:rsidRPr="00026EC1">
        <w:t>1.00, 8</w:t>
      </w:r>
      <w:r w:rsidR="00984A6F">
        <w:noBreakHyphen/>
      </w:r>
      <w:r w:rsidRPr="00026EC1">
        <w:t>3.00, 8</w:t>
      </w:r>
      <w:r w:rsidR="00984A6F">
        <w:noBreakHyphen/>
      </w:r>
      <w:r w:rsidRPr="00026EC1">
        <w:t>4.00, 8</w:t>
      </w:r>
      <w:r w:rsidR="00984A6F">
        <w:noBreakHyphen/>
      </w:r>
      <w:r w:rsidRPr="00026EC1">
        <w:t>5.00 et 8</w:t>
      </w:r>
      <w:r w:rsidR="00984A6F">
        <w:noBreakHyphen/>
      </w:r>
      <w:r w:rsidRPr="00026EC1">
        <w:t>6.00 et sans augmenter la tâche des enseignantes et enseignants, les parties nationales reconnaissent que les services professionnels rendus comportent aussi des activités de concertation inhérentes à la vie pédagogique des programmes ainsi que des activités pédagogiques. Ces activités pédagogiques font partie de l</w:t>
      </w:r>
      <w:r w:rsidR="004A41E4" w:rsidRPr="00026EC1">
        <w:t>’</w:t>
      </w:r>
      <w:r w:rsidRPr="00026EC1">
        <w:t>un ou l</w:t>
      </w:r>
      <w:r w:rsidR="004A41E4" w:rsidRPr="00026EC1">
        <w:t>’</w:t>
      </w:r>
      <w:r w:rsidRPr="00026EC1">
        <w:t>autre des champs suivants</w:t>
      </w:r>
      <w:r w:rsidR="00D8581B">
        <w:t> :</w:t>
      </w:r>
      <w:r w:rsidRPr="00026EC1">
        <w:t xml:space="preserve"> l</w:t>
      </w:r>
      <w:r w:rsidR="004A41E4" w:rsidRPr="00026EC1">
        <w:t>’</w:t>
      </w:r>
      <w:r w:rsidRPr="00026EC1">
        <w:t>aide à l</w:t>
      </w:r>
      <w:r w:rsidR="004A41E4" w:rsidRPr="00026EC1">
        <w:t>’</w:t>
      </w:r>
      <w:r w:rsidRPr="00026EC1">
        <w:t>apprentissage, l</w:t>
      </w:r>
      <w:r w:rsidR="004A41E4" w:rsidRPr="00026EC1">
        <w:t>’</w:t>
      </w:r>
      <w:r w:rsidRPr="00026EC1">
        <w:t>encadrement des étudiantes et étudiants afin d</w:t>
      </w:r>
      <w:r w:rsidR="004A41E4" w:rsidRPr="00026EC1">
        <w:t>’</w:t>
      </w:r>
      <w:r w:rsidRPr="00026EC1">
        <w:t>améliorer leur réussite, la formation pédagogique et l</w:t>
      </w:r>
      <w:r w:rsidR="004A41E4" w:rsidRPr="00026EC1">
        <w:t>’</w:t>
      </w:r>
      <w:r w:rsidRPr="00026EC1">
        <w:t>assistance professionnelle.</w:t>
      </w:r>
    </w:p>
    <w:p w14:paraId="461C8C9F" w14:textId="77777777" w:rsidR="00825FA0" w:rsidRPr="00026EC1" w:rsidRDefault="00825FA0" w:rsidP="00A64613">
      <w:pPr>
        <w:keepNext w:val="0"/>
      </w:pPr>
    </w:p>
    <w:p w14:paraId="504B9656" w14:textId="0E3B4E50" w:rsidR="00825FA0" w:rsidRPr="00026EC1" w:rsidRDefault="00275751" w:rsidP="00A64613">
      <w:pPr>
        <w:keepNext w:val="0"/>
        <w:tabs>
          <w:tab w:val="left" w:pos="567"/>
        </w:tabs>
        <w:ind w:left="567" w:hanging="567"/>
      </w:pPr>
      <w:r w:rsidRPr="00026EC1">
        <w:t>a)</w:t>
      </w:r>
      <w:r w:rsidRPr="00026EC1">
        <w:tab/>
      </w:r>
      <w:r w:rsidR="00825FA0" w:rsidRPr="00026EC1">
        <w:t>Chaque enseignante ou enseignant à temps complet consacre</w:t>
      </w:r>
      <w:r w:rsidR="00A618EA" w:rsidRPr="00026EC1">
        <w:t xml:space="preserve"> cent soixante</w:t>
      </w:r>
      <w:r w:rsidR="00984A6F">
        <w:noBreakHyphen/>
      </w:r>
      <w:r w:rsidR="00A618EA" w:rsidRPr="00026EC1">
        <w:t>treize</w:t>
      </w:r>
      <w:r w:rsidR="00825FA0" w:rsidRPr="00026EC1">
        <w:t xml:space="preserve"> </w:t>
      </w:r>
      <w:r w:rsidR="00A618EA" w:rsidRPr="00026EC1">
        <w:t>(</w:t>
      </w:r>
      <w:r w:rsidR="00825FA0" w:rsidRPr="00026EC1">
        <w:t>173</w:t>
      </w:r>
      <w:r w:rsidR="00A618EA" w:rsidRPr="00026EC1">
        <w:t>)</w:t>
      </w:r>
      <w:r w:rsidR="009E688E">
        <w:t> </w:t>
      </w:r>
      <w:r w:rsidR="00825FA0" w:rsidRPr="00026EC1">
        <w:t>heures par année d</w:t>
      </w:r>
      <w:r w:rsidR="004A41E4" w:rsidRPr="00026EC1">
        <w:t>’</w:t>
      </w:r>
      <w:r w:rsidR="00825FA0" w:rsidRPr="00026EC1">
        <w:t>enseignement à ces activités à même ses heures de disponibilité. De la même façon, chaque enseignante ou enseignant à temps partiel consacre un nombre d</w:t>
      </w:r>
      <w:r w:rsidR="004A41E4" w:rsidRPr="00026EC1">
        <w:t>’</w:t>
      </w:r>
      <w:r w:rsidR="00825FA0" w:rsidRPr="00026EC1">
        <w:t>heures par année d</w:t>
      </w:r>
      <w:r w:rsidR="004A41E4" w:rsidRPr="00026EC1">
        <w:t>’</w:t>
      </w:r>
      <w:r w:rsidR="00825FA0" w:rsidRPr="00026EC1">
        <w:t>enseignement à ces activités, au prorata de son équivalent temps complet.</w:t>
      </w:r>
    </w:p>
    <w:p w14:paraId="7ED354A1" w14:textId="77777777" w:rsidR="00825FA0" w:rsidRPr="00026EC1" w:rsidRDefault="00825FA0" w:rsidP="00A64613">
      <w:pPr>
        <w:keepNext w:val="0"/>
      </w:pPr>
    </w:p>
    <w:p w14:paraId="0C629A34" w14:textId="47620B25" w:rsidR="00825FA0" w:rsidRPr="00026EC1" w:rsidRDefault="00275751" w:rsidP="00A64613">
      <w:pPr>
        <w:keepNext w:val="0"/>
        <w:tabs>
          <w:tab w:val="left" w:pos="567"/>
        </w:tabs>
        <w:ind w:left="567" w:hanging="567"/>
      </w:pPr>
      <w:r w:rsidRPr="00026EC1">
        <w:t>b)</w:t>
      </w:r>
      <w:r w:rsidRPr="00026EC1">
        <w:tab/>
      </w:r>
      <w:r w:rsidR="00825FA0" w:rsidRPr="00026EC1">
        <w:t xml:space="preserve">La participation des enseignantes et enseignants à des activités de concertation inhérentes à la vie pédagogique des programmes, organisées dans le cadre de journées pédagogiques, fait partie des </w:t>
      </w:r>
      <w:r w:rsidR="00A618EA" w:rsidRPr="00026EC1">
        <w:t>cent soixante</w:t>
      </w:r>
      <w:r w:rsidR="00984A6F">
        <w:noBreakHyphen/>
      </w:r>
      <w:r w:rsidR="00A618EA" w:rsidRPr="00026EC1">
        <w:t>treize</w:t>
      </w:r>
      <w:r w:rsidR="00C6718B">
        <w:t> </w:t>
      </w:r>
      <w:r w:rsidR="00A618EA" w:rsidRPr="00026EC1">
        <w:t>(173)</w:t>
      </w:r>
      <w:r w:rsidR="009E688E">
        <w:t> </w:t>
      </w:r>
      <w:r w:rsidR="00825FA0" w:rsidRPr="00026EC1">
        <w:t>heures mentionnées précédemment.</w:t>
      </w:r>
    </w:p>
    <w:p w14:paraId="3DC27E27" w14:textId="77777777" w:rsidR="00825FA0" w:rsidRPr="00026EC1" w:rsidRDefault="00825FA0" w:rsidP="00A64613">
      <w:pPr>
        <w:keepNext w:val="0"/>
      </w:pPr>
    </w:p>
    <w:p w14:paraId="696E8006" w14:textId="77777777" w:rsidR="00825FA0" w:rsidRPr="00026EC1" w:rsidRDefault="00275751" w:rsidP="00A64613">
      <w:pPr>
        <w:keepNext w:val="0"/>
        <w:tabs>
          <w:tab w:val="left" w:pos="567"/>
        </w:tabs>
        <w:ind w:left="567" w:hanging="567"/>
      </w:pPr>
      <w:r w:rsidRPr="00026EC1">
        <w:t>c)</w:t>
      </w:r>
      <w:r w:rsidRPr="00026EC1">
        <w:tab/>
      </w:r>
      <w:r w:rsidR="00825FA0" w:rsidRPr="00026EC1">
        <w:t>Le département identifie et répartit annuellement les activités pédagogiques, inscrites dans un ou des projets, à partir des priorités institutionnelles dégagées par le Collège en tenant compte du plan stratégique. Une enseignante ou un enseignant peut participer à une ou à plusieurs activités et plusieurs enseignantes et enseignants peuvent participer à une activité commune. Cette répartition se fait en lien avec les compétences et les intérêts de chaque enseignante ou enseignant et elle est soumise au Collège pour approbation.</w:t>
      </w:r>
    </w:p>
    <w:p w14:paraId="4F32488F" w14:textId="77777777" w:rsidR="00825FA0" w:rsidRPr="00026EC1" w:rsidRDefault="00825FA0" w:rsidP="00A64613">
      <w:pPr>
        <w:keepNext w:val="0"/>
      </w:pPr>
    </w:p>
    <w:p w14:paraId="571682BE" w14:textId="77777777" w:rsidR="00825FA0" w:rsidRPr="00026EC1" w:rsidRDefault="00275751" w:rsidP="00A64613">
      <w:pPr>
        <w:keepNext w:val="0"/>
        <w:tabs>
          <w:tab w:val="left" w:pos="567"/>
        </w:tabs>
        <w:ind w:left="562" w:hanging="562"/>
      </w:pPr>
      <w:r w:rsidRPr="00026EC1">
        <w:t>d)</w:t>
      </w:r>
      <w:r w:rsidRPr="00026EC1">
        <w:tab/>
      </w:r>
      <w:r w:rsidR="00825FA0" w:rsidRPr="00026EC1">
        <w:t>Le temps consacré à une activité pédagogique comprend la préparation, la réalisation et le suivi de l</w:t>
      </w:r>
      <w:r w:rsidR="004A41E4" w:rsidRPr="00026EC1">
        <w:t>’</w:t>
      </w:r>
      <w:r w:rsidR="00825FA0" w:rsidRPr="00026EC1">
        <w:t>activité.</w:t>
      </w:r>
    </w:p>
    <w:p w14:paraId="15A2A957" w14:textId="33A04591" w:rsidR="00825FA0" w:rsidRPr="00026EC1" w:rsidRDefault="00825FA0" w:rsidP="00A64613">
      <w:pPr>
        <w:keepNext w:val="0"/>
        <w:ind w:left="567"/>
      </w:pPr>
    </w:p>
    <w:p w14:paraId="1C471AD1" w14:textId="500322A3" w:rsidR="00825FA0" w:rsidRPr="00026EC1" w:rsidRDefault="00825FA0" w:rsidP="00A64613">
      <w:pPr>
        <w:keepNext w:val="0"/>
        <w:ind w:left="567"/>
      </w:pPr>
      <w:r w:rsidRPr="00026EC1">
        <w:t>À la fin de chaque année, chaque enseignante ou enseignant fait état auprès des membres du département des activités pédagogiques réalisées afin d</w:t>
      </w:r>
      <w:r w:rsidR="004A41E4" w:rsidRPr="00026EC1">
        <w:t>’</w:t>
      </w:r>
      <w:r w:rsidRPr="00026EC1">
        <w:t>en évaluer les retombées et faire des recommandations. Ces informations sont incluses dans le rapport annuel du département prévu à la clause</w:t>
      </w:r>
      <w:r w:rsidR="00AA45ED" w:rsidRPr="00026EC1">
        <w:t> </w:t>
      </w:r>
      <w:r w:rsidRPr="00026EC1">
        <w:t>4</w:t>
      </w:r>
      <w:r w:rsidR="00984A6F">
        <w:noBreakHyphen/>
      </w:r>
      <w:r w:rsidRPr="00026EC1">
        <w:t>1.11.</w:t>
      </w:r>
    </w:p>
    <w:p w14:paraId="1BD4B0F8" w14:textId="3FF6541F" w:rsidR="00825FA0" w:rsidRPr="00026EC1" w:rsidRDefault="00275751" w:rsidP="00A64613">
      <w:pPr>
        <w:keepNext w:val="0"/>
        <w:tabs>
          <w:tab w:val="left" w:pos="567"/>
        </w:tabs>
        <w:ind w:left="567" w:hanging="567"/>
      </w:pPr>
      <w:r w:rsidRPr="00026EC1">
        <w:t>e)</w:t>
      </w:r>
      <w:r w:rsidRPr="00026EC1">
        <w:tab/>
      </w:r>
      <w:r w:rsidR="00825FA0" w:rsidRPr="00026EC1">
        <w:t>La participation des enseignantes et enseignants à ces activités n</w:t>
      </w:r>
      <w:r w:rsidR="004A41E4" w:rsidRPr="00026EC1">
        <w:t>’</w:t>
      </w:r>
      <w:r w:rsidR="00825FA0" w:rsidRPr="00026EC1">
        <w:t>a pas d</w:t>
      </w:r>
      <w:r w:rsidR="004A41E4" w:rsidRPr="00026EC1">
        <w:t>’</w:t>
      </w:r>
      <w:r w:rsidR="00825FA0" w:rsidRPr="00026EC1">
        <w:t>effet sur la répartition de la charge de travail d</w:t>
      </w:r>
      <w:r w:rsidR="004A41E4" w:rsidRPr="00026EC1">
        <w:t>’</w:t>
      </w:r>
      <w:r w:rsidR="00825FA0" w:rsidRPr="00026EC1">
        <w:t>une enseignante ou d</w:t>
      </w:r>
      <w:r w:rsidR="004A41E4" w:rsidRPr="00026EC1">
        <w:t>’</w:t>
      </w:r>
      <w:r w:rsidR="00825FA0" w:rsidRPr="00026EC1">
        <w:t>un enseignant tel qu</w:t>
      </w:r>
      <w:r w:rsidR="004A41E4" w:rsidRPr="00026EC1">
        <w:t>’</w:t>
      </w:r>
      <w:r w:rsidR="00825FA0" w:rsidRPr="00026EC1">
        <w:t>il est prévu à l</w:t>
      </w:r>
      <w:r w:rsidR="004A41E4" w:rsidRPr="00026EC1">
        <w:t>’</w:t>
      </w:r>
      <w:r w:rsidR="00825FA0" w:rsidRPr="00026EC1">
        <w:t>article 8</w:t>
      </w:r>
      <w:r w:rsidR="00984A6F">
        <w:noBreakHyphen/>
      </w:r>
      <w:r w:rsidR="00825FA0" w:rsidRPr="00026EC1">
        <w:t>6.00 et sur l</w:t>
      </w:r>
      <w:r w:rsidR="004A41E4" w:rsidRPr="00026EC1">
        <w:t>’</w:t>
      </w:r>
      <w:r w:rsidR="00825FA0" w:rsidRPr="00026EC1">
        <w:t>application de l</w:t>
      </w:r>
      <w:r w:rsidR="004A41E4" w:rsidRPr="00026EC1">
        <w:t>’</w:t>
      </w:r>
      <w:r w:rsidR="00A618EA" w:rsidRPr="00026EC1">
        <w:t>A</w:t>
      </w:r>
      <w:r w:rsidR="00825FA0" w:rsidRPr="00026EC1">
        <w:t>nnexe I</w:t>
      </w:r>
      <w:r w:rsidR="00984A6F">
        <w:noBreakHyphen/>
      </w:r>
      <w:r w:rsidR="00825FA0" w:rsidRPr="00026EC1">
        <w:t>1.</w:t>
      </w:r>
    </w:p>
    <w:p w14:paraId="4995EA57" w14:textId="77777777" w:rsidR="00825FA0" w:rsidRPr="00026EC1" w:rsidRDefault="00825FA0" w:rsidP="00A64613">
      <w:pPr>
        <w:keepNext w:val="0"/>
      </w:pPr>
    </w:p>
    <w:p w14:paraId="174BFA0D" w14:textId="71249ADC" w:rsidR="00825FA0" w:rsidRDefault="00275751" w:rsidP="00A64613">
      <w:pPr>
        <w:keepNext w:val="0"/>
        <w:tabs>
          <w:tab w:val="left" w:pos="567"/>
        </w:tabs>
        <w:ind w:left="567" w:hanging="567"/>
      </w:pPr>
      <w:r w:rsidRPr="00026EC1">
        <w:t>f)</w:t>
      </w:r>
      <w:r w:rsidRPr="00026EC1">
        <w:tab/>
      </w:r>
      <w:r w:rsidR="00825FA0" w:rsidRPr="00026EC1">
        <w:t>La présente clause s</w:t>
      </w:r>
      <w:r w:rsidR="004A41E4" w:rsidRPr="00026EC1">
        <w:t>’</w:t>
      </w:r>
      <w:r w:rsidR="00825FA0" w:rsidRPr="00026EC1">
        <w:t>applique aux enseignantes et enseignants de l</w:t>
      </w:r>
      <w:r w:rsidR="004A41E4" w:rsidRPr="00026EC1">
        <w:t>’</w:t>
      </w:r>
      <w:r w:rsidR="00825FA0" w:rsidRPr="00026EC1">
        <w:t>enseignement aéronautique du Collège de Chicoutimi, en faisant les adaptations nécessaires.</w:t>
      </w:r>
    </w:p>
    <w:p w14:paraId="2455DD2A" w14:textId="0D1255D3" w:rsidR="00E948C4" w:rsidRDefault="00E948C4" w:rsidP="00A64613">
      <w:pPr>
        <w:keepNext w:val="0"/>
        <w:tabs>
          <w:tab w:val="left" w:pos="567"/>
        </w:tabs>
        <w:ind w:left="567" w:hanging="567"/>
      </w:pPr>
    </w:p>
    <w:p w14:paraId="7ABBAC8D" w14:textId="01691B80" w:rsidR="00E948C4" w:rsidRPr="00316277" w:rsidRDefault="00E948C4" w:rsidP="00E948C4">
      <w:pPr>
        <w:pStyle w:val="NUMRODECLAUSE"/>
        <w:keepNext w:val="0"/>
      </w:pPr>
      <w:r w:rsidRPr="00316277">
        <w:t>8</w:t>
      </w:r>
      <w:r w:rsidRPr="00316277">
        <w:noBreakHyphen/>
        <w:t>4.04</w:t>
      </w:r>
      <w:r w:rsidRPr="00316277">
        <w:tab/>
      </w:r>
      <w:r w:rsidRPr="00316277">
        <w:rPr>
          <w:u w:val="single"/>
        </w:rPr>
        <w:t>Recherche</w:t>
      </w:r>
    </w:p>
    <w:p w14:paraId="137330A9" w14:textId="685E45CC" w:rsidR="00E948C4" w:rsidRPr="00026EC1" w:rsidRDefault="00E948C4" w:rsidP="002157A5">
      <w:pPr>
        <w:keepNext w:val="0"/>
        <w:tabs>
          <w:tab w:val="left" w:pos="567"/>
        </w:tabs>
      </w:pPr>
      <w:r w:rsidRPr="00316277">
        <w:t>Les parties reconnaissent l’importance de la recherche menée au collégial et sa contribution au développement du savoir et à l’avancement des connaissances.</w:t>
      </w:r>
    </w:p>
    <w:p w14:paraId="58C49485" w14:textId="7A0BE705" w:rsidR="00404F34" w:rsidRPr="00026EC1" w:rsidRDefault="00404F34" w:rsidP="00A64613">
      <w:pPr>
        <w:pStyle w:val="Heading2"/>
        <w:keepNext w:val="0"/>
        <w:tabs>
          <w:tab w:val="clear" w:pos="1843"/>
          <w:tab w:val="clear" w:pos="2127"/>
          <w:tab w:val="left" w:pos="1701"/>
          <w:tab w:val="left" w:pos="1985"/>
        </w:tabs>
        <w:ind w:left="1701" w:hanging="1701"/>
      </w:pPr>
      <w:bookmarkStart w:id="848" w:name="_Toc535046636"/>
      <w:r w:rsidRPr="00026EC1">
        <w:br w:type="page"/>
      </w:r>
      <w:bookmarkStart w:id="849" w:name="_Toc133760803"/>
      <w:bookmarkStart w:id="850" w:name="_Toc393444641"/>
      <w:bookmarkStart w:id="851" w:name="_Toc393449592"/>
      <w:bookmarkStart w:id="852" w:name="_Toc393460961"/>
      <w:bookmarkStart w:id="853" w:name="_Toc393461239"/>
      <w:bookmarkStart w:id="854" w:name="_Toc393720800"/>
      <w:bookmarkStart w:id="855" w:name="_Toc393783961"/>
      <w:bookmarkStart w:id="856" w:name="_Toc393784100"/>
      <w:bookmarkStart w:id="857" w:name="_Toc168479555"/>
      <w:r w:rsidRPr="00026EC1">
        <w:t>Article 8</w:t>
      </w:r>
      <w:r w:rsidR="00B92165">
        <w:t>-</w:t>
      </w:r>
      <w:r w:rsidRPr="00026EC1">
        <w:t>5.00</w:t>
      </w:r>
      <w:r w:rsidR="00CB6B97" w:rsidRPr="00026EC1">
        <w:tab/>
      </w:r>
      <w:r w:rsidR="00B92165">
        <w:t>-</w:t>
      </w:r>
      <w:r w:rsidR="00CB6B97" w:rsidRPr="00026EC1">
        <w:tab/>
      </w:r>
      <w:r w:rsidRPr="00026EC1">
        <w:t>Nombre d</w:t>
      </w:r>
      <w:r w:rsidR="004A41E4" w:rsidRPr="00026EC1">
        <w:t>’</w:t>
      </w:r>
      <w:r w:rsidRPr="00026EC1">
        <w:t>enseignantes et d</w:t>
      </w:r>
      <w:r w:rsidR="004A41E4" w:rsidRPr="00026EC1">
        <w:t>’</w:t>
      </w:r>
      <w:r w:rsidRPr="00026EC1">
        <w:t>enseignants réguliers</w:t>
      </w:r>
      <w:bookmarkEnd w:id="848"/>
      <w:bookmarkEnd w:id="849"/>
      <w:bookmarkEnd w:id="850"/>
      <w:bookmarkEnd w:id="851"/>
      <w:bookmarkEnd w:id="852"/>
      <w:bookmarkEnd w:id="853"/>
      <w:bookmarkEnd w:id="854"/>
      <w:bookmarkEnd w:id="855"/>
      <w:bookmarkEnd w:id="856"/>
      <w:bookmarkEnd w:id="857"/>
    </w:p>
    <w:p w14:paraId="15D9EE97" w14:textId="319A7930" w:rsidR="00514BD7" w:rsidRPr="00026EC1" w:rsidRDefault="00514BD7" w:rsidP="00A64613">
      <w:pPr>
        <w:pStyle w:val="NUMRODECLAUSE"/>
        <w:keepNext w:val="0"/>
      </w:pPr>
      <w:bookmarkStart w:id="858" w:name="_Toc535046637"/>
      <w:r w:rsidRPr="00026EC1">
        <w:t>8</w:t>
      </w:r>
      <w:r w:rsidR="00984A6F">
        <w:noBreakHyphen/>
      </w:r>
      <w:r w:rsidRPr="00026EC1">
        <w:t>5.01</w:t>
      </w:r>
    </w:p>
    <w:p w14:paraId="64A2D93D" w14:textId="19ABBCFB" w:rsidR="00514BD7" w:rsidRPr="00026EC1" w:rsidRDefault="00514BD7" w:rsidP="00A64613">
      <w:pPr>
        <w:keepNext w:val="0"/>
      </w:pPr>
      <w:r w:rsidRPr="00026EC1">
        <w:t>Au plus tard le 31 mars d</w:t>
      </w:r>
      <w:r w:rsidR="004A41E4" w:rsidRPr="00026EC1">
        <w:t>’</w:t>
      </w:r>
      <w:r w:rsidRPr="00026EC1">
        <w:t>une année d</w:t>
      </w:r>
      <w:r w:rsidR="004A41E4" w:rsidRPr="00026EC1">
        <w:t>’</w:t>
      </w:r>
      <w:r w:rsidRPr="00026EC1">
        <w:t>enseignement, le Ministère transmet à chacun des Collèges ou Campus le mode de financement utilisé pour déterminer le nombre total d</w:t>
      </w:r>
      <w:r w:rsidR="004A41E4" w:rsidRPr="00026EC1">
        <w:t>’</w:t>
      </w:r>
      <w:r w:rsidRPr="00026EC1">
        <w:t>enseignantes et d</w:t>
      </w:r>
      <w:r w:rsidR="004A41E4" w:rsidRPr="00026EC1">
        <w:t>’</w:t>
      </w:r>
      <w:r w:rsidRPr="00026EC1">
        <w:t>enseignants à temps complet ou l</w:t>
      </w:r>
      <w:r w:rsidR="004A41E4" w:rsidRPr="00026EC1">
        <w:t>’</w:t>
      </w:r>
      <w:r w:rsidRPr="00026EC1">
        <w:t>équivalent</w:t>
      </w:r>
      <w:r w:rsidR="00864798" w:rsidRPr="00864798">
        <w:t xml:space="preserve"> </w:t>
      </w:r>
      <w:r w:rsidRPr="00864798">
        <w:t>auxquels</w:t>
      </w:r>
      <w:r w:rsidRPr="00026EC1">
        <w:t xml:space="preserve"> chacun a droit pour l</w:t>
      </w:r>
      <w:r w:rsidR="004A41E4" w:rsidRPr="00026EC1">
        <w:t>’</w:t>
      </w:r>
      <w:r w:rsidRPr="00026EC1">
        <w:t>année d</w:t>
      </w:r>
      <w:r w:rsidR="004A41E4" w:rsidRPr="00026EC1">
        <w:t>’</w:t>
      </w:r>
      <w:r w:rsidRPr="00026EC1">
        <w:t>enseignement suivante. Ce mode de financement comprend les règles d</w:t>
      </w:r>
      <w:r w:rsidR="004A41E4" w:rsidRPr="00026EC1">
        <w:t>’</w:t>
      </w:r>
      <w:r w:rsidRPr="00026EC1">
        <w:t>allocation au Collège ou Campus, pour chacun des trois (3) volets de la tâche d</w:t>
      </w:r>
      <w:r w:rsidR="004A41E4" w:rsidRPr="00026EC1">
        <w:t>’</w:t>
      </w:r>
      <w:r w:rsidRPr="00026EC1">
        <w:t>enseignement, de toutes les ressources prévues à la convention collective.</w:t>
      </w:r>
    </w:p>
    <w:p w14:paraId="5674F6D0" w14:textId="77777777" w:rsidR="00514BD7" w:rsidRDefault="00514BD7" w:rsidP="00A64613">
      <w:pPr>
        <w:keepNext w:val="0"/>
      </w:pPr>
    </w:p>
    <w:p w14:paraId="60B526C9" w14:textId="7D2A4F48" w:rsidR="00431895" w:rsidRDefault="00431895" w:rsidP="00A64613">
      <w:pPr>
        <w:pStyle w:val="ListParagraph"/>
        <w:suppressAutoHyphens/>
        <w:spacing w:after="120"/>
        <w:ind w:left="0"/>
      </w:pPr>
      <w:r w:rsidRPr="0072509F">
        <w:t>De plus, le Ministère s’engage à transmettre</w:t>
      </w:r>
      <w:r w:rsidR="00BB7E41">
        <w:t xml:space="preserve"> </w:t>
      </w:r>
      <w:r w:rsidR="00C84DB5" w:rsidRPr="00316277">
        <w:t>à chaque Collège ou Campus</w:t>
      </w:r>
      <w:r w:rsidR="00C84DB5">
        <w:t xml:space="preserve"> </w:t>
      </w:r>
      <w:r w:rsidRPr="0072509F">
        <w:t xml:space="preserve">au même moment </w:t>
      </w:r>
      <w:r w:rsidR="00716F2F" w:rsidRPr="00316277">
        <w:t>le</w:t>
      </w:r>
      <w:r w:rsidR="00716F2F">
        <w:t xml:space="preserve"> </w:t>
      </w:r>
      <w:r w:rsidRPr="0072509F">
        <w:t>montant accordé selon l’</w:t>
      </w:r>
      <w:r w:rsidR="00326A33" w:rsidRPr="0072509F">
        <w:t>A</w:t>
      </w:r>
      <w:r w:rsidRPr="0072509F">
        <w:t>nnexe</w:t>
      </w:r>
      <w:r w:rsidR="00D0580F" w:rsidRPr="0072509F">
        <w:t> </w:t>
      </w:r>
      <w:r w:rsidRPr="0072509F">
        <w:t>I</w:t>
      </w:r>
      <w:r w:rsidR="00984A6F">
        <w:noBreakHyphen/>
      </w:r>
      <w:r w:rsidRPr="0072509F">
        <w:t>14</w:t>
      </w:r>
      <w:r w:rsidR="00716F2F">
        <w:t xml:space="preserve"> </w:t>
      </w:r>
      <w:r w:rsidR="00716F2F" w:rsidRPr="00316277">
        <w:t>et les allocations et montants accordés conformément à l’Annexe I-19</w:t>
      </w:r>
      <w:r w:rsidR="00716F2F" w:rsidRPr="00716F2F">
        <w:t>.</w:t>
      </w:r>
    </w:p>
    <w:p w14:paraId="6FE2892B" w14:textId="77777777" w:rsidR="00431895" w:rsidRPr="00026EC1" w:rsidRDefault="00431895" w:rsidP="00A64613">
      <w:pPr>
        <w:keepNext w:val="0"/>
      </w:pPr>
    </w:p>
    <w:p w14:paraId="602D7ADA" w14:textId="7AB3FF05" w:rsidR="00514BD7" w:rsidRPr="00026EC1" w:rsidRDefault="00514BD7" w:rsidP="00A64613">
      <w:pPr>
        <w:keepNext w:val="0"/>
      </w:pPr>
      <w:r w:rsidRPr="00F9717D">
        <w:t>Au même moment, le</w:t>
      </w:r>
      <w:r w:rsidRPr="00026EC1">
        <w:t xml:space="preserve"> Ministère transmet</w:t>
      </w:r>
      <w:r w:rsidR="00DD388B">
        <w:t xml:space="preserve"> </w:t>
      </w:r>
      <w:r w:rsidRPr="00026EC1">
        <w:t xml:space="preserve">à la FNEEQ (CSN) et à chaque </w:t>
      </w:r>
      <w:r w:rsidRPr="0072509F">
        <w:t xml:space="preserve">Syndicat </w:t>
      </w:r>
      <w:r w:rsidR="00F9717D" w:rsidRPr="0072509F">
        <w:t>les documents prévus aux paragraphes précédents</w:t>
      </w:r>
      <w:r w:rsidRPr="0072509F">
        <w:t>.</w:t>
      </w:r>
    </w:p>
    <w:p w14:paraId="4BCEEF9C" w14:textId="77777777" w:rsidR="00514BD7" w:rsidRPr="00026EC1" w:rsidRDefault="00514BD7" w:rsidP="00A64613">
      <w:pPr>
        <w:keepNext w:val="0"/>
      </w:pPr>
    </w:p>
    <w:p w14:paraId="5CCB1B85" w14:textId="62C36D9C" w:rsidR="00514BD7" w:rsidRPr="00026EC1" w:rsidRDefault="00514BD7" w:rsidP="00A64613">
      <w:pPr>
        <w:pStyle w:val="NUMRODECLAUSE"/>
        <w:keepNext w:val="0"/>
      </w:pPr>
      <w:r w:rsidRPr="00026EC1">
        <w:t>8</w:t>
      </w:r>
      <w:r w:rsidR="00984A6F">
        <w:noBreakHyphen/>
      </w:r>
      <w:r w:rsidRPr="00026EC1">
        <w:t>5.02</w:t>
      </w:r>
    </w:p>
    <w:p w14:paraId="76EBB413" w14:textId="5548DF92" w:rsidR="00514BD7" w:rsidRPr="00026EC1" w:rsidRDefault="00514BD7" w:rsidP="00A64613">
      <w:pPr>
        <w:keepNext w:val="0"/>
      </w:pPr>
      <w:r w:rsidRPr="00026EC1">
        <w:t xml:space="preserve">Le mode de financement utilisé par le Ministère détermine </w:t>
      </w:r>
      <w:r w:rsidRPr="00026EC1">
        <w:rPr>
          <w:bCs/>
        </w:rPr>
        <w:t xml:space="preserve">quatre </w:t>
      </w:r>
      <w:r w:rsidRPr="00026EC1">
        <w:t>nombres</w:t>
      </w:r>
      <w:r w:rsidR="00D8581B">
        <w:t> :</w:t>
      </w:r>
    </w:p>
    <w:p w14:paraId="4B683948" w14:textId="77777777" w:rsidR="00514BD7" w:rsidRPr="00026EC1" w:rsidRDefault="00514BD7" w:rsidP="00A64613">
      <w:pPr>
        <w:keepNext w:val="0"/>
      </w:pPr>
    </w:p>
    <w:p w14:paraId="786A6D13" w14:textId="033E5BAC" w:rsidR="00514BD7"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514BD7" w:rsidRPr="00026EC1">
        <w:t>celui établissant les ressources allouées pour le volet 1 de la clause 8</w:t>
      </w:r>
      <w:r w:rsidR="00984A6F">
        <w:noBreakHyphen/>
      </w:r>
      <w:r w:rsidR="00514BD7" w:rsidRPr="00026EC1">
        <w:t>4.01;</w:t>
      </w:r>
    </w:p>
    <w:p w14:paraId="25E75DA7" w14:textId="77777777" w:rsidR="00514BD7" w:rsidRPr="00026EC1" w:rsidRDefault="00514BD7" w:rsidP="00A64613">
      <w:pPr>
        <w:keepNext w:val="0"/>
      </w:pPr>
    </w:p>
    <w:p w14:paraId="38008AF0" w14:textId="2846170B" w:rsidR="00514BD7"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514BD7" w:rsidRPr="00026EC1">
        <w:t>celui établissant les ressources allouées pour le volet 2 de la clause 8</w:t>
      </w:r>
      <w:r w:rsidR="00984A6F">
        <w:noBreakHyphen/>
      </w:r>
      <w:r w:rsidR="00514BD7" w:rsidRPr="00026EC1">
        <w:t>4.01;</w:t>
      </w:r>
    </w:p>
    <w:p w14:paraId="07DEE6AB" w14:textId="77777777" w:rsidR="00514BD7" w:rsidRPr="00026EC1" w:rsidRDefault="00514BD7" w:rsidP="00A64613">
      <w:pPr>
        <w:keepNext w:val="0"/>
      </w:pPr>
    </w:p>
    <w:p w14:paraId="0D43DA8F" w14:textId="1AEF34BB" w:rsidR="00514BD7"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514BD7" w:rsidRPr="00026EC1">
        <w:t>celui établissant les ressources allouées pour le volet 3 de la clause 8</w:t>
      </w:r>
      <w:r w:rsidR="00984A6F">
        <w:noBreakHyphen/>
      </w:r>
      <w:r w:rsidR="00514BD7" w:rsidRPr="00026EC1">
        <w:t>4.01;</w:t>
      </w:r>
    </w:p>
    <w:p w14:paraId="7F244868" w14:textId="77777777" w:rsidR="00514BD7" w:rsidRPr="00026EC1" w:rsidRDefault="00514BD7" w:rsidP="00A64613">
      <w:pPr>
        <w:keepNext w:val="0"/>
      </w:pPr>
    </w:p>
    <w:p w14:paraId="2DFAC148" w14:textId="5B306FDF" w:rsidR="00514BD7" w:rsidRDefault="00275751" w:rsidP="00A64613">
      <w:pPr>
        <w:keepNext w:val="0"/>
        <w:tabs>
          <w:tab w:val="left" w:pos="567"/>
        </w:tabs>
        <w:ind w:left="567" w:hanging="567"/>
        <w:rPr>
          <w:bCs/>
        </w:rPr>
      </w:pPr>
      <w:r w:rsidRPr="00026EC1">
        <w:rPr>
          <w:rFonts w:ascii="Symbol" w:hAnsi="Symbol"/>
          <w:bCs/>
        </w:rPr>
        <w:t></w:t>
      </w:r>
      <w:r w:rsidRPr="00026EC1">
        <w:rPr>
          <w:rFonts w:ascii="Symbol" w:hAnsi="Symbol"/>
          <w:bCs/>
        </w:rPr>
        <w:tab/>
      </w:r>
      <w:r w:rsidR="00514BD7" w:rsidRPr="00026EC1">
        <w:rPr>
          <w:bCs/>
        </w:rPr>
        <w:t>celui établissant les ressources allouées aux fins de la clause</w:t>
      </w:r>
      <w:r w:rsidR="004A0B04">
        <w:rPr>
          <w:bCs/>
        </w:rPr>
        <w:t> </w:t>
      </w:r>
      <w:r w:rsidR="00514BD7" w:rsidRPr="00026EC1">
        <w:rPr>
          <w:bCs/>
        </w:rPr>
        <w:t>8</w:t>
      </w:r>
      <w:r w:rsidR="00984A6F">
        <w:rPr>
          <w:bCs/>
        </w:rPr>
        <w:noBreakHyphen/>
      </w:r>
      <w:r w:rsidR="00514BD7" w:rsidRPr="00026EC1">
        <w:rPr>
          <w:bCs/>
        </w:rPr>
        <w:t>5.06</w:t>
      </w:r>
      <w:r w:rsidR="00716F2F" w:rsidRPr="00316277">
        <w:rPr>
          <w:bCs/>
        </w:rPr>
        <w:t>;</w:t>
      </w:r>
    </w:p>
    <w:p w14:paraId="45CB8634" w14:textId="77777777" w:rsidR="00A709D5" w:rsidRDefault="00A709D5" w:rsidP="00A64613">
      <w:pPr>
        <w:keepNext w:val="0"/>
        <w:tabs>
          <w:tab w:val="left" w:pos="567"/>
        </w:tabs>
        <w:ind w:left="567" w:hanging="567"/>
        <w:rPr>
          <w:bCs/>
        </w:rPr>
      </w:pPr>
    </w:p>
    <w:p w14:paraId="5F2A2CEE" w14:textId="2C008327" w:rsidR="00725398" w:rsidRPr="00FB4A00" w:rsidRDefault="00725398" w:rsidP="00A64613">
      <w:pPr>
        <w:keepNext w:val="0"/>
        <w:rPr>
          <w:rFonts w:eastAsia="Calibri" w:cs="Segoe UI"/>
        </w:rPr>
      </w:pPr>
      <w:r w:rsidRPr="0072509F">
        <w:rPr>
          <w:rFonts w:eastAsia="Calibri"/>
          <w:szCs w:val="22"/>
        </w:rPr>
        <w:t>auxquels s’ajoute</w:t>
      </w:r>
      <w:r w:rsidR="002157A5">
        <w:rPr>
          <w:rFonts w:eastAsia="Calibri"/>
          <w:szCs w:val="22"/>
        </w:rPr>
        <w:t xml:space="preserve"> le</w:t>
      </w:r>
      <w:r w:rsidRPr="0072509F">
        <w:rPr>
          <w:rFonts w:eastAsia="Calibri"/>
          <w:szCs w:val="22"/>
        </w:rPr>
        <w:t xml:space="preserve"> montant </w:t>
      </w:r>
      <w:r w:rsidRPr="0072509F">
        <w:rPr>
          <w:szCs w:val="22"/>
        </w:rPr>
        <w:t xml:space="preserve">alloué </w:t>
      </w:r>
      <w:r w:rsidRPr="00AC16CB">
        <w:rPr>
          <w:szCs w:val="22"/>
        </w:rPr>
        <w:t xml:space="preserve">en vertu de </w:t>
      </w:r>
      <w:r w:rsidRPr="0072509F">
        <w:rPr>
          <w:szCs w:val="22"/>
        </w:rPr>
        <w:t>l’</w:t>
      </w:r>
      <w:r w:rsidR="00D0580F" w:rsidRPr="0072509F">
        <w:rPr>
          <w:szCs w:val="22"/>
        </w:rPr>
        <w:t>A</w:t>
      </w:r>
      <w:r w:rsidRPr="0072509F">
        <w:rPr>
          <w:szCs w:val="22"/>
        </w:rPr>
        <w:t>nnexe</w:t>
      </w:r>
      <w:r w:rsidR="00D0580F" w:rsidRPr="0072509F">
        <w:rPr>
          <w:szCs w:val="22"/>
        </w:rPr>
        <w:t> </w:t>
      </w:r>
      <w:r w:rsidRPr="0072509F">
        <w:rPr>
          <w:szCs w:val="22"/>
        </w:rPr>
        <w:t>I</w:t>
      </w:r>
      <w:r w:rsidR="00D0580F" w:rsidRPr="0072509F">
        <w:rPr>
          <w:rFonts w:ascii="Cambria Math" w:hAnsi="Cambria Math"/>
          <w:szCs w:val="22"/>
        </w:rPr>
        <w:t>‑</w:t>
      </w:r>
      <w:r w:rsidRPr="0072509F">
        <w:rPr>
          <w:szCs w:val="22"/>
        </w:rPr>
        <w:t>14</w:t>
      </w:r>
      <w:r w:rsidR="009C57C1" w:rsidRPr="00A3388F">
        <w:rPr>
          <w:szCs w:val="22"/>
        </w:rPr>
        <w:t>.</w:t>
      </w:r>
    </w:p>
    <w:p w14:paraId="63DBA261" w14:textId="77777777" w:rsidR="00E948C4" w:rsidRPr="00026EC1" w:rsidRDefault="00E948C4" w:rsidP="00A64613">
      <w:pPr>
        <w:keepNext w:val="0"/>
        <w:tabs>
          <w:tab w:val="left" w:pos="567"/>
        </w:tabs>
        <w:ind w:left="567" w:hanging="567"/>
        <w:rPr>
          <w:bCs/>
        </w:rPr>
      </w:pPr>
    </w:p>
    <w:p w14:paraId="2D17D6CB" w14:textId="2922727D" w:rsidR="00514BD7" w:rsidRPr="00026EC1" w:rsidRDefault="00514BD7" w:rsidP="00A64613">
      <w:pPr>
        <w:pStyle w:val="NUMRODECLAUSE"/>
        <w:keepNext w:val="0"/>
      </w:pPr>
      <w:r w:rsidRPr="00026EC1">
        <w:t>8</w:t>
      </w:r>
      <w:r w:rsidR="00984A6F">
        <w:noBreakHyphen/>
      </w:r>
      <w:r w:rsidRPr="00026EC1">
        <w:t>5.03</w:t>
      </w:r>
    </w:p>
    <w:p w14:paraId="06980457" w14:textId="038112D7" w:rsidR="00514BD7" w:rsidRPr="00026EC1" w:rsidRDefault="00275751" w:rsidP="00A64613">
      <w:pPr>
        <w:keepNext w:val="0"/>
        <w:ind w:left="567" w:hanging="567"/>
      </w:pPr>
      <w:r w:rsidRPr="00026EC1">
        <w:t>A)</w:t>
      </w:r>
      <w:r w:rsidRPr="00026EC1">
        <w:tab/>
      </w:r>
      <w:r w:rsidR="00514BD7" w:rsidRPr="00026EC1">
        <w:t>Le nombre d</w:t>
      </w:r>
      <w:r w:rsidR="004A41E4" w:rsidRPr="00026EC1">
        <w:t>’</w:t>
      </w:r>
      <w:r w:rsidR="00514BD7" w:rsidRPr="00026EC1">
        <w:t>enseignantes et d</w:t>
      </w:r>
      <w:r w:rsidR="004A41E4" w:rsidRPr="00026EC1">
        <w:t>’</w:t>
      </w:r>
      <w:r w:rsidR="00514BD7" w:rsidRPr="00026EC1">
        <w:t>enseignants réguliers à temps complet ou l</w:t>
      </w:r>
      <w:r w:rsidR="004A41E4" w:rsidRPr="00026EC1">
        <w:t>’</w:t>
      </w:r>
      <w:r w:rsidR="00514BD7" w:rsidRPr="00026EC1">
        <w:t>équivalent que le Ministère alloue pour le volet 1 à un Collège ou Campus donné pour une année d</w:t>
      </w:r>
      <w:r w:rsidR="004A41E4" w:rsidRPr="00026EC1">
        <w:t>’</w:t>
      </w:r>
      <w:r w:rsidR="00514BD7" w:rsidRPr="00026EC1">
        <w:t>enseignement est déterminé en appliquant les dispositions appropriées du mode de financement au nombre d</w:t>
      </w:r>
      <w:r w:rsidR="004A41E4" w:rsidRPr="00026EC1">
        <w:t>’</w:t>
      </w:r>
      <w:r w:rsidR="00514BD7" w:rsidRPr="00026EC1">
        <w:t>étudiantes et d</w:t>
      </w:r>
      <w:r w:rsidR="004A41E4" w:rsidRPr="00026EC1">
        <w:t>’</w:t>
      </w:r>
      <w:r w:rsidR="00514BD7" w:rsidRPr="00026EC1">
        <w:t>étudiants inscrits à chacun des cours ou à chacun des programmes, selon le cas, donnés à l</w:t>
      </w:r>
      <w:r w:rsidR="004A41E4" w:rsidRPr="00026EC1">
        <w:t>’</w:t>
      </w:r>
      <w:r w:rsidR="00514BD7" w:rsidRPr="00026EC1">
        <w:t>enseignement régulier dans ce Collège ou Campus et comprend le nombre prévu à la colonne A de l</w:t>
      </w:r>
      <w:r w:rsidR="004A41E4" w:rsidRPr="00026EC1">
        <w:t>’</w:t>
      </w:r>
      <w:r w:rsidR="00242EC4" w:rsidRPr="00026EC1">
        <w:t>A</w:t>
      </w:r>
      <w:r w:rsidR="00514BD7" w:rsidRPr="00026EC1">
        <w:t>nnexe I</w:t>
      </w:r>
      <w:r w:rsidR="00984A6F">
        <w:noBreakHyphen/>
      </w:r>
      <w:r w:rsidR="00514BD7" w:rsidRPr="00026EC1">
        <w:t>2. Il s</w:t>
      </w:r>
      <w:r w:rsidR="004A41E4" w:rsidRPr="00026EC1">
        <w:t>’</w:t>
      </w:r>
      <w:r w:rsidR="00514BD7" w:rsidRPr="00026EC1">
        <w:t>agit des ressources prévues à la convention collective</w:t>
      </w:r>
      <w:r w:rsidR="00AB04BA">
        <w:t> </w:t>
      </w:r>
      <w:r w:rsidR="00514BD7" w:rsidRPr="00026EC1">
        <w:t>1995</w:t>
      </w:r>
      <w:r w:rsidR="00984A6F">
        <w:noBreakHyphen/>
      </w:r>
      <w:r w:rsidR="00514BD7" w:rsidRPr="00026EC1">
        <w:t>1998 pour les cours de théorie</w:t>
      </w:r>
      <w:r w:rsidR="00984A6F">
        <w:noBreakHyphen/>
      </w:r>
      <w:r w:rsidR="00514BD7" w:rsidRPr="00026EC1">
        <w:t>laboratoires, les cours de stages, les programmes exclus, les nombreuses préparations et les temps de déplacement.</w:t>
      </w:r>
    </w:p>
    <w:p w14:paraId="10EB21E0" w14:textId="77777777" w:rsidR="00514BD7" w:rsidRPr="00026EC1" w:rsidRDefault="00514BD7" w:rsidP="00A64613">
      <w:pPr>
        <w:keepNext w:val="0"/>
        <w:ind w:left="567" w:hanging="567"/>
      </w:pPr>
    </w:p>
    <w:p w14:paraId="277F3E8E" w14:textId="3E117596" w:rsidR="00E56F5E" w:rsidRDefault="00275751" w:rsidP="00A64613">
      <w:pPr>
        <w:keepNext w:val="0"/>
        <w:ind w:left="567" w:hanging="567"/>
      </w:pPr>
      <w:r w:rsidRPr="00026EC1">
        <w:t>B)</w:t>
      </w:r>
      <w:r w:rsidRPr="00026EC1">
        <w:tab/>
      </w:r>
      <w:r w:rsidR="00514BD7" w:rsidRPr="00026EC1">
        <w:t>Le nombre d</w:t>
      </w:r>
      <w:r w:rsidR="004A41E4" w:rsidRPr="00026EC1">
        <w:t>’</w:t>
      </w:r>
      <w:r w:rsidR="00514BD7" w:rsidRPr="00026EC1">
        <w:t>enseignantes et d</w:t>
      </w:r>
      <w:r w:rsidR="004A41E4" w:rsidRPr="00026EC1">
        <w:t>’</w:t>
      </w:r>
      <w:r w:rsidR="00514BD7" w:rsidRPr="00026EC1">
        <w:t>enseignants à temps complet ou l</w:t>
      </w:r>
      <w:r w:rsidR="004A41E4" w:rsidRPr="00026EC1">
        <w:t>’</w:t>
      </w:r>
      <w:r w:rsidR="00514BD7" w:rsidRPr="00026EC1">
        <w:t>équivalent pour le volet</w:t>
      </w:r>
      <w:r w:rsidR="008443D7">
        <w:t> </w:t>
      </w:r>
      <w:r w:rsidR="00514BD7" w:rsidRPr="00026EC1">
        <w:t xml:space="preserve">1 comprend aussi les ressources que le Ministère alloue à un Collège ou Campus </w:t>
      </w:r>
      <w:r w:rsidR="00514BD7" w:rsidRPr="002157A5">
        <w:t>en vertu</w:t>
      </w:r>
      <w:r w:rsidR="00514BD7" w:rsidRPr="00AC16CB">
        <w:t xml:space="preserve"> </w:t>
      </w:r>
      <w:r w:rsidR="00716F2F" w:rsidRPr="00316277">
        <w:t>des</w:t>
      </w:r>
      <w:r w:rsidR="00716F2F">
        <w:t xml:space="preserve"> </w:t>
      </w:r>
      <w:r w:rsidR="00514BD7" w:rsidRPr="002157A5">
        <w:t>Annexe</w:t>
      </w:r>
      <w:r w:rsidR="00716F2F" w:rsidRPr="00316277">
        <w:t>s</w:t>
      </w:r>
      <w:r w:rsidR="00AB6A7C" w:rsidRPr="002157A5">
        <w:t> </w:t>
      </w:r>
      <w:r w:rsidR="00514BD7" w:rsidRPr="00026EC1">
        <w:t>I</w:t>
      </w:r>
      <w:r w:rsidR="00984A6F">
        <w:noBreakHyphen/>
      </w:r>
      <w:r w:rsidR="00514BD7" w:rsidRPr="00026EC1">
        <w:t>11</w:t>
      </w:r>
      <w:r w:rsidR="00716F2F">
        <w:t xml:space="preserve"> et </w:t>
      </w:r>
      <w:r w:rsidR="00716F2F" w:rsidRPr="00316277">
        <w:t>I-19</w:t>
      </w:r>
      <w:r w:rsidR="00514BD7" w:rsidRPr="00026EC1">
        <w:t>.</w:t>
      </w:r>
    </w:p>
    <w:p w14:paraId="3ED8BF4D" w14:textId="77777777" w:rsidR="00E56F5E" w:rsidRDefault="00E56F5E">
      <w:pPr>
        <w:keepNext w:val="0"/>
        <w:suppressAutoHyphens w:val="0"/>
        <w:jc w:val="left"/>
      </w:pPr>
      <w:r>
        <w:br w:type="page"/>
      </w:r>
    </w:p>
    <w:p w14:paraId="6CEA1E65" w14:textId="6F3052E8" w:rsidR="00D416A0" w:rsidRPr="00316277" w:rsidRDefault="00D416A0" w:rsidP="00864798">
      <w:pPr>
        <w:pStyle w:val="N-FEC-puce"/>
        <w:numPr>
          <w:ilvl w:val="0"/>
          <w:numId w:val="70"/>
        </w:numPr>
        <w:spacing w:before="0" w:after="0"/>
        <w:ind w:left="567" w:hanging="567"/>
        <w:rPr>
          <w:color w:val="auto"/>
        </w:rPr>
      </w:pPr>
      <w:r w:rsidRPr="00316277">
        <w:rPr>
          <w:rFonts w:ascii="Arial" w:eastAsia="Calibri" w:hAnsi="Arial" w:cs="Times New Roman"/>
          <w:color w:val="auto"/>
          <w:sz w:val="24"/>
          <w:szCs w:val="22"/>
        </w:rPr>
        <w:t>À compter de l’année d’engagement 2024-2025</w:t>
      </w:r>
      <w:r w:rsidR="001419FB" w:rsidRPr="00316277">
        <w:rPr>
          <w:rFonts w:ascii="Arial" w:eastAsia="Calibri" w:hAnsi="Arial" w:cs="Times New Roman"/>
          <w:color w:val="auto"/>
          <w:sz w:val="24"/>
          <w:szCs w:val="22"/>
        </w:rPr>
        <w:t>,</w:t>
      </w:r>
      <w:r w:rsidRPr="00316277">
        <w:rPr>
          <w:rFonts w:ascii="Arial" w:eastAsia="Calibri" w:hAnsi="Arial" w:cs="Times New Roman"/>
          <w:color w:val="auto"/>
          <w:sz w:val="24"/>
          <w:szCs w:val="22"/>
        </w:rPr>
        <w:t xml:space="preserve"> le nombre d’enseignantes et d’enseignants à temps complet ou l’équivalent pour le volet 1 comprend aussi les ressources que le Ministère alloue à un Collège ou Campus en vertu de l’Annexe</w:t>
      </w:r>
      <w:r w:rsidR="001470D4" w:rsidRPr="00316277">
        <w:rPr>
          <w:rFonts w:ascii="Arial" w:eastAsia="Calibri" w:hAnsi="Arial" w:cs="Times New Roman"/>
          <w:color w:val="auto"/>
          <w:sz w:val="24"/>
          <w:szCs w:val="22"/>
        </w:rPr>
        <w:t> </w:t>
      </w:r>
      <w:r w:rsidRPr="00316277">
        <w:rPr>
          <w:rFonts w:ascii="Arial" w:eastAsia="Calibri" w:hAnsi="Arial" w:cs="Times New Roman"/>
          <w:color w:val="auto"/>
          <w:sz w:val="24"/>
          <w:szCs w:val="22"/>
        </w:rPr>
        <w:t>I</w:t>
      </w:r>
      <w:r w:rsidRPr="00316277">
        <w:rPr>
          <w:rFonts w:ascii="Arial" w:eastAsia="Calibri" w:hAnsi="Arial" w:cs="Times New Roman"/>
          <w:color w:val="auto"/>
          <w:sz w:val="24"/>
          <w:szCs w:val="22"/>
        </w:rPr>
        <w:noBreakHyphen/>
        <w:t>16.</w:t>
      </w:r>
    </w:p>
    <w:p w14:paraId="1DD1C33C" w14:textId="77777777" w:rsidR="001470D4" w:rsidRPr="00316277" w:rsidRDefault="001470D4" w:rsidP="00AC16CB">
      <w:pPr>
        <w:pStyle w:val="N-FEC-puce"/>
        <w:spacing w:before="0" w:after="0"/>
        <w:ind w:left="567" w:firstLine="0"/>
        <w:rPr>
          <w:rFonts w:ascii="Arial" w:hAnsi="Arial" w:cs="Arial"/>
          <w:color w:val="auto"/>
          <w:sz w:val="24"/>
          <w:szCs w:val="24"/>
        </w:rPr>
      </w:pPr>
    </w:p>
    <w:p w14:paraId="3BE8FFD9" w14:textId="46D5F93E" w:rsidR="00514BD7" w:rsidRPr="00026EC1" w:rsidRDefault="00514BD7" w:rsidP="00A64613">
      <w:pPr>
        <w:pStyle w:val="NUMRODECLAUSE"/>
        <w:keepNext w:val="0"/>
      </w:pPr>
      <w:r w:rsidRPr="00026EC1">
        <w:t>8</w:t>
      </w:r>
      <w:r w:rsidR="00984A6F">
        <w:noBreakHyphen/>
      </w:r>
      <w:r w:rsidRPr="00026EC1">
        <w:t>5.04</w:t>
      </w:r>
    </w:p>
    <w:p w14:paraId="74AC0BEF" w14:textId="091F39F1" w:rsidR="00514BD7" w:rsidRPr="00026EC1" w:rsidRDefault="00514BD7" w:rsidP="00A64613">
      <w:pPr>
        <w:keepNext w:val="0"/>
      </w:pPr>
      <w:r w:rsidRPr="00026EC1">
        <w:t>Le nombre d</w:t>
      </w:r>
      <w:r w:rsidR="004A41E4" w:rsidRPr="00026EC1">
        <w:t>’</w:t>
      </w:r>
      <w:r w:rsidRPr="00026EC1">
        <w:t>enseignantes et d</w:t>
      </w:r>
      <w:r w:rsidR="004A41E4" w:rsidRPr="00026EC1">
        <w:t>’</w:t>
      </w:r>
      <w:r w:rsidRPr="00026EC1">
        <w:t>enseignants réguliers à temps complet ou l</w:t>
      </w:r>
      <w:r w:rsidR="004A41E4" w:rsidRPr="00026EC1">
        <w:t>’</w:t>
      </w:r>
      <w:r w:rsidRPr="00026EC1">
        <w:t>équivalent que le Ministère alloue pour le volet</w:t>
      </w:r>
      <w:r w:rsidR="005868F1">
        <w:t> </w:t>
      </w:r>
      <w:r w:rsidRPr="00026EC1">
        <w:t>2 à un Collège ou Campus donné pour une année d</w:t>
      </w:r>
      <w:r w:rsidR="004A41E4" w:rsidRPr="00026EC1">
        <w:t>’</w:t>
      </w:r>
      <w:r w:rsidRPr="00026EC1">
        <w:t>enseignement est déterminé en appliquant les dispositions appropriées du mode de financement et comprend les ressources prévues aux paragraphes suivants en y ajoutant le nombre prévu à la colonne B de l</w:t>
      </w:r>
      <w:r w:rsidR="004A41E4" w:rsidRPr="00026EC1">
        <w:t>’</w:t>
      </w:r>
      <w:r w:rsidR="00242EC4" w:rsidRPr="00026EC1">
        <w:t>A</w:t>
      </w:r>
      <w:r w:rsidRPr="00026EC1">
        <w:t>nnexe I</w:t>
      </w:r>
      <w:r w:rsidR="00984A6F">
        <w:noBreakHyphen/>
      </w:r>
      <w:r w:rsidRPr="00026EC1">
        <w:t>2. Il s</w:t>
      </w:r>
      <w:r w:rsidR="004A41E4" w:rsidRPr="00026EC1">
        <w:t>’</w:t>
      </w:r>
      <w:r w:rsidRPr="00026EC1">
        <w:t>agit des ressources prévues à la convention collective</w:t>
      </w:r>
      <w:r w:rsidR="00AB04BA">
        <w:t> </w:t>
      </w:r>
      <w:r w:rsidRPr="00026EC1">
        <w:t>1995</w:t>
      </w:r>
      <w:r w:rsidR="00984A6F">
        <w:noBreakHyphen/>
      </w:r>
      <w:r w:rsidRPr="00026EC1">
        <w:t>1998 aux fins de la coordination départementale et de la coordination des départements qui donnent de l</w:t>
      </w:r>
      <w:r w:rsidR="004A41E4" w:rsidRPr="00026EC1">
        <w:t>’</w:t>
      </w:r>
      <w:r w:rsidRPr="00026EC1">
        <w:t>enseignement professionnel sous forme de stages ou d</w:t>
      </w:r>
      <w:r w:rsidR="004A41E4" w:rsidRPr="00026EC1">
        <w:t>’</w:t>
      </w:r>
      <w:r w:rsidRPr="00026EC1">
        <w:t>ateliers et de l</w:t>
      </w:r>
      <w:r w:rsidR="004A41E4" w:rsidRPr="00026EC1">
        <w:t>’</w:t>
      </w:r>
      <w:r w:rsidRPr="00026EC1">
        <w:t>encadrement des étudiantes et étudiants et plus particulièrement des nouvelles étudiantes et des nouveaux étudiants.</w:t>
      </w:r>
    </w:p>
    <w:p w14:paraId="0752C371" w14:textId="77777777" w:rsidR="00514BD7" w:rsidRPr="00026EC1" w:rsidRDefault="00514BD7" w:rsidP="00A64613">
      <w:pPr>
        <w:keepNext w:val="0"/>
      </w:pPr>
    </w:p>
    <w:p w14:paraId="0D208405" w14:textId="263DD031" w:rsidR="00514BD7" w:rsidRPr="00026EC1" w:rsidRDefault="00F92228" w:rsidP="00E02DF3">
      <w:pPr>
        <w:keepNext w:val="0"/>
        <w:ind w:left="567" w:hanging="567"/>
      </w:pPr>
      <w:r w:rsidRPr="0072509F">
        <w:t>a</w:t>
      </w:r>
      <w:r w:rsidR="00845586" w:rsidRPr="0072509F">
        <w:t>)</w:t>
      </w:r>
      <w:r w:rsidR="00845586">
        <w:tab/>
      </w:r>
      <w:r w:rsidR="00514BD7" w:rsidRPr="00026EC1">
        <w:t>Chaque Collège ou Campus dispose annuellement d</w:t>
      </w:r>
      <w:r w:rsidR="004A41E4" w:rsidRPr="00026EC1">
        <w:t>’</w:t>
      </w:r>
      <w:r w:rsidR="00514BD7" w:rsidRPr="00026EC1">
        <w:t>une (1) enseignante ou d</w:t>
      </w:r>
      <w:r w:rsidR="004A41E4" w:rsidRPr="00026EC1">
        <w:t>’</w:t>
      </w:r>
      <w:r w:rsidR="00514BD7" w:rsidRPr="00026EC1">
        <w:t>un (1) enseignant à temps complet ou l</w:t>
      </w:r>
      <w:r w:rsidR="004A41E4" w:rsidRPr="00026EC1">
        <w:t>’</w:t>
      </w:r>
      <w:r w:rsidR="00514BD7" w:rsidRPr="00026EC1">
        <w:t>équivalent par dix</w:t>
      </w:r>
      <w:r w:rsidR="00984A6F">
        <w:noBreakHyphen/>
      </w:r>
      <w:r w:rsidR="00514BD7" w:rsidRPr="00026EC1">
        <w:t>huit</w:t>
      </w:r>
      <w:r w:rsidR="005868F1">
        <w:t> </w:t>
      </w:r>
      <w:r w:rsidR="00514BD7" w:rsidRPr="00026EC1">
        <w:t>(18) enseignantes et enseignants à temps complet ou l</w:t>
      </w:r>
      <w:r w:rsidR="004A41E4" w:rsidRPr="00026EC1">
        <w:t>’</w:t>
      </w:r>
      <w:r w:rsidR="00514BD7" w:rsidRPr="00026EC1">
        <w:t>équivalent alloués en vertu de la clause 8</w:t>
      </w:r>
      <w:r w:rsidR="00984A6F">
        <w:noBreakHyphen/>
      </w:r>
      <w:r w:rsidR="00514BD7" w:rsidRPr="00026EC1">
        <w:t>5.03.</w:t>
      </w:r>
    </w:p>
    <w:p w14:paraId="33756F9C" w14:textId="77777777" w:rsidR="00514BD7" w:rsidRPr="00026EC1" w:rsidRDefault="00514BD7" w:rsidP="00A64613">
      <w:pPr>
        <w:keepNext w:val="0"/>
      </w:pPr>
    </w:p>
    <w:p w14:paraId="3B478B90" w14:textId="34145EAE" w:rsidR="002E6480" w:rsidRPr="00026EC1" w:rsidRDefault="002E6480" w:rsidP="00E02DF3">
      <w:pPr>
        <w:keepNext w:val="0"/>
        <w:ind w:left="567"/>
      </w:pPr>
      <w:r w:rsidRPr="00026EC1">
        <w:t xml:space="preserve">Toutefois, </w:t>
      </w:r>
      <w:r w:rsidR="009774E8" w:rsidRPr="00316277">
        <w:t>à compter de l’année d’engagement 2024-2025,</w:t>
      </w:r>
      <w:r w:rsidR="009774E8">
        <w:t xml:space="preserve"> </w:t>
      </w:r>
      <w:r w:rsidRPr="00026EC1">
        <w:t>les Collèges qui disposent de moins de six</w:t>
      </w:r>
      <w:r w:rsidR="00E948C4">
        <w:t xml:space="preserve"> </w:t>
      </w:r>
      <w:r w:rsidR="00E948C4" w:rsidRPr="00316277">
        <w:t>virgule trois</w:t>
      </w:r>
      <w:r w:rsidR="005868F1">
        <w:t> </w:t>
      </w:r>
      <w:r w:rsidRPr="00026EC1">
        <w:t>(6</w:t>
      </w:r>
      <w:r w:rsidR="00E948C4" w:rsidRPr="00316277">
        <w:t>,3</w:t>
      </w:r>
      <w:r w:rsidRPr="00026EC1">
        <w:t>) enseignantes et enseignants à temps complet ou l’équivalent en vertu du paragraphe précédent sont assurés d’un minimum de six</w:t>
      </w:r>
      <w:r w:rsidR="00E948C4">
        <w:t xml:space="preserve"> </w:t>
      </w:r>
      <w:r w:rsidR="00E948C4" w:rsidRPr="00316277">
        <w:t>virgule trois</w:t>
      </w:r>
      <w:r w:rsidRPr="00026EC1">
        <w:t xml:space="preserve"> (6</w:t>
      </w:r>
      <w:r w:rsidR="00E948C4" w:rsidRPr="00316277">
        <w:t>,3</w:t>
      </w:r>
      <w:r w:rsidRPr="00026EC1">
        <w:t>) enseignantes et enseignants à temps complet ou l’équivalent</w:t>
      </w:r>
      <w:r w:rsidR="004C296A">
        <w:rPr>
          <w:rStyle w:val="FootnoteReference"/>
        </w:rPr>
        <w:footnoteReference w:id="40"/>
      </w:r>
      <w:r w:rsidRPr="00026EC1">
        <w:t>.</w:t>
      </w:r>
    </w:p>
    <w:p w14:paraId="42C1EFA0" w14:textId="77777777" w:rsidR="00514BD7" w:rsidRPr="00026EC1" w:rsidRDefault="00514BD7" w:rsidP="00E02DF3">
      <w:pPr>
        <w:keepNext w:val="0"/>
        <w:ind w:left="567"/>
      </w:pPr>
    </w:p>
    <w:p w14:paraId="25129E93" w14:textId="42C38C97" w:rsidR="00514BD7" w:rsidRPr="00026EC1" w:rsidRDefault="00514BD7" w:rsidP="00E02DF3">
      <w:pPr>
        <w:keepNext w:val="0"/>
        <w:ind w:left="567"/>
      </w:pPr>
      <w:r w:rsidRPr="00026EC1">
        <w:t>Ce minimum ne s</w:t>
      </w:r>
      <w:r w:rsidR="004A41E4" w:rsidRPr="00026EC1">
        <w:t>’</w:t>
      </w:r>
      <w:r w:rsidRPr="00026EC1">
        <w:t>applique pas aux unités d</w:t>
      </w:r>
      <w:r w:rsidR="004A41E4" w:rsidRPr="00026EC1">
        <w:t>’</w:t>
      </w:r>
      <w:r w:rsidRPr="00026EC1">
        <w:t>enseignement suivantes</w:t>
      </w:r>
      <w:r w:rsidRPr="00026EC1">
        <w:rPr>
          <w:rStyle w:val="FootnoteReference"/>
        </w:rPr>
        <w:footnoteReference w:id="41"/>
      </w:r>
      <w:r w:rsidR="00D8581B">
        <w:t> :</w:t>
      </w:r>
    </w:p>
    <w:p w14:paraId="565A31E3" w14:textId="77777777" w:rsidR="00514BD7" w:rsidRPr="00026EC1" w:rsidRDefault="00514BD7" w:rsidP="00A64613">
      <w:pPr>
        <w:keepNext w:val="0"/>
      </w:pPr>
    </w:p>
    <w:tbl>
      <w:tblPr>
        <w:tblW w:w="0" w:type="auto"/>
        <w:tblCellMar>
          <w:left w:w="70" w:type="dxa"/>
          <w:right w:w="70" w:type="dxa"/>
        </w:tblCellMar>
        <w:tblLook w:val="0000" w:firstRow="0" w:lastRow="0" w:firstColumn="0" w:lastColumn="0" w:noHBand="0" w:noVBand="0"/>
      </w:tblPr>
      <w:tblGrid>
        <w:gridCol w:w="3828"/>
        <w:gridCol w:w="5528"/>
      </w:tblGrid>
      <w:tr w:rsidR="004B16EF" w:rsidRPr="00026EC1" w14:paraId="01BDC607" w14:textId="77777777" w:rsidTr="00330882">
        <w:tc>
          <w:tcPr>
            <w:tcW w:w="3828" w:type="dxa"/>
          </w:tcPr>
          <w:p w14:paraId="5D38AC0D" w14:textId="77777777" w:rsidR="004B16EF" w:rsidRPr="00D21B2D" w:rsidRDefault="004B16EF" w:rsidP="00A64613">
            <w:pPr>
              <w:keepNext w:val="0"/>
              <w:rPr>
                <w:bCs/>
                <w:u w:val="single"/>
              </w:rPr>
            </w:pPr>
            <w:r w:rsidRPr="00D21B2D">
              <w:rPr>
                <w:bCs/>
                <w:u w:val="single"/>
              </w:rPr>
              <w:t>Collèges</w:t>
            </w:r>
          </w:p>
        </w:tc>
        <w:tc>
          <w:tcPr>
            <w:tcW w:w="5528" w:type="dxa"/>
          </w:tcPr>
          <w:p w14:paraId="622D5FB6" w14:textId="77777777" w:rsidR="004B16EF" w:rsidRPr="00D21B2D" w:rsidRDefault="004B16EF" w:rsidP="00A64613">
            <w:pPr>
              <w:keepNext w:val="0"/>
              <w:rPr>
                <w:bCs/>
                <w:u w:val="single"/>
              </w:rPr>
            </w:pPr>
            <w:r w:rsidRPr="00D21B2D">
              <w:rPr>
                <w:bCs/>
                <w:u w:val="single"/>
              </w:rPr>
              <w:t>Unités d’enseignement</w:t>
            </w:r>
          </w:p>
        </w:tc>
      </w:tr>
      <w:tr w:rsidR="004B16EF" w:rsidRPr="00026EC1" w14:paraId="59A28848" w14:textId="77777777" w:rsidTr="00330882">
        <w:tc>
          <w:tcPr>
            <w:tcW w:w="3828" w:type="dxa"/>
          </w:tcPr>
          <w:p w14:paraId="6862A626" w14:textId="47445FFF" w:rsidR="004B16EF" w:rsidRPr="00D21B2D" w:rsidRDefault="004B16EF" w:rsidP="00A64613">
            <w:pPr>
              <w:keepNext w:val="0"/>
            </w:pPr>
            <w:r w:rsidRPr="00D21B2D">
              <w:t>Abitibi</w:t>
            </w:r>
            <w:r w:rsidR="00984A6F">
              <w:noBreakHyphen/>
            </w:r>
            <w:r w:rsidRPr="00D21B2D">
              <w:t>Témiscamingue</w:t>
            </w:r>
          </w:p>
        </w:tc>
        <w:tc>
          <w:tcPr>
            <w:tcW w:w="5528" w:type="dxa"/>
          </w:tcPr>
          <w:p w14:paraId="2B8CF512" w14:textId="5F1D152A" w:rsidR="004B16EF" w:rsidRPr="00D21B2D" w:rsidRDefault="004B16EF" w:rsidP="00A64613">
            <w:pPr>
              <w:keepNext w:val="0"/>
            </w:pPr>
            <w:r w:rsidRPr="00D21B2D">
              <w:t>Sous</w:t>
            </w:r>
            <w:r w:rsidR="00984A6F">
              <w:noBreakHyphen/>
            </w:r>
            <w:r w:rsidRPr="00D21B2D">
              <w:t>centre d’Amos</w:t>
            </w:r>
          </w:p>
        </w:tc>
      </w:tr>
      <w:tr w:rsidR="004B16EF" w:rsidRPr="00026EC1" w14:paraId="477B78B5" w14:textId="77777777" w:rsidTr="00330882">
        <w:tc>
          <w:tcPr>
            <w:tcW w:w="3828" w:type="dxa"/>
          </w:tcPr>
          <w:p w14:paraId="4B531CB4" w14:textId="77777777" w:rsidR="004B16EF" w:rsidRPr="00AD49D6" w:rsidRDefault="004B16EF" w:rsidP="00A64613">
            <w:pPr>
              <w:keepNext w:val="0"/>
            </w:pPr>
          </w:p>
        </w:tc>
        <w:tc>
          <w:tcPr>
            <w:tcW w:w="5528" w:type="dxa"/>
          </w:tcPr>
          <w:p w14:paraId="5029091D" w14:textId="78344F8B" w:rsidR="004B16EF" w:rsidRPr="00AD49D6" w:rsidRDefault="004B16EF" w:rsidP="00A64613">
            <w:pPr>
              <w:keepNext w:val="0"/>
            </w:pPr>
            <w:r w:rsidRPr="00AD49D6">
              <w:t>Sous</w:t>
            </w:r>
            <w:r w:rsidR="00984A6F">
              <w:noBreakHyphen/>
            </w:r>
            <w:r w:rsidRPr="00AD49D6">
              <w:t>centre de Val</w:t>
            </w:r>
            <w:r w:rsidR="00984A6F">
              <w:noBreakHyphen/>
            </w:r>
            <w:r w:rsidRPr="00AD49D6">
              <w:t>d’Or</w:t>
            </w:r>
          </w:p>
          <w:p w14:paraId="556251AB" w14:textId="69D08C7B" w:rsidR="001F1BF9" w:rsidRPr="00AD49D6" w:rsidRDefault="001F1BF9" w:rsidP="00A64613">
            <w:pPr>
              <w:keepNext w:val="0"/>
            </w:pPr>
            <w:r w:rsidRPr="00AD49D6">
              <w:t>Pavillon anglophone de Val</w:t>
            </w:r>
            <w:r w:rsidR="00984A6F">
              <w:noBreakHyphen/>
            </w:r>
            <w:r w:rsidRPr="00AD49D6">
              <w:t>d’Or</w:t>
            </w:r>
          </w:p>
          <w:p w14:paraId="4E810A78" w14:textId="5EDDCD65" w:rsidR="001102EA" w:rsidRPr="00AD49D6" w:rsidRDefault="009922D4" w:rsidP="00A64613">
            <w:pPr>
              <w:keepNext w:val="0"/>
              <w:rPr>
                <w:rFonts w:cs="Arial"/>
              </w:rPr>
            </w:pPr>
            <w:r w:rsidRPr="00AD49D6">
              <w:rPr>
                <w:rFonts w:cs="Arial"/>
              </w:rPr>
              <w:t xml:space="preserve">Centre </w:t>
            </w:r>
            <w:r w:rsidRPr="00AD49D6">
              <w:rPr>
                <w:rFonts w:cs="Arial"/>
                <w:szCs w:val="22"/>
                <w:lang w:eastAsia="fr-CA"/>
              </w:rPr>
              <w:t>d’études collégiales des Premières Nations (Institut Kiuna; francophone)</w:t>
            </w:r>
          </w:p>
        </w:tc>
      </w:tr>
      <w:tr w:rsidR="004B16EF" w:rsidRPr="00026EC1" w14:paraId="619B7C2D" w14:textId="77777777" w:rsidTr="00330882">
        <w:tc>
          <w:tcPr>
            <w:tcW w:w="3828" w:type="dxa"/>
          </w:tcPr>
          <w:p w14:paraId="66D28CCC" w14:textId="202196FA" w:rsidR="004B16EF" w:rsidRPr="00D21B2D" w:rsidRDefault="004B16EF" w:rsidP="00A64613">
            <w:pPr>
              <w:keepNext w:val="0"/>
            </w:pPr>
            <w:r w:rsidRPr="00D21B2D">
              <w:t>Beauce</w:t>
            </w:r>
            <w:r w:rsidR="00984A6F">
              <w:noBreakHyphen/>
            </w:r>
            <w:r w:rsidRPr="00D21B2D">
              <w:t>Appalaches</w:t>
            </w:r>
          </w:p>
        </w:tc>
        <w:tc>
          <w:tcPr>
            <w:tcW w:w="5528" w:type="dxa"/>
          </w:tcPr>
          <w:p w14:paraId="36704E2B" w14:textId="5EC9E75C" w:rsidR="004B16EF" w:rsidRPr="00D21B2D" w:rsidRDefault="004B16EF" w:rsidP="00A64613">
            <w:pPr>
              <w:keepNext w:val="0"/>
            </w:pPr>
            <w:r w:rsidRPr="00D21B2D">
              <w:t>Centre d’études collégiales de Lac</w:t>
            </w:r>
            <w:r w:rsidR="00984A6F">
              <w:noBreakHyphen/>
            </w:r>
            <w:r w:rsidRPr="00D21B2D">
              <w:t>Mégantic</w:t>
            </w:r>
          </w:p>
          <w:p w14:paraId="0D739C38" w14:textId="77777777" w:rsidR="004B16EF" w:rsidRPr="00D21B2D" w:rsidRDefault="004B16EF" w:rsidP="00A64613">
            <w:pPr>
              <w:keepNext w:val="0"/>
            </w:pPr>
            <w:r w:rsidRPr="00D21B2D">
              <w:t xml:space="preserve">Centre d’études collégiales de </w:t>
            </w:r>
          </w:p>
          <w:p w14:paraId="273CC698" w14:textId="7D0C3363" w:rsidR="004B16EF" w:rsidRPr="00D21B2D" w:rsidRDefault="004B16EF" w:rsidP="00A64613">
            <w:pPr>
              <w:keepNext w:val="0"/>
            </w:pPr>
            <w:r w:rsidRPr="00D21B2D">
              <w:rPr>
                <w:rFonts w:cs="Arial"/>
                <w:szCs w:val="24"/>
              </w:rPr>
              <w:t>Sainte</w:t>
            </w:r>
            <w:r w:rsidR="00984A6F">
              <w:rPr>
                <w:rFonts w:cs="Arial"/>
                <w:szCs w:val="24"/>
              </w:rPr>
              <w:noBreakHyphen/>
            </w:r>
            <w:r w:rsidRPr="00D21B2D">
              <w:rPr>
                <w:rFonts w:cs="Arial"/>
                <w:szCs w:val="24"/>
              </w:rPr>
              <w:t>Marie</w:t>
            </w:r>
            <w:r w:rsidR="00984A6F">
              <w:rPr>
                <w:rFonts w:cs="Arial"/>
                <w:szCs w:val="24"/>
              </w:rPr>
              <w:noBreakHyphen/>
            </w:r>
            <w:r w:rsidRPr="00D21B2D">
              <w:rPr>
                <w:rFonts w:cs="Arial"/>
                <w:szCs w:val="24"/>
              </w:rPr>
              <w:t>de</w:t>
            </w:r>
            <w:r w:rsidR="00984A6F">
              <w:rPr>
                <w:rFonts w:cs="Arial"/>
                <w:szCs w:val="24"/>
              </w:rPr>
              <w:noBreakHyphen/>
            </w:r>
            <w:r w:rsidRPr="00D21B2D">
              <w:rPr>
                <w:rFonts w:cs="Arial"/>
                <w:szCs w:val="24"/>
              </w:rPr>
              <w:t>Beauce</w:t>
            </w:r>
          </w:p>
        </w:tc>
      </w:tr>
      <w:tr w:rsidR="004B16EF" w:rsidRPr="00026EC1" w14:paraId="2438CBCC" w14:textId="77777777" w:rsidTr="00330882">
        <w:tc>
          <w:tcPr>
            <w:tcW w:w="3828" w:type="dxa"/>
          </w:tcPr>
          <w:p w14:paraId="24F7A4B7" w14:textId="77777777" w:rsidR="004B16EF" w:rsidRPr="00D21B2D" w:rsidRDefault="004B16EF" w:rsidP="00A64613">
            <w:pPr>
              <w:keepNext w:val="0"/>
            </w:pPr>
            <w:r w:rsidRPr="00D21B2D">
              <w:t>Chicoutimi</w:t>
            </w:r>
          </w:p>
        </w:tc>
        <w:tc>
          <w:tcPr>
            <w:tcW w:w="5528" w:type="dxa"/>
          </w:tcPr>
          <w:p w14:paraId="4B76B634" w14:textId="762C8738" w:rsidR="004B16EF" w:rsidRPr="00D21B2D" w:rsidRDefault="00A3388F" w:rsidP="00A64613">
            <w:pPr>
              <w:keepNext w:val="0"/>
            </w:pPr>
            <w:r w:rsidRPr="00316277">
              <w:t>CQFA</w:t>
            </w:r>
          </w:p>
        </w:tc>
      </w:tr>
      <w:tr w:rsidR="00871952" w:rsidRPr="00026EC1" w14:paraId="59A8655F" w14:textId="77777777" w:rsidTr="00330882">
        <w:tc>
          <w:tcPr>
            <w:tcW w:w="3828" w:type="dxa"/>
          </w:tcPr>
          <w:p w14:paraId="30457CA9" w14:textId="77777777" w:rsidR="00871952" w:rsidRPr="00AD49D6" w:rsidRDefault="00871952" w:rsidP="00A64613">
            <w:pPr>
              <w:keepNext w:val="0"/>
            </w:pPr>
            <w:r w:rsidRPr="00AD49D6">
              <w:t>Dawson</w:t>
            </w:r>
          </w:p>
        </w:tc>
        <w:tc>
          <w:tcPr>
            <w:tcW w:w="5528" w:type="dxa"/>
          </w:tcPr>
          <w:p w14:paraId="74CC38B5" w14:textId="77777777" w:rsidR="00871952" w:rsidRPr="00AD49D6" w:rsidRDefault="00871952" w:rsidP="00A64613">
            <w:pPr>
              <w:keepNext w:val="0"/>
            </w:pPr>
            <w:r w:rsidRPr="00AD49D6">
              <w:rPr>
                <w:rFonts w:cs="Arial"/>
              </w:rPr>
              <w:t xml:space="preserve">Centre </w:t>
            </w:r>
            <w:r w:rsidRPr="00AD49D6">
              <w:rPr>
                <w:rFonts w:cs="Arial"/>
                <w:szCs w:val="22"/>
                <w:lang w:eastAsia="fr-CA"/>
              </w:rPr>
              <w:t>d’études collégiales des Premières Nations (Institut Kiuna; anglophone)</w:t>
            </w:r>
          </w:p>
        </w:tc>
      </w:tr>
      <w:tr w:rsidR="003961FE" w:rsidRPr="00026EC1" w14:paraId="2AA5C9AE" w14:textId="77777777" w:rsidTr="00330882">
        <w:tc>
          <w:tcPr>
            <w:tcW w:w="3828" w:type="dxa"/>
          </w:tcPr>
          <w:p w14:paraId="5B0ABB3E" w14:textId="52B651CC" w:rsidR="003961FE" w:rsidRPr="00AD49D6" w:rsidRDefault="003961FE" w:rsidP="00A64613">
            <w:pPr>
              <w:keepNext w:val="0"/>
            </w:pPr>
            <w:r w:rsidRPr="00AD49D6">
              <w:t>Édouard</w:t>
            </w:r>
            <w:r w:rsidR="00984A6F">
              <w:noBreakHyphen/>
            </w:r>
            <w:r w:rsidRPr="00AD49D6">
              <w:t>Montpetit</w:t>
            </w:r>
          </w:p>
        </w:tc>
        <w:tc>
          <w:tcPr>
            <w:tcW w:w="5528" w:type="dxa"/>
          </w:tcPr>
          <w:p w14:paraId="24278AC1" w14:textId="77777777" w:rsidR="003961FE" w:rsidRPr="00AD49D6" w:rsidRDefault="003961FE" w:rsidP="00A64613">
            <w:pPr>
              <w:keepNext w:val="0"/>
              <w:jc w:val="left"/>
            </w:pPr>
            <w:r w:rsidRPr="00AD49D6">
              <w:t>École nationale d’aérotechnique</w:t>
            </w:r>
          </w:p>
          <w:p w14:paraId="45BE2532" w14:textId="5D90C357" w:rsidR="003961FE" w:rsidRPr="00AD49D6" w:rsidRDefault="003961FE" w:rsidP="00A64613">
            <w:pPr>
              <w:keepNext w:val="0"/>
              <w:jc w:val="left"/>
            </w:pPr>
            <w:r w:rsidRPr="00AD49D6">
              <w:t>Pavillon anglophone de l’ÉNA</w:t>
            </w:r>
          </w:p>
        </w:tc>
      </w:tr>
      <w:tr w:rsidR="004B16EF" w:rsidRPr="00026EC1" w14:paraId="369E09CA" w14:textId="77777777" w:rsidTr="00330882">
        <w:tc>
          <w:tcPr>
            <w:tcW w:w="3828" w:type="dxa"/>
          </w:tcPr>
          <w:p w14:paraId="31EF21F5" w14:textId="77777777" w:rsidR="004B16EF" w:rsidRPr="00AD49D6" w:rsidRDefault="004B16EF" w:rsidP="00A64613">
            <w:pPr>
              <w:keepNext w:val="0"/>
            </w:pPr>
            <w:r w:rsidRPr="00AD49D6">
              <w:t>Gaspésie et des Îles</w:t>
            </w:r>
          </w:p>
        </w:tc>
        <w:tc>
          <w:tcPr>
            <w:tcW w:w="5528" w:type="dxa"/>
          </w:tcPr>
          <w:p w14:paraId="3DF68D78" w14:textId="281DA71D" w:rsidR="004B16EF" w:rsidRPr="00AD49D6" w:rsidRDefault="004B16EF" w:rsidP="00A64613">
            <w:pPr>
              <w:keepNext w:val="0"/>
              <w:jc w:val="left"/>
            </w:pPr>
            <w:r w:rsidRPr="00AD49D6">
              <w:t xml:space="preserve">Centre d’études collégiales </w:t>
            </w:r>
            <w:r w:rsidR="00DE2A81" w:rsidRPr="00AD49D6">
              <w:t>Carleton</w:t>
            </w:r>
            <w:r w:rsidR="00984A6F">
              <w:noBreakHyphen/>
            </w:r>
            <w:r w:rsidR="00DE2A81" w:rsidRPr="00AD49D6">
              <w:t>sur</w:t>
            </w:r>
            <w:r w:rsidR="00984A6F">
              <w:noBreakHyphen/>
            </w:r>
            <w:r w:rsidR="00F777D5">
              <w:t>M</w:t>
            </w:r>
            <w:r w:rsidR="00DE2A81" w:rsidRPr="00AD49D6">
              <w:t>er</w:t>
            </w:r>
          </w:p>
        </w:tc>
      </w:tr>
      <w:tr w:rsidR="004B16EF" w:rsidRPr="00026EC1" w14:paraId="2F8BCF33" w14:textId="77777777" w:rsidTr="00330882">
        <w:tc>
          <w:tcPr>
            <w:tcW w:w="3828" w:type="dxa"/>
          </w:tcPr>
          <w:p w14:paraId="67EA5203" w14:textId="77777777" w:rsidR="004B16EF" w:rsidRPr="00AD49D6" w:rsidRDefault="004B16EF" w:rsidP="00A64613">
            <w:pPr>
              <w:keepNext w:val="0"/>
            </w:pPr>
          </w:p>
        </w:tc>
        <w:tc>
          <w:tcPr>
            <w:tcW w:w="5528" w:type="dxa"/>
          </w:tcPr>
          <w:p w14:paraId="23592FCF" w14:textId="038FC293" w:rsidR="004B16EF" w:rsidRPr="00AD49D6" w:rsidRDefault="00C5562E" w:rsidP="00A64613">
            <w:pPr>
              <w:keepNext w:val="0"/>
              <w:rPr>
                <w:dstrike/>
              </w:rPr>
            </w:pPr>
            <w:r w:rsidRPr="00AD49D6">
              <w:t>École des pêches et de l’aquaculture du Québec</w:t>
            </w:r>
          </w:p>
        </w:tc>
      </w:tr>
      <w:tr w:rsidR="004B16EF" w:rsidRPr="00026EC1" w14:paraId="11A11783" w14:textId="77777777" w:rsidTr="00330882">
        <w:tc>
          <w:tcPr>
            <w:tcW w:w="3828" w:type="dxa"/>
          </w:tcPr>
          <w:p w14:paraId="21989772" w14:textId="77777777" w:rsidR="004B16EF" w:rsidRPr="00AD49D6" w:rsidRDefault="004B16EF" w:rsidP="00A64613">
            <w:pPr>
              <w:keepNext w:val="0"/>
            </w:pPr>
            <w:r w:rsidRPr="00AD49D6">
              <w:t>Jonquière</w:t>
            </w:r>
          </w:p>
        </w:tc>
        <w:tc>
          <w:tcPr>
            <w:tcW w:w="5528" w:type="dxa"/>
          </w:tcPr>
          <w:p w14:paraId="75F6A190" w14:textId="77777777" w:rsidR="004B16EF" w:rsidRPr="00AD49D6" w:rsidRDefault="004B16EF" w:rsidP="00A64613">
            <w:pPr>
              <w:keepNext w:val="0"/>
            </w:pPr>
            <w:r w:rsidRPr="00AD49D6">
              <w:t>Centre d’études collégiales en Charlevoix</w:t>
            </w:r>
          </w:p>
        </w:tc>
      </w:tr>
      <w:tr w:rsidR="004B16EF" w:rsidRPr="00026EC1" w14:paraId="3AF514EE" w14:textId="77777777" w:rsidTr="00330882">
        <w:tc>
          <w:tcPr>
            <w:tcW w:w="3828" w:type="dxa"/>
          </w:tcPr>
          <w:p w14:paraId="6C0FBC5A" w14:textId="77777777" w:rsidR="004B16EF" w:rsidRPr="00AD49D6" w:rsidRDefault="004B16EF" w:rsidP="00A64613">
            <w:pPr>
              <w:keepNext w:val="0"/>
            </w:pPr>
            <w:r w:rsidRPr="00AD49D6">
              <w:t>La Pocatière</w:t>
            </w:r>
          </w:p>
        </w:tc>
        <w:tc>
          <w:tcPr>
            <w:tcW w:w="5528" w:type="dxa"/>
          </w:tcPr>
          <w:p w14:paraId="32B9B8A4" w14:textId="77777777" w:rsidR="004B16EF" w:rsidRPr="00AD49D6" w:rsidRDefault="004B16EF" w:rsidP="00A64613">
            <w:pPr>
              <w:keepNext w:val="0"/>
            </w:pPr>
            <w:r w:rsidRPr="00AD49D6">
              <w:t>Centre d’études collégiales de Montmagny</w:t>
            </w:r>
          </w:p>
          <w:p w14:paraId="19ED2D71" w14:textId="77777777" w:rsidR="004B16EF" w:rsidRPr="00AD49D6" w:rsidRDefault="004B16EF" w:rsidP="00A64613">
            <w:pPr>
              <w:keepNext w:val="0"/>
            </w:pPr>
            <w:r w:rsidRPr="00AD49D6">
              <w:t>Centre d’études collégiales du Témiscouata</w:t>
            </w:r>
          </w:p>
        </w:tc>
      </w:tr>
      <w:tr w:rsidR="004B16EF" w:rsidRPr="00026EC1" w14:paraId="63CAD1F9" w14:textId="77777777" w:rsidTr="00330882">
        <w:tc>
          <w:tcPr>
            <w:tcW w:w="3828" w:type="dxa"/>
          </w:tcPr>
          <w:p w14:paraId="6730AFDF" w14:textId="78067850" w:rsidR="004B16EF" w:rsidRPr="00AD49D6" w:rsidRDefault="004B16EF" w:rsidP="00A64613">
            <w:pPr>
              <w:keepNext w:val="0"/>
            </w:pPr>
            <w:r w:rsidRPr="00AD49D6">
              <w:t>Saint</w:t>
            </w:r>
            <w:r w:rsidR="00984A6F">
              <w:noBreakHyphen/>
            </w:r>
            <w:r w:rsidRPr="00AD49D6">
              <w:t>Félicien</w:t>
            </w:r>
          </w:p>
        </w:tc>
        <w:tc>
          <w:tcPr>
            <w:tcW w:w="5528" w:type="dxa"/>
          </w:tcPr>
          <w:p w14:paraId="51D7EDCE" w14:textId="77777777" w:rsidR="004B16EF" w:rsidRPr="00AD49D6" w:rsidRDefault="004B16EF" w:rsidP="00A64613">
            <w:pPr>
              <w:keepNext w:val="0"/>
            </w:pPr>
            <w:r w:rsidRPr="00AD49D6">
              <w:t>Centre d’études collégiales à Chibougamau</w:t>
            </w:r>
          </w:p>
        </w:tc>
      </w:tr>
      <w:tr w:rsidR="004B16EF" w:rsidRPr="00026EC1" w14:paraId="3293738E" w14:textId="77777777" w:rsidTr="00330882">
        <w:tc>
          <w:tcPr>
            <w:tcW w:w="3828" w:type="dxa"/>
          </w:tcPr>
          <w:p w14:paraId="76E62B00" w14:textId="35AFB4A7" w:rsidR="004B16EF" w:rsidRPr="00AD49D6" w:rsidRDefault="004B16EF" w:rsidP="00A64613">
            <w:pPr>
              <w:keepNext w:val="0"/>
            </w:pPr>
            <w:r w:rsidRPr="00AD49D6">
              <w:t>Saint</w:t>
            </w:r>
            <w:r w:rsidR="00984A6F">
              <w:noBreakHyphen/>
            </w:r>
            <w:r w:rsidRPr="00AD49D6">
              <w:t>Jérôme</w:t>
            </w:r>
          </w:p>
        </w:tc>
        <w:tc>
          <w:tcPr>
            <w:tcW w:w="5528" w:type="dxa"/>
          </w:tcPr>
          <w:p w14:paraId="770C8E44" w14:textId="41F82107" w:rsidR="004B16EF" w:rsidRPr="00AD49D6" w:rsidRDefault="004B16EF" w:rsidP="00A64613">
            <w:pPr>
              <w:keepNext w:val="0"/>
            </w:pPr>
            <w:r w:rsidRPr="00AD49D6">
              <w:t xml:space="preserve">Centre </w:t>
            </w:r>
            <w:r w:rsidR="002E0751" w:rsidRPr="00AD49D6">
              <w:t xml:space="preserve">d’études </w:t>
            </w:r>
            <w:r w:rsidRPr="00AD49D6">
              <w:t>collégial</w:t>
            </w:r>
            <w:r w:rsidR="002E0751" w:rsidRPr="00AD49D6">
              <w:t>es</w:t>
            </w:r>
            <w:r w:rsidRPr="00AD49D6">
              <w:t xml:space="preserve"> de Mont</w:t>
            </w:r>
            <w:r w:rsidR="00984A6F">
              <w:noBreakHyphen/>
            </w:r>
            <w:r w:rsidRPr="00AD49D6">
              <w:t>Laurier</w:t>
            </w:r>
          </w:p>
          <w:p w14:paraId="37BABCDE" w14:textId="77777777" w:rsidR="002E0751" w:rsidRPr="00AD49D6" w:rsidRDefault="004B16EF" w:rsidP="00A64613">
            <w:pPr>
              <w:keepNext w:val="0"/>
            </w:pPr>
            <w:r w:rsidRPr="00AD49D6">
              <w:t xml:space="preserve">Centre </w:t>
            </w:r>
            <w:r w:rsidR="002E0751" w:rsidRPr="00AD49D6">
              <w:t xml:space="preserve">d’études </w:t>
            </w:r>
            <w:r w:rsidRPr="00AD49D6">
              <w:t>collégial</w:t>
            </w:r>
            <w:r w:rsidR="002E0751" w:rsidRPr="00AD49D6">
              <w:t>es</w:t>
            </w:r>
            <w:r w:rsidRPr="00AD49D6">
              <w:t xml:space="preserve"> de </w:t>
            </w:r>
          </w:p>
          <w:p w14:paraId="11EC555C" w14:textId="1B07D1F0" w:rsidR="004B16EF" w:rsidRPr="00AD49D6" w:rsidRDefault="004B16EF" w:rsidP="00A64613">
            <w:pPr>
              <w:keepNext w:val="0"/>
            </w:pPr>
            <w:r w:rsidRPr="00AD49D6">
              <w:t>Mont</w:t>
            </w:r>
            <w:r w:rsidR="00984A6F">
              <w:noBreakHyphen/>
            </w:r>
            <w:r w:rsidRPr="00AD49D6">
              <w:t>Tremblant</w:t>
            </w:r>
          </w:p>
        </w:tc>
      </w:tr>
      <w:tr w:rsidR="003961FE" w:rsidRPr="00026EC1" w14:paraId="6293CAB3" w14:textId="77777777" w:rsidTr="00330882">
        <w:tc>
          <w:tcPr>
            <w:tcW w:w="3828" w:type="dxa"/>
          </w:tcPr>
          <w:p w14:paraId="79EB64C4" w14:textId="26AA9674" w:rsidR="003961FE" w:rsidRPr="00AD49D6" w:rsidRDefault="003961FE" w:rsidP="00A64613">
            <w:pPr>
              <w:keepNext w:val="0"/>
            </w:pPr>
            <w:r w:rsidRPr="00AD49D6">
              <w:t>Sept</w:t>
            </w:r>
            <w:r w:rsidR="00984A6F">
              <w:noBreakHyphen/>
            </w:r>
            <w:r w:rsidR="0099136B" w:rsidRPr="00AD49D6">
              <w:t>Î</w:t>
            </w:r>
            <w:r w:rsidRPr="00AD49D6">
              <w:t>les</w:t>
            </w:r>
          </w:p>
        </w:tc>
        <w:tc>
          <w:tcPr>
            <w:tcW w:w="5528" w:type="dxa"/>
          </w:tcPr>
          <w:p w14:paraId="5685B594" w14:textId="23A43D26" w:rsidR="003961FE" w:rsidRPr="00AD49D6" w:rsidRDefault="0099136B" w:rsidP="00A64613">
            <w:pPr>
              <w:keepNext w:val="0"/>
            </w:pPr>
            <w:r w:rsidRPr="00AD49D6">
              <w:t>Pavillon anglophone de Sept</w:t>
            </w:r>
            <w:r w:rsidR="00984A6F">
              <w:noBreakHyphen/>
            </w:r>
            <w:r w:rsidRPr="00AD49D6">
              <w:t>Îles</w:t>
            </w:r>
          </w:p>
        </w:tc>
      </w:tr>
      <w:tr w:rsidR="004B16EF" w:rsidRPr="00026EC1" w14:paraId="5A224BB1" w14:textId="77777777" w:rsidTr="00330882">
        <w:tc>
          <w:tcPr>
            <w:tcW w:w="3828" w:type="dxa"/>
          </w:tcPr>
          <w:p w14:paraId="5DC4CCDA" w14:textId="77777777" w:rsidR="004B16EF" w:rsidRPr="00D21B2D" w:rsidRDefault="004B16EF" w:rsidP="00A64613">
            <w:pPr>
              <w:keepNext w:val="0"/>
            </w:pPr>
            <w:r w:rsidRPr="00D21B2D">
              <w:t>Shawinigan</w:t>
            </w:r>
          </w:p>
        </w:tc>
        <w:tc>
          <w:tcPr>
            <w:tcW w:w="5528" w:type="dxa"/>
          </w:tcPr>
          <w:p w14:paraId="61F39EDC" w14:textId="77777777" w:rsidR="004B16EF" w:rsidRPr="00D21B2D" w:rsidRDefault="004B16EF" w:rsidP="00A64613">
            <w:pPr>
              <w:keepNext w:val="0"/>
            </w:pPr>
            <w:r w:rsidRPr="00D21B2D">
              <w:t>Centre d’études collégiales de La Tuque</w:t>
            </w:r>
          </w:p>
        </w:tc>
      </w:tr>
      <w:tr w:rsidR="000871CB" w:rsidRPr="00AD49D6" w14:paraId="5670CC49" w14:textId="77777777" w:rsidTr="00330882">
        <w:tc>
          <w:tcPr>
            <w:tcW w:w="3828" w:type="dxa"/>
          </w:tcPr>
          <w:p w14:paraId="4D3F4228" w14:textId="1EB4F0CD" w:rsidR="000871CB" w:rsidRPr="00AD49D6" w:rsidRDefault="000871CB" w:rsidP="00A64613">
            <w:pPr>
              <w:keepNext w:val="0"/>
            </w:pPr>
            <w:r w:rsidRPr="00AD49D6">
              <w:t>Thetford</w:t>
            </w:r>
          </w:p>
        </w:tc>
        <w:tc>
          <w:tcPr>
            <w:tcW w:w="5528" w:type="dxa"/>
          </w:tcPr>
          <w:p w14:paraId="0ED9D944" w14:textId="1087E806" w:rsidR="000871CB" w:rsidRPr="00AD49D6" w:rsidRDefault="000871CB" w:rsidP="00A64613">
            <w:pPr>
              <w:keepNext w:val="0"/>
            </w:pPr>
            <w:r w:rsidRPr="00AD49D6">
              <w:t>Centre d’études collégiales</w:t>
            </w:r>
            <w:r w:rsidR="00742ADD" w:rsidRPr="00AD49D6">
              <w:t xml:space="preserve"> de Lotbinière</w:t>
            </w:r>
          </w:p>
        </w:tc>
      </w:tr>
      <w:tr w:rsidR="00742ADD" w:rsidRPr="00AD49D6" w14:paraId="7FCDDCCA" w14:textId="77777777" w:rsidTr="00330882">
        <w:tc>
          <w:tcPr>
            <w:tcW w:w="3828" w:type="dxa"/>
          </w:tcPr>
          <w:p w14:paraId="41B64D5A" w14:textId="78A09F6E" w:rsidR="00742ADD" w:rsidRPr="00AD49D6" w:rsidRDefault="00742ADD" w:rsidP="00A64613">
            <w:pPr>
              <w:keepNext w:val="0"/>
            </w:pPr>
            <w:r w:rsidRPr="00AD49D6">
              <w:t>Valleyfield</w:t>
            </w:r>
          </w:p>
        </w:tc>
        <w:tc>
          <w:tcPr>
            <w:tcW w:w="5528" w:type="dxa"/>
          </w:tcPr>
          <w:p w14:paraId="09C2589B" w14:textId="6F140B8C" w:rsidR="00742ADD" w:rsidRPr="00AD49D6" w:rsidRDefault="00742ADD" w:rsidP="00A64613">
            <w:pPr>
              <w:keepNext w:val="0"/>
            </w:pPr>
            <w:r w:rsidRPr="00AD49D6">
              <w:t>Centre d’études collégiales à Saint</w:t>
            </w:r>
            <w:r w:rsidR="00984A6F">
              <w:noBreakHyphen/>
            </w:r>
            <w:r w:rsidRPr="00AD49D6">
              <w:t>Constant</w:t>
            </w:r>
          </w:p>
        </w:tc>
      </w:tr>
    </w:tbl>
    <w:p w14:paraId="08F79609" w14:textId="77777777" w:rsidR="00A3388F" w:rsidRPr="00316277" w:rsidRDefault="00A3388F" w:rsidP="00A3388F">
      <w:pPr>
        <w:pStyle w:val="N-FNEEQ-Dcal"/>
        <w:spacing w:before="0" w:after="0"/>
        <w:ind w:left="0"/>
        <w:rPr>
          <w:rFonts w:ascii="Arial" w:eastAsia="Times New Roman" w:hAnsi="Arial" w:cs="Times New Roman"/>
          <w:snapToGrid w:val="0"/>
          <w:color w:val="auto"/>
          <w:sz w:val="24"/>
          <w:lang w:eastAsia="fr-FR"/>
        </w:rPr>
      </w:pPr>
    </w:p>
    <w:p w14:paraId="728FBA80" w14:textId="1FE9DE89" w:rsidR="00E948C4" w:rsidRPr="00E948C4" w:rsidRDefault="00E948C4" w:rsidP="00A3388F">
      <w:pPr>
        <w:pStyle w:val="N-FNEEQ-Dcal"/>
        <w:spacing w:before="0" w:after="0"/>
        <w:ind w:left="0"/>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 xml:space="preserve">Malgré ce qui précède, </w:t>
      </w:r>
      <w:r w:rsidR="009774E8" w:rsidRPr="00316277">
        <w:rPr>
          <w:rFonts w:ascii="Arial" w:eastAsia="Times New Roman" w:hAnsi="Arial" w:cs="Times New Roman"/>
          <w:snapToGrid w:val="0"/>
          <w:color w:val="auto"/>
          <w:sz w:val="24"/>
          <w:lang w:eastAsia="fr-FR"/>
        </w:rPr>
        <w:t xml:space="preserve">à compter de l’année d’engagement 2024-2025, </w:t>
      </w:r>
      <w:r w:rsidRPr="00316277">
        <w:rPr>
          <w:rFonts w:ascii="Arial" w:eastAsia="Times New Roman" w:hAnsi="Arial" w:cs="Times New Roman"/>
          <w:snapToGrid w:val="0"/>
          <w:color w:val="auto"/>
          <w:sz w:val="24"/>
          <w:lang w:eastAsia="fr-FR"/>
        </w:rPr>
        <w:t>une unité d’enseignement de la liste ci-dessus, qui est considérée comme distincte du Collège dont elle relève aux fins d’application de la convention collective en ce qui concerne le département et la coordination départementale, dispose annuellement d’une</w:t>
      </w:r>
      <w:r w:rsidR="00A02F0D"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(1) enseignante ou d’un</w:t>
      </w:r>
      <w:r w:rsidR="00A02F0D"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(1) enseignant à temps complet ou l’équivalent par quatorze</w:t>
      </w:r>
      <w:r w:rsidR="00A02F0D"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(14) enseignantes et enseignants à temps complet ou l’équivalent alloués au volet 1 conformément à la clause</w:t>
      </w:r>
      <w:r w:rsidR="00946803" w:rsidRPr="00316277">
        <w:rPr>
          <w:rFonts w:ascii="Arial" w:eastAsia="Times New Roman" w:hAnsi="Arial" w:cs="Times New Roman"/>
          <w:snapToGrid w:val="0"/>
          <w:color w:val="auto"/>
          <w:sz w:val="24"/>
          <w:lang w:eastAsia="fr-FR"/>
        </w:rPr>
        <w:t> </w:t>
      </w:r>
      <w:r w:rsidRPr="00316277">
        <w:rPr>
          <w:rFonts w:ascii="Arial" w:eastAsia="Times New Roman" w:hAnsi="Arial" w:cs="Times New Roman"/>
          <w:snapToGrid w:val="0"/>
          <w:color w:val="auto"/>
          <w:sz w:val="24"/>
          <w:lang w:eastAsia="fr-FR"/>
        </w:rPr>
        <w:t>8-5.03.</w:t>
      </w:r>
    </w:p>
    <w:p w14:paraId="02B4B033" w14:textId="77777777" w:rsidR="00E948C4" w:rsidRPr="00AD49D6" w:rsidRDefault="00E948C4" w:rsidP="00A3388F">
      <w:pPr>
        <w:keepNext w:val="0"/>
      </w:pPr>
    </w:p>
    <w:p w14:paraId="4F182D51" w14:textId="69154C54" w:rsidR="00EA511C" w:rsidRPr="00FA70F5" w:rsidRDefault="00A658D5" w:rsidP="00E02DF3">
      <w:pPr>
        <w:pStyle w:val="ListParagraph"/>
        <w:shd w:val="clear" w:color="auto" w:fill="FFFFFF" w:themeFill="background1"/>
        <w:suppressAutoHyphens/>
        <w:ind w:left="567" w:hanging="567"/>
        <w:contextualSpacing/>
        <w:rPr>
          <w:rFonts w:eastAsia="Times New Roman"/>
          <w:snapToGrid w:val="0"/>
          <w:szCs w:val="20"/>
          <w:lang w:eastAsia="fr-FR"/>
        </w:rPr>
      </w:pPr>
      <w:r w:rsidRPr="00FA70F5">
        <w:rPr>
          <w:rFonts w:eastAsia="Times New Roman"/>
          <w:snapToGrid w:val="0"/>
          <w:szCs w:val="20"/>
          <w:lang w:eastAsia="fr-FR"/>
        </w:rPr>
        <w:t>b</w:t>
      </w:r>
      <w:r w:rsidR="009E437F" w:rsidRPr="00FA70F5">
        <w:rPr>
          <w:rFonts w:eastAsia="Times New Roman"/>
          <w:snapToGrid w:val="0"/>
          <w:szCs w:val="20"/>
          <w:lang w:eastAsia="fr-FR"/>
        </w:rPr>
        <w:t>)</w:t>
      </w:r>
      <w:r w:rsidR="009E437F" w:rsidRPr="00FA70F5">
        <w:rPr>
          <w:rFonts w:eastAsia="Times New Roman"/>
          <w:snapToGrid w:val="0"/>
          <w:szCs w:val="20"/>
          <w:lang w:eastAsia="fr-FR"/>
        </w:rPr>
        <w:tab/>
      </w:r>
      <w:r w:rsidR="009774E8" w:rsidRPr="00316277">
        <w:rPr>
          <w:rFonts w:eastAsia="Times New Roman"/>
          <w:snapToGrid w:val="0"/>
          <w:szCs w:val="20"/>
          <w:lang w:eastAsia="fr-FR"/>
        </w:rPr>
        <w:t>L</w:t>
      </w:r>
      <w:r w:rsidR="00EA511C" w:rsidRPr="00FA70F5">
        <w:rPr>
          <w:rFonts w:eastAsia="Times New Roman"/>
          <w:snapToGrid w:val="0"/>
          <w:szCs w:val="20"/>
          <w:lang w:eastAsia="fr-FR"/>
        </w:rPr>
        <w:t>e nombre d’enseignantes et d’enseignants réguliers à temps complet ou l’équivalent prévu à la colonne E de l’</w:t>
      </w:r>
      <w:r w:rsidR="00113A9C" w:rsidRPr="00FA70F5">
        <w:rPr>
          <w:rFonts w:eastAsia="Times New Roman"/>
          <w:snapToGrid w:val="0"/>
          <w:szCs w:val="20"/>
          <w:lang w:eastAsia="fr-FR"/>
        </w:rPr>
        <w:t>A</w:t>
      </w:r>
      <w:r w:rsidR="00EA511C" w:rsidRPr="00FA70F5">
        <w:rPr>
          <w:rFonts w:eastAsia="Times New Roman"/>
          <w:snapToGrid w:val="0"/>
          <w:szCs w:val="20"/>
          <w:lang w:eastAsia="fr-FR"/>
        </w:rPr>
        <w:t>nnexe</w:t>
      </w:r>
      <w:r w:rsidR="00577E27" w:rsidRPr="00FA70F5">
        <w:rPr>
          <w:rFonts w:eastAsia="Times New Roman" w:cs="Arial"/>
          <w:snapToGrid w:val="0"/>
          <w:szCs w:val="20"/>
          <w:lang w:eastAsia="fr-FR"/>
        </w:rPr>
        <w:t> </w:t>
      </w:r>
      <w:r w:rsidR="00EA511C" w:rsidRPr="00FA70F5">
        <w:rPr>
          <w:rFonts w:eastAsia="Times New Roman"/>
          <w:snapToGrid w:val="0"/>
          <w:szCs w:val="20"/>
          <w:lang w:eastAsia="fr-FR"/>
        </w:rPr>
        <w:t>I</w:t>
      </w:r>
      <w:r w:rsidR="00984A6F" w:rsidRPr="00FA70F5">
        <w:rPr>
          <w:rFonts w:eastAsia="Times New Roman"/>
          <w:snapToGrid w:val="0"/>
          <w:szCs w:val="20"/>
          <w:lang w:eastAsia="fr-FR"/>
        </w:rPr>
        <w:noBreakHyphen/>
      </w:r>
      <w:r w:rsidR="00EA511C" w:rsidRPr="00FA70F5">
        <w:rPr>
          <w:rFonts w:eastAsia="Times New Roman"/>
          <w:snapToGrid w:val="0"/>
          <w:szCs w:val="20"/>
          <w:lang w:eastAsia="fr-FR"/>
        </w:rPr>
        <w:t>2 est alloué aux fins de la coordination de programme;</w:t>
      </w:r>
    </w:p>
    <w:p w14:paraId="6D8F61CD" w14:textId="77777777" w:rsidR="00EA511C" w:rsidRPr="00FA70F5" w:rsidRDefault="00EA511C" w:rsidP="00E02DF3">
      <w:pPr>
        <w:pStyle w:val="ListParagraph"/>
        <w:shd w:val="clear" w:color="auto" w:fill="FFFFFF" w:themeFill="background1"/>
        <w:suppressAutoHyphens/>
        <w:ind w:left="567" w:hanging="567"/>
        <w:contextualSpacing/>
        <w:rPr>
          <w:rFonts w:eastAsia="Times New Roman"/>
          <w:snapToGrid w:val="0"/>
          <w:szCs w:val="20"/>
          <w:lang w:eastAsia="fr-FR"/>
        </w:rPr>
      </w:pPr>
    </w:p>
    <w:p w14:paraId="30A7EC76" w14:textId="711E332A" w:rsidR="00EA511C" w:rsidRPr="00FA70F5" w:rsidRDefault="00A658D5" w:rsidP="00E02DF3">
      <w:pPr>
        <w:pStyle w:val="ListParagraph"/>
        <w:shd w:val="clear" w:color="auto" w:fill="FFFFFF" w:themeFill="background1"/>
        <w:suppressAutoHyphens/>
        <w:ind w:left="567" w:hanging="567"/>
        <w:contextualSpacing/>
        <w:rPr>
          <w:rFonts w:eastAsia="Times New Roman"/>
          <w:snapToGrid w:val="0"/>
          <w:szCs w:val="20"/>
          <w:lang w:eastAsia="fr-FR"/>
        </w:rPr>
      </w:pPr>
      <w:r w:rsidRPr="00FA70F5">
        <w:rPr>
          <w:rFonts w:eastAsia="Times New Roman"/>
          <w:snapToGrid w:val="0"/>
          <w:szCs w:val="20"/>
          <w:lang w:eastAsia="fr-FR"/>
        </w:rPr>
        <w:t>c</w:t>
      </w:r>
      <w:r w:rsidR="009E437F" w:rsidRPr="00FA70F5">
        <w:rPr>
          <w:rFonts w:eastAsia="Times New Roman"/>
          <w:snapToGrid w:val="0"/>
          <w:szCs w:val="20"/>
          <w:lang w:eastAsia="fr-FR"/>
        </w:rPr>
        <w:t>)</w:t>
      </w:r>
      <w:r w:rsidR="009E437F" w:rsidRPr="00FA70F5">
        <w:rPr>
          <w:rFonts w:eastAsia="Times New Roman"/>
          <w:snapToGrid w:val="0"/>
          <w:szCs w:val="20"/>
          <w:lang w:eastAsia="fr-FR"/>
        </w:rPr>
        <w:tab/>
      </w:r>
      <w:r w:rsidR="009774E8" w:rsidRPr="00316277">
        <w:rPr>
          <w:rFonts w:eastAsia="Times New Roman"/>
          <w:snapToGrid w:val="0"/>
          <w:szCs w:val="20"/>
          <w:lang w:eastAsia="fr-FR"/>
        </w:rPr>
        <w:t>L</w:t>
      </w:r>
      <w:r w:rsidR="00EA511C" w:rsidRPr="00FA70F5">
        <w:rPr>
          <w:rFonts w:eastAsia="Times New Roman"/>
          <w:snapToGrid w:val="0"/>
          <w:szCs w:val="20"/>
          <w:lang w:eastAsia="fr-FR"/>
        </w:rPr>
        <w:t>e nombre d’enseignantes et d’enseignants réguliers à temps complet ou l’équivalent prévu à la colonne F de l’</w:t>
      </w:r>
      <w:r w:rsidR="00113A9C" w:rsidRPr="00FA70F5">
        <w:rPr>
          <w:rFonts w:eastAsia="Times New Roman"/>
          <w:snapToGrid w:val="0"/>
          <w:szCs w:val="20"/>
          <w:lang w:eastAsia="fr-FR"/>
        </w:rPr>
        <w:t>A</w:t>
      </w:r>
      <w:r w:rsidR="00EA511C" w:rsidRPr="00FA70F5">
        <w:rPr>
          <w:rFonts w:eastAsia="Times New Roman"/>
          <w:snapToGrid w:val="0"/>
          <w:szCs w:val="20"/>
          <w:lang w:eastAsia="fr-FR"/>
        </w:rPr>
        <w:t>nnexe</w:t>
      </w:r>
      <w:r w:rsidR="00577E27" w:rsidRPr="00FA70F5">
        <w:rPr>
          <w:rFonts w:eastAsia="Times New Roman"/>
          <w:snapToGrid w:val="0"/>
          <w:szCs w:val="20"/>
          <w:lang w:eastAsia="fr-FR"/>
        </w:rPr>
        <w:t> </w:t>
      </w:r>
      <w:r w:rsidR="00EA511C" w:rsidRPr="00FA70F5">
        <w:rPr>
          <w:rFonts w:eastAsia="Times New Roman"/>
          <w:snapToGrid w:val="0"/>
          <w:szCs w:val="20"/>
          <w:lang w:eastAsia="fr-FR"/>
        </w:rPr>
        <w:t>I</w:t>
      </w:r>
      <w:r w:rsidR="00984A6F" w:rsidRPr="00FA70F5">
        <w:rPr>
          <w:rFonts w:eastAsia="Times New Roman"/>
          <w:snapToGrid w:val="0"/>
          <w:szCs w:val="20"/>
          <w:lang w:eastAsia="fr-FR"/>
        </w:rPr>
        <w:noBreakHyphen/>
      </w:r>
      <w:r w:rsidR="00EA511C" w:rsidRPr="00FA70F5">
        <w:rPr>
          <w:rFonts w:eastAsia="Times New Roman"/>
          <w:snapToGrid w:val="0"/>
          <w:szCs w:val="20"/>
          <w:lang w:eastAsia="fr-FR"/>
        </w:rPr>
        <w:t>2 est alloué aux fins de la coordination de stages en soins infirmiers;</w:t>
      </w:r>
    </w:p>
    <w:p w14:paraId="35272F6D" w14:textId="77777777" w:rsidR="00EA511C" w:rsidRPr="00FA70F5" w:rsidRDefault="00EA511C" w:rsidP="00E02DF3">
      <w:pPr>
        <w:pStyle w:val="ListParagraph"/>
        <w:shd w:val="clear" w:color="auto" w:fill="FFFFFF" w:themeFill="background1"/>
        <w:suppressAutoHyphens/>
        <w:ind w:left="567" w:hanging="567"/>
        <w:contextualSpacing/>
        <w:rPr>
          <w:rFonts w:eastAsia="Times New Roman"/>
          <w:snapToGrid w:val="0"/>
          <w:szCs w:val="20"/>
          <w:lang w:eastAsia="fr-FR"/>
        </w:rPr>
      </w:pPr>
    </w:p>
    <w:p w14:paraId="3B534A28" w14:textId="76EAB2AF" w:rsidR="00EA511C" w:rsidRDefault="00A658D5" w:rsidP="00E02DF3">
      <w:pPr>
        <w:pStyle w:val="ListParagraph"/>
        <w:shd w:val="clear" w:color="auto" w:fill="FFFFFF" w:themeFill="background1"/>
        <w:suppressAutoHyphens/>
        <w:ind w:left="567" w:hanging="567"/>
        <w:contextualSpacing/>
        <w:rPr>
          <w:rFonts w:eastAsia="Times New Roman"/>
          <w:snapToGrid w:val="0"/>
          <w:szCs w:val="20"/>
          <w:lang w:eastAsia="fr-FR"/>
        </w:rPr>
      </w:pPr>
      <w:r w:rsidRPr="00FA70F5">
        <w:rPr>
          <w:rFonts w:eastAsia="Times New Roman"/>
          <w:snapToGrid w:val="0"/>
          <w:szCs w:val="20"/>
          <w:lang w:eastAsia="fr-FR"/>
        </w:rPr>
        <w:t>d</w:t>
      </w:r>
      <w:r w:rsidR="009E437F" w:rsidRPr="00FA70F5">
        <w:rPr>
          <w:rFonts w:eastAsia="Times New Roman"/>
          <w:snapToGrid w:val="0"/>
          <w:szCs w:val="20"/>
          <w:lang w:eastAsia="fr-FR"/>
        </w:rPr>
        <w:t>)</w:t>
      </w:r>
      <w:r w:rsidR="009E437F" w:rsidRPr="00FA70F5">
        <w:rPr>
          <w:rFonts w:eastAsia="Times New Roman"/>
          <w:snapToGrid w:val="0"/>
          <w:szCs w:val="20"/>
          <w:lang w:eastAsia="fr-FR"/>
        </w:rPr>
        <w:tab/>
      </w:r>
      <w:r w:rsidR="009774E8" w:rsidRPr="00316277">
        <w:rPr>
          <w:rFonts w:eastAsia="Times New Roman"/>
          <w:snapToGrid w:val="0"/>
          <w:szCs w:val="20"/>
          <w:lang w:eastAsia="fr-FR"/>
        </w:rPr>
        <w:t>L</w:t>
      </w:r>
      <w:r w:rsidR="00EA511C" w:rsidRPr="00FA70F5">
        <w:rPr>
          <w:rFonts w:eastAsia="Times New Roman"/>
          <w:snapToGrid w:val="0"/>
          <w:szCs w:val="20"/>
          <w:lang w:eastAsia="fr-FR"/>
        </w:rPr>
        <w:t>e nombre d’enseignantes et d’enseignants réguliers à temps complet ou l’équivalent prévu à la colonne</w:t>
      </w:r>
      <w:r w:rsidR="00A02F0D" w:rsidRPr="00FA70F5">
        <w:rPr>
          <w:rFonts w:eastAsia="Times New Roman"/>
          <w:snapToGrid w:val="0"/>
          <w:szCs w:val="20"/>
          <w:lang w:eastAsia="fr-FR"/>
        </w:rPr>
        <w:t> </w:t>
      </w:r>
      <w:r w:rsidR="00EA511C" w:rsidRPr="00FA70F5">
        <w:rPr>
          <w:rFonts w:eastAsia="Times New Roman"/>
          <w:snapToGrid w:val="0"/>
          <w:szCs w:val="20"/>
          <w:lang w:eastAsia="fr-FR"/>
        </w:rPr>
        <w:t>G de l’</w:t>
      </w:r>
      <w:r w:rsidR="00113A9C" w:rsidRPr="00FA70F5">
        <w:rPr>
          <w:rFonts w:eastAsia="Times New Roman"/>
          <w:snapToGrid w:val="0"/>
          <w:szCs w:val="20"/>
          <w:lang w:eastAsia="fr-FR"/>
        </w:rPr>
        <w:t>A</w:t>
      </w:r>
      <w:r w:rsidR="00EA511C" w:rsidRPr="00FA70F5">
        <w:rPr>
          <w:rFonts w:eastAsia="Times New Roman"/>
          <w:snapToGrid w:val="0"/>
          <w:szCs w:val="20"/>
          <w:lang w:eastAsia="fr-FR"/>
        </w:rPr>
        <w:t>nnexe</w:t>
      </w:r>
      <w:r w:rsidR="00577E27" w:rsidRPr="00FA70F5">
        <w:rPr>
          <w:rFonts w:eastAsia="Times New Roman"/>
          <w:snapToGrid w:val="0"/>
          <w:szCs w:val="20"/>
          <w:lang w:eastAsia="fr-FR"/>
        </w:rPr>
        <w:t> </w:t>
      </w:r>
      <w:r w:rsidR="00EA511C" w:rsidRPr="00FA70F5">
        <w:rPr>
          <w:rFonts w:eastAsia="Times New Roman"/>
          <w:snapToGrid w:val="0"/>
          <w:szCs w:val="20"/>
          <w:lang w:eastAsia="fr-FR"/>
        </w:rPr>
        <w:t>I</w:t>
      </w:r>
      <w:r w:rsidR="00984A6F" w:rsidRPr="00FA70F5">
        <w:rPr>
          <w:rFonts w:eastAsia="Times New Roman"/>
          <w:snapToGrid w:val="0"/>
          <w:szCs w:val="20"/>
          <w:lang w:eastAsia="fr-FR"/>
        </w:rPr>
        <w:noBreakHyphen/>
      </w:r>
      <w:r w:rsidR="00EA511C" w:rsidRPr="00FA70F5">
        <w:rPr>
          <w:rFonts w:eastAsia="Times New Roman"/>
          <w:snapToGrid w:val="0"/>
          <w:szCs w:val="20"/>
          <w:lang w:eastAsia="fr-FR"/>
        </w:rPr>
        <w:t>2 est alloué aux fins de la coordination de stages en techniques de la santé</w:t>
      </w:r>
      <w:r w:rsidR="00703CB6" w:rsidRPr="00FA70F5">
        <w:rPr>
          <w:rStyle w:val="FootnoteReference"/>
          <w:rFonts w:eastAsia="Times New Roman"/>
          <w:snapToGrid w:val="0"/>
          <w:szCs w:val="20"/>
          <w:lang w:eastAsia="fr-FR"/>
        </w:rPr>
        <w:footnoteReference w:id="42"/>
      </w:r>
      <w:r w:rsidR="004F77CA" w:rsidRPr="00316277">
        <w:rPr>
          <w:rFonts w:eastAsia="Times New Roman"/>
          <w:snapToGrid w:val="0"/>
          <w:szCs w:val="20"/>
          <w:lang w:eastAsia="fr-FR"/>
        </w:rPr>
        <w:t>;</w:t>
      </w:r>
    </w:p>
    <w:p w14:paraId="3FF4525D" w14:textId="77777777" w:rsidR="00647E1F" w:rsidRPr="00316277" w:rsidRDefault="00647E1F" w:rsidP="00647E1F">
      <w:pPr>
        <w:pStyle w:val="paragraph"/>
        <w:spacing w:before="0" w:beforeAutospacing="0" w:after="0" w:afterAutospacing="0"/>
        <w:ind w:left="567"/>
        <w:jc w:val="both"/>
        <w:textAlignment w:val="baseline"/>
        <w:rPr>
          <w:rFonts w:ascii="Arial" w:hAnsi="Arial"/>
          <w:snapToGrid w:val="0"/>
          <w:szCs w:val="20"/>
          <w:lang w:eastAsia="fr-FR"/>
        </w:rPr>
      </w:pPr>
    </w:p>
    <w:p w14:paraId="672ED1E5" w14:textId="41172342" w:rsidR="00647E1F" w:rsidRPr="00316277" w:rsidRDefault="00647E1F" w:rsidP="00864798">
      <w:pPr>
        <w:pStyle w:val="paragraph"/>
        <w:numPr>
          <w:ilvl w:val="0"/>
          <w:numId w:val="71"/>
        </w:numPr>
        <w:spacing w:before="0" w:beforeAutospacing="0" w:after="0" w:afterAutospacing="0"/>
        <w:ind w:left="567" w:hanging="567"/>
        <w:jc w:val="both"/>
        <w:textAlignment w:val="baseline"/>
        <w:rPr>
          <w:rFonts w:ascii="Arial" w:hAnsi="Arial"/>
          <w:snapToGrid w:val="0"/>
          <w:szCs w:val="20"/>
          <w:lang w:eastAsia="fr-FR"/>
        </w:rPr>
      </w:pPr>
      <w:r w:rsidRPr="00316277">
        <w:rPr>
          <w:rFonts w:ascii="Arial" w:hAnsi="Arial"/>
          <w:snapToGrid w:val="0"/>
          <w:szCs w:val="20"/>
          <w:lang w:eastAsia="fr-FR"/>
        </w:rPr>
        <w:t>À compter de l’année d’engagement 2024-2025, le nombre d’enseignantes et d’enseignants réguliers à temps complet ou l’équivalent prévu à la colonne H de l’Annexe</w:t>
      </w:r>
      <w:r w:rsidR="001470D4" w:rsidRPr="00316277">
        <w:rPr>
          <w:rFonts w:ascii="Arial" w:hAnsi="Arial"/>
          <w:snapToGrid w:val="0"/>
          <w:szCs w:val="20"/>
          <w:lang w:eastAsia="fr-FR"/>
        </w:rPr>
        <w:t> </w:t>
      </w:r>
      <w:r w:rsidRPr="00316277">
        <w:rPr>
          <w:rFonts w:ascii="Arial" w:hAnsi="Arial"/>
          <w:snapToGrid w:val="0"/>
          <w:szCs w:val="20"/>
          <w:lang w:eastAsia="fr-FR"/>
        </w:rPr>
        <w:t>I-2 est alloué aux fins de la coordination de stages à supervision indirecte des programmes techniques excluant soins infirmiers</w:t>
      </w:r>
      <w:r w:rsidR="004F77CA" w:rsidRPr="00316277">
        <w:rPr>
          <w:rFonts w:ascii="Arial" w:hAnsi="Arial"/>
          <w:snapToGrid w:val="0"/>
          <w:szCs w:val="20"/>
          <w:lang w:eastAsia="fr-FR"/>
        </w:rPr>
        <w:t>;</w:t>
      </w:r>
    </w:p>
    <w:p w14:paraId="7C45C4F5" w14:textId="77777777" w:rsidR="001470D4" w:rsidRPr="00316277" w:rsidRDefault="001470D4" w:rsidP="001470D4">
      <w:pPr>
        <w:pStyle w:val="paragraph"/>
        <w:spacing w:before="0" w:beforeAutospacing="0" w:after="0" w:afterAutospacing="0"/>
        <w:ind w:left="567"/>
        <w:jc w:val="both"/>
        <w:textAlignment w:val="baseline"/>
        <w:rPr>
          <w:rFonts w:ascii="Arial" w:hAnsi="Arial"/>
          <w:snapToGrid w:val="0"/>
          <w:szCs w:val="20"/>
          <w:lang w:eastAsia="fr-FR"/>
        </w:rPr>
      </w:pPr>
    </w:p>
    <w:p w14:paraId="43C9407E" w14:textId="2DD5E951" w:rsidR="001169F3" w:rsidRPr="00316277" w:rsidRDefault="001169F3" w:rsidP="00864798">
      <w:pPr>
        <w:pStyle w:val="paragraph"/>
        <w:numPr>
          <w:ilvl w:val="0"/>
          <w:numId w:val="71"/>
        </w:numPr>
        <w:spacing w:before="0" w:beforeAutospacing="0" w:after="0" w:afterAutospacing="0"/>
        <w:ind w:left="567" w:hanging="567"/>
        <w:jc w:val="both"/>
        <w:textAlignment w:val="baseline"/>
        <w:rPr>
          <w:rFonts w:ascii="Arial" w:hAnsi="Arial" w:cs="Arial"/>
          <w:snapToGrid w:val="0"/>
          <w:szCs w:val="20"/>
          <w:lang w:eastAsia="fr-FR"/>
        </w:rPr>
      </w:pPr>
      <w:r w:rsidRPr="00316277">
        <w:rPr>
          <w:rFonts w:ascii="Arial" w:hAnsi="Arial" w:cs="Arial"/>
          <w:snapToGrid w:val="0"/>
          <w:szCs w:val="20"/>
          <w:lang w:eastAsia="fr-FR"/>
        </w:rPr>
        <w:t>À compter de l’année d’engagement 2024-2025, le nombre d’enseignantes et d’enseignants réguliers à temps complet ou l’équivalent prévu à la colonne</w:t>
      </w:r>
      <w:r w:rsidR="001470D4" w:rsidRPr="00316277">
        <w:rPr>
          <w:rFonts w:ascii="Arial" w:hAnsi="Arial" w:cs="Arial"/>
          <w:snapToGrid w:val="0"/>
          <w:szCs w:val="20"/>
          <w:lang w:eastAsia="fr-FR"/>
        </w:rPr>
        <w:t> </w:t>
      </w:r>
      <w:r w:rsidRPr="00316277">
        <w:rPr>
          <w:rFonts w:ascii="Arial" w:hAnsi="Arial" w:cs="Arial"/>
          <w:snapToGrid w:val="0"/>
          <w:szCs w:val="20"/>
          <w:lang w:eastAsia="fr-FR"/>
        </w:rPr>
        <w:t>I de l’Annexe</w:t>
      </w:r>
      <w:r w:rsidR="001470D4" w:rsidRPr="00316277">
        <w:rPr>
          <w:rFonts w:ascii="Arial" w:hAnsi="Arial" w:cs="Arial"/>
          <w:snapToGrid w:val="0"/>
          <w:szCs w:val="20"/>
          <w:lang w:eastAsia="fr-FR"/>
        </w:rPr>
        <w:t> </w:t>
      </w:r>
      <w:r w:rsidRPr="00316277">
        <w:rPr>
          <w:rFonts w:ascii="Arial" w:hAnsi="Arial" w:cs="Arial"/>
          <w:snapToGrid w:val="0"/>
          <w:szCs w:val="20"/>
          <w:lang w:eastAsia="fr-FR"/>
        </w:rPr>
        <w:t>I-2 est alloué aux fins de la réalisation d’activités liées au cycle de vie d’un programme (développement, implantation et évaluation).</w:t>
      </w:r>
    </w:p>
    <w:p w14:paraId="42821172" w14:textId="7195FDCE" w:rsidR="00F93F45" w:rsidRPr="00FA70F5" w:rsidRDefault="00F93F45" w:rsidP="00E02DF3">
      <w:pPr>
        <w:pStyle w:val="NUMRODECLAUSE"/>
        <w:keepNext w:val="0"/>
        <w:ind w:left="567" w:hanging="567"/>
      </w:pPr>
    </w:p>
    <w:p w14:paraId="5C8452E5" w14:textId="50B73D67" w:rsidR="00514BD7" w:rsidRPr="00026EC1" w:rsidRDefault="00514BD7" w:rsidP="00A64613">
      <w:pPr>
        <w:pStyle w:val="NUMRODECLAUSE"/>
        <w:keepNext w:val="0"/>
      </w:pPr>
      <w:r w:rsidRPr="00026EC1">
        <w:t>8</w:t>
      </w:r>
      <w:r w:rsidR="00984A6F">
        <w:noBreakHyphen/>
      </w:r>
      <w:r w:rsidRPr="00026EC1">
        <w:t>5.05</w:t>
      </w:r>
    </w:p>
    <w:p w14:paraId="5B6D006B" w14:textId="188CCF4F" w:rsidR="00FA70F5" w:rsidRDefault="00514BD7" w:rsidP="00A64613">
      <w:pPr>
        <w:keepNext w:val="0"/>
      </w:pPr>
      <w:r w:rsidRPr="00026EC1">
        <w:t>Le nombre d</w:t>
      </w:r>
      <w:r w:rsidR="004A41E4" w:rsidRPr="00026EC1">
        <w:t>’</w:t>
      </w:r>
      <w:r w:rsidRPr="00026EC1">
        <w:t>enseignantes et d</w:t>
      </w:r>
      <w:r w:rsidR="004A41E4" w:rsidRPr="00026EC1">
        <w:t>’</w:t>
      </w:r>
      <w:r w:rsidRPr="00026EC1">
        <w:t>enseignants réguliers à temps complet ou l</w:t>
      </w:r>
      <w:r w:rsidR="004A41E4" w:rsidRPr="00026EC1">
        <w:t>’</w:t>
      </w:r>
      <w:r w:rsidRPr="00026EC1">
        <w:t>équivalent que le Ministère alloue pour le volet 3 à un Collège ou Campus donné pour une année d</w:t>
      </w:r>
      <w:r w:rsidR="004A41E4" w:rsidRPr="00026EC1">
        <w:t>’</w:t>
      </w:r>
      <w:r w:rsidRPr="00026EC1">
        <w:t>enseignement est déterminé en appliquant les dispositions appropriées du mode de financement et comprend les ressources prévues à la colonne C de l</w:t>
      </w:r>
      <w:r w:rsidR="004A41E4" w:rsidRPr="00026EC1">
        <w:t>’</w:t>
      </w:r>
      <w:r w:rsidR="00242EC4" w:rsidRPr="00026EC1">
        <w:t>A</w:t>
      </w:r>
      <w:r w:rsidR="00066FDE" w:rsidRPr="00026EC1">
        <w:t>nnexe I</w:t>
      </w:r>
      <w:r w:rsidR="00984A6F">
        <w:noBreakHyphen/>
      </w:r>
      <w:r w:rsidR="00066FDE" w:rsidRPr="00026EC1">
        <w:t>2</w:t>
      </w:r>
      <w:r w:rsidRPr="00026EC1">
        <w:t>. Il s</w:t>
      </w:r>
      <w:r w:rsidR="004A41E4" w:rsidRPr="00026EC1">
        <w:t>’</w:t>
      </w:r>
      <w:r w:rsidRPr="00026EC1">
        <w:t>agit des ressources allouées en vertu de la colonne G de l</w:t>
      </w:r>
      <w:r w:rsidR="004A41E4" w:rsidRPr="00026EC1">
        <w:t>’</w:t>
      </w:r>
      <w:r w:rsidR="00242EC4" w:rsidRPr="00026EC1">
        <w:t>A</w:t>
      </w:r>
      <w:r w:rsidRPr="00026EC1">
        <w:t>nnexe I</w:t>
      </w:r>
      <w:r w:rsidR="00984A6F">
        <w:noBreakHyphen/>
      </w:r>
      <w:r w:rsidRPr="00026EC1">
        <w:t>2 de la convention collective 1995</w:t>
      </w:r>
      <w:r w:rsidR="00984A6F">
        <w:noBreakHyphen/>
      </w:r>
      <w:r w:rsidRPr="00026EC1">
        <w:t>1998 diminuées de celles qui y sont identifiées pour les temps de déplacement et l</w:t>
      </w:r>
      <w:r w:rsidR="004A41E4" w:rsidRPr="00026EC1">
        <w:t>’</w:t>
      </w:r>
      <w:r w:rsidRPr="00026EC1">
        <w:t>encadrement des étudiantes et étudiants.</w:t>
      </w:r>
    </w:p>
    <w:p w14:paraId="6CF9DA8B" w14:textId="7C7E892B" w:rsidR="00FA70F5" w:rsidRDefault="00FA70F5">
      <w:pPr>
        <w:keepNext w:val="0"/>
        <w:suppressAutoHyphens w:val="0"/>
        <w:jc w:val="left"/>
      </w:pPr>
    </w:p>
    <w:p w14:paraId="020EB78A" w14:textId="34F5E25A" w:rsidR="00514BD7" w:rsidRPr="00026EC1" w:rsidRDefault="00514BD7" w:rsidP="00A64613">
      <w:pPr>
        <w:pStyle w:val="NUMRODECLAUSE"/>
        <w:keepNext w:val="0"/>
      </w:pPr>
      <w:r w:rsidRPr="00026EC1">
        <w:t>8</w:t>
      </w:r>
      <w:r w:rsidR="00984A6F">
        <w:noBreakHyphen/>
      </w:r>
      <w:r w:rsidRPr="00026EC1">
        <w:t>5.06</w:t>
      </w:r>
    </w:p>
    <w:p w14:paraId="09A3E3A8" w14:textId="4E2D1467" w:rsidR="00514BD7" w:rsidRPr="00026EC1" w:rsidRDefault="005F454E" w:rsidP="00A64613">
      <w:pPr>
        <w:keepNext w:val="0"/>
        <w:ind w:left="426" w:hanging="426"/>
        <w:rPr>
          <w:bCs/>
        </w:rPr>
      </w:pPr>
      <w:r w:rsidRPr="007B2E03">
        <w:rPr>
          <w:bCs/>
          <w:noProof/>
          <w:lang w:val="fr-FR"/>
        </w:rPr>
        <w:t>a</w:t>
      </w:r>
      <w:r w:rsidR="002D24C6" w:rsidRPr="007B2E03">
        <w:rPr>
          <w:bCs/>
          <w:noProof/>
          <w:lang w:val="fr-FR"/>
        </w:rPr>
        <w:t>)</w:t>
      </w:r>
      <w:r w:rsidR="002D24C6" w:rsidRPr="007B2E03">
        <w:rPr>
          <w:bCs/>
          <w:noProof/>
          <w:lang w:val="fr-FR"/>
        </w:rPr>
        <w:tab/>
      </w:r>
      <w:r w:rsidR="00514BD7" w:rsidRPr="007B2E03">
        <w:rPr>
          <w:bCs/>
          <w:noProof/>
          <w:lang w:val="fr-FR"/>
        </w:rPr>
        <w:t>L</w:t>
      </w:r>
      <w:r w:rsidR="00514BD7" w:rsidRPr="007B2E03">
        <w:rPr>
          <w:bCs/>
        </w:rPr>
        <w:t>e nombre d</w:t>
      </w:r>
      <w:r w:rsidR="004A41E4" w:rsidRPr="007B2E03">
        <w:rPr>
          <w:bCs/>
        </w:rPr>
        <w:t>’</w:t>
      </w:r>
      <w:r w:rsidR="00514BD7" w:rsidRPr="007B2E03">
        <w:rPr>
          <w:bCs/>
        </w:rPr>
        <w:t>enseignantes et d</w:t>
      </w:r>
      <w:r w:rsidR="004A41E4" w:rsidRPr="007B2E03">
        <w:rPr>
          <w:bCs/>
        </w:rPr>
        <w:t>’</w:t>
      </w:r>
      <w:r w:rsidR="00514BD7" w:rsidRPr="007B2E03">
        <w:rPr>
          <w:bCs/>
        </w:rPr>
        <w:t>enseignants réguliers à temps complet ou l</w:t>
      </w:r>
      <w:r w:rsidR="004A41E4" w:rsidRPr="007B2E03">
        <w:rPr>
          <w:bCs/>
        </w:rPr>
        <w:t>’</w:t>
      </w:r>
      <w:r w:rsidR="00514BD7" w:rsidRPr="007B2E03">
        <w:rPr>
          <w:bCs/>
        </w:rPr>
        <w:t>équivalent</w:t>
      </w:r>
      <w:r w:rsidR="00514BD7" w:rsidRPr="00026EC1">
        <w:rPr>
          <w:bCs/>
        </w:rPr>
        <w:t xml:space="preserve"> prévu à la colonne D de l</w:t>
      </w:r>
      <w:r w:rsidR="004A41E4" w:rsidRPr="00026EC1">
        <w:rPr>
          <w:bCs/>
        </w:rPr>
        <w:t>’</w:t>
      </w:r>
      <w:r w:rsidR="00242EC4" w:rsidRPr="00026EC1">
        <w:rPr>
          <w:bCs/>
        </w:rPr>
        <w:t>A</w:t>
      </w:r>
      <w:r w:rsidR="00514BD7" w:rsidRPr="00026EC1">
        <w:rPr>
          <w:bCs/>
        </w:rPr>
        <w:t>nnexe</w:t>
      </w:r>
      <w:r w:rsidR="001C1B3E">
        <w:rPr>
          <w:bCs/>
        </w:rPr>
        <w:t> </w:t>
      </w:r>
      <w:r w:rsidR="00514BD7" w:rsidRPr="00026EC1">
        <w:rPr>
          <w:bCs/>
        </w:rPr>
        <w:t>I</w:t>
      </w:r>
      <w:r w:rsidR="00984A6F">
        <w:rPr>
          <w:bCs/>
        </w:rPr>
        <w:noBreakHyphen/>
      </w:r>
      <w:r w:rsidR="00514BD7" w:rsidRPr="00026EC1">
        <w:rPr>
          <w:bCs/>
        </w:rPr>
        <w:t>2 est alloué pour soutenir la réalisation du plan stratégique du Collège.</w:t>
      </w:r>
    </w:p>
    <w:p w14:paraId="6F615230" w14:textId="77777777" w:rsidR="00514BD7" w:rsidRPr="00026EC1" w:rsidRDefault="00514BD7" w:rsidP="00A64613">
      <w:pPr>
        <w:keepNext w:val="0"/>
        <w:rPr>
          <w:bCs/>
        </w:rPr>
      </w:pPr>
    </w:p>
    <w:p w14:paraId="039AE814" w14:textId="77777777" w:rsidR="00514BD7" w:rsidRPr="00026EC1" w:rsidRDefault="00514BD7" w:rsidP="00A64613">
      <w:pPr>
        <w:keepNext w:val="0"/>
        <w:ind w:left="426"/>
        <w:rPr>
          <w:bCs/>
        </w:rPr>
      </w:pPr>
      <w:r w:rsidRPr="00026EC1">
        <w:rPr>
          <w:bCs/>
        </w:rPr>
        <w:t>Ces ressources d</w:t>
      </w:r>
      <w:r w:rsidR="004A41E4" w:rsidRPr="00026EC1">
        <w:rPr>
          <w:bCs/>
        </w:rPr>
        <w:t>’</w:t>
      </w:r>
      <w:r w:rsidRPr="00026EC1">
        <w:rPr>
          <w:bCs/>
        </w:rPr>
        <w:t>enseignement additionnelles sont utilisées notamment pour des activités de programme, de perfectionnement disciplinaire et pédagogique, d</w:t>
      </w:r>
      <w:r w:rsidR="004A41E4" w:rsidRPr="00026EC1">
        <w:rPr>
          <w:bCs/>
        </w:rPr>
        <w:t>’</w:t>
      </w:r>
      <w:r w:rsidRPr="00026EC1">
        <w:rPr>
          <w:bCs/>
        </w:rPr>
        <w:t>organisation des stages et ateliers, d</w:t>
      </w:r>
      <w:r w:rsidR="004A41E4" w:rsidRPr="00026EC1">
        <w:rPr>
          <w:bCs/>
        </w:rPr>
        <w:t>’</w:t>
      </w:r>
      <w:r w:rsidRPr="00026EC1">
        <w:rPr>
          <w:bCs/>
        </w:rPr>
        <w:t>amélioration de la réussite des étudiantes et étudiants, de transfert technologique, de recherche et d</w:t>
      </w:r>
      <w:r w:rsidR="004A41E4" w:rsidRPr="00026EC1">
        <w:rPr>
          <w:bCs/>
        </w:rPr>
        <w:t>’</w:t>
      </w:r>
      <w:r w:rsidRPr="00026EC1">
        <w:rPr>
          <w:bCs/>
        </w:rPr>
        <w:t>insertion professionnelle.</w:t>
      </w:r>
    </w:p>
    <w:p w14:paraId="68C5FA24" w14:textId="77777777" w:rsidR="00514BD7" w:rsidRPr="00026EC1" w:rsidRDefault="00514BD7" w:rsidP="00A64613">
      <w:pPr>
        <w:keepNext w:val="0"/>
        <w:ind w:left="426"/>
      </w:pPr>
    </w:p>
    <w:p w14:paraId="0443A2B9" w14:textId="530BE494" w:rsidR="00742FA7" w:rsidRDefault="00514BD7" w:rsidP="00A64613">
      <w:pPr>
        <w:keepNext w:val="0"/>
        <w:ind w:left="426"/>
        <w:rPr>
          <w:bCs/>
        </w:rPr>
      </w:pPr>
      <w:r w:rsidRPr="00026EC1">
        <w:rPr>
          <w:bCs/>
        </w:rPr>
        <w:t>Sous réserve de la clause</w:t>
      </w:r>
      <w:r w:rsidR="004002ED" w:rsidRPr="00026EC1">
        <w:rPr>
          <w:bCs/>
        </w:rPr>
        <w:t> </w:t>
      </w:r>
      <w:r w:rsidRPr="00026EC1">
        <w:rPr>
          <w:bCs/>
        </w:rPr>
        <w:t>8</w:t>
      </w:r>
      <w:r w:rsidR="00984A6F">
        <w:rPr>
          <w:bCs/>
        </w:rPr>
        <w:noBreakHyphen/>
      </w:r>
      <w:r w:rsidRPr="00026EC1">
        <w:rPr>
          <w:bCs/>
        </w:rPr>
        <w:t>7.07, elles ne peuvent être utilisées à des activités liées au calcul de la charge individuelle de travail, soit la CI</w:t>
      </w:r>
      <w:r w:rsidRPr="00026EC1">
        <w:rPr>
          <w:bCs/>
          <w:vertAlign w:val="subscript"/>
        </w:rPr>
        <w:t>p</w:t>
      </w:r>
      <w:r w:rsidRPr="00026EC1">
        <w:rPr>
          <w:bCs/>
        </w:rPr>
        <w:t xml:space="preserve"> et la CI</w:t>
      </w:r>
      <w:r w:rsidRPr="00026EC1">
        <w:rPr>
          <w:bCs/>
          <w:vertAlign w:val="subscript"/>
        </w:rPr>
        <w:t xml:space="preserve">s </w:t>
      </w:r>
      <w:r w:rsidRPr="00026EC1">
        <w:rPr>
          <w:bCs/>
        </w:rPr>
        <w:t>prévues à l</w:t>
      </w:r>
      <w:r w:rsidR="004A41E4" w:rsidRPr="00026EC1">
        <w:rPr>
          <w:bCs/>
        </w:rPr>
        <w:t>’</w:t>
      </w:r>
      <w:r w:rsidR="00242EC4" w:rsidRPr="00026EC1">
        <w:rPr>
          <w:bCs/>
        </w:rPr>
        <w:t>A</w:t>
      </w:r>
      <w:r w:rsidRPr="00026EC1">
        <w:rPr>
          <w:bCs/>
        </w:rPr>
        <w:t>nnexe</w:t>
      </w:r>
      <w:r w:rsidR="00465E6E" w:rsidRPr="00026EC1">
        <w:rPr>
          <w:bCs/>
        </w:rPr>
        <w:t> </w:t>
      </w:r>
      <w:r w:rsidRPr="00026EC1">
        <w:rPr>
          <w:bCs/>
        </w:rPr>
        <w:t>I</w:t>
      </w:r>
      <w:r w:rsidR="00984A6F">
        <w:rPr>
          <w:bCs/>
        </w:rPr>
        <w:noBreakHyphen/>
      </w:r>
      <w:r w:rsidRPr="00026EC1">
        <w:rPr>
          <w:bCs/>
        </w:rPr>
        <w:t xml:space="preserve">1. </w:t>
      </w:r>
    </w:p>
    <w:p w14:paraId="0E1A1DBC" w14:textId="696C1876" w:rsidR="00514BD7" w:rsidRDefault="00514BD7" w:rsidP="00A64613">
      <w:pPr>
        <w:keepNext w:val="0"/>
        <w:ind w:left="426"/>
        <w:rPr>
          <w:bCs/>
        </w:rPr>
      </w:pPr>
      <w:r w:rsidRPr="00026EC1">
        <w:rPr>
          <w:bCs/>
        </w:rPr>
        <w:t>De plus, elles ne peuvent être utilisées à des activités de promotion, à moins d</w:t>
      </w:r>
      <w:r w:rsidR="004A41E4" w:rsidRPr="00026EC1">
        <w:rPr>
          <w:bCs/>
        </w:rPr>
        <w:t>’</w:t>
      </w:r>
      <w:r w:rsidRPr="00026EC1">
        <w:rPr>
          <w:bCs/>
        </w:rPr>
        <w:t>entente entre les parties.</w:t>
      </w:r>
    </w:p>
    <w:p w14:paraId="72F35263" w14:textId="77777777" w:rsidR="00E02DF3" w:rsidRDefault="00E02DF3" w:rsidP="00A64613">
      <w:pPr>
        <w:keepNext w:val="0"/>
        <w:ind w:left="426"/>
        <w:rPr>
          <w:bCs/>
        </w:rPr>
      </w:pPr>
    </w:p>
    <w:p w14:paraId="14655DD9" w14:textId="551C6C48" w:rsidR="00394B6A" w:rsidRPr="007B2E03" w:rsidRDefault="005F454E" w:rsidP="00A64613">
      <w:pPr>
        <w:keepNext w:val="0"/>
        <w:ind w:left="426" w:hanging="426"/>
        <w:rPr>
          <w:bCs/>
          <w:noProof/>
          <w:lang w:val="fr-FR"/>
        </w:rPr>
      </w:pPr>
      <w:r w:rsidRPr="007B2E03">
        <w:rPr>
          <w:bCs/>
          <w:noProof/>
          <w:lang w:val="fr-FR"/>
        </w:rPr>
        <w:t>b</w:t>
      </w:r>
      <w:r w:rsidR="002D24C6" w:rsidRPr="007B2E03">
        <w:rPr>
          <w:bCs/>
          <w:noProof/>
          <w:lang w:val="fr-FR"/>
        </w:rPr>
        <w:t>)</w:t>
      </w:r>
      <w:r w:rsidR="002D24C6" w:rsidRPr="007B2E03">
        <w:rPr>
          <w:bCs/>
          <w:noProof/>
          <w:lang w:val="fr-FR"/>
        </w:rPr>
        <w:tab/>
      </w:r>
      <w:r w:rsidR="00394B6A" w:rsidRPr="007B2E03">
        <w:rPr>
          <w:bCs/>
          <w:noProof/>
          <w:lang w:val="fr-FR"/>
        </w:rPr>
        <w:t>Le nombre d’enseignantes et d’enseignants réguliers à temps complet ou l’équivalent prévu à l’</w:t>
      </w:r>
      <w:r w:rsidR="00EA2D5B" w:rsidRPr="007B2E03">
        <w:rPr>
          <w:bCs/>
          <w:noProof/>
          <w:lang w:val="fr-FR"/>
        </w:rPr>
        <w:t>A</w:t>
      </w:r>
      <w:r w:rsidR="00394B6A" w:rsidRPr="007B2E03">
        <w:rPr>
          <w:bCs/>
          <w:noProof/>
          <w:lang w:val="fr-FR"/>
        </w:rPr>
        <w:t>nnexe</w:t>
      </w:r>
      <w:r w:rsidR="00C766F1" w:rsidRPr="007B2E03">
        <w:rPr>
          <w:bCs/>
          <w:noProof/>
          <w:lang w:val="fr-FR"/>
        </w:rPr>
        <w:t> </w:t>
      </w:r>
      <w:r w:rsidR="00394B6A" w:rsidRPr="007B2E03">
        <w:rPr>
          <w:bCs/>
          <w:noProof/>
          <w:lang w:val="fr-FR"/>
        </w:rPr>
        <w:t>I</w:t>
      </w:r>
      <w:r w:rsidR="00984A6F">
        <w:rPr>
          <w:bCs/>
          <w:noProof/>
          <w:lang w:val="fr-FR"/>
        </w:rPr>
        <w:noBreakHyphen/>
      </w:r>
      <w:r w:rsidR="00394B6A" w:rsidRPr="007B2E03">
        <w:rPr>
          <w:bCs/>
          <w:noProof/>
          <w:lang w:val="fr-FR"/>
        </w:rPr>
        <w:t xml:space="preserve">14 </w:t>
      </w:r>
      <w:r w:rsidR="008547B0">
        <w:rPr>
          <w:bCs/>
          <w:noProof/>
          <w:lang w:val="fr-FR"/>
        </w:rPr>
        <w:t>est</w:t>
      </w:r>
      <w:r w:rsidR="00F43E69" w:rsidRPr="007B2E03">
        <w:rPr>
          <w:bCs/>
          <w:noProof/>
          <w:lang w:val="fr-FR"/>
        </w:rPr>
        <w:t xml:space="preserve"> alloué pour des activités prévues à la clause</w:t>
      </w:r>
      <w:r w:rsidR="003C7114">
        <w:rPr>
          <w:bCs/>
          <w:noProof/>
          <w:lang w:val="fr-FR"/>
        </w:rPr>
        <w:t> </w:t>
      </w:r>
      <w:r w:rsidR="00F43E69" w:rsidRPr="007B2E03">
        <w:rPr>
          <w:bCs/>
          <w:noProof/>
          <w:lang w:val="fr-FR"/>
        </w:rPr>
        <w:t>8</w:t>
      </w:r>
      <w:r w:rsidR="00984A6F">
        <w:rPr>
          <w:bCs/>
          <w:noProof/>
          <w:lang w:val="fr-FR"/>
        </w:rPr>
        <w:noBreakHyphen/>
      </w:r>
      <w:r w:rsidR="00F43E69" w:rsidRPr="007B2E03">
        <w:rPr>
          <w:bCs/>
          <w:noProof/>
          <w:lang w:val="fr-FR"/>
        </w:rPr>
        <w:t xml:space="preserve">4.01 </w:t>
      </w:r>
      <w:r w:rsidR="00394B6A" w:rsidRPr="007B2E03">
        <w:rPr>
          <w:bCs/>
          <w:noProof/>
          <w:lang w:val="fr-FR"/>
        </w:rPr>
        <w:t>afin de soutenir les étudiantes et étudiants en situation de handicap ou ceux ayant des besoins particuliers.</w:t>
      </w:r>
    </w:p>
    <w:p w14:paraId="70A43C5F" w14:textId="77777777" w:rsidR="00394B6A" w:rsidRPr="00394B6A" w:rsidRDefault="00394B6A" w:rsidP="00A64613">
      <w:pPr>
        <w:keepNext w:val="0"/>
        <w:rPr>
          <w:bCs/>
        </w:rPr>
      </w:pPr>
    </w:p>
    <w:p w14:paraId="06270FB1" w14:textId="47406643" w:rsidR="00514BD7" w:rsidRPr="00026EC1" w:rsidRDefault="00514BD7" w:rsidP="00A64613">
      <w:pPr>
        <w:pStyle w:val="NUMRODECLAUSE"/>
        <w:keepNext w:val="0"/>
      </w:pPr>
      <w:r w:rsidRPr="00026EC1">
        <w:t>8</w:t>
      </w:r>
      <w:r w:rsidR="00984A6F">
        <w:noBreakHyphen/>
      </w:r>
      <w:r w:rsidRPr="00026EC1">
        <w:t>5.07</w:t>
      </w:r>
    </w:p>
    <w:p w14:paraId="2391BADD" w14:textId="16630F46" w:rsidR="00514BD7" w:rsidRPr="00026EC1" w:rsidRDefault="00514BD7" w:rsidP="00A64613">
      <w:pPr>
        <w:keepNext w:val="0"/>
      </w:pPr>
      <w:r w:rsidRPr="00026EC1">
        <w:t>Les nombres d</w:t>
      </w:r>
      <w:r w:rsidR="004A41E4" w:rsidRPr="00026EC1">
        <w:t>’</w:t>
      </w:r>
      <w:r w:rsidRPr="00026EC1">
        <w:t>enseignantes et d</w:t>
      </w:r>
      <w:r w:rsidR="004A41E4" w:rsidRPr="00026EC1">
        <w:t>’</w:t>
      </w:r>
      <w:r w:rsidRPr="00026EC1">
        <w:t>enseignants prévus aux clauses 8</w:t>
      </w:r>
      <w:r w:rsidR="00984A6F">
        <w:noBreakHyphen/>
      </w:r>
      <w:r w:rsidRPr="00026EC1">
        <w:t>5.03, 8</w:t>
      </w:r>
      <w:r w:rsidR="00984A6F">
        <w:noBreakHyphen/>
      </w:r>
      <w:r w:rsidRPr="00026EC1">
        <w:t>5.04 et 8</w:t>
      </w:r>
      <w:r w:rsidR="00984A6F">
        <w:noBreakHyphen/>
      </w:r>
      <w:r w:rsidRPr="00026EC1">
        <w:t>5.05 sont rajustés par l</w:t>
      </w:r>
      <w:r w:rsidR="004A41E4" w:rsidRPr="00026EC1">
        <w:t>’</w:t>
      </w:r>
      <w:r w:rsidRPr="00026EC1">
        <w:t>application de la clause </w:t>
      </w:r>
      <w:r w:rsidRPr="00026EC1">
        <w:rPr>
          <w:bCs/>
        </w:rPr>
        <w:t>8</w:t>
      </w:r>
      <w:r w:rsidR="00984A6F">
        <w:rPr>
          <w:bCs/>
        </w:rPr>
        <w:noBreakHyphen/>
      </w:r>
      <w:r w:rsidRPr="00026EC1">
        <w:rPr>
          <w:bCs/>
        </w:rPr>
        <w:t>5.11</w:t>
      </w:r>
      <w:r w:rsidRPr="00026EC1">
        <w:t>.</w:t>
      </w:r>
    </w:p>
    <w:p w14:paraId="28BA87A7" w14:textId="77777777" w:rsidR="00514BD7" w:rsidRPr="00026EC1" w:rsidRDefault="00514BD7" w:rsidP="00A64613">
      <w:pPr>
        <w:keepNext w:val="0"/>
      </w:pPr>
    </w:p>
    <w:p w14:paraId="16F2E391" w14:textId="665862E8" w:rsidR="00514BD7" w:rsidRDefault="00514BD7" w:rsidP="00A64613">
      <w:pPr>
        <w:keepNext w:val="0"/>
      </w:pPr>
      <w:r w:rsidRPr="00026EC1">
        <w:t>Ces nombres d</w:t>
      </w:r>
      <w:r w:rsidR="004A41E4" w:rsidRPr="00026EC1">
        <w:t>’</w:t>
      </w:r>
      <w:r w:rsidRPr="00026EC1">
        <w:t>enseignantes et d</w:t>
      </w:r>
      <w:r w:rsidR="004A41E4" w:rsidRPr="00026EC1">
        <w:t>’</w:t>
      </w:r>
      <w:r w:rsidRPr="00026EC1">
        <w:t>enseignants comprennent le nombre d</w:t>
      </w:r>
      <w:r w:rsidR="004A41E4" w:rsidRPr="00026EC1">
        <w:t>’</w:t>
      </w:r>
      <w:r w:rsidRPr="00026EC1">
        <w:t>enseignantes et d</w:t>
      </w:r>
      <w:r w:rsidR="004A41E4" w:rsidRPr="00026EC1">
        <w:t>’</w:t>
      </w:r>
      <w:r w:rsidRPr="00026EC1">
        <w:t>enseignants qui peuvent, par entente entre les parties, être libérés aux fins du fonctionnement interne du Syndicat.</w:t>
      </w:r>
    </w:p>
    <w:p w14:paraId="67D7509F" w14:textId="77777777" w:rsidR="00FA70F5" w:rsidRPr="00026EC1" w:rsidRDefault="00FA70F5" w:rsidP="00A64613">
      <w:pPr>
        <w:keepNext w:val="0"/>
      </w:pPr>
    </w:p>
    <w:p w14:paraId="49449789" w14:textId="4CB51483" w:rsidR="00514BD7" w:rsidRPr="00090C85" w:rsidRDefault="00514BD7" w:rsidP="00A64613">
      <w:pPr>
        <w:pStyle w:val="NUMRODECLAUSE"/>
        <w:keepNext w:val="0"/>
        <w:rPr>
          <w:bCs/>
        </w:rPr>
      </w:pPr>
      <w:r w:rsidRPr="00090C85">
        <w:t>8</w:t>
      </w:r>
      <w:r w:rsidR="00984A6F">
        <w:noBreakHyphen/>
      </w:r>
      <w:r w:rsidRPr="00090C85">
        <w:t>5.08</w:t>
      </w:r>
    </w:p>
    <w:p w14:paraId="67762FB8" w14:textId="2204D383" w:rsidR="00D23FF1" w:rsidRPr="00026EC1" w:rsidRDefault="00D23FF1" w:rsidP="00A64613">
      <w:pPr>
        <w:keepNext w:val="0"/>
        <w:tabs>
          <w:tab w:val="left" w:pos="567"/>
        </w:tabs>
        <w:ind w:left="567" w:hanging="567"/>
      </w:pPr>
      <w:r w:rsidRPr="00026EC1">
        <w:t>a)</w:t>
      </w:r>
      <w:r w:rsidRPr="00026EC1">
        <w:tab/>
        <w:t>Après avoir établi sa prévision d’inscriptions aux cours ou aux programmes, selon le cas, pour l’année d’enseignement suivante, le Collège prépare un projet de répartition qui détermine le nombre d’enseignantes et d’enseignants pour chacune des disciplines et le présente au Syndicat au plus tard le 1</w:t>
      </w:r>
      <w:r w:rsidRPr="00026EC1">
        <w:rPr>
          <w:bCs/>
          <w:szCs w:val="24"/>
          <w:vertAlign w:val="superscript"/>
        </w:rPr>
        <w:t>er</w:t>
      </w:r>
      <w:r w:rsidR="00A02F0D">
        <w:rPr>
          <w:bCs/>
        </w:rPr>
        <w:t> </w:t>
      </w:r>
      <w:r w:rsidRPr="00026EC1">
        <w:rPr>
          <w:bCs/>
        </w:rPr>
        <w:t>mai</w:t>
      </w:r>
      <w:r w:rsidRPr="00026EC1">
        <w:t>. Ce projet tient compte des ressources prévues à la clause 8</w:t>
      </w:r>
      <w:r w:rsidR="00984A6F">
        <w:noBreakHyphen/>
      </w:r>
      <w:r w:rsidRPr="00026EC1">
        <w:t>5.02 et précise, pour chacune des disciplines, l’allocation qui lui est faite aux fins de chacune des fonctions et activités énumérées aux volets 2 et 3 de la clause 8</w:t>
      </w:r>
      <w:r w:rsidR="00984A6F">
        <w:noBreakHyphen/>
      </w:r>
      <w:r w:rsidRPr="00026EC1">
        <w:t xml:space="preserve">4.01 </w:t>
      </w:r>
      <w:r w:rsidRPr="00026EC1">
        <w:rPr>
          <w:bCs/>
        </w:rPr>
        <w:t>et à la clause</w:t>
      </w:r>
      <w:r w:rsidR="00A02F0D">
        <w:rPr>
          <w:bCs/>
        </w:rPr>
        <w:t> </w:t>
      </w:r>
      <w:r w:rsidRPr="00026EC1">
        <w:rPr>
          <w:bCs/>
        </w:rPr>
        <w:t>8</w:t>
      </w:r>
      <w:r w:rsidR="00984A6F">
        <w:rPr>
          <w:bCs/>
        </w:rPr>
        <w:noBreakHyphen/>
      </w:r>
      <w:r w:rsidRPr="00026EC1">
        <w:rPr>
          <w:bCs/>
        </w:rPr>
        <w:t>5.06 attribuées sous forme de libération (</w:t>
      </w:r>
      <w:r w:rsidRPr="00026EC1">
        <w:rPr>
          <w:bCs/>
          <w:lang w:val="fr-FR"/>
        </w:rPr>
        <w:t>CI</w:t>
      </w:r>
      <w:r w:rsidRPr="00026EC1">
        <w:rPr>
          <w:bCs/>
          <w:vertAlign w:val="subscript"/>
          <w:lang w:val="fr-FR"/>
        </w:rPr>
        <w:t>L</w:t>
      </w:r>
      <w:r w:rsidRPr="00026EC1">
        <w:rPr>
          <w:bCs/>
        </w:rPr>
        <w:t>).</w:t>
      </w:r>
    </w:p>
    <w:p w14:paraId="3C119497" w14:textId="77777777" w:rsidR="00D23FF1" w:rsidRPr="00026EC1" w:rsidRDefault="00D23FF1" w:rsidP="00A64613">
      <w:pPr>
        <w:keepNext w:val="0"/>
      </w:pPr>
    </w:p>
    <w:p w14:paraId="097E2A2B" w14:textId="79EED21E" w:rsidR="00D23FF1" w:rsidRPr="00026EC1" w:rsidRDefault="00D23FF1" w:rsidP="00A64613">
      <w:pPr>
        <w:pStyle w:val="Texte1cm00000"/>
        <w:keepNext w:val="0"/>
      </w:pPr>
      <w:r w:rsidRPr="00026EC1">
        <w:t>À moins d’entente contraire entre les parties, ce projet comprend</w:t>
      </w:r>
      <w:r w:rsidR="00D8581B">
        <w:t> :</w:t>
      </w:r>
    </w:p>
    <w:p w14:paraId="482467C5" w14:textId="77777777" w:rsidR="00D23FF1" w:rsidRPr="00026EC1" w:rsidRDefault="00D23FF1" w:rsidP="00A64613">
      <w:pPr>
        <w:keepNext w:val="0"/>
      </w:pPr>
    </w:p>
    <w:p w14:paraId="37ADDA97" w14:textId="1F5D2707" w:rsidR="00D23FF1" w:rsidRDefault="00D23FF1" w:rsidP="00A64613">
      <w:pPr>
        <w:keepNext w:val="0"/>
        <w:tabs>
          <w:tab w:val="left" w:pos="1134"/>
        </w:tabs>
        <w:ind w:left="1134" w:hanging="567"/>
      </w:pPr>
      <w:r w:rsidRPr="00026EC1">
        <w:rPr>
          <w:rFonts w:ascii="Symbol" w:hAnsi="Symbol"/>
        </w:rPr>
        <w:t></w:t>
      </w:r>
      <w:r w:rsidRPr="00026EC1">
        <w:rPr>
          <w:rFonts w:ascii="Symbol" w:hAnsi="Symbol"/>
        </w:rPr>
        <w:tab/>
      </w:r>
      <w:r w:rsidRPr="00026EC1">
        <w:t>aux fins du volet 1 de la clause 8</w:t>
      </w:r>
      <w:r w:rsidR="00984A6F">
        <w:noBreakHyphen/>
      </w:r>
      <w:r w:rsidRPr="00026EC1">
        <w:t>4.01, au moins quatre</w:t>
      </w:r>
      <w:r w:rsidR="00984A6F">
        <w:noBreakHyphen/>
      </w:r>
      <w:r w:rsidRPr="00026EC1">
        <w:t>vingt</w:t>
      </w:r>
      <w:r w:rsidR="00984A6F">
        <w:noBreakHyphen/>
      </w:r>
      <w:r w:rsidRPr="00026EC1">
        <w:t>dix</w:t>
      </w:r>
      <w:r w:rsidR="00984A6F">
        <w:noBreakHyphen/>
      </w:r>
      <w:r w:rsidRPr="00026EC1">
        <w:t>sept pour cent (97</w:t>
      </w:r>
      <w:r w:rsidR="00714A15">
        <w:t> %</w:t>
      </w:r>
      <w:r w:rsidRPr="00026EC1">
        <w:t>) des ressources dont dispose le Collège selon l’alinéa A) de la clause 8</w:t>
      </w:r>
      <w:r w:rsidR="00984A6F">
        <w:noBreakHyphen/>
      </w:r>
      <w:r w:rsidRPr="00026EC1">
        <w:t>5.03;</w:t>
      </w:r>
    </w:p>
    <w:p w14:paraId="53AF0C10" w14:textId="77777777" w:rsidR="0035265D" w:rsidRPr="00026EC1" w:rsidRDefault="0035265D" w:rsidP="00A64613">
      <w:pPr>
        <w:keepNext w:val="0"/>
        <w:tabs>
          <w:tab w:val="left" w:pos="1134"/>
        </w:tabs>
        <w:ind w:left="1134" w:hanging="567"/>
      </w:pPr>
    </w:p>
    <w:p w14:paraId="72B898E9" w14:textId="565A9BB6" w:rsidR="00D23FF1" w:rsidRDefault="00D23FF1" w:rsidP="00A64613">
      <w:pPr>
        <w:keepNext w:val="0"/>
        <w:tabs>
          <w:tab w:val="left" w:pos="1134"/>
        </w:tabs>
        <w:ind w:left="1134" w:hanging="567"/>
      </w:pPr>
      <w:r w:rsidRPr="00026EC1">
        <w:rPr>
          <w:rFonts w:ascii="Symbol" w:hAnsi="Symbol"/>
        </w:rPr>
        <w:t></w:t>
      </w:r>
      <w:r w:rsidRPr="00026EC1">
        <w:rPr>
          <w:rFonts w:ascii="Symbol" w:hAnsi="Symbol"/>
        </w:rPr>
        <w:tab/>
      </w:r>
      <w:r w:rsidRPr="00026EC1">
        <w:t>aux fins du volet 1 de la clause 8</w:t>
      </w:r>
      <w:r w:rsidR="00984A6F">
        <w:noBreakHyphen/>
      </w:r>
      <w:r w:rsidRPr="00026EC1">
        <w:t>4.01, au moins cent pour cent (100</w:t>
      </w:r>
      <w:r w:rsidR="00714A15">
        <w:t> %</w:t>
      </w:r>
      <w:r w:rsidRPr="00026EC1">
        <w:t>) des ressources dont dispose le Collège selon l’alinéa B) de la clause 8</w:t>
      </w:r>
      <w:r w:rsidR="00984A6F">
        <w:noBreakHyphen/>
      </w:r>
      <w:r w:rsidRPr="00026EC1">
        <w:t>5.03;</w:t>
      </w:r>
    </w:p>
    <w:p w14:paraId="6D147014" w14:textId="77777777" w:rsidR="00D00A9E" w:rsidRDefault="00D00A9E" w:rsidP="00A64613">
      <w:pPr>
        <w:keepNext w:val="0"/>
        <w:tabs>
          <w:tab w:val="left" w:pos="1134"/>
        </w:tabs>
        <w:ind w:left="1134" w:hanging="567"/>
      </w:pPr>
    </w:p>
    <w:p w14:paraId="36A9F8A5" w14:textId="77777777" w:rsidR="00D00A9E" w:rsidRPr="00316277" w:rsidRDefault="00D00A9E" w:rsidP="00864798">
      <w:pPr>
        <w:pStyle w:val="ListParagraph"/>
        <w:numPr>
          <w:ilvl w:val="0"/>
          <w:numId w:val="72"/>
        </w:numPr>
        <w:tabs>
          <w:tab w:val="left" w:pos="1134"/>
        </w:tabs>
        <w:ind w:left="1134" w:hanging="567"/>
        <w:rPr>
          <w:b/>
          <w:bCs/>
        </w:rPr>
      </w:pPr>
      <w:r w:rsidRPr="00316277">
        <w:t>aux</w:t>
      </w:r>
      <w:r w:rsidRPr="00316277">
        <w:rPr>
          <w:rStyle w:val="ElevSoulign"/>
          <w:b w:val="0"/>
          <w:bCs w:val="0"/>
          <w:u w:val="none"/>
        </w:rPr>
        <w:t xml:space="preserve"> fins du volet 1 de la clause 8</w:t>
      </w:r>
      <w:r w:rsidRPr="00316277">
        <w:rPr>
          <w:rStyle w:val="ElevSoulign"/>
          <w:b w:val="0"/>
          <w:bCs w:val="0"/>
          <w:u w:val="none"/>
        </w:rPr>
        <w:noBreakHyphen/>
        <w:t>4.01, au moins cent pour cent (100 %) des ressources dont dispose le Collège selon l’alinéa C) de la clause 8</w:t>
      </w:r>
      <w:r w:rsidRPr="00316277">
        <w:rPr>
          <w:rStyle w:val="ElevSoulign"/>
          <w:b w:val="0"/>
          <w:bCs w:val="0"/>
          <w:u w:val="none"/>
        </w:rPr>
        <w:noBreakHyphen/>
        <w:t>5.03. Ce projet précise également de quelle manière ces ressources servent aux fins prévues à l’Annexe I-16</w:t>
      </w:r>
      <w:r w:rsidRPr="00316277">
        <w:rPr>
          <w:b/>
          <w:bCs/>
        </w:rPr>
        <w:t>;</w:t>
      </w:r>
    </w:p>
    <w:p w14:paraId="2ECF1B6E" w14:textId="77777777" w:rsidR="00D23FF1" w:rsidRPr="00026EC1" w:rsidRDefault="00D23FF1" w:rsidP="00A64613">
      <w:pPr>
        <w:keepNext w:val="0"/>
        <w:tabs>
          <w:tab w:val="num" w:pos="840"/>
          <w:tab w:val="left" w:pos="1134"/>
        </w:tabs>
        <w:ind w:left="1134" w:hanging="567"/>
      </w:pPr>
    </w:p>
    <w:p w14:paraId="5A5C1D4E" w14:textId="3EB0179B" w:rsidR="00D23FF1" w:rsidRPr="00026EC1" w:rsidRDefault="00B822E0" w:rsidP="00A64613">
      <w:pPr>
        <w:keepNext w:val="0"/>
        <w:tabs>
          <w:tab w:val="left" w:pos="1134"/>
        </w:tabs>
        <w:ind w:left="1134" w:hanging="567"/>
      </w:pPr>
      <w:r w:rsidRPr="00026EC1">
        <w:rPr>
          <w:rFonts w:ascii="Symbol" w:hAnsi="Symbol"/>
        </w:rPr>
        <w:t></w:t>
      </w:r>
      <w:r w:rsidRPr="00026EC1">
        <w:rPr>
          <w:rFonts w:ascii="Symbol" w:hAnsi="Symbol"/>
        </w:rPr>
        <w:tab/>
      </w:r>
      <w:r w:rsidRPr="00026EC1">
        <w:t xml:space="preserve">aux fins du </w:t>
      </w:r>
      <w:r w:rsidR="00D23FF1" w:rsidRPr="00026EC1">
        <w:t>volet 2 de la clause 8</w:t>
      </w:r>
      <w:r w:rsidR="00984A6F">
        <w:noBreakHyphen/>
      </w:r>
      <w:r w:rsidR="00D23FF1" w:rsidRPr="00026EC1">
        <w:t>4.01</w:t>
      </w:r>
      <w:r w:rsidR="00D8581B">
        <w:t> :</w:t>
      </w:r>
    </w:p>
    <w:p w14:paraId="31CA6DC4" w14:textId="24D5DA6A" w:rsidR="00D23FF1" w:rsidRDefault="00D23FF1" w:rsidP="00A64613">
      <w:pPr>
        <w:keepNext w:val="0"/>
        <w:tabs>
          <w:tab w:val="left" w:pos="1701"/>
        </w:tabs>
        <w:ind w:left="1701" w:hanging="567"/>
        <w:rPr>
          <w:sz w:val="23"/>
          <w:szCs w:val="23"/>
        </w:rPr>
      </w:pPr>
      <w:r w:rsidRPr="00026EC1">
        <w:rPr>
          <w:rFonts w:ascii="Symbol" w:hAnsi="Symbol"/>
          <w:sz w:val="20"/>
        </w:rPr>
        <w:t></w:t>
      </w:r>
      <w:r w:rsidRPr="00026EC1">
        <w:rPr>
          <w:rFonts w:ascii="Symbol" w:hAnsi="Symbol"/>
          <w:sz w:val="20"/>
        </w:rPr>
        <w:tab/>
      </w:r>
      <w:r w:rsidRPr="00026EC1">
        <w:t>au moins quatre</w:t>
      </w:r>
      <w:r w:rsidR="00984A6F">
        <w:noBreakHyphen/>
      </w:r>
      <w:r w:rsidRPr="00026EC1">
        <w:t>vingt</w:t>
      </w:r>
      <w:r w:rsidR="00984A6F">
        <w:noBreakHyphen/>
      </w:r>
      <w:r w:rsidRPr="00026EC1">
        <w:t>dix pour cent (90</w:t>
      </w:r>
      <w:r w:rsidR="00714A15">
        <w:t> %</w:t>
      </w:r>
      <w:r w:rsidRPr="00026EC1">
        <w:t>) des ressources dont dispose le Collège selon la clause </w:t>
      </w:r>
      <w:r w:rsidRPr="00FB11AC">
        <w:t>8</w:t>
      </w:r>
      <w:r w:rsidR="00984A6F">
        <w:noBreakHyphen/>
      </w:r>
      <w:r w:rsidRPr="00FB11AC">
        <w:t>5.04</w:t>
      </w:r>
      <w:r w:rsidR="00176FE5" w:rsidRPr="00FB11AC">
        <w:t>,</w:t>
      </w:r>
      <w:r w:rsidRPr="00FB11AC">
        <w:t xml:space="preserve"> </w:t>
      </w:r>
      <w:r w:rsidR="007B30E4" w:rsidRPr="00FB11AC">
        <w:rPr>
          <w:szCs w:val="24"/>
        </w:rPr>
        <w:t>à l’exception des ressources des colonnes E, F</w:t>
      </w:r>
      <w:r w:rsidR="00D00A9E" w:rsidRPr="00316277">
        <w:rPr>
          <w:szCs w:val="24"/>
        </w:rPr>
        <w:t>,</w:t>
      </w:r>
      <w:r w:rsidR="00D00A9E">
        <w:rPr>
          <w:szCs w:val="24"/>
        </w:rPr>
        <w:t xml:space="preserve"> </w:t>
      </w:r>
      <w:r w:rsidR="007B30E4" w:rsidRPr="00FB11AC">
        <w:rPr>
          <w:szCs w:val="24"/>
        </w:rPr>
        <w:t>G</w:t>
      </w:r>
      <w:r w:rsidR="00D00A9E" w:rsidRPr="00316277">
        <w:rPr>
          <w:szCs w:val="24"/>
        </w:rPr>
        <w:t>, H et I</w:t>
      </w:r>
      <w:r w:rsidR="007B30E4" w:rsidRPr="00FB11AC">
        <w:rPr>
          <w:szCs w:val="24"/>
        </w:rPr>
        <w:t xml:space="preserve"> de l’</w:t>
      </w:r>
      <w:r w:rsidR="00E22140" w:rsidRPr="00FB11AC">
        <w:rPr>
          <w:szCs w:val="24"/>
        </w:rPr>
        <w:t>A</w:t>
      </w:r>
      <w:r w:rsidR="007B30E4" w:rsidRPr="00FB11AC">
        <w:rPr>
          <w:szCs w:val="24"/>
        </w:rPr>
        <w:t>nnexe</w:t>
      </w:r>
      <w:r w:rsidR="00C766F1" w:rsidRPr="00FB11AC">
        <w:rPr>
          <w:szCs w:val="24"/>
        </w:rPr>
        <w:t> </w:t>
      </w:r>
      <w:r w:rsidR="007B30E4" w:rsidRPr="00FB11AC">
        <w:rPr>
          <w:szCs w:val="24"/>
        </w:rPr>
        <w:t>I</w:t>
      </w:r>
      <w:r w:rsidR="00984A6F">
        <w:rPr>
          <w:szCs w:val="24"/>
        </w:rPr>
        <w:noBreakHyphen/>
      </w:r>
      <w:r w:rsidR="007B30E4" w:rsidRPr="00FB11AC">
        <w:rPr>
          <w:szCs w:val="24"/>
        </w:rPr>
        <w:t>2</w:t>
      </w:r>
      <w:r w:rsidR="00F35F67" w:rsidRPr="00FB11AC">
        <w:rPr>
          <w:sz w:val="23"/>
          <w:szCs w:val="23"/>
        </w:rPr>
        <w:t>;</w:t>
      </w:r>
    </w:p>
    <w:p w14:paraId="67182A0F" w14:textId="77777777" w:rsidR="00377BEA" w:rsidRPr="00FB11AC" w:rsidRDefault="00377BEA" w:rsidP="00A64613">
      <w:pPr>
        <w:keepNext w:val="0"/>
        <w:tabs>
          <w:tab w:val="left" w:pos="1701"/>
        </w:tabs>
        <w:ind w:left="1701" w:hanging="567"/>
      </w:pPr>
    </w:p>
    <w:p w14:paraId="19A8B42A" w14:textId="3B28CB48" w:rsidR="00D23FF1" w:rsidRDefault="00D23FF1" w:rsidP="00A64613">
      <w:pPr>
        <w:keepNext w:val="0"/>
        <w:tabs>
          <w:tab w:val="left" w:pos="1701"/>
        </w:tabs>
        <w:ind w:left="1701" w:hanging="567"/>
        <w:rPr>
          <w:bCs/>
        </w:rPr>
      </w:pPr>
      <w:r w:rsidRPr="00FB11AC">
        <w:rPr>
          <w:rFonts w:ascii="Symbol" w:hAnsi="Symbol"/>
          <w:sz w:val="20"/>
        </w:rPr>
        <w:t></w:t>
      </w:r>
      <w:r w:rsidRPr="00FB11AC">
        <w:rPr>
          <w:rFonts w:ascii="Symbol" w:hAnsi="Symbol"/>
          <w:sz w:val="20"/>
        </w:rPr>
        <w:tab/>
      </w:r>
      <w:r w:rsidRPr="00FB11AC">
        <w:rPr>
          <w:bCs/>
        </w:rPr>
        <w:t>soixante</w:t>
      </w:r>
      <w:r w:rsidR="00984A6F">
        <w:rPr>
          <w:bCs/>
        </w:rPr>
        <w:noBreakHyphen/>
      </w:r>
      <w:r w:rsidRPr="00FB11AC">
        <w:rPr>
          <w:bCs/>
        </w:rPr>
        <w:t>douze pour cent (72</w:t>
      </w:r>
      <w:r w:rsidR="00714A15" w:rsidRPr="00FB11AC">
        <w:rPr>
          <w:bCs/>
        </w:rPr>
        <w:t> %</w:t>
      </w:r>
      <w:r w:rsidRPr="00FB11AC">
        <w:rPr>
          <w:bCs/>
        </w:rPr>
        <w:t>) des ressources dont dispose le Collège selon la clause 8</w:t>
      </w:r>
      <w:r w:rsidR="00984A6F">
        <w:rPr>
          <w:bCs/>
        </w:rPr>
        <w:noBreakHyphen/>
      </w:r>
      <w:r w:rsidRPr="00FB11AC">
        <w:rPr>
          <w:bCs/>
        </w:rPr>
        <w:t>5.04</w:t>
      </w:r>
      <w:r w:rsidR="0088704A" w:rsidRPr="00FB11AC">
        <w:rPr>
          <w:bCs/>
          <w:szCs w:val="24"/>
        </w:rPr>
        <w:t>,</w:t>
      </w:r>
      <w:r w:rsidRPr="00FB11AC">
        <w:rPr>
          <w:bCs/>
          <w:szCs w:val="24"/>
        </w:rPr>
        <w:t xml:space="preserve"> </w:t>
      </w:r>
      <w:r w:rsidR="0088704A" w:rsidRPr="00FB11AC">
        <w:rPr>
          <w:szCs w:val="24"/>
        </w:rPr>
        <w:t>à l’exception des ressources des colonnes</w:t>
      </w:r>
      <w:r w:rsidR="00A02F0D">
        <w:rPr>
          <w:szCs w:val="24"/>
        </w:rPr>
        <w:t> </w:t>
      </w:r>
      <w:r w:rsidR="0088704A" w:rsidRPr="00FB11AC">
        <w:rPr>
          <w:szCs w:val="24"/>
        </w:rPr>
        <w:t>E, F</w:t>
      </w:r>
      <w:r w:rsidR="00D00A9E" w:rsidRPr="00316277">
        <w:rPr>
          <w:szCs w:val="24"/>
        </w:rPr>
        <w:t>,</w:t>
      </w:r>
      <w:r w:rsidR="00D00A9E">
        <w:rPr>
          <w:szCs w:val="24"/>
        </w:rPr>
        <w:t xml:space="preserve"> </w:t>
      </w:r>
      <w:r w:rsidR="0088704A" w:rsidRPr="00FB11AC">
        <w:rPr>
          <w:szCs w:val="24"/>
        </w:rPr>
        <w:t>G</w:t>
      </w:r>
      <w:r w:rsidR="00D00A9E" w:rsidRPr="00316277">
        <w:rPr>
          <w:szCs w:val="24"/>
        </w:rPr>
        <w:t>, H et</w:t>
      </w:r>
      <w:r w:rsidR="00D00A9E">
        <w:rPr>
          <w:szCs w:val="24"/>
        </w:rPr>
        <w:t xml:space="preserve"> </w:t>
      </w:r>
      <w:r w:rsidR="00D00A9E" w:rsidRPr="00316277">
        <w:rPr>
          <w:szCs w:val="24"/>
        </w:rPr>
        <w:t>I</w:t>
      </w:r>
      <w:r w:rsidR="0088704A" w:rsidRPr="00FB11AC">
        <w:rPr>
          <w:szCs w:val="24"/>
        </w:rPr>
        <w:t xml:space="preserve"> de l’</w:t>
      </w:r>
      <w:r w:rsidR="00E22140" w:rsidRPr="00FB11AC">
        <w:rPr>
          <w:szCs w:val="24"/>
        </w:rPr>
        <w:t>A</w:t>
      </w:r>
      <w:r w:rsidR="0088704A" w:rsidRPr="00FB11AC">
        <w:rPr>
          <w:szCs w:val="24"/>
        </w:rPr>
        <w:t>nnexe</w:t>
      </w:r>
      <w:r w:rsidR="00C766F1" w:rsidRPr="00FB11AC">
        <w:rPr>
          <w:szCs w:val="24"/>
        </w:rPr>
        <w:t> </w:t>
      </w:r>
      <w:r w:rsidR="0088704A" w:rsidRPr="00FB11AC">
        <w:rPr>
          <w:szCs w:val="24"/>
        </w:rPr>
        <w:t>I</w:t>
      </w:r>
      <w:r w:rsidR="00984A6F">
        <w:rPr>
          <w:szCs w:val="24"/>
        </w:rPr>
        <w:noBreakHyphen/>
      </w:r>
      <w:r w:rsidR="0088704A" w:rsidRPr="00FB11AC">
        <w:rPr>
          <w:szCs w:val="24"/>
        </w:rPr>
        <w:t xml:space="preserve">2, </w:t>
      </w:r>
      <w:r w:rsidRPr="00FB11AC">
        <w:rPr>
          <w:bCs/>
        </w:rPr>
        <w:t>sont allouées à la coordination</w:t>
      </w:r>
      <w:r w:rsidRPr="00026EC1">
        <w:rPr>
          <w:bCs/>
        </w:rPr>
        <w:t xml:space="preserve"> dont dix pour cent</w:t>
      </w:r>
      <w:r w:rsidR="008165CE">
        <w:rPr>
          <w:bCs/>
        </w:rPr>
        <w:t> </w:t>
      </w:r>
      <w:r w:rsidRPr="00026EC1">
        <w:rPr>
          <w:bCs/>
        </w:rPr>
        <w:t>(10</w:t>
      </w:r>
      <w:r w:rsidR="00714A15">
        <w:rPr>
          <w:bCs/>
        </w:rPr>
        <w:t> %</w:t>
      </w:r>
      <w:r w:rsidRPr="00026EC1">
        <w:rPr>
          <w:bCs/>
        </w:rPr>
        <w:t>) à la coordination de programme;</w:t>
      </w:r>
    </w:p>
    <w:p w14:paraId="5A6EB515" w14:textId="77777777" w:rsidR="00C64A24" w:rsidRDefault="00C64A24" w:rsidP="00A64613">
      <w:pPr>
        <w:keepNext w:val="0"/>
        <w:tabs>
          <w:tab w:val="left" w:pos="1701"/>
        </w:tabs>
        <w:ind w:left="1701" w:hanging="567"/>
        <w:rPr>
          <w:bCs/>
        </w:rPr>
      </w:pPr>
    </w:p>
    <w:p w14:paraId="15795832" w14:textId="799CD0EB" w:rsidR="009D317E" w:rsidRDefault="009D317E" w:rsidP="00A64613">
      <w:pPr>
        <w:keepNext w:val="0"/>
        <w:tabs>
          <w:tab w:val="left" w:pos="1701"/>
        </w:tabs>
        <w:ind w:left="1701" w:hanging="567"/>
        <w:rPr>
          <w:rFonts w:cs="Arial"/>
          <w:szCs w:val="24"/>
          <w:lang w:eastAsia="fr-CA"/>
        </w:rPr>
      </w:pPr>
      <w:r w:rsidRPr="00FB11AC">
        <w:rPr>
          <w:rFonts w:ascii="Symbol" w:hAnsi="Symbol"/>
          <w:sz w:val="20"/>
        </w:rPr>
        <w:t></w:t>
      </w:r>
      <w:r w:rsidRPr="00FB11AC">
        <w:rPr>
          <w:rFonts w:cs="Arial"/>
          <w:szCs w:val="24"/>
        </w:rPr>
        <w:tab/>
      </w:r>
      <w:r w:rsidR="002E37E0" w:rsidRPr="00FB11AC">
        <w:rPr>
          <w:rFonts w:cs="Arial"/>
          <w:szCs w:val="24"/>
        </w:rPr>
        <w:t>cent</w:t>
      </w:r>
      <w:r w:rsidR="004021B0" w:rsidRPr="00FB11AC">
        <w:rPr>
          <w:rFonts w:cs="Arial"/>
          <w:szCs w:val="24"/>
        </w:rPr>
        <w:t xml:space="preserve"> pour cent</w:t>
      </w:r>
      <w:r w:rsidR="002E37E0" w:rsidRPr="00FB11AC">
        <w:rPr>
          <w:rFonts w:cs="Arial"/>
          <w:szCs w:val="24"/>
        </w:rPr>
        <w:t xml:space="preserve"> </w:t>
      </w:r>
      <w:r w:rsidR="00553B44" w:rsidRPr="00FB11AC">
        <w:rPr>
          <w:rFonts w:cs="Arial"/>
          <w:szCs w:val="24"/>
        </w:rPr>
        <w:t>(</w:t>
      </w:r>
      <w:r w:rsidRPr="00FB11AC">
        <w:rPr>
          <w:rFonts w:cs="Arial"/>
          <w:szCs w:val="24"/>
          <w:lang w:eastAsia="fr-CA"/>
        </w:rPr>
        <w:t>100</w:t>
      </w:r>
      <w:r w:rsidR="00714A15" w:rsidRPr="00FB11AC">
        <w:rPr>
          <w:rFonts w:cs="Arial"/>
          <w:szCs w:val="24"/>
          <w:lang w:eastAsia="fr-CA"/>
        </w:rPr>
        <w:t> %</w:t>
      </w:r>
      <w:r w:rsidR="00553B44" w:rsidRPr="00FB11AC">
        <w:rPr>
          <w:rFonts w:cs="Arial"/>
          <w:szCs w:val="24"/>
          <w:lang w:eastAsia="fr-CA"/>
        </w:rPr>
        <w:t>)</w:t>
      </w:r>
      <w:r w:rsidRPr="00FB11AC">
        <w:rPr>
          <w:rFonts w:cs="Arial"/>
          <w:szCs w:val="24"/>
          <w:lang w:eastAsia="fr-CA"/>
        </w:rPr>
        <w:t xml:space="preserve"> des ressources prévues aux colonnes</w:t>
      </w:r>
      <w:r w:rsidR="00A02F0D">
        <w:rPr>
          <w:rFonts w:cs="Arial"/>
          <w:szCs w:val="24"/>
          <w:lang w:eastAsia="fr-CA"/>
        </w:rPr>
        <w:t> </w:t>
      </w:r>
      <w:r w:rsidRPr="00FB11AC">
        <w:rPr>
          <w:rFonts w:cs="Arial"/>
          <w:szCs w:val="24"/>
          <w:lang w:eastAsia="fr-CA"/>
        </w:rPr>
        <w:t>E, F</w:t>
      </w:r>
      <w:r w:rsidR="00D00A9E" w:rsidRPr="00316277">
        <w:rPr>
          <w:rFonts w:cs="Arial"/>
          <w:szCs w:val="24"/>
          <w:lang w:eastAsia="fr-CA"/>
        </w:rPr>
        <w:t>,</w:t>
      </w:r>
      <w:r w:rsidRPr="00FA70F5">
        <w:rPr>
          <w:rFonts w:cs="Arial"/>
          <w:szCs w:val="24"/>
          <w:lang w:eastAsia="fr-CA"/>
        </w:rPr>
        <w:t xml:space="preserve"> </w:t>
      </w:r>
      <w:r w:rsidRPr="00FB11AC">
        <w:rPr>
          <w:rFonts w:cs="Arial"/>
          <w:szCs w:val="24"/>
          <w:lang w:eastAsia="fr-CA"/>
        </w:rPr>
        <w:t>G</w:t>
      </w:r>
      <w:r w:rsidR="00D00A9E">
        <w:rPr>
          <w:rFonts w:cs="Arial"/>
          <w:szCs w:val="24"/>
          <w:lang w:eastAsia="fr-CA"/>
        </w:rPr>
        <w:t xml:space="preserve"> </w:t>
      </w:r>
      <w:r w:rsidR="00D00A9E" w:rsidRPr="00316277">
        <w:rPr>
          <w:rFonts w:cs="Arial"/>
          <w:szCs w:val="24"/>
          <w:lang w:eastAsia="fr-CA"/>
        </w:rPr>
        <w:t>et H</w:t>
      </w:r>
      <w:r w:rsidR="00D00A9E">
        <w:rPr>
          <w:rFonts w:cs="Arial"/>
          <w:szCs w:val="24"/>
          <w:lang w:eastAsia="fr-CA"/>
        </w:rPr>
        <w:t xml:space="preserve"> </w:t>
      </w:r>
      <w:r w:rsidRPr="00FB11AC">
        <w:rPr>
          <w:rFonts w:cs="Arial"/>
          <w:szCs w:val="24"/>
          <w:lang w:eastAsia="fr-CA"/>
        </w:rPr>
        <w:t>de l’</w:t>
      </w:r>
      <w:r w:rsidR="00E22140" w:rsidRPr="00FB11AC">
        <w:rPr>
          <w:rFonts w:cs="Arial"/>
          <w:szCs w:val="24"/>
          <w:lang w:eastAsia="fr-CA"/>
        </w:rPr>
        <w:t>A</w:t>
      </w:r>
      <w:r w:rsidRPr="00FB11AC">
        <w:rPr>
          <w:rFonts w:cs="Arial"/>
          <w:szCs w:val="24"/>
          <w:lang w:eastAsia="fr-CA"/>
        </w:rPr>
        <w:t>nnexe</w:t>
      </w:r>
      <w:r w:rsidR="00C766F1" w:rsidRPr="00FB11AC">
        <w:rPr>
          <w:rFonts w:cs="Arial"/>
          <w:szCs w:val="24"/>
          <w:lang w:eastAsia="fr-CA"/>
        </w:rPr>
        <w:t> </w:t>
      </w:r>
      <w:r w:rsidRPr="00FB11AC">
        <w:rPr>
          <w:rFonts w:cs="Arial"/>
          <w:szCs w:val="24"/>
          <w:lang w:eastAsia="fr-CA"/>
        </w:rPr>
        <w:t>I</w:t>
      </w:r>
      <w:r w:rsidR="00984A6F">
        <w:rPr>
          <w:rFonts w:cs="Arial"/>
          <w:szCs w:val="24"/>
          <w:lang w:eastAsia="fr-CA"/>
        </w:rPr>
        <w:noBreakHyphen/>
      </w:r>
      <w:r w:rsidRPr="00FB11AC">
        <w:rPr>
          <w:rFonts w:cs="Arial"/>
          <w:szCs w:val="24"/>
          <w:lang w:eastAsia="fr-CA"/>
        </w:rPr>
        <w:t>2</w:t>
      </w:r>
      <w:r w:rsidR="00D00A9E" w:rsidRPr="00316277">
        <w:rPr>
          <w:rFonts w:cs="Arial"/>
          <w:szCs w:val="24"/>
          <w:lang w:eastAsia="fr-CA"/>
        </w:rPr>
        <w:t>;</w:t>
      </w:r>
    </w:p>
    <w:p w14:paraId="554C239D" w14:textId="77777777" w:rsidR="00D00A9E" w:rsidRDefault="00D00A9E" w:rsidP="00A64613">
      <w:pPr>
        <w:keepNext w:val="0"/>
        <w:tabs>
          <w:tab w:val="left" w:pos="1701"/>
        </w:tabs>
        <w:ind w:left="1701" w:hanging="567"/>
        <w:rPr>
          <w:rFonts w:cs="Arial"/>
          <w:szCs w:val="24"/>
          <w:lang w:eastAsia="fr-CA"/>
        </w:rPr>
      </w:pPr>
    </w:p>
    <w:p w14:paraId="67C6F353" w14:textId="21A93D52" w:rsidR="00D00A9E" w:rsidRPr="00316277" w:rsidRDefault="00D00A9E" w:rsidP="00864798">
      <w:pPr>
        <w:pStyle w:val="paragraph"/>
        <w:numPr>
          <w:ilvl w:val="0"/>
          <w:numId w:val="73"/>
        </w:numPr>
        <w:spacing w:before="0" w:beforeAutospacing="0" w:after="0" w:afterAutospacing="0"/>
        <w:ind w:left="1701" w:hanging="567"/>
        <w:jc w:val="both"/>
        <w:textAlignment w:val="baseline"/>
        <w:rPr>
          <w:rStyle w:val="normaltextrun"/>
          <w:rFonts w:ascii="Arial" w:hAnsi="Arial" w:cs="Arial"/>
        </w:rPr>
      </w:pPr>
      <w:r w:rsidRPr="00316277">
        <w:rPr>
          <w:rStyle w:val="normaltextrun"/>
          <w:rFonts w:ascii="Arial" w:hAnsi="Arial" w:cs="Arial"/>
        </w:rPr>
        <w:t>cent pour cent (100 %) des ressources prévues à la colonne</w:t>
      </w:r>
      <w:r w:rsidR="00E56F5E">
        <w:rPr>
          <w:rStyle w:val="normaltextrun"/>
          <w:rFonts w:ascii="Arial" w:hAnsi="Arial" w:cs="Arial"/>
        </w:rPr>
        <w:t> </w:t>
      </w:r>
      <w:r w:rsidRPr="00316277">
        <w:rPr>
          <w:rStyle w:val="normaltextrun"/>
          <w:rFonts w:ascii="Arial" w:hAnsi="Arial" w:cs="Arial"/>
        </w:rPr>
        <w:t>I de l’Annexe</w:t>
      </w:r>
      <w:r w:rsidR="00E56F5E">
        <w:rPr>
          <w:rStyle w:val="normaltextrun"/>
          <w:rFonts w:ascii="Arial" w:hAnsi="Arial" w:cs="Arial"/>
        </w:rPr>
        <w:t> </w:t>
      </w:r>
      <w:r w:rsidRPr="00316277">
        <w:rPr>
          <w:rStyle w:val="normaltextrun"/>
          <w:rFonts w:ascii="Arial" w:hAnsi="Arial" w:cs="Arial"/>
        </w:rPr>
        <w:t>I-2 sous réserve de l’alinéa c) de la présente clause</w:t>
      </w:r>
      <w:r w:rsidR="004F77CA" w:rsidRPr="00316277">
        <w:rPr>
          <w:rStyle w:val="normaltextrun"/>
          <w:rFonts w:ascii="Arial" w:hAnsi="Arial" w:cs="Arial"/>
        </w:rPr>
        <w:t>;</w:t>
      </w:r>
    </w:p>
    <w:p w14:paraId="236BD8B9" w14:textId="77777777" w:rsidR="0035265D" w:rsidRDefault="0035265D" w:rsidP="00A64613">
      <w:pPr>
        <w:keepNext w:val="0"/>
        <w:tabs>
          <w:tab w:val="left" w:pos="1701"/>
        </w:tabs>
        <w:ind w:left="1701" w:hanging="567"/>
        <w:rPr>
          <w:rFonts w:cs="Arial"/>
          <w:szCs w:val="24"/>
          <w:lang w:eastAsia="fr-CA"/>
        </w:rPr>
      </w:pPr>
    </w:p>
    <w:p w14:paraId="431F20D2" w14:textId="1007CC72" w:rsidR="00D23FF1" w:rsidRPr="00026EC1" w:rsidRDefault="00B70A20" w:rsidP="00A64613">
      <w:pPr>
        <w:keepNext w:val="0"/>
        <w:tabs>
          <w:tab w:val="left" w:pos="1134"/>
        </w:tabs>
        <w:ind w:left="1134" w:hanging="567"/>
      </w:pPr>
      <w:r w:rsidRPr="00026EC1">
        <w:rPr>
          <w:rFonts w:ascii="Symbol" w:hAnsi="Symbol"/>
        </w:rPr>
        <w:t></w:t>
      </w:r>
      <w:r>
        <w:rPr>
          <w:rFonts w:ascii="Symbol" w:hAnsi="Symbol"/>
        </w:rPr>
        <w:tab/>
      </w:r>
      <w:r w:rsidR="00D23FF1" w:rsidRPr="00026EC1">
        <w:t>la répartition de l’ensemble des ressources dont dispose le Collège selon les clauses 8</w:t>
      </w:r>
      <w:r w:rsidR="00984A6F">
        <w:noBreakHyphen/>
      </w:r>
      <w:r w:rsidR="00D23FF1" w:rsidRPr="00026EC1">
        <w:t>5.03 et 8</w:t>
      </w:r>
      <w:r w:rsidR="00984A6F">
        <w:noBreakHyphen/>
      </w:r>
      <w:r w:rsidR="00D23FF1" w:rsidRPr="00026EC1">
        <w:t>5.</w:t>
      </w:r>
      <w:r w:rsidR="00EA16A8" w:rsidRPr="00026EC1">
        <w:t>04</w:t>
      </w:r>
      <w:r w:rsidR="00D00A9E" w:rsidRPr="00316277">
        <w:t>;</w:t>
      </w:r>
    </w:p>
    <w:p w14:paraId="1C3AE8FD" w14:textId="77777777" w:rsidR="00D23FF1" w:rsidRPr="00026EC1" w:rsidRDefault="00D23FF1" w:rsidP="00A64613">
      <w:pPr>
        <w:keepNext w:val="0"/>
        <w:tabs>
          <w:tab w:val="left" w:pos="1701"/>
        </w:tabs>
        <w:ind w:left="1701" w:hanging="567"/>
        <w:rPr>
          <w:bCs/>
        </w:rPr>
      </w:pPr>
    </w:p>
    <w:p w14:paraId="1B08FD71" w14:textId="163AFBAC" w:rsidR="00D23FF1" w:rsidRPr="007E7CD3" w:rsidRDefault="007E7CD3" w:rsidP="00A64613">
      <w:pPr>
        <w:keepNext w:val="0"/>
        <w:tabs>
          <w:tab w:val="left" w:pos="1134"/>
        </w:tabs>
        <w:ind w:left="1134" w:hanging="567"/>
        <w:rPr>
          <w:rFonts w:cs="Arial"/>
        </w:rPr>
      </w:pPr>
      <w:r w:rsidRPr="00026EC1">
        <w:rPr>
          <w:rFonts w:ascii="Symbol" w:hAnsi="Symbol"/>
        </w:rPr>
        <w:t></w:t>
      </w:r>
      <w:r>
        <w:rPr>
          <w:rFonts w:ascii="Symbol" w:hAnsi="Symbol"/>
        </w:rPr>
        <w:tab/>
      </w:r>
      <w:r w:rsidR="00D23FF1" w:rsidRPr="007E7CD3">
        <w:rPr>
          <w:rFonts w:cs="Arial"/>
        </w:rPr>
        <w:t>aux fin</w:t>
      </w:r>
      <w:r w:rsidR="000310DC" w:rsidRPr="007E7CD3">
        <w:rPr>
          <w:rFonts w:cs="Arial"/>
        </w:rPr>
        <w:t>s du volet</w:t>
      </w:r>
      <w:r w:rsidR="00AB04BA">
        <w:rPr>
          <w:rFonts w:cs="Arial"/>
        </w:rPr>
        <w:t> </w:t>
      </w:r>
      <w:r w:rsidR="000310DC" w:rsidRPr="007E7CD3">
        <w:rPr>
          <w:rFonts w:cs="Arial"/>
        </w:rPr>
        <w:t>3 de la clause</w:t>
      </w:r>
      <w:r w:rsidR="00AB04BA">
        <w:rPr>
          <w:rFonts w:cs="Arial"/>
        </w:rPr>
        <w:t> </w:t>
      </w:r>
      <w:r w:rsidR="000310DC" w:rsidRPr="007E7CD3">
        <w:rPr>
          <w:rFonts w:cs="Arial"/>
        </w:rPr>
        <w:t>8</w:t>
      </w:r>
      <w:r w:rsidR="00984A6F">
        <w:rPr>
          <w:rFonts w:cs="Arial"/>
        </w:rPr>
        <w:noBreakHyphen/>
      </w:r>
      <w:r w:rsidR="000310DC" w:rsidRPr="007E7CD3">
        <w:rPr>
          <w:rFonts w:cs="Arial"/>
        </w:rPr>
        <w:t>4.01,</w:t>
      </w:r>
      <w:r w:rsidR="00D23FF1" w:rsidRPr="007E7CD3">
        <w:rPr>
          <w:rFonts w:cs="Arial"/>
        </w:rPr>
        <w:t> au moins cinquante pour cent</w:t>
      </w:r>
      <w:r w:rsidR="00A02F0D">
        <w:rPr>
          <w:rFonts w:cs="Arial"/>
        </w:rPr>
        <w:t> </w:t>
      </w:r>
      <w:r w:rsidR="00D23FF1" w:rsidRPr="007E7CD3">
        <w:rPr>
          <w:rFonts w:cs="Arial"/>
        </w:rPr>
        <w:t>(50</w:t>
      </w:r>
      <w:r w:rsidR="00714A15">
        <w:rPr>
          <w:rFonts w:cs="Arial"/>
        </w:rPr>
        <w:t> %</w:t>
      </w:r>
      <w:r w:rsidR="00D23FF1" w:rsidRPr="007E7CD3">
        <w:rPr>
          <w:rFonts w:cs="Arial"/>
        </w:rPr>
        <w:t>) des ressources dont dispose le Collège selon la clause</w:t>
      </w:r>
      <w:r w:rsidR="00A02F0D">
        <w:rPr>
          <w:rFonts w:cs="Arial"/>
        </w:rPr>
        <w:t> </w:t>
      </w:r>
      <w:r w:rsidR="00D23FF1" w:rsidRPr="007E7CD3">
        <w:rPr>
          <w:rFonts w:cs="Arial"/>
        </w:rPr>
        <w:t>8</w:t>
      </w:r>
      <w:r w:rsidR="00984A6F">
        <w:rPr>
          <w:rFonts w:cs="Arial"/>
        </w:rPr>
        <w:noBreakHyphen/>
      </w:r>
      <w:r w:rsidR="00D23FF1" w:rsidRPr="007E7CD3">
        <w:rPr>
          <w:rFonts w:cs="Arial"/>
        </w:rPr>
        <w:t>5.05. Toutefois, cent pour cent (100</w:t>
      </w:r>
      <w:r w:rsidR="00714A15">
        <w:rPr>
          <w:rFonts w:cs="Arial"/>
        </w:rPr>
        <w:t> %</w:t>
      </w:r>
      <w:r w:rsidR="00D23FF1" w:rsidRPr="007E7CD3">
        <w:rPr>
          <w:rFonts w:cs="Arial"/>
        </w:rPr>
        <w:t>) de ces ressources doivent avoir été réparties au plus tard en novembre, lors du dépôt de l’état d’utilisation des ressources prévu à la clause</w:t>
      </w:r>
      <w:r w:rsidR="0017519C">
        <w:rPr>
          <w:rFonts w:cs="Arial"/>
        </w:rPr>
        <w:t> </w:t>
      </w:r>
      <w:r w:rsidR="00D23FF1" w:rsidRPr="007E7CD3">
        <w:rPr>
          <w:rFonts w:cs="Arial"/>
        </w:rPr>
        <w:t>8</w:t>
      </w:r>
      <w:r w:rsidR="00984A6F">
        <w:rPr>
          <w:rFonts w:cs="Arial"/>
        </w:rPr>
        <w:noBreakHyphen/>
      </w:r>
      <w:r w:rsidR="00D23FF1" w:rsidRPr="007E7CD3">
        <w:rPr>
          <w:rFonts w:cs="Arial"/>
        </w:rPr>
        <w:t>5.10</w:t>
      </w:r>
      <w:r w:rsidR="00D00A9E" w:rsidRPr="00316277">
        <w:rPr>
          <w:rFonts w:cs="Arial"/>
        </w:rPr>
        <w:t>;</w:t>
      </w:r>
    </w:p>
    <w:p w14:paraId="34B1AE3E" w14:textId="77777777" w:rsidR="00B76E2A" w:rsidRPr="00316277" w:rsidRDefault="00B76E2A" w:rsidP="00A64613">
      <w:pPr>
        <w:keepNext w:val="0"/>
        <w:tabs>
          <w:tab w:val="left" w:pos="1134"/>
        </w:tabs>
        <w:rPr>
          <w:rFonts w:cs="Arial"/>
        </w:rPr>
      </w:pPr>
    </w:p>
    <w:p w14:paraId="33036166" w14:textId="58B02F8E" w:rsidR="00B76E2A" w:rsidRPr="00FB11AC" w:rsidRDefault="007E7CD3" w:rsidP="00A64613">
      <w:pPr>
        <w:keepNext w:val="0"/>
        <w:tabs>
          <w:tab w:val="left" w:pos="1134"/>
        </w:tabs>
        <w:ind w:left="1134" w:hanging="567"/>
        <w:rPr>
          <w:rFonts w:cs="Arial"/>
        </w:rPr>
      </w:pPr>
      <w:r w:rsidRPr="00FB11AC">
        <w:rPr>
          <w:rFonts w:ascii="Symbol" w:hAnsi="Symbol"/>
        </w:rPr>
        <w:t></w:t>
      </w:r>
      <w:r w:rsidRPr="00FB11AC">
        <w:rPr>
          <w:rFonts w:ascii="Symbol" w:hAnsi="Symbol"/>
        </w:rPr>
        <w:tab/>
      </w:r>
      <w:r w:rsidR="00B76E2A" w:rsidRPr="00FB11AC">
        <w:rPr>
          <w:rFonts w:cs="Arial"/>
        </w:rPr>
        <w:t>cent pour cent</w:t>
      </w:r>
      <w:r w:rsidR="00E56F5E">
        <w:rPr>
          <w:rFonts w:cs="Arial"/>
        </w:rPr>
        <w:t> </w:t>
      </w:r>
      <w:r w:rsidR="00B76E2A" w:rsidRPr="00FB11AC">
        <w:rPr>
          <w:rFonts w:cs="Arial"/>
        </w:rPr>
        <w:t>(100</w:t>
      </w:r>
      <w:r w:rsidR="00714A15" w:rsidRPr="00FB11AC">
        <w:rPr>
          <w:rFonts w:cs="Arial"/>
        </w:rPr>
        <w:t> %</w:t>
      </w:r>
      <w:r w:rsidR="00B76E2A" w:rsidRPr="00FB11AC">
        <w:rPr>
          <w:rFonts w:cs="Arial"/>
        </w:rPr>
        <w:t>) des ressources prévues à l’Annexe</w:t>
      </w:r>
      <w:r w:rsidR="00C766F1" w:rsidRPr="00FB11AC">
        <w:rPr>
          <w:rFonts w:cs="Arial"/>
        </w:rPr>
        <w:t> </w:t>
      </w:r>
      <w:r w:rsidR="00B76E2A" w:rsidRPr="00FB11AC">
        <w:rPr>
          <w:rFonts w:cs="Arial"/>
        </w:rPr>
        <w:t>I</w:t>
      </w:r>
      <w:r w:rsidR="00C766F1" w:rsidRPr="00FB11AC">
        <w:rPr>
          <w:rFonts w:ascii="Cambria Math" w:hAnsi="Cambria Math" w:cs="Arial"/>
        </w:rPr>
        <w:t>‑</w:t>
      </w:r>
      <w:r w:rsidR="00B76E2A" w:rsidRPr="00FB11AC">
        <w:rPr>
          <w:rFonts w:cs="Arial"/>
        </w:rPr>
        <w:t xml:space="preserve">14 dont </w:t>
      </w:r>
      <w:r w:rsidR="00946803" w:rsidRPr="00316277">
        <w:rPr>
          <w:rFonts w:cs="Arial"/>
        </w:rPr>
        <w:t>soixante</w:t>
      </w:r>
      <w:r w:rsidR="00A12062" w:rsidRPr="00316277">
        <w:rPr>
          <w:rFonts w:cs="Arial"/>
        </w:rPr>
        <w:t>-</w:t>
      </w:r>
      <w:r w:rsidR="00946803" w:rsidRPr="00316277">
        <w:rPr>
          <w:rFonts w:cs="Arial"/>
        </w:rPr>
        <w:t>quinze</w:t>
      </w:r>
      <w:r w:rsidR="00946803">
        <w:rPr>
          <w:rFonts w:cs="Arial"/>
        </w:rPr>
        <w:t xml:space="preserve"> </w:t>
      </w:r>
      <w:r w:rsidR="00B76E2A" w:rsidRPr="00FB11AC">
        <w:rPr>
          <w:rFonts w:cs="Arial"/>
        </w:rPr>
        <w:t>pour cent</w:t>
      </w:r>
      <w:r w:rsidR="00E56F5E">
        <w:rPr>
          <w:rFonts w:cs="Arial"/>
        </w:rPr>
        <w:t> </w:t>
      </w:r>
      <w:r w:rsidR="00B76E2A" w:rsidRPr="00FB11AC">
        <w:rPr>
          <w:rFonts w:cs="Arial"/>
        </w:rPr>
        <w:t>(</w:t>
      </w:r>
      <w:r w:rsidR="00946803" w:rsidRPr="00316277">
        <w:rPr>
          <w:rFonts w:cs="Arial"/>
        </w:rPr>
        <w:t>75</w:t>
      </w:r>
      <w:r w:rsidR="00714A15" w:rsidRPr="00FB11AC">
        <w:rPr>
          <w:rFonts w:cs="Arial"/>
        </w:rPr>
        <w:t> %</w:t>
      </w:r>
      <w:r w:rsidR="00B76E2A" w:rsidRPr="00FB11AC">
        <w:rPr>
          <w:rFonts w:cs="Arial"/>
        </w:rPr>
        <w:t>) aux fins des volets</w:t>
      </w:r>
      <w:r w:rsidR="00946803">
        <w:rPr>
          <w:rFonts w:cs="Arial"/>
        </w:rPr>
        <w:t> </w:t>
      </w:r>
      <w:r w:rsidR="00B76E2A" w:rsidRPr="00FB11AC">
        <w:rPr>
          <w:rFonts w:cs="Arial"/>
        </w:rPr>
        <w:t>1 ou 2 de la clause</w:t>
      </w:r>
      <w:r w:rsidR="00A02F0D">
        <w:rPr>
          <w:rFonts w:cs="Arial"/>
        </w:rPr>
        <w:t> </w:t>
      </w:r>
      <w:r w:rsidR="00B76E2A" w:rsidRPr="00FB11AC">
        <w:rPr>
          <w:rFonts w:cs="Arial"/>
        </w:rPr>
        <w:t>8</w:t>
      </w:r>
      <w:r w:rsidR="00984A6F">
        <w:rPr>
          <w:rFonts w:cs="Arial"/>
        </w:rPr>
        <w:noBreakHyphen/>
      </w:r>
      <w:r w:rsidR="00B76E2A" w:rsidRPr="00FB11AC">
        <w:rPr>
          <w:rFonts w:cs="Arial"/>
        </w:rPr>
        <w:t>4.01.</w:t>
      </w:r>
    </w:p>
    <w:p w14:paraId="467F2D37" w14:textId="460388F5" w:rsidR="003C6070" w:rsidRPr="00FB11AC" w:rsidRDefault="00613236" w:rsidP="00A64613">
      <w:pPr>
        <w:pStyle w:val="Texte1cm00000"/>
        <w:keepNext w:val="0"/>
      </w:pPr>
      <w:r w:rsidRPr="00FB11AC">
        <w:t>Ce projet comprend, aux fins</w:t>
      </w:r>
      <w:r w:rsidR="0035265D">
        <w:t xml:space="preserve"> </w:t>
      </w:r>
      <w:r w:rsidRPr="00FB11AC">
        <w:t xml:space="preserve">de </w:t>
      </w:r>
      <w:r w:rsidR="00D00A9E" w:rsidRPr="00316277">
        <w:t>l’alinéa a) de la</w:t>
      </w:r>
      <w:r w:rsidR="00D00A9E">
        <w:t xml:space="preserve"> </w:t>
      </w:r>
      <w:r w:rsidRPr="00FB11AC">
        <w:t>clause 8</w:t>
      </w:r>
      <w:r w:rsidR="00984A6F">
        <w:noBreakHyphen/>
      </w:r>
      <w:r w:rsidRPr="00FB11AC">
        <w:t>5.06, au moins cinquante pour cent (50</w:t>
      </w:r>
      <w:r w:rsidR="00714A15" w:rsidRPr="00FB11AC">
        <w:t> %</w:t>
      </w:r>
      <w:r w:rsidRPr="00FB11AC">
        <w:t>) des ressources dont dispose le Collège selon</w:t>
      </w:r>
      <w:r w:rsidR="0035265D">
        <w:t xml:space="preserve"> </w:t>
      </w:r>
      <w:r w:rsidR="0035265D" w:rsidRPr="00316277">
        <w:t>la colonne D de l’Annexe I</w:t>
      </w:r>
      <w:r w:rsidR="0035265D" w:rsidRPr="00316277">
        <w:noBreakHyphen/>
        <w:t xml:space="preserve">2. </w:t>
      </w:r>
      <w:r w:rsidR="0035265D" w:rsidRPr="00316277">
        <w:rPr>
          <w:rFonts w:cs="Arial"/>
          <w:snapToGrid w:val="0"/>
          <w:szCs w:val="24"/>
        </w:rPr>
        <w:t>Toutefois, cent pour cent (100 %)</w:t>
      </w:r>
      <w:r w:rsidR="0035265D" w:rsidRPr="00316277">
        <w:rPr>
          <w:rFonts w:cs="Arial"/>
          <w:szCs w:val="24"/>
        </w:rPr>
        <w:t xml:space="preserve"> </w:t>
      </w:r>
      <w:r w:rsidR="0035265D" w:rsidRPr="00316277">
        <w:t>de ces ressources doivent avoir été réparties au plus tard en novembre, lors du dépôt de l’état d’utilisation des ressources prévu à la clause 8</w:t>
      </w:r>
      <w:r w:rsidR="0035265D" w:rsidRPr="00316277">
        <w:noBreakHyphen/>
        <w:t>5.10.</w:t>
      </w:r>
    </w:p>
    <w:p w14:paraId="68836554" w14:textId="77777777" w:rsidR="00F52947" w:rsidRDefault="00F52947" w:rsidP="00A64613">
      <w:pPr>
        <w:pStyle w:val="Texte1cm00000"/>
        <w:keepNext w:val="0"/>
        <w:rPr>
          <w:rFonts w:cs="Arial"/>
          <w:snapToGrid w:val="0"/>
          <w:szCs w:val="24"/>
        </w:rPr>
      </w:pPr>
    </w:p>
    <w:p w14:paraId="3C70770C" w14:textId="77777777" w:rsidR="00514BD7" w:rsidRPr="00026EC1" w:rsidRDefault="00514BD7" w:rsidP="00A64613">
      <w:pPr>
        <w:pStyle w:val="Texte1cm00000"/>
        <w:keepNext w:val="0"/>
      </w:pPr>
      <w:r w:rsidRPr="00026EC1">
        <w:t>Ce projet précise également l</w:t>
      </w:r>
      <w:r w:rsidR="004A41E4" w:rsidRPr="00026EC1">
        <w:t>’</w:t>
      </w:r>
      <w:r w:rsidRPr="00026EC1">
        <w:t>utilisation que le Collège prévoit faire des ressources d</w:t>
      </w:r>
      <w:r w:rsidR="004A41E4" w:rsidRPr="00026EC1">
        <w:t>’</w:t>
      </w:r>
      <w:r w:rsidRPr="00026EC1">
        <w:t>enseignement non utilisées l</w:t>
      </w:r>
      <w:r w:rsidR="004A41E4" w:rsidRPr="00026EC1">
        <w:t>’</w:t>
      </w:r>
      <w:r w:rsidRPr="00026EC1">
        <w:t>année précédente.</w:t>
      </w:r>
    </w:p>
    <w:p w14:paraId="4193CA7F" w14:textId="77777777" w:rsidR="00514BD7" w:rsidRPr="00026EC1" w:rsidRDefault="00514BD7" w:rsidP="00A64613">
      <w:pPr>
        <w:keepNext w:val="0"/>
      </w:pPr>
    </w:p>
    <w:p w14:paraId="5DCC3A62" w14:textId="77777777" w:rsidR="00514BD7" w:rsidRPr="00026EC1" w:rsidRDefault="00514BD7" w:rsidP="00A64613">
      <w:pPr>
        <w:pStyle w:val="Texte1cm00000"/>
        <w:keepNext w:val="0"/>
      </w:pPr>
      <w:r w:rsidRPr="00026EC1">
        <w:t>À défaut d</w:t>
      </w:r>
      <w:r w:rsidR="004A41E4" w:rsidRPr="00026EC1">
        <w:t>’</w:t>
      </w:r>
      <w:r w:rsidRPr="00026EC1">
        <w:t>entente, le Collège procède dans le cadre du projet déposé en tenant compte des fluctuations pouvant intervenir dans les inscriptions aux cours ou aux programmes, selon le cas.</w:t>
      </w:r>
    </w:p>
    <w:p w14:paraId="7EE8B00B" w14:textId="77777777" w:rsidR="00514BD7" w:rsidRPr="00026EC1" w:rsidRDefault="00514BD7" w:rsidP="00A64613">
      <w:pPr>
        <w:keepNext w:val="0"/>
      </w:pPr>
    </w:p>
    <w:p w14:paraId="3FB68C29" w14:textId="77777777" w:rsidR="00514BD7" w:rsidRPr="00026EC1" w:rsidRDefault="00514BD7" w:rsidP="00A64613">
      <w:pPr>
        <w:pStyle w:val="Texte1cm00000"/>
        <w:keepNext w:val="0"/>
      </w:pPr>
      <w:r w:rsidRPr="00026EC1">
        <w:t>Dans les cinq (5) derniers jours ouvrables du mois de septembre, le CRT se réunit pour évaluer l</w:t>
      </w:r>
      <w:r w:rsidR="004A41E4" w:rsidRPr="00026EC1">
        <w:t>’</w:t>
      </w:r>
      <w:r w:rsidRPr="00026EC1">
        <w:t>impact de l</w:t>
      </w:r>
      <w:r w:rsidR="004A41E4" w:rsidRPr="00026EC1">
        <w:t>’</w:t>
      </w:r>
      <w:r w:rsidRPr="00026EC1">
        <w:t>évolution de la clientèle.</w:t>
      </w:r>
    </w:p>
    <w:p w14:paraId="592BC59A" w14:textId="77777777" w:rsidR="00514BD7" w:rsidRPr="00026EC1" w:rsidRDefault="00514BD7" w:rsidP="00A64613">
      <w:pPr>
        <w:keepNext w:val="0"/>
      </w:pPr>
    </w:p>
    <w:p w14:paraId="7F48946F" w14:textId="114D50C2" w:rsidR="00514BD7" w:rsidRDefault="00514BD7" w:rsidP="002E30A2">
      <w:pPr>
        <w:pStyle w:val="ListParagraph"/>
        <w:numPr>
          <w:ilvl w:val="0"/>
          <w:numId w:val="36"/>
        </w:numPr>
        <w:tabs>
          <w:tab w:val="left" w:pos="567"/>
        </w:tabs>
        <w:ind w:left="567" w:hanging="567"/>
      </w:pPr>
      <w:r w:rsidRPr="00026EC1">
        <w:t>Les cours donnés durant l</w:t>
      </w:r>
      <w:r w:rsidR="004A41E4" w:rsidRPr="00026EC1">
        <w:t>’</w:t>
      </w:r>
      <w:r w:rsidRPr="00026EC1">
        <w:t>été dans le cadre de l</w:t>
      </w:r>
      <w:r w:rsidR="004A41E4" w:rsidRPr="00026EC1">
        <w:t>’</w:t>
      </w:r>
      <w:r w:rsidRPr="00026EC1">
        <w:t>enseignement en alternance travail</w:t>
      </w:r>
      <w:r w:rsidR="00984A6F">
        <w:noBreakHyphen/>
      </w:r>
      <w:r w:rsidRPr="00026EC1">
        <w:t>études sont rattachés à la session d</w:t>
      </w:r>
      <w:r w:rsidR="004A41E4" w:rsidRPr="00026EC1">
        <w:t>’</w:t>
      </w:r>
      <w:r w:rsidRPr="00026EC1">
        <w:t>hiver précédente.</w:t>
      </w:r>
    </w:p>
    <w:p w14:paraId="5E1FE576" w14:textId="77777777" w:rsidR="002E30A2" w:rsidRDefault="002E30A2" w:rsidP="002E30A2">
      <w:pPr>
        <w:pStyle w:val="ListParagraph"/>
        <w:tabs>
          <w:tab w:val="left" w:pos="567"/>
        </w:tabs>
        <w:ind w:left="567"/>
      </w:pPr>
    </w:p>
    <w:p w14:paraId="3EA84FB1" w14:textId="516D8A26" w:rsidR="00D00A9E" w:rsidRPr="00316277" w:rsidRDefault="00D00A9E" w:rsidP="002E30A2">
      <w:pPr>
        <w:pStyle w:val="ListParagraph"/>
        <w:numPr>
          <w:ilvl w:val="0"/>
          <w:numId w:val="36"/>
        </w:numPr>
        <w:tabs>
          <w:tab w:val="left" w:pos="567"/>
        </w:tabs>
        <w:ind w:left="567" w:hanging="567"/>
        <w:rPr>
          <w:szCs w:val="24"/>
        </w:rPr>
      </w:pPr>
      <w:r w:rsidRPr="00316277">
        <w:rPr>
          <w:rStyle w:val="eop"/>
          <w:rFonts w:cs="Arial"/>
          <w:szCs w:val="24"/>
        </w:rPr>
        <w:t>Les parties peuvent convenir de reporter les ressources prévues à l’alinéa</w:t>
      </w:r>
      <w:r w:rsidR="004F77CA" w:rsidRPr="00316277">
        <w:rPr>
          <w:rStyle w:val="eop"/>
          <w:rFonts w:cs="Arial"/>
          <w:szCs w:val="24"/>
        </w:rPr>
        <w:t> </w:t>
      </w:r>
      <w:r w:rsidRPr="00316277">
        <w:rPr>
          <w:rStyle w:val="eop"/>
          <w:rFonts w:cs="Arial"/>
          <w:szCs w:val="24"/>
        </w:rPr>
        <w:t>f) de la clause</w:t>
      </w:r>
      <w:r w:rsidR="002E30A2" w:rsidRPr="00316277">
        <w:rPr>
          <w:rStyle w:val="eop"/>
          <w:rFonts w:cs="Arial"/>
          <w:szCs w:val="24"/>
        </w:rPr>
        <w:t> </w:t>
      </w:r>
      <w:r w:rsidRPr="00316277">
        <w:rPr>
          <w:rStyle w:val="eop"/>
          <w:rFonts w:cs="Arial"/>
          <w:szCs w:val="24"/>
        </w:rPr>
        <w:t>8-5.04 à l’année d’enseignement suivante, en tout ou en partie et aux mêmes fins.</w:t>
      </w:r>
    </w:p>
    <w:p w14:paraId="01EEC79C" w14:textId="77777777" w:rsidR="0035265D" w:rsidRPr="00026EC1" w:rsidRDefault="0035265D" w:rsidP="00A64613">
      <w:pPr>
        <w:keepNext w:val="0"/>
        <w:tabs>
          <w:tab w:val="left" w:pos="567"/>
        </w:tabs>
        <w:ind w:left="567" w:hanging="567"/>
      </w:pPr>
    </w:p>
    <w:p w14:paraId="4DCF082B" w14:textId="02F4FE31" w:rsidR="00514BD7" w:rsidRPr="008443D7" w:rsidRDefault="00514BD7" w:rsidP="00A64613">
      <w:pPr>
        <w:pStyle w:val="NUMRODECLAUSE"/>
        <w:keepNext w:val="0"/>
        <w:rPr>
          <w:u w:val="single"/>
        </w:rPr>
      </w:pPr>
      <w:r w:rsidRPr="00026EC1">
        <w:t>8</w:t>
      </w:r>
      <w:r w:rsidR="00984A6F">
        <w:noBreakHyphen/>
      </w:r>
      <w:r w:rsidRPr="00026EC1">
        <w:t>5.09</w:t>
      </w:r>
      <w:r w:rsidRPr="00026EC1">
        <w:tab/>
      </w:r>
      <w:r w:rsidRPr="008443D7">
        <w:rPr>
          <w:u w:val="single"/>
        </w:rPr>
        <w:t>Le nombre de postes dans une discipline et son application</w:t>
      </w:r>
    </w:p>
    <w:p w14:paraId="459DE5C8" w14:textId="77777777" w:rsidR="0035265D" w:rsidRDefault="0035265D" w:rsidP="00A64613">
      <w:pPr>
        <w:keepNext w:val="0"/>
        <w:tabs>
          <w:tab w:val="left" w:pos="567"/>
        </w:tabs>
        <w:ind w:left="567" w:hanging="567"/>
      </w:pPr>
    </w:p>
    <w:p w14:paraId="35003B54" w14:textId="7E134DD5" w:rsidR="00514BD7" w:rsidRPr="00026EC1" w:rsidRDefault="00275751" w:rsidP="00A64613">
      <w:pPr>
        <w:keepNext w:val="0"/>
        <w:tabs>
          <w:tab w:val="left" w:pos="567"/>
        </w:tabs>
        <w:ind w:left="567" w:hanging="567"/>
      </w:pPr>
      <w:r w:rsidRPr="00026EC1">
        <w:t>a)</w:t>
      </w:r>
      <w:r w:rsidRPr="00026EC1">
        <w:tab/>
      </w:r>
      <w:r w:rsidR="00514BD7" w:rsidRPr="00026EC1">
        <w:t>Le nombre de postes pour chacune des disciplines est déterminé</w:t>
      </w:r>
      <w:r w:rsidR="00D8581B">
        <w:t> :</w:t>
      </w:r>
    </w:p>
    <w:p w14:paraId="64F0C940" w14:textId="77777777" w:rsidR="00514BD7" w:rsidRPr="00026EC1" w:rsidRDefault="00514BD7" w:rsidP="00A64613">
      <w:pPr>
        <w:keepNext w:val="0"/>
      </w:pPr>
    </w:p>
    <w:p w14:paraId="43468AA8" w14:textId="77777777" w:rsidR="00C26D4F"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514BD7" w:rsidRPr="00026EC1">
        <w:t>par la partie entière du nombre d</w:t>
      </w:r>
      <w:r w:rsidR="004A41E4" w:rsidRPr="00026EC1">
        <w:t>’</w:t>
      </w:r>
      <w:r w:rsidR="00514BD7" w:rsidRPr="00026EC1">
        <w:t>enseignantes et d</w:t>
      </w:r>
      <w:r w:rsidR="004A41E4" w:rsidRPr="00026EC1">
        <w:t>’</w:t>
      </w:r>
      <w:r w:rsidR="00514BD7" w:rsidRPr="00026EC1">
        <w:t>enseignants alloué à la discipline visée pour l</w:t>
      </w:r>
      <w:r w:rsidR="004A41E4" w:rsidRPr="00026EC1">
        <w:t>’</w:t>
      </w:r>
      <w:r w:rsidR="00514BD7" w:rsidRPr="00026EC1">
        <w:t>année d</w:t>
      </w:r>
      <w:r w:rsidR="004A41E4" w:rsidRPr="00026EC1">
        <w:t>’</w:t>
      </w:r>
      <w:r w:rsidR="00514BD7" w:rsidRPr="00026EC1">
        <w:t>enseignement suivante</w:t>
      </w:r>
    </w:p>
    <w:p w14:paraId="1F71CA3B" w14:textId="77777777" w:rsidR="00C33FD1" w:rsidRDefault="00C33FD1" w:rsidP="00A64613">
      <w:pPr>
        <w:keepNext w:val="0"/>
        <w:tabs>
          <w:tab w:val="left" w:pos="1134"/>
        </w:tabs>
        <w:ind w:left="1134" w:hanging="567"/>
      </w:pPr>
    </w:p>
    <w:p w14:paraId="331E4E29" w14:textId="77777777" w:rsidR="00D34507" w:rsidRPr="00FB11AC" w:rsidRDefault="00C26D4F" w:rsidP="00A64613">
      <w:pPr>
        <w:pStyle w:val="Texte1cm00000"/>
        <w:keepNext w:val="0"/>
        <w:ind w:left="1985" w:hanging="567"/>
      </w:pPr>
      <w:r w:rsidRPr="00FB11AC">
        <w:rPr>
          <w:rFonts w:ascii="Symbol" w:hAnsi="Symbol"/>
          <w:sz w:val="20"/>
        </w:rPr>
        <w:t></w:t>
      </w:r>
      <w:r w:rsidRPr="00FB11AC">
        <w:rPr>
          <w:rFonts w:cs="Arial"/>
          <w:szCs w:val="24"/>
        </w:rPr>
        <w:tab/>
      </w:r>
      <w:r w:rsidR="00514BD7" w:rsidRPr="00FB11AC">
        <w:t>pour les volets 1 et 2 de la tâche</w:t>
      </w:r>
      <w:r w:rsidR="00EA4E63" w:rsidRPr="00FB11AC">
        <w:t>,</w:t>
      </w:r>
      <w:r w:rsidR="00514BD7" w:rsidRPr="00FB11AC">
        <w:t xml:space="preserve"> sauf celui attribué à la participation au développement, à l</w:t>
      </w:r>
      <w:r w:rsidR="004A41E4" w:rsidRPr="00FB11AC">
        <w:t>’</w:t>
      </w:r>
      <w:r w:rsidR="00514BD7" w:rsidRPr="00FB11AC">
        <w:t>implantation et à l</w:t>
      </w:r>
      <w:r w:rsidR="004A41E4" w:rsidRPr="00FB11AC">
        <w:t>’</w:t>
      </w:r>
      <w:r w:rsidR="00514BD7" w:rsidRPr="00FB11AC">
        <w:t>évaluation des programmes</w:t>
      </w:r>
      <w:r w:rsidR="00D34507" w:rsidRPr="00FB11AC">
        <w:t>;</w:t>
      </w:r>
    </w:p>
    <w:p w14:paraId="0E098C09" w14:textId="77777777" w:rsidR="00C33FD1" w:rsidRPr="00FB11AC" w:rsidRDefault="00C33FD1" w:rsidP="00A64613">
      <w:pPr>
        <w:pStyle w:val="Texte1cm00000"/>
        <w:keepNext w:val="0"/>
        <w:ind w:left="1985" w:hanging="567"/>
      </w:pPr>
    </w:p>
    <w:p w14:paraId="3CAFB6F8" w14:textId="097975C7" w:rsidR="00E61655" w:rsidRPr="00FB11AC" w:rsidRDefault="00E61655" w:rsidP="00A64613">
      <w:pPr>
        <w:pStyle w:val="Texte1cm00000"/>
        <w:keepNext w:val="0"/>
        <w:ind w:left="1985" w:hanging="567"/>
      </w:pPr>
      <w:r w:rsidRPr="00FB11AC">
        <w:t>et</w:t>
      </w:r>
    </w:p>
    <w:p w14:paraId="11E85111" w14:textId="77777777" w:rsidR="00E61655" w:rsidRPr="00FB11AC" w:rsidRDefault="00E61655" w:rsidP="00A64613">
      <w:pPr>
        <w:pStyle w:val="Texte1cm00000"/>
        <w:keepNext w:val="0"/>
        <w:ind w:left="1985" w:hanging="567"/>
      </w:pPr>
    </w:p>
    <w:p w14:paraId="637D3D3C" w14:textId="66378B8F" w:rsidR="007A17C3" w:rsidRPr="00065BCF" w:rsidRDefault="00D34507" w:rsidP="00A64613">
      <w:pPr>
        <w:pStyle w:val="Texte1cm00000"/>
        <w:keepNext w:val="0"/>
        <w:ind w:left="1985" w:hanging="567"/>
        <w:rPr>
          <w:rFonts w:cs="Arial"/>
          <w:szCs w:val="24"/>
        </w:rPr>
      </w:pPr>
      <w:r w:rsidRPr="00FB11AC">
        <w:rPr>
          <w:rFonts w:ascii="Symbol" w:hAnsi="Symbol"/>
          <w:sz w:val="20"/>
        </w:rPr>
        <w:t></w:t>
      </w:r>
      <w:r w:rsidRPr="00FB11AC">
        <w:rPr>
          <w:rFonts w:cs="Arial"/>
          <w:szCs w:val="24"/>
        </w:rPr>
        <w:tab/>
      </w:r>
      <w:r w:rsidR="00A12062" w:rsidRPr="00316277">
        <w:rPr>
          <w:rFonts w:cs="Arial"/>
          <w:szCs w:val="24"/>
        </w:rPr>
        <w:t>soixante-quinze</w:t>
      </w:r>
      <w:r w:rsidR="00A12062">
        <w:rPr>
          <w:rFonts w:cs="Arial"/>
          <w:szCs w:val="24"/>
        </w:rPr>
        <w:t xml:space="preserve"> </w:t>
      </w:r>
      <w:r w:rsidR="00396266" w:rsidRPr="00FB11AC">
        <w:rPr>
          <w:rFonts w:cs="Arial"/>
          <w:szCs w:val="24"/>
        </w:rPr>
        <w:t>pour cent (</w:t>
      </w:r>
      <w:r w:rsidR="00A12062" w:rsidRPr="00316277">
        <w:rPr>
          <w:rFonts w:cs="Arial"/>
          <w:szCs w:val="24"/>
        </w:rPr>
        <w:t>75</w:t>
      </w:r>
      <w:r w:rsidR="00714A15" w:rsidRPr="00FB11AC">
        <w:rPr>
          <w:rFonts w:cs="Arial"/>
          <w:szCs w:val="24"/>
        </w:rPr>
        <w:t> %</w:t>
      </w:r>
      <w:r w:rsidR="00396266" w:rsidRPr="00FB11AC">
        <w:rPr>
          <w:rFonts w:cs="Arial"/>
          <w:szCs w:val="24"/>
        </w:rPr>
        <w:t>)</w:t>
      </w:r>
      <w:r w:rsidRPr="00FB11AC">
        <w:rPr>
          <w:rFonts w:cs="Arial"/>
          <w:szCs w:val="24"/>
        </w:rPr>
        <w:t xml:space="preserve"> des ressources prévues à l’Annexe</w:t>
      </w:r>
      <w:r w:rsidR="002C4E04" w:rsidRPr="00FB11AC">
        <w:rPr>
          <w:rFonts w:cs="Arial"/>
          <w:szCs w:val="24"/>
        </w:rPr>
        <w:t> </w:t>
      </w:r>
      <w:r w:rsidRPr="00FB11AC">
        <w:rPr>
          <w:rFonts w:cs="Arial"/>
          <w:szCs w:val="24"/>
        </w:rPr>
        <w:t>I</w:t>
      </w:r>
      <w:r w:rsidR="00984A6F">
        <w:rPr>
          <w:rFonts w:cs="Arial"/>
          <w:szCs w:val="24"/>
        </w:rPr>
        <w:noBreakHyphen/>
      </w:r>
      <w:r w:rsidRPr="00FB11AC">
        <w:rPr>
          <w:rFonts w:cs="Arial"/>
          <w:szCs w:val="24"/>
        </w:rPr>
        <w:t>14</w:t>
      </w:r>
      <w:r w:rsidR="001136EB" w:rsidRPr="00FB11AC">
        <w:rPr>
          <w:rFonts w:cs="Arial"/>
          <w:szCs w:val="24"/>
        </w:rPr>
        <w:t>, à moins d’entente entre les parties</w:t>
      </w:r>
      <w:r w:rsidR="009D6491" w:rsidRPr="00FB11AC">
        <w:rPr>
          <w:rFonts w:cs="Arial"/>
          <w:szCs w:val="24"/>
        </w:rPr>
        <w:t>;</w:t>
      </w:r>
      <w:r w:rsidR="009D6491" w:rsidRPr="00065BCF">
        <w:rPr>
          <w:rFonts w:cs="Arial"/>
          <w:szCs w:val="24"/>
        </w:rPr>
        <w:t xml:space="preserve"> </w:t>
      </w:r>
    </w:p>
    <w:p w14:paraId="0C3F1DC1" w14:textId="77777777" w:rsidR="007A17C3" w:rsidRDefault="007A17C3" w:rsidP="00A64613">
      <w:pPr>
        <w:pStyle w:val="Texte1cm00000"/>
        <w:keepNext w:val="0"/>
        <w:ind w:left="1985" w:hanging="567"/>
      </w:pPr>
    </w:p>
    <w:p w14:paraId="04657DE3" w14:textId="71B85C59" w:rsidR="00514BD7" w:rsidRPr="00026EC1" w:rsidRDefault="00514BD7" w:rsidP="00A64613">
      <w:pPr>
        <w:pStyle w:val="Texte1cm00000"/>
        <w:keepNext w:val="0"/>
        <w:ind w:left="1134"/>
      </w:pPr>
      <w:r w:rsidRPr="00026EC1">
        <w:t>si la partie fractionnaire de l</w:t>
      </w:r>
      <w:r w:rsidR="004A41E4" w:rsidRPr="00026EC1">
        <w:t>’</w:t>
      </w:r>
      <w:r w:rsidRPr="00026EC1">
        <w:t>allocation est inférieure à zéro virgule quatre</w:t>
      </w:r>
      <w:r w:rsidR="00984A6F">
        <w:noBreakHyphen/>
      </w:r>
      <w:r w:rsidRPr="00026EC1">
        <w:t>vingt</w:t>
      </w:r>
      <w:r w:rsidR="00984A6F">
        <w:noBreakHyphen/>
      </w:r>
      <w:r w:rsidRPr="00026EC1">
        <w:t>dix (0,90);</w:t>
      </w:r>
    </w:p>
    <w:p w14:paraId="7632B918" w14:textId="255BFEEC" w:rsidR="0020134A"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514BD7" w:rsidRPr="00026EC1">
        <w:t>par le nombre entier immédiatement supérieur au nombre d</w:t>
      </w:r>
      <w:r w:rsidR="004A41E4" w:rsidRPr="00026EC1">
        <w:t>’</w:t>
      </w:r>
      <w:r w:rsidR="00514BD7" w:rsidRPr="00026EC1">
        <w:t>enseignantes et d</w:t>
      </w:r>
      <w:r w:rsidR="004A41E4" w:rsidRPr="00026EC1">
        <w:t>’</w:t>
      </w:r>
      <w:r w:rsidR="00514BD7" w:rsidRPr="00026EC1">
        <w:t>enseignants alloué à la discipline visée pour l</w:t>
      </w:r>
      <w:r w:rsidR="004A41E4" w:rsidRPr="00026EC1">
        <w:t>’</w:t>
      </w:r>
      <w:r w:rsidR="00514BD7" w:rsidRPr="00026EC1">
        <w:t>année d</w:t>
      </w:r>
      <w:r w:rsidR="004A41E4" w:rsidRPr="00026EC1">
        <w:t>’</w:t>
      </w:r>
      <w:r w:rsidR="00514BD7" w:rsidRPr="00026EC1">
        <w:t>enseignement suivante</w:t>
      </w:r>
    </w:p>
    <w:p w14:paraId="09AA874A" w14:textId="77777777" w:rsidR="00C33FD1" w:rsidRDefault="00C33FD1" w:rsidP="00A64613">
      <w:pPr>
        <w:keepNext w:val="0"/>
        <w:tabs>
          <w:tab w:val="left" w:pos="1134"/>
        </w:tabs>
        <w:ind w:left="1134" w:hanging="567"/>
      </w:pPr>
    </w:p>
    <w:p w14:paraId="00EAB3A0" w14:textId="77777777" w:rsidR="006613D2" w:rsidRPr="00FB11AC" w:rsidRDefault="006613D2" w:rsidP="00A64613">
      <w:pPr>
        <w:pStyle w:val="Texte1cm00000"/>
        <w:keepNext w:val="0"/>
        <w:ind w:left="1985" w:hanging="567"/>
      </w:pPr>
      <w:r w:rsidRPr="00FB11AC">
        <w:rPr>
          <w:rFonts w:ascii="Symbol" w:hAnsi="Symbol"/>
          <w:sz w:val="20"/>
        </w:rPr>
        <w:t></w:t>
      </w:r>
      <w:r w:rsidRPr="00FB11AC">
        <w:rPr>
          <w:rFonts w:cs="Arial"/>
          <w:szCs w:val="24"/>
        </w:rPr>
        <w:tab/>
      </w:r>
      <w:r w:rsidRPr="00FB11AC">
        <w:t>pour les volets 1 et 2 de la tâche, sauf celui attribué à la participation au développement, à l’implantation et à l’évaluation des programmes;</w:t>
      </w:r>
    </w:p>
    <w:p w14:paraId="2F2A8907" w14:textId="77777777" w:rsidR="00C33FD1" w:rsidRPr="00FB11AC" w:rsidRDefault="00C33FD1" w:rsidP="00A64613">
      <w:pPr>
        <w:pStyle w:val="Texte1cm00000"/>
        <w:keepNext w:val="0"/>
        <w:ind w:left="1985" w:hanging="567"/>
      </w:pPr>
    </w:p>
    <w:p w14:paraId="51628FFE" w14:textId="77777777" w:rsidR="00E61655" w:rsidRPr="00FB11AC" w:rsidRDefault="00E61655" w:rsidP="00A64613">
      <w:pPr>
        <w:pStyle w:val="Texte1cm00000"/>
        <w:keepNext w:val="0"/>
        <w:ind w:left="1985" w:hanging="567"/>
      </w:pPr>
      <w:r w:rsidRPr="00FB11AC">
        <w:t>et</w:t>
      </w:r>
    </w:p>
    <w:p w14:paraId="4D3AF5C3" w14:textId="77777777" w:rsidR="00E61655" w:rsidRPr="00FB11AC" w:rsidRDefault="00E61655" w:rsidP="00A64613">
      <w:pPr>
        <w:pStyle w:val="Texte1cm00000"/>
        <w:keepNext w:val="0"/>
        <w:ind w:left="1985" w:hanging="567"/>
      </w:pPr>
    </w:p>
    <w:p w14:paraId="46F9B3B4" w14:textId="06D114A2" w:rsidR="006613D2" w:rsidRDefault="006613D2" w:rsidP="00A64613">
      <w:pPr>
        <w:pStyle w:val="Texte1cm00000"/>
        <w:keepNext w:val="0"/>
        <w:ind w:left="1985" w:hanging="567"/>
        <w:rPr>
          <w:rFonts w:cs="Arial"/>
          <w:szCs w:val="24"/>
        </w:rPr>
      </w:pPr>
      <w:r w:rsidRPr="00FB11AC">
        <w:rPr>
          <w:rFonts w:ascii="Symbol" w:hAnsi="Symbol"/>
          <w:sz w:val="20"/>
        </w:rPr>
        <w:t></w:t>
      </w:r>
      <w:r w:rsidRPr="00FB11AC">
        <w:rPr>
          <w:rFonts w:cs="Arial"/>
          <w:szCs w:val="24"/>
        </w:rPr>
        <w:tab/>
      </w:r>
      <w:r w:rsidR="00A12062" w:rsidRPr="00316277">
        <w:rPr>
          <w:rFonts w:cs="Arial"/>
          <w:szCs w:val="24"/>
        </w:rPr>
        <w:t>soixante-quinze</w:t>
      </w:r>
      <w:r w:rsidR="00A12062">
        <w:rPr>
          <w:rFonts w:cs="Arial"/>
          <w:szCs w:val="24"/>
        </w:rPr>
        <w:t xml:space="preserve"> </w:t>
      </w:r>
      <w:r w:rsidR="00A12062" w:rsidRPr="00FB11AC">
        <w:rPr>
          <w:rFonts w:cs="Arial"/>
          <w:szCs w:val="24"/>
        </w:rPr>
        <w:t>pour cent (</w:t>
      </w:r>
      <w:r w:rsidR="00A12062" w:rsidRPr="00316277">
        <w:rPr>
          <w:rFonts w:cs="Arial"/>
          <w:szCs w:val="24"/>
        </w:rPr>
        <w:t>75</w:t>
      </w:r>
      <w:r w:rsidR="00A12062" w:rsidRPr="00FB11AC">
        <w:rPr>
          <w:rFonts w:cs="Arial"/>
          <w:szCs w:val="24"/>
        </w:rPr>
        <w:t> %)</w:t>
      </w:r>
      <w:r w:rsidR="00396266" w:rsidRPr="00FB11AC">
        <w:rPr>
          <w:rFonts w:cs="Arial"/>
          <w:szCs w:val="24"/>
        </w:rPr>
        <w:t xml:space="preserve"> </w:t>
      </w:r>
      <w:r w:rsidRPr="00FB11AC">
        <w:rPr>
          <w:rFonts w:cs="Arial"/>
          <w:szCs w:val="24"/>
        </w:rPr>
        <w:t>des ressources prévues à l’Annexe</w:t>
      </w:r>
      <w:r w:rsidR="002C4E04" w:rsidRPr="00FB11AC">
        <w:rPr>
          <w:rFonts w:cs="Arial"/>
          <w:szCs w:val="24"/>
        </w:rPr>
        <w:t> </w:t>
      </w:r>
      <w:r w:rsidRPr="00FB11AC">
        <w:rPr>
          <w:rFonts w:cs="Arial"/>
          <w:szCs w:val="24"/>
        </w:rPr>
        <w:t>I</w:t>
      </w:r>
      <w:r w:rsidR="00984A6F">
        <w:rPr>
          <w:rFonts w:cs="Arial"/>
          <w:szCs w:val="24"/>
        </w:rPr>
        <w:noBreakHyphen/>
      </w:r>
      <w:r w:rsidRPr="00FB11AC">
        <w:rPr>
          <w:rFonts w:cs="Arial"/>
          <w:szCs w:val="24"/>
        </w:rPr>
        <w:t>14</w:t>
      </w:r>
      <w:r w:rsidR="004C7558" w:rsidRPr="00FB11AC">
        <w:rPr>
          <w:rFonts w:cs="Arial"/>
          <w:szCs w:val="24"/>
        </w:rPr>
        <w:t>, à moins d’entente entre les parties</w:t>
      </w:r>
      <w:r w:rsidR="004E5C3F" w:rsidRPr="00FB11AC">
        <w:rPr>
          <w:rFonts w:cs="Arial"/>
          <w:szCs w:val="24"/>
        </w:rPr>
        <w:t>;</w:t>
      </w:r>
    </w:p>
    <w:p w14:paraId="2A66F424" w14:textId="77777777" w:rsidR="0020134A" w:rsidRDefault="0020134A" w:rsidP="00A64613">
      <w:pPr>
        <w:keepNext w:val="0"/>
        <w:tabs>
          <w:tab w:val="left" w:pos="1134"/>
        </w:tabs>
        <w:ind w:left="1134" w:hanging="567"/>
      </w:pPr>
    </w:p>
    <w:p w14:paraId="0C714491" w14:textId="4EBE1DC2" w:rsidR="00514BD7" w:rsidRDefault="00514BD7" w:rsidP="00A64613">
      <w:pPr>
        <w:keepNext w:val="0"/>
        <w:tabs>
          <w:tab w:val="left" w:pos="1276"/>
        </w:tabs>
        <w:ind w:left="1134"/>
      </w:pPr>
      <w:r w:rsidRPr="00026EC1">
        <w:t>si la partie fractionnaire de l</w:t>
      </w:r>
      <w:r w:rsidR="004A41E4" w:rsidRPr="00026EC1">
        <w:t>’</w:t>
      </w:r>
      <w:r w:rsidRPr="00026EC1">
        <w:t>allocation est égale ou supérieure à zéro virgule quatre</w:t>
      </w:r>
      <w:r w:rsidR="00984A6F">
        <w:noBreakHyphen/>
      </w:r>
      <w:r w:rsidRPr="00026EC1">
        <w:t>vingt</w:t>
      </w:r>
      <w:r w:rsidR="00984A6F">
        <w:noBreakHyphen/>
      </w:r>
      <w:r w:rsidRPr="00026EC1">
        <w:t>dix (0,90). Dans ce cas, la différence entre l</w:t>
      </w:r>
      <w:r w:rsidR="004A41E4" w:rsidRPr="00026EC1">
        <w:t>’</w:t>
      </w:r>
      <w:r w:rsidRPr="00026EC1">
        <w:t>entier immédiatement supérieur et la partie fractionnaire de l</w:t>
      </w:r>
      <w:r w:rsidR="004A41E4" w:rsidRPr="00026EC1">
        <w:t>’</w:t>
      </w:r>
      <w:r w:rsidRPr="00026EC1">
        <w:t>allocation est prise à même le nombre total d</w:t>
      </w:r>
      <w:r w:rsidR="004A41E4" w:rsidRPr="00026EC1">
        <w:t>’</w:t>
      </w:r>
      <w:r w:rsidRPr="00026EC1">
        <w:t>enseignantes et d</w:t>
      </w:r>
      <w:r w:rsidR="004A41E4" w:rsidRPr="00026EC1">
        <w:t>’</w:t>
      </w:r>
      <w:r w:rsidRPr="00026EC1">
        <w:t>enseignants alloué selon les clauses 8</w:t>
      </w:r>
      <w:r w:rsidR="00984A6F">
        <w:noBreakHyphen/>
      </w:r>
      <w:r w:rsidRPr="00026EC1">
        <w:t>5.03 et 8</w:t>
      </w:r>
      <w:r w:rsidR="00984A6F">
        <w:noBreakHyphen/>
      </w:r>
      <w:r w:rsidRPr="00026EC1">
        <w:t>5.04.</w:t>
      </w:r>
    </w:p>
    <w:p w14:paraId="70601722" w14:textId="77777777" w:rsidR="004B16EF" w:rsidRPr="00026EC1" w:rsidRDefault="004B16EF" w:rsidP="00A64613">
      <w:pPr>
        <w:keepNext w:val="0"/>
        <w:tabs>
          <w:tab w:val="left" w:pos="1134"/>
        </w:tabs>
        <w:ind w:left="1134" w:hanging="567"/>
      </w:pPr>
    </w:p>
    <w:p w14:paraId="20EB9746" w14:textId="4FDC9A6B" w:rsidR="00F034B8" w:rsidRPr="00FB11AC" w:rsidRDefault="00C33FD1" w:rsidP="00A64613">
      <w:pPr>
        <w:keepNext w:val="0"/>
        <w:ind w:left="567" w:hanging="567"/>
        <w:rPr>
          <w:rFonts w:cs="Arial"/>
        </w:rPr>
      </w:pPr>
      <w:r w:rsidRPr="00FB11AC">
        <w:rPr>
          <w:rFonts w:cs="Arial"/>
        </w:rPr>
        <w:t>b)</w:t>
      </w:r>
      <w:r w:rsidRPr="00FB11AC">
        <w:rPr>
          <w:rFonts w:ascii="Symbol" w:hAnsi="Symbol"/>
        </w:rPr>
        <w:tab/>
      </w:r>
      <w:r w:rsidR="00463AA3" w:rsidRPr="00FB11AC">
        <w:rPr>
          <w:rFonts w:cs="Arial"/>
        </w:rPr>
        <w:t>Le nombre d’enseignantes et d’enseignants alloué à une discipline aux fins de</w:t>
      </w:r>
      <w:r w:rsidR="00463AA3" w:rsidRPr="00FB11AC">
        <w:rPr>
          <w:rFonts w:eastAsia="MS Mincho" w:cs="Arial"/>
        </w:rPr>
        <w:t xml:space="preserve"> l’enseignement de cours multidisciplinaires et complémentaires est comptabilisé aux fins de détermination du nombre de postes dans la discipline. Les modalités de distribution des cours multidisciplinaires et complémentaires aux disciplines sont déterminées par entente entre les parties. Cette entente doit prévoir des dispositions afin d’éviter des mises en disponibilité</w:t>
      </w:r>
      <w:r w:rsidR="00041F59" w:rsidRPr="00FB11AC">
        <w:rPr>
          <w:rFonts w:cs="Arial"/>
        </w:rPr>
        <w:t>.</w:t>
      </w:r>
    </w:p>
    <w:p w14:paraId="244FB1DD" w14:textId="77777777" w:rsidR="00C33FD1" w:rsidRPr="00FB11AC" w:rsidRDefault="00C33FD1" w:rsidP="00A64613">
      <w:pPr>
        <w:keepNext w:val="0"/>
        <w:tabs>
          <w:tab w:val="left" w:pos="1134"/>
        </w:tabs>
        <w:ind w:left="1134" w:hanging="567"/>
        <w:rPr>
          <w:rFonts w:cs="Arial"/>
        </w:rPr>
      </w:pPr>
    </w:p>
    <w:p w14:paraId="316476DA" w14:textId="1E114BAB" w:rsidR="00514BD7" w:rsidRPr="00FB11AC" w:rsidRDefault="00E808BA" w:rsidP="00A64613">
      <w:pPr>
        <w:keepNext w:val="0"/>
        <w:tabs>
          <w:tab w:val="left" w:pos="567"/>
        </w:tabs>
        <w:ind w:left="567" w:hanging="567"/>
        <w:rPr>
          <w:bCs/>
        </w:rPr>
      </w:pPr>
      <w:r w:rsidRPr="00FB11AC">
        <w:t>c)</w:t>
      </w:r>
      <w:r w:rsidR="00275751" w:rsidRPr="00FB11AC">
        <w:rPr>
          <w:bCs/>
        </w:rPr>
        <w:tab/>
      </w:r>
      <w:r w:rsidR="00514BD7" w:rsidRPr="00FB11AC">
        <w:rPr>
          <w:bCs/>
        </w:rPr>
        <w:t>De plus, les ressources dont dispose le Collège selon la colonne</w:t>
      </w:r>
      <w:r w:rsidR="00A02F0D">
        <w:rPr>
          <w:bCs/>
        </w:rPr>
        <w:t> </w:t>
      </w:r>
      <w:r w:rsidR="00514BD7" w:rsidRPr="00FB11AC">
        <w:rPr>
          <w:bCs/>
        </w:rPr>
        <w:t>D de l</w:t>
      </w:r>
      <w:r w:rsidR="004A41E4" w:rsidRPr="00FB11AC">
        <w:rPr>
          <w:bCs/>
        </w:rPr>
        <w:t>’</w:t>
      </w:r>
      <w:r w:rsidR="00242EC4" w:rsidRPr="00FB11AC">
        <w:rPr>
          <w:bCs/>
        </w:rPr>
        <w:t>A</w:t>
      </w:r>
      <w:r w:rsidR="00514BD7" w:rsidRPr="00FB11AC">
        <w:rPr>
          <w:bCs/>
        </w:rPr>
        <w:t>nnexe</w:t>
      </w:r>
      <w:r w:rsidR="00465E6E" w:rsidRPr="00FB11AC">
        <w:rPr>
          <w:bCs/>
        </w:rPr>
        <w:t> </w:t>
      </w:r>
      <w:r w:rsidR="00514BD7" w:rsidRPr="00FB11AC">
        <w:rPr>
          <w:bCs/>
        </w:rPr>
        <w:t>I</w:t>
      </w:r>
      <w:r w:rsidR="00984A6F">
        <w:rPr>
          <w:bCs/>
        </w:rPr>
        <w:noBreakHyphen/>
      </w:r>
      <w:r w:rsidR="00514BD7" w:rsidRPr="00FB11AC">
        <w:rPr>
          <w:bCs/>
        </w:rPr>
        <w:t>2 ne peuvent servir à la détermination du nombre de postes.</w:t>
      </w:r>
    </w:p>
    <w:p w14:paraId="76305AA4" w14:textId="77777777" w:rsidR="00514BD7" w:rsidRPr="00FB11AC" w:rsidRDefault="00514BD7" w:rsidP="00A64613">
      <w:pPr>
        <w:keepNext w:val="0"/>
      </w:pPr>
    </w:p>
    <w:p w14:paraId="3812306D" w14:textId="0BA367CA" w:rsidR="00514BD7" w:rsidRPr="00FB11AC" w:rsidRDefault="00E9381A" w:rsidP="00A64613">
      <w:pPr>
        <w:keepNext w:val="0"/>
        <w:tabs>
          <w:tab w:val="left" w:pos="567"/>
        </w:tabs>
        <w:ind w:left="567" w:hanging="567"/>
      </w:pPr>
      <w:r w:rsidRPr="00FB11AC">
        <w:t>d)</w:t>
      </w:r>
      <w:r w:rsidR="00275751" w:rsidRPr="00FB11AC">
        <w:tab/>
      </w:r>
      <w:r w:rsidR="00514BD7" w:rsidRPr="00FB11AC">
        <w:t>Afin de limiter le nombre de mises en disponibilité ou pour des raisons particulières liées aux difficultés de recrutement, à la nature de l</w:t>
      </w:r>
      <w:r w:rsidR="004A41E4" w:rsidRPr="00FB11AC">
        <w:t>’</w:t>
      </w:r>
      <w:r w:rsidR="00514BD7" w:rsidRPr="00FB11AC">
        <w:t>enseignement ou aux pratiques antérieures, le Collège peut, après entente entre les parties, créer ou maintenir un poste dans une discipline en regroupant des charges résiduelles d</w:t>
      </w:r>
      <w:r w:rsidR="004A41E4" w:rsidRPr="00FB11AC">
        <w:t>’</w:t>
      </w:r>
      <w:r w:rsidR="00514BD7" w:rsidRPr="00FB11AC">
        <w:t>enseignement de plusieurs disciplines. L</w:t>
      </w:r>
      <w:r w:rsidR="004A41E4" w:rsidRPr="00FB11AC">
        <w:t>’</w:t>
      </w:r>
      <w:r w:rsidR="00514BD7" w:rsidRPr="00FB11AC">
        <w:t>entente doit préciser la discipline du poste ainsi créé ou maintenu.</w:t>
      </w:r>
    </w:p>
    <w:p w14:paraId="2DCACA73" w14:textId="77777777" w:rsidR="001470D4" w:rsidRPr="00FB11AC" w:rsidRDefault="001470D4" w:rsidP="00A64613">
      <w:pPr>
        <w:keepNext w:val="0"/>
      </w:pPr>
    </w:p>
    <w:p w14:paraId="0D8BDBD0" w14:textId="1D895FD0" w:rsidR="00514BD7" w:rsidRPr="00FB11AC" w:rsidRDefault="00514BD7" w:rsidP="00A64613">
      <w:pPr>
        <w:pStyle w:val="NUMRODECLAUSE"/>
        <w:keepNext w:val="0"/>
      </w:pPr>
      <w:r w:rsidRPr="00FB11AC">
        <w:t>8</w:t>
      </w:r>
      <w:r w:rsidR="00984A6F">
        <w:noBreakHyphen/>
      </w:r>
      <w:r w:rsidRPr="00FB11AC">
        <w:t>5.10</w:t>
      </w:r>
    </w:p>
    <w:p w14:paraId="497C6280" w14:textId="5F90FC7A" w:rsidR="00514BD7" w:rsidRDefault="00514BD7" w:rsidP="00A64613">
      <w:pPr>
        <w:keepNext w:val="0"/>
      </w:pPr>
      <w:r w:rsidRPr="00FB11AC">
        <w:t>Le Collège remet au Syndicat un état d</w:t>
      </w:r>
      <w:r w:rsidR="004A41E4" w:rsidRPr="00FB11AC">
        <w:t>’</w:t>
      </w:r>
      <w:r w:rsidRPr="00FB11AC">
        <w:t>utilisation</w:t>
      </w:r>
      <w:r w:rsidR="005E47C4" w:rsidRPr="00FB11AC">
        <w:t xml:space="preserve">, </w:t>
      </w:r>
      <w:r w:rsidRPr="00FB11AC">
        <w:rPr>
          <w:bCs/>
        </w:rPr>
        <w:t>par discipline pour chacun des volets</w:t>
      </w:r>
      <w:r w:rsidR="00CB37C8" w:rsidRPr="00FB11AC">
        <w:rPr>
          <w:bCs/>
        </w:rPr>
        <w:t xml:space="preserve"> </w:t>
      </w:r>
      <w:r w:rsidRPr="00FB11AC">
        <w:rPr>
          <w:bCs/>
        </w:rPr>
        <w:t>et</w:t>
      </w:r>
      <w:r w:rsidR="00747F51">
        <w:rPr>
          <w:bCs/>
        </w:rPr>
        <w:t xml:space="preserve"> </w:t>
      </w:r>
      <w:r w:rsidRPr="00FB11AC">
        <w:rPr>
          <w:bCs/>
        </w:rPr>
        <w:t>pour la colonne</w:t>
      </w:r>
      <w:r w:rsidR="00747F51">
        <w:rPr>
          <w:bCs/>
        </w:rPr>
        <w:t> </w:t>
      </w:r>
      <w:r w:rsidRPr="00FB11AC">
        <w:rPr>
          <w:bCs/>
        </w:rPr>
        <w:t>D de l</w:t>
      </w:r>
      <w:r w:rsidR="004A41E4" w:rsidRPr="00FB11AC">
        <w:rPr>
          <w:bCs/>
        </w:rPr>
        <w:t>’</w:t>
      </w:r>
      <w:r w:rsidR="00242EC4" w:rsidRPr="00FB11AC">
        <w:rPr>
          <w:bCs/>
        </w:rPr>
        <w:t>A</w:t>
      </w:r>
      <w:r w:rsidRPr="00FB11AC">
        <w:rPr>
          <w:bCs/>
        </w:rPr>
        <w:t>nnexe</w:t>
      </w:r>
      <w:r w:rsidR="00465E6E" w:rsidRPr="00FB11AC">
        <w:rPr>
          <w:bCs/>
        </w:rPr>
        <w:t> </w:t>
      </w:r>
      <w:r w:rsidRPr="00FB11AC">
        <w:rPr>
          <w:bCs/>
        </w:rPr>
        <w:t>I</w:t>
      </w:r>
      <w:r w:rsidR="002C4E04" w:rsidRPr="00FB11AC">
        <w:rPr>
          <w:rFonts w:ascii="Cambria Math" w:hAnsi="Cambria Math"/>
          <w:bCs/>
        </w:rPr>
        <w:t>‑</w:t>
      </w:r>
      <w:r w:rsidRPr="00FB11AC">
        <w:rPr>
          <w:bCs/>
        </w:rPr>
        <w:t>2</w:t>
      </w:r>
      <w:r w:rsidR="002A13BE" w:rsidRPr="00FB11AC">
        <w:rPr>
          <w:bCs/>
        </w:rPr>
        <w:t>,</w:t>
      </w:r>
      <w:r w:rsidRPr="00FB11AC">
        <w:rPr>
          <w:bCs/>
        </w:rPr>
        <w:t xml:space="preserve"> </w:t>
      </w:r>
      <w:r w:rsidRPr="00FB11AC">
        <w:t>des ressources prévues</w:t>
      </w:r>
      <w:r w:rsidRPr="00FB11AC">
        <w:rPr>
          <w:bCs/>
        </w:rPr>
        <w:t xml:space="preserve"> </w:t>
      </w:r>
      <w:r w:rsidRPr="00FB11AC">
        <w:t>aux clauses 8</w:t>
      </w:r>
      <w:r w:rsidR="00984A6F">
        <w:noBreakHyphen/>
      </w:r>
      <w:r w:rsidRPr="00FB11AC">
        <w:t>5.03, 8</w:t>
      </w:r>
      <w:r w:rsidR="00984A6F">
        <w:noBreakHyphen/>
      </w:r>
      <w:r w:rsidRPr="00FB11AC">
        <w:t>5.04 et 8</w:t>
      </w:r>
      <w:r w:rsidR="00984A6F">
        <w:noBreakHyphen/>
      </w:r>
      <w:r w:rsidRPr="00FB11AC">
        <w:t>5.05</w:t>
      </w:r>
      <w:r w:rsidR="00883531" w:rsidRPr="00FB11AC">
        <w:t xml:space="preserve"> ainsi qu’</w:t>
      </w:r>
      <w:r w:rsidR="0086743A" w:rsidRPr="00316277">
        <w:t>à l’</w:t>
      </w:r>
      <w:r w:rsidR="00883531" w:rsidRPr="00FB11AC">
        <w:t>Annexe</w:t>
      </w:r>
      <w:r w:rsidR="002C4E04" w:rsidRPr="00FB11AC">
        <w:t> </w:t>
      </w:r>
      <w:r w:rsidR="00883531" w:rsidRPr="00FB11AC">
        <w:t>I</w:t>
      </w:r>
      <w:r w:rsidR="00984A6F">
        <w:noBreakHyphen/>
      </w:r>
      <w:r w:rsidR="00883531" w:rsidRPr="00FB11AC">
        <w:t>14</w:t>
      </w:r>
      <w:r w:rsidRPr="00FB11AC">
        <w:t>, au cours du mois de novembre pour la session</w:t>
      </w:r>
      <w:r w:rsidRPr="00026EC1">
        <w:t xml:space="preserve"> d</w:t>
      </w:r>
      <w:r w:rsidR="004A41E4" w:rsidRPr="00026EC1">
        <w:t>’</w:t>
      </w:r>
      <w:r w:rsidRPr="00026EC1">
        <w:t>automne et, au plus tard au moment du dépôt du projet de répartition pour l</w:t>
      </w:r>
      <w:r w:rsidR="004A41E4" w:rsidRPr="00026EC1">
        <w:t>’</w:t>
      </w:r>
      <w:r w:rsidRPr="00026EC1">
        <w:t>année d</w:t>
      </w:r>
      <w:r w:rsidR="004A41E4" w:rsidRPr="00026EC1">
        <w:t>’</w:t>
      </w:r>
      <w:r w:rsidRPr="00026EC1">
        <w:t>enseignement suivante, pour les sessions d</w:t>
      </w:r>
      <w:r w:rsidR="004A41E4" w:rsidRPr="00026EC1">
        <w:t>’</w:t>
      </w:r>
      <w:r w:rsidRPr="00026EC1">
        <w:t>automne et d</w:t>
      </w:r>
      <w:r w:rsidR="004A41E4" w:rsidRPr="00026EC1">
        <w:t>’</w:t>
      </w:r>
      <w:r w:rsidRPr="00026EC1">
        <w:t>hiver.</w:t>
      </w:r>
    </w:p>
    <w:p w14:paraId="4442AC6E" w14:textId="77777777" w:rsidR="009B6DE0" w:rsidRPr="00026EC1" w:rsidRDefault="009B6DE0" w:rsidP="00A64613">
      <w:pPr>
        <w:keepNext w:val="0"/>
      </w:pPr>
    </w:p>
    <w:p w14:paraId="5ADEA190" w14:textId="3C652156" w:rsidR="00514BD7" w:rsidRPr="00026EC1" w:rsidRDefault="00514BD7" w:rsidP="00A64613">
      <w:pPr>
        <w:pStyle w:val="NUMRODECLAUSE"/>
        <w:keepNext w:val="0"/>
      </w:pPr>
      <w:r w:rsidRPr="00026EC1">
        <w:t>8</w:t>
      </w:r>
      <w:r w:rsidR="00984A6F">
        <w:noBreakHyphen/>
      </w:r>
      <w:r w:rsidRPr="00026EC1">
        <w:t>5.11</w:t>
      </w:r>
    </w:p>
    <w:p w14:paraId="29E8F292" w14:textId="675B7CE7" w:rsidR="00514BD7" w:rsidRPr="00026EC1" w:rsidRDefault="00514BD7" w:rsidP="00A64613">
      <w:pPr>
        <w:keepNext w:val="0"/>
        <w:rPr>
          <w:bCs/>
        </w:rPr>
      </w:pPr>
      <w:r w:rsidRPr="00026EC1">
        <w:t>Le Collège remet au Syndicat, au mois de novembre, un bilan de l</w:t>
      </w:r>
      <w:r w:rsidR="004A41E4" w:rsidRPr="00026EC1">
        <w:t>’</w:t>
      </w:r>
      <w:r w:rsidRPr="00026EC1">
        <w:t>utilisation</w:t>
      </w:r>
      <w:r w:rsidR="00D6010B">
        <w:t>,</w:t>
      </w:r>
      <w:r w:rsidR="00A7621D">
        <w:t xml:space="preserve"> </w:t>
      </w:r>
      <w:r w:rsidRPr="00026EC1">
        <w:rPr>
          <w:bCs/>
        </w:rPr>
        <w:t xml:space="preserve">par discipline pour chacun des </w:t>
      </w:r>
      <w:r w:rsidRPr="00FB11AC">
        <w:rPr>
          <w:bCs/>
        </w:rPr>
        <w:t>volets</w:t>
      </w:r>
      <w:r w:rsidR="00287F17" w:rsidRPr="00FB11AC">
        <w:rPr>
          <w:bCs/>
        </w:rPr>
        <w:t>,</w:t>
      </w:r>
      <w:r w:rsidRPr="00FB11AC">
        <w:rPr>
          <w:bCs/>
        </w:rPr>
        <w:t xml:space="preserve"> pour la colonne D de l</w:t>
      </w:r>
      <w:r w:rsidR="004A41E4" w:rsidRPr="00FB11AC">
        <w:rPr>
          <w:bCs/>
        </w:rPr>
        <w:t>’</w:t>
      </w:r>
      <w:r w:rsidR="00242EC4" w:rsidRPr="00FB11AC">
        <w:rPr>
          <w:bCs/>
        </w:rPr>
        <w:t>A</w:t>
      </w:r>
      <w:r w:rsidRPr="00FB11AC">
        <w:rPr>
          <w:bCs/>
        </w:rPr>
        <w:t>nnexe</w:t>
      </w:r>
      <w:r w:rsidR="00465E6E" w:rsidRPr="00FB11AC">
        <w:rPr>
          <w:bCs/>
        </w:rPr>
        <w:t> </w:t>
      </w:r>
      <w:r w:rsidRPr="00FB11AC">
        <w:rPr>
          <w:bCs/>
        </w:rPr>
        <w:t>I</w:t>
      </w:r>
      <w:r w:rsidR="00D27BA8" w:rsidRPr="00FB11AC">
        <w:rPr>
          <w:rFonts w:ascii="Cambria Math" w:hAnsi="Cambria Math"/>
          <w:bCs/>
        </w:rPr>
        <w:t>‑</w:t>
      </w:r>
      <w:r w:rsidRPr="00FB11AC">
        <w:rPr>
          <w:bCs/>
        </w:rPr>
        <w:t>2</w:t>
      </w:r>
      <w:r w:rsidR="00FB11AC" w:rsidRPr="00FB11AC">
        <w:rPr>
          <w:bCs/>
        </w:rPr>
        <w:t xml:space="preserve"> </w:t>
      </w:r>
      <w:r w:rsidR="00E47A66" w:rsidRPr="00FB11AC">
        <w:rPr>
          <w:bCs/>
        </w:rPr>
        <w:t>et</w:t>
      </w:r>
      <w:r w:rsidR="00E47A66" w:rsidRPr="00FB11AC">
        <w:t xml:space="preserve"> </w:t>
      </w:r>
      <w:r w:rsidR="008A3E13" w:rsidRPr="00FB11AC">
        <w:t xml:space="preserve">pour les ressources prévues </w:t>
      </w:r>
      <w:r w:rsidR="0086743A" w:rsidRPr="00316277">
        <w:t>à l’</w:t>
      </w:r>
      <w:r w:rsidR="008A3E13" w:rsidRPr="00FB11AC">
        <w:t>Annexe</w:t>
      </w:r>
      <w:r w:rsidR="00D27BA8" w:rsidRPr="00FB11AC">
        <w:t> </w:t>
      </w:r>
      <w:r w:rsidR="008A3E13" w:rsidRPr="00FB11AC">
        <w:t>I</w:t>
      </w:r>
      <w:r w:rsidR="00984A6F">
        <w:noBreakHyphen/>
      </w:r>
      <w:r w:rsidR="008A3E13" w:rsidRPr="00FB11AC">
        <w:t xml:space="preserve">14, </w:t>
      </w:r>
      <w:r w:rsidRPr="00FB11AC">
        <w:t>des ressources de l</w:t>
      </w:r>
      <w:r w:rsidR="004A41E4" w:rsidRPr="00FB11AC">
        <w:t>’</w:t>
      </w:r>
      <w:r w:rsidRPr="00FB11AC">
        <w:t>année</w:t>
      </w:r>
      <w:r w:rsidRPr="00026EC1">
        <w:t xml:space="preserve"> d</w:t>
      </w:r>
      <w:r w:rsidR="004A41E4" w:rsidRPr="00026EC1">
        <w:t>’</w:t>
      </w:r>
      <w:r w:rsidRPr="00026EC1">
        <w:t xml:space="preserve">enseignement précédente. </w:t>
      </w:r>
    </w:p>
    <w:p w14:paraId="68AE9C09" w14:textId="77777777" w:rsidR="00514BD7" w:rsidRPr="00026EC1" w:rsidRDefault="00514BD7" w:rsidP="00A64613">
      <w:pPr>
        <w:keepNext w:val="0"/>
      </w:pPr>
    </w:p>
    <w:p w14:paraId="0DA4ECAD" w14:textId="440A7F42" w:rsidR="00514BD7" w:rsidRPr="00026EC1" w:rsidRDefault="00514BD7" w:rsidP="00A64613">
      <w:pPr>
        <w:keepNext w:val="0"/>
      </w:pPr>
      <w:r w:rsidRPr="00026EC1">
        <w:t>Si, au terme d</w:t>
      </w:r>
      <w:r w:rsidR="004A41E4" w:rsidRPr="00026EC1">
        <w:t>’</w:t>
      </w:r>
      <w:r w:rsidRPr="00026EC1">
        <w:t>une année d</w:t>
      </w:r>
      <w:r w:rsidR="004A41E4" w:rsidRPr="00026EC1">
        <w:t>’</w:t>
      </w:r>
      <w:r w:rsidRPr="00026EC1">
        <w:t>enseignement, le Collège n</w:t>
      </w:r>
      <w:r w:rsidR="004A41E4" w:rsidRPr="00026EC1">
        <w:t>’</w:t>
      </w:r>
      <w:r w:rsidRPr="00026EC1">
        <w:t>a pas engagé le nombre d</w:t>
      </w:r>
      <w:r w:rsidR="004A41E4" w:rsidRPr="00026EC1">
        <w:t>’</w:t>
      </w:r>
      <w:r w:rsidRPr="00026EC1">
        <w:t>enseignantes et d</w:t>
      </w:r>
      <w:r w:rsidR="004A41E4" w:rsidRPr="00026EC1">
        <w:t>’</w:t>
      </w:r>
      <w:r w:rsidRPr="00026EC1">
        <w:t>enseignants déterminé aux clauses 8</w:t>
      </w:r>
      <w:r w:rsidR="00984A6F">
        <w:noBreakHyphen/>
      </w:r>
      <w:r w:rsidRPr="00026EC1">
        <w:t>5.03, 8</w:t>
      </w:r>
      <w:r w:rsidR="00984A6F">
        <w:noBreakHyphen/>
      </w:r>
      <w:r w:rsidRPr="00026EC1">
        <w:t>5.04 et 8</w:t>
      </w:r>
      <w:r w:rsidR="00984A6F">
        <w:noBreakHyphen/>
      </w:r>
      <w:r w:rsidRPr="00026EC1">
        <w:t>5.05, le nombre d</w:t>
      </w:r>
      <w:r w:rsidR="004A41E4" w:rsidRPr="00026EC1">
        <w:t>’</w:t>
      </w:r>
      <w:r w:rsidRPr="00026EC1">
        <w:t>enseignantes et d</w:t>
      </w:r>
      <w:r w:rsidR="004A41E4" w:rsidRPr="00026EC1">
        <w:t>’</w:t>
      </w:r>
      <w:r w:rsidRPr="00026EC1">
        <w:t>enseignants à temps complet ou l</w:t>
      </w:r>
      <w:r w:rsidR="004A41E4" w:rsidRPr="00026EC1">
        <w:t>’</w:t>
      </w:r>
      <w:r w:rsidRPr="00026EC1">
        <w:t>équivalent non engagés est ajouté à la somme des ressources déterminées à ces clauses pour l</w:t>
      </w:r>
      <w:r w:rsidR="004A41E4" w:rsidRPr="00026EC1">
        <w:t>’</w:t>
      </w:r>
      <w:r w:rsidRPr="00026EC1">
        <w:t>année suivante, après l</w:t>
      </w:r>
      <w:r w:rsidR="004A41E4" w:rsidRPr="00026EC1">
        <w:t>’</w:t>
      </w:r>
      <w:r w:rsidRPr="00026EC1">
        <w:t>application de la clause 8</w:t>
      </w:r>
      <w:r w:rsidR="00984A6F">
        <w:noBreakHyphen/>
      </w:r>
      <w:r w:rsidRPr="00026EC1">
        <w:t xml:space="preserve">5.04. </w:t>
      </w:r>
    </w:p>
    <w:p w14:paraId="0B184F70" w14:textId="2401535E" w:rsidR="00514BD7" w:rsidRDefault="00514BD7" w:rsidP="00A64613">
      <w:pPr>
        <w:keepNext w:val="0"/>
      </w:pPr>
    </w:p>
    <w:p w14:paraId="1DB8B140" w14:textId="23ED940B" w:rsidR="002E30A2" w:rsidRPr="00E02486" w:rsidRDefault="002E30A2" w:rsidP="002E30A2">
      <w:pPr>
        <w:keepNext w:val="0"/>
        <w:suppressAutoHyphens w:val="0"/>
        <w:autoSpaceDE w:val="0"/>
        <w:autoSpaceDN w:val="0"/>
        <w:adjustRightInd w:val="0"/>
        <w:rPr>
          <w:rFonts w:eastAsiaTheme="minorHAnsi" w:cs="Arial"/>
          <w:snapToGrid/>
          <w:szCs w:val="24"/>
          <w:lang w:eastAsia="en-US"/>
        </w:rPr>
      </w:pPr>
      <w:r w:rsidRPr="00316277">
        <w:rPr>
          <w:rFonts w:eastAsiaTheme="minorHAnsi" w:cs="Arial"/>
          <w:snapToGrid/>
          <w:szCs w:val="24"/>
          <w:lang w:eastAsia="en-US"/>
        </w:rPr>
        <w:t>Nonobstant le paragraphe précédent, les ressources non utilisées de l’alinéa f) de la clause 8-5.04 doivent être reportées à l’année d’enseignement suivante et utilisées aux fins pour lesquelles elles sont allouées.</w:t>
      </w:r>
    </w:p>
    <w:p w14:paraId="3EAC4412" w14:textId="4A37C19B" w:rsidR="00514BD7" w:rsidRDefault="00514BD7" w:rsidP="00A64613">
      <w:pPr>
        <w:keepNext w:val="0"/>
      </w:pPr>
      <w:r w:rsidRPr="00026EC1">
        <w:t>Si, au contraire, au terme d</w:t>
      </w:r>
      <w:r w:rsidR="004A41E4" w:rsidRPr="00026EC1">
        <w:t>’</w:t>
      </w:r>
      <w:r w:rsidRPr="00026EC1">
        <w:t>une année d</w:t>
      </w:r>
      <w:r w:rsidR="004A41E4" w:rsidRPr="00026EC1">
        <w:t>’</w:t>
      </w:r>
      <w:r w:rsidRPr="00026EC1">
        <w:t>enseignement, le Collège a engagé plus d</w:t>
      </w:r>
      <w:r w:rsidR="004A41E4" w:rsidRPr="00026EC1">
        <w:t>’</w:t>
      </w:r>
      <w:r w:rsidRPr="00026EC1">
        <w:t>enseignantes et d</w:t>
      </w:r>
      <w:r w:rsidR="004A41E4" w:rsidRPr="00026EC1">
        <w:t>’</w:t>
      </w:r>
      <w:r w:rsidRPr="00026EC1">
        <w:t>enseignants que le nombre déterminé aux clauses 8</w:t>
      </w:r>
      <w:r w:rsidR="00984A6F">
        <w:noBreakHyphen/>
      </w:r>
      <w:r w:rsidRPr="00026EC1">
        <w:t>5.03, 8</w:t>
      </w:r>
      <w:r w:rsidR="00984A6F">
        <w:noBreakHyphen/>
      </w:r>
      <w:r w:rsidRPr="00026EC1">
        <w:t>5.04 et 8</w:t>
      </w:r>
      <w:r w:rsidR="00984A6F">
        <w:noBreakHyphen/>
      </w:r>
      <w:r w:rsidRPr="00026EC1">
        <w:t>5.05, le nombre d</w:t>
      </w:r>
      <w:r w:rsidR="004A41E4" w:rsidRPr="00026EC1">
        <w:t>’</w:t>
      </w:r>
      <w:r w:rsidRPr="00026EC1">
        <w:t>enseignantes et d</w:t>
      </w:r>
      <w:r w:rsidR="004A41E4" w:rsidRPr="00026EC1">
        <w:t>’</w:t>
      </w:r>
      <w:r w:rsidRPr="00026EC1">
        <w:t>enseignants à temps complet ou l</w:t>
      </w:r>
      <w:r w:rsidR="004A41E4" w:rsidRPr="00026EC1">
        <w:t>’</w:t>
      </w:r>
      <w:r w:rsidRPr="00026EC1">
        <w:t>équivalent engagés en trop est soustrait d</w:t>
      </w:r>
      <w:r w:rsidR="004A41E4" w:rsidRPr="00026EC1">
        <w:t>’</w:t>
      </w:r>
      <w:r w:rsidRPr="00026EC1">
        <w:t>abord des ressources déterminées aux clauses 8</w:t>
      </w:r>
      <w:r w:rsidR="00984A6F">
        <w:noBreakHyphen/>
      </w:r>
      <w:r w:rsidRPr="00026EC1">
        <w:t>5.04 et 8</w:t>
      </w:r>
      <w:r w:rsidR="00984A6F">
        <w:noBreakHyphen/>
      </w:r>
      <w:r w:rsidRPr="00026EC1">
        <w:t>5.05 pour l</w:t>
      </w:r>
      <w:r w:rsidR="004A41E4" w:rsidRPr="00026EC1">
        <w:t>’</w:t>
      </w:r>
      <w:r w:rsidRPr="00026EC1">
        <w:t>année suivante, après l</w:t>
      </w:r>
      <w:r w:rsidR="004A41E4" w:rsidRPr="00026EC1">
        <w:t>’</w:t>
      </w:r>
      <w:r w:rsidRPr="00026EC1">
        <w:t>application de la clause 8</w:t>
      </w:r>
      <w:r w:rsidR="00984A6F">
        <w:noBreakHyphen/>
      </w:r>
      <w:r w:rsidRPr="00026EC1">
        <w:t>5.04.</w:t>
      </w:r>
    </w:p>
    <w:p w14:paraId="68BBC85B" w14:textId="77777777" w:rsidR="001E0CD7" w:rsidRDefault="001E0CD7" w:rsidP="00A64613">
      <w:pPr>
        <w:pStyle w:val="NUMRODECLAUSE"/>
        <w:keepNext w:val="0"/>
      </w:pPr>
    </w:p>
    <w:p w14:paraId="5AEAFE58" w14:textId="72D4CCA5" w:rsidR="00514BD7" w:rsidRPr="00026EC1" w:rsidRDefault="00514BD7" w:rsidP="00A64613">
      <w:pPr>
        <w:pStyle w:val="NUMRODECLAUSE"/>
        <w:keepNext w:val="0"/>
      </w:pPr>
      <w:r w:rsidRPr="00026EC1">
        <w:t>8</w:t>
      </w:r>
      <w:r w:rsidR="00984A6F">
        <w:noBreakHyphen/>
      </w:r>
      <w:r w:rsidRPr="00026EC1">
        <w:t>5.12</w:t>
      </w:r>
    </w:p>
    <w:p w14:paraId="042C5FFF" w14:textId="09184925" w:rsidR="00514BD7" w:rsidRPr="00026EC1" w:rsidRDefault="00514BD7" w:rsidP="00A64613">
      <w:pPr>
        <w:keepNext w:val="0"/>
      </w:pPr>
      <w:r w:rsidRPr="00026EC1">
        <w:t>Aux fins de l</w:t>
      </w:r>
      <w:r w:rsidR="004A41E4" w:rsidRPr="00026EC1">
        <w:t>’</w:t>
      </w:r>
      <w:r w:rsidRPr="00026EC1">
        <w:t>application du présent article, les enseignantes et enseignants à temps partiel et chargés de cours sont comptés en équivalent temps complet selon les relations suivantes</w:t>
      </w:r>
      <w:r w:rsidR="00D8581B">
        <w:t> :</w:t>
      </w:r>
    </w:p>
    <w:p w14:paraId="356B6DF0" w14:textId="77777777" w:rsidR="00514BD7" w:rsidRPr="00026EC1" w:rsidRDefault="00514BD7" w:rsidP="00A64613">
      <w:pPr>
        <w:keepNext w:val="0"/>
      </w:pPr>
    </w:p>
    <w:tbl>
      <w:tblPr>
        <w:tblW w:w="0" w:type="auto"/>
        <w:tblCellMar>
          <w:left w:w="70" w:type="dxa"/>
          <w:right w:w="70" w:type="dxa"/>
        </w:tblCellMar>
        <w:tblLook w:val="0000" w:firstRow="0" w:lastRow="0" w:firstColumn="0" w:lastColumn="0" w:noHBand="0" w:noVBand="0"/>
      </w:tblPr>
      <w:tblGrid>
        <w:gridCol w:w="3670"/>
        <w:gridCol w:w="720"/>
        <w:gridCol w:w="1980"/>
        <w:gridCol w:w="720"/>
        <w:gridCol w:w="2160"/>
      </w:tblGrid>
      <w:tr w:rsidR="00514BD7" w:rsidRPr="00026EC1" w14:paraId="28F84F6F" w14:textId="77777777" w:rsidTr="00514BD7">
        <w:trPr>
          <w:gridAfter w:val="1"/>
          <w:wAfter w:w="2160" w:type="dxa"/>
          <w:cantSplit/>
          <w:trHeight w:val="410"/>
        </w:trPr>
        <w:tc>
          <w:tcPr>
            <w:tcW w:w="3670" w:type="dxa"/>
            <w:vMerge w:val="restart"/>
          </w:tcPr>
          <w:p w14:paraId="756561C8" w14:textId="77777777" w:rsidR="00514BD7" w:rsidRPr="00026EC1" w:rsidRDefault="00514BD7" w:rsidP="00A64613">
            <w:pPr>
              <w:keepNext w:val="0"/>
            </w:pPr>
            <w:r w:rsidRPr="00026EC1">
              <w:t>équivalent temps complet d</w:t>
            </w:r>
            <w:r w:rsidR="004A41E4" w:rsidRPr="00026EC1">
              <w:t>’</w:t>
            </w:r>
            <w:r w:rsidRPr="00026EC1">
              <w:t>une enseignante ou d</w:t>
            </w:r>
            <w:r w:rsidR="004A41E4" w:rsidRPr="00026EC1">
              <w:t>’</w:t>
            </w:r>
            <w:r w:rsidRPr="00026EC1">
              <w:t>un enseignant à temps partiel</w:t>
            </w:r>
          </w:p>
        </w:tc>
        <w:tc>
          <w:tcPr>
            <w:tcW w:w="2700" w:type="dxa"/>
            <w:gridSpan w:val="2"/>
            <w:vMerge w:val="restart"/>
            <w:vAlign w:val="bottom"/>
          </w:tcPr>
          <w:p w14:paraId="4D652E71" w14:textId="77777777" w:rsidR="00514BD7" w:rsidRPr="00026EC1" w:rsidRDefault="00514BD7" w:rsidP="00C11271">
            <w:pPr>
              <w:pStyle w:val="TOC2"/>
            </w:pPr>
            <w:r w:rsidRPr="00026EC1">
              <w:t>=</w:t>
            </w:r>
          </w:p>
        </w:tc>
        <w:tc>
          <w:tcPr>
            <w:tcW w:w="720" w:type="dxa"/>
            <w:tcBorders>
              <w:bottom w:val="single" w:sz="4" w:space="0" w:color="auto"/>
            </w:tcBorders>
            <w:vAlign w:val="bottom"/>
          </w:tcPr>
          <w:p w14:paraId="3DB37766" w14:textId="77777777" w:rsidR="00514BD7" w:rsidRPr="00026EC1" w:rsidRDefault="00514BD7" w:rsidP="00A64613">
            <w:pPr>
              <w:pStyle w:val="Header"/>
              <w:keepNext w:val="0"/>
              <w:spacing w:after="0"/>
            </w:pPr>
            <w:r w:rsidRPr="00026EC1">
              <w:t>CI</w:t>
            </w:r>
            <w:r w:rsidRPr="00026EC1">
              <w:rPr>
                <w:vertAlign w:val="subscript"/>
              </w:rPr>
              <w:t>t</w:t>
            </w:r>
          </w:p>
        </w:tc>
      </w:tr>
      <w:tr w:rsidR="00514BD7" w:rsidRPr="00026EC1" w14:paraId="28BDBB71" w14:textId="77777777" w:rsidTr="00514BD7">
        <w:trPr>
          <w:gridAfter w:val="1"/>
          <w:wAfter w:w="2160" w:type="dxa"/>
          <w:cantSplit/>
          <w:trHeight w:val="410"/>
        </w:trPr>
        <w:tc>
          <w:tcPr>
            <w:tcW w:w="3670" w:type="dxa"/>
            <w:vMerge/>
          </w:tcPr>
          <w:p w14:paraId="590C24D2" w14:textId="77777777" w:rsidR="00514BD7" w:rsidRPr="00026EC1" w:rsidRDefault="00514BD7" w:rsidP="00A64613">
            <w:pPr>
              <w:keepNext w:val="0"/>
            </w:pPr>
          </w:p>
        </w:tc>
        <w:tc>
          <w:tcPr>
            <w:tcW w:w="2700" w:type="dxa"/>
            <w:gridSpan w:val="2"/>
            <w:vMerge/>
            <w:vAlign w:val="bottom"/>
          </w:tcPr>
          <w:p w14:paraId="41ED81C7" w14:textId="77777777" w:rsidR="00514BD7" w:rsidRPr="00026EC1" w:rsidRDefault="00514BD7" w:rsidP="00C11271">
            <w:pPr>
              <w:pStyle w:val="TOC2"/>
            </w:pPr>
          </w:p>
        </w:tc>
        <w:tc>
          <w:tcPr>
            <w:tcW w:w="720" w:type="dxa"/>
            <w:tcBorders>
              <w:top w:val="single" w:sz="4" w:space="0" w:color="auto"/>
            </w:tcBorders>
          </w:tcPr>
          <w:p w14:paraId="4F9881F0" w14:textId="77777777" w:rsidR="00514BD7" w:rsidRPr="00026EC1" w:rsidRDefault="00514BD7" w:rsidP="00A64613">
            <w:pPr>
              <w:keepNext w:val="0"/>
              <w:jc w:val="center"/>
            </w:pPr>
            <w:r w:rsidRPr="00026EC1">
              <w:t>80</w:t>
            </w:r>
          </w:p>
        </w:tc>
      </w:tr>
      <w:tr w:rsidR="00514BD7" w:rsidRPr="00026EC1" w14:paraId="430ACA8A" w14:textId="77777777" w:rsidTr="00514BD7">
        <w:tc>
          <w:tcPr>
            <w:tcW w:w="3670" w:type="dxa"/>
          </w:tcPr>
          <w:p w14:paraId="11CC9D12" w14:textId="77777777" w:rsidR="00514BD7" w:rsidRPr="00026EC1" w:rsidRDefault="00514BD7" w:rsidP="00A64613">
            <w:pPr>
              <w:keepNext w:val="0"/>
            </w:pPr>
          </w:p>
        </w:tc>
        <w:tc>
          <w:tcPr>
            <w:tcW w:w="720" w:type="dxa"/>
          </w:tcPr>
          <w:p w14:paraId="71B265CC" w14:textId="77777777" w:rsidR="00514BD7" w:rsidRPr="00026EC1" w:rsidRDefault="00514BD7" w:rsidP="00A64613">
            <w:pPr>
              <w:keepNext w:val="0"/>
            </w:pPr>
          </w:p>
        </w:tc>
        <w:tc>
          <w:tcPr>
            <w:tcW w:w="4860" w:type="dxa"/>
            <w:gridSpan w:val="3"/>
          </w:tcPr>
          <w:p w14:paraId="63F82E08" w14:textId="77777777" w:rsidR="00514BD7" w:rsidRPr="00026EC1" w:rsidRDefault="00514BD7" w:rsidP="00A64613">
            <w:pPr>
              <w:keepNext w:val="0"/>
            </w:pPr>
          </w:p>
        </w:tc>
      </w:tr>
      <w:tr w:rsidR="00514BD7" w:rsidRPr="00026EC1" w14:paraId="012FA403" w14:textId="77777777" w:rsidTr="00514BD7">
        <w:trPr>
          <w:cantSplit/>
          <w:trHeight w:val="410"/>
        </w:trPr>
        <w:tc>
          <w:tcPr>
            <w:tcW w:w="3670" w:type="dxa"/>
            <w:vMerge w:val="restart"/>
          </w:tcPr>
          <w:p w14:paraId="1008DD9D" w14:textId="77777777" w:rsidR="00514BD7" w:rsidRPr="00026EC1" w:rsidRDefault="00514BD7" w:rsidP="00A64613">
            <w:pPr>
              <w:keepNext w:val="0"/>
            </w:pPr>
            <w:r w:rsidRPr="00026EC1">
              <w:t>équivalent temps complet d</w:t>
            </w:r>
            <w:r w:rsidR="004A41E4" w:rsidRPr="00026EC1">
              <w:t>’</w:t>
            </w:r>
            <w:r w:rsidRPr="00026EC1">
              <w:t>une enseignante ou d</w:t>
            </w:r>
            <w:r w:rsidR="004A41E4" w:rsidRPr="00026EC1">
              <w:t>’</w:t>
            </w:r>
            <w:r w:rsidRPr="00026EC1">
              <w:t>un enseignant chargé de cours</w:t>
            </w:r>
          </w:p>
        </w:tc>
        <w:tc>
          <w:tcPr>
            <w:tcW w:w="720" w:type="dxa"/>
            <w:vMerge w:val="restart"/>
            <w:vAlign w:val="center"/>
          </w:tcPr>
          <w:p w14:paraId="3F2A7C78" w14:textId="77777777" w:rsidR="00514BD7" w:rsidRPr="00026EC1" w:rsidRDefault="00514BD7" w:rsidP="00C11271">
            <w:pPr>
              <w:pStyle w:val="TOC2"/>
            </w:pPr>
            <w:r w:rsidRPr="00026EC1">
              <w:t>=</w:t>
            </w:r>
          </w:p>
        </w:tc>
        <w:tc>
          <w:tcPr>
            <w:tcW w:w="4860" w:type="dxa"/>
            <w:gridSpan w:val="3"/>
            <w:tcBorders>
              <w:bottom w:val="single" w:sz="4" w:space="0" w:color="auto"/>
            </w:tcBorders>
            <w:vAlign w:val="bottom"/>
          </w:tcPr>
          <w:p w14:paraId="5BF5D66B" w14:textId="77777777" w:rsidR="00514BD7" w:rsidRPr="00026EC1" w:rsidRDefault="00514BD7" w:rsidP="00A64613">
            <w:pPr>
              <w:pStyle w:val="Header"/>
              <w:keepNext w:val="0"/>
              <w:spacing w:after="0"/>
            </w:pPr>
            <w:r w:rsidRPr="00026EC1">
              <w:t>nombre total de périodes prévu au contrat</w:t>
            </w:r>
          </w:p>
        </w:tc>
      </w:tr>
      <w:tr w:rsidR="00514BD7" w:rsidRPr="00026EC1" w14:paraId="68FDFDA1" w14:textId="77777777" w:rsidTr="00514BD7">
        <w:trPr>
          <w:cantSplit/>
          <w:trHeight w:val="410"/>
        </w:trPr>
        <w:tc>
          <w:tcPr>
            <w:tcW w:w="3670" w:type="dxa"/>
            <w:vMerge/>
          </w:tcPr>
          <w:p w14:paraId="1BB3B21A" w14:textId="77777777" w:rsidR="00514BD7" w:rsidRPr="00026EC1" w:rsidRDefault="00514BD7" w:rsidP="00A64613">
            <w:pPr>
              <w:keepNext w:val="0"/>
            </w:pPr>
          </w:p>
        </w:tc>
        <w:tc>
          <w:tcPr>
            <w:tcW w:w="720" w:type="dxa"/>
            <w:vMerge/>
            <w:vAlign w:val="center"/>
          </w:tcPr>
          <w:p w14:paraId="57C44CF6" w14:textId="77777777" w:rsidR="00514BD7" w:rsidRPr="00026EC1" w:rsidRDefault="00514BD7" w:rsidP="00C11271">
            <w:pPr>
              <w:pStyle w:val="TOC2"/>
            </w:pPr>
          </w:p>
        </w:tc>
        <w:tc>
          <w:tcPr>
            <w:tcW w:w="4860" w:type="dxa"/>
            <w:gridSpan w:val="3"/>
            <w:tcBorders>
              <w:top w:val="single" w:sz="4" w:space="0" w:color="auto"/>
            </w:tcBorders>
            <w:vAlign w:val="center"/>
          </w:tcPr>
          <w:p w14:paraId="20C96395" w14:textId="77777777" w:rsidR="00514BD7" w:rsidRPr="00026EC1" w:rsidRDefault="00514BD7" w:rsidP="00A64613">
            <w:pPr>
              <w:pStyle w:val="Header"/>
              <w:keepNext w:val="0"/>
              <w:spacing w:after="0"/>
            </w:pPr>
            <w:r w:rsidRPr="00026EC1">
              <w:t>525</w:t>
            </w:r>
          </w:p>
        </w:tc>
      </w:tr>
    </w:tbl>
    <w:p w14:paraId="52A318B7" w14:textId="77777777" w:rsidR="00514BD7" w:rsidRPr="00026EC1" w:rsidRDefault="00514BD7" w:rsidP="00A64613">
      <w:pPr>
        <w:keepNext w:val="0"/>
      </w:pPr>
      <w:r w:rsidRPr="00026EC1">
        <w:t>Cependant, l</w:t>
      </w:r>
      <w:r w:rsidR="004A41E4" w:rsidRPr="00026EC1">
        <w:t>’</w:t>
      </w:r>
      <w:r w:rsidRPr="00026EC1">
        <w:t>équivalent temps complet de l</w:t>
      </w:r>
      <w:r w:rsidR="004A41E4" w:rsidRPr="00026EC1">
        <w:t>’</w:t>
      </w:r>
      <w:r w:rsidRPr="00026EC1">
        <w:t>enseignante ou de l</w:t>
      </w:r>
      <w:r w:rsidR="004A41E4" w:rsidRPr="00026EC1">
        <w:t>’</w:t>
      </w:r>
      <w:r w:rsidRPr="00026EC1">
        <w:t>enseignant à temps partiel qui détient un contrat pleine charge session est de zéro virgule cinq (0,5).</w:t>
      </w:r>
    </w:p>
    <w:p w14:paraId="55F81360" w14:textId="77777777" w:rsidR="00514BD7" w:rsidRPr="00026EC1" w:rsidRDefault="00514BD7" w:rsidP="00A64613">
      <w:pPr>
        <w:keepNext w:val="0"/>
      </w:pPr>
    </w:p>
    <w:p w14:paraId="290C1D1F" w14:textId="64DC599C" w:rsidR="00514BD7" w:rsidRDefault="00514BD7" w:rsidP="00A64613">
      <w:pPr>
        <w:keepNext w:val="0"/>
      </w:pPr>
      <w:r w:rsidRPr="00026EC1">
        <w:t>La charge individuelle de travail d</w:t>
      </w:r>
      <w:r w:rsidR="004A41E4" w:rsidRPr="00026EC1">
        <w:t>’</w:t>
      </w:r>
      <w:r w:rsidRPr="00026EC1">
        <w:t>une enseignante ou d</w:t>
      </w:r>
      <w:r w:rsidR="004A41E4" w:rsidRPr="00026EC1">
        <w:t>’</w:t>
      </w:r>
      <w:r w:rsidRPr="00026EC1">
        <w:t>un enseignant à temps partiel calculée selon l</w:t>
      </w:r>
      <w:r w:rsidR="004A41E4" w:rsidRPr="00026EC1">
        <w:t>’</w:t>
      </w:r>
      <w:r w:rsidR="00242EC4" w:rsidRPr="00026EC1">
        <w:t>A</w:t>
      </w:r>
      <w:r w:rsidRPr="00026EC1">
        <w:t>nnexe I</w:t>
      </w:r>
      <w:r w:rsidR="00984A6F">
        <w:noBreakHyphen/>
      </w:r>
      <w:r w:rsidRPr="00026EC1">
        <w:t>1 ne peut entraîner un ETC inférieur à celui résultant de la charge qui lui est confiée au début de la session, à moins que la baisse des inscriptions aux cours impliqués ne conduise à une diminution du nombre d</w:t>
      </w:r>
      <w:r w:rsidR="004A41E4" w:rsidRPr="00026EC1">
        <w:t>’</w:t>
      </w:r>
      <w:r w:rsidRPr="00026EC1">
        <w:t>heures de prestation (HC).</w:t>
      </w:r>
    </w:p>
    <w:p w14:paraId="7466AF34" w14:textId="77777777" w:rsidR="001E0CD7" w:rsidRPr="00026EC1" w:rsidRDefault="001E0CD7" w:rsidP="00A64613">
      <w:pPr>
        <w:keepNext w:val="0"/>
      </w:pPr>
    </w:p>
    <w:p w14:paraId="570F4C2E" w14:textId="44CF486E" w:rsidR="00514BD7" w:rsidRPr="00026EC1" w:rsidRDefault="00514BD7" w:rsidP="00A64613">
      <w:pPr>
        <w:pStyle w:val="NUMRODECLAUSE"/>
        <w:keepNext w:val="0"/>
      </w:pPr>
      <w:r w:rsidRPr="00026EC1">
        <w:t>8</w:t>
      </w:r>
      <w:r w:rsidR="00984A6F">
        <w:noBreakHyphen/>
      </w:r>
      <w:r w:rsidRPr="00026EC1">
        <w:t>5.13</w:t>
      </w:r>
    </w:p>
    <w:p w14:paraId="00EA5456" w14:textId="77777777" w:rsidR="00514BD7" w:rsidRPr="00026EC1" w:rsidRDefault="00514BD7" w:rsidP="00A64613">
      <w:pPr>
        <w:keepNext w:val="0"/>
      </w:pPr>
      <w:r w:rsidRPr="00026EC1">
        <w:t>Les parties nationales conviennent de former un comité consultatif sur la tâche. Il est composé de deux (2) représentantes ou représentants désignés par la FNEEQ (CSN), de représentantes ou représentants désignés par le Ministère et par la Fédération des cégeps ainsi que de deux (2) représentantes ou représentants désignés par la FEC (CSQ) si cette fédération syndicale le désire.</w:t>
      </w:r>
    </w:p>
    <w:p w14:paraId="38B20FA1" w14:textId="77777777" w:rsidR="00514BD7" w:rsidRPr="00026EC1" w:rsidRDefault="00514BD7" w:rsidP="00A64613">
      <w:pPr>
        <w:keepNext w:val="0"/>
      </w:pPr>
    </w:p>
    <w:p w14:paraId="220E69A9" w14:textId="302E7235" w:rsidR="00514BD7" w:rsidRPr="00026EC1" w:rsidRDefault="00514BD7" w:rsidP="00A64613">
      <w:pPr>
        <w:keepNext w:val="0"/>
      </w:pPr>
      <w:r w:rsidRPr="00026EC1">
        <w:t>Ce comité consultatif auprès du Ministère a pour mandat de</w:t>
      </w:r>
      <w:r w:rsidR="00D8581B">
        <w:t> :</w:t>
      </w:r>
    </w:p>
    <w:p w14:paraId="1DF832FE" w14:textId="77777777" w:rsidR="00514BD7" w:rsidRPr="00026EC1" w:rsidRDefault="00514BD7" w:rsidP="00A64613">
      <w:pPr>
        <w:keepNext w:val="0"/>
      </w:pPr>
    </w:p>
    <w:p w14:paraId="55C8EF66" w14:textId="16DA4D54" w:rsidR="00514BD7" w:rsidRPr="00026EC1" w:rsidRDefault="00275751" w:rsidP="00A64613">
      <w:pPr>
        <w:keepNext w:val="0"/>
        <w:tabs>
          <w:tab w:val="left" w:pos="567"/>
        </w:tabs>
        <w:ind w:left="567" w:hanging="567"/>
      </w:pPr>
      <w:r w:rsidRPr="00026EC1">
        <w:t>a)</w:t>
      </w:r>
      <w:r w:rsidRPr="00026EC1">
        <w:tab/>
      </w:r>
      <w:r w:rsidR="00514BD7" w:rsidRPr="00026EC1">
        <w:t>donner un avis sur la détermination des ressources accordées à chacun des collèges en vertu de la clause 8</w:t>
      </w:r>
      <w:r w:rsidR="00984A6F">
        <w:noBreakHyphen/>
      </w:r>
      <w:r w:rsidR="00514BD7" w:rsidRPr="00026EC1">
        <w:t>5.02;</w:t>
      </w:r>
    </w:p>
    <w:p w14:paraId="1894ED94" w14:textId="77777777" w:rsidR="00514BD7" w:rsidRPr="00026EC1" w:rsidRDefault="00514BD7" w:rsidP="00A64613">
      <w:pPr>
        <w:keepNext w:val="0"/>
      </w:pPr>
    </w:p>
    <w:p w14:paraId="246B1238" w14:textId="5832B042" w:rsidR="00514BD7" w:rsidRDefault="006C60B4" w:rsidP="00A64613">
      <w:pPr>
        <w:keepNext w:val="0"/>
        <w:tabs>
          <w:tab w:val="left" w:pos="567"/>
        </w:tabs>
        <w:ind w:left="567" w:hanging="567"/>
      </w:pPr>
      <w:r>
        <w:t>b)</w:t>
      </w:r>
      <w:r>
        <w:tab/>
      </w:r>
      <w:r w:rsidR="00514BD7" w:rsidRPr="00026EC1">
        <w:t xml:space="preserve">transmettre aux parties nationales, chaque année, un rapport portant sur les vérifications prévues au </w:t>
      </w:r>
      <w:r w:rsidR="009113E5" w:rsidRPr="00026EC1">
        <w:t>dernier</w:t>
      </w:r>
      <w:r w:rsidR="00514BD7" w:rsidRPr="00026EC1">
        <w:t xml:space="preserve"> paragraphe de l</w:t>
      </w:r>
      <w:r w:rsidR="004A41E4" w:rsidRPr="00026EC1">
        <w:t>’</w:t>
      </w:r>
      <w:r w:rsidR="00242EC4" w:rsidRPr="00026EC1">
        <w:t>A</w:t>
      </w:r>
      <w:r w:rsidR="00514BD7" w:rsidRPr="00026EC1">
        <w:t>nnexe I</w:t>
      </w:r>
      <w:r w:rsidR="00984A6F">
        <w:noBreakHyphen/>
      </w:r>
      <w:r w:rsidR="00514BD7" w:rsidRPr="00026EC1">
        <w:t>9;</w:t>
      </w:r>
    </w:p>
    <w:p w14:paraId="2BA0A8F2" w14:textId="77777777" w:rsidR="00747F51" w:rsidRPr="00026EC1" w:rsidRDefault="00747F51" w:rsidP="00A64613">
      <w:pPr>
        <w:keepNext w:val="0"/>
        <w:tabs>
          <w:tab w:val="left" w:pos="567"/>
        </w:tabs>
        <w:ind w:left="567" w:hanging="567"/>
      </w:pPr>
    </w:p>
    <w:p w14:paraId="3A87FDF6" w14:textId="71773C12" w:rsidR="00514BD7" w:rsidRPr="00316277" w:rsidRDefault="00B81422" w:rsidP="00B81422">
      <w:pPr>
        <w:keepNext w:val="0"/>
        <w:tabs>
          <w:tab w:val="left" w:pos="567"/>
        </w:tabs>
        <w:ind w:left="567" w:hanging="567"/>
      </w:pPr>
      <w:r w:rsidRPr="00B81422">
        <w:t>c)</w:t>
      </w:r>
      <w:r w:rsidRPr="00B81422">
        <w:tab/>
      </w:r>
      <w:r w:rsidR="00A12062" w:rsidRPr="00316277">
        <w:t>Temps de déplacement</w:t>
      </w:r>
    </w:p>
    <w:p w14:paraId="6BA3D43E" w14:textId="111E1DE2" w:rsidR="00A12062" w:rsidRPr="00316277" w:rsidRDefault="00A12062" w:rsidP="00647E1F">
      <w:pPr>
        <w:pStyle w:val="ListParagraph"/>
        <w:numPr>
          <w:ilvl w:val="0"/>
          <w:numId w:val="44"/>
        </w:numPr>
        <w:ind w:left="851" w:hanging="284"/>
      </w:pPr>
      <w:r w:rsidRPr="00316277">
        <w:t>Tracer un portrait global de la réalité, des enjeux et de l'évolution des temps de déplacement des enseignantes et des enseignants à l'échelle du réseau ;</w:t>
      </w:r>
    </w:p>
    <w:p w14:paraId="78C9A503" w14:textId="77777777" w:rsidR="00A12062" w:rsidRPr="00316277" w:rsidRDefault="00A12062" w:rsidP="00067D02">
      <w:pPr>
        <w:pStyle w:val="N-FNEEQ-puce"/>
        <w:tabs>
          <w:tab w:val="left" w:pos="284"/>
        </w:tabs>
        <w:spacing w:before="0" w:after="0"/>
        <w:ind w:left="851"/>
        <w:rPr>
          <w:rFonts w:ascii="Arial" w:eastAsia="Calibri" w:hAnsi="Arial" w:cs="Times New Roman"/>
          <w:color w:val="auto"/>
          <w:szCs w:val="22"/>
        </w:rPr>
      </w:pPr>
    </w:p>
    <w:p w14:paraId="39FD513F" w14:textId="65A13356" w:rsidR="00747F51" w:rsidRPr="00747F51" w:rsidRDefault="00A12062" w:rsidP="00917502">
      <w:pPr>
        <w:pStyle w:val="ListParagraph"/>
        <w:numPr>
          <w:ilvl w:val="0"/>
          <w:numId w:val="44"/>
        </w:numPr>
        <w:ind w:left="851" w:hanging="284"/>
        <w:jc w:val="left"/>
      </w:pPr>
      <w:r w:rsidRPr="00316277">
        <w:t xml:space="preserve">Étudier la prise en compte des temps de déplacement dans la </w:t>
      </w:r>
      <w:r w:rsidR="001E0CD7" w:rsidRPr="00316277">
        <w:t>tâche</w:t>
      </w:r>
      <w:r w:rsidRPr="00316277">
        <w:t xml:space="preserve"> d’enseignement</w:t>
      </w:r>
      <w:r w:rsidR="00A02F0D" w:rsidRPr="00316277">
        <w:t>;</w:t>
      </w:r>
      <w:r w:rsidR="00747F51">
        <w:t xml:space="preserve"> </w:t>
      </w:r>
      <w:r w:rsidR="00747F51">
        <w:br w:type="page"/>
      </w:r>
    </w:p>
    <w:p w14:paraId="41D26F31" w14:textId="74171F08" w:rsidR="00A02F0D" w:rsidRPr="00316277" w:rsidRDefault="00A02F0D" w:rsidP="00647E1F">
      <w:pPr>
        <w:pStyle w:val="ListParagraph"/>
        <w:numPr>
          <w:ilvl w:val="0"/>
          <w:numId w:val="44"/>
        </w:numPr>
        <w:suppressAutoHyphens/>
        <w:ind w:left="851" w:hanging="284"/>
      </w:pPr>
      <w:r w:rsidRPr="00316277">
        <w:t>Produire un rapport, à leur partie respective, faisant état des travaux au plus tard le 15 juin 20</w:t>
      </w:r>
      <w:r w:rsidR="009B6DE0" w:rsidRPr="00316277">
        <w:t>2</w:t>
      </w:r>
      <w:r w:rsidRPr="00316277">
        <w:t>7.</w:t>
      </w:r>
    </w:p>
    <w:p w14:paraId="3C1406D8" w14:textId="77777777" w:rsidR="00A12062" w:rsidRPr="00067D02" w:rsidRDefault="00A12062" w:rsidP="00A12062">
      <w:pPr>
        <w:pStyle w:val="ListParagraph"/>
        <w:suppressAutoHyphens/>
        <w:ind w:left="720"/>
      </w:pPr>
    </w:p>
    <w:p w14:paraId="71795584" w14:textId="601FF3E4" w:rsidR="00A12062" w:rsidRPr="00316277" w:rsidRDefault="00A12062" w:rsidP="00B81422">
      <w:pPr>
        <w:pStyle w:val="ListParagraph"/>
        <w:numPr>
          <w:ilvl w:val="0"/>
          <w:numId w:val="36"/>
        </w:numPr>
        <w:suppressAutoHyphens/>
        <w:ind w:left="567" w:hanging="567"/>
      </w:pPr>
      <w:r w:rsidRPr="00316277">
        <w:t>Techniques de la santé et des services sociaux</w:t>
      </w:r>
    </w:p>
    <w:p w14:paraId="51B4157D" w14:textId="6F70CABE" w:rsidR="00067D02" w:rsidRPr="00316277" w:rsidRDefault="00067D02" w:rsidP="00067D02">
      <w:pPr>
        <w:pStyle w:val="N-FNEEQ-puce"/>
        <w:spacing w:before="0" w:after="0"/>
        <w:ind w:left="851"/>
        <w:rPr>
          <w:rFonts w:ascii="Arial" w:eastAsia="Times New Roman" w:hAnsi="Arial" w:cs="Times New Roman"/>
          <w:snapToGrid w:val="0"/>
          <w:color w:val="auto"/>
          <w:sz w:val="24"/>
          <w:lang w:eastAsia="fr-FR"/>
        </w:rPr>
      </w:pPr>
      <w:r w:rsidRPr="00316277">
        <w:rPr>
          <w:rFonts w:ascii="Arial" w:eastAsia="Times New Roman" w:hAnsi="Arial" w:cs="Times New Roman"/>
          <w:b/>
          <w:bCs/>
          <w:snapToGrid w:val="0"/>
          <w:color w:val="auto"/>
          <w:lang w:eastAsia="fr-FR"/>
        </w:rPr>
        <w:t>-</w:t>
      </w:r>
      <w:r w:rsidRPr="00316277">
        <w:rPr>
          <w:rFonts w:ascii="Arial" w:eastAsia="Times New Roman" w:hAnsi="Arial" w:cs="Times New Roman"/>
          <w:snapToGrid w:val="0"/>
          <w:color w:val="auto"/>
          <w:sz w:val="24"/>
          <w:lang w:eastAsia="fr-FR"/>
        </w:rPr>
        <w:tab/>
        <w:t>Étudier les enjeux concernant l’organisation et la charge de travail propres aux techniques de la santé et des services sociaux ainsi qu’au programme de techniques de santé animale, incluant ceux reliés :</w:t>
      </w:r>
    </w:p>
    <w:p w14:paraId="04A94FCE" w14:textId="77777777" w:rsidR="00067D02" w:rsidRPr="00316277" w:rsidRDefault="00067D02" w:rsidP="00067D02">
      <w:pPr>
        <w:pStyle w:val="Puce-FNEEQ"/>
        <w:tabs>
          <w:tab w:val="clear" w:pos="1134"/>
        </w:tabs>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à l’organisation des laboratoires;</w:t>
      </w:r>
    </w:p>
    <w:p w14:paraId="6E673AD2" w14:textId="77777777" w:rsidR="00067D02" w:rsidRPr="00316277" w:rsidRDefault="00067D02" w:rsidP="00067D02">
      <w:pPr>
        <w:pStyle w:val="Puce-FNEEQ"/>
        <w:tabs>
          <w:tab w:val="clear" w:pos="1134"/>
        </w:tabs>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à la coordination et la supervision des stages;</w:t>
      </w:r>
    </w:p>
    <w:p w14:paraId="094871D8" w14:textId="77777777" w:rsidR="00067D02" w:rsidRPr="00316277" w:rsidRDefault="00067D02" w:rsidP="00067D02">
      <w:pPr>
        <w:pStyle w:val="Puce-FNEEQ"/>
        <w:tabs>
          <w:tab w:val="clear" w:pos="1134"/>
        </w:tabs>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aux cliniques-écoles;</w:t>
      </w:r>
    </w:p>
    <w:p w14:paraId="3B442025" w14:textId="1BB612DB" w:rsidR="00067D02" w:rsidRPr="00316277" w:rsidRDefault="00067D02" w:rsidP="00067D02">
      <w:pPr>
        <w:pStyle w:val="Puce-FNEEQ"/>
        <w:tabs>
          <w:tab w:val="clear" w:pos="1134"/>
        </w:tabs>
        <w:spacing w:before="0" w:after="0"/>
        <w:ind w:left="1134" w:hanging="283"/>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aux liens avec les ordres professionnels et autres organismes externes, le cas échéant;</w:t>
      </w:r>
    </w:p>
    <w:p w14:paraId="5E1E2121" w14:textId="71C2653B" w:rsidR="00067D02" w:rsidRDefault="00067D02" w:rsidP="00067D02">
      <w:pPr>
        <w:pStyle w:val="N-FNEEQ-puce"/>
        <w:spacing w:before="0" w:after="0"/>
        <w:ind w:left="851"/>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ab/>
        <w:t>Produire un rapport, à leur partie respective, faisant état des travaux au plus tard le 15 juin 2027.</w:t>
      </w:r>
    </w:p>
    <w:p w14:paraId="49B26C17" w14:textId="77777777" w:rsidR="002E30A2" w:rsidRPr="00067D02" w:rsidRDefault="002E30A2" w:rsidP="00067D02">
      <w:pPr>
        <w:pStyle w:val="N-FNEEQ-puce"/>
        <w:spacing w:before="0" w:after="0"/>
        <w:ind w:left="851"/>
        <w:rPr>
          <w:rFonts w:ascii="Arial" w:eastAsia="Times New Roman" w:hAnsi="Arial" w:cs="Times New Roman"/>
          <w:snapToGrid w:val="0"/>
          <w:color w:val="auto"/>
          <w:sz w:val="24"/>
          <w:lang w:eastAsia="fr-FR"/>
        </w:rPr>
      </w:pPr>
    </w:p>
    <w:p w14:paraId="1B499AC0" w14:textId="490244CB" w:rsidR="002E30A2" w:rsidRPr="00316277" w:rsidRDefault="002E30A2" w:rsidP="00D45F76">
      <w:pPr>
        <w:pStyle w:val="ListParagraph"/>
        <w:numPr>
          <w:ilvl w:val="0"/>
          <w:numId w:val="36"/>
        </w:numPr>
        <w:suppressAutoHyphens/>
        <w:ind w:left="567" w:hanging="567"/>
      </w:pPr>
      <w:r w:rsidRPr="00316277">
        <w:t>A</w:t>
      </w:r>
      <w:r w:rsidRPr="00316277">
        <w:rPr>
          <w:rFonts w:cs="Arial"/>
          <w:lang w:val="fr-FR"/>
        </w:rPr>
        <w:t>daptation numérique liée à la formation à distance (FAD)</w:t>
      </w:r>
    </w:p>
    <w:p w14:paraId="03B95342" w14:textId="6132603C" w:rsidR="002E30A2" w:rsidRPr="00316277" w:rsidRDefault="002E30A2" w:rsidP="00864798">
      <w:pPr>
        <w:pStyle w:val="N-Commun"/>
        <w:numPr>
          <w:ilvl w:val="0"/>
          <w:numId w:val="74"/>
        </w:numPr>
        <w:spacing w:before="0" w:after="0"/>
        <w:ind w:left="851" w:hanging="284"/>
        <w:rPr>
          <w:rFonts w:ascii="Arial" w:hAnsi="Arial" w:cs="Arial"/>
          <w:sz w:val="24"/>
          <w:lang w:val="fr-FR"/>
        </w:rPr>
      </w:pPr>
      <w:r w:rsidRPr="00316277">
        <w:rPr>
          <w:rFonts w:ascii="Arial" w:hAnsi="Arial" w:cs="Arial"/>
          <w:sz w:val="24"/>
          <w:lang w:val="fr-FR"/>
        </w:rPr>
        <w:t>Répartir annuellement les ressources de l’</w:t>
      </w:r>
      <w:r w:rsidR="00926507" w:rsidRPr="00316277">
        <w:rPr>
          <w:rFonts w:ascii="Arial" w:hAnsi="Arial" w:cs="Arial"/>
          <w:sz w:val="24"/>
          <w:lang w:val="fr-FR"/>
        </w:rPr>
        <w:t>A</w:t>
      </w:r>
      <w:r w:rsidRPr="00316277">
        <w:rPr>
          <w:rFonts w:ascii="Arial" w:hAnsi="Arial" w:cs="Arial"/>
          <w:sz w:val="24"/>
          <w:lang w:val="fr-FR"/>
        </w:rPr>
        <w:t xml:space="preserve">nnexe I-19 selon les modalités de ladite </w:t>
      </w:r>
      <w:r w:rsidR="009B6DE0" w:rsidRPr="00316277">
        <w:rPr>
          <w:rFonts w:ascii="Arial" w:hAnsi="Arial" w:cs="Arial"/>
          <w:sz w:val="24"/>
          <w:lang w:val="fr-FR"/>
        </w:rPr>
        <w:t>a</w:t>
      </w:r>
      <w:r w:rsidRPr="00316277">
        <w:rPr>
          <w:rFonts w:ascii="Arial" w:hAnsi="Arial" w:cs="Arial"/>
          <w:sz w:val="24"/>
          <w:lang w:val="fr-FR"/>
        </w:rPr>
        <w:t>nnexe.</w:t>
      </w:r>
    </w:p>
    <w:p w14:paraId="36EE8B6B" w14:textId="77777777" w:rsidR="00067D02" w:rsidRPr="002E30A2" w:rsidRDefault="00067D02" w:rsidP="00067D02">
      <w:pPr>
        <w:pStyle w:val="ListParagraph"/>
        <w:suppressAutoHyphens/>
        <w:ind w:left="567"/>
        <w:rPr>
          <w:rFonts w:eastAsia="Times New Roman"/>
          <w:snapToGrid w:val="0"/>
          <w:szCs w:val="20"/>
          <w:lang w:val="fr-FR" w:eastAsia="fr-FR"/>
        </w:rPr>
      </w:pPr>
    </w:p>
    <w:p w14:paraId="0E269498" w14:textId="77777777" w:rsidR="00514BD7" w:rsidRPr="00026EC1" w:rsidRDefault="00514BD7" w:rsidP="00A64613">
      <w:pPr>
        <w:keepNext w:val="0"/>
      </w:pPr>
      <w:r w:rsidRPr="00026EC1">
        <w:t>De plus, à la demande des parties nationales, ce comité effectue des études techniques sur la tâche et les paramètres y</w:t>
      </w:r>
      <w:r w:rsidR="009113E5" w:rsidRPr="00026EC1">
        <w:t xml:space="preserve"> étant</w:t>
      </w:r>
      <w:r w:rsidRPr="00026EC1">
        <w:t xml:space="preserve"> afférents. À cette fin, les parties nationales déterminent, pour chacune des années, les sujets devant faire l</w:t>
      </w:r>
      <w:r w:rsidR="004A41E4" w:rsidRPr="00026EC1">
        <w:t>’</w:t>
      </w:r>
      <w:r w:rsidRPr="00026EC1">
        <w:t>objet d</w:t>
      </w:r>
      <w:r w:rsidR="004A41E4" w:rsidRPr="00026EC1">
        <w:t>’</w:t>
      </w:r>
      <w:r w:rsidRPr="00026EC1">
        <w:t>études techniques et les modalités suivant lesquelles ces études seront faites.</w:t>
      </w:r>
    </w:p>
    <w:p w14:paraId="791F56F8" w14:textId="77777777" w:rsidR="00514BD7" w:rsidRPr="00026EC1" w:rsidRDefault="00514BD7" w:rsidP="00A64613">
      <w:pPr>
        <w:keepNext w:val="0"/>
      </w:pPr>
    </w:p>
    <w:p w14:paraId="42585A6F" w14:textId="77777777" w:rsidR="00514BD7" w:rsidRPr="00026EC1" w:rsidRDefault="00514BD7" w:rsidP="00A64613">
      <w:pPr>
        <w:keepNext w:val="0"/>
      </w:pPr>
      <w:r w:rsidRPr="00026EC1">
        <w:t>Ce comité transmet ses avis et le résultat de ses travaux aux parties nationales.</w:t>
      </w:r>
    </w:p>
    <w:p w14:paraId="5292355B" w14:textId="77777777" w:rsidR="00514BD7" w:rsidRPr="00026EC1" w:rsidRDefault="00514BD7" w:rsidP="00A64613">
      <w:pPr>
        <w:keepNext w:val="0"/>
      </w:pPr>
    </w:p>
    <w:p w14:paraId="4E15C684" w14:textId="77777777" w:rsidR="00514BD7" w:rsidRPr="00026EC1" w:rsidRDefault="00514BD7" w:rsidP="00A64613">
      <w:pPr>
        <w:keepNext w:val="0"/>
      </w:pPr>
      <w:r w:rsidRPr="00026EC1">
        <w:t>Les membres du comité n</w:t>
      </w:r>
      <w:r w:rsidR="004A41E4" w:rsidRPr="00026EC1">
        <w:t>’</w:t>
      </w:r>
      <w:r w:rsidRPr="00026EC1">
        <w:t>ont droit à aucune rémunération pour leurs services à ce titre, mais leur employeur respectif leur verse leur salaire pendant leur libération.</w:t>
      </w:r>
    </w:p>
    <w:p w14:paraId="346D835B" w14:textId="77777777" w:rsidR="00514BD7" w:rsidRPr="00026EC1" w:rsidRDefault="00514BD7" w:rsidP="00A64613">
      <w:pPr>
        <w:keepNext w:val="0"/>
      </w:pPr>
    </w:p>
    <w:p w14:paraId="685505E2" w14:textId="77777777" w:rsidR="00514BD7" w:rsidRPr="00026EC1" w:rsidRDefault="00514BD7" w:rsidP="00A64613">
      <w:pPr>
        <w:keepNext w:val="0"/>
      </w:pPr>
      <w:r w:rsidRPr="00026EC1">
        <w:t>Les frais de déplacement et de séjour des membres du comité sont assumés par leur employeur respectif.</w:t>
      </w:r>
    </w:p>
    <w:p w14:paraId="20CFA86A" w14:textId="77777777" w:rsidR="004B16EF" w:rsidRDefault="004B16EF" w:rsidP="00A64613">
      <w:pPr>
        <w:keepNext w:val="0"/>
      </w:pPr>
    </w:p>
    <w:p w14:paraId="597CA0E8" w14:textId="77777777" w:rsidR="00514BD7" w:rsidRPr="00026EC1" w:rsidRDefault="00514BD7" w:rsidP="00A64613">
      <w:pPr>
        <w:keepNext w:val="0"/>
      </w:pPr>
      <w:r w:rsidRPr="00026EC1">
        <w:t>La libération annuelle totale des membres désignés par la FNEEQ (CSN) au comité est d</w:t>
      </w:r>
      <w:r w:rsidR="004A41E4" w:rsidRPr="00026EC1">
        <w:t>’</w:t>
      </w:r>
      <w:r w:rsidRPr="00026EC1">
        <w:t>une (1) enseignante ou d</w:t>
      </w:r>
      <w:r w:rsidR="004A41E4" w:rsidRPr="00026EC1">
        <w:t>’</w:t>
      </w:r>
      <w:r w:rsidRPr="00026EC1">
        <w:t>un (1) enseignant à temps complet ou l</w:t>
      </w:r>
      <w:r w:rsidR="004A41E4" w:rsidRPr="00026EC1">
        <w:t>’</w:t>
      </w:r>
      <w:r w:rsidRPr="00026EC1">
        <w:t>équivalent.</w:t>
      </w:r>
    </w:p>
    <w:p w14:paraId="1D35B92D" w14:textId="77777777" w:rsidR="00B66D00" w:rsidRPr="00026EC1" w:rsidRDefault="00B66D00"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w:t>
      </w:r>
      <w:r w:rsidR="000F2D2C" w:rsidRPr="00026EC1">
        <w:t> </w:t>
      </w:r>
      <w:r w:rsidRPr="00026EC1">
        <w:t>59 de la Loi sur le régime de négociation des conventions collectives dans les secteurs public et parapublic, si elles sont agréées et signées par les parties locales.</w:t>
      </w:r>
    </w:p>
    <w:p w14:paraId="310DC578" w14:textId="77777777" w:rsidR="00514BD7" w:rsidRPr="00026EC1" w:rsidRDefault="00514BD7" w:rsidP="00A64613">
      <w:pPr>
        <w:keepNext w:val="0"/>
      </w:pPr>
    </w:p>
    <w:p w14:paraId="785D696D" w14:textId="2594BA95" w:rsidR="00514BD7" w:rsidRPr="00026EC1" w:rsidRDefault="00514BD7" w:rsidP="00A64613">
      <w:pPr>
        <w:pStyle w:val="NUMRODECLAUSE"/>
        <w:keepNext w:val="0"/>
      </w:pPr>
      <w:r w:rsidRPr="00026EC1">
        <w:t>8</w:t>
      </w:r>
      <w:r w:rsidR="00984A6F">
        <w:noBreakHyphen/>
      </w:r>
      <w:r w:rsidRPr="00026EC1">
        <w:t>5.14</w:t>
      </w:r>
    </w:p>
    <w:p w14:paraId="32A27CD3" w14:textId="6C6EB408" w:rsidR="00514BD7" w:rsidRDefault="00514BD7" w:rsidP="00A64613">
      <w:pPr>
        <w:keepNext w:val="0"/>
      </w:pPr>
      <w:r w:rsidRPr="00026EC1">
        <w:t>Le Collège présente au Syndicat le projet de répartition des enseignantes et enseignants entre les disciplines lors d</w:t>
      </w:r>
      <w:r w:rsidR="004A41E4" w:rsidRPr="00026EC1">
        <w:t>’</w:t>
      </w:r>
      <w:r w:rsidRPr="00026EC1">
        <w:t>une rencontre du CRT.</w:t>
      </w:r>
    </w:p>
    <w:p w14:paraId="6DFD819A" w14:textId="77777777" w:rsidR="00DB1BD9" w:rsidRPr="00026EC1" w:rsidRDefault="00DB1BD9" w:rsidP="00A64613">
      <w:pPr>
        <w:keepNext w:val="0"/>
      </w:pPr>
    </w:p>
    <w:p w14:paraId="4D763B9F" w14:textId="77777777" w:rsidR="00514BD7" w:rsidRPr="00026EC1" w:rsidRDefault="00514BD7" w:rsidP="00A64613">
      <w:pPr>
        <w:keepNext w:val="0"/>
      </w:pPr>
      <w:r w:rsidRPr="00026EC1">
        <w:t>Le Collège et le Syndicat disposent alors de trois (3) semaines pour chercher à en venir à une entente sur la répartition des enseignantes et ens</w:t>
      </w:r>
      <w:r w:rsidR="00BA79F8" w:rsidRPr="00026EC1">
        <w:t>eignants entre les disciplines.</w:t>
      </w:r>
    </w:p>
    <w:p w14:paraId="4BDA12DC" w14:textId="08BB2BFE" w:rsidR="00404F34" w:rsidRPr="00026EC1" w:rsidRDefault="00CB6B97" w:rsidP="00A64613">
      <w:pPr>
        <w:pStyle w:val="Heading2"/>
        <w:keepNext w:val="0"/>
        <w:tabs>
          <w:tab w:val="clear" w:pos="1843"/>
          <w:tab w:val="clear" w:pos="2127"/>
          <w:tab w:val="left" w:pos="1701"/>
          <w:tab w:val="left" w:pos="1985"/>
        </w:tabs>
        <w:ind w:left="1985" w:hanging="1985"/>
        <w:jc w:val="both"/>
      </w:pPr>
      <w:bookmarkStart w:id="859" w:name="_Toc133760804"/>
      <w:r w:rsidRPr="00026EC1">
        <w:br w:type="page"/>
      </w:r>
      <w:bookmarkStart w:id="860" w:name="_Toc393444642"/>
      <w:bookmarkStart w:id="861" w:name="_Toc393449593"/>
      <w:bookmarkStart w:id="862" w:name="_Toc393460962"/>
      <w:bookmarkStart w:id="863" w:name="_Toc393461240"/>
      <w:bookmarkStart w:id="864" w:name="_Toc393720801"/>
      <w:bookmarkStart w:id="865" w:name="_Toc393783962"/>
      <w:bookmarkStart w:id="866" w:name="_Toc393784101"/>
      <w:bookmarkStart w:id="867" w:name="_Toc168479556"/>
      <w:r w:rsidR="00404F34" w:rsidRPr="00026EC1">
        <w:t>Article 8</w:t>
      </w:r>
      <w:r w:rsidR="00B92165">
        <w:t>-</w:t>
      </w:r>
      <w:r w:rsidR="00404F34" w:rsidRPr="00026EC1">
        <w:t>6.00</w:t>
      </w:r>
      <w:r w:rsidRPr="00026EC1">
        <w:tab/>
      </w:r>
      <w:r w:rsidR="00B92165">
        <w:t>-</w:t>
      </w:r>
      <w:r w:rsidRPr="00026EC1">
        <w:tab/>
      </w:r>
      <w:r w:rsidR="00404F34" w:rsidRPr="00026EC1">
        <w:t>Calcul de la charge de travail d</w:t>
      </w:r>
      <w:r w:rsidR="004A41E4" w:rsidRPr="00026EC1">
        <w:t>’</w:t>
      </w:r>
      <w:r w:rsidR="00404F34" w:rsidRPr="00026EC1">
        <w:t>une enseignante ou d</w:t>
      </w:r>
      <w:r w:rsidR="004A41E4" w:rsidRPr="00026EC1">
        <w:t>’</w:t>
      </w:r>
      <w:r w:rsidR="00FA58E4" w:rsidRPr="00026EC1">
        <w:t>un </w:t>
      </w:r>
      <w:r w:rsidR="00404F34" w:rsidRPr="00026EC1">
        <w:t>enseignant</w:t>
      </w:r>
      <w:bookmarkEnd w:id="858"/>
      <w:bookmarkEnd w:id="859"/>
      <w:bookmarkEnd w:id="860"/>
      <w:bookmarkEnd w:id="861"/>
      <w:bookmarkEnd w:id="862"/>
      <w:bookmarkEnd w:id="863"/>
      <w:bookmarkEnd w:id="864"/>
      <w:bookmarkEnd w:id="865"/>
      <w:bookmarkEnd w:id="866"/>
      <w:bookmarkEnd w:id="867"/>
    </w:p>
    <w:p w14:paraId="4456EE00" w14:textId="0F568099" w:rsidR="00EA4B6A" w:rsidRPr="00026EC1" w:rsidRDefault="00EA4B6A" w:rsidP="00A64613">
      <w:pPr>
        <w:pStyle w:val="NUMRODECLAUSE"/>
        <w:keepNext w:val="0"/>
      </w:pPr>
      <w:r w:rsidRPr="00026EC1">
        <w:t>8</w:t>
      </w:r>
      <w:r w:rsidR="00984A6F">
        <w:noBreakHyphen/>
      </w:r>
      <w:r w:rsidRPr="00026EC1">
        <w:t>6.01</w:t>
      </w:r>
    </w:p>
    <w:p w14:paraId="55F5603F" w14:textId="3EF66E77" w:rsidR="00EA4B6A" w:rsidRPr="00026EC1" w:rsidRDefault="00EA4B6A" w:rsidP="00A64613">
      <w:pPr>
        <w:keepNext w:val="0"/>
        <w:ind w:right="123"/>
      </w:pPr>
      <w:r w:rsidRPr="00026EC1">
        <w:t>La charge d’enseignement annuelle d’une enseignante ou d’un enseignant est exprimée en unités et sa définition est soumise aux contraintes suivantes</w:t>
      </w:r>
      <w:r w:rsidR="00D8581B">
        <w:t> :</w:t>
      </w:r>
    </w:p>
    <w:p w14:paraId="417A4075" w14:textId="77777777" w:rsidR="00EA4B6A" w:rsidRPr="00026EC1" w:rsidRDefault="00EA4B6A" w:rsidP="00A64613">
      <w:pPr>
        <w:keepNext w:val="0"/>
        <w:ind w:right="123"/>
      </w:pPr>
    </w:p>
    <w:p w14:paraId="0A078DBE" w14:textId="77777777" w:rsidR="00EA4B6A" w:rsidRPr="00026EC1" w:rsidRDefault="00EA4B6A" w:rsidP="00A64613">
      <w:pPr>
        <w:keepNext w:val="0"/>
        <w:tabs>
          <w:tab w:val="left" w:pos="567"/>
        </w:tabs>
        <w:ind w:left="567" w:right="123" w:hanging="567"/>
      </w:pPr>
      <w:r w:rsidRPr="00026EC1">
        <w:t>a)</w:t>
      </w:r>
      <w:r w:rsidRPr="00026EC1">
        <w:tab/>
        <w:t>la charge d’enseignement annuelle d’une enseignante ou d’un enseignant est répartie sur deux (2) sessions, la session d’automne et la session d’hiver. Cependant, lorsque les objectifs pédagogiques d’un cours ou d’un programme l’exigent, le Collège peut déplacer une (1) de ces deux (2) sessions.</w:t>
      </w:r>
    </w:p>
    <w:p w14:paraId="5ED55F34" w14:textId="77777777" w:rsidR="00EA4B6A" w:rsidRPr="00026EC1" w:rsidRDefault="00EA4B6A" w:rsidP="00A64613">
      <w:pPr>
        <w:keepNext w:val="0"/>
        <w:ind w:right="123"/>
      </w:pPr>
    </w:p>
    <w:p w14:paraId="3AB23C09" w14:textId="77777777" w:rsidR="00EA4B6A" w:rsidRPr="00026EC1" w:rsidRDefault="00EA4B6A" w:rsidP="00A64613">
      <w:pPr>
        <w:pStyle w:val="Texte1cm00000"/>
        <w:keepNext w:val="0"/>
        <w:ind w:right="123"/>
      </w:pPr>
      <w:r w:rsidRPr="00026EC1">
        <w:t>À moins d’entente contraire entre le Collège et le Syndicat, la charge d’enseignement annuelle d’une enseignante ou d’un enseignant est répartie sur deux (2) sessions consécutives;</w:t>
      </w:r>
    </w:p>
    <w:p w14:paraId="62B5FF8E" w14:textId="77777777" w:rsidR="00EA4B6A" w:rsidRPr="00026EC1" w:rsidRDefault="00EA4B6A" w:rsidP="00A64613">
      <w:pPr>
        <w:keepNext w:val="0"/>
        <w:ind w:right="123"/>
      </w:pPr>
    </w:p>
    <w:p w14:paraId="7B19E611" w14:textId="2BD1E5C6" w:rsidR="00EA4B6A" w:rsidRPr="00026EC1" w:rsidRDefault="00EA4B6A" w:rsidP="00A64613">
      <w:pPr>
        <w:keepNext w:val="0"/>
        <w:tabs>
          <w:tab w:val="left" w:pos="567"/>
        </w:tabs>
        <w:ind w:left="567" w:right="123" w:hanging="567"/>
      </w:pPr>
      <w:r w:rsidRPr="00026EC1">
        <w:t>b)</w:t>
      </w:r>
      <w:r w:rsidRPr="00026EC1">
        <w:tab/>
        <w:t>la charge d’enseignement annuelle d’une enseignante ou d’un enseignant peut, quand l’enseignement l’exige, être répartie inégalement entre la session d’automne et la session d’hiver, mais cette répartition inégale ne peut avoir pour effet, à moins d’entente contraire entre le Collège et le Syndicat, de faire assumer à une enseignante ou un enseignant à temps complet plus de cinquante</w:t>
      </w:r>
      <w:r w:rsidR="00984A6F">
        <w:noBreakHyphen/>
      </w:r>
      <w:r w:rsidRPr="00026EC1">
        <w:t>cinq (55) unités au cours d’une même session;</w:t>
      </w:r>
    </w:p>
    <w:p w14:paraId="2B9C0134" w14:textId="77777777" w:rsidR="00EA4B6A" w:rsidRPr="00026EC1" w:rsidRDefault="00EA4B6A" w:rsidP="00A64613">
      <w:pPr>
        <w:keepNext w:val="0"/>
        <w:ind w:right="123"/>
      </w:pPr>
    </w:p>
    <w:p w14:paraId="1AE6F871" w14:textId="7F305827" w:rsidR="00EA4B6A" w:rsidRPr="00026EC1" w:rsidRDefault="00EA4B6A" w:rsidP="00A64613">
      <w:pPr>
        <w:keepNext w:val="0"/>
        <w:tabs>
          <w:tab w:val="left" w:pos="567"/>
        </w:tabs>
        <w:ind w:left="567" w:right="123" w:hanging="567"/>
      </w:pPr>
      <w:r w:rsidRPr="00026EC1">
        <w:t>c)</w:t>
      </w:r>
      <w:r w:rsidRPr="00026EC1">
        <w:tab/>
        <w:t>la charge d’enseignement annuelle d’une enseignante ou d’un enseignant est établie conformément à l’Annexe I</w:t>
      </w:r>
      <w:r w:rsidR="00984A6F">
        <w:noBreakHyphen/>
      </w:r>
      <w:r w:rsidRPr="00026EC1">
        <w:t>1.</w:t>
      </w:r>
    </w:p>
    <w:p w14:paraId="29D5C4A5" w14:textId="77777777" w:rsidR="00EA4B6A" w:rsidRPr="00026EC1" w:rsidRDefault="00EA4B6A" w:rsidP="00A64613">
      <w:pPr>
        <w:keepNext w:val="0"/>
        <w:ind w:right="123"/>
      </w:pPr>
    </w:p>
    <w:p w14:paraId="08E5AD42" w14:textId="0BDA8E7C" w:rsidR="00EA4B6A" w:rsidRPr="00026EC1" w:rsidRDefault="00EA4B6A" w:rsidP="00A64613">
      <w:pPr>
        <w:pStyle w:val="Texte1cm00000"/>
        <w:keepNext w:val="0"/>
        <w:ind w:right="123"/>
      </w:pPr>
      <w:r w:rsidRPr="00026EC1">
        <w:t>Le Collège ne peut exiger d’une enseignante ou d’un enseignant sans son accord, pour la session d’hiver, une charge d’enseignement qui aurait pour effet de lui faire assumer une charge d’enseignement annuelle supérieure à quatre</w:t>
      </w:r>
      <w:r w:rsidR="00984A6F">
        <w:noBreakHyphen/>
      </w:r>
      <w:r w:rsidRPr="00026EC1">
        <w:t>vingt</w:t>
      </w:r>
      <w:r w:rsidR="00984A6F">
        <w:noBreakHyphen/>
      </w:r>
      <w:r w:rsidRPr="00026EC1">
        <w:t>cinq</w:t>
      </w:r>
      <w:r w:rsidR="003C7114">
        <w:t> </w:t>
      </w:r>
      <w:r w:rsidRPr="00026EC1">
        <w:t>(85)</w:t>
      </w:r>
      <w:r w:rsidR="00982374" w:rsidRPr="00026EC1">
        <w:t xml:space="preserve"> </w:t>
      </w:r>
      <w:r w:rsidRPr="00026EC1">
        <w:t>unités;</w:t>
      </w:r>
    </w:p>
    <w:p w14:paraId="6E34831B" w14:textId="77777777" w:rsidR="00EA4B6A" w:rsidRPr="00026EC1" w:rsidRDefault="00EA4B6A" w:rsidP="00A64613">
      <w:pPr>
        <w:keepNext w:val="0"/>
        <w:ind w:right="123"/>
      </w:pPr>
    </w:p>
    <w:p w14:paraId="6F96A39C" w14:textId="6E907BE8" w:rsidR="00EA4B6A" w:rsidRPr="00026EC1" w:rsidRDefault="00EA4B6A" w:rsidP="00A64613">
      <w:pPr>
        <w:keepNext w:val="0"/>
        <w:tabs>
          <w:tab w:val="left" w:pos="567"/>
        </w:tabs>
        <w:ind w:left="567" w:right="123" w:hanging="567"/>
      </w:pPr>
      <w:r w:rsidRPr="00026EC1">
        <w:t>d)</w:t>
      </w:r>
      <w:r w:rsidRPr="00026EC1">
        <w:tab/>
        <w:t>lorsque la charge annuelle d’une enseignante ou d’un enseignant est supérieure à quatre</w:t>
      </w:r>
      <w:r w:rsidR="00984A6F">
        <w:noBreakHyphen/>
      </w:r>
      <w:r w:rsidRPr="00026EC1">
        <w:t>vingt</w:t>
      </w:r>
      <w:r w:rsidR="00984A6F">
        <w:noBreakHyphen/>
      </w:r>
      <w:r w:rsidRPr="00026EC1">
        <w:t>cinq</w:t>
      </w:r>
      <w:r w:rsidR="002B6720">
        <w:t> </w:t>
      </w:r>
      <w:r w:rsidRPr="00026EC1">
        <w:t>(85) unités, cette enseignante ou cet enseignant est rémunéré pour la partie excédentaire de sa charge (charge additionnelle) conformément à la clause 6</w:t>
      </w:r>
      <w:r w:rsidR="00984A6F">
        <w:noBreakHyphen/>
      </w:r>
      <w:r w:rsidRPr="00026EC1">
        <w:t>1.03</w:t>
      </w:r>
      <w:r w:rsidR="00B1651B" w:rsidRPr="00026EC1">
        <w:t>.</w:t>
      </w:r>
    </w:p>
    <w:p w14:paraId="010F7ACE" w14:textId="77777777" w:rsidR="00EA4B6A" w:rsidRPr="00026EC1" w:rsidRDefault="00EA4B6A" w:rsidP="00A64613">
      <w:pPr>
        <w:keepNext w:val="0"/>
        <w:ind w:right="123"/>
      </w:pPr>
    </w:p>
    <w:p w14:paraId="49E6F04D" w14:textId="741812C0" w:rsidR="00EA4B6A" w:rsidRPr="00026EC1" w:rsidRDefault="00EA4B6A" w:rsidP="00A64613">
      <w:pPr>
        <w:pStyle w:val="Texte1cm00000"/>
        <w:keepNext w:val="0"/>
        <w:ind w:right="123"/>
      </w:pPr>
      <w:r w:rsidRPr="00026EC1">
        <w:t>Le nombre de périodes de cours rémunérées à titre de charge additionnelle est déterminé à l’aide de la relation suivante</w:t>
      </w:r>
      <w:r w:rsidR="00D8581B">
        <w:t> :</w:t>
      </w:r>
    </w:p>
    <w:p w14:paraId="3B9D8E0B" w14:textId="77777777" w:rsidR="00EA4B6A" w:rsidRPr="00026EC1" w:rsidRDefault="00EA4B6A" w:rsidP="00A64613">
      <w:pPr>
        <w:keepNext w:val="0"/>
      </w:pPr>
    </w:p>
    <w:tbl>
      <w:tblPr>
        <w:tblW w:w="8810" w:type="dxa"/>
        <w:tblInd w:w="616" w:type="dxa"/>
        <w:tblCellMar>
          <w:left w:w="70" w:type="dxa"/>
          <w:right w:w="70" w:type="dxa"/>
        </w:tblCellMar>
        <w:tblLook w:val="0000" w:firstRow="0" w:lastRow="0" w:firstColumn="0" w:lastColumn="0" w:noHBand="0" w:noVBand="0"/>
      </w:tblPr>
      <w:tblGrid>
        <w:gridCol w:w="5574"/>
        <w:gridCol w:w="1440"/>
        <w:gridCol w:w="900"/>
        <w:gridCol w:w="360"/>
        <w:gridCol w:w="536"/>
      </w:tblGrid>
      <w:tr w:rsidR="00EA4B6A" w:rsidRPr="00026EC1" w14:paraId="513FA859" w14:textId="77777777" w:rsidTr="009D30A1">
        <w:trPr>
          <w:trHeight w:val="468"/>
        </w:trPr>
        <w:tc>
          <w:tcPr>
            <w:tcW w:w="5574" w:type="dxa"/>
          </w:tcPr>
          <w:p w14:paraId="265F19A9" w14:textId="77777777" w:rsidR="00EA4B6A" w:rsidRPr="00026EC1" w:rsidRDefault="00EA4B6A" w:rsidP="00A64613">
            <w:pPr>
              <w:keepNext w:val="0"/>
            </w:pPr>
            <w:r w:rsidRPr="00026EC1">
              <w:t>nombre de périodes de cours rémunérées</w:t>
            </w:r>
          </w:p>
        </w:tc>
        <w:tc>
          <w:tcPr>
            <w:tcW w:w="1440" w:type="dxa"/>
          </w:tcPr>
          <w:p w14:paraId="29681DD2" w14:textId="77777777" w:rsidR="00EA4B6A" w:rsidRPr="00026EC1" w:rsidRDefault="00EA4B6A" w:rsidP="00A64613">
            <w:pPr>
              <w:keepNext w:val="0"/>
            </w:pPr>
            <w:r w:rsidRPr="00026EC1">
              <w:t>=</w:t>
            </w:r>
          </w:p>
        </w:tc>
        <w:tc>
          <w:tcPr>
            <w:tcW w:w="900" w:type="dxa"/>
            <w:tcBorders>
              <w:bottom w:val="single" w:sz="4" w:space="0" w:color="auto"/>
            </w:tcBorders>
          </w:tcPr>
          <w:p w14:paraId="1A4CC853" w14:textId="77777777" w:rsidR="00EA4B6A" w:rsidRPr="00026EC1" w:rsidRDefault="00EA4B6A" w:rsidP="00A64613">
            <w:pPr>
              <w:pStyle w:val="Header"/>
              <w:keepNext w:val="0"/>
              <w:spacing w:after="0"/>
            </w:pPr>
            <w:r w:rsidRPr="00026EC1">
              <w:t>CA</w:t>
            </w:r>
          </w:p>
        </w:tc>
        <w:tc>
          <w:tcPr>
            <w:tcW w:w="360" w:type="dxa"/>
          </w:tcPr>
          <w:p w14:paraId="0EADD320" w14:textId="77777777" w:rsidR="00EA4B6A" w:rsidRPr="00026EC1" w:rsidRDefault="00EA4B6A" w:rsidP="00A64613">
            <w:pPr>
              <w:keepNext w:val="0"/>
            </w:pPr>
            <w:r w:rsidRPr="00026EC1">
              <w:t>x</w:t>
            </w:r>
          </w:p>
        </w:tc>
        <w:tc>
          <w:tcPr>
            <w:tcW w:w="536" w:type="dxa"/>
          </w:tcPr>
          <w:p w14:paraId="3D89243A" w14:textId="77777777" w:rsidR="00EA4B6A" w:rsidRPr="00026EC1" w:rsidRDefault="00EA4B6A" w:rsidP="00A64613">
            <w:pPr>
              <w:keepNext w:val="0"/>
            </w:pPr>
            <w:r w:rsidRPr="00026EC1">
              <w:t>15</w:t>
            </w:r>
          </w:p>
        </w:tc>
      </w:tr>
      <w:tr w:rsidR="00EA4B6A" w:rsidRPr="00026EC1" w14:paraId="77F74464" w14:textId="77777777" w:rsidTr="009D30A1">
        <w:tc>
          <w:tcPr>
            <w:tcW w:w="5574" w:type="dxa"/>
          </w:tcPr>
          <w:p w14:paraId="122A5206" w14:textId="77777777" w:rsidR="00EA4B6A" w:rsidRPr="00026EC1" w:rsidRDefault="00EA4B6A" w:rsidP="00A64613">
            <w:pPr>
              <w:keepNext w:val="0"/>
            </w:pPr>
            <w:r w:rsidRPr="00026EC1">
              <w:t>à titre de charge additionnelle</w:t>
            </w:r>
          </w:p>
        </w:tc>
        <w:tc>
          <w:tcPr>
            <w:tcW w:w="1440" w:type="dxa"/>
          </w:tcPr>
          <w:p w14:paraId="7C997509" w14:textId="77777777" w:rsidR="00EA4B6A" w:rsidRPr="00026EC1" w:rsidRDefault="00EA4B6A" w:rsidP="00A64613">
            <w:pPr>
              <w:keepNext w:val="0"/>
            </w:pPr>
          </w:p>
        </w:tc>
        <w:tc>
          <w:tcPr>
            <w:tcW w:w="900" w:type="dxa"/>
            <w:tcBorders>
              <w:top w:val="single" w:sz="4" w:space="0" w:color="auto"/>
            </w:tcBorders>
          </w:tcPr>
          <w:p w14:paraId="262BD7B4" w14:textId="77777777" w:rsidR="00EA4B6A" w:rsidRPr="00026EC1" w:rsidRDefault="00EA4B6A" w:rsidP="00A64613">
            <w:pPr>
              <w:keepNext w:val="0"/>
              <w:jc w:val="center"/>
            </w:pPr>
            <w:r w:rsidRPr="00026EC1">
              <w:t>3</w:t>
            </w:r>
          </w:p>
        </w:tc>
        <w:tc>
          <w:tcPr>
            <w:tcW w:w="360" w:type="dxa"/>
          </w:tcPr>
          <w:p w14:paraId="7AFECA8F" w14:textId="77777777" w:rsidR="00EA4B6A" w:rsidRPr="00026EC1" w:rsidRDefault="00EA4B6A" w:rsidP="00A64613">
            <w:pPr>
              <w:keepNext w:val="0"/>
            </w:pPr>
          </w:p>
        </w:tc>
        <w:tc>
          <w:tcPr>
            <w:tcW w:w="536" w:type="dxa"/>
          </w:tcPr>
          <w:p w14:paraId="1BADDCAB" w14:textId="77777777" w:rsidR="00EA4B6A" w:rsidRPr="00026EC1" w:rsidRDefault="00EA4B6A" w:rsidP="00A64613">
            <w:pPr>
              <w:keepNext w:val="0"/>
            </w:pPr>
          </w:p>
        </w:tc>
      </w:tr>
    </w:tbl>
    <w:p w14:paraId="640799FA" w14:textId="77777777" w:rsidR="00EA4B6A" w:rsidRPr="00026EC1" w:rsidRDefault="00EA4B6A" w:rsidP="00A64613">
      <w:pPr>
        <w:keepNext w:val="0"/>
      </w:pPr>
    </w:p>
    <w:p w14:paraId="12AAEA28" w14:textId="77777777" w:rsidR="00EA4B6A" w:rsidRPr="00026EC1" w:rsidRDefault="00EA4B6A" w:rsidP="00A64613">
      <w:pPr>
        <w:keepNext w:val="0"/>
        <w:ind w:firstLine="540"/>
      </w:pPr>
      <w:r w:rsidRPr="00026EC1">
        <w:t>où</w:t>
      </w:r>
    </w:p>
    <w:p w14:paraId="41E5CE4F" w14:textId="77777777" w:rsidR="00EA4B6A" w:rsidRPr="00026EC1" w:rsidRDefault="00EA4B6A" w:rsidP="00A64613">
      <w:pPr>
        <w:keepNext w:val="0"/>
      </w:pPr>
    </w:p>
    <w:tbl>
      <w:tblPr>
        <w:tblW w:w="8810" w:type="dxa"/>
        <w:tblInd w:w="616" w:type="dxa"/>
        <w:tblCellMar>
          <w:left w:w="70" w:type="dxa"/>
          <w:right w:w="70" w:type="dxa"/>
        </w:tblCellMar>
        <w:tblLook w:val="0000" w:firstRow="0" w:lastRow="0" w:firstColumn="0" w:lastColumn="0" w:noHBand="0" w:noVBand="0"/>
      </w:tblPr>
      <w:tblGrid>
        <w:gridCol w:w="3774"/>
        <w:gridCol w:w="5036"/>
      </w:tblGrid>
      <w:tr w:rsidR="00EA4B6A" w:rsidRPr="00026EC1" w14:paraId="20105CDA" w14:textId="77777777" w:rsidTr="009D30A1">
        <w:trPr>
          <w:cantSplit/>
        </w:trPr>
        <w:tc>
          <w:tcPr>
            <w:tcW w:w="3774" w:type="dxa"/>
          </w:tcPr>
          <w:p w14:paraId="28287502" w14:textId="067E78CF" w:rsidR="00EA4B6A" w:rsidRPr="00026EC1" w:rsidRDefault="00EA4B6A" w:rsidP="00A64613">
            <w:pPr>
              <w:keepNext w:val="0"/>
            </w:pPr>
            <w:r w:rsidRPr="00026EC1">
              <w:t>charge additionnelle</w:t>
            </w:r>
            <w:r w:rsidR="00D8581B">
              <w:t> :</w:t>
            </w:r>
          </w:p>
        </w:tc>
        <w:tc>
          <w:tcPr>
            <w:tcW w:w="5036" w:type="dxa"/>
          </w:tcPr>
          <w:p w14:paraId="331D8C11" w14:textId="62CF543A" w:rsidR="00EA4B6A" w:rsidRPr="00026EC1" w:rsidRDefault="00EA4B6A" w:rsidP="00A64613">
            <w:pPr>
              <w:keepNext w:val="0"/>
            </w:pPr>
            <w:r w:rsidRPr="00026EC1">
              <w:t>CA = CI</w:t>
            </w:r>
            <w:r w:rsidRPr="00026EC1">
              <w:rPr>
                <w:vertAlign w:val="subscript"/>
              </w:rPr>
              <w:t xml:space="preserve">t </w:t>
            </w:r>
            <w:r w:rsidR="00984A6F">
              <w:noBreakHyphen/>
            </w:r>
            <w:r w:rsidRPr="00026EC1">
              <w:t xml:space="preserve"> 85</w:t>
            </w:r>
          </w:p>
          <w:p w14:paraId="0F9346D0" w14:textId="77777777" w:rsidR="00EA4B6A" w:rsidRPr="00026EC1" w:rsidRDefault="00EA4B6A" w:rsidP="00A64613">
            <w:pPr>
              <w:keepNext w:val="0"/>
            </w:pPr>
          </w:p>
        </w:tc>
      </w:tr>
      <w:tr w:rsidR="00EA4B6A" w:rsidRPr="00026EC1" w14:paraId="61D2A794" w14:textId="77777777" w:rsidTr="009D30A1">
        <w:trPr>
          <w:cantSplit/>
        </w:trPr>
        <w:tc>
          <w:tcPr>
            <w:tcW w:w="3774" w:type="dxa"/>
          </w:tcPr>
          <w:p w14:paraId="2EC6CF05" w14:textId="7698F5E3" w:rsidR="00EA4B6A" w:rsidRPr="00026EC1" w:rsidRDefault="00EA4B6A" w:rsidP="00A64613">
            <w:pPr>
              <w:keepNext w:val="0"/>
            </w:pPr>
            <w:r w:rsidRPr="00026EC1">
              <w:t>charge individuelle totale</w:t>
            </w:r>
            <w:r w:rsidR="00D8581B">
              <w:t> :</w:t>
            </w:r>
          </w:p>
        </w:tc>
        <w:tc>
          <w:tcPr>
            <w:tcW w:w="5036" w:type="dxa"/>
          </w:tcPr>
          <w:p w14:paraId="1C00B2A8" w14:textId="6D1471A9" w:rsidR="00EA4B6A" w:rsidRPr="00026EC1" w:rsidRDefault="00EA4B6A" w:rsidP="00A64613">
            <w:pPr>
              <w:keepNext w:val="0"/>
            </w:pPr>
            <w:r w:rsidRPr="00026EC1">
              <w:t>CI</w:t>
            </w:r>
            <w:r w:rsidRPr="00026EC1">
              <w:rPr>
                <w:vertAlign w:val="subscript"/>
              </w:rPr>
              <w:t>t</w:t>
            </w:r>
            <w:r w:rsidRPr="00026EC1">
              <w:t xml:space="preserve"> </w:t>
            </w:r>
            <w:r w:rsidR="00747F51">
              <w:t xml:space="preserve"> </w:t>
            </w:r>
            <w:r w:rsidRPr="00026EC1">
              <w:t xml:space="preserve">= </w:t>
            </w:r>
            <w:r w:rsidR="00747F51">
              <w:t xml:space="preserve"> </w:t>
            </w:r>
            <w:r w:rsidRPr="00026EC1">
              <w:t>CI</w:t>
            </w:r>
            <w:r w:rsidRPr="00026EC1">
              <w:rPr>
                <w:vertAlign w:val="subscript"/>
              </w:rPr>
              <w:t>a</w:t>
            </w:r>
            <w:r w:rsidR="00747F51">
              <w:t xml:space="preserve"> </w:t>
            </w:r>
            <w:r w:rsidRPr="00026EC1">
              <w:t xml:space="preserve"> +</w:t>
            </w:r>
            <w:r w:rsidR="00747F51">
              <w:t xml:space="preserve"> </w:t>
            </w:r>
            <w:r w:rsidRPr="00026EC1">
              <w:t xml:space="preserve"> CI</w:t>
            </w:r>
            <w:r w:rsidRPr="00026EC1">
              <w:rPr>
                <w:vertAlign w:val="subscript"/>
              </w:rPr>
              <w:t>h</w:t>
            </w:r>
          </w:p>
        </w:tc>
      </w:tr>
    </w:tbl>
    <w:p w14:paraId="059DE78D" w14:textId="77777777" w:rsidR="00DB1BD9" w:rsidRDefault="00DB1BD9" w:rsidP="00A64613">
      <w:pPr>
        <w:keepNext w:val="0"/>
        <w:ind w:right="123"/>
      </w:pPr>
    </w:p>
    <w:p w14:paraId="6973BCB8" w14:textId="43B804D3" w:rsidR="00EA4B6A" w:rsidRPr="00026EC1" w:rsidRDefault="00EA4B6A" w:rsidP="00A64613">
      <w:pPr>
        <w:keepNext w:val="0"/>
        <w:ind w:right="123"/>
      </w:pPr>
      <w:r w:rsidRPr="00026EC1">
        <w:t>Le calcul de l’équivalent temps complet de la charge additionnelle d’une enseignante ou d’un enseignant est fait à l’aide de la relation suivante</w:t>
      </w:r>
      <w:r w:rsidR="00D8581B">
        <w:t> :</w:t>
      </w:r>
    </w:p>
    <w:p w14:paraId="181BC486" w14:textId="77777777" w:rsidR="00EA4B6A" w:rsidRPr="00026EC1" w:rsidRDefault="00EA4B6A" w:rsidP="00A64613">
      <w:pPr>
        <w:keepNext w:val="0"/>
      </w:pPr>
    </w:p>
    <w:tbl>
      <w:tblPr>
        <w:tblW w:w="0" w:type="auto"/>
        <w:tblInd w:w="2590" w:type="dxa"/>
        <w:tblCellMar>
          <w:left w:w="70" w:type="dxa"/>
          <w:right w:w="70" w:type="dxa"/>
        </w:tblCellMar>
        <w:tblLook w:val="0000" w:firstRow="0" w:lastRow="0" w:firstColumn="0" w:lastColumn="0" w:noHBand="0" w:noVBand="0"/>
      </w:tblPr>
      <w:tblGrid>
        <w:gridCol w:w="4680"/>
      </w:tblGrid>
      <w:tr w:rsidR="00EA4B6A" w:rsidRPr="00026EC1" w14:paraId="7FF81BFF" w14:textId="77777777" w:rsidTr="00BA79F8">
        <w:tc>
          <w:tcPr>
            <w:tcW w:w="4680" w:type="dxa"/>
          </w:tcPr>
          <w:p w14:paraId="7C4F0ECF" w14:textId="77777777" w:rsidR="00EA4B6A" w:rsidRPr="00026EC1" w:rsidRDefault="00EA4B6A" w:rsidP="00A64613">
            <w:pPr>
              <w:pStyle w:val="Header"/>
              <w:keepNext w:val="0"/>
              <w:spacing w:after="0"/>
            </w:pPr>
            <w:r w:rsidRPr="00026EC1">
              <w:t xml:space="preserve">nombre de périodes de cours rémunérées </w:t>
            </w:r>
            <w:r w:rsidRPr="00026EC1">
              <w:rPr>
                <w:u w:val="single"/>
              </w:rPr>
              <w:t>à titre de charge additionnelle</w:t>
            </w:r>
          </w:p>
        </w:tc>
      </w:tr>
      <w:tr w:rsidR="00EA4B6A" w:rsidRPr="00026EC1" w14:paraId="62EC4AD0" w14:textId="77777777" w:rsidTr="009D30A1">
        <w:trPr>
          <w:trHeight w:val="380"/>
        </w:trPr>
        <w:tc>
          <w:tcPr>
            <w:tcW w:w="4680" w:type="dxa"/>
          </w:tcPr>
          <w:p w14:paraId="6C570F21" w14:textId="77777777" w:rsidR="00EA4B6A" w:rsidRPr="00026EC1" w:rsidRDefault="00EA4B6A" w:rsidP="00A64613">
            <w:pPr>
              <w:pStyle w:val="Header"/>
              <w:keepNext w:val="0"/>
            </w:pPr>
            <w:r w:rsidRPr="00026EC1">
              <w:t>525</w:t>
            </w:r>
          </w:p>
        </w:tc>
      </w:tr>
    </w:tbl>
    <w:p w14:paraId="1DFF0813" w14:textId="35BC9159" w:rsidR="00404F34" w:rsidRPr="00026EC1" w:rsidRDefault="00404F34" w:rsidP="00A64613">
      <w:pPr>
        <w:pStyle w:val="NUMRODECLAUSE"/>
        <w:keepNext w:val="0"/>
      </w:pPr>
      <w:r w:rsidRPr="00026EC1">
        <w:t>8</w:t>
      </w:r>
      <w:r w:rsidR="00984A6F">
        <w:noBreakHyphen/>
      </w:r>
      <w:r w:rsidRPr="00026EC1">
        <w:t>6.02</w:t>
      </w:r>
    </w:p>
    <w:p w14:paraId="5BE573B4" w14:textId="6A427BA6" w:rsidR="00404F34" w:rsidRPr="00026EC1" w:rsidRDefault="00404F34" w:rsidP="00A64613">
      <w:pPr>
        <w:keepNext w:val="0"/>
      </w:pPr>
      <w:r w:rsidRPr="00026EC1">
        <w:t>La charge résultant de l</w:t>
      </w:r>
      <w:r w:rsidR="004A41E4" w:rsidRPr="00026EC1">
        <w:t>’</w:t>
      </w:r>
      <w:r w:rsidRPr="00026EC1">
        <w:t>affectation d</w:t>
      </w:r>
      <w:r w:rsidR="004A41E4" w:rsidRPr="00026EC1">
        <w:t>’</w:t>
      </w:r>
      <w:r w:rsidRPr="00026EC1">
        <w:t>une enseignante ou d</w:t>
      </w:r>
      <w:r w:rsidR="004A41E4" w:rsidRPr="00026EC1">
        <w:t>’</w:t>
      </w:r>
      <w:r w:rsidRPr="00026EC1">
        <w:t>un enseignant mis en disponibilité et non replacé est calculée selon l</w:t>
      </w:r>
      <w:r w:rsidR="004A41E4" w:rsidRPr="00026EC1">
        <w:t>’</w:t>
      </w:r>
      <w:r w:rsidR="00A618EA" w:rsidRPr="00026EC1">
        <w:t>A</w:t>
      </w:r>
      <w:r w:rsidRPr="00026EC1">
        <w:t>nnexe I</w:t>
      </w:r>
      <w:r w:rsidR="00984A6F">
        <w:noBreakHyphen/>
      </w:r>
      <w:r w:rsidRPr="00026EC1">
        <w:t>1.</w:t>
      </w:r>
    </w:p>
    <w:p w14:paraId="0C94A014" w14:textId="77777777" w:rsidR="00656A1E" w:rsidRPr="00026EC1" w:rsidRDefault="00656A1E" w:rsidP="00A64613">
      <w:pPr>
        <w:pStyle w:val="Article59delaloi37"/>
        <w:keepNext w:val="0"/>
      </w:pPr>
      <w:r w:rsidRPr="00026EC1">
        <w:t>Les dispositions suivantes sont l</w:t>
      </w:r>
      <w:r w:rsidR="004A41E4" w:rsidRPr="00026EC1">
        <w:t>’</w:t>
      </w:r>
      <w:r w:rsidRPr="00026EC1">
        <w:t>objet d</w:t>
      </w:r>
      <w:r w:rsidR="004A41E4" w:rsidRPr="00026EC1">
        <w:t>’</w:t>
      </w:r>
      <w:r w:rsidRPr="00026EC1">
        <w:t>une recommandation des parties nationales et sont soumises à l</w:t>
      </w:r>
      <w:r w:rsidR="004A41E4" w:rsidRPr="00026EC1">
        <w:t>’</w:t>
      </w:r>
      <w:r w:rsidRPr="00026EC1">
        <w:t>application de l</w:t>
      </w:r>
      <w:r w:rsidR="004A41E4" w:rsidRPr="00026EC1">
        <w:t>’</w:t>
      </w:r>
      <w:r w:rsidRPr="00026EC1">
        <w:t>article 59 de la Loi sur le régime de négociation des conventions collectives dans les secteurs public et parapublic, si elles sont agréées et signées par les parties locales.</w:t>
      </w:r>
    </w:p>
    <w:p w14:paraId="3CCDD105" w14:textId="77777777" w:rsidR="00404F34" w:rsidRPr="00026EC1" w:rsidRDefault="00404F34" w:rsidP="00A64613">
      <w:pPr>
        <w:keepNext w:val="0"/>
      </w:pPr>
    </w:p>
    <w:p w14:paraId="3ED877AC" w14:textId="5F609D2E" w:rsidR="00404F34" w:rsidRPr="00026EC1" w:rsidRDefault="00404F34" w:rsidP="00A64613">
      <w:pPr>
        <w:pStyle w:val="NUMRODECLAUSE"/>
        <w:keepNext w:val="0"/>
      </w:pPr>
      <w:r w:rsidRPr="00026EC1">
        <w:t>8</w:t>
      </w:r>
      <w:r w:rsidR="00984A6F">
        <w:noBreakHyphen/>
      </w:r>
      <w:r w:rsidRPr="00026EC1">
        <w:t>6.03</w:t>
      </w:r>
    </w:p>
    <w:p w14:paraId="1173C692" w14:textId="46DF1607" w:rsidR="00404F34" w:rsidRPr="00026EC1" w:rsidRDefault="00404F34" w:rsidP="00A64613">
      <w:pPr>
        <w:keepNext w:val="0"/>
      </w:pPr>
      <w:r w:rsidRPr="00026EC1">
        <w:t>Une fois déterminé</w:t>
      </w:r>
      <w:r w:rsidR="00A02F0D" w:rsidRPr="00316277">
        <w:t>s</w:t>
      </w:r>
      <w:r w:rsidRPr="00026EC1">
        <w:t xml:space="preserve"> le nombre d</w:t>
      </w:r>
      <w:r w:rsidR="004A41E4" w:rsidRPr="00026EC1">
        <w:t>’</w:t>
      </w:r>
      <w:r w:rsidRPr="00026EC1">
        <w:t>enseignantes et d</w:t>
      </w:r>
      <w:r w:rsidR="004A41E4" w:rsidRPr="00026EC1">
        <w:t>’</w:t>
      </w:r>
      <w:r w:rsidRPr="00026EC1">
        <w:t>enseignants alloué à un département</w:t>
      </w:r>
      <w:r w:rsidR="001B2AD8">
        <w:t xml:space="preserve"> </w:t>
      </w:r>
      <w:r w:rsidR="00AE4A7A" w:rsidRPr="00316277">
        <w:t xml:space="preserve">et le </w:t>
      </w:r>
      <w:r w:rsidR="001B2AD8" w:rsidRPr="00316277">
        <w:t>mode d’enseignement</w:t>
      </w:r>
      <w:r w:rsidR="002E30A2" w:rsidRPr="00316277">
        <w:t xml:space="preserve"> de chaque cours</w:t>
      </w:r>
      <w:r w:rsidRPr="00026EC1">
        <w:t>, la charge d</w:t>
      </w:r>
      <w:r w:rsidR="004A41E4" w:rsidRPr="00026EC1">
        <w:t>’</w:t>
      </w:r>
      <w:r w:rsidRPr="00026EC1">
        <w:t>enseignement est répartie équitablement entre les enseignantes et enseignants de ce département.</w:t>
      </w:r>
    </w:p>
    <w:p w14:paraId="219594A6" w14:textId="1B7EF509" w:rsidR="00404F34" w:rsidRDefault="00404F34" w:rsidP="00A64613">
      <w:pPr>
        <w:keepNext w:val="0"/>
      </w:pPr>
    </w:p>
    <w:p w14:paraId="22811FB7" w14:textId="3514A956" w:rsidR="00AE4A7A" w:rsidRDefault="00AE4A7A" w:rsidP="00AE4A7A">
      <w:pPr>
        <w:keepNext w:val="0"/>
      </w:pPr>
      <w:r w:rsidRPr="00316277">
        <w:t xml:space="preserve">Le mode d’enseignement déterminé </w:t>
      </w:r>
      <w:r w:rsidR="002E30A2" w:rsidRPr="00316277">
        <w:t>a</w:t>
      </w:r>
      <w:r w:rsidRPr="00316277">
        <w:t>ux fins de la répartition ne peut changer en cours de session.</w:t>
      </w:r>
    </w:p>
    <w:p w14:paraId="708B13BD" w14:textId="77777777" w:rsidR="00AE4A7A" w:rsidRPr="00026EC1" w:rsidRDefault="00AE4A7A" w:rsidP="00A64613">
      <w:pPr>
        <w:keepNext w:val="0"/>
      </w:pPr>
    </w:p>
    <w:p w14:paraId="02747455" w14:textId="77777777" w:rsidR="00404F34" w:rsidRPr="00026EC1" w:rsidRDefault="00404F34" w:rsidP="00A64613">
      <w:pPr>
        <w:keepNext w:val="0"/>
      </w:pPr>
      <w:r w:rsidRPr="00026EC1">
        <w:t>Cette répartition est faite par le département et soumise au Collège pour approbation. Elle tient compte, s</w:t>
      </w:r>
      <w:r w:rsidR="004A41E4" w:rsidRPr="00026EC1">
        <w:t>’</w:t>
      </w:r>
      <w:r w:rsidRPr="00026EC1">
        <w:t>il y a lieu, des dégrèvements de charge d</w:t>
      </w:r>
      <w:r w:rsidR="004A41E4" w:rsidRPr="00026EC1">
        <w:t>’</w:t>
      </w:r>
      <w:r w:rsidRPr="00026EC1">
        <w:t>enseignement.</w:t>
      </w:r>
    </w:p>
    <w:p w14:paraId="489F940E" w14:textId="77777777" w:rsidR="00404F34" w:rsidRPr="00026EC1" w:rsidRDefault="00404F34" w:rsidP="00A64613">
      <w:pPr>
        <w:keepNext w:val="0"/>
      </w:pPr>
    </w:p>
    <w:p w14:paraId="2CFFB940" w14:textId="3D7C2D66" w:rsidR="00404F34" w:rsidRPr="00026EC1" w:rsidRDefault="00404F34" w:rsidP="00A64613">
      <w:pPr>
        <w:pStyle w:val="NUMRODECLAUSE"/>
        <w:keepNext w:val="0"/>
      </w:pPr>
      <w:r w:rsidRPr="00026EC1">
        <w:t>8</w:t>
      </w:r>
      <w:r w:rsidR="00984A6F">
        <w:noBreakHyphen/>
      </w:r>
      <w:r w:rsidRPr="00026EC1">
        <w:t>6.04</w:t>
      </w:r>
    </w:p>
    <w:p w14:paraId="6972A6C3" w14:textId="2679C565" w:rsidR="00404F34" w:rsidRPr="00026EC1" w:rsidRDefault="00404F34" w:rsidP="00A64613">
      <w:pPr>
        <w:keepNext w:val="0"/>
      </w:pPr>
      <w:r w:rsidRPr="00026EC1">
        <w:t>Au moins quarante</w:t>
      </w:r>
      <w:r w:rsidR="00984A6F">
        <w:noBreakHyphen/>
      </w:r>
      <w:r w:rsidRPr="00026EC1">
        <w:t>cinq</w:t>
      </w:r>
      <w:r w:rsidR="002B6720">
        <w:t> </w:t>
      </w:r>
      <w:r w:rsidRPr="00026EC1">
        <w:t>(45) jours avant le début de chaque session régulière, le Collège informe par écrit l</w:t>
      </w:r>
      <w:r w:rsidR="004A41E4" w:rsidRPr="00026EC1">
        <w:t>’</w:t>
      </w:r>
      <w:r w:rsidRPr="00026EC1">
        <w:t>enseignante ou l</w:t>
      </w:r>
      <w:r w:rsidR="004A41E4" w:rsidRPr="00026EC1">
        <w:t>’</w:t>
      </w:r>
      <w:r w:rsidRPr="00026EC1">
        <w:t>enseignant du ou des cours qu</w:t>
      </w:r>
      <w:r w:rsidR="004A41E4" w:rsidRPr="00026EC1">
        <w:t>’</w:t>
      </w:r>
      <w:r w:rsidRPr="00026EC1">
        <w:t>elle ou il aura à donner, sauf dans le cas d</w:t>
      </w:r>
      <w:r w:rsidR="004A41E4" w:rsidRPr="00026EC1">
        <w:t>’</w:t>
      </w:r>
      <w:r w:rsidRPr="00026EC1">
        <w:t>une enseignante ou d</w:t>
      </w:r>
      <w:r w:rsidR="004A41E4" w:rsidRPr="00026EC1">
        <w:t>’</w:t>
      </w:r>
      <w:r w:rsidRPr="00026EC1">
        <w:t>un enseignant mis en disponibilité et non replacé.</w:t>
      </w:r>
    </w:p>
    <w:p w14:paraId="6E7470DC" w14:textId="77777777" w:rsidR="00404F34" w:rsidRPr="00026EC1" w:rsidRDefault="00404F34" w:rsidP="00A64613">
      <w:pPr>
        <w:keepNext w:val="0"/>
      </w:pPr>
    </w:p>
    <w:p w14:paraId="041AA8F4" w14:textId="2E344075" w:rsidR="00404F34" w:rsidRPr="00026EC1" w:rsidRDefault="00404F34" w:rsidP="00A64613">
      <w:pPr>
        <w:pStyle w:val="NUMRODECLAUSE"/>
        <w:keepNext w:val="0"/>
      </w:pPr>
      <w:r w:rsidRPr="00026EC1">
        <w:t>8</w:t>
      </w:r>
      <w:r w:rsidR="00984A6F">
        <w:noBreakHyphen/>
      </w:r>
      <w:r w:rsidRPr="00026EC1">
        <w:t>6.05</w:t>
      </w:r>
    </w:p>
    <w:p w14:paraId="0DD04407" w14:textId="68175FA7" w:rsidR="00404F34" w:rsidRPr="00026EC1" w:rsidRDefault="00404F34" w:rsidP="00A64613">
      <w:pPr>
        <w:keepNext w:val="0"/>
        <w:shd w:val="clear" w:color="auto" w:fill="FFFFFF"/>
      </w:pPr>
      <w:r w:rsidRPr="00026EC1">
        <w:t>Au moins cinq</w:t>
      </w:r>
      <w:r w:rsidR="002B6720">
        <w:t> </w:t>
      </w:r>
      <w:r w:rsidRPr="00026EC1">
        <w:t xml:space="preserve">(5) jours ouvrables avant le début de chaque session, </w:t>
      </w:r>
      <w:r w:rsidRPr="00026EC1">
        <w:rPr>
          <w:shd w:val="clear" w:color="auto" w:fill="FFFFFF"/>
        </w:rPr>
        <w:t>l</w:t>
      </w:r>
      <w:r w:rsidR="004A41E4" w:rsidRPr="00026EC1">
        <w:rPr>
          <w:shd w:val="clear" w:color="auto" w:fill="FFFFFF"/>
        </w:rPr>
        <w:t>’</w:t>
      </w:r>
      <w:r w:rsidRPr="00026EC1">
        <w:rPr>
          <w:shd w:val="clear" w:color="auto" w:fill="FFFFFF"/>
        </w:rPr>
        <w:t>horaire de l</w:t>
      </w:r>
      <w:r w:rsidR="004A41E4" w:rsidRPr="00026EC1">
        <w:rPr>
          <w:shd w:val="clear" w:color="auto" w:fill="FFFFFF"/>
        </w:rPr>
        <w:t>’</w:t>
      </w:r>
      <w:r w:rsidRPr="00026EC1">
        <w:rPr>
          <w:shd w:val="clear" w:color="auto" w:fill="FFFFFF"/>
        </w:rPr>
        <w:t>enseignante ou de l</w:t>
      </w:r>
      <w:r w:rsidR="004A41E4" w:rsidRPr="00026EC1">
        <w:rPr>
          <w:shd w:val="clear" w:color="auto" w:fill="FFFFFF"/>
        </w:rPr>
        <w:t>’</w:t>
      </w:r>
      <w:r w:rsidRPr="00026EC1">
        <w:rPr>
          <w:shd w:val="clear" w:color="auto" w:fill="FFFFFF"/>
        </w:rPr>
        <w:t>enseignant est rendu disponible sur support informatique</w:t>
      </w:r>
      <w:r w:rsidRPr="00026EC1">
        <w:t>.</w:t>
      </w:r>
    </w:p>
    <w:p w14:paraId="09CE7A8B" w14:textId="77777777" w:rsidR="00404F34" w:rsidRPr="00026EC1" w:rsidRDefault="00404F34" w:rsidP="00A64613">
      <w:pPr>
        <w:keepNext w:val="0"/>
        <w:shd w:val="clear" w:color="auto" w:fill="FFFFFF"/>
      </w:pPr>
    </w:p>
    <w:p w14:paraId="513FCA3C" w14:textId="77777777" w:rsidR="00404F34" w:rsidRPr="00026EC1" w:rsidRDefault="00404F34" w:rsidP="00A64613">
      <w:pPr>
        <w:keepNext w:val="0"/>
        <w:shd w:val="clear" w:color="auto" w:fill="FFFFFF"/>
      </w:pPr>
      <w:r w:rsidRPr="00026EC1">
        <w:rPr>
          <w:shd w:val="clear" w:color="auto" w:fill="FFFFFF"/>
        </w:rPr>
        <w:t>Lors du changement du mode de transmission de l</w:t>
      </w:r>
      <w:r w:rsidR="004A41E4" w:rsidRPr="00026EC1">
        <w:rPr>
          <w:shd w:val="clear" w:color="auto" w:fill="FFFFFF"/>
        </w:rPr>
        <w:t>’</w:t>
      </w:r>
      <w:r w:rsidRPr="00026EC1">
        <w:rPr>
          <w:shd w:val="clear" w:color="auto" w:fill="FFFFFF"/>
        </w:rPr>
        <w:t>horaire, l</w:t>
      </w:r>
      <w:r w:rsidR="004A41E4" w:rsidRPr="00026EC1">
        <w:rPr>
          <w:shd w:val="clear" w:color="auto" w:fill="FFFFFF"/>
        </w:rPr>
        <w:t>’</w:t>
      </w:r>
      <w:r w:rsidRPr="00026EC1">
        <w:rPr>
          <w:shd w:val="clear" w:color="auto" w:fill="FFFFFF"/>
        </w:rPr>
        <w:t>enseignante ou l</w:t>
      </w:r>
      <w:r w:rsidR="004A41E4" w:rsidRPr="00026EC1">
        <w:rPr>
          <w:shd w:val="clear" w:color="auto" w:fill="FFFFFF"/>
        </w:rPr>
        <w:t>’</w:t>
      </w:r>
      <w:r w:rsidRPr="00026EC1">
        <w:rPr>
          <w:shd w:val="clear" w:color="auto" w:fill="FFFFFF"/>
        </w:rPr>
        <w:t>enseignant continue de recevoir, sur demande écrite, son horaire sur support papier</w:t>
      </w:r>
      <w:r w:rsidRPr="00026EC1">
        <w:t>.</w:t>
      </w:r>
    </w:p>
    <w:p w14:paraId="173E524A" w14:textId="77777777" w:rsidR="00AA7AF4" w:rsidRPr="00026EC1" w:rsidRDefault="00AA7AF4" w:rsidP="00A64613">
      <w:pPr>
        <w:keepNext w:val="0"/>
        <w:rPr>
          <w:i/>
          <w:iCs/>
        </w:rPr>
      </w:pPr>
    </w:p>
    <w:p w14:paraId="4CE7A957" w14:textId="77777777" w:rsidR="00404F34" w:rsidRPr="00026EC1" w:rsidRDefault="00404F34" w:rsidP="00A64613">
      <w:pPr>
        <w:keepNext w:val="0"/>
        <w:shd w:val="clear" w:color="auto" w:fill="FFFFFF"/>
      </w:pPr>
      <w:r w:rsidRPr="00026EC1">
        <w:rPr>
          <w:iCs/>
        </w:rPr>
        <w:t>Si le mode de transmission sur support informatique est déjà en application</w:t>
      </w:r>
      <w:r w:rsidRPr="00026EC1">
        <w:t xml:space="preserve"> au moment de l</w:t>
      </w:r>
      <w:r w:rsidR="004A41E4" w:rsidRPr="00026EC1">
        <w:t>’</w:t>
      </w:r>
      <w:r w:rsidRPr="00026EC1">
        <w:t>entrée en vigueur de la présente entente, l</w:t>
      </w:r>
      <w:r w:rsidR="004A41E4" w:rsidRPr="00026EC1">
        <w:t>’</w:t>
      </w:r>
      <w:r w:rsidRPr="00026EC1">
        <w:t>enseignante ou l</w:t>
      </w:r>
      <w:r w:rsidR="004A41E4" w:rsidRPr="00026EC1">
        <w:t>’</w:t>
      </w:r>
      <w:r w:rsidRPr="00026EC1">
        <w:t>enseignant qui reçoit son horaire sur support papier continue de le recevoir selon ce mode.</w:t>
      </w:r>
    </w:p>
    <w:p w14:paraId="6E583AE1" w14:textId="21ACEA09" w:rsidR="00404F34" w:rsidRDefault="00404F34" w:rsidP="00A64613">
      <w:pPr>
        <w:keepNext w:val="0"/>
        <w:shd w:val="clear" w:color="auto" w:fill="FFFFFF"/>
      </w:pPr>
    </w:p>
    <w:p w14:paraId="019B175E" w14:textId="77777777" w:rsidR="000967EC" w:rsidRDefault="000967EC" w:rsidP="00A64613">
      <w:pPr>
        <w:keepNext w:val="0"/>
        <w:shd w:val="clear" w:color="auto" w:fill="FFFFFF"/>
      </w:pPr>
    </w:p>
    <w:p w14:paraId="49D7C67E" w14:textId="0F0D5D24" w:rsidR="00404F34" w:rsidRPr="00026EC1" w:rsidRDefault="00404F34" w:rsidP="00A64613">
      <w:pPr>
        <w:pStyle w:val="NUMRODECLAUSE"/>
        <w:keepNext w:val="0"/>
      </w:pPr>
      <w:r w:rsidRPr="00026EC1">
        <w:t>8</w:t>
      </w:r>
      <w:r w:rsidR="00984A6F">
        <w:noBreakHyphen/>
      </w:r>
      <w:r w:rsidRPr="00026EC1">
        <w:t>6.06</w:t>
      </w:r>
    </w:p>
    <w:p w14:paraId="75E6BA3E" w14:textId="702A2FB4" w:rsidR="00404F34" w:rsidRPr="00026EC1" w:rsidRDefault="00404F34" w:rsidP="00A64613">
      <w:pPr>
        <w:keepNext w:val="0"/>
      </w:pPr>
      <w:r w:rsidRPr="00026EC1">
        <w:t>Les renseignements prévus aux clauses</w:t>
      </w:r>
      <w:r w:rsidR="00F61E7A" w:rsidRPr="00026EC1">
        <w:t> </w:t>
      </w:r>
      <w:r w:rsidRPr="00026EC1">
        <w:t>8</w:t>
      </w:r>
      <w:r w:rsidR="00984A6F">
        <w:noBreakHyphen/>
      </w:r>
      <w:r w:rsidRPr="00026EC1">
        <w:t>6.04 et 8</w:t>
      </w:r>
      <w:r w:rsidR="00984A6F">
        <w:noBreakHyphen/>
      </w:r>
      <w:r w:rsidRPr="00026EC1">
        <w:t>6.05 sont transmis au Syndicat.</w:t>
      </w:r>
    </w:p>
    <w:p w14:paraId="2F83E0FF" w14:textId="46BC2DA9" w:rsidR="00AB04BA" w:rsidRDefault="00AB04BA">
      <w:pPr>
        <w:keepNext w:val="0"/>
        <w:suppressAutoHyphens w:val="0"/>
        <w:jc w:val="left"/>
      </w:pPr>
    </w:p>
    <w:p w14:paraId="715B75DE" w14:textId="2BC7B3B1" w:rsidR="00404F34" w:rsidRPr="00026EC1" w:rsidRDefault="00404F34" w:rsidP="00A64613">
      <w:pPr>
        <w:pStyle w:val="NUMRODECLAUSE"/>
        <w:keepNext w:val="0"/>
      </w:pPr>
      <w:r w:rsidRPr="00026EC1">
        <w:t>8</w:t>
      </w:r>
      <w:r w:rsidR="00984A6F">
        <w:noBreakHyphen/>
      </w:r>
      <w:r w:rsidRPr="00026EC1">
        <w:t>6.07</w:t>
      </w:r>
    </w:p>
    <w:p w14:paraId="5CC5C0AE" w14:textId="759BC510" w:rsidR="00404F34" w:rsidRPr="00026EC1" w:rsidRDefault="00404F34" w:rsidP="00A64613">
      <w:pPr>
        <w:keepNext w:val="0"/>
      </w:pPr>
      <w:r w:rsidRPr="00026EC1">
        <w:t>Au plus tard le 31</w:t>
      </w:r>
      <w:r w:rsidR="002B6720">
        <w:t> </w:t>
      </w:r>
      <w:r w:rsidRPr="00026EC1">
        <w:t>octobre pour la session d</w:t>
      </w:r>
      <w:r w:rsidR="004A41E4" w:rsidRPr="00026EC1">
        <w:t>’</w:t>
      </w:r>
      <w:r w:rsidRPr="00026EC1">
        <w:t>automne et au plus tard le 1</w:t>
      </w:r>
      <w:r w:rsidRPr="002B6720">
        <w:rPr>
          <w:vertAlign w:val="superscript"/>
        </w:rPr>
        <w:t>er</w:t>
      </w:r>
      <w:r w:rsidR="002B6720">
        <w:t> </w:t>
      </w:r>
      <w:r w:rsidRPr="00026EC1">
        <w:t>mars pour la session d</w:t>
      </w:r>
      <w:r w:rsidR="004A41E4" w:rsidRPr="00026EC1">
        <w:t>’</w:t>
      </w:r>
      <w:r w:rsidRPr="00026EC1">
        <w:t>hiver, le Collège transmet au Syndicat et à la partie syndicale nationale le détail de la charge des enseignantes et enseignants. Ces renseignements comportent pour chaque enseignante et enseignant</w:t>
      </w:r>
      <w:r w:rsidR="00D8581B">
        <w:t> :</w:t>
      </w:r>
    </w:p>
    <w:p w14:paraId="297DB6F1" w14:textId="77777777" w:rsidR="007651BA" w:rsidRPr="00026EC1" w:rsidRDefault="007651BA" w:rsidP="00A64613">
      <w:pPr>
        <w:keepNext w:val="0"/>
      </w:pPr>
    </w:p>
    <w:p w14:paraId="56E00C53" w14:textId="77777777" w:rsidR="00404F34" w:rsidRPr="00026EC1" w:rsidRDefault="00275751" w:rsidP="00A64613">
      <w:pPr>
        <w:keepNext w:val="0"/>
        <w:tabs>
          <w:tab w:val="left" w:pos="567"/>
        </w:tabs>
        <w:ind w:left="567" w:hanging="567"/>
      </w:pPr>
      <w:r w:rsidRPr="00026EC1">
        <w:t>a)</w:t>
      </w:r>
      <w:r w:rsidRPr="00026EC1">
        <w:tab/>
      </w:r>
      <w:r w:rsidR="00404F34" w:rsidRPr="00026EC1">
        <w:t>le titre de l</w:t>
      </w:r>
      <w:r w:rsidR="004A41E4" w:rsidRPr="00026EC1">
        <w:t>’</w:t>
      </w:r>
      <w:r w:rsidR="00404F34" w:rsidRPr="00026EC1">
        <w:t>enseignante ou de l</w:t>
      </w:r>
      <w:r w:rsidR="004A41E4" w:rsidRPr="00026EC1">
        <w:t>’</w:t>
      </w:r>
      <w:r w:rsidR="00404F34" w:rsidRPr="00026EC1">
        <w:t>enseignant (temps complet, temps partiel, chargée ou chargé de cours);</w:t>
      </w:r>
    </w:p>
    <w:p w14:paraId="6C459EA5" w14:textId="77777777" w:rsidR="00404F34" w:rsidRPr="00026EC1" w:rsidRDefault="00404F34" w:rsidP="00A64613">
      <w:pPr>
        <w:keepNext w:val="0"/>
      </w:pPr>
    </w:p>
    <w:p w14:paraId="45E41F9F" w14:textId="77777777" w:rsidR="00404F34" w:rsidRPr="00026EC1" w:rsidRDefault="00275751" w:rsidP="00A64613">
      <w:pPr>
        <w:keepNext w:val="0"/>
        <w:tabs>
          <w:tab w:val="left" w:pos="567"/>
        </w:tabs>
        <w:ind w:left="567" w:hanging="567"/>
      </w:pPr>
      <w:r w:rsidRPr="00026EC1">
        <w:t>b)</w:t>
      </w:r>
      <w:r w:rsidRPr="00026EC1">
        <w:tab/>
      </w:r>
      <w:r w:rsidR="00404F34" w:rsidRPr="00026EC1">
        <w:t>les cours qui lui sont confiés;</w:t>
      </w:r>
    </w:p>
    <w:p w14:paraId="5B9DDE04" w14:textId="77777777" w:rsidR="00404F34" w:rsidRPr="00026EC1" w:rsidRDefault="00404F34" w:rsidP="00A64613">
      <w:pPr>
        <w:keepNext w:val="0"/>
      </w:pPr>
    </w:p>
    <w:p w14:paraId="525B35B0" w14:textId="3AC9E2BD" w:rsidR="00404F34" w:rsidRPr="00026EC1" w:rsidRDefault="00275751" w:rsidP="00A64613">
      <w:pPr>
        <w:keepNext w:val="0"/>
        <w:tabs>
          <w:tab w:val="left" w:pos="567"/>
        </w:tabs>
        <w:ind w:left="567" w:hanging="567"/>
      </w:pPr>
      <w:r w:rsidRPr="00026EC1">
        <w:t>c)</w:t>
      </w:r>
      <w:r w:rsidRPr="00026EC1">
        <w:tab/>
      </w:r>
      <w:r w:rsidR="00404F34" w:rsidRPr="00026EC1">
        <w:t>pour chaque cours confié,</w:t>
      </w:r>
      <w:r w:rsidR="002E30A2">
        <w:t xml:space="preserve"> </w:t>
      </w:r>
      <w:r w:rsidR="002E30A2" w:rsidRPr="00316277">
        <w:t>le mode d’enseignement et</w:t>
      </w:r>
      <w:r w:rsidR="001A7877" w:rsidRPr="001A7877">
        <w:t xml:space="preserve"> </w:t>
      </w:r>
      <w:r w:rsidR="001A7877" w:rsidRPr="00026EC1">
        <w:t>le nombre de groupe</w:t>
      </w:r>
      <w:r w:rsidR="001A7877" w:rsidRPr="00BE127F">
        <w:noBreakHyphen/>
        <w:t>cours</w:t>
      </w:r>
      <w:r w:rsidR="00404F34" w:rsidRPr="00026EC1">
        <w:t>;</w:t>
      </w:r>
    </w:p>
    <w:p w14:paraId="102792E8" w14:textId="77777777" w:rsidR="00404F34" w:rsidRPr="001B2AD8" w:rsidRDefault="00404F34" w:rsidP="00A64613">
      <w:pPr>
        <w:keepNext w:val="0"/>
      </w:pPr>
    </w:p>
    <w:p w14:paraId="593B8C52" w14:textId="299271FD" w:rsidR="00404F34" w:rsidRPr="001B2AD8" w:rsidRDefault="00275751" w:rsidP="00A64613">
      <w:pPr>
        <w:keepNext w:val="0"/>
        <w:tabs>
          <w:tab w:val="left" w:pos="567"/>
        </w:tabs>
        <w:ind w:left="567" w:hanging="567"/>
      </w:pPr>
      <w:r w:rsidRPr="001B2AD8">
        <w:t>d)</w:t>
      </w:r>
      <w:r w:rsidRPr="001B2AD8">
        <w:tab/>
      </w:r>
      <w:r w:rsidR="001B2AD8" w:rsidRPr="001B2AD8">
        <w:t xml:space="preserve">pour chaque groupe-cours, le nombre d’étudiantes et d’étudiants inscrits au 20 septembre </w:t>
      </w:r>
      <w:r w:rsidR="001B2AD8" w:rsidRPr="00316277">
        <w:t xml:space="preserve">pour la session d’automne </w:t>
      </w:r>
      <w:r w:rsidR="001B2AD8" w:rsidRPr="001B2AD8">
        <w:t>ou au 15 février</w:t>
      </w:r>
      <w:r w:rsidR="001B2AD8" w:rsidRPr="00316277">
        <w:t xml:space="preserve"> pour la session d’hiver, ou à la date correspondant à vingt pour cent (20 %) de la durée du cours pour les cas prévus au</w:t>
      </w:r>
      <w:r w:rsidR="002E30A2" w:rsidRPr="00316277">
        <w:t>x</w:t>
      </w:r>
      <w:r w:rsidR="001B2AD8" w:rsidRPr="00316277">
        <w:t xml:space="preserve"> deuxième et troisième paragraphe</w:t>
      </w:r>
      <w:r w:rsidR="002E30A2" w:rsidRPr="00316277">
        <w:t>s</w:t>
      </w:r>
      <w:r w:rsidR="001B2AD8" w:rsidRPr="00316277">
        <w:t xml:space="preserve"> du sous-alinéa</w:t>
      </w:r>
      <w:r w:rsidR="000A7AF8">
        <w:t> </w:t>
      </w:r>
      <w:r w:rsidR="001B2AD8" w:rsidRPr="00316277">
        <w:t>i) de l’alinéa 1.0 de l’Annexe</w:t>
      </w:r>
      <w:r w:rsidR="0012019A" w:rsidRPr="00316277">
        <w:t> </w:t>
      </w:r>
      <w:r w:rsidR="001B2AD8" w:rsidRPr="00316277">
        <w:t>I-1</w:t>
      </w:r>
      <w:r w:rsidR="001B2AD8" w:rsidRPr="001B2AD8">
        <w:t>;</w:t>
      </w:r>
    </w:p>
    <w:p w14:paraId="5C830EE9" w14:textId="77777777" w:rsidR="00404F34" w:rsidRPr="00026EC1" w:rsidRDefault="00404F34" w:rsidP="00A64613">
      <w:pPr>
        <w:keepNext w:val="0"/>
      </w:pPr>
    </w:p>
    <w:p w14:paraId="2ADFFAC7" w14:textId="77777777" w:rsidR="00404F34" w:rsidRPr="00026EC1" w:rsidRDefault="00275751" w:rsidP="00A64613">
      <w:pPr>
        <w:keepNext w:val="0"/>
        <w:tabs>
          <w:tab w:val="left" w:pos="567"/>
        </w:tabs>
        <w:ind w:left="567" w:hanging="567"/>
      </w:pPr>
      <w:r w:rsidRPr="00026EC1">
        <w:t>e)</w:t>
      </w:r>
      <w:r w:rsidRPr="00026EC1">
        <w:tab/>
      </w:r>
      <w:r w:rsidR="00404F34" w:rsidRPr="00026EC1">
        <w:t>les dégrèvements et à quelles fins.</w:t>
      </w:r>
    </w:p>
    <w:p w14:paraId="6DA480FA" w14:textId="77777777" w:rsidR="00404F34" w:rsidRPr="00026EC1" w:rsidRDefault="00404F34" w:rsidP="00A64613">
      <w:pPr>
        <w:keepNext w:val="0"/>
      </w:pPr>
    </w:p>
    <w:p w14:paraId="5AF4EB1C" w14:textId="0013876A" w:rsidR="00404F34" w:rsidRPr="00893994" w:rsidRDefault="00404F34" w:rsidP="00A64613">
      <w:pPr>
        <w:pStyle w:val="NUMRODECLAUSE"/>
        <w:keepNext w:val="0"/>
      </w:pPr>
      <w:r w:rsidRPr="00893994">
        <w:t>8</w:t>
      </w:r>
      <w:r w:rsidR="00984A6F">
        <w:noBreakHyphen/>
      </w:r>
      <w:r w:rsidRPr="00893994">
        <w:t>6.08</w:t>
      </w:r>
    </w:p>
    <w:p w14:paraId="00EC676B" w14:textId="628819B0" w:rsidR="00404F34" w:rsidRPr="00026EC1" w:rsidRDefault="00404F34" w:rsidP="00A64613">
      <w:pPr>
        <w:keepNext w:val="0"/>
      </w:pPr>
      <w:r w:rsidRPr="00026EC1">
        <w:t>Au plus tard le 31</w:t>
      </w:r>
      <w:r w:rsidR="002B6720">
        <w:t> </w:t>
      </w:r>
      <w:r w:rsidRPr="00026EC1">
        <w:t>octobre pour la session d</w:t>
      </w:r>
      <w:r w:rsidR="004A41E4" w:rsidRPr="00026EC1">
        <w:t>’</w:t>
      </w:r>
      <w:r w:rsidRPr="00026EC1">
        <w:t>automne et au plus tard le 1</w:t>
      </w:r>
      <w:r w:rsidRPr="00026EC1">
        <w:rPr>
          <w:vertAlign w:val="superscript"/>
        </w:rPr>
        <w:t>er</w:t>
      </w:r>
      <w:r w:rsidR="00337FE6">
        <w:t> </w:t>
      </w:r>
      <w:r w:rsidRPr="00026EC1">
        <w:t>mars pour la session d</w:t>
      </w:r>
      <w:r w:rsidR="004A41E4" w:rsidRPr="00026EC1">
        <w:t>’</w:t>
      </w:r>
      <w:r w:rsidRPr="00026EC1">
        <w:t>hiver, le Collège transmet au Syndicat le nombre d</w:t>
      </w:r>
      <w:r w:rsidR="004A41E4" w:rsidRPr="00026EC1">
        <w:t>’</w:t>
      </w:r>
      <w:r w:rsidRPr="00026EC1">
        <w:t>heures d</w:t>
      </w:r>
      <w:r w:rsidR="004A41E4" w:rsidRPr="00026EC1">
        <w:t>’</w:t>
      </w:r>
      <w:r w:rsidRPr="00026EC1">
        <w:t>activités spéciales d</w:t>
      </w:r>
      <w:r w:rsidR="004A41E4" w:rsidRPr="00026EC1">
        <w:t>’</w:t>
      </w:r>
      <w:r w:rsidRPr="00026EC1">
        <w:t>encadrement assumées par l</w:t>
      </w:r>
      <w:r w:rsidR="004A41E4" w:rsidRPr="00026EC1">
        <w:t>’</w:t>
      </w:r>
      <w:r w:rsidRPr="00026EC1">
        <w:t>enseignante ou l</w:t>
      </w:r>
      <w:r w:rsidR="004A41E4" w:rsidRPr="00026EC1">
        <w:t>’</w:t>
      </w:r>
      <w:r w:rsidRPr="00026EC1">
        <w:t>enseignant en vertu de l</w:t>
      </w:r>
      <w:r w:rsidR="004A41E4" w:rsidRPr="00026EC1">
        <w:t>’</w:t>
      </w:r>
      <w:r w:rsidR="00C7446A" w:rsidRPr="00026EC1">
        <w:t>A</w:t>
      </w:r>
      <w:r w:rsidRPr="00026EC1">
        <w:t>nnexe</w:t>
      </w:r>
      <w:r w:rsidR="00477DEF" w:rsidRPr="00026EC1">
        <w:t> </w:t>
      </w:r>
      <w:r w:rsidRPr="00026EC1">
        <w:t>I</w:t>
      </w:r>
      <w:r w:rsidR="00984A6F">
        <w:noBreakHyphen/>
      </w:r>
      <w:r w:rsidRPr="00026EC1">
        <w:t>8 ainsi que le titre du pro</w:t>
      </w:r>
      <w:r w:rsidR="00BA79F8" w:rsidRPr="00026EC1">
        <w:t>jet auquel elles se rattachent.</w:t>
      </w:r>
    </w:p>
    <w:p w14:paraId="084829F9" w14:textId="03DB2F2B" w:rsidR="00404F34" w:rsidRPr="00026EC1" w:rsidRDefault="00404F34" w:rsidP="00A64613">
      <w:pPr>
        <w:pStyle w:val="Heading2"/>
        <w:keepNext w:val="0"/>
        <w:tabs>
          <w:tab w:val="clear" w:pos="1843"/>
          <w:tab w:val="clear" w:pos="2127"/>
          <w:tab w:val="left" w:pos="1701"/>
          <w:tab w:val="left" w:pos="1985"/>
        </w:tabs>
        <w:ind w:left="1701" w:hanging="1701"/>
      </w:pPr>
      <w:r w:rsidRPr="00026EC1">
        <w:br w:type="page"/>
      </w:r>
      <w:bookmarkStart w:id="868" w:name="_Toc535046638"/>
      <w:bookmarkStart w:id="869" w:name="_Toc133760805"/>
      <w:bookmarkStart w:id="870" w:name="_Toc393444643"/>
      <w:bookmarkStart w:id="871" w:name="_Toc393449594"/>
      <w:bookmarkStart w:id="872" w:name="_Toc393460963"/>
      <w:bookmarkStart w:id="873" w:name="_Toc393461241"/>
      <w:bookmarkStart w:id="874" w:name="_Toc393720802"/>
      <w:bookmarkStart w:id="875" w:name="_Toc393783963"/>
      <w:bookmarkStart w:id="876" w:name="_Toc393784102"/>
      <w:bookmarkStart w:id="877" w:name="_Toc168479557"/>
      <w:r w:rsidRPr="00026EC1">
        <w:t>Article 8</w:t>
      </w:r>
      <w:r w:rsidR="00B92165">
        <w:t>-</w:t>
      </w:r>
      <w:r w:rsidRPr="00026EC1">
        <w:t>7.00</w:t>
      </w:r>
      <w:r w:rsidR="00CB6B97" w:rsidRPr="00026EC1">
        <w:tab/>
      </w:r>
      <w:r w:rsidR="00B92165">
        <w:t>-</w:t>
      </w:r>
      <w:r w:rsidR="00CB6B97" w:rsidRPr="00026EC1">
        <w:tab/>
      </w:r>
      <w:r w:rsidRPr="00026EC1">
        <w:t>Formation continue</w:t>
      </w:r>
      <w:bookmarkEnd w:id="868"/>
      <w:bookmarkEnd w:id="869"/>
      <w:bookmarkEnd w:id="870"/>
      <w:bookmarkEnd w:id="871"/>
      <w:bookmarkEnd w:id="872"/>
      <w:bookmarkEnd w:id="873"/>
      <w:bookmarkEnd w:id="874"/>
      <w:bookmarkEnd w:id="875"/>
      <w:bookmarkEnd w:id="876"/>
      <w:bookmarkEnd w:id="877"/>
    </w:p>
    <w:p w14:paraId="478FAC6D" w14:textId="18D27525" w:rsidR="00952D26" w:rsidRPr="00026EC1" w:rsidRDefault="00952D26" w:rsidP="00A64613">
      <w:pPr>
        <w:pStyle w:val="NUMRODECLAUSE"/>
        <w:keepNext w:val="0"/>
      </w:pPr>
      <w:r w:rsidRPr="00026EC1">
        <w:t>8</w:t>
      </w:r>
      <w:r w:rsidR="00984A6F">
        <w:noBreakHyphen/>
      </w:r>
      <w:r w:rsidRPr="00026EC1">
        <w:t>7.01</w:t>
      </w:r>
    </w:p>
    <w:p w14:paraId="6DD6BB8B" w14:textId="77777777" w:rsidR="00952D26" w:rsidRPr="00026EC1" w:rsidRDefault="00952D26" w:rsidP="00A64613">
      <w:pPr>
        <w:keepNext w:val="0"/>
      </w:pPr>
      <w:r w:rsidRPr="00026EC1">
        <w:t>À moins de dispositions à l’effet contraire, la convention collective s’applique aux enseignantes et enseignants de la formation continue sous réserve des stipulations suivantes.</w:t>
      </w:r>
    </w:p>
    <w:p w14:paraId="61E5BD8D" w14:textId="77777777" w:rsidR="00952D26" w:rsidRPr="00026EC1" w:rsidRDefault="00952D26" w:rsidP="00A64613">
      <w:pPr>
        <w:keepNext w:val="0"/>
      </w:pPr>
    </w:p>
    <w:p w14:paraId="45A5C661" w14:textId="4E83CD77" w:rsidR="00952D26" w:rsidRPr="00026EC1" w:rsidRDefault="00952D26" w:rsidP="00A64613">
      <w:pPr>
        <w:pStyle w:val="NUMRODECLAUSE"/>
        <w:keepNext w:val="0"/>
      </w:pPr>
      <w:r w:rsidRPr="00026EC1">
        <w:t>8</w:t>
      </w:r>
      <w:r w:rsidR="00984A6F">
        <w:noBreakHyphen/>
      </w:r>
      <w:r w:rsidRPr="00026EC1">
        <w:t>7.02</w:t>
      </w:r>
    </w:p>
    <w:p w14:paraId="03B85042" w14:textId="6A4FADFA" w:rsidR="00952D26" w:rsidRPr="00026EC1" w:rsidRDefault="00952D26" w:rsidP="00A64613">
      <w:pPr>
        <w:keepNext w:val="0"/>
      </w:pPr>
      <w:r w:rsidRPr="00026EC1">
        <w:t>Pour l’enseignante ou l’enseignant à la formation continue, le Collège n’est pas tenu de convoquer le CRT dans les cas suivants</w:t>
      </w:r>
      <w:r w:rsidR="00D8581B">
        <w:t> :</w:t>
      </w:r>
    </w:p>
    <w:p w14:paraId="50EB9F5C" w14:textId="77777777" w:rsidR="00952D26" w:rsidRPr="00026EC1" w:rsidRDefault="00952D26" w:rsidP="00A64613">
      <w:pPr>
        <w:keepNext w:val="0"/>
      </w:pPr>
    </w:p>
    <w:p w14:paraId="7A4D6CC7" w14:textId="41F1926E" w:rsidR="00952D26" w:rsidRPr="00026EC1" w:rsidRDefault="00952D26" w:rsidP="00A64613">
      <w:pPr>
        <w:keepNext w:val="0"/>
        <w:tabs>
          <w:tab w:val="left" w:pos="567"/>
        </w:tabs>
        <w:ind w:left="567" w:hanging="567"/>
      </w:pPr>
      <w:r w:rsidRPr="00026EC1">
        <w:rPr>
          <w:rFonts w:ascii="Symbol" w:hAnsi="Symbol"/>
        </w:rPr>
        <w:t></w:t>
      </w:r>
      <w:r w:rsidRPr="00026EC1">
        <w:rPr>
          <w:rFonts w:ascii="Symbol" w:hAnsi="Symbol"/>
        </w:rPr>
        <w:tab/>
      </w:r>
      <w:r w:rsidRPr="00026EC1">
        <w:t>les mesures de transfert d’enseignement et de modifications de structures scolaires; les réductions d’effectifs, la fermeture totale ou partielle de programme, l’ouverture ou la cession totale ou partielle de programme, la régionalisation, l’implantation de cours d’établissement;</w:t>
      </w:r>
    </w:p>
    <w:p w14:paraId="0752FEC4" w14:textId="77777777" w:rsidR="00952D26" w:rsidRPr="00026EC1" w:rsidRDefault="00952D26" w:rsidP="00A64613">
      <w:pPr>
        <w:keepNext w:val="0"/>
      </w:pPr>
    </w:p>
    <w:p w14:paraId="16044B0B" w14:textId="77777777" w:rsidR="00952D26" w:rsidRPr="00026EC1" w:rsidRDefault="00952D26" w:rsidP="00A64613">
      <w:pPr>
        <w:keepNext w:val="0"/>
        <w:tabs>
          <w:tab w:val="left" w:pos="567"/>
        </w:tabs>
        <w:ind w:left="567" w:hanging="567"/>
      </w:pPr>
      <w:r w:rsidRPr="00026EC1">
        <w:rPr>
          <w:rFonts w:ascii="Symbol" w:hAnsi="Symbol"/>
        </w:rPr>
        <w:t></w:t>
      </w:r>
      <w:r w:rsidRPr="00026EC1">
        <w:rPr>
          <w:rFonts w:ascii="Symbol" w:hAnsi="Symbol"/>
        </w:rPr>
        <w:tab/>
      </w:r>
      <w:r w:rsidRPr="00026EC1">
        <w:t>les implications contractuelles résultant des mesures mentionnées au paragraphe précédent;</w:t>
      </w:r>
    </w:p>
    <w:p w14:paraId="3DBFB46C" w14:textId="77777777" w:rsidR="00952D26" w:rsidRPr="00026EC1" w:rsidRDefault="00952D26" w:rsidP="00A64613">
      <w:pPr>
        <w:keepNext w:val="0"/>
      </w:pPr>
    </w:p>
    <w:p w14:paraId="7E795B63" w14:textId="77777777" w:rsidR="00952D26" w:rsidRPr="00026EC1" w:rsidRDefault="00952D26" w:rsidP="00A64613">
      <w:pPr>
        <w:keepNext w:val="0"/>
        <w:tabs>
          <w:tab w:val="left" w:pos="567"/>
        </w:tabs>
        <w:ind w:left="567" w:hanging="567"/>
      </w:pPr>
      <w:r w:rsidRPr="00026EC1">
        <w:rPr>
          <w:rFonts w:ascii="Symbol" w:hAnsi="Symbol"/>
        </w:rPr>
        <w:t></w:t>
      </w:r>
      <w:r w:rsidRPr="00026EC1">
        <w:rPr>
          <w:rFonts w:ascii="Symbol" w:hAnsi="Symbol"/>
        </w:rPr>
        <w:tab/>
      </w:r>
      <w:r w:rsidRPr="00026EC1">
        <w:t>un litige relatif aux transferts.</w:t>
      </w:r>
    </w:p>
    <w:p w14:paraId="10B3E219" w14:textId="77777777" w:rsidR="00952D26" w:rsidRPr="00026EC1" w:rsidRDefault="00952D26" w:rsidP="00A64613">
      <w:pPr>
        <w:keepNext w:val="0"/>
      </w:pPr>
    </w:p>
    <w:p w14:paraId="5FF599BE" w14:textId="6AFE20F5" w:rsidR="00952D26" w:rsidRPr="00893994" w:rsidRDefault="00952D26" w:rsidP="00A64613">
      <w:pPr>
        <w:pStyle w:val="NUMRODECLAUSE"/>
        <w:keepNext w:val="0"/>
      </w:pPr>
      <w:r w:rsidRPr="00893994">
        <w:t>8</w:t>
      </w:r>
      <w:r w:rsidR="00984A6F">
        <w:noBreakHyphen/>
      </w:r>
      <w:r w:rsidRPr="00893994">
        <w:t>7.03</w:t>
      </w:r>
    </w:p>
    <w:p w14:paraId="6C1804DB" w14:textId="5A675597" w:rsidR="00952D26" w:rsidRPr="00026EC1" w:rsidRDefault="00952D26" w:rsidP="00A64613">
      <w:pPr>
        <w:keepNext w:val="0"/>
      </w:pPr>
      <w:r w:rsidRPr="00026EC1">
        <w:t>Sous réserve de l’ordre de priorité prévu à l’alinéa d) de la clause 5</w:t>
      </w:r>
      <w:r w:rsidR="00984A6F">
        <w:noBreakHyphen/>
      </w:r>
      <w:r w:rsidRPr="00026EC1">
        <w:t xml:space="preserve">4.17, la sélection des enseignantes et enseignants à la formation continue est faite selon le mécanisme que le Collège détermine, à moins d’entente entre les parties. </w:t>
      </w:r>
    </w:p>
    <w:p w14:paraId="707F48E8" w14:textId="77777777" w:rsidR="00952D26" w:rsidRPr="00026EC1" w:rsidRDefault="00952D26" w:rsidP="00A64613">
      <w:pPr>
        <w:keepNext w:val="0"/>
      </w:pPr>
    </w:p>
    <w:p w14:paraId="5E1CD627" w14:textId="77777777" w:rsidR="00952D26" w:rsidRPr="00026EC1" w:rsidRDefault="00952D26" w:rsidP="00A64613">
      <w:pPr>
        <w:keepNext w:val="0"/>
      </w:pPr>
      <w:r w:rsidRPr="00026EC1">
        <w:t>Ce mécanisme de sélection prévoit l’établissement de l’ordre d’engagement des candidates et des candidats retenus.</w:t>
      </w:r>
    </w:p>
    <w:p w14:paraId="13508956" w14:textId="77777777" w:rsidR="00952D26" w:rsidRPr="00026EC1" w:rsidRDefault="00952D26" w:rsidP="00A64613">
      <w:pPr>
        <w:keepNext w:val="0"/>
        <w:rPr>
          <w:b/>
        </w:rPr>
      </w:pPr>
    </w:p>
    <w:p w14:paraId="13B162B0" w14:textId="77777777" w:rsidR="00952D26" w:rsidRPr="00026EC1" w:rsidRDefault="00952D26" w:rsidP="00A64613">
      <w:pPr>
        <w:keepNext w:val="0"/>
        <w:rPr>
          <w:b/>
        </w:rPr>
      </w:pPr>
      <w:r w:rsidRPr="00026EC1">
        <w:t>Toutefois, les parties peuvent, par entente, convenir d’un comité de sélection commun pour l’enseignement régulier et la formation continue.</w:t>
      </w:r>
    </w:p>
    <w:p w14:paraId="1723C77E" w14:textId="77777777" w:rsidR="00952D26" w:rsidRPr="00026EC1" w:rsidRDefault="00952D26" w:rsidP="00A64613">
      <w:pPr>
        <w:keepNext w:val="0"/>
        <w:rPr>
          <w:b/>
        </w:rPr>
      </w:pPr>
    </w:p>
    <w:p w14:paraId="52A8E02C" w14:textId="6EC10287" w:rsidR="00952D26" w:rsidRPr="00893994" w:rsidRDefault="00952D26" w:rsidP="00A64613">
      <w:pPr>
        <w:pStyle w:val="NUMRODECLAUSE"/>
        <w:keepNext w:val="0"/>
      </w:pPr>
      <w:r w:rsidRPr="00893994">
        <w:t>8</w:t>
      </w:r>
      <w:r w:rsidR="00984A6F">
        <w:noBreakHyphen/>
      </w:r>
      <w:r w:rsidRPr="00893994">
        <w:t>7.04</w:t>
      </w:r>
    </w:p>
    <w:p w14:paraId="33ACE90D" w14:textId="53AAC931" w:rsidR="00952D26" w:rsidRPr="00026EC1" w:rsidRDefault="00952D26" w:rsidP="00A64613">
      <w:pPr>
        <w:keepNext w:val="0"/>
      </w:pPr>
      <w:r w:rsidRPr="00026EC1">
        <w:t>À moins d’entente entre les parties, le chapitre 7</w:t>
      </w:r>
      <w:r w:rsidR="00984A6F">
        <w:noBreakHyphen/>
      </w:r>
      <w:r w:rsidRPr="00026EC1">
        <w:t>0.00 ne s’applique pas à l’enseignante ou l’enseignant à la formation continue.</w:t>
      </w:r>
    </w:p>
    <w:p w14:paraId="0B75753D" w14:textId="77777777" w:rsidR="008B12D1" w:rsidRPr="00026EC1" w:rsidRDefault="008B12D1" w:rsidP="00A64613">
      <w:pPr>
        <w:pStyle w:val="NUMRODECLAUSE"/>
        <w:keepNext w:val="0"/>
      </w:pPr>
    </w:p>
    <w:p w14:paraId="341F4CA6" w14:textId="30ADF2B3" w:rsidR="00952D26" w:rsidRPr="00893994" w:rsidRDefault="00952D26" w:rsidP="00A64613">
      <w:pPr>
        <w:pStyle w:val="NUMRODECLAUSE"/>
        <w:keepNext w:val="0"/>
      </w:pPr>
      <w:r w:rsidRPr="00893994">
        <w:t>8</w:t>
      </w:r>
      <w:r w:rsidR="00984A6F">
        <w:noBreakHyphen/>
      </w:r>
      <w:r w:rsidRPr="00893994">
        <w:t>7.05</w:t>
      </w:r>
    </w:p>
    <w:p w14:paraId="2FCC4B95" w14:textId="34196EDC" w:rsidR="00952D26" w:rsidRPr="00026EC1" w:rsidRDefault="00952D26" w:rsidP="00A64613">
      <w:pPr>
        <w:keepNext w:val="0"/>
      </w:pPr>
      <w:r w:rsidRPr="00026EC1">
        <w:t>Les enseignantes et enseignants à la formation continue ne sont pas comptabilisés aux fins des clauses 7</w:t>
      </w:r>
      <w:r w:rsidR="00984A6F">
        <w:noBreakHyphen/>
      </w:r>
      <w:r w:rsidRPr="00026EC1">
        <w:t>1.01 et 7</w:t>
      </w:r>
      <w:r w:rsidR="00984A6F">
        <w:noBreakHyphen/>
      </w:r>
      <w:r w:rsidRPr="00026EC1">
        <w:t>1.02 de la convention collective.</w:t>
      </w:r>
    </w:p>
    <w:p w14:paraId="4B7C4D59" w14:textId="77777777" w:rsidR="00952D26" w:rsidRPr="00026EC1" w:rsidRDefault="00952D26" w:rsidP="00A64613">
      <w:pPr>
        <w:keepNext w:val="0"/>
      </w:pPr>
    </w:p>
    <w:p w14:paraId="7AB02E56" w14:textId="04C0BB05" w:rsidR="00952D26" w:rsidRPr="00893994" w:rsidRDefault="00952D26" w:rsidP="00A64613">
      <w:pPr>
        <w:pStyle w:val="NUMRODECLAUSE"/>
        <w:keepNext w:val="0"/>
      </w:pPr>
      <w:r w:rsidRPr="00893994">
        <w:t>8</w:t>
      </w:r>
      <w:r w:rsidR="00984A6F">
        <w:noBreakHyphen/>
      </w:r>
      <w:r w:rsidRPr="00893994">
        <w:t>7.06</w:t>
      </w:r>
    </w:p>
    <w:p w14:paraId="53EEA5BB" w14:textId="793D9F9A" w:rsidR="00952D26" w:rsidRDefault="00952D26" w:rsidP="00A64613">
      <w:pPr>
        <w:keepNext w:val="0"/>
      </w:pPr>
      <w:r w:rsidRPr="00026EC1">
        <w:t>Les procédures de grief et d’arbitrage prévues au chapitre 9</w:t>
      </w:r>
      <w:r w:rsidR="00984A6F">
        <w:noBreakHyphen/>
      </w:r>
      <w:r w:rsidRPr="00026EC1">
        <w:t>0.00 s’appliquent aux enseignantes et enseignants de la formation continue pour les seules dispositions prévues à la convention collective qui les régissent.</w:t>
      </w:r>
    </w:p>
    <w:p w14:paraId="5AE695C1" w14:textId="65ACDAD9" w:rsidR="00B6500A" w:rsidRDefault="00B6500A">
      <w:pPr>
        <w:keepNext w:val="0"/>
        <w:suppressAutoHyphens w:val="0"/>
        <w:jc w:val="left"/>
      </w:pPr>
      <w:r>
        <w:br w:type="page"/>
      </w:r>
    </w:p>
    <w:p w14:paraId="7F72BB7C" w14:textId="24660D7C" w:rsidR="00952D26" w:rsidRPr="00A6307F" w:rsidRDefault="00952D26" w:rsidP="00A64613">
      <w:pPr>
        <w:pStyle w:val="NUMRODECLAUSE"/>
        <w:keepNext w:val="0"/>
      </w:pPr>
      <w:r w:rsidRPr="00A6307F">
        <w:t>8</w:t>
      </w:r>
      <w:r w:rsidR="00984A6F">
        <w:noBreakHyphen/>
      </w:r>
      <w:r w:rsidRPr="00A6307F">
        <w:t>7.07</w:t>
      </w:r>
    </w:p>
    <w:p w14:paraId="6F8F6F91" w14:textId="6B8B5169" w:rsidR="00952D26" w:rsidRPr="00026EC1" w:rsidRDefault="00952D26" w:rsidP="00A64613">
      <w:pPr>
        <w:keepNext w:val="0"/>
      </w:pPr>
      <w:r w:rsidRPr="00026EC1">
        <w:t>Le Collège peut utiliser les ressources prévues aux clauses 8</w:t>
      </w:r>
      <w:r w:rsidR="00984A6F">
        <w:noBreakHyphen/>
      </w:r>
      <w:r w:rsidRPr="00026EC1">
        <w:t>5.04</w:t>
      </w:r>
      <w:r w:rsidRPr="00026EC1">
        <w:rPr>
          <w:bCs/>
        </w:rPr>
        <w:t>,</w:t>
      </w:r>
      <w:r w:rsidRPr="00026EC1">
        <w:t xml:space="preserve"> 8</w:t>
      </w:r>
      <w:r w:rsidR="00984A6F">
        <w:noBreakHyphen/>
      </w:r>
      <w:r w:rsidRPr="00026EC1">
        <w:t xml:space="preserve">5.05 </w:t>
      </w:r>
      <w:r w:rsidRPr="00026EC1">
        <w:rPr>
          <w:bCs/>
        </w:rPr>
        <w:t>et 8</w:t>
      </w:r>
      <w:r w:rsidR="00984A6F">
        <w:rPr>
          <w:bCs/>
        </w:rPr>
        <w:noBreakHyphen/>
      </w:r>
      <w:r w:rsidRPr="00026EC1">
        <w:rPr>
          <w:bCs/>
        </w:rPr>
        <w:t>5.06</w:t>
      </w:r>
      <w:r w:rsidRPr="00026EC1">
        <w:t xml:space="preserve"> afin de créer une ou des charges </w:t>
      </w:r>
      <w:r w:rsidR="001A7877" w:rsidRPr="00316277">
        <w:t>à la formation continue (CFC)</w:t>
      </w:r>
      <w:r w:rsidR="001A7877">
        <w:t xml:space="preserve"> </w:t>
      </w:r>
      <w:r w:rsidRPr="00026EC1">
        <w:t xml:space="preserve">à temps complet </w:t>
      </w:r>
      <w:r w:rsidRPr="00026EC1">
        <w:rPr>
          <w:bCs/>
        </w:rPr>
        <w:t>ou à temps partiel</w:t>
      </w:r>
      <w:r w:rsidRPr="00026EC1">
        <w:t>. Une telle charge est comptabilisée pour une valeur de z</w:t>
      </w:r>
      <w:r w:rsidR="004A63AE" w:rsidRPr="00026EC1">
        <w:t>éro virgule quarante</w:t>
      </w:r>
      <w:r w:rsidR="00984A6F">
        <w:noBreakHyphen/>
      </w:r>
      <w:r w:rsidR="004A63AE" w:rsidRPr="00026EC1">
        <w:t>six (0,46) </w:t>
      </w:r>
      <w:r w:rsidRPr="00026EC1">
        <w:t>ETC aux fins de l’application de l’article 8</w:t>
      </w:r>
      <w:r w:rsidR="00984A6F">
        <w:noBreakHyphen/>
      </w:r>
      <w:r w:rsidRPr="00026EC1">
        <w:t>5.00.</w:t>
      </w:r>
    </w:p>
    <w:p w14:paraId="6CB800B0" w14:textId="77777777" w:rsidR="00952D26" w:rsidRPr="00026EC1" w:rsidRDefault="00952D26" w:rsidP="00A64613">
      <w:pPr>
        <w:keepNext w:val="0"/>
      </w:pPr>
    </w:p>
    <w:p w14:paraId="69FF593F" w14:textId="15C8B7FC" w:rsidR="00952D26" w:rsidRPr="00026EC1" w:rsidRDefault="00952D26" w:rsidP="00A64613">
      <w:pPr>
        <w:keepNext w:val="0"/>
      </w:pPr>
      <w:r w:rsidRPr="00026EC1">
        <w:t xml:space="preserve">La charge d’enseignement de l’enseignante ou de l’enseignant qui occupe une charge à temps complet </w:t>
      </w:r>
      <w:r w:rsidRPr="00026EC1">
        <w:rPr>
          <w:bCs/>
        </w:rPr>
        <w:t xml:space="preserve">ou à temps partiel </w:t>
      </w:r>
      <w:r w:rsidRPr="00026EC1">
        <w:t>à la formation continue est calculée selon l’Annexe I</w:t>
      </w:r>
      <w:r w:rsidR="00984A6F">
        <w:noBreakHyphen/>
      </w:r>
      <w:r w:rsidRPr="00026EC1">
        <w:t>1.</w:t>
      </w:r>
    </w:p>
    <w:p w14:paraId="040FA2BA" w14:textId="77777777" w:rsidR="00952D26" w:rsidRPr="00026EC1" w:rsidRDefault="00952D26" w:rsidP="00A64613">
      <w:pPr>
        <w:keepNext w:val="0"/>
      </w:pPr>
    </w:p>
    <w:p w14:paraId="66E26F11" w14:textId="2252B85D" w:rsidR="00952D26" w:rsidRPr="00026EC1" w:rsidRDefault="00952D26" w:rsidP="00A64613">
      <w:pPr>
        <w:keepNext w:val="0"/>
      </w:pPr>
      <w:r w:rsidRPr="00026EC1">
        <w:t>Ces charges ne peuvent en aucun temps servir aux fins d’acquisition de la permanence sous réserve des clauses 5</w:t>
      </w:r>
      <w:r w:rsidR="00984A6F">
        <w:noBreakHyphen/>
      </w:r>
      <w:r w:rsidRPr="00026EC1">
        <w:t>2.06 et 5</w:t>
      </w:r>
      <w:r w:rsidR="00984A6F">
        <w:noBreakHyphen/>
      </w:r>
      <w:r w:rsidRPr="00026EC1">
        <w:t>2.07.</w:t>
      </w:r>
    </w:p>
    <w:p w14:paraId="17CBD38B" w14:textId="77777777" w:rsidR="00952D26" w:rsidRPr="00026EC1" w:rsidRDefault="00952D26" w:rsidP="00A64613">
      <w:pPr>
        <w:keepNext w:val="0"/>
      </w:pPr>
    </w:p>
    <w:p w14:paraId="017F3259" w14:textId="77777777" w:rsidR="00952D26" w:rsidRPr="00026EC1" w:rsidRDefault="00952D26" w:rsidP="00A64613">
      <w:pPr>
        <w:keepNext w:val="0"/>
      </w:pPr>
      <w:r w:rsidRPr="00026EC1">
        <w:t>L’enseignante ou l’enseignant affecté à une telle charge jouit, pour autant que le texte de la convention collective le permette et alors de la façon dont il le permet et à moins de disposition contraire au présent article, des droits et avantages que procure une année d’enseignement.</w:t>
      </w:r>
    </w:p>
    <w:p w14:paraId="07BB3250" w14:textId="77777777" w:rsidR="00952D26" w:rsidRPr="00026EC1" w:rsidRDefault="00952D26" w:rsidP="00A64613">
      <w:pPr>
        <w:keepNext w:val="0"/>
      </w:pPr>
    </w:p>
    <w:p w14:paraId="3385E076" w14:textId="77777777" w:rsidR="00952D26" w:rsidRPr="00026EC1" w:rsidRDefault="00952D26" w:rsidP="00A64613">
      <w:pPr>
        <w:keepNext w:val="0"/>
      </w:pPr>
      <w:r w:rsidRPr="00026EC1">
        <w:t>L’enseignante ou l’enseignant détenant une charge à temps complet à la formation continue peut substituer partiellement ou totalement sa charge avec celle d’une enseignante ou d’un enseignant régulier après avoir obtenu l’accord du Collège qui en avise le département.</w:t>
      </w:r>
    </w:p>
    <w:p w14:paraId="3200D317" w14:textId="77777777" w:rsidR="00952D26" w:rsidRPr="00026EC1" w:rsidRDefault="00952D26" w:rsidP="00A64613">
      <w:pPr>
        <w:keepNext w:val="0"/>
      </w:pPr>
    </w:p>
    <w:p w14:paraId="64AEEEBC" w14:textId="361F3B3C" w:rsidR="00952D26" w:rsidRPr="00026EC1" w:rsidRDefault="00952D26" w:rsidP="00A64613">
      <w:pPr>
        <w:pStyle w:val="NUMRODECLAUSE"/>
        <w:keepNext w:val="0"/>
      </w:pPr>
      <w:r w:rsidRPr="00026EC1">
        <w:t>8</w:t>
      </w:r>
      <w:r w:rsidR="00984A6F">
        <w:noBreakHyphen/>
      </w:r>
      <w:r w:rsidRPr="00026EC1">
        <w:t>7.08</w:t>
      </w:r>
    </w:p>
    <w:p w14:paraId="26098E88" w14:textId="6B7EDB69" w:rsidR="00952D26" w:rsidRPr="00026EC1" w:rsidRDefault="00952D26" w:rsidP="00A64613">
      <w:pPr>
        <w:keepNext w:val="0"/>
      </w:pPr>
      <w:r w:rsidRPr="00026EC1">
        <w:t>À compter de l’année</w:t>
      </w:r>
      <w:r w:rsidR="007F1146">
        <w:t xml:space="preserve"> </w:t>
      </w:r>
      <w:r w:rsidR="007F1146" w:rsidRPr="00316277">
        <w:t>d’engagement</w:t>
      </w:r>
      <w:r w:rsidR="001B2AD8">
        <w:t xml:space="preserve"> </w:t>
      </w:r>
      <w:r w:rsidR="001B2AD8" w:rsidRPr="00316277">
        <w:t>2024</w:t>
      </w:r>
      <w:r w:rsidR="001B2AD8" w:rsidRPr="00316277">
        <w:noBreakHyphen/>
        <w:t>2025</w:t>
      </w:r>
      <w:r w:rsidRPr="00026EC1">
        <w:t>, le Collège dispose de</w:t>
      </w:r>
      <w:r w:rsidR="00227BEA">
        <w:t xml:space="preserve"> </w:t>
      </w:r>
      <w:r w:rsidR="00227BEA" w:rsidRPr="00316277">
        <w:t>CFC</w:t>
      </w:r>
      <w:r w:rsidRPr="00026EC1">
        <w:t>, prévues à l’Annexe</w:t>
      </w:r>
      <w:r w:rsidR="0065096A">
        <w:t> </w:t>
      </w:r>
      <w:r w:rsidRPr="00026EC1">
        <w:t>I</w:t>
      </w:r>
      <w:r w:rsidR="00984A6F">
        <w:noBreakHyphen/>
      </w:r>
      <w:r w:rsidRPr="00026EC1">
        <w:t>13</w:t>
      </w:r>
      <w:r w:rsidR="007F1146" w:rsidRPr="00316277">
        <w:rPr>
          <w:rStyle w:val="FootnoteReference"/>
        </w:rPr>
        <w:footnoteReference w:id="43"/>
      </w:r>
      <w:r w:rsidRPr="00026EC1">
        <w:t>. Les paragr</w:t>
      </w:r>
      <w:r w:rsidR="004A63AE" w:rsidRPr="00026EC1">
        <w:t>aphes</w:t>
      </w:r>
      <w:r w:rsidR="00227BEA">
        <w:t> </w:t>
      </w:r>
      <w:r w:rsidR="004A63AE" w:rsidRPr="00026EC1">
        <w:t>2, 3, 4 et 5 de la clause </w:t>
      </w:r>
      <w:r w:rsidRPr="00026EC1">
        <w:t>8</w:t>
      </w:r>
      <w:r w:rsidR="00984A6F">
        <w:noBreakHyphen/>
      </w:r>
      <w:r w:rsidRPr="00026EC1">
        <w:t>7.07 s’appliquent à la présente clause</w:t>
      </w:r>
      <w:r w:rsidR="009836F3" w:rsidRPr="00026EC1">
        <w:t>.</w:t>
      </w:r>
    </w:p>
    <w:p w14:paraId="57ADCCAC" w14:textId="77777777" w:rsidR="00952D26" w:rsidRPr="00026EC1" w:rsidRDefault="00952D26" w:rsidP="00A64613">
      <w:pPr>
        <w:keepNext w:val="0"/>
        <w:rPr>
          <w:b/>
        </w:rPr>
      </w:pPr>
    </w:p>
    <w:p w14:paraId="4191D773" w14:textId="0B85BE65" w:rsidR="00952D26" w:rsidRPr="00026EC1" w:rsidRDefault="00952D26" w:rsidP="00A64613">
      <w:pPr>
        <w:pStyle w:val="NUMRODECLAUSE"/>
        <w:keepNext w:val="0"/>
      </w:pPr>
      <w:r w:rsidRPr="00026EC1">
        <w:t>8</w:t>
      </w:r>
      <w:r w:rsidR="00984A6F">
        <w:noBreakHyphen/>
      </w:r>
      <w:r w:rsidRPr="00026EC1">
        <w:t>7.09</w:t>
      </w:r>
    </w:p>
    <w:p w14:paraId="1F561A2A" w14:textId="5F609AE3" w:rsidR="002E30A2" w:rsidRPr="00316277" w:rsidRDefault="002E30A2" w:rsidP="002E30A2">
      <w:pPr>
        <w:pStyle w:val="Default"/>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 xml:space="preserve">Le Collège informe le </w:t>
      </w:r>
      <w:r w:rsidR="00BE127F" w:rsidRPr="00316277">
        <w:rPr>
          <w:rFonts w:ascii="Arial" w:eastAsia="Times New Roman" w:hAnsi="Arial" w:cs="Times New Roman"/>
          <w:snapToGrid w:val="0"/>
          <w:color w:val="auto"/>
          <w:szCs w:val="20"/>
          <w:lang w:eastAsia="fr-FR"/>
        </w:rPr>
        <w:t>S</w:t>
      </w:r>
      <w:r w:rsidRPr="00316277">
        <w:rPr>
          <w:rFonts w:ascii="Arial" w:eastAsia="Times New Roman" w:hAnsi="Arial" w:cs="Times New Roman"/>
          <w:snapToGrid w:val="0"/>
          <w:color w:val="auto"/>
          <w:szCs w:val="20"/>
          <w:lang w:eastAsia="fr-FR"/>
        </w:rPr>
        <w:t>yndicat :</w:t>
      </w:r>
    </w:p>
    <w:p w14:paraId="4E8E15A6" w14:textId="7FCDF5E7" w:rsidR="002E30A2" w:rsidRDefault="002E30A2" w:rsidP="001B2AD8">
      <w:pPr>
        <w:keepNext w:val="0"/>
      </w:pPr>
    </w:p>
    <w:p w14:paraId="3E45BB90" w14:textId="36C22171" w:rsidR="002E30A2" w:rsidRPr="00316277" w:rsidRDefault="002E30A2" w:rsidP="009F1A8D">
      <w:pPr>
        <w:pStyle w:val="Default"/>
        <w:numPr>
          <w:ilvl w:val="0"/>
          <w:numId w:val="75"/>
        </w:numPr>
        <w:ind w:left="709" w:hanging="274"/>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Au plus tard le 15</w:t>
      </w:r>
      <w:r w:rsidR="000A7AF8">
        <w:rPr>
          <w:rFonts w:ascii="Arial" w:eastAsia="Times New Roman" w:hAnsi="Arial" w:cs="Times New Roman"/>
          <w:snapToGrid w:val="0"/>
          <w:color w:val="auto"/>
          <w:szCs w:val="20"/>
          <w:lang w:eastAsia="fr-FR"/>
        </w:rPr>
        <w:t> </w:t>
      </w:r>
      <w:r w:rsidRPr="00316277">
        <w:rPr>
          <w:rFonts w:ascii="Arial" w:eastAsia="Times New Roman" w:hAnsi="Arial" w:cs="Times New Roman"/>
          <w:snapToGrid w:val="0"/>
          <w:color w:val="auto"/>
          <w:szCs w:val="20"/>
          <w:lang w:eastAsia="fr-FR"/>
        </w:rPr>
        <w:t>mai, de sa prévision d’offre de formation créditée à la formation continue pour l’année d’engagement suivante.</w:t>
      </w:r>
    </w:p>
    <w:p w14:paraId="14394866" w14:textId="4E06E9B1" w:rsidR="002E30A2" w:rsidRPr="00316277" w:rsidRDefault="002E30A2" w:rsidP="009F1A8D">
      <w:pPr>
        <w:pStyle w:val="Default"/>
        <w:numPr>
          <w:ilvl w:val="0"/>
          <w:numId w:val="75"/>
        </w:numPr>
        <w:ind w:left="709" w:hanging="274"/>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Au plus tard le 15</w:t>
      </w:r>
      <w:r w:rsidR="000A7AF8">
        <w:rPr>
          <w:rFonts w:ascii="Arial" w:eastAsia="Times New Roman" w:hAnsi="Arial" w:cs="Times New Roman"/>
          <w:snapToGrid w:val="0"/>
          <w:color w:val="auto"/>
          <w:szCs w:val="20"/>
          <w:lang w:eastAsia="fr-FR"/>
        </w:rPr>
        <w:t> </w:t>
      </w:r>
      <w:r w:rsidRPr="00316277">
        <w:rPr>
          <w:rFonts w:ascii="Arial" w:eastAsia="Times New Roman" w:hAnsi="Arial" w:cs="Times New Roman"/>
          <w:snapToGrid w:val="0"/>
          <w:color w:val="auto"/>
          <w:szCs w:val="20"/>
          <w:lang w:eastAsia="fr-FR"/>
        </w:rPr>
        <w:t>novembre, des modifications à l’offre de formation créditée à la formation continue pour l’année d’engagement en cours.</w:t>
      </w:r>
    </w:p>
    <w:p w14:paraId="1B5F9E39" w14:textId="32A42633" w:rsidR="002E30A2" w:rsidRDefault="002E30A2" w:rsidP="001C34A6">
      <w:pPr>
        <w:keepNext w:val="0"/>
        <w:ind w:firstLine="284"/>
      </w:pPr>
    </w:p>
    <w:p w14:paraId="4553B04F" w14:textId="0E94C45C" w:rsidR="001C34A6" w:rsidRPr="00316277" w:rsidRDefault="001C34A6" w:rsidP="001C34A6">
      <w:pPr>
        <w:pStyle w:val="Default"/>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 xml:space="preserve">Le Collège informe le </w:t>
      </w:r>
      <w:r w:rsidR="00BE127F" w:rsidRPr="00316277">
        <w:rPr>
          <w:rFonts w:ascii="Arial" w:eastAsia="Times New Roman" w:hAnsi="Arial" w:cs="Times New Roman"/>
          <w:snapToGrid w:val="0"/>
          <w:color w:val="auto"/>
          <w:szCs w:val="20"/>
          <w:lang w:eastAsia="fr-FR"/>
        </w:rPr>
        <w:t>S</w:t>
      </w:r>
      <w:r w:rsidRPr="00316277">
        <w:rPr>
          <w:rFonts w:ascii="Arial" w:eastAsia="Times New Roman" w:hAnsi="Arial" w:cs="Times New Roman"/>
          <w:snapToGrid w:val="0"/>
          <w:color w:val="auto"/>
          <w:szCs w:val="20"/>
          <w:lang w:eastAsia="fr-FR"/>
        </w:rPr>
        <w:t>yndicat :</w:t>
      </w:r>
    </w:p>
    <w:p w14:paraId="369F9E4B" w14:textId="0767ECDB" w:rsidR="001C34A6" w:rsidRPr="00BE0553" w:rsidRDefault="001C34A6" w:rsidP="007F1146">
      <w:pPr>
        <w:pStyle w:val="ListParagraph"/>
        <w:numPr>
          <w:ilvl w:val="0"/>
          <w:numId w:val="46"/>
        </w:numPr>
        <w:ind w:left="709" w:hanging="283"/>
        <w:rPr>
          <w:rFonts w:eastAsia="Times New Roman"/>
          <w:snapToGrid w:val="0"/>
          <w:szCs w:val="20"/>
          <w:lang w:eastAsia="fr-FR"/>
        </w:rPr>
      </w:pPr>
      <w:r w:rsidRPr="001D2D45">
        <w:rPr>
          <w:rFonts w:eastAsia="Times New Roman"/>
          <w:snapToGrid w:val="0"/>
          <w:szCs w:val="20"/>
          <w:lang w:eastAsia="fr-FR"/>
        </w:rPr>
        <w:t>Au plus tard le 15</w:t>
      </w:r>
      <w:r w:rsidR="000A7AF8">
        <w:rPr>
          <w:rFonts w:eastAsia="Times New Roman"/>
          <w:snapToGrid w:val="0"/>
          <w:szCs w:val="20"/>
          <w:lang w:eastAsia="fr-FR"/>
        </w:rPr>
        <w:t> </w:t>
      </w:r>
      <w:r w:rsidRPr="001D2D45">
        <w:rPr>
          <w:rFonts w:eastAsia="Times New Roman"/>
          <w:snapToGrid w:val="0"/>
          <w:szCs w:val="20"/>
          <w:lang w:eastAsia="fr-FR"/>
        </w:rPr>
        <w:t xml:space="preserve">juin, de l’utilisation qu’il prévoit faire </w:t>
      </w:r>
      <w:r w:rsidR="007F1146" w:rsidRPr="00316277">
        <w:rPr>
          <w:rFonts w:eastAsia="Times New Roman"/>
          <w:snapToGrid w:val="0"/>
          <w:szCs w:val="20"/>
          <w:lang w:eastAsia="fr-FR"/>
        </w:rPr>
        <w:t xml:space="preserve">de l’ensemble </w:t>
      </w:r>
      <w:r w:rsidRPr="00316277">
        <w:rPr>
          <w:rFonts w:eastAsia="Times New Roman"/>
          <w:snapToGrid w:val="0"/>
          <w:szCs w:val="20"/>
          <w:lang w:eastAsia="fr-FR"/>
        </w:rPr>
        <w:t>des CFC de l’Annexe I</w:t>
      </w:r>
      <w:r w:rsidR="000967EC" w:rsidRPr="00316277">
        <w:rPr>
          <w:rFonts w:eastAsia="Times New Roman"/>
          <w:snapToGrid w:val="0"/>
          <w:szCs w:val="20"/>
          <w:lang w:eastAsia="fr-FR"/>
        </w:rPr>
        <w:noBreakHyphen/>
      </w:r>
      <w:r w:rsidRPr="00316277">
        <w:rPr>
          <w:rFonts w:eastAsia="Times New Roman"/>
          <w:snapToGrid w:val="0"/>
          <w:szCs w:val="20"/>
          <w:lang w:eastAsia="fr-FR"/>
        </w:rPr>
        <w:t>13</w:t>
      </w:r>
      <w:r>
        <w:rPr>
          <w:rFonts w:eastAsia="Times New Roman"/>
          <w:snapToGrid w:val="0"/>
          <w:szCs w:val="20"/>
          <w:lang w:eastAsia="fr-FR"/>
        </w:rPr>
        <w:t xml:space="preserve"> </w:t>
      </w:r>
      <w:r w:rsidRPr="001D2D45">
        <w:rPr>
          <w:rFonts w:eastAsia="Times New Roman"/>
          <w:snapToGrid w:val="0"/>
          <w:szCs w:val="20"/>
          <w:lang w:eastAsia="fr-FR"/>
        </w:rPr>
        <w:t>pour l’année d’engagement suivante;</w:t>
      </w:r>
    </w:p>
    <w:p w14:paraId="248863B0" w14:textId="58126CAD" w:rsidR="001C34A6" w:rsidRPr="00316277" w:rsidRDefault="001C34A6" w:rsidP="007F1146">
      <w:pPr>
        <w:pStyle w:val="Default"/>
        <w:numPr>
          <w:ilvl w:val="0"/>
          <w:numId w:val="46"/>
        </w:numPr>
        <w:ind w:left="709" w:hanging="283"/>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 xml:space="preserve">Au plus tard le 15 octobre et le 28 février, des CFC attribuées </w:t>
      </w:r>
      <w:r w:rsidR="007F1146" w:rsidRPr="00316277">
        <w:rPr>
          <w:rFonts w:ascii="Arial" w:eastAsia="Times New Roman" w:hAnsi="Arial" w:cs="Times New Roman"/>
          <w:snapToGrid w:val="0"/>
          <w:color w:val="auto"/>
          <w:szCs w:val="20"/>
          <w:lang w:eastAsia="fr-FR"/>
        </w:rPr>
        <w:t>en vertu de</w:t>
      </w:r>
      <w:r w:rsidRPr="00316277">
        <w:rPr>
          <w:rFonts w:ascii="Arial" w:eastAsia="Times New Roman" w:hAnsi="Arial" w:cs="Times New Roman"/>
          <w:snapToGrid w:val="0"/>
          <w:color w:val="auto"/>
          <w:szCs w:val="20"/>
          <w:lang w:eastAsia="fr-FR"/>
        </w:rPr>
        <w:t xml:space="preserve"> l’</w:t>
      </w:r>
      <w:r w:rsidR="00926507" w:rsidRPr="00316277">
        <w:rPr>
          <w:rFonts w:ascii="Arial" w:eastAsia="Times New Roman" w:hAnsi="Arial" w:cs="Times New Roman"/>
          <w:snapToGrid w:val="0"/>
          <w:color w:val="auto"/>
          <w:szCs w:val="20"/>
          <w:lang w:eastAsia="fr-FR"/>
        </w:rPr>
        <w:t>A</w:t>
      </w:r>
      <w:r w:rsidRPr="00316277">
        <w:rPr>
          <w:rFonts w:ascii="Arial" w:eastAsia="Times New Roman" w:hAnsi="Arial" w:cs="Times New Roman"/>
          <w:snapToGrid w:val="0"/>
          <w:color w:val="auto"/>
          <w:szCs w:val="20"/>
          <w:lang w:eastAsia="fr-FR"/>
        </w:rPr>
        <w:t>nnexe I</w:t>
      </w:r>
      <w:r w:rsidRPr="00316277">
        <w:rPr>
          <w:rFonts w:ascii="Arial" w:eastAsia="Times New Roman" w:hAnsi="Arial" w:cs="Times New Roman"/>
          <w:snapToGrid w:val="0"/>
          <w:color w:val="auto"/>
          <w:szCs w:val="20"/>
          <w:lang w:eastAsia="fr-FR"/>
        </w:rPr>
        <w:noBreakHyphen/>
        <w:t>13 pour l’année d’engagement en cours;</w:t>
      </w:r>
    </w:p>
    <w:p w14:paraId="671B1B61" w14:textId="6E8FECC4" w:rsidR="000A7AF8" w:rsidRDefault="001C34A6" w:rsidP="009F1A8D">
      <w:pPr>
        <w:pStyle w:val="Default"/>
        <w:numPr>
          <w:ilvl w:val="0"/>
          <w:numId w:val="46"/>
        </w:numPr>
        <w:ind w:left="709" w:hanging="283"/>
        <w:jc w:val="both"/>
        <w:rPr>
          <w:rFonts w:ascii="Arial" w:eastAsia="Times New Roman" w:hAnsi="Arial" w:cs="Times New Roman"/>
          <w:snapToGrid w:val="0"/>
          <w:color w:val="auto"/>
          <w:szCs w:val="20"/>
          <w:lang w:eastAsia="fr-FR"/>
        </w:rPr>
      </w:pPr>
      <w:r w:rsidRPr="00316277">
        <w:rPr>
          <w:rFonts w:ascii="Arial" w:eastAsia="Times New Roman" w:hAnsi="Arial" w:cs="Times New Roman"/>
          <w:snapToGrid w:val="0"/>
          <w:color w:val="auto"/>
          <w:szCs w:val="20"/>
          <w:lang w:eastAsia="fr-FR"/>
        </w:rPr>
        <w:t>Au plus tard le 15 octobre, de la comptabilisation des CFC de l’année d’engagement précédente.</w:t>
      </w:r>
    </w:p>
    <w:p w14:paraId="227B1470" w14:textId="77777777" w:rsidR="000A7AF8" w:rsidRDefault="000A7AF8">
      <w:pPr>
        <w:keepNext w:val="0"/>
        <w:suppressAutoHyphens w:val="0"/>
        <w:jc w:val="left"/>
      </w:pPr>
      <w:r>
        <w:br w:type="page"/>
      </w:r>
    </w:p>
    <w:p w14:paraId="3F792AA0" w14:textId="45B0E2E0" w:rsidR="00952D26" w:rsidRPr="00026EC1" w:rsidRDefault="00952D26" w:rsidP="00A64613">
      <w:pPr>
        <w:pStyle w:val="NUMRODECLAUSE"/>
        <w:keepNext w:val="0"/>
      </w:pPr>
      <w:r w:rsidRPr="00026EC1">
        <w:t>8</w:t>
      </w:r>
      <w:r w:rsidR="00984A6F">
        <w:noBreakHyphen/>
      </w:r>
      <w:r w:rsidRPr="00026EC1">
        <w:t>7.10</w:t>
      </w:r>
    </w:p>
    <w:p w14:paraId="2664FF30" w14:textId="77777777" w:rsidR="00952D26" w:rsidRPr="00026EC1" w:rsidRDefault="00952D26" w:rsidP="00A64613">
      <w:pPr>
        <w:keepNext w:val="0"/>
        <w:ind w:right="-7"/>
      </w:pPr>
      <w:r w:rsidRPr="00026EC1">
        <w:t xml:space="preserve">Les parties peuvent, par entente, convenir du rattachement des enseignantes et des enseignants de la formation continue à un département de l’enseignement régulier et subsidiairement, de leur participation aux rencontres départementales et des activités requises pour la réalisation des fonctions du département auxquelles elles ou ils sont appelés à participer. </w:t>
      </w:r>
    </w:p>
    <w:p w14:paraId="0B9E9DB9" w14:textId="77777777" w:rsidR="00952D26" w:rsidRPr="00026EC1" w:rsidRDefault="00952D26" w:rsidP="00A64613">
      <w:pPr>
        <w:keepNext w:val="0"/>
        <w:ind w:right="-716"/>
      </w:pPr>
    </w:p>
    <w:p w14:paraId="5F15680B" w14:textId="48DD7FB1" w:rsidR="00952D26" w:rsidRPr="00026EC1" w:rsidRDefault="00952D26" w:rsidP="00A64613">
      <w:pPr>
        <w:keepNext w:val="0"/>
        <w:ind w:right="-7"/>
      </w:pPr>
      <w:r w:rsidRPr="00026EC1">
        <w:t>Lorsque la formation continue offre un programme d’études pour lequel il n’y a pas de DEC de référence ou de DEC apparenté à l’enseignement régulier, les parties peuvent convenir de la création d’un autre lieu d’échange en programme en considérant les activités et les fonctions prévues à l’article</w:t>
      </w:r>
      <w:r w:rsidR="00614AF0">
        <w:t> </w:t>
      </w:r>
      <w:r w:rsidRPr="00026EC1">
        <w:t>4</w:t>
      </w:r>
      <w:r w:rsidR="00984A6F">
        <w:noBreakHyphen/>
      </w:r>
      <w:r w:rsidRPr="00026EC1">
        <w:t>1.00.</w:t>
      </w:r>
    </w:p>
    <w:p w14:paraId="518F1A80" w14:textId="77777777" w:rsidR="001E50B4" w:rsidRDefault="001E50B4" w:rsidP="00A64613">
      <w:pPr>
        <w:keepNext w:val="0"/>
        <w:rPr>
          <w:b/>
        </w:rPr>
      </w:pPr>
    </w:p>
    <w:p w14:paraId="2811DE2D" w14:textId="5284F3F0" w:rsidR="00952D26" w:rsidRPr="00026EC1" w:rsidRDefault="00952D26" w:rsidP="00A64613">
      <w:pPr>
        <w:keepNext w:val="0"/>
        <w:rPr>
          <w:b/>
        </w:rPr>
      </w:pPr>
      <w:r w:rsidRPr="00026EC1">
        <w:rPr>
          <w:b/>
        </w:rPr>
        <w:t xml:space="preserve">Les dispositions suivantes sont l’objet d’une recommandation des parties nationales et sont soumises à l’application de l’article 59 de la </w:t>
      </w:r>
      <w:r w:rsidRPr="00026EC1">
        <w:rPr>
          <w:b/>
          <w:i/>
        </w:rPr>
        <w:t>Loi sur le régime de négociation des conventions collectives dans les secteurs public et parapublic</w:t>
      </w:r>
      <w:r w:rsidRPr="00026EC1">
        <w:rPr>
          <w:b/>
        </w:rPr>
        <w:t>, si elles sont agréées et signées par les parties locales.</w:t>
      </w:r>
    </w:p>
    <w:p w14:paraId="50853B1D" w14:textId="77777777" w:rsidR="00952D26" w:rsidRPr="00026EC1" w:rsidRDefault="00952D26" w:rsidP="00A64613">
      <w:pPr>
        <w:keepNext w:val="0"/>
        <w:rPr>
          <w:b/>
        </w:rPr>
      </w:pPr>
    </w:p>
    <w:p w14:paraId="2239AE6A" w14:textId="4CF89D03" w:rsidR="00952D26" w:rsidRPr="00026EC1" w:rsidRDefault="00952D26" w:rsidP="00A64613">
      <w:pPr>
        <w:pStyle w:val="NUMRODECLAUSE"/>
        <w:keepNext w:val="0"/>
      </w:pPr>
      <w:r w:rsidRPr="00026EC1">
        <w:t>8</w:t>
      </w:r>
      <w:r w:rsidR="00984A6F">
        <w:noBreakHyphen/>
      </w:r>
      <w:r w:rsidRPr="00026EC1">
        <w:t>7.11</w:t>
      </w:r>
    </w:p>
    <w:p w14:paraId="19E4DB0C" w14:textId="33E06DE0" w:rsidR="00952D26" w:rsidRPr="00026EC1" w:rsidRDefault="00952D26" w:rsidP="00A64613">
      <w:pPr>
        <w:keepNext w:val="0"/>
        <w:shd w:val="clear" w:color="auto" w:fill="FFFFFF"/>
      </w:pPr>
      <w:r w:rsidRPr="00026EC1">
        <w:rPr>
          <w:shd w:val="clear" w:color="auto" w:fill="FFFFFF"/>
        </w:rPr>
        <w:t>Sous réserve de pratiques locales qui prévoient une plus grande participation des enseignantes et enseignants au mécanisme de sélection de la formation continue, le Collège invite une</w:t>
      </w:r>
      <w:r w:rsidR="002B6720">
        <w:rPr>
          <w:shd w:val="clear" w:color="auto" w:fill="FFFFFF"/>
        </w:rPr>
        <w:t> </w:t>
      </w:r>
      <w:r w:rsidRPr="00026EC1">
        <w:rPr>
          <w:shd w:val="clear" w:color="auto" w:fill="FFFFFF"/>
        </w:rPr>
        <w:t>(1) enseignante ou un</w:t>
      </w:r>
      <w:r w:rsidR="002B6720">
        <w:rPr>
          <w:shd w:val="clear" w:color="auto" w:fill="FFFFFF"/>
        </w:rPr>
        <w:t> </w:t>
      </w:r>
      <w:r w:rsidRPr="00026EC1">
        <w:rPr>
          <w:shd w:val="clear" w:color="auto" w:fill="FFFFFF"/>
        </w:rPr>
        <w:t>(1) enseignant de la discipline concernée, à l’enseignement régulier, pour participer à la sélection</w:t>
      </w:r>
      <w:r w:rsidRPr="00026EC1">
        <w:t>.</w:t>
      </w:r>
    </w:p>
    <w:p w14:paraId="7BB41A39" w14:textId="77777777" w:rsidR="00952D26" w:rsidRPr="00026EC1" w:rsidRDefault="00952D26" w:rsidP="00A64613">
      <w:pPr>
        <w:keepNext w:val="0"/>
      </w:pPr>
    </w:p>
    <w:p w14:paraId="475EE5C2" w14:textId="047AF361" w:rsidR="00952D26" w:rsidRPr="00026EC1" w:rsidRDefault="00952D26" w:rsidP="00A64613">
      <w:pPr>
        <w:pStyle w:val="NUMRODECLAUSE"/>
        <w:keepNext w:val="0"/>
      </w:pPr>
      <w:r w:rsidRPr="00026EC1">
        <w:t>8</w:t>
      </w:r>
      <w:r w:rsidR="00984A6F">
        <w:noBreakHyphen/>
      </w:r>
      <w:r w:rsidRPr="00026EC1">
        <w:t>7.12</w:t>
      </w:r>
    </w:p>
    <w:p w14:paraId="1EA1106E" w14:textId="7222EAAA" w:rsidR="00952D26" w:rsidRPr="00026EC1" w:rsidRDefault="00952D26" w:rsidP="00A64613">
      <w:pPr>
        <w:keepNext w:val="0"/>
      </w:pPr>
      <w:r w:rsidRPr="00026EC1">
        <w:rPr>
          <w:shd w:val="clear" w:color="auto" w:fill="FFFFFF"/>
        </w:rPr>
        <w:t>Deux fois par année</w:t>
      </w:r>
      <w:r w:rsidRPr="00026EC1">
        <w:t>, au plus tard le 31</w:t>
      </w:r>
      <w:r w:rsidR="002B6720">
        <w:t> </w:t>
      </w:r>
      <w:r w:rsidRPr="00026EC1">
        <w:t>octobre et au plus tard le 1</w:t>
      </w:r>
      <w:r w:rsidRPr="00026EC1">
        <w:rPr>
          <w:vertAlign w:val="superscript"/>
        </w:rPr>
        <w:t>er</w:t>
      </w:r>
      <w:r w:rsidR="002B6720">
        <w:t> </w:t>
      </w:r>
      <w:r w:rsidRPr="00026EC1">
        <w:t xml:space="preserve">mars, le Collège transmet au Syndicat et à la partie syndicale nationale le détail de la charge des enseignantes et enseignants </w:t>
      </w:r>
      <w:r w:rsidRPr="00026EC1">
        <w:rPr>
          <w:shd w:val="clear" w:color="auto" w:fill="FFFFFF"/>
        </w:rPr>
        <w:t>à la formation continue.</w:t>
      </w:r>
    </w:p>
    <w:p w14:paraId="24001458" w14:textId="77777777" w:rsidR="00952D26" w:rsidRPr="00026EC1" w:rsidRDefault="00952D26" w:rsidP="00A64613">
      <w:pPr>
        <w:keepNext w:val="0"/>
      </w:pPr>
    </w:p>
    <w:p w14:paraId="32193947" w14:textId="5823EA0D" w:rsidR="00952D26" w:rsidRPr="00026EC1" w:rsidRDefault="00952D26" w:rsidP="00A64613">
      <w:pPr>
        <w:keepNext w:val="0"/>
      </w:pPr>
      <w:r w:rsidRPr="00026EC1">
        <w:t>Ces renseignements comportent pour chaque enseignante et enseignant</w:t>
      </w:r>
      <w:r w:rsidR="00D8581B">
        <w:t> :</w:t>
      </w:r>
    </w:p>
    <w:p w14:paraId="0CB7334F" w14:textId="77777777" w:rsidR="00952D26" w:rsidRPr="00026EC1" w:rsidRDefault="00952D26" w:rsidP="00A64613">
      <w:pPr>
        <w:keepNext w:val="0"/>
      </w:pPr>
    </w:p>
    <w:p w14:paraId="6B38215B" w14:textId="77777777" w:rsidR="00952D26" w:rsidRPr="00026EC1" w:rsidRDefault="00952D26" w:rsidP="00A64613">
      <w:pPr>
        <w:keepNext w:val="0"/>
        <w:tabs>
          <w:tab w:val="left" w:pos="567"/>
        </w:tabs>
        <w:ind w:left="567" w:hanging="567"/>
      </w:pPr>
      <w:r w:rsidRPr="00026EC1">
        <w:t>a)</w:t>
      </w:r>
      <w:r w:rsidRPr="00026EC1">
        <w:tab/>
        <w:t>le titre de l’enseignante ou de l’enseignant (temps complet, temps partiel, chargée ou chargé de cours);</w:t>
      </w:r>
    </w:p>
    <w:p w14:paraId="6364A115" w14:textId="77777777" w:rsidR="00952D26" w:rsidRPr="00026EC1" w:rsidRDefault="00952D26" w:rsidP="00A64613">
      <w:pPr>
        <w:keepNext w:val="0"/>
        <w:tabs>
          <w:tab w:val="num" w:pos="567"/>
        </w:tabs>
        <w:ind w:left="567" w:hanging="567"/>
      </w:pPr>
    </w:p>
    <w:p w14:paraId="53944ABA" w14:textId="55E00ADA" w:rsidR="000F1BE1" w:rsidRDefault="00952D26" w:rsidP="00A64613">
      <w:pPr>
        <w:keepNext w:val="0"/>
        <w:tabs>
          <w:tab w:val="left" w:pos="567"/>
        </w:tabs>
        <w:ind w:left="567" w:hanging="567"/>
      </w:pPr>
      <w:r w:rsidRPr="00026EC1">
        <w:t>b)</w:t>
      </w:r>
      <w:r w:rsidRPr="00026EC1">
        <w:tab/>
        <w:t>les cours qui lui sont confiés et, pour chaque cours confié,</w:t>
      </w:r>
      <w:r w:rsidR="00E74E0B">
        <w:t xml:space="preserve"> </w:t>
      </w:r>
      <w:r w:rsidR="000967EC" w:rsidRPr="00316277">
        <w:t>le mode d’enseignement,</w:t>
      </w:r>
      <w:r w:rsidR="000967EC">
        <w:t xml:space="preserve"> </w:t>
      </w:r>
      <w:r w:rsidRPr="00026EC1">
        <w:t>le nombre de groupe</w:t>
      </w:r>
      <w:r w:rsidR="00984A6F">
        <w:noBreakHyphen/>
      </w:r>
      <w:r w:rsidRPr="00026EC1">
        <w:t xml:space="preserve">cours </w:t>
      </w:r>
      <w:r w:rsidRPr="001C34A6">
        <w:t>et</w:t>
      </w:r>
      <w:r w:rsidRPr="00026EC1">
        <w:t xml:space="preserve"> le nombre d’étudiantes et d’étudiants inscrits.</w:t>
      </w:r>
      <w:r w:rsidR="000F1BE1">
        <w:br w:type="page"/>
      </w:r>
    </w:p>
    <w:p w14:paraId="0FA632DD" w14:textId="7ADA3A7B" w:rsidR="000F1BE1" w:rsidRPr="00316277" w:rsidRDefault="000F1BE1" w:rsidP="000F1BE1">
      <w:pPr>
        <w:pStyle w:val="Heading2"/>
        <w:keepNext w:val="0"/>
        <w:tabs>
          <w:tab w:val="clear" w:pos="1843"/>
          <w:tab w:val="clear" w:pos="2127"/>
          <w:tab w:val="left" w:pos="1701"/>
          <w:tab w:val="left" w:pos="1985"/>
        </w:tabs>
        <w:ind w:left="1701" w:hanging="1701"/>
      </w:pPr>
      <w:bookmarkStart w:id="878" w:name="_Toc168479558"/>
      <w:r w:rsidRPr="00316277">
        <w:t>Article 8-8.00</w:t>
      </w:r>
      <w:r w:rsidRPr="00316277">
        <w:tab/>
        <w:t>-</w:t>
      </w:r>
      <w:r w:rsidRPr="00316277">
        <w:tab/>
        <w:t>Formation à distance</w:t>
      </w:r>
      <w:bookmarkEnd w:id="878"/>
    </w:p>
    <w:p w14:paraId="13502D19" w14:textId="4B36DAEA" w:rsidR="000F1BE1" w:rsidRPr="00316277" w:rsidRDefault="000F1BE1" w:rsidP="001C34A6">
      <w:pPr>
        <w:pStyle w:val="NUMRODECLAUSE"/>
        <w:keepNext w:val="0"/>
      </w:pPr>
      <w:r w:rsidRPr="00316277">
        <w:t>8</w:t>
      </w:r>
      <w:r w:rsidRPr="00316277">
        <w:noBreakHyphen/>
        <w:t>8.01</w:t>
      </w:r>
    </w:p>
    <w:p w14:paraId="46037E38" w14:textId="77777777" w:rsidR="00E74E0B" w:rsidRPr="00316277" w:rsidRDefault="00E74E0B" w:rsidP="001C34A6">
      <w:pPr>
        <w:keepNext w:val="0"/>
      </w:pPr>
    </w:p>
    <w:p w14:paraId="5CF77E9C" w14:textId="7E99370E" w:rsidR="00E74E0B" w:rsidRPr="00316277" w:rsidRDefault="000F1BE1" w:rsidP="001C34A6">
      <w:pPr>
        <w:keepNext w:val="0"/>
      </w:pPr>
      <w:r w:rsidRPr="00316277">
        <w:t>L</w:t>
      </w:r>
      <w:r w:rsidR="00E74E0B" w:rsidRPr="00316277">
        <w:t xml:space="preserve">a formation à distance </w:t>
      </w:r>
      <w:r w:rsidRPr="00316277">
        <w:t xml:space="preserve">désigne une </w:t>
      </w:r>
      <w:r w:rsidR="00E74E0B" w:rsidRPr="00316277">
        <w:t xml:space="preserve">activité de formation donnée en temps réel (synchrone) ou en différé (asynchrone) sans que l’enseignante ou l’enseignant et l’ensemble des étudiantes </w:t>
      </w:r>
      <w:r w:rsidR="00BE127F" w:rsidRPr="00316277">
        <w:t>et</w:t>
      </w:r>
      <w:r w:rsidR="00E74E0B" w:rsidRPr="00316277">
        <w:t xml:space="preserve"> étudiants soient physiquement en présence les uns des autres.</w:t>
      </w:r>
    </w:p>
    <w:p w14:paraId="64B38240" w14:textId="3CDE803B" w:rsidR="000F1BE1" w:rsidRPr="00316277" w:rsidRDefault="000F1BE1" w:rsidP="001C34A6">
      <w:pPr>
        <w:keepNext w:val="0"/>
      </w:pPr>
    </w:p>
    <w:p w14:paraId="36D63A1B" w14:textId="77777777" w:rsidR="001C34A6" w:rsidRPr="00A923AC" w:rsidRDefault="001C34A6" w:rsidP="001C34A6">
      <w:pPr>
        <w:pStyle w:val="NUMRODECLAUSE"/>
      </w:pPr>
      <w:r w:rsidRPr="00316277">
        <w:t>8-8.02</w:t>
      </w:r>
    </w:p>
    <w:p w14:paraId="537FF433" w14:textId="77777777" w:rsidR="001C34A6" w:rsidRPr="00316277" w:rsidRDefault="001C34A6" w:rsidP="001C34A6">
      <w:pPr>
        <w:pStyle w:val="N-Commun"/>
        <w:spacing w:before="0" w:after="0"/>
        <w:ind w:left="0"/>
        <w:rPr>
          <w:rFonts w:ascii="Arial" w:hAnsi="Arial" w:cs="Arial"/>
          <w:color w:val="000000" w:themeColor="text1"/>
          <w:sz w:val="24"/>
        </w:rPr>
      </w:pPr>
      <w:r w:rsidRPr="00316277">
        <w:rPr>
          <w:rFonts w:ascii="Arial" w:eastAsia="Times New Roman" w:hAnsi="Arial" w:cs="Arial"/>
          <w:snapToGrid w:val="0"/>
          <w:sz w:val="24"/>
          <w:lang w:eastAsia="fr-FR"/>
        </w:rPr>
        <w:t xml:space="preserve">Aux fins d’application de la convention collective, les modes d'enseignement sont les suivants : en présence et à distance. </w:t>
      </w:r>
      <w:r w:rsidRPr="00316277">
        <w:rPr>
          <w:rFonts w:ascii="Arial" w:hAnsi="Arial" w:cs="Arial"/>
          <w:color w:val="000000" w:themeColor="text1"/>
          <w:sz w:val="24"/>
        </w:rPr>
        <w:t>L’enseignement comodal désigne une prestation effectuée simultanément en présence et à distance</w:t>
      </w:r>
      <w:r w:rsidRPr="00316277">
        <w:rPr>
          <w:rFonts w:ascii="Arial" w:hAnsi="Arial" w:cs="Arial"/>
          <w:sz w:val="24"/>
        </w:rPr>
        <w:t>, et inclut le multisite ou le multiclasses.</w:t>
      </w:r>
    </w:p>
    <w:p w14:paraId="6EC832EC" w14:textId="77777777" w:rsidR="001C34A6" w:rsidRPr="00316277" w:rsidRDefault="001C34A6" w:rsidP="001C34A6">
      <w:pPr>
        <w:pStyle w:val="N-Commun"/>
        <w:spacing w:before="0" w:after="0"/>
        <w:ind w:left="0"/>
        <w:rPr>
          <w:rFonts w:ascii="Arial" w:hAnsi="Arial" w:cs="Arial"/>
          <w:color w:val="000000" w:themeColor="text1"/>
          <w:sz w:val="24"/>
        </w:rPr>
      </w:pPr>
    </w:p>
    <w:p w14:paraId="1156853E" w14:textId="77777777" w:rsidR="001C34A6" w:rsidRPr="00316277" w:rsidRDefault="001C34A6" w:rsidP="001C34A6">
      <w:pPr>
        <w:pStyle w:val="N-Commun"/>
        <w:spacing w:before="0" w:after="0"/>
        <w:ind w:left="0"/>
        <w:rPr>
          <w:rFonts w:ascii="Arial" w:hAnsi="Arial" w:cs="Arial"/>
          <w:bCs/>
          <w:color w:val="000000" w:themeColor="text1"/>
          <w:sz w:val="24"/>
        </w:rPr>
      </w:pPr>
      <w:r w:rsidRPr="00316277">
        <w:rPr>
          <w:rFonts w:ascii="Arial" w:hAnsi="Arial" w:cs="Arial"/>
          <w:color w:val="000000" w:themeColor="text1"/>
          <w:sz w:val="24"/>
        </w:rPr>
        <w:t xml:space="preserve">Une fois un cours </w:t>
      </w:r>
      <w:r w:rsidRPr="00316277">
        <w:rPr>
          <w:rFonts w:ascii="Arial" w:hAnsi="Arial" w:cs="Arial"/>
          <w:bCs/>
          <w:color w:val="000000" w:themeColor="text1"/>
          <w:sz w:val="24"/>
        </w:rPr>
        <w:t>confié à une enseignante ou un enseignant, le mode d'enseignement ne peut changer.</w:t>
      </w:r>
    </w:p>
    <w:p w14:paraId="3EEA1FE4" w14:textId="77777777" w:rsidR="001C34A6" w:rsidRPr="00316277" w:rsidRDefault="001C34A6" w:rsidP="001C34A6">
      <w:pPr>
        <w:keepNext w:val="0"/>
      </w:pPr>
    </w:p>
    <w:p w14:paraId="0BF3A8CD" w14:textId="4BD46B2B" w:rsidR="000F1BE1" w:rsidRPr="00316277" w:rsidRDefault="000F1BE1" w:rsidP="001C34A6">
      <w:pPr>
        <w:pStyle w:val="NUMRODECLAUSE"/>
        <w:keepNext w:val="0"/>
      </w:pPr>
      <w:r w:rsidRPr="00316277">
        <w:t>8-8.0</w:t>
      </w:r>
      <w:r w:rsidR="001C34A6" w:rsidRPr="00316277">
        <w:t>3</w:t>
      </w:r>
    </w:p>
    <w:p w14:paraId="4C54EEC6" w14:textId="77777777" w:rsidR="007F1146" w:rsidRPr="00316277" w:rsidRDefault="007F1146" w:rsidP="007F1146">
      <w:pPr>
        <w:pStyle w:val="N-Commun"/>
        <w:suppressAutoHyphens/>
        <w:spacing w:before="0" w:after="0" w:line="240" w:lineRule="auto"/>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À moins d’entente entre les parties :</w:t>
      </w:r>
    </w:p>
    <w:p w14:paraId="71590342" w14:textId="77777777" w:rsidR="007F1146" w:rsidRPr="00316277" w:rsidRDefault="007F1146" w:rsidP="007F1146">
      <w:pPr>
        <w:pStyle w:val="N-Commun"/>
        <w:suppressAutoHyphens/>
        <w:spacing w:before="0" w:after="0" w:line="240" w:lineRule="auto"/>
        <w:ind w:left="0"/>
        <w:rPr>
          <w:rFonts w:ascii="Arial" w:eastAsia="Times New Roman" w:hAnsi="Arial" w:cs="Times New Roman"/>
          <w:snapToGrid w:val="0"/>
          <w:sz w:val="24"/>
          <w:szCs w:val="20"/>
          <w:lang w:eastAsia="fr-FR"/>
        </w:rPr>
      </w:pPr>
    </w:p>
    <w:p w14:paraId="7EDEF94D" w14:textId="77777777" w:rsidR="007F1146" w:rsidRPr="00316277" w:rsidRDefault="007F1146" w:rsidP="007F1146">
      <w:pPr>
        <w:pStyle w:val="N-Commun"/>
        <w:numPr>
          <w:ilvl w:val="0"/>
          <w:numId w:val="44"/>
        </w:numPr>
        <w:suppressAutoHyphens/>
        <w:spacing w:before="0" w:after="0" w:line="240" w:lineRule="auto"/>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à l’enseignement régulier, le nombre maximal d’étudiantes et d’étudiants d’un cours donné à distance ne peut être supérieur au nombre maximal d’étudiantes et d’étudiants du même cours donné en présence ou, si le même cours n’est pas offert en présence, d’un cours similaire donné en présence.</w:t>
      </w:r>
    </w:p>
    <w:p w14:paraId="4B0F08C4" w14:textId="77777777" w:rsidR="007F1146" w:rsidRPr="00316277" w:rsidRDefault="007F1146" w:rsidP="007F1146">
      <w:pPr>
        <w:pStyle w:val="N-Commun"/>
        <w:suppressAutoHyphens/>
        <w:spacing w:before="0" w:after="0" w:line="240" w:lineRule="auto"/>
        <w:rPr>
          <w:rFonts w:ascii="Arial" w:eastAsia="Times New Roman" w:hAnsi="Arial" w:cs="Times New Roman"/>
          <w:snapToGrid w:val="0"/>
          <w:sz w:val="24"/>
          <w:szCs w:val="20"/>
          <w:lang w:eastAsia="fr-FR"/>
        </w:rPr>
      </w:pPr>
    </w:p>
    <w:p w14:paraId="1AD0228B" w14:textId="77777777" w:rsidR="007F1146" w:rsidRPr="00316277" w:rsidRDefault="007F1146" w:rsidP="007F1146">
      <w:pPr>
        <w:pStyle w:val="N-Commun"/>
        <w:numPr>
          <w:ilvl w:val="0"/>
          <w:numId w:val="44"/>
        </w:numPr>
        <w:suppressAutoHyphens/>
        <w:spacing w:before="0" w:after="0" w:line="240" w:lineRule="auto"/>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à la formation continue, le nombre maximal d’étudiantes et d’étudiants d’un cours donné à distance ne peut être supérieur au nombre maximal d’étudiantes et d’étudiants du même cours donné en présence ou, si le même cours n’est pas offert en présence, d’un cours similaire donné en présence.</w:t>
      </w:r>
    </w:p>
    <w:p w14:paraId="258F6192" w14:textId="77777777" w:rsidR="008B612F" w:rsidRPr="00316277" w:rsidRDefault="008B612F" w:rsidP="001C34A6">
      <w:pPr>
        <w:pStyle w:val="N-Commun"/>
        <w:suppressAutoHyphens/>
        <w:spacing w:before="0" w:after="0" w:line="240" w:lineRule="auto"/>
        <w:ind w:left="0"/>
        <w:rPr>
          <w:rFonts w:ascii="Arial" w:eastAsia="Times New Roman" w:hAnsi="Arial" w:cs="Times New Roman"/>
          <w:snapToGrid w:val="0"/>
          <w:sz w:val="24"/>
          <w:szCs w:val="20"/>
          <w:lang w:eastAsia="fr-FR"/>
        </w:rPr>
      </w:pPr>
    </w:p>
    <w:p w14:paraId="5CFF758D" w14:textId="00B07B0B" w:rsidR="000F1BE1" w:rsidRPr="00316277" w:rsidRDefault="000F1BE1" w:rsidP="001C34A6">
      <w:pPr>
        <w:pStyle w:val="NUMRODECLAUSE"/>
        <w:keepNext w:val="0"/>
      </w:pPr>
      <w:r w:rsidRPr="00316277">
        <w:t>8-8.0</w:t>
      </w:r>
      <w:r w:rsidR="001C34A6" w:rsidRPr="00316277">
        <w:t>4</w:t>
      </w:r>
    </w:p>
    <w:p w14:paraId="4F4D8D98" w14:textId="089ED4AA" w:rsidR="000F1BE1" w:rsidRPr="00316277" w:rsidRDefault="000F1BE1" w:rsidP="001C34A6">
      <w:pPr>
        <w:pStyle w:val="N-Commun"/>
        <w:suppressAutoHyphens/>
        <w:spacing w:before="0" w:after="0" w:line="240" w:lineRule="auto"/>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L’enseignante ou l’enseignant qui donne un cours à distance peut demander au Collège que l’évaluation de ses étudiantes et étudiants soit effectuée en présence.</w:t>
      </w:r>
    </w:p>
    <w:p w14:paraId="50514131" w14:textId="77777777" w:rsidR="008B612F" w:rsidRPr="00316277" w:rsidRDefault="008B612F" w:rsidP="001C34A6">
      <w:pPr>
        <w:pStyle w:val="N-Commun"/>
        <w:suppressAutoHyphens/>
        <w:spacing w:before="0" w:after="0" w:line="240" w:lineRule="auto"/>
        <w:ind w:left="0"/>
        <w:rPr>
          <w:rFonts w:ascii="Arial" w:eastAsia="Times New Roman" w:hAnsi="Arial" w:cs="Times New Roman"/>
          <w:snapToGrid w:val="0"/>
          <w:sz w:val="24"/>
          <w:szCs w:val="20"/>
          <w:lang w:eastAsia="fr-FR"/>
        </w:rPr>
      </w:pPr>
    </w:p>
    <w:p w14:paraId="7A8F8FD9" w14:textId="29866BAB" w:rsidR="000F1BE1" w:rsidRPr="00316277" w:rsidRDefault="000F1BE1" w:rsidP="001C34A6">
      <w:pPr>
        <w:pStyle w:val="NUMRODECLAUSE"/>
        <w:keepNext w:val="0"/>
      </w:pPr>
      <w:r w:rsidRPr="00316277">
        <w:t>8-8.0</w:t>
      </w:r>
      <w:r w:rsidR="001C34A6" w:rsidRPr="00316277">
        <w:t>5</w:t>
      </w:r>
    </w:p>
    <w:p w14:paraId="708E776F" w14:textId="583EE0EC" w:rsidR="000F1BE1" w:rsidRPr="00316277" w:rsidRDefault="000F1BE1" w:rsidP="001C34A6">
      <w:pPr>
        <w:pStyle w:val="N-Commun"/>
        <w:suppressAutoHyphens/>
        <w:spacing w:before="0" w:after="0" w:line="240" w:lineRule="auto"/>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Un cours donné à distance ne peut être enregistré, diffusé ou autrement utilisé par le Collège, en tout ou en partie, sans le consentement écrit de l’enseignante ou de l’enseignant.</w:t>
      </w:r>
    </w:p>
    <w:p w14:paraId="7F479BB1" w14:textId="77777777" w:rsidR="008B612F" w:rsidRPr="00316277" w:rsidRDefault="008B612F" w:rsidP="001C34A6">
      <w:pPr>
        <w:pStyle w:val="N-Commun"/>
        <w:suppressAutoHyphens/>
        <w:spacing w:before="0" w:after="0" w:line="240" w:lineRule="auto"/>
        <w:ind w:left="0"/>
        <w:rPr>
          <w:rFonts w:ascii="Arial" w:eastAsia="Times New Roman" w:hAnsi="Arial" w:cs="Times New Roman"/>
          <w:snapToGrid w:val="0"/>
          <w:szCs w:val="20"/>
          <w:lang w:eastAsia="fr-FR"/>
        </w:rPr>
      </w:pPr>
    </w:p>
    <w:p w14:paraId="2488C40E" w14:textId="586A50F8" w:rsidR="000F1BE1" w:rsidRPr="00316277" w:rsidRDefault="000F1BE1" w:rsidP="001C34A6">
      <w:pPr>
        <w:pStyle w:val="NUMRODECLAUSE"/>
        <w:keepNext w:val="0"/>
      </w:pPr>
      <w:r w:rsidRPr="00316277">
        <w:t>8-8.0</w:t>
      </w:r>
      <w:r w:rsidR="001C34A6" w:rsidRPr="00316277">
        <w:t>6</w:t>
      </w:r>
    </w:p>
    <w:p w14:paraId="2DD601C3" w14:textId="0D53D2A6" w:rsidR="008B612F" w:rsidRPr="00316277" w:rsidRDefault="000F1BE1" w:rsidP="001C34A6">
      <w:pPr>
        <w:pStyle w:val="N-Commun"/>
        <w:suppressAutoHyphens/>
        <w:spacing w:before="0" w:after="0" w:line="240" w:lineRule="auto"/>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Seul une enseignante ou un enseignant peut se voir confier des activités de formation à distance.</w:t>
      </w:r>
    </w:p>
    <w:p w14:paraId="63C4F322" w14:textId="173ED156" w:rsidR="007F1146" w:rsidRPr="00316277" w:rsidRDefault="007F1146">
      <w:pPr>
        <w:keepNext w:val="0"/>
        <w:suppressAutoHyphens w:val="0"/>
        <w:jc w:val="left"/>
      </w:pPr>
      <w:r w:rsidRPr="00316277">
        <w:br w:type="page"/>
      </w:r>
    </w:p>
    <w:p w14:paraId="060E63EB" w14:textId="79C60E66" w:rsidR="000F1BE1" w:rsidRPr="00316277" w:rsidRDefault="000F1BE1" w:rsidP="001C34A6">
      <w:pPr>
        <w:pStyle w:val="NUMRODECLAUSE"/>
        <w:keepNext w:val="0"/>
      </w:pPr>
      <w:r w:rsidRPr="00316277">
        <w:t>8-8.0</w:t>
      </w:r>
      <w:r w:rsidR="001C34A6" w:rsidRPr="00316277">
        <w:t>7</w:t>
      </w:r>
    </w:p>
    <w:p w14:paraId="711BEC2F" w14:textId="52712534" w:rsidR="000F1BE1" w:rsidRPr="00316277" w:rsidRDefault="000F1BE1" w:rsidP="001C34A6">
      <w:pPr>
        <w:pStyle w:val="N-Commun"/>
        <w:suppressAutoHyphens/>
        <w:spacing w:before="0" w:after="0"/>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Le Collège met à la disposition de l’enseignante ou l’enseignant les formations</w:t>
      </w:r>
      <w:r w:rsidRPr="00316277">
        <w:rPr>
          <w:rFonts w:ascii="Arial" w:eastAsia="Times New Roman" w:hAnsi="Arial" w:cs="Times New Roman"/>
          <w:b/>
          <w:bCs/>
          <w:snapToGrid w:val="0"/>
          <w:szCs w:val="20"/>
          <w:lang w:eastAsia="fr-FR"/>
        </w:rPr>
        <w:t xml:space="preserve">, </w:t>
      </w:r>
      <w:r w:rsidRPr="00316277">
        <w:rPr>
          <w:rFonts w:ascii="Arial" w:eastAsia="Times New Roman" w:hAnsi="Arial" w:cs="Times New Roman"/>
          <w:snapToGrid w:val="0"/>
          <w:szCs w:val="20"/>
          <w:lang w:eastAsia="fr-FR"/>
        </w:rPr>
        <w:t>l</w:t>
      </w:r>
      <w:r w:rsidRPr="00316277">
        <w:rPr>
          <w:rFonts w:ascii="Arial" w:eastAsia="Times New Roman" w:hAnsi="Arial" w:cs="Times New Roman"/>
          <w:snapToGrid w:val="0"/>
          <w:sz w:val="24"/>
          <w:szCs w:val="20"/>
          <w:lang w:eastAsia="fr-FR"/>
        </w:rPr>
        <w:t>e soutien et le matériel nécessaires à la réalisation des activités de formation à distance. Le Collège assure également l’accès à des salles de classe adaptées, lorsque requis.</w:t>
      </w:r>
    </w:p>
    <w:p w14:paraId="59AD23E4" w14:textId="77777777" w:rsidR="001C34A6" w:rsidRPr="00316277" w:rsidRDefault="001C34A6" w:rsidP="001C34A6">
      <w:pPr>
        <w:pStyle w:val="N-Commun"/>
        <w:suppressAutoHyphens/>
        <w:spacing w:before="0" w:after="0"/>
        <w:ind w:left="0"/>
        <w:rPr>
          <w:rFonts w:ascii="Arial" w:eastAsia="Times New Roman" w:hAnsi="Arial" w:cs="Times New Roman"/>
          <w:snapToGrid w:val="0"/>
          <w:sz w:val="24"/>
          <w:szCs w:val="20"/>
          <w:lang w:eastAsia="fr-FR"/>
        </w:rPr>
      </w:pPr>
    </w:p>
    <w:p w14:paraId="3AEEABB8" w14:textId="085360CF" w:rsidR="001C34A6" w:rsidRPr="00316277" w:rsidRDefault="001C34A6" w:rsidP="001C34A6">
      <w:pPr>
        <w:pStyle w:val="NUMRODECLAUSE"/>
        <w:keepNext w:val="0"/>
      </w:pPr>
      <w:r w:rsidRPr="00316277">
        <w:t>8-8.08</w:t>
      </w:r>
    </w:p>
    <w:p w14:paraId="461B9566" w14:textId="7CD9EC60" w:rsidR="001C34A6" w:rsidRPr="00316277" w:rsidRDefault="001C34A6" w:rsidP="001C34A6">
      <w:pPr>
        <w:pStyle w:val="N-Commun"/>
        <w:spacing w:before="0" w:after="0"/>
        <w:ind w:left="0"/>
        <w:rPr>
          <w:rFonts w:ascii="Arial" w:hAnsi="Arial" w:cs="Arial"/>
          <w:sz w:val="24"/>
        </w:rPr>
      </w:pPr>
      <w:r w:rsidRPr="00316277">
        <w:rPr>
          <w:rFonts w:ascii="Arial" w:hAnsi="Arial" w:cs="Arial"/>
          <w:sz w:val="24"/>
        </w:rPr>
        <w:t>Aux fins d’application de la convention collective, pour l’enseignante ou l’enseignant rémunéré au taux horaire prévu à la clause</w:t>
      </w:r>
      <w:r w:rsidR="002D129D" w:rsidRPr="00316277">
        <w:rPr>
          <w:rFonts w:ascii="Arial" w:hAnsi="Arial" w:cs="Arial"/>
          <w:sz w:val="24"/>
        </w:rPr>
        <w:t> </w:t>
      </w:r>
      <w:r w:rsidRPr="00316277">
        <w:rPr>
          <w:rFonts w:ascii="Arial" w:hAnsi="Arial" w:cs="Arial"/>
          <w:sz w:val="24"/>
        </w:rPr>
        <w:t>6-1.03, chaque période d’enseignement comodal compte pour une virgule vingt (1,20) période d’enseignement.</w:t>
      </w:r>
    </w:p>
    <w:p w14:paraId="4F4E0EE4" w14:textId="77777777" w:rsidR="007F1146" w:rsidRPr="00316277" w:rsidRDefault="007F1146" w:rsidP="001C34A6">
      <w:pPr>
        <w:pStyle w:val="N-Commun"/>
        <w:spacing w:before="0" w:after="0"/>
        <w:ind w:left="0"/>
        <w:rPr>
          <w:rFonts w:ascii="Arial" w:hAnsi="Arial" w:cs="Arial"/>
          <w:sz w:val="24"/>
        </w:rPr>
      </w:pPr>
    </w:p>
    <w:p w14:paraId="5740C1A8" w14:textId="6E12D868" w:rsidR="000F1BE1" w:rsidRPr="00316277" w:rsidRDefault="000F1BE1" w:rsidP="001C34A6">
      <w:pPr>
        <w:pStyle w:val="NUMRODECLAUSE"/>
        <w:keepNext w:val="0"/>
      </w:pPr>
      <w:r w:rsidRPr="00316277">
        <w:t>8-8.0</w:t>
      </w:r>
      <w:r w:rsidR="001C34A6" w:rsidRPr="00316277">
        <w:t>9</w:t>
      </w:r>
    </w:p>
    <w:p w14:paraId="6A522A29" w14:textId="3030A250" w:rsidR="00466E79" w:rsidRPr="00316277" w:rsidRDefault="000F1BE1" w:rsidP="001C34A6">
      <w:pPr>
        <w:pStyle w:val="N-Commun"/>
        <w:suppressAutoHyphens/>
        <w:spacing w:before="0" w:after="0"/>
        <w:ind w:left="0"/>
        <w:rPr>
          <w:rFonts w:ascii="Arial" w:eastAsia="Times New Roman" w:hAnsi="Arial" w:cs="Times New Roman"/>
          <w:snapToGrid w:val="0"/>
          <w:sz w:val="24"/>
          <w:szCs w:val="20"/>
          <w:lang w:eastAsia="fr-FR"/>
        </w:rPr>
      </w:pPr>
      <w:r w:rsidRPr="00316277">
        <w:rPr>
          <w:rFonts w:ascii="Arial" w:eastAsia="Times New Roman" w:hAnsi="Arial" w:cs="Times New Roman"/>
          <w:snapToGrid w:val="0"/>
          <w:sz w:val="24"/>
          <w:szCs w:val="20"/>
          <w:lang w:eastAsia="fr-FR"/>
        </w:rPr>
        <w:t>Les dispositions prévues au présent article s’appliquent aux projets de formation à distance mentionnés à l’</w:t>
      </w:r>
      <w:r w:rsidR="001C34A6" w:rsidRPr="00316277">
        <w:rPr>
          <w:rFonts w:ascii="Arial" w:eastAsia="Times New Roman" w:hAnsi="Arial" w:cs="Times New Roman"/>
          <w:snapToGrid w:val="0"/>
          <w:sz w:val="24"/>
          <w:szCs w:val="20"/>
          <w:lang w:eastAsia="fr-FR"/>
        </w:rPr>
        <w:t>A</w:t>
      </w:r>
      <w:r w:rsidRPr="00316277">
        <w:rPr>
          <w:rFonts w:ascii="Arial" w:eastAsia="Times New Roman" w:hAnsi="Arial" w:cs="Times New Roman"/>
          <w:snapToGrid w:val="0"/>
          <w:sz w:val="24"/>
          <w:szCs w:val="20"/>
          <w:lang w:eastAsia="fr-FR"/>
        </w:rPr>
        <w:t>nnexe VII-3.</w:t>
      </w:r>
    </w:p>
    <w:p w14:paraId="3A1D0126" w14:textId="77777777" w:rsidR="00466E79" w:rsidRPr="00316277" w:rsidRDefault="00466E79">
      <w:pPr>
        <w:keepNext w:val="0"/>
        <w:suppressAutoHyphens w:val="0"/>
        <w:jc w:val="left"/>
      </w:pPr>
      <w:r w:rsidRPr="00316277">
        <w:br w:type="page"/>
      </w:r>
    </w:p>
    <w:p w14:paraId="1BED6677" w14:textId="2498C632" w:rsidR="00466E79" w:rsidRPr="00316277" w:rsidRDefault="00466E79" w:rsidP="00466E79">
      <w:pPr>
        <w:pStyle w:val="Heading2"/>
        <w:keepNext w:val="0"/>
        <w:tabs>
          <w:tab w:val="clear" w:pos="1843"/>
          <w:tab w:val="clear" w:pos="2127"/>
          <w:tab w:val="left" w:pos="1701"/>
          <w:tab w:val="left" w:pos="1985"/>
        </w:tabs>
        <w:ind w:left="1701" w:hanging="1701"/>
      </w:pPr>
      <w:bookmarkStart w:id="879" w:name="_Toc168479559"/>
      <w:r w:rsidRPr="00316277">
        <w:t>Article 8-9.00</w:t>
      </w:r>
      <w:r w:rsidR="00282FE2" w:rsidRPr="00316277">
        <w:tab/>
        <w:t>-</w:t>
      </w:r>
      <w:r w:rsidR="00282FE2" w:rsidRPr="00316277">
        <w:tab/>
      </w:r>
      <w:r w:rsidRPr="00316277">
        <w:t>Reconnaissance des acquis et des compétence</w:t>
      </w:r>
      <w:r w:rsidR="00772432" w:rsidRPr="00316277">
        <w:t>s</w:t>
      </w:r>
      <w:r w:rsidR="00450DE1" w:rsidRPr="00316277">
        <w:t> (RAC)</w:t>
      </w:r>
      <w:bookmarkEnd w:id="879"/>
    </w:p>
    <w:p w14:paraId="279D476E" w14:textId="77777777" w:rsidR="00466E79" w:rsidRPr="00316277" w:rsidRDefault="00466E79" w:rsidP="00466E79">
      <w:pPr>
        <w:pStyle w:val="NUMRODECLAUSE"/>
        <w:keepNext w:val="0"/>
        <w:rPr>
          <w:rStyle w:val="Strong"/>
          <w:b/>
          <w:bCs w:val="0"/>
        </w:rPr>
      </w:pPr>
      <w:r w:rsidRPr="00316277">
        <w:rPr>
          <w:rStyle w:val="Strong"/>
          <w:b/>
          <w:bCs w:val="0"/>
        </w:rPr>
        <w:t>8-9.01</w:t>
      </w:r>
    </w:p>
    <w:p w14:paraId="57CA1CD4" w14:textId="77777777" w:rsidR="00466E79" w:rsidRPr="00316277" w:rsidRDefault="00466E79" w:rsidP="00466E79">
      <w:pPr>
        <w:keepNext w:val="0"/>
      </w:pPr>
      <w:r w:rsidRPr="00316277">
        <w:t>Les activités réalisées dans le cadre de la RAC sont les suivantes :</w:t>
      </w:r>
    </w:p>
    <w:p w14:paraId="7FC0D0FF" w14:textId="77777777" w:rsidR="00466E79" w:rsidRPr="00316277" w:rsidRDefault="00466E79" w:rsidP="00466E79">
      <w:pPr>
        <w:keepNext w:val="0"/>
        <w:ind w:left="709" w:hanging="283"/>
      </w:pPr>
      <w:r w:rsidRPr="00316277">
        <w:t>-</w:t>
      </w:r>
      <w:r w:rsidRPr="00316277">
        <w:tab/>
        <w:t>Instrumentation (élaboration et actualisation d’outils visant à mesurer l’atteinte de la compétence);</w:t>
      </w:r>
    </w:p>
    <w:p w14:paraId="231EBAA1" w14:textId="77777777" w:rsidR="00466E79" w:rsidRPr="00316277" w:rsidRDefault="00466E79" w:rsidP="00466E79">
      <w:pPr>
        <w:keepNext w:val="0"/>
        <w:ind w:left="709" w:hanging="283"/>
      </w:pPr>
      <w:r w:rsidRPr="00316277">
        <w:t>-</w:t>
      </w:r>
      <w:r w:rsidRPr="00316277">
        <w:tab/>
        <w:t>Évaluation des candidates ou candidats à la RAC (analyse de l’autoévaluation de la candidate ou du candidat, entrevue de validation et évaluation des compétences);</w:t>
      </w:r>
    </w:p>
    <w:p w14:paraId="6CEA6CDB" w14:textId="0A978745" w:rsidR="00466E79" w:rsidRPr="00316277" w:rsidRDefault="00466E79" w:rsidP="00466E79">
      <w:pPr>
        <w:keepNext w:val="0"/>
        <w:ind w:left="709" w:hanging="283"/>
      </w:pPr>
      <w:r w:rsidRPr="00316277">
        <w:t>-</w:t>
      </w:r>
      <w:r w:rsidRPr="00316277">
        <w:tab/>
        <w:t>Formation manquante (élaboration du plan de formation manquante, encadrement, formation et évaluation).</w:t>
      </w:r>
    </w:p>
    <w:p w14:paraId="722D1431" w14:textId="77777777" w:rsidR="00466E79" w:rsidRPr="00316277" w:rsidRDefault="00466E79" w:rsidP="00466E79">
      <w:pPr>
        <w:keepNext w:val="0"/>
        <w:ind w:left="709" w:hanging="283"/>
      </w:pPr>
    </w:p>
    <w:p w14:paraId="6EBD04E5" w14:textId="77777777" w:rsidR="00466E79" w:rsidRPr="00316277" w:rsidRDefault="00466E79" w:rsidP="00466E79">
      <w:pPr>
        <w:pStyle w:val="NUMRODECLAUSE"/>
        <w:keepNext w:val="0"/>
      </w:pPr>
      <w:r w:rsidRPr="00316277">
        <w:t>8-9.02</w:t>
      </w:r>
    </w:p>
    <w:p w14:paraId="6471C3E5" w14:textId="4C4114F1" w:rsidR="00466E79" w:rsidRPr="00316277" w:rsidRDefault="00466E79" w:rsidP="00466E79">
      <w:pPr>
        <w:keepNext w:val="0"/>
        <w:rPr>
          <w:lang w:eastAsia="fr-CA"/>
        </w:rPr>
      </w:pPr>
      <w:r w:rsidRPr="00316277">
        <w:rPr>
          <w:lang w:eastAsia="fr-CA"/>
        </w:rPr>
        <w:t>Lorsque le Collège prévoit des activités à être réalisées dans le cadre de la RAC, il procède à un appel d’intérêt, au moins une</w:t>
      </w:r>
      <w:r w:rsidR="001C34A6" w:rsidRPr="00316277">
        <w:rPr>
          <w:lang w:eastAsia="fr-CA"/>
        </w:rPr>
        <w:t xml:space="preserve"> (1)</w:t>
      </w:r>
      <w:r w:rsidRPr="00316277">
        <w:rPr>
          <w:lang w:eastAsia="fr-CA"/>
        </w:rPr>
        <w:t xml:space="preserve"> fois </w:t>
      </w:r>
      <w:r w:rsidR="00A52F33" w:rsidRPr="00316277">
        <w:rPr>
          <w:lang w:eastAsia="fr-CA"/>
        </w:rPr>
        <w:t xml:space="preserve">par </w:t>
      </w:r>
      <w:r w:rsidR="001C34A6" w:rsidRPr="00316277">
        <w:rPr>
          <w:lang w:eastAsia="fr-CA"/>
        </w:rPr>
        <w:t>session</w:t>
      </w:r>
      <w:r w:rsidRPr="00316277">
        <w:rPr>
          <w:lang w:eastAsia="fr-CA"/>
        </w:rPr>
        <w:t>, auprès du personnel enseignant. Cet appel d’intérêt fait état des particularités propres à la RAC ainsi que de la discipline et, le cas échéant, de la spécialité.</w:t>
      </w:r>
    </w:p>
    <w:p w14:paraId="13AA8900" w14:textId="77777777" w:rsidR="00466E79" w:rsidRPr="00316277" w:rsidRDefault="00466E79" w:rsidP="00466E79">
      <w:pPr>
        <w:keepNext w:val="0"/>
        <w:rPr>
          <w:lang w:eastAsia="fr-CA"/>
        </w:rPr>
      </w:pPr>
    </w:p>
    <w:p w14:paraId="3E1B5A18" w14:textId="1270C593" w:rsidR="00466E79" w:rsidRDefault="00466E79" w:rsidP="001C34A6">
      <w:pPr>
        <w:keepNext w:val="0"/>
        <w:rPr>
          <w:lang w:eastAsia="fr-CA"/>
        </w:rPr>
      </w:pPr>
      <w:r w:rsidRPr="00316277">
        <w:rPr>
          <w:lang w:eastAsia="fr-CA"/>
        </w:rPr>
        <w:t>L’enseignante ou l’enseignant doit manifester son intérêt</w:t>
      </w:r>
      <w:r w:rsidR="00A52F33" w:rsidRPr="00316277">
        <w:rPr>
          <w:lang w:eastAsia="fr-CA"/>
        </w:rPr>
        <w:t xml:space="preserve"> </w:t>
      </w:r>
      <w:r w:rsidRPr="00316277">
        <w:rPr>
          <w:lang w:eastAsia="fr-CA"/>
        </w:rPr>
        <w:t>par écrit</w:t>
      </w:r>
      <w:r w:rsidR="001C34A6" w:rsidRPr="00316277">
        <w:rPr>
          <w:lang w:eastAsia="fr-CA"/>
        </w:rPr>
        <w:t xml:space="preserve"> au Collège selon une procédure convenue entre les parties.</w:t>
      </w:r>
    </w:p>
    <w:p w14:paraId="0B5866A2" w14:textId="77777777" w:rsidR="004C296A" w:rsidRPr="00316277" w:rsidRDefault="004C296A" w:rsidP="001C34A6">
      <w:pPr>
        <w:keepNext w:val="0"/>
        <w:rPr>
          <w:lang w:eastAsia="fr-CA"/>
        </w:rPr>
      </w:pPr>
    </w:p>
    <w:p w14:paraId="30010E33" w14:textId="77777777" w:rsidR="001C34A6" w:rsidRPr="00316277" w:rsidRDefault="001C34A6" w:rsidP="001C34A6">
      <w:pPr>
        <w:keepNext w:val="0"/>
        <w:suppressAutoHyphens w:val="0"/>
        <w:rPr>
          <w:rFonts w:cs="Arial"/>
          <w:snapToGrid/>
          <w:szCs w:val="24"/>
          <w:lang w:eastAsia="fr-CA"/>
        </w:rPr>
      </w:pPr>
      <w:r w:rsidRPr="00316277">
        <w:rPr>
          <w:rFonts w:cs="Arial"/>
          <w:snapToGrid/>
          <w:szCs w:val="24"/>
          <w:lang w:eastAsia="fr-CA"/>
        </w:rPr>
        <w:t>Malgré ce qui précède, l’enseignante ou l’enseignant non permanent engagé postérieurement à un appel d’intérêt et n’ayant pas atteint un temps complet peut manifester son intérêt par écrit au Collège à tout moment jusqu’au prochain appel d’intérêt.</w:t>
      </w:r>
    </w:p>
    <w:p w14:paraId="338A9844" w14:textId="77777777" w:rsidR="001C34A6" w:rsidRPr="00316277" w:rsidRDefault="001C34A6" w:rsidP="001C34A6">
      <w:pPr>
        <w:keepNext w:val="0"/>
        <w:rPr>
          <w:lang w:eastAsia="fr-CA"/>
        </w:rPr>
      </w:pPr>
    </w:p>
    <w:p w14:paraId="67002518" w14:textId="77777777" w:rsidR="001C34A6" w:rsidRPr="00316277" w:rsidRDefault="001C34A6" w:rsidP="001C34A6">
      <w:pPr>
        <w:rPr>
          <w:rFonts w:cs="Arial"/>
        </w:rPr>
      </w:pPr>
      <w:r w:rsidRPr="00316277">
        <w:rPr>
          <w:rFonts w:cs="Arial"/>
        </w:rPr>
        <w:t>Les parties peuvent, par entente, convenir d’autres modalités que celles prévues aux paragraphes précédents.</w:t>
      </w:r>
    </w:p>
    <w:p w14:paraId="55260E57" w14:textId="77777777" w:rsidR="001C34A6" w:rsidRPr="00316277" w:rsidRDefault="001C34A6" w:rsidP="00466E79">
      <w:pPr>
        <w:keepNext w:val="0"/>
        <w:rPr>
          <w:lang w:eastAsia="fr-CA"/>
        </w:rPr>
      </w:pPr>
    </w:p>
    <w:p w14:paraId="53C1B43B" w14:textId="77777777" w:rsidR="00466E79" w:rsidRPr="00316277" w:rsidRDefault="00466E79" w:rsidP="00466E79">
      <w:pPr>
        <w:pStyle w:val="NUMRODECLAUSE"/>
        <w:keepNext w:val="0"/>
      </w:pPr>
      <w:r w:rsidRPr="00316277">
        <w:t>8-9.03</w:t>
      </w:r>
    </w:p>
    <w:p w14:paraId="492C248F" w14:textId="6ED19466" w:rsidR="00466E79" w:rsidRPr="00316277" w:rsidRDefault="00466E79" w:rsidP="00466E79">
      <w:pPr>
        <w:keepNext w:val="0"/>
        <w:rPr>
          <w:lang w:eastAsia="fr-CA"/>
        </w:rPr>
      </w:pPr>
      <w:r w:rsidRPr="00316277">
        <w:rPr>
          <w:lang w:eastAsia="fr-CA"/>
        </w:rPr>
        <w:t xml:space="preserve">L’offre des activités </w:t>
      </w:r>
      <w:r w:rsidR="003D3198" w:rsidRPr="00316277">
        <w:rPr>
          <w:lang w:eastAsia="fr-CA"/>
        </w:rPr>
        <w:t>réalisées dans le cadre</w:t>
      </w:r>
      <w:r w:rsidRPr="00316277">
        <w:rPr>
          <w:lang w:eastAsia="fr-CA"/>
        </w:rPr>
        <w:t xml:space="preserve"> de la RAC se fait conformément à l’alinéa</w:t>
      </w:r>
      <w:r w:rsidR="00EC0FF8" w:rsidRPr="00316277">
        <w:rPr>
          <w:lang w:eastAsia="fr-CA"/>
        </w:rPr>
        <w:t> </w:t>
      </w:r>
      <w:r w:rsidRPr="00316277">
        <w:rPr>
          <w:lang w:eastAsia="fr-CA"/>
        </w:rPr>
        <w:t>f) de la clause</w:t>
      </w:r>
      <w:r w:rsidR="00EC0FF8" w:rsidRPr="00316277">
        <w:rPr>
          <w:lang w:eastAsia="fr-CA"/>
        </w:rPr>
        <w:t> </w:t>
      </w:r>
      <w:r w:rsidRPr="00316277">
        <w:rPr>
          <w:lang w:eastAsia="fr-CA"/>
        </w:rPr>
        <w:t>5-4.17.</w:t>
      </w:r>
    </w:p>
    <w:p w14:paraId="7A77E4B0" w14:textId="77777777" w:rsidR="00466E79" w:rsidRPr="00316277" w:rsidRDefault="00466E79" w:rsidP="00466E79">
      <w:pPr>
        <w:keepNext w:val="0"/>
        <w:rPr>
          <w:lang w:eastAsia="fr-CA"/>
        </w:rPr>
      </w:pPr>
    </w:p>
    <w:p w14:paraId="3D8355B8" w14:textId="77777777" w:rsidR="00466E79" w:rsidRPr="00316277" w:rsidRDefault="00466E79" w:rsidP="00466E79">
      <w:pPr>
        <w:pStyle w:val="NUMRODECLAUSE"/>
        <w:keepNext w:val="0"/>
      </w:pPr>
      <w:r w:rsidRPr="00316277">
        <w:t>8-9.04</w:t>
      </w:r>
    </w:p>
    <w:p w14:paraId="45443E67" w14:textId="4DBF956A" w:rsidR="00466E79" w:rsidRPr="00466E79" w:rsidRDefault="00466E79" w:rsidP="00466E79">
      <w:pPr>
        <w:keepNext w:val="0"/>
      </w:pPr>
      <w:r w:rsidRPr="00316277">
        <w:rPr>
          <w:lang w:eastAsia="fr-CA"/>
        </w:rPr>
        <w:t xml:space="preserve">Le Collège peut exiger de l’enseignante ou de l’enseignant offrant pour la première fois une ou des activités </w:t>
      </w:r>
      <w:r w:rsidR="003D3198" w:rsidRPr="00316277">
        <w:rPr>
          <w:lang w:eastAsia="fr-CA"/>
        </w:rPr>
        <w:t xml:space="preserve">réalisées dans le cadre </w:t>
      </w:r>
      <w:r w:rsidRPr="00316277">
        <w:rPr>
          <w:lang w:eastAsia="fr-CA"/>
        </w:rPr>
        <w:t>de la RAC sa participation à une séance</w:t>
      </w:r>
      <w:r w:rsidR="003D3198" w:rsidRPr="00316277">
        <w:rPr>
          <w:lang w:eastAsia="fr-CA"/>
        </w:rPr>
        <w:t xml:space="preserve"> rémunérée</w:t>
      </w:r>
      <w:r w:rsidRPr="00316277">
        <w:rPr>
          <w:lang w:eastAsia="fr-CA"/>
        </w:rPr>
        <w:t xml:space="preserve"> d’accueil ou </w:t>
      </w:r>
      <w:r w:rsidR="00A52F33" w:rsidRPr="00316277">
        <w:rPr>
          <w:lang w:eastAsia="fr-CA"/>
        </w:rPr>
        <w:t>d</w:t>
      </w:r>
      <w:r w:rsidRPr="00316277">
        <w:rPr>
          <w:lang w:eastAsia="fr-CA"/>
        </w:rPr>
        <w:t>e formation d’appoint</w:t>
      </w:r>
      <w:r w:rsidR="001102D6" w:rsidRPr="00316277">
        <w:rPr>
          <w:lang w:eastAsia="fr-CA"/>
        </w:rPr>
        <w:t>.</w:t>
      </w:r>
    </w:p>
    <w:p w14:paraId="12792F6F" w14:textId="77777777" w:rsidR="000F1BE1" w:rsidRPr="00026EC1" w:rsidRDefault="000F1BE1" w:rsidP="000F1BE1">
      <w:pPr>
        <w:pStyle w:val="NUMRODECLAUSE"/>
        <w:keepNext w:val="0"/>
      </w:pPr>
    </w:p>
    <w:p w14:paraId="2666F6E9" w14:textId="77777777" w:rsidR="00B6500A" w:rsidRDefault="00B6500A" w:rsidP="00A64613">
      <w:pPr>
        <w:keepNext w:val="0"/>
        <w:tabs>
          <w:tab w:val="left" w:pos="567"/>
        </w:tabs>
        <w:ind w:left="567" w:hanging="567"/>
        <w:sectPr w:rsidR="00B6500A" w:rsidSect="009E4F22">
          <w:footnotePr>
            <w:numRestart w:val="eachPage"/>
          </w:footnotePr>
          <w:pgSz w:w="12240" w:h="15840" w:code="1"/>
          <w:pgMar w:top="720" w:right="1077" w:bottom="1242" w:left="1684" w:header="709" w:footer="709" w:gutter="0"/>
          <w:cols w:space="708"/>
          <w:docGrid w:linePitch="360"/>
        </w:sectPr>
      </w:pPr>
    </w:p>
    <w:p w14:paraId="48312505" w14:textId="302EA133" w:rsidR="008A28C5" w:rsidRPr="00026EC1" w:rsidRDefault="008A28C5" w:rsidP="00A64613">
      <w:pPr>
        <w:pStyle w:val="Heading1"/>
        <w:keepNext w:val="0"/>
        <w:tabs>
          <w:tab w:val="left" w:pos="1701"/>
          <w:tab w:val="left" w:pos="1985"/>
        </w:tabs>
        <w:ind w:left="2127" w:hanging="2127"/>
      </w:pPr>
      <w:bookmarkStart w:id="880" w:name="_Toc535046639"/>
      <w:bookmarkStart w:id="881" w:name="_Toc133760806"/>
      <w:bookmarkStart w:id="882" w:name="_Toc133916954"/>
      <w:bookmarkStart w:id="883" w:name="_Toc134437229"/>
      <w:bookmarkStart w:id="884" w:name="_Toc393449595"/>
      <w:r w:rsidRPr="00026EC1">
        <w:t>CHAPITRE 9</w:t>
      </w:r>
      <w:r w:rsidR="00CB6B97" w:rsidRPr="00026EC1">
        <w:tab/>
      </w:r>
      <w:r w:rsidR="00B92165">
        <w:t>-</w:t>
      </w:r>
      <w:r w:rsidR="00CB6B97" w:rsidRPr="00026EC1">
        <w:tab/>
      </w:r>
      <w:r w:rsidRPr="00026EC1">
        <w:t>GRIEF ET ARBITRAGE</w:t>
      </w:r>
      <w:bookmarkEnd w:id="880"/>
      <w:bookmarkEnd w:id="881"/>
      <w:bookmarkEnd w:id="882"/>
      <w:bookmarkEnd w:id="883"/>
      <w:bookmarkEnd w:id="884"/>
      <w:r w:rsidR="000D5518" w:rsidRPr="0035151D">
        <w:fldChar w:fldCharType="begin"/>
      </w:r>
      <w:r w:rsidR="000D5518" w:rsidRPr="0035151D">
        <w:instrText xml:space="preserve"> TC " </w:instrText>
      </w:r>
      <w:bookmarkStart w:id="885" w:name="_Toc94952768"/>
      <w:bookmarkStart w:id="886" w:name="_Toc94954672"/>
      <w:bookmarkStart w:id="887" w:name="_Toc94966349"/>
      <w:bookmarkStart w:id="888" w:name="_Toc95035227"/>
      <w:bookmarkStart w:id="889" w:name="_Toc95035370"/>
      <w:bookmarkStart w:id="890" w:name="_Toc95035513"/>
      <w:bookmarkStart w:id="891" w:name="_Toc95035658"/>
      <w:bookmarkStart w:id="892" w:name="_Toc157589283"/>
      <w:bookmarkStart w:id="893" w:name="_Toc161323734"/>
      <w:bookmarkStart w:id="894" w:name="_Toc163483074"/>
      <w:bookmarkStart w:id="895" w:name="_Toc163483673"/>
      <w:bookmarkStart w:id="896" w:name="_Toc163483863"/>
      <w:bookmarkStart w:id="897" w:name="_Toc167870833"/>
      <w:bookmarkStart w:id="898" w:name="_Toc167870997"/>
      <w:bookmarkStart w:id="899" w:name="_Toc167871153"/>
      <w:bookmarkStart w:id="900" w:name="_Toc167871329"/>
      <w:bookmarkStart w:id="901" w:name="_Toc168049397"/>
      <w:bookmarkStart w:id="902" w:name="_Toc168401561"/>
      <w:bookmarkStart w:id="903" w:name="_Toc168402177"/>
      <w:bookmarkStart w:id="904" w:name="_Toc168409612"/>
      <w:bookmarkStart w:id="905" w:name="_Toc168410366"/>
      <w:bookmarkStart w:id="906" w:name="_Toc168410612"/>
      <w:bookmarkStart w:id="907" w:name="_Toc168410853"/>
      <w:bookmarkStart w:id="908" w:name="_Toc168479560"/>
      <w:r w:rsidR="000D5518" w:rsidRPr="0035151D">
        <w:instrText xml:space="preserve">CHAPITRE </w:instrText>
      </w:r>
      <w:r w:rsidR="000D5518">
        <w:instrText>9</w:instrText>
      </w:r>
      <w:r w:rsidR="000D5518" w:rsidRPr="0035151D">
        <w:instrText xml:space="preserve">  </w:instrText>
      </w:r>
      <w:r w:rsidR="00984A6F">
        <w:noBreakHyphen/>
      </w:r>
      <w:r w:rsidR="000D5518" w:rsidRPr="0035151D">
        <w:instrText xml:space="preserve">  </w:instrText>
      </w:r>
      <w:r w:rsidR="00F30A5C">
        <w:instrText>grief et arbitrage</w:instrTex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000D5518" w:rsidRPr="0035151D">
        <w:instrText>"\N</w:instrText>
      </w:r>
      <w:r w:rsidR="000D5518" w:rsidRPr="0035151D">
        <w:fldChar w:fldCharType="end"/>
      </w:r>
    </w:p>
    <w:p w14:paraId="2065FAEC" w14:textId="518E9B08" w:rsidR="008A28C5" w:rsidRPr="00026EC1" w:rsidRDefault="008A28C5" w:rsidP="00A64613">
      <w:pPr>
        <w:pStyle w:val="Heading2"/>
        <w:keepNext w:val="0"/>
        <w:tabs>
          <w:tab w:val="clear" w:pos="1843"/>
          <w:tab w:val="clear" w:pos="2127"/>
          <w:tab w:val="left" w:pos="1701"/>
          <w:tab w:val="left" w:pos="1985"/>
        </w:tabs>
        <w:ind w:left="2127" w:hanging="2127"/>
      </w:pPr>
      <w:bookmarkStart w:id="909" w:name="_Toc535046640"/>
      <w:bookmarkStart w:id="910" w:name="_Toc133760807"/>
      <w:bookmarkStart w:id="911" w:name="_Toc134437230"/>
      <w:bookmarkStart w:id="912" w:name="_Toc393444645"/>
      <w:bookmarkStart w:id="913" w:name="_Toc393449596"/>
      <w:bookmarkStart w:id="914" w:name="_Toc393460965"/>
      <w:bookmarkStart w:id="915" w:name="_Toc393461243"/>
      <w:bookmarkStart w:id="916" w:name="_Toc393720804"/>
      <w:bookmarkStart w:id="917" w:name="_Toc393783965"/>
      <w:bookmarkStart w:id="918" w:name="_Toc393784104"/>
      <w:bookmarkStart w:id="919" w:name="_Toc168479561"/>
      <w:r w:rsidRPr="00026EC1">
        <w:t>Article 9</w:t>
      </w:r>
      <w:r w:rsidR="00B92165">
        <w:t>-</w:t>
      </w:r>
      <w:r w:rsidRPr="00026EC1">
        <w:t>1.00</w:t>
      </w:r>
      <w:r w:rsidR="00CB6B97" w:rsidRPr="00026EC1">
        <w:tab/>
      </w:r>
      <w:r w:rsidR="00B92165">
        <w:t>-</w:t>
      </w:r>
      <w:r w:rsidR="00CB6B97" w:rsidRPr="00026EC1">
        <w:tab/>
      </w:r>
      <w:r w:rsidRPr="00026EC1">
        <w:t>Procédure de soumission d</w:t>
      </w:r>
      <w:r w:rsidR="004A41E4" w:rsidRPr="00026EC1">
        <w:t>’</w:t>
      </w:r>
      <w:r w:rsidRPr="00026EC1">
        <w:t>un grief</w:t>
      </w:r>
      <w:bookmarkEnd w:id="909"/>
      <w:bookmarkEnd w:id="910"/>
      <w:bookmarkEnd w:id="911"/>
      <w:bookmarkEnd w:id="912"/>
      <w:bookmarkEnd w:id="913"/>
      <w:bookmarkEnd w:id="914"/>
      <w:bookmarkEnd w:id="915"/>
      <w:bookmarkEnd w:id="916"/>
      <w:bookmarkEnd w:id="917"/>
      <w:bookmarkEnd w:id="918"/>
      <w:bookmarkEnd w:id="919"/>
    </w:p>
    <w:p w14:paraId="616615BD" w14:textId="287E8476" w:rsidR="008A28C5" w:rsidRPr="00026EC1" w:rsidRDefault="008A28C5" w:rsidP="00A64613">
      <w:pPr>
        <w:pStyle w:val="NUMRODECLAUSE"/>
        <w:keepNext w:val="0"/>
      </w:pPr>
      <w:r w:rsidRPr="00026EC1">
        <w:t>9</w:t>
      </w:r>
      <w:r w:rsidR="00984A6F">
        <w:noBreakHyphen/>
      </w:r>
      <w:r w:rsidRPr="00026EC1">
        <w:t>1.01</w:t>
      </w:r>
    </w:p>
    <w:p w14:paraId="245CE64D" w14:textId="77777777" w:rsidR="008A28C5" w:rsidRPr="00026EC1" w:rsidRDefault="008A28C5" w:rsidP="00A64613">
      <w:pPr>
        <w:keepNext w:val="0"/>
      </w:pPr>
      <w:r w:rsidRPr="00026EC1">
        <w:t>L</w:t>
      </w:r>
      <w:r w:rsidR="004A41E4" w:rsidRPr="00026EC1">
        <w:t>’</w:t>
      </w:r>
      <w:r w:rsidRPr="00026EC1">
        <w:t>intention des parties est de s</w:t>
      </w:r>
      <w:r w:rsidR="004A41E4" w:rsidRPr="00026EC1">
        <w:t>’</w:t>
      </w:r>
      <w:r w:rsidRPr="00026EC1">
        <w:t>efforcer de régler les griefs localement dans toute la mesure du possible</w:t>
      </w:r>
      <w:r w:rsidR="00127A45" w:rsidRPr="00026EC1">
        <w:t>,</w:t>
      </w:r>
      <w:r w:rsidRPr="00026EC1">
        <w:t xml:space="preserve"> y compris, s</w:t>
      </w:r>
      <w:r w:rsidR="004A41E4" w:rsidRPr="00026EC1">
        <w:t>’</w:t>
      </w:r>
      <w:r w:rsidRPr="00026EC1">
        <w:t>il y a lieu, par le recours au CRT.</w:t>
      </w:r>
    </w:p>
    <w:p w14:paraId="1AFBEE5E" w14:textId="77777777" w:rsidR="008A28C5" w:rsidRPr="00026EC1" w:rsidRDefault="008A28C5" w:rsidP="00A64613">
      <w:pPr>
        <w:keepNext w:val="0"/>
      </w:pPr>
    </w:p>
    <w:p w14:paraId="4DF4502F" w14:textId="29701D80" w:rsidR="008A28C5" w:rsidRPr="00026EC1" w:rsidRDefault="008A28C5" w:rsidP="00A64613">
      <w:pPr>
        <w:pStyle w:val="NUMRODECLAUSE"/>
        <w:keepNext w:val="0"/>
      </w:pPr>
      <w:r w:rsidRPr="00026EC1">
        <w:t>9</w:t>
      </w:r>
      <w:r w:rsidR="00984A6F">
        <w:noBreakHyphen/>
      </w:r>
      <w:r w:rsidRPr="00026EC1">
        <w:t>1.02</w:t>
      </w:r>
    </w:p>
    <w:p w14:paraId="30B4F238" w14:textId="759583C5" w:rsidR="008A28C5" w:rsidRPr="00026EC1" w:rsidRDefault="008A28C5" w:rsidP="00A64613">
      <w:pPr>
        <w:keepNext w:val="0"/>
      </w:pPr>
      <w:r w:rsidRPr="00026EC1">
        <w:t>Le Collège et le Syndicat établissent les règles ci</w:t>
      </w:r>
      <w:r w:rsidR="00984A6F">
        <w:noBreakHyphen/>
      </w:r>
      <w:r w:rsidRPr="00026EC1">
        <w:t>après et se conforment à la procédure ci</w:t>
      </w:r>
      <w:r w:rsidR="00984A6F">
        <w:noBreakHyphen/>
      </w:r>
      <w:r w:rsidRPr="00026EC1">
        <w:t>après prévue dans le but d</w:t>
      </w:r>
      <w:r w:rsidR="004A41E4" w:rsidRPr="00026EC1">
        <w:t>’</w:t>
      </w:r>
      <w:r w:rsidRPr="00026EC1">
        <w:t>en arriver à un règlement dans le plus bref délai.</w:t>
      </w:r>
    </w:p>
    <w:p w14:paraId="28BD0B56" w14:textId="77777777" w:rsidR="008A28C5" w:rsidRPr="00026EC1" w:rsidRDefault="008A28C5" w:rsidP="00A64613">
      <w:pPr>
        <w:keepNext w:val="0"/>
      </w:pPr>
    </w:p>
    <w:p w14:paraId="7768B689" w14:textId="3AE2BE66" w:rsidR="008A28C5" w:rsidRPr="00026EC1" w:rsidRDefault="008A28C5" w:rsidP="00A64613">
      <w:pPr>
        <w:pStyle w:val="NUMRODECLAUSE"/>
        <w:keepNext w:val="0"/>
      </w:pPr>
      <w:r w:rsidRPr="00026EC1">
        <w:t>9</w:t>
      </w:r>
      <w:r w:rsidR="00984A6F">
        <w:noBreakHyphen/>
      </w:r>
      <w:r w:rsidRPr="00026EC1">
        <w:t>1.03</w:t>
      </w:r>
    </w:p>
    <w:p w14:paraId="072F8CE0" w14:textId="77777777" w:rsidR="008A28C5" w:rsidRPr="00026EC1" w:rsidRDefault="008A28C5" w:rsidP="00A64613">
      <w:pPr>
        <w:keepNext w:val="0"/>
      </w:pPr>
      <w:r w:rsidRPr="00026EC1">
        <w:t>L</w:t>
      </w:r>
      <w:r w:rsidR="004A41E4" w:rsidRPr="00026EC1">
        <w:t>’</w:t>
      </w:r>
      <w:r w:rsidRPr="00026EC1">
        <w:t>enseignante ou l</w:t>
      </w:r>
      <w:r w:rsidR="004A41E4" w:rsidRPr="00026EC1">
        <w:t>’</w:t>
      </w:r>
      <w:r w:rsidRPr="00026EC1">
        <w:t>enseignant, un groupe d</w:t>
      </w:r>
      <w:r w:rsidR="004A41E4" w:rsidRPr="00026EC1">
        <w:t>’</w:t>
      </w:r>
      <w:r w:rsidRPr="00026EC1">
        <w:t>enseignantes ou d</w:t>
      </w:r>
      <w:r w:rsidR="004A41E4" w:rsidRPr="00026EC1">
        <w:t>’</w:t>
      </w:r>
      <w:r w:rsidRPr="00026EC1">
        <w:t>enseignants ou le Syndicat qui veut déposer un grief doit le soumettre par écrit au Collège dans les trente (30) jours ouvrables suivant la connaissance du fait sans dépasser six (6) mois de l</w:t>
      </w:r>
      <w:r w:rsidR="004A41E4" w:rsidRPr="00026EC1">
        <w:t>’</w:t>
      </w:r>
      <w:r w:rsidRPr="00026EC1">
        <w:t>occurrence du fait qui a donné lieu au grief. Le délai de trente (30) jours ouvrables ne commence à courir qu</w:t>
      </w:r>
      <w:r w:rsidR="004A41E4" w:rsidRPr="00026EC1">
        <w:t>’</w:t>
      </w:r>
      <w:r w:rsidRPr="00026EC1">
        <w:t>au début du deuxième (2</w:t>
      </w:r>
      <w:r w:rsidRPr="00026EC1">
        <w:rPr>
          <w:vertAlign w:val="superscript"/>
        </w:rPr>
        <w:t>e</w:t>
      </w:r>
      <w:r w:rsidRPr="00026EC1">
        <w:t>) mois de l</w:t>
      </w:r>
      <w:r w:rsidR="004A41E4" w:rsidRPr="00026EC1">
        <w:t>’</w:t>
      </w:r>
      <w:r w:rsidRPr="00026EC1">
        <w:t>année d</w:t>
      </w:r>
      <w:r w:rsidR="004A41E4" w:rsidRPr="00026EC1">
        <w:t>’</w:t>
      </w:r>
      <w:r w:rsidRPr="00026EC1">
        <w:t>enseignement ou de l</w:t>
      </w:r>
      <w:r w:rsidR="004A41E4" w:rsidRPr="00026EC1">
        <w:t>’</w:t>
      </w:r>
      <w:r w:rsidRPr="00026EC1">
        <w:t>entrée au service du Collège d</w:t>
      </w:r>
      <w:r w:rsidR="004A41E4" w:rsidRPr="00026EC1">
        <w:t>’</w:t>
      </w:r>
      <w:r w:rsidRPr="00026EC1">
        <w:t>une nouvelle enseignante ou d</w:t>
      </w:r>
      <w:r w:rsidR="004A41E4" w:rsidRPr="00026EC1">
        <w:t>’</w:t>
      </w:r>
      <w:r w:rsidRPr="00026EC1">
        <w:t>un nouvel enseignant.</w:t>
      </w:r>
    </w:p>
    <w:p w14:paraId="463C1E74" w14:textId="77777777" w:rsidR="008A28C5" w:rsidRPr="00026EC1" w:rsidRDefault="008A28C5" w:rsidP="00A64613">
      <w:pPr>
        <w:keepNext w:val="0"/>
      </w:pPr>
    </w:p>
    <w:p w14:paraId="1128295F" w14:textId="3CA7F031" w:rsidR="008A28C5" w:rsidRPr="00E21489" w:rsidRDefault="008A28C5" w:rsidP="00A64613">
      <w:pPr>
        <w:keepNext w:val="0"/>
      </w:pPr>
      <w:r w:rsidRPr="00026EC1">
        <w:t>Dans le cas d</w:t>
      </w:r>
      <w:r w:rsidR="004A41E4" w:rsidRPr="00026EC1">
        <w:t>’</w:t>
      </w:r>
      <w:r w:rsidRPr="00026EC1">
        <w:t xml:space="preserve">un grief relatif à une conduite de </w:t>
      </w:r>
      <w:r w:rsidRPr="00E21489">
        <w:t>harcèlement psychologique</w:t>
      </w:r>
      <w:r w:rsidR="00152AE3" w:rsidRPr="00E21489">
        <w:t xml:space="preserve"> ou sexuel</w:t>
      </w:r>
      <w:r w:rsidRPr="00E21489">
        <w:t xml:space="preserve">, le délai est de </w:t>
      </w:r>
      <w:r w:rsidR="007D7312" w:rsidRPr="00E21489">
        <w:rPr>
          <w:bCs/>
        </w:rPr>
        <w:t>deux</w:t>
      </w:r>
      <w:r w:rsidR="002B6720">
        <w:rPr>
          <w:bCs/>
        </w:rPr>
        <w:t> </w:t>
      </w:r>
      <w:r w:rsidR="007D7312" w:rsidRPr="00E21489">
        <w:rPr>
          <w:bCs/>
        </w:rPr>
        <w:t xml:space="preserve">(2) ans suivant la dernière manifestation </w:t>
      </w:r>
      <w:r w:rsidR="00990CEC" w:rsidRPr="00E21489">
        <w:rPr>
          <w:bCs/>
        </w:rPr>
        <w:t>d</w:t>
      </w:r>
      <w:r w:rsidR="00720D24" w:rsidRPr="00E21489">
        <w:rPr>
          <w:bCs/>
        </w:rPr>
        <w:t>e l</w:t>
      </w:r>
      <w:r w:rsidR="00990CEC" w:rsidRPr="00E21489">
        <w:rPr>
          <w:bCs/>
        </w:rPr>
        <w:t xml:space="preserve">’une de ces </w:t>
      </w:r>
      <w:r w:rsidR="007D7312" w:rsidRPr="00E21489">
        <w:rPr>
          <w:bCs/>
        </w:rPr>
        <w:t>conduite</w:t>
      </w:r>
      <w:r w:rsidR="00990CEC" w:rsidRPr="00E21489">
        <w:rPr>
          <w:bCs/>
        </w:rPr>
        <w:t>s</w:t>
      </w:r>
      <w:r w:rsidR="007D7312" w:rsidRPr="00E21489">
        <w:rPr>
          <w:bCs/>
        </w:rPr>
        <w:t>.</w:t>
      </w:r>
    </w:p>
    <w:p w14:paraId="4CC7EADE" w14:textId="77777777" w:rsidR="008A28C5" w:rsidRPr="00E21489" w:rsidRDefault="008A28C5" w:rsidP="00A64613">
      <w:pPr>
        <w:keepNext w:val="0"/>
      </w:pPr>
    </w:p>
    <w:p w14:paraId="2C8A19D2" w14:textId="77777777" w:rsidR="008A28C5" w:rsidRPr="00026EC1" w:rsidRDefault="008A28C5" w:rsidP="00A64613">
      <w:pPr>
        <w:keepNext w:val="0"/>
      </w:pPr>
      <w:r w:rsidRPr="00E21489">
        <w:t>Dès la soumission d</w:t>
      </w:r>
      <w:r w:rsidR="004A41E4" w:rsidRPr="00E21489">
        <w:t>’</w:t>
      </w:r>
      <w:r w:rsidRPr="00E21489">
        <w:t>un grief au Collège, le Collège ou le Syndicat peut</w:t>
      </w:r>
      <w:r w:rsidRPr="00026EC1">
        <w:t xml:space="preserve"> demander la convocation du CRT dans le but d</w:t>
      </w:r>
      <w:r w:rsidR="004A41E4" w:rsidRPr="00026EC1">
        <w:t>’</w:t>
      </w:r>
      <w:r w:rsidRPr="00026EC1">
        <w:t>en arriver à une entente.</w:t>
      </w:r>
    </w:p>
    <w:p w14:paraId="490D5897" w14:textId="77777777" w:rsidR="008A28C5" w:rsidRPr="00026EC1" w:rsidRDefault="008A28C5" w:rsidP="00A64613">
      <w:pPr>
        <w:keepNext w:val="0"/>
      </w:pPr>
    </w:p>
    <w:p w14:paraId="200C87C0" w14:textId="0642050C" w:rsidR="008A28C5" w:rsidRPr="00893994" w:rsidRDefault="008A28C5" w:rsidP="00A64613">
      <w:pPr>
        <w:pStyle w:val="NUMRODECLAUSE"/>
        <w:keepNext w:val="0"/>
      </w:pPr>
      <w:r w:rsidRPr="00893994">
        <w:t>9</w:t>
      </w:r>
      <w:r w:rsidR="00984A6F">
        <w:noBreakHyphen/>
      </w:r>
      <w:r w:rsidRPr="00893994">
        <w:t>1.04</w:t>
      </w:r>
    </w:p>
    <w:p w14:paraId="1BC0A3FF" w14:textId="79B50932" w:rsidR="008A28C5" w:rsidRPr="00026EC1" w:rsidRDefault="008A28C5" w:rsidP="00A64613">
      <w:pPr>
        <w:keepNext w:val="0"/>
      </w:pPr>
      <w:r w:rsidRPr="00026EC1">
        <w:t>Aux fins de la soumission écrite d</w:t>
      </w:r>
      <w:r w:rsidR="004A41E4" w:rsidRPr="00026EC1">
        <w:t>’</w:t>
      </w:r>
      <w:r w:rsidRPr="00026EC1">
        <w:t>un grief, l</w:t>
      </w:r>
      <w:r w:rsidR="004A41E4" w:rsidRPr="00026EC1">
        <w:t>’</w:t>
      </w:r>
      <w:r w:rsidRPr="00026EC1">
        <w:t>enseignante ou l</w:t>
      </w:r>
      <w:r w:rsidR="004A41E4" w:rsidRPr="00026EC1">
        <w:t>’</w:t>
      </w:r>
      <w:r w:rsidRPr="00026EC1">
        <w:t>enseignant, le groupe d</w:t>
      </w:r>
      <w:r w:rsidR="004A41E4" w:rsidRPr="00026EC1">
        <w:t>’</w:t>
      </w:r>
      <w:r w:rsidRPr="00026EC1">
        <w:t>enseignantes ou d</w:t>
      </w:r>
      <w:r w:rsidR="004A41E4" w:rsidRPr="00026EC1">
        <w:t>’</w:t>
      </w:r>
      <w:r w:rsidRPr="00026EC1">
        <w:t>enseignants ou le Syndicat re</w:t>
      </w:r>
      <w:r w:rsidR="002D557B" w:rsidRPr="00026EC1">
        <w:t>mplit un formulaire approprié (A</w:t>
      </w:r>
      <w:r w:rsidRPr="00026EC1">
        <w:t>nnexe IV</w:t>
      </w:r>
      <w:r w:rsidR="00984A6F">
        <w:noBreakHyphen/>
      </w:r>
      <w:r w:rsidRPr="00026EC1">
        <w:t>1) établissant les faits à l</w:t>
      </w:r>
      <w:r w:rsidR="004A41E4" w:rsidRPr="00026EC1">
        <w:t>’</w:t>
      </w:r>
      <w:r w:rsidRPr="00026EC1">
        <w:t>origine du grief</w:t>
      </w:r>
      <w:r w:rsidR="00127A45" w:rsidRPr="00026EC1">
        <w:t xml:space="preserve"> et</w:t>
      </w:r>
      <w:r w:rsidRPr="00026EC1">
        <w:t xml:space="preserve"> mentionnant, autant que possible et s</w:t>
      </w:r>
      <w:r w:rsidR="004A41E4" w:rsidRPr="00026EC1">
        <w:t>’</w:t>
      </w:r>
      <w:r w:rsidRPr="00026EC1">
        <w:t>il y a lieu, les clauses visées et le correctif requis.</w:t>
      </w:r>
    </w:p>
    <w:p w14:paraId="48603FE8" w14:textId="77777777" w:rsidR="008A28C5" w:rsidRPr="00026EC1" w:rsidRDefault="008A28C5" w:rsidP="00A64613">
      <w:pPr>
        <w:keepNext w:val="0"/>
      </w:pPr>
    </w:p>
    <w:p w14:paraId="2F80920E" w14:textId="672CBFCC" w:rsidR="008A28C5" w:rsidRPr="00893994" w:rsidRDefault="008A28C5" w:rsidP="00A64613">
      <w:pPr>
        <w:pStyle w:val="NUMRODECLAUSE"/>
        <w:keepNext w:val="0"/>
      </w:pPr>
      <w:r w:rsidRPr="00893994">
        <w:t>9</w:t>
      </w:r>
      <w:r w:rsidR="00984A6F">
        <w:noBreakHyphen/>
      </w:r>
      <w:r w:rsidRPr="00893994">
        <w:t>1.05</w:t>
      </w:r>
    </w:p>
    <w:p w14:paraId="726FF6B4" w14:textId="7CB44D24" w:rsidR="008A28C5" w:rsidRPr="00026EC1" w:rsidRDefault="008A28C5" w:rsidP="00A64613">
      <w:pPr>
        <w:keepNext w:val="0"/>
      </w:pPr>
      <w:r w:rsidRPr="00026EC1">
        <w:t>Saisi du grief, le Collège dispose de dix (10) jours ouvrables pour fournir par écrit sa réponse</w:t>
      </w:r>
      <w:r w:rsidR="00A000DC" w:rsidRPr="00026EC1">
        <w:t>,</w:t>
      </w:r>
      <w:r w:rsidRPr="00026EC1">
        <w:t xml:space="preserve"> sauf si l</w:t>
      </w:r>
      <w:r w:rsidR="004A41E4" w:rsidRPr="00026EC1">
        <w:t>’</w:t>
      </w:r>
      <w:r w:rsidRPr="00026EC1">
        <w:t>une ou l</w:t>
      </w:r>
      <w:r w:rsidR="004A41E4" w:rsidRPr="00026EC1">
        <w:t>’</w:t>
      </w:r>
      <w:r w:rsidRPr="00026EC1">
        <w:t>autre des parties a eu recours au</w:t>
      </w:r>
      <w:r w:rsidRPr="00026EC1">
        <w:rPr>
          <w:bCs/>
        </w:rPr>
        <w:t xml:space="preserve"> </w:t>
      </w:r>
      <w:r w:rsidR="00450DE1" w:rsidRPr="00316277">
        <w:rPr>
          <w:bCs/>
        </w:rPr>
        <w:t>troisième (3</w:t>
      </w:r>
      <w:r w:rsidR="00450DE1" w:rsidRPr="00316277">
        <w:rPr>
          <w:bCs/>
          <w:vertAlign w:val="superscript"/>
        </w:rPr>
        <w:t>e</w:t>
      </w:r>
      <w:r w:rsidR="00450DE1" w:rsidRPr="00316277">
        <w:rPr>
          <w:bCs/>
        </w:rPr>
        <w:t>)</w:t>
      </w:r>
      <w:r w:rsidR="00450DE1">
        <w:rPr>
          <w:bCs/>
        </w:rPr>
        <w:t xml:space="preserve"> </w:t>
      </w:r>
      <w:r w:rsidRPr="00026EC1">
        <w:t>paragraphe de la clause 9</w:t>
      </w:r>
      <w:r w:rsidR="00984A6F">
        <w:noBreakHyphen/>
      </w:r>
      <w:r w:rsidRPr="00026EC1">
        <w:t>1.03. Dans ce dernier cas, le délai pour la réponse du Collège est de dix (10) jours ouvrables après la rencontre du CRT.</w:t>
      </w:r>
    </w:p>
    <w:p w14:paraId="4C584C81" w14:textId="77777777" w:rsidR="008A28C5" w:rsidRPr="00026EC1" w:rsidRDefault="008A28C5" w:rsidP="00A64613">
      <w:pPr>
        <w:keepNext w:val="0"/>
      </w:pPr>
    </w:p>
    <w:p w14:paraId="727BC71A" w14:textId="472735E3" w:rsidR="008A28C5" w:rsidRPr="00893994" w:rsidRDefault="008A28C5" w:rsidP="00A64613">
      <w:pPr>
        <w:pStyle w:val="NUMRODECLAUSE"/>
        <w:keepNext w:val="0"/>
      </w:pPr>
      <w:r w:rsidRPr="00893994">
        <w:t>9</w:t>
      </w:r>
      <w:r w:rsidR="00984A6F">
        <w:noBreakHyphen/>
      </w:r>
      <w:r w:rsidRPr="00893994">
        <w:t>1.06</w:t>
      </w:r>
    </w:p>
    <w:p w14:paraId="11923346" w14:textId="77777777" w:rsidR="008A28C5" w:rsidRPr="00026EC1" w:rsidRDefault="008A28C5" w:rsidP="00A64613">
      <w:pPr>
        <w:keepNext w:val="0"/>
      </w:pPr>
      <w:r w:rsidRPr="00026EC1">
        <w:t>La formulation du grief peut, postérieurement à sa soumission, être modifiée, mais à la condition que la modification n</w:t>
      </w:r>
      <w:r w:rsidR="004A41E4" w:rsidRPr="00026EC1">
        <w:t>’</w:t>
      </w:r>
      <w:r w:rsidRPr="00026EC1">
        <w:t>ait pas pour effet d</w:t>
      </w:r>
      <w:r w:rsidR="004A41E4" w:rsidRPr="00026EC1">
        <w:t>’</w:t>
      </w:r>
      <w:r w:rsidRPr="00026EC1">
        <w:t>en changer la nature.</w:t>
      </w:r>
    </w:p>
    <w:p w14:paraId="30C5BD9A" w14:textId="77777777" w:rsidR="008A28C5" w:rsidRPr="00026EC1" w:rsidRDefault="008A28C5" w:rsidP="00A64613">
      <w:pPr>
        <w:keepNext w:val="0"/>
      </w:pPr>
    </w:p>
    <w:p w14:paraId="54373F46" w14:textId="77777777" w:rsidR="00B6500A" w:rsidRDefault="008A28C5" w:rsidP="00A64613">
      <w:pPr>
        <w:keepNext w:val="0"/>
        <w:sectPr w:rsidR="00B6500A" w:rsidSect="00C17379">
          <w:headerReference w:type="default" r:id="rId35"/>
          <w:footnotePr>
            <w:numRestart w:val="eachPage"/>
          </w:footnotePr>
          <w:pgSz w:w="12240" w:h="15840" w:code="1"/>
          <w:pgMar w:top="720" w:right="1077" w:bottom="1242" w:left="1684" w:header="709" w:footer="709" w:gutter="0"/>
          <w:cols w:space="708"/>
          <w:docGrid w:linePitch="360"/>
        </w:sectPr>
      </w:pPr>
      <w:r w:rsidRPr="00026EC1">
        <w:t>Une erreur technique dans la formulation d</w:t>
      </w:r>
      <w:r w:rsidR="004A41E4" w:rsidRPr="00026EC1">
        <w:t>’</w:t>
      </w:r>
      <w:r w:rsidRPr="00026EC1">
        <w:t>un grief</w:t>
      </w:r>
      <w:r w:rsidR="00127A45" w:rsidRPr="00026EC1">
        <w:t>,</w:t>
      </w:r>
      <w:r w:rsidRPr="00026EC1">
        <w:t xml:space="preserve"> y compris la présentation par écrit autrement que sur les formulaires prévus au présent article</w:t>
      </w:r>
      <w:r w:rsidR="00127A45" w:rsidRPr="00026EC1">
        <w:t>,</w:t>
      </w:r>
      <w:r w:rsidRPr="00026EC1">
        <w:t xml:space="preserve"> n</w:t>
      </w:r>
      <w:r w:rsidR="004A41E4" w:rsidRPr="00026EC1">
        <w:t>’</w:t>
      </w:r>
      <w:r w:rsidRPr="00026EC1">
        <w:t>en affecte pas la validité.</w:t>
      </w:r>
    </w:p>
    <w:p w14:paraId="3096E28B" w14:textId="4972F6BA" w:rsidR="008A28C5" w:rsidRPr="00026EC1" w:rsidRDefault="008A28C5" w:rsidP="00A64613">
      <w:pPr>
        <w:pStyle w:val="NUMRODECLAUSE"/>
        <w:keepNext w:val="0"/>
      </w:pPr>
      <w:r w:rsidRPr="00026EC1">
        <w:t>9</w:t>
      </w:r>
      <w:r w:rsidR="00984A6F">
        <w:noBreakHyphen/>
      </w:r>
      <w:r w:rsidRPr="00026EC1">
        <w:t>1.07</w:t>
      </w:r>
    </w:p>
    <w:p w14:paraId="277DBB26" w14:textId="77777777" w:rsidR="008A28C5" w:rsidRPr="00026EC1" w:rsidRDefault="008A28C5" w:rsidP="00A64613">
      <w:pPr>
        <w:keepNext w:val="0"/>
      </w:pPr>
      <w:r w:rsidRPr="00026EC1">
        <w:t>Les délais prévus au présent article sont de rigueur et ne peuvent être modifiés que par entente écrite entre les représentantes ou représentants du Collège et du Syndicat.</w:t>
      </w:r>
    </w:p>
    <w:p w14:paraId="1D8173AE" w14:textId="77777777" w:rsidR="008A28C5" w:rsidRPr="00026EC1" w:rsidRDefault="008A28C5" w:rsidP="00A64613">
      <w:pPr>
        <w:keepNext w:val="0"/>
      </w:pPr>
    </w:p>
    <w:p w14:paraId="0A3F89A5" w14:textId="178CDC59" w:rsidR="008A28C5" w:rsidRPr="00026EC1" w:rsidRDefault="008A28C5" w:rsidP="00A64613">
      <w:pPr>
        <w:pStyle w:val="NUMRODECLAUSE"/>
        <w:keepNext w:val="0"/>
      </w:pPr>
      <w:r w:rsidRPr="00026EC1">
        <w:t>9</w:t>
      </w:r>
      <w:r w:rsidR="00984A6F">
        <w:noBreakHyphen/>
      </w:r>
      <w:r w:rsidRPr="00026EC1">
        <w:t>1.08</w:t>
      </w:r>
    </w:p>
    <w:p w14:paraId="42903198" w14:textId="2F5D7F29" w:rsidR="008A28C5" w:rsidRPr="00026EC1" w:rsidRDefault="002E6480" w:rsidP="00A64613">
      <w:pPr>
        <w:keepNext w:val="0"/>
      </w:pPr>
      <w:r w:rsidRPr="00026EC1">
        <w:t>Aux fins d’application des clauses 9</w:t>
      </w:r>
      <w:r w:rsidR="00984A6F">
        <w:noBreakHyphen/>
      </w:r>
      <w:r w:rsidRPr="00026EC1">
        <w:t>1.</w:t>
      </w:r>
      <w:r w:rsidRPr="0050762B">
        <w:t>03</w:t>
      </w:r>
      <w:r w:rsidR="005A6DA5" w:rsidRPr="0050762B">
        <w:t xml:space="preserve">, </w:t>
      </w:r>
      <w:r w:rsidRPr="0050762B">
        <w:t>9</w:t>
      </w:r>
      <w:r w:rsidR="00984A6F">
        <w:noBreakHyphen/>
      </w:r>
      <w:r w:rsidRPr="0050762B">
        <w:t xml:space="preserve">1.05 </w:t>
      </w:r>
      <w:r w:rsidRPr="00026EC1">
        <w:t>et 9</w:t>
      </w:r>
      <w:r w:rsidR="00984A6F">
        <w:noBreakHyphen/>
      </w:r>
      <w:r w:rsidRPr="00026EC1">
        <w:t>2.01, les délais ne courent pas durant la période de vaca</w:t>
      </w:r>
      <w:r w:rsidR="00BA79F8" w:rsidRPr="00026EC1">
        <w:t>nces prévue à l’article 8</w:t>
      </w:r>
      <w:r w:rsidR="00984A6F">
        <w:noBreakHyphen/>
      </w:r>
      <w:r w:rsidR="00BA79F8" w:rsidRPr="00026EC1">
        <w:t>2.00.</w:t>
      </w:r>
    </w:p>
    <w:p w14:paraId="30CB65F7" w14:textId="729233EA" w:rsidR="00404F34" w:rsidRPr="00026EC1" w:rsidRDefault="00404F34" w:rsidP="00A64613">
      <w:pPr>
        <w:pStyle w:val="Heading2"/>
        <w:keepNext w:val="0"/>
        <w:tabs>
          <w:tab w:val="clear" w:pos="1843"/>
          <w:tab w:val="clear" w:pos="2127"/>
          <w:tab w:val="left" w:pos="1701"/>
          <w:tab w:val="left" w:pos="1985"/>
        </w:tabs>
        <w:ind w:left="2127" w:hanging="2127"/>
      </w:pPr>
      <w:r w:rsidRPr="00026EC1">
        <w:br w:type="page"/>
      </w:r>
      <w:bookmarkStart w:id="920" w:name="_Toc535046641"/>
      <w:bookmarkStart w:id="921" w:name="_Toc133760808"/>
      <w:bookmarkStart w:id="922" w:name="_Toc393444646"/>
      <w:bookmarkStart w:id="923" w:name="_Toc393449597"/>
      <w:bookmarkStart w:id="924" w:name="_Toc393460966"/>
      <w:bookmarkStart w:id="925" w:name="_Toc393461244"/>
      <w:bookmarkStart w:id="926" w:name="_Toc393720805"/>
      <w:bookmarkStart w:id="927" w:name="_Toc393783966"/>
      <w:bookmarkStart w:id="928" w:name="_Toc393784105"/>
      <w:bookmarkStart w:id="929" w:name="_Toc168479562"/>
      <w:r w:rsidRPr="00026EC1">
        <w:t>Article 9</w:t>
      </w:r>
      <w:r w:rsidR="00B92165">
        <w:t>-</w:t>
      </w:r>
      <w:r w:rsidRPr="00026EC1">
        <w:t>2.00</w:t>
      </w:r>
      <w:r w:rsidR="00CB6B97" w:rsidRPr="00026EC1">
        <w:tab/>
      </w:r>
      <w:r w:rsidR="00B92165">
        <w:t>-</w:t>
      </w:r>
      <w:r w:rsidR="00CB6B97" w:rsidRPr="00026EC1">
        <w:tab/>
      </w:r>
      <w:r w:rsidRPr="00026EC1">
        <w:t>Procédures d</w:t>
      </w:r>
      <w:r w:rsidR="004A41E4" w:rsidRPr="00026EC1">
        <w:t>’</w:t>
      </w:r>
      <w:r w:rsidRPr="00026EC1">
        <w:t>arbitrage</w:t>
      </w:r>
      <w:bookmarkEnd w:id="920"/>
      <w:bookmarkEnd w:id="921"/>
      <w:bookmarkEnd w:id="922"/>
      <w:bookmarkEnd w:id="923"/>
      <w:bookmarkEnd w:id="924"/>
      <w:bookmarkEnd w:id="925"/>
      <w:bookmarkEnd w:id="926"/>
      <w:bookmarkEnd w:id="927"/>
      <w:bookmarkEnd w:id="928"/>
      <w:bookmarkEnd w:id="929"/>
    </w:p>
    <w:p w14:paraId="384B5D76" w14:textId="46369F9D" w:rsidR="00C75CBA" w:rsidRPr="00026EC1" w:rsidRDefault="008D50B4" w:rsidP="00A64613">
      <w:pPr>
        <w:pStyle w:val="NUMRODECLAUSE"/>
        <w:keepNext w:val="0"/>
      </w:pPr>
      <w:r w:rsidRPr="00026EC1">
        <w:t>9</w:t>
      </w:r>
      <w:r w:rsidR="00984A6F">
        <w:noBreakHyphen/>
      </w:r>
      <w:r w:rsidRPr="00026EC1">
        <w:t>2.01</w:t>
      </w:r>
    </w:p>
    <w:p w14:paraId="3E4D43FF" w14:textId="535B5BB9" w:rsidR="006B602A" w:rsidRPr="00026EC1" w:rsidRDefault="006B602A" w:rsidP="00A64613">
      <w:pPr>
        <w:keepNext w:val="0"/>
        <w:ind w:right="-19"/>
      </w:pPr>
      <w:r w:rsidRPr="00026EC1">
        <w:t xml:space="preserve">Si le Syndicat n’est pas satisfait de la décision du Collège à la suite du recours à la procédure de </w:t>
      </w:r>
      <w:r w:rsidRPr="00E21489">
        <w:t>grief prévue à l’article 9</w:t>
      </w:r>
      <w:r w:rsidR="00984A6F">
        <w:noBreakHyphen/>
      </w:r>
      <w:r w:rsidRPr="00E21489">
        <w:t xml:space="preserve">1.00 et qu’il désire soumettre le grief à l’arbitrage, il donne un avis à </w:t>
      </w:r>
      <w:r w:rsidR="00ED59BF" w:rsidRPr="00E21489">
        <w:t xml:space="preserve">l’arbitre en chef </w:t>
      </w:r>
      <w:r w:rsidRPr="00E21489">
        <w:t>dont le</w:t>
      </w:r>
      <w:r w:rsidRPr="00026EC1">
        <w:t xml:space="preserve"> nom est inscrit au présent article sur le formulaire apparaissant à l’Annexe IV</w:t>
      </w:r>
      <w:r w:rsidR="00984A6F">
        <w:noBreakHyphen/>
      </w:r>
      <w:r w:rsidRPr="00026EC1">
        <w:t>2 ou sur le formulaire en ligne du Greffe, une fois la procédure prévue à l’article 9</w:t>
      </w:r>
      <w:r w:rsidR="00984A6F">
        <w:noBreakHyphen/>
      </w:r>
      <w:r w:rsidRPr="00026EC1">
        <w:t>1.00 épuisée et dans les soixante</w:t>
      </w:r>
      <w:r w:rsidR="002B6720">
        <w:t> </w:t>
      </w:r>
      <w:r w:rsidRPr="00026EC1">
        <w:t xml:space="preserve">(60) jours ouvrables qui suivent l’expiration des délais prévus. </w:t>
      </w:r>
    </w:p>
    <w:p w14:paraId="35365618" w14:textId="77777777" w:rsidR="006B602A" w:rsidRPr="00026EC1" w:rsidRDefault="006B602A" w:rsidP="00A64613">
      <w:pPr>
        <w:keepNext w:val="0"/>
        <w:ind w:right="-716"/>
      </w:pPr>
    </w:p>
    <w:p w14:paraId="0091A300" w14:textId="77777777" w:rsidR="006B602A" w:rsidRPr="00026EC1" w:rsidRDefault="006B602A" w:rsidP="00A64613">
      <w:pPr>
        <w:keepNext w:val="0"/>
        <w:ind w:right="-716"/>
      </w:pPr>
      <w:r w:rsidRPr="00026EC1">
        <w:t>Ce délai est de rigueur et ne peut être prolongé sans le consentement écrit des parties.</w:t>
      </w:r>
    </w:p>
    <w:p w14:paraId="6E26E707" w14:textId="77777777" w:rsidR="006B602A" w:rsidRPr="00026EC1" w:rsidRDefault="006B602A" w:rsidP="00A64613">
      <w:pPr>
        <w:keepNext w:val="0"/>
        <w:ind w:right="-716"/>
      </w:pPr>
    </w:p>
    <w:p w14:paraId="6579E1F1" w14:textId="77777777" w:rsidR="006B602A" w:rsidRPr="00026EC1" w:rsidRDefault="006B602A" w:rsidP="00A64613">
      <w:pPr>
        <w:keepNext w:val="0"/>
        <w:ind w:right="-19"/>
      </w:pPr>
      <w:r w:rsidRPr="00026EC1">
        <w:t>Un délai de péremption de sept (7) ans s’applique à tout grief qui n’a pas été fixé au rôle d’arbitrage. Ce délai court à compter de la date d’inscription du grief au Greffe des tribunaux d’arbitrage du secteur de l’Éducation.</w:t>
      </w:r>
    </w:p>
    <w:p w14:paraId="0FDDBD3C" w14:textId="77777777" w:rsidR="006B602A" w:rsidRPr="00026EC1" w:rsidRDefault="006B602A" w:rsidP="00A64613">
      <w:pPr>
        <w:keepNext w:val="0"/>
        <w:ind w:right="-716"/>
      </w:pPr>
    </w:p>
    <w:p w14:paraId="48B162BD" w14:textId="27B1F70D" w:rsidR="006B602A" w:rsidRPr="00026EC1" w:rsidRDefault="006B602A" w:rsidP="00A64613">
      <w:pPr>
        <w:keepNext w:val="0"/>
        <w:ind w:right="-19"/>
      </w:pPr>
      <w:r w:rsidRPr="00026EC1">
        <w:t>Pour les griefs déposés antérieurement à l’entrée en vigueur de la convention collective</w:t>
      </w:r>
      <w:r w:rsidR="00C646D5">
        <w:t> </w:t>
      </w:r>
      <w:r w:rsidRPr="00026EC1">
        <w:t>2015</w:t>
      </w:r>
      <w:r w:rsidR="00984A6F">
        <w:noBreakHyphen/>
      </w:r>
      <w:r w:rsidRPr="00026EC1">
        <w:t>2020, le délai court à compter de la date de la signature de celle</w:t>
      </w:r>
      <w:r w:rsidR="00984A6F">
        <w:noBreakHyphen/>
      </w:r>
      <w:r w:rsidRPr="00026EC1">
        <w:t>ci.</w:t>
      </w:r>
    </w:p>
    <w:p w14:paraId="5825D27D" w14:textId="77777777" w:rsidR="002E6480" w:rsidRPr="00026EC1" w:rsidRDefault="002E6480" w:rsidP="00A64613">
      <w:pPr>
        <w:keepNext w:val="0"/>
      </w:pPr>
    </w:p>
    <w:p w14:paraId="3E08D97B" w14:textId="78FD2FB0" w:rsidR="008D50B4" w:rsidRPr="00026EC1" w:rsidRDefault="008D50B4" w:rsidP="00A64613">
      <w:pPr>
        <w:pStyle w:val="NUMRODECLAUSE"/>
        <w:keepNext w:val="0"/>
      </w:pPr>
      <w:r w:rsidRPr="00026EC1">
        <w:t>9</w:t>
      </w:r>
      <w:r w:rsidR="00984A6F">
        <w:noBreakHyphen/>
      </w:r>
      <w:r w:rsidRPr="00026EC1">
        <w:t>2.02</w:t>
      </w:r>
    </w:p>
    <w:p w14:paraId="748C15E1" w14:textId="40CBD46E" w:rsidR="008D50B4" w:rsidRPr="00026EC1" w:rsidRDefault="006257B8" w:rsidP="00A64613">
      <w:pPr>
        <w:keepNext w:val="0"/>
      </w:pPr>
      <w:r w:rsidRPr="00E21489">
        <w:t xml:space="preserve">L’arbitre en chef </w:t>
      </w:r>
      <w:r w:rsidR="008D50B4" w:rsidRPr="00E21489">
        <w:t>des tribunaux d</w:t>
      </w:r>
      <w:r w:rsidR="004A41E4" w:rsidRPr="00E21489">
        <w:t>’</w:t>
      </w:r>
      <w:r w:rsidR="008D50B4" w:rsidRPr="00E21489">
        <w:t>arbitrage du secteur de l</w:t>
      </w:r>
      <w:r w:rsidR="004A41E4" w:rsidRPr="00E21489">
        <w:t>’</w:t>
      </w:r>
      <w:r w:rsidR="008D50B4" w:rsidRPr="00E21489">
        <w:t>Éducation assure la bonne</w:t>
      </w:r>
      <w:r w:rsidR="008D50B4" w:rsidRPr="00026EC1">
        <w:t xml:space="preserve"> marche des tribunaux d</w:t>
      </w:r>
      <w:r w:rsidR="004A41E4" w:rsidRPr="00026EC1">
        <w:t>’</w:t>
      </w:r>
      <w:r w:rsidR="008D50B4" w:rsidRPr="00026EC1">
        <w:t>arbitrage concernés par la présente en collaboration avec la Greffière ou le Greffier en chef.</w:t>
      </w:r>
    </w:p>
    <w:p w14:paraId="3D303C8B" w14:textId="77777777" w:rsidR="008D50B4" w:rsidRPr="00026EC1" w:rsidRDefault="008D50B4" w:rsidP="00A64613">
      <w:pPr>
        <w:keepNext w:val="0"/>
      </w:pPr>
    </w:p>
    <w:p w14:paraId="7E8F783C" w14:textId="77777777" w:rsidR="008D50B4" w:rsidRPr="00026EC1" w:rsidRDefault="008D50B4" w:rsidP="00A64613">
      <w:pPr>
        <w:keepNext w:val="0"/>
      </w:pPr>
      <w:r w:rsidRPr="00026EC1">
        <w:t>La Greffière ou le Greffier en chef voit à la bonne marche du Greffe.</w:t>
      </w:r>
    </w:p>
    <w:p w14:paraId="61048A89" w14:textId="77777777" w:rsidR="008D50B4" w:rsidRPr="00026EC1" w:rsidRDefault="008D50B4" w:rsidP="00A64613">
      <w:pPr>
        <w:keepNext w:val="0"/>
      </w:pPr>
    </w:p>
    <w:p w14:paraId="0643839D" w14:textId="4B9E8384" w:rsidR="008D50B4" w:rsidRPr="00026EC1" w:rsidRDefault="008D50B4" w:rsidP="00A64613">
      <w:pPr>
        <w:pStyle w:val="NUMRODECLAUSE"/>
        <w:keepNext w:val="0"/>
      </w:pPr>
      <w:r w:rsidRPr="00026EC1">
        <w:t>9</w:t>
      </w:r>
      <w:r w:rsidR="00984A6F">
        <w:noBreakHyphen/>
      </w:r>
      <w:r w:rsidRPr="00026EC1">
        <w:t>2.03</w:t>
      </w:r>
    </w:p>
    <w:p w14:paraId="671CC957" w14:textId="115F00D1" w:rsidR="008D50B4" w:rsidRPr="00026EC1" w:rsidRDefault="008D50B4" w:rsidP="00A64613">
      <w:pPr>
        <w:keepNext w:val="0"/>
      </w:pPr>
      <w:r w:rsidRPr="00026EC1">
        <w:t>Sur réception de l</w:t>
      </w:r>
      <w:r w:rsidR="004A41E4" w:rsidRPr="00026EC1">
        <w:t>’</w:t>
      </w:r>
      <w:r w:rsidRPr="00026EC1">
        <w:t>avis selon lequel un grief est soumis à l</w:t>
      </w:r>
      <w:r w:rsidR="004A41E4" w:rsidRPr="00026EC1">
        <w:t>’</w:t>
      </w:r>
      <w:r w:rsidRPr="00026EC1">
        <w:t>arbitrage, le Greffe ouvre un dossier auquel il donne un numéro de cause, fait parvenir à l</w:t>
      </w:r>
      <w:r w:rsidR="004A41E4" w:rsidRPr="00026EC1">
        <w:t>’</w:t>
      </w:r>
      <w:r w:rsidRPr="00026EC1">
        <w:t>enseignante ou l</w:t>
      </w:r>
      <w:r w:rsidR="004A41E4" w:rsidRPr="00026EC1">
        <w:t>’</w:t>
      </w:r>
      <w:r w:rsidRPr="00026EC1">
        <w:t>enseignant concerné, au Syndicat et au Collège, un accusé de réception indiquant le numéro de la cause et la date de réception. De plus, il fait parvenir à la Fédération des cégeps, à la</w:t>
      </w:r>
      <w:r w:rsidR="00C646D5">
        <w:t> </w:t>
      </w:r>
      <w:r w:rsidRPr="00026EC1">
        <w:t>FNEEQ (CSN) et au Ministère une copie de l</w:t>
      </w:r>
      <w:r w:rsidR="004A41E4" w:rsidRPr="00026EC1">
        <w:t>’</w:t>
      </w:r>
      <w:r w:rsidRPr="00026EC1">
        <w:t>avis d</w:t>
      </w:r>
      <w:r w:rsidR="004A41E4" w:rsidRPr="00026EC1">
        <w:t>’</w:t>
      </w:r>
      <w:r w:rsidRPr="00026EC1">
        <w:t>arbitrage et de l</w:t>
      </w:r>
      <w:r w:rsidR="004A41E4" w:rsidRPr="00026EC1">
        <w:t>’</w:t>
      </w:r>
      <w:r w:rsidRPr="00026EC1">
        <w:t>accusé de réception.</w:t>
      </w:r>
    </w:p>
    <w:p w14:paraId="56650E5B" w14:textId="77777777" w:rsidR="008D50B4" w:rsidRPr="00026EC1" w:rsidRDefault="008D50B4" w:rsidP="00A64613">
      <w:pPr>
        <w:keepNext w:val="0"/>
      </w:pPr>
    </w:p>
    <w:p w14:paraId="7DE4ADA5" w14:textId="707F3C45" w:rsidR="008D50B4" w:rsidRPr="00026EC1" w:rsidRDefault="008D50B4" w:rsidP="00A64613">
      <w:pPr>
        <w:pStyle w:val="NUMRODECLAUSE"/>
        <w:keepNext w:val="0"/>
      </w:pPr>
      <w:r w:rsidRPr="00026EC1">
        <w:t>9</w:t>
      </w:r>
      <w:r w:rsidR="00984A6F">
        <w:noBreakHyphen/>
      </w:r>
      <w:r w:rsidRPr="00026EC1">
        <w:t>2.04</w:t>
      </w:r>
    </w:p>
    <w:p w14:paraId="48E6850F" w14:textId="2F33F157" w:rsidR="008D50B4" w:rsidRPr="00026EC1" w:rsidRDefault="008D50B4" w:rsidP="00A64613">
      <w:pPr>
        <w:keepNext w:val="0"/>
      </w:pPr>
      <w:r w:rsidRPr="00026EC1">
        <w:t>Les représentantes ou représentants des parties nationales se rencontrent mensuellement, dans la semaine précédant la fixation des rôles prévue à la clause 9</w:t>
      </w:r>
      <w:r w:rsidR="00984A6F">
        <w:noBreakHyphen/>
      </w:r>
      <w:r w:rsidRPr="00026EC1">
        <w:t>2.05, afin d</w:t>
      </w:r>
      <w:r w:rsidR="004A41E4" w:rsidRPr="00026EC1">
        <w:t>’</w:t>
      </w:r>
      <w:r w:rsidRPr="00026EC1">
        <w:t>acheminer les griefs reçus au cours du mois précédent à l</w:t>
      </w:r>
      <w:r w:rsidR="004A41E4" w:rsidRPr="00026EC1">
        <w:t>’</w:t>
      </w:r>
      <w:r w:rsidRPr="00026EC1">
        <w:t>un ou l</w:t>
      </w:r>
      <w:r w:rsidR="004A41E4" w:rsidRPr="00026EC1">
        <w:t>’</w:t>
      </w:r>
      <w:r w:rsidRPr="00026EC1">
        <w:t>autre des modes d</w:t>
      </w:r>
      <w:r w:rsidR="004A41E4" w:rsidRPr="00026EC1">
        <w:t>’</w:t>
      </w:r>
      <w:r w:rsidRPr="00026EC1">
        <w:t>arbitrage prévus aux clauses 9</w:t>
      </w:r>
      <w:r w:rsidR="00984A6F">
        <w:noBreakHyphen/>
      </w:r>
      <w:r w:rsidRPr="00026EC1">
        <w:t>2.07, 9</w:t>
      </w:r>
      <w:r w:rsidR="00984A6F">
        <w:noBreakHyphen/>
      </w:r>
      <w:r w:rsidRPr="00026EC1">
        <w:t xml:space="preserve">2.08 </w:t>
      </w:r>
      <w:r w:rsidRPr="00026EC1">
        <w:rPr>
          <w:bCs/>
        </w:rPr>
        <w:t xml:space="preserve">et </w:t>
      </w:r>
      <w:r w:rsidRPr="00026EC1">
        <w:t>9</w:t>
      </w:r>
      <w:r w:rsidR="00984A6F">
        <w:noBreakHyphen/>
      </w:r>
      <w:r w:rsidRPr="00026EC1">
        <w:t xml:space="preserve">2.27. </w:t>
      </w:r>
    </w:p>
    <w:p w14:paraId="4E8B5C80" w14:textId="77777777" w:rsidR="008D50B4" w:rsidRPr="00026EC1" w:rsidRDefault="008D50B4" w:rsidP="00A64613">
      <w:pPr>
        <w:keepNext w:val="0"/>
      </w:pPr>
    </w:p>
    <w:p w14:paraId="5368825A" w14:textId="77777777" w:rsidR="008D50B4" w:rsidRPr="00026EC1" w:rsidRDefault="008D50B4" w:rsidP="00A64613">
      <w:pPr>
        <w:keepNext w:val="0"/>
      </w:pPr>
      <w:r w:rsidRPr="00026EC1">
        <w:t>De plus, après avoir fait la revue des griefs entrés au rôle durant le mois précédant la rencontre, les représentantes ou représentants des parties nationales peuvent faire des recommandations aux parties quant au règlement de certains griefs.</w:t>
      </w:r>
    </w:p>
    <w:p w14:paraId="6B5D8717" w14:textId="77777777" w:rsidR="008D50B4" w:rsidRPr="00026EC1" w:rsidRDefault="008D50B4" w:rsidP="00A64613">
      <w:pPr>
        <w:keepNext w:val="0"/>
      </w:pPr>
    </w:p>
    <w:p w14:paraId="7E1479BC" w14:textId="0065D430" w:rsidR="008D50B4" w:rsidRPr="00026EC1" w:rsidRDefault="008D50B4" w:rsidP="00A64613">
      <w:pPr>
        <w:pStyle w:val="NUMRODECLAUSE"/>
        <w:keepNext w:val="0"/>
      </w:pPr>
      <w:r w:rsidRPr="00026EC1">
        <w:t>9</w:t>
      </w:r>
      <w:r w:rsidR="00984A6F">
        <w:noBreakHyphen/>
      </w:r>
      <w:r w:rsidRPr="00026EC1">
        <w:t>2.05</w:t>
      </w:r>
    </w:p>
    <w:p w14:paraId="728F0F37" w14:textId="6AFA5E38" w:rsidR="008D50B4" w:rsidRPr="00026EC1" w:rsidRDefault="003C32B1" w:rsidP="00A64613">
      <w:pPr>
        <w:keepNext w:val="0"/>
      </w:pPr>
      <w:r w:rsidRPr="00E21489">
        <w:t xml:space="preserve">L’arbitre en chef </w:t>
      </w:r>
      <w:r w:rsidR="008D50B4" w:rsidRPr="00E21489">
        <w:t>ou la Greffière ou le Greffier en chef, sous l</w:t>
      </w:r>
      <w:r w:rsidR="004A41E4" w:rsidRPr="00E21489">
        <w:t>’</w:t>
      </w:r>
      <w:r w:rsidR="008D50B4" w:rsidRPr="00E21489">
        <w:t xml:space="preserve">autorité </w:t>
      </w:r>
      <w:r w:rsidRPr="00E21489">
        <w:t>de l’arbitre en chef</w:t>
      </w:r>
      <w:r>
        <w:t xml:space="preserve"> </w:t>
      </w:r>
      <w:r w:rsidR="008D50B4" w:rsidRPr="00026EC1">
        <w:t>des arbitres, convoque par un avis écrit d</w:t>
      </w:r>
      <w:r w:rsidR="004A41E4" w:rsidRPr="00026EC1">
        <w:t>’</w:t>
      </w:r>
      <w:r w:rsidR="008D50B4" w:rsidRPr="00026EC1">
        <w:t>au moins dix (10) jours ouvrables, les représentantes ou représentants désignés de la Fédération des cégeps, du Ministère et de la</w:t>
      </w:r>
      <w:r w:rsidR="00C646D5">
        <w:t> </w:t>
      </w:r>
      <w:r w:rsidR="008D50B4" w:rsidRPr="00026EC1">
        <w:t>FNEEQ (CSN) à une rencontre afin de</w:t>
      </w:r>
      <w:r w:rsidR="00D8581B">
        <w:t> :</w:t>
      </w:r>
    </w:p>
    <w:p w14:paraId="75479CCD" w14:textId="77777777" w:rsidR="008D50B4" w:rsidRPr="00026EC1" w:rsidRDefault="008D50B4" w:rsidP="00A64613">
      <w:pPr>
        <w:keepNext w:val="0"/>
      </w:pPr>
    </w:p>
    <w:p w14:paraId="57574CFF" w14:textId="19238C6A" w:rsidR="008D50B4" w:rsidRPr="00026EC1" w:rsidRDefault="00275751" w:rsidP="00A64613">
      <w:pPr>
        <w:keepNext w:val="0"/>
        <w:tabs>
          <w:tab w:val="left" w:pos="567"/>
        </w:tabs>
        <w:ind w:left="567" w:hanging="567"/>
      </w:pPr>
      <w:r w:rsidRPr="00026EC1">
        <w:t>a)</w:t>
      </w:r>
      <w:r w:rsidRPr="00026EC1">
        <w:tab/>
      </w:r>
      <w:r w:rsidR="008D50B4" w:rsidRPr="00026EC1">
        <w:t>dresser le rôle mensuel d</w:t>
      </w:r>
      <w:r w:rsidR="004A41E4" w:rsidRPr="00026EC1">
        <w:t>’</w:t>
      </w:r>
      <w:r w:rsidR="008D50B4" w:rsidRPr="00026EC1">
        <w:t>arbitrage et fixer l</w:t>
      </w:r>
      <w:r w:rsidR="004A41E4" w:rsidRPr="00026EC1">
        <w:t>’</w:t>
      </w:r>
      <w:r w:rsidR="008D50B4" w:rsidRPr="00026EC1">
        <w:t>heure, la date et le lieu des séances d</w:t>
      </w:r>
      <w:r w:rsidR="004A41E4" w:rsidRPr="00026EC1">
        <w:t>’</w:t>
      </w:r>
      <w:r w:rsidR="008D50B4" w:rsidRPr="00026EC1">
        <w:t>arbitrage. Les griefs sont fixés selon les disponibilités des arbitres et des parties nationales. À cet effet, sous réserve des disponibilités des arbitres, les parties nationales se garantissent mutuellement soixante</w:t>
      </w:r>
      <w:r w:rsidR="002B6720">
        <w:t> </w:t>
      </w:r>
      <w:r w:rsidR="008D50B4" w:rsidRPr="00026EC1">
        <w:t>(60) jours d</w:t>
      </w:r>
      <w:r w:rsidR="004A41E4" w:rsidRPr="00026EC1">
        <w:t>’</w:t>
      </w:r>
      <w:r w:rsidR="008D50B4" w:rsidRPr="00026EC1">
        <w:t>audience réparties entre les mois de septembre et juin inclusivement, à raison d</w:t>
      </w:r>
      <w:r w:rsidR="004A41E4" w:rsidRPr="00026EC1">
        <w:t>’</w:t>
      </w:r>
      <w:r w:rsidR="008D50B4" w:rsidRPr="00026EC1">
        <w:t>une moyenne de quatre (4) jours par mois;</w:t>
      </w:r>
    </w:p>
    <w:p w14:paraId="4B31BB76" w14:textId="77777777" w:rsidR="005C01E7" w:rsidRPr="00026EC1" w:rsidRDefault="005C01E7" w:rsidP="00A64613">
      <w:pPr>
        <w:keepNext w:val="0"/>
      </w:pPr>
    </w:p>
    <w:p w14:paraId="4DF17C20" w14:textId="0FA4E014" w:rsidR="008D50B4" w:rsidRPr="00026EC1" w:rsidRDefault="00275751" w:rsidP="00A64613">
      <w:pPr>
        <w:keepNext w:val="0"/>
        <w:tabs>
          <w:tab w:val="left" w:pos="567"/>
        </w:tabs>
        <w:ind w:left="567" w:hanging="567"/>
      </w:pPr>
      <w:r w:rsidRPr="00026EC1">
        <w:t>b)</w:t>
      </w:r>
      <w:r w:rsidRPr="00026EC1">
        <w:tab/>
      </w:r>
      <w:r w:rsidR="008D50B4" w:rsidRPr="00026EC1">
        <w:t>désigner, à même la liste mentionnée à la clause 9</w:t>
      </w:r>
      <w:r w:rsidR="00984A6F">
        <w:noBreakHyphen/>
      </w:r>
      <w:r w:rsidR="008D50B4" w:rsidRPr="00026EC1">
        <w:t>2.07, une ou un arbitre pour agir à ce titre;</w:t>
      </w:r>
    </w:p>
    <w:p w14:paraId="4433C4CC" w14:textId="77777777" w:rsidR="008D50B4" w:rsidRPr="00026EC1" w:rsidRDefault="008D50B4" w:rsidP="00A64613">
      <w:pPr>
        <w:keepNext w:val="0"/>
      </w:pPr>
    </w:p>
    <w:p w14:paraId="1111928A" w14:textId="77777777" w:rsidR="008D50B4" w:rsidRPr="00026EC1" w:rsidRDefault="00275751" w:rsidP="00A64613">
      <w:pPr>
        <w:keepNext w:val="0"/>
        <w:tabs>
          <w:tab w:val="left" w:pos="567"/>
        </w:tabs>
        <w:ind w:left="567" w:hanging="567"/>
      </w:pPr>
      <w:r w:rsidRPr="00026EC1">
        <w:t>c)</w:t>
      </w:r>
      <w:r w:rsidRPr="00026EC1">
        <w:tab/>
      </w:r>
      <w:r w:rsidR="008D50B4" w:rsidRPr="00026EC1">
        <w:t>prévoir, pour chacun des jours d</w:t>
      </w:r>
      <w:r w:rsidR="004A41E4" w:rsidRPr="00026EC1">
        <w:t>’</w:t>
      </w:r>
      <w:r w:rsidR="008D50B4" w:rsidRPr="00026EC1">
        <w:t>audience, un ou des griefs pouvant être entendus en lieu et place du ou des griefs fixés selon l</w:t>
      </w:r>
      <w:r w:rsidR="004A41E4" w:rsidRPr="00026EC1">
        <w:t>’</w:t>
      </w:r>
      <w:r w:rsidR="008D50B4" w:rsidRPr="00026EC1">
        <w:t>alinéa a), en cas de remise ou d</w:t>
      </w:r>
      <w:r w:rsidR="004A41E4" w:rsidRPr="00026EC1">
        <w:t>’</w:t>
      </w:r>
      <w:r w:rsidR="008D50B4" w:rsidRPr="00026EC1">
        <w:t>annulation.</w:t>
      </w:r>
    </w:p>
    <w:p w14:paraId="6A2F7619" w14:textId="77777777" w:rsidR="008D50B4" w:rsidRPr="00026EC1" w:rsidRDefault="008D50B4" w:rsidP="00A64613">
      <w:pPr>
        <w:keepNext w:val="0"/>
      </w:pPr>
    </w:p>
    <w:p w14:paraId="39D27F3D" w14:textId="77777777" w:rsidR="008D50B4" w:rsidRPr="00026EC1" w:rsidRDefault="008D50B4" w:rsidP="00A64613">
      <w:pPr>
        <w:keepNext w:val="0"/>
      </w:pPr>
      <w:r w:rsidRPr="00026EC1">
        <w:t>Le Greffe en avise l</w:t>
      </w:r>
      <w:r w:rsidR="004A41E4" w:rsidRPr="00026EC1">
        <w:t>’</w:t>
      </w:r>
      <w:r w:rsidRPr="00026EC1">
        <w:t>arbitre, les parties visées, la FNEEQ (CSN), la Fédération des cégeps et le Ministère.</w:t>
      </w:r>
    </w:p>
    <w:p w14:paraId="5B681F0D" w14:textId="77777777" w:rsidR="008D50B4" w:rsidRPr="00026EC1" w:rsidRDefault="008D50B4" w:rsidP="00A64613">
      <w:pPr>
        <w:keepNext w:val="0"/>
      </w:pPr>
    </w:p>
    <w:p w14:paraId="447C1209" w14:textId="694D2FF7" w:rsidR="008D50B4" w:rsidRPr="00026EC1" w:rsidRDefault="008D50B4" w:rsidP="00A64613">
      <w:pPr>
        <w:keepNext w:val="0"/>
      </w:pPr>
      <w:r w:rsidRPr="00026EC1">
        <w:t>De plus, lors de cette rencontre, les représentantes ou représentants des parties nationales font connaître la liste des griefs qu</w:t>
      </w:r>
      <w:r w:rsidR="004A41E4" w:rsidRPr="00026EC1">
        <w:t>’</w:t>
      </w:r>
      <w:r w:rsidRPr="00026EC1">
        <w:t>elles ou ils souhaitent fixer au rôle d</w:t>
      </w:r>
      <w:r w:rsidR="004A41E4" w:rsidRPr="00026EC1">
        <w:t>’</w:t>
      </w:r>
      <w:r w:rsidRPr="00026EC1">
        <w:t xml:space="preserve">arbitrage à la rencontre suivante pour être entendus selon </w:t>
      </w:r>
      <w:r w:rsidRPr="00026EC1">
        <w:rPr>
          <w:bCs/>
        </w:rPr>
        <w:t xml:space="preserve">la </w:t>
      </w:r>
      <w:r w:rsidRPr="00026EC1">
        <w:t>procédure d</w:t>
      </w:r>
      <w:r w:rsidR="004A41E4" w:rsidRPr="00026EC1">
        <w:t>’</w:t>
      </w:r>
      <w:r w:rsidRPr="00026EC1">
        <w:t>arbitrage accéléré prévue</w:t>
      </w:r>
      <w:r w:rsidRPr="00026EC1">
        <w:rPr>
          <w:bCs/>
        </w:rPr>
        <w:t xml:space="preserve"> à la </w:t>
      </w:r>
      <w:r w:rsidRPr="00026EC1">
        <w:t>clause 9</w:t>
      </w:r>
      <w:r w:rsidR="00984A6F">
        <w:noBreakHyphen/>
      </w:r>
      <w:r w:rsidRPr="00026EC1">
        <w:t xml:space="preserve">2.27. </w:t>
      </w:r>
    </w:p>
    <w:p w14:paraId="66CCB4B7" w14:textId="77777777" w:rsidR="008D50B4" w:rsidRPr="00026EC1" w:rsidRDefault="008D50B4" w:rsidP="00A64613">
      <w:pPr>
        <w:keepNext w:val="0"/>
      </w:pPr>
    </w:p>
    <w:p w14:paraId="563DBB54" w14:textId="02279656" w:rsidR="008D50B4" w:rsidRPr="00026EC1" w:rsidRDefault="008D50B4" w:rsidP="00A64613">
      <w:pPr>
        <w:keepNext w:val="0"/>
      </w:pPr>
      <w:r w:rsidRPr="00026EC1">
        <w:t>À moins que l</w:t>
      </w:r>
      <w:r w:rsidR="004A41E4" w:rsidRPr="00026EC1">
        <w:t>’</w:t>
      </w:r>
      <w:r w:rsidRPr="00026EC1">
        <w:t>arbitre ne soit saisi d</w:t>
      </w:r>
      <w:r w:rsidR="004A41E4" w:rsidRPr="00026EC1">
        <w:t>’</w:t>
      </w:r>
      <w:r w:rsidRPr="00026EC1">
        <w:t>un autre grief pour la journée prévue, les journées d</w:t>
      </w:r>
      <w:r w:rsidR="004A41E4" w:rsidRPr="00026EC1">
        <w:t>’</w:t>
      </w:r>
      <w:r w:rsidRPr="00026EC1">
        <w:t>audience remises à la demande de la partie syndicale ou annulées à la suite d</w:t>
      </w:r>
      <w:r w:rsidR="004A41E4" w:rsidRPr="00026EC1">
        <w:t>’</w:t>
      </w:r>
      <w:r w:rsidRPr="00026EC1">
        <w:t>un désistement ou d</w:t>
      </w:r>
      <w:r w:rsidR="004A41E4" w:rsidRPr="00026EC1">
        <w:t>’</w:t>
      </w:r>
      <w:r w:rsidRPr="00026EC1">
        <w:t>un règlement, plus de sept (7) jours avant la date prévue d</w:t>
      </w:r>
      <w:r w:rsidR="004A41E4" w:rsidRPr="00026EC1">
        <w:t>’</w:t>
      </w:r>
      <w:r w:rsidRPr="00026EC1">
        <w:t>audience ne sont pas comptabilisées dans les soixante</w:t>
      </w:r>
      <w:r w:rsidR="002B6720">
        <w:t> </w:t>
      </w:r>
      <w:r w:rsidRPr="00026EC1">
        <w:t>(60) jours d</w:t>
      </w:r>
      <w:r w:rsidR="004A41E4" w:rsidRPr="00026EC1">
        <w:t>’</w:t>
      </w:r>
      <w:r w:rsidRPr="00026EC1">
        <w:t>audience mentionnés à l</w:t>
      </w:r>
      <w:r w:rsidR="004A41E4" w:rsidRPr="00026EC1">
        <w:t>’</w:t>
      </w:r>
      <w:r w:rsidRPr="00026EC1">
        <w:t>alinéa a) de la présente clause.</w:t>
      </w:r>
    </w:p>
    <w:p w14:paraId="1948601B" w14:textId="77777777" w:rsidR="008D50B4" w:rsidRPr="00026EC1" w:rsidRDefault="008D50B4" w:rsidP="00A64613">
      <w:pPr>
        <w:keepNext w:val="0"/>
      </w:pPr>
    </w:p>
    <w:p w14:paraId="089BB671" w14:textId="201E02E6" w:rsidR="008D50B4" w:rsidRPr="00893994" w:rsidRDefault="008D50B4" w:rsidP="00A64613">
      <w:pPr>
        <w:pStyle w:val="NUMRODECLAUSE"/>
        <w:keepNext w:val="0"/>
      </w:pPr>
      <w:r w:rsidRPr="00893994">
        <w:t>9</w:t>
      </w:r>
      <w:r w:rsidR="00984A6F">
        <w:noBreakHyphen/>
      </w:r>
      <w:r w:rsidRPr="00893994">
        <w:t>2.06</w:t>
      </w:r>
    </w:p>
    <w:p w14:paraId="58B2BD3A" w14:textId="32AFB3FD" w:rsidR="000A7AF8" w:rsidRDefault="008D50B4" w:rsidP="00A64613">
      <w:pPr>
        <w:keepNext w:val="0"/>
      </w:pPr>
      <w:r w:rsidRPr="00026EC1">
        <w:t>Dans les dix (10) jours ouvrables qui suivent la rencontre prévue à la clause 9</w:t>
      </w:r>
      <w:r w:rsidR="00984A6F">
        <w:noBreakHyphen/>
      </w:r>
      <w:r w:rsidRPr="00026EC1">
        <w:t>2.05, les parties habilitées à nommer une assesseure ou un assesseur et une procureure ou un procureur communiquent au Greffe le nom de l</w:t>
      </w:r>
      <w:r w:rsidR="004A41E4" w:rsidRPr="00026EC1">
        <w:t>’</w:t>
      </w:r>
      <w:r w:rsidRPr="00026EC1">
        <w:t>assesseure ou de l</w:t>
      </w:r>
      <w:r w:rsidR="004A41E4" w:rsidRPr="00026EC1">
        <w:t>’</w:t>
      </w:r>
      <w:r w:rsidRPr="00026EC1">
        <w:t>assesseur, s</w:t>
      </w:r>
      <w:r w:rsidR="004A41E4" w:rsidRPr="00026EC1">
        <w:t>’</w:t>
      </w:r>
      <w:r w:rsidRPr="00026EC1">
        <w:t>il y a lieu, et de la procureure ou du procureur de leur choix.</w:t>
      </w:r>
    </w:p>
    <w:p w14:paraId="1998AF7A" w14:textId="77777777" w:rsidR="000A7AF8" w:rsidRDefault="000A7AF8">
      <w:pPr>
        <w:keepNext w:val="0"/>
        <w:suppressAutoHyphens w:val="0"/>
        <w:jc w:val="left"/>
      </w:pPr>
      <w:r>
        <w:br w:type="page"/>
      </w:r>
    </w:p>
    <w:p w14:paraId="5C125267" w14:textId="50772F27" w:rsidR="008D50B4" w:rsidRPr="00026EC1" w:rsidRDefault="008D50B4" w:rsidP="00A64613">
      <w:pPr>
        <w:pStyle w:val="NUMRODECLAUSE"/>
        <w:keepNext w:val="0"/>
      </w:pPr>
      <w:r w:rsidRPr="00026EC1">
        <w:t>9</w:t>
      </w:r>
      <w:r w:rsidR="00984A6F">
        <w:noBreakHyphen/>
      </w:r>
      <w:r w:rsidRPr="00026EC1">
        <w:t>2.07</w:t>
      </w:r>
    </w:p>
    <w:p w14:paraId="45F02EAE" w14:textId="3C0B89AA" w:rsidR="000F1BE1" w:rsidRDefault="00773546" w:rsidP="00A64613">
      <w:pPr>
        <w:keepNext w:val="0"/>
      </w:pPr>
      <w:r w:rsidRPr="009B3F61">
        <w:t>Sous réserve de la clause 9</w:t>
      </w:r>
      <w:r w:rsidR="00984A6F">
        <w:noBreakHyphen/>
      </w:r>
      <w:r w:rsidRPr="009B3F61">
        <w:t>2.08, les griefs soumis à l’arbitrage conformément aux présentes stipulations, sont décidés par un tribunal d’arbitrage composé d’une (1) ou d’un (1) arbitre choisi parmi les personnes suivantes</w:t>
      </w:r>
      <w:r w:rsidR="00D8581B">
        <w:t> :</w:t>
      </w:r>
    </w:p>
    <w:p w14:paraId="21AD14C7" w14:textId="38F6338C" w:rsidR="000F1BE1" w:rsidRDefault="000F1BE1">
      <w:pPr>
        <w:keepNext w:val="0"/>
        <w:suppressAutoHyphens w:val="0"/>
        <w:jc w:val="left"/>
      </w:pPr>
    </w:p>
    <w:tbl>
      <w:tblPr>
        <w:tblW w:w="0" w:type="auto"/>
        <w:tblInd w:w="567" w:type="dxa"/>
        <w:tblCellMar>
          <w:left w:w="70" w:type="dxa"/>
          <w:right w:w="70" w:type="dxa"/>
        </w:tblCellMar>
        <w:tblLook w:val="0000" w:firstRow="0" w:lastRow="0" w:firstColumn="0" w:lastColumn="0" w:noHBand="0" w:noVBand="0"/>
      </w:tblPr>
      <w:tblGrid>
        <w:gridCol w:w="4108"/>
        <w:gridCol w:w="4105"/>
      </w:tblGrid>
      <w:tr w:rsidR="00F03558" w:rsidRPr="008A755B" w14:paraId="3933A9D6" w14:textId="77777777" w:rsidTr="00190888">
        <w:tc>
          <w:tcPr>
            <w:tcW w:w="4108" w:type="dxa"/>
          </w:tcPr>
          <w:p w14:paraId="5F949758" w14:textId="4C0F3225" w:rsidR="00F03558" w:rsidRPr="008A755B" w:rsidRDefault="00F03558" w:rsidP="00A64613">
            <w:pPr>
              <w:keepNext w:val="0"/>
              <w:snapToGrid w:val="0"/>
              <w:spacing w:before="80"/>
              <w:ind w:left="284"/>
              <w:rPr>
                <w:dstrike/>
                <w:szCs w:val="24"/>
              </w:rPr>
            </w:pPr>
            <w:r w:rsidRPr="008A755B">
              <w:rPr>
                <w:szCs w:val="24"/>
              </w:rPr>
              <w:t>Lavoie, André G., arbitre en chef</w:t>
            </w:r>
          </w:p>
        </w:tc>
        <w:tc>
          <w:tcPr>
            <w:tcW w:w="4105" w:type="dxa"/>
          </w:tcPr>
          <w:p w14:paraId="627EE568" w14:textId="76065F95" w:rsidR="00F03558" w:rsidRPr="008A755B" w:rsidRDefault="000F1BE1" w:rsidP="00A64613">
            <w:pPr>
              <w:keepNext w:val="0"/>
              <w:snapToGrid w:val="0"/>
              <w:spacing w:before="80"/>
              <w:ind w:left="284"/>
              <w:rPr>
                <w:dstrike/>
                <w:szCs w:val="24"/>
              </w:rPr>
            </w:pPr>
            <w:r w:rsidRPr="00316277">
              <w:rPr>
                <w:rFonts w:cs="Arial"/>
                <w:lang w:eastAsia="fr-CA"/>
              </w:rPr>
              <w:t>Guimond, Louise Hélène</w:t>
            </w:r>
          </w:p>
        </w:tc>
      </w:tr>
      <w:tr w:rsidR="00F03558" w:rsidRPr="008A755B" w14:paraId="36631FA6" w14:textId="77777777" w:rsidTr="00190888">
        <w:tc>
          <w:tcPr>
            <w:tcW w:w="4108" w:type="dxa"/>
          </w:tcPr>
          <w:p w14:paraId="0E075588" w14:textId="58245F38" w:rsidR="00F03558" w:rsidRPr="008A755B" w:rsidRDefault="000F1BE1" w:rsidP="00A64613">
            <w:pPr>
              <w:keepNext w:val="0"/>
              <w:snapToGrid w:val="0"/>
              <w:spacing w:before="80"/>
              <w:ind w:left="284"/>
              <w:rPr>
                <w:szCs w:val="24"/>
              </w:rPr>
            </w:pPr>
            <w:r w:rsidRPr="00316277">
              <w:rPr>
                <w:bCs/>
                <w:szCs w:val="24"/>
              </w:rPr>
              <w:t>Yann, Bernard</w:t>
            </w:r>
          </w:p>
        </w:tc>
        <w:tc>
          <w:tcPr>
            <w:tcW w:w="4105" w:type="dxa"/>
          </w:tcPr>
          <w:p w14:paraId="4A68ED44" w14:textId="62F807C9" w:rsidR="00F03558" w:rsidRPr="008A755B" w:rsidRDefault="000F1BE1" w:rsidP="00A64613">
            <w:pPr>
              <w:keepNext w:val="0"/>
              <w:snapToGrid w:val="0"/>
              <w:spacing w:before="80"/>
              <w:ind w:left="284"/>
              <w:rPr>
                <w:szCs w:val="24"/>
              </w:rPr>
            </w:pPr>
            <w:r w:rsidRPr="00316277">
              <w:rPr>
                <w:rFonts w:cs="Arial"/>
                <w:lang w:eastAsia="fr-CA"/>
              </w:rPr>
              <w:t>Leblanc, Isabelle</w:t>
            </w:r>
          </w:p>
        </w:tc>
      </w:tr>
      <w:tr w:rsidR="000F1BE1" w:rsidRPr="008A755B" w14:paraId="7DF23AC5" w14:textId="77777777" w:rsidTr="00190888">
        <w:tc>
          <w:tcPr>
            <w:tcW w:w="4108" w:type="dxa"/>
          </w:tcPr>
          <w:p w14:paraId="13C1E3E5" w14:textId="6CBE8ABE" w:rsidR="000F1BE1" w:rsidRPr="008A755B" w:rsidRDefault="000F1BE1" w:rsidP="000F1BE1">
            <w:pPr>
              <w:keepNext w:val="0"/>
              <w:snapToGrid w:val="0"/>
              <w:spacing w:before="80"/>
              <w:ind w:left="284"/>
              <w:rPr>
                <w:bCs/>
                <w:dstrike/>
                <w:szCs w:val="24"/>
              </w:rPr>
            </w:pPr>
            <w:r w:rsidRPr="008A755B">
              <w:rPr>
                <w:bCs/>
                <w:szCs w:val="24"/>
              </w:rPr>
              <w:t>Bertrand, Richard</w:t>
            </w:r>
          </w:p>
        </w:tc>
        <w:tc>
          <w:tcPr>
            <w:tcW w:w="4105" w:type="dxa"/>
          </w:tcPr>
          <w:p w14:paraId="105091B3" w14:textId="484E1C4F" w:rsidR="000F1BE1" w:rsidRPr="008A755B" w:rsidRDefault="000F1BE1" w:rsidP="000F1BE1">
            <w:pPr>
              <w:keepNext w:val="0"/>
              <w:snapToGrid w:val="0"/>
              <w:spacing w:before="80"/>
              <w:ind w:left="284"/>
              <w:rPr>
                <w:bCs/>
                <w:dstrike/>
                <w:szCs w:val="24"/>
              </w:rPr>
            </w:pPr>
            <w:r w:rsidRPr="008A755B">
              <w:rPr>
                <w:bCs/>
                <w:szCs w:val="24"/>
              </w:rPr>
              <w:t>Lévesque, Éric</w:t>
            </w:r>
          </w:p>
        </w:tc>
      </w:tr>
      <w:tr w:rsidR="000F1BE1" w:rsidRPr="008A755B" w14:paraId="436548A9" w14:textId="77777777" w:rsidTr="00190888">
        <w:tc>
          <w:tcPr>
            <w:tcW w:w="4108" w:type="dxa"/>
          </w:tcPr>
          <w:p w14:paraId="50C580FD" w14:textId="0D497EC0" w:rsidR="000F1BE1" w:rsidRPr="008A755B" w:rsidRDefault="000F1BE1" w:rsidP="000F1BE1">
            <w:pPr>
              <w:keepNext w:val="0"/>
              <w:snapToGrid w:val="0"/>
              <w:spacing w:before="80"/>
              <w:ind w:left="284"/>
              <w:rPr>
                <w:bCs/>
                <w:szCs w:val="24"/>
              </w:rPr>
            </w:pPr>
            <w:r w:rsidRPr="00450DE1">
              <w:rPr>
                <w:bCs/>
                <w:szCs w:val="24"/>
              </w:rPr>
              <w:t>B</w:t>
            </w:r>
            <w:r w:rsidR="009F1A8D">
              <w:rPr>
                <w:bCs/>
                <w:szCs w:val="24"/>
              </w:rPr>
              <w:t>l</w:t>
            </w:r>
            <w:r w:rsidRPr="00450DE1">
              <w:rPr>
                <w:bCs/>
                <w:szCs w:val="24"/>
              </w:rPr>
              <w:t>ouin, Julie</w:t>
            </w:r>
          </w:p>
        </w:tc>
        <w:tc>
          <w:tcPr>
            <w:tcW w:w="4105" w:type="dxa"/>
          </w:tcPr>
          <w:p w14:paraId="43F259A1" w14:textId="77A0CF93" w:rsidR="000F1BE1" w:rsidRPr="008A755B" w:rsidRDefault="000F1BE1" w:rsidP="000F1BE1">
            <w:pPr>
              <w:keepNext w:val="0"/>
              <w:snapToGrid w:val="0"/>
              <w:spacing w:before="80"/>
              <w:ind w:left="284"/>
              <w:rPr>
                <w:bCs/>
                <w:dstrike/>
                <w:szCs w:val="24"/>
              </w:rPr>
            </w:pPr>
            <w:r w:rsidRPr="008A755B">
              <w:rPr>
                <w:bCs/>
                <w:szCs w:val="24"/>
              </w:rPr>
              <w:t>Martin, Claude</w:t>
            </w:r>
          </w:p>
        </w:tc>
      </w:tr>
      <w:tr w:rsidR="000F1BE1" w:rsidRPr="008A755B" w14:paraId="79D58631" w14:textId="77777777" w:rsidTr="00190888">
        <w:tc>
          <w:tcPr>
            <w:tcW w:w="4108" w:type="dxa"/>
          </w:tcPr>
          <w:p w14:paraId="1FA146B3" w14:textId="47A44756" w:rsidR="000F1BE1" w:rsidRPr="008A755B" w:rsidRDefault="000F1BE1" w:rsidP="000F1BE1">
            <w:pPr>
              <w:keepNext w:val="0"/>
              <w:snapToGrid w:val="0"/>
              <w:spacing w:before="80"/>
              <w:ind w:left="284"/>
              <w:rPr>
                <w:bCs/>
                <w:dstrike/>
                <w:szCs w:val="24"/>
              </w:rPr>
            </w:pPr>
            <w:r w:rsidRPr="008A755B">
              <w:rPr>
                <w:bCs/>
                <w:szCs w:val="24"/>
              </w:rPr>
              <w:t>Boudreau, Patrice</w:t>
            </w:r>
          </w:p>
        </w:tc>
        <w:tc>
          <w:tcPr>
            <w:tcW w:w="4105" w:type="dxa"/>
          </w:tcPr>
          <w:p w14:paraId="09220990" w14:textId="6F48222D" w:rsidR="000F1BE1" w:rsidRPr="008A755B" w:rsidRDefault="000F1BE1" w:rsidP="000F1BE1">
            <w:pPr>
              <w:keepNext w:val="0"/>
              <w:snapToGrid w:val="0"/>
              <w:spacing w:before="80"/>
              <w:ind w:left="284"/>
              <w:rPr>
                <w:bCs/>
                <w:dstrike/>
                <w:szCs w:val="24"/>
              </w:rPr>
            </w:pPr>
            <w:r w:rsidRPr="008A755B">
              <w:rPr>
                <w:bCs/>
                <w:szCs w:val="24"/>
              </w:rPr>
              <w:t>Massicotte, Nathalie</w:t>
            </w:r>
          </w:p>
        </w:tc>
      </w:tr>
      <w:tr w:rsidR="000F1BE1" w:rsidRPr="008A755B" w14:paraId="6D9EF971" w14:textId="77777777" w:rsidTr="00190888">
        <w:tc>
          <w:tcPr>
            <w:tcW w:w="4108" w:type="dxa"/>
          </w:tcPr>
          <w:p w14:paraId="0F89FE70" w14:textId="04517E7F" w:rsidR="000F1BE1" w:rsidRPr="008A755B" w:rsidRDefault="000F1BE1" w:rsidP="000F1BE1">
            <w:pPr>
              <w:keepNext w:val="0"/>
              <w:snapToGrid w:val="0"/>
              <w:spacing w:before="80"/>
              <w:ind w:left="284"/>
              <w:rPr>
                <w:bCs/>
                <w:szCs w:val="24"/>
              </w:rPr>
            </w:pPr>
            <w:r w:rsidRPr="008A755B">
              <w:rPr>
                <w:bCs/>
                <w:szCs w:val="24"/>
              </w:rPr>
              <w:t>Brault, Serge</w:t>
            </w:r>
          </w:p>
        </w:tc>
        <w:tc>
          <w:tcPr>
            <w:tcW w:w="4105" w:type="dxa"/>
          </w:tcPr>
          <w:p w14:paraId="3BF2D33F" w14:textId="3D540837" w:rsidR="000F1BE1" w:rsidRPr="008A755B" w:rsidRDefault="000F1BE1" w:rsidP="000F1BE1">
            <w:pPr>
              <w:keepNext w:val="0"/>
              <w:snapToGrid w:val="0"/>
              <w:spacing w:before="80"/>
              <w:ind w:left="284"/>
              <w:rPr>
                <w:bCs/>
                <w:szCs w:val="24"/>
              </w:rPr>
            </w:pPr>
            <w:r w:rsidRPr="008A755B">
              <w:rPr>
                <w:bCs/>
                <w:szCs w:val="24"/>
              </w:rPr>
              <w:t>Ménard, Jean</w:t>
            </w:r>
            <w:r>
              <w:rPr>
                <w:bCs/>
                <w:szCs w:val="24"/>
              </w:rPr>
              <w:noBreakHyphen/>
            </w:r>
            <w:r w:rsidRPr="008A755B">
              <w:rPr>
                <w:bCs/>
                <w:szCs w:val="24"/>
              </w:rPr>
              <w:t>Guy</w:t>
            </w:r>
          </w:p>
        </w:tc>
      </w:tr>
      <w:tr w:rsidR="000F1BE1" w:rsidRPr="008A755B" w14:paraId="6F2668FC" w14:textId="77777777" w:rsidTr="00190888">
        <w:tc>
          <w:tcPr>
            <w:tcW w:w="4108" w:type="dxa"/>
          </w:tcPr>
          <w:p w14:paraId="06D450ED" w14:textId="456E6FDB" w:rsidR="000F1BE1" w:rsidRPr="008A755B" w:rsidRDefault="000F1BE1" w:rsidP="000F1BE1">
            <w:pPr>
              <w:keepNext w:val="0"/>
              <w:snapToGrid w:val="0"/>
              <w:spacing w:before="80"/>
              <w:ind w:left="284"/>
              <w:rPr>
                <w:bCs/>
                <w:dstrike/>
                <w:szCs w:val="24"/>
              </w:rPr>
            </w:pPr>
            <w:r w:rsidRPr="008A755B">
              <w:rPr>
                <w:bCs/>
                <w:szCs w:val="24"/>
              </w:rPr>
              <w:t>Cavé, Johanne</w:t>
            </w:r>
          </w:p>
        </w:tc>
        <w:tc>
          <w:tcPr>
            <w:tcW w:w="4105" w:type="dxa"/>
          </w:tcPr>
          <w:p w14:paraId="1A3144BB" w14:textId="5BCC0729" w:rsidR="000F1BE1" w:rsidRPr="008A755B" w:rsidRDefault="000F1BE1" w:rsidP="000F1BE1">
            <w:pPr>
              <w:keepNext w:val="0"/>
              <w:snapToGrid w:val="0"/>
              <w:spacing w:before="80"/>
              <w:ind w:left="284"/>
              <w:rPr>
                <w:bCs/>
                <w:szCs w:val="24"/>
              </w:rPr>
            </w:pPr>
            <w:r w:rsidRPr="008A755B">
              <w:rPr>
                <w:bCs/>
                <w:szCs w:val="24"/>
              </w:rPr>
              <w:t>Morency, Jean</w:t>
            </w:r>
            <w:r>
              <w:rPr>
                <w:bCs/>
                <w:szCs w:val="24"/>
              </w:rPr>
              <w:noBreakHyphen/>
            </w:r>
            <w:r w:rsidRPr="008A755B">
              <w:rPr>
                <w:bCs/>
                <w:szCs w:val="24"/>
              </w:rPr>
              <w:t>M.</w:t>
            </w:r>
          </w:p>
        </w:tc>
      </w:tr>
      <w:tr w:rsidR="000F1BE1" w:rsidRPr="008A755B" w14:paraId="5E5ECA8F" w14:textId="77777777" w:rsidTr="00190888">
        <w:tc>
          <w:tcPr>
            <w:tcW w:w="4108" w:type="dxa"/>
          </w:tcPr>
          <w:p w14:paraId="2F968E73" w14:textId="38C5F45C" w:rsidR="000F1BE1" w:rsidRPr="008A755B" w:rsidRDefault="000F1BE1" w:rsidP="000F1BE1">
            <w:pPr>
              <w:keepNext w:val="0"/>
              <w:snapToGrid w:val="0"/>
              <w:spacing w:before="80"/>
              <w:ind w:left="284"/>
              <w:rPr>
                <w:bCs/>
                <w:szCs w:val="24"/>
              </w:rPr>
            </w:pPr>
            <w:r w:rsidRPr="008A755B">
              <w:rPr>
                <w:bCs/>
                <w:szCs w:val="24"/>
              </w:rPr>
              <w:t>Crevier, Marie</w:t>
            </w:r>
            <w:r>
              <w:rPr>
                <w:bCs/>
                <w:szCs w:val="24"/>
              </w:rPr>
              <w:noBreakHyphen/>
            </w:r>
            <w:r w:rsidRPr="008A755B">
              <w:rPr>
                <w:bCs/>
                <w:szCs w:val="24"/>
              </w:rPr>
              <w:t>Ève</w:t>
            </w:r>
          </w:p>
        </w:tc>
        <w:tc>
          <w:tcPr>
            <w:tcW w:w="4105" w:type="dxa"/>
          </w:tcPr>
          <w:p w14:paraId="3DE391D7" w14:textId="3D3BA04A" w:rsidR="000F1BE1" w:rsidRPr="008A755B" w:rsidRDefault="000F1BE1" w:rsidP="000F1BE1">
            <w:pPr>
              <w:keepNext w:val="0"/>
              <w:snapToGrid w:val="0"/>
              <w:spacing w:before="80"/>
              <w:ind w:left="284"/>
              <w:rPr>
                <w:bCs/>
                <w:dstrike/>
                <w:szCs w:val="24"/>
              </w:rPr>
            </w:pPr>
            <w:r w:rsidRPr="008A755B">
              <w:rPr>
                <w:bCs/>
                <w:szCs w:val="24"/>
              </w:rPr>
              <w:t>Ranger, Jean</w:t>
            </w:r>
            <w:r>
              <w:rPr>
                <w:bCs/>
                <w:szCs w:val="24"/>
              </w:rPr>
              <w:noBreakHyphen/>
            </w:r>
            <w:r w:rsidRPr="008A755B">
              <w:rPr>
                <w:bCs/>
                <w:szCs w:val="24"/>
              </w:rPr>
              <w:t>René</w:t>
            </w:r>
          </w:p>
        </w:tc>
      </w:tr>
      <w:tr w:rsidR="000F1BE1" w:rsidRPr="008A755B" w14:paraId="6BDE95C1" w14:textId="77777777" w:rsidTr="00190888">
        <w:tc>
          <w:tcPr>
            <w:tcW w:w="4108" w:type="dxa"/>
          </w:tcPr>
          <w:p w14:paraId="758DA78A" w14:textId="1D3C320F" w:rsidR="000F1BE1" w:rsidRPr="008A755B" w:rsidRDefault="000F1BE1" w:rsidP="000F1BE1">
            <w:pPr>
              <w:keepNext w:val="0"/>
              <w:snapToGrid w:val="0"/>
              <w:spacing w:before="80"/>
              <w:ind w:left="284"/>
              <w:rPr>
                <w:bCs/>
                <w:szCs w:val="24"/>
              </w:rPr>
            </w:pPr>
            <w:r w:rsidRPr="008A755B">
              <w:rPr>
                <w:bCs/>
                <w:szCs w:val="24"/>
              </w:rPr>
              <w:t>Faucher, Nathalie</w:t>
            </w:r>
          </w:p>
        </w:tc>
        <w:tc>
          <w:tcPr>
            <w:tcW w:w="4105" w:type="dxa"/>
          </w:tcPr>
          <w:p w14:paraId="56613FEF" w14:textId="24CAE8A4" w:rsidR="000F1BE1" w:rsidRPr="004209BC" w:rsidRDefault="004209BC" w:rsidP="000F1BE1">
            <w:pPr>
              <w:keepNext w:val="0"/>
              <w:snapToGrid w:val="0"/>
              <w:spacing w:before="80"/>
              <w:ind w:left="284"/>
              <w:rPr>
                <w:bCs/>
                <w:szCs w:val="24"/>
              </w:rPr>
            </w:pPr>
            <w:r w:rsidRPr="00316277">
              <w:rPr>
                <w:bCs/>
                <w:szCs w:val="24"/>
              </w:rPr>
              <w:t>Roy, Guy</w:t>
            </w:r>
          </w:p>
        </w:tc>
      </w:tr>
      <w:tr w:rsidR="000F1BE1" w:rsidRPr="008A755B" w14:paraId="6F88658F" w14:textId="77777777" w:rsidTr="00190888">
        <w:tc>
          <w:tcPr>
            <w:tcW w:w="4108" w:type="dxa"/>
          </w:tcPr>
          <w:p w14:paraId="5523F676" w14:textId="29592B9D" w:rsidR="000F1BE1" w:rsidRPr="008A755B" w:rsidRDefault="000F1BE1" w:rsidP="000F1BE1">
            <w:pPr>
              <w:keepNext w:val="0"/>
              <w:snapToGrid w:val="0"/>
              <w:spacing w:before="80"/>
              <w:ind w:left="284"/>
              <w:rPr>
                <w:bCs/>
                <w:dstrike/>
                <w:szCs w:val="24"/>
              </w:rPr>
            </w:pPr>
            <w:r w:rsidRPr="008A755B">
              <w:rPr>
                <w:bCs/>
                <w:szCs w:val="24"/>
              </w:rPr>
              <w:t>Ferland, Gilles</w:t>
            </w:r>
          </w:p>
        </w:tc>
        <w:tc>
          <w:tcPr>
            <w:tcW w:w="4105" w:type="dxa"/>
          </w:tcPr>
          <w:p w14:paraId="5FB2F5B1" w14:textId="1E157257" w:rsidR="000F1BE1" w:rsidRPr="008A755B" w:rsidRDefault="000F1BE1" w:rsidP="000F1BE1">
            <w:pPr>
              <w:keepNext w:val="0"/>
              <w:snapToGrid w:val="0"/>
              <w:spacing w:before="80"/>
              <w:ind w:left="284"/>
              <w:rPr>
                <w:bCs/>
                <w:szCs w:val="24"/>
              </w:rPr>
            </w:pPr>
            <w:r w:rsidRPr="008A755B">
              <w:rPr>
                <w:bCs/>
                <w:szCs w:val="24"/>
              </w:rPr>
              <w:t>Saint</w:t>
            </w:r>
            <w:r>
              <w:rPr>
                <w:bCs/>
                <w:szCs w:val="24"/>
              </w:rPr>
              <w:noBreakHyphen/>
            </w:r>
            <w:r w:rsidRPr="008A755B">
              <w:rPr>
                <w:bCs/>
                <w:szCs w:val="24"/>
              </w:rPr>
              <w:t>André, Yves</w:t>
            </w:r>
          </w:p>
        </w:tc>
      </w:tr>
      <w:tr w:rsidR="004209BC" w:rsidRPr="00C949B3" w14:paraId="13009D24" w14:textId="77777777" w:rsidTr="00190888">
        <w:tc>
          <w:tcPr>
            <w:tcW w:w="4108" w:type="dxa"/>
          </w:tcPr>
          <w:p w14:paraId="5EAD0C1E" w14:textId="3D485BF9" w:rsidR="004209BC" w:rsidRPr="008A755B" w:rsidRDefault="004209BC" w:rsidP="004209BC">
            <w:pPr>
              <w:keepNext w:val="0"/>
              <w:snapToGrid w:val="0"/>
              <w:spacing w:before="80"/>
              <w:ind w:left="284"/>
              <w:rPr>
                <w:bCs/>
                <w:szCs w:val="24"/>
              </w:rPr>
            </w:pPr>
            <w:r w:rsidRPr="008A755B">
              <w:rPr>
                <w:bCs/>
                <w:szCs w:val="24"/>
                <w:lang w:val="en-US"/>
              </w:rPr>
              <w:t>Flynn, Maureen</w:t>
            </w:r>
          </w:p>
        </w:tc>
        <w:tc>
          <w:tcPr>
            <w:tcW w:w="4105" w:type="dxa"/>
          </w:tcPr>
          <w:p w14:paraId="2FB6CDC4" w14:textId="17580830" w:rsidR="004209BC" w:rsidRPr="008A755B" w:rsidRDefault="004209BC" w:rsidP="004209BC">
            <w:pPr>
              <w:keepNext w:val="0"/>
              <w:snapToGrid w:val="0"/>
              <w:spacing w:before="80"/>
              <w:ind w:left="284"/>
              <w:rPr>
                <w:bCs/>
                <w:szCs w:val="24"/>
              </w:rPr>
            </w:pPr>
            <w:r w:rsidRPr="00316277">
              <w:rPr>
                <w:rFonts w:cs="Arial"/>
                <w:lang w:eastAsia="fr-CA"/>
              </w:rPr>
              <w:t>Tremblay, Frédéric</w:t>
            </w:r>
          </w:p>
        </w:tc>
      </w:tr>
      <w:tr w:rsidR="004209BC" w:rsidRPr="00C949B3" w14:paraId="20ADA16F" w14:textId="77777777" w:rsidTr="00190888">
        <w:tc>
          <w:tcPr>
            <w:tcW w:w="4108" w:type="dxa"/>
          </w:tcPr>
          <w:p w14:paraId="68F86453" w14:textId="405A9BAB" w:rsidR="004209BC" w:rsidRPr="008A755B" w:rsidRDefault="004209BC" w:rsidP="004209BC">
            <w:pPr>
              <w:keepNext w:val="0"/>
              <w:snapToGrid w:val="0"/>
              <w:spacing w:before="80"/>
              <w:ind w:left="284"/>
              <w:rPr>
                <w:bCs/>
                <w:szCs w:val="24"/>
                <w:lang w:val="en-US"/>
              </w:rPr>
            </w:pPr>
            <w:r w:rsidRPr="008A755B">
              <w:rPr>
                <w:bCs/>
                <w:szCs w:val="24"/>
                <w:lang w:val="en-US"/>
              </w:rPr>
              <w:t>Fortin, Pierre</w:t>
            </w:r>
            <w:r>
              <w:rPr>
                <w:bCs/>
                <w:szCs w:val="24"/>
                <w:lang w:val="en-US"/>
              </w:rPr>
              <w:noBreakHyphen/>
            </w:r>
            <w:r w:rsidRPr="008A755B">
              <w:rPr>
                <w:bCs/>
                <w:szCs w:val="24"/>
                <w:lang w:val="en-US"/>
              </w:rPr>
              <w:t>A.</w:t>
            </w:r>
          </w:p>
        </w:tc>
        <w:tc>
          <w:tcPr>
            <w:tcW w:w="4105" w:type="dxa"/>
          </w:tcPr>
          <w:p w14:paraId="1C2DB60C" w14:textId="273ECF9D" w:rsidR="004209BC" w:rsidRPr="008A755B" w:rsidRDefault="004209BC" w:rsidP="004209BC">
            <w:pPr>
              <w:keepNext w:val="0"/>
              <w:snapToGrid w:val="0"/>
              <w:spacing w:before="80"/>
              <w:ind w:left="284"/>
              <w:rPr>
                <w:bCs/>
                <w:szCs w:val="24"/>
              </w:rPr>
            </w:pPr>
            <w:r w:rsidRPr="00316277">
              <w:rPr>
                <w:rFonts w:cs="Arial"/>
                <w:lang w:eastAsia="fr-CA"/>
              </w:rPr>
              <w:t>Turcotte, Alain</w:t>
            </w:r>
          </w:p>
        </w:tc>
      </w:tr>
      <w:tr w:rsidR="004209BC" w:rsidRPr="00C949B3" w14:paraId="4D4DA24A" w14:textId="77777777" w:rsidTr="00190888">
        <w:tc>
          <w:tcPr>
            <w:tcW w:w="4108" w:type="dxa"/>
          </w:tcPr>
          <w:p w14:paraId="03AD4440" w14:textId="6F12B70D" w:rsidR="004209BC" w:rsidRPr="008A755B" w:rsidRDefault="004209BC" w:rsidP="004209BC">
            <w:pPr>
              <w:keepNext w:val="0"/>
              <w:snapToGrid w:val="0"/>
              <w:spacing w:before="80"/>
              <w:ind w:left="284"/>
              <w:rPr>
                <w:bCs/>
                <w:szCs w:val="24"/>
                <w:lang w:val="en-US"/>
              </w:rPr>
            </w:pPr>
            <w:r w:rsidRPr="008A755B">
              <w:rPr>
                <w:bCs/>
                <w:szCs w:val="24"/>
              </w:rPr>
              <w:t>Garneau, Dominic</w:t>
            </w:r>
          </w:p>
        </w:tc>
        <w:tc>
          <w:tcPr>
            <w:tcW w:w="4105" w:type="dxa"/>
          </w:tcPr>
          <w:p w14:paraId="29200ADE" w14:textId="77777777" w:rsidR="004209BC" w:rsidRPr="008A755B" w:rsidRDefault="004209BC" w:rsidP="004209BC">
            <w:pPr>
              <w:keepNext w:val="0"/>
              <w:snapToGrid w:val="0"/>
              <w:spacing w:before="80"/>
              <w:ind w:left="284"/>
              <w:rPr>
                <w:bCs/>
                <w:szCs w:val="24"/>
              </w:rPr>
            </w:pPr>
          </w:p>
        </w:tc>
      </w:tr>
    </w:tbl>
    <w:p w14:paraId="74831CEF" w14:textId="77777777" w:rsidR="00773546" w:rsidRPr="00C949B3" w:rsidRDefault="00773546" w:rsidP="00A64613">
      <w:pPr>
        <w:keepNext w:val="0"/>
        <w:ind w:left="284"/>
        <w:rPr>
          <w:sz w:val="22"/>
          <w:szCs w:val="22"/>
        </w:rPr>
      </w:pPr>
    </w:p>
    <w:p w14:paraId="64FA05CB" w14:textId="30480FD6" w:rsidR="00773546" w:rsidRPr="00773546" w:rsidRDefault="006C7C53" w:rsidP="00A64613">
      <w:pPr>
        <w:keepNext w:val="0"/>
      </w:pPr>
      <w:r w:rsidRPr="008A755B">
        <w:t>Les parties nationales peuvent s’entendre pour modifier la présente liste d’arbitres.</w:t>
      </w:r>
    </w:p>
    <w:p w14:paraId="66BD1815" w14:textId="77777777" w:rsidR="005C01E7" w:rsidRPr="00026EC1" w:rsidRDefault="005C01E7" w:rsidP="00A64613">
      <w:pPr>
        <w:keepNext w:val="0"/>
      </w:pPr>
    </w:p>
    <w:p w14:paraId="7F51C793" w14:textId="485B3815" w:rsidR="008D50B4" w:rsidRPr="00893994" w:rsidRDefault="008D50B4" w:rsidP="00A64613">
      <w:pPr>
        <w:pStyle w:val="NUMRODECLAUSE"/>
        <w:keepNext w:val="0"/>
      </w:pPr>
      <w:r w:rsidRPr="00893994">
        <w:t>9</w:t>
      </w:r>
      <w:r w:rsidR="00984A6F">
        <w:noBreakHyphen/>
      </w:r>
      <w:r w:rsidRPr="00893994">
        <w:t>2.08</w:t>
      </w:r>
    </w:p>
    <w:p w14:paraId="7F624C75" w14:textId="42A22707" w:rsidR="008D50B4" w:rsidRPr="00026EC1" w:rsidRDefault="008D50B4" w:rsidP="00A64613">
      <w:pPr>
        <w:keepNext w:val="0"/>
      </w:pPr>
      <w:r w:rsidRPr="00026EC1">
        <w:t>Lors de la fixation du rôle prévue à la clause 9</w:t>
      </w:r>
      <w:r w:rsidR="00984A6F">
        <w:noBreakHyphen/>
      </w:r>
      <w:r w:rsidRPr="00026EC1">
        <w:t>2.05, les parties nationales peuvent convenir de soumettre un ou des griefs à un tribunal d</w:t>
      </w:r>
      <w:r w:rsidR="004A41E4" w:rsidRPr="00026EC1">
        <w:t>’</w:t>
      </w:r>
      <w:r w:rsidRPr="00026EC1">
        <w:t>arbitrage composé d</w:t>
      </w:r>
      <w:r w:rsidR="004A41E4" w:rsidRPr="00026EC1">
        <w:t>’</w:t>
      </w:r>
      <w:r w:rsidRPr="00026EC1">
        <w:t>une (1) ou d</w:t>
      </w:r>
      <w:r w:rsidR="004A41E4" w:rsidRPr="00026EC1">
        <w:t>’</w:t>
      </w:r>
      <w:r w:rsidRPr="00026EC1">
        <w:t>un (1) arbitre et de deux (2) assesseures ou assesseurs nommés par les parties nationales.</w:t>
      </w:r>
    </w:p>
    <w:p w14:paraId="791C20A8" w14:textId="77777777" w:rsidR="008D50B4" w:rsidRPr="00026EC1" w:rsidRDefault="008D50B4" w:rsidP="00A64613">
      <w:pPr>
        <w:keepNext w:val="0"/>
      </w:pPr>
    </w:p>
    <w:p w14:paraId="471DCC7C" w14:textId="229B14ED" w:rsidR="008D50B4" w:rsidRPr="00026EC1" w:rsidRDefault="008D50B4" w:rsidP="00A64613">
      <w:pPr>
        <w:keepNext w:val="0"/>
      </w:pPr>
      <w:r w:rsidRPr="00026EC1">
        <w:t>Lorsque l</w:t>
      </w:r>
      <w:r w:rsidR="004A41E4" w:rsidRPr="00026EC1">
        <w:t>’</w:t>
      </w:r>
      <w:r w:rsidRPr="00026EC1">
        <w:t>on procède suivant la présente clause, l</w:t>
      </w:r>
      <w:r w:rsidR="004A41E4" w:rsidRPr="00026EC1">
        <w:t>’</w:t>
      </w:r>
      <w:r w:rsidRPr="00026EC1">
        <w:t>arbitre est choisi parmi les personnes ci</w:t>
      </w:r>
      <w:r w:rsidR="00984A6F">
        <w:noBreakHyphen/>
      </w:r>
      <w:r w:rsidRPr="00026EC1">
        <w:t>haut mentionnées et toutes les clauses du présent article relatives au tribunal d</w:t>
      </w:r>
      <w:r w:rsidR="004A41E4" w:rsidRPr="00026EC1">
        <w:t>’</w:t>
      </w:r>
      <w:r w:rsidRPr="00026EC1">
        <w:t>arbitrage régulier s</w:t>
      </w:r>
      <w:r w:rsidR="004A41E4" w:rsidRPr="00026EC1">
        <w:t>’</w:t>
      </w:r>
      <w:r w:rsidRPr="00026EC1">
        <w:t>appliquent en y apportant les adaptations nécessaires.</w:t>
      </w:r>
    </w:p>
    <w:p w14:paraId="5D3A89D6" w14:textId="77777777" w:rsidR="008D50B4" w:rsidRPr="00026EC1" w:rsidRDefault="008D50B4" w:rsidP="00A64613">
      <w:pPr>
        <w:keepNext w:val="0"/>
      </w:pPr>
    </w:p>
    <w:p w14:paraId="29C6B9F3" w14:textId="7C3F1065" w:rsidR="008D50B4" w:rsidRDefault="008D50B4" w:rsidP="00A64613">
      <w:pPr>
        <w:keepNext w:val="0"/>
      </w:pPr>
      <w:r w:rsidRPr="00026EC1">
        <w:t>Dans ce cas, l</w:t>
      </w:r>
      <w:r w:rsidR="004A41E4" w:rsidRPr="00026EC1">
        <w:t>’</w:t>
      </w:r>
      <w:r w:rsidRPr="00026EC1">
        <w:t>arbitre ne peut siéger et délibérer qu</w:t>
      </w:r>
      <w:r w:rsidR="004A41E4" w:rsidRPr="00026EC1">
        <w:t>’</w:t>
      </w:r>
      <w:r w:rsidRPr="00026EC1">
        <w:t>en présence des deux (2) assesseures ou assesseurs, sauf si une</w:t>
      </w:r>
      <w:r w:rsidR="002B6720">
        <w:t> </w:t>
      </w:r>
      <w:r w:rsidRPr="00026EC1">
        <w:t>(1) assesseure ou un</w:t>
      </w:r>
      <w:r w:rsidR="005E2E96">
        <w:t> </w:t>
      </w:r>
      <w:r w:rsidRPr="00026EC1">
        <w:t>(1) assesseur, après avoir été dûment convoqué par écrit, ne se présente pas une première (1</w:t>
      </w:r>
      <w:r w:rsidRPr="00026EC1">
        <w:rPr>
          <w:vertAlign w:val="superscript"/>
        </w:rPr>
        <w:t>re</w:t>
      </w:r>
      <w:r w:rsidRPr="00026EC1">
        <w:t>) fois et qu</w:t>
      </w:r>
      <w:r w:rsidR="004A41E4" w:rsidRPr="00026EC1">
        <w:t>’</w:t>
      </w:r>
      <w:r w:rsidRPr="00026EC1">
        <w:t>elle ou il récidive après un nouvel avis écrit d</w:t>
      </w:r>
      <w:r w:rsidR="004A41E4" w:rsidRPr="00026EC1">
        <w:t>’</w:t>
      </w:r>
      <w:r w:rsidRPr="00026EC1">
        <w:t>au moins sept (7) jours à l</w:t>
      </w:r>
      <w:r w:rsidR="004A41E4" w:rsidRPr="00026EC1">
        <w:t>’</w:t>
      </w:r>
      <w:r w:rsidRPr="00026EC1">
        <w:t>avance de la tenue d</w:t>
      </w:r>
      <w:r w:rsidR="004A41E4" w:rsidRPr="00026EC1">
        <w:t>’</w:t>
      </w:r>
      <w:r w:rsidRPr="00026EC1">
        <w:t>une séance ou d</w:t>
      </w:r>
      <w:r w:rsidR="004A41E4" w:rsidRPr="00026EC1">
        <w:t>’</w:t>
      </w:r>
      <w:r w:rsidRPr="00026EC1">
        <w:t>un délibéré.</w:t>
      </w:r>
    </w:p>
    <w:p w14:paraId="47D865A3" w14:textId="77777777" w:rsidR="002F6675" w:rsidRPr="00026EC1" w:rsidRDefault="002F6675" w:rsidP="00A64613">
      <w:pPr>
        <w:keepNext w:val="0"/>
      </w:pPr>
    </w:p>
    <w:p w14:paraId="53BFE732" w14:textId="3EB58A42" w:rsidR="008D50B4" w:rsidRPr="00893994" w:rsidRDefault="008D50B4" w:rsidP="00A64613">
      <w:pPr>
        <w:pStyle w:val="NUMRODECLAUSE"/>
        <w:keepNext w:val="0"/>
      </w:pPr>
      <w:r w:rsidRPr="00893994">
        <w:t>9</w:t>
      </w:r>
      <w:r w:rsidR="00984A6F">
        <w:noBreakHyphen/>
      </w:r>
      <w:r w:rsidRPr="00893994">
        <w:t>2.09</w:t>
      </w:r>
    </w:p>
    <w:p w14:paraId="04153FDC" w14:textId="204D278C" w:rsidR="000A7AF8" w:rsidRDefault="008D50B4" w:rsidP="00A64613">
      <w:pPr>
        <w:keepNext w:val="0"/>
      </w:pPr>
      <w:r w:rsidRPr="00026EC1">
        <w:t>Le tribunal d</w:t>
      </w:r>
      <w:r w:rsidR="004A41E4" w:rsidRPr="00026EC1">
        <w:t>’</w:t>
      </w:r>
      <w:r w:rsidRPr="00026EC1">
        <w:t>arbitrage procède en toute diligence à l</w:t>
      </w:r>
      <w:r w:rsidR="004A41E4" w:rsidRPr="00026EC1">
        <w:t>’</w:t>
      </w:r>
      <w:r w:rsidRPr="00026EC1">
        <w:t>instruction du grief. Dans le cas exceptionnel de plaidoiries écrites, le tribunal fixe les délais impératifs pour la présentation de ces plaidoiries. S</w:t>
      </w:r>
      <w:r w:rsidR="004A41E4" w:rsidRPr="00026EC1">
        <w:t>’</w:t>
      </w:r>
      <w:r w:rsidRPr="00026EC1">
        <w:t>il y a consentement des parties, le tribunal peut modifier ces délais.</w:t>
      </w:r>
    </w:p>
    <w:p w14:paraId="4AF2DB22" w14:textId="77777777" w:rsidR="000A7AF8" w:rsidRDefault="000A7AF8">
      <w:pPr>
        <w:keepNext w:val="0"/>
        <w:suppressAutoHyphens w:val="0"/>
        <w:jc w:val="left"/>
      </w:pPr>
      <w:r>
        <w:br w:type="page"/>
      </w:r>
    </w:p>
    <w:p w14:paraId="282F8641" w14:textId="09D73E66" w:rsidR="008D50B4" w:rsidRPr="00893994" w:rsidRDefault="008D50B4" w:rsidP="00A64613">
      <w:pPr>
        <w:pStyle w:val="NUMRODECLAUSE"/>
        <w:keepNext w:val="0"/>
      </w:pPr>
      <w:r w:rsidRPr="00893994">
        <w:t>9</w:t>
      </w:r>
      <w:r w:rsidR="00984A6F">
        <w:noBreakHyphen/>
      </w:r>
      <w:r w:rsidRPr="00893994">
        <w:t>2.10</w:t>
      </w:r>
    </w:p>
    <w:p w14:paraId="423E2A1B" w14:textId="77777777" w:rsidR="008D50B4" w:rsidRPr="00026EC1" w:rsidRDefault="008D50B4" w:rsidP="00A64613">
      <w:pPr>
        <w:keepNext w:val="0"/>
      </w:pPr>
      <w:r w:rsidRPr="00026EC1">
        <w:t>Le tribunal d</w:t>
      </w:r>
      <w:r w:rsidR="004A41E4" w:rsidRPr="00026EC1">
        <w:t>’</w:t>
      </w:r>
      <w:r w:rsidRPr="00026EC1">
        <w:t>arbitrage décide des griefs conformément à la loi et aux dispositions prévues à la convention collective et il ne peut ni les modifier ni y ajouter ou y soustraire quoi que ce soit.</w:t>
      </w:r>
    </w:p>
    <w:p w14:paraId="65E21404" w14:textId="77777777" w:rsidR="008D50B4" w:rsidRPr="00026EC1" w:rsidRDefault="008D50B4" w:rsidP="00A64613">
      <w:pPr>
        <w:keepNext w:val="0"/>
      </w:pPr>
    </w:p>
    <w:p w14:paraId="2D26BEDD" w14:textId="77777777" w:rsidR="008D50B4" w:rsidRPr="00026EC1" w:rsidRDefault="008D50B4" w:rsidP="00A64613">
      <w:pPr>
        <w:keepNext w:val="0"/>
      </w:pPr>
      <w:r w:rsidRPr="00026EC1">
        <w:t>Les procureures ou procureurs s</w:t>
      </w:r>
      <w:r w:rsidR="004A41E4" w:rsidRPr="00026EC1">
        <w:t>’</w:t>
      </w:r>
      <w:r w:rsidRPr="00026EC1">
        <w:t>échangent, dans la mesure du possible, au moins sept (7) jours avant la date fixée, les renseignements portant sur les moyens de défense en droit et les moyens préliminaires qu</w:t>
      </w:r>
      <w:r w:rsidR="004A41E4" w:rsidRPr="00026EC1">
        <w:t>’</w:t>
      </w:r>
      <w:r w:rsidRPr="00026EC1">
        <w:t>elles ou ils veulent plaider, des preuves documentaires ainsi que les admissions mutuelles.</w:t>
      </w:r>
    </w:p>
    <w:p w14:paraId="4274DCDB" w14:textId="77777777" w:rsidR="008D50B4" w:rsidRPr="00026EC1" w:rsidRDefault="008D50B4" w:rsidP="00A64613">
      <w:pPr>
        <w:keepNext w:val="0"/>
      </w:pPr>
    </w:p>
    <w:p w14:paraId="18499CB8" w14:textId="7F0F3D5F" w:rsidR="008D50B4" w:rsidRPr="00026EC1" w:rsidRDefault="008D50B4" w:rsidP="00A64613">
      <w:pPr>
        <w:keepNext w:val="0"/>
      </w:pPr>
      <w:r w:rsidRPr="00026EC1">
        <w:t>Toute séance d</w:t>
      </w:r>
      <w:r w:rsidR="004A41E4" w:rsidRPr="00026EC1">
        <w:t>’</w:t>
      </w:r>
      <w:r w:rsidRPr="00026EC1">
        <w:t>arbitrage en vertu du présent article débute à l</w:t>
      </w:r>
      <w:r w:rsidR="004A41E4" w:rsidRPr="00026EC1">
        <w:t>’</w:t>
      </w:r>
      <w:r w:rsidRPr="00026EC1">
        <w:t>heure fixée par le Greffe; les procureures ou procureurs, les assesseures ou assesseurs, le cas échéant, et l</w:t>
      </w:r>
      <w:r w:rsidR="004A41E4" w:rsidRPr="00026EC1">
        <w:t>’</w:t>
      </w:r>
      <w:r w:rsidRPr="00026EC1">
        <w:t>arbitre tiennent d</w:t>
      </w:r>
      <w:r w:rsidR="004A41E4" w:rsidRPr="00026EC1">
        <w:t>’</w:t>
      </w:r>
      <w:r w:rsidRPr="00026EC1">
        <w:t>abord une conférence préparatoire privée qui dure normalement une demi</w:t>
      </w:r>
      <w:r w:rsidR="00984A6F">
        <w:noBreakHyphen/>
      </w:r>
      <w:r w:rsidRPr="00026EC1">
        <w:t>heure.</w:t>
      </w:r>
    </w:p>
    <w:p w14:paraId="45041832" w14:textId="516AD64C" w:rsidR="008D50B4" w:rsidRPr="00026EC1" w:rsidRDefault="008D50B4" w:rsidP="00A64613">
      <w:pPr>
        <w:keepNext w:val="0"/>
      </w:pPr>
      <w:r w:rsidRPr="00026EC1">
        <w:t>Cette conférence préparatoire a pour objet</w:t>
      </w:r>
      <w:r w:rsidR="00D8581B">
        <w:t> :</w:t>
      </w:r>
    </w:p>
    <w:p w14:paraId="49211EFD" w14:textId="77777777" w:rsidR="008D50B4" w:rsidRPr="00026EC1" w:rsidRDefault="008D50B4" w:rsidP="00A64613">
      <w:pPr>
        <w:keepNext w:val="0"/>
      </w:pPr>
    </w:p>
    <w:p w14:paraId="16AEAE2C"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w:t>
      </w:r>
      <w:r w:rsidR="004A41E4" w:rsidRPr="00026EC1">
        <w:t>’</w:t>
      </w:r>
      <w:r w:rsidR="008D50B4" w:rsidRPr="00026EC1">
        <w:t>améliorer le processus d</w:t>
      </w:r>
      <w:r w:rsidR="004A41E4" w:rsidRPr="00026EC1">
        <w:t>’</w:t>
      </w:r>
      <w:r w:rsidR="008D50B4" w:rsidRPr="00026EC1">
        <w:t>arbitrage, de mieux utiliser le temps disponible et d</w:t>
      </w:r>
      <w:r w:rsidR="004A41E4" w:rsidRPr="00026EC1">
        <w:t>’</w:t>
      </w:r>
      <w:r w:rsidR="008D50B4" w:rsidRPr="00026EC1">
        <w:t>accélérer le déroulement des audiences;</w:t>
      </w:r>
    </w:p>
    <w:p w14:paraId="465C94CB" w14:textId="77777777" w:rsidR="008D50B4" w:rsidRPr="00026EC1" w:rsidRDefault="008D50B4" w:rsidP="00A64613">
      <w:pPr>
        <w:keepNext w:val="0"/>
      </w:pPr>
    </w:p>
    <w:p w14:paraId="68C4FC2C"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de permettre aux parties de déclarer, si cela n</w:t>
      </w:r>
      <w:r w:rsidR="004A41E4" w:rsidRPr="00026EC1">
        <w:t>’</w:t>
      </w:r>
      <w:r w:rsidR="008D50B4" w:rsidRPr="00026EC1">
        <w:t>est pas déjà fait, les moyens de défense en droit et les moyens préliminaires qu</w:t>
      </w:r>
      <w:r w:rsidR="004A41E4" w:rsidRPr="00026EC1">
        <w:t>’</w:t>
      </w:r>
      <w:r w:rsidR="008D50B4" w:rsidRPr="00026EC1">
        <w:t>elles veulent plaider;</w:t>
      </w:r>
    </w:p>
    <w:p w14:paraId="680B0850" w14:textId="77777777" w:rsidR="008D50B4" w:rsidRPr="00026EC1" w:rsidRDefault="008D50B4" w:rsidP="00A64613">
      <w:pPr>
        <w:keepNext w:val="0"/>
      </w:pPr>
    </w:p>
    <w:p w14:paraId="0A4AC739"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de cerner le litige et de définir les questions à débattre en cours d</w:t>
      </w:r>
      <w:r w:rsidR="004A41E4" w:rsidRPr="00026EC1">
        <w:t>’</w:t>
      </w:r>
      <w:r w:rsidR="008D50B4" w:rsidRPr="00026EC1">
        <w:t>audience;</w:t>
      </w:r>
    </w:p>
    <w:p w14:paraId="71C9873B" w14:textId="77777777" w:rsidR="008D50B4" w:rsidRPr="00026EC1" w:rsidRDefault="008D50B4" w:rsidP="00A64613">
      <w:pPr>
        <w:keepNext w:val="0"/>
      </w:pPr>
    </w:p>
    <w:p w14:paraId="5B55E51B"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de favoriser l</w:t>
      </w:r>
      <w:r w:rsidR="004A41E4" w:rsidRPr="00026EC1">
        <w:t>’</w:t>
      </w:r>
      <w:r w:rsidR="008D50B4" w:rsidRPr="00026EC1">
        <w:t>échange de preuves documentaires;</w:t>
      </w:r>
    </w:p>
    <w:p w14:paraId="0943349F" w14:textId="77777777" w:rsidR="00D8638F" w:rsidRPr="00026EC1" w:rsidRDefault="00D8638F" w:rsidP="00A64613">
      <w:pPr>
        <w:keepNext w:val="0"/>
      </w:pPr>
    </w:p>
    <w:p w14:paraId="72467C3E"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de planifier le déroulement de la preuve en cours d</w:t>
      </w:r>
      <w:r w:rsidR="004A41E4" w:rsidRPr="00026EC1">
        <w:t>’</w:t>
      </w:r>
      <w:r w:rsidR="008D50B4" w:rsidRPr="00026EC1">
        <w:t>audience;</w:t>
      </w:r>
    </w:p>
    <w:p w14:paraId="1519577A" w14:textId="77777777" w:rsidR="008D50B4" w:rsidRPr="00026EC1" w:rsidRDefault="008D50B4" w:rsidP="00A64613">
      <w:pPr>
        <w:keepNext w:val="0"/>
      </w:pPr>
    </w:p>
    <w:p w14:paraId="083DAE07"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w:t>
      </w:r>
      <w:r w:rsidR="004A41E4" w:rsidRPr="00026EC1">
        <w:t>’</w:t>
      </w:r>
      <w:r w:rsidR="008D50B4" w:rsidRPr="00026EC1">
        <w:t>examiner la possibilité d</w:t>
      </w:r>
      <w:r w:rsidR="004A41E4" w:rsidRPr="00026EC1">
        <w:t>’</w:t>
      </w:r>
      <w:r w:rsidR="008D50B4" w:rsidRPr="00026EC1">
        <w:t>admettre certains faits;</w:t>
      </w:r>
    </w:p>
    <w:p w14:paraId="4149F9B1" w14:textId="77777777" w:rsidR="00A618EA" w:rsidRPr="00026EC1" w:rsidRDefault="00A618EA" w:rsidP="00A64613">
      <w:pPr>
        <w:keepNext w:val="0"/>
      </w:pPr>
    </w:p>
    <w:p w14:paraId="4DFCC927" w14:textId="77777777" w:rsidR="008D50B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8D50B4" w:rsidRPr="00026EC1">
        <w:t>d</w:t>
      </w:r>
      <w:r w:rsidR="004A41E4" w:rsidRPr="00026EC1">
        <w:t>’</w:t>
      </w:r>
      <w:r w:rsidR="008D50B4" w:rsidRPr="00026EC1">
        <w:t>analyser toute autre question pouvant simplifier ou accélérer le déroulement des audiences.</w:t>
      </w:r>
    </w:p>
    <w:p w14:paraId="75BDAC70" w14:textId="77777777" w:rsidR="008D50B4" w:rsidRPr="00026EC1" w:rsidRDefault="008D50B4" w:rsidP="00A64613">
      <w:pPr>
        <w:keepNext w:val="0"/>
      </w:pPr>
    </w:p>
    <w:p w14:paraId="088D4BA3" w14:textId="77777777" w:rsidR="008D50B4" w:rsidRPr="00026EC1" w:rsidRDefault="008D50B4" w:rsidP="00A64613">
      <w:pPr>
        <w:keepNext w:val="0"/>
      </w:pPr>
      <w:r w:rsidRPr="00026EC1">
        <w:t>Lorsqu</w:t>
      </w:r>
      <w:r w:rsidR="004A41E4" w:rsidRPr="00026EC1">
        <w:t>’</w:t>
      </w:r>
      <w:r w:rsidRPr="00026EC1">
        <w:t>il le juge opportun, le tribunal d</w:t>
      </w:r>
      <w:r w:rsidR="004A41E4" w:rsidRPr="00026EC1">
        <w:t>’</w:t>
      </w:r>
      <w:r w:rsidRPr="00026EC1">
        <w:t>arbitrage impose un échéancier formel et contraignant quant au déroulement des audiences.</w:t>
      </w:r>
    </w:p>
    <w:p w14:paraId="2F9B64F0" w14:textId="77777777" w:rsidR="008D50B4" w:rsidRPr="00026EC1" w:rsidRDefault="008D50B4" w:rsidP="00A64613">
      <w:pPr>
        <w:keepNext w:val="0"/>
      </w:pPr>
    </w:p>
    <w:p w14:paraId="777C11EB" w14:textId="02378EC9" w:rsidR="008D50B4" w:rsidRPr="00893994" w:rsidRDefault="008D50B4" w:rsidP="00A64613">
      <w:pPr>
        <w:pStyle w:val="NUMRODECLAUSE"/>
        <w:keepNext w:val="0"/>
      </w:pPr>
      <w:r w:rsidRPr="00893994">
        <w:t>9</w:t>
      </w:r>
      <w:r w:rsidR="00984A6F">
        <w:noBreakHyphen/>
      </w:r>
      <w:r w:rsidRPr="00893994">
        <w:t>2.11</w:t>
      </w:r>
    </w:p>
    <w:p w14:paraId="6DC85031" w14:textId="043BE51D" w:rsidR="008D50B4" w:rsidRDefault="008D50B4" w:rsidP="00A64613">
      <w:pPr>
        <w:keepNext w:val="0"/>
      </w:pPr>
      <w:r w:rsidRPr="00026EC1">
        <w:t>Les griefs soumis en vertu des clauses 5</w:t>
      </w:r>
      <w:r w:rsidR="00984A6F">
        <w:noBreakHyphen/>
      </w:r>
      <w:r w:rsidRPr="00026EC1">
        <w:t>4.07 à 5</w:t>
      </w:r>
      <w:r w:rsidR="00984A6F">
        <w:noBreakHyphen/>
      </w:r>
      <w:r w:rsidRPr="00026EC1">
        <w:t>4.12, 5</w:t>
      </w:r>
      <w:r w:rsidR="00984A6F">
        <w:noBreakHyphen/>
      </w:r>
      <w:r w:rsidRPr="00026EC1">
        <w:t>4.15 et aux alinéas</w:t>
      </w:r>
      <w:r w:rsidR="000F2D2C" w:rsidRPr="00026EC1">
        <w:t> </w:t>
      </w:r>
      <w:r w:rsidRPr="00026EC1">
        <w:t>a) et b) de la clause 5</w:t>
      </w:r>
      <w:r w:rsidR="00984A6F">
        <w:noBreakHyphen/>
      </w:r>
      <w:r w:rsidRPr="00026EC1">
        <w:t>4.17 sont traités en priorité.</w:t>
      </w:r>
    </w:p>
    <w:p w14:paraId="38B95054" w14:textId="77777777" w:rsidR="002F6675" w:rsidRPr="00026EC1" w:rsidRDefault="002F6675" w:rsidP="00A64613">
      <w:pPr>
        <w:keepNext w:val="0"/>
      </w:pPr>
    </w:p>
    <w:p w14:paraId="384B68FA" w14:textId="36AD9356" w:rsidR="008D50B4" w:rsidRDefault="008D50B4" w:rsidP="00A64613">
      <w:pPr>
        <w:keepNext w:val="0"/>
      </w:pPr>
      <w:r w:rsidRPr="00026EC1">
        <w:t>Dans ces cas, le Collège reçoit le grief au nom de l</w:t>
      </w:r>
      <w:r w:rsidR="004A41E4" w:rsidRPr="00026EC1">
        <w:t>’</w:t>
      </w:r>
      <w:r w:rsidRPr="00026EC1">
        <w:t>ensemble des cégeps du réseau et est partie au grief et aux procédures de grief et d</w:t>
      </w:r>
      <w:r w:rsidR="004A41E4" w:rsidRPr="00026EC1">
        <w:t>’</w:t>
      </w:r>
      <w:r w:rsidRPr="00026EC1">
        <w:t>arbitrage jusqu</w:t>
      </w:r>
      <w:r w:rsidR="004A41E4" w:rsidRPr="00026EC1">
        <w:t>’</w:t>
      </w:r>
      <w:r w:rsidRPr="00026EC1">
        <w:t>à ce que le tribunal d</w:t>
      </w:r>
      <w:r w:rsidR="004A41E4" w:rsidRPr="00026EC1">
        <w:t>’</w:t>
      </w:r>
      <w:r w:rsidRPr="00026EC1">
        <w:t>arbitrage détermine lequel ou lesquels cégeps du réseau, qu</w:t>
      </w:r>
      <w:r w:rsidR="004A41E4" w:rsidRPr="00026EC1">
        <w:t>’</w:t>
      </w:r>
      <w:r w:rsidRPr="00026EC1">
        <w:t>ils soient mentionnés ou non au grief, est ou sont parties au litige, suivant la preuve faite devant lui. La décision du Collège de faire droit ou de rejeter un grief qui engage un autre Collège du réseau est nulle et sans effet. Une erreur du Bureau de placement ne peut être invoquée à l</w:t>
      </w:r>
      <w:r w:rsidR="004A41E4" w:rsidRPr="00026EC1">
        <w:t>’</w:t>
      </w:r>
      <w:r w:rsidRPr="00026EC1">
        <w:t>encontre de la recevabilité d</w:t>
      </w:r>
      <w:r w:rsidR="004A41E4" w:rsidRPr="00026EC1">
        <w:t>’</w:t>
      </w:r>
      <w:r w:rsidRPr="00026EC1">
        <w:t>un grief ou de l</w:t>
      </w:r>
      <w:r w:rsidR="004A41E4" w:rsidRPr="00026EC1">
        <w:t>’</w:t>
      </w:r>
      <w:r w:rsidRPr="00026EC1">
        <w:t>exécution d</w:t>
      </w:r>
      <w:r w:rsidR="004A41E4" w:rsidRPr="00026EC1">
        <w:t>’</w:t>
      </w:r>
      <w:r w:rsidRPr="00026EC1">
        <w:t>une sentence arbitrale. Lorsque le tribunal fait droit au grief, il rétablit l</w:t>
      </w:r>
      <w:r w:rsidR="004A41E4" w:rsidRPr="00026EC1">
        <w:t>’</w:t>
      </w:r>
      <w:r w:rsidRPr="00026EC1">
        <w:t>enseignante ou l</w:t>
      </w:r>
      <w:r w:rsidR="004A41E4" w:rsidRPr="00026EC1">
        <w:t>’</w:t>
      </w:r>
      <w:r w:rsidRPr="00026EC1">
        <w:t>enseignant dans ses droits et il décide à quel Collège l</w:t>
      </w:r>
      <w:r w:rsidR="004A41E4" w:rsidRPr="00026EC1">
        <w:t>’</w:t>
      </w:r>
      <w:r w:rsidRPr="00026EC1">
        <w:t>enseignante ou l</w:t>
      </w:r>
      <w:r w:rsidR="004A41E4" w:rsidRPr="00026EC1">
        <w:t>’</w:t>
      </w:r>
      <w:r w:rsidRPr="00026EC1">
        <w:t>enseignant doit se présenter soit pour y demeurer, soit pour y retourner, soit pour y être replacé, soit pour y être évalué, selon le cas.</w:t>
      </w:r>
    </w:p>
    <w:p w14:paraId="3BFA2222" w14:textId="77777777" w:rsidR="00C646D5" w:rsidRPr="00026EC1" w:rsidRDefault="00C646D5" w:rsidP="00A64613">
      <w:pPr>
        <w:keepNext w:val="0"/>
      </w:pPr>
    </w:p>
    <w:p w14:paraId="40071D15" w14:textId="77777777" w:rsidR="008D50B4" w:rsidRPr="00026EC1" w:rsidRDefault="008D50B4" w:rsidP="00A64613">
      <w:pPr>
        <w:keepNext w:val="0"/>
      </w:pPr>
      <w:r w:rsidRPr="00026EC1">
        <w:t>Le déplacement consécutif à une décision arbitrale est reporté au début de l</w:t>
      </w:r>
      <w:r w:rsidR="004A41E4" w:rsidRPr="00026EC1">
        <w:t>’</w:t>
      </w:r>
      <w:r w:rsidRPr="00026EC1">
        <w:t>année d</w:t>
      </w:r>
      <w:r w:rsidR="004A41E4" w:rsidRPr="00026EC1">
        <w:t>’</w:t>
      </w:r>
      <w:r w:rsidRPr="00026EC1">
        <w:t>enseignement qui suit.</w:t>
      </w:r>
    </w:p>
    <w:p w14:paraId="08CC94B8" w14:textId="77777777" w:rsidR="00062BF5" w:rsidRPr="00026EC1" w:rsidRDefault="00062BF5" w:rsidP="00A64613">
      <w:pPr>
        <w:keepNext w:val="0"/>
      </w:pPr>
    </w:p>
    <w:p w14:paraId="75ED161D" w14:textId="1CA5991D" w:rsidR="008D50B4" w:rsidRPr="00026EC1" w:rsidRDefault="008D50B4" w:rsidP="00A64613">
      <w:pPr>
        <w:keepNext w:val="0"/>
      </w:pPr>
      <w:r w:rsidRPr="00026EC1">
        <w:t>L</w:t>
      </w:r>
      <w:r w:rsidR="004A41E4" w:rsidRPr="00026EC1">
        <w:t>’</w:t>
      </w:r>
      <w:r w:rsidRPr="00026EC1">
        <w:t>enseignante ou l</w:t>
      </w:r>
      <w:r w:rsidR="004A41E4" w:rsidRPr="00026EC1">
        <w:t>’</w:t>
      </w:r>
      <w:r w:rsidRPr="00026EC1">
        <w:t>enseignant peut toujours renoncer à l</w:t>
      </w:r>
      <w:r w:rsidR="004A41E4" w:rsidRPr="00026EC1">
        <w:t>’</w:t>
      </w:r>
      <w:r w:rsidRPr="00026EC1">
        <w:t>exécution d</w:t>
      </w:r>
      <w:r w:rsidR="004A41E4" w:rsidRPr="00026EC1">
        <w:t>’</w:t>
      </w:r>
      <w:r w:rsidRPr="00026EC1">
        <w:t>une telle sentence et demeurer dans la situation où elle ou il se trouve. Elle ou il en avise alors, dans les quinze</w:t>
      </w:r>
      <w:r w:rsidR="002B0E4D">
        <w:t> </w:t>
      </w:r>
      <w:r w:rsidRPr="00026EC1">
        <w:t>(15) jours ouvrables de la réception de la décision arbitrale, le Bureau de placement qui en informe le ou les Collèges concernés.</w:t>
      </w:r>
    </w:p>
    <w:p w14:paraId="23763ADE" w14:textId="77777777" w:rsidR="008D50B4" w:rsidRPr="00026EC1" w:rsidRDefault="008D50B4" w:rsidP="00A64613">
      <w:pPr>
        <w:keepNext w:val="0"/>
      </w:pPr>
    </w:p>
    <w:p w14:paraId="09BD1285" w14:textId="522B1329" w:rsidR="008D50B4" w:rsidRDefault="008D50B4" w:rsidP="00A64613">
      <w:pPr>
        <w:keepNext w:val="0"/>
      </w:pPr>
      <w:r w:rsidRPr="00026EC1">
        <w:t>La décision du tribunal est exécutoire et lie l</w:t>
      </w:r>
      <w:r w:rsidR="004A41E4" w:rsidRPr="00026EC1">
        <w:t>’</w:t>
      </w:r>
      <w:r w:rsidRPr="00026EC1">
        <w:t>enseignante ou l</w:t>
      </w:r>
      <w:r w:rsidR="004A41E4" w:rsidRPr="00026EC1">
        <w:t>’</w:t>
      </w:r>
      <w:r w:rsidRPr="00026EC1">
        <w:t>enseignant, le Syndicat, le ou les Collèges concernés et le Bureau de placement, le cas échéant.</w:t>
      </w:r>
    </w:p>
    <w:p w14:paraId="598AF4F1" w14:textId="77777777" w:rsidR="00522997" w:rsidRPr="00026EC1" w:rsidRDefault="00522997" w:rsidP="00A64613">
      <w:pPr>
        <w:keepNext w:val="0"/>
      </w:pPr>
    </w:p>
    <w:p w14:paraId="786973C0" w14:textId="5CF65B15" w:rsidR="008D50B4" w:rsidRPr="00893994" w:rsidRDefault="008D50B4" w:rsidP="00A64613">
      <w:pPr>
        <w:pStyle w:val="NUMRODECLAUSE"/>
        <w:keepNext w:val="0"/>
      </w:pPr>
      <w:r w:rsidRPr="00893994">
        <w:t>9</w:t>
      </w:r>
      <w:r w:rsidR="00984A6F">
        <w:noBreakHyphen/>
      </w:r>
      <w:r w:rsidRPr="00893994">
        <w:t>2.12</w:t>
      </w:r>
    </w:p>
    <w:p w14:paraId="008A84F0" w14:textId="77777777" w:rsidR="008D50B4" w:rsidRPr="00026EC1" w:rsidRDefault="008D50B4" w:rsidP="00A64613">
      <w:pPr>
        <w:keepNext w:val="0"/>
      </w:pPr>
      <w:r w:rsidRPr="00026EC1">
        <w:t>Le grief se rapportant à une erreur de calcul de la rémunération ou à une erreur dans l</w:t>
      </w:r>
      <w:r w:rsidR="004A41E4" w:rsidRPr="00026EC1">
        <w:t>’</w:t>
      </w:r>
      <w:r w:rsidRPr="00026EC1">
        <w:t>évaluation des renseignements concernant la scolarité, s</w:t>
      </w:r>
      <w:r w:rsidR="004A41E4" w:rsidRPr="00026EC1">
        <w:t>’</w:t>
      </w:r>
      <w:r w:rsidRPr="00026EC1">
        <w:t>ils ont été effectivement produits en temps requis, peut être soumis en tout temps.</w:t>
      </w:r>
    </w:p>
    <w:p w14:paraId="5D1AAC26" w14:textId="77777777" w:rsidR="008D50B4" w:rsidRPr="00026EC1" w:rsidRDefault="008D50B4" w:rsidP="00A64613">
      <w:pPr>
        <w:keepNext w:val="0"/>
      </w:pPr>
    </w:p>
    <w:p w14:paraId="634B1A26" w14:textId="70934803" w:rsidR="008D50B4" w:rsidRPr="00026EC1" w:rsidRDefault="008D50B4" w:rsidP="00A64613">
      <w:pPr>
        <w:keepNext w:val="0"/>
      </w:pPr>
      <w:r w:rsidRPr="00026EC1">
        <w:t>Le grief se rapportant à une erreur dans l</w:t>
      </w:r>
      <w:r w:rsidR="004A41E4" w:rsidRPr="00026EC1">
        <w:t>’</w:t>
      </w:r>
      <w:r w:rsidRPr="00026EC1">
        <w:t>évaluation des renseignements concernant l</w:t>
      </w:r>
      <w:r w:rsidR="004A41E4" w:rsidRPr="00026EC1">
        <w:t>’</w:t>
      </w:r>
      <w:r w:rsidRPr="00026EC1">
        <w:t>expérience, s</w:t>
      </w:r>
      <w:r w:rsidR="004A41E4" w:rsidRPr="00026EC1">
        <w:t>’</w:t>
      </w:r>
      <w:r w:rsidRPr="00026EC1">
        <w:t>ils ont été effectivement produits en temps requis, doit être soumis dans les cinq</w:t>
      </w:r>
      <w:r w:rsidR="00CF0829">
        <w:t> </w:t>
      </w:r>
      <w:r w:rsidRPr="00026EC1">
        <w:t>(5) ans à compter de la date où les renseignements ont été produits.</w:t>
      </w:r>
    </w:p>
    <w:p w14:paraId="53372222" w14:textId="77777777" w:rsidR="008D50B4" w:rsidRPr="00026EC1" w:rsidRDefault="008D50B4" w:rsidP="00A64613">
      <w:pPr>
        <w:keepNext w:val="0"/>
      </w:pPr>
    </w:p>
    <w:p w14:paraId="052555A3" w14:textId="77777777" w:rsidR="008D50B4" w:rsidRPr="00026EC1" w:rsidRDefault="008D50B4" w:rsidP="00A64613">
      <w:pPr>
        <w:keepNext w:val="0"/>
      </w:pPr>
      <w:r w:rsidRPr="00026EC1">
        <w:t>S</w:t>
      </w:r>
      <w:r w:rsidR="004A41E4" w:rsidRPr="00026EC1">
        <w:t>’</w:t>
      </w:r>
      <w:r w:rsidRPr="00026EC1">
        <w:t>il est décidé, selon ce qui précède, que le grief est bien fondé, l</w:t>
      </w:r>
      <w:r w:rsidR="004A41E4" w:rsidRPr="00026EC1">
        <w:t>’</w:t>
      </w:r>
      <w:r w:rsidRPr="00026EC1">
        <w:t>enseignante ou l</w:t>
      </w:r>
      <w:r w:rsidR="004A41E4" w:rsidRPr="00026EC1">
        <w:t>’</w:t>
      </w:r>
      <w:r w:rsidRPr="00026EC1">
        <w:t>enseignant a droit au montant total auquel elle ou il aurait eu droit si l</w:t>
      </w:r>
      <w:r w:rsidR="004A41E4" w:rsidRPr="00026EC1">
        <w:t>’</w:t>
      </w:r>
      <w:r w:rsidRPr="00026EC1">
        <w:t>erreur de calcul de la rémunération ou de l</w:t>
      </w:r>
      <w:r w:rsidR="004A41E4" w:rsidRPr="00026EC1">
        <w:t>’</w:t>
      </w:r>
      <w:r w:rsidRPr="00026EC1">
        <w:t>évaluation de ces renseignements n</w:t>
      </w:r>
      <w:r w:rsidR="004A41E4" w:rsidRPr="00026EC1">
        <w:t>’</w:t>
      </w:r>
      <w:r w:rsidRPr="00026EC1">
        <w:t>avait pas été commise.</w:t>
      </w:r>
    </w:p>
    <w:p w14:paraId="0452F52E" w14:textId="77777777" w:rsidR="005C01E7" w:rsidRPr="00026EC1" w:rsidRDefault="005C01E7" w:rsidP="00A64613">
      <w:pPr>
        <w:keepNext w:val="0"/>
      </w:pPr>
    </w:p>
    <w:p w14:paraId="7D94AA91" w14:textId="13B27FC7" w:rsidR="008D50B4" w:rsidRPr="00893994" w:rsidRDefault="008D50B4" w:rsidP="00A64613">
      <w:pPr>
        <w:pStyle w:val="NUMRODECLAUSE"/>
        <w:keepNext w:val="0"/>
      </w:pPr>
      <w:r w:rsidRPr="00893994">
        <w:t>9</w:t>
      </w:r>
      <w:r w:rsidR="00984A6F">
        <w:noBreakHyphen/>
      </w:r>
      <w:r w:rsidRPr="00893994">
        <w:t>2.13</w:t>
      </w:r>
    </w:p>
    <w:p w14:paraId="4B607A1B" w14:textId="77777777" w:rsidR="008D50B4" w:rsidRPr="00026EC1" w:rsidRDefault="008D50B4" w:rsidP="00A64613">
      <w:pPr>
        <w:keepNext w:val="0"/>
      </w:pPr>
      <w:r w:rsidRPr="00026EC1">
        <w:t>Lorsque le grief comporte une réclamation pécuniaire, celle ou celui qui a posé le grief n</w:t>
      </w:r>
      <w:r w:rsidR="004A41E4" w:rsidRPr="00026EC1">
        <w:t>’</w:t>
      </w:r>
      <w:r w:rsidRPr="00026EC1">
        <w:t>est pas tenu d</w:t>
      </w:r>
      <w:r w:rsidR="004A41E4" w:rsidRPr="00026EC1">
        <w:t>’</w:t>
      </w:r>
      <w:r w:rsidRPr="00026EC1">
        <w:t>en établir le montant avant de faire décider par le tribunal d</w:t>
      </w:r>
      <w:r w:rsidR="004A41E4" w:rsidRPr="00026EC1">
        <w:t>’</w:t>
      </w:r>
      <w:r w:rsidRPr="00026EC1">
        <w:t>arbitrage du droit à cette somme d</w:t>
      </w:r>
      <w:r w:rsidR="004A41E4" w:rsidRPr="00026EC1">
        <w:t>’</w:t>
      </w:r>
      <w:r w:rsidRPr="00026EC1">
        <w:t>argent.</w:t>
      </w:r>
    </w:p>
    <w:p w14:paraId="4F393A58" w14:textId="77777777" w:rsidR="008D50B4" w:rsidRPr="00026EC1" w:rsidRDefault="008D50B4" w:rsidP="00A64613">
      <w:pPr>
        <w:keepNext w:val="0"/>
      </w:pPr>
    </w:p>
    <w:p w14:paraId="61802852" w14:textId="245C0AF8" w:rsidR="008D50B4" w:rsidRPr="00026EC1" w:rsidRDefault="008D50B4" w:rsidP="00A64613">
      <w:pPr>
        <w:keepNext w:val="0"/>
      </w:pPr>
      <w:r w:rsidRPr="00026EC1">
        <w:t>S</w:t>
      </w:r>
      <w:r w:rsidR="004A41E4" w:rsidRPr="00026EC1">
        <w:t>’</w:t>
      </w:r>
      <w:r w:rsidRPr="00026EC1">
        <w:t>il est décidé que le grief est bien fondé et que les parties ne s</w:t>
      </w:r>
      <w:r w:rsidR="004A41E4" w:rsidRPr="00026EC1">
        <w:t>’</w:t>
      </w:r>
      <w:r w:rsidRPr="00026EC1">
        <w:t>entendent pas sur le montant à être payé, un simple avis adressé au même tribunal lui soumet le désaccord pour décision finale. Le tribunal peut ordonner que les sommes dues à l</w:t>
      </w:r>
      <w:r w:rsidR="004A41E4" w:rsidRPr="00026EC1">
        <w:t>’</w:t>
      </w:r>
      <w:r w:rsidRPr="00026EC1">
        <w:t>enseignante ou l</w:t>
      </w:r>
      <w:r w:rsidR="004A41E4" w:rsidRPr="00026EC1">
        <w:t>’</w:t>
      </w:r>
      <w:r w:rsidRPr="00026EC1">
        <w:t>enseignant portent intérêt au taux fixé par règlement adopté en vertu de l</w:t>
      </w:r>
      <w:r w:rsidR="004A41E4" w:rsidRPr="00026EC1">
        <w:t>’</w:t>
      </w:r>
      <w:r w:rsidRPr="00026EC1">
        <w:t xml:space="preserve">article 28 de </w:t>
      </w:r>
      <w:r w:rsidRPr="00026EC1">
        <w:rPr>
          <w:iCs/>
        </w:rPr>
        <w:t>la Loi sur</w:t>
      </w:r>
      <w:r w:rsidR="006E6E16">
        <w:rPr>
          <w:iCs/>
        </w:rPr>
        <w:t xml:space="preserve"> </w:t>
      </w:r>
      <w:r w:rsidR="006E6E16" w:rsidRPr="00316277">
        <w:rPr>
          <w:iCs/>
        </w:rPr>
        <w:t>l’administration fiscale (A</w:t>
      </w:r>
      <w:r w:rsidR="006E6E16" w:rsidRPr="00316277">
        <w:rPr>
          <w:iCs/>
        </w:rPr>
        <w:noBreakHyphen/>
        <w:t>6.002)</w:t>
      </w:r>
      <w:r w:rsidRPr="00026EC1">
        <w:t>, à compter de la date où ces sommes étaient exigibles.</w:t>
      </w:r>
    </w:p>
    <w:p w14:paraId="0C97B047" w14:textId="77777777" w:rsidR="008D50B4" w:rsidRPr="00026EC1" w:rsidRDefault="008D50B4" w:rsidP="00A64613">
      <w:pPr>
        <w:keepNext w:val="0"/>
      </w:pPr>
    </w:p>
    <w:p w14:paraId="32524925" w14:textId="49C7994A" w:rsidR="008D50B4" w:rsidRPr="00893994" w:rsidRDefault="008D50B4" w:rsidP="00A64613">
      <w:pPr>
        <w:pStyle w:val="NUMRODECLAUSE"/>
        <w:keepNext w:val="0"/>
      </w:pPr>
      <w:r w:rsidRPr="00893994">
        <w:t>9</w:t>
      </w:r>
      <w:r w:rsidR="00984A6F">
        <w:noBreakHyphen/>
      </w:r>
      <w:r w:rsidRPr="00893994">
        <w:t>2.14</w:t>
      </w:r>
    </w:p>
    <w:p w14:paraId="19CCD082" w14:textId="7FC02F25" w:rsidR="000A7AF8" w:rsidRDefault="008D50B4" w:rsidP="00A64613">
      <w:pPr>
        <w:keepNext w:val="0"/>
      </w:pPr>
      <w:r w:rsidRPr="00026EC1">
        <w:t>Lorsque le tribunal d</w:t>
      </w:r>
      <w:r w:rsidR="004A41E4" w:rsidRPr="00026EC1">
        <w:t>’</w:t>
      </w:r>
      <w:r w:rsidRPr="00026EC1">
        <w:t>arbitrage conclut que le grief est bien fondé, il a un pouvoir général de dédommager la plaignante ou le plaignant pour compenser les torts qu</w:t>
      </w:r>
      <w:r w:rsidR="004A41E4" w:rsidRPr="00026EC1">
        <w:t>’</w:t>
      </w:r>
      <w:r w:rsidRPr="00026EC1">
        <w:t>elle ou il a subis.</w:t>
      </w:r>
    </w:p>
    <w:p w14:paraId="0ADD88C5" w14:textId="77777777" w:rsidR="000A7AF8" w:rsidRDefault="000A7AF8">
      <w:pPr>
        <w:keepNext w:val="0"/>
        <w:suppressAutoHyphens w:val="0"/>
        <w:jc w:val="left"/>
      </w:pPr>
      <w:r>
        <w:br w:type="page"/>
      </w:r>
    </w:p>
    <w:p w14:paraId="65C95D04" w14:textId="716BD8C6" w:rsidR="008D50B4" w:rsidRPr="00893994" w:rsidRDefault="008D50B4" w:rsidP="00A64613">
      <w:pPr>
        <w:pStyle w:val="NUMRODECLAUSE"/>
        <w:keepNext w:val="0"/>
      </w:pPr>
      <w:r w:rsidRPr="00893994">
        <w:t>9</w:t>
      </w:r>
      <w:r w:rsidR="00984A6F">
        <w:noBreakHyphen/>
      </w:r>
      <w:r w:rsidRPr="00893994">
        <w:t>2.15</w:t>
      </w:r>
    </w:p>
    <w:p w14:paraId="79024940" w14:textId="1FDAE528" w:rsidR="008D50B4" w:rsidRPr="00026EC1" w:rsidRDefault="008D50B4" w:rsidP="00A64613">
      <w:pPr>
        <w:keepNext w:val="0"/>
      </w:pPr>
      <w:r w:rsidRPr="00026EC1">
        <w:t>Lorsqu</w:t>
      </w:r>
      <w:r w:rsidR="004A41E4" w:rsidRPr="00026EC1">
        <w:t>’</w:t>
      </w:r>
      <w:r w:rsidRPr="00026EC1">
        <w:t>il doit y avoir d</w:t>
      </w:r>
      <w:r w:rsidR="004A41E4" w:rsidRPr="00026EC1">
        <w:t>’</w:t>
      </w:r>
      <w:r w:rsidRPr="00026EC1">
        <w:t>autres séances d</w:t>
      </w:r>
      <w:r w:rsidR="004A41E4" w:rsidRPr="00026EC1">
        <w:t>’</w:t>
      </w:r>
      <w:r w:rsidRPr="00026EC1">
        <w:t>arbitrage dans la même cause, leur détermination est soumise à la clause 9</w:t>
      </w:r>
      <w:r w:rsidR="00984A6F">
        <w:noBreakHyphen/>
      </w:r>
      <w:r w:rsidRPr="00026EC1">
        <w:t>2.05.</w:t>
      </w:r>
    </w:p>
    <w:p w14:paraId="67C1248B" w14:textId="77777777" w:rsidR="008D50B4" w:rsidRPr="00026EC1" w:rsidRDefault="008D50B4" w:rsidP="00A64613">
      <w:pPr>
        <w:keepNext w:val="0"/>
      </w:pPr>
    </w:p>
    <w:p w14:paraId="77A3D1EB" w14:textId="33B64CEC" w:rsidR="008D50B4" w:rsidRPr="00893994" w:rsidRDefault="008D50B4" w:rsidP="00A64613">
      <w:pPr>
        <w:pStyle w:val="NUMRODECLAUSE"/>
        <w:keepNext w:val="0"/>
      </w:pPr>
      <w:r w:rsidRPr="00893994">
        <w:t>9</w:t>
      </w:r>
      <w:r w:rsidR="00984A6F">
        <w:noBreakHyphen/>
      </w:r>
      <w:r w:rsidRPr="00893994">
        <w:t>2.16</w:t>
      </w:r>
    </w:p>
    <w:p w14:paraId="62B91403" w14:textId="0A8E2448" w:rsidR="008D50B4" w:rsidRDefault="008D50B4" w:rsidP="00A64613">
      <w:pPr>
        <w:keepNext w:val="0"/>
      </w:pPr>
      <w:r w:rsidRPr="00026EC1">
        <w:t>Les séances du tribunal d</w:t>
      </w:r>
      <w:r w:rsidR="004A41E4" w:rsidRPr="00026EC1">
        <w:t>’</w:t>
      </w:r>
      <w:r w:rsidRPr="00026EC1">
        <w:t>arbitrage sont publiques. Le tribunal peut toutefois ordonner le huis clos.</w:t>
      </w:r>
    </w:p>
    <w:p w14:paraId="0A1297A1" w14:textId="77777777" w:rsidR="000A7AF8" w:rsidRDefault="000A7AF8" w:rsidP="00A64613">
      <w:pPr>
        <w:keepNext w:val="0"/>
      </w:pPr>
    </w:p>
    <w:p w14:paraId="7141A9CD" w14:textId="04684A1C" w:rsidR="008D50B4" w:rsidRPr="00893994" w:rsidRDefault="008D50B4" w:rsidP="00A64613">
      <w:pPr>
        <w:pStyle w:val="NUMRODECLAUSE"/>
        <w:keepNext w:val="0"/>
      </w:pPr>
      <w:r w:rsidRPr="00893994">
        <w:t>9</w:t>
      </w:r>
      <w:r w:rsidR="00984A6F">
        <w:noBreakHyphen/>
      </w:r>
      <w:r w:rsidRPr="00893994">
        <w:t>2.17</w:t>
      </w:r>
    </w:p>
    <w:p w14:paraId="7F1C2131" w14:textId="7F5AB877" w:rsidR="008D50B4" w:rsidRDefault="008D50B4" w:rsidP="00BE127F">
      <w:pPr>
        <w:pStyle w:val="ListParagraph"/>
        <w:numPr>
          <w:ilvl w:val="1"/>
          <w:numId w:val="73"/>
        </w:numPr>
        <w:tabs>
          <w:tab w:val="left" w:pos="567"/>
        </w:tabs>
        <w:ind w:left="567" w:hanging="567"/>
      </w:pPr>
      <w:r w:rsidRPr="00026EC1">
        <w:t>Le tribunal d</w:t>
      </w:r>
      <w:r w:rsidR="004A41E4" w:rsidRPr="00026EC1">
        <w:t>’</w:t>
      </w:r>
      <w:r w:rsidRPr="00026EC1">
        <w:t>arbitrage rend sa sentence dans les soixante</w:t>
      </w:r>
      <w:r w:rsidR="005E2E96">
        <w:t> </w:t>
      </w:r>
      <w:r w:rsidRPr="00026EC1">
        <w:t>(60) jours de la fin de l</w:t>
      </w:r>
      <w:r w:rsidR="004A41E4" w:rsidRPr="00026EC1">
        <w:t>’</w:t>
      </w:r>
      <w:r w:rsidRPr="00026EC1">
        <w:t>audience à moins que les représentantes ou représentants des parties ne consentent par écrit, avant l</w:t>
      </w:r>
      <w:r w:rsidR="004A41E4" w:rsidRPr="00026EC1">
        <w:t>’</w:t>
      </w:r>
      <w:r w:rsidRPr="00026EC1">
        <w:t>expiration de ce délai, à accorder un délai supplémentaire d</w:t>
      </w:r>
      <w:r w:rsidR="004A41E4" w:rsidRPr="00026EC1">
        <w:t>’</w:t>
      </w:r>
      <w:r w:rsidRPr="00026EC1">
        <w:t>un nombre de jours précis. Toutefois, cette sentence ne peut être déclarée nulle pour la seule raison qu</w:t>
      </w:r>
      <w:r w:rsidR="004A41E4" w:rsidRPr="00026EC1">
        <w:t>’</w:t>
      </w:r>
      <w:r w:rsidRPr="00026EC1">
        <w:t>elle est rendue après l</w:t>
      </w:r>
      <w:r w:rsidR="004A41E4" w:rsidRPr="00026EC1">
        <w:t>’</w:t>
      </w:r>
      <w:r w:rsidRPr="00026EC1">
        <w:t>expiration des délais.</w:t>
      </w:r>
    </w:p>
    <w:p w14:paraId="5663A377" w14:textId="77777777" w:rsidR="00974A48" w:rsidRDefault="00974A48" w:rsidP="00974A48">
      <w:pPr>
        <w:pStyle w:val="ListParagraph"/>
        <w:tabs>
          <w:tab w:val="left" w:pos="567"/>
        </w:tabs>
        <w:ind w:left="567"/>
      </w:pPr>
    </w:p>
    <w:p w14:paraId="28D6C363" w14:textId="60D6316F" w:rsidR="008D50B4" w:rsidRDefault="008D50B4" w:rsidP="00BE127F">
      <w:pPr>
        <w:pStyle w:val="ListParagraph"/>
        <w:numPr>
          <w:ilvl w:val="1"/>
          <w:numId w:val="73"/>
        </w:numPr>
        <w:tabs>
          <w:tab w:val="left" w:pos="567"/>
        </w:tabs>
        <w:ind w:left="567" w:hanging="567"/>
      </w:pPr>
      <w:r w:rsidRPr="00026EC1">
        <w:t>Une ou un arbitre ne peut se voir confier l</w:t>
      </w:r>
      <w:r w:rsidR="004A41E4" w:rsidRPr="00026EC1">
        <w:t>’</w:t>
      </w:r>
      <w:r w:rsidRPr="00026EC1">
        <w:t>instruction d</w:t>
      </w:r>
      <w:r w:rsidR="004A41E4" w:rsidRPr="00026EC1">
        <w:t>’</w:t>
      </w:r>
      <w:r w:rsidRPr="00026EC1">
        <w:t>un nouveau grief tant qu</w:t>
      </w:r>
      <w:r w:rsidR="004A41E4" w:rsidRPr="00026EC1">
        <w:t>’</w:t>
      </w:r>
      <w:r w:rsidRPr="00026EC1">
        <w:t>elle ou il n</w:t>
      </w:r>
      <w:r w:rsidR="004A41E4" w:rsidRPr="00026EC1">
        <w:t>’</w:t>
      </w:r>
      <w:r w:rsidRPr="00026EC1">
        <w:t>a pas rendu une sentence dans le délai imparti.</w:t>
      </w:r>
    </w:p>
    <w:p w14:paraId="3498B14A" w14:textId="77777777" w:rsidR="00522997" w:rsidRPr="00026EC1" w:rsidRDefault="00522997" w:rsidP="00522997">
      <w:pPr>
        <w:pStyle w:val="ListParagraph"/>
        <w:tabs>
          <w:tab w:val="left" w:pos="567"/>
        </w:tabs>
        <w:ind w:left="1211"/>
      </w:pPr>
    </w:p>
    <w:p w14:paraId="26C29873" w14:textId="1C3B4372" w:rsidR="008D50B4" w:rsidRPr="00893994" w:rsidRDefault="008D50B4" w:rsidP="00A64613">
      <w:pPr>
        <w:pStyle w:val="NUMRODECLAUSE"/>
        <w:keepNext w:val="0"/>
      </w:pPr>
      <w:r w:rsidRPr="00893994">
        <w:t>9</w:t>
      </w:r>
      <w:r w:rsidR="00984A6F">
        <w:noBreakHyphen/>
      </w:r>
      <w:r w:rsidRPr="00893994">
        <w:t>2.18</w:t>
      </w:r>
    </w:p>
    <w:p w14:paraId="125F2B9A" w14:textId="77777777" w:rsidR="008D50B4" w:rsidRPr="00026EC1" w:rsidRDefault="00275751" w:rsidP="00A64613">
      <w:pPr>
        <w:keepNext w:val="0"/>
        <w:tabs>
          <w:tab w:val="left" w:pos="567"/>
        </w:tabs>
        <w:ind w:left="567" w:hanging="567"/>
      </w:pPr>
      <w:r w:rsidRPr="00026EC1">
        <w:t>a)</w:t>
      </w:r>
      <w:r w:rsidRPr="00026EC1">
        <w:tab/>
      </w:r>
      <w:r w:rsidR="008D50B4" w:rsidRPr="00026EC1">
        <w:t>La sentence du tribunal d</w:t>
      </w:r>
      <w:r w:rsidR="004A41E4" w:rsidRPr="00026EC1">
        <w:t>’</w:t>
      </w:r>
      <w:r w:rsidR="008D50B4" w:rsidRPr="00026EC1">
        <w:t>arbitrage est motivée et signée.</w:t>
      </w:r>
    </w:p>
    <w:p w14:paraId="681872C8" w14:textId="77777777" w:rsidR="008D50B4" w:rsidRPr="00026EC1" w:rsidRDefault="008D50B4" w:rsidP="00A64613">
      <w:pPr>
        <w:keepNext w:val="0"/>
      </w:pPr>
    </w:p>
    <w:p w14:paraId="0CF85992" w14:textId="4376F969" w:rsidR="008D50B4" w:rsidRPr="00026EC1" w:rsidRDefault="00275751" w:rsidP="00A64613">
      <w:pPr>
        <w:keepNext w:val="0"/>
        <w:tabs>
          <w:tab w:val="left" w:pos="567"/>
        </w:tabs>
        <w:ind w:left="567" w:hanging="567"/>
      </w:pPr>
      <w:r w:rsidRPr="00026EC1">
        <w:t>b)</w:t>
      </w:r>
      <w:r w:rsidRPr="00026EC1">
        <w:tab/>
      </w:r>
      <w:r w:rsidR="008D50B4" w:rsidRPr="00026EC1">
        <w:t>L</w:t>
      </w:r>
      <w:r w:rsidR="004A41E4" w:rsidRPr="00026EC1">
        <w:t>’</w:t>
      </w:r>
      <w:r w:rsidR="008D50B4" w:rsidRPr="00026EC1">
        <w:t>arbitre dépose deux</w:t>
      </w:r>
      <w:r w:rsidR="00CF0829">
        <w:t> </w:t>
      </w:r>
      <w:r w:rsidR="008D50B4" w:rsidRPr="00026EC1">
        <w:t>(2) copies signées de la sentence au Greffe.</w:t>
      </w:r>
    </w:p>
    <w:p w14:paraId="2E90F3A2" w14:textId="77777777" w:rsidR="008D50B4" w:rsidRPr="00026EC1" w:rsidRDefault="008D50B4" w:rsidP="00A64613">
      <w:pPr>
        <w:keepNext w:val="0"/>
      </w:pPr>
    </w:p>
    <w:p w14:paraId="09DF4D2B" w14:textId="77777777" w:rsidR="008D50B4" w:rsidRPr="00026EC1" w:rsidRDefault="00275751" w:rsidP="00A64613">
      <w:pPr>
        <w:keepNext w:val="0"/>
        <w:tabs>
          <w:tab w:val="left" w:pos="567"/>
        </w:tabs>
        <w:ind w:left="567" w:hanging="567"/>
      </w:pPr>
      <w:r w:rsidRPr="00026EC1">
        <w:t>c)</w:t>
      </w:r>
      <w:r w:rsidRPr="00026EC1">
        <w:tab/>
      </w:r>
      <w:r w:rsidR="008D50B4" w:rsidRPr="00026EC1">
        <w:t>En tout temps, avant la sentence finale, un tribunal peut rendre toute décision intérimaire ou interlocutoire qu</w:t>
      </w:r>
      <w:r w:rsidR="004A41E4" w:rsidRPr="00026EC1">
        <w:t>’</w:t>
      </w:r>
      <w:r w:rsidR="008D50B4" w:rsidRPr="00026EC1">
        <w:t>il croit juste et utile.</w:t>
      </w:r>
    </w:p>
    <w:p w14:paraId="56A030C1" w14:textId="77777777" w:rsidR="008D50B4" w:rsidRPr="00026EC1" w:rsidRDefault="008D50B4" w:rsidP="00A64613">
      <w:pPr>
        <w:keepNext w:val="0"/>
      </w:pPr>
    </w:p>
    <w:p w14:paraId="5A7B368D" w14:textId="77777777" w:rsidR="008D50B4" w:rsidRPr="00026EC1" w:rsidRDefault="00275751" w:rsidP="00A64613">
      <w:pPr>
        <w:keepNext w:val="0"/>
        <w:tabs>
          <w:tab w:val="left" w:pos="567"/>
        </w:tabs>
        <w:ind w:left="567" w:hanging="567"/>
      </w:pPr>
      <w:r w:rsidRPr="00026EC1">
        <w:t>d)</w:t>
      </w:r>
      <w:r w:rsidRPr="00026EC1">
        <w:tab/>
      </w:r>
      <w:r w:rsidR="008D50B4" w:rsidRPr="00026EC1">
        <w:t>La sentence du tribunal lie les parties et est exécutée dans les plus brefs délais possibles et avant l</w:t>
      </w:r>
      <w:r w:rsidR="004A41E4" w:rsidRPr="00026EC1">
        <w:t>’</w:t>
      </w:r>
      <w:r w:rsidR="008D50B4" w:rsidRPr="00026EC1">
        <w:t>expiration du délai prévu à cette sentence, s</w:t>
      </w:r>
      <w:r w:rsidR="004A41E4" w:rsidRPr="00026EC1">
        <w:t>’</w:t>
      </w:r>
      <w:r w:rsidR="008D50B4" w:rsidRPr="00026EC1">
        <w:t>il en est.</w:t>
      </w:r>
    </w:p>
    <w:p w14:paraId="43E8A247" w14:textId="77777777" w:rsidR="008D50B4" w:rsidRPr="00026EC1" w:rsidRDefault="008D50B4" w:rsidP="00A64613">
      <w:pPr>
        <w:keepNext w:val="0"/>
      </w:pPr>
    </w:p>
    <w:p w14:paraId="4EA65C94" w14:textId="4AC027B4" w:rsidR="008D50B4" w:rsidRPr="00893994" w:rsidRDefault="008D50B4" w:rsidP="00A64613">
      <w:pPr>
        <w:pStyle w:val="NUMRODECLAUSE"/>
        <w:keepNext w:val="0"/>
      </w:pPr>
      <w:bookmarkStart w:id="930" w:name="_Hlk147139033"/>
      <w:r w:rsidRPr="00893994">
        <w:t>9</w:t>
      </w:r>
      <w:r w:rsidR="00984A6F">
        <w:noBreakHyphen/>
      </w:r>
      <w:r w:rsidRPr="00893994">
        <w:t>2.19</w:t>
      </w:r>
    </w:p>
    <w:p w14:paraId="5F3A6AFC" w14:textId="49D3E91C" w:rsidR="008D50B4" w:rsidRPr="00026EC1" w:rsidRDefault="008D50B4" w:rsidP="00A64613">
      <w:pPr>
        <w:keepNext w:val="0"/>
      </w:pPr>
      <w:r w:rsidRPr="00026EC1">
        <w:t>En tout temps, avant que le tribunal d</w:t>
      </w:r>
      <w:r w:rsidR="004A41E4" w:rsidRPr="00026EC1">
        <w:t>’</w:t>
      </w:r>
      <w:r w:rsidRPr="00026EC1">
        <w:t>arbitrage ne déclare avoir reçu, de la part des représentantes ou représentants des parties, l</w:t>
      </w:r>
      <w:r w:rsidR="004A41E4" w:rsidRPr="00026EC1">
        <w:t>’</w:t>
      </w:r>
      <w:r w:rsidRPr="00026EC1">
        <w:t>affirmation que leur preuve est close, la FNEEQ (CSN), la Fédération des cégeps et le Ministère peuvent intervenir et faire au tribunal les représentations qu</w:t>
      </w:r>
      <w:r w:rsidR="004A41E4" w:rsidRPr="00026EC1">
        <w:t>’</w:t>
      </w:r>
      <w:r w:rsidRPr="00026EC1">
        <w:t>elles ou i</w:t>
      </w:r>
      <w:r w:rsidRPr="00DB1BD9">
        <w:t>l</w:t>
      </w:r>
      <w:r w:rsidRPr="00026EC1">
        <w:t xml:space="preserve"> jugent appropriées et pertinentes.</w:t>
      </w:r>
    </w:p>
    <w:bookmarkEnd w:id="930"/>
    <w:p w14:paraId="5F2741DA" w14:textId="77777777" w:rsidR="008D50B4" w:rsidRPr="00026EC1" w:rsidRDefault="008D50B4" w:rsidP="00A64613">
      <w:pPr>
        <w:keepNext w:val="0"/>
      </w:pPr>
    </w:p>
    <w:p w14:paraId="00162F27" w14:textId="31EF77D4" w:rsidR="008D50B4" w:rsidRPr="00893994" w:rsidRDefault="008D50B4" w:rsidP="00A64613">
      <w:pPr>
        <w:pStyle w:val="NUMRODECLAUSE"/>
        <w:keepNext w:val="0"/>
      </w:pPr>
      <w:r w:rsidRPr="00893994">
        <w:t>9</w:t>
      </w:r>
      <w:r w:rsidR="00984A6F">
        <w:noBreakHyphen/>
      </w:r>
      <w:r w:rsidRPr="00893994">
        <w:t>2.20</w:t>
      </w:r>
    </w:p>
    <w:p w14:paraId="6E1B8E4F" w14:textId="656DA7CD" w:rsidR="008D50B4" w:rsidRPr="00026EC1" w:rsidRDefault="008D50B4" w:rsidP="00A64613">
      <w:pPr>
        <w:keepNext w:val="0"/>
      </w:pPr>
      <w:r w:rsidRPr="00026EC1">
        <w:t>À la demande d</w:t>
      </w:r>
      <w:r w:rsidR="004A41E4" w:rsidRPr="00026EC1">
        <w:t>’</w:t>
      </w:r>
      <w:r w:rsidRPr="00026EC1">
        <w:t>une partie, le tribunal d</w:t>
      </w:r>
      <w:r w:rsidR="004A41E4" w:rsidRPr="00026EC1">
        <w:t>’</w:t>
      </w:r>
      <w:r w:rsidRPr="00026EC1">
        <w:t>arbitrage peut assigner une ou un témoin. Le bref d</w:t>
      </w:r>
      <w:r w:rsidR="004A41E4" w:rsidRPr="00026EC1">
        <w:t>’</w:t>
      </w:r>
      <w:r w:rsidRPr="00026EC1">
        <w:t>assignation doit être signifié au moins cinq</w:t>
      </w:r>
      <w:r w:rsidR="005E2E96">
        <w:t> </w:t>
      </w:r>
      <w:r w:rsidRPr="00026EC1">
        <w:t>(5) jours francs avant audience.</w:t>
      </w:r>
    </w:p>
    <w:p w14:paraId="322F4DCF" w14:textId="77777777" w:rsidR="008D50B4" w:rsidRPr="00026EC1" w:rsidRDefault="008D50B4" w:rsidP="00A64613">
      <w:pPr>
        <w:keepNext w:val="0"/>
      </w:pPr>
    </w:p>
    <w:p w14:paraId="5BC8CF0C" w14:textId="77777777" w:rsidR="008D50B4" w:rsidRDefault="008D50B4" w:rsidP="00A64613">
      <w:pPr>
        <w:keepNext w:val="0"/>
      </w:pPr>
      <w:r w:rsidRPr="00026EC1">
        <w:t>Les frais de déplacement et de séjour d</w:t>
      </w:r>
      <w:r w:rsidR="004A41E4" w:rsidRPr="00026EC1">
        <w:t>’</w:t>
      </w:r>
      <w:r w:rsidRPr="00026EC1">
        <w:t>une ou d</w:t>
      </w:r>
      <w:r w:rsidR="004A41E4" w:rsidRPr="00026EC1">
        <w:t>’</w:t>
      </w:r>
      <w:r w:rsidRPr="00026EC1">
        <w:t>un témoin de même que la taxe prévue à l</w:t>
      </w:r>
      <w:r w:rsidR="004A41E4" w:rsidRPr="00026EC1">
        <w:t>’</w:t>
      </w:r>
      <w:r w:rsidRPr="00026EC1">
        <w:t xml:space="preserve">article 100.6 du </w:t>
      </w:r>
      <w:r w:rsidRPr="00026EC1">
        <w:rPr>
          <w:iCs/>
        </w:rPr>
        <w:t xml:space="preserve">Code du </w:t>
      </w:r>
      <w:r w:rsidR="00127A45" w:rsidRPr="00026EC1">
        <w:rPr>
          <w:iCs/>
        </w:rPr>
        <w:t>t</w:t>
      </w:r>
      <w:r w:rsidRPr="00026EC1">
        <w:rPr>
          <w:iCs/>
        </w:rPr>
        <w:t>ravail</w:t>
      </w:r>
      <w:r w:rsidRPr="00026EC1">
        <w:t>, s</w:t>
      </w:r>
      <w:r w:rsidR="004A41E4" w:rsidRPr="00026EC1">
        <w:t>’</w:t>
      </w:r>
      <w:r w:rsidRPr="00026EC1">
        <w:t>il y a lieu, lui sont remboursés par la partie qui en a proposé l</w:t>
      </w:r>
      <w:r w:rsidR="004A41E4" w:rsidRPr="00026EC1">
        <w:t>’</w:t>
      </w:r>
      <w:r w:rsidRPr="00026EC1">
        <w:t>assignation.</w:t>
      </w:r>
    </w:p>
    <w:p w14:paraId="41BBD8D3" w14:textId="77777777" w:rsidR="002F6675" w:rsidRPr="00026EC1" w:rsidRDefault="002F6675" w:rsidP="00A64613">
      <w:pPr>
        <w:keepNext w:val="0"/>
      </w:pPr>
    </w:p>
    <w:p w14:paraId="5E79EBD8" w14:textId="5E91C7F3" w:rsidR="008D50B4" w:rsidRPr="00893994" w:rsidRDefault="008D50B4" w:rsidP="00A64613">
      <w:pPr>
        <w:pStyle w:val="NUMRODECLAUSE"/>
        <w:keepNext w:val="0"/>
      </w:pPr>
      <w:r w:rsidRPr="00893994">
        <w:t>9</w:t>
      </w:r>
      <w:r w:rsidR="00984A6F">
        <w:noBreakHyphen/>
      </w:r>
      <w:r w:rsidRPr="00893994">
        <w:t>2.21</w:t>
      </w:r>
    </w:p>
    <w:p w14:paraId="0659AB78" w14:textId="77777777" w:rsidR="008D50B4" w:rsidRPr="00026EC1" w:rsidRDefault="008D50B4" w:rsidP="00A64613">
      <w:pPr>
        <w:keepNext w:val="0"/>
      </w:pPr>
      <w:r w:rsidRPr="00026EC1">
        <w:t>Une partie peut exiger les services d</w:t>
      </w:r>
      <w:r w:rsidR="004A41E4" w:rsidRPr="00026EC1">
        <w:t>’</w:t>
      </w:r>
      <w:r w:rsidRPr="00026EC1">
        <w:t>une ou d</w:t>
      </w:r>
      <w:r w:rsidR="004A41E4" w:rsidRPr="00026EC1">
        <w:t>’</w:t>
      </w:r>
      <w:r w:rsidRPr="00026EC1">
        <w:t>un sténographe officiel; elle peut aussi exiger l</w:t>
      </w:r>
      <w:r w:rsidR="004A41E4" w:rsidRPr="00026EC1">
        <w:t>’</w:t>
      </w:r>
      <w:r w:rsidRPr="00026EC1">
        <w:t>enregistrement des audiences du tribunal d</w:t>
      </w:r>
      <w:r w:rsidR="004A41E4" w:rsidRPr="00026EC1">
        <w:t>’</w:t>
      </w:r>
      <w:r w:rsidRPr="00026EC1">
        <w:t>arbitrage sur bande magnétique ou autrement. Les frais et honoraires qui découlent de cette demande sont à la charge de la partie qui l</w:t>
      </w:r>
      <w:r w:rsidR="004A41E4" w:rsidRPr="00026EC1">
        <w:t>’</w:t>
      </w:r>
      <w:r w:rsidRPr="00026EC1">
        <w:t>a formulée.</w:t>
      </w:r>
    </w:p>
    <w:p w14:paraId="3913C095" w14:textId="77777777" w:rsidR="008D50B4" w:rsidRPr="00026EC1" w:rsidRDefault="008D50B4" w:rsidP="00A64613">
      <w:pPr>
        <w:keepNext w:val="0"/>
      </w:pPr>
    </w:p>
    <w:p w14:paraId="45CFF17D" w14:textId="11C08C31" w:rsidR="00DF66AE" w:rsidRDefault="008D50B4" w:rsidP="00A64613">
      <w:pPr>
        <w:keepNext w:val="0"/>
      </w:pPr>
      <w:r w:rsidRPr="00026EC1">
        <w:t>Une copie de la transcription des notes sténographiques officielles et de l</w:t>
      </w:r>
      <w:r w:rsidR="004A41E4" w:rsidRPr="00026EC1">
        <w:t>’</w:t>
      </w:r>
      <w:r w:rsidRPr="00026EC1">
        <w:t>enregistrement, selon le cas, est transmise au tribunal et à l</w:t>
      </w:r>
      <w:r w:rsidR="004A41E4" w:rsidRPr="00026EC1">
        <w:t>’</w:t>
      </w:r>
      <w:r w:rsidRPr="00026EC1">
        <w:t>autre partie aux frais de la partie qui a exigé ces services.</w:t>
      </w:r>
    </w:p>
    <w:p w14:paraId="22CEE99A" w14:textId="6FD49773" w:rsidR="00DF66AE" w:rsidRDefault="00DF66AE">
      <w:pPr>
        <w:keepNext w:val="0"/>
        <w:suppressAutoHyphens w:val="0"/>
        <w:jc w:val="left"/>
      </w:pPr>
    </w:p>
    <w:p w14:paraId="55702EB0" w14:textId="2909FA0F" w:rsidR="008D50B4" w:rsidRPr="00026EC1" w:rsidRDefault="008D50B4" w:rsidP="00A64613">
      <w:pPr>
        <w:pStyle w:val="NUMRODECLAUSE"/>
        <w:keepNext w:val="0"/>
      </w:pPr>
      <w:r w:rsidRPr="00026EC1">
        <w:t>9</w:t>
      </w:r>
      <w:r w:rsidR="00984A6F">
        <w:noBreakHyphen/>
      </w:r>
      <w:r w:rsidRPr="00026EC1">
        <w:t>2.22</w:t>
      </w:r>
    </w:p>
    <w:p w14:paraId="4BBBED74" w14:textId="7B8B409D" w:rsidR="008D50B4" w:rsidRDefault="008D50B4" w:rsidP="00A64613">
      <w:pPr>
        <w:keepNext w:val="0"/>
        <w:rPr>
          <w:bCs/>
        </w:rPr>
      </w:pPr>
      <w:r w:rsidRPr="00026EC1">
        <w:rPr>
          <w:bCs/>
        </w:rPr>
        <w:t>Les frais et honoraires de l</w:t>
      </w:r>
      <w:r w:rsidR="004A41E4" w:rsidRPr="00026EC1">
        <w:rPr>
          <w:bCs/>
        </w:rPr>
        <w:t>’</w:t>
      </w:r>
      <w:r w:rsidRPr="00026EC1">
        <w:rPr>
          <w:bCs/>
        </w:rPr>
        <w:t>arbitre sont assumés par la partie qui a soumis le grief si celui</w:t>
      </w:r>
      <w:r w:rsidR="00984A6F">
        <w:rPr>
          <w:bCs/>
        </w:rPr>
        <w:noBreakHyphen/>
      </w:r>
      <w:r w:rsidRPr="00026EC1">
        <w:rPr>
          <w:bCs/>
        </w:rPr>
        <w:t>ci est rejeté. Les frais et honoraires de l</w:t>
      </w:r>
      <w:r w:rsidR="004A41E4" w:rsidRPr="00026EC1">
        <w:rPr>
          <w:bCs/>
        </w:rPr>
        <w:t>’</w:t>
      </w:r>
      <w:r w:rsidRPr="00026EC1">
        <w:rPr>
          <w:bCs/>
        </w:rPr>
        <w:t>arbitre sont assumés par la partie à qui le grief a été soumis si celui</w:t>
      </w:r>
      <w:r w:rsidR="00984A6F">
        <w:rPr>
          <w:bCs/>
        </w:rPr>
        <w:noBreakHyphen/>
      </w:r>
      <w:r w:rsidRPr="00026EC1">
        <w:rPr>
          <w:bCs/>
        </w:rPr>
        <w:t>ci est accueilli. Toutefois, dans le cas d</w:t>
      </w:r>
      <w:r w:rsidR="004A41E4" w:rsidRPr="00026EC1">
        <w:rPr>
          <w:bCs/>
        </w:rPr>
        <w:t>’</w:t>
      </w:r>
      <w:r w:rsidRPr="00026EC1">
        <w:rPr>
          <w:bCs/>
        </w:rPr>
        <w:t>un grief relatif à un congédiement disciplinaire, les frais et honoraires de l</w:t>
      </w:r>
      <w:r w:rsidR="004A41E4" w:rsidRPr="00026EC1">
        <w:rPr>
          <w:bCs/>
        </w:rPr>
        <w:t>’</w:t>
      </w:r>
      <w:r w:rsidRPr="00026EC1">
        <w:rPr>
          <w:bCs/>
        </w:rPr>
        <w:t>arbitre sont à la charge du Ministère.</w:t>
      </w:r>
    </w:p>
    <w:p w14:paraId="74E4B3B5" w14:textId="77777777" w:rsidR="00937FF3" w:rsidRPr="00026EC1" w:rsidRDefault="00937FF3" w:rsidP="00A64613">
      <w:pPr>
        <w:keepNext w:val="0"/>
        <w:rPr>
          <w:bCs/>
        </w:rPr>
      </w:pPr>
    </w:p>
    <w:p w14:paraId="7A5BE882" w14:textId="77777777" w:rsidR="008D50B4" w:rsidRPr="00026EC1" w:rsidRDefault="008D50B4" w:rsidP="00A64613">
      <w:pPr>
        <w:keepNext w:val="0"/>
        <w:rPr>
          <w:bCs/>
        </w:rPr>
      </w:pPr>
      <w:r w:rsidRPr="00026EC1">
        <w:rPr>
          <w:bCs/>
        </w:rPr>
        <w:t>Dans tous les autres cas, les frais et honoraires de l</w:t>
      </w:r>
      <w:r w:rsidR="004A41E4" w:rsidRPr="00026EC1">
        <w:rPr>
          <w:bCs/>
        </w:rPr>
        <w:t>’</w:t>
      </w:r>
      <w:r w:rsidRPr="00026EC1">
        <w:rPr>
          <w:bCs/>
        </w:rPr>
        <w:t>arbitre sont assumés à parts égales.</w:t>
      </w:r>
    </w:p>
    <w:p w14:paraId="32F3AC34" w14:textId="77777777" w:rsidR="008D50B4" w:rsidRPr="00026EC1" w:rsidRDefault="008D50B4" w:rsidP="00A64613">
      <w:pPr>
        <w:keepNext w:val="0"/>
        <w:rPr>
          <w:bCs/>
        </w:rPr>
      </w:pPr>
    </w:p>
    <w:p w14:paraId="49220CCC" w14:textId="18BD3FE7" w:rsidR="008D50B4" w:rsidRDefault="008D50B4" w:rsidP="00A64613">
      <w:pPr>
        <w:keepNext w:val="0"/>
        <w:rPr>
          <w:bCs/>
        </w:rPr>
      </w:pPr>
      <w:r w:rsidRPr="00026EC1">
        <w:rPr>
          <w:bCs/>
        </w:rPr>
        <w:t>Cependant, dans le cas d</w:t>
      </w:r>
      <w:r w:rsidR="004A41E4" w:rsidRPr="00026EC1">
        <w:rPr>
          <w:bCs/>
        </w:rPr>
        <w:t>’</w:t>
      </w:r>
      <w:r w:rsidRPr="00026EC1">
        <w:rPr>
          <w:bCs/>
        </w:rPr>
        <w:t>un grief soumis avant le 1</w:t>
      </w:r>
      <w:r w:rsidRPr="00026EC1">
        <w:rPr>
          <w:bCs/>
          <w:vertAlign w:val="superscript"/>
        </w:rPr>
        <w:t>er</w:t>
      </w:r>
      <w:r w:rsidR="005E2E96">
        <w:rPr>
          <w:bCs/>
        </w:rPr>
        <w:t> </w:t>
      </w:r>
      <w:r w:rsidRPr="00026EC1">
        <w:rPr>
          <w:bCs/>
        </w:rPr>
        <w:t>février</w:t>
      </w:r>
      <w:r w:rsidR="005E2E96">
        <w:rPr>
          <w:bCs/>
        </w:rPr>
        <w:t> </w:t>
      </w:r>
      <w:r w:rsidRPr="00026EC1">
        <w:rPr>
          <w:bCs/>
        </w:rPr>
        <w:t>2006 conformément aux dispositions et selon les délais prévus à une convention collective ou à un décret, les frais et honoraires de l</w:t>
      </w:r>
      <w:r w:rsidR="004A41E4" w:rsidRPr="00026EC1">
        <w:rPr>
          <w:bCs/>
        </w:rPr>
        <w:t>’</w:t>
      </w:r>
      <w:r w:rsidRPr="00026EC1">
        <w:rPr>
          <w:bCs/>
        </w:rPr>
        <w:t>arbitre sont réglés suivant les dispositions de cette convention collective ou de ce décret.</w:t>
      </w:r>
    </w:p>
    <w:p w14:paraId="07646850" w14:textId="77777777" w:rsidR="00974A48" w:rsidRPr="00026EC1" w:rsidRDefault="00974A48" w:rsidP="00A64613">
      <w:pPr>
        <w:keepNext w:val="0"/>
        <w:rPr>
          <w:bCs/>
        </w:rPr>
      </w:pPr>
    </w:p>
    <w:p w14:paraId="712547C7" w14:textId="479DDAF8" w:rsidR="008D50B4" w:rsidRPr="00026EC1" w:rsidRDefault="008D50B4" w:rsidP="00A64613">
      <w:pPr>
        <w:keepNext w:val="0"/>
      </w:pPr>
      <w:r w:rsidRPr="00026EC1">
        <w:t>Les honoraires ne sont versés qu</w:t>
      </w:r>
      <w:r w:rsidR="004A41E4" w:rsidRPr="00026EC1">
        <w:t>’</w:t>
      </w:r>
      <w:r w:rsidRPr="00026EC1">
        <w:t>après dépôt au Greffe de deux</w:t>
      </w:r>
      <w:r w:rsidR="00CF0829">
        <w:t> </w:t>
      </w:r>
      <w:r w:rsidRPr="00026EC1">
        <w:t>(2) copies signées de la sentence.</w:t>
      </w:r>
    </w:p>
    <w:p w14:paraId="3E3FA151" w14:textId="77777777" w:rsidR="008D50B4" w:rsidRPr="00026EC1" w:rsidRDefault="008D50B4" w:rsidP="00A64613">
      <w:pPr>
        <w:keepNext w:val="0"/>
      </w:pPr>
    </w:p>
    <w:p w14:paraId="2A1C7C5D" w14:textId="708A5175" w:rsidR="008D50B4" w:rsidRPr="00026EC1" w:rsidRDefault="008D50B4" w:rsidP="00A64613">
      <w:pPr>
        <w:pStyle w:val="NUMRODECLAUSE"/>
        <w:keepNext w:val="0"/>
      </w:pPr>
      <w:r w:rsidRPr="00026EC1">
        <w:t>9</w:t>
      </w:r>
      <w:r w:rsidR="00984A6F">
        <w:noBreakHyphen/>
      </w:r>
      <w:r w:rsidRPr="00026EC1">
        <w:t>2.23</w:t>
      </w:r>
    </w:p>
    <w:p w14:paraId="21DBD0C2" w14:textId="77777777" w:rsidR="008D50B4" w:rsidRPr="00026EC1" w:rsidRDefault="008D50B4" w:rsidP="00A64613">
      <w:pPr>
        <w:keepNext w:val="0"/>
      </w:pPr>
      <w:r w:rsidRPr="00026EC1">
        <w:t>Les assesseures et assesseurs sont rémunérés et remboursés de leurs dépenses par la partie qu</w:t>
      </w:r>
      <w:r w:rsidR="004A41E4" w:rsidRPr="00026EC1">
        <w:t>’</w:t>
      </w:r>
      <w:r w:rsidRPr="00026EC1">
        <w:t>elles ou ils représentent.</w:t>
      </w:r>
    </w:p>
    <w:p w14:paraId="08E45535" w14:textId="77777777" w:rsidR="008D50B4" w:rsidRPr="00026EC1" w:rsidRDefault="008D50B4" w:rsidP="00A64613">
      <w:pPr>
        <w:keepNext w:val="0"/>
      </w:pPr>
    </w:p>
    <w:p w14:paraId="3AA5849B" w14:textId="666017E0" w:rsidR="008D50B4" w:rsidRPr="00026EC1" w:rsidRDefault="008D50B4" w:rsidP="00A64613">
      <w:pPr>
        <w:pStyle w:val="NUMRODECLAUSE"/>
        <w:keepNext w:val="0"/>
      </w:pPr>
      <w:r w:rsidRPr="00026EC1">
        <w:t>9</w:t>
      </w:r>
      <w:r w:rsidR="00984A6F">
        <w:noBreakHyphen/>
      </w:r>
      <w:r w:rsidRPr="00026EC1">
        <w:t>2.24</w:t>
      </w:r>
    </w:p>
    <w:p w14:paraId="7ADD0A8B" w14:textId="77777777" w:rsidR="008D50B4" w:rsidRPr="00026EC1" w:rsidRDefault="008D50B4" w:rsidP="00A64613">
      <w:pPr>
        <w:keepNext w:val="0"/>
      </w:pPr>
      <w:r w:rsidRPr="00026EC1">
        <w:t>Les frais du Greffe et les salaires du personnel du Greffe sont à la charge du Ministère.</w:t>
      </w:r>
    </w:p>
    <w:p w14:paraId="0CEA6757" w14:textId="77777777" w:rsidR="008D50B4" w:rsidRPr="00026EC1" w:rsidRDefault="008D50B4" w:rsidP="00A64613">
      <w:pPr>
        <w:keepNext w:val="0"/>
      </w:pPr>
    </w:p>
    <w:p w14:paraId="178B3D5D" w14:textId="5E996B9A" w:rsidR="008D50B4" w:rsidRPr="00026EC1" w:rsidRDefault="008D50B4" w:rsidP="00A64613">
      <w:pPr>
        <w:pStyle w:val="NUMRODECLAUSE"/>
        <w:keepNext w:val="0"/>
      </w:pPr>
      <w:r w:rsidRPr="00026EC1">
        <w:t>9</w:t>
      </w:r>
      <w:r w:rsidR="00984A6F">
        <w:noBreakHyphen/>
      </w:r>
      <w:r w:rsidRPr="00026EC1">
        <w:t>2.25</w:t>
      </w:r>
    </w:p>
    <w:p w14:paraId="53BDDA92" w14:textId="77777777" w:rsidR="008D50B4" w:rsidRPr="00026EC1" w:rsidRDefault="008D50B4" w:rsidP="00A64613">
      <w:pPr>
        <w:keepNext w:val="0"/>
      </w:pPr>
      <w:r w:rsidRPr="00026EC1">
        <w:t>Les séances des tribunaux d</w:t>
      </w:r>
      <w:r w:rsidR="004A41E4" w:rsidRPr="00026EC1">
        <w:t>’</w:t>
      </w:r>
      <w:r w:rsidRPr="00026EC1">
        <w:t>arbitrage se tiennent dans les locaux du Collège à moins d</w:t>
      </w:r>
      <w:r w:rsidR="004A41E4" w:rsidRPr="00026EC1">
        <w:t>’</w:t>
      </w:r>
      <w:r w:rsidRPr="00026EC1">
        <w:t>entente entre les parties.</w:t>
      </w:r>
    </w:p>
    <w:p w14:paraId="3576FF50" w14:textId="77777777" w:rsidR="005C01E7" w:rsidRPr="00026EC1" w:rsidRDefault="005C01E7" w:rsidP="00A64613">
      <w:pPr>
        <w:keepNext w:val="0"/>
      </w:pPr>
    </w:p>
    <w:p w14:paraId="312D6599" w14:textId="2E3E5125" w:rsidR="008D50B4" w:rsidRPr="00026EC1" w:rsidRDefault="008D50B4" w:rsidP="00A64613">
      <w:pPr>
        <w:pStyle w:val="NUMRODECLAUSE"/>
        <w:keepNext w:val="0"/>
      </w:pPr>
      <w:r w:rsidRPr="00026EC1">
        <w:t>9</w:t>
      </w:r>
      <w:r w:rsidR="00984A6F">
        <w:noBreakHyphen/>
      </w:r>
      <w:r w:rsidRPr="00026EC1">
        <w:t>2.26</w:t>
      </w:r>
    </w:p>
    <w:p w14:paraId="359F67A3" w14:textId="77777777" w:rsidR="008D50B4" w:rsidRPr="00026EC1" w:rsidRDefault="008D50B4" w:rsidP="00A64613">
      <w:pPr>
        <w:keepNext w:val="0"/>
      </w:pPr>
      <w:r w:rsidRPr="00026EC1">
        <w:t>L</w:t>
      </w:r>
      <w:r w:rsidR="004A41E4" w:rsidRPr="00026EC1">
        <w:t>’</w:t>
      </w:r>
      <w:r w:rsidRPr="00026EC1">
        <w:t>arbitre communique ou autrement signifie tout ordre ou document émanant du tribunal d</w:t>
      </w:r>
      <w:r w:rsidR="004A41E4" w:rsidRPr="00026EC1">
        <w:t>’</w:t>
      </w:r>
      <w:r w:rsidRPr="00026EC1">
        <w:t>arbitrage ou des parties en cause.</w:t>
      </w:r>
    </w:p>
    <w:p w14:paraId="3F57B5E0" w14:textId="77777777" w:rsidR="008D50B4" w:rsidRPr="00026EC1" w:rsidRDefault="008D50B4" w:rsidP="00A64613">
      <w:pPr>
        <w:keepNext w:val="0"/>
        <w:rPr>
          <w:strike/>
        </w:rPr>
      </w:pPr>
    </w:p>
    <w:p w14:paraId="22E92E2A" w14:textId="6C1CFEB6" w:rsidR="008D50B4" w:rsidRPr="00026EC1" w:rsidRDefault="008D50B4" w:rsidP="00A64613">
      <w:pPr>
        <w:pStyle w:val="NUMRODECLAUSE"/>
        <w:keepNext w:val="0"/>
      </w:pPr>
      <w:r w:rsidRPr="00026EC1">
        <w:t>9</w:t>
      </w:r>
      <w:r w:rsidR="00984A6F">
        <w:noBreakHyphen/>
      </w:r>
      <w:r w:rsidRPr="00026EC1">
        <w:t>2.27</w:t>
      </w:r>
      <w:r w:rsidRPr="00026EC1">
        <w:tab/>
      </w:r>
      <w:r w:rsidRPr="00AF0DD1">
        <w:rPr>
          <w:u w:val="single"/>
        </w:rPr>
        <w:t>Arbitrage accéléré avec procureur</w:t>
      </w:r>
    </w:p>
    <w:p w14:paraId="669CC84A" w14:textId="77777777" w:rsidR="008D50B4" w:rsidRPr="00026EC1" w:rsidRDefault="008D50B4" w:rsidP="00A64613">
      <w:pPr>
        <w:keepNext w:val="0"/>
      </w:pPr>
    </w:p>
    <w:p w14:paraId="27BCA037" w14:textId="77777777" w:rsidR="008D50B4" w:rsidRPr="00026EC1" w:rsidRDefault="00275751" w:rsidP="00A64613">
      <w:pPr>
        <w:keepNext w:val="0"/>
        <w:tabs>
          <w:tab w:val="left" w:pos="567"/>
        </w:tabs>
        <w:ind w:left="567" w:hanging="567"/>
        <w:rPr>
          <w:u w:val="single"/>
        </w:rPr>
      </w:pPr>
      <w:r w:rsidRPr="00026EC1">
        <w:t>a)</w:t>
      </w:r>
      <w:r w:rsidRPr="00026EC1">
        <w:tab/>
      </w:r>
      <w:r w:rsidR="008D50B4" w:rsidRPr="00026EC1">
        <w:rPr>
          <w:u w:val="single"/>
        </w:rPr>
        <w:t>Griefs admissibles</w:t>
      </w:r>
    </w:p>
    <w:p w14:paraId="0A5B35F3" w14:textId="24E54BA6" w:rsidR="008D50B4" w:rsidRPr="00026EC1" w:rsidRDefault="008D50B4" w:rsidP="00A64613">
      <w:pPr>
        <w:pStyle w:val="Texte1cm"/>
        <w:keepNext w:val="0"/>
      </w:pPr>
      <w:r w:rsidRPr="00026EC1">
        <w:t>Selon les modalités prévues à la clause 9</w:t>
      </w:r>
      <w:r w:rsidR="00984A6F">
        <w:noBreakHyphen/>
      </w:r>
      <w:r w:rsidRPr="00026EC1">
        <w:t>2.05, les griefs</w:t>
      </w:r>
      <w:r w:rsidRPr="00026EC1">
        <w:rPr>
          <w:bCs/>
        </w:rPr>
        <w:t xml:space="preserve"> portant </w:t>
      </w:r>
      <w:r w:rsidRPr="00026EC1">
        <w:t xml:space="preserve">sur les articles suivants et les </w:t>
      </w:r>
      <w:r w:rsidR="00974A48">
        <w:t>a</w:t>
      </w:r>
      <w:r w:rsidRPr="00026EC1">
        <w:t>nnexes pertinentes, s</w:t>
      </w:r>
      <w:r w:rsidR="004A41E4" w:rsidRPr="00026EC1">
        <w:t>’</w:t>
      </w:r>
      <w:r w:rsidRPr="00026EC1">
        <w:t>il y a lieu</w:t>
      </w:r>
      <w:r w:rsidRPr="00026EC1">
        <w:rPr>
          <w:bCs/>
        </w:rPr>
        <w:t>, sont entendus selon le mode d</w:t>
      </w:r>
      <w:r w:rsidR="004A41E4" w:rsidRPr="00026EC1">
        <w:rPr>
          <w:bCs/>
        </w:rPr>
        <w:t>’</w:t>
      </w:r>
      <w:r w:rsidRPr="00026EC1">
        <w:rPr>
          <w:bCs/>
        </w:rPr>
        <w:t>arbitrage accéléré avec procureur</w:t>
      </w:r>
      <w:r w:rsidR="00D8581B">
        <w:t> :</w:t>
      </w:r>
    </w:p>
    <w:p w14:paraId="4A77137D" w14:textId="77777777" w:rsidR="009C715D" w:rsidRPr="00026EC1" w:rsidRDefault="009C715D" w:rsidP="00A64613">
      <w:pPr>
        <w:keepNext w:val="0"/>
      </w:pPr>
    </w:p>
    <w:p w14:paraId="55338DA2" w14:textId="5792E184"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activités syndicales (3</w:t>
      </w:r>
      <w:r w:rsidR="00984A6F">
        <w:noBreakHyphen/>
      </w:r>
      <w:r w:rsidR="008D50B4" w:rsidRPr="00026EC1">
        <w:t>1.00)</w:t>
      </w:r>
    </w:p>
    <w:p w14:paraId="35CD56EB" w14:textId="5E9ACC15"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droits syndicaux (3</w:t>
      </w:r>
      <w:r w:rsidR="00984A6F">
        <w:rPr>
          <w:bCs/>
        </w:rPr>
        <w:noBreakHyphen/>
      </w:r>
      <w:r w:rsidR="008D50B4" w:rsidRPr="00026EC1">
        <w:rPr>
          <w:bCs/>
        </w:rPr>
        <w:t>2.00)</w:t>
      </w:r>
    </w:p>
    <w:p w14:paraId="218C51C3" w14:textId="14FFAFFC"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cotisations syndicales (3</w:t>
      </w:r>
      <w:r w:rsidR="00984A6F">
        <w:rPr>
          <w:bCs/>
        </w:rPr>
        <w:noBreakHyphen/>
      </w:r>
      <w:r w:rsidR="008D50B4" w:rsidRPr="00026EC1">
        <w:rPr>
          <w:bCs/>
        </w:rPr>
        <w:t>3.00)</w:t>
      </w:r>
    </w:p>
    <w:p w14:paraId="1F2957E5" w14:textId="4AC42814"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information (4</w:t>
      </w:r>
      <w:r w:rsidR="00984A6F">
        <w:rPr>
          <w:bCs/>
        </w:rPr>
        <w:noBreakHyphen/>
      </w:r>
      <w:r w:rsidR="008D50B4" w:rsidRPr="00026EC1">
        <w:rPr>
          <w:bCs/>
        </w:rPr>
        <w:t>2.00)</w:t>
      </w:r>
    </w:p>
    <w:p w14:paraId="101DAC8F" w14:textId="2674A76A"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comité de relations de travail (4</w:t>
      </w:r>
      <w:r w:rsidR="00984A6F">
        <w:noBreakHyphen/>
      </w:r>
      <w:r w:rsidR="008D50B4" w:rsidRPr="00026EC1">
        <w:t>3.00)</w:t>
      </w:r>
    </w:p>
    <w:p w14:paraId="5D719E8C" w14:textId="20C7E4DA"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sélection des enseignantes et enseignants réguliers (4</w:t>
      </w:r>
      <w:r w:rsidR="00984A6F">
        <w:noBreakHyphen/>
      </w:r>
      <w:r w:rsidR="008D50B4" w:rsidRPr="00026EC1">
        <w:t>4.00)</w:t>
      </w:r>
    </w:p>
    <w:p w14:paraId="6ADC4E54" w14:textId="27878C5C"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commission pédagogique (4</w:t>
      </w:r>
      <w:r w:rsidR="00984A6F">
        <w:noBreakHyphen/>
      </w:r>
      <w:r w:rsidR="008D50B4" w:rsidRPr="00026EC1">
        <w:t>5.00)</w:t>
      </w:r>
    </w:p>
    <w:p w14:paraId="20B5D4D1" w14:textId="68B5D36A"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engagement (5</w:t>
      </w:r>
      <w:r w:rsidR="00984A6F">
        <w:noBreakHyphen/>
      </w:r>
      <w:r w:rsidR="008D50B4" w:rsidRPr="00026EC1">
        <w:t>1.00), sauf les clauses</w:t>
      </w:r>
      <w:r w:rsidR="000F2D2C" w:rsidRPr="00026EC1">
        <w:t> </w:t>
      </w:r>
      <w:r w:rsidR="008D50B4" w:rsidRPr="00026EC1">
        <w:t>5</w:t>
      </w:r>
      <w:r w:rsidR="00984A6F">
        <w:noBreakHyphen/>
      </w:r>
      <w:r w:rsidR="008D50B4" w:rsidRPr="00026EC1">
        <w:t>1.07 et 5</w:t>
      </w:r>
      <w:r w:rsidR="00984A6F">
        <w:noBreakHyphen/>
      </w:r>
      <w:r w:rsidR="008D50B4" w:rsidRPr="00026EC1">
        <w:t>1.08</w:t>
      </w:r>
    </w:p>
    <w:p w14:paraId="7AB229C4" w14:textId="1D154FCD"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permanence (5</w:t>
      </w:r>
      <w:r w:rsidR="00984A6F">
        <w:noBreakHyphen/>
      </w:r>
      <w:r w:rsidR="008D50B4" w:rsidRPr="00026EC1">
        <w:t>2.00)</w:t>
      </w:r>
    </w:p>
    <w:p w14:paraId="1FF94E39" w14:textId="72620E58"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ancienneté (5</w:t>
      </w:r>
      <w:r w:rsidR="00984A6F">
        <w:noBreakHyphen/>
      </w:r>
      <w:r w:rsidR="008D50B4" w:rsidRPr="00026EC1">
        <w:t>3.00)</w:t>
      </w:r>
    </w:p>
    <w:p w14:paraId="3A3AAAA9" w14:textId="7CC4AF3F"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affectation d</w:t>
      </w:r>
      <w:r w:rsidR="004A41E4" w:rsidRPr="00026EC1">
        <w:t>’</w:t>
      </w:r>
      <w:r w:rsidR="008D50B4" w:rsidRPr="00026EC1">
        <w:t>une enseignante ou d</w:t>
      </w:r>
      <w:r w:rsidR="004A41E4" w:rsidRPr="00026EC1">
        <w:t>’</w:t>
      </w:r>
      <w:r w:rsidR="008D50B4" w:rsidRPr="00026EC1">
        <w:t>un enseignant mis en disponibilité (alinéas</w:t>
      </w:r>
      <w:r w:rsidR="000F2D2C" w:rsidRPr="00026EC1">
        <w:t> </w:t>
      </w:r>
      <w:r w:rsidR="008D50B4" w:rsidRPr="00026EC1">
        <w:t>I) et J) de la clause 5</w:t>
      </w:r>
      <w:r w:rsidR="00984A6F">
        <w:noBreakHyphen/>
      </w:r>
      <w:r w:rsidR="008D50B4" w:rsidRPr="00026EC1">
        <w:t>4.07)</w:t>
      </w:r>
    </w:p>
    <w:p w14:paraId="77B1F9F2" w14:textId="03A657CB"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frais de déménagement</w:t>
      </w:r>
      <w:r w:rsidR="00FB017A" w:rsidRPr="00026EC1">
        <w:rPr>
          <w:bCs/>
        </w:rPr>
        <w:t xml:space="preserve"> </w:t>
      </w:r>
      <w:r w:rsidR="008D50B4" w:rsidRPr="00026EC1">
        <w:rPr>
          <w:bCs/>
        </w:rPr>
        <w:t>(5</w:t>
      </w:r>
      <w:r w:rsidR="00984A6F">
        <w:rPr>
          <w:bCs/>
        </w:rPr>
        <w:noBreakHyphen/>
      </w:r>
      <w:r w:rsidR="008D50B4" w:rsidRPr="00026EC1">
        <w:rPr>
          <w:bCs/>
        </w:rPr>
        <w:t>4.13)</w:t>
      </w:r>
    </w:p>
    <w:p w14:paraId="01CEAFFB" w14:textId="755A0C70"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congé de préretraite (5</w:t>
      </w:r>
      <w:r w:rsidR="00984A6F">
        <w:noBreakHyphen/>
      </w:r>
      <w:r w:rsidR="008D50B4" w:rsidRPr="00026EC1">
        <w:t>4.15)</w:t>
      </w:r>
    </w:p>
    <w:p w14:paraId="7141D56C" w14:textId="6FAB19C1"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charge publique (5</w:t>
      </w:r>
      <w:r w:rsidR="00984A6F">
        <w:rPr>
          <w:bCs/>
        </w:rPr>
        <w:noBreakHyphen/>
      </w:r>
      <w:r w:rsidR="008D50B4" w:rsidRPr="00026EC1">
        <w:rPr>
          <w:bCs/>
        </w:rPr>
        <w:t>7.00)</w:t>
      </w:r>
    </w:p>
    <w:p w14:paraId="05A574A5" w14:textId="53E02385"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jours fériés (5</w:t>
      </w:r>
      <w:r w:rsidR="00984A6F">
        <w:rPr>
          <w:bCs/>
        </w:rPr>
        <w:noBreakHyphen/>
      </w:r>
      <w:r w:rsidR="008D50B4" w:rsidRPr="00026EC1">
        <w:rPr>
          <w:bCs/>
        </w:rPr>
        <w:t>8.00)</w:t>
      </w:r>
    </w:p>
    <w:p w14:paraId="3778916B" w14:textId="2E556CA9"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congés spéciaux (5</w:t>
      </w:r>
      <w:r w:rsidR="00984A6F">
        <w:rPr>
          <w:bCs/>
        </w:rPr>
        <w:noBreakHyphen/>
      </w:r>
      <w:r w:rsidR="008D50B4" w:rsidRPr="00026EC1">
        <w:rPr>
          <w:bCs/>
        </w:rPr>
        <w:t>9.00)</w:t>
      </w:r>
      <w:r w:rsidR="00127A45" w:rsidRPr="00026EC1">
        <w:rPr>
          <w:bCs/>
        </w:rPr>
        <w:t>, sauf les clauses 5</w:t>
      </w:r>
      <w:r w:rsidR="00984A6F">
        <w:rPr>
          <w:bCs/>
        </w:rPr>
        <w:noBreakHyphen/>
      </w:r>
      <w:r w:rsidR="00127A45" w:rsidRPr="00026EC1">
        <w:rPr>
          <w:bCs/>
        </w:rPr>
        <w:t>9.06 et 5</w:t>
      </w:r>
      <w:r w:rsidR="00984A6F">
        <w:rPr>
          <w:bCs/>
        </w:rPr>
        <w:noBreakHyphen/>
      </w:r>
      <w:r w:rsidR="00127A45" w:rsidRPr="00026EC1">
        <w:rPr>
          <w:bCs/>
        </w:rPr>
        <w:t>9.07</w:t>
      </w:r>
    </w:p>
    <w:p w14:paraId="276F878B" w14:textId="23A48BB1"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échanges intercollèges (5</w:t>
      </w:r>
      <w:r w:rsidR="00984A6F">
        <w:rPr>
          <w:bCs/>
        </w:rPr>
        <w:noBreakHyphen/>
      </w:r>
      <w:r w:rsidR="008D50B4" w:rsidRPr="00026EC1">
        <w:rPr>
          <w:bCs/>
        </w:rPr>
        <w:t>10.00)</w:t>
      </w:r>
    </w:p>
    <w:p w14:paraId="7CAFB8E2" w14:textId="7B9E6330"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assignation provisoire (5</w:t>
      </w:r>
      <w:r w:rsidR="00984A6F">
        <w:noBreakHyphen/>
      </w:r>
      <w:r w:rsidR="008D50B4" w:rsidRPr="00026EC1">
        <w:t>11.00)</w:t>
      </w:r>
    </w:p>
    <w:p w14:paraId="7C54AAB0" w14:textId="4B3CB872"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congé à traitement différé ou anticipé (5</w:t>
      </w:r>
      <w:r w:rsidR="00984A6F">
        <w:noBreakHyphen/>
      </w:r>
      <w:r w:rsidR="008D50B4" w:rsidRPr="00026EC1">
        <w:t>12.00)</w:t>
      </w:r>
    </w:p>
    <w:p w14:paraId="5725140D" w14:textId="174D9F42"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échange avec une institution d</w:t>
      </w:r>
      <w:r w:rsidR="004A41E4" w:rsidRPr="00026EC1">
        <w:rPr>
          <w:bCs/>
        </w:rPr>
        <w:t>’</w:t>
      </w:r>
      <w:r w:rsidR="008D50B4" w:rsidRPr="00026EC1">
        <w:rPr>
          <w:bCs/>
        </w:rPr>
        <w:t>enseignements hors Québec (5</w:t>
      </w:r>
      <w:r w:rsidR="00984A6F">
        <w:rPr>
          <w:bCs/>
        </w:rPr>
        <w:noBreakHyphen/>
      </w:r>
      <w:r w:rsidR="008D50B4" w:rsidRPr="00026EC1">
        <w:rPr>
          <w:bCs/>
        </w:rPr>
        <w:t>13.00)</w:t>
      </w:r>
    </w:p>
    <w:p w14:paraId="447F2923" w14:textId="61455C93"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octroi et renouvellement des congés (5</w:t>
      </w:r>
      <w:r w:rsidR="00984A6F">
        <w:rPr>
          <w:bCs/>
        </w:rPr>
        <w:noBreakHyphen/>
      </w:r>
      <w:r w:rsidR="008D50B4" w:rsidRPr="00026EC1">
        <w:rPr>
          <w:bCs/>
        </w:rPr>
        <w:t>14.00, 5</w:t>
      </w:r>
      <w:r w:rsidR="00984A6F">
        <w:rPr>
          <w:bCs/>
        </w:rPr>
        <w:noBreakHyphen/>
      </w:r>
      <w:r w:rsidR="008D50B4" w:rsidRPr="00026EC1">
        <w:rPr>
          <w:bCs/>
        </w:rPr>
        <w:t>15.00, 5</w:t>
      </w:r>
      <w:r w:rsidR="00984A6F">
        <w:rPr>
          <w:bCs/>
        </w:rPr>
        <w:noBreakHyphen/>
      </w:r>
      <w:r w:rsidR="008D50B4" w:rsidRPr="00026EC1">
        <w:rPr>
          <w:bCs/>
        </w:rPr>
        <w:t>16.00, 5</w:t>
      </w:r>
      <w:r w:rsidR="00984A6F">
        <w:rPr>
          <w:bCs/>
        </w:rPr>
        <w:noBreakHyphen/>
      </w:r>
      <w:r w:rsidR="008D50B4" w:rsidRPr="00026EC1">
        <w:rPr>
          <w:bCs/>
        </w:rPr>
        <w:t>17.00, 7</w:t>
      </w:r>
      <w:r w:rsidR="00984A6F">
        <w:rPr>
          <w:bCs/>
        </w:rPr>
        <w:noBreakHyphen/>
      </w:r>
      <w:r w:rsidR="008D50B4" w:rsidRPr="00026EC1">
        <w:rPr>
          <w:bCs/>
        </w:rPr>
        <w:t>2.00 et 7</w:t>
      </w:r>
      <w:r w:rsidR="00984A6F">
        <w:rPr>
          <w:bCs/>
        </w:rPr>
        <w:noBreakHyphen/>
      </w:r>
      <w:r w:rsidR="008D50B4" w:rsidRPr="00026EC1">
        <w:rPr>
          <w:bCs/>
        </w:rPr>
        <w:t>3.00)</w:t>
      </w:r>
    </w:p>
    <w:p w14:paraId="5D5A0B90" w14:textId="5D6C2AFA"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responsabilité civile (5</w:t>
      </w:r>
      <w:r w:rsidR="00984A6F">
        <w:noBreakHyphen/>
      </w:r>
      <w:r w:rsidR="008D50B4" w:rsidRPr="00026EC1">
        <w:t>19.00)</w:t>
      </w:r>
    </w:p>
    <w:p w14:paraId="627A8A12" w14:textId="6E48A503"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vêtements et équipements spéciaux (5</w:t>
      </w:r>
      <w:r w:rsidR="00984A6F">
        <w:rPr>
          <w:bCs/>
        </w:rPr>
        <w:noBreakHyphen/>
      </w:r>
      <w:r w:rsidR="008D50B4" w:rsidRPr="00026EC1">
        <w:rPr>
          <w:bCs/>
        </w:rPr>
        <w:t>20.05 à 5</w:t>
      </w:r>
      <w:r w:rsidR="00984A6F">
        <w:rPr>
          <w:bCs/>
        </w:rPr>
        <w:noBreakHyphen/>
      </w:r>
      <w:r w:rsidR="008D50B4" w:rsidRPr="00026EC1">
        <w:rPr>
          <w:bCs/>
        </w:rPr>
        <w:t>20.07)</w:t>
      </w:r>
    </w:p>
    <w:p w14:paraId="120FD0EC" w14:textId="3FD67ACA"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calcul de l</w:t>
      </w:r>
      <w:r w:rsidR="004A41E4" w:rsidRPr="00026EC1">
        <w:rPr>
          <w:bCs/>
        </w:rPr>
        <w:t>’</w:t>
      </w:r>
      <w:r w:rsidR="008D50B4" w:rsidRPr="00026EC1">
        <w:rPr>
          <w:bCs/>
        </w:rPr>
        <w:t>expérience (6</w:t>
      </w:r>
      <w:r w:rsidR="00984A6F">
        <w:rPr>
          <w:bCs/>
        </w:rPr>
        <w:noBreakHyphen/>
      </w:r>
      <w:r w:rsidR="008D50B4" w:rsidRPr="00026EC1">
        <w:rPr>
          <w:bCs/>
        </w:rPr>
        <w:t>2.00)</w:t>
      </w:r>
    </w:p>
    <w:p w14:paraId="03CEB54B" w14:textId="5D756D84"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frais de déplacement (6</w:t>
      </w:r>
      <w:r w:rsidR="00984A6F">
        <w:rPr>
          <w:bCs/>
        </w:rPr>
        <w:noBreakHyphen/>
      </w:r>
      <w:r w:rsidR="008D50B4" w:rsidRPr="00026EC1">
        <w:rPr>
          <w:bCs/>
        </w:rPr>
        <w:t>7.00)</w:t>
      </w:r>
    </w:p>
    <w:p w14:paraId="2C0DC3A2" w14:textId="353D45C5"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gestion locale du perfectionnement (7</w:t>
      </w:r>
      <w:r w:rsidR="00984A6F">
        <w:rPr>
          <w:bCs/>
        </w:rPr>
        <w:noBreakHyphen/>
      </w:r>
      <w:r w:rsidR="008D50B4" w:rsidRPr="00026EC1">
        <w:rPr>
          <w:bCs/>
        </w:rPr>
        <w:t>1.03 à 7</w:t>
      </w:r>
      <w:r w:rsidR="00984A6F">
        <w:rPr>
          <w:bCs/>
        </w:rPr>
        <w:noBreakHyphen/>
      </w:r>
      <w:r w:rsidR="008D50B4" w:rsidRPr="00026EC1">
        <w:rPr>
          <w:bCs/>
        </w:rPr>
        <w:t>1.05)</w:t>
      </w:r>
    </w:p>
    <w:p w14:paraId="2716D8F9" w14:textId="4579708B"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vacances (8</w:t>
      </w:r>
      <w:r w:rsidR="00984A6F">
        <w:noBreakHyphen/>
      </w:r>
      <w:r w:rsidR="008D50B4" w:rsidRPr="00026EC1">
        <w:t>2.00)</w:t>
      </w:r>
    </w:p>
    <w:p w14:paraId="328E87FF" w14:textId="3935E64C"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disponibilité et horaire (8</w:t>
      </w:r>
      <w:r w:rsidR="00984A6F">
        <w:rPr>
          <w:bCs/>
        </w:rPr>
        <w:noBreakHyphen/>
      </w:r>
      <w:r w:rsidR="008D50B4" w:rsidRPr="00026EC1">
        <w:rPr>
          <w:bCs/>
        </w:rPr>
        <w:t>3.00)</w:t>
      </w:r>
    </w:p>
    <w:p w14:paraId="21041CAD" w14:textId="58E3B16F"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calcul de la charge de travail (8</w:t>
      </w:r>
      <w:r w:rsidR="00984A6F">
        <w:noBreakHyphen/>
      </w:r>
      <w:r w:rsidR="008D50B4" w:rsidRPr="00026EC1">
        <w:t>6.00)</w:t>
      </w:r>
    </w:p>
    <w:p w14:paraId="35CCE6ED" w14:textId="4CBA72DB"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t>formation continue (8</w:t>
      </w:r>
      <w:r w:rsidR="00984A6F">
        <w:noBreakHyphen/>
      </w:r>
      <w:r w:rsidR="008D50B4" w:rsidRPr="00026EC1">
        <w:t>7.00)</w:t>
      </w:r>
    </w:p>
    <w:p w14:paraId="10C3CFEB" w14:textId="33FC033A" w:rsidR="008D50B4" w:rsidRPr="00026EC1" w:rsidRDefault="00275751" w:rsidP="00A64613">
      <w:pPr>
        <w:keepNext w:val="0"/>
        <w:tabs>
          <w:tab w:val="left" w:pos="1134"/>
        </w:tabs>
        <w:ind w:left="1134" w:hanging="567"/>
        <w:rPr>
          <w:bCs/>
        </w:rPr>
      </w:pPr>
      <w:r w:rsidRPr="00026EC1">
        <w:rPr>
          <w:rFonts w:ascii="Symbol" w:hAnsi="Symbol"/>
          <w:bCs/>
        </w:rPr>
        <w:t></w:t>
      </w:r>
      <w:r w:rsidRPr="00026EC1">
        <w:rPr>
          <w:rFonts w:ascii="Symbol" w:hAnsi="Symbol"/>
          <w:bCs/>
        </w:rPr>
        <w:tab/>
      </w:r>
      <w:r w:rsidR="008D50B4" w:rsidRPr="00026EC1">
        <w:rPr>
          <w:bCs/>
        </w:rPr>
        <w:t>erreur de rémunération (9</w:t>
      </w:r>
      <w:r w:rsidR="00984A6F">
        <w:rPr>
          <w:bCs/>
        </w:rPr>
        <w:noBreakHyphen/>
      </w:r>
      <w:r w:rsidR="008D50B4" w:rsidRPr="00026EC1">
        <w:rPr>
          <w:bCs/>
        </w:rPr>
        <w:t>2.12)</w:t>
      </w:r>
    </w:p>
    <w:p w14:paraId="430C183A" w14:textId="438083DC" w:rsidR="008D50B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D50B4" w:rsidRPr="00026EC1">
        <w:rPr>
          <w:bCs/>
        </w:rPr>
        <w:t>droits non conventionnés (10</w:t>
      </w:r>
      <w:r w:rsidR="00984A6F">
        <w:rPr>
          <w:bCs/>
        </w:rPr>
        <w:noBreakHyphen/>
      </w:r>
      <w:r w:rsidR="008D50B4" w:rsidRPr="00026EC1">
        <w:rPr>
          <w:bCs/>
        </w:rPr>
        <w:t>1.07 et 10</w:t>
      </w:r>
      <w:r w:rsidR="00984A6F">
        <w:rPr>
          <w:bCs/>
        </w:rPr>
        <w:noBreakHyphen/>
      </w:r>
      <w:r w:rsidR="008D50B4" w:rsidRPr="00026EC1">
        <w:rPr>
          <w:bCs/>
        </w:rPr>
        <w:t>1</w:t>
      </w:r>
      <w:r w:rsidR="008D50B4" w:rsidRPr="00593A48">
        <w:rPr>
          <w:bCs/>
        </w:rPr>
        <w:t>.</w:t>
      </w:r>
      <w:r w:rsidR="00247E12" w:rsidRPr="00593A48">
        <w:rPr>
          <w:bCs/>
        </w:rPr>
        <w:t>12</w:t>
      </w:r>
      <w:r w:rsidR="008D50B4" w:rsidRPr="00593A48">
        <w:rPr>
          <w:bCs/>
        </w:rPr>
        <w:t>)</w:t>
      </w:r>
    </w:p>
    <w:p w14:paraId="420A4934" w14:textId="77777777" w:rsidR="005C01E7" w:rsidRPr="00026EC1" w:rsidRDefault="005C01E7" w:rsidP="00A64613">
      <w:pPr>
        <w:keepNext w:val="0"/>
      </w:pPr>
    </w:p>
    <w:p w14:paraId="1FA72B75" w14:textId="77777777" w:rsidR="008D50B4" w:rsidRDefault="008D50B4" w:rsidP="00A64613">
      <w:pPr>
        <w:pStyle w:val="Texte1cm"/>
        <w:keepNext w:val="0"/>
        <w:rPr>
          <w:bCs/>
        </w:rPr>
      </w:pPr>
      <w:r w:rsidRPr="00026EC1">
        <w:rPr>
          <w:bCs/>
        </w:rPr>
        <w:t>Par entente, les parties locales peuvent recourir au mode d</w:t>
      </w:r>
      <w:r w:rsidR="004A41E4" w:rsidRPr="00026EC1">
        <w:rPr>
          <w:bCs/>
        </w:rPr>
        <w:t>’</w:t>
      </w:r>
      <w:r w:rsidRPr="00026EC1">
        <w:rPr>
          <w:bCs/>
        </w:rPr>
        <w:t xml:space="preserve">arbitrage accéléré avec procureur pour tout autre grief. </w:t>
      </w:r>
    </w:p>
    <w:p w14:paraId="6B3AD9A1" w14:textId="77777777" w:rsidR="002F6675" w:rsidRPr="00026EC1" w:rsidRDefault="002F6675" w:rsidP="00A64613">
      <w:pPr>
        <w:pStyle w:val="Texte1cm"/>
        <w:keepNext w:val="0"/>
        <w:rPr>
          <w:strike/>
        </w:rPr>
      </w:pPr>
    </w:p>
    <w:p w14:paraId="4BBBE32F" w14:textId="77777777" w:rsidR="008D50B4" w:rsidRPr="00026EC1" w:rsidRDefault="008D50B4" w:rsidP="00A64613">
      <w:pPr>
        <w:pStyle w:val="Texte1cm"/>
        <w:keepNext w:val="0"/>
        <w:rPr>
          <w:bCs/>
        </w:rPr>
      </w:pPr>
      <w:r w:rsidRPr="00026EC1">
        <w:rPr>
          <w:bCs/>
        </w:rPr>
        <w:t>En tout temps, avant que le tribunal d</w:t>
      </w:r>
      <w:r w:rsidR="004A41E4" w:rsidRPr="00026EC1">
        <w:rPr>
          <w:bCs/>
        </w:rPr>
        <w:t>’</w:t>
      </w:r>
      <w:r w:rsidRPr="00026EC1">
        <w:rPr>
          <w:bCs/>
        </w:rPr>
        <w:t>arbitrage ne déclare avoir reçu, de la part des représentantes ou représentants des parties, l</w:t>
      </w:r>
      <w:r w:rsidR="004A41E4" w:rsidRPr="00026EC1">
        <w:rPr>
          <w:bCs/>
        </w:rPr>
        <w:t>’</w:t>
      </w:r>
      <w:r w:rsidRPr="00026EC1">
        <w:rPr>
          <w:bCs/>
        </w:rPr>
        <w:t>affirmation que leur preuve est close, le grief peut être déféré au mode d</w:t>
      </w:r>
      <w:r w:rsidR="004A41E4" w:rsidRPr="00026EC1">
        <w:rPr>
          <w:bCs/>
        </w:rPr>
        <w:t>’</w:t>
      </w:r>
      <w:r w:rsidRPr="00026EC1">
        <w:rPr>
          <w:bCs/>
        </w:rPr>
        <w:t xml:space="preserve">arbitrage régulier, par entente entre les parties locales. </w:t>
      </w:r>
    </w:p>
    <w:p w14:paraId="020758EC" w14:textId="77777777" w:rsidR="008D50B4" w:rsidRPr="00026EC1" w:rsidRDefault="008D50B4" w:rsidP="00A64613">
      <w:pPr>
        <w:keepNext w:val="0"/>
      </w:pPr>
    </w:p>
    <w:p w14:paraId="6EEAF6DA" w14:textId="3D139E9A" w:rsidR="000A7AF8" w:rsidRDefault="008D50B4" w:rsidP="00A64613">
      <w:pPr>
        <w:pStyle w:val="Texte1cm"/>
        <w:keepNext w:val="0"/>
        <w:rPr>
          <w:bCs/>
        </w:rPr>
      </w:pPr>
      <w:r w:rsidRPr="00026EC1">
        <w:rPr>
          <w:bCs/>
        </w:rPr>
        <w:t>De même, de plein droit ou à la demande de l</w:t>
      </w:r>
      <w:r w:rsidR="004A41E4" w:rsidRPr="00026EC1">
        <w:rPr>
          <w:bCs/>
        </w:rPr>
        <w:t>’</w:t>
      </w:r>
      <w:r w:rsidRPr="00026EC1">
        <w:rPr>
          <w:bCs/>
        </w:rPr>
        <w:t>une des parties, le tribunal peut déférer le grief au mode d</w:t>
      </w:r>
      <w:r w:rsidR="004A41E4" w:rsidRPr="00026EC1">
        <w:rPr>
          <w:bCs/>
        </w:rPr>
        <w:t>’</w:t>
      </w:r>
      <w:r w:rsidRPr="00026EC1">
        <w:rPr>
          <w:bCs/>
        </w:rPr>
        <w:t>arbitrage régulier.</w:t>
      </w:r>
    </w:p>
    <w:p w14:paraId="34B85A3B" w14:textId="77777777" w:rsidR="000A7AF8" w:rsidRDefault="000A7AF8">
      <w:pPr>
        <w:keepNext w:val="0"/>
        <w:suppressAutoHyphens w:val="0"/>
        <w:jc w:val="left"/>
        <w:rPr>
          <w:bCs/>
        </w:rPr>
      </w:pPr>
      <w:r>
        <w:rPr>
          <w:bCs/>
        </w:rPr>
        <w:br w:type="page"/>
      </w:r>
    </w:p>
    <w:p w14:paraId="56126610" w14:textId="77777777" w:rsidR="008D50B4" w:rsidRPr="00026EC1" w:rsidRDefault="00275751" w:rsidP="00A64613">
      <w:pPr>
        <w:keepNext w:val="0"/>
        <w:tabs>
          <w:tab w:val="left" w:pos="567"/>
        </w:tabs>
        <w:ind w:left="567" w:hanging="567"/>
        <w:rPr>
          <w:u w:val="single"/>
        </w:rPr>
      </w:pPr>
      <w:r w:rsidRPr="00026EC1">
        <w:t>b)</w:t>
      </w:r>
      <w:r w:rsidRPr="00026EC1">
        <w:tab/>
      </w:r>
      <w:r w:rsidR="008D50B4" w:rsidRPr="00026EC1">
        <w:rPr>
          <w:u w:val="single"/>
        </w:rPr>
        <w:t>Durée de l</w:t>
      </w:r>
      <w:r w:rsidR="004A41E4" w:rsidRPr="00026EC1">
        <w:rPr>
          <w:u w:val="single"/>
        </w:rPr>
        <w:t>’</w:t>
      </w:r>
      <w:r w:rsidR="008D50B4" w:rsidRPr="00026EC1">
        <w:rPr>
          <w:u w:val="single"/>
        </w:rPr>
        <w:t>audience</w:t>
      </w:r>
    </w:p>
    <w:p w14:paraId="1AE25047" w14:textId="54483CA4" w:rsidR="008D50B4" w:rsidRPr="00026EC1" w:rsidRDefault="008D50B4" w:rsidP="00A64613">
      <w:pPr>
        <w:pStyle w:val="Texte1cm"/>
        <w:keepNext w:val="0"/>
      </w:pPr>
      <w:r w:rsidRPr="00026EC1">
        <w:t>Les parties peuvent recourir à ce mode d</w:t>
      </w:r>
      <w:r w:rsidR="004A41E4" w:rsidRPr="00026EC1">
        <w:t>’</w:t>
      </w:r>
      <w:r w:rsidRPr="00026EC1">
        <w:t>arbitrage lorsque la durée prévue de l</w:t>
      </w:r>
      <w:r w:rsidR="004A41E4" w:rsidRPr="00026EC1">
        <w:t>’</w:t>
      </w:r>
      <w:r w:rsidRPr="00026EC1">
        <w:t>audience n</w:t>
      </w:r>
      <w:r w:rsidR="004A41E4" w:rsidRPr="00026EC1">
        <w:t>’</w:t>
      </w:r>
      <w:r w:rsidRPr="00026EC1">
        <w:t>excède pas une</w:t>
      </w:r>
      <w:r w:rsidR="00CF0829">
        <w:t> </w:t>
      </w:r>
      <w:r w:rsidRPr="00026EC1">
        <w:t>(1) journée.</w:t>
      </w:r>
    </w:p>
    <w:p w14:paraId="772E6CCF" w14:textId="77777777" w:rsidR="008D50B4" w:rsidRPr="00026EC1" w:rsidRDefault="008D50B4" w:rsidP="00A64613">
      <w:pPr>
        <w:keepNext w:val="0"/>
      </w:pPr>
    </w:p>
    <w:p w14:paraId="4B114A2B" w14:textId="77777777" w:rsidR="008D50B4" w:rsidRPr="00026EC1" w:rsidRDefault="00275751" w:rsidP="00A64613">
      <w:pPr>
        <w:keepNext w:val="0"/>
        <w:tabs>
          <w:tab w:val="left" w:pos="567"/>
        </w:tabs>
        <w:ind w:left="567" w:hanging="567"/>
        <w:rPr>
          <w:u w:val="single"/>
        </w:rPr>
      </w:pPr>
      <w:r w:rsidRPr="00026EC1">
        <w:t>c)</w:t>
      </w:r>
      <w:r w:rsidRPr="00026EC1">
        <w:tab/>
      </w:r>
      <w:r w:rsidR="008D50B4" w:rsidRPr="00026EC1">
        <w:rPr>
          <w:u w:val="single"/>
        </w:rPr>
        <w:t>Sentence arbitrale</w:t>
      </w:r>
    </w:p>
    <w:p w14:paraId="71572EF5" w14:textId="57FEEA38" w:rsidR="008D50B4" w:rsidRPr="00026EC1" w:rsidRDefault="008D50B4" w:rsidP="00A64613">
      <w:pPr>
        <w:pStyle w:val="Texte1cm"/>
        <w:keepNext w:val="0"/>
      </w:pPr>
      <w:r w:rsidRPr="00026EC1">
        <w:t>L</w:t>
      </w:r>
      <w:r w:rsidR="004A41E4" w:rsidRPr="00026EC1">
        <w:t>’</w:t>
      </w:r>
      <w:r w:rsidRPr="00026EC1">
        <w:t>arbitre rend sa sentence et en fait parvenir une</w:t>
      </w:r>
      <w:r w:rsidR="00CF0829">
        <w:t> </w:t>
      </w:r>
      <w:r w:rsidRPr="00026EC1">
        <w:t>(1) copie aux parties dans un délai maximal de trente</w:t>
      </w:r>
      <w:r w:rsidR="00CF0829">
        <w:t> </w:t>
      </w:r>
      <w:r w:rsidRPr="00026EC1">
        <w:t>(30) jours de l</w:t>
      </w:r>
      <w:r w:rsidR="004A41E4" w:rsidRPr="00026EC1">
        <w:t>’</w:t>
      </w:r>
      <w:r w:rsidRPr="00026EC1">
        <w:t>audience du grief.</w:t>
      </w:r>
    </w:p>
    <w:p w14:paraId="38B156F4" w14:textId="54827823" w:rsidR="008D50B4" w:rsidRPr="00026EC1" w:rsidRDefault="008D50B4" w:rsidP="00A64613">
      <w:pPr>
        <w:pStyle w:val="Texte1cm"/>
        <w:keepNext w:val="0"/>
      </w:pPr>
      <w:r w:rsidRPr="00026EC1">
        <w:t>La sentence arbitrale, d</w:t>
      </w:r>
      <w:r w:rsidR="004A41E4" w:rsidRPr="00026EC1">
        <w:t>’</w:t>
      </w:r>
      <w:r w:rsidRPr="00026EC1">
        <w:t>une longueur maximale de dix</w:t>
      </w:r>
      <w:r w:rsidR="00CF0829">
        <w:t> </w:t>
      </w:r>
      <w:r w:rsidRPr="00026EC1">
        <w:t>(10) pages, comprend l</w:t>
      </w:r>
      <w:r w:rsidR="004A41E4" w:rsidRPr="00026EC1">
        <w:t>’</w:t>
      </w:r>
      <w:r w:rsidRPr="00026EC1">
        <w:t>exposé sommaire des faits, les points en litige, les motifs et la conclusion de l</w:t>
      </w:r>
      <w:r w:rsidR="004A41E4" w:rsidRPr="00026EC1">
        <w:t>’</w:t>
      </w:r>
      <w:r w:rsidRPr="00026EC1">
        <w:t>arbitre.</w:t>
      </w:r>
    </w:p>
    <w:p w14:paraId="0661A27D" w14:textId="77777777" w:rsidR="008D50B4" w:rsidRPr="00026EC1" w:rsidRDefault="008D50B4" w:rsidP="00A64613">
      <w:pPr>
        <w:keepNext w:val="0"/>
      </w:pPr>
    </w:p>
    <w:p w14:paraId="6AA352B3" w14:textId="67783B3B" w:rsidR="008D50B4" w:rsidRPr="00026EC1" w:rsidRDefault="008D50B4" w:rsidP="00A64613">
      <w:pPr>
        <w:pStyle w:val="NUMRODECLAUSE"/>
        <w:keepNext w:val="0"/>
      </w:pPr>
      <w:r w:rsidRPr="00026EC1">
        <w:t>9</w:t>
      </w:r>
      <w:r w:rsidR="00984A6F">
        <w:noBreakHyphen/>
      </w:r>
      <w:r w:rsidRPr="00026EC1">
        <w:t>2.28</w:t>
      </w:r>
    </w:p>
    <w:p w14:paraId="16A88D33" w14:textId="33F403E8" w:rsidR="008D50B4" w:rsidRPr="00026EC1" w:rsidRDefault="008D50B4" w:rsidP="00A64613">
      <w:pPr>
        <w:keepNext w:val="0"/>
      </w:pPr>
      <w:r w:rsidRPr="00026EC1">
        <w:t xml:space="preserve">Les dispositions particulières prévues </w:t>
      </w:r>
      <w:r w:rsidRPr="00026EC1">
        <w:rPr>
          <w:bCs/>
        </w:rPr>
        <w:t xml:space="preserve">à la </w:t>
      </w:r>
      <w:r w:rsidRPr="00026EC1">
        <w:t>clause</w:t>
      </w:r>
      <w:r w:rsidR="000F2D2C" w:rsidRPr="00026EC1">
        <w:t> </w:t>
      </w:r>
      <w:r w:rsidRPr="00026EC1">
        <w:t>9</w:t>
      </w:r>
      <w:r w:rsidR="00984A6F">
        <w:noBreakHyphen/>
      </w:r>
      <w:r w:rsidRPr="00026EC1">
        <w:t>2.27 prévalent sur toute autre clause</w:t>
      </w:r>
      <w:r w:rsidR="000F2D2C" w:rsidRPr="00026EC1">
        <w:t xml:space="preserve"> </w:t>
      </w:r>
      <w:r w:rsidRPr="00026EC1">
        <w:t>du présent article en cas d</w:t>
      </w:r>
      <w:r w:rsidR="004A41E4" w:rsidRPr="00026EC1">
        <w:t>’</w:t>
      </w:r>
      <w:r w:rsidRPr="00026EC1">
        <w:t>incompatibilité.</w:t>
      </w:r>
    </w:p>
    <w:p w14:paraId="5B3D8DC8" w14:textId="77777777" w:rsidR="00CF6703" w:rsidRPr="00026EC1" w:rsidRDefault="00CF6703" w:rsidP="00A64613">
      <w:pPr>
        <w:pStyle w:val="NUMRODECLAUSE"/>
        <w:keepNext w:val="0"/>
      </w:pPr>
    </w:p>
    <w:p w14:paraId="63750A98" w14:textId="3B4030B1" w:rsidR="008D50B4" w:rsidRPr="00026EC1" w:rsidRDefault="008D50B4" w:rsidP="00A64613">
      <w:pPr>
        <w:pStyle w:val="NUMRODECLAUSE"/>
        <w:keepNext w:val="0"/>
      </w:pPr>
      <w:r w:rsidRPr="00026EC1">
        <w:t>9</w:t>
      </w:r>
      <w:r w:rsidR="00984A6F">
        <w:noBreakHyphen/>
      </w:r>
      <w:r w:rsidRPr="00026EC1">
        <w:t>2.29</w:t>
      </w:r>
      <w:r w:rsidRPr="00026EC1">
        <w:tab/>
      </w:r>
      <w:r w:rsidRPr="00B262BE">
        <w:rPr>
          <w:u w:val="single"/>
        </w:rPr>
        <w:t>Médiation</w:t>
      </w:r>
    </w:p>
    <w:p w14:paraId="1C245A5D" w14:textId="59273D40" w:rsidR="008D50B4" w:rsidRDefault="008D50B4" w:rsidP="00A64613">
      <w:pPr>
        <w:keepNext w:val="0"/>
        <w:rPr>
          <w:bCs/>
        </w:rPr>
      </w:pPr>
      <w:r w:rsidRPr="00026EC1">
        <w:rPr>
          <w:bCs/>
        </w:rPr>
        <w:t>Le Collège et le Syndicat peuvent s</w:t>
      </w:r>
      <w:r w:rsidR="004A41E4" w:rsidRPr="00026EC1">
        <w:rPr>
          <w:bCs/>
        </w:rPr>
        <w:t>’</w:t>
      </w:r>
      <w:r w:rsidRPr="00026EC1">
        <w:rPr>
          <w:bCs/>
        </w:rPr>
        <w:t>entendre pour procéder à une médiation de tout grief selon les modalités qui suivent.</w:t>
      </w:r>
    </w:p>
    <w:p w14:paraId="51659358" w14:textId="77777777" w:rsidR="00DB1BD9" w:rsidRPr="00026EC1" w:rsidRDefault="00DB1BD9" w:rsidP="00A64613">
      <w:pPr>
        <w:keepNext w:val="0"/>
        <w:rPr>
          <w:bCs/>
        </w:rPr>
      </w:pPr>
    </w:p>
    <w:p w14:paraId="7E8AEAA5" w14:textId="094D8890" w:rsidR="008D50B4" w:rsidRPr="00026EC1" w:rsidRDefault="008D50B4" w:rsidP="00A64613">
      <w:pPr>
        <w:keepNext w:val="0"/>
        <w:rPr>
          <w:bCs/>
        </w:rPr>
      </w:pPr>
      <w:r w:rsidRPr="00026EC1">
        <w:rPr>
          <w:bCs/>
        </w:rPr>
        <w:t>Les parties locales expédient au Greffe un avis conjoint. Le Greffe propose aux parties le nom de trois</w:t>
      </w:r>
      <w:r w:rsidR="00CF0829">
        <w:rPr>
          <w:bCs/>
        </w:rPr>
        <w:t> </w:t>
      </w:r>
      <w:r w:rsidRPr="00026EC1">
        <w:rPr>
          <w:bCs/>
        </w:rPr>
        <w:t>(3) médiatrices ou médiateurs parmi la liste prévue à la clause</w:t>
      </w:r>
      <w:r w:rsidR="000F2D2C" w:rsidRPr="00026EC1">
        <w:rPr>
          <w:bCs/>
        </w:rPr>
        <w:t> </w:t>
      </w:r>
      <w:r w:rsidRPr="00026EC1">
        <w:rPr>
          <w:bCs/>
        </w:rPr>
        <w:t>9</w:t>
      </w:r>
      <w:r w:rsidR="00984A6F">
        <w:rPr>
          <w:bCs/>
        </w:rPr>
        <w:noBreakHyphen/>
      </w:r>
      <w:r w:rsidRPr="00026EC1">
        <w:rPr>
          <w:bCs/>
        </w:rPr>
        <w:t>2.30. Lorsque les parties s</w:t>
      </w:r>
      <w:r w:rsidR="004A41E4" w:rsidRPr="00026EC1">
        <w:rPr>
          <w:bCs/>
        </w:rPr>
        <w:t>’</w:t>
      </w:r>
      <w:r w:rsidRPr="00026EC1">
        <w:rPr>
          <w:bCs/>
        </w:rPr>
        <w:t>entendent sur le choix de la médiatrice ou du médiateur, elles en avisent le Greffe qui fixe dans les plus brefs délais la date de la première rencontre de médiation.</w:t>
      </w:r>
    </w:p>
    <w:p w14:paraId="3258B1F4" w14:textId="77777777" w:rsidR="008D50B4" w:rsidRPr="00026EC1" w:rsidRDefault="008D50B4" w:rsidP="00A64613">
      <w:pPr>
        <w:keepNext w:val="0"/>
        <w:rPr>
          <w:bCs/>
        </w:rPr>
      </w:pPr>
    </w:p>
    <w:p w14:paraId="0FAFBAC8" w14:textId="77777777" w:rsidR="008D50B4" w:rsidRPr="00026EC1" w:rsidRDefault="008D50B4" w:rsidP="00A64613">
      <w:pPr>
        <w:keepNext w:val="0"/>
        <w:rPr>
          <w:bCs/>
        </w:rPr>
      </w:pPr>
      <w:r w:rsidRPr="00026EC1">
        <w:rPr>
          <w:bCs/>
        </w:rPr>
        <w:t>Une partie avise d</w:t>
      </w:r>
      <w:r w:rsidR="004A41E4" w:rsidRPr="00026EC1">
        <w:rPr>
          <w:bCs/>
        </w:rPr>
        <w:t>’</w:t>
      </w:r>
      <w:r w:rsidRPr="00026EC1">
        <w:rPr>
          <w:bCs/>
        </w:rPr>
        <w:t>avance l</w:t>
      </w:r>
      <w:r w:rsidR="004A41E4" w:rsidRPr="00026EC1">
        <w:rPr>
          <w:bCs/>
        </w:rPr>
        <w:t>’</w:t>
      </w:r>
      <w:r w:rsidRPr="00026EC1">
        <w:rPr>
          <w:bCs/>
        </w:rPr>
        <w:t>autre partie si elle est représentée.</w:t>
      </w:r>
    </w:p>
    <w:p w14:paraId="639D35AA" w14:textId="77777777" w:rsidR="008D50B4" w:rsidRPr="00026EC1" w:rsidRDefault="008D50B4" w:rsidP="00A64613">
      <w:pPr>
        <w:keepNext w:val="0"/>
        <w:rPr>
          <w:bCs/>
        </w:rPr>
      </w:pPr>
    </w:p>
    <w:p w14:paraId="21209EA4" w14:textId="77777777" w:rsidR="008D50B4" w:rsidRPr="00026EC1" w:rsidRDefault="008D50B4" w:rsidP="00A64613">
      <w:pPr>
        <w:keepNext w:val="0"/>
        <w:rPr>
          <w:bCs/>
        </w:rPr>
      </w:pPr>
      <w:r w:rsidRPr="00026EC1">
        <w:rPr>
          <w:bCs/>
        </w:rPr>
        <w:t>La médiatrice ou le médiateur tente d</w:t>
      </w:r>
      <w:r w:rsidR="004A41E4" w:rsidRPr="00026EC1">
        <w:rPr>
          <w:bCs/>
        </w:rPr>
        <w:t>’</w:t>
      </w:r>
      <w:r w:rsidRPr="00026EC1">
        <w:rPr>
          <w:bCs/>
        </w:rPr>
        <w:t>amener les parties à un règlement. Si un règlement intervient, la médiatrice ou le médiateur en prend acte, le consigne par écrit et en dépose une copie au Greffe. Ce règlement lie les parties.</w:t>
      </w:r>
    </w:p>
    <w:p w14:paraId="7B72B1EC" w14:textId="77777777" w:rsidR="008D50B4" w:rsidRPr="00026EC1" w:rsidRDefault="008D50B4" w:rsidP="00A64613">
      <w:pPr>
        <w:keepNext w:val="0"/>
        <w:rPr>
          <w:bCs/>
        </w:rPr>
      </w:pPr>
    </w:p>
    <w:p w14:paraId="7A209B59" w14:textId="26843F61" w:rsidR="008D50B4" w:rsidRPr="00026EC1" w:rsidRDefault="008D50B4" w:rsidP="00A64613">
      <w:pPr>
        <w:keepNext w:val="0"/>
        <w:rPr>
          <w:rFonts w:cs="Arial"/>
          <w:szCs w:val="24"/>
        </w:rPr>
      </w:pPr>
      <w:r w:rsidRPr="00026EC1">
        <w:rPr>
          <w:bCs/>
        </w:rPr>
        <w:t>Le Greffe en dépose deux</w:t>
      </w:r>
      <w:r w:rsidR="00D932FB">
        <w:rPr>
          <w:bCs/>
        </w:rPr>
        <w:t> </w:t>
      </w:r>
      <w:r w:rsidRPr="00026EC1">
        <w:rPr>
          <w:bCs/>
        </w:rPr>
        <w:t>(2) copies</w:t>
      </w:r>
      <w:r w:rsidR="0002035D" w:rsidRPr="00026EC1">
        <w:rPr>
          <w:bCs/>
        </w:rPr>
        <w:t xml:space="preserve"> conformes au bureau </w:t>
      </w:r>
      <w:r w:rsidR="0002035D" w:rsidRPr="00026EC1">
        <w:rPr>
          <w:rFonts w:cs="Arial"/>
          <w:szCs w:val="24"/>
        </w:rPr>
        <w:t>du TAT.</w:t>
      </w:r>
    </w:p>
    <w:p w14:paraId="4FF4A5D5" w14:textId="77777777" w:rsidR="008D50B4" w:rsidRPr="00026EC1" w:rsidRDefault="008D50B4" w:rsidP="00A64613">
      <w:pPr>
        <w:keepNext w:val="0"/>
        <w:rPr>
          <w:bCs/>
        </w:rPr>
      </w:pPr>
    </w:p>
    <w:p w14:paraId="778AC9FF" w14:textId="77777777" w:rsidR="008D50B4" w:rsidRPr="00026EC1" w:rsidRDefault="008D50B4" w:rsidP="00A64613">
      <w:pPr>
        <w:keepNext w:val="0"/>
        <w:rPr>
          <w:bCs/>
        </w:rPr>
      </w:pPr>
      <w:r w:rsidRPr="00026EC1">
        <w:rPr>
          <w:bCs/>
        </w:rPr>
        <w:t>À défaut d</w:t>
      </w:r>
      <w:r w:rsidR="004A41E4" w:rsidRPr="00026EC1">
        <w:rPr>
          <w:bCs/>
        </w:rPr>
        <w:t>’</w:t>
      </w:r>
      <w:r w:rsidRPr="00026EC1">
        <w:rPr>
          <w:bCs/>
        </w:rPr>
        <w:t>un règlement, le grief est déféré à l</w:t>
      </w:r>
      <w:r w:rsidR="004A41E4" w:rsidRPr="00026EC1">
        <w:rPr>
          <w:bCs/>
        </w:rPr>
        <w:t>’</w:t>
      </w:r>
      <w:r w:rsidRPr="00026EC1">
        <w:rPr>
          <w:bCs/>
        </w:rPr>
        <w:t>arbitrage conformément aux stipulations de la convention collective.</w:t>
      </w:r>
    </w:p>
    <w:p w14:paraId="227431E0" w14:textId="77777777" w:rsidR="008D50B4" w:rsidRPr="00026EC1" w:rsidRDefault="008D50B4" w:rsidP="00A64613">
      <w:pPr>
        <w:keepNext w:val="0"/>
        <w:rPr>
          <w:bCs/>
        </w:rPr>
      </w:pPr>
    </w:p>
    <w:p w14:paraId="5EAA2A20" w14:textId="13450978" w:rsidR="008D50B4" w:rsidRPr="00026EC1" w:rsidRDefault="008D50B4" w:rsidP="00A64613">
      <w:pPr>
        <w:keepNext w:val="0"/>
        <w:rPr>
          <w:bCs/>
        </w:rPr>
      </w:pPr>
      <w:r w:rsidRPr="00026EC1">
        <w:rPr>
          <w:bCs/>
        </w:rPr>
        <w:t>La médiatrice ou le médiateur ne peut agir à titre d</w:t>
      </w:r>
      <w:r w:rsidR="004A41E4" w:rsidRPr="00026EC1">
        <w:rPr>
          <w:bCs/>
        </w:rPr>
        <w:t>’</w:t>
      </w:r>
      <w:r w:rsidRPr="00026EC1">
        <w:rPr>
          <w:bCs/>
        </w:rPr>
        <w:t>arbitre dans la poursuite de l</w:t>
      </w:r>
      <w:r w:rsidR="004A41E4" w:rsidRPr="00026EC1">
        <w:rPr>
          <w:bCs/>
        </w:rPr>
        <w:t>’</w:t>
      </w:r>
      <w:r w:rsidRPr="00026EC1">
        <w:rPr>
          <w:bCs/>
        </w:rPr>
        <w:t>arbitrage de grief qui n</w:t>
      </w:r>
      <w:r w:rsidR="004A41E4" w:rsidRPr="00026EC1">
        <w:rPr>
          <w:bCs/>
        </w:rPr>
        <w:t>’</w:t>
      </w:r>
      <w:r w:rsidRPr="00026EC1">
        <w:rPr>
          <w:bCs/>
        </w:rPr>
        <w:t>a pas fait l</w:t>
      </w:r>
      <w:r w:rsidR="004A41E4" w:rsidRPr="00026EC1">
        <w:rPr>
          <w:bCs/>
        </w:rPr>
        <w:t>’</w:t>
      </w:r>
      <w:r w:rsidRPr="00026EC1">
        <w:rPr>
          <w:bCs/>
        </w:rPr>
        <w:t>objet d</w:t>
      </w:r>
      <w:r w:rsidR="004A41E4" w:rsidRPr="00026EC1">
        <w:rPr>
          <w:bCs/>
        </w:rPr>
        <w:t>’</w:t>
      </w:r>
      <w:r w:rsidRPr="00026EC1">
        <w:rPr>
          <w:bCs/>
        </w:rPr>
        <w:t>un règlement, sauf par entente entre les parties convenue expressément et dans la mesure où le nom de la médiatrice ou du médiateur apparaît également à la liste des arbitres prévue à la clause</w:t>
      </w:r>
      <w:r w:rsidR="00FB017A" w:rsidRPr="00026EC1">
        <w:rPr>
          <w:bCs/>
        </w:rPr>
        <w:t> </w:t>
      </w:r>
      <w:r w:rsidRPr="00026EC1">
        <w:rPr>
          <w:bCs/>
        </w:rPr>
        <w:t>9</w:t>
      </w:r>
      <w:r w:rsidR="00984A6F">
        <w:rPr>
          <w:bCs/>
        </w:rPr>
        <w:noBreakHyphen/>
      </w:r>
      <w:r w:rsidRPr="00026EC1">
        <w:rPr>
          <w:bCs/>
        </w:rPr>
        <w:t>2.07.</w:t>
      </w:r>
    </w:p>
    <w:p w14:paraId="411EFFF7" w14:textId="77777777" w:rsidR="008D50B4" w:rsidRPr="00026EC1" w:rsidRDefault="008D50B4" w:rsidP="00A64613">
      <w:pPr>
        <w:keepNext w:val="0"/>
      </w:pPr>
    </w:p>
    <w:p w14:paraId="5D4E879C" w14:textId="7589D7F6" w:rsidR="000A7AF8" w:rsidRDefault="008D50B4" w:rsidP="00A64613">
      <w:pPr>
        <w:keepNext w:val="0"/>
        <w:rPr>
          <w:bCs/>
        </w:rPr>
      </w:pPr>
      <w:r w:rsidRPr="00026EC1">
        <w:rPr>
          <w:bCs/>
        </w:rPr>
        <w:t>Les honoraires et frais de la médiatrice ou du médiateur sont assumés à parts égales par les parties. Toutefois, dans le cas d</w:t>
      </w:r>
      <w:r w:rsidR="004A41E4" w:rsidRPr="00026EC1">
        <w:rPr>
          <w:bCs/>
        </w:rPr>
        <w:t>’</w:t>
      </w:r>
      <w:r w:rsidRPr="00026EC1">
        <w:rPr>
          <w:bCs/>
        </w:rPr>
        <w:t>un grief soumis avant le 1</w:t>
      </w:r>
      <w:r w:rsidRPr="00026EC1">
        <w:rPr>
          <w:bCs/>
          <w:vertAlign w:val="superscript"/>
        </w:rPr>
        <w:t>er</w:t>
      </w:r>
      <w:r w:rsidR="00B262BE">
        <w:rPr>
          <w:bCs/>
          <w:vertAlign w:val="superscript"/>
        </w:rPr>
        <w:t> </w:t>
      </w:r>
      <w:r w:rsidRPr="00026EC1">
        <w:rPr>
          <w:bCs/>
        </w:rPr>
        <w:t>février</w:t>
      </w:r>
      <w:r w:rsidR="00B262BE">
        <w:rPr>
          <w:bCs/>
        </w:rPr>
        <w:t> </w:t>
      </w:r>
      <w:r w:rsidRPr="00026EC1">
        <w:rPr>
          <w:bCs/>
        </w:rPr>
        <w:t>2006 conformément aux dispositions et selon les délais prévus à une convention collective ou à un décret, le partage des frais et honoraires de la médiatrice ou du médiateur est déterminé par les parties.</w:t>
      </w:r>
    </w:p>
    <w:p w14:paraId="442EEE87" w14:textId="77777777" w:rsidR="000A7AF8" w:rsidRDefault="000A7AF8">
      <w:pPr>
        <w:keepNext w:val="0"/>
        <w:suppressAutoHyphens w:val="0"/>
        <w:jc w:val="left"/>
        <w:rPr>
          <w:bCs/>
        </w:rPr>
      </w:pPr>
      <w:r>
        <w:rPr>
          <w:bCs/>
        </w:rPr>
        <w:br w:type="page"/>
      </w:r>
    </w:p>
    <w:p w14:paraId="28B5668E" w14:textId="52952D62" w:rsidR="008D50B4" w:rsidRPr="003303C0" w:rsidRDefault="008D50B4" w:rsidP="00A64613">
      <w:pPr>
        <w:pStyle w:val="NUMRODECLAUSE"/>
        <w:keepNext w:val="0"/>
      </w:pPr>
      <w:r w:rsidRPr="003303C0">
        <w:t>9</w:t>
      </w:r>
      <w:r w:rsidR="00984A6F">
        <w:noBreakHyphen/>
      </w:r>
      <w:r w:rsidRPr="003303C0">
        <w:t>2.30</w:t>
      </w:r>
    </w:p>
    <w:p w14:paraId="522C2B3A" w14:textId="03AED607" w:rsidR="008D50B4" w:rsidRPr="00026EC1" w:rsidRDefault="008D50B4" w:rsidP="00A64613">
      <w:pPr>
        <w:keepNext w:val="0"/>
        <w:rPr>
          <w:bCs/>
        </w:rPr>
      </w:pPr>
      <w:r w:rsidRPr="00026EC1">
        <w:rPr>
          <w:bCs/>
        </w:rPr>
        <w:t>Les griefs soumis à la médiation conformément aux présentes stipulations sont décidés par une</w:t>
      </w:r>
      <w:r w:rsidR="00B262BE">
        <w:rPr>
          <w:bCs/>
        </w:rPr>
        <w:t> </w:t>
      </w:r>
      <w:r w:rsidRPr="00026EC1">
        <w:rPr>
          <w:bCs/>
        </w:rPr>
        <w:t>(1) médiatrice ou un</w:t>
      </w:r>
      <w:r w:rsidR="00F51DAF">
        <w:rPr>
          <w:bCs/>
        </w:rPr>
        <w:t> </w:t>
      </w:r>
      <w:r w:rsidRPr="00026EC1">
        <w:rPr>
          <w:bCs/>
        </w:rPr>
        <w:t>(1) médiateur choisi parmi les personnes suivantes</w:t>
      </w:r>
      <w:r w:rsidR="00D8581B">
        <w:rPr>
          <w:bCs/>
        </w:rPr>
        <w:t> :</w:t>
      </w:r>
      <w:r w:rsidRPr="00026EC1">
        <w:rPr>
          <w:bCs/>
        </w:rPr>
        <w:t xml:space="preserve"> </w:t>
      </w:r>
    </w:p>
    <w:p w14:paraId="03834184" w14:textId="77777777" w:rsidR="008D50B4" w:rsidRPr="00026EC1" w:rsidRDefault="008D50B4" w:rsidP="00A64613">
      <w:pPr>
        <w:keepNext w:val="0"/>
      </w:pPr>
    </w:p>
    <w:tbl>
      <w:tblPr>
        <w:tblW w:w="0" w:type="auto"/>
        <w:tblInd w:w="567" w:type="dxa"/>
        <w:tblCellMar>
          <w:left w:w="70" w:type="dxa"/>
          <w:right w:w="70" w:type="dxa"/>
        </w:tblCellMar>
        <w:tblLook w:val="0000" w:firstRow="0" w:lastRow="0" w:firstColumn="0" w:lastColumn="0" w:noHBand="0" w:noVBand="0"/>
      </w:tblPr>
      <w:tblGrid>
        <w:gridCol w:w="4095"/>
        <w:gridCol w:w="4118"/>
      </w:tblGrid>
      <w:tr w:rsidR="008D50B4" w:rsidRPr="00DA037E" w14:paraId="666CC505" w14:textId="77777777" w:rsidTr="008D50B4">
        <w:tc>
          <w:tcPr>
            <w:tcW w:w="4095" w:type="dxa"/>
          </w:tcPr>
          <w:p w14:paraId="5D751894" w14:textId="187187D8" w:rsidR="008D50B4" w:rsidRPr="00184197" w:rsidRDefault="008D50B4" w:rsidP="00A64613">
            <w:pPr>
              <w:pStyle w:val="CommentText"/>
              <w:keepNext w:val="0"/>
              <w:tabs>
                <w:tab w:val="clear" w:pos="3969"/>
              </w:tabs>
              <w:spacing w:before="80"/>
              <w:rPr>
                <w:rFonts w:cs="Arial"/>
                <w:szCs w:val="24"/>
              </w:rPr>
            </w:pPr>
            <w:r w:rsidRPr="00184197">
              <w:rPr>
                <w:rFonts w:cs="Arial"/>
                <w:szCs w:val="24"/>
              </w:rPr>
              <w:t>Ménard, Jean</w:t>
            </w:r>
            <w:r w:rsidR="00984A6F">
              <w:rPr>
                <w:rFonts w:cs="Arial"/>
                <w:szCs w:val="24"/>
              </w:rPr>
              <w:noBreakHyphen/>
            </w:r>
            <w:r w:rsidRPr="00184197">
              <w:rPr>
                <w:rFonts w:cs="Arial"/>
                <w:szCs w:val="24"/>
              </w:rPr>
              <w:t>Guy</w:t>
            </w:r>
          </w:p>
        </w:tc>
        <w:tc>
          <w:tcPr>
            <w:tcW w:w="4118" w:type="dxa"/>
          </w:tcPr>
          <w:p w14:paraId="703CC55F" w14:textId="36E62213" w:rsidR="008D50B4" w:rsidRPr="00870588" w:rsidRDefault="008D50B4" w:rsidP="00A64613">
            <w:pPr>
              <w:keepNext w:val="0"/>
              <w:snapToGrid w:val="0"/>
              <w:spacing w:before="80"/>
              <w:rPr>
                <w:rFonts w:cs="Arial"/>
                <w:dstrike/>
                <w:sz w:val="22"/>
                <w:szCs w:val="22"/>
              </w:rPr>
            </w:pPr>
          </w:p>
        </w:tc>
      </w:tr>
      <w:tr w:rsidR="008D50B4" w:rsidRPr="00DA037E" w14:paraId="688B4AB1" w14:textId="77777777" w:rsidTr="008D50B4">
        <w:tc>
          <w:tcPr>
            <w:tcW w:w="4095" w:type="dxa"/>
          </w:tcPr>
          <w:p w14:paraId="75CF463A" w14:textId="77777777" w:rsidR="008D50B4" w:rsidRPr="00184197" w:rsidRDefault="008D50B4" w:rsidP="00A64613">
            <w:pPr>
              <w:pStyle w:val="CommentText"/>
              <w:keepNext w:val="0"/>
              <w:tabs>
                <w:tab w:val="clear" w:pos="3969"/>
              </w:tabs>
              <w:spacing w:before="80"/>
              <w:rPr>
                <w:rFonts w:cs="Arial"/>
                <w:szCs w:val="24"/>
              </w:rPr>
            </w:pPr>
            <w:r w:rsidRPr="00184197">
              <w:rPr>
                <w:rFonts w:cs="Arial"/>
                <w:szCs w:val="24"/>
              </w:rPr>
              <w:t>Brault, Serge</w:t>
            </w:r>
          </w:p>
        </w:tc>
        <w:tc>
          <w:tcPr>
            <w:tcW w:w="4118" w:type="dxa"/>
          </w:tcPr>
          <w:p w14:paraId="2BC6111D" w14:textId="35B60E17" w:rsidR="008D50B4" w:rsidRPr="00870588" w:rsidRDefault="008D50B4" w:rsidP="00A64613">
            <w:pPr>
              <w:keepNext w:val="0"/>
              <w:snapToGrid w:val="0"/>
              <w:spacing w:before="80"/>
              <w:rPr>
                <w:rFonts w:cs="Arial"/>
                <w:dstrike/>
                <w:sz w:val="22"/>
                <w:szCs w:val="22"/>
              </w:rPr>
            </w:pPr>
          </w:p>
        </w:tc>
      </w:tr>
      <w:tr w:rsidR="008D50B4" w:rsidRPr="00026EC1" w14:paraId="5142A083" w14:textId="77777777" w:rsidTr="00DA037E">
        <w:trPr>
          <w:trHeight w:val="53"/>
        </w:trPr>
        <w:tc>
          <w:tcPr>
            <w:tcW w:w="4095" w:type="dxa"/>
          </w:tcPr>
          <w:p w14:paraId="42BD5B3E" w14:textId="77777777" w:rsidR="008D50B4" w:rsidRPr="00184197" w:rsidRDefault="00581203" w:rsidP="00A64613">
            <w:pPr>
              <w:keepNext w:val="0"/>
              <w:snapToGrid w:val="0"/>
              <w:spacing w:before="80"/>
              <w:rPr>
                <w:rFonts w:cs="Arial"/>
                <w:dstrike/>
                <w:szCs w:val="24"/>
              </w:rPr>
            </w:pPr>
            <w:r w:rsidRPr="00184197">
              <w:rPr>
                <w:rFonts w:cs="Arial"/>
                <w:szCs w:val="24"/>
              </w:rPr>
              <w:t>Ferland, Gilles</w:t>
            </w:r>
          </w:p>
        </w:tc>
        <w:tc>
          <w:tcPr>
            <w:tcW w:w="4118" w:type="dxa"/>
          </w:tcPr>
          <w:p w14:paraId="7562256C" w14:textId="77777777" w:rsidR="008D50B4" w:rsidRPr="00870588" w:rsidRDefault="008D50B4" w:rsidP="00A64613">
            <w:pPr>
              <w:keepNext w:val="0"/>
              <w:snapToGrid w:val="0"/>
              <w:spacing w:before="80"/>
              <w:rPr>
                <w:rFonts w:cs="Arial"/>
                <w:dstrike/>
                <w:sz w:val="22"/>
                <w:szCs w:val="22"/>
              </w:rPr>
            </w:pPr>
          </w:p>
        </w:tc>
      </w:tr>
    </w:tbl>
    <w:p w14:paraId="49F4952C" w14:textId="77777777" w:rsidR="000A7AF8" w:rsidRDefault="000A7AF8" w:rsidP="00A64613">
      <w:pPr>
        <w:keepNext w:val="0"/>
      </w:pPr>
      <w:bookmarkStart w:id="931" w:name="_Toc535046642"/>
      <w:bookmarkStart w:id="932" w:name="_Toc133760809"/>
      <w:bookmarkStart w:id="933" w:name="_Toc133916957"/>
      <w:bookmarkStart w:id="934" w:name="_Toc134437232"/>
    </w:p>
    <w:p w14:paraId="256D9EB4" w14:textId="224EF408" w:rsidR="003B29D3" w:rsidRPr="00026EC1" w:rsidRDefault="003B29D3" w:rsidP="00A64613">
      <w:pPr>
        <w:keepNext w:val="0"/>
      </w:pPr>
      <w:r w:rsidRPr="00026EC1">
        <w:t xml:space="preserve">La révision de la liste des médiatrices et des médiateurs est effectuée par centrale syndicale du secteur collégial, simultanément à la négociation pour le renouvellement de la convention collective. </w:t>
      </w:r>
    </w:p>
    <w:p w14:paraId="796E2DFD" w14:textId="5FC98A89" w:rsidR="00CF6703" w:rsidRPr="00026EC1" w:rsidRDefault="00CF6703" w:rsidP="00A64613">
      <w:pPr>
        <w:pStyle w:val="Heading2"/>
        <w:keepNext w:val="0"/>
        <w:tabs>
          <w:tab w:val="clear" w:pos="1843"/>
          <w:tab w:val="clear" w:pos="2127"/>
          <w:tab w:val="left" w:pos="1701"/>
          <w:tab w:val="left" w:pos="1985"/>
        </w:tabs>
        <w:ind w:left="1701" w:hanging="1701"/>
      </w:pPr>
      <w:r w:rsidRPr="00026EC1">
        <w:br w:type="page"/>
      </w:r>
      <w:bookmarkStart w:id="935" w:name="_Toc168479563"/>
      <w:r w:rsidRPr="00026EC1">
        <w:t>Article 9</w:t>
      </w:r>
      <w:r w:rsidR="00B92165">
        <w:t>-</w:t>
      </w:r>
      <w:r w:rsidRPr="00026EC1">
        <w:t>3.00</w:t>
      </w:r>
      <w:r w:rsidRPr="00026EC1">
        <w:tab/>
      </w:r>
      <w:r w:rsidR="00B92165">
        <w:t>-</w:t>
      </w:r>
      <w:r w:rsidRPr="00026EC1">
        <w:tab/>
        <w:t>Prévention des litiges et des griefs</w:t>
      </w:r>
      <w:bookmarkEnd w:id="935"/>
    </w:p>
    <w:p w14:paraId="4A62FF99" w14:textId="25D63E73" w:rsidR="00CF6703" w:rsidRPr="0085546A" w:rsidRDefault="00CF6703" w:rsidP="00A64613">
      <w:pPr>
        <w:pStyle w:val="NUMRODECLAUSE"/>
        <w:keepNext w:val="0"/>
      </w:pPr>
      <w:r w:rsidRPr="0085546A">
        <w:t>9</w:t>
      </w:r>
      <w:r w:rsidR="00984A6F">
        <w:noBreakHyphen/>
      </w:r>
      <w:r w:rsidRPr="0085546A">
        <w:t>3.01</w:t>
      </w:r>
    </w:p>
    <w:p w14:paraId="52F47356" w14:textId="77777777" w:rsidR="00CF6703" w:rsidRPr="00026EC1" w:rsidRDefault="006D74EC" w:rsidP="00A64613">
      <w:pPr>
        <w:keepNext w:val="0"/>
      </w:pPr>
      <w:r w:rsidRPr="00026EC1">
        <w:t>Les parties forment un comité ayant pour but la prévention des litiges et des griefs dans les six (6) mois suivant l’entrée en vigueur de la convention collective.</w:t>
      </w:r>
    </w:p>
    <w:p w14:paraId="06F99385" w14:textId="77777777" w:rsidR="006D74EC" w:rsidRPr="00026EC1" w:rsidRDefault="006D74EC" w:rsidP="00A64613">
      <w:pPr>
        <w:keepNext w:val="0"/>
      </w:pPr>
    </w:p>
    <w:p w14:paraId="2F9D10A9" w14:textId="0E079B44" w:rsidR="00CF6703" w:rsidRPr="00026EC1" w:rsidRDefault="00CF6703" w:rsidP="00A64613">
      <w:pPr>
        <w:pStyle w:val="NUMRODECLAUSE"/>
        <w:keepNext w:val="0"/>
      </w:pPr>
      <w:r w:rsidRPr="00026EC1">
        <w:t>9</w:t>
      </w:r>
      <w:r w:rsidR="00984A6F">
        <w:noBreakHyphen/>
      </w:r>
      <w:r w:rsidRPr="00026EC1">
        <w:t>3.02</w:t>
      </w:r>
    </w:p>
    <w:p w14:paraId="66833B77" w14:textId="77777777" w:rsidR="00B6500A" w:rsidRDefault="00CF6703" w:rsidP="00A64613">
      <w:pPr>
        <w:keepNext w:val="0"/>
        <w:sectPr w:rsidR="00B6500A" w:rsidSect="009E4F22">
          <w:headerReference w:type="default" r:id="rId36"/>
          <w:footnotePr>
            <w:numRestart w:val="eachPage"/>
          </w:footnotePr>
          <w:pgSz w:w="12240" w:h="15840" w:code="1"/>
          <w:pgMar w:top="720" w:right="1077" w:bottom="1242" w:left="1684" w:header="709" w:footer="709" w:gutter="0"/>
          <w:cols w:space="708"/>
          <w:docGrid w:linePitch="360"/>
        </w:sectPr>
      </w:pPr>
      <w:r w:rsidRPr="00026EC1">
        <w:t>La composition et les modalités de fonctionnement de ce comité sont à convenir entre les parties.</w:t>
      </w:r>
    </w:p>
    <w:p w14:paraId="68F4C1C7" w14:textId="63DD65E8" w:rsidR="00404F34" w:rsidRPr="00026EC1" w:rsidRDefault="00404F34" w:rsidP="00A64613">
      <w:pPr>
        <w:pStyle w:val="Heading1"/>
        <w:keepNext w:val="0"/>
        <w:tabs>
          <w:tab w:val="left" w:pos="1843"/>
          <w:tab w:val="left" w:pos="2127"/>
        </w:tabs>
      </w:pPr>
      <w:bookmarkStart w:id="936" w:name="_Toc393449598"/>
      <w:r w:rsidRPr="00026EC1">
        <w:t>CHAPITRE 10</w:t>
      </w:r>
      <w:r w:rsidR="00CB6B97" w:rsidRPr="00026EC1">
        <w:tab/>
      </w:r>
      <w:r w:rsidR="00B92165">
        <w:t>-</w:t>
      </w:r>
      <w:r w:rsidR="00CB6B97" w:rsidRPr="00026EC1">
        <w:tab/>
      </w:r>
      <w:r w:rsidRPr="00026EC1">
        <w:t>DIVERS</w:t>
      </w:r>
      <w:bookmarkEnd w:id="931"/>
      <w:bookmarkEnd w:id="932"/>
      <w:bookmarkEnd w:id="933"/>
      <w:bookmarkEnd w:id="934"/>
      <w:bookmarkEnd w:id="936"/>
      <w:r w:rsidR="0045674D" w:rsidRPr="0035151D">
        <w:fldChar w:fldCharType="begin"/>
      </w:r>
      <w:r w:rsidR="0045674D" w:rsidRPr="0035151D">
        <w:instrText xml:space="preserve"> TC " </w:instrText>
      </w:r>
      <w:bookmarkStart w:id="937" w:name="_Toc94952772"/>
      <w:bookmarkStart w:id="938" w:name="_Toc94954676"/>
      <w:bookmarkStart w:id="939" w:name="_Toc94966353"/>
      <w:bookmarkStart w:id="940" w:name="_Toc95035231"/>
      <w:bookmarkStart w:id="941" w:name="_Toc95035374"/>
      <w:bookmarkStart w:id="942" w:name="_Toc95035517"/>
      <w:bookmarkStart w:id="943" w:name="_Toc95035662"/>
      <w:bookmarkStart w:id="944" w:name="_Toc157589287"/>
      <w:bookmarkStart w:id="945" w:name="_Toc161323738"/>
      <w:bookmarkStart w:id="946" w:name="_Toc163483078"/>
      <w:bookmarkStart w:id="947" w:name="_Toc163483677"/>
      <w:bookmarkStart w:id="948" w:name="_Toc163483867"/>
      <w:bookmarkStart w:id="949" w:name="_Toc167870837"/>
      <w:bookmarkStart w:id="950" w:name="_Toc167871001"/>
      <w:bookmarkStart w:id="951" w:name="_Toc167871157"/>
      <w:bookmarkStart w:id="952" w:name="_Toc167871333"/>
      <w:bookmarkStart w:id="953" w:name="_Toc168049401"/>
      <w:bookmarkStart w:id="954" w:name="_Toc168401565"/>
      <w:bookmarkStart w:id="955" w:name="_Toc168402181"/>
      <w:bookmarkStart w:id="956" w:name="_Toc168409616"/>
      <w:bookmarkStart w:id="957" w:name="_Toc168410370"/>
      <w:bookmarkStart w:id="958" w:name="_Toc168410616"/>
      <w:bookmarkStart w:id="959" w:name="_Toc168410857"/>
      <w:bookmarkStart w:id="960" w:name="_Toc168479564"/>
      <w:r w:rsidR="0045674D" w:rsidRPr="0035151D">
        <w:instrText xml:space="preserve">CHAPITRE </w:instrText>
      </w:r>
      <w:r w:rsidR="0045674D">
        <w:instrText>10</w:instrText>
      </w:r>
      <w:r w:rsidR="0045674D" w:rsidRPr="0035151D">
        <w:instrText xml:space="preserve">  </w:instrText>
      </w:r>
      <w:r w:rsidR="00984A6F">
        <w:noBreakHyphen/>
      </w:r>
      <w:r w:rsidR="0045674D" w:rsidRPr="0035151D">
        <w:instrText xml:space="preserve">  </w:instrText>
      </w:r>
      <w:r w:rsidR="0045674D">
        <w:instrText>divers</w:instrTex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0045674D" w:rsidRPr="0035151D">
        <w:instrText>"\N</w:instrText>
      </w:r>
      <w:r w:rsidR="0045674D" w:rsidRPr="0035151D">
        <w:fldChar w:fldCharType="end"/>
      </w:r>
    </w:p>
    <w:p w14:paraId="10BAE4DC" w14:textId="3D3BF8CB" w:rsidR="00404F34" w:rsidRPr="00026EC1" w:rsidRDefault="00404F34" w:rsidP="00A64613">
      <w:pPr>
        <w:pStyle w:val="Heading2"/>
        <w:keepNext w:val="0"/>
      </w:pPr>
      <w:bookmarkStart w:id="961" w:name="_Toc535046643"/>
      <w:bookmarkStart w:id="962" w:name="_Toc133760810"/>
      <w:bookmarkStart w:id="963" w:name="_Toc393444648"/>
      <w:bookmarkStart w:id="964" w:name="_Toc393449599"/>
      <w:bookmarkStart w:id="965" w:name="_Toc393460968"/>
      <w:bookmarkStart w:id="966" w:name="_Toc393461246"/>
      <w:bookmarkStart w:id="967" w:name="_Toc393720807"/>
      <w:bookmarkStart w:id="968" w:name="_Toc393783968"/>
      <w:bookmarkStart w:id="969" w:name="_Toc393784107"/>
      <w:bookmarkStart w:id="970" w:name="_Toc168479565"/>
      <w:r w:rsidRPr="00026EC1">
        <w:t>Article 10</w:t>
      </w:r>
      <w:r w:rsidR="00B92165">
        <w:t>-</w:t>
      </w:r>
      <w:r w:rsidRPr="00026EC1">
        <w:t>1.00</w:t>
      </w:r>
      <w:r w:rsidR="00C75CBA" w:rsidRPr="00026EC1">
        <w:tab/>
      </w:r>
      <w:r w:rsidR="00B92165">
        <w:t>-</w:t>
      </w:r>
      <w:r w:rsidR="00C75CBA" w:rsidRPr="00026EC1">
        <w:tab/>
      </w:r>
      <w:r w:rsidRPr="00026EC1">
        <w:t>Divers</w:t>
      </w:r>
      <w:bookmarkEnd w:id="961"/>
      <w:bookmarkEnd w:id="962"/>
      <w:bookmarkEnd w:id="963"/>
      <w:bookmarkEnd w:id="964"/>
      <w:bookmarkEnd w:id="965"/>
      <w:bookmarkEnd w:id="966"/>
      <w:bookmarkEnd w:id="967"/>
      <w:bookmarkEnd w:id="968"/>
      <w:bookmarkEnd w:id="969"/>
      <w:bookmarkEnd w:id="970"/>
    </w:p>
    <w:p w14:paraId="7B1D9E1C" w14:textId="6A00D4AE" w:rsidR="00FB017A" w:rsidRPr="00026EC1" w:rsidRDefault="00FB017A" w:rsidP="00A64613">
      <w:pPr>
        <w:pStyle w:val="NUMRODECLAUSE"/>
        <w:keepNext w:val="0"/>
      </w:pPr>
      <w:r w:rsidRPr="00026EC1">
        <w:t>10</w:t>
      </w:r>
      <w:r w:rsidR="00984A6F">
        <w:noBreakHyphen/>
      </w:r>
      <w:r w:rsidRPr="00026EC1">
        <w:t>1.01</w:t>
      </w:r>
    </w:p>
    <w:p w14:paraId="3A47A45D" w14:textId="7A1D8C4E" w:rsidR="00FB017A" w:rsidRPr="00026EC1" w:rsidRDefault="00FB017A" w:rsidP="00A64613">
      <w:pPr>
        <w:keepNext w:val="0"/>
      </w:pPr>
      <w:r w:rsidRPr="00026EC1">
        <w:t>La convention collective entre en vigueur à la date de sa signature et se termine le</w:t>
      </w:r>
      <w:r w:rsidR="0045674D">
        <w:t> </w:t>
      </w:r>
      <w:r w:rsidR="007E7257" w:rsidRPr="00713CB1">
        <w:t>31 mars </w:t>
      </w:r>
      <w:r w:rsidR="00DB1BD9" w:rsidRPr="00316277">
        <w:t>2028</w:t>
      </w:r>
      <w:r w:rsidR="007E7257" w:rsidRPr="00154365">
        <w:t>.</w:t>
      </w:r>
    </w:p>
    <w:p w14:paraId="697957ED" w14:textId="77777777" w:rsidR="00FB017A" w:rsidRPr="00026EC1" w:rsidRDefault="00FB017A" w:rsidP="00A64613">
      <w:pPr>
        <w:keepNext w:val="0"/>
      </w:pPr>
    </w:p>
    <w:p w14:paraId="6F2F1EA0" w14:textId="77777777" w:rsidR="00FB017A" w:rsidRPr="00026EC1" w:rsidRDefault="00FB017A" w:rsidP="00A64613">
      <w:pPr>
        <w:keepNext w:val="0"/>
      </w:pPr>
      <w:r w:rsidRPr="00026EC1">
        <w:t>Les présentes stipulations peuvent être modifiées par lettre d</w:t>
      </w:r>
      <w:r w:rsidR="004A41E4" w:rsidRPr="00026EC1">
        <w:t>’</w:t>
      </w:r>
      <w:r w:rsidRPr="00026EC1">
        <w:t>entente intervenue entre les parties nationales.</w:t>
      </w:r>
    </w:p>
    <w:p w14:paraId="7DB6BFCE" w14:textId="77777777" w:rsidR="00FB017A" w:rsidRPr="00026EC1" w:rsidRDefault="00FB017A" w:rsidP="00A64613">
      <w:pPr>
        <w:keepNext w:val="0"/>
      </w:pPr>
    </w:p>
    <w:p w14:paraId="66E94063" w14:textId="475F59C9" w:rsidR="00FB017A" w:rsidRPr="00026EC1" w:rsidRDefault="00FB017A" w:rsidP="00A64613">
      <w:pPr>
        <w:pStyle w:val="NUMRODECLAUSE"/>
        <w:keepNext w:val="0"/>
      </w:pPr>
      <w:r w:rsidRPr="00026EC1">
        <w:t>10</w:t>
      </w:r>
      <w:r w:rsidR="00984A6F">
        <w:noBreakHyphen/>
      </w:r>
      <w:r w:rsidRPr="00026EC1">
        <w:t>1.02</w:t>
      </w:r>
    </w:p>
    <w:p w14:paraId="1D580E3A" w14:textId="77777777" w:rsidR="00FB017A" w:rsidRPr="00026EC1" w:rsidRDefault="00FB017A" w:rsidP="00A64613">
      <w:pPr>
        <w:keepNext w:val="0"/>
      </w:pPr>
      <w:r w:rsidRPr="00026EC1">
        <w:t>Les présentes stipulations n</w:t>
      </w:r>
      <w:r w:rsidR="004A41E4" w:rsidRPr="00026EC1">
        <w:t>’</w:t>
      </w:r>
      <w:r w:rsidRPr="00026EC1">
        <w:t>ont aucun effet rétroactif, sauf dispositions contraires explicites.</w:t>
      </w:r>
    </w:p>
    <w:p w14:paraId="56268F00" w14:textId="77777777" w:rsidR="00FB017A" w:rsidRPr="00026EC1" w:rsidRDefault="00FB017A" w:rsidP="00A64613">
      <w:pPr>
        <w:keepNext w:val="0"/>
      </w:pPr>
    </w:p>
    <w:p w14:paraId="2048DB3A" w14:textId="2F00D00C" w:rsidR="00FB017A" w:rsidRPr="00026EC1" w:rsidRDefault="00FB017A" w:rsidP="00A64613">
      <w:pPr>
        <w:pStyle w:val="NUMRODECLAUSE"/>
        <w:keepNext w:val="0"/>
      </w:pPr>
      <w:r w:rsidRPr="00026EC1">
        <w:t>10</w:t>
      </w:r>
      <w:r w:rsidR="00984A6F">
        <w:noBreakHyphen/>
      </w:r>
      <w:r w:rsidRPr="00026EC1">
        <w:t>1.03</w:t>
      </w:r>
    </w:p>
    <w:p w14:paraId="260F0CF3" w14:textId="77777777" w:rsidR="00FB017A" w:rsidRPr="00026EC1" w:rsidRDefault="00FB017A" w:rsidP="00A64613">
      <w:pPr>
        <w:keepNext w:val="0"/>
      </w:pPr>
      <w:r w:rsidRPr="00026EC1">
        <w:t>L</w:t>
      </w:r>
      <w:r w:rsidR="004A41E4" w:rsidRPr="00026EC1">
        <w:t>’</w:t>
      </w:r>
      <w:r w:rsidRPr="00026EC1">
        <w:t>une ou l</w:t>
      </w:r>
      <w:r w:rsidR="004A41E4" w:rsidRPr="00026EC1">
        <w:t>’</w:t>
      </w:r>
      <w:r w:rsidRPr="00026EC1">
        <w:t>autre des parties nationales peut donner avis à l</w:t>
      </w:r>
      <w:r w:rsidR="004A41E4" w:rsidRPr="00026EC1">
        <w:t>’</w:t>
      </w:r>
      <w:r w:rsidRPr="00026EC1">
        <w:t>autre de son intention de dénoncer ou de modifier les présentes stipulations dans les six (6) mois précédant leur expiration.</w:t>
      </w:r>
    </w:p>
    <w:p w14:paraId="2A7087B1" w14:textId="77777777" w:rsidR="00FB017A" w:rsidRPr="00026EC1" w:rsidRDefault="00FB017A" w:rsidP="00A64613">
      <w:pPr>
        <w:keepNext w:val="0"/>
      </w:pPr>
    </w:p>
    <w:p w14:paraId="3A125ABB" w14:textId="486A0BCF" w:rsidR="00FB017A" w:rsidRPr="00026EC1" w:rsidRDefault="00FB017A" w:rsidP="00A64613">
      <w:pPr>
        <w:pStyle w:val="NUMRODECLAUSE"/>
        <w:keepNext w:val="0"/>
      </w:pPr>
      <w:r w:rsidRPr="00026EC1">
        <w:t>10</w:t>
      </w:r>
      <w:r w:rsidR="00984A6F">
        <w:noBreakHyphen/>
      </w:r>
      <w:r w:rsidRPr="00026EC1">
        <w:t>1.04</w:t>
      </w:r>
    </w:p>
    <w:p w14:paraId="6D2F9212" w14:textId="5A9C7FB9" w:rsidR="009C50FE" w:rsidRPr="00026EC1" w:rsidRDefault="009C50FE" w:rsidP="00A64613">
      <w:pPr>
        <w:keepNext w:val="0"/>
      </w:pPr>
      <w:r w:rsidRPr="00026EC1">
        <w:t xml:space="preserve">Les présentes </w:t>
      </w:r>
      <w:r w:rsidRPr="00026EC1">
        <w:rPr>
          <w:bCs/>
        </w:rPr>
        <w:t xml:space="preserve">dispositions et </w:t>
      </w:r>
      <w:r w:rsidRPr="00026EC1">
        <w:t>stipulations sont considérées comme intérimaires du</w:t>
      </w:r>
      <w:r w:rsidR="009A1681">
        <w:t> </w:t>
      </w:r>
      <w:r w:rsidRPr="00026EC1">
        <w:t>1</w:t>
      </w:r>
      <w:r w:rsidRPr="00026EC1">
        <w:rPr>
          <w:vertAlign w:val="superscript"/>
        </w:rPr>
        <w:t>er</w:t>
      </w:r>
      <w:r w:rsidRPr="00026EC1">
        <w:t> avril 202</w:t>
      </w:r>
      <w:r w:rsidR="003D3198" w:rsidRPr="00316277">
        <w:t>8</w:t>
      </w:r>
      <w:r w:rsidRPr="00026EC1">
        <w:t xml:space="preserve"> jusqu’à la date d’entrée en vigueur d’une nouvelle convention collective.</w:t>
      </w:r>
    </w:p>
    <w:p w14:paraId="5503AA15" w14:textId="77777777" w:rsidR="00FB017A" w:rsidRPr="00026EC1" w:rsidRDefault="00FB017A" w:rsidP="00A64613">
      <w:pPr>
        <w:keepNext w:val="0"/>
      </w:pPr>
    </w:p>
    <w:p w14:paraId="08A0D70D" w14:textId="58826B68" w:rsidR="00FB017A" w:rsidRPr="00026EC1" w:rsidRDefault="00FB017A" w:rsidP="00A64613">
      <w:pPr>
        <w:pStyle w:val="NUMRODECLAUSE"/>
        <w:keepNext w:val="0"/>
      </w:pPr>
      <w:r w:rsidRPr="00026EC1">
        <w:t>10</w:t>
      </w:r>
      <w:r w:rsidR="00984A6F">
        <w:noBreakHyphen/>
      </w:r>
      <w:r w:rsidRPr="00026EC1">
        <w:t>1.05</w:t>
      </w:r>
    </w:p>
    <w:p w14:paraId="1D66C506" w14:textId="4628D95B" w:rsidR="00FB017A" w:rsidRPr="00026EC1" w:rsidRDefault="00FB017A" w:rsidP="00A64613">
      <w:pPr>
        <w:keepNext w:val="0"/>
      </w:pPr>
      <w:r w:rsidRPr="00026EC1">
        <w:t xml:space="preserve">Les </w:t>
      </w:r>
      <w:r w:rsidR="00974A48">
        <w:t>a</w:t>
      </w:r>
      <w:r w:rsidRPr="00026EC1">
        <w:t>nnexes et les lettres d</w:t>
      </w:r>
      <w:r w:rsidR="004A41E4" w:rsidRPr="00026EC1">
        <w:t>’</w:t>
      </w:r>
      <w:r w:rsidRPr="00026EC1">
        <w:t>entente jointes à la présente convention collective en sont partie intégrante à moins de stipulations contraires.</w:t>
      </w:r>
    </w:p>
    <w:p w14:paraId="0AA12C9B" w14:textId="77777777" w:rsidR="00FB017A" w:rsidRPr="00026EC1" w:rsidRDefault="00FB017A" w:rsidP="00A64613">
      <w:pPr>
        <w:keepNext w:val="0"/>
      </w:pPr>
    </w:p>
    <w:p w14:paraId="6438FD57" w14:textId="49F33473" w:rsidR="00FB017A" w:rsidRPr="00026EC1" w:rsidRDefault="00FB017A" w:rsidP="00A64613">
      <w:pPr>
        <w:pStyle w:val="NUMRODECLAUSE"/>
        <w:keepNext w:val="0"/>
      </w:pPr>
      <w:r w:rsidRPr="00026EC1">
        <w:t>10</w:t>
      </w:r>
      <w:r w:rsidR="00984A6F">
        <w:noBreakHyphen/>
      </w:r>
      <w:r w:rsidRPr="00026EC1">
        <w:t>1.06</w:t>
      </w:r>
    </w:p>
    <w:p w14:paraId="795BD3EF" w14:textId="77777777" w:rsidR="00A2156D" w:rsidRPr="00026EC1" w:rsidRDefault="00A2156D" w:rsidP="00A64613">
      <w:pPr>
        <w:keepNext w:val="0"/>
      </w:pPr>
      <w:r w:rsidRPr="00026EC1">
        <w:t>Le texte officiel des présentes stipulations est le texte français.</w:t>
      </w:r>
    </w:p>
    <w:p w14:paraId="52DE7627" w14:textId="77777777" w:rsidR="00A2156D" w:rsidRPr="00026EC1" w:rsidRDefault="00A2156D" w:rsidP="00A64613">
      <w:pPr>
        <w:keepNext w:val="0"/>
      </w:pPr>
    </w:p>
    <w:p w14:paraId="3B679999" w14:textId="77777777" w:rsidR="00A2156D" w:rsidRPr="00026EC1" w:rsidRDefault="00A2156D" w:rsidP="00A64613">
      <w:pPr>
        <w:keepNext w:val="0"/>
      </w:pPr>
      <w:r w:rsidRPr="00026EC1">
        <w:t>La partie patronale nationale assume les frais de traduction de la convention collective.</w:t>
      </w:r>
    </w:p>
    <w:p w14:paraId="107C5DD9" w14:textId="77777777" w:rsidR="00A2156D" w:rsidRPr="00026EC1" w:rsidRDefault="00A2156D" w:rsidP="00A64613">
      <w:pPr>
        <w:keepNext w:val="0"/>
      </w:pPr>
    </w:p>
    <w:p w14:paraId="0E290A74" w14:textId="77777777" w:rsidR="00A2156D" w:rsidRPr="00026EC1" w:rsidRDefault="00A2156D" w:rsidP="00A64613">
      <w:pPr>
        <w:keepNext w:val="0"/>
      </w:pPr>
      <w:r w:rsidRPr="00026EC1">
        <w:t>La convention collective et les lettres d’entente sont accessibles sur le site internet du Comité patronal de négociation des collèges (CPNC)</w:t>
      </w:r>
      <w:r w:rsidRPr="00026EC1">
        <w:rPr>
          <w:rStyle w:val="FootnoteReference"/>
        </w:rPr>
        <w:footnoteReference w:id="44"/>
      </w:r>
      <w:r w:rsidRPr="00026EC1">
        <w:t>.</w:t>
      </w:r>
    </w:p>
    <w:p w14:paraId="5782B598" w14:textId="77777777" w:rsidR="00FB017A" w:rsidRPr="00026EC1" w:rsidRDefault="00FB017A" w:rsidP="00A64613">
      <w:pPr>
        <w:keepNext w:val="0"/>
      </w:pPr>
    </w:p>
    <w:p w14:paraId="4C7D5D90" w14:textId="569BE7A7" w:rsidR="00FB017A" w:rsidRPr="00026EC1" w:rsidRDefault="00FB017A" w:rsidP="00A64613">
      <w:pPr>
        <w:pStyle w:val="NUMRODECLAUSE"/>
        <w:keepNext w:val="0"/>
      </w:pPr>
      <w:r w:rsidRPr="00026EC1">
        <w:t>10</w:t>
      </w:r>
      <w:r w:rsidR="00984A6F">
        <w:noBreakHyphen/>
      </w:r>
      <w:r w:rsidRPr="00026EC1">
        <w:t>1.07</w:t>
      </w:r>
    </w:p>
    <w:p w14:paraId="007B32E3" w14:textId="77777777" w:rsidR="00FB017A" w:rsidRPr="00026EC1" w:rsidRDefault="00FB017A" w:rsidP="00A64613">
      <w:pPr>
        <w:keepNext w:val="0"/>
      </w:pPr>
      <w:r w:rsidRPr="00026EC1">
        <w:t>Lorsqu</w:t>
      </w:r>
      <w:r w:rsidR="004A41E4" w:rsidRPr="00026EC1">
        <w:t>’</w:t>
      </w:r>
      <w:r w:rsidRPr="00026EC1">
        <w:t>une enseignante ou un enseignant se croit lésé par une décision du Collège qui modifie ses conditions de travail autres que celles définies par la convention collective, elle ou il peut formuler un grief. Il incombe au Collège de prouver que sa décision est fondée sur un motif raisonnable.</w:t>
      </w:r>
    </w:p>
    <w:p w14:paraId="6BC3DC4C" w14:textId="77777777" w:rsidR="00B6500A" w:rsidRDefault="00B6500A" w:rsidP="00A64613">
      <w:pPr>
        <w:keepNext w:val="0"/>
        <w:sectPr w:rsidR="00B6500A" w:rsidSect="00522997">
          <w:headerReference w:type="default" r:id="rId37"/>
          <w:footnotePr>
            <w:numRestart w:val="eachPage"/>
          </w:footnotePr>
          <w:pgSz w:w="12240" w:h="15840" w:code="1"/>
          <w:pgMar w:top="720" w:right="1077" w:bottom="1242" w:left="1684" w:header="709" w:footer="709" w:gutter="0"/>
          <w:cols w:space="708"/>
          <w:docGrid w:linePitch="360"/>
        </w:sectPr>
      </w:pPr>
    </w:p>
    <w:p w14:paraId="40664EA7" w14:textId="0DF89F28" w:rsidR="00FB017A" w:rsidRPr="00026EC1" w:rsidRDefault="00FB017A" w:rsidP="00A64613">
      <w:pPr>
        <w:pStyle w:val="NUMRODECLAUSE"/>
        <w:keepNext w:val="0"/>
      </w:pPr>
      <w:r w:rsidRPr="00026EC1">
        <w:t>10</w:t>
      </w:r>
      <w:r w:rsidR="00984A6F">
        <w:noBreakHyphen/>
      </w:r>
      <w:r w:rsidRPr="00026EC1">
        <w:t>1.08</w:t>
      </w:r>
    </w:p>
    <w:p w14:paraId="2FE440A9" w14:textId="77777777" w:rsidR="00FB017A" w:rsidRPr="00026EC1" w:rsidRDefault="00FB017A" w:rsidP="00A64613">
      <w:pPr>
        <w:keepNext w:val="0"/>
      </w:pPr>
      <w:r w:rsidRPr="00026EC1">
        <w:t>À moins de stipulation contraire, le Collège ne peut être tenu de verser aux enseignantes et enseignants régis par la convention collective aucun supplément pécuniaire sous quelque forme que ce soit.</w:t>
      </w:r>
    </w:p>
    <w:p w14:paraId="62916969" w14:textId="77777777" w:rsidR="00FB017A" w:rsidRPr="00026EC1" w:rsidRDefault="00FB017A" w:rsidP="00A64613">
      <w:pPr>
        <w:keepNext w:val="0"/>
      </w:pPr>
    </w:p>
    <w:p w14:paraId="7F85CF10" w14:textId="5CD32B4C" w:rsidR="00FB017A" w:rsidRPr="00026EC1" w:rsidRDefault="00FB017A" w:rsidP="00A64613">
      <w:pPr>
        <w:pStyle w:val="NUMRODECLAUSE"/>
        <w:keepNext w:val="0"/>
      </w:pPr>
      <w:r w:rsidRPr="00026EC1">
        <w:t>10</w:t>
      </w:r>
      <w:r w:rsidR="00984A6F">
        <w:noBreakHyphen/>
      </w:r>
      <w:r w:rsidRPr="00026EC1">
        <w:t>1.09</w:t>
      </w:r>
    </w:p>
    <w:p w14:paraId="4B65848F" w14:textId="1C77B477" w:rsidR="00FB017A" w:rsidRPr="00026EC1" w:rsidRDefault="00FB017A" w:rsidP="00A64613">
      <w:pPr>
        <w:keepNext w:val="0"/>
      </w:pPr>
      <w:r w:rsidRPr="00026EC1">
        <w:t>L</w:t>
      </w:r>
      <w:r w:rsidR="004A41E4" w:rsidRPr="00026EC1">
        <w:t>’</w:t>
      </w:r>
      <w:r w:rsidRPr="00026EC1">
        <w:t>enseignante ou l</w:t>
      </w:r>
      <w:r w:rsidR="004A41E4" w:rsidRPr="00026EC1">
        <w:t>’</w:t>
      </w:r>
      <w:r w:rsidRPr="00026EC1">
        <w:t>enseignant qui a cessé d</w:t>
      </w:r>
      <w:r w:rsidR="004A41E4" w:rsidRPr="00026EC1">
        <w:t>’</w:t>
      </w:r>
      <w:r w:rsidRPr="00026EC1">
        <w:t>être à l</w:t>
      </w:r>
      <w:r w:rsidR="004A41E4" w:rsidRPr="00026EC1">
        <w:t>’</w:t>
      </w:r>
      <w:r w:rsidRPr="00026EC1">
        <w:t>emploi du Collège conserve son droit de grief relativement aux sommes qui peuvent lui être dues ou aux droits que lui confère la convention collective à l</w:t>
      </w:r>
      <w:r w:rsidR="004A41E4" w:rsidRPr="00026EC1">
        <w:t>’</w:t>
      </w:r>
      <w:r w:rsidRPr="00026EC1">
        <w:t>article 5</w:t>
      </w:r>
      <w:r w:rsidR="00984A6F">
        <w:noBreakHyphen/>
      </w:r>
      <w:r w:rsidRPr="00026EC1">
        <w:t>4.00 et à la clause 5</w:t>
      </w:r>
      <w:r w:rsidR="00984A6F">
        <w:noBreakHyphen/>
      </w:r>
      <w:r w:rsidRPr="00026EC1">
        <w:t>1.08. Ce droit est exercé conformément aux présentes stipulations.</w:t>
      </w:r>
    </w:p>
    <w:p w14:paraId="109B4396" w14:textId="77777777" w:rsidR="00FB017A" w:rsidRPr="00026EC1" w:rsidRDefault="00FB017A" w:rsidP="00A64613">
      <w:pPr>
        <w:keepNext w:val="0"/>
      </w:pPr>
    </w:p>
    <w:p w14:paraId="2F7C789B" w14:textId="07493FA6" w:rsidR="00FB017A" w:rsidRPr="00026EC1" w:rsidRDefault="00FB017A" w:rsidP="00A64613">
      <w:pPr>
        <w:pStyle w:val="NUMRODECLAUSE"/>
        <w:keepNext w:val="0"/>
      </w:pPr>
      <w:r w:rsidRPr="00026EC1">
        <w:t>10</w:t>
      </w:r>
      <w:r w:rsidR="00984A6F">
        <w:noBreakHyphen/>
      </w:r>
      <w:r w:rsidRPr="00026EC1">
        <w:t>1.10</w:t>
      </w:r>
    </w:p>
    <w:p w14:paraId="552BA51A" w14:textId="62362B2A" w:rsidR="00FB017A" w:rsidRPr="00026EC1" w:rsidRDefault="00FB017A" w:rsidP="00A64613">
      <w:pPr>
        <w:keepNext w:val="0"/>
      </w:pPr>
      <w:r w:rsidRPr="00026EC1">
        <w:t>Lorsque le Collège envisage de confier par contrat à un tiers une partie de ses fonctions d</w:t>
      </w:r>
      <w:r w:rsidR="004A41E4" w:rsidRPr="00026EC1">
        <w:t>’</w:t>
      </w:r>
      <w:r w:rsidRPr="00026EC1">
        <w:t>enseignement auprès des étudiantes et étudiants, il en discute au CRT six</w:t>
      </w:r>
      <w:r w:rsidR="00D932FB">
        <w:t> </w:t>
      </w:r>
      <w:r w:rsidRPr="00026EC1">
        <w:t>(6) mois avant l</w:t>
      </w:r>
      <w:r w:rsidR="004A41E4" w:rsidRPr="00026EC1">
        <w:t>’</w:t>
      </w:r>
      <w:r w:rsidRPr="00026EC1">
        <w:t>entrée en vigueur de ce contrat et, à défaut d</w:t>
      </w:r>
      <w:r w:rsidR="004A41E4" w:rsidRPr="00026EC1">
        <w:t>’</w:t>
      </w:r>
      <w:r w:rsidRPr="00026EC1">
        <w:t>entente, il obtient l</w:t>
      </w:r>
      <w:r w:rsidR="004A41E4" w:rsidRPr="00026EC1">
        <w:t>’</w:t>
      </w:r>
      <w:r w:rsidRPr="00026EC1">
        <w:t>avis du département concerné. Le présent paragraphe ne s</w:t>
      </w:r>
      <w:r w:rsidR="004A41E4" w:rsidRPr="00026EC1">
        <w:t>’</w:t>
      </w:r>
      <w:r w:rsidRPr="00026EC1">
        <w:t>applique pas aux contrats de ce type existant lors de l</w:t>
      </w:r>
      <w:r w:rsidR="004A41E4" w:rsidRPr="00026EC1">
        <w:t>’</w:t>
      </w:r>
      <w:r w:rsidRPr="00026EC1">
        <w:t>entrée en vigueur de la convention collective et au renouvellement de ces contrats.</w:t>
      </w:r>
    </w:p>
    <w:p w14:paraId="0669CBA3" w14:textId="77777777" w:rsidR="00FB017A" w:rsidRPr="00026EC1" w:rsidRDefault="00FB017A" w:rsidP="00A64613">
      <w:pPr>
        <w:keepNext w:val="0"/>
      </w:pPr>
    </w:p>
    <w:p w14:paraId="23B5E2FD" w14:textId="77777777" w:rsidR="00FB017A" w:rsidRPr="00026EC1" w:rsidRDefault="00FB017A" w:rsidP="00A64613">
      <w:pPr>
        <w:keepNext w:val="0"/>
      </w:pPr>
      <w:r w:rsidRPr="00026EC1">
        <w:t>De plus, un tel contrat ou renouvellement ne peut avoir pour effet d</w:t>
      </w:r>
      <w:r w:rsidR="004A41E4" w:rsidRPr="00026EC1">
        <w:t>’</w:t>
      </w:r>
      <w:r w:rsidRPr="00026EC1">
        <w:t>entraîner des mises en disponibilité.</w:t>
      </w:r>
    </w:p>
    <w:p w14:paraId="13D1D549" w14:textId="204A55F3" w:rsidR="00FB017A" w:rsidRPr="00026EC1" w:rsidRDefault="00FB017A" w:rsidP="00A64613">
      <w:pPr>
        <w:keepNext w:val="0"/>
      </w:pPr>
    </w:p>
    <w:p w14:paraId="5BDD6962" w14:textId="586F2AEA" w:rsidR="00467AF4" w:rsidRPr="008E6CF8" w:rsidRDefault="00467AF4" w:rsidP="00A64613">
      <w:pPr>
        <w:pStyle w:val="NUMRODECLAUSE"/>
        <w:keepNext w:val="0"/>
      </w:pPr>
      <w:r w:rsidRPr="008E6CF8">
        <w:t>10</w:t>
      </w:r>
      <w:r w:rsidR="00984A6F">
        <w:noBreakHyphen/>
      </w:r>
      <w:r w:rsidRPr="008E6CF8">
        <w:t>1.11</w:t>
      </w:r>
    </w:p>
    <w:p w14:paraId="0E6014F2" w14:textId="36B6C75E" w:rsidR="007F684C" w:rsidRPr="008E6CF8" w:rsidRDefault="007F684C" w:rsidP="00A64613">
      <w:pPr>
        <w:keepNext w:val="0"/>
        <w:autoSpaceDE w:val="0"/>
        <w:autoSpaceDN w:val="0"/>
        <w:adjustRightInd w:val="0"/>
        <w:rPr>
          <w:rFonts w:eastAsia="Calibri" w:cs="Arial"/>
          <w:szCs w:val="22"/>
        </w:rPr>
      </w:pPr>
      <w:r w:rsidRPr="008E6CF8">
        <w:rPr>
          <w:rFonts w:eastAsia="Calibri" w:cs="Arial"/>
          <w:szCs w:val="22"/>
        </w:rPr>
        <w:t xml:space="preserve">Lorsque le Collège envisage </w:t>
      </w:r>
      <w:r w:rsidR="00DF66AE" w:rsidRPr="00316277">
        <w:rPr>
          <w:rFonts w:eastAsia="Calibri" w:cs="Arial"/>
          <w:szCs w:val="22"/>
        </w:rPr>
        <w:t>une entente telle qu’</w:t>
      </w:r>
      <w:r w:rsidRPr="008E6CF8">
        <w:rPr>
          <w:rFonts w:eastAsia="Calibri" w:cs="Arial"/>
          <w:szCs w:val="22"/>
        </w:rPr>
        <w:t>un partenariat</w:t>
      </w:r>
      <w:r w:rsidR="00DF66AE">
        <w:rPr>
          <w:rFonts w:eastAsia="Calibri" w:cs="Arial"/>
          <w:szCs w:val="22"/>
        </w:rPr>
        <w:t xml:space="preserve"> </w:t>
      </w:r>
      <w:r w:rsidRPr="008E6CF8">
        <w:rPr>
          <w:rFonts w:eastAsia="Calibri" w:cs="Arial"/>
          <w:szCs w:val="22"/>
        </w:rPr>
        <w:t xml:space="preserve">avec un autre établissement </w:t>
      </w:r>
      <w:r w:rsidR="00DF66AE" w:rsidRPr="00316277">
        <w:rPr>
          <w:rFonts w:eastAsia="Calibri" w:cs="Arial"/>
          <w:szCs w:val="22"/>
        </w:rPr>
        <w:t>pour y donner de l</w:t>
      </w:r>
      <w:r w:rsidRPr="00316277">
        <w:rPr>
          <w:rFonts w:eastAsia="Calibri" w:cs="Arial"/>
          <w:szCs w:val="22"/>
        </w:rPr>
        <w:t>’</w:t>
      </w:r>
      <w:r w:rsidRPr="008E6CF8">
        <w:rPr>
          <w:rFonts w:eastAsia="Calibri" w:cs="Arial"/>
          <w:szCs w:val="22"/>
        </w:rPr>
        <w:t xml:space="preserve">enseignement et que </w:t>
      </w:r>
      <w:r w:rsidR="00DF66AE" w:rsidRPr="00316277">
        <w:rPr>
          <w:rFonts w:eastAsia="Calibri" w:cs="Arial"/>
          <w:szCs w:val="22"/>
        </w:rPr>
        <w:t>cette entente</w:t>
      </w:r>
      <w:r w:rsidR="00DF66AE">
        <w:rPr>
          <w:rFonts w:eastAsia="Calibri" w:cs="Arial"/>
          <w:szCs w:val="22"/>
        </w:rPr>
        <w:t xml:space="preserve"> </w:t>
      </w:r>
      <w:r w:rsidRPr="008E6CF8">
        <w:rPr>
          <w:rFonts w:eastAsia="Calibri" w:cs="Arial"/>
          <w:szCs w:val="22"/>
        </w:rPr>
        <w:t xml:space="preserve">touche l’organisation et les conditions de travail des enseignantes et des enseignants, le Collège en discute en CRT au moins </w:t>
      </w:r>
      <w:r w:rsidRPr="00A3386D">
        <w:rPr>
          <w:rFonts w:eastAsia="Calibri" w:cs="Arial"/>
          <w:szCs w:val="22"/>
        </w:rPr>
        <w:t>quatre</w:t>
      </w:r>
      <w:r w:rsidR="00D932FB" w:rsidRPr="00A3386D">
        <w:rPr>
          <w:rFonts w:eastAsia="Calibri" w:cs="Arial"/>
          <w:szCs w:val="22"/>
        </w:rPr>
        <w:t> </w:t>
      </w:r>
      <w:r w:rsidRPr="00A3386D">
        <w:rPr>
          <w:rFonts w:eastAsia="Calibri" w:cs="Arial"/>
          <w:szCs w:val="22"/>
        </w:rPr>
        <w:t>(4) m</w:t>
      </w:r>
      <w:r w:rsidRPr="008E6CF8">
        <w:rPr>
          <w:rFonts w:eastAsia="Calibri" w:cs="Arial"/>
          <w:szCs w:val="22"/>
        </w:rPr>
        <w:t xml:space="preserve">ois avant son entrée en vigueur, sauf en cas d’évènement de force majeure. </w:t>
      </w:r>
    </w:p>
    <w:p w14:paraId="1710333A" w14:textId="77777777" w:rsidR="007F684C" w:rsidRPr="008E6CF8" w:rsidRDefault="007F684C" w:rsidP="00A64613">
      <w:pPr>
        <w:keepNext w:val="0"/>
        <w:spacing w:line="259" w:lineRule="auto"/>
        <w:rPr>
          <w:rFonts w:eastAsia="Calibri" w:cs="Arial"/>
          <w:szCs w:val="22"/>
        </w:rPr>
      </w:pPr>
    </w:p>
    <w:p w14:paraId="6389EB18" w14:textId="368E2398" w:rsidR="007F684C" w:rsidRPr="00E52347" w:rsidRDefault="007F684C" w:rsidP="00A64613">
      <w:pPr>
        <w:keepNext w:val="0"/>
        <w:spacing w:line="259" w:lineRule="auto"/>
        <w:rPr>
          <w:rFonts w:eastAsia="Calibri" w:cs="Arial"/>
          <w:szCs w:val="22"/>
        </w:rPr>
      </w:pPr>
      <w:r w:rsidRPr="008E6CF8">
        <w:rPr>
          <w:rFonts w:eastAsia="Calibri" w:cs="Arial"/>
          <w:szCs w:val="22"/>
        </w:rPr>
        <w:t>À la formation continue, ce délai est réduit à un</w:t>
      </w:r>
      <w:r w:rsidR="00D932FB">
        <w:rPr>
          <w:rFonts w:eastAsia="Calibri" w:cs="Arial"/>
          <w:szCs w:val="22"/>
        </w:rPr>
        <w:t> </w:t>
      </w:r>
      <w:r w:rsidRPr="008E6CF8">
        <w:rPr>
          <w:rFonts w:eastAsia="Calibri" w:cs="Arial"/>
          <w:szCs w:val="22"/>
        </w:rPr>
        <w:t>(1) mois.</w:t>
      </w:r>
    </w:p>
    <w:p w14:paraId="2BDECB43" w14:textId="204A55F3" w:rsidR="00467AF4" w:rsidRDefault="00467AF4" w:rsidP="00A64613">
      <w:pPr>
        <w:keepNext w:val="0"/>
      </w:pPr>
    </w:p>
    <w:p w14:paraId="73F00F08" w14:textId="70648973" w:rsidR="00FB017A" w:rsidRPr="008E6CF8" w:rsidRDefault="00FB017A" w:rsidP="00A64613">
      <w:pPr>
        <w:pStyle w:val="NUMRODECLAUSE"/>
        <w:keepNext w:val="0"/>
      </w:pPr>
      <w:r w:rsidRPr="00026EC1">
        <w:t>10</w:t>
      </w:r>
      <w:r w:rsidR="00984A6F">
        <w:noBreakHyphen/>
      </w:r>
      <w:r w:rsidRPr="00026EC1">
        <w:t>1.</w:t>
      </w:r>
      <w:r w:rsidR="007F684C" w:rsidRPr="008E6CF8">
        <w:t>12</w:t>
      </w:r>
    </w:p>
    <w:p w14:paraId="5B7DAAFA" w14:textId="77777777" w:rsidR="007D0CE4" w:rsidRPr="008E6CF8" w:rsidRDefault="00FB017A" w:rsidP="00A64613">
      <w:pPr>
        <w:keepNext w:val="0"/>
      </w:pPr>
      <w:r w:rsidRPr="008E6CF8">
        <w:t>Les avis écrits prévus dans la convention collective peuvent être transmis sur support papier ou support électronique tel que le télécopieur ou le courriel.</w:t>
      </w:r>
    </w:p>
    <w:p w14:paraId="7F15296F" w14:textId="77777777" w:rsidR="002C6260" w:rsidRPr="008E6CF8" w:rsidRDefault="002C6260" w:rsidP="00A64613">
      <w:pPr>
        <w:pStyle w:val="Article59delaloi37"/>
        <w:keepNext w:val="0"/>
      </w:pPr>
      <w:r w:rsidRPr="008E6CF8">
        <w:t>Les dispositions suivantes sont l</w:t>
      </w:r>
      <w:r w:rsidR="004A41E4" w:rsidRPr="008E6CF8">
        <w:t>’</w:t>
      </w:r>
      <w:r w:rsidRPr="008E6CF8">
        <w:t>objet d</w:t>
      </w:r>
      <w:r w:rsidR="004A41E4" w:rsidRPr="008E6CF8">
        <w:t>’</w:t>
      </w:r>
      <w:r w:rsidRPr="008E6CF8">
        <w:t>une recommandation des parties nationales et sont soumises à l</w:t>
      </w:r>
      <w:r w:rsidR="004A41E4" w:rsidRPr="008E6CF8">
        <w:t>’</w:t>
      </w:r>
      <w:r w:rsidRPr="008E6CF8">
        <w:t>application de l</w:t>
      </w:r>
      <w:r w:rsidR="004A41E4" w:rsidRPr="008E6CF8">
        <w:t>’</w:t>
      </w:r>
      <w:r w:rsidRPr="008E6CF8">
        <w:t>article 59 de la Loi sur le régime de négociation des conventions collectives dans les secteurs public et parapublic, si elles sont agréées et signées par les parties locales.</w:t>
      </w:r>
    </w:p>
    <w:p w14:paraId="69E387C0" w14:textId="77777777" w:rsidR="00FB017A" w:rsidRPr="008E6CF8" w:rsidRDefault="00FB017A" w:rsidP="00A64613">
      <w:pPr>
        <w:keepNext w:val="0"/>
      </w:pPr>
    </w:p>
    <w:p w14:paraId="58DBB77A" w14:textId="1DF6921C" w:rsidR="00FB017A" w:rsidRPr="00026EC1" w:rsidRDefault="00FB017A" w:rsidP="00A64613">
      <w:pPr>
        <w:pStyle w:val="NUMRODECLAUSE"/>
        <w:keepNext w:val="0"/>
      </w:pPr>
      <w:r w:rsidRPr="008E6CF8">
        <w:t>10</w:t>
      </w:r>
      <w:r w:rsidR="00984A6F">
        <w:noBreakHyphen/>
      </w:r>
      <w:r w:rsidRPr="008E6CF8">
        <w:t>1.</w:t>
      </w:r>
      <w:r w:rsidR="007F684C" w:rsidRPr="008E6CF8">
        <w:t>13</w:t>
      </w:r>
    </w:p>
    <w:p w14:paraId="7DE369B8" w14:textId="77777777" w:rsidR="004C0B5F" w:rsidRDefault="00FB017A" w:rsidP="00A64613">
      <w:pPr>
        <w:keepNext w:val="0"/>
      </w:pPr>
      <w:r w:rsidRPr="00026EC1">
        <w:t>Le Collège convient de consulter le CRT sur toute question relative au stationnement, dans la mesure où les conditions de travail des enseignantes et</w:t>
      </w:r>
      <w:r w:rsidR="00515C2F" w:rsidRPr="00026EC1">
        <w:t xml:space="preserve"> enseignants en sont affectées.</w:t>
      </w:r>
    </w:p>
    <w:p w14:paraId="73242E8E" w14:textId="77777777" w:rsidR="009E4F22" w:rsidRDefault="009E4F22" w:rsidP="00A64613">
      <w:pPr>
        <w:keepNext w:val="0"/>
      </w:pPr>
    </w:p>
    <w:p w14:paraId="6A6929F6" w14:textId="03CD3984" w:rsidR="009E4F22" w:rsidRDefault="009E4F22" w:rsidP="00A64613">
      <w:pPr>
        <w:keepNext w:val="0"/>
        <w:sectPr w:rsidR="009E4F22" w:rsidSect="00522997">
          <w:headerReference w:type="default" r:id="rId38"/>
          <w:footnotePr>
            <w:numRestart w:val="eachPage"/>
          </w:footnotePr>
          <w:pgSz w:w="12240" w:h="15840" w:code="1"/>
          <w:pgMar w:top="720" w:right="1077" w:bottom="1242" w:left="1684" w:header="709" w:footer="709" w:gutter="0"/>
          <w:cols w:space="708"/>
          <w:docGrid w:linePitch="360"/>
        </w:sectPr>
      </w:pPr>
    </w:p>
    <w:p w14:paraId="18371DA1" w14:textId="4AFC121C" w:rsidR="00404F34" w:rsidRPr="00026EC1" w:rsidRDefault="00BC4A82" w:rsidP="00A64613">
      <w:pPr>
        <w:pStyle w:val="Heading1"/>
        <w:keepNext w:val="0"/>
        <w:tabs>
          <w:tab w:val="left" w:pos="1701"/>
          <w:tab w:val="left" w:pos="1985"/>
        </w:tabs>
        <w:rPr>
          <w:lang w:val="fr-FR"/>
        </w:rPr>
      </w:pPr>
      <w:bookmarkStart w:id="971" w:name="_Toc535046644"/>
      <w:bookmarkStart w:id="972" w:name="_Toc133760811"/>
      <w:bookmarkStart w:id="973" w:name="_Toc133916959"/>
      <w:bookmarkStart w:id="974" w:name="_Toc134437234"/>
      <w:r w:rsidRPr="00026EC1">
        <w:rPr>
          <w:lang w:val="fr-FR"/>
        </w:rPr>
        <w:t>SECTION I</w:t>
      </w:r>
      <w:r w:rsidR="004C4CB9">
        <w:t xml:space="preserve"> </w:t>
      </w:r>
      <w:r w:rsidR="00B92165">
        <w:t>-</w:t>
      </w:r>
      <w:r w:rsidR="004C4CB9">
        <w:t xml:space="preserve"> </w:t>
      </w:r>
      <w:r w:rsidR="00404F34" w:rsidRPr="00026EC1">
        <w:rPr>
          <w:lang w:val="fr-FR"/>
        </w:rPr>
        <w:t>TÂCHE</w:t>
      </w:r>
      <w:bookmarkEnd w:id="971"/>
      <w:bookmarkEnd w:id="972"/>
      <w:bookmarkEnd w:id="973"/>
      <w:bookmarkEnd w:id="974"/>
      <w:r w:rsidR="00550460" w:rsidRPr="0035151D">
        <w:fldChar w:fldCharType="begin"/>
      </w:r>
      <w:r w:rsidR="00550460" w:rsidRPr="0035151D">
        <w:instrText xml:space="preserve"> TC " </w:instrText>
      </w:r>
      <w:bookmarkStart w:id="975" w:name="_Toc94952774"/>
      <w:bookmarkStart w:id="976" w:name="_Toc94954678"/>
      <w:bookmarkStart w:id="977" w:name="_Toc94966355"/>
      <w:bookmarkStart w:id="978" w:name="_Toc95035233"/>
      <w:bookmarkStart w:id="979" w:name="_Toc95035376"/>
      <w:bookmarkStart w:id="980" w:name="_Toc95035519"/>
      <w:bookmarkStart w:id="981" w:name="_Toc95035664"/>
      <w:bookmarkStart w:id="982" w:name="_Toc157589289"/>
      <w:bookmarkStart w:id="983" w:name="_Toc161323740"/>
      <w:bookmarkStart w:id="984" w:name="_Toc163483080"/>
      <w:bookmarkStart w:id="985" w:name="_Toc163483679"/>
      <w:bookmarkStart w:id="986" w:name="_Toc163483869"/>
      <w:bookmarkStart w:id="987" w:name="_Toc167870839"/>
      <w:bookmarkStart w:id="988" w:name="_Toc167871003"/>
      <w:bookmarkStart w:id="989" w:name="_Toc167871159"/>
      <w:bookmarkStart w:id="990" w:name="_Toc167871335"/>
      <w:bookmarkStart w:id="991" w:name="_Toc168049403"/>
      <w:bookmarkStart w:id="992" w:name="_Toc168401567"/>
      <w:bookmarkStart w:id="993" w:name="_Toc168402183"/>
      <w:bookmarkStart w:id="994" w:name="_Toc168409618"/>
      <w:bookmarkStart w:id="995" w:name="_Toc168410372"/>
      <w:bookmarkStart w:id="996" w:name="_Toc168410618"/>
      <w:bookmarkStart w:id="997" w:name="_Toc168410859"/>
      <w:bookmarkStart w:id="998" w:name="_Toc168479566"/>
      <w:r w:rsidR="00550460">
        <w:instrText xml:space="preserve">section i </w:instrText>
      </w:r>
      <w:r w:rsidR="00550460" w:rsidRPr="0035151D">
        <w:instrText xml:space="preserve">  </w:instrText>
      </w:r>
      <w:r w:rsidR="00984A6F">
        <w:noBreakHyphen/>
      </w:r>
      <w:r w:rsidR="00550460" w:rsidRPr="0035151D">
        <w:instrText xml:space="preserve">  </w:instrText>
      </w:r>
      <w:r w:rsidR="00550460">
        <w:instrText>tâche</w:instrTex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00550460" w:rsidRPr="0035151D">
        <w:instrText>"\N</w:instrText>
      </w:r>
      <w:r w:rsidR="00550460" w:rsidRPr="0035151D">
        <w:fldChar w:fldCharType="end"/>
      </w:r>
    </w:p>
    <w:p w14:paraId="15786B6E" w14:textId="45C33222" w:rsidR="00404F34" w:rsidRPr="008D6CAD" w:rsidRDefault="003D3D35" w:rsidP="00A64613">
      <w:pPr>
        <w:pStyle w:val="Heading3"/>
        <w:keepNext w:val="0"/>
      </w:pPr>
      <w:bookmarkStart w:id="999" w:name="_Toc535046645"/>
      <w:bookmarkStart w:id="1000" w:name="_Toc133760812"/>
      <w:bookmarkStart w:id="1001" w:name="_Toc133916960"/>
      <w:bookmarkStart w:id="1002" w:name="_Toc134437235"/>
      <w:bookmarkStart w:id="1003" w:name="_Toc393449396"/>
      <w:bookmarkStart w:id="1004" w:name="_Toc462751520"/>
      <w:bookmarkStart w:id="1005" w:name="_Toc484082537"/>
      <w:bookmarkStart w:id="1006" w:name="_Toc168479567"/>
      <w:r w:rsidRPr="008D6CAD">
        <w:t>Annexe I</w:t>
      </w:r>
      <w:r w:rsidR="00B92165">
        <w:t>-</w:t>
      </w:r>
      <w:r w:rsidRPr="008D6CAD">
        <w:t>1</w:t>
      </w:r>
      <w:bookmarkStart w:id="1007" w:name="_Toc535046646"/>
      <w:bookmarkStart w:id="1008" w:name="_Toc133760813"/>
      <w:bookmarkEnd w:id="999"/>
      <w:bookmarkEnd w:id="1000"/>
      <w:bookmarkEnd w:id="1001"/>
      <w:bookmarkEnd w:id="1002"/>
      <w:r w:rsidRPr="008D6CAD">
        <w:br/>
      </w:r>
      <w:r w:rsidRPr="008D6CAD">
        <w:br/>
        <w:t>Détermination de la charge individuelle de travail</w:t>
      </w:r>
      <w:bookmarkEnd w:id="1003"/>
      <w:bookmarkEnd w:id="1004"/>
      <w:bookmarkEnd w:id="1005"/>
      <w:bookmarkEnd w:id="1006"/>
      <w:bookmarkEnd w:id="1007"/>
      <w:bookmarkEnd w:id="1008"/>
    </w:p>
    <w:p w14:paraId="13834C1D" w14:textId="77777777" w:rsidR="00F67966" w:rsidRPr="00026EC1" w:rsidRDefault="00F67966" w:rsidP="00A64613">
      <w:pPr>
        <w:pStyle w:val="MGSTexte0cm"/>
        <w:keepNext w:val="0"/>
        <w:tabs>
          <w:tab w:val="left" w:pos="540"/>
        </w:tabs>
        <w:ind w:left="540" w:hanging="540"/>
      </w:pPr>
      <w:r w:rsidRPr="00026EC1">
        <w:rPr>
          <w:u w:val="none"/>
        </w:rPr>
        <w:t>1.0</w:t>
      </w:r>
      <w:r w:rsidRPr="00026EC1">
        <w:rPr>
          <w:u w:val="none"/>
        </w:rPr>
        <w:tab/>
      </w:r>
      <w:r w:rsidRPr="00026EC1">
        <w:t>COMPTABILISATION DE LA CHARGE INDIVIDUELLE POUR UNE SESSION</w:t>
      </w:r>
    </w:p>
    <w:p w14:paraId="2F0BBE6A" w14:textId="77777777" w:rsidR="00F67966" w:rsidRPr="00026EC1" w:rsidRDefault="00F67966" w:rsidP="00A64613">
      <w:pPr>
        <w:keepNext w:val="0"/>
      </w:pPr>
    </w:p>
    <w:p w14:paraId="7094C617" w14:textId="77777777" w:rsidR="00F67966" w:rsidRPr="00026EC1" w:rsidRDefault="00275751" w:rsidP="00A64613">
      <w:pPr>
        <w:keepNext w:val="0"/>
        <w:tabs>
          <w:tab w:val="left" w:pos="567"/>
        </w:tabs>
        <w:ind w:left="567" w:hanging="567"/>
        <w:rPr>
          <w:b/>
          <w:bCs/>
          <w:u w:val="single"/>
        </w:rPr>
      </w:pPr>
      <w:r w:rsidRPr="00026EC1">
        <w:rPr>
          <w:b/>
          <w:bCs/>
        </w:rPr>
        <w:t>a)</w:t>
      </w:r>
      <w:r w:rsidRPr="00026EC1">
        <w:rPr>
          <w:b/>
          <w:bCs/>
        </w:rPr>
        <w:tab/>
      </w:r>
      <w:r w:rsidR="00F67966" w:rsidRPr="00026EC1">
        <w:rPr>
          <w:b/>
          <w:bCs/>
          <w:u w:val="single"/>
        </w:rPr>
        <w:t>Définition</w:t>
      </w:r>
    </w:p>
    <w:p w14:paraId="16805B8A" w14:textId="77777777" w:rsidR="00F67966" w:rsidRPr="00026EC1" w:rsidRDefault="00F67966" w:rsidP="00A64613">
      <w:pPr>
        <w:keepNext w:val="0"/>
      </w:pPr>
    </w:p>
    <w:p w14:paraId="55448849" w14:textId="2D12234C" w:rsidR="00F67966" w:rsidRPr="00026EC1" w:rsidRDefault="00F67966" w:rsidP="00A64613">
      <w:pPr>
        <w:pStyle w:val="Texte1cm"/>
        <w:keepNext w:val="0"/>
      </w:pPr>
      <w:r w:rsidRPr="00026EC1">
        <w:t>La comptabilisation de la charge individuelle (CI) pour une session donnée se fait à l</w:t>
      </w:r>
      <w:r w:rsidR="00BC3319" w:rsidRPr="00026EC1">
        <w:t>’</w:t>
      </w:r>
      <w:r w:rsidRPr="00026EC1">
        <w:t>aide de la relation suivante</w:t>
      </w:r>
      <w:r w:rsidR="00D8581B">
        <w:t> :</w:t>
      </w:r>
    </w:p>
    <w:p w14:paraId="412D397A" w14:textId="77777777" w:rsidR="00F67966" w:rsidRPr="00026EC1" w:rsidRDefault="00F67966" w:rsidP="00A64613">
      <w:pPr>
        <w:keepNext w:val="0"/>
      </w:pPr>
    </w:p>
    <w:p w14:paraId="7F02D8CE" w14:textId="2CBA81B1" w:rsidR="00F67966" w:rsidRPr="00026EC1" w:rsidRDefault="00F67966" w:rsidP="00A64613">
      <w:pPr>
        <w:pStyle w:val="Texte1cm"/>
        <w:keepNext w:val="0"/>
      </w:pPr>
      <w:r w:rsidRPr="00026EC1">
        <w:t xml:space="preserve">CI = </w:t>
      </w:r>
      <w:r w:rsidRPr="00026EC1">
        <w:tab/>
        <w:t>CI</w:t>
      </w:r>
      <w:r w:rsidRPr="00026EC1">
        <w:rPr>
          <w:vertAlign w:val="subscript"/>
        </w:rPr>
        <w:t>p</w:t>
      </w:r>
      <w:r w:rsidRPr="00026EC1">
        <w:t xml:space="preserve"> + CI</w:t>
      </w:r>
      <w:r w:rsidRPr="00026EC1">
        <w:rPr>
          <w:vertAlign w:val="subscript"/>
        </w:rPr>
        <w:t>s</w:t>
      </w:r>
      <w:r w:rsidRPr="00026EC1">
        <w:t xml:space="preserve"> + C</w:t>
      </w:r>
      <w:r w:rsidR="00AE3873" w:rsidRPr="00026EC1">
        <w:t>I</w:t>
      </w:r>
      <w:r w:rsidRPr="00026EC1">
        <w:rPr>
          <w:vertAlign w:val="subscript"/>
        </w:rPr>
        <w:t>d</w:t>
      </w:r>
      <w:r w:rsidRPr="00026EC1">
        <w:t xml:space="preserve"> + CI</w:t>
      </w:r>
      <w:r w:rsidR="00AE3873" w:rsidRPr="00026EC1">
        <w:rPr>
          <w:vertAlign w:val="subscript"/>
        </w:rPr>
        <w:t>L</w:t>
      </w:r>
      <w:r w:rsidRPr="00026EC1">
        <w:t xml:space="preserve"> + CI</w:t>
      </w:r>
      <w:r w:rsidRPr="00026EC1">
        <w:rPr>
          <w:vertAlign w:val="subscript"/>
        </w:rPr>
        <w:t>f</w:t>
      </w:r>
      <w:r w:rsidR="00566552" w:rsidRPr="00026EC1">
        <w:rPr>
          <w:vertAlign w:val="subscript"/>
        </w:rPr>
        <w:t xml:space="preserve"> </w:t>
      </w:r>
      <w:r w:rsidR="00566552" w:rsidRPr="00026EC1">
        <w:t>+ CI</w:t>
      </w:r>
      <w:r w:rsidR="00566552" w:rsidRPr="00026EC1">
        <w:rPr>
          <w:vertAlign w:val="subscript"/>
        </w:rPr>
        <w:t xml:space="preserve">cp </w:t>
      </w:r>
      <w:r w:rsidR="00566552" w:rsidRPr="00026EC1">
        <w:t>+ CI</w:t>
      </w:r>
      <w:r w:rsidR="00566552" w:rsidRPr="00026EC1">
        <w:rPr>
          <w:vertAlign w:val="subscript"/>
        </w:rPr>
        <w:t>cp</w:t>
      </w:r>
      <w:r w:rsidR="006E6E16" w:rsidRPr="00026EC1">
        <w:rPr>
          <w:vertAlign w:val="subscript"/>
        </w:rPr>
        <w:t>’</w:t>
      </w:r>
    </w:p>
    <w:p w14:paraId="2B444EB9" w14:textId="77777777" w:rsidR="00F67966" w:rsidRPr="00026EC1" w:rsidRDefault="00F67966" w:rsidP="00A64613">
      <w:pPr>
        <w:keepNext w:val="0"/>
      </w:pPr>
    </w:p>
    <w:p w14:paraId="768CDAA8" w14:textId="77777777" w:rsidR="00F67966" w:rsidRPr="00026EC1" w:rsidRDefault="00F67966" w:rsidP="00A64613">
      <w:pPr>
        <w:pStyle w:val="Texte1cm"/>
        <w:keepNext w:val="0"/>
      </w:pPr>
      <w:r w:rsidRPr="00026EC1">
        <w:t>où</w:t>
      </w:r>
    </w:p>
    <w:p w14:paraId="14AD5BDD" w14:textId="77777777" w:rsidR="00F67966" w:rsidRPr="00026EC1" w:rsidRDefault="00F67966" w:rsidP="00A64613">
      <w:pPr>
        <w:keepNext w:val="0"/>
      </w:pPr>
    </w:p>
    <w:p w14:paraId="59A9F870" w14:textId="77777777" w:rsidR="00F67966" w:rsidRPr="00026EC1" w:rsidRDefault="00F67966" w:rsidP="00A64613">
      <w:pPr>
        <w:pStyle w:val="Texte1cm"/>
        <w:keepNext w:val="0"/>
        <w:ind w:left="1416" w:hanging="849"/>
      </w:pPr>
      <w:r w:rsidRPr="00026EC1">
        <w:t>CI</w:t>
      </w:r>
      <w:r w:rsidRPr="00026EC1">
        <w:rPr>
          <w:vertAlign w:val="subscript"/>
        </w:rPr>
        <w:t>p</w:t>
      </w:r>
      <w:r w:rsidRPr="00026EC1">
        <w:tab/>
        <w:t>est la CI associée à la prestation de cours et de laboratoires et à la supervision de stages pour lesquels il n</w:t>
      </w:r>
      <w:r w:rsidR="00BC3319" w:rsidRPr="00026EC1">
        <w:t>’</w:t>
      </w:r>
      <w:r w:rsidRPr="00026EC1">
        <w:t>existe pas de Ne</w:t>
      </w:r>
      <w:r w:rsidRPr="00026EC1">
        <w:rPr>
          <w:vertAlign w:val="subscript"/>
        </w:rPr>
        <w:t>jk</w:t>
      </w:r>
      <w:r w:rsidRPr="00026EC1">
        <w:t>;</w:t>
      </w:r>
    </w:p>
    <w:p w14:paraId="68ACC1A4" w14:textId="77777777" w:rsidR="00F67966" w:rsidRPr="00026EC1" w:rsidRDefault="00F67966" w:rsidP="00A64613">
      <w:pPr>
        <w:keepNext w:val="0"/>
      </w:pPr>
    </w:p>
    <w:p w14:paraId="468DB26E" w14:textId="77777777" w:rsidR="00F67966" w:rsidRPr="00026EC1" w:rsidRDefault="00F67966" w:rsidP="00A64613">
      <w:pPr>
        <w:pStyle w:val="Texte1cm"/>
        <w:keepNext w:val="0"/>
        <w:ind w:left="1416" w:hanging="849"/>
      </w:pPr>
      <w:r w:rsidRPr="00026EC1">
        <w:t>CI</w:t>
      </w:r>
      <w:r w:rsidRPr="00026EC1">
        <w:rPr>
          <w:vertAlign w:val="subscript"/>
        </w:rPr>
        <w:t>s</w:t>
      </w:r>
      <w:r w:rsidRPr="00026EC1">
        <w:tab/>
        <w:t>est la CI associée à la supervision de stages pour lesquels il existe un Ne</w:t>
      </w:r>
      <w:r w:rsidRPr="00026EC1">
        <w:rPr>
          <w:vertAlign w:val="subscript"/>
        </w:rPr>
        <w:t>jk</w:t>
      </w:r>
      <w:r w:rsidRPr="00026EC1">
        <w:t>;</w:t>
      </w:r>
    </w:p>
    <w:p w14:paraId="4502F77C" w14:textId="77777777" w:rsidR="00F67966" w:rsidRPr="00026EC1" w:rsidRDefault="00F67966" w:rsidP="00A64613">
      <w:pPr>
        <w:keepNext w:val="0"/>
      </w:pPr>
    </w:p>
    <w:p w14:paraId="1DDD1B81" w14:textId="77777777" w:rsidR="00F67966" w:rsidRPr="00026EC1" w:rsidRDefault="00F67966" w:rsidP="00A64613">
      <w:pPr>
        <w:pStyle w:val="Texte1cm"/>
        <w:keepNext w:val="0"/>
        <w:tabs>
          <w:tab w:val="left" w:pos="1418"/>
        </w:tabs>
      </w:pPr>
      <w:r w:rsidRPr="00026EC1">
        <w:t>CI</w:t>
      </w:r>
      <w:r w:rsidRPr="00026EC1">
        <w:rPr>
          <w:vertAlign w:val="subscript"/>
        </w:rPr>
        <w:t>d</w:t>
      </w:r>
      <w:r w:rsidRPr="00026EC1">
        <w:tab/>
        <w:t>est la CI associée aux temps de déplacement;</w:t>
      </w:r>
    </w:p>
    <w:p w14:paraId="4674D3F8" w14:textId="77777777" w:rsidR="00F67966" w:rsidRPr="00026EC1" w:rsidRDefault="00F67966" w:rsidP="00A64613">
      <w:pPr>
        <w:keepNext w:val="0"/>
      </w:pPr>
    </w:p>
    <w:p w14:paraId="0AF49C1A" w14:textId="77777777" w:rsidR="00F67966" w:rsidRPr="00026EC1" w:rsidRDefault="00F67966" w:rsidP="00A64613">
      <w:pPr>
        <w:pStyle w:val="Texte1cm"/>
        <w:keepNext w:val="0"/>
        <w:tabs>
          <w:tab w:val="left" w:pos="1418"/>
        </w:tabs>
      </w:pPr>
      <w:r w:rsidRPr="00026EC1">
        <w:t>CI</w:t>
      </w:r>
      <w:r w:rsidR="00AE3873" w:rsidRPr="00026EC1">
        <w:rPr>
          <w:vertAlign w:val="subscript"/>
        </w:rPr>
        <w:t>L</w:t>
      </w:r>
      <w:r w:rsidRPr="00026EC1">
        <w:tab/>
        <w:t>est la CI associée à une libération;</w:t>
      </w:r>
    </w:p>
    <w:p w14:paraId="65153E1A" w14:textId="77777777" w:rsidR="00F67966" w:rsidRPr="00026EC1" w:rsidRDefault="00F67966" w:rsidP="00A64613">
      <w:pPr>
        <w:keepNext w:val="0"/>
      </w:pPr>
    </w:p>
    <w:p w14:paraId="7AFC4F2C" w14:textId="3B5E8611" w:rsidR="00F67966" w:rsidRPr="00026EC1" w:rsidRDefault="00F67966" w:rsidP="00A64613">
      <w:pPr>
        <w:pStyle w:val="Texte1cm"/>
        <w:keepNext w:val="0"/>
        <w:ind w:left="1416" w:hanging="849"/>
      </w:pPr>
      <w:r w:rsidRPr="00026EC1">
        <w:t>CI</w:t>
      </w:r>
      <w:r w:rsidRPr="00026EC1">
        <w:rPr>
          <w:vertAlign w:val="subscript"/>
        </w:rPr>
        <w:t>f</w:t>
      </w:r>
      <w:r w:rsidRPr="00026EC1">
        <w:tab/>
        <w:t>est la CI associée à une affectation en vertu de l</w:t>
      </w:r>
      <w:r w:rsidR="00BC3319" w:rsidRPr="00026EC1">
        <w:t>’</w:t>
      </w:r>
      <w:r w:rsidRPr="00026EC1">
        <w:t>alinéa J) de la clause 5</w:t>
      </w:r>
      <w:r w:rsidR="00984A6F">
        <w:noBreakHyphen/>
      </w:r>
      <w:r w:rsidRPr="00026EC1">
        <w:t>4.07.</w:t>
      </w:r>
    </w:p>
    <w:p w14:paraId="3C76421F" w14:textId="77777777" w:rsidR="00566552" w:rsidRPr="00026EC1" w:rsidRDefault="00566552" w:rsidP="00A64613">
      <w:pPr>
        <w:pStyle w:val="Texte1cm"/>
        <w:keepNext w:val="0"/>
        <w:ind w:left="1416" w:hanging="849"/>
      </w:pPr>
    </w:p>
    <w:p w14:paraId="1FD371E9" w14:textId="77777777" w:rsidR="00566552" w:rsidRPr="00026EC1" w:rsidRDefault="00566552" w:rsidP="00A64613">
      <w:pPr>
        <w:keepNext w:val="0"/>
        <w:ind w:left="1418" w:right="123" w:hanging="851"/>
      </w:pPr>
      <w:r w:rsidRPr="00026EC1">
        <w:t>CI</w:t>
      </w:r>
      <w:r w:rsidRPr="00026EC1">
        <w:rPr>
          <w:vertAlign w:val="subscript"/>
        </w:rPr>
        <w:t>cp</w:t>
      </w:r>
      <w:r w:rsidRPr="00026EC1">
        <w:tab/>
        <w:t>est la CI associée à l’instrument principal ou l’instrument complémentaire pour les programmes de Musique (501.A0), incluant les doubles cheminements, et Techniques professionnelles de musique et chanson (551.A0);</w:t>
      </w:r>
    </w:p>
    <w:p w14:paraId="0DC5B889" w14:textId="77777777" w:rsidR="00566552" w:rsidRPr="00026EC1" w:rsidRDefault="00566552" w:rsidP="00A64613">
      <w:pPr>
        <w:keepNext w:val="0"/>
        <w:ind w:left="282" w:right="407" w:hanging="1418"/>
      </w:pPr>
      <w:r w:rsidRPr="00026EC1">
        <w:rPr>
          <w:sz w:val="16"/>
          <w:szCs w:val="16"/>
        </w:rPr>
        <w:tab/>
      </w:r>
    </w:p>
    <w:p w14:paraId="75451EC8" w14:textId="31E6BC1F" w:rsidR="00566552" w:rsidRDefault="00566552" w:rsidP="00A64613">
      <w:pPr>
        <w:keepNext w:val="0"/>
        <w:ind w:left="1418" w:right="123" w:hanging="851"/>
      </w:pPr>
      <w:r w:rsidRPr="00026EC1">
        <w:t>CI</w:t>
      </w:r>
      <w:r w:rsidRPr="00026EC1">
        <w:rPr>
          <w:vertAlign w:val="subscript"/>
        </w:rPr>
        <w:t>cp’</w:t>
      </w:r>
      <w:r w:rsidRPr="00026EC1">
        <w:tab/>
        <w:t>est la CI associée au laboratoire lié à l’instrument principal pour les programmes de Musique (501.A0), incluant les doubles cheminements, et Techniques professionnelles de musique et chanson (551.A0)</w:t>
      </w:r>
      <w:r w:rsidRPr="00773CA9">
        <w:t>.</w:t>
      </w:r>
    </w:p>
    <w:p w14:paraId="2E6F3FE6" w14:textId="77777777" w:rsidR="00B109EB" w:rsidRPr="00026EC1" w:rsidRDefault="00B109EB" w:rsidP="00A64613">
      <w:pPr>
        <w:keepNext w:val="0"/>
      </w:pPr>
    </w:p>
    <w:p w14:paraId="55A2DF80" w14:textId="77777777" w:rsidR="00F67966" w:rsidRPr="00026EC1" w:rsidRDefault="00275751" w:rsidP="00A64613">
      <w:pPr>
        <w:keepNext w:val="0"/>
        <w:tabs>
          <w:tab w:val="left" w:pos="567"/>
        </w:tabs>
        <w:ind w:left="567" w:hanging="567"/>
        <w:rPr>
          <w:b/>
          <w:bCs/>
          <w:u w:val="single"/>
        </w:rPr>
      </w:pPr>
      <w:r w:rsidRPr="00026EC1">
        <w:rPr>
          <w:b/>
          <w:bCs/>
        </w:rPr>
        <w:t>b)</w:t>
      </w:r>
      <w:r w:rsidRPr="00026EC1">
        <w:rPr>
          <w:b/>
          <w:bCs/>
        </w:rPr>
        <w:tab/>
      </w:r>
      <w:r w:rsidR="00F67966" w:rsidRPr="00026EC1">
        <w:rPr>
          <w:b/>
          <w:bCs/>
          <w:u w:val="single"/>
        </w:rPr>
        <w:t>Calcul de la CI</w:t>
      </w:r>
      <w:r w:rsidR="00F67966" w:rsidRPr="00026EC1">
        <w:rPr>
          <w:b/>
          <w:bCs/>
          <w:u w:val="single"/>
          <w:vertAlign w:val="subscript"/>
        </w:rPr>
        <w:t>p</w:t>
      </w:r>
    </w:p>
    <w:p w14:paraId="64651321" w14:textId="77777777" w:rsidR="00F67966" w:rsidRPr="00026EC1" w:rsidRDefault="00F67966" w:rsidP="00A64613">
      <w:pPr>
        <w:keepNext w:val="0"/>
      </w:pPr>
    </w:p>
    <w:p w14:paraId="4ED1E9C6" w14:textId="77777777" w:rsidR="006E6E16" w:rsidRDefault="00F67966" w:rsidP="00A64613">
      <w:pPr>
        <w:pStyle w:val="Texte1cm"/>
        <w:keepNext w:val="0"/>
        <w:sectPr w:rsidR="006E6E16" w:rsidSect="00522997">
          <w:headerReference w:type="default" r:id="rId39"/>
          <w:footnotePr>
            <w:numRestart w:val="eachPage"/>
          </w:footnotePr>
          <w:pgSz w:w="12240" w:h="15840" w:code="1"/>
          <w:pgMar w:top="720" w:right="1077" w:bottom="1242" w:left="1684" w:header="709" w:footer="709" w:gutter="0"/>
          <w:cols w:space="708"/>
          <w:docGrid w:linePitch="360"/>
        </w:sectPr>
      </w:pPr>
      <w:r w:rsidRPr="00026EC1">
        <w:t>La comptabilisation de la charge individuelle associée à la prestation de cours et de laboratoire et à la supervision de stages sans Ne</w:t>
      </w:r>
      <w:r w:rsidRPr="00026EC1">
        <w:rPr>
          <w:vertAlign w:val="subscript"/>
        </w:rPr>
        <w:t>jk</w:t>
      </w:r>
      <w:r w:rsidRPr="00026EC1">
        <w:t xml:space="preserve"> pour une session donnée se fait à l</w:t>
      </w:r>
      <w:r w:rsidR="00BC3319" w:rsidRPr="00026EC1">
        <w:t>’</w:t>
      </w:r>
      <w:r w:rsidRPr="00026EC1">
        <w:t>aide des valeurs suivantes</w:t>
      </w:r>
      <w:r w:rsidR="00D8581B">
        <w:t> :</w:t>
      </w:r>
    </w:p>
    <w:p w14:paraId="7E33D93F" w14:textId="77777777" w:rsidR="00780FBC" w:rsidRDefault="00F67966" w:rsidP="006E6E16">
      <w:pPr>
        <w:pStyle w:val="Texte1cm"/>
        <w:keepNext w:val="0"/>
        <w:tabs>
          <w:tab w:val="left" w:pos="2160"/>
        </w:tabs>
        <w:ind w:left="2160" w:hanging="1620"/>
      </w:pPr>
      <w:r w:rsidRPr="00026EC1">
        <w:t>HC</w:t>
      </w:r>
      <w:r w:rsidR="00D8581B">
        <w:t> :</w:t>
      </w:r>
      <w:r w:rsidRPr="00026EC1">
        <w:tab/>
        <w:t>Le nombre de périodes de prestation par semaine confiées à une enseignante ou un enseignant;</w:t>
      </w:r>
    </w:p>
    <w:p w14:paraId="0A74E2DD" w14:textId="77777777" w:rsidR="00780FBC" w:rsidRDefault="00780FBC" w:rsidP="006E6E16">
      <w:pPr>
        <w:pStyle w:val="Texte1cm"/>
        <w:keepNext w:val="0"/>
        <w:tabs>
          <w:tab w:val="left" w:pos="2160"/>
        </w:tabs>
        <w:ind w:left="2160" w:hanging="1620"/>
      </w:pPr>
    </w:p>
    <w:p w14:paraId="38E886D2" w14:textId="267757D9" w:rsidR="00F67966" w:rsidRDefault="00F67966" w:rsidP="006E6E16">
      <w:pPr>
        <w:pStyle w:val="Texte1cm"/>
        <w:keepNext w:val="0"/>
        <w:tabs>
          <w:tab w:val="left" w:pos="2160"/>
        </w:tabs>
        <w:ind w:left="2160" w:hanging="1620"/>
      </w:pPr>
      <w:r w:rsidRPr="00026EC1">
        <w:t>HP</w:t>
      </w:r>
      <w:r w:rsidR="00D8581B">
        <w:t> :</w:t>
      </w:r>
      <w:r w:rsidRPr="00026EC1">
        <w:tab/>
        <w:t>Les heures de préparation, c</w:t>
      </w:r>
      <w:r w:rsidR="00BC3319" w:rsidRPr="00026EC1">
        <w:t>’</w:t>
      </w:r>
      <w:r w:rsidRPr="00026EC1">
        <w:t>est</w:t>
      </w:r>
      <w:r w:rsidR="00984A6F">
        <w:noBreakHyphen/>
      </w:r>
      <w:r w:rsidRPr="00026EC1">
        <w:t>à</w:t>
      </w:r>
      <w:r w:rsidR="00984A6F">
        <w:noBreakHyphen/>
      </w:r>
      <w:r w:rsidRPr="00026EC1">
        <w:t>dire le nombre de périodes de cours différentes par semaine confiées à une enseignante ou un enseignant;</w:t>
      </w:r>
    </w:p>
    <w:p w14:paraId="4B88EF4E" w14:textId="77777777" w:rsidR="00F67966" w:rsidRPr="00026EC1" w:rsidRDefault="00F67966" w:rsidP="00A64613">
      <w:pPr>
        <w:keepNext w:val="0"/>
      </w:pPr>
    </w:p>
    <w:p w14:paraId="5F5170BB" w14:textId="5CAC4873" w:rsidR="00F67966" w:rsidRPr="00026EC1" w:rsidRDefault="00F67966" w:rsidP="00A64613">
      <w:pPr>
        <w:pStyle w:val="Texte1cm"/>
        <w:keepNext w:val="0"/>
        <w:tabs>
          <w:tab w:val="left" w:pos="2160"/>
        </w:tabs>
        <w:ind w:left="2160" w:hanging="1593"/>
      </w:pPr>
      <w:r w:rsidRPr="00026EC1">
        <w:t>N</w:t>
      </w:r>
      <w:r w:rsidRPr="00026EC1">
        <w:rPr>
          <w:vertAlign w:val="subscript"/>
        </w:rPr>
        <w:t>1</w:t>
      </w:r>
      <w:r w:rsidRPr="00026EC1">
        <w:t>, N</w:t>
      </w:r>
      <w:r w:rsidRPr="00026EC1">
        <w:rPr>
          <w:vertAlign w:val="subscript"/>
        </w:rPr>
        <w:t>2</w:t>
      </w:r>
      <w:r w:rsidRPr="00026EC1">
        <w:t>,…</w:t>
      </w:r>
      <w:r w:rsidR="00D8581B">
        <w:t> :</w:t>
      </w:r>
      <w:r w:rsidRPr="00026EC1">
        <w:tab/>
        <w:t>Le nombre d</w:t>
      </w:r>
      <w:r w:rsidR="00BC3319" w:rsidRPr="00026EC1">
        <w:t>’</w:t>
      </w:r>
      <w:r w:rsidRPr="00026EC1">
        <w:t>étudiantes et d</w:t>
      </w:r>
      <w:r w:rsidR="00BC3319" w:rsidRPr="00026EC1">
        <w:t>’</w:t>
      </w:r>
      <w:r w:rsidRPr="00026EC1">
        <w:t>étudiants inscrits à la première (1</w:t>
      </w:r>
      <w:r w:rsidRPr="00026EC1">
        <w:rPr>
          <w:vertAlign w:val="superscript"/>
        </w:rPr>
        <w:t>re</w:t>
      </w:r>
      <w:r w:rsidRPr="00026EC1">
        <w:t>), deuxième (2</w:t>
      </w:r>
      <w:r w:rsidRPr="00026EC1">
        <w:rPr>
          <w:vertAlign w:val="superscript"/>
        </w:rPr>
        <w:t>e</w:t>
      </w:r>
      <w:r w:rsidRPr="00026EC1">
        <w:t>),… période de prestation confiée à l</w:t>
      </w:r>
      <w:r w:rsidR="00BC3319" w:rsidRPr="00026EC1">
        <w:t>’</w:t>
      </w:r>
      <w:r w:rsidRPr="00026EC1">
        <w:t>enseignante ou l</w:t>
      </w:r>
      <w:r w:rsidR="00BC3319" w:rsidRPr="00026EC1">
        <w:t>’</w:t>
      </w:r>
      <w:r w:rsidRPr="00026EC1">
        <w:t>enseignant, dont la somme constitue le PES;</w:t>
      </w:r>
    </w:p>
    <w:p w14:paraId="525E9744" w14:textId="77777777" w:rsidR="00694AA4" w:rsidRPr="00026EC1" w:rsidRDefault="00694AA4" w:rsidP="00A64613">
      <w:pPr>
        <w:pStyle w:val="Texte1cm"/>
        <w:keepNext w:val="0"/>
        <w:tabs>
          <w:tab w:val="left" w:pos="2160"/>
        </w:tabs>
        <w:ind w:left="2160" w:hanging="1593"/>
      </w:pPr>
    </w:p>
    <w:p w14:paraId="11DDE3AC" w14:textId="6F7EB556" w:rsidR="00F67966" w:rsidRDefault="00F67966" w:rsidP="00A64613">
      <w:pPr>
        <w:pStyle w:val="Texte1cm"/>
        <w:keepNext w:val="0"/>
        <w:tabs>
          <w:tab w:val="left" w:pos="2160"/>
        </w:tabs>
        <w:ind w:left="2160" w:hanging="1593"/>
      </w:pPr>
      <w:r w:rsidRPr="00026EC1">
        <w:t>NES</w:t>
      </w:r>
      <w:r w:rsidR="003D3198" w:rsidRPr="00316277">
        <w:rPr>
          <w:vertAlign w:val="subscript"/>
        </w:rPr>
        <w:t>1</w:t>
      </w:r>
      <w:r w:rsidR="00D8581B">
        <w:t> :</w:t>
      </w:r>
      <w:r w:rsidRPr="00026EC1">
        <w:tab/>
        <w:t>Le nombre total d</w:t>
      </w:r>
      <w:r w:rsidR="00BC3319" w:rsidRPr="00026EC1">
        <w:t>’</w:t>
      </w:r>
      <w:r w:rsidRPr="00026EC1">
        <w:t>étudiantes et d</w:t>
      </w:r>
      <w:r w:rsidR="00BC3319" w:rsidRPr="00026EC1">
        <w:t>’</w:t>
      </w:r>
      <w:r w:rsidRPr="00026EC1">
        <w:t>étudiants différents inscrits à chacun des cours confiés à l</w:t>
      </w:r>
      <w:r w:rsidR="00BC3319" w:rsidRPr="00026EC1">
        <w:t>’</w:t>
      </w:r>
      <w:r w:rsidRPr="00026EC1">
        <w:t>enseignante ou l</w:t>
      </w:r>
      <w:r w:rsidR="00BC3319" w:rsidRPr="00026EC1">
        <w:t>’</w:t>
      </w:r>
      <w:r w:rsidRPr="00026EC1">
        <w:t>enseignant par semaine, sauf pour les cours de pondération inférieure à trois (3), où</w:t>
      </w:r>
      <w:r w:rsidR="003D3198" w:rsidRPr="00316277">
        <w:t xml:space="preserve"> le NES</w:t>
      </w:r>
      <w:r w:rsidR="003D3198" w:rsidRPr="00316277">
        <w:rPr>
          <w:vertAlign w:val="subscript"/>
        </w:rPr>
        <w:t>1</w:t>
      </w:r>
      <w:r w:rsidR="003D3198" w:rsidRPr="00316277">
        <w:t xml:space="preserve"> est égal à zéro (0);</w:t>
      </w:r>
    </w:p>
    <w:p w14:paraId="125294BC" w14:textId="77777777" w:rsidR="003D3198" w:rsidRDefault="003D3198" w:rsidP="00A64613">
      <w:pPr>
        <w:pStyle w:val="Texte1cm"/>
        <w:keepNext w:val="0"/>
        <w:tabs>
          <w:tab w:val="left" w:pos="2160"/>
        </w:tabs>
        <w:ind w:left="2160" w:hanging="1593"/>
      </w:pPr>
    </w:p>
    <w:p w14:paraId="448A9B35" w14:textId="5A24230C" w:rsidR="003D3198" w:rsidRPr="00316277" w:rsidRDefault="003D3198" w:rsidP="003D3198">
      <w:pPr>
        <w:pStyle w:val="N-FNEEQ-Dcal"/>
        <w:spacing w:before="0" w:after="0"/>
        <w:ind w:left="2127" w:hanging="1560"/>
        <w:rPr>
          <w:rFonts w:ascii="Arial" w:hAnsi="Arial" w:cs="Arial"/>
          <w:color w:val="auto"/>
          <w:sz w:val="24"/>
          <w:szCs w:val="24"/>
        </w:rPr>
      </w:pPr>
      <w:r w:rsidRPr="00316277">
        <w:rPr>
          <w:rFonts w:ascii="Arial" w:eastAsia="Times New Roman" w:hAnsi="Arial" w:cs="Times New Roman"/>
          <w:snapToGrid w:val="0"/>
          <w:color w:val="auto"/>
          <w:sz w:val="24"/>
          <w:lang w:eastAsia="fr-FR"/>
        </w:rPr>
        <w:t>NES</w:t>
      </w:r>
      <w:r w:rsidRPr="00316277">
        <w:rPr>
          <w:rFonts w:ascii="Arial" w:eastAsia="Times New Roman" w:hAnsi="Arial" w:cs="Times New Roman"/>
          <w:snapToGrid w:val="0"/>
          <w:color w:val="auto"/>
          <w:sz w:val="24"/>
          <w:vertAlign w:val="subscript"/>
          <w:lang w:eastAsia="fr-FR"/>
        </w:rPr>
        <w:t>2</w:t>
      </w:r>
      <w:r w:rsidRPr="00316277">
        <w:rPr>
          <w:rFonts w:ascii="Arial" w:eastAsia="Times New Roman" w:hAnsi="Arial" w:cs="Times New Roman"/>
          <w:snapToGrid w:val="0"/>
          <w:color w:val="auto"/>
          <w:sz w:val="24"/>
          <w:lang w:eastAsia="fr-FR"/>
        </w:rPr>
        <w:t> :</w:t>
      </w:r>
      <w:r w:rsidRPr="00316277">
        <w:rPr>
          <w:b/>
          <w:bCs/>
        </w:rPr>
        <w:tab/>
      </w:r>
      <w:r w:rsidRPr="00316277">
        <w:rPr>
          <w:rFonts w:ascii="Arial" w:hAnsi="Arial" w:cs="Arial"/>
          <w:color w:val="auto"/>
          <w:sz w:val="24"/>
          <w:szCs w:val="24"/>
        </w:rPr>
        <w:t>Le nombre total d’étudiantes et d’étudiants différents inscrits à chacun des cours de pondération inférieure à trois (3) confiés à l’enseignante ou l’enseignant par semaine. Toutefois, pour les cours de pondération inférieure à deux (2) et les cours des disciplines 550 et 551, excluant ceux du programme de technologies sonores (551.B0), le NES</w:t>
      </w:r>
      <w:r w:rsidRPr="00316277">
        <w:rPr>
          <w:rFonts w:ascii="Arial" w:hAnsi="Arial" w:cs="Arial"/>
          <w:color w:val="auto"/>
          <w:sz w:val="24"/>
          <w:szCs w:val="24"/>
          <w:vertAlign w:val="subscript"/>
        </w:rPr>
        <w:t>2</w:t>
      </w:r>
      <w:r w:rsidRPr="00316277">
        <w:rPr>
          <w:rFonts w:ascii="Arial" w:hAnsi="Arial" w:cs="Arial"/>
          <w:color w:val="auto"/>
          <w:sz w:val="24"/>
          <w:szCs w:val="24"/>
        </w:rPr>
        <w:t xml:space="preserve"> est égal à zéro (0);</w:t>
      </w:r>
    </w:p>
    <w:p w14:paraId="14711527" w14:textId="77777777" w:rsidR="003D3198" w:rsidRPr="00316277" w:rsidRDefault="003D3198" w:rsidP="003D3198">
      <w:pPr>
        <w:pStyle w:val="Texte1cm"/>
        <w:keepNext w:val="0"/>
      </w:pPr>
    </w:p>
    <w:p w14:paraId="514524ED" w14:textId="3761570E" w:rsidR="003D3198" w:rsidRDefault="003D3198" w:rsidP="003D3198">
      <w:pPr>
        <w:pStyle w:val="N-FNEEQ-Dcal"/>
        <w:spacing w:before="0" w:after="0" w:line="240" w:lineRule="auto"/>
        <w:ind w:left="2126" w:hanging="1559"/>
        <w:rPr>
          <w:rFonts w:ascii="Arial" w:hAnsi="Arial" w:cs="Arial"/>
          <w:color w:val="auto"/>
          <w:sz w:val="24"/>
          <w:szCs w:val="24"/>
        </w:rPr>
      </w:pPr>
      <w:r w:rsidRPr="00316277">
        <w:rPr>
          <w:rFonts w:ascii="Arial" w:hAnsi="Arial" w:cs="Arial"/>
          <w:color w:val="auto"/>
          <w:sz w:val="24"/>
          <w:szCs w:val="24"/>
        </w:rPr>
        <w:t xml:space="preserve">NES : </w:t>
      </w:r>
      <w:r w:rsidRPr="00316277">
        <w:rPr>
          <w:rFonts w:ascii="Arial" w:hAnsi="Arial" w:cs="Arial"/>
          <w:color w:val="auto"/>
          <w:sz w:val="24"/>
          <w:szCs w:val="24"/>
        </w:rPr>
        <w:tab/>
        <w:t>La somme, par enseignante ou enseignant, du NES</w:t>
      </w:r>
      <w:r w:rsidRPr="00316277">
        <w:rPr>
          <w:rFonts w:ascii="Arial" w:hAnsi="Arial" w:cs="Arial"/>
          <w:color w:val="auto"/>
          <w:sz w:val="24"/>
          <w:szCs w:val="24"/>
          <w:vertAlign w:val="subscript"/>
        </w:rPr>
        <w:t>2</w:t>
      </w:r>
      <w:r w:rsidRPr="00316277">
        <w:rPr>
          <w:rFonts w:ascii="Arial" w:hAnsi="Arial" w:cs="Arial"/>
          <w:color w:val="auto"/>
          <w:sz w:val="24"/>
          <w:szCs w:val="24"/>
        </w:rPr>
        <w:t xml:space="preserve"> multiplié par zéro virgule huit (0,8) et du NES</w:t>
      </w:r>
      <w:r w:rsidRPr="00316277">
        <w:rPr>
          <w:rFonts w:ascii="Arial" w:hAnsi="Arial" w:cs="Arial"/>
          <w:color w:val="auto"/>
          <w:sz w:val="24"/>
          <w:szCs w:val="24"/>
          <w:vertAlign w:val="subscript"/>
        </w:rPr>
        <w:t>1</w:t>
      </w:r>
      <w:r w:rsidRPr="00316277">
        <w:rPr>
          <w:rFonts w:ascii="Arial" w:hAnsi="Arial" w:cs="Arial"/>
          <w:color w:val="auto"/>
          <w:sz w:val="24"/>
          <w:szCs w:val="24"/>
        </w:rPr>
        <w:t>.</w:t>
      </w:r>
    </w:p>
    <w:p w14:paraId="0873FA68" w14:textId="77777777" w:rsidR="00F67966" w:rsidRPr="00026EC1" w:rsidRDefault="00F67966" w:rsidP="00A64613">
      <w:pPr>
        <w:pStyle w:val="Texte1cm"/>
        <w:keepNext w:val="0"/>
        <w:tabs>
          <w:tab w:val="left" w:pos="2160"/>
        </w:tabs>
        <w:ind w:left="2160" w:hanging="1593"/>
      </w:pPr>
    </w:p>
    <w:p w14:paraId="645A0EBE" w14:textId="6AFF97A2" w:rsidR="00F67966" w:rsidRDefault="00F67966" w:rsidP="00A64613">
      <w:pPr>
        <w:pStyle w:val="Texte2cm"/>
        <w:keepNext w:val="0"/>
        <w:ind w:left="2127"/>
      </w:pPr>
      <w:r w:rsidRPr="00026EC1">
        <w:t xml:space="preserve">Aux fins de la présente stipulation, le mot « pondération » signifie le nombre total de périodes par semaine prévues aux </w:t>
      </w:r>
      <w:r w:rsidRPr="00026EC1">
        <w:rPr>
          <w:i/>
          <w:iCs/>
        </w:rPr>
        <w:t>Cahiers de l</w:t>
      </w:r>
      <w:r w:rsidR="00BC3319" w:rsidRPr="00026EC1">
        <w:rPr>
          <w:i/>
          <w:iCs/>
        </w:rPr>
        <w:t>’</w:t>
      </w:r>
      <w:r w:rsidRPr="00026EC1">
        <w:rPr>
          <w:i/>
          <w:iCs/>
        </w:rPr>
        <w:t>enseignement collégial</w:t>
      </w:r>
      <w:r w:rsidRPr="00026EC1">
        <w:t xml:space="preserve"> pour la théorie, les laboratoires ou travaux pratiques et les stages</w:t>
      </w:r>
      <w:r w:rsidR="00A52F33" w:rsidRPr="00316277">
        <w:t>;</w:t>
      </w:r>
    </w:p>
    <w:p w14:paraId="27A769E2" w14:textId="77777777" w:rsidR="003D3198" w:rsidRDefault="003D3198" w:rsidP="00A64613">
      <w:pPr>
        <w:pStyle w:val="Texte2cm"/>
        <w:keepNext w:val="0"/>
        <w:ind w:left="2127"/>
      </w:pPr>
    </w:p>
    <w:p w14:paraId="0F0D7455" w14:textId="59590A37" w:rsidR="003D3198" w:rsidRPr="00316277" w:rsidRDefault="003D3198" w:rsidP="003D3198">
      <w:pPr>
        <w:pStyle w:val="N-Commun"/>
        <w:spacing w:before="0" w:after="0" w:line="240" w:lineRule="auto"/>
        <w:ind w:left="2127" w:hanging="1560"/>
        <w:rPr>
          <w:rFonts w:ascii="Arial" w:hAnsi="Arial" w:cs="Arial"/>
          <w:sz w:val="24"/>
        </w:rPr>
      </w:pPr>
      <w:r w:rsidRPr="00316277">
        <w:rPr>
          <w:rFonts w:ascii="Arial" w:hAnsi="Arial" w:cs="Arial"/>
          <w:sz w:val="24"/>
        </w:rPr>
        <w:t xml:space="preserve">CO : </w:t>
      </w:r>
      <w:r w:rsidRPr="00316277">
        <w:rPr>
          <w:rFonts w:ascii="Arial" w:hAnsi="Arial" w:cs="Arial"/>
          <w:sz w:val="24"/>
        </w:rPr>
        <w:tab/>
        <w:t xml:space="preserve">La charge individuelle </w:t>
      </w:r>
      <w:r w:rsidR="00A52F33" w:rsidRPr="00316277">
        <w:rPr>
          <w:rFonts w:ascii="Arial" w:hAnsi="Arial" w:cs="Arial"/>
          <w:sz w:val="24"/>
        </w:rPr>
        <w:t>supplémentaire</w:t>
      </w:r>
      <w:r w:rsidRPr="00316277">
        <w:rPr>
          <w:rFonts w:ascii="Arial" w:hAnsi="Arial" w:cs="Arial"/>
          <w:sz w:val="24"/>
        </w:rPr>
        <w:t xml:space="preserve"> associée à l’enseignement comodal, soit la part de la CI</w:t>
      </w:r>
      <w:r w:rsidRPr="00316277">
        <w:rPr>
          <w:rFonts w:ascii="Arial" w:hAnsi="Arial" w:cs="Arial"/>
          <w:sz w:val="24"/>
          <w:vertAlign w:val="subscript"/>
        </w:rPr>
        <w:t>p</w:t>
      </w:r>
      <w:r w:rsidRPr="00316277">
        <w:rPr>
          <w:rFonts w:ascii="Arial" w:hAnsi="Arial" w:cs="Arial"/>
          <w:sz w:val="24"/>
        </w:rPr>
        <w:t> générée par le</w:t>
      </w:r>
      <w:r w:rsidR="00780FBC" w:rsidRPr="00316277">
        <w:rPr>
          <w:rFonts w:ascii="Arial" w:hAnsi="Arial" w:cs="Arial"/>
          <w:sz w:val="24"/>
        </w:rPr>
        <w:t xml:space="preserve"> ou les</w:t>
      </w:r>
      <w:r w:rsidRPr="00316277">
        <w:rPr>
          <w:rFonts w:ascii="Arial" w:hAnsi="Arial" w:cs="Arial"/>
          <w:sz w:val="24"/>
        </w:rPr>
        <w:t xml:space="preserve"> groupe</w:t>
      </w:r>
      <w:r w:rsidR="00780FBC" w:rsidRPr="00316277">
        <w:rPr>
          <w:rFonts w:ascii="Arial" w:hAnsi="Arial" w:cs="Arial"/>
          <w:sz w:val="24"/>
        </w:rPr>
        <w:t>(s)</w:t>
      </w:r>
      <w:r w:rsidRPr="00316277">
        <w:rPr>
          <w:rFonts w:ascii="Arial" w:hAnsi="Arial" w:cs="Arial"/>
          <w:sz w:val="24"/>
        </w:rPr>
        <w:t>-cours d’enseignement comodal confié(s) à l’enseignante ou l’enseignant multiplié</w:t>
      </w:r>
      <w:r w:rsidR="00780FBC" w:rsidRPr="00316277">
        <w:rPr>
          <w:rFonts w:ascii="Arial" w:hAnsi="Arial" w:cs="Arial"/>
          <w:sz w:val="24"/>
        </w:rPr>
        <w:t>e</w:t>
      </w:r>
      <w:r w:rsidRPr="00316277">
        <w:rPr>
          <w:rFonts w:ascii="Arial" w:hAnsi="Arial" w:cs="Arial"/>
          <w:sz w:val="24"/>
        </w:rPr>
        <w:t xml:space="preserve"> par 0,2.</w:t>
      </w:r>
    </w:p>
    <w:p w14:paraId="7A57A2CC" w14:textId="77777777" w:rsidR="003D3198" w:rsidRPr="00026EC1" w:rsidRDefault="003D3198" w:rsidP="00A64613">
      <w:pPr>
        <w:pStyle w:val="Texte2cm"/>
        <w:keepNext w:val="0"/>
        <w:ind w:left="2127"/>
      </w:pPr>
    </w:p>
    <w:p w14:paraId="1224C23B" w14:textId="77777777" w:rsidR="009F1A8D" w:rsidRDefault="009F1A8D">
      <w:pPr>
        <w:keepNext w:val="0"/>
        <w:suppressAutoHyphens w:val="0"/>
        <w:jc w:val="left"/>
      </w:pPr>
      <w:r>
        <w:br w:type="page"/>
      </w:r>
    </w:p>
    <w:p w14:paraId="570299F4" w14:textId="54C7DAE1" w:rsidR="00F67966" w:rsidRPr="00026EC1" w:rsidRDefault="00F67966" w:rsidP="00A64613">
      <w:pPr>
        <w:pStyle w:val="Texte1cm"/>
        <w:keepNext w:val="0"/>
      </w:pPr>
      <w:r w:rsidRPr="00026EC1">
        <w:t>La comptabilisation de la charge individuelle associée à la prestation de cours et de laboratoire et à la supervision de stages sans Ne</w:t>
      </w:r>
      <w:r w:rsidRPr="00026EC1">
        <w:rPr>
          <w:vertAlign w:val="subscript"/>
        </w:rPr>
        <w:t>jk</w:t>
      </w:r>
      <w:r w:rsidRPr="00026EC1">
        <w:t xml:space="preserve"> pour une session donnée se fait de la manière suivante, sa valeur étant donnée par la somme des résultats de la dernière colonne</w:t>
      </w:r>
      <w:r w:rsidR="00D8581B">
        <w:t> :</w:t>
      </w:r>
    </w:p>
    <w:p w14:paraId="19D9022E" w14:textId="77777777" w:rsidR="00F67966" w:rsidRPr="00026EC1" w:rsidRDefault="00F67966" w:rsidP="00A64613">
      <w:pPr>
        <w:keepNext w:val="0"/>
      </w:pPr>
    </w:p>
    <w:tbl>
      <w:tblPr>
        <w:tblW w:w="0" w:type="auto"/>
        <w:tblInd w:w="610" w:type="dxa"/>
        <w:tblCellMar>
          <w:left w:w="70" w:type="dxa"/>
          <w:right w:w="70" w:type="dxa"/>
        </w:tblCellMar>
        <w:tblLook w:val="0000" w:firstRow="0" w:lastRow="0" w:firstColumn="0" w:lastColumn="0" w:noHBand="0" w:noVBand="0"/>
      </w:tblPr>
      <w:tblGrid>
        <w:gridCol w:w="900"/>
        <w:gridCol w:w="1980"/>
        <w:gridCol w:w="606"/>
        <w:gridCol w:w="834"/>
        <w:gridCol w:w="720"/>
        <w:gridCol w:w="720"/>
        <w:gridCol w:w="540"/>
        <w:gridCol w:w="1980"/>
      </w:tblGrid>
      <w:tr w:rsidR="00F67966" w:rsidRPr="00026EC1" w14:paraId="2935DCED" w14:textId="77777777" w:rsidTr="00F67966">
        <w:tc>
          <w:tcPr>
            <w:tcW w:w="900" w:type="dxa"/>
          </w:tcPr>
          <w:p w14:paraId="35355EB3" w14:textId="5E3D2D74" w:rsidR="00F67966" w:rsidRPr="00026EC1" w:rsidRDefault="00F67966" w:rsidP="00A64613">
            <w:pPr>
              <w:keepNext w:val="0"/>
              <w:spacing w:after="120"/>
              <w:rPr>
                <w:lang w:val="nl-NL"/>
              </w:rPr>
            </w:pPr>
            <w:r w:rsidRPr="00026EC1">
              <w:rPr>
                <w:lang w:val="nl-NL"/>
              </w:rPr>
              <w:t>HP</w:t>
            </w:r>
            <w:r w:rsidR="00D8581B">
              <w:rPr>
                <w:lang w:val="nl-NL"/>
              </w:rPr>
              <w:t> :</w:t>
            </w:r>
          </w:p>
        </w:tc>
        <w:tc>
          <w:tcPr>
            <w:tcW w:w="1980" w:type="dxa"/>
            <w:tcBorders>
              <w:bottom w:val="single" w:sz="4" w:space="0" w:color="auto"/>
            </w:tcBorders>
          </w:tcPr>
          <w:p w14:paraId="5B7ED783" w14:textId="77777777" w:rsidR="00F67966" w:rsidRPr="00026EC1" w:rsidRDefault="00F67966" w:rsidP="00A64613">
            <w:pPr>
              <w:keepNext w:val="0"/>
              <w:spacing w:after="120"/>
              <w:rPr>
                <w:lang w:val="nl-NL"/>
              </w:rPr>
            </w:pPr>
          </w:p>
        </w:tc>
        <w:tc>
          <w:tcPr>
            <w:tcW w:w="606" w:type="dxa"/>
          </w:tcPr>
          <w:p w14:paraId="2C1E984E" w14:textId="77777777" w:rsidR="00F67966" w:rsidRPr="00026EC1" w:rsidRDefault="00F67966" w:rsidP="00A64613">
            <w:pPr>
              <w:keepNext w:val="0"/>
              <w:spacing w:after="120"/>
              <w:rPr>
                <w:lang w:val="nl-NL"/>
              </w:rPr>
            </w:pPr>
          </w:p>
        </w:tc>
        <w:tc>
          <w:tcPr>
            <w:tcW w:w="834" w:type="dxa"/>
          </w:tcPr>
          <w:p w14:paraId="2CC5A867" w14:textId="77777777" w:rsidR="00F67966" w:rsidRPr="00026EC1" w:rsidRDefault="00F67966" w:rsidP="00A64613">
            <w:pPr>
              <w:keepNext w:val="0"/>
              <w:spacing w:after="120"/>
              <w:rPr>
                <w:lang w:val="nl-NL"/>
              </w:rPr>
            </w:pPr>
            <w:r w:rsidRPr="00026EC1">
              <w:rPr>
                <w:lang w:val="nl-NL"/>
              </w:rPr>
              <w:t>x 0,9</w:t>
            </w:r>
          </w:p>
        </w:tc>
        <w:tc>
          <w:tcPr>
            <w:tcW w:w="720" w:type="dxa"/>
          </w:tcPr>
          <w:p w14:paraId="35DA3682" w14:textId="77777777" w:rsidR="00F67966" w:rsidRPr="00026EC1" w:rsidRDefault="00F67966" w:rsidP="00A64613">
            <w:pPr>
              <w:keepNext w:val="0"/>
              <w:spacing w:after="120"/>
              <w:rPr>
                <w:lang w:val="nl-NL"/>
              </w:rPr>
            </w:pPr>
          </w:p>
        </w:tc>
        <w:tc>
          <w:tcPr>
            <w:tcW w:w="720" w:type="dxa"/>
          </w:tcPr>
          <w:p w14:paraId="0F69F0D2" w14:textId="77777777" w:rsidR="00F67966" w:rsidRPr="00026EC1" w:rsidRDefault="00F67966" w:rsidP="00A64613">
            <w:pPr>
              <w:keepNext w:val="0"/>
              <w:spacing w:after="120"/>
              <w:rPr>
                <w:lang w:val="nl-NL"/>
              </w:rPr>
            </w:pPr>
            <w:r w:rsidRPr="00026EC1">
              <w:rPr>
                <w:lang w:val="nl-NL"/>
              </w:rPr>
              <w:t>=</w:t>
            </w:r>
          </w:p>
        </w:tc>
        <w:tc>
          <w:tcPr>
            <w:tcW w:w="540" w:type="dxa"/>
          </w:tcPr>
          <w:p w14:paraId="6E4868BA" w14:textId="77777777" w:rsidR="00F67966" w:rsidRPr="00026EC1" w:rsidRDefault="00F67966" w:rsidP="00A64613">
            <w:pPr>
              <w:keepNext w:val="0"/>
              <w:spacing w:after="120"/>
              <w:rPr>
                <w:lang w:val="nl-NL"/>
              </w:rPr>
            </w:pPr>
          </w:p>
        </w:tc>
        <w:tc>
          <w:tcPr>
            <w:tcW w:w="1980" w:type="dxa"/>
            <w:tcBorders>
              <w:bottom w:val="single" w:sz="4" w:space="0" w:color="auto"/>
            </w:tcBorders>
          </w:tcPr>
          <w:p w14:paraId="6AE68980" w14:textId="77777777" w:rsidR="00F67966" w:rsidRPr="00026EC1" w:rsidRDefault="00F67966" w:rsidP="00A64613">
            <w:pPr>
              <w:keepNext w:val="0"/>
              <w:spacing w:after="120"/>
              <w:rPr>
                <w:lang w:val="nl-NL"/>
              </w:rPr>
            </w:pPr>
          </w:p>
        </w:tc>
      </w:tr>
      <w:tr w:rsidR="00F67966" w:rsidRPr="00026EC1" w14:paraId="2D3F48D7" w14:textId="77777777" w:rsidTr="00F67966">
        <w:tc>
          <w:tcPr>
            <w:tcW w:w="900" w:type="dxa"/>
          </w:tcPr>
          <w:p w14:paraId="12693975" w14:textId="2E08C928" w:rsidR="00F67966" w:rsidRPr="00026EC1" w:rsidRDefault="00F67966" w:rsidP="00A64613">
            <w:pPr>
              <w:keepNext w:val="0"/>
              <w:spacing w:after="120"/>
              <w:rPr>
                <w:lang w:val="nl-NL"/>
              </w:rPr>
            </w:pPr>
            <w:r w:rsidRPr="00026EC1">
              <w:rPr>
                <w:lang w:val="nl-NL"/>
              </w:rPr>
              <w:t>HC</w:t>
            </w:r>
            <w:r w:rsidR="00D8581B">
              <w:rPr>
                <w:lang w:val="nl-NL"/>
              </w:rPr>
              <w:t> :</w:t>
            </w:r>
          </w:p>
        </w:tc>
        <w:tc>
          <w:tcPr>
            <w:tcW w:w="1980" w:type="dxa"/>
            <w:tcBorders>
              <w:top w:val="single" w:sz="4" w:space="0" w:color="auto"/>
              <w:bottom w:val="single" w:sz="4" w:space="0" w:color="auto"/>
            </w:tcBorders>
          </w:tcPr>
          <w:p w14:paraId="69CDEA4F" w14:textId="77777777" w:rsidR="00F67966" w:rsidRPr="00026EC1" w:rsidRDefault="00F67966" w:rsidP="00A64613">
            <w:pPr>
              <w:keepNext w:val="0"/>
              <w:spacing w:after="120"/>
              <w:rPr>
                <w:lang w:val="nl-NL"/>
              </w:rPr>
            </w:pPr>
          </w:p>
        </w:tc>
        <w:tc>
          <w:tcPr>
            <w:tcW w:w="606" w:type="dxa"/>
          </w:tcPr>
          <w:p w14:paraId="1BA2CA5E" w14:textId="77777777" w:rsidR="00F67966" w:rsidRPr="00026EC1" w:rsidRDefault="00F67966" w:rsidP="00A64613">
            <w:pPr>
              <w:keepNext w:val="0"/>
              <w:spacing w:after="120"/>
              <w:rPr>
                <w:lang w:val="nl-NL"/>
              </w:rPr>
            </w:pPr>
          </w:p>
        </w:tc>
        <w:tc>
          <w:tcPr>
            <w:tcW w:w="834" w:type="dxa"/>
          </w:tcPr>
          <w:p w14:paraId="4F3A40AE" w14:textId="77777777" w:rsidR="00F67966" w:rsidRPr="00026EC1" w:rsidRDefault="00F67966" w:rsidP="00A64613">
            <w:pPr>
              <w:keepNext w:val="0"/>
              <w:spacing w:after="120"/>
              <w:rPr>
                <w:lang w:val="nl-NL"/>
              </w:rPr>
            </w:pPr>
            <w:r w:rsidRPr="00026EC1">
              <w:rPr>
                <w:lang w:val="nl-NL"/>
              </w:rPr>
              <w:t>x 1,2</w:t>
            </w:r>
          </w:p>
        </w:tc>
        <w:tc>
          <w:tcPr>
            <w:tcW w:w="720" w:type="dxa"/>
          </w:tcPr>
          <w:p w14:paraId="08D02676" w14:textId="77777777" w:rsidR="00F67966" w:rsidRPr="00026EC1" w:rsidRDefault="00F67966" w:rsidP="00A64613">
            <w:pPr>
              <w:keepNext w:val="0"/>
              <w:spacing w:after="120"/>
              <w:rPr>
                <w:lang w:val="nl-NL"/>
              </w:rPr>
            </w:pPr>
          </w:p>
        </w:tc>
        <w:tc>
          <w:tcPr>
            <w:tcW w:w="720" w:type="dxa"/>
          </w:tcPr>
          <w:p w14:paraId="346028C7" w14:textId="77777777" w:rsidR="00F67966" w:rsidRPr="00026EC1" w:rsidRDefault="00F67966" w:rsidP="00A64613">
            <w:pPr>
              <w:keepNext w:val="0"/>
              <w:spacing w:after="120"/>
              <w:rPr>
                <w:lang w:val="nl-NL"/>
              </w:rPr>
            </w:pPr>
            <w:r w:rsidRPr="00026EC1">
              <w:rPr>
                <w:lang w:val="nl-NL"/>
              </w:rPr>
              <w:t>=</w:t>
            </w:r>
          </w:p>
        </w:tc>
        <w:tc>
          <w:tcPr>
            <w:tcW w:w="540" w:type="dxa"/>
          </w:tcPr>
          <w:p w14:paraId="68091EB3" w14:textId="77777777" w:rsidR="00F67966" w:rsidRPr="00026EC1" w:rsidRDefault="00F67966" w:rsidP="00A64613">
            <w:pPr>
              <w:keepNext w:val="0"/>
              <w:spacing w:after="120"/>
              <w:rPr>
                <w:lang w:val="nl-NL"/>
              </w:rPr>
            </w:pPr>
          </w:p>
        </w:tc>
        <w:tc>
          <w:tcPr>
            <w:tcW w:w="1980" w:type="dxa"/>
            <w:tcBorders>
              <w:top w:val="single" w:sz="4" w:space="0" w:color="auto"/>
              <w:bottom w:val="single" w:sz="4" w:space="0" w:color="auto"/>
            </w:tcBorders>
          </w:tcPr>
          <w:p w14:paraId="40EBB303" w14:textId="77777777" w:rsidR="00F67966" w:rsidRPr="00026EC1" w:rsidRDefault="00F67966" w:rsidP="00A64613">
            <w:pPr>
              <w:keepNext w:val="0"/>
              <w:spacing w:after="120"/>
              <w:rPr>
                <w:lang w:val="nl-NL"/>
              </w:rPr>
            </w:pPr>
          </w:p>
        </w:tc>
      </w:tr>
      <w:tr w:rsidR="00F67966" w:rsidRPr="00026EC1" w14:paraId="2EE879E2" w14:textId="77777777" w:rsidTr="00F67966">
        <w:tc>
          <w:tcPr>
            <w:tcW w:w="900" w:type="dxa"/>
          </w:tcPr>
          <w:p w14:paraId="6FDA3645" w14:textId="54EC9B94" w:rsidR="00F67966" w:rsidRPr="00026EC1" w:rsidRDefault="00F67966" w:rsidP="00A64613">
            <w:pPr>
              <w:keepNext w:val="0"/>
              <w:spacing w:after="120"/>
              <w:rPr>
                <w:lang w:val="nl-NL"/>
              </w:rPr>
            </w:pPr>
            <w:r w:rsidRPr="00026EC1">
              <w:rPr>
                <w:lang w:val="nl-NL"/>
              </w:rPr>
              <w:t>N</w:t>
            </w:r>
            <w:r w:rsidRPr="00026EC1">
              <w:rPr>
                <w:vertAlign w:val="subscript"/>
                <w:lang w:val="nl-NL"/>
              </w:rPr>
              <w:t>1</w:t>
            </w:r>
            <w:r w:rsidR="00D8581B">
              <w:rPr>
                <w:lang w:val="nl-NL"/>
              </w:rPr>
              <w:t> :</w:t>
            </w:r>
          </w:p>
        </w:tc>
        <w:tc>
          <w:tcPr>
            <w:tcW w:w="1980" w:type="dxa"/>
            <w:tcBorders>
              <w:top w:val="single" w:sz="4" w:space="0" w:color="auto"/>
              <w:bottom w:val="single" w:sz="4" w:space="0" w:color="auto"/>
            </w:tcBorders>
          </w:tcPr>
          <w:p w14:paraId="2160F0ED" w14:textId="77777777" w:rsidR="00F67966" w:rsidRPr="00026EC1" w:rsidRDefault="00F67966" w:rsidP="00A64613">
            <w:pPr>
              <w:keepNext w:val="0"/>
              <w:spacing w:after="120"/>
              <w:rPr>
                <w:lang w:val="nl-NL"/>
              </w:rPr>
            </w:pPr>
          </w:p>
        </w:tc>
        <w:tc>
          <w:tcPr>
            <w:tcW w:w="606" w:type="dxa"/>
          </w:tcPr>
          <w:p w14:paraId="1F077151" w14:textId="77777777" w:rsidR="00F67966" w:rsidRPr="00026EC1" w:rsidRDefault="00F67966" w:rsidP="00A64613">
            <w:pPr>
              <w:keepNext w:val="0"/>
              <w:spacing w:after="120"/>
              <w:rPr>
                <w:lang w:val="nl-NL"/>
              </w:rPr>
            </w:pPr>
          </w:p>
        </w:tc>
        <w:tc>
          <w:tcPr>
            <w:tcW w:w="834" w:type="dxa"/>
          </w:tcPr>
          <w:p w14:paraId="7B92F342" w14:textId="77777777" w:rsidR="00F67966" w:rsidRPr="00026EC1" w:rsidRDefault="00F67966" w:rsidP="00A64613">
            <w:pPr>
              <w:keepNext w:val="0"/>
              <w:spacing w:after="120"/>
              <w:rPr>
                <w:lang w:val="nl-NL"/>
              </w:rPr>
            </w:pPr>
            <w:r w:rsidRPr="00026EC1">
              <w:rPr>
                <w:lang w:val="nl-NL"/>
              </w:rPr>
              <w:t>x 0,04</w:t>
            </w:r>
          </w:p>
        </w:tc>
        <w:tc>
          <w:tcPr>
            <w:tcW w:w="720" w:type="dxa"/>
          </w:tcPr>
          <w:p w14:paraId="4F8B2C14" w14:textId="77777777" w:rsidR="00F67966" w:rsidRPr="00026EC1" w:rsidRDefault="00F67966" w:rsidP="00A64613">
            <w:pPr>
              <w:keepNext w:val="0"/>
              <w:spacing w:after="120"/>
              <w:rPr>
                <w:lang w:val="nl-NL"/>
              </w:rPr>
            </w:pPr>
          </w:p>
        </w:tc>
        <w:tc>
          <w:tcPr>
            <w:tcW w:w="720" w:type="dxa"/>
          </w:tcPr>
          <w:p w14:paraId="2926D3E8" w14:textId="77777777" w:rsidR="00F67966" w:rsidRPr="00026EC1" w:rsidRDefault="00F67966" w:rsidP="00A64613">
            <w:pPr>
              <w:keepNext w:val="0"/>
              <w:spacing w:after="120"/>
              <w:rPr>
                <w:lang w:val="nl-NL"/>
              </w:rPr>
            </w:pPr>
            <w:r w:rsidRPr="00026EC1">
              <w:rPr>
                <w:lang w:val="nl-NL"/>
              </w:rPr>
              <w:t>=</w:t>
            </w:r>
          </w:p>
        </w:tc>
        <w:tc>
          <w:tcPr>
            <w:tcW w:w="540" w:type="dxa"/>
          </w:tcPr>
          <w:p w14:paraId="519C408D" w14:textId="77777777" w:rsidR="00F67966" w:rsidRPr="00026EC1" w:rsidRDefault="00F67966" w:rsidP="00A64613">
            <w:pPr>
              <w:keepNext w:val="0"/>
              <w:spacing w:after="120"/>
              <w:rPr>
                <w:lang w:val="nl-NL"/>
              </w:rPr>
            </w:pPr>
          </w:p>
        </w:tc>
        <w:tc>
          <w:tcPr>
            <w:tcW w:w="1980" w:type="dxa"/>
            <w:tcBorders>
              <w:top w:val="single" w:sz="4" w:space="0" w:color="auto"/>
              <w:bottom w:val="single" w:sz="4" w:space="0" w:color="auto"/>
            </w:tcBorders>
          </w:tcPr>
          <w:p w14:paraId="72652FD2" w14:textId="77777777" w:rsidR="00F67966" w:rsidRPr="00026EC1" w:rsidRDefault="00F67966" w:rsidP="00A64613">
            <w:pPr>
              <w:keepNext w:val="0"/>
              <w:spacing w:after="120"/>
              <w:rPr>
                <w:lang w:val="nl-NL"/>
              </w:rPr>
            </w:pPr>
          </w:p>
        </w:tc>
      </w:tr>
      <w:tr w:rsidR="00F67966" w:rsidRPr="00026EC1" w14:paraId="68A28D7A" w14:textId="77777777" w:rsidTr="00F67966">
        <w:tc>
          <w:tcPr>
            <w:tcW w:w="900" w:type="dxa"/>
          </w:tcPr>
          <w:p w14:paraId="2798B0D7" w14:textId="2ECB1F90" w:rsidR="00F67966" w:rsidRPr="00026EC1" w:rsidRDefault="00F67966" w:rsidP="00A64613">
            <w:pPr>
              <w:keepNext w:val="0"/>
              <w:spacing w:after="120"/>
              <w:rPr>
                <w:lang w:val="nl-NL"/>
              </w:rPr>
            </w:pPr>
            <w:r w:rsidRPr="00026EC1">
              <w:rPr>
                <w:lang w:val="nl-NL"/>
              </w:rPr>
              <w:t>N</w:t>
            </w:r>
            <w:r w:rsidRPr="00026EC1">
              <w:rPr>
                <w:vertAlign w:val="subscript"/>
                <w:lang w:val="nl-NL"/>
              </w:rPr>
              <w:t>2</w:t>
            </w:r>
            <w:r w:rsidR="00D8581B">
              <w:rPr>
                <w:lang w:val="nl-NL"/>
              </w:rPr>
              <w:t> :</w:t>
            </w:r>
          </w:p>
        </w:tc>
        <w:tc>
          <w:tcPr>
            <w:tcW w:w="1980" w:type="dxa"/>
            <w:tcBorders>
              <w:top w:val="single" w:sz="4" w:space="0" w:color="auto"/>
              <w:bottom w:val="single" w:sz="4" w:space="0" w:color="auto"/>
            </w:tcBorders>
          </w:tcPr>
          <w:p w14:paraId="27C4E480" w14:textId="77777777" w:rsidR="00F67966" w:rsidRPr="00026EC1" w:rsidRDefault="00F67966" w:rsidP="00A64613">
            <w:pPr>
              <w:keepNext w:val="0"/>
              <w:spacing w:after="120"/>
              <w:rPr>
                <w:lang w:val="nl-NL"/>
              </w:rPr>
            </w:pPr>
          </w:p>
        </w:tc>
        <w:tc>
          <w:tcPr>
            <w:tcW w:w="606" w:type="dxa"/>
          </w:tcPr>
          <w:p w14:paraId="477EC569" w14:textId="77777777" w:rsidR="00F67966" w:rsidRPr="00026EC1" w:rsidRDefault="00F67966" w:rsidP="00A64613">
            <w:pPr>
              <w:keepNext w:val="0"/>
              <w:spacing w:after="120"/>
              <w:rPr>
                <w:lang w:val="nl-NL"/>
              </w:rPr>
            </w:pPr>
          </w:p>
        </w:tc>
        <w:tc>
          <w:tcPr>
            <w:tcW w:w="834" w:type="dxa"/>
          </w:tcPr>
          <w:p w14:paraId="65682ED9" w14:textId="77777777" w:rsidR="00F67966" w:rsidRPr="00026EC1" w:rsidRDefault="00F67966" w:rsidP="00A64613">
            <w:pPr>
              <w:keepNext w:val="0"/>
              <w:spacing w:after="120"/>
              <w:rPr>
                <w:lang w:val="nl-NL"/>
              </w:rPr>
            </w:pPr>
            <w:r w:rsidRPr="00026EC1">
              <w:rPr>
                <w:lang w:val="nl-NL"/>
              </w:rPr>
              <w:t>x 0,04</w:t>
            </w:r>
          </w:p>
        </w:tc>
        <w:tc>
          <w:tcPr>
            <w:tcW w:w="720" w:type="dxa"/>
          </w:tcPr>
          <w:p w14:paraId="68DA35A3" w14:textId="77777777" w:rsidR="00F67966" w:rsidRPr="00026EC1" w:rsidRDefault="00F67966" w:rsidP="00A64613">
            <w:pPr>
              <w:keepNext w:val="0"/>
              <w:spacing w:after="120"/>
              <w:rPr>
                <w:lang w:val="nl-NL"/>
              </w:rPr>
            </w:pPr>
          </w:p>
        </w:tc>
        <w:tc>
          <w:tcPr>
            <w:tcW w:w="720" w:type="dxa"/>
          </w:tcPr>
          <w:p w14:paraId="1648A341" w14:textId="77777777" w:rsidR="00F67966" w:rsidRPr="00026EC1" w:rsidRDefault="00F67966" w:rsidP="00A64613">
            <w:pPr>
              <w:keepNext w:val="0"/>
              <w:spacing w:after="120"/>
              <w:rPr>
                <w:lang w:val="nl-NL"/>
              </w:rPr>
            </w:pPr>
            <w:r w:rsidRPr="00026EC1">
              <w:rPr>
                <w:lang w:val="nl-NL"/>
              </w:rPr>
              <w:t>=</w:t>
            </w:r>
          </w:p>
        </w:tc>
        <w:tc>
          <w:tcPr>
            <w:tcW w:w="540" w:type="dxa"/>
          </w:tcPr>
          <w:p w14:paraId="7BABC3CF" w14:textId="77777777" w:rsidR="00F67966" w:rsidRPr="00026EC1" w:rsidRDefault="00F67966" w:rsidP="00A64613">
            <w:pPr>
              <w:keepNext w:val="0"/>
              <w:spacing w:after="120"/>
              <w:rPr>
                <w:lang w:val="nl-NL"/>
              </w:rPr>
            </w:pPr>
          </w:p>
        </w:tc>
        <w:tc>
          <w:tcPr>
            <w:tcW w:w="1980" w:type="dxa"/>
            <w:tcBorders>
              <w:top w:val="single" w:sz="4" w:space="0" w:color="auto"/>
              <w:bottom w:val="single" w:sz="4" w:space="0" w:color="auto"/>
            </w:tcBorders>
          </w:tcPr>
          <w:p w14:paraId="0783DC2E" w14:textId="77777777" w:rsidR="00F67966" w:rsidRPr="00026EC1" w:rsidRDefault="00F67966" w:rsidP="00A64613">
            <w:pPr>
              <w:keepNext w:val="0"/>
              <w:spacing w:after="120"/>
              <w:rPr>
                <w:lang w:val="nl-NL"/>
              </w:rPr>
            </w:pPr>
          </w:p>
        </w:tc>
      </w:tr>
      <w:tr w:rsidR="00F67966" w:rsidRPr="00026EC1" w14:paraId="247C6B11" w14:textId="77777777" w:rsidTr="00F67966">
        <w:tc>
          <w:tcPr>
            <w:tcW w:w="900" w:type="dxa"/>
          </w:tcPr>
          <w:p w14:paraId="3F1A6713" w14:textId="65DCC722" w:rsidR="00F67966" w:rsidRPr="00026EC1" w:rsidRDefault="00F67966" w:rsidP="00A64613">
            <w:pPr>
              <w:keepNext w:val="0"/>
              <w:spacing w:after="120"/>
              <w:rPr>
                <w:lang w:val="nl-NL"/>
              </w:rPr>
            </w:pPr>
            <w:r w:rsidRPr="00026EC1">
              <w:rPr>
                <w:lang w:val="nl-NL"/>
              </w:rPr>
              <w:t>N</w:t>
            </w:r>
            <w:r w:rsidRPr="00026EC1">
              <w:rPr>
                <w:vertAlign w:val="subscript"/>
                <w:lang w:val="nl-NL"/>
              </w:rPr>
              <w:t>3</w:t>
            </w:r>
            <w:r w:rsidR="00D8581B">
              <w:rPr>
                <w:lang w:val="nl-NL"/>
              </w:rPr>
              <w:t> :</w:t>
            </w:r>
          </w:p>
        </w:tc>
        <w:tc>
          <w:tcPr>
            <w:tcW w:w="1980" w:type="dxa"/>
            <w:tcBorders>
              <w:top w:val="single" w:sz="4" w:space="0" w:color="auto"/>
              <w:bottom w:val="single" w:sz="4" w:space="0" w:color="auto"/>
            </w:tcBorders>
          </w:tcPr>
          <w:p w14:paraId="72F11100" w14:textId="77777777" w:rsidR="00F67966" w:rsidRPr="00026EC1" w:rsidRDefault="00F67966" w:rsidP="00A64613">
            <w:pPr>
              <w:keepNext w:val="0"/>
              <w:spacing w:after="120"/>
              <w:rPr>
                <w:lang w:val="nl-NL"/>
              </w:rPr>
            </w:pPr>
          </w:p>
        </w:tc>
        <w:tc>
          <w:tcPr>
            <w:tcW w:w="606" w:type="dxa"/>
          </w:tcPr>
          <w:p w14:paraId="252629AF" w14:textId="77777777" w:rsidR="00F67966" w:rsidRPr="00026EC1" w:rsidRDefault="00F67966" w:rsidP="00A64613">
            <w:pPr>
              <w:keepNext w:val="0"/>
              <w:spacing w:after="120"/>
              <w:rPr>
                <w:lang w:val="nl-NL"/>
              </w:rPr>
            </w:pPr>
          </w:p>
        </w:tc>
        <w:tc>
          <w:tcPr>
            <w:tcW w:w="834" w:type="dxa"/>
          </w:tcPr>
          <w:p w14:paraId="4419DBA4" w14:textId="77777777" w:rsidR="00F67966" w:rsidRPr="00026EC1" w:rsidRDefault="00F67966" w:rsidP="00A64613">
            <w:pPr>
              <w:keepNext w:val="0"/>
              <w:spacing w:after="120"/>
              <w:rPr>
                <w:lang w:val="fr-FR"/>
              </w:rPr>
            </w:pPr>
            <w:r w:rsidRPr="00026EC1">
              <w:rPr>
                <w:lang w:val="fr-FR"/>
              </w:rPr>
              <w:t>x 0,04</w:t>
            </w:r>
          </w:p>
        </w:tc>
        <w:tc>
          <w:tcPr>
            <w:tcW w:w="720" w:type="dxa"/>
          </w:tcPr>
          <w:p w14:paraId="2F0BFDD8" w14:textId="77777777" w:rsidR="00F67966" w:rsidRPr="00026EC1" w:rsidRDefault="00F67966" w:rsidP="00A64613">
            <w:pPr>
              <w:keepNext w:val="0"/>
              <w:spacing w:after="120"/>
              <w:rPr>
                <w:lang w:val="fr-FR"/>
              </w:rPr>
            </w:pPr>
          </w:p>
        </w:tc>
        <w:tc>
          <w:tcPr>
            <w:tcW w:w="720" w:type="dxa"/>
          </w:tcPr>
          <w:p w14:paraId="7A160415" w14:textId="77777777" w:rsidR="00F67966" w:rsidRPr="00026EC1" w:rsidRDefault="00F67966" w:rsidP="00A64613">
            <w:pPr>
              <w:keepNext w:val="0"/>
              <w:spacing w:after="120"/>
              <w:rPr>
                <w:lang w:val="fr-FR"/>
              </w:rPr>
            </w:pPr>
            <w:r w:rsidRPr="00026EC1">
              <w:rPr>
                <w:lang w:val="fr-FR"/>
              </w:rPr>
              <w:t>=</w:t>
            </w:r>
          </w:p>
        </w:tc>
        <w:tc>
          <w:tcPr>
            <w:tcW w:w="540" w:type="dxa"/>
          </w:tcPr>
          <w:p w14:paraId="39A797CF" w14:textId="77777777" w:rsidR="00F67966" w:rsidRPr="00026EC1" w:rsidRDefault="00F67966" w:rsidP="00A64613">
            <w:pPr>
              <w:keepNext w:val="0"/>
              <w:spacing w:after="120"/>
              <w:rPr>
                <w:lang w:val="fr-FR"/>
              </w:rPr>
            </w:pPr>
          </w:p>
        </w:tc>
        <w:tc>
          <w:tcPr>
            <w:tcW w:w="1980" w:type="dxa"/>
            <w:tcBorders>
              <w:top w:val="single" w:sz="4" w:space="0" w:color="auto"/>
              <w:bottom w:val="single" w:sz="4" w:space="0" w:color="auto"/>
            </w:tcBorders>
          </w:tcPr>
          <w:p w14:paraId="6D77B58A" w14:textId="77777777" w:rsidR="00F67966" w:rsidRPr="00026EC1" w:rsidRDefault="00F67966" w:rsidP="00A64613">
            <w:pPr>
              <w:keepNext w:val="0"/>
              <w:spacing w:after="120"/>
              <w:rPr>
                <w:lang w:val="fr-FR"/>
              </w:rPr>
            </w:pPr>
          </w:p>
        </w:tc>
      </w:tr>
      <w:tr w:rsidR="00F67966" w:rsidRPr="00026EC1" w14:paraId="6183DA18" w14:textId="77777777" w:rsidTr="00F67966">
        <w:tc>
          <w:tcPr>
            <w:tcW w:w="900" w:type="dxa"/>
          </w:tcPr>
          <w:p w14:paraId="54242F6F" w14:textId="0FCAAFD1" w:rsidR="00F67966" w:rsidRPr="00026EC1" w:rsidRDefault="00F67966" w:rsidP="00A64613">
            <w:pPr>
              <w:keepNext w:val="0"/>
              <w:spacing w:after="120"/>
              <w:rPr>
                <w:lang w:val="fr-FR"/>
              </w:rPr>
            </w:pPr>
            <w:r w:rsidRPr="00026EC1">
              <w:rPr>
                <w:lang w:val="fr-FR"/>
              </w:rPr>
              <w:t>N</w:t>
            </w:r>
            <w:r w:rsidRPr="00026EC1">
              <w:rPr>
                <w:vertAlign w:val="subscript"/>
                <w:lang w:val="fr-FR"/>
              </w:rPr>
              <w:t>4</w:t>
            </w:r>
            <w:r w:rsidR="00D8581B">
              <w:rPr>
                <w:lang w:val="fr-FR"/>
              </w:rPr>
              <w:t> :</w:t>
            </w:r>
          </w:p>
        </w:tc>
        <w:tc>
          <w:tcPr>
            <w:tcW w:w="1980" w:type="dxa"/>
            <w:tcBorders>
              <w:top w:val="single" w:sz="4" w:space="0" w:color="auto"/>
              <w:bottom w:val="single" w:sz="4" w:space="0" w:color="auto"/>
            </w:tcBorders>
          </w:tcPr>
          <w:p w14:paraId="0B3CA160" w14:textId="77777777" w:rsidR="00F67966" w:rsidRPr="00026EC1" w:rsidRDefault="00F67966" w:rsidP="00A64613">
            <w:pPr>
              <w:keepNext w:val="0"/>
              <w:spacing w:after="120"/>
              <w:rPr>
                <w:lang w:val="fr-FR"/>
              </w:rPr>
            </w:pPr>
          </w:p>
        </w:tc>
        <w:tc>
          <w:tcPr>
            <w:tcW w:w="606" w:type="dxa"/>
          </w:tcPr>
          <w:p w14:paraId="30079081" w14:textId="77777777" w:rsidR="00F67966" w:rsidRPr="00026EC1" w:rsidRDefault="00F67966" w:rsidP="00A64613">
            <w:pPr>
              <w:keepNext w:val="0"/>
              <w:spacing w:after="120"/>
              <w:rPr>
                <w:lang w:val="fr-FR"/>
              </w:rPr>
            </w:pPr>
          </w:p>
        </w:tc>
        <w:tc>
          <w:tcPr>
            <w:tcW w:w="834" w:type="dxa"/>
          </w:tcPr>
          <w:p w14:paraId="2D3F7A48" w14:textId="77777777" w:rsidR="00F67966" w:rsidRPr="00026EC1" w:rsidRDefault="00F67966" w:rsidP="00A64613">
            <w:pPr>
              <w:keepNext w:val="0"/>
              <w:spacing w:after="120"/>
              <w:rPr>
                <w:lang w:val="fr-FR"/>
              </w:rPr>
            </w:pPr>
            <w:r w:rsidRPr="00026EC1">
              <w:rPr>
                <w:lang w:val="fr-FR"/>
              </w:rPr>
              <w:t>x 0,04</w:t>
            </w:r>
          </w:p>
        </w:tc>
        <w:tc>
          <w:tcPr>
            <w:tcW w:w="720" w:type="dxa"/>
          </w:tcPr>
          <w:p w14:paraId="7742F8B1" w14:textId="77777777" w:rsidR="00F67966" w:rsidRPr="00026EC1" w:rsidRDefault="00F67966" w:rsidP="00A64613">
            <w:pPr>
              <w:keepNext w:val="0"/>
              <w:spacing w:after="120"/>
              <w:rPr>
                <w:lang w:val="fr-FR"/>
              </w:rPr>
            </w:pPr>
          </w:p>
        </w:tc>
        <w:tc>
          <w:tcPr>
            <w:tcW w:w="720" w:type="dxa"/>
          </w:tcPr>
          <w:p w14:paraId="5F4B84A7" w14:textId="77777777" w:rsidR="00F67966" w:rsidRPr="00026EC1" w:rsidRDefault="00F67966" w:rsidP="00A64613">
            <w:pPr>
              <w:keepNext w:val="0"/>
              <w:spacing w:after="120"/>
              <w:rPr>
                <w:lang w:val="fr-FR"/>
              </w:rPr>
            </w:pPr>
            <w:r w:rsidRPr="00026EC1">
              <w:rPr>
                <w:lang w:val="fr-FR"/>
              </w:rPr>
              <w:t>=</w:t>
            </w:r>
          </w:p>
        </w:tc>
        <w:tc>
          <w:tcPr>
            <w:tcW w:w="540" w:type="dxa"/>
          </w:tcPr>
          <w:p w14:paraId="6F2CD94D" w14:textId="77777777" w:rsidR="00F67966" w:rsidRPr="00026EC1" w:rsidRDefault="00F67966" w:rsidP="00A64613">
            <w:pPr>
              <w:keepNext w:val="0"/>
              <w:spacing w:after="120"/>
              <w:rPr>
                <w:lang w:val="fr-FR"/>
              </w:rPr>
            </w:pPr>
          </w:p>
        </w:tc>
        <w:tc>
          <w:tcPr>
            <w:tcW w:w="1980" w:type="dxa"/>
            <w:tcBorders>
              <w:top w:val="single" w:sz="4" w:space="0" w:color="auto"/>
              <w:bottom w:val="single" w:sz="4" w:space="0" w:color="auto"/>
            </w:tcBorders>
          </w:tcPr>
          <w:p w14:paraId="269948A0" w14:textId="77777777" w:rsidR="00F67966" w:rsidRPr="00026EC1" w:rsidRDefault="00F67966" w:rsidP="00A64613">
            <w:pPr>
              <w:keepNext w:val="0"/>
              <w:spacing w:after="120"/>
              <w:rPr>
                <w:lang w:val="fr-FR"/>
              </w:rPr>
            </w:pPr>
          </w:p>
        </w:tc>
      </w:tr>
      <w:tr w:rsidR="00F67966" w:rsidRPr="00026EC1" w14:paraId="24F2FD66" w14:textId="77777777" w:rsidTr="00F67966">
        <w:tc>
          <w:tcPr>
            <w:tcW w:w="900" w:type="dxa"/>
          </w:tcPr>
          <w:p w14:paraId="1A52BEDC" w14:textId="1E53ABE7" w:rsidR="00F67966" w:rsidRPr="00026EC1" w:rsidRDefault="00F67966" w:rsidP="00A64613">
            <w:pPr>
              <w:keepNext w:val="0"/>
              <w:spacing w:after="120"/>
              <w:rPr>
                <w:lang w:val="fr-FR"/>
              </w:rPr>
            </w:pPr>
            <w:r w:rsidRPr="00026EC1">
              <w:rPr>
                <w:lang w:val="fr-FR"/>
              </w:rPr>
              <w:t>N</w:t>
            </w:r>
            <w:r w:rsidRPr="00026EC1">
              <w:rPr>
                <w:vertAlign w:val="subscript"/>
                <w:lang w:val="fr-FR"/>
              </w:rPr>
              <w:t>5</w:t>
            </w:r>
            <w:r w:rsidR="00D8581B">
              <w:rPr>
                <w:lang w:val="fr-FR"/>
              </w:rPr>
              <w:t> :</w:t>
            </w:r>
          </w:p>
        </w:tc>
        <w:tc>
          <w:tcPr>
            <w:tcW w:w="1980" w:type="dxa"/>
            <w:tcBorders>
              <w:top w:val="single" w:sz="4" w:space="0" w:color="auto"/>
              <w:bottom w:val="single" w:sz="4" w:space="0" w:color="auto"/>
            </w:tcBorders>
          </w:tcPr>
          <w:p w14:paraId="7370C63A" w14:textId="77777777" w:rsidR="00F67966" w:rsidRPr="00026EC1" w:rsidRDefault="00F67966" w:rsidP="00A64613">
            <w:pPr>
              <w:keepNext w:val="0"/>
              <w:spacing w:after="120"/>
              <w:rPr>
                <w:lang w:val="fr-FR"/>
              </w:rPr>
            </w:pPr>
          </w:p>
        </w:tc>
        <w:tc>
          <w:tcPr>
            <w:tcW w:w="606" w:type="dxa"/>
          </w:tcPr>
          <w:p w14:paraId="487183C6" w14:textId="77777777" w:rsidR="00F67966" w:rsidRPr="00026EC1" w:rsidRDefault="00F67966" w:rsidP="00A64613">
            <w:pPr>
              <w:keepNext w:val="0"/>
              <w:spacing w:after="120"/>
              <w:rPr>
                <w:lang w:val="fr-FR"/>
              </w:rPr>
            </w:pPr>
          </w:p>
        </w:tc>
        <w:tc>
          <w:tcPr>
            <w:tcW w:w="834" w:type="dxa"/>
          </w:tcPr>
          <w:p w14:paraId="45D92190" w14:textId="77777777" w:rsidR="00F67966" w:rsidRPr="00026EC1" w:rsidRDefault="00F67966" w:rsidP="00A64613">
            <w:pPr>
              <w:keepNext w:val="0"/>
              <w:spacing w:after="120"/>
              <w:rPr>
                <w:lang w:val="fr-FR"/>
              </w:rPr>
            </w:pPr>
            <w:r w:rsidRPr="00026EC1">
              <w:rPr>
                <w:lang w:val="fr-FR"/>
              </w:rPr>
              <w:t>x 0,04</w:t>
            </w:r>
          </w:p>
        </w:tc>
        <w:tc>
          <w:tcPr>
            <w:tcW w:w="720" w:type="dxa"/>
          </w:tcPr>
          <w:p w14:paraId="35E97AF6" w14:textId="77777777" w:rsidR="00F67966" w:rsidRPr="00026EC1" w:rsidRDefault="00F67966" w:rsidP="00A64613">
            <w:pPr>
              <w:keepNext w:val="0"/>
              <w:spacing w:after="120"/>
              <w:rPr>
                <w:lang w:val="fr-FR"/>
              </w:rPr>
            </w:pPr>
          </w:p>
        </w:tc>
        <w:tc>
          <w:tcPr>
            <w:tcW w:w="720" w:type="dxa"/>
          </w:tcPr>
          <w:p w14:paraId="591F0D8D" w14:textId="77777777" w:rsidR="00F67966" w:rsidRPr="00026EC1" w:rsidRDefault="00F67966" w:rsidP="00A64613">
            <w:pPr>
              <w:keepNext w:val="0"/>
              <w:spacing w:after="120"/>
              <w:rPr>
                <w:lang w:val="fr-FR"/>
              </w:rPr>
            </w:pPr>
            <w:r w:rsidRPr="00026EC1">
              <w:rPr>
                <w:lang w:val="fr-FR"/>
              </w:rPr>
              <w:t>=</w:t>
            </w:r>
          </w:p>
        </w:tc>
        <w:tc>
          <w:tcPr>
            <w:tcW w:w="540" w:type="dxa"/>
          </w:tcPr>
          <w:p w14:paraId="1757C06D" w14:textId="77777777" w:rsidR="00F67966" w:rsidRPr="00026EC1" w:rsidRDefault="00F67966" w:rsidP="00A64613">
            <w:pPr>
              <w:keepNext w:val="0"/>
              <w:spacing w:after="120"/>
              <w:rPr>
                <w:lang w:val="fr-FR"/>
              </w:rPr>
            </w:pPr>
          </w:p>
        </w:tc>
        <w:tc>
          <w:tcPr>
            <w:tcW w:w="1980" w:type="dxa"/>
            <w:tcBorders>
              <w:top w:val="single" w:sz="4" w:space="0" w:color="auto"/>
              <w:bottom w:val="single" w:sz="4" w:space="0" w:color="auto"/>
            </w:tcBorders>
          </w:tcPr>
          <w:p w14:paraId="1C7DE626" w14:textId="77777777" w:rsidR="00F67966" w:rsidRPr="00026EC1" w:rsidRDefault="00F67966" w:rsidP="00A64613">
            <w:pPr>
              <w:keepNext w:val="0"/>
              <w:spacing w:after="120"/>
              <w:rPr>
                <w:lang w:val="fr-FR"/>
              </w:rPr>
            </w:pPr>
          </w:p>
        </w:tc>
      </w:tr>
      <w:tr w:rsidR="00F67966" w:rsidRPr="00026EC1" w14:paraId="617461C0" w14:textId="77777777" w:rsidTr="00F67966">
        <w:tc>
          <w:tcPr>
            <w:tcW w:w="900" w:type="dxa"/>
          </w:tcPr>
          <w:p w14:paraId="18EFF15F" w14:textId="2B70A24C" w:rsidR="00F67966" w:rsidRPr="00026EC1" w:rsidRDefault="00F67966" w:rsidP="00A64613">
            <w:pPr>
              <w:keepNext w:val="0"/>
              <w:spacing w:after="120"/>
              <w:rPr>
                <w:lang w:val="fr-FR"/>
              </w:rPr>
            </w:pPr>
            <w:r w:rsidRPr="00026EC1">
              <w:rPr>
                <w:lang w:val="fr-FR"/>
              </w:rPr>
              <w:t>N</w:t>
            </w:r>
            <w:r w:rsidRPr="00026EC1">
              <w:rPr>
                <w:vertAlign w:val="subscript"/>
                <w:lang w:val="fr-FR"/>
              </w:rPr>
              <w:t>6</w:t>
            </w:r>
            <w:r w:rsidR="00D8581B">
              <w:rPr>
                <w:lang w:val="fr-FR"/>
              </w:rPr>
              <w:t> :</w:t>
            </w:r>
          </w:p>
        </w:tc>
        <w:tc>
          <w:tcPr>
            <w:tcW w:w="1980" w:type="dxa"/>
            <w:tcBorders>
              <w:top w:val="single" w:sz="4" w:space="0" w:color="auto"/>
              <w:bottom w:val="single" w:sz="4" w:space="0" w:color="auto"/>
            </w:tcBorders>
          </w:tcPr>
          <w:p w14:paraId="480B8FA5" w14:textId="77777777" w:rsidR="00F67966" w:rsidRPr="00026EC1" w:rsidRDefault="00F67966" w:rsidP="00A64613">
            <w:pPr>
              <w:keepNext w:val="0"/>
              <w:spacing w:after="120"/>
              <w:rPr>
                <w:lang w:val="fr-FR"/>
              </w:rPr>
            </w:pPr>
          </w:p>
        </w:tc>
        <w:tc>
          <w:tcPr>
            <w:tcW w:w="606" w:type="dxa"/>
          </w:tcPr>
          <w:p w14:paraId="7E928760" w14:textId="77777777" w:rsidR="00F67966" w:rsidRPr="00026EC1" w:rsidRDefault="00F67966" w:rsidP="00A64613">
            <w:pPr>
              <w:keepNext w:val="0"/>
              <w:spacing w:after="120"/>
              <w:rPr>
                <w:lang w:val="fr-FR"/>
              </w:rPr>
            </w:pPr>
          </w:p>
        </w:tc>
        <w:tc>
          <w:tcPr>
            <w:tcW w:w="834" w:type="dxa"/>
          </w:tcPr>
          <w:p w14:paraId="5660774B" w14:textId="77777777" w:rsidR="00F67966" w:rsidRPr="00026EC1" w:rsidRDefault="00F67966" w:rsidP="00A64613">
            <w:pPr>
              <w:keepNext w:val="0"/>
              <w:spacing w:after="120"/>
              <w:rPr>
                <w:lang w:val="fr-FR"/>
              </w:rPr>
            </w:pPr>
            <w:r w:rsidRPr="00026EC1">
              <w:rPr>
                <w:lang w:val="fr-FR"/>
              </w:rPr>
              <w:t>x 0,04</w:t>
            </w:r>
          </w:p>
        </w:tc>
        <w:tc>
          <w:tcPr>
            <w:tcW w:w="720" w:type="dxa"/>
          </w:tcPr>
          <w:p w14:paraId="4DCD572E" w14:textId="77777777" w:rsidR="00F67966" w:rsidRPr="00026EC1" w:rsidRDefault="00F67966" w:rsidP="00A64613">
            <w:pPr>
              <w:keepNext w:val="0"/>
              <w:spacing w:after="120"/>
              <w:rPr>
                <w:lang w:val="fr-FR"/>
              </w:rPr>
            </w:pPr>
          </w:p>
        </w:tc>
        <w:tc>
          <w:tcPr>
            <w:tcW w:w="720" w:type="dxa"/>
          </w:tcPr>
          <w:p w14:paraId="59965EDE" w14:textId="77777777" w:rsidR="00F67966" w:rsidRPr="00026EC1" w:rsidRDefault="00F67966" w:rsidP="00A64613">
            <w:pPr>
              <w:keepNext w:val="0"/>
              <w:spacing w:after="120"/>
              <w:rPr>
                <w:lang w:val="fr-FR"/>
              </w:rPr>
            </w:pPr>
            <w:r w:rsidRPr="00026EC1">
              <w:rPr>
                <w:lang w:val="fr-FR"/>
              </w:rPr>
              <w:t>=</w:t>
            </w:r>
          </w:p>
        </w:tc>
        <w:tc>
          <w:tcPr>
            <w:tcW w:w="540" w:type="dxa"/>
          </w:tcPr>
          <w:p w14:paraId="78C25EB6" w14:textId="77777777" w:rsidR="00F67966" w:rsidRPr="00026EC1" w:rsidRDefault="00F67966" w:rsidP="00A64613">
            <w:pPr>
              <w:keepNext w:val="0"/>
              <w:spacing w:after="120"/>
              <w:rPr>
                <w:lang w:val="fr-FR"/>
              </w:rPr>
            </w:pPr>
          </w:p>
        </w:tc>
        <w:tc>
          <w:tcPr>
            <w:tcW w:w="1980" w:type="dxa"/>
            <w:tcBorders>
              <w:top w:val="single" w:sz="4" w:space="0" w:color="auto"/>
              <w:bottom w:val="single" w:sz="4" w:space="0" w:color="auto"/>
            </w:tcBorders>
          </w:tcPr>
          <w:p w14:paraId="53B853D1" w14:textId="77777777" w:rsidR="00F67966" w:rsidRPr="00026EC1" w:rsidRDefault="00F67966" w:rsidP="00A64613">
            <w:pPr>
              <w:keepNext w:val="0"/>
              <w:spacing w:after="120"/>
              <w:rPr>
                <w:lang w:val="fr-FR"/>
              </w:rPr>
            </w:pPr>
          </w:p>
        </w:tc>
      </w:tr>
    </w:tbl>
    <w:p w14:paraId="48D6E102" w14:textId="77777777" w:rsidR="00F67966" w:rsidRPr="00026EC1" w:rsidRDefault="00F67966" w:rsidP="00A64613">
      <w:pPr>
        <w:keepNext w:val="0"/>
        <w:rPr>
          <w:lang w:val="fr-FR"/>
        </w:rPr>
      </w:pPr>
    </w:p>
    <w:p w14:paraId="7682F6E5" w14:textId="1E3D7F1E" w:rsidR="00F67966" w:rsidRDefault="00F67966" w:rsidP="00A64613">
      <w:pPr>
        <w:pStyle w:val="Texte1cm"/>
        <w:keepNext w:val="0"/>
      </w:pPr>
      <w:r w:rsidRPr="00026EC1">
        <w:t>NES</w:t>
      </w:r>
      <w:r w:rsidR="00BF3BC1" w:rsidRPr="00BF3BC1">
        <w:rPr>
          <w:vertAlign w:val="subscript"/>
        </w:rPr>
        <w:t>1</w:t>
      </w:r>
      <w:r w:rsidR="00D8581B">
        <w:t> :</w:t>
      </w:r>
      <w:r w:rsidRPr="00026EC1">
        <w:t>_______________</w:t>
      </w:r>
    </w:p>
    <w:p w14:paraId="64EEA8BE" w14:textId="77777777" w:rsidR="00BF3BC1" w:rsidRPr="00316277" w:rsidRDefault="00BF3BC1" w:rsidP="00BF3BC1">
      <w:pPr>
        <w:pStyle w:val="Texte1cm"/>
        <w:keepNext w:val="0"/>
        <w:spacing w:before="120" w:after="120"/>
      </w:pPr>
      <w:r w:rsidRPr="00316277">
        <w:t>NES</w:t>
      </w:r>
      <w:r w:rsidRPr="00316277">
        <w:rPr>
          <w:vertAlign w:val="subscript"/>
        </w:rPr>
        <w:t>2</w:t>
      </w:r>
      <w:r w:rsidRPr="00316277">
        <w:t xml:space="preserve"> : _______________</w:t>
      </w:r>
    </w:p>
    <w:p w14:paraId="32CC686D" w14:textId="77777777" w:rsidR="00BF3BC1" w:rsidRDefault="00BF3BC1" w:rsidP="00BF3BC1">
      <w:pPr>
        <w:pStyle w:val="Texte1cm"/>
        <w:keepNext w:val="0"/>
        <w:spacing w:before="120" w:after="120"/>
      </w:pPr>
      <w:r w:rsidRPr="00316277">
        <w:t>NES = NES</w:t>
      </w:r>
      <w:r w:rsidRPr="00316277">
        <w:rPr>
          <w:vertAlign w:val="subscript"/>
        </w:rPr>
        <w:t>1</w:t>
      </w:r>
      <w:r w:rsidRPr="00316277">
        <w:t xml:space="preserve"> + (0,8 x NES</w:t>
      </w:r>
      <w:r w:rsidRPr="00316277">
        <w:rPr>
          <w:vertAlign w:val="subscript"/>
        </w:rPr>
        <w:t>2</w:t>
      </w:r>
      <w:r w:rsidRPr="00316277">
        <w:t>): _______________</w:t>
      </w:r>
    </w:p>
    <w:p w14:paraId="1946A1FC" w14:textId="77777777" w:rsidR="00F67966" w:rsidRPr="00026EC1" w:rsidRDefault="00F67966" w:rsidP="00A64613">
      <w:pPr>
        <w:keepNext w:val="0"/>
        <w:rPr>
          <w:lang w:val="fr-FR"/>
        </w:rPr>
      </w:pPr>
    </w:p>
    <w:tbl>
      <w:tblPr>
        <w:tblW w:w="8481" w:type="dxa"/>
        <w:tblInd w:w="567" w:type="dxa"/>
        <w:tblLayout w:type="fixed"/>
        <w:tblCellMar>
          <w:left w:w="70" w:type="dxa"/>
          <w:right w:w="70" w:type="dxa"/>
        </w:tblCellMar>
        <w:tblLook w:val="0000" w:firstRow="0" w:lastRow="0" w:firstColumn="0" w:lastColumn="0" w:noHBand="0" w:noVBand="0"/>
      </w:tblPr>
      <w:tblGrid>
        <w:gridCol w:w="419"/>
        <w:gridCol w:w="155"/>
        <w:gridCol w:w="250"/>
        <w:gridCol w:w="156"/>
        <w:gridCol w:w="1156"/>
        <w:gridCol w:w="151"/>
        <w:gridCol w:w="115"/>
        <w:gridCol w:w="157"/>
        <w:gridCol w:w="357"/>
        <w:gridCol w:w="312"/>
        <w:gridCol w:w="157"/>
        <w:gridCol w:w="735"/>
        <w:gridCol w:w="802"/>
        <w:gridCol w:w="89"/>
        <w:gridCol w:w="156"/>
        <w:gridCol w:w="22"/>
        <w:gridCol w:w="157"/>
        <w:gridCol w:w="409"/>
        <w:gridCol w:w="45"/>
        <w:gridCol w:w="2424"/>
        <w:gridCol w:w="140"/>
        <w:gridCol w:w="16"/>
        <w:gridCol w:w="101"/>
      </w:tblGrid>
      <w:tr w:rsidR="00A52F33" w:rsidRPr="00026EC1" w14:paraId="2066D275" w14:textId="77777777" w:rsidTr="0010298E">
        <w:trPr>
          <w:gridBefore w:val="1"/>
          <w:wBefore w:w="419" w:type="dxa"/>
          <w:trHeight w:val="308"/>
        </w:trPr>
        <w:tc>
          <w:tcPr>
            <w:tcW w:w="8062" w:type="dxa"/>
            <w:gridSpan w:val="22"/>
          </w:tcPr>
          <w:p w14:paraId="1E32DD77" w14:textId="3AAB4CDD" w:rsidR="00A52F33" w:rsidRPr="00026EC1" w:rsidRDefault="00A52F33" w:rsidP="00F81ACE">
            <w:pPr>
              <w:pStyle w:val="Texte1cm"/>
              <w:keepNext w:val="0"/>
              <w:tabs>
                <w:tab w:val="left" w:pos="5173"/>
              </w:tabs>
              <w:ind w:left="0"/>
            </w:pPr>
            <w:r w:rsidRPr="00026EC1">
              <w:t xml:space="preserve">si NES </w:t>
            </w:r>
            <w:r w:rsidRPr="00026EC1">
              <w:rPr>
                <w:rFonts w:ascii="Symbol" w:eastAsia="Symbol" w:hAnsi="Symbol" w:cs="Symbol"/>
              </w:rPr>
              <w:t></w:t>
            </w:r>
            <w:r w:rsidRPr="00026EC1">
              <w:t xml:space="preserve"> 75,</w:t>
            </w:r>
            <w:r w:rsidR="009F1A8D">
              <w:t xml:space="preserve">        </w:t>
            </w:r>
            <w:r>
              <w:t xml:space="preserve"> </w:t>
            </w:r>
            <w:r w:rsidR="00F81ACE" w:rsidRPr="00316277">
              <w:t xml:space="preserve">____ </w:t>
            </w:r>
            <w:r w:rsidR="009F1A8D" w:rsidRPr="00316277">
              <w:t xml:space="preserve">x </w:t>
            </w:r>
            <w:r w:rsidRPr="00316277">
              <w:t>0,01</w:t>
            </w:r>
            <w:r w:rsidR="00F81ACE" w:rsidRPr="00316277">
              <w:tab/>
            </w:r>
            <w:r w:rsidR="00F81ACE">
              <w:t>=</w:t>
            </w:r>
          </w:p>
        </w:tc>
      </w:tr>
      <w:tr w:rsidR="00F67966" w:rsidRPr="00026EC1" w14:paraId="09CB9DE5" w14:textId="77777777" w:rsidTr="0010298E">
        <w:trPr>
          <w:gridBefore w:val="1"/>
          <w:gridAfter w:val="1"/>
          <w:wBefore w:w="419" w:type="dxa"/>
          <w:wAfter w:w="101" w:type="dxa"/>
          <w:trHeight w:val="272"/>
        </w:trPr>
        <w:tc>
          <w:tcPr>
            <w:tcW w:w="405" w:type="dxa"/>
            <w:gridSpan w:val="2"/>
          </w:tcPr>
          <w:p w14:paraId="23A49D22" w14:textId="77777777" w:rsidR="00F67966" w:rsidRPr="00026EC1" w:rsidRDefault="00F67966" w:rsidP="00A64613">
            <w:pPr>
              <w:pStyle w:val="Texte1cm"/>
              <w:keepNext w:val="0"/>
              <w:ind w:left="0"/>
            </w:pPr>
          </w:p>
        </w:tc>
        <w:tc>
          <w:tcPr>
            <w:tcW w:w="1578" w:type="dxa"/>
            <w:gridSpan w:val="4"/>
          </w:tcPr>
          <w:p w14:paraId="7D2CF7E4" w14:textId="77777777" w:rsidR="00F67966" w:rsidRPr="00026EC1" w:rsidRDefault="00F67966" w:rsidP="00A64613">
            <w:pPr>
              <w:pStyle w:val="Texte1cm"/>
              <w:keepNext w:val="0"/>
              <w:ind w:left="0"/>
            </w:pPr>
          </w:p>
        </w:tc>
        <w:tc>
          <w:tcPr>
            <w:tcW w:w="826" w:type="dxa"/>
            <w:gridSpan w:val="3"/>
          </w:tcPr>
          <w:p w14:paraId="412EDE2A" w14:textId="77777777" w:rsidR="00F67966" w:rsidRPr="00026EC1" w:rsidRDefault="00F67966" w:rsidP="00A64613">
            <w:pPr>
              <w:pStyle w:val="Texte1cm"/>
              <w:keepNext w:val="0"/>
              <w:ind w:left="0"/>
            </w:pPr>
          </w:p>
        </w:tc>
        <w:tc>
          <w:tcPr>
            <w:tcW w:w="1961" w:type="dxa"/>
            <w:gridSpan w:val="6"/>
          </w:tcPr>
          <w:p w14:paraId="3E0DC04F" w14:textId="77777777" w:rsidR="00F67966" w:rsidRPr="00026EC1" w:rsidRDefault="00F67966" w:rsidP="00A64613">
            <w:pPr>
              <w:pStyle w:val="Texte1cm"/>
              <w:keepNext w:val="0"/>
              <w:ind w:left="0"/>
            </w:pPr>
          </w:p>
        </w:tc>
        <w:tc>
          <w:tcPr>
            <w:tcW w:w="611" w:type="dxa"/>
            <w:gridSpan w:val="3"/>
          </w:tcPr>
          <w:p w14:paraId="30976261" w14:textId="77777777" w:rsidR="00F67966" w:rsidRPr="00026EC1" w:rsidRDefault="00F67966" w:rsidP="00A64613">
            <w:pPr>
              <w:pStyle w:val="Texte1cm"/>
              <w:keepNext w:val="0"/>
              <w:ind w:left="0"/>
              <w:jc w:val="right"/>
            </w:pPr>
          </w:p>
        </w:tc>
        <w:tc>
          <w:tcPr>
            <w:tcW w:w="2580" w:type="dxa"/>
            <w:gridSpan w:val="3"/>
            <w:tcBorders>
              <w:top w:val="single" w:sz="4" w:space="0" w:color="auto"/>
            </w:tcBorders>
          </w:tcPr>
          <w:p w14:paraId="3AA5E83F" w14:textId="77777777" w:rsidR="00F67966" w:rsidRPr="00026EC1" w:rsidRDefault="00F67966" w:rsidP="00DE306B">
            <w:pPr>
              <w:pStyle w:val="Texte1cm"/>
              <w:keepNext w:val="0"/>
              <w:ind w:left="0"/>
            </w:pPr>
          </w:p>
        </w:tc>
      </w:tr>
      <w:tr w:rsidR="00F67966" w:rsidRPr="00026EC1" w14:paraId="1DA1536D" w14:textId="77777777" w:rsidTr="0010298E">
        <w:trPr>
          <w:gridBefore w:val="1"/>
          <w:gridAfter w:val="1"/>
          <w:wBefore w:w="419" w:type="dxa"/>
          <w:wAfter w:w="101" w:type="dxa"/>
          <w:cantSplit/>
          <w:trHeight w:val="284"/>
        </w:trPr>
        <w:tc>
          <w:tcPr>
            <w:tcW w:w="1868" w:type="dxa"/>
            <w:gridSpan w:val="5"/>
          </w:tcPr>
          <w:p w14:paraId="637507F9" w14:textId="77777777" w:rsidR="00F67966" w:rsidRPr="00026EC1" w:rsidRDefault="00F67966" w:rsidP="00A64613">
            <w:pPr>
              <w:pStyle w:val="Texte1cm"/>
              <w:keepNext w:val="0"/>
              <w:ind w:left="0"/>
            </w:pPr>
            <w:r w:rsidRPr="00026EC1">
              <w:t>si NES &gt; 160</w:t>
            </w:r>
          </w:p>
        </w:tc>
        <w:tc>
          <w:tcPr>
            <w:tcW w:w="1833" w:type="dxa"/>
            <w:gridSpan w:val="6"/>
          </w:tcPr>
          <w:p w14:paraId="1BBFB4A0" w14:textId="58B0848A" w:rsidR="00F67966" w:rsidRPr="00026EC1" w:rsidRDefault="00F67966" w:rsidP="00A64613">
            <w:pPr>
              <w:pStyle w:val="Texte1cm"/>
              <w:keepNext w:val="0"/>
              <w:ind w:left="0"/>
            </w:pPr>
            <w:r w:rsidRPr="00026EC1">
              <w:t xml:space="preserve">(___ </w:t>
            </w:r>
            <w:r w:rsidR="009F1A8D">
              <w:t>-</w:t>
            </w:r>
            <w:r w:rsidRPr="00026EC1">
              <w:t>160)</w:t>
            </w:r>
            <w:r w:rsidRPr="00026EC1">
              <w:rPr>
                <w:vertAlign w:val="superscript"/>
              </w:rPr>
              <w:t>2</w:t>
            </w:r>
          </w:p>
        </w:tc>
        <w:tc>
          <w:tcPr>
            <w:tcW w:w="891" w:type="dxa"/>
            <w:gridSpan w:val="2"/>
          </w:tcPr>
          <w:p w14:paraId="24811772" w14:textId="77777777" w:rsidR="00F67966" w:rsidRPr="00026EC1" w:rsidRDefault="00F67966" w:rsidP="00A64613">
            <w:pPr>
              <w:pStyle w:val="Texte1cm"/>
              <w:keepNext w:val="0"/>
              <w:ind w:left="0"/>
            </w:pPr>
            <w:r w:rsidRPr="00026EC1">
              <w:t>x 0,1</w:t>
            </w:r>
          </w:p>
        </w:tc>
        <w:tc>
          <w:tcPr>
            <w:tcW w:w="789" w:type="dxa"/>
            <w:gridSpan w:val="5"/>
          </w:tcPr>
          <w:p w14:paraId="076D4889" w14:textId="77777777" w:rsidR="00F67966" w:rsidRPr="00026EC1" w:rsidRDefault="00F67966" w:rsidP="00A64613">
            <w:pPr>
              <w:pStyle w:val="Texte1cm"/>
              <w:keepNext w:val="0"/>
              <w:ind w:left="0"/>
              <w:jc w:val="right"/>
            </w:pPr>
            <w:r w:rsidRPr="00026EC1">
              <w:t>=</w:t>
            </w:r>
          </w:p>
        </w:tc>
        <w:tc>
          <w:tcPr>
            <w:tcW w:w="2580" w:type="dxa"/>
            <w:gridSpan w:val="3"/>
            <w:tcBorders>
              <w:bottom w:val="single" w:sz="4" w:space="0" w:color="auto"/>
            </w:tcBorders>
          </w:tcPr>
          <w:p w14:paraId="06845443" w14:textId="77777777" w:rsidR="00F67966" w:rsidRPr="00026EC1" w:rsidRDefault="00F67966" w:rsidP="00DE306B">
            <w:pPr>
              <w:pStyle w:val="Texte1cm"/>
              <w:keepNext w:val="0"/>
              <w:ind w:left="0"/>
            </w:pPr>
          </w:p>
        </w:tc>
      </w:tr>
      <w:tr w:rsidR="00F67966" w:rsidRPr="00026EC1" w14:paraId="30EABA57" w14:textId="77777777" w:rsidTr="0010298E">
        <w:trPr>
          <w:gridBefore w:val="1"/>
          <w:gridAfter w:val="1"/>
          <w:wBefore w:w="419" w:type="dxa"/>
          <w:wAfter w:w="101" w:type="dxa"/>
          <w:trHeight w:val="284"/>
        </w:trPr>
        <w:tc>
          <w:tcPr>
            <w:tcW w:w="405" w:type="dxa"/>
            <w:gridSpan w:val="2"/>
          </w:tcPr>
          <w:p w14:paraId="510A4235" w14:textId="77777777" w:rsidR="00F67966" w:rsidRPr="00026EC1" w:rsidRDefault="00F67966" w:rsidP="00A64613">
            <w:pPr>
              <w:pStyle w:val="Texte1cm"/>
              <w:keepNext w:val="0"/>
              <w:ind w:left="0"/>
            </w:pPr>
          </w:p>
        </w:tc>
        <w:tc>
          <w:tcPr>
            <w:tcW w:w="1578" w:type="dxa"/>
            <w:gridSpan w:val="4"/>
          </w:tcPr>
          <w:p w14:paraId="119ABB48" w14:textId="77777777" w:rsidR="00F67966" w:rsidRPr="00026EC1" w:rsidRDefault="00F67966" w:rsidP="00A64613">
            <w:pPr>
              <w:pStyle w:val="Texte1cm"/>
              <w:keepNext w:val="0"/>
              <w:ind w:left="0"/>
            </w:pPr>
          </w:p>
        </w:tc>
        <w:tc>
          <w:tcPr>
            <w:tcW w:w="826" w:type="dxa"/>
            <w:gridSpan w:val="3"/>
          </w:tcPr>
          <w:p w14:paraId="780F6C54" w14:textId="77777777" w:rsidR="00F67966" w:rsidRPr="00026EC1" w:rsidRDefault="00F67966" w:rsidP="00A64613">
            <w:pPr>
              <w:pStyle w:val="Texte1cm"/>
              <w:keepNext w:val="0"/>
              <w:ind w:left="0"/>
            </w:pPr>
          </w:p>
        </w:tc>
        <w:tc>
          <w:tcPr>
            <w:tcW w:w="1961" w:type="dxa"/>
            <w:gridSpan w:val="6"/>
          </w:tcPr>
          <w:p w14:paraId="02BBD50B" w14:textId="77777777" w:rsidR="00F67966" w:rsidRPr="00026EC1" w:rsidRDefault="00F67966" w:rsidP="00A64613">
            <w:pPr>
              <w:pStyle w:val="Texte1cm"/>
              <w:keepNext w:val="0"/>
              <w:ind w:left="0"/>
            </w:pPr>
          </w:p>
        </w:tc>
        <w:tc>
          <w:tcPr>
            <w:tcW w:w="611" w:type="dxa"/>
            <w:gridSpan w:val="3"/>
          </w:tcPr>
          <w:p w14:paraId="7AE8CAA7" w14:textId="77777777" w:rsidR="00F67966" w:rsidRPr="00026EC1" w:rsidRDefault="00F67966" w:rsidP="00A64613">
            <w:pPr>
              <w:pStyle w:val="Texte1cm"/>
              <w:keepNext w:val="0"/>
              <w:ind w:left="0"/>
              <w:jc w:val="right"/>
            </w:pPr>
          </w:p>
        </w:tc>
        <w:tc>
          <w:tcPr>
            <w:tcW w:w="2580" w:type="dxa"/>
            <w:gridSpan w:val="3"/>
            <w:tcBorders>
              <w:top w:val="single" w:sz="4" w:space="0" w:color="auto"/>
            </w:tcBorders>
          </w:tcPr>
          <w:p w14:paraId="4FB369B2" w14:textId="77777777" w:rsidR="00F67966" w:rsidRPr="00026EC1" w:rsidRDefault="00F67966" w:rsidP="00DE306B">
            <w:pPr>
              <w:pStyle w:val="Texte1cm"/>
              <w:keepNext w:val="0"/>
              <w:ind w:left="0"/>
            </w:pPr>
          </w:p>
        </w:tc>
      </w:tr>
      <w:tr w:rsidR="00DE306B" w:rsidRPr="00026EC1" w14:paraId="448A3F5B" w14:textId="77777777" w:rsidTr="0010298E">
        <w:trPr>
          <w:gridAfter w:val="3"/>
          <w:wAfter w:w="257" w:type="dxa"/>
          <w:trHeight w:val="284"/>
        </w:trPr>
        <w:tc>
          <w:tcPr>
            <w:tcW w:w="2136" w:type="dxa"/>
            <w:gridSpan w:val="5"/>
          </w:tcPr>
          <w:p w14:paraId="1443F16D" w14:textId="540B8180" w:rsidR="00DE306B" w:rsidRPr="00DE306B" w:rsidRDefault="00DE306B" w:rsidP="00DE306B">
            <w:pPr>
              <w:pStyle w:val="Texte1cm"/>
              <w:keepNext w:val="0"/>
              <w:ind w:left="0" w:hanging="76"/>
              <w:rPr>
                <w:highlight w:val="lightGray"/>
              </w:rPr>
            </w:pPr>
            <w:r w:rsidRPr="00316277">
              <w:t>CO</w:t>
            </w:r>
          </w:p>
        </w:tc>
        <w:tc>
          <w:tcPr>
            <w:tcW w:w="780" w:type="dxa"/>
            <w:gridSpan w:val="4"/>
          </w:tcPr>
          <w:p w14:paraId="0D919AF3" w14:textId="77777777" w:rsidR="00DE306B" w:rsidRPr="00DE306B" w:rsidRDefault="00DE306B" w:rsidP="00A64613">
            <w:pPr>
              <w:pStyle w:val="Texte1cm"/>
              <w:keepNext w:val="0"/>
              <w:ind w:left="0"/>
              <w:rPr>
                <w:highlight w:val="lightGray"/>
              </w:rPr>
            </w:pPr>
          </w:p>
        </w:tc>
        <w:tc>
          <w:tcPr>
            <w:tcW w:w="2006" w:type="dxa"/>
            <w:gridSpan w:val="4"/>
          </w:tcPr>
          <w:p w14:paraId="25F20BAC" w14:textId="77777777" w:rsidR="00DE306B" w:rsidRPr="00DE306B" w:rsidRDefault="00DE306B" w:rsidP="00A64613">
            <w:pPr>
              <w:pStyle w:val="Texte1cm"/>
              <w:keepNext w:val="0"/>
              <w:ind w:left="0"/>
              <w:rPr>
                <w:highlight w:val="lightGray"/>
              </w:rPr>
            </w:pPr>
          </w:p>
        </w:tc>
        <w:tc>
          <w:tcPr>
            <w:tcW w:w="878" w:type="dxa"/>
            <w:gridSpan w:val="6"/>
          </w:tcPr>
          <w:p w14:paraId="51B687D5" w14:textId="7275E235" w:rsidR="00DE306B" w:rsidRPr="00DE306B" w:rsidRDefault="00DE306B" w:rsidP="00DE306B">
            <w:pPr>
              <w:pStyle w:val="Texte1cm"/>
              <w:keepNext w:val="0"/>
              <w:ind w:left="0"/>
              <w:jc w:val="right"/>
            </w:pPr>
            <w:r w:rsidRPr="00316277">
              <w:t>=</w:t>
            </w:r>
          </w:p>
        </w:tc>
        <w:tc>
          <w:tcPr>
            <w:tcW w:w="2424" w:type="dxa"/>
            <w:tcBorders>
              <w:bottom w:val="single" w:sz="4" w:space="0" w:color="auto"/>
            </w:tcBorders>
          </w:tcPr>
          <w:p w14:paraId="6285DD5E" w14:textId="77777777" w:rsidR="00DE306B" w:rsidRPr="00DE306B" w:rsidRDefault="00DE306B" w:rsidP="00DE306B">
            <w:pPr>
              <w:pStyle w:val="Texte1cm"/>
              <w:keepNext w:val="0"/>
              <w:ind w:left="0"/>
            </w:pPr>
          </w:p>
        </w:tc>
      </w:tr>
      <w:tr w:rsidR="00BF3BC1" w:rsidRPr="00026EC1" w14:paraId="6CED6A97" w14:textId="77777777" w:rsidTr="0010298E">
        <w:trPr>
          <w:gridBefore w:val="2"/>
          <w:gridAfter w:val="2"/>
          <w:wBefore w:w="574" w:type="dxa"/>
          <w:wAfter w:w="117" w:type="dxa"/>
          <w:trHeight w:val="284"/>
        </w:trPr>
        <w:tc>
          <w:tcPr>
            <w:tcW w:w="406" w:type="dxa"/>
            <w:gridSpan w:val="2"/>
          </w:tcPr>
          <w:p w14:paraId="74828321" w14:textId="464C0EDF" w:rsidR="00BF3BC1" w:rsidRPr="00026EC1" w:rsidRDefault="00DE306B" w:rsidP="00A64613">
            <w:pPr>
              <w:pStyle w:val="Texte1cm"/>
              <w:keepNext w:val="0"/>
              <w:ind w:left="0"/>
            </w:pPr>
            <w:r>
              <w:t xml:space="preserve"> </w:t>
            </w:r>
          </w:p>
        </w:tc>
        <w:tc>
          <w:tcPr>
            <w:tcW w:w="1579" w:type="dxa"/>
            <w:gridSpan w:val="4"/>
          </w:tcPr>
          <w:p w14:paraId="4DED9002" w14:textId="77777777" w:rsidR="00BF3BC1" w:rsidRPr="00026EC1" w:rsidRDefault="00BF3BC1" w:rsidP="00A64613">
            <w:pPr>
              <w:pStyle w:val="Texte1cm"/>
              <w:keepNext w:val="0"/>
              <w:ind w:left="0"/>
            </w:pPr>
          </w:p>
        </w:tc>
        <w:tc>
          <w:tcPr>
            <w:tcW w:w="826" w:type="dxa"/>
            <w:gridSpan w:val="3"/>
          </w:tcPr>
          <w:p w14:paraId="2DBA82DB" w14:textId="77777777" w:rsidR="00BF3BC1" w:rsidRPr="00026EC1" w:rsidRDefault="00BF3BC1" w:rsidP="00A64613">
            <w:pPr>
              <w:pStyle w:val="Texte1cm"/>
              <w:keepNext w:val="0"/>
              <w:ind w:left="0"/>
            </w:pPr>
          </w:p>
        </w:tc>
        <w:tc>
          <w:tcPr>
            <w:tcW w:w="1961" w:type="dxa"/>
            <w:gridSpan w:val="6"/>
          </w:tcPr>
          <w:p w14:paraId="673AD523" w14:textId="77777777" w:rsidR="00BF3BC1" w:rsidRPr="00026EC1" w:rsidRDefault="00BF3BC1" w:rsidP="00A64613">
            <w:pPr>
              <w:pStyle w:val="Texte1cm"/>
              <w:keepNext w:val="0"/>
              <w:ind w:left="0"/>
            </w:pPr>
          </w:p>
        </w:tc>
        <w:tc>
          <w:tcPr>
            <w:tcW w:w="454" w:type="dxa"/>
            <w:gridSpan w:val="2"/>
          </w:tcPr>
          <w:p w14:paraId="570F87CA" w14:textId="77777777" w:rsidR="00BF3BC1" w:rsidRPr="00026EC1" w:rsidRDefault="00BF3BC1" w:rsidP="00DE306B">
            <w:pPr>
              <w:pStyle w:val="Texte1cm"/>
              <w:keepNext w:val="0"/>
              <w:ind w:left="0"/>
              <w:jc w:val="right"/>
            </w:pPr>
          </w:p>
        </w:tc>
        <w:tc>
          <w:tcPr>
            <w:tcW w:w="2564" w:type="dxa"/>
            <w:gridSpan w:val="2"/>
            <w:tcBorders>
              <w:top w:val="single" w:sz="4" w:space="0" w:color="auto"/>
            </w:tcBorders>
          </w:tcPr>
          <w:p w14:paraId="09D935B1" w14:textId="77777777" w:rsidR="00BF3BC1" w:rsidRPr="00026EC1" w:rsidRDefault="00BF3BC1" w:rsidP="00DE306B">
            <w:pPr>
              <w:pStyle w:val="Texte1cm"/>
              <w:keepNext w:val="0"/>
              <w:ind w:left="0"/>
            </w:pPr>
          </w:p>
        </w:tc>
      </w:tr>
      <w:tr w:rsidR="009F1A8D" w:rsidRPr="00026EC1" w14:paraId="3628366D" w14:textId="77777777" w:rsidTr="0010298E">
        <w:trPr>
          <w:gridBefore w:val="2"/>
          <w:gridAfter w:val="2"/>
          <w:wBefore w:w="574" w:type="dxa"/>
          <w:wAfter w:w="117" w:type="dxa"/>
          <w:cantSplit/>
          <w:trHeight w:val="284"/>
        </w:trPr>
        <w:tc>
          <w:tcPr>
            <w:tcW w:w="1985" w:type="dxa"/>
            <w:gridSpan w:val="6"/>
          </w:tcPr>
          <w:p w14:paraId="37FB6BEE" w14:textId="77777777" w:rsidR="009F1A8D" w:rsidRPr="00026EC1" w:rsidRDefault="009F1A8D" w:rsidP="009F1A8D">
            <w:pPr>
              <w:pStyle w:val="Texte1cm"/>
              <w:keepNext w:val="0"/>
              <w:ind w:left="0"/>
              <w:rPr>
                <w:b/>
                <w:bCs/>
                <w:smallCaps/>
              </w:rPr>
            </w:pPr>
            <w:r w:rsidRPr="00026EC1">
              <w:rPr>
                <w:b/>
                <w:bCs/>
                <w:smallCaps/>
              </w:rPr>
              <w:t>total</w:t>
            </w:r>
          </w:p>
        </w:tc>
        <w:tc>
          <w:tcPr>
            <w:tcW w:w="826" w:type="dxa"/>
            <w:gridSpan w:val="3"/>
          </w:tcPr>
          <w:p w14:paraId="43685883" w14:textId="77777777" w:rsidR="009F1A8D" w:rsidRPr="00026EC1" w:rsidRDefault="009F1A8D" w:rsidP="009F1A8D">
            <w:pPr>
              <w:pStyle w:val="Texte1cm"/>
              <w:keepNext w:val="0"/>
              <w:ind w:left="0"/>
            </w:pPr>
          </w:p>
        </w:tc>
        <w:tc>
          <w:tcPr>
            <w:tcW w:w="1782" w:type="dxa"/>
            <w:gridSpan w:val="4"/>
          </w:tcPr>
          <w:p w14:paraId="15186545" w14:textId="77777777" w:rsidR="009F1A8D" w:rsidRPr="00026EC1" w:rsidRDefault="009F1A8D" w:rsidP="009F1A8D">
            <w:pPr>
              <w:pStyle w:val="Texte1cm"/>
              <w:keepNext w:val="0"/>
              <w:ind w:left="0"/>
              <w:jc w:val="right"/>
            </w:pPr>
          </w:p>
        </w:tc>
        <w:tc>
          <w:tcPr>
            <w:tcW w:w="588" w:type="dxa"/>
            <w:gridSpan w:val="3"/>
          </w:tcPr>
          <w:p w14:paraId="63F1CD13" w14:textId="35B519C3" w:rsidR="009F1A8D" w:rsidRPr="00026EC1" w:rsidRDefault="009F1A8D" w:rsidP="009F1A8D">
            <w:pPr>
              <w:pStyle w:val="Texte1cm"/>
              <w:keepNext w:val="0"/>
              <w:ind w:left="0"/>
              <w:jc w:val="right"/>
            </w:pPr>
            <w:r w:rsidRPr="00316277">
              <w:t>=</w:t>
            </w:r>
          </w:p>
        </w:tc>
        <w:tc>
          <w:tcPr>
            <w:tcW w:w="2609" w:type="dxa"/>
            <w:gridSpan w:val="3"/>
            <w:tcBorders>
              <w:bottom w:val="single" w:sz="4" w:space="0" w:color="auto"/>
            </w:tcBorders>
          </w:tcPr>
          <w:p w14:paraId="4E5536E8" w14:textId="77777777" w:rsidR="009F1A8D" w:rsidRPr="00026EC1" w:rsidRDefault="009F1A8D" w:rsidP="009F1A8D">
            <w:pPr>
              <w:pStyle w:val="Texte1cm"/>
              <w:keepNext w:val="0"/>
              <w:ind w:left="0" w:right="-11"/>
            </w:pPr>
          </w:p>
        </w:tc>
      </w:tr>
    </w:tbl>
    <w:p w14:paraId="49083486" w14:textId="77777777" w:rsidR="00694AA4" w:rsidRPr="00026EC1" w:rsidRDefault="00694AA4" w:rsidP="00A64613">
      <w:pPr>
        <w:keepNext w:val="0"/>
      </w:pPr>
    </w:p>
    <w:p w14:paraId="0AFDECF7" w14:textId="2614EBF6" w:rsidR="009C50FE" w:rsidRDefault="009C50FE" w:rsidP="00A64613">
      <w:pPr>
        <w:pStyle w:val="Texte1cm"/>
        <w:keepNext w:val="0"/>
      </w:pPr>
      <w:r w:rsidRPr="00026EC1">
        <w:t>Le facteur zéro virgule neuf</w:t>
      </w:r>
      <w:r w:rsidR="00D932FB">
        <w:t> </w:t>
      </w:r>
      <w:r w:rsidRPr="00026EC1">
        <w:t>(0,9) multipliant le paramètre HP dans le calcul de la charge individuelle associée à la prestation de cours et de laboratoire et à la supervision de stages sans Ne</w:t>
      </w:r>
      <w:r w:rsidRPr="00026EC1">
        <w:rPr>
          <w:vertAlign w:val="subscript"/>
        </w:rPr>
        <w:t>jk</w:t>
      </w:r>
      <w:r w:rsidRPr="00026EC1">
        <w:t xml:space="preserve"> (CI</w:t>
      </w:r>
      <w:r w:rsidRPr="00026EC1">
        <w:rPr>
          <w:vertAlign w:val="subscript"/>
        </w:rPr>
        <w:t>p</w:t>
      </w:r>
      <w:r w:rsidRPr="00026EC1">
        <w:t>) est remplacé par le facteur un virgule un</w:t>
      </w:r>
      <w:r w:rsidR="00D932FB">
        <w:t> </w:t>
      </w:r>
      <w:r w:rsidRPr="00026EC1">
        <w:t>(1,1) si l’enseignante ou l’enseignant donne trois</w:t>
      </w:r>
      <w:r w:rsidR="00D932FB">
        <w:t> </w:t>
      </w:r>
      <w:r w:rsidRPr="00026EC1">
        <w:t xml:space="preserve">(3) cours différents par semaine au cours d’une même session et par le facteur </w:t>
      </w:r>
      <w:r w:rsidR="00DE306B" w:rsidRPr="00316277">
        <w:t>un virgule soixante-quinze (1,75)</w:t>
      </w:r>
      <w:r w:rsidR="00DE306B">
        <w:t xml:space="preserve"> </w:t>
      </w:r>
      <w:r w:rsidRPr="00026EC1">
        <w:t>si l’enseignante ou l’enseignant donne quatre</w:t>
      </w:r>
      <w:r w:rsidR="00D932FB">
        <w:t> </w:t>
      </w:r>
      <w:r w:rsidRPr="00026EC1">
        <w:t xml:space="preserve">(4) cours différents ou plus par semaine au cours d’une même session; </w:t>
      </w:r>
      <w:r w:rsidR="00DE306B" w:rsidRPr="00316277">
        <w:t>De plus, un cours donné à distance est réputé comme étant différent du même cours donné en présence.</w:t>
      </w:r>
    </w:p>
    <w:p w14:paraId="45AD9356" w14:textId="77777777" w:rsidR="002B35AE" w:rsidRDefault="002B35AE" w:rsidP="00A64613">
      <w:pPr>
        <w:pStyle w:val="Texte1cm"/>
        <w:keepNext w:val="0"/>
      </w:pPr>
    </w:p>
    <w:p w14:paraId="0C8C0B8A" w14:textId="7F3DD855" w:rsidR="009C50FE" w:rsidRPr="00026EC1" w:rsidRDefault="009C50FE" w:rsidP="00A64613">
      <w:pPr>
        <w:keepNext w:val="0"/>
        <w:ind w:left="567" w:right="-19"/>
      </w:pPr>
      <w:r w:rsidRPr="00026EC1">
        <w:t>Malgré le paragraphe précédent, pour les cours d’instruments principaux et d’instruments complémentaires (CI</w:t>
      </w:r>
      <w:r w:rsidRPr="00026EC1">
        <w:rPr>
          <w:vertAlign w:val="subscript"/>
        </w:rPr>
        <w:t>cp</w:t>
      </w:r>
      <w:r w:rsidRPr="00026EC1">
        <w:t>) des programmes de musique 501.A0, incluant les doubles cheminements</w:t>
      </w:r>
      <w:r w:rsidR="00A017FA" w:rsidRPr="00026EC1">
        <w:t>,</w:t>
      </w:r>
      <w:r w:rsidRPr="00026EC1">
        <w:t xml:space="preserve"> et 551.A0, une valeur fixe d’unités de CI est établie à un virgule huit</w:t>
      </w:r>
      <w:r w:rsidR="00D932FB">
        <w:t> </w:t>
      </w:r>
      <w:r w:rsidRPr="00026EC1">
        <w:t>(1,8) unité pour chaque heure de cours. De plus, pour les cours de laboratoires (CI</w:t>
      </w:r>
      <w:r w:rsidRPr="00026EC1">
        <w:rPr>
          <w:vertAlign w:val="subscript"/>
        </w:rPr>
        <w:t>cp’</w:t>
      </w:r>
      <w:r w:rsidRPr="00026EC1">
        <w:t>) liés à l’instrument principal une valeur fixe d’unités de CI est établie à deux</w:t>
      </w:r>
      <w:r w:rsidR="00D932FB">
        <w:t> </w:t>
      </w:r>
      <w:r w:rsidRPr="00026EC1">
        <w:t>(2) unités pour chaque heure de cours. Les cours ayant une valeur de CI fixe ne sont pas pris en compte dans le calcul du nombre de cours différents à préparer.</w:t>
      </w:r>
    </w:p>
    <w:p w14:paraId="73A356CA" w14:textId="2EFA29A1" w:rsidR="007C4587" w:rsidRPr="00026EC1" w:rsidRDefault="007C4587" w:rsidP="00A64613">
      <w:pPr>
        <w:keepNext w:val="0"/>
        <w:tabs>
          <w:tab w:val="left" w:pos="426"/>
        </w:tabs>
        <w:ind w:left="567" w:hanging="141"/>
      </w:pPr>
    </w:p>
    <w:p w14:paraId="71CA63C1" w14:textId="24B3584D" w:rsidR="004A059E" w:rsidRDefault="004A059E" w:rsidP="0010298E">
      <w:pPr>
        <w:keepNext w:val="0"/>
        <w:tabs>
          <w:tab w:val="left" w:pos="426"/>
        </w:tabs>
        <w:ind w:left="567" w:right="-19"/>
      </w:pPr>
      <w:r w:rsidRPr="00026EC1">
        <w:t>Le facteur zéro virgule zéro quatre</w:t>
      </w:r>
      <w:r w:rsidR="00D932FB">
        <w:t> </w:t>
      </w:r>
      <w:r w:rsidRPr="00026EC1">
        <w:t xml:space="preserve">(0,04) multipliant le paramètre PES s’applique aux quatre cent </w:t>
      </w:r>
      <w:r w:rsidR="00EA16A8" w:rsidRPr="00026EC1">
        <w:t>quinze</w:t>
      </w:r>
      <w:r w:rsidR="00D932FB">
        <w:t> </w:t>
      </w:r>
      <w:r w:rsidR="00EA16A8" w:rsidRPr="00026EC1">
        <w:t>(415)</w:t>
      </w:r>
      <w:r w:rsidR="00C13BB4" w:rsidRPr="00026EC1">
        <w:t xml:space="preserve"> </w:t>
      </w:r>
      <w:r w:rsidRPr="00026EC1">
        <w:t xml:space="preserve">premières PES et est remplacé par le facteur zéro virgule  </w:t>
      </w:r>
      <w:r w:rsidR="008E37AF" w:rsidRPr="00316277">
        <w:t>zéro sept (0,07)</w:t>
      </w:r>
      <w:r w:rsidR="008E37AF">
        <w:t xml:space="preserve"> </w:t>
      </w:r>
      <w:r w:rsidRPr="00026EC1">
        <w:t>pour les PES supérieures à quatre cent quinze</w:t>
      </w:r>
      <w:r w:rsidR="00D932FB">
        <w:t> </w:t>
      </w:r>
      <w:r w:rsidRPr="00026EC1">
        <w:t xml:space="preserve">(415) PES. </w:t>
      </w:r>
    </w:p>
    <w:p w14:paraId="0F4F44E3" w14:textId="77777777" w:rsidR="0010298E" w:rsidRPr="00026EC1" w:rsidRDefault="0010298E" w:rsidP="0010298E">
      <w:pPr>
        <w:keepNext w:val="0"/>
        <w:tabs>
          <w:tab w:val="left" w:pos="426"/>
        </w:tabs>
        <w:ind w:left="567" w:right="-19"/>
      </w:pPr>
    </w:p>
    <w:p w14:paraId="055C2E88" w14:textId="32D02E7A" w:rsidR="00514DC5" w:rsidRDefault="00B00414" w:rsidP="0010298E">
      <w:pPr>
        <w:keepNext w:val="0"/>
        <w:ind w:left="567" w:right="-19"/>
      </w:pPr>
      <w:r w:rsidRPr="00026EC1">
        <w:t>Dans les programmes de S</w:t>
      </w:r>
      <w:r w:rsidR="00EE420E" w:rsidRPr="00026EC1">
        <w:t>oins infirmiers</w:t>
      </w:r>
      <w:r w:rsidR="00302126">
        <w:t> </w:t>
      </w:r>
      <w:r w:rsidR="00EE420E" w:rsidRPr="00026EC1">
        <w:t>(180.A0 et 180.B0), uniquement pour la pondération correspondant au stage sans Ne</w:t>
      </w:r>
      <w:r w:rsidR="00EE420E" w:rsidRPr="00316277">
        <w:rPr>
          <w:vertAlign w:val="subscript"/>
        </w:rPr>
        <w:t>jk</w:t>
      </w:r>
      <w:r w:rsidR="00EE420E" w:rsidRPr="00026EC1">
        <w:t xml:space="preserve"> de l’enseignement clinique, le paramètre HC est de un virgule vingt</w:t>
      </w:r>
      <w:r w:rsidR="00984A6F">
        <w:noBreakHyphen/>
      </w:r>
      <w:r w:rsidR="00EE420E" w:rsidRPr="00026EC1">
        <w:t>huit</w:t>
      </w:r>
      <w:r w:rsidR="00302126">
        <w:t> </w:t>
      </w:r>
      <w:r w:rsidR="00EE420E" w:rsidRPr="00026EC1">
        <w:t>(1,28).</w:t>
      </w:r>
      <w:r w:rsidR="0010298E">
        <w:t xml:space="preserve"> </w:t>
      </w:r>
    </w:p>
    <w:p w14:paraId="7793D875" w14:textId="77777777" w:rsidR="0010298E" w:rsidRDefault="0010298E" w:rsidP="0010298E">
      <w:pPr>
        <w:keepNext w:val="0"/>
        <w:ind w:left="567" w:right="-19"/>
      </w:pPr>
    </w:p>
    <w:p w14:paraId="2394C8B4" w14:textId="77777777" w:rsidR="00F67966" w:rsidRPr="00026EC1" w:rsidRDefault="00275751" w:rsidP="00A64613">
      <w:pPr>
        <w:keepNext w:val="0"/>
        <w:tabs>
          <w:tab w:val="left" w:pos="567"/>
        </w:tabs>
        <w:ind w:left="567" w:hanging="567"/>
        <w:rPr>
          <w:b/>
          <w:bCs/>
          <w:u w:val="single"/>
        </w:rPr>
      </w:pPr>
      <w:r w:rsidRPr="00026EC1">
        <w:rPr>
          <w:b/>
          <w:bCs/>
        </w:rPr>
        <w:t>c)</w:t>
      </w:r>
      <w:r w:rsidRPr="00026EC1">
        <w:rPr>
          <w:b/>
          <w:bCs/>
        </w:rPr>
        <w:tab/>
      </w:r>
      <w:r w:rsidR="00F67966" w:rsidRPr="00026EC1">
        <w:rPr>
          <w:b/>
          <w:bCs/>
          <w:u w:val="single"/>
        </w:rPr>
        <w:t>Calcul de la CI</w:t>
      </w:r>
      <w:r w:rsidR="00F67966" w:rsidRPr="00026EC1">
        <w:rPr>
          <w:b/>
          <w:bCs/>
          <w:u w:val="single"/>
          <w:vertAlign w:val="subscript"/>
        </w:rPr>
        <w:t>s</w:t>
      </w:r>
    </w:p>
    <w:p w14:paraId="1DE46E45" w14:textId="77777777" w:rsidR="00F67966" w:rsidRPr="00026EC1" w:rsidRDefault="00F67966" w:rsidP="00A64613">
      <w:pPr>
        <w:keepNext w:val="0"/>
      </w:pPr>
    </w:p>
    <w:p w14:paraId="5F670E7A" w14:textId="0E165D04" w:rsidR="00F67966" w:rsidRPr="00026EC1" w:rsidRDefault="00F67966" w:rsidP="00A64613">
      <w:pPr>
        <w:pStyle w:val="Texte1cm"/>
        <w:keepNext w:val="0"/>
      </w:pPr>
      <w:r w:rsidRPr="00026EC1">
        <w:t>La comptabilisation de la charge individuelle associée à la supervision des stages avec Ne</w:t>
      </w:r>
      <w:r w:rsidRPr="00026EC1">
        <w:rPr>
          <w:vertAlign w:val="subscript"/>
        </w:rPr>
        <w:t>jk</w:t>
      </w:r>
      <w:r w:rsidRPr="00026EC1">
        <w:t xml:space="preserve"> pour une session donnée se fait de la manière suivante</w:t>
      </w:r>
      <w:r w:rsidR="00D8581B">
        <w:t> :</w:t>
      </w:r>
    </w:p>
    <w:p w14:paraId="0FA34E1E" w14:textId="77777777" w:rsidR="00113B5B" w:rsidRPr="00026EC1" w:rsidRDefault="00113B5B" w:rsidP="00A64613">
      <w:pPr>
        <w:pStyle w:val="Texte1cm"/>
        <w:keepNext w:val="0"/>
      </w:pPr>
    </w:p>
    <w:p w14:paraId="06F888AD" w14:textId="238A1504" w:rsidR="001B06B4" w:rsidRPr="00026EC1" w:rsidRDefault="009E1428" w:rsidP="00A64613">
      <w:pPr>
        <w:pStyle w:val="Texte1cm"/>
        <w:keepNext w:val="0"/>
      </w:pPr>
      <w:r w:rsidRPr="00026EC1">
        <w:rPr>
          <w:noProof/>
          <w:snapToGrid/>
          <w:u w:val="single"/>
          <w:lang w:val="fr-FR"/>
        </w:rPr>
        <mc:AlternateContent>
          <mc:Choice Requires="wps">
            <w:drawing>
              <wp:anchor distT="0" distB="0" distL="114300" distR="114300" simplePos="0" relativeHeight="251658244" behindDoc="0" locked="0" layoutInCell="1" allowOverlap="1" wp14:anchorId="58B5B7BB" wp14:editId="09A53FB7">
                <wp:simplePos x="0" y="0"/>
                <wp:positionH relativeFrom="column">
                  <wp:posOffset>1505585</wp:posOffset>
                </wp:positionH>
                <wp:positionV relativeFrom="paragraph">
                  <wp:posOffset>-1905</wp:posOffset>
                </wp:positionV>
                <wp:extent cx="263525" cy="731520"/>
                <wp:effectExtent l="635" t="0" r="254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EC59" w14:textId="77777777" w:rsidR="00452E69" w:rsidRDefault="00452E69" w:rsidP="001B06B4">
                            <w:r>
                              <w:rPr>
                                <w:sz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5B7BB" id="_x0000_t202" coordsize="21600,21600" o:spt="202" path="m,l,21600r21600,l21600,xe">
                <v:stroke joinstyle="miter"/>
                <v:path gradientshapeok="t" o:connecttype="rect"/>
              </v:shapetype>
              <v:shape id="Text Box 9" o:spid="_x0000_s1026" type="#_x0000_t202" style="position:absolute;left:0;text-align:left;margin-left:118.55pt;margin-top:-.15pt;width:20.75pt;height:5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24AEAAKADAAAOAAAAZHJzL2Uyb0RvYy54bWysU1Fv0zAQfkfiP1h+p2mydoOo6TQ2DSGN&#10;gTT4AY5jJxaJz5zdJuXXc3a6rsAb4sWy7y7ffd93l831NPRsr9AbsBXPF0vOlJXQGNtW/NvX+zdv&#10;Of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" filled="f" stroked="f">
                <v:textbox>
                  <w:txbxContent>
                    <w:p w14:paraId="6CF0EC59" w14:textId="77777777" w:rsidR="00452E69" w:rsidRDefault="00452E69" w:rsidP="001B06B4">
                      <w:r>
                        <w:rPr>
                          <w:sz w:val="72"/>
                        </w:rPr>
                        <w:t xml:space="preserve">]   </w:t>
                      </w:r>
                    </w:p>
                  </w:txbxContent>
                </v:textbox>
              </v:shape>
            </w:pict>
          </mc:Fallback>
        </mc:AlternateContent>
      </w:r>
      <w:r w:rsidRPr="00026EC1">
        <w:rPr>
          <w:noProof/>
          <w:snapToGrid/>
          <w:lang w:val="fr-FR"/>
        </w:rPr>
        <mc:AlternateContent>
          <mc:Choice Requires="wps">
            <w:drawing>
              <wp:anchor distT="0" distB="0" distL="114300" distR="114300" simplePos="0" relativeHeight="251658245" behindDoc="0" locked="0" layoutInCell="1" allowOverlap="1" wp14:anchorId="4E565467" wp14:editId="742AD823">
                <wp:simplePos x="0" y="0"/>
                <wp:positionH relativeFrom="column">
                  <wp:posOffset>723265</wp:posOffset>
                </wp:positionH>
                <wp:positionV relativeFrom="paragraph">
                  <wp:posOffset>-1905</wp:posOffset>
                </wp:positionV>
                <wp:extent cx="274320" cy="640715"/>
                <wp:effectExtent l="0" t="0" r="254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4071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3EAC" w14:textId="77777777" w:rsidR="00452E69" w:rsidRDefault="00452E69" w:rsidP="001B06B4">
                            <w:r>
                              <w:rPr>
                                <w:sz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5467" id="Text Box 10" o:spid="_x0000_s1027" type="#_x0000_t202" style="position:absolute;left:0;text-align:left;margin-left:56.95pt;margin-top:-.15pt;width:21.6pt;height:50.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" filled="f" stroked="f">
                <v:fill opacity="32896f"/>
                <v:textbox>
                  <w:txbxContent>
                    <w:p w14:paraId="55803EAC" w14:textId="77777777" w:rsidR="00452E69" w:rsidRDefault="00452E69" w:rsidP="001B06B4">
                      <w:r>
                        <w:rPr>
                          <w:sz w:val="72"/>
                        </w:rPr>
                        <w:t xml:space="preserve">[ </w:t>
                      </w:r>
                    </w:p>
                  </w:txbxContent>
                </v:textbox>
              </v:shape>
            </w:pict>
          </mc:Fallback>
        </mc:AlternateContent>
      </w:r>
    </w:p>
    <w:p w14:paraId="07A01C09" w14:textId="77777777" w:rsidR="001B06B4" w:rsidRPr="00026EC1" w:rsidRDefault="001B06B4" w:rsidP="00A64613">
      <w:pPr>
        <w:pStyle w:val="Texte1cm"/>
        <w:keepNext w:val="0"/>
      </w:pPr>
      <w:r w:rsidRPr="00026EC1">
        <w:t>CI</w:t>
      </w:r>
      <w:r w:rsidRPr="00026EC1">
        <w:rPr>
          <w:vertAlign w:val="subscript"/>
        </w:rPr>
        <w:t xml:space="preserve">s  =    </w:t>
      </w:r>
      <w:r w:rsidR="0077439D" w:rsidRPr="00026EC1">
        <w:rPr>
          <w:vertAlign w:val="subscript"/>
        </w:rPr>
        <w:t xml:space="preserve">       </w:t>
      </w:r>
      <w:r w:rsidRPr="00026EC1">
        <w:rPr>
          <w:rFonts w:ascii="Symbol" w:eastAsia="Symbol" w:hAnsi="Symbol" w:cs="Symbol"/>
          <w:lang w:val="en-CA"/>
        </w:rPr>
        <w:t></w:t>
      </w:r>
      <w:r w:rsidRPr="00026EC1">
        <w:t xml:space="preserve">    </w:t>
      </w:r>
      <w:r w:rsidRPr="00026EC1">
        <w:rPr>
          <w:u w:val="single"/>
          <w:lang w:val="nl-NL"/>
        </w:rPr>
        <w:t>N</w:t>
      </w:r>
      <w:r w:rsidRPr="00026EC1">
        <w:rPr>
          <w:vertAlign w:val="subscript"/>
          <w:lang w:val="nl-NL"/>
        </w:rPr>
        <w:t>ijkl</w:t>
      </w:r>
      <w:r w:rsidRPr="00026EC1">
        <w:rPr>
          <w:lang w:val="nl-NL"/>
        </w:rPr>
        <w:t xml:space="preserve">     </w:t>
      </w:r>
      <w:r w:rsidR="0077439D" w:rsidRPr="00026EC1">
        <w:rPr>
          <w:lang w:val="nl-NL"/>
        </w:rPr>
        <w:t xml:space="preserve">   </w:t>
      </w:r>
      <w:r w:rsidRPr="00026EC1">
        <w:rPr>
          <w:lang w:val="nl-NL"/>
        </w:rPr>
        <w:t>x 40 x 0,89 x R</w:t>
      </w:r>
    </w:p>
    <w:p w14:paraId="246027D0" w14:textId="77777777" w:rsidR="001B06B4" w:rsidRPr="00026EC1" w:rsidRDefault="001B06B4" w:rsidP="00A64613">
      <w:pPr>
        <w:pStyle w:val="Texte1cm"/>
        <w:keepNext w:val="0"/>
        <w:rPr>
          <w:vertAlign w:val="superscript"/>
          <w:lang w:val="nl-NL"/>
        </w:rPr>
      </w:pPr>
      <w:r w:rsidRPr="00026EC1">
        <w:rPr>
          <w:vertAlign w:val="superscript"/>
          <w:lang w:val="nl-NL"/>
        </w:rPr>
        <w:t xml:space="preserve">               </w:t>
      </w:r>
      <w:r w:rsidR="0077439D" w:rsidRPr="00026EC1">
        <w:rPr>
          <w:vertAlign w:val="superscript"/>
          <w:lang w:val="nl-NL"/>
        </w:rPr>
        <w:t xml:space="preserve">       </w:t>
      </w:r>
      <w:r w:rsidRPr="00026EC1">
        <w:rPr>
          <w:vertAlign w:val="superscript"/>
          <w:lang w:val="nl-NL"/>
        </w:rPr>
        <w:t xml:space="preserve">j,k    </w:t>
      </w:r>
      <w:r w:rsidRPr="00026EC1">
        <w:rPr>
          <w:lang w:val="nl-NL"/>
        </w:rPr>
        <w:t>Ne</w:t>
      </w:r>
      <w:r w:rsidRPr="00026EC1">
        <w:rPr>
          <w:vertAlign w:val="subscript"/>
          <w:lang w:val="nl-NL"/>
        </w:rPr>
        <w:t>jk</w:t>
      </w:r>
      <w:r w:rsidRPr="00026EC1">
        <w:rPr>
          <w:vertAlign w:val="superscript"/>
          <w:lang w:val="nl-NL"/>
        </w:rPr>
        <w:t xml:space="preserve"> </w:t>
      </w:r>
    </w:p>
    <w:p w14:paraId="17E4264A" w14:textId="77777777" w:rsidR="001B06B4" w:rsidRPr="00026EC1" w:rsidRDefault="001B06B4" w:rsidP="00A64613">
      <w:pPr>
        <w:pStyle w:val="Texte1cm"/>
        <w:keepNext w:val="0"/>
        <w:ind w:left="0"/>
      </w:pPr>
    </w:p>
    <w:p w14:paraId="269DA28D" w14:textId="77777777" w:rsidR="00F67966" w:rsidRPr="00026EC1" w:rsidRDefault="00F67966" w:rsidP="00A64613">
      <w:pPr>
        <w:pStyle w:val="Texte1cm"/>
        <w:keepNext w:val="0"/>
      </w:pPr>
      <w:r w:rsidRPr="00026EC1">
        <w:t>où</w:t>
      </w:r>
    </w:p>
    <w:p w14:paraId="0871C182" w14:textId="77777777" w:rsidR="00F67966" w:rsidRPr="00026EC1" w:rsidRDefault="00F67966" w:rsidP="00A64613">
      <w:pPr>
        <w:keepNext w:val="0"/>
      </w:pPr>
    </w:p>
    <w:p w14:paraId="0F195A3E" w14:textId="59308AEB" w:rsidR="00F67966" w:rsidRDefault="00F67966" w:rsidP="00A64613">
      <w:pPr>
        <w:pStyle w:val="Texte1cm"/>
        <w:keepNext w:val="0"/>
        <w:ind w:left="1260" w:hanging="693"/>
      </w:pPr>
      <w:r w:rsidRPr="00026EC1">
        <w:t>N</w:t>
      </w:r>
      <w:r w:rsidRPr="00026EC1">
        <w:rPr>
          <w:vertAlign w:val="subscript"/>
        </w:rPr>
        <w:t>ijkl</w:t>
      </w:r>
      <w:r w:rsidRPr="00026EC1">
        <w:tab/>
        <w:t>est le nombre d</w:t>
      </w:r>
      <w:r w:rsidR="00BC3319" w:rsidRPr="00026EC1">
        <w:t>’</w:t>
      </w:r>
      <w:r w:rsidRPr="00026EC1">
        <w:t>étudiantes et d</w:t>
      </w:r>
      <w:r w:rsidR="00BC3319" w:rsidRPr="00026EC1">
        <w:t>’</w:t>
      </w:r>
      <w:r w:rsidRPr="00026EC1">
        <w:t>étudiants inscrits au stage supervisé par l</w:t>
      </w:r>
      <w:r w:rsidR="00BC3319" w:rsidRPr="00026EC1">
        <w:t>’</w:t>
      </w:r>
      <w:r w:rsidRPr="00026EC1">
        <w:t>enseignante ou l</w:t>
      </w:r>
      <w:r w:rsidR="00BC3319" w:rsidRPr="00026EC1">
        <w:t>’</w:t>
      </w:r>
      <w:r w:rsidRPr="00026EC1">
        <w:t>enseignant dont on calcule la CI;</w:t>
      </w:r>
    </w:p>
    <w:p w14:paraId="364E49B1" w14:textId="77777777" w:rsidR="00773CA9" w:rsidRPr="00026EC1" w:rsidRDefault="00773CA9" w:rsidP="00A64613">
      <w:pPr>
        <w:pStyle w:val="Texte1cm"/>
        <w:keepNext w:val="0"/>
        <w:ind w:left="1260" w:hanging="693"/>
      </w:pPr>
    </w:p>
    <w:p w14:paraId="6E3D1FFD" w14:textId="77777777" w:rsidR="00F67966" w:rsidRPr="00026EC1" w:rsidRDefault="00F67966" w:rsidP="00A64613">
      <w:pPr>
        <w:pStyle w:val="Texte1cm"/>
        <w:keepNext w:val="0"/>
        <w:ind w:left="1260" w:hanging="693"/>
      </w:pPr>
      <w:r w:rsidRPr="00026EC1">
        <w:t>Ne</w:t>
      </w:r>
      <w:r w:rsidRPr="00026EC1">
        <w:rPr>
          <w:vertAlign w:val="subscript"/>
        </w:rPr>
        <w:t>jk</w:t>
      </w:r>
      <w:r w:rsidRPr="00026EC1">
        <w:tab/>
        <w:t>est le rapport étudiantes et étudiants/enseignante ou enseignant propre au stage supervisé par l</w:t>
      </w:r>
      <w:r w:rsidR="00BC3319" w:rsidRPr="00026EC1">
        <w:t>’</w:t>
      </w:r>
      <w:r w:rsidRPr="00026EC1">
        <w:t>enseignante ou l</w:t>
      </w:r>
      <w:r w:rsidR="00BC3319" w:rsidRPr="00026EC1">
        <w:t>’</w:t>
      </w:r>
      <w:r w:rsidRPr="00026EC1">
        <w:t>enseignant dont on calcule la CI;</w:t>
      </w:r>
    </w:p>
    <w:p w14:paraId="3A011D74" w14:textId="77777777" w:rsidR="00F67966" w:rsidRPr="00026EC1" w:rsidRDefault="00F67966" w:rsidP="00A64613">
      <w:pPr>
        <w:keepNext w:val="0"/>
      </w:pPr>
    </w:p>
    <w:p w14:paraId="57D3BE63" w14:textId="77777777" w:rsidR="00F67966" w:rsidRPr="00026EC1" w:rsidRDefault="00F67966" w:rsidP="00A64613">
      <w:pPr>
        <w:pStyle w:val="Texte1cm"/>
        <w:keepNext w:val="0"/>
        <w:ind w:left="1260" w:hanging="693"/>
      </w:pPr>
      <w:r w:rsidRPr="00026EC1">
        <w:t>R</w:t>
      </w:r>
      <w:r w:rsidRPr="00026EC1">
        <w:tab/>
        <w:t>est la portion du stage assumée par l</w:t>
      </w:r>
      <w:r w:rsidR="00BC3319" w:rsidRPr="00026EC1">
        <w:t>’</w:t>
      </w:r>
      <w:r w:rsidRPr="00026EC1">
        <w:t>enseignante ou l</w:t>
      </w:r>
      <w:r w:rsidR="00BC3319" w:rsidRPr="00026EC1">
        <w:t>’</w:t>
      </w:r>
      <w:r w:rsidRPr="00026EC1">
        <w:t>enseignant.</w:t>
      </w:r>
    </w:p>
    <w:p w14:paraId="06C949E3" w14:textId="4F048915" w:rsidR="009E7641" w:rsidRDefault="009E7641" w:rsidP="00A64613">
      <w:pPr>
        <w:keepNext w:val="0"/>
        <w:jc w:val="left"/>
      </w:pPr>
    </w:p>
    <w:p w14:paraId="7C0BBA0D" w14:textId="77777777" w:rsidR="004F471A" w:rsidRDefault="004F471A" w:rsidP="00A64613">
      <w:pPr>
        <w:keepNext w:val="0"/>
        <w:jc w:val="left"/>
      </w:pPr>
    </w:p>
    <w:p w14:paraId="19981E93" w14:textId="73242F3A" w:rsidR="00F67966" w:rsidRDefault="00F67966" w:rsidP="00A64613">
      <w:pPr>
        <w:pStyle w:val="Texte1cm"/>
        <w:keepNext w:val="0"/>
      </w:pPr>
      <w:r w:rsidRPr="00026EC1">
        <w:t>NOTES</w:t>
      </w:r>
      <w:r w:rsidR="00D8581B">
        <w:t> :</w:t>
      </w:r>
    </w:p>
    <w:p w14:paraId="4E34B2E4" w14:textId="77777777" w:rsidR="009E7641" w:rsidRPr="00026EC1" w:rsidRDefault="009E7641" w:rsidP="00A64613">
      <w:pPr>
        <w:pStyle w:val="Texte1cm"/>
        <w:keepNext w:val="0"/>
      </w:pPr>
    </w:p>
    <w:p w14:paraId="7BD99ABB" w14:textId="77777777" w:rsidR="00F67966" w:rsidRPr="00026EC1" w:rsidRDefault="00275751" w:rsidP="00A64613">
      <w:pPr>
        <w:pStyle w:val="Texte1cm"/>
        <w:keepNext w:val="0"/>
        <w:tabs>
          <w:tab w:val="left" w:pos="1120"/>
        </w:tabs>
        <w:ind w:left="1134" w:hanging="567"/>
      </w:pPr>
      <w:r w:rsidRPr="00026EC1">
        <w:t>i)</w:t>
      </w:r>
      <w:r w:rsidRPr="00026EC1">
        <w:tab/>
      </w:r>
      <w:r w:rsidR="00F67966" w:rsidRPr="00026EC1">
        <w:t>Si une seule enseignante ou un seul enseignant assume la totalité du stage, alors R = 1.</w:t>
      </w:r>
    </w:p>
    <w:p w14:paraId="6611F403" w14:textId="77777777" w:rsidR="00F67966" w:rsidRPr="00026EC1" w:rsidRDefault="00F67966" w:rsidP="00A64613">
      <w:pPr>
        <w:keepNext w:val="0"/>
      </w:pPr>
    </w:p>
    <w:p w14:paraId="59CB0F80" w14:textId="77777777" w:rsidR="00F67966" w:rsidRPr="00026EC1" w:rsidRDefault="00275751" w:rsidP="00A64613">
      <w:pPr>
        <w:pStyle w:val="Texte1cm"/>
        <w:keepNext w:val="0"/>
        <w:tabs>
          <w:tab w:val="left" w:pos="1120"/>
        </w:tabs>
        <w:ind w:left="1134" w:hanging="567"/>
      </w:pPr>
      <w:r w:rsidRPr="00026EC1">
        <w:t>ii)</w:t>
      </w:r>
      <w:r w:rsidRPr="00026EC1">
        <w:tab/>
      </w:r>
      <w:r w:rsidR="00F67966" w:rsidRPr="00026EC1">
        <w:t xml:space="preserve">Si plusieurs enseignantes ou enseignants assument un même stage, alors </w:t>
      </w:r>
      <w:r w:rsidR="00F67966" w:rsidRPr="00026EC1">
        <w:rPr>
          <w:rFonts w:ascii="Symbol" w:eastAsia="Symbol" w:hAnsi="Symbol" w:cs="Symbol"/>
          <w:lang w:val="en-CA"/>
        </w:rPr>
        <w:t></w:t>
      </w:r>
      <w:r w:rsidR="00F67966" w:rsidRPr="00026EC1">
        <w:t> R = 1.</w:t>
      </w:r>
    </w:p>
    <w:p w14:paraId="5E1E775E" w14:textId="77777777" w:rsidR="00047411" w:rsidRPr="00026EC1" w:rsidRDefault="00047411" w:rsidP="00A64613">
      <w:pPr>
        <w:keepNext w:val="0"/>
      </w:pPr>
    </w:p>
    <w:p w14:paraId="51D63121" w14:textId="77777777" w:rsidR="00F67966" w:rsidRPr="00026EC1" w:rsidRDefault="00275751" w:rsidP="00A64613">
      <w:pPr>
        <w:keepNext w:val="0"/>
        <w:tabs>
          <w:tab w:val="left" w:pos="567"/>
        </w:tabs>
        <w:ind w:left="567" w:hanging="567"/>
        <w:rPr>
          <w:b/>
          <w:bCs/>
          <w:u w:val="single"/>
        </w:rPr>
      </w:pPr>
      <w:r w:rsidRPr="00026EC1">
        <w:rPr>
          <w:b/>
          <w:bCs/>
        </w:rPr>
        <w:t>d)</w:t>
      </w:r>
      <w:r w:rsidRPr="00026EC1">
        <w:rPr>
          <w:b/>
          <w:bCs/>
        </w:rPr>
        <w:tab/>
      </w:r>
      <w:r w:rsidR="00F67966" w:rsidRPr="00026EC1">
        <w:rPr>
          <w:b/>
          <w:bCs/>
          <w:u w:val="single"/>
        </w:rPr>
        <w:t>Calcul de la CI</w:t>
      </w:r>
      <w:r w:rsidR="00F67966" w:rsidRPr="00026EC1">
        <w:rPr>
          <w:b/>
          <w:bCs/>
          <w:u w:val="single"/>
          <w:vertAlign w:val="subscript"/>
        </w:rPr>
        <w:t>d</w:t>
      </w:r>
    </w:p>
    <w:p w14:paraId="2127B2FB" w14:textId="3602F59A" w:rsidR="00F67966" w:rsidRPr="00026EC1" w:rsidRDefault="00F67966" w:rsidP="00A64613">
      <w:pPr>
        <w:pStyle w:val="Texte1cm"/>
        <w:keepNext w:val="0"/>
      </w:pPr>
      <w:r w:rsidRPr="00026EC1">
        <w:t>La comptabilisation de la charge individuelle associée aux temps de déplacement pour une session donnée se fait de la manière suivante</w:t>
      </w:r>
      <w:r w:rsidR="00D8581B">
        <w:t> :</w:t>
      </w:r>
    </w:p>
    <w:p w14:paraId="0B0A018E" w14:textId="617C84B1" w:rsidR="00D9585C" w:rsidRPr="00026EC1" w:rsidRDefault="009E1428" w:rsidP="00A64613">
      <w:pPr>
        <w:keepNext w:val="0"/>
      </w:pPr>
      <w:r w:rsidRPr="00026EC1">
        <w:rPr>
          <w:noProof/>
          <w:snapToGrid/>
          <w:u w:val="single"/>
          <w:lang w:val="fr-FR"/>
        </w:rPr>
        <mc:AlternateContent>
          <mc:Choice Requires="wps">
            <w:drawing>
              <wp:anchor distT="0" distB="0" distL="114300" distR="114300" simplePos="0" relativeHeight="251658243" behindDoc="0" locked="0" layoutInCell="1" allowOverlap="1" wp14:anchorId="60F0DA98" wp14:editId="217D5D99">
                <wp:simplePos x="0" y="0"/>
                <wp:positionH relativeFrom="column">
                  <wp:posOffset>2839085</wp:posOffset>
                </wp:positionH>
                <wp:positionV relativeFrom="paragraph">
                  <wp:posOffset>7620</wp:posOffset>
                </wp:positionV>
                <wp:extent cx="228600" cy="606425"/>
                <wp:effectExtent l="635"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B1F75" w14:textId="77777777" w:rsidR="00452E69" w:rsidRDefault="00452E69" w:rsidP="00F67966">
                            <w:r>
                              <w:rPr>
                                <w:sz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0DA98" id="Text Box 8" o:spid="_x0000_s1028" type="#_x0000_t202" style="position:absolute;left:0;text-align:left;margin-left:223.55pt;margin-top:.6pt;width:18pt;height:4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" filled="f" stroked="f">
                <v:textbox>
                  <w:txbxContent>
                    <w:p w14:paraId="498B1F75" w14:textId="77777777" w:rsidR="00452E69" w:rsidRDefault="00452E69" w:rsidP="00F67966">
                      <w:r>
                        <w:rPr>
                          <w:sz w:val="72"/>
                        </w:rPr>
                        <w:t>]</w:t>
                      </w:r>
                    </w:p>
                  </w:txbxContent>
                </v:textbox>
              </v:shape>
            </w:pict>
          </mc:Fallback>
        </mc:AlternateContent>
      </w:r>
      <w:r w:rsidRPr="00026EC1">
        <w:rPr>
          <w:noProof/>
          <w:snapToGrid/>
          <w:lang w:val="fr-FR"/>
        </w:rPr>
        <mc:AlternateContent>
          <mc:Choice Requires="wps">
            <w:drawing>
              <wp:anchor distT="0" distB="0" distL="114300" distR="114300" simplePos="0" relativeHeight="251658242" behindDoc="0" locked="0" layoutInCell="1" allowOverlap="1" wp14:anchorId="12FED7A2" wp14:editId="7261560E">
                <wp:simplePos x="0" y="0"/>
                <wp:positionH relativeFrom="column">
                  <wp:posOffset>1363980</wp:posOffset>
                </wp:positionH>
                <wp:positionV relativeFrom="paragraph">
                  <wp:posOffset>5715</wp:posOffset>
                </wp:positionV>
                <wp:extent cx="257175" cy="619125"/>
                <wp:effectExtent l="1905" t="0" r="0" b="381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61912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FF0F" w14:textId="77777777" w:rsidR="00452E69" w:rsidRDefault="00452E69" w:rsidP="00F67966">
                            <w:r>
                              <w:rPr>
                                <w:sz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D7A2" id="Text Box 7" o:spid="_x0000_s1029" type="#_x0000_t202" style="position:absolute;left:0;text-align:left;margin-left:107.4pt;margin-top:.45pt;width:20.25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" filled="f" stroked="f">
                <v:fill opacity="32896f"/>
                <v:textbox>
                  <w:txbxContent>
                    <w:p w14:paraId="0BB9FF0F" w14:textId="77777777" w:rsidR="00452E69" w:rsidRDefault="00452E69" w:rsidP="00F67966">
                      <w:r>
                        <w:rPr>
                          <w:sz w:val="72"/>
                        </w:rPr>
                        <w:t>[</w:t>
                      </w:r>
                    </w:p>
                  </w:txbxContent>
                </v:textbox>
              </v:shape>
            </w:pict>
          </mc:Fallback>
        </mc:AlternateContent>
      </w:r>
    </w:p>
    <w:tbl>
      <w:tblPr>
        <w:tblW w:w="0" w:type="auto"/>
        <w:tblInd w:w="675" w:type="dxa"/>
        <w:tblLook w:val="04A0" w:firstRow="1" w:lastRow="0" w:firstColumn="1" w:lastColumn="0" w:noHBand="0" w:noVBand="1"/>
      </w:tblPr>
      <w:tblGrid>
        <w:gridCol w:w="709"/>
        <w:gridCol w:w="425"/>
        <w:gridCol w:w="665"/>
        <w:gridCol w:w="753"/>
        <w:gridCol w:w="521"/>
        <w:gridCol w:w="1092"/>
        <w:gridCol w:w="532"/>
        <w:gridCol w:w="727"/>
        <w:gridCol w:w="714"/>
        <w:gridCol w:w="2394"/>
      </w:tblGrid>
      <w:tr w:rsidR="00D9585C" w:rsidRPr="00026EC1" w14:paraId="34FE41F7" w14:textId="77777777" w:rsidTr="007F681F">
        <w:tc>
          <w:tcPr>
            <w:tcW w:w="709" w:type="dxa"/>
          </w:tcPr>
          <w:p w14:paraId="19EA6B2C" w14:textId="77777777" w:rsidR="00D9585C" w:rsidRPr="00026EC1" w:rsidRDefault="00D9585C" w:rsidP="00A64613">
            <w:pPr>
              <w:pStyle w:val="Texte1cm"/>
              <w:keepNext w:val="0"/>
              <w:ind w:left="56"/>
              <w:rPr>
                <w:lang w:val="en-CA"/>
              </w:rPr>
            </w:pPr>
            <w:r w:rsidRPr="00026EC1">
              <w:rPr>
                <w:lang w:val="en-CA"/>
              </w:rPr>
              <w:t>CI</w:t>
            </w:r>
            <w:r w:rsidRPr="00026EC1">
              <w:rPr>
                <w:vertAlign w:val="subscript"/>
                <w:lang w:val="en-CA"/>
              </w:rPr>
              <w:t>d</w:t>
            </w:r>
          </w:p>
        </w:tc>
        <w:tc>
          <w:tcPr>
            <w:tcW w:w="425" w:type="dxa"/>
          </w:tcPr>
          <w:p w14:paraId="511E2E81" w14:textId="77777777" w:rsidR="00D9585C" w:rsidRPr="00026EC1" w:rsidRDefault="00D9585C" w:rsidP="00A64613">
            <w:pPr>
              <w:pStyle w:val="Texte1cm"/>
              <w:keepNext w:val="0"/>
              <w:ind w:left="0"/>
              <w:rPr>
                <w:lang w:val="en-CA"/>
              </w:rPr>
            </w:pPr>
            <w:r w:rsidRPr="00026EC1">
              <w:rPr>
                <w:lang w:val="en-CA"/>
              </w:rPr>
              <w:t>=</w:t>
            </w:r>
          </w:p>
        </w:tc>
        <w:tc>
          <w:tcPr>
            <w:tcW w:w="665" w:type="dxa"/>
          </w:tcPr>
          <w:p w14:paraId="0DEAFB8F" w14:textId="77777777" w:rsidR="00D9585C" w:rsidRPr="00026EC1" w:rsidRDefault="00D9585C" w:rsidP="00A64613">
            <w:pPr>
              <w:pStyle w:val="Texte1cm"/>
              <w:keepNext w:val="0"/>
              <w:ind w:left="0"/>
              <w:rPr>
                <w:lang w:val="en-CA"/>
              </w:rPr>
            </w:pPr>
          </w:p>
        </w:tc>
        <w:tc>
          <w:tcPr>
            <w:tcW w:w="753" w:type="dxa"/>
          </w:tcPr>
          <w:p w14:paraId="0AC1579F" w14:textId="77777777" w:rsidR="00D9585C" w:rsidRPr="00026EC1" w:rsidRDefault="00D9585C" w:rsidP="00A64613">
            <w:pPr>
              <w:pStyle w:val="Texte1cm"/>
              <w:keepNext w:val="0"/>
              <w:ind w:left="0"/>
              <w:rPr>
                <w:lang w:val="en-CA"/>
              </w:rPr>
            </w:pPr>
            <w:r w:rsidRPr="00026EC1">
              <w:rPr>
                <w:u w:val="single"/>
                <w:lang w:val="en-CA"/>
              </w:rPr>
              <w:t>D</w:t>
            </w:r>
            <w:r w:rsidRPr="00026EC1">
              <w:rPr>
                <w:vertAlign w:val="subscript"/>
                <w:lang w:val="en-CA"/>
              </w:rPr>
              <w:t>1</w:t>
            </w:r>
          </w:p>
        </w:tc>
        <w:tc>
          <w:tcPr>
            <w:tcW w:w="521" w:type="dxa"/>
          </w:tcPr>
          <w:p w14:paraId="364B2ADB" w14:textId="77777777" w:rsidR="00D9585C" w:rsidRPr="00026EC1" w:rsidRDefault="00D9585C" w:rsidP="00A64613">
            <w:pPr>
              <w:pStyle w:val="Texte1cm"/>
              <w:keepNext w:val="0"/>
              <w:ind w:left="0"/>
              <w:rPr>
                <w:lang w:val="en-CA"/>
              </w:rPr>
            </w:pPr>
            <w:r w:rsidRPr="00026EC1">
              <w:rPr>
                <w:lang w:val="en-CA"/>
              </w:rPr>
              <w:t>+</w:t>
            </w:r>
          </w:p>
        </w:tc>
        <w:tc>
          <w:tcPr>
            <w:tcW w:w="1092" w:type="dxa"/>
          </w:tcPr>
          <w:p w14:paraId="7CB7E0F5" w14:textId="77777777" w:rsidR="00D9585C" w:rsidRPr="00026EC1" w:rsidRDefault="00D9585C" w:rsidP="00A64613">
            <w:pPr>
              <w:pStyle w:val="Texte1cm"/>
              <w:keepNext w:val="0"/>
              <w:ind w:left="0"/>
              <w:rPr>
                <w:lang w:val="en-CA"/>
              </w:rPr>
            </w:pPr>
            <w:r w:rsidRPr="00026EC1">
              <w:rPr>
                <w:u w:val="single"/>
                <w:lang w:val="en-CA"/>
              </w:rPr>
              <w:t>D</w:t>
            </w:r>
            <w:r w:rsidRPr="00026EC1">
              <w:rPr>
                <w:vertAlign w:val="subscript"/>
                <w:lang w:val="en-CA"/>
              </w:rPr>
              <w:t>2</w:t>
            </w:r>
          </w:p>
        </w:tc>
        <w:tc>
          <w:tcPr>
            <w:tcW w:w="532" w:type="dxa"/>
          </w:tcPr>
          <w:p w14:paraId="353E0932" w14:textId="77777777" w:rsidR="00D9585C" w:rsidRPr="00026EC1" w:rsidRDefault="00D9585C" w:rsidP="00A64613">
            <w:pPr>
              <w:pStyle w:val="Texte1cm"/>
              <w:keepNext w:val="0"/>
              <w:ind w:left="0"/>
              <w:rPr>
                <w:lang w:val="en-CA"/>
              </w:rPr>
            </w:pPr>
            <w:r w:rsidRPr="00026EC1">
              <w:rPr>
                <w:lang w:val="en-CA"/>
              </w:rPr>
              <w:t>x</w:t>
            </w:r>
          </w:p>
        </w:tc>
        <w:tc>
          <w:tcPr>
            <w:tcW w:w="727" w:type="dxa"/>
          </w:tcPr>
          <w:p w14:paraId="27F3961D" w14:textId="77777777" w:rsidR="00D9585C" w:rsidRPr="00026EC1" w:rsidRDefault="00D9585C" w:rsidP="00A64613">
            <w:pPr>
              <w:pStyle w:val="Texte1cm"/>
              <w:keepNext w:val="0"/>
              <w:ind w:left="0"/>
              <w:jc w:val="center"/>
              <w:rPr>
                <w:u w:val="single"/>
                <w:lang w:val="fr-FR"/>
              </w:rPr>
            </w:pPr>
            <w:r w:rsidRPr="00026EC1">
              <w:rPr>
                <w:u w:val="single"/>
                <w:lang w:val="fr-FR"/>
              </w:rPr>
              <w:t>1</w:t>
            </w:r>
          </w:p>
        </w:tc>
        <w:tc>
          <w:tcPr>
            <w:tcW w:w="714" w:type="dxa"/>
          </w:tcPr>
          <w:p w14:paraId="46D28CEF" w14:textId="77777777" w:rsidR="00D9585C" w:rsidRPr="00026EC1" w:rsidRDefault="00D9585C" w:rsidP="00A64613">
            <w:pPr>
              <w:pStyle w:val="Texte1cm"/>
              <w:keepNext w:val="0"/>
              <w:ind w:left="0"/>
              <w:rPr>
                <w:lang w:val="en-CA"/>
              </w:rPr>
            </w:pPr>
            <w:r w:rsidRPr="00026EC1">
              <w:rPr>
                <w:lang w:val="en-CA"/>
              </w:rPr>
              <w:t>x</w:t>
            </w:r>
          </w:p>
        </w:tc>
        <w:tc>
          <w:tcPr>
            <w:tcW w:w="2394" w:type="dxa"/>
          </w:tcPr>
          <w:p w14:paraId="167581B9" w14:textId="77777777" w:rsidR="00D9585C" w:rsidRPr="00026EC1" w:rsidRDefault="00D9585C" w:rsidP="00A64613">
            <w:pPr>
              <w:pStyle w:val="Texte1cm"/>
              <w:keepNext w:val="0"/>
              <w:ind w:left="0"/>
              <w:rPr>
                <w:u w:val="single"/>
                <w:lang w:val="fr-FR"/>
              </w:rPr>
            </w:pPr>
            <w:r w:rsidRPr="00026EC1">
              <w:rPr>
                <w:rFonts w:ascii="Symbol" w:eastAsia="Symbol" w:hAnsi="Symbol" w:cs="Symbol"/>
                <w:lang w:val="en-CA"/>
              </w:rPr>
              <w:t></w:t>
            </w:r>
          </w:p>
        </w:tc>
      </w:tr>
      <w:tr w:rsidR="00D9585C" w:rsidRPr="00026EC1" w14:paraId="040751E0" w14:textId="77777777" w:rsidTr="007F681F">
        <w:tc>
          <w:tcPr>
            <w:tcW w:w="709" w:type="dxa"/>
          </w:tcPr>
          <w:p w14:paraId="19357D92" w14:textId="77777777" w:rsidR="00D9585C" w:rsidRPr="00026EC1" w:rsidRDefault="00D9585C" w:rsidP="00A64613">
            <w:pPr>
              <w:pStyle w:val="Texte1cm"/>
              <w:keepNext w:val="0"/>
              <w:ind w:left="0"/>
              <w:rPr>
                <w:lang w:val="fr-FR"/>
              </w:rPr>
            </w:pPr>
          </w:p>
        </w:tc>
        <w:tc>
          <w:tcPr>
            <w:tcW w:w="425" w:type="dxa"/>
          </w:tcPr>
          <w:p w14:paraId="341EFF8A" w14:textId="77777777" w:rsidR="00D9585C" w:rsidRPr="00026EC1" w:rsidRDefault="00D9585C" w:rsidP="00A64613">
            <w:pPr>
              <w:pStyle w:val="Texte1cm"/>
              <w:keepNext w:val="0"/>
              <w:ind w:left="0"/>
              <w:rPr>
                <w:lang w:val="fr-FR"/>
              </w:rPr>
            </w:pPr>
          </w:p>
        </w:tc>
        <w:tc>
          <w:tcPr>
            <w:tcW w:w="665" w:type="dxa"/>
          </w:tcPr>
          <w:p w14:paraId="243E1F23" w14:textId="77777777" w:rsidR="00D9585C" w:rsidRPr="00026EC1" w:rsidRDefault="00D9585C" w:rsidP="00A64613">
            <w:pPr>
              <w:pStyle w:val="Texte1cm"/>
              <w:keepNext w:val="0"/>
              <w:ind w:left="0"/>
              <w:rPr>
                <w:lang w:val="fr-FR"/>
              </w:rPr>
            </w:pPr>
          </w:p>
        </w:tc>
        <w:tc>
          <w:tcPr>
            <w:tcW w:w="753" w:type="dxa"/>
          </w:tcPr>
          <w:p w14:paraId="7E3D388F" w14:textId="77777777" w:rsidR="00D9585C" w:rsidRPr="00026EC1" w:rsidRDefault="00D9585C" w:rsidP="00A64613">
            <w:pPr>
              <w:pStyle w:val="Texte1cm"/>
              <w:keepNext w:val="0"/>
              <w:ind w:left="0"/>
              <w:rPr>
                <w:lang w:val="fr-FR"/>
              </w:rPr>
            </w:pPr>
            <w:r w:rsidRPr="00026EC1">
              <w:t>30</w:t>
            </w:r>
          </w:p>
        </w:tc>
        <w:tc>
          <w:tcPr>
            <w:tcW w:w="521" w:type="dxa"/>
          </w:tcPr>
          <w:p w14:paraId="0DAFC4A8" w14:textId="77777777" w:rsidR="00D9585C" w:rsidRPr="00026EC1" w:rsidRDefault="00D9585C" w:rsidP="00A64613">
            <w:pPr>
              <w:pStyle w:val="Texte1cm"/>
              <w:keepNext w:val="0"/>
              <w:ind w:left="0"/>
              <w:rPr>
                <w:lang w:val="fr-FR"/>
              </w:rPr>
            </w:pPr>
          </w:p>
        </w:tc>
        <w:tc>
          <w:tcPr>
            <w:tcW w:w="1092" w:type="dxa"/>
          </w:tcPr>
          <w:p w14:paraId="2B181A81" w14:textId="77777777" w:rsidR="00D9585C" w:rsidRPr="00026EC1" w:rsidRDefault="00D9585C" w:rsidP="00A64613">
            <w:pPr>
              <w:pStyle w:val="Texte1cm"/>
              <w:keepNext w:val="0"/>
              <w:ind w:left="0"/>
              <w:rPr>
                <w:lang w:val="fr-FR"/>
              </w:rPr>
            </w:pPr>
            <w:r w:rsidRPr="00026EC1">
              <w:t>80</w:t>
            </w:r>
          </w:p>
        </w:tc>
        <w:tc>
          <w:tcPr>
            <w:tcW w:w="532" w:type="dxa"/>
          </w:tcPr>
          <w:p w14:paraId="56BD868D" w14:textId="77777777" w:rsidR="00D9585C" w:rsidRPr="00026EC1" w:rsidRDefault="00D9585C" w:rsidP="00A64613">
            <w:pPr>
              <w:pStyle w:val="Texte1cm"/>
              <w:keepNext w:val="0"/>
              <w:ind w:left="0"/>
              <w:rPr>
                <w:lang w:val="fr-FR"/>
              </w:rPr>
            </w:pPr>
          </w:p>
        </w:tc>
        <w:tc>
          <w:tcPr>
            <w:tcW w:w="727" w:type="dxa"/>
          </w:tcPr>
          <w:p w14:paraId="3FDFB833" w14:textId="77777777" w:rsidR="00D9585C" w:rsidRPr="00026EC1" w:rsidRDefault="00D9585C" w:rsidP="00A64613">
            <w:pPr>
              <w:pStyle w:val="Texte1cm"/>
              <w:keepNext w:val="0"/>
              <w:ind w:left="0"/>
              <w:jc w:val="center"/>
              <w:rPr>
                <w:lang w:val="fr-FR"/>
              </w:rPr>
            </w:pPr>
            <w:r w:rsidRPr="00026EC1">
              <w:t>15</w:t>
            </w:r>
          </w:p>
        </w:tc>
        <w:tc>
          <w:tcPr>
            <w:tcW w:w="714" w:type="dxa"/>
          </w:tcPr>
          <w:p w14:paraId="04AA425D" w14:textId="77777777" w:rsidR="00D9585C" w:rsidRPr="00026EC1" w:rsidRDefault="00D9585C" w:rsidP="00A64613">
            <w:pPr>
              <w:pStyle w:val="Texte1cm"/>
              <w:keepNext w:val="0"/>
              <w:ind w:left="0"/>
              <w:rPr>
                <w:lang w:val="fr-FR"/>
              </w:rPr>
            </w:pPr>
          </w:p>
        </w:tc>
        <w:tc>
          <w:tcPr>
            <w:tcW w:w="2394" w:type="dxa"/>
          </w:tcPr>
          <w:p w14:paraId="12C0A85A" w14:textId="77777777" w:rsidR="00D9585C" w:rsidRPr="00026EC1" w:rsidRDefault="00D9585C" w:rsidP="00A64613">
            <w:pPr>
              <w:pStyle w:val="Texte1cm"/>
              <w:keepNext w:val="0"/>
              <w:ind w:left="0"/>
              <w:rPr>
                <w:lang w:val="fr-FR"/>
              </w:rPr>
            </w:pPr>
          </w:p>
        </w:tc>
      </w:tr>
    </w:tbl>
    <w:p w14:paraId="27DCB54D" w14:textId="77777777" w:rsidR="00AE3873" w:rsidRPr="00026EC1" w:rsidRDefault="00AE3873" w:rsidP="00A64613">
      <w:pPr>
        <w:pStyle w:val="Texte1cm"/>
        <w:keepNext w:val="0"/>
        <w:ind w:left="0"/>
        <w:rPr>
          <w:sz w:val="10"/>
          <w:szCs w:val="10"/>
        </w:rPr>
      </w:pPr>
    </w:p>
    <w:p w14:paraId="592403EB" w14:textId="77777777" w:rsidR="00AE3873" w:rsidRPr="00026EC1" w:rsidRDefault="00AE3873" w:rsidP="00A64613">
      <w:pPr>
        <w:pStyle w:val="Texte1cm"/>
        <w:keepNext w:val="0"/>
      </w:pPr>
      <w:r w:rsidRPr="00026EC1">
        <w:t>où</w:t>
      </w:r>
    </w:p>
    <w:p w14:paraId="55B72A02" w14:textId="77777777" w:rsidR="00AE3873" w:rsidRPr="00026EC1" w:rsidRDefault="00AE3873" w:rsidP="00A64613">
      <w:pPr>
        <w:pStyle w:val="Texte1cm"/>
        <w:keepNext w:val="0"/>
      </w:pPr>
    </w:p>
    <w:p w14:paraId="6ED36E2F" w14:textId="11D3CDE5" w:rsidR="00F67966" w:rsidRPr="00026EC1" w:rsidRDefault="00F67966" w:rsidP="00A64613">
      <w:pPr>
        <w:pStyle w:val="Texte1cm"/>
        <w:keepNext w:val="0"/>
        <w:ind w:left="1260" w:hanging="693"/>
      </w:pPr>
      <w:r w:rsidRPr="00026EC1">
        <w:rPr>
          <w:rFonts w:ascii="Symbol" w:eastAsia="Symbol" w:hAnsi="Symbol" w:cs="Symbol"/>
        </w:rPr>
        <w:t></w:t>
      </w:r>
      <w:r w:rsidRPr="00026EC1">
        <w:tab/>
        <w:t>est le paramètre de conversion des heures en unités de CI; la valeur retenue pour ce paramètre est de</w:t>
      </w:r>
      <w:r w:rsidR="00AE3873" w:rsidRPr="00026EC1">
        <w:t xml:space="preserve"> zéro virgule cinq</w:t>
      </w:r>
      <w:r w:rsidR="00D932FB">
        <w:t> </w:t>
      </w:r>
      <w:r w:rsidR="00AE3873" w:rsidRPr="00026EC1">
        <w:t>(</w:t>
      </w:r>
      <w:r w:rsidRPr="00026EC1">
        <w:t>0,5</w:t>
      </w:r>
      <w:r w:rsidR="00AE3873" w:rsidRPr="00026EC1">
        <w:t>)</w:t>
      </w:r>
      <w:r w:rsidRPr="00026EC1">
        <w:t>;</w:t>
      </w:r>
    </w:p>
    <w:p w14:paraId="4036EAA6" w14:textId="77777777" w:rsidR="00F67966" w:rsidRPr="00026EC1" w:rsidRDefault="00F67966" w:rsidP="00A64613">
      <w:pPr>
        <w:keepNext w:val="0"/>
      </w:pPr>
    </w:p>
    <w:p w14:paraId="15D4B999" w14:textId="2A7D5607" w:rsidR="00F67966" w:rsidRPr="00026EC1" w:rsidRDefault="00F67966" w:rsidP="00A64613">
      <w:pPr>
        <w:pStyle w:val="Texte1cm"/>
        <w:keepNext w:val="0"/>
        <w:ind w:left="1260" w:hanging="693"/>
      </w:pPr>
      <w:r w:rsidRPr="00026EC1">
        <w:t>D</w:t>
      </w:r>
      <w:r w:rsidRPr="00026EC1">
        <w:rPr>
          <w:vertAlign w:val="subscript"/>
        </w:rPr>
        <w:t>1</w:t>
      </w:r>
      <w:r w:rsidRPr="00026EC1">
        <w:tab/>
        <w:t>est la distance parcourue lors d</w:t>
      </w:r>
      <w:r w:rsidR="00BC3319" w:rsidRPr="00026EC1">
        <w:t>’</w:t>
      </w:r>
      <w:r w:rsidRPr="00026EC1">
        <w:t>un « déplacement lent » (vitesse moyenne retenue</w:t>
      </w:r>
      <w:r w:rsidR="00D8581B">
        <w:t> :</w:t>
      </w:r>
      <w:r w:rsidRPr="00026EC1">
        <w:t> 30 km/h);</w:t>
      </w:r>
    </w:p>
    <w:p w14:paraId="1CE0ED83" w14:textId="77777777" w:rsidR="00F67966" w:rsidRPr="00026EC1" w:rsidRDefault="00F67966" w:rsidP="00A64613">
      <w:pPr>
        <w:keepNext w:val="0"/>
      </w:pPr>
    </w:p>
    <w:p w14:paraId="7C0486A4" w14:textId="704F688F" w:rsidR="00514DC5" w:rsidRDefault="00F67966" w:rsidP="00A64613">
      <w:pPr>
        <w:pStyle w:val="Texte1cm"/>
        <w:keepNext w:val="0"/>
        <w:ind w:left="1260" w:hanging="693"/>
      </w:pPr>
      <w:r w:rsidRPr="00026EC1">
        <w:t>D</w:t>
      </w:r>
      <w:r w:rsidRPr="00026EC1">
        <w:rPr>
          <w:vertAlign w:val="subscript"/>
        </w:rPr>
        <w:t>2</w:t>
      </w:r>
      <w:r w:rsidRPr="00026EC1">
        <w:tab/>
        <w:t>est la distance parcourue lors d</w:t>
      </w:r>
      <w:r w:rsidR="00BC3319" w:rsidRPr="00026EC1">
        <w:t>’</w:t>
      </w:r>
      <w:r w:rsidRPr="00026EC1">
        <w:t>un « déplacement rapide » (vitesse moyenne retenue</w:t>
      </w:r>
      <w:r w:rsidR="00D8581B">
        <w:t> :</w:t>
      </w:r>
      <w:r w:rsidRPr="00026EC1">
        <w:t xml:space="preserve"> 80</w:t>
      </w:r>
      <w:r w:rsidR="00561406" w:rsidRPr="00026EC1">
        <w:t> </w:t>
      </w:r>
      <w:r w:rsidRPr="00026EC1">
        <w:t>km/h).</w:t>
      </w:r>
    </w:p>
    <w:p w14:paraId="316B2C69" w14:textId="1ACE393B" w:rsidR="00514DC5" w:rsidRDefault="00514DC5">
      <w:pPr>
        <w:keepNext w:val="0"/>
        <w:suppressAutoHyphens w:val="0"/>
        <w:jc w:val="left"/>
      </w:pPr>
    </w:p>
    <w:p w14:paraId="38783182" w14:textId="7C02F953" w:rsidR="00F67966" w:rsidRPr="00026EC1" w:rsidRDefault="00F67966" w:rsidP="00A64613">
      <w:pPr>
        <w:keepNext w:val="0"/>
      </w:pPr>
      <w:r w:rsidRPr="00026EC1">
        <w:t>NOTES</w:t>
      </w:r>
      <w:r w:rsidR="00D8581B">
        <w:t> :</w:t>
      </w:r>
    </w:p>
    <w:p w14:paraId="76102C2E" w14:textId="77777777" w:rsidR="00F67966" w:rsidRPr="00026EC1" w:rsidRDefault="00F67966" w:rsidP="00A64613">
      <w:pPr>
        <w:keepNext w:val="0"/>
      </w:pPr>
    </w:p>
    <w:p w14:paraId="657BC663" w14:textId="458665A8" w:rsidR="00F67966" w:rsidRPr="00026EC1" w:rsidRDefault="00F67966" w:rsidP="00A64613">
      <w:pPr>
        <w:pStyle w:val="Texte1cm"/>
        <w:keepNext w:val="0"/>
      </w:pPr>
      <w:r w:rsidRPr="00026EC1">
        <w:t>Il existe deux types de déplacement</w:t>
      </w:r>
      <w:r w:rsidR="00D8581B">
        <w:t> :</w:t>
      </w:r>
      <w:r w:rsidRPr="00026EC1">
        <w:t xml:space="preserve"> ceux dits « lents » et ceux dits « rapides »; cependant, un même déplacement peut comporter les deux</w:t>
      </w:r>
      <w:r w:rsidR="00D932FB">
        <w:t> </w:t>
      </w:r>
      <w:r w:rsidRPr="00026EC1">
        <w:t>(2) types.</w:t>
      </w:r>
    </w:p>
    <w:p w14:paraId="5876B089" w14:textId="77777777" w:rsidR="00F67966" w:rsidRPr="00026EC1" w:rsidRDefault="00F67966" w:rsidP="00A64613">
      <w:pPr>
        <w:keepNext w:val="0"/>
      </w:pPr>
    </w:p>
    <w:p w14:paraId="5C5F592D" w14:textId="2B0958B6" w:rsidR="00F67966" w:rsidRPr="00026EC1" w:rsidRDefault="00275751" w:rsidP="00A64613">
      <w:pPr>
        <w:keepNext w:val="0"/>
        <w:tabs>
          <w:tab w:val="left" w:pos="1134"/>
        </w:tabs>
        <w:ind w:left="1134" w:hanging="567"/>
      </w:pPr>
      <w:r w:rsidRPr="00026EC1">
        <w:t>1)</w:t>
      </w:r>
      <w:r w:rsidRPr="00026EC1">
        <w:tab/>
      </w:r>
      <w:r w:rsidR="00F67966" w:rsidRPr="00026EC1">
        <w:t>Les déplacements dont on tient compte dans le calcul de la CI</w:t>
      </w:r>
      <w:r w:rsidR="00F67966" w:rsidRPr="00026EC1">
        <w:rPr>
          <w:vertAlign w:val="subscript"/>
        </w:rPr>
        <w:t xml:space="preserve">d </w:t>
      </w:r>
      <w:r w:rsidR="00F67966" w:rsidRPr="00026EC1">
        <w:t>sont les suivants</w:t>
      </w:r>
      <w:r w:rsidR="00D8581B">
        <w:t> :</w:t>
      </w:r>
    </w:p>
    <w:p w14:paraId="50ECF248" w14:textId="77777777" w:rsidR="00F67966" w:rsidRPr="00026EC1" w:rsidRDefault="00F67966" w:rsidP="00A64613">
      <w:pPr>
        <w:keepNext w:val="0"/>
      </w:pPr>
    </w:p>
    <w:p w14:paraId="2D179351" w14:textId="50961641" w:rsidR="00F67966" w:rsidRPr="00026EC1" w:rsidRDefault="00275751" w:rsidP="00A64613">
      <w:pPr>
        <w:keepNext w:val="0"/>
        <w:tabs>
          <w:tab w:val="left" w:pos="1694"/>
        </w:tabs>
        <w:ind w:left="1701" w:hanging="567"/>
      </w:pPr>
      <w:r w:rsidRPr="00026EC1">
        <w:t>i)</w:t>
      </w:r>
      <w:r w:rsidRPr="00026EC1">
        <w:tab/>
      </w:r>
      <w:r w:rsidR="00F67966" w:rsidRPr="00026EC1">
        <w:t>les déplacements rendus nécessaires par l</w:t>
      </w:r>
      <w:r w:rsidR="00BC3319" w:rsidRPr="00026EC1">
        <w:t>’</w:t>
      </w:r>
      <w:r w:rsidR="00F67966" w:rsidRPr="00026EC1">
        <w:t>aménagement physique du collège (existence de pavillons, de sous</w:t>
      </w:r>
      <w:r w:rsidR="00984A6F">
        <w:noBreakHyphen/>
      </w:r>
      <w:r w:rsidR="00F67966" w:rsidRPr="00026EC1">
        <w:t>centres ou de locaux de cours extérieurs au collège);</w:t>
      </w:r>
    </w:p>
    <w:p w14:paraId="7C7B5820" w14:textId="77777777" w:rsidR="00F67966" w:rsidRPr="00026EC1" w:rsidRDefault="00F67966" w:rsidP="00A64613">
      <w:pPr>
        <w:keepNext w:val="0"/>
      </w:pPr>
    </w:p>
    <w:p w14:paraId="22F0AB54" w14:textId="77777777" w:rsidR="00F67966" w:rsidRPr="00026EC1" w:rsidRDefault="00275751" w:rsidP="00A64613">
      <w:pPr>
        <w:keepNext w:val="0"/>
        <w:tabs>
          <w:tab w:val="left" w:pos="1694"/>
        </w:tabs>
        <w:ind w:left="1701" w:hanging="567"/>
      </w:pPr>
      <w:r w:rsidRPr="00026EC1">
        <w:t>ii)</w:t>
      </w:r>
      <w:r w:rsidRPr="00026EC1">
        <w:tab/>
      </w:r>
      <w:r w:rsidR="00F67966" w:rsidRPr="00026EC1">
        <w:t>les déplacements occasionnés par la supervision de l</w:t>
      </w:r>
      <w:r w:rsidR="00BC3319" w:rsidRPr="00026EC1">
        <w:t>’</w:t>
      </w:r>
      <w:r w:rsidR="00F67966" w:rsidRPr="00026EC1">
        <w:t xml:space="preserve">enseignement clinique en </w:t>
      </w:r>
      <w:r w:rsidR="002E5087" w:rsidRPr="00026EC1">
        <w:t>s</w:t>
      </w:r>
      <w:r w:rsidR="00AE3873" w:rsidRPr="00026EC1">
        <w:t xml:space="preserve">oins </w:t>
      </w:r>
      <w:r w:rsidR="00F67966" w:rsidRPr="00026EC1">
        <w:t>infirmi</w:t>
      </w:r>
      <w:r w:rsidR="00AE3873" w:rsidRPr="00026EC1">
        <w:t>e</w:t>
      </w:r>
      <w:r w:rsidR="00F67966" w:rsidRPr="00026EC1">
        <w:t>r</w:t>
      </w:r>
      <w:r w:rsidR="00AE3873" w:rsidRPr="00026EC1">
        <w:t>s</w:t>
      </w:r>
      <w:r w:rsidR="00F67966" w:rsidRPr="00026EC1">
        <w:t xml:space="preserve"> ou par la supervision des stages pour lesquels il existe un Ne</w:t>
      </w:r>
      <w:r w:rsidR="00F67966" w:rsidRPr="00026EC1">
        <w:rPr>
          <w:vertAlign w:val="subscript"/>
        </w:rPr>
        <w:t>jk</w:t>
      </w:r>
      <w:r w:rsidR="00F67966" w:rsidRPr="00026EC1">
        <w:t xml:space="preserve"> (rapport étudiantes et étudiants/enseignante ou enseignant).</w:t>
      </w:r>
    </w:p>
    <w:p w14:paraId="68AC9014" w14:textId="55B03C22" w:rsidR="004F471A" w:rsidRDefault="00275751" w:rsidP="00A64613">
      <w:pPr>
        <w:keepNext w:val="0"/>
        <w:tabs>
          <w:tab w:val="left" w:pos="1134"/>
        </w:tabs>
        <w:ind w:left="1134" w:hanging="567"/>
      </w:pPr>
      <w:r w:rsidRPr="00026EC1">
        <w:t>2)</w:t>
      </w:r>
      <w:r w:rsidRPr="00026EC1">
        <w:tab/>
      </w:r>
      <w:r w:rsidR="00F67966" w:rsidRPr="00026EC1">
        <w:t>Dans le calcul de la CI</w:t>
      </w:r>
      <w:r w:rsidR="00F67966" w:rsidRPr="00026EC1">
        <w:rPr>
          <w:vertAlign w:val="subscript"/>
        </w:rPr>
        <w:t>d</w:t>
      </w:r>
      <w:r w:rsidR="00F67966" w:rsidRPr="00026EC1">
        <w:t>, on ne tient pas compte des déplacements effectués pendant les heures de cours et qui réduisent d</w:t>
      </w:r>
      <w:r w:rsidR="00BC3319" w:rsidRPr="00026EC1">
        <w:t>’</w:t>
      </w:r>
      <w:r w:rsidR="00F67966" w:rsidRPr="00026EC1">
        <w:t>autant la durée prévue de ces cours.</w:t>
      </w:r>
    </w:p>
    <w:p w14:paraId="64FFBF2A" w14:textId="18F2F9F0" w:rsidR="004F471A" w:rsidRDefault="004F471A">
      <w:pPr>
        <w:keepNext w:val="0"/>
        <w:suppressAutoHyphens w:val="0"/>
        <w:jc w:val="left"/>
      </w:pPr>
    </w:p>
    <w:p w14:paraId="52BB611D" w14:textId="77777777" w:rsidR="00F67966" w:rsidRPr="00026EC1" w:rsidRDefault="00275751" w:rsidP="00A64613">
      <w:pPr>
        <w:keepNext w:val="0"/>
        <w:tabs>
          <w:tab w:val="left" w:pos="567"/>
        </w:tabs>
        <w:ind w:left="567" w:hanging="567"/>
        <w:rPr>
          <w:b/>
          <w:bCs/>
          <w:u w:val="single"/>
        </w:rPr>
      </w:pPr>
      <w:r w:rsidRPr="00026EC1">
        <w:rPr>
          <w:b/>
          <w:bCs/>
        </w:rPr>
        <w:t>e)</w:t>
      </w:r>
      <w:r w:rsidRPr="00026EC1">
        <w:rPr>
          <w:b/>
          <w:bCs/>
        </w:rPr>
        <w:tab/>
      </w:r>
      <w:r w:rsidR="00F67966" w:rsidRPr="00026EC1">
        <w:rPr>
          <w:b/>
          <w:bCs/>
          <w:u w:val="single"/>
        </w:rPr>
        <w:t>Calcul de la CI</w:t>
      </w:r>
      <w:r w:rsidR="00AE3873" w:rsidRPr="00026EC1">
        <w:rPr>
          <w:b/>
          <w:bCs/>
          <w:u w:val="single"/>
          <w:vertAlign w:val="subscript"/>
        </w:rPr>
        <w:t>L</w:t>
      </w:r>
    </w:p>
    <w:p w14:paraId="798979DC" w14:textId="77777777" w:rsidR="00F67966" w:rsidRPr="00026EC1" w:rsidRDefault="00F67966" w:rsidP="00A64613">
      <w:pPr>
        <w:keepNext w:val="0"/>
      </w:pPr>
    </w:p>
    <w:p w14:paraId="2A14F571" w14:textId="456AC6A6" w:rsidR="00F67966" w:rsidRPr="00026EC1" w:rsidRDefault="00F67966" w:rsidP="00A64613">
      <w:pPr>
        <w:pStyle w:val="Texte1cm"/>
        <w:keepNext w:val="0"/>
      </w:pPr>
      <w:r w:rsidRPr="00026EC1">
        <w:t>La comptabilisation de la charge individuelle associée à une libération se fait de la manière suivante, pour une session donnée</w:t>
      </w:r>
      <w:r w:rsidR="00D8581B">
        <w:t> :</w:t>
      </w:r>
    </w:p>
    <w:p w14:paraId="0118C818" w14:textId="77777777" w:rsidR="00F67966" w:rsidRPr="00026EC1" w:rsidRDefault="00F67966" w:rsidP="00A64613">
      <w:pPr>
        <w:keepNext w:val="0"/>
      </w:pPr>
    </w:p>
    <w:p w14:paraId="2EC1049B" w14:textId="0BAD0EB8" w:rsidR="00F67966" w:rsidRPr="00026EC1" w:rsidRDefault="00F67966" w:rsidP="00A64613">
      <w:pPr>
        <w:pStyle w:val="Texte1cm"/>
        <w:keepNext w:val="0"/>
        <w:tabs>
          <w:tab w:val="left" w:pos="1276"/>
        </w:tabs>
      </w:pPr>
      <w:r w:rsidRPr="00026EC1">
        <w:t>CI</w:t>
      </w:r>
      <w:r w:rsidR="00AE3873" w:rsidRPr="00026EC1">
        <w:rPr>
          <w:bCs/>
          <w:vertAlign w:val="subscript"/>
        </w:rPr>
        <w:t>L</w:t>
      </w:r>
      <w:r w:rsidRPr="00026EC1">
        <w:rPr>
          <w:bCs/>
        </w:rPr>
        <w:t xml:space="preserve"> </w:t>
      </w:r>
      <w:r w:rsidRPr="00026EC1">
        <w:t>=</w:t>
      </w:r>
      <w:r w:rsidR="00E241CA" w:rsidRPr="00026EC1">
        <w:tab/>
      </w:r>
      <w:r w:rsidRPr="00026EC1">
        <w:t>L x 40</w:t>
      </w:r>
    </w:p>
    <w:p w14:paraId="3DDA7784" w14:textId="77777777" w:rsidR="00F67966" w:rsidRPr="00026EC1" w:rsidRDefault="00F67966" w:rsidP="00A64613">
      <w:pPr>
        <w:keepNext w:val="0"/>
        <w:rPr>
          <w:sz w:val="10"/>
          <w:szCs w:val="10"/>
        </w:rPr>
      </w:pPr>
    </w:p>
    <w:p w14:paraId="0127D3B1" w14:textId="77777777" w:rsidR="00F67966" w:rsidRPr="00026EC1" w:rsidRDefault="00F67966" w:rsidP="00A64613">
      <w:pPr>
        <w:pStyle w:val="Texte1cm"/>
        <w:keepNext w:val="0"/>
      </w:pPr>
      <w:r w:rsidRPr="00026EC1">
        <w:t>où</w:t>
      </w:r>
    </w:p>
    <w:p w14:paraId="6FF0E917" w14:textId="77777777" w:rsidR="00F67966" w:rsidRPr="00026EC1" w:rsidRDefault="00F67966" w:rsidP="00A64613">
      <w:pPr>
        <w:keepNext w:val="0"/>
      </w:pPr>
    </w:p>
    <w:p w14:paraId="082B159D" w14:textId="77777777" w:rsidR="00F67966" w:rsidRPr="00026EC1" w:rsidRDefault="00F67966" w:rsidP="00A64613">
      <w:pPr>
        <w:pStyle w:val="Texte1cm"/>
        <w:keepNext w:val="0"/>
        <w:tabs>
          <w:tab w:val="left" w:pos="1276"/>
        </w:tabs>
      </w:pPr>
      <w:r w:rsidRPr="00026EC1">
        <w:t>L</w:t>
      </w:r>
      <w:r w:rsidRPr="00026EC1">
        <w:tab/>
        <w:t>est la fraction de charge individuelle consacrée à une libération.</w:t>
      </w:r>
    </w:p>
    <w:p w14:paraId="77E8E998" w14:textId="77777777" w:rsidR="00F67966" w:rsidRPr="00026EC1" w:rsidRDefault="00F67966" w:rsidP="00A64613">
      <w:pPr>
        <w:keepNext w:val="0"/>
      </w:pPr>
    </w:p>
    <w:p w14:paraId="3D5669F3" w14:textId="77777777" w:rsidR="00F67966" w:rsidRPr="00026EC1" w:rsidRDefault="00275751" w:rsidP="00A64613">
      <w:pPr>
        <w:keepNext w:val="0"/>
        <w:tabs>
          <w:tab w:val="left" w:pos="567"/>
        </w:tabs>
        <w:ind w:left="567" w:hanging="567"/>
        <w:rPr>
          <w:b/>
          <w:bCs/>
          <w:u w:val="single"/>
        </w:rPr>
      </w:pPr>
      <w:r w:rsidRPr="00026EC1">
        <w:rPr>
          <w:b/>
          <w:bCs/>
        </w:rPr>
        <w:t>f)</w:t>
      </w:r>
      <w:r w:rsidRPr="00026EC1">
        <w:rPr>
          <w:b/>
          <w:bCs/>
        </w:rPr>
        <w:tab/>
      </w:r>
      <w:r w:rsidR="00F67966" w:rsidRPr="00026EC1">
        <w:rPr>
          <w:b/>
          <w:bCs/>
          <w:u w:val="single"/>
        </w:rPr>
        <w:t>Calcul de la CI</w:t>
      </w:r>
      <w:r w:rsidR="00F67966" w:rsidRPr="00026EC1">
        <w:rPr>
          <w:b/>
          <w:bCs/>
          <w:u w:val="single"/>
          <w:vertAlign w:val="subscript"/>
        </w:rPr>
        <w:t>f</w:t>
      </w:r>
    </w:p>
    <w:p w14:paraId="372B6153" w14:textId="77777777" w:rsidR="00FA33B4" w:rsidRPr="00026EC1" w:rsidRDefault="00FA33B4" w:rsidP="00A64613">
      <w:pPr>
        <w:keepNext w:val="0"/>
        <w:rPr>
          <w:b/>
          <w:bCs/>
          <w:u w:val="single"/>
          <w:vertAlign w:val="subscript"/>
        </w:rPr>
      </w:pPr>
    </w:p>
    <w:p w14:paraId="16418306" w14:textId="4E6D0B4C" w:rsidR="00FA33B4" w:rsidRPr="00026EC1" w:rsidRDefault="00FA33B4" w:rsidP="00A64613">
      <w:pPr>
        <w:pStyle w:val="Texte1cm"/>
        <w:keepNext w:val="0"/>
      </w:pPr>
      <w:r w:rsidRPr="00026EC1">
        <w:t>La comptabilisation de la charge individuelle associée à une affectation en vertu de l’alinéa J) de la clause 5</w:t>
      </w:r>
      <w:r w:rsidR="00984A6F">
        <w:noBreakHyphen/>
      </w:r>
      <w:r w:rsidRPr="00026EC1">
        <w:t>4.07 pour une session donnée se fait de la manière suivante</w:t>
      </w:r>
      <w:r w:rsidR="00D8581B">
        <w:t> :</w:t>
      </w:r>
    </w:p>
    <w:p w14:paraId="6A4C36CC" w14:textId="77777777" w:rsidR="00FA33B4" w:rsidRPr="00026EC1" w:rsidRDefault="00FA33B4" w:rsidP="00A64613">
      <w:pPr>
        <w:keepNext w:val="0"/>
      </w:pPr>
    </w:p>
    <w:p w14:paraId="08DF241A" w14:textId="77777777" w:rsidR="00FA33B4" w:rsidRPr="00026EC1" w:rsidRDefault="00FA33B4" w:rsidP="00A64613">
      <w:pPr>
        <w:pStyle w:val="Texte1cm"/>
        <w:keepNext w:val="0"/>
        <w:tabs>
          <w:tab w:val="left" w:pos="1276"/>
        </w:tabs>
      </w:pPr>
      <w:r w:rsidRPr="00026EC1">
        <w:t>CI</w:t>
      </w:r>
      <w:r w:rsidRPr="00026EC1">
        <w:rPr>
          <w:vertAlign w:val="subscript"/>
        </w:rPr>
        <w:t>f</w:t>
      </w:r>
      <w:r w:rsidRPr="00026EC1">
        <w:t xml:space="preserve"> =</w:t>
      </w:r>
      <w:r w:rsidRPr="00026EC1">
        <w:tab/>
        <w:t>F x 40</w:t>
      </w:r>
    </w:p>
    <w:p w14:paraId="7378B3D0" w14:textId="77777777" w:rsidR="00FA33B4" w:rsidRPr="00026EC1" w:rsidRDefault="00FA33B4" w:rsidP="00A64613">
      <w:pPr>
        <w:keepNext w:val="0"/>
      </w:pPr>
    </w:p>
    <w:p w14:paraId="78971F81" w14:textId="77777777" w:rsidR="00FA33B4" w:rsidRPr="00026EC1" w:rsidRDefault="00FA33B4" w:rsidP="00A64613">
      <w:pPr>
        <w:pStyle w:val="Texte1cm"/>
        <w:keepNext w:val="0"/>
      </w:pPr>
      <w:r w:rsidRPr="00026EC1">
        <w:t>où</w:t>
      </w:r>
    </w:p>
    <w:p w14:paraId="58A09C43" w14:textId="77777777" w:rsidR="00FA33B4" w:rsidRPr="00026EC1" w:rsidRDefault="00FA33B4" w:rsidP="00A64613">
      <w:pPr>
        <w:keepNext w:val="0"/>
      </w:pPr>
    </w:p>
    <w:p w14:paraId="24978EAF" w14:textId="00D6EB8A" w:rsidR="00780FBC" w:rsidRDefault="00FA33B4" w:rsidP="00A64613">
      <w:pPr>
        <w:pStyle w:val="Texte1cm"/>
        <w:keepNext w:val="0"/>
        <w:tabs>
          <w:tab w:val="left" w:pos="1276"/>
        </w:tabs>
      </w:pPr>
      <w:r w:rsidRPr="00026EC1">
        <w:t>F</w:t>
      </w:r>
      <w:r w:rsidRPr="00026EC1">
        <w:tab/>
        <w:t>est le pourcentage d’affectation.</w:t>
      </w:r>
    </w:p>
    <w:p w14:paraId="5016BA04" w14:textId="7476448D" w:rsidR="00780FBC" w:rsidRDefault="00780FBC">
      <w:pPr>
        <w:keepNext w:val="0"/>
        <w:suppressAutoHyphens w:val="0"/>
        <w:jc w:val="left"/>
      </w:pPr>
    </w:p>
    <w:p w14:paraId="31BAB872" w14:textId="77777777" w:rsidR="00AD1D93" w:rsidRPr="00026EC1" w:rsidRDefault="00275751" w:rsidP="00A64613">
      <w:pPr>
        <w:keepNext w:val="0"/>
        <w:tabs>
          <w:tab w:val="left" w:pos="567"/>
        </w:tabs>
        <w:ind w:left="567" w:hanging="567"/>
        <w:rPr>
          <w:b/>
          <w:bCs/>
          <w:u w:val="single"/>
        </w:rPr>
      </w:pPr>
      <w:r w:rsidRPr="00026EC1">
        <w:rPr>
          <w:b/>
          <w:bCs/>
        </w:rPr>
        <w:t>g)</w:t>
      </w:r>
      <w:r w:rsidRPr="00026EC1">
        <w:rPr>
          <w:b/>
          <w:bCs/>
        </w:rPr>
        <w:tab/>
      </w:r>
      <w:r w:rsidR="00FA33B4" w:rsidRPr="00026EC1">
        <w:rPr>
          <w:b/>
          <w:u w:val="single"/>
        </w:rPr>
        <w:t>Calcul de la CI</w:t>
      </w:r>
      <w:r w:rsidR="00FA33B4" w:rsidRPr="00026EC1">
        <w:rPr>
          <w:b/>
          <w:u w:val="single"/>
          <w:vertAlign w:val="subscript"/>
        </w:rPr>
        <w:t>cp</w:t>
      </w:r>
      <w:r w:rsidR="00FA33B4" w:rsidRPr="00026EC1">
        <w:rPr>
          <w:b/>
          <w:bCs/>
          <w:u w:val="single"/>
          <w:vertAlign w:val="subscript"/>
        </w:rPr>
        <w:t xml:space="preserve"> </w:t>
      </w:r>
    </w:p>
    <w:p w14:paraId="6342B2DF" w14:textId="77777777" w:rsidR="00FA33B4" w:rsidRPr="00026EC1" w:rsidRDefault="00FA33B4" w:rsidP="00A64613">
      <w:pPr>
        <w:keepNext w:val="0"/>
        <w:rPr>
          <w:b/>
          <w:bCs/>
          <w:u w:val="single"/>
          <w:vertAlign w:val="subscript"/>
        </w:rPr>
      </w:pPr>
    </w:p>
    <w:p w14:paraId="10D4FD77" w14:textId="68B90BF9" w:rsidR="00465262" w:rsidRPr="00026EC1" w:rsidRDefault="00465262" w:rsidP="00A64613">
      <w:pPr>
        <w:keepNext w:val="0"/>
        <w:ind w:left="567" w:right="123"/>
      </w:pPr>
      <w:r w:rsidRPr="00026EC1">
        <w:t>La comptabilisation de la charge individuelle associée à l’enseignement de l’instrument principal ou de l’instrument complémentaire se fait de la manière suivante</w:t>
      </w:r>
      <w:r w:rsidR="00D8581B">
        <w:t> :</w:t>
      </w:r>
    </w:p>
    <w:p w14:paraId="560C79A6" w14:textId="77777777" w:rsidR="00465262" w:rsidRPr="00026EC1" w:rsidRDefault="00465262" w:rsidP="00A64613">
      <w:pPr>
        <w:keepNext w:val="0"/>
        <w:ind w:left="567" w:right="407"/>
      </w:pPr>
    </w:p>
    <w:p w14:paraId="37A3B0B8" w14:textId="77777777" w:rsidR="00465262" w:rsidRPr="00026EC1" w:rsidRDefault="00465262" w:rsidP="00A64613">
      <w:pPr>
        <w:keepNext w:val="0"/>
        <w:ind w:left="567" w:right="407"/>
      </w:pPr>
      <w:r w:rsidRPr="00026EC1">
        <w:t>CI</w:t>
      </w:r>
      <w:r w:rsidRPr="00026EC1">
        <w:rPr>
          <w:vertAlign w:val="subscript"/>
        </w:rPr>
        <w:t>cp</w:t>
      </w:r>
      <w:r w:rsidRPr="00026EC1">
        <w:t xml:space="preserve"> = </w:t>
      </w:r>
      <w:r w:rsidRPr="00026EC1">
        <w:tab/>
        <w:t>H</w:t>
      </w:r>
      <w:r w:rsidRPr="00026EC1">
        <w:rPr>
          <w:vertAlign w:val="subscript"/>
        </w:rPr>
        <w:t xml:space="preserve">cp </w:t>
      </w:r>
      <w:r w:rsidRPr="00026EC1">
        <w:t>x 1,8</w:t>
      </w:r>
    </w:p>
    <w:p w14:paraId="1DBF4D66" w14:textId="77777777" w:rsidR="00465262" w:rsidRPr="00026EC1" w:rsidRDefault="00465262" w:rsidP="00A64613">
      <w:pPr>
        <w:keepNext w:val="0"/>
        <w:ind w:left="567" w:right="407"/>
      </w:pPr>
    </w:p>
    <w:p w14:paraId="4F0911A1" w14:textId="77777777" w:rsidR="00465262" w:rsidRPr="00026EC1" w:rsidRDefault="00465262" w:rsidP="00A64613">
      <w:pPr>
        <w:keepNext w:val="0"/>
        <w:ind w:left="567" w:right="407"/>
      </w:pPr>
      <w:r w:rsidRPr="00026EC1">
        <w:t>où</w:t>
      </w:r>
    </w:p>
    <w:p w14:paraId="29F62395" w14:textId="77777777" w:rsidR="00465262" w:rsidRPr="00026EC1" w:rsidRDefault="00465262" w:rsidP="00A64613">
      <w:pPr>
        <w:keepNext w:val="0"/>
        <w:ind w:left="567" w:right="407"/>
      </w:pPr>
    </w:p>
    <w:p w14:paraId="62BFD9A7" w14:textId="77777777" w:rsidR="00465262" w:rsidRPr="00026EC1" w:rsidRDefault="00465262" w:rsidP="00A64613">
      <w:pPr>
        <w:keepNext w:val="0"/>
        <w:ind w:left="1418" w:right="123" w:hanging="851"/>
      </w:pPr>
      <w:r w:rsidRPr="00026EC1">
        <w:t>H</w:t>
      </w:r>
      <w:r w:rsidRPr="00026EC1">
        <w:rPr>
          <w:vertAlign w:val="subscript"/>
        </w:rPr>
        <w:t>cp</w:t>
      </w:r>
      <w:r w:rsidRPr="00026EC1">
        <w:tab/>
        <w:t>est le nombre d’heures de cours d’instruments principaux ou d’instruments complémentaires enseignés par l’enseignante ou l’enseignant dont on calcule la CI.</w:t>
      </w:r>
    </w:p>
    <w:p w14:paraId="750DC34A" w14:textId="77777777" w:rsidR="00465262" w:rsidRPr="00026EC1" w:rsidRDefault="00465262" w:rsidP="00A64613">
      <w:pPr>
        <w:keepNext w:val="0"/>
        <w:ind w:left="567" w:right="407" w:hanging="990"/>
      </w:pPr>
    </w:p>
    <w:p w14:paraId="2C09F61B" w14:textId="7A4F3645" w:rsidR="00465262" w:rsidRPr="00026EC1" w:rsidRDefault="00465262" w:rsidP="00A64613">
      <w:pPr>
        <w:pStyle w:val="ListParagraph"/>
        <w:suppressAutoHyphens/>
        <w:ind w:left="567" w:right="407"/>
      </w:pPr>
      <w:r w:rsidRPr="00026EC1">
        <w:t>NOTES</w:t>
      </w:r>
      <w:r w:rsidR="00D8581B">
        <w:t> :</w:t>
      </w:r>
    </w:p>
    <w:p w14:paraId="153325FB" w14:textId="77777777" w:rsidR="00465262" w:rsidRPr="00026EC1" w:rsidRDefault="00465262" w:rsidP="00A64613">
      <w:pPr>
        <w:pStyle w:val="ListParagraph"/>
        <w:suppressAutoHyphens/>
        <w:ind w:left="567" w:right="407"/>
      </w:pPr>
    </w:p>
    <w:p w14:paraId="6644BC30" w14:textId="2D7D6E84" w:rsidR="00E538B8" w:rsidRPr="00026EC1" w:rsidRDefault="00E538B8" w:rsidP="004F71C1">
      <w:pPr>
        <w:pStyle w:val="ListParagraph"/>
        <w:numPr>
          <w:ilvl w:val="0"/>
          <w:numId w:val="5"/>
        </w:numPr>
        <w:suppressAutoHyphens/>
        <w:ind w:left="1418" w:right="123" w:hanging="851"/>
        <w:rPr>
          <w:b/>
          <w:u w:val="single"/>
        </w:rPr>
      </w:pPr>
      <w:r w:rsidRPr="00026EC1">
        <w:t>Lorsque la pondération du cours d’instrument principal est d’une heure par semaine sa valeur est fixée à un virgule huit</w:t>
      </w:r>
      <w:r w:rsidR="00302126">
        <w:t> </w:t>
      </w:r>
      <w:r w:rsidRPr="00026EC1">
        <w:t>(1,8) unité;</w:t>
      </w:r>
    </w:p>
    <w:p w14:paraId="75F46B81" w14:textId="77777777" w:rsidR="00465262" w:rsidRPr="00026EC1" w:rsidRDefault="00465262" w:rsidP="00A64613">
      <w:pPr>
        <w:pStyle w:val="ListParagraph"/>
        <w:suppressAutoHyphens/>
        <w:ind w:left="1418" w:right="123" w:hanging="851"/>
        <w:rPr>
          <w:b/>
          <w:u w:val="single"/>
        </w:rPr>
      </w:pPr>
    </w:p>
    <w:p w14:paraId="3CCD2D8C" w14:textId="55054D31" w:rsidR="004F471A" w:rsidRDefault="00E538B8" w:rsidP="004F71C1">
      <w:pPr>
        <w:pStyle w:val="ListParagraph"/>
        <w:numPr>
          <w:ilvl w:val="0"/>
          <w:numId w:val="5"/>
        </w:numPr>
        <w:suppressAutoHyphens/>
        <w:ind w:left="1418" w:right="123" w:hanging="851"/>
      </w:pPr>
      <w:r w:rsidRPr="00026EC1">
        <w:t>Lorsque la pondération du cours d’instrument complémentaire est d’une heure par semaine sa valeur est fixée à un virgule huit</w:t>
      </w:r>
      <w:r w:rsidR="00302126">
        <w:t> </w:t>
      </w:r>
      <w:r w:rsidRPr="00026EC1">
        <w:t>(1,8) unité.</w:t>
      </w:r>
    </w:p>
    <w:p w14:paraId="476F3B80" w14:textId="3C6B2103" w:rsidR="004F471A" w:rsidRDefault="004F471A">
      <w:pPr>
        <w:keepNext w:val="0"/>
        <w:suppressAutoHyphens w:val="0"/>
        <w:jc w:val="left"/>
        <w:rPr>
          <w:rFonts w:eastAsia="Calibri"/>
          <w:snapToGrid/>
          <w:szCs w:val="22"/>
          <w:lang w:eastAsia="en-US"/>
        </w:rPr>
      </w:pPr>
    </w:p>
    <w:p w14:paraId="6DF0464A" w14:textId="77777777" w:rsidR="00AD1D93" w:rsidRPr="00026EC1" w:rsidRDefault="00275751" w:rsidP="00A64613">
      <w:pPr>
        <w:keepNext w:val="0"/>
        <w:tabs>
          <w:tab w:val="left" w:pos="567"/>
        </w:tabs>
        <w:ind w:left="567" w:hanging="567"/>
        <w:rPr>
          <w:b/>
          <w:bCs/>
          <w:u w:val="single"/>
        </w:rPr>
      </w:pPr>
      <w:r w:rsidRPr="00026EC1">
        <w:rPr>
          <w:b/>
          <w:bCs/>
        </w:rPr>
        <w:t>h)</w:t>
      </w:r>
      <w:r w:rsidRPr="00026EC1">
        <w:rPr>
          <w:b/>
          <w:bCs/>
        </w:rPr>
        <w:tab/>
      </w:r>
      <w:r w:rsidR="00FA33B4" w:rsidRPr="00026EC1">
        <w:rPr>
          <w:b/>
          <w:u w:val="single"/>
        </w:rPr>
        <w:t>Calcul de la CI</w:t>
      </w:r>
      <w:r w:rsidR="00FA33B4" w:rsidRPr="00026EC1">
        <w:rPr>
          <w:b/>
          <w:u w:val="single"/>
          <w:vertAlign w:val="subscript"/>
        </w:rPr>
        <w:t>cp’</w:t>
      </w:r>
    </w:p>
    <w:p w14:paraId="35C5767A" w14:textId="77777777" w:rsidR="00FA33B4" w:rsidRPr="00026EC1" w:rsidRDefault="00FA33B4" w:rsidP="00A64613">
      <w:pPr>
        <w:keepNext w:val="0"/>
        <w:rPr>
          <w:b/>
          <w:u w:val="single"/>
          <w:vertAlign w:val="subscript"/>
        </w:rPr>
      </w:pPr>
    </w:p>
    <w:p w14:paraId="735EE7E1" w14:textId="3494205F" w:rsidR="00465262" w:rsidRPr="00026EC1" w:rsidRDefault="00465262" w:rsidP="00A64613">
      <w:pPr>
        <w:keepNext w:val="0"/>
        <w:ind w:left="567" w:right="123"/>
      </w:pPr>
      <w:r w:rsidRPr="00026EC1">
        <w:t>La comptabilisation de la charge individuelle associée à l’enseignement du laboratoire lié à l’instrument principal se fait de la manière suivante</w:t>
      </w:r>
      <w:r w:rsidR="00D8581B">
        <w:t> :</w:t>
      </w:r>
    </w:p>
    <w:p w14:paraId="1AF2A078" w14:textId="77777777" w:rsidR="00465262" w:rsidRPr="00026EC1" w:rsidRDefault="00465262" w:rsidP="00A64613">
      <w:pPr>
        <w:keepNext w:val="0"/>
        <w:ind w:left="567" w:right="123"/>
      </w:pPr>
    </w:p>
    <w:p w14:paraId="6902EDA3" w14:textId="77777777" w:rsidR="00465262" w:rsidRPr="00026EC1" w:rsidRDefault="00465262" w:rsidP="00A64613">
      <w:pPr>
        <w:keepNext w:val="0"/>
        <w:ind w:left="567" w:right="123"/>
      </w:pPr>
      <w:r w:rsidRPr="00026EC1">
        <w:t>CI</w:t>
      </w:r>
      <w:r w:rsidRPr="00026EC1">
        <w:rPr>
          <w:vertAlign w:val="subscript"/>
        </w:rPr>
        <w:t>cp’</w:t>
      </w:r>
      <w:r w:rsidRPr="00026EC1">
        <w:t xml:space="preserve"> =</w:t>
      </w:r>
      <w:r w:rsidRPr="00026EC1">
        <w:tab/>
        <w:t>H</w:t>
      </w:r>
      <w:r w:rsidRPr="00026EC1">
        <w:rPr>
          <w:vertAlign w:val="subscript"/>
        </w:rPr>
        <w:t xml:space="preserve">cp’ </w:t>
      </w:r>
      <w:r w:rsidRPr="00026EC1">
        <w:t>x 2</w:t>
      </w:r>
    </w:p>
    <w:p w14:paraId="30638272" w14:textId="77777777" w:rsidR="00465262" w:rsidRPr="00026EC1" w:rsidRDefault="00465262" w:rsidP="00A64613">
      <w:pPr>
        <w:keepNext w:val="0"/>
        <w:ind w:left="567" w:right="123"/>
      </w:pPr>
    </w:p>
    <w:p w14:paraId="74902F65" w14:textId="77777777" w:rsidR="00465262" w:rsidRPr="00026EC1" w:rsidRDefault="00465262" w:rsidP="00A64613">
      <w:pPr>
        <w:keepNext w:val="0"/>
        <w:ind w:left="567" w:right="123"/>
      </w:pPr>
      <w:r w:rsidRPr="00026EC1">
        <w:t>où</w:t>
      </w:r>
    </w:p>
    <w:p w14:paraId="5A7729AE" w14:textId="77777777" w:rsidR="00465262" w:rsidRPr="00026EC1" w:rsidRDefault="00465262" w:rsidP="00A64613">
      <w:pPr>
        <w:keepNext w:val="0"/>
        <w:ind w:left="567" w:right="123"/>
      </w:pPr>
    </w:p>
    <w:p w14:paraId="2886D8F2" w14:textId="0F176C34" w:rsidR="00465262" w:rsidRPr="00026EC1" w:rsidRDefault="00465262" w:rsidP="00A64613">
      <w:pPr>
        <w:keepNext w:val="0"/>
        <w:ind w:left="1418" w:right="123" w:hanging="851"/>
      </w:pPr>
      <w:r w:rsidRPr="00026EC1">
        <w:t>H</w:t>
      </w:r>
      <w:r w:rsidRPr="00026EC1">
        <w:rPr>
          <w:vertAlign w:val="subscript"/>
        </w:rPr>
        <w:t>cp’</w:t>
      </w:r>
      <w:r w:rsidRPr="00026EC1">
        <w:tab/>
        <w:t>est le nombre d’heures de cours de laboratoires liés à l’instrument principal enseignés par l’enseignante ou l’enseignant dont on calcule la CI.</w:t>
      </w:r>
    </w:p>
    <w:p w14:paraId="583D827F" w14:textId="77777777" w:rsidR="00465262" w:rsidRPr="00026EC1" w:rsidRDefault="00465262" w:rsidP="00A64613">
      <w:pPr>
        <w:keepNext w:val="0"/>
        <w:ind w:left="567" w:right="123" w:hanging="990"/>
      </w:pPr>
    </w:p>
    <w:p w14:paraId="4AC42006" w14:textId="7BE91A76" w:rsidR="00465262" w:rsidRPr="00026EC1" w:rsidRDefault="00465262" w:rsidP="00A64613">
      <w:pPr>
        <w:keepNext w:val="0"/>
        <w:ind w:left="567" w:right="123"/>
      </w:pPr>
      <w:r w:rsidRPr="00026EC1">
        <w:t>NOTE</w:t>
      </w:r>
      <w:r w:rsidR="00D8581B">
        <w:t> :</w:t>
      </w:r>
    </w:p>
    <w:p w14:paraId="610D5082" w14:textId="77777777" w:rsidR="00465262" w:rsidRPr="00026EC1" w:rsidRDefault="00465262" w:rsidP="00A64613">
      <w:pPr>
        <w:keepNext w:val="0"/>
        <w:ind w:left="567" w:right="123" w:hanging="990"/>
      </w:pPr>
    </w:p>
    <w:p w14:paraId="56D66C42" w14:textId="63F0EFCC" w:rsidR="00087C44" w:rsidRDefault="00275751" w:rsidP="00A64613">
      <w:pPr>
        <w:pStyle w:val="ListParagraph"/>
        <w:suppressAutoHyphens/>
        <w:ind w:left="1418" w:right="123" w:hanging="851"/>
      </w:pPr>
      <w:r w:rsidRPr="00026EC1">
        <w:t>1)</w:t>
      </w:r>
      <w:r w:rsidRPr="00026EC1">
        <w:tab/>
      </w:r>
      <w:r w:rsidR="00465262" w:rsidRPr="00026EC1">
        <w:t xml:space="preserve">Lorsque la pondération du laboratoire lié à l’instrument principal est d’une heure par semaine sa valeur est </w:t>
      </w:r>
      <w:r w:rsidR="00E538B8" w:rsidRPr="00026EC1">
        <w:t>fixée à deux</w:t>
      </w:r>
      <w:r w:rsidR="00E538B8" w:rsidRPr="00026EC1">
        <w:rPr>
          <w:b/>
        </w:rPr>
        <w:t xml:space="preserve"> </w:t>
      </w:r>
      <w:r w:rsidR="00E538B8" w:rsidRPr="00026EC1">
        <w:t>(2) unités.</w:t>
      </w:r>
    </w:p>
    <w:p w14:paraId="2D2C43AC" w14:textId="77777777" w:rsidR="00087C44" w:rsidRDefault="00087C44">
      <w:pPr>
        <w:keepNext w:val="0"/>
        <w:suppressAutoHyphens w:val="0"/>
        <w:jc w:val="left"/>
        <w:rPr>
          <w:rFonts w:eastAsia="Calibri"/>
          <w:snapToGrid/>
          <w:szCs w:val="22"/>
          <w:lang w:eastAsia="en-US"/>
        </w:rPr>
      </w:pPr>
      <w:r>
        <w:br w:type="page"/>
      </w:r>
    </w:p>
    <w:p w14:paraId="5CF39079" w14:textId="18A66890" w:rsidR="00F67966" w:rsidRPr="00026EC1" w:rsidRDefault="00275751" w:rsidP="004F471A">
      <w:pPr>
        <w:keepNext w:val="0"/>
        <w:tabs>
          <w:tab w:val="left" w:pos="567"/>
        </w:tabs>
        <w:ind w:left="567" w:hanging="567"/>
        <w:rPr>
          <w:b/>
          <w:bCs/>
          <w:u w:val="single"/>
        </w:rPr>
      </w:pPr>
      <w:r w:rsidRPr="00773CA9">
        <w:rPr>
          <w:b/>
          <w:bCs/>
        </w:rPr>
        <w:t>i)</w:t>
      </w:r>
      <w:r w:rsidRPr="00026EC1">
        <w:rPr>
          <w:b/>
          <w:bCs/>
        </w:rPr>
        <w:tab/>
      </w:r>
      <w:r w:rsidR="00F67966" w:rsidRPr="00026EC1">
        <w:rPr>
          <w:b/>
          <w:bCs/>
          <w:u w:val="single"/>
        </w:rPr>
        <w:t>Dates de référence pour le calcul de la CI</w:t>
      </w:r>
    </w:p>
    <w:p w14:paraId="06FA4BE0" w14:textId="77777777" w:rsidR="00F67966" w:rsidRPr="00026EC1" w:rsidRDefault="00F67966" w:rsidP="00A64613">
      <w:pPr>
        <w:keepNext w:val="0"/>
      </w:pPr>
    </w:p>
    <w:p w14:paraId="4B3D82A7" w14:textId="1268E509" w:rsidR="00F67966" w:rsidRDefault="00F67966" w:rsidP="00780FBC">
      <w:pPr>
        <w:pStyle w:val="Texte1cm"/>
        <w:keepNext w:val="0"/>
      </w:pPr>
      <w:r w:rsidRPr="00026EC1">
        <w:t>La charge individuelle d</w:t>
      </w:r>
      <w:r w:rsidR="00BC3319" w:rsidRPr="00026EC1">
        <w:t>’</w:t>
      </w:r>
      <w:r w:rsidRPr="00026EC1">
        <w:t>une enseignante ou d</w:t>
      </w:r>
      <w:r w:rsidR="00BC3319" w:rsidRPr="00026EC1">
        <w:t>’</w:t>
      </w:r>
      <w:r w:rsidRPr="00026EC1">
        <w:t>un enseignant est établie sur la base des données du 20 septembre pour la session d</w:t>
      </w:r>
      <w:r w:rsidR="00BC3319" w:rsidRPr="00026EC1">
        <w:t>’</w:t>
      </w:r>
      <w:r w:rsidRPr="00026EC1">
        <w:t>automne et du 15 février pour la session d</w:t>
      </w:r>
      <w:r w:rsidR="00BC3319" w:rsidRPr="00026EC1">
        <w:t>’</w:t>
      </w:r>
      <w:r w:rsidRPr="00026EC1">
        <w:t>hiver.</w:t>
      </w:r>
    </w:p>
    <w:p w14:paraId="5D274AB5" w14:textId="77777777" w:rsidR="00780FBC" w:rsidRDefault="00780FBC" w:rsidP="00780FBC">
      <w:pPr>
        <w:pStyle w:val="Texte1cm"/>
        <w:keepNext w:val="0"/>
      </w:pPr>
    </w:p>
    <w:p w14:paraId="22A74D4D" w14:textId="4769E3AF" w:rsidR="002B35AE" w:rsidRPr="00316277" w:rsidRDefault="002B35AE" w:rsidP="00780FBC">
      <w:pPr>
        <w:pStyle w:val="N-FNEEQ-Dcal"/>
        <w:tabs>
          <w:tab w:val="left" w:pos="426"/>
        </w:tabs>
        <w:spacing w:before="0" w:after="0"/>
        <w:ind w:left="567"/>
        <w:rPr>
          <w:rFonts w:ascii="Arial" w:eastAsia="Times New Roman" w:hAnsi="Arial" w:cs="Times New Roman"/>
          <w:snapToGrid w:val="0"/>
          <w:color w:val="auto"/>
          <w:sz w:val="24"/>
          <w:lang w:eastAsia="fr-FR"/>
        </w:rPr>
      </w:pPr>
      <w:r w:rsidRPr="00316277">
        <w:rPr>
          <w:rFonts w:ascii="Arial" w:eastAsia="Times New Roman" w:hAnsi="Arial" w:cs="Times New Roman"/>
          <w:snapToGrid w:val="0"/>
          <w:color w:val="auto"/>
          <w:sz w:val="24"/>
          <w:lang w:eastAsia="fr-FR"/>
        </w:rPr>
        <w:t xml:space="preserve">Pour les cours offerts à la formation continue </w:t>
      </w:r>
      <w:r w:rsidR="008E37AF" w:rsidRPr="00316277">
        <w:rPr>
          <w:rFonts w:ascii="Arial" w:eastAsia="Times New Roman" w:hAnsi="Arial" w:cs="Times New Roman"/>
          <w:snapToGrid w:val="0"/>
          <w:color w:val="auto"/>
          <w:sz w:val="24"/>
          <w:lang w:eastAsia="fr-FR"/>
        </w:rPr>
        <w:t>ou</w:t>
      </w:r>
      <w:r w:rsidRPr="00316277">
        <w:rPr>
          <w:rFonts w:ascii="Arial" w:eastAsia="Times New Roman" w:hAnsi="Arial" w:cs="Times New Roman"/>
          <w:snapToGrid w:val="0"/>
          <w:color w:val="auto"/>
          <w:sz w:val="24"/>
          <w:lang w:eastAsia="fr-FR"/>
        </w:rPr>
        <w:t xml:space="preserve"> dans le cadre d’un </w:t>
      </w:r>
      <w:r w:rsidR="001A0A59" w:rsidRPr="00316277">
        <w:rPr>
          <w:rFonts w:ascii="Arial" w:eastAsia="Times New Roman" w:hAnsi="Arial" w:cs="Times New Roman"/>
          <w:snapToGrid w:val="0"/>
          <w:color w:val="auto"/>
          <w:sz w:val="24"/>
          <w:lang w:eastAsia="fr-FR"/>
        </w:rPr>
        <w:t>DEC</w:t>
      </w:r>
      <w:r w:rsidRPr="00316277">
        <w:rPr>
          <w:rFonts w:ascii="Arial" w:eastAsia="Times New Roman" w:hAnsi="Arial" w:cs="Times New Roman"/>
          <w:snapToGrid w:val="0"/>
          <w:color w:val="auto"/>
          <w:sz w:val="24"/>
          <w:lang w:eastAsia="fr-FR"/>
        </w:rPr>
        <w:t xml:space="preserve"> intensif ou accéléré, la date de référence est celle correspondant </w:t>
      </w:r>
      <w:r w:rsidR="001A0A59" w:rsidRPr="00316277">
        <w:rPr>
          <w:rFonts w:ascii="Arial" w:eastAsia="Times New Roman" w:hAnsi="Arial" w:cs="Times New Roman"/>
          <w:snapToGrid w:val="0"/>
          <w:color w:val="auto"/>
          <w:sz w:val="24"/>
          <w:lang w:eastAsia="fr-FR"/>
        </w:rPr>
        <w:t>à vingt pour cent (</w:t>
      </w:r>
      <w:r w:rsidRPr="00316277">
        <w:rPr>
          <w:rFonts w:ascii="Arial" w:eastAsia="Times New Roman" w:hAnsi="Arial" w:cs="Times New Roman"/>
          <w:snapToGrid w:val="0"/>
          <w:color w:val="auto"/>
          <w:sz w:val="24"/>
          <w:lang w:eastAsia="fr-FR"/>
        </w:rPr>
        <w:t>20 %</w:t>
      </w:r>
      <w:r w:rsidR="001A0A59" w:rsidRPr="00316277">
        <w:rPr>
          <w:rFonts w:ascii="Arial" w:eastAsia="Times New Roman" w:hAnsi="Arial" w:cs="Times New Roman"/>
          <w:snapToGrid w:val="0"/>
          <w:color w:val="auto"/>
          <w:sz w:val="24"/>
          <w:lang w:eastAsia="fr-FR"/>
        </w:rPr>
        <w:t>)</w:t>
      </w:r>
      <w:r w:rsidRPr="00316277">
        <w:rPr>
          <w:rFonts w:ascii="Arial" w:eastAsia="Times New Roman" w:hAnsi="Arial" w:cs="Times New Roman"/>
          <w:snapToGrid w:val="0"/>
          <w:color w:val="auto"/>
          <w:sz w:val="24"/>
          <w:lang w:eastAsia="fr-FR"/>
        </w:rPr>
        <w:t xml:space="preserve"> de leur durée. Les parties conviennent du rattachement de ces cours à l’une ou l’autre des sessions ou encore aux deux sessions, à défaut de quoi l</w:t>
      </w:r>
      <w:r w:rsidR="001A0A59" w:rsidRPr="00316277">
        <w:rPr>
          <w:rFonts w:ascii="Arial" w:eastAsia="Times New Roman" w:hAnsi="Arial" w:cs="Times New Roman"/>
          <w:snapToGrid w:val="0"/>
          <w:color w:val="auto"/>
          <w:sz w:val="24"/>
          <w:lang w:eastAsia="fr-FR"/>
        </w:rPr>
        <w:t>e</w:t>
      </w:r>
      <w:r w:rsidRPr="00316277">
        <w:rPr>
          <w:rFonts w:ascii="Arial" w:eastAsia="Times New Roman" w:hAnsi="Arial" w:cs="Times New Roman"/>
          <w:snapToGrid w:val="0"/>
          <w:color w:val="auto"/>
          <w:sz w:val="24"/>
          <w:lang w:eastAsia="fr-FR"/>
        </w:rPr>
        <w:t xml:space="preserve"> Collège procède.</w:t>
      </w:r>
    </w:p>
    <w:p w14:paraId="445099EC" w14:textId="77777777" w:rsidR="00780FBC" w:rsidRPr="00316277" w:rsidRDefault="00780FBC" w:rsidP="00780FBC">
      <w:pPr>
        <w:pStyle w:val="N-FNEEQ-Dcal"/>
        <w:tabs>
          <w:tab w:val="left" w:pos="426"/>
        </w:tabs>
        <w:spacing w:before="0" w:after="0"/>
        <w:ind w:left="567"/>
        <w:rPr>
          <w:rFonts w:ascii="Arial" w:eastAsia="Times New Roman" w:hAnsi="Arial" w:cs="Times New Roman"/>
          <w:snapToGrid w:val="0"/>
          <w:color w:val="auto"/>
          <w:sz w:val="24"/>
          <w:lang w:eastAsia="fr-FR"/>
        </w:rPr>
      </w:pPr>
    </w:p>
    <w:p w14:paraId="163CC535" w14:textId="12EB093A" w:rsidR="002B35AE" w:rsidRDefault="002B35AE" w:rsidP="00780FBC">
      <w:pPr>
        <w:pStyle w:val="Texte1cm"/>
        <w:keepNext w:val="0"/>
      </w:pPr>
      <w:r w:rsidRPr="00316277">
        <w:t xml:space="preserve">Dans le cas où l’une des sessions est déplacée en application de l’alinéa a) de la clause 8-6.01, la date de référence pour les cours concernés est celle correspondant à </w:t>
      </w:r>
      <w:r w:rsidR="001A0A59" w:rsidRPr="00316277">
        <w:t>vingt pour cent (</w:t>
      </w:r>
      <w:r w:rsidRPr="00316277">
        <w:t>20 %</w:t>
      </w:r>
      <w:r w:rsidR="001A0A59" w:rsidRPr="00316277">
        <w:t>)</w:t>
      </w:r>
      <w:r w:rsidRPr="00316277">
        <w:t xml:space="preserve"> de leur durée.</w:t>
      </w:r>
    </w:p>
    <w:p w14:paraId="5DCDB229" w14:textId="77777777" w:rsidR="00780FBC" w:rsidRPr="002B35AE" w:rsidRDefault="00780FBC" w:rsidP="002B35AE">
      <w:pPr>
        <w:pStyle w:val="Texte1cm"/>
        <w:keepNext w:val="0"/>
      </w:pPr>
    </w:p>
    <w:p w14:paraId="0D4C1B9E" w14:textId="77777777" w:rsidR="00F67966" w:rsidRPr="00026EC1" w:rsidRDefault="00F67966" w:rsidP="00A64613">
      <w:pPr>
        <w:pStyle w:val="MGSTexte0cm"/>
        <w:keepNext w:val="0"/>
        <w:tabs>
          <w:tab w:val="left" w:pos="540"/>
        </w:tabs>
        <w:rPr>
          <w:u w:val="none"/>
        </w:rPr>
      </w:pPr>
      <w:r w:rsidRPr="00026EC1">
        <w:rPr>
          <w:u w:val="none"/>
        </w:rPr>
        <w:t>2.0</w:t>
      </w:r>
      <w:r w:rsidRPr="00026EC1">
        <w:rPr>
          <w:u w:val="none"/>
        </w:rPr>
        <w:tab/>
      </w:r>
      <w:r w:rsidRPr="00026EC1">
        <w:t>LA CHARGE D</w:t>
      </w:r>
      <w:r w:rsidR="00BC3319" w:rsidRPr="00026EC1">
        <w:t>’</w:t>
      </w:r>
      <w:r w:rsidRPr="00026EC1">
        <w:t>ENSEIGNEMENT ANNUELLE</w:t>
      </w:r>
    </w:p>
    <w:p w14:paraId="3BCC33C5" w14:textId="77777777" w:rsidR="00F67966" w:rsidRPr="00026EC1" w:rsidRDefault="00F67966" w:rsidP="00A64613">
      <w:pPr>
        <w:keepNext w:val="0"/>
      </w:pPr>
    </w:p>
    <w:p w14:paraId="23EAEF53" w14:textId="49A8F542" w:rsidR="00F67966" w:rsidRPr="00026EC1" w:rsidRDefault="00F67966" w:rsidP="00A64613">
      <w:pPr>
        <w:keepNext w:val="0"/>
      </w:pPr>
      <w:r w:rsidRPr="00026EC1">
        <w:t>La charge d</w:t>
      </w:r>
      <w:r w:rsidR="00BC3319" w:rsidRPr="00026EC1">
        <w:t>’</w:t>
      </w:r>
      <w:r w:rsidRPr="00026EC1">
        <w:t>enseignement annuelle d</w:t>
      </w:r>
      <w:r w:rsidR="00BC3319" w:rsidRPr="00026EC1">
        <w:t>’</w:t>
      </w:r>
      <w:r w:rsidRPr="00026EC1">
        <w:t>une enseignante ou d</w:t>
      </w:r>
      <w:r w:rsidR="00BC3319" w:rsidRPr="00026EC1">
        <w:t>’</w:t>
      </w:r>
      <w:r w:rsidRPr="00026EC1">
        <w:t>un enseignant pour l</w:t>
      </w:r>
      <w:r w:rsidR="00BC3319" w:rsidRPr="00026EC1">
        <w:t>’</w:t>
      </w:r>
      <w:r w:rsidRPr="00026EC1">
        <w:t>année est donnée par</w:t>
      </w:r>
      <w:r w:rsidR="00D8581B">
        <w:t> :</w:t>
      </w:r>
    </w:p>
    <w:p w14:paraId="06EC0611" w14:textId="77777777" w:rsidR="00F67966" w:rsidRPr="00026EC1" w:rsidRDefault="00F67966" w:rsidP="00A64613">
      <w:pPr>
        <w:keepNext w:val="0"/>
      </w:pPr>
    </w:p>
    <w:p w14:paraId="27B17585" w14:textId="77777777" w:rsidR="00F67966" w:rsidRPr="00026EC1" w:rsidRDefault="00F67966" w:rsidP="00A64613">
      <w:pPr>
        <w:keepNext w:val="0"/>
      </w:pPr>
      <w:r w:rsidRPr="00026EC1">
        <w:t>CI</w:t>
      </w:r>
      <w:r w:rsidRPr="00026EC1">
        <w:rPr>
          <w:vertAlign w:val="subscript"/>
        </w:rPr>
        <w:t xml:space="preserve">t </w:t>
      </w:r>
      <w:r w:rsidRPr="00026EC1">
        <w:t xml:space="preserve"> =  CI</w:t>
      </w:r>
      <w:r w:rsidRPr="00026EC1">
        <w:rPr>
          <w:vertAlign w:val="subscript"/>
        </w:rPr>
        <w:t>a</w:t>
      </w:r>
      <w:r w:rsidRPr="00026EC1">
        <w:t xml:space="preserve">   +   CI</w:t>
      </w:r>
      <w:r w:rsidRPr="00026EC1">
        <w:rPr>
          <w:vertAlign w:val="subscript"/>
        </w:rPr>
        <w:t>h</w:t>
      </w:r>
    </w:p>
    <w:p w14:paraId="5DF643C2" w14:textId="77777777" w:rsidR="00F67966" w:rsidRPr="00026EC1" w:rsidRDefault="00F67966" w:rsidP="00A64613">
      <w:pPr>
        <w:keepNext w:val="0"/>
      </w:pPr>
    </w:p>
    <w:p w14:paraId="4B925E84" w14:textId="77777777" w:rsidR="00F67966" w:rsidRPr="00026EC1" w:rsidRDefault="00F67966" w:rsidP="00A64613">
      <w:pPr>
        <w:keepNext w:val="0"/>
      </w:pPr>
      <w:r w:rsidRPr="00026EC1">
        <w:t>où a et h représentent respectivement la session d</w:t>
      </w:r>
      <w:r w:rsidR="00BC3319" w:rsidRPr="00026EC1">
        <w:t>’</w:t>
      </w:r>
      <w:r w:rsidRPr="00026EC1">
        <w:t>automne et la session d</w:t>
      </w:r>
      <w:r w:rsidR="00BC3319" w:rsidRPr="00026EC1">
        <w:t>’</w:t>
      </w:r>
      <w:r w:rsidRPr="00026EC1">
        <w:t>hiver.</w:t>
      </w:r>
    </w:p>
    <w:p w14:paraId="4940BD27" w14:textId="77777777" w:rsidR="00F67966" w:rsidRPr="00026EC1" w:rsidRDefault="00F67966" w:rsidP="00A64613">
      <w:pPr>
        <w:keepNext w:val="0"/>
      </w:pPr>
    </w:p>
    <w:p w14:paraId="53A55AC8" w14:textId="77777777" w:rsidR="00F67966" w:rsidRPr="00026EC1" w:rsidRDefault="00F67966" w:rsidP="00A64613">
      <w:pPr>
        <w:keepNext w:val="0"/>
      </w:pPr>
    </w:p>
    <w:p w14:paraId="09988DCA" w14:textId="77777777" w:rsidR="00F67966" w:rsidRPr="00026EC1" w:rsidRDefault="00F67966" w:rsidP="00A64613">
      <w:pPr>
        <w:pStyle w:val="MGSTexte0cm"/>
        <w:keepNext w:val="0"/>
        <w:tabs>
          <w:tab w:val="left" w:pos="540"/>
        </w:tabs>
        <w:rPr>
          <w:u w:val="none"/>
        </w:rPr>
      </w:pPr>
      <w:r w:rsidRPr="00026EC1">
        <w:rPr>
          <w:u w:val="none"/>
        </w:rPr>
        <w:t>3.0</w:t>
      </w:r>
      <w:r w:rsidRPr="00026EC1">
        <w:rPr>
          <w:u w:val="none"/>
        </w:rPr>
        <w:tab/>
      </w:r>
      <w:r w:rsidRPr="00026EC1">
        <w:t>DISPOSITION PARTICULIÈRE</w:t>
      </w:r>
    </w:p>
    <w:p w14:paraId="3C843DC6" w14:textId="77777777" w:rsidR="00F67966" w:rsidRPr="00026EC1" w:rsidRDefault="00F67966" w:rsidP="00A64613">
      <w:pPr>
        <w:keepNext w:val="0"/>
      </w:pPr>
    </w:p>
    <w:p w14:paraId="2EF9B652" w14:textId="2398F473" w:rsidR="00B02C68" w:rsidRDefault="00F67966" w:rsidP="00A64613">
      <w:pPr>
        <w:keepNext w:val="0"/>
      </w:pPr>
      <w:r w:rsidRPr="00026EC1">
        <w:t>Aux fins du calcul de la charge d</w:t>
      </w:r>
      <w:r w:rsidR="00BC3319" w:rsidRPr="00026EC1">
        <w:t>’</w:t>
      </w:r>
      <w:r w:rsidRPr="00026EC1">
        <w:t>enseignement d</w:t>
      </w:r>
      <w:r w:rsidR="00BC3319" w:rsidRPr="00026EC1">
        <w:t>’</w:t>
      </w:r>
      <w:r w:rsidRPr="00026EC1">
        <w:t>une enseignante ou d</w:t>
      </w:r>
      <w:r w:rsidR="00BC3319" w:rsidRPr="00026EC1">
        <w:t>’</w:t>
      </w:r>
      <w:r w:rsidRPr="00026EC1">
        <w:t>un enseignant, les cours donnés à l</w:t>
      </w:r>
      <w:r w:rsidR="00BC3319" w:rsidRPr="00026EC1">
        <w:t>’</w:t>
      </w:r>
      <w:r w:rsidRPr="00026EC1">
        <w:t>été dans le cadre de l</w:t>
      </w:r>
      <w:r w:rsidR="00BC3319" w:rsidRPr="00026EC1">
        <w:t>’</w:t>
      </w:r>
      <w:r w:rsidRPr="00026EC1">
        <w:t>enseignement en alternance travail</w:t>
      </w:r>
      <w:r w:rsidR="00984A6F">
        <w:noBreakHyphen/>
      </w:r>
      <w:r w:rsidRPr="00026EC1">
        <w:t>études sont rattachés à la session d</w:t>
      </w:r>
      <w:r w:rsidR="00BC3319" w:rsidRPr="00026EC1">
        <w:t>’</w:t>
      </w:r>
      <w:r w:rsidR="00515C2F" w:rsidRPr="00026EC1">
        <w:t>hiver précédente.</w:t>
      </w:r>
    </w:p>
    <w:p w14:paraId="7B0AE99D" w14:textId="77777777" w:rsidR="000D34DF" w:rsidRDefault="000D34DF" w:rsidP="00A64613">
      <w:pPr>
        <w:keepNext w:val="0"/>
        <w:sectPr w:rsidR="000D34DF" w:rsidSect="00522997">
          <w:headerReference w:type="default" r:id="rId40"/>
          <w:footnotePr>
            <w:numRestart w:val="eachPage"/>
          </w:footnotePr>
          <w:pgSz w:w="12240" w:h="15840" w:code="1"/>
          <w:pgMar w:top="720" w:right="1077" w:bottom="1242" w:left="1684" w:header="709" w:footer="709" w:gutter="0"/>
          <w:cols w:space="708"/>
          <w:docGrid w:linePitch="360"/>
        </w:sectPr>
      </w:pPr>
    </w:p>
    <w:p w14:paraId="6F4EE339" w14:textId="605A35D4" w:rsidR="00404F34" w:rsidRPr="009E7641" w:rsidRDefault="00591A4C" w:rsidP="00A64613">
      <w:pPr>
        <w:pStyle w:val="Heading3"/>
        <w:keepNext w:val="0"/>
      </w:pPr>
      <w:bookmarkStart w:id="1009" w:name="_Toc535046647"/>
      <w:bookmarkStart w:id="1010" w:name="_Toc133760814"/>
      <w:bookmarkStart w:id="1011" w:name="_Toc133916962"/>
      <w:bookmarkStart w:id="1012" w:name="_Toc134437237"/>
      <w:bookmarkStart w:id="1013" w:name="_Toc393449397"/>
      <w:bookmarkStart w:id="1014" w:name="_Toc462751522"/>
      <w:bookmarkStart w:id="1015" w:name="_Toc484082539"/>
      <w:bookmarkStart w:id="1016" w:name="_Toc168479568"/>
      <w:r w:rsidRPr="009E7641">
        <w:t>Annexe I</w:t>
      </w:r>
      <w:r w:rsidR="00B92165">
        <w:t>-</w:t>
      </w:r>
      <w:r w:rsidRPr="009E7641">
        <w:t>2</w:t>
      </w:r>
      <w:bookmarkStart w:id="1017" w:name="_Toc535046648"/>
      <w:bookmarkStart w:id="1018" w:name="_Toc133760815"/>
      <w:bookmarkEnd w:id="1009"/>
      <w:bookmarkEnd w:id="1010"/>
      <w:bookmarkEnd w:id="1011"/>
      <w:bookmarkEnd w:id="1012"/>
      <w:bookmarkEnd w:id="1013"/>
      <w:r w:rsidRPr="009E7641">
        <w:br/>
      </w:r>
      <w:r w:rsidRPr="009E7641">
        <w:br/>
        <w:t>Allocations en ETC pour chaque volet de la tâche</w:t>
      </w:r>
      <w:bookmarkEnd w:id="1014"/>
      <w:bookmarkEnd w:id="1015"/>
      <w:bookmarkEnd w:id="1016"/>
      <w:bookmarkEnd w:id="1017"/>
      <w:bookmarkEnd w:id="1018"/>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8"/>
        <w:gridCol w:w="1047"/>
        <w:gridCol w:w="992"/>
        <w:gridCol w:w="992"/>
        <w:gridCol w:w="1168"/>
        <w:gridCol w:w="1168"/>
        <w:gridCol w:w="1168"/>
        <w:gridCol w:w="1168"/>
        <w:gridCol w:w="1140"/>
        <w:gridCol w:w="1134"/>
      </w:tblGrid>
      <w:tr w:rsidR="00784A64" w:rsidRPr="00635C98" w14:paraId="5CC89A33" w14:textId="1561D44B" w:rsidTr="00784A64">
        <w:trPr>
          <w:cantSplit/>
          <w:tblHeader/>
        </w:trPr>
        <w:tc>
          <w:tcPr>
            <w:tcW w:w="3768" w:type="dxa"/>
          </w:tcPr>
          <w:p w14:paraId="2F6A1BAC" w14:textId="77777777" w:rsidR="00784A64" w:rsidRPr="00635C98" w:rsidRDefault="00784A64" w:rsidP="00A64613">
            <w:pPr>
              <w:pStyle w:val="Selonlesdisp"/>
              <w:keepNext w:val="0"/>
              <w:rPr>
                <w:bCs/>
                <w:caps w:val="0"/>
              </w:rPr>
            </w:pPr>
            <w:r w:rsidRPr="00635C98">
              <w:rPr>
                <w:bCs/>
                <w:caps w:val="0"/>
              </w:rPr>
              <w:t>COLLÈGE OU CAMPUS</w:t>
            </w:r>
          </w:p>
        </w:tc>
        <w:tc>
          <w:tcPr>
            <w:tcW w:w="1047" w:type="dxa"/>
          </w:tcPr>
          <w:p w14:paraId="14B4692F" w14:textId="77777777" w:rsidR="00784A64" w:rsidRPr="00635C98" w:rsidRDefault="00784A64" w:rsidP="00A64613">
            <w:pPr>
              <w:keepNext w:val="0"/>
              <w:jc w:val="center"/>
              <w:rPr>
                <w:b/>
                <w:bCs/>
                <w:lang w:val="en-CA"/>
              </w:rPr>
            </w:pPr>
            <w:r w:rsidRPr="00635C98">
              <w:rPr>
                <w:b/>
                <w:bCs/>
                <w:lang w:val="en-CA"/>
              </w:rPr>
              <w:t>A</w:t>
            </w:r>
          </w:p>
        </w:tc>
        <w:tc>
          <w:tcPr>
            <w:tcW w:w="992" w:type="dxa"/>
          </w:tcPr>
          <w:p w14:paraId="6833DF6D" w14:textId="77777777" w:rsidR="00784A64" w:rsidRPr="00635C98" w:rsidRDefault="00784A64" w:rsidP="00A64613">
            <w:pPr>
              <w:keepNext w:val="0"/>
              <w:jc w:val="center"/>
              <w:rPr>
                <w:b/>
                <w:bCs/>
                <w:lang w:val="en-CA"/>
              </w:rPr>
            </w:pPr>
            <w:r w:rsidRPr="00635C98">
              <w:rPr>
                <w:b/>
                <w:bCs/>
                <w:lang w:val="en-CA"/>
              </w:rPr>
              <w:t>B</w:t>
            </w:r>
          </w:p>
        </w:tc>
        <w:tc>
          <w:tcPr>
            <w:tcW w:w="992" w:type="dxa"/>
          </w:tcPr>
          <w:p w14:paraId="290F5102" w14:textId="77777777" w:rsidR="00784A64" w:rsidRPr="00635C98" w:rsidRDefault="00784A64" w:rsidP="00A64613">
            <w:pPr>
              <w:keepNext w:val="0"/>
              <w:jc w:val="center"/>
              <w:rPr>
                <w:b/>
                <w:bCs/>
                <w:lang w:val="en-CA"/>
              </w:rPr>
            </w:pPr>
            <w:r w:rsidRPr="00635C98">
              <w:rPr>
                <w:b/>
                <w:bCs/>
                <w:lang w:val="en-CA"/>
              </w:rPr>
              <w:t>C</w:t>
            </w:r>
          </w:p>
        </w:tc>
        <w:tc>
          <w:tcPr>
            <w:tcW w:w="1168" w:type="dxa"/>
          </w:tcPr>
          <w:p w14:paraId="4BA38F98" w14:textId="77777777" w:rsidR="00784A64" w:rsidRPr="00635C98" w:rsidRDefault="00784A64" w:rsidP="00A64613">
            <w:pPr>
              <w:keepNext w:val="0"/>
              <w:jc w:val="center"/>
              <w:rPr>
                <w:b/>
                <w:bCs/>
                <w:lang w:val="nl-NL"/>
              </w:rPr>
            </w:pPr>
            <w:r w:rsidRPr="00635C98">
              <w:rPr>
                <w:b/>
                <w:bCs/>
                <w:lang w:val="nl-NL"/>
              </w:rPr>
              <w:t>D</w:t>
            </w:r>
          </w:p>
        </w:tc>
        <w:tc>
          <w:tcPr>
            <w:tcW w:w="1168" w:type="dxa"/>
          </w:tcPr>
          <w:p w14:paraId="2688F081" w14:textId="48D8243D" w:rsidR="00784A64" w:rsidRPr="00635C98" w:rsidRDefault="00784A64" w:rsidP="00A64613">
            <w:pPr>
              <w:keepNext w:val="0"/>
              <w:jc w:val="center"/>
              <w:rPr>
                <w:b/>
                <w:bCs/>
                <w:lang w:val="nl-NL"/>
              </w:rPr>
            </w:pPr>
            <w:r w:rsidRPr="00635C98">
              <w:rPr>
                <w:b/>
                <w:bCs/>
                <w:lang w:val="nl-NL"/>
              </w:rPr>
              <w:t>E</w:t>
            </w:r>
          </w:p>
        </w:tc>
        <w:tc>
          <w:tcPr>
            <w:tcW w:w="1168" w:type="dxa"/>
          </w:tcPr>
          <w:p w14:paraId="496BEF78" w14:textId="26F30F74" w:rsidR="00784A64" w:rsidRPr="00635C98" w:rsidRDefault="00784A64" w:rsidP="00A64613">
            <w:pPr>
              <w:keepNext w:val="0"/>
              <w:jc w:val="center"/>
              <w:rPr>
                <w:b/>
                <w:bCs/>
                <w:lang w:val="nl-NL"/>
              </w:rPr>
            </w:pPr>
            <w:r w:rsidRPr="00635C98">
              <w:rPr>
                <w:b/>
                <w:bCs/>
                <w:lang w:val="nl-NL"/>
              </w:rPr>
              <w:t>F</w:t>
            </w:r>
          </w:p>
        </w:tc>
        <w:tc>
          <w:tcPr>
            <w:tcW w:w="1168" w:type="dxa"/>
          </w:tcPr>
          <w:p w14:paraId="74A649E6" w14:textId="55A4A011" w:rsidR="00784A64" w:rsidRPr="00635C98" w:rsidRDefault="00784A64" w:rsidP="00A64613">
            <w:pPr>
              <w:keepNext w:val="0"/>
              <w:jc w:val="center"/>
              <w:rPr>
                <w:b/>
                <w:bCs/>
                <w:lang w:val="nl-NL"/>
              </w:rPr>
            </w:pPr>
            <w:r w:rsidRPr="00635C98">
              <w:rPr>
                <w:b/>
                <w:bCs/>
                <w:lang w:val="nl-NL"/>
              </w:rPr>
              <w:t>G</w:t>
            </w:r>
          </w:p>
        </w:tc>
        <w:tc>
          <w:tcPr>
            <w:tcW w:w="1140" w:type="dxa"/>
          </w:tcPr>
          <w:p w14:paraId="3A5D452E" w14:textId="019121CC" w:rsidR="00784A64" w:rsidRPr="00784A64" w:rsidRDefault="00784A64" w:rsidP="00A64613">
            <w:pPr>
              <w:keepNext w:val="0"/>
              <w:jc w:val="center"/>
              <w:rPr>
                <w:b/>
                <w:bCs/>
                <w:highlight w:val="lightGray"/>
                <w:lang w:val="nl-NL"/>
              </w:rPr>
            </w:pPr>
            <w:r w:rsidRPr="00316277">
              <w:rPr>
                <w:b/>
                <w:bCs/>
                <w:lang w:val="nl-NL"/>
              </w:rPr>
              <w:t>H</w:t>
            </w:r>
          </w:p>
        </w:tc>
        <w:tc>
          <w:tcPr>
            <w:tcW w:w="1134" w:type="dxa"/>
          </w:tcPr>
          <w:p w14:paraId="651A0282" w14:textId="68A522D6" w:rsidR="00784A64" w:rsidRPr="00316277" w:rsidRDefault="00784A64" w:rsidP="00A64613">
            <w:pPr>
              <w:keepNext w:val="0"/>
              <w:jc w:val="center"/>
              <w:rPr>
                <w:b/>
                <w:bCs/>
                <w:lang w:val="nl-NL"/>
              </w:rPr>
            </w:pPr>
            <w:r w:rsidRPr="00316277">
              <w:rPr>
                <w:b/>
                <w:bCs/>
                <w:lang w:val="nl-NL"/>
              </w:rPr>
              <w:t>I</w:t>
            </w:r>
          </w:p>
        </w:tc>
      </w:tr>
      <w:tr w:rsidR="00784A64" w:rsidRPr="00635C98" w14:paraId="00263A61" w14:textId="31DF1716" w:rsidTr="00784A64">
        <w:trPr>
          <w:cantSplit/>
          <w:tblHeader/>
        </w:trPr>
        <w:tc>
          <w:tcPr>
            <w:tcW w:w="3768" w:type="dxa"/>
          </w:tcPr>
          <w:p w14:paraId="16D08A85" w14:textId="77777777" w:rsidR="00784A64" w:rsidRPr="00635C98" w:rsidRDefault="00784A64" w:rsidP="00784A64">
            <w:pPr>
              <w:keepNext w:val="0"/>
              <w:rPr>
                <w:smallCaps/>
                <w:lang w:val="nl-NL"/>
              </w:rPr>
            </w:pPr>
          </w:p>
        </w:tc>
        <w:tc>
          <w:tcPr>
            <w:tcW w:w="1047" w:type="dxa"/>
          </w:tcPr>
          <w:p w14:paraId="595ECAAF" w14:textId="77777777" w:rsidR="00784A64" w:rsidRPr="00635C98" w:rsidRDefault="00784A64" w:rsidP="00784A64">
            <w:pPr>
              <w:pStyle w:val="Selonlesdisp"/>
              <w:keepNext w:val="0"/>
              <w:rPr>
                <w:b w:val="0"/>
                <w:bCs/>
                <w:caps w:val="0"/>
                <w:smallCaps/>
                <w:lang w:val="nl-NL"/>
              </w:rPr>
            </w:pPr>
            <w:r w:rsidRPr="00635C98">
              <w:rPr>
                <w:b w:val="0"/>
                <w:bCs/>
                <w:caps w:val="0"/>
                <w:smallCaps/>
                <w:lang w:val="nl-NL"/>
              </w:rPr>
              <w:t>volet 1</w:t>
            </w:r>
          </w:p>
        </w:tc>
        <w:tc>
          <w:tcPr>
            <w:tcW w:w="992" w:type="dxa"/>
          </w:tcPr>
          <w:p w14:paraId="24928886" w14:textId="77777777" w:rsidR="00784A64" w:rsidRPr="00635C98" w:rsidRDefault="00784A64" w:rsidP="00784A64">
            <w:pPr>
              <w:keepNext w:val="0"/>
              <w:jc w:val="center"/>
              <w:rPr>
                <w:bCs/>
                <w:smallCaps/>
                <w:lang w:val="nl-NL"/>
              </w:rPr>
            </w:pPr>
            <w:r w:rsidRPr="00635C98">
              <w:rPr>
                <w:bCs/>
                <w:smallCaps/>
                <w:lang w:val="nl-NL"/>
              </w:rPr>
              <w:t>volet 2</w:t>
            </w:r>
          </w:p>
        </w:tc>
        <w:tc>
          <w:tcPr>
            <w:tcW w:w="992" w:type="dxa"/>
          </w:tcPr>
          <w:p w14:paraId="248C3434" w14:textId="77777777" w:rsidR="00784A64" w:rsidRPr="00635C98" w:rsidRDefault="00784A64" w:rsidP="00784A64">
            <w:pPr>
              <w:keepNext w:val="0"/>
              <w:jc w:val="center"/>
              <w:rPr>
                <w:bCs/>
                <w:smallCaps/>
                <w:lang w:val="en-CA"/>
              </w:rPr>
            </w:pPr>
            <w:r w:rsidRPr="00635C98">
              <w:rPr>
                <w:bCs/>
                <w:smallCaps/>
                <w:lang w:val="en-CA"/>
              </w:rPr>
              <w:t>volet 3</w:t>
            </w:r>
          </w:p>
        </w:tc>
        <w:tc>
          <w:tcPr>
            <w:tcW w:w="1168" w:type="dxa"/>
          </w:tcPr>
          <w:p w14:paraId="31BB7938" w14:textId="01B0503B" w:rsidR="00784A64" w:rsidRPr="00635C98" w:rsidRDefault="00784A64" w:rsidP="00784A64">
            <w:pPr>
              <w:keepNext w:val="0"/>
              <w:jc w:val="center"/>
              <w:rPr>
                <w:bCs/>
                <w:smallCaps/>
                <w:lang w:val="en-CA"/>
              </w:rPr>
            </w:pPr>
            <w:r w:rsidRPr="00635C98">
              <w:rPr>
                <w:bCs/>
                <w:lang w:val="en-CA"/>
              </w:rPr>
              <w:t>8</w:t>
            </w:r>
            <w:r>
              <w:rPr>
                <w:bCs/>
                <w:lang w:val="en-CA"/>
              </w:rPr>
              <w:noBreakHyphen/>
            </w:r>
            <w:r w:rsidRPr="00635C98">
              <w:rPr>
                <w:bCs/>
                <w:lang w:val="en-CA"/>
              </w:rPr>
              <w:t>5.06</w:t>
            </w:r>
            <w:r>
              <w:rPr>
                <w:bCs/>
                <w:lang w:val="en-CA"/>
              </w:rPr>
              <w:t> </w:t>
            </w:r>
            <w:r w:rsidRPr="00635C98">
              <w:rPr>
                <w:lang w:val="en-CA"/>
              </w:rPr>
              <w:t>a)</w:t>
            </w:r>
          </w:p>
        </w:tc>
        <w:tc>
          <w:tcPr>
            <w:tcW w:w="1168" w:type="dxa"/>
          </w:tcPr>
          <w:p w14:paraId="5272F329" w14:textId="52B2F1AE" w:rsidR="00784A64" w:rsidRPr="00635C98" w:rsidRDefault="00784A64" w:rsidP="00784A64">
            <w:pPr>
              <w:keepNext w:val="0"/>
              <w:jc w:val="center"/>
              <w:rPr>
                <w:bCs/>
                <w:lang w:val="en-CA"/>
              </w:rPr>
            </w:pPr>
            <w:r w:rsidRPr="00635C98">
              <w:rPr>
                <w:bCs/>
                <w:lang w:val="en-CA"/>
              </w:rPr>
              <w:t>8</w:t>
            </w:r>
            <w:r>
              <w:rPr>
                <w:bCs/>
                <w:lang w:val="en-CA"/>
              </w:rPr>
              <w:noBreakHyphen/>
            </w:r>
            <w:r w:rsidRPr="00635C98">
              <w:rPr>
                <w:bCs/>
                <w:lang w:val="en-CA"/>
              </w:rPr>
              <w:t>5.04</w:t>
            </w:r>
            <w:r>
              <w:rPr>
                <w:bCs/>
                <w:lang w:val="en-CA"/>
              </w:rPr>
              <w:t> </w:t>
            </w:r>
            <w:r w:rsidRPr="00635C98">
              <w:rPr>
                <w:bCs/>
                <w:lang w:val="en-CA"/>
              </w:rPr>
              <w:t>b)</w:t>
            </w:r>
          </w:p>
        </w:tc>
        <w:tc>
          <w:tcPr>
            <w:tcW w:w="1168" w:type="dxa"/>
          </w:tcPr>
          <w:p w14:paraId="605C264D" w14:textId="27051478" w:rsidR="00784A64" w:rsidRPr="00635C98" w:rsidRDefault="00784A64" w:rsidP="00784A64">
            <w:pPr>
              <w:keepNext w:val="0"/>
              <w:jc w:val="center"/>
              <w:rPr>
                <w:bCs/>
                <w:lang w:val="en-CA"/>
              </w:rPr>
            </w:pPr>
            <w:r w:rsidRPr="00635C98">
              <w:rPr>
                <w:bCs/>
                <w:lang w:val="en-CA"/>
              </w:rPr>
              <w:t>8</w:t>
            </w:r>
            <w:r>
              <w:rPr>
                <w:bCs/>
                <w:lang w:val="en-CA"/>
              </w:rPr>
              <w:noBreakHyphen/>
            </w:r>
            <w:r w:rsidRPr="00635C98">
              <w:rPr>
                <w:bCs/>
                <w:lang w:val="en-CA"/>
              </w:rPr>
              <w:t>5.04</w:t>
            </w:r>
            <w:r>
              <w:rPr>
                <w:bCs/>
                <w:lang w:val="en-CA"/>
              </w:rPr>
              <w:t> </w:t>
            </w:r>
            <w:r w:rsidRPr="00635C98">
              <w:rPr>
                <w:bCs/>
                <w:lang w:val="en-CA"/>
              </w:rPr>
              <w:t>c)</w:t>
            </w:r>
          </w:p>
        </w:tc>
        <w:tc>
          <w:tcPr>
            <w:tcW w:w="1168" w:type="dxa"/>
          </w:tcPr>
          <w:p w14:paraId="73379518" w14:textId="0327BF43" w:rsidR="00784A64" w:rsidRPr="00635C98" w:rsidRDefault="00784A64" w:rsidP="00784A64">
            <w:pPr>
              <w:keepNext w:val="0"/>
              <w:jc w:val="center"/>
              <w:rPr>
                <w:bCs/>
                <w:lang w:val="en-CA"/>
              </w:rPr>
            </w:pPr>
            <w:r w:rsidRPr="00635C98">
              <w:rPr>
                <w:bCs/>
                <w:lang w:val="en-CA"/>
              </w:rPr>
              <w:t>8</w:t>
            </w:r>
            <w:r>
              <w:rPr>
                <w:bCs/>
                <w:lang w:val="en-CA"/>
              </w:rPr>
              <w:noBreakHyphen/>
            </w:r>
            <w:r w:rsidRPr="00635C98">
              <w:rPr>
                <w:bCs/>
                <w:lang w:val="en-CA"/>
              </w:rPr>
              <w:t>5.04</w:t>
            </w:r>
            <w:r>
              <w:rPr>
                <w:bCs/>
                <w:lang w:val="en-CA"/>
              </w:rPr>
              <w:t> </w:t>
            </w:r>
            <w:r w:rsidRPr="00635C98">
              <w:rPr>
                <w:bCs/>
                <w:lang w:val="en-CA"/>
              </w:rPr>
              <w:t>d)</w:t>
            </w:r>
          </w:p>
        </w:tc>
        <w:tc>
          <w:tcPr>
            <w:tcW w:w="1140" w:type="dxa"/>
          </w:tcPr>
          <w:p w14:paraId="08C8303F" w14:textId="2F530A2A" w:rsidR="00784A64" w:rsidRPr="00784A64" w:rsidRDefault="00784A64" w:rsidP="00784A64">
            <w:pPr>
              <w:keepNext w:val="0"/>
              <w:jc w:val="center"/>
              <w:rPr>
                <w:bCs/>
                <w:highlight w:val="lightGray"/>
                <w:lang w:val="en-CA"/>
              </w:rPr>
            </w:pPr>
            <w:r w:rsidRPr="00316277">
              <w:rPr>
                <w:bCs/>
                <w:lang w:val="en-CA"/>
              </w:rPr>
              <w:t>8-5.04</w:t>
            </w:r>
            <w:r w:rsidR="00F81ACE" w:rsidRPr="00316277">
              <w:rPr>
                <w:bCs/>
                <w:lang w:val="en-CA"/>
              </w:rPr>
              <w:t> </w:t>
            </w:r>
            <w:r w:rsidRPr="00316277">
              <w:rPr>
                <w:bCs/>
                <w:lang w:val="en-CA"/>
              </w:rPr>
              <w:t xml:space="preserve">e) </w:t>
            </w:r>
          </w:p>
        </w:tc>
        <w:tc>
          <w:tcPr>
            <w:tcW w:w="1134" w:type="dxa"/>
          </w:tcPr>
          <w:p w14:paraId="56856302" w14:textId="35A7954A" w:rsidR="00784A64" w:rsidRPr="00316277" w:rsidRDefault="00784A64" w:rsidP="00784A64">
            <w:pPr>
              <w:keepNext w:val="0"/>
              <w:jc w:val="center"/>
              <w:rPr>
                <w:bCs/>
                <w:lang w:val="en-CA"/>
              </w:rPr>
            </w:pPr>
            <w:r w:rsidRPr="00316277">
              <w:rPr>
                <w:bCs/>
                <w:lang w:val="en-CA"/>
              </w:rPr>
              <w:t>8-5.04</w:t>
            </w:r>
            <w:r w:rsidR="00F81ACE" w:rsidRPr="00316277">
              <w:rPr>
                <w:bCs/>
                <w:lang w:val="en-CA"/>
              </w:rPr>
              <w:t> </w:t>
            </w:r>
            <w:r w:rsidRPr="00316277">
              <w:rPr>
                <w:bCs/>
                <w:lang w:val="en-CA"/>
              </w:rPr>
              <w:t>f)</w:t>
            </w:r>
          </w:p>
        </w:tc>
      </w:tr>
      <w:tr w:rsidR="00784A64" w:rsidRPr="00635C98" w14:paraId="65936D98" w14:textId="56343085" w:rsidTr="00784A64">
        <w:trPr>
          <w:cantSplit/>
        </w:trPr>
        <w:tc>
          <w:tcPr>
            <w:tcW w:w="3768" w:type="dxa"/>
          </w:tcPr>
          <w:p w14:paraId="559A5754" w14:textId="40630ED2" w:rsidR="00784A64" w:rsidRPr="00635C98" w:rsidRDefault="00784A64" w:rsidP="00784A64">
            <w:pPr>
              <w:pStyle w:val="CommentText"/>
              <w:keepNext w:val="0"/>
              <w:tabs>
                <w:tab w:val="clear" w:pos="3969"/>
              </w:tabs>
              <w:spacing w:before="120" w:after="120"/>
              <w:rPr>
                <w:lang w:val="en-CA"/>
              </w:rPr>
            </w:pPr>
            <w:r w:rsidRPr="00635C98">
              <w:rPr>
                <w:lang w:val="en-CA"/>
              </w:rPr>
              <w:t>Abitibi</w:t>
            </w:r>
            <w:r>
              <w:rPr>
                <w:lang w:val="en-CA"/>
              </w:rPr>
              <w:noBreakHyphen/>
            </w:r>
            <w:r w:rsidRPr="00635C98">
              <w:rPr>
                <w:lang w:val="en-CA"/>
              </w:rPr>
              <w:t>Témiscamingue</w:t>
            </w:r>
          </w:p>
        </w:tc>
        <w:tc>
          <w:tcPr>
            <w:tcW w:w="1047" w:type="dxa"/>
            <w:vAlign w:val="center"/>
          </w:tcPr>
          <w:p w14:paraId="1D152549" w14:textId="687B462A"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4,24</w:t>
            </w:r>
          </w:p>
        </w:tc>
        <w:tc>
          <w:tcPr>
            <w:tcW w:w="992" w:type="dxa"/>
            <w:vAlign w:val="center"/>
          </w:tcPr>
          <w:p w14:paraId="4F44155F" w14:textId="5C3FA1B5"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3,20</w:t>
            </w:r>
          </w:p>
        </w:tc>
        <w:tc>
          <w:tcPr>
            <w:tcW w:w="992" w:type="dxa"/>
            <w:vAlign w:val="center"/>
          </w:tcPr>
          <w:p w14:paraId="01F4ABAB" w14:textId="102B7E8A"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2,20</w:t>
            </w:r>
          </w:p>
        </w:tc>
        <w:tc>
          <w:tcPr>
            <w:tcW w:w="1168" w:type="dxa"/>
            <w:vAlign w:val="center"/>
          </w:tcPr>
          <w:p w14:paraId="226A5D8B" w14:textId="6FA2292E"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2,63</w:t>
            </w:r>
          </w:p>
        </w:tc>
        <w:tc>
          <w:tcPr>
            <w:tcW w:w="1168" w:type="dxa"/>
            <w:vAlign w:val="center"/>
          </w:tcPr>
          <w:p w14:paraId="779228E5" w14:textId="3B12BAA1"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color w:val="000000"/>
                <w:szCs w:val="24"/>
              </w:rPr>
              <w:t>0,61</w:t>
            </w:r>
          </w:p>
        </w:tc>
        <w:tc>
          <w:tcPr>
            <w:tcW w:w="1168" w:type="dxa"/>
            <w:vAlign w:val="center"/>
          </w:tcPr>
          <w:p w14:paraId="65C6FB34" w14:textId="588E8223"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0,17</w:t>
            </w:r>
          </w:p>
        </w:tc>
        <w:tc>
          <w:tcPr>
            <w:tcW w:w="1168" w:type="dxa"/>
            <w:vAlign w:val="center"/>
          </w:tcPr>
          <w:p w14:paraId="6F5E0B41" w14:textId="6E2355C6"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0,00</w:t>
            </w:r>
          </w:p>
        </w:tc>
        <w:tc>
          <w:tcPr>
            <w:tcW w:w="1140" w:type="dxa"/>
            <w:vAlign w:val="bottom"/>
          </w:tcPr>
          <w:p w14:paraId="39B46122" w14:textId="1B0948CD"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0,23</w:t>
            </w:r>
          </w:p>
        </w:tc>
        <w:tc>
          <w:tcPr>
            <w:tcW w:w="1134" w:type="dxa"/>
            <w:vAlign w:val="bottom"/>
          </w:tcPr>
          <w:p w14:paraId="2B3654A1" w14:textId="387E609F"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0,42</w:t>
            </w:r>
          </w:p>
        </w:tc>
      </w:tr>
      <w:tr w:rsidR="00784A64" w:rsidRPr="00635C98" w14:paraId="0EBC2E3C" w14:textId="5E59770F" w:rsidTr="00784A64">
        <w:trPr>
          <w:cantSplit/>
        </w:trPr>
        <w:tc>
          <w:tcPr>
            <w:tcW w:w="3768" w:type="dxa"/>
          </w:tcPr>
          <w:p w14:paraId="1DC920E1" w14:textId="309B9E57" w:rsidR="00784A64" w:rsidRPr="00635C98" w:rsidRDefault="00784A64" w:rsidP="00784A64">
            <w:pPr>
              <w:pStyle w:val="CommentText"/>
              <w:keepNext w:val="0"/>
              <w:tabs>
                <w:tab w:val="clear" w:pos="3969"/>
                <w:tab w:val="left" w:pos="208"/>
              </w:tabs>
              <w:spacing w:before="120" w:after="120"/>
              <w:ind w:left="208"/>
              <w:rPr>
                <w:lang w:val="en-CA"/>
              </w:rPr>
            </w:pPr>
            <w:r w:rsidRPr="00635C98">
              <w:rPr>
                <w:lang w:val="en-CA"/>
              </w:rPr>
              <w:tab/>
              <w:t>Sous</w:t>
            </w:r>
            <w:r>
              <w:rPr>
                <w:lang w:val="en-CA"/>
              </w:rPr>
              <w:noBreakHyphen/>
            </w:r>
            <w:r w:rsidRPr="00635C98">
              <w:rPr>
                <w:lang w:val="en-CA"/>
              </w:rPr>
              <w:t>centre d’Amos</w:t>
            </w:r>
          </w:p>
        </w:tc>
        <w:tc>
          <w:tcPr>
            <w:tcW w:w="1047" w:type="dxa"/>
            <w:vAlign w:val="center"/>
          </w:tcPr>
          <w:p w14:paraId="47FF0F2F"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0,00</w:t>
            </w:r>
          </w:p>
        </w:tc>
        <w:tc>
          <w:tcPr>
            <w:tcW w:w="992" w:type="dxa"/>
            <w:vAlign w:val="center"/>
          </w:tcPr>
          <w:p w14:paraId="1EF667CD"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1,20</w:t>
            </w:r>
          </w:p>
        </w:tc>
        <w:tc>
          <w:tcPr>
            <w:tcW w:w="992" w:type="dxa"/>
            <w:vAlign w:val="center"/>
          </w:tcPr>
          <w:p w14:paraId="6DF8E243"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0,20</w:t>
            </w:r>
          </w:p>
        </w:tc>
        <w:tc>
          <w:tcPr>
            <w:tcW w:w="1168" w:type="dxa"/>
            <w:vAlign w:val="center"/>
          </w:tcPr>
          <w:p w14:paraId="000D066D" w14:textId="77777777"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0,26</w:t>
            </w:r>
          </w:p>
        </w:tc>
        <w:tc>
          <w:tcPr>
            <w:tcW w:w="1168" w:type="dxa"/>
            <w:vAlign w:val="center"/>
          </w:tcPr>
          <w:p w14:paraId="4B7E67B1" w14:textId="3647A6D9"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color w:val="000000"/>
                <w:szCs w:val="24"/>
              </w:rPr>
              <w:t>0,04</w:t>
            </w:r>
          </w:p>
        </w:tc>
        <w:tc>
          <w:tcPr>
            <w:tcW w:w="1168" w:type="dxa"/>
            <w:vAlign w:val="center"/>
          </w:tcPr>
          <w:p w14:paraId="735A08A0" w14:textId="4D6D606B"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75A49B44" w14:textId="7818D1FE"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739FD506" w14:textId="318E9AFF"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29395ABC" w14:textId="2798154A"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0,05</w:t>
            </w:r>
          </w:p>
        </w:tc>
      </w:tr>
      <w:tr w:rsidR="00784A64" w:rsidRPr="00635C98" w14:paraId="53B9CF96" w14:textId="185AA16F" w:rsidTr="00784A64">
        <w:trPr>
          <w:cantSplit/>
        </w:trPr>
        <w:tc>
          <w:tcPr>
            <w:tcW w:w="3768" w:type="dxa"/>
            <w:vAlign w:val="center"/>
          </w:tcPr>
          <w:p w14:paraId="644674D6" w14:textId="715382EB" w:rsidR="00784A64" w:rsidRPr="00635C98" w:rsidRDefault="00784A64" w:rsidP="00784A64">
            <w:pPr>
              <w:pStyle w:val="CommentText"/>
              <w:keepNext w:val="0"/>
              <w:tabs>
                <w:tab w:val="clear" w:pos="3969"/>
                <w:tab w:val="left" w:pos="208"/>
              </w:tabs>
              <w:ind w:left="208"/>
              <w:jc w:val="left"/>
            </w:pPr>
            <w:r w:rsidRPr="00635C98">
              <w:tab/>
              <w:t>Sous</w:t>
            </w:r>
            <w:r>
              <w:noBreakHyphen/>
            </w:r>
            <w:r w:rsidRPr="00635C98">
              <w:t>centre de Val</w:t>
            </w:r>
            <w:r>
              <w:noBreakHyphen/>
            </w:r>
            <w:r w:rsidRPr="00635C98">
              <w:t>d’Or</w:t>
            </w:r>
          </w:p>
        </w:tc>
        <w:tc>
          <w:tcPr>
            <w:tcW w:w="1047" w:type="dxa"/>
            <w:vAlign w:val="center"/>
          </w:tcPr>
          <w:p w14:paraId="7DFD1059"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0,00</w:t>
            </w:r>
          </w:p>
        </w:tc>
        <w:tc>
          <w:tcPr>
            <w:tcW w:w="992" w:type="dxa"/>
            <w:vAlign w:val="center"/>
          </w:tcPr>
          <w:p w14:paraId="70690F74"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1,25</w:t>
            </w:r>
          </w:p>
        </w:tc>
        <w:tc>
          <w:tcPr>
            <w:tcW w:w="992" w:type="dxa"/>
            <w:vAlign w:val="center"/>
          </w:tcPr>
          <w:p w14:paraId="0982CF5A"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0,20</w:t>
            </w:r>
          </w:p>
        </w:tc>
        <w:tc>
          <w:tcPr>
            <w:tcW w:w="1168" w:type="dxa"/>
            <w:vAlign w:val="center"/>
          </w:tcPr>
          <w:p w14:paraId="7A596D0F" w14:textId="77777777"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0,52</w:t>
            </w:r>
          </w:p>
        </w:tc>
        <w:tc>
          <w:tcPr>
            <w:tcW w:w="1168" w:type="dxa"/>
            <w:vAlign w:val="center"/>
          </w:tcPr>
          <w:p w14:paraId="24436E17" w14:textId="75D89A16"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color w:val="000000"/>
                <w:szCs w:val="24"/>
              </w:rPr>
              <w:t>0,04</w:t>
            </w:r>
          </w:p>
        </w:tc>
        <w:tc>
          <w:tcPr>
            <w:tcW w:w="1168" w:type="dxa"/>
            <w:vAlign w:val="center"/>
          </w:tcPr>
          <w:p w14:paraId="141054C9" w14:textId="05609BD4"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0,10</w:t>
            </w:r>
          </w:p>
        </w:tc>
        <w:tc>
          <w:tcPr>
            <w:tcW w:w="1168" w:type="dxa"/>
            <w:vAlign w:val="center"/>
          </w:tcPr>
          <w:p w14:paraId="49EFFEDD" w14:textId="24EFFA26"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0,07</w:t>
            </w:r>
          </w:p>
        </w:tc>
        <w:tc>
          <w:tcPr>
            <w:tcW w:w="1140" w:type="dxa"/>
            <w:vAlign w:val="bottom"/>
          </w:tcPr>
          <w:p w14:paraId="3347A98F" w14:textId="040075F6"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67EFEF92" w14:textId="1AB63AE3"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0,02</w:t>
            </w:r>
          </w:p>
        </w:tc>
      </w:tr>
      <w:tr w:rsidR="00784A64" w:rsidRPr="00635C98" w14:paraId="5FC193AD" w14:textId="7AC6A27B" w:rsidTr="00784A64">
        <w:trPr>
          <w:cantSplit/>
        </w:trPr>
        <w:tc>
          <w:tcPr>
            <w:tcW w:w="3768" w:type="dxa"/>
          </w:tcPr>
          <w:p w14:paraId="1A5D8024" w14:textId="77777777" w:rsidR="00784A64" w:rsidRPr="00635C98" w:rsidRDefault="00784A64" w:rsidP="00784A64">
            <w:pPr>
              <w:pStyle w:val="CommentText"/>
              <w:keepNext w:val="0"/>
              <w:tabs>
                <w:tab w:val="clear" w:pos="3969"/>
              </w:tabs>
              <w:spacing w:before="120" w:after="120"/>
              <w:rPr>
                <w:smallCaps/>
                <w:lang w:val="en-CA"/>
              </w:rPr>
            </w:pPr>
            <w:r w:rsidRPr="00635C98">
              <w:rPr>
                <w:lang w:val="en-CA"/>
              </w:rPr>
              <w:t>Ahuntsic</w:t>
            </w:r>
          </w:p>
        </w:tc>
        <w:tc>
          <w:tcPr>
            <w:tcW w:w="1047" w:type="dxa"/>
            <w:vAlign w:val="center"/>
          </w:tcPr>
          <w:p w14:paraId="1009A5F8" w14:textId="77777777" w:rsidR="00784A64" w:rsidRPr="00A447A9" w:rsidRDefault="00784A64" w:rsidP="00784A64">
            <w:pPr>
              <w:pStyle w:val="CommentText"/>
              <w:keepNext w:val="0"/>
              <w:tabs>
                <w:tab w:val="clear" w:pos="3969"/>
              </w:tabs>
              <w:spacing w:before="120" w:after="120"/>
              <w:jc w:val="center"/>
              <w:rPr>
                <w:rFonts w:cs="Arial"/>
                <w:szCs w:val="24"/>
                <w:lang w:val="en-CA"/>
              </w:rPr>
            </w:pPr>
            <w:r w:rsidRPr="00A447A9">
              <w:rPr>
                <w:rFonts w:cs="Arial"/>
                <w:szCs w:val="24"/>
                <w:lang w:val="en-CA"/>
              </w:rPr>
              <w:t>1,21</w:t>
            </w:r>
          </w:p>
        </w:tc>
        <w:tc>
          <w:tcPr>
            <w:tcW w:w="992" w:type="dxa"/>
            <w:vAlign w:val="center"/>
          </w:tcPr>
          <w:p w14:paraId="5D30DA1B" w14:textId="77777777" w:rsidR="00784A64" w:rsidRPr="00A447A9" w:rsidRDefault="00784A64" w:rsidP="00784A64">
            <w:pPr>
              <w:pStyle w:val="CommentText"/>
              <w:keepNext w:val="0"/>
              <w:tabs>
                <w:tab w:val="clear" w:pos="3969"/>
              </w:tabs>
              <w:spacing w:before="120" w:after="120"/>
              <w:jc w:val="center"/>
              <w:rPr>
                <w:rFonts w:cs="Arial"/>
                <w:smallCaps/>
                <w:szCs w:val="24"/>
                <w:lang w:val="en-CA"/>
              </w:rPr>
            </w:pPr>
            <w:r w:rsidRPr="00A447A9">
              <w:rPr>
                <w:rFonts w:cs="Arial"/>
                <w:szCs w:val="24"/>
                <w:lang w:val="en-CA"/>
              </w:rPr>
              <w:t>7,80</w:t>
            </w:r>
          </w:p>
        </w:tc>
        <w:tc>
          <w:tcPr>
            <w:tcW w:w="992" w:type="dxa"/>
            <w:vAlign w:val="center"/>
          </w:tcPr>
          <w:p w14:paraId="362C34CC" w14:textId="77777777" w:rsidR="00784A64" w:rsidRPr="00A447A9" w:rsidRDefault="00784A64" w:rsidP="00784A64">
            <w:pPr>
              <w:pStyle w:val="CommentText"/>
              <w:keepNext w:val="0"/>
              <w:tabs>
                <w:tab w:val="clear" w:pos="3969"/>
              </w:tabs>
              <w:spacing w:before="120" w:after="120"/>
              <w:jc w:val="center"/>
              <w:rPr>
                <w:rFonts w:cs="Arial"/>
                <w:smallCaps/>
                <w:szCs w:val="24"/>
                <w:lang w:val="en-CA"/>
              </w:rPr>
            </w:pPr>
            <w:r w:rsidRPr="00A447A9">
              <w:rPr>
                <w:rFonts w:cs="Arial"/>
                <w:szCs w:val="24"/>
                <w:lang w:val="en-CA"/>
              </w:rPr>
              <w:t>2,58</w:t>
            </w:r>
          </w:p>
        </w:tc>
        <w:tc>
          <w:tcPr>
            <w:tcW w:w="1168" w:type="dxa"/>
            <w:vAlign w:val="center"/>
          </w:tcPr>
          <w:p w14:paraId="58F23AAB" w14:textId="77777777"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6,42</w:t>
            </w:r>
          </w:p>
        </w:tc>
        <w:tc>
          <w:tcPr>
            <w:tcW w:w="1168" w:type="dxa"/>
            <w:vAlign w:val="center"/>
          </w:tcPr>
          <w:p w14:paraId="5F287A22" w14:textId="119C343B"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color w:val="000000"/>
                <w:szCs w:val="24"/>
              </w:rPr>
              <w:t>0,89</w:t>
            </w:r>
          </w:p>
        </w:tc>
        <w:tc>
          <w:tcPr>
            <w:tcW w:w="1168" w:type="dxa"/>
            <w:vAlign w:val="center"/>
          </w:tcPr>
          <w:p w14:paraId="27C69312" w14:textId="5CFD70B9"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21214C33" w14:textId="39E2181D"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0,74</w:t>
            </w:r>
          </w:p>
        </w:tc>
        <w:tc>
          <w:tcPr>
            <w:tcW w:w="1140" w:type="dxa"/>
            <w:vAlign w:val="bottom"/>
          </w:tcPr>
          <w:p w14:paraId="4DA7C4C6" w14:textId="3638462F"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0,79</w:t>
            </w:r>
          </w:p>
        </w:tc>
        <w:tc>
          <w:tcPr>
            <w:tcW w:w="1134" w:type="dxa"/>
            <w:vAlign w:val="bottom"/>
          </w:tcPr>
          <w:p w14:paraId="31543ED9" w14:textId="3BA8FD7E"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0,60</w:t>
            </w:r>
          </w:p>
        </w:tc>
      </w:tr>
      <w:tr w:rsidR="00784A64" w:rsidRPr="00635C98" w14:paraId="0F0B5B7A" w14:textId="07FBCF8C" w:rsidTr="00784A64">
        <w:trPr>
          <w:cantSplit/>
        </w:trPr>
        <w:tc>
          <w:tcPr>
            <w:tcW w:w="3768" w:type="dxa"/>
          </w:tcPr>
          <w:p w14:paraId="204B40B9" w14:textId="77777777" w:rsidR="00784A64" w:rsidRPr="00635C98" w:rsidRDefault="00784A64" w:rsidP="00784A64">
            <w:pPr>
              <w:pStyle w:val="CommentText"/>
              <w:keepNext w:val="0"/>
              <w:tabs>
                <w:tab w:val="clear" w:pos="3969"/>
              </w:tabs>
              <w:spacing w:before="120" w:after="120"/>
              <w:rPr>
                <w:lang w:val="en-CA"/>
              </w:rPr>
            </w:pPr>
            <w:r w:rsidRPr="00635C98">
              <w:rPr>
                <w:lang w:val="en-CA"/>
              </w:rPr>
              <w:t>Alma</w:t>
            </w:r>
          </w:p>
        </w:tc>
        <w:tc>
          <w:tcPr>
            <w:tcW w:w="1047" w:type="dxa"/>
            <w:vAlign w:val="center"/>
          </w:tcPr>
          <w:p w14:paraId="01FEA9C4" w14:textId="77777777" w:rsidR="00784A64" w:rsidRPr="00A447A9" w:rsidRDefault="00784A64" w:rsidP="00784A64">
            <w:pPr>
              <w:pStyle w:val="CommentText"/>
              <w:keepNext w:val="0"/>
              <w:tabs>
                <w:tab w:val="clear" w:pos="3969"/>
              </w:tabs>
              <w:spacing w:before="120" w:after="120"/>
              <w:jc w:val="center"/>
              <w:rPr>
                <w:rFonts w:cs="Arial"/>
                <w:szCs w:val="24"/>
                <w:lang w:val="fr-FR"/>
              </w:rPr>
            </w:pPr>
            <w:r w:rsidRPr="00A447A9">
              <w:rPr>
                <w:rFonts w:cs="Arial"/>
                <w:szCs w:val="24"/>
                <w:lang w:val="fr-FR"/>
              </w:rPr>
              <w:t>1,77</w:t>
            </w:r>
          </w:p>
        </w:tc>
        <w:tc>
          <w:tcPr>
            <w:tcW w:w="992" w:type="dxa"/>
            <w:vAlign w:val="center"/>
          </w:tcPr>
          <w:p w14:paraId="21C36C4B" w14:textId="77777777" w:rsidR="00784A64" w:rsidRPr="00A447A9" w:rsidRDefault="00784A64" w:rsidP="00784A64">
            <w:pPr>
              <w:pStyle w:val="CommentText"/>
              <w:keepNext w:val="0"/>
              <w:tabs>
                <w:tab w:val="clear" w:pos="3969"/>
              </w:tabs>
              <w:spacing w:before="120" w:after="120"/>
              <w:jc w:val="center"/>
              <w:rPr>
                <w:rFonts w:cs="Arial"/>
                <w:szCs w:val="24"/>
                <w:lang w:val="fr-FR"/>
              </w:rPr>
            </w:pPr>
            <w:r w:rsidRPr="00A447A9">
              <w:rPr>
                <w:rFonts w:cs="Arial"/>
                <w:szCs w:val="24"/>
                <w:lang w:val="fr-FR"/>
              </w:rPr>
              <w:t>1,90</w:t>
            </w:r>
          </w:p>
        </w:tc>
        <w:tc>
          <w:tcPr>
            <w:tcW w:w="992" w:type="dxa"/>
            <w:vAlign w:val="center"/>
          </w:tcPr>
          <w:p w14:paraId="611E338A" w14:textId="77777777" w:rsidR="00784A64" w:rsidRPr="00A447A9" w:rsidRDefault="00784A64" w:rsidP="00784A64">
            <w:pPr>
              <w:pStyle w:val="CommentText"/>
              <w:keepNext w:val="0"/>
              <w:tabs>
                <w:tab w:val="clear" w:pos="3969"/>
              </w:tabs>
              <w:spacing w:before="120" w:after="120"/>
              <w:jc w:val="center"/>
              <w:rPr>
                <w:rFonts w:cs="Arial"/>
                <w:szCs w:val="24"/>
                <w:lang w:val="fr-FR"/>
              </w:rPr>
            </w:pPr>
            <w:r w:rsidRPr="00A447A9">
              <w:rPr>
                <w:rFonts w:cs="Arial"/>
                <w:szCs w:val="24"/>
                <w:lang w:val="fr-FR"/>
              </w:rPr>
              <w:t>0,96</w:t>
            </w:r>
          </w:p>
        </w:tc>
        <w:tc>
          <w:tcPr>
            <w:tcW w:w="1168" w:type="dxa"/>
            <w:vAlign w:val="center"/>
          </w:tcPr>
          <w:p w14:paraId="5EAC321D" w14:textId="77777777" w:rsidR="00784A64" w:rsidRPr="00A447A9" w:rsidRDefault="00784A64" w:rsidP="00784A64">
            <w:pPr>
              <w:pStyle w:val="CommentText"/>
              <w:keepNext w:val="0"/>
              <w:tabs>
                <w:tab w:val="clear" w:pos="3969"/>
              </w:tabs>
              <w:spacing w:before="120" w:after="120"/>
              <w:jc w:val="center"/>
              <w:rPr>
                <w:rFonts w:cs="Arial"/>
                <w:bCs/>
                <w:szCs w:val="24"/>
                <w:lang w:val="fr-FR"/>
              </w:rPr>
            </w:pPr>
            <w:r w:rsidRPr="00A447A9">
              <w:rPr>
                <w:rFonts w:cs="Arial"/>
                <w:bCs/>
                <w:szCs w:val="24"/>
                <w:lang w:val="en-CA"/>
              </w:rPr>
              <w:t>1,99</w:t>
            </w:r>
          </w:p>
        </w:tc>
        <w:tc>
          <w:tcPr>
            <w:tcW w:w="1168" w:type="dxa"/>
            <w:vAlign w:val="center"/>
          </w:tcPr>
          <w:p w14:paraId="1BEC6180" w14:textId="308C8730"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color w:val="000000"/>
                <w:szCs w:val="24"/>
              </w:rPr>
              <w:t>0,46</w:t>
            </w:r>
          </w:p>
        </w:tc>
        <w:tc>
          <w:tcPr>
            <w:tcW w:w="1168" w:type="dxa"/>
            <w:vAlign w:val="center"/>
          </w:tcPr>
          <w:p w14:paraId="03BF1636" w14:textId="26589537"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0,11</w:t>
            </w:r>
          </w:p>
        </w:tc>
        <w:tc>
          <w:tcPr>
            <w:tcW w:w="1168" w:type="dxa"/>
            <w:vAlign w:val="center"/>
          </w:tcPr>
          <w:p w14:paraId="7232F91C" w14:textId="2FA1FC16"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58157FC4" w14:textId="089FEFD1"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0,10</w:t>
            </w:r>
          </w:p>
        </w:tc>
        <w:tc>
          <w:tcPr>
            <w:tcW w:w="1134" w:type="dxa"/>
            <w:vAlign w:val="bottom"/>
          </w:tcPr>
          <w:p w14:paraId="6255D0A0" w14:textId="2A5F95CD"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0,30</w:t>
            </w:r>
          </w:p>
        </w:tc>
      </w:tr>
      <w:tr w:rsidR="00784A64" w:rsidRPr="00635C98" w14:paraId="17E6EBA4" w14:textId="11316EC2" w:rsidTr="00784A64">
        <w:trPr>
          <w:cantSplit/>
        </w:trPr>
        <w:tc>
          <w:tcPr>
            <w:tcW w:w="3768" w:type="dxa"/>
          </w:tcPr>
          <w:p w14:paraId="41C12219" w14:textId="3ED57A31" w:rsidR="00784A64" w:rsidRPr="00635C98" w:rsidRDefault="00784A64" w:rsidP="00784A64">
            <w:pPr>
              <w:pStyle w:val="CommentText"/>
              <w:keepNext w:val="0"/>
              <w:tabs>
                <w:tab w:val="clear" w:pos="3969"/>
              </w:tabs>
              <w:spacing w:before="120" w:after="120"/>
              <w:rPr>
                <w:lang w:val="fr-FR"/>
              </w:rPr>
            </w:pPr>
            <w:r w:rsidRPr="00635C98">
              <w:rPr>
                <w:lang w:val="fr-FR"/>
              </w:rPr>
              <w:t>André</w:t>
            </w:r>
            <w:r>
              <w:rPr>
                <w:lang w:val="fr-FR"/>
              </w:rPr>
              <w:noBreakHyphen/>
            </w:r>
            <w:r w:rsidRPr="00635C98">
              <w:rPr>
                <w:lang w:val="fr-FR"/>
              </w:rPr>
              <w:t>Laurendeau</w:t>
            </w:r>
          </w:p>
        </w:tc>
        <w:tc>
          <w:tcPr>
            <w:tcW w:w="1047" w:type="dxa"/>
            <w:vAlign w:val="center"/>
          </w:tcPr>
          <w:p w14:paraId="2945FD90"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1,15</w:t>
            </w:r>
          </w:p>
        </w:tc>
        <w:tc>
          <w:tcPr>
            <w:tcW w:w="992" w:type="dxa"/>
            <w:vAlign w:val="center"/>
          </w:tcPr>
          <w:p w14:paraId="7D1D470A"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2,70</w:t>
            </w:r>
          </w:p>
        </w:tc>
        <w:tc>
          <w:tcPr>
            <w:tcW w:w="992" w:type="dxa"/>
            <w:vAlign w:val="center"/>
          </w:tcPr>
          <w:p w14:paraId="673B40A5"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2,50</w:t>
            </w:r>
          </w:p>
        </w:tc>
        <w:tc>
          <w:tcPr>
            <w:tcW w:w="1168" w:type="dxa"/>
            <w:vAlign w:val="center"/>
          </w:tcPr>
          <w:p w14:paraId="672BD713"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2,43</w:t>
            </w:r>
          </w:p>
        </w:tc>
        <w:tc>
          <w:tcPr>
            <w:tcW w:w="1168" w:type="dxa"/>
            <w:vAlign w:val="center"/>
          </w:tcPr>
          <w:p w14:paraId="4603F667" w14:textId="1A2B086B"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color w:val="000000"/>
                <w:szCs w:val="24"/>
              </w:rPr>
              <w:t>0,53</w:t>
            </w:r>
          </w:p>
        </w:tc>
        <w:tc>
          <w:tcPr>
            <w:tcW w:w="1168" w:type="dxa"/>
            <w:vAlign w:val="center"/>
          </w:tcPr>
          <w:p w14:paraId="6EC64A65" w14:textId="0A792EFC"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0,55</w:t>
            </w:r>
          </w:p>
        </w:tc>
        <w:tc>
          <w:tcPr>
            <w:tcW w:w="1168" w:type="dxa"/>
            <w:vAlign w:val="center"/>
          </w:tcPr>
          <w:p w14:paraId="6EA8826E" w14:textId="7450980E"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07B275D5" w14:textId="71B46098"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0,24</w:t>
            </w:r>
          </w:p>
        </w:tc>
        <w:tc>
          <w:tcPr>
            <w:tcW w:w="1134" w:type="dxa"/>
            <w:vAlign w:val="bottom"/>
          </w:tcPr>
          <w:p w14:paraId="3072B9C8" w14:textId="5836EB34"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0,35</w:t>
            </w:r>
          </w:p>
        </w:tc>
      </w:tr>
      <w:tr w:rsidR="00784A64" w:rsidRPr="00635C98" w14:paraId="570D0DE3" w14:textId="3C4DF510" w:rsidTr="00784A64">
        <w:trPr>
          <w:cantSplit/>
        </w:trPr>
        <w:tc>
          <w:tcPr>
            <w:tcW w:w="3768" w:type="dxa"/>
          </w:tcPr>
          <w:p w14:paraId="53CB344F" w14:textId="690B09C1" w:rsidR="00784A64" w:rsidRPr="00635C98" w:rsidRDefault="00784A64" w:rsidP="00784A64">
            <w:pPr>
              <w:pStyle w:val="CommentText"/>
              <w:keepNext w:val="0"/>
              <w:tabs>
                <w:tab w:val="clear" w:pos="3969"/>
              </w:tabs>
              <w:spacing w:before="120" w:after="120"/>
            </w:pPr>
            <w:r w:rsidRPr="00635C98">
              <w:t>Beauce</w:t>
            </w:r>
            <w:r>
              <w:noBreakHyphen/>
            </w:r>
            <w:r w:rsidRPr="00635C98">
              <w:t>Appalaches</w:t>
            </w:r>
          </w:p>
        </w:tc>
        <w:tc>
          <w:tcPr>
            <w:tcW w:w="1047" w:type="dxa"/>
            <w:vAlign w:val="center"/>
          </w:tcPr>
          <w:p w14:paraId="35A2A240"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1,15</w:t>
            </w:r>
          </w:p>
        </w:tc>
        <w:tc>
          <w:tcPr>
            <w:tcW w:w="992" w:type="dxa"/>
            <w:vAlign w:val="center"/>
          </w:tcPr>
          <w:p w14:paraId="3B374C23"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1,50</w:t>
            </w:r>
          </w:p>
        </w:tc>
        <w:tc>
          <w:tcPr>
            <w:tcW w:w="992" w:type="dxa"/>
            <w:vAlign w:val="center"/>
          </w:tcPr>
          <w:p w14:paraId="5370C137"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0,75</w:t>
            </w:r>
          </w:p>
        </w:tc>
        <w:tc>
          <w:tcPr>
            <w:tcW w:w="1168" w:type="dxa"/>
            <w:vAlign w:val="center"/>
          </w:tcPr>
          <w:p w14:paraId="27B14767"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2,30</w:t>
            </w:r>
          </w:p>
        </w:tc>
        <w:tc>
          <w:tcPr>
            <w:tcW w:w="1168" w:type="dxa"/>
            <w:vAlign w:val="center"/>
          </w:tcPr>
          <w:p w14:paraId="531FAE48" w14:textId="37F73FE8" w:rsidR="00784A64" w:rsidRPr="009E1A22" w:rsidRDefault="009E1A22" w:rsidP="00784A64">
            <w:pPr>
              <w:pStyle w:val="CommentText"/>
              <w:keepNext w:val="0"/>
              <w:tabs>
                <w:tab w:val="clear" w:pos="3969"/>
              </w:tabs>
              <w:spacing w:before="120" w:after="120"/>
              <w:jc w:val="center"/>
              <w:rPr>
                <w:rFonts w:cs="Arial"/>
                <w:bCs/>
                <w:szCs w:val="24"/>
                <w:lang w:val="en-CA"/>
              </w:rPr>
            </w:pPr>
            <w:r w:rsidRPr="009E1A22">
              <w:rPr>
                <w:rFonts w:cs="Arial"/>
                <w:bCs/>
                <w:szCs w:val="24"/>
                <w:lang w:val="en-CA"/>
              </w:rPr>
              <w:t>0,48</w:t>
            </w:r>
          </w:p>
        </w:tc>
        <w:tc>
          <w:tcPr>
            <w:tcW w:w="1168" w:type="dxa"/>
            <w:vAlign w:val="center"/>
          </w:tcPr>
          <w:p w14:paraId="076C79DB" w14:textId="235B7AE7" w:rsidR="00784A64" w:rsidRPr="00A447A9" w:rsidRDefault="00784A64" w:rsidP="00784A64">
            <w:pPr>
              <w:pStyle w:val="CommentText"/>
              <w:keepNext w:val="0"/>
              <w:tabs>
                <w:tab w:val="clear" w:pos="3969"/>
              </w:tabs>
              <w:spacing w:before="120" w:after="120"/>
              <w:jc w:val="center"/>
              <w:rPr>
                <w:rFonts w:cs="Arial"/>
                <w:bCs/>
                <w:szCs w:val="24"/>
                <w:lang w:val="en-CA"/>
              </w:rPr>
            </w:pPr>
            <w:r w:rsidRPr="00316277">
              <w:rPr>
                <w:rFonts w:cs="Arial"/>
                <w:bCs/>
                <w:szCs w:val="24"/>
                <w:lang w:val="en-CA"/>
              </w:rPr>
              <w:t>0,12</w:t>
            </w:r>
          </w:p>
        </w:tc>
        <w:tc>
          <w:tcPr>
            <w:tcW w:w="1168" w:type="dxa"/>
            <w:vAlign w:val="center"/>
          </w:tcPr>
          <w:p w14:paraId="29FCBA89" w14:textId="0A5644DE"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center"/>
          </w:tcPr>
          <w:p w14:paraId="332D2583" w14:textId="28A32BD2"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0,22</w:t>
            </w:r>
          </w:p>
        </w:tc>
        <w:tc>
          <w:tcPr>
            <w:tcW w:w="1134" w:type="dxa"/>
            <w:vAlign w:val="center"/>
          </w:tcPr>
          <w:p w14:paraId="15BF44A0" w14:textId="7CFAACCB"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0,32</w:t>
            </w:r>
          </w:p>
        </w:tc>
      </w:tr>
      <w:tr w:rsidR="00784A64" w:rsidRPr="00635C98" w14:paraId="47C0EF0F" w14:textId="77777777" w:rsidTr="00B6753E">
        <w:trPr>
          <w:cantSplit/>
        </w:trPr>
        <w:tc>
          <w:tcPr>
            <w:tcW w:w="3768" w:type="dxa"/>
          </w:tcPr>
          <w:p w14:paraId="76C2906C" w14:textId="280C4E19" w:rsidR="00784A64" w:rsidRPr="00784A64" w:rsidRDefault="00784A64" w:rsidP="00784A64">
            <w:pPr>
              <w:pStyle w:val="CommentText"/>
              <w:keepNext w:val="0"/>
              <w:tabs>
                <w:tab w:val="clear" w:pos="3969"/>
              </w:tabs>
              <w:spacing w:before="120" w:after="120"/>
              <w:ind w:firstLine="206"/>
              <w:rPr>
                <w:highlight w:val="lightGray"/>
              </w:rPr>
            </w:pPr>
            <w:r w:rsidRPr="00316277">
              <w:t>CEC de Lac Mégantic</w:t>
            </w:r>
          </w:p>
        </w:tc>
        <w:tc>
          <w:tcPr>
            <w:tcW w:w="1047" w:type="dxa"/>
            <w:vAlign w:val="center"/>
          </w:tcPr>
          <w:p w14:paraId="212B7A92" w14:textId="77777777" w:rsidR="00784A64" w:rsidRPr="00784A64" w:rsidRDefault="00784A64" w:rsidP="00784A64">
            <w:pPr>
              <w:pStyle w:val="CommentText"/>
              <w:keepNext w:val="0"/>
              <w:tabs>
                <w:tab w:val="clear" w:pos="3969"/>
              </w:tabs>
              <w:spacing w:before="120" w:after="120"/>
              <w:jc w:val="center"/>
              <w:rPr>
                <w:rFonts w:cs="Arial"/>
                <w:szCs w:val="24"/>
                <w:highlight w:val="lightGray"/>
              </w:rPr>
            </w:pPr>
          </w:p>
        </w:tc>
        <w:tc>
          <w:tcPr>
            <w:tcW w:w="992" w:type="dxa"/>
            <w:vAlign w:val="center"/>
          </w:tcPr>
          <w:p w14:paraId="1C09E5EB" w14:textId="77777777" w:rsidR="00784A64" w:rsidRPr="00784A64" w:rsidRDefault="00784A64" w:rsidP="00784A64">
            <w:pPr>
              <w:pStyle w:val="CommentText"/>
              <w:keepNext w:val="0"/>
              <w:tabs>
                <w:tab w:val="clear" w:pos="3969"/>
              </w:tabs>
              <w:spacing w:before="120" w:after="120"/>
              <w:jc w:val="center"/>
              <w:rPr>
                <w:rFonts w:cs="Arial"/>
                <w:szCs w:val="24"/>
                <w:highlight w:val="lightGray"/>
              </w:rPr>
            </w:pPr>
          </w:p>
        </w:tc>
        <w:tc>
          <w:tcPr>
            <w:tcW w:w="992" w:type="dxa"/>
            <w:vAlign w:val="center"/>
          </w:tcPr>
          <w:p w14:paraId="42C628A9" w14:textId="77777777" w:rsidR="00784A64" w:rsidRPr="00784A64" w:rsidRDefault="00784A64" w:rsidP="00784A64">
            <w:pPr>
              <w:pStyle w:val="CommentText"/>
              <w:keepNext w:val="0"/>
              <w:tabs>
                <w:tab w:val="clear" w:pos="3969"/>
              </w:tabs>
              <w:spacing w:before="120" w:after="120"/>
              <w:jc w:val="center"/>
              <w:rPr>
                <w:rFonts w:cs="Arial"/>
                <w:szCs w:val="24"/>
                <w:highlight w:val="lightGray"/>
              </w:rPr>
            </w:pPr>
          </w:p>
        </w:tc>
        <w:tc>
          <w:tcPr>
            <w:tcW w:w="1168" w:type="dxa"/>
            <w:vAlign w:val="center"/>
          </w:tcPr>
          <w:p w14:paraId="4712AF64" w14:textId="77777777"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p>
        </w:tc>
        <w:tc>
          <w:tcPr>
            <w:tcW w:w="1168" w:type="dxa"/>
            <w:vAlign w:val="center"/>
          </w:tcPr>
          <w:p w14:paraId="32DF5A8F" w14:textId="7B1CEDDE" w:rsidR="00784A64" w:rsidRPr="00784A64" w:rsidRDefault="00784A64" w:rsidP="00784A64">
            <w:pPr>
              <w:pStyle w:val="CommentText"/>
              <w:keepNext w:val="0"/>
              <w:tabs>
                <w:tab w:val="clear" w:pos="3969"/>
              </w:tabs>
              <w:spacing w:before="120" w:after="120"/>
              <w:jc w:val="center"/>
              <w:rPr>
                <w:rFonts w:cs="Arial"/>
                <w:color w:val="000000"/>
                <w:szCs w:val="24"/>
                <w:highlight w:val="lightGray"/>
              </w:rPr>
            </w:pPr>
            <w:r w:rsidRPr="00316277">
              <w:rPr>
                <w:rFonts w:cs="Arial"/>
                <w:bCs/>
                <w:szCs w:val="24"/>
                <w:lang w:val="en-CA"/>
              </w:rPr>
              <w:t>0,00</w:t>
            </w:r>
          </w:p>
        </w:tc>
        <w:tc>
          <w:tcPr>
            <w:tcW w:w="1168" w:type="dxa"/>
            <w:vAlign w:val="center"/>
          </w:tcPr>
          <w:p w14:paraId="3DA1E183" w14:textId="1FDE6738"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0,02</w:t>
            </w:r>
          </w:p>
        </w:tc>
        <w:tc>
          <w:tcPr>
            <w:tcW w:w="1168" w:type="dxa"/>
            <w:vAlign w:val="center"/>
          </w:tcPr>
          <w:p w14:paraId="065535F6" w14:textId="322A95B4"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40" w:type="dxa"/>
            <w:vAlign w:val="bottom"/>
          </w:tcPr>
          <w:p w14:paraId="0E03C9E7" w14:textId="714D0AF5" w:rsidR="00784A64" w:rsidRPr="00784A64" w:rsidRDefault="00784A64" w:rsidP="00784A64">
            <w:pPr>
              <w:pStyle w:val="CommentText"/>
              <w:keepNext w:val="0"/>
              <w:tabs>
                <w:tab w:val="clear" w:pos="3969"/>
              </w:tabs>
              <w:spacing w:before="120" w:after="120"/>
              <w:jc w:val="center"/>
              <w:rPr>
                <w:rFonts w:cs="Arial"/>
                <w:color w:val="000000"/>
                <w:szCs w:val="24"/>
                <w:highlight w:val="lightGray"/>
              </w:rPr>
            </w:pPr>
            <w:r w:rsidRPr="00316277">
              <w:rPr>
                <w:rFonts w:cs="Arial"/>
                <w:color w:val="000000"/>
                <w:szCs w:val="24"/>
              </w:rPr>
              <w:t>0,02</w:t>
            </w:r>
          </w:p>
        </w:tc>
        <w:tc>
          <w:tcPr>
            <w:tcW w:w="1134" w:type="dxa"/>
            <w:vAlign w:val="bottom"/>
          </w:tcPr>
          <w:p w14:paraId="42656AD9" w14:textId="2541E536" w:rsidR="00784A64" w:rsidRPr="00316277" w:rsidRDefault="00784A64" w:rsidP="00784A64">
            <w:pPr>
              <w:pStyle w:val="CommentText"/>
              <w:keepNext w:val="0"/>
              <w:tabs>
                <w:tab w:val="clear" w:pos="3969"/>
              </w:tabs>
              <w:spacing w:before="120" w:after="120"/>
              <w:jc w:val="center"/>
              <w:rPr>
                <w:rFonts w:cs="Arial"/>
                <w:color w:val="000000"/>
                <w:szCs w:val="24"/>
              </w:rPr>
            </w:pPr>
            <w:r w:rsidRPr="00316277">
              <w:rPr>
                <w:rFonts w:cs="Arial"/>
                <w:color w:val="000000"/>
                <w:szCs w:val="24"/>
              </w:rPr>
              <w:t>0,02</w:t>
            </w:r>
          </w:p>
        </w:tc>
      </w:tr>
      <w:tr w:rsidR="00784A64" w:rsidRPr="00635C98" w14:paraId="0CFB954F" w14:textId="65B8717C" w:rsidTr="00784A64">
        <w:trPr>
          <w:cantSplit/>
        </w:trPr>
        <w:tc>
          <w:tcPr>
            <w:tcW w:w="3768" w:type="dxa"/>
          </w:tcPr>
          <w:p w14:paraId="2ADAA4A5" w14:textId="0685BACD" w:rsidR="00784A64" w:rsidRPr="00635C98" w:rsidRDefault="00784A64" w:rsidP="00784A64">
            <w:pPr>
              <w:pStyle w:val="CommentText"/>
              <w:keepNext w:val="0"/>
              <w:tabs>
                <w:tab w:val="clear" w:pos="3969"/>
              </w:tabs>
              <w:spacing w:before="120" w:after="120"/>
            </w:pPr>
            <w:r w:rsidRPr="00635C98">
              <w:t>Champlain à Saint</w:t>
            </w:r>
            <w:r>
              <w:noBreakHyphen/>
            </w:r>
            <w:r w:rsidRPr="00635C98">
              <w:t>Lambert</w:t>
            </w:r>
          </w:p>
        </w:tc>
        <w:tc>
          <w:tcPr>
            <w:tcW w:w="1047" w:type="dxa"/>
            <w:vAlign w:val="center"/>
          </w:tcPr>
          <w:p w14:paraId="20EB05FD"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1,75</w:t>
            </w:r>
          </w:p>
        </w:tc>
        <w:tc>
          <w:tcPr>
            <w:tcW w:w="992" w:type="dxa"/>
            <w:vAlign w:val="center"/>
          </w:tcPr>
          <w:p w14:paraId="73518FA7"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2,20</w:t>
            </w:r>
          </w:p>
        </w:tc>
        <w:tc>
          <w:tcPr>
            <w:tcW w:w="992" w:type="dxa"/>
            <w:vAlign w:val="center"/>
          </w:tcPr>
          <w:p w14:paraId="1B00E438"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0,31</w:t>
            </w:r>
          </w:p>
        </w:tc>
        <w:tc>
          <w:tcPr>
            <w:tcW w:w="1168" w:type="dxa"/>
            <w:vAlign w:val="center"/>
          </w:tcPr>
          <w:p w14:paraId="0C3FF736"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2,29</w:t>
            </w:r>
          </w:p>
        </w:tc>
        <w:tc>
          <w:tcPr>
            <w:tcW w:w="1168" w:type="dxa"/>
            <w:vAlign w:val="center"/>
          </w:tcPr>
          <w:p w14:paraId="664E1165" w14:textId="34F6F3F4"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0,29</w:t>
            </w:r>
          </w:p>
        </w:tc>
        <w:tc>
          <w:tcPr>
            <w:tcW w:w="1168" w:type="dxa"/>
            <w:vAlign w:val="center"/>
          </w:tcPr>
          <w:p w14:paraId="2124126D" w14:textId="5927ADD0"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0,16</w:t>
            </w:r>
          </w:p>
        </w:tc>
        <w:tc>
          <w:tcPr>
            <w:tcW w:w="1168" w:type="dxa"/>
            <w:vAlign w:val="center"/>
          </w:tcPr>
          <w:p w14:paraId="488314A7" w14:textId="7723E49A"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64D8362D" w14:textId="4E64DEA7"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0,09</w:t>
            </w:r>
          </w:p>
        </w:tc>
        <w:tc>
          <w:tcPr>
            <w:tcW w:w="1134" w:type="dxa"/>
            <w:vAlign w:val="bottom"/>
          </w:tcPr>
          <w:p w14:paraId="6FE68733" w14:textId="3C74CF55"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0,19</w:t>
            </w:r>
          </w:p>
        </w:tc>
      </w:tr>
      <w:tr w:rsidR="00784A64" w:rsidRPr="00635C98" w14:paraId="3142FFF2" w14:textId="79DD919B" w:rsidTr="00784A64">
        <w:trPr>
          <w:cantSplit/>
        </w:trPr>
        <w:tc>
          <w:tcPr>
            <w:tcW w:w="3768" w:type="dxa"/>
          </w:tcPr>
          <w:p w14:paraId="2A9B9E24" w14:textId="0E12A375" w:rsidR="00784A64" w:rsidRPr="00635C98" w:rsidRDefault="00784A64" w:rsidP="00784A64">
            <w:pPr>
              <w:pStyle w:val="CommentText"/>
              <w:keepNext w:val="0"/>
              <w:tabs>
                <w:tab w:val="clear" w:pos="3969"/>
              </w:tabs>
              <w:spacing w:before="120" w:after="120"/>
            </w:pPr>
            <w:r w:rsidRPr="00635C98">
              <w:t xml:space="preserve">Champlain : </w:t>
            </w:r>
            <w:r>
              <w:noBreakHyphen/>
            </w:r>
            <w:r w:rsidRPr="00635C98">
              <w:t xml:space="preserve"> St. Lawrence</w:t>
            </w:r>
          </w:p>
        </w:tc>
        <w:tc>
          <w:tcPr>
            <w:tcW w:w="1047" w:type="dxa"/>
            <w:vAlign w:val="center"/>
          </w:tcPr>
          <w:p w14:paraId="2F0E8586"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1,42</w:t>
            </w:r>
          </w:p>
        </w:tc>
        <w:tc>
          <w:tcPr>
            <w:tcW w:w="992" w:type="dxa"/>
            <w:vAlign w:val="center"/>
          </w:tcPr>
          <w:p w14:paraId="5B25333B"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0,81</w:t>
            </w:r>
          </w:p>
        </w:tc>
        <w:tc>
          <w:tcPr>
            <w:tcW w:w="992" w:type="dxa"/>
            <w:vAlign w:val="center"/>
          </w:tcPr>
          <w:p w14:paraId="3D2B3833"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0,10</w:t>
            </w:r>
          </w:p>
        </w:tc>
        <w:tc>
          <w:tcPr>
            <w:tcW w:w="1168" w:type="dxa"/>
            <w:vAlign w:val="center"/>
          </w:tcPr>
          <w:p w14:paraId="3E17C73B"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0,94</w:t>
            </w:r>
          </w:p>
        </w:tc>
        <w:tc>
          <w:tcPr>
            <w:tcW w:w="1168" w:type="dxa"/>
            <w:vAlign w:val="center"/>
          </w:tcPr>
          <w:p w14:paraId="23E36FC6" w14:textId="0DDD9555"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0,18</w:t>
            </w:r>
          </w:p>
        </w:tc>
        <w:tc>
          <w:tcPr>
            <w:tcW w:w="1168" w:type="dxa"/>
            <w:vAlign w:val="center"/>
          </w:tcPr>
          <w:p w14:paraId="0CF98F9F" w14:textId="40C1FF49"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6BA220E2" w14:textId="3705D81D"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73BB6614" w14:textId="6507EC1A"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0,04</w:t>
            </w:r>
          </w:p>
        </w:tc>
        <w:tc>
          <w:tcPr>
            <w:tcW w:w="1134" w:type="dxa"/>
            <w:vAlign w:val="bottom"/>
          </w:tcPr>
          <w:p w14:paraId="4427DEAB" w14:textId="2DC4A824"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0,12</w:t>
            </w:r>
          </w:p>
        </w:tc>
      </w:tr>
      <w:tr w:rsidR="00784A64" w:rsidRPr="00635C98" w14:paraId="564BB2CC" w14:textId="48962D99" w:rsidTr="00784A64">
        <w:trPr>
          <w:cantSplit/>
        </w:trPr>
        <w:tc>
          <w:tcPr>
            <w:tcW w:w="3768" w:type="dxa"/>
          </w:tcPr>
          <w:p w14:paraId="7261B4C3" w14:textId="77777777" w:rsidR="00784A64" w:rsidRPr="00635C98" w:rsidRDefault="00784A64" w:rsidP="00784A64">
            <w:pPr>
              <w:pStyle w:val="CommentText"/>
              <w:keepNext w:val="0"/>
              <w:tabs>
                <w:tab w:val="clear" w:pos="3969"/>
              </w:tabs>
              <w:spacing w:before="120" w:after="120"/>
            </w:pPr>
            <w:r w:rsidRPr="00635C98">
              <w:t>Chicoutimi</w:t>
            </w:r>
          </w:p>
        </w:tc>
        <w:tc>
          <w:tcPr>
            <w:tcW w:w="1047" w:type="dxa"/>
            <w:vAlign w:val="center"/>
          </w:tcPr>
          <w:p w14:paraId="2960927B"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1,03</w:t>
            </w:r>
          </w:p>
        </w:tc>
        <w:tc>
          <w:tcPr>
            <w:tcW w:w="992" w:type="dxa"/>
            <w:vAlign w:val="center"/>
          </w:tcPr>
          <w:p w14:paraId="78E0330D"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5,00</w:t>
            </w:r>
          </w:p>
        </w:tc>
        <w:tc>
          <w:tcPr>
            <w:tcW w:w="992" w:type="dxa"/>
            <w:vAlign w:val="center"/>
          </w:tcPr>
          <w:p w14:paraId="4C1366AB"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1,66</w:t>
            </w:r>
          </w:p>
        </w:tc>
        <w:tc>
          <w:tcPr>
            <w:tcW w:w="1168" w:type="dxa"/>
            <w:vAlign w:val="center"/>
          </w:tcPr>
          <w:p w14:paraId="1F568C29"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3,68</w:t>
            </w:r>
          </w:p>
        </w:tc>
        <w:tc>
          <w:tcPr>
            <w:tcW w:w="1168" w:type="dxa"/>
            <w:vAlign w:val="center"/>
          </w:tcPr>
          <w:p w14:paraId="517680A5" w14:textId="3A7B224E"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0,71</w:t>
            </w:r>
          </w:p>
        </w:tc>
        <w:tc>
          <w:tcPr>
            <w:tcW w:w="1168" w:type="dxa"/>
            <w:vAlign w:val="center"/>
          </w:tcPr>
          <w:p w14:paraId="06F6FA50" w14:textId="422CB5E0"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0,18</w:t>
            </w:r>
          </w:p>
        </w:tc>
        <w:tc>
          <w:tcPr>
            <w:tcW w:w="1168" w:type="dxa"/>
            <w:vAlign w:val="center"/>
          </w:tcPr>
          <w:p w14:paraId="56DEEC93" w14:textId="6513B585"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0,44</w:t>
            </w:r>
          </w:p>
        </w:tc>
        <w:tc>
          <w:tcPr>
            <w:tcW w:w="1140" w:type="dxa"/>
            <w:vAlign w:val="bottom"/>
          </w:tcPr>
          <w:p w14:paraId="1F904511" w14:textId="1A669A39"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0,26</w:t>
            </w:r>
          </w:p>
        </w:tc>
        <w:tc>
          <w:tcPr>
            <w:tcW w:w="1134" w:type="dxa"/>
            <w:vAlign w:val="bottom"/>
          </w:tcPr>
          <w:p w14:paraId="44601A80" w14:textId="7A76BEC7"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0,42</w:t>
            </w:r>
          </w:p>
        </w:tc>
      </w:tr>
      <w:tr w:rsidR="00784A64" w:rsidRPr="00635C98" w14:paraId="6C6C1247" w14:textId="35E58B20" w:rsidTr="00784A64">
        <w:trPr>
          <w:cantSplit/>
        </w:trPr>
        <w:tc>
          <w:tcPr>
            <w:tcW w:w="3768" w:type="dxa"/>
          </w:tcPr>
          <w:p w14:paraId="311714E7" w14:textId="2C585407" w:rsidR="00784A64" w:rsidRPr="00635C98" w:rsidRDefault="00784A64" w:rsidP="00784A64">
            <w:pPr>
              <w:pStyle w:val="CommentText"/>
              <w:keepNext w:val="0"/>
              <w:tabs>
                <w:tab w:val="clear" w:pos="3969"/>
              </w:tabs>
              <w:spacing w:before="120" w:after="120"/>
              <w:ind w:left="208"/>
            </w:pPr>
            <w:r w:rsidRPr="00635C98">
              <w:t>Centre québécois de formation en aéronautique</w:t>
            </w:r>
          </w:p>
        </w:tc>
        <w:tc>
          <w:tcPr>
            <w:tcW w:w="1047" w:type="dxa"/>
            <w:vAlign w:val="center"/>
          </w:tcPr>
          <w:p w14:paraId="5D899EC2"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0,10</w:t>
            </w:r>
          </w:p>
        </w:tc>
        <w:tc>
          <w:tcPr>
            <w:tcW w:w="992" w:type="dxa"/>
            <w:vAlign w:val="center"/>
          </w:tcPr>
          <w:p w14:paraId="039C6534"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0,95</w:t>
            </w:r>
          </w:p>
        </w:tc>
        <w:tc>
          <w:tcPr>
            <w:tcW w:w="992" w:type="dxa"/>
            <w:vAlign w:val="center"/>
          </w:tcPr>
          <w:p w14:paraId="21E31E82"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0,37</w:t>
            </w:r>
          </w:p>
        </w:tc>
        <w:tc>
          <w:tcPr>
            <w:tcW w:w="1168" w:type="dxa"/>
            <w:vAlign w:val="center"/>
          </w:tcPr>
          <w:p w14:paraId="211637EC"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0,16</w:t>
            </w:r>
          </w:p>
        </w:tc>
        <w:tc>
          <w:tcPr>
            <w:tcW w:w="1168" w:type="dxa"/>
            <w:vAlign w:val="center"/>
          </w:tcPr>
          <w:p w14:paraId="4A6D712E" w14:textId="417EE3CC"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0,04</w:t>
            </w:r>
          </w:p>
        </w:tc>
        <w:tc>
          <w:tcPr>
            <w:tcW w:w="1168" w:type="dxa"/>
            <w:vAlign w:val="center"/>
          </w:tcPr>
          <w:p w14:paraId="21A38352" w14:textId="7E2EE71D"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52257683" w14:textId="68653A5F"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7DECB289" w14:textId="64DA7A3B"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0,08</w:t>
            </w:r>
          </w:p>
        </w:tc>
        <w:tc>
          <w:tcPr>
            <w:tcW w:w="1134" w:type="dxa"/>
            <w:vAlign w:val="bottom"/>
          </w:tcPr>
          <w:p w14:paraId="4217104F" w14:textId="2FCB58B6"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0,02</w:t>
            </w:r>
          </w:p>
        </w:tc>
      </w:tr>
      <w:tr w:rsidR="00784A64" w:rsidRPr="00635C98" w14:paraId="648BC8DC" w14:textId="09D97DB2" w:rsidTr="00784A64">
        <w:trPr>
          <w:cantSplit/>
        </w:trPr>
        <w:tc>
          <w:tcPr>
            <w:tcW w:w="3768" w:type="dxa"/>
          </w:tcPr>
          <w:p w14:paraId="09061AD1" w14:textId="77777777" w:rsidR="00784A64" w:rsidRPr="00635C98" w:rsidRDefault="00784A64" w:rsidP="00784A64">
            <w:pPr>
              <w:pStyle w:val="CommentText"/>
              <w:keepNext w:val="0"/>
              <w:tabs>
                <w:tab w:val="clear" w:pos="3969"/>
              </w:tabs>
              <w:spacing w:before="120" w:after="120"/>
            </w:pPr>
            <w:r w:rsidRPr="00635C98">
              <w:t>Dawson</w:t>
            </w:r>
          </w:p>
        </w:tc>
        <w:tc>
          <w:tcPr>
            <w:tcW w:w="1047" w:type="dxa"/>
            <w:vAlign w:val="center"/>
          </w:tcPr>
          <w:p w14:paraId="4A3F827E"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2,30</w:t>
            </w:r>
          </w:p>
        </w:tc>
        <w:tc>
          <w:tcPr>
            <w:tcW w:w="992" w:type="dxa"/>
            <w:vAlign w:val="center"/>
          </w:tcPr>
          <w:p w14:paraId="017DE8F4"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7,40</w:t>
            </w:r>
          </w:p>
        </w:tc>
        <w:tc>
          <w:tcPr>
            <w:tcW w:w="992" w:type="dxa"/>
            <w:vAlign w:val="center"/>
          </w:tcPr>
          <w:p w14:paraId="565E8F90" w14:textId="77777777" w:rsidR="00784A64" w:rsidRPr="00A447A9" w:rsidRDefault="00784A64" w:rsidP="00784A64">
            <w:pPr>
              <w:pStyle w:val="CommentText"/>
              <w:keepNext w:val="0"/>
              <w:tabs>
                <w:tab w:val="clear" w:pos="3969"/>
              </w:tabs>
              <w:spacing w:before="120" w:after="120"/>
              <w:jc w:val="center"/>
              <w:rPr>
                <w:rFonts w:cs="Arial"/>
                <w:szCs w:val="24"/>
              </w:rPr>
            </w:pPr>
            <w:r w:rsidRPr="00A447A9">
              <w:rPr>
                <w:rFonts w:cs="Arial"/>
                <w:szCs w:val="24"/>
              </w:rPr>
              <w:t>6,00</w:t>
            </w:r>
          </w:p>
        </w:tc>
        <w:tc>
          <w:tcPr>
            <w:tcW w:w="1168" w:type="dxa"/>
            <w:vAlign w:val="center"/>
          </w:tcPr>
          <w:p w14:paraId="04B666A0" w14:textId="77777777" w:rsidR="00784A64" w:rsidRPr="00A447A9" w:rsidRDefault="00784A64" w:rsidP="00784A64">
            <w:pPr>
              <w:pStyle w:val="CommentText"/>
              <w:keepNext w:val="0"/>
              <w:tabs>
                <w:tab w:val="clear" w:pos="3969"/>
              </w:tabs>
              <w:spacing w:before="120" w:after="120"/>
              <w:jc w:val="center"/>
              <w:rPr>
                <w:rFonts w:cs="Arial"/>
                <w:bCs/>
                <w:szCs w:val="24"/>
              </w:rPr>
            </w:pPr>
            <w:r w:rsidRPr="00A447A9">
              <w:rPr>
                <w:rFonts w:cs="Arial"/>
                <w:bCs/>
                <w:szCs w:val="24"/>
                <w:lang w:val="en-CA"/>
              </w:rPr>
              <w:t>6,50</w:t>
            </w:r>
          </w:p>
        </w:tc>
        <w:tc>
          <w:tcPr>
            <w:tcW w:w="1168" w:type="dxa"/>
            <w:vAlign w:val="center"/>
          </w:tcPr>
          <w:p w14:paraId="4BE00BB7" w14:textId="06F8E1F2"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0,86</w:t>
            </w:r>
          </w:p>
        </w:tc>
        <w:tc>
          <w:tcPr>
            <w:tcW w:w="1168" w:type="dxa"/>
            <w:vAlign w:val="center"/>
          </w:tcPr>
          <w:p w14:paraId="1AA3C9F2" w14:textId="0426B5EA"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0,32</w:t>
            </w:r>
          </w:p>
        </w:tc>
        <w:tc>
          <w:tcPr>
            <w:tcW w:w="1168" w:type="dxa"/>
            <w:vAlign w:val="center"/>
          </w:tcPr>
          <w:p w14:paraId="0FF04E78" w14:textId="6C7F911F" w:rsidR="00784A64" w:rsidRPr="00A447A9" w:rsidRDefault="00784A64" w:rsidP="00784A64">
            <w:pPr>
              <w:pStyle w:val="CommentText"/>
              <w:keepNext w:val="0"/>
              <w:tabs>
                <w:tab w:val="clear" w:pos="3969"/>
              </w:tabs>
              <w:spacing w:before="120" w:after="120"/>
              <w:jc w:val="center"/>
              <w:rPr>
                <w:rFonts w:cs="Arial"/>
                <w:bCs/>
                <w:szCs w:val="24"/>
                <w:lang w:val="en-CA"/>
              </w:rPr>
            </w:pPr>
            <w:r w:rsidRPr="00A447A9">
              <w:rPr>
                <w:rFonts w:cs="Arial"/>
                <w:bCs/>
                <w:szCs w:val="24"/>
                <w:lang w:val="en-CA"/>
              </w:rPr>
              <w:t>0,25</w:t>
            </w:r>
          </w:p>
        </w:tc>
        <w:tc>
          <w:tcPr>
            <w:tcW w:w="1140" w:type="dxa"/>
            <w:vAlign w:val="bottom"/>
          </w:tcPr>
          <w:p w14:paraId="5E6C5B07" w14:textId="37DFF324" w:rsidR="00784A64" w:rsidRPr="00784A64" w:rsidRDefault="00784A64" w:rsidP="00784A64">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0,45</w:t>
            </w:r>
          </w:p>
        </w:tc>
        <w:tc>
          <w:tcPr>
            <w:tcW w:w="1134" w:type="dxa"/>
            <w:vAlign w:val="bottom"/>
          </w:tcPr>
          <w:p w14:paraId="77B7C4B7" w14:textId="24E020F9" w:rsidR="00784A64" w:rsidRPr="00316277" w:rsidRDefault="00784A64" w:rsidP="00784A64">
            <w:pPr>
              <w:pStyle w:val="CommentText"/>
              <w:keepNext w:val="0"/>
              <w:tabs>
                <w:tab w:val="clear" w:pos="3969"/>
              </w:tabs>
              <w:spacing w:before="120" w:after="120"/>
              <w:jc w:val="center"/>
              <w:rPr>
                <w:rFonts w:cs="Arial"/>
                <w:bCs/>
                <w:szCs w:val="24"/>
                <w:lang w:val="en-CA"/>
              </w:rPr>
            </w:pPr>
            <w:r w:rsidRPr="00316277">
              <w:rPr>
                <w:rFonts w:cs="Arial"/>
                <w:color w:val="000000"/>
                <w:szCs w:val="24"/>
              </w:rPr>
              <w:t>0,60</w:t>
            </w:r>
          </w:p>
        </w:tc>
      </w:tr>
      <w:tr w:rsidR="001B5473" w:rsidRPr="00635C98" w14:paraId="4E40559F" w14:textId="6002A361" w:rsidTr="00784A64">
        <w:trPr>
          <w:cantSplit/>
        </w:trPr>
        <w:tc>
          <w:tcPr>
            <w:tcW w:w="3768" w:type="dxa"/>
          </w:tcPr>
          <w:p w14:paraId="61A59DBA" w14:textId="5EDD2DDC" w:rsidR="001B5473" w:rsidRPr="00635C98" w:rsidRDefault="001B5473" w:rsidP="001B5473">
            <w:pPr>
              <w:pStyle w:val="CommentText"/>
              <w:keepNext w:val="0"/>
              <w:tabs>
                <w:tab w:val="clear" w:pos="3969"/>
              </w:tabs>
              <w:spacing w:before="120" w:after="120"/>
            </w:pPr>
            <w:r w:rsidRPr="00635C98">
              <w:t>Édouard</w:t>
            </w:r>
            <w:r>
              <w:noBreakHyphen/>
            </w:r>
            <w:r w:rsidRPr="00635C98">
              <w:t>Montpetit</w:t>
            </w:r>
          </w:p>
        </w:tc>
        <w:tc>
          <w:tcPr>
            <w:tcW w:w="1047" w:type="dxa"/>
            <w:vAlign w:val="center"/>
          </w:tcPr>
          <w:p w14:paraId="29A0C170" w14:textId="162AD388"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1,17</w:t>
            </w:r>
          </w:p>
        </w:tc>
        <w:tc>
          <w:tcPr>
            <w:tcW w:w="992" w:type="dxa"/>
            <w:vAlign w:val="center"/>
          </w:tcPr>
          <w:p w14:paraId="1729A980" w14:textId="50FF055E"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7,80</w:t>
            </w:r>
          </w:p>
        </w:tc>
        <w:tc>
          <w:tcPr>
            <w:tcW w:w="992" w:type="dxa"/>
            <w:vAlign w:val="center"/>
          </w:tcPr>
          <w:p w14:paraId="345855BD" w14:textId="10107CAD"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2,23</w:t>
            </w:r>
          </w:p>
        </w:tc>
        <w:tc>
          <w:tcPr>
            <w:tcW w:w="1168" w:type="dxa"/>
            <w:vAlign w:val="center"/>
          </w:tcPr>
          <w:p w14:paraId="3BDDFD04" w14:textId="022D8902"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5,77</w:t>
            </w:r>
          </w:p>
        </w:tc>
        <w:tc>
          <w:tcPr>
            <w:tcW w:w="1168" w:type="dxa"/>
            <w:vAlign w:val="center"/>
          </w:tcPr>
          <w:p w14:paraId="326C9720" w14:textId="65EFE1D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w:t>
            </w:r>
            <w:r>
              <w:rPr>
                <w:rFonts w:cs="Arial"/>
                <w:bCs/>
                <w:szCs w:val="24"/>
                <w:lang w:val="en-CA"/>
              </w:rPr>
              <w:t>64</w:t>
            </w:r>
          </w:p>
        </w:tc>
        <w:tc>
          <w:tcPr>
            <w:tcW w:w="1168" w:type="dxa"/>
            <w:vAlign w:val="center"/>
          </w:tcPr>
          <w:p w14:paraId="3063DC3A" w14:textId="5763FE14"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0,50</w:t>
            </w:r>
          </w:p>
        </w:tc>
        <w:tc>
          <w:tcPr>
            <w:tcW w:w="1168" w:type="dxa"/>
            <w:vAlign w:val="center"/>
          </w:tcPr>
          <w:p w14:paraId="1668CF1D" w14:textId="3C72DC1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0,24</w:t>
            </w:r>
          </w:p>
        </w:tc>
        <w:tc>
          <w:tcPr>
            <w:tcW w:w="1140" w:type="dxa"/>
            <w:vAlign w:val="bottom"/>
          </w:tcPr>
          <w:p w14:paraId="08EFE6DC" w14:textId="2F85B7A9"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0,6</w:t>
            </w:r>
            <w:r w:rsidR="00F81ACE" w:rsidRPr="00316277">
              <w:rPr>
                <w:rFonts w:cs="Arial"/>
                <w:color w:val="000000"/>
                <w:szCs w:val="24"/>
              </w:rPr>
              <w:t>1</w:t>
            </w:r>
          </w:p>
        </w:tc>
        <w:tc>
          <w:tcPr>
            <w:tcW w:w="1134" w:type="dxa"/>
            <w:vAlign w:val="bottom"/>
          </w:tcPr>
          <w:p w14:paraId="6042A6AA" w14:textId="548A77D2"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0,44</w:t>
            </w:r>
          </w:p>
        </w:tc>
      </w:tr>
      <w:tr w:rsidR="001B5473" w:rsidRPr="00635C98" w14:paraId="07D92DD4" w14:textId="7800AD35" w:rsidTr="00005850">
        <w:trPr>
          <w:cantSplit/>
        </w:trPr>
        <w:tc>
          <w:tcPr>
            <w:tcW w:w="3768" w:type="dxa"/>
          </w:tcPr>
          <w:p w14:paraId="1521A66E" w14:textId="6F42DE74" w:rsidR="001B5473" w:rsidRPr="00635C98" w:rsidRDefault="001B5473" w:rsidP="001B5473">
            <w:pPr>
              <w:pStyle w:val="CommentText"/>
              <w:keepNext w:val="0"/>
              <w:tabs>
                <w:tab w:val="clear" w:pos="3969"/>
              </w:tabs>
              <w:spacing w:before="120" w:after="120"/>
            </w:pPr>
            <w:r w:rsidRPr="00635C98">
              <w:t>Garneau</w:t>
            </w:r>
          </w:p>
        </w:tc>
        <w:tc>
          <w:tcPr>
            <w:tcW w:w="1047" w:type="dxa"/>
            <w:vAlign w:val="center"/>
          </w:tcPr>
          <w:p w14:paraId="46FA927E" w14:textId="71040701"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0,78</w:t>
            </w:r>
          </w:p>
        </w:tc>
        <w:tc>
          <w:tcPr>
            <w:tcW w:w="992" w:type="dxa"/>
            <w:vAlign w:val="center"/>
          </w:tcPr>
          <w:p w14:paraId="15D2BF06" w14:textId="4E7AB519"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5,80</w:t>
            </w:r>
          </w:p>
        </w:tc>
        <w:tc>
          <w:tcPr>
            <w:tcW w:w="992" w:type="dxa"/>
            <w:vAlign w:val="center"/>
          </w:tcPr>
          <w:p w14:paraId="50F6F516" w14:textId="28A959EF"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1,79</w:t>
            </w:r>
          </w:p>
        </w:tc>
        <w:tc>
          <w:tcPr>
            <w:tcW w:w="1168" w:type="dxa"/>
            <w:vAlign w:val="center"/>
          </w:tcPr>
          <w:p w14:paraId="2D2537C4" w14:textId="0BA2BDA3"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5,03</w:t>
            </w:r>
          </w:p>
        </w:tc>
        <w:tc>
          <w:tcPr>
            <w:tcW w:w="1168" w:type="dxa"/>
            <w:vAlign w:val="center"/>
          </w:tcPr>
          <w:p w14:paraId="74818894" w14:textId="46D5AFE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0,57</w:t>
            </w:r>
          </w:p>
        </w:tc>
        <w:tc>
          <w:tcPr>
            <w:tcW w:w="1168" w:type="dxa"/>
            <w:vAlign w:val="center"/>
          </w:tcPr>
          <w:p w14:paraId="5E5E5689" w14:textId="0459F86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0,65</w:t>
            </w:r>
          </w:p>
        </w:tc>
        <w:tc>
          <w:tcPr>
            <w:tcW w:w="1168" w:type="dxa"/>
            <w:vAlign w:val="center"/>
          </w:tcPr>
          <w:p w14:paraId="2F5248F7" w14:textId="0D245FA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0,28</w:t>
            </w:r>
          </w:p>
        </w:tc>
        <w:tc>
          <w:tcPr>
            <w:tcW w:w="1140" w:type="dxa"/>
            <w:vAlign w:val="bottom"/>
          </w:tcPr>
          <w:p w14:paraId="7E80C13D" w14:textId="47753180"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0,42</w:t>
            </w:r>
          </w:p>
        </w:tc>
        <w:tc>
          <w:tcPr>
            <w:tcW w:w="1134" w:type="dxa"/>
            <w:vAlign w:val="bottom"/>
          </w:tcPr>
          <w:p w14:paraId="4D01C835" w14:textId="75F8D41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0,35</w:t>
            </w:r>
          </w:p>
        </w:tc>
      </w:tr>
      <w:tr w:rsidR="001B5473" w:rsidRPr="00635C98" w14:paraId="504EC080" w14:textId="586A8021" w:rsidTr="00784A64">
        <w:trPr>
          <w:cantSplit/>
        </w:trPr>
        <w:tc>
          <w:tcPr>
            <w:tcW w:w="3768" w:type="dxa"/>
          </w:tcPr>
          <w:p w14:paraId="31BFC667" w14:textId="11ED9FB0" w:rsidR="001B5473" w:rsidRPr="00635C98" w:rsidRDefault="001B5473" w:rsidP="001B5473">
            <w:pPr>
              <w:pStyle w:val="CommentText"/>
              <w:keepNext w:val="0"/>
              <w:tabs>
                <w:tab w:val="clear" w:pos="3969"/>
              </w:tabs>
              <w:spacing w:before="120" w:after="120"/>
            </w:pPr>
            <w:r w:rsidRPr="00635C98">
              <w:t>Gaspésie et des Îles :</w:t>
            </w:r>
          </w:p>
        </w:tc>
        <w:tc>
          <w:tcPr>
            <w:tcW w:w="1047" w:type="dxa"/>
            <w:vAlign w:val="center"/>
          </w:tcPr>
          <w:p w14:paraId="252B3396"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992" w:type="dxa"/>
            <w:vAlign w:val="center"/>
          </w:tcPr>
          <w:p w14:paraId="0566D6FD"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992" w:type="dxa"/>
            <w:vAlign w:val="center"/>
          </w:tcPr>
          <w:p w14:paraId="5552650D"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1168" w:type="dxa"/>
            <w:vAlign w:val="center"/>
          </w:tcPr>
          <w:p w14:paraId="54FB85F4" w14:textId="77777777" w:rsidR="001B5473" w:rsidRPr="00A447A9" w:rsidRDefault="001B5473" w:rsidP="001B5473">
            <w:pPr>
              <w:pStyle w:val="CommentText"/>
              <w:keepNext w:val="0"/>
              <w:tabs>
                <w:tab w:val="clear" w:pos="3969"/>
              </w:tabs>
              <w:spacing w:before="120" w:after="120"/>
              <w:jc w:val="center"/>
              <w:rPr>
                <w:rFonts w:cs="Arial"/>
                <w:bCs/>
                <w:szCs w:val="24"/>
              </w:rPr>
            </w:pPr>
          </w:p>
        </w:tc>
        <w:tc>
          <w:tcPr>
            <w:tcW w:w="1168" w:type="dxa"/>
            <w:vAlign w:val="center"/>
          </w:tcPr>
          <w:p w14:paraId="7C8EF8C2" w14:textId="4DE2527F" w:rsidR="001B5473" w:rsidRPr="00A447A9" w:rsidRDefault="001B5473" w:rsidP="001B5473">
            <w:pPr>
              <w:pStyle w:val="CommentText"/>
              <w:keepNext w:val="0"/>
              <w:tabs>
                <w:tab w:val="clear" w:pos="3969"/>
              </w:tabs>
              <w:spacing w:before="120" w:after="120"/>
              <w:jc w:val="center"/>
              <w:rPr>
                <w:rFonts w:cs="Arial"/>
                <w:bCs/>
                <w:szCs w:val="24"/>
              </w:rPr>
            </w:pPr>
          </w:p>
        </w:tc>
        <w:tc>
          <w:tcPr>
            <w:tcW w:w="1168" w:type="dxa"/>
            <w:vAlign w:val="center"/>
          </w:tcPr>
          <w:p w14:paraId="76FDA8B4" w14:textId="77777777" w:rsidR="001B5473" w:rsidRPr="00A447A9" w:rsidRDefault="001B5473" w:rsidP="001B5473">
            <w:pPr>
              <w:pStyle w:val="CommentText"/>
              <w:keepNext w:val="0"/>
              <w:tabs>
                <w:tab w:val="clear" w:pos="3969"/>
              </w:tabs>
              <w:spacing w:before="120" w:after="120"/>
              <w:jc w:val="center"/>
              <w:rPr>
                <w:rFonts w:cs="Arial"/>
                <w:bCs/>
                <w:szCs w:val="24"/>
              </w:rPr>
            </w:pPr>
          </w:p>
        </w:tc>
        <w:tc>
          <w:tcPr>
            <w:tcW w:w="1168" w:type="dxa"/>
            <w:vAlign w:val="center"/>
          </w:tcPr>
          <w:p w14:paraId="6F9015F5" w14:textId="77777777" w:rsidR="001B5473" w:rsidRPr="00A447A9" w:rsidRDefault="001B5473" w:rsidP="001B5473">
            <w:pPr>
              <w:pStyle w:val="CommentText"/>
              <w:keepNext w:val="0"/>
              <w:tabs>
                <w:tab w:val="clear" w:pos="3969"/>
              </w:tabs>
              <w:spacing w:before="120" w:after="120"/>
              <w:jc w:val="center"/>
              <w:rPr>
                <w:rFonts w:cs="Arial"/>
                <w:bCs/>
                <w:szCs w:val="24"/>
              </w:rPr>
            </w:pPr>
          </w:p>
        </w:tc>
        <w:tc>
          <w:tcPr>
            <w:tcW w:w="1140" w:type="dxa"/>
          </w:tcPr>
          <w:p w14:paraId="1BD8E11F" w14:textId="77777777" w:rsidR="001B5473" w:rsidRPr="001B5473" w:rsidRDefault="001B5473" w:rsidP="001B5473">
            <w:pPr>
              <w:pStyle w:val="CommentText"/>
              <w:keepNext w:val="0"/>
              <w:tabs>
                <w:tab w:val="clear" w:pos="3969"/>
              </w:tabs>
              <w:spacing w:before="120" w:after="120"/>
              <w:jc w:val="center"/>
              <w:rPr>
                <w:rFonts w:cs="Arial"/>
                <w:bCs/>
                <w:szCs w:val="24"/>
                <w:highlight w:val="lightGray"/>
              </w:rPr>
            </w:pPr>
          </w:p>
        </w:tc>
        <w:tc>
          <w:tcPr>
            <w:tcW w:w="1134" w:type="dxa"/>
          </w:tcPr>
          <w:p w14:paraId="08C25AE4" w14:textId="77777777" w:rsidR="001B5473" w:rsidRPr="00316277" w:rsidRDefault="001B5473" w:rsidP="001B5473">
            <w:pPr>
              <w:pStyle w:val="CommentText"/>
              <w:keepNext w:val="0"/>
              <w:tabs>
                <w:tab w:val="clear" w:pos="3969"/>
              </w:tabs>
              <w:spacing w:before="120" w:after="120"/>
              <w:jc w:val="center"/>
              <w:rPr>
                <w:rFonts w:cs="Arial"/>
                <w:bCs/>
                <w:szCs w:val="24"/>
              </w:rPr>
            </w:pPr>
          </w:p>
        </w:tc>
      </w:tr>
      <w:tr w:rsidR="001B5473" w:rsidRPr="00635C98" w14:paraId="1D2C919C" w14:textId="23259BB2" w:rsidTr="00005850">
        <w:trPr>
          <w:cantSplit/>
        </w:trPr>
        <w:tc>
          <w:tcPr>
            <w:tcW w:w="3768" w:type="dxa"/>
          </w:tcPr>
          <w:p w14:paraId="783BC6B0" w14:textId="6C8242A0" w:rsidR="001B5473" w:rsidRPr="00635C98" w:rsidRDefault="001B5473" w:rsidP="001B5473">
            <w:pPr>
              <w:pStyle w:val="CommentText"/>
              <w:keepNext w:val="0"/>
              <w:tabs>
                <w:tab w:val="clear" w:pos="3969"/>
                <w:tab w:val="left" w:pos="208"/>
              </w:tabs>
              <w:spacing w:before="120" w:after="120"/>
            </w:pPr>
            <w:r w:rsidRPr="00635C98">
              <w:tab/>
              <w:t xml:space="preserve">CEC </w:t>
            </w:r>
            <w:r w:rsidRPr="005D41F7">
              <w:t>Carleton</w:t>
            </w:r>
            <w:r>
              <w:noBreakHyphen/>
            </w:r>
            <w:r w:rsidRPr="005D41F7">
              <w:t>sur</w:t>
            </w:r>
            <w:r>
              <w:noBreakHyphen/>
              <w:t>M</w:t>
            </w:r>
            <w:r w:rsidRPr="005D41F7">
              <w:t>er</w:t>
            </w:r>
          </w:p>
        </w:tc>
        <w:tc>
          <w:tcPr>
            <w:tcW w:w="1047" w:type="dxa"/>
            <w:vAlign w:val="center"/>
          </w:tcPr>
          <w:p w14:paraId="28424620" w14:textId="37F1411E"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1,89</w:t>
            </w:r>
          </w:p>
        </w:tc>
        <w:tc>
          <w:tcPr>
            <w:tcW w:w="992" w:type="dxa"/>
            <w:vAlign w:val="center"/>
          </w:tcPr>
          <w:p w14:paraId="1188FA97" w14:textId="0A489859" w:rsidR="001B5473" w:rsidRPr="00A447A9" w:rsidRDefault="001B5473" w:rsidP="001B5473">
            <w:pPr>
              <w:pStyle w:val="CommentText"/>
              <w:keepNext w:val="0"/>
              <w:tabs>
                <w:tab w:val="clear" w:pos="3969"/>
              </w:tabs>
              <w:spacing w:before="120" w:after="120"/>
              <w:jc w:val="center"/>
              <w:rPr>
                <w:rFonts w:cs="Arial"/>
                <w:dstrike/>
                <w:szCs w:val="24"/>
              </w:rPr>
            </w:pPr>
            <w:r w:rsidRPr="00A447A9">
              <w:rPr>
                <w:rFonts w:cs="Arial"/>
                <w:szCs w:val="24"/>
              </w:rPr>
              <w:t>1,25</w:t>
            </w:r>
          </w:p>
        </w:tc>
        <w:tc>
          <w:tcPr>
            <w:tcW w:w="992" w:type="dxa"/>
            <w:vAlign w:val="center"/>
          </w:tcPr>
          <w:p w14:paraId="4F0238D7" w14:textId="62E9A27C"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0,20</w:t>
            </w:r>
          </w:p>
        </w:tc>
        <w:tc>
          <w:tcPr>
            <w:tcW w:w="1168" w:type="dxa"/>
            <w:vAlign w:val="center"/>
          </w:tcPr>
          <w:p w14:paraId="234B5C9C" w14:textId="24B2D5BC"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0,48</w:t>
            </w:r>
          </w:p>
        </w:tc>
        <w:tc>
          <w:tcPr>
            <w:tcW w:w="1168" w:type="dxa"/>
            <w:vAlign w:val="center"/>
          </w:tcPr>
          <w:p w14:paraId="72B08847" w14:textId="4CD05D3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0,21</w:t>
            </w:r>
          </w:p>
        </w:tc>
        <w:tc>
          <w:tcPr>
            <w:tcW w:w="1168" w:type="dxa"/>
            <w:vAlign w:val="center"/>
          </w:tcPr>
          <w:p w14:paraId="0F4B3005" w14:textId="1898FFF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065458A4" w14:textId="4D226D3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5FC05040" w14:textId="3CC5536A"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0,04</w:t>
            </w:r>
          </w:p>
        </w:tc>
        <w:tc>
          <w:tcPr>
            <w:tcW w:w="1134" w:type="dxa"/>
            <w:vAlign w:val="bottom"/>
          </w:tcPr>
          <w:p w14:paraId="74D2BE59" w14:textId="791DE152"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0,14</w:t>
            </w:r>
          </w:p>
        </w:tc>
      </w:tr>
      <w:tr w:rsidR="001B5473" w:rsidRPr="00635C98" w14:paraId="0EEB4FF3" w14:textId="53DD4F7F" w:rsidTr="00005850">
        <w:trPr>
          <w:cantSplit/>
        </w:trPr>
        <w:tc>
          <w:tcPr>
            <w:tcW w:w="3768" w:type="dxa"/>
          </w:tcPr>
          <w:p w14:paraId="51DAC558" w14:textId="7D64D7E6" w:rsidR="001B5473" w:rsidRPr="00635C98" w:rsidRDefault="001B5473" w:rsidP="001B5473">
            <w:pPr>
              <w:pStyle w:val="CommentText"/>
              <w:keepNext w:val="0"/>
              <w:tabs>
                <w:tab w:val="clear" w:pos="3969"/>
                <w:tab w:val="left" w:pos="208"/>
              </w:tabs>
              <w:spacing w:before="120" w:after="120"/>
              <w:ind w:left="208" w:hanging="208"/>
            </w:pPr>
            <w:r w:rsidRPr="00635C98">
              <w:tab/>
            </w:r>
            <w:r w:rsidRPr="0026397C">
              <w:rPr>
                <w:rFonts w:cs="Arial"/>
                <w:color w:val="000000"/>
                <w:szCs w:val="24"/>
                <w:lang w:eastAsia="fr-CA"/>
              </w:rPr>
              <w:t>École des pêches et de l'aquaculture du Québec</w:t>
            </w:r>
          </w:p>
        </w:tc>
        <w:tc>
          <w:tcPr>
            <w:tcW w:w="1047" w:type="dxa"/>
            <w:vAlign w:val="center"/>
          </w:tcPr>
          <w:p w14:paraId="50D1993C" w14:textId="3A1E97C8"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1,45</w:t>
            </w:r>
          </w:p>
        </w:tc>
        <w:tc>
          <w:tcPr>
            <w:tcW w:w="992" w:type="dxa"/>
            <w:vAlign w:val="center"/>
          </w:tcPr>
          <w:p w14:paraId="13F06B97" w14:textId="33236C49"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1,65</w:t>
            </w:r>
          </w:p>
        </w:tc>
        <w:tc>
          <w:tcPr>
            <w:tcW w:w="992" w:type="dxa"/>
            <w:vAlign w:val="center"/>
          </w:tcPr>
          <w:p w14:paraId="095C3CB3" w14:textId="5D241F22"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0,76</w:t>
            </w:r>
          </w:p>
        </w:tc>
        <w:tc>
          <w:tcPr>
            <w:tcW w:w="1168" w:type="dxa"/>
            <w:vAlign w:val="center"/>
          </w:tcPr>
          <w:p w14:paraId="32916563" w14:textId="0BE63AE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0,28</w:t>
            </w:r>
          </w:p>
        </w:tc>
        <w:tc>
          <w:tcPr>
            <w:tcW w:w="1168" w:type="dxa"/>
            <w:vAlign w:val="center"/>
          </w:tcPr>
          <w:p w14:paraId="58B233DB" w14:textId="7DC9D82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0,04</w:t>
            </w:r>
          </w:p>
        </w:tc>
        <w:tc>
          <w:tcPr>
            <w:tcW w:w="1168" w:type="dxa"/>
            <w:vAlign w:val="center"/>
          </w:tcPr>
          <w:p w14:paraId="3256DD27" w14:textId="48DA5D0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6B3E0046" w14:textId="3754A70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22CC6158" w14:textId="4598361F"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0,02</w:t>
            </w:r>
          </w:p>
        </w:tc>
        <w:tc>
          <w:tcPr>
            <w:tcW w:w="1134" w:type="dxa"/>
            <w:vAlign w:val="bottom"/>
          </w:tcPr>
          <w:p w14:paraId="6C3F9C04" w14:textId="7B610BCA"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0,02</w:t>
            </w:r>
          </w:p>
        </w:tc>
      </w:tr>
      <w:tr w:rsidR="001B5473" w:rsidRPr="00635C98" w14:paraId="253FF9B0" w14:textId="5F514055" w:rsidTr="00005850">
        <w:trPr>
          <w:cantSplit/>
        </w:trPr>
        <w:tc>
          <w:tcPr>
            <w:tcW w:w="3768" w:type="dxa"/>
          </w:tcPr>
          <w:p w14:paraId="7466CD9A" w14:textId="735D0232" w:rsidR="001B5473" w:rsidRPr="00635C98" w:rsidRDefault="001B5473" w:rsidP="001B5473">
            <w:pPr>
              <w:pStyle w:val="CommentText"/>
              <w:keepNext w:val="0"/>
              <w:tabs>
                <w:tab w:val="clear" w:pos="3969"/>
              </w:tabs>
              <w:spacing w:before="120" w:after="120"/>
              <w:rPr>
                <w:lang w:val="en-CA"/>
              </w:rPr>
            </w:pPr>
            <w:r w:rsidRPr="00635C98">
              <w:rPr>
                <w:lang w:val="en-CA"/>
              </w:rPr>
              <w:t>Granby</w:t>
            </w:r>
            <w:r w:rsidRPr="00635C98">
              <w:t xml:space="preserve"> </w:t>
            </w:r>
          </w:p>
        </w:tc>
        <w:tc>
          <w:tcPr>
            <w:tcW w:w="1047" w:type="dxa"/>
            <w:vAlign w:val="center"/>
          </w:tcPr>
          <w:p w14:paraId="26EA9338" w14:textId="1E6D0B9F"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1,41</w:t>
            </w:r>
          </w:p>
        </w:tc>
        <w:tc>
          <w:tcPr>
            <w:tcW w:w="992" w:type="dxa"/>
            <w:vAlign w:val="center"/>
          </w:tcPr>
          <w:p w14:paraId="101E9201" w14:textId="00B69A95"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1,50</w:t>
            </w:r>
          </w:p>
        </w:tc>
        <w:tc>
          <w:tcPr>
            <w:tcW w:w="992" w:type="dxa"/>
            <w:vAlign w:val="center"/>
          </w:tcPr>
          <w:p w14:paraId="7FD3EEDA" w14:textId="6D5D7379"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0,47</w:t>
            </w:r>
          </w:p>
        </w:tc>
        <w:tc>
          <w:tcPr>
            <w:tcW w:w="1168" w:type="dxa"/>
            <w:vAlign w:val="center"/>
          </w:tcPr>
          <w:p w14:paraId="007F0DC5" w14:textId="3BB4F2A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2,01</w:t>
            </w:r>
          </w:p>
        </w:tc>
        <w:tc>
          <w:tcPr>
            <w:tcW w:w="1168" w:type="dxa"/>
            <w:vAlign w:val="center"/>
          </w:tcPr>
          <w:p w14:paraId="4EFDE2C3" w14:textId="2A0A773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68" w:type="dxa"/>
            <w:vAlign w:val="center"/>
          </w:tcPr>
          <w:p w14:paraId="7DFCA33E" w14:textId="01393DFD"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0,23</w:t>
            </w:r>
          </w:p>
        </w:tc>
        <w:tc>
          <w:tcPr>
            <w:tcW w:w="1168" w:type="dxa"/>
            <w:vAlign w:val="center"/>
          </w:tcPr>
          <w:p w14:paraId="15C517BD" w14:textId="3A87587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64295A99" w14:textId="755A5982"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0,20</w:t>
            </w:r>
          </w:p>
        </w:tc>
        <w:tc>
          <w:tcPr>
            <w:tcW w:w="1134" w:type="dxa"/>
            <w:vAlign w:val="bottom"/>
          </w:tcPr>
          <w:p w14:paraId="4B1DF8E3" w14:textId="2628CB43"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0,28</w:t>
            </w:r>
          </w:p>
        </w:tc>
      </w:tr>
      <w:tr w:rsidR="001B5473" w:rsidRPr="00635C98" w14:paraId="4B28BE26" w14:textId="57E1E78B" w:rsidTr="00005850">
        <w:trPr>
          <w:cantSplit/>
        </w:trPr>
        <w:tc>
          <w:tcPr>
            <w:tcW w:w="3768" w:type="dxa"/>
          </w:tcPr>
          <w:p w14:paraId="225A947B" w14:textId="77777777" w:rsidR="001B5473" w:rsidRPr="00635C98" w:rsidRDefault="001B5473" w:rsidP="001B5473">
            <w:pPr>
              <w:pStyle w:val="CommentText"/>
              <w:keepNext w:val="0"/>
              <w:tabs>
                <w:tab w:val="clear" w:pos="3969"/>
              </w:tabs>
              <w:spacing w:before="120" w:after="120"/>
              <w:jc w:val="left"/>
              <w:rPr>
                <w:lang w:val="en-CA"/>
              </w:rPr>
            </w:pPr>
            <w:r w:rsidRPr="00635C98">
              <w:rPr>
                <w:lang w:val="en-CA"/>
              </w:rPr>
              <w:t>Heritage</w:t>
            </w:r>
          </w:p>
        </w:tc>
        <w:tc>
          <w:tcPr>
            <w:tcW w:w="1047" w:type="dxa"/>
            <w:vAlign w:val="center"/>
          </w:tcPr>
          <w:p w14:paraId="07FEF2DD" w14:textId="5CDE9E86"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3,10</w:t>
            </w:r>
          </w:p>
        </w:tc>
        <w:tc>
          <w:tcPr>
            <w:tcW w:w="992" w:type="dxa"/>
            <w:vAlign w:val="center"/>
          </w:tcPr>
          <w:p w14:paraId="5AB7BEA5" w14:textId="05814E74"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1,55</w:t>
            </w:r>
          </w:p>
        </w:tc>
        <w:tc>
          <w:tcPr>
            <w:tcW w:w="992" w:type="dxa"/>
            <w:vAlign w:val="center"/>
          </w:tcPr>
          <w:p w14:paraId="5619A488" w14:textId="64837E24"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0,80</w:t>
            </w:r>
          </w:p>
        </w:tc>
        <w:tc>
          <w:tcPr>
            <w:tcW w:w="1168" w:type="dxa"/>
            <w:vAlign w:val="center"/>
          </w:tcPr>
          <w:p w14:paraId="30C9DCCF" w14:textId="2AE6136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1,16</w:t>
            </w:r>
          </w:p>
        </w:tc>
        <w:tc>
          <w:tcPr>
            <w:tcW w:w="1168" w:type="dxa"/>
            <w:vAlign w:val="center"/>
          </w:tcPr>
          <w:p w14:paraId="6480AD9D" w14:textId="5B69CD7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68" w:type="dxa"/>
            <w:vAlign w:val="center"/>
          </w:tcPr>
          <w:p w14:paraId="303C3D1F" w14:textId="70063E6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0,11</w:t>
            </w:r>
          </w:p>
        </w:tc>
        <w:tc>
          <w:tcPr>
            <w:tcW w:w="1168" w:type="dxa"/>
            <w:vAlign w:val="center"/>
          </w:tcPr>
          <w:p w14:paraId="5DF854EA" w14:textId="2D139B0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18C3B395" w14:textId="642E0EFD"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0,11</w:t>
            </w:r>
          </w:p>
        </w:tc>
        <w:tc>
          <w:tcPr>
            <w:tcW w:w="1134" w:type="dxa"/>
            <w:vAlign w:val="bottom"/>
          </w:tcPr>
          <w:p w14:paraId="107C997D" w14:textId="5601DE6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0,28</w:t>
            </w:r>
          </w:p>
        </w:tc>
      </w:tr>
      <w:tr w:rsidR="001B5473" w:rsidRPr="00635C98" w14:paraId="6D5431DB" w14:textId="171909A8" w:rsidTr="00005850">
        <w:trPr>
          <w:cantSplit/>
        </w:trPr>
        <w:tc>
          <w:tcPr>
            <w:tcW w:w="3768" w:type="dxa"/>
          </w:tcPr>
          <w:p w14:paraId="7513A68C" w14:textId="77777777" w:rsidR="001B5473" w:rsidRPr="00635C98" w:rsidRDefault="001B5473" w:rsidP="001B5473">
            <w:pPr>
              <w:pStyle w:val="CommentText"/>
              <w:keepNext w:val="0"/>
              <w:tabs>
                <w:tab w:val="clear" w:pos="3969"/>
              </w:tabs>
              <w:spacing w:before="120" w:after="120"/>
              <w:jc w:val="left"/>
              <w:rPr>
                <w:lang w:val="en-CA"/>
              </w:rPr>
            </w:pPr>
            <w:r w:rsidRPr="00635C98">
              <w:rPr>
                <w:lang w:val="en-CA"/>
              </w:rPr>
              <w:t>John Abbott</w:t>
            </w:r>
          </w:p>
        </w:tc>
        <w:tc>
          <w:tcPr>
            <w:tcW w:w="1047" w:type="dxa"/>
            <w:vAlign w:val="center"/>
          </w:tcPr>
          <w:p w14:paraId="0DE93489" w14:textId="2658E9D9"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5,20</w:t>
            </w:r>
          </w:p>
        </w:tc>
        <w:tc>
          <w:tcPr>
            <w:tcW w:w="992" w:type="dxa"/>
            <w:vAlign w:val="center"/>
          </w:tcPr>
          <w:p w14:paraId="46911FFF" w14:textId="49677D53"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7,00</w:t>
            </w:r>
          </w:p>
        </w:tc>
        <w:tc>
          <w:tcPr>
            <w:tcW w:w="992" w:type="dxa"/>
            <w:vAlign w:val="center"/>
          </w:tcPr>
          <w:p w14:paraId="48854444" w14:textId="02B3D593"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1,01</w:t>
            </w:r>
          </w:p>
        </w:tc>
        <w:tc>
          <w:tcPr>
            <w:tcW w:w="1168" w:type="dxa"/>
            <w:vAlign w:val="center"/>
          </w:tcPr>
          <w:p w14:paraId="3B98BB3F" w14:textId="6F2E5DA4"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4,78</w:t>
            </w:r>
          </w:p>
        </w:tc>
        <w:tc>
          <w:tcPr>
            <w:tcW w:w="1168" w:type="dxa"/>
            <w:vAlign w:val="center"/>
          </w:tcPr>
          <w:p w14:paraId="3AD73E44" w14:textId="70F8E15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0,68</w:t>
            </w:r>
          </w:p>
        </w:tc>
        <w:tc>
          <w:tcPr>
            <w:tcW w:w="1168" w:type="dxa"/>
            <w:vAlign w:val="center"/>
          </w:tcPr>
          <w:p w14:paraId="4CE8A51A" w14:textId="1AC8B23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0,30</w:t>
            </w:r>
          </w:p>
        </w:tc>
        <w:tc>
          <w:tcPr>
            <w:tcW w:w="1168" w:type="dxa"/>
            <w:vAlign w:val="center"/>
          </w:tcPr>
          <w:p w14:paraId="42E4E698" w14:textId="2842A06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0,20</w:t>
            </w:r>
          </w:p>
        </w:tc>
        <w:tc>
          <w:tcPr>
            <w:tcW w:w="1140" w:type="dxa"/>
            <w:vAlign w:val="bottom"/>
          </w:tcPr>
          <w:p w14:paraId="24069E5D" w14:textId="1F0F47D0"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0,30</w:t>
            </w:r>
          </w:p>
        </w:tc>
        <w:tc>
          <w:tcPr>
            <w:tcW w:w="1134" w:type="dxa"/>
            <w:vAlign w:val="bottom"/>
          </w:tcPr>
          <w:p w14:paraId="3694432E" w14:textId="2842AE3C"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0,46</w:t>
            </w:r>
          </w:p>
        </w:tc>
      </w:tr>
      <w:tr w:rsidR="001B5473" w:rsidRPr="00635C98" w14:paraId="08B3D2B7" w14:textId="70E20AAF" w:rsidTr="00005850">
        <w:trPr>
          <w:cantSplit/>
        </w:trPr>
        <w:tc>
          <w:tcPr>
            <w:tcW w:w="3768" w:type="dxa"/>
          </w:tcPr>
          <w:p w14:paraId="520993D2" w14:textId="77777777" w:rsidR="001B5473" w:rsidRPr="00635C98" w:rsidRDefault="001B5473" w:rsidP="001B5473">
            <w:pPr>
              <w:pStyle w:val="CommentText"/>
              <w:keepNext w:val="0"/>
              <w:tabs>
                <w:tab w:val="clear" w:pos="3969"/>
              </w:tabs>
              <w:spacing w:before="120" w:after="120"/>
              <w:jc w:val="left"/>
            </w:pPr>
            <w:r w:rsidRPr="00635C98">
              <w:t>Jonquière</w:t>
            </w:r>
          </w:p>
        </w:tc>
        <w:tc>
          <w:tcPr>
            <w:tcW w:w="1047" w:type="dxa"/>
            <w:vAlign w:val="center"/>
          </w:tcPr>
          <w:p w14:paraId="5478C378" w14:textId="58929A9A"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3,16</w:t>
            </w:r>
          </w:p>
        </w:tc>
        <w:tc>
          <w:tcPr>
            <w:tcW w:w="992" w:type="dxa"/>
            <w:vAlign w:val="center"/>
          </w:tcPr>
          <w:p w14:paraId="37EFA6D0" w14:textId="7A9A4386"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5,45</w:t>
            </w:r>
          </w:p>
        </w:tc>
        <w:tc>
          <w:tcPr>
            <w:tcW w:w="992" w:type="dxa"/>
            <w:vAlign w:val="center"/>
          </w:tcPr>
          <w:p w14:paraId="7FDF59B1" w14:textId="0039CC0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4,00</w:t>
            </w:r>
          </w:p>
        </w:tc>
        <w:tc>
          <w:tcPr>
            <w:tcW w:w="1168" w:type="dxa"/>
            <w:vAlign w:val="center"/>
          </w:tcPr>
          <w:p w14:paraId="3680DD3A" w14:textId="03C93D2E"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4,52</w:t>
            </w:r>
          </w:p>
        </w:tc>
        <w:tc>
          <w:tcPr>
            <w:tcW w:w="1168" w:type="dxa"/>
            <w:vAlign w:val="center"/>
          </w:tcPr>
          <w:p w14:paraId="7A0BEE2A" w14:textId="65F7953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0,87</w:t>
            </w:r>
          </w:p>
        </w:tc>
        <w:tc>
          <w:tcPr>
            <w:tcW w:w="1168" w:type="dxa"/>
            <w:vAlign w:val="center"/>
          </w:tcPr>
          <w:p w14:paraId="5B6B013A" w14:textId="7143707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0,12</w:t>
            </w:r>
          </w:p>
        </w:tc>
        <w:tc>
          <w:tcPr>
            <w:tcW w:w="1168" w:type="dxa"/>
            <w:vAlign w:val="center"/>
          </w:tcPr>
          <w:p w14:paraId="4F3301C0" w14:textId="6AFD74B1"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75B1624D" w14:textId="18728CC2"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0,50</w:t>
            </w:r>
          </w:p>
        </w:tc>
        <w:tc>
          <w:tcPr>
            <w:tcW w:w="1134" w:type="dxa"/>
            <w:vAlign w:val="bottom"/>
          </w:tcPr>
          <w:p w14:paraId="2AC0C6A6" w14:textId="7D8EBC06"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0,53</w:t>
            </w:r>
          </w:p>
        </w:tc>
      </w:tr>
      <w:tr w:rsidR="001B5473" w:rsidRPr="00635C98" w14:paraId="379D57CF" w14:textId="40919783" w:rsidTr="00005850">
        <w:trPr>
          <w:cantSplit/>
        </w:trPr>
        <w:tc>
          <w:tcPr>
            <w:tcW w:w="3768" w:type="dxa"/>
          </w:tcPr>
          <w:p w14:paraId="75A76562" w14:textId="77777777" w:rsidR="001B5473" w:rsidRPr="00635C98" w:rsidRDefault="001B5473" w:rsidP="001B5473">
            <w:pPr>
              <w:pStyle w:val="CommentText"/>
              <w:keepNext w:val="0"/>
              <w:tabs>
                <w:tab w:val="clear" w:pos="3969"/>
                <w:tab w:val="left" w:pos="208"/>
              </w:tabs>
              <w:spacing w:before="120" w:after="120"/>
              <w:jc w:val="left"/>
            </w:pPr>
            <w:r w:rsidRPr="00635C98">
              <w:tab/>
              <w:t>CEC en Charlevoix</w:t>
            </w:r>
          </w:p>
        </w:tc>
        <w:tc>
          <w:tcPr>
            <w:tcW w:w="1047" w:type="dxa"/>
            <w:vAlign w:val="center"/>
          </w:tcPr>
          <w:p w14:paraId="31E95591" w14:textId="3926CB8E"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0,68</w:t>
            </w:r>
          </w:p>
        </w:tc>
        <w:tc>
          <w:tcPr>
            <w:tcW w:w="992" w:type="dxa"/>
            <w:vAlign w:val="center"/>
          </w:tcPr>
          <w:p w14:paraId="5F8463FB" w14:textId="7CA14B1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1,25</w:t>
            </w:r>
          </w:p>
        </w:tc>
        <w:tc>
          <w:tcPr>
            <w:tcW w:w="992" w:type="dxa"/>
            <w:vAlign w:val="center"/>
          </w:tcPr>
          <w:p w14:paraId="74FC78E2" w14:textId="4391FD90"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0,20</w:t>
            </w:r>
          </w:p>
        </w:tc>
        <w:tc>
          <w:tcPr>
            <w:tcW w:w="1168" w:type="dxa"/>
            <w:vAlign w:val="center"/>
          </w:tcPr>
          <w:p w14:paraId="14B67B1A" w14:textId="2BAA60D5"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0,38</w:t>
            </w:r>
          </w:p>
        </w:tc>
        <w:tc>
          <w:tcPr>
            <w:tcW w:w="1168" w:type="dxa"/>
            <w:vAlign w:val="center"/>
          </w:tcPr>
          <w:p w14:paraId="1CC8E271" w14:textId="4F451DA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0,18</w:t>
            </w:r>
          </w:p>
        </w:tc>
        <w:tc>
          <w:tcPr>
            <w:tcW w:w="1168" w:type="dxa"/>
            <w:vAlign w:val="center"/>
          </w:tcPr>
          <w:p w14:paraId="04B86BA2" w14:textId="76D6623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0,01</w:t>
            </w:r>
          </w:p>
        </w:tc>
        <w:tc>
          <w:tcPr>
            <w:tcW w:w="1168" w:type="dxa"/>
            <w:vAlign w:val="center"/>
          </w:tcPr>
          <w:p w14:paraId="6FC95C5A" w14:textId="3E6F4D3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13759FF6" w14:textId="4EF24FAF"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2C6E41D3" w14:textId="40E7CD7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0,12</w:t>
            </w:r>
          </w:p>
        </w:tc>
      </w:tr>
      <w:tr w:rsidR="001B5473" w:rsidRPr="00635C98" w14:paraId="3F69EF0A" w14:textId="1CE00F33" w:rsidTr="00005850">
        <w:trPr>
          <w:cantSplit/>
        </w:trPr>
        <w:tc>
          <w:tcPr>
            <w:tcW w:w="3768" w:type="dxa"/>
          </w:tcPr>
          <w:p w14:paraId="2A3E5EFE" w14:textId="77777777" w:rsidR="001B5473" w:rsidRPr="00635C98" w:rsidRDefault="001B5473" w:rsidP="001B5473">
            <w:pPr>
              <w:pStyle w:val="CommentText"/>
              <w:keepNext w:val="0"/>
              <w:tabs>
                <w:tab w:val="clear" w:pos="3969"/>
              </w:tabs>
              <w:spacing w:before="120" w:after="120"/>
              <w:jc w:val="left"/>
            </w:pPr>
            <w:r w:rsidRPr="00635C98">
              <w:t>La Pocatière</w:t>
            </w:r>
          </w:p>
        </w:tc>
        <w:tc>
          <w:tcPr>
            <w:tcW w:w="1047" w:type="dxa"/>
            <w:vAlign w:val="center"/>
          </w:tcPr>
          <w:p w14:paraId="35CEF1FE" w14:textId="023C79D4"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3,93</w:t>
            </w:r>
          </w:p>
        </w:tc>
        <w:tc>
          <w:tcPr>
            <w:tcW w:w="992" w:type="dxa"/>
            <w:vAlign w:val="center"/>
          </w:tcPr>
          <w:p w14:paraId="5F266E32" w14:textId="3FB105ED"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2,85</w:t>
            </w:r>
          </w:p>
        </w:tc>
        <w:tc>
          <w:tcPr>
            <w:tcW w:w="992" w:type="dxa"/>
            <w:vAlign w:val="center"/>
          </w:tcPr>
          <w:p w14:paraId="605E5498" w14:textId="15CE8F6A"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1,54</w:t>
            </w:r>
          </w:p>
        </w:tc>
        <w:tc>
          <w:tcPr>
            <w:tcW w:w="1168" w:type="dxa"/>
            <w:vAlign w:val="center"/>
          </w:tcPr>
          <w:p w14:paraId="1DE042A8" w14:textId="06B28C56"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2,24</w:t>
            </w:r>
          </w:p>
        </w:tc>
        <w:tc>
          <w:tcPr>
            <w:tcW w:w="1168" w:type="dxa"/>
            <w:vAlign w:val="center"/>
          </w:tcPr>
          <w:p w14:paraId="0DDA5543" w14:textId="1DE623AB" w:rsidR="001B5473" w:rsidRPr="00A447A9" w:rsidRDefault="001B5473" w:rsidP="001B5473">
            <w:pPr>
              <w:pStyle w:val="CommentText"/>
              <w:keepNext w:val="0"/>
              <w:tabs>
                <w:tab w:val="clear" w:pos="3969"/>
              </w:tabs>
              <w:jc w:val="center"/>
              <w:rPr>
                <w:rFonts w:cs="Arial"/>
                <w:bCs/>
                <w:szCs w:val="24"/>
                <w:lang w:val="en-CA"/>
              </w:rPr>
            </w:pPr>
            <w:r w:rsidRPr="00316277">
              <w:rPr>
                <w:rFonts w:cs="Arial"/>
                <w:bCs/>
                <w:szCs w:val="24"/>
                <w:lang w:val="en-CA"/>
              </w:rPr>
              <w:t>0,39</w:t>
            </w:r>
          </w:p>
        </w:tc>
        <w:tc>
          <w:tcPr>
            <w:tcW w:w="1168" w:type="dxa"/>
            <w:vAlign w:val="center"/>
          </w:tcPr>
          <w:p w14:paraId="5BAEE811" w14:textId="0C1CE33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0,06</w:t>
            </w:r>
          </w:p>
        </w:tc>
        <w:tc>
          <w:tcPr>
            <w:tcW w:w="1168" w:type="dxa"/>
            <w:vAlign w:val="center"/>
          </w:tcPr>
          <w:p w14:paraId="2CB244D3" w14:textId="6B1CDA7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14C188DC" w14:textId="4CF6C36D"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0,16</w:t>
            </w:r>
          </w:p>
        </w:tc>
        <w:tc>
          <w:tcPr>
            <w:tcW w:w="1134" w:type="dxa"/>
            <w:vAlign w:val="bottom"/>
          </w:tcPr>
          <w:p w14:paraId="5AB3DF4F" w14:textId="31B41A8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0,25</w:t>
            </w:r>
          </w:p>
        </w:tc>
      </w:tr>
      <w:tr w:rsidR="001B5473" w:rsidRPr="00635C98" w14:paraId="4AE12FD8" w14:textId="77777777" w:rsidTr="00005850">
        <w:trPr>
          <w:cantSplit/>
        </w:trPr>
        <w:tc>
          <w:tcPr>
            <w:tcW w:w="3768" w:type="dxa"/>
          </w:tcPr>
          <w:p w14:paraId="10589119" w14:textId="5EF99B25" w:rsidR="001B5473" w:rsidRPr="00635C98" w:rsidRDefault="001B5473" w:rsidP="001B5473">
            <w:pPr>
              <w:pStyle w:val="CommentText"/>
              <w:keepNext w:val="0"/>
              <w:tabs>
                <w:tab w:val="clear" w:pos="3969"/>
              </w:tabs>
              <w:spacing w:before="120" w:after="120"/>
              <w:ind w:firstLine="212"/>
              <w:jc w:val="left"/>
            </w:pPr>
            <w:r w:rsidRPr="00316277">
              <w:t>CEC de Montmagny</w:t>
            </w:r>
          </w:p>
        </w:tc>
        <w:tc>
          <w:tcPr>
            <w:tcW w:w="1047" w:type="dxa"/>
            <w:vAlign w:val="center"/>
          </w:tcPr>
          <w:p w14:paraId="30C32315"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992" w:type="dxa"/>
            <w:vAlign w:val="center"/>
          </w:tcPr>
          <w:p w14:paraId="49259C8B"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992" w:type="dxa"/>
            <w:vAlign w:val="center"/>
          </w:tcPr>
          <w:p w14:paraId="42F35803" w14:textId="77777777" w:rsidR="001B5473" w:rsidRPr="00A447A9" w:rsidRDefault="001B5473" w:rsidP="001B5473">
            <w:pPr>
              <w:pStyle w:val="CommentText"/>
              <w:keepNext w:val="0"/>
              <w:tabs>
                <w:tab w:val="clear" w:pos="3969"/>
              </w:tabs>
              <w:spacing w:before="120" w:after="120"/>
              <w:jc w:val="center"/>
              <w:rPr>
                <w:rFonts w:cs="Arial"/>
                <w:szCs w:val="24"/>
              </w:rPr>
            </w:pPr>
          </w:p>
        </w:tc>
        <w:tc>
          <w:tcPr>
            <w:tcW w:w="1168" w:type="dxa"/>
            <w:vAlign w:val="center"/>
          </w:tcPr>
          <w:p w14:paraId="0C844AED"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p>
        </w:tc>
        <w:tc>
          <w:tcPr>
            <w:tcW w:w="1168" w:type="dxa"/>
            <w:vAlign w:val="center"/>
          </w:tcPr>
          <w:p w14:paraId="4A3B25C9" w14:textId="656A25B3"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0,04</w:t>
            </w:r>
          </w:p>
        </w:tc>
        <w:tc>
          <w:tcPr>
            <w:tcW w:w="1168" w:type="dxa"/>
            <w:vAlign w:val="center"/>
          </w:tcPr>
          <w:p w14:paraId="5A2578FE" w14:textId="34352583"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68" w:type="dxa"/>
            <w:vAlign w:val="center"/>
          </w:tcPr>
          <w:p w14:paraId="6A9F9478" w14:textId="75ECD220"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40" w:type="dxa"/>
            <w:vAlign w:val="bottom"/>
          </w:tcPr>
          <w:p w14:paraId="070FA487" w14:textId="19461707"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7E2775DA" w14:textId="30EE35B2"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0,05</w:t>
            </w:r>
          </w:p>
        </w:tc>
      </w:tr>
      <w:tr w:rsidR="001B5473" w:rsidRPr="00635C98" w14:paraId="38758922" w14:textId="418AB3FD" w:rsidTr="00005850">
        <w:trPr>
          <w:cantSplit/>
        </w:trPr>
        <w:tc>
          <w:tcPr>
            <w:tcW w:w="3768" w:type="dxa"/>
          </w:tcPr>
          <w:p w14:paraId="5E041B76" w14:textId="20F316D0" w:rsidR="001B5473" w:rsidRPr="00635C98" w:rsidRDefault="001B5473" w:rsidP="001B5473">
            <w:pPr>
              <w:pStyle w:val="CommentText"/>
              <w:keepNext w:val="0"/>
              <w:tabs>
                <w:tab w:val="clear" w:pos="3969"/>
              </w:tabs>
              <w:spacing w:before="120" w:after="120"/>
              <w:jc w:val="left"/>
            </w:pPr>
            <w:r w:rsidRPr="00635C98">
              <w:t>Lévis</w:t>
            </w:r>
          </w:p>
        </w:tc>
        <w:tc>
          <w:tcPr>
            <w:tcW w:w="1047" w:type="dxa"/>
            <w:vAlign w:val="center"/>
          </w:tcPr>
          <w:p w14:paraId="5E9E6CFC" w14:textId="2660B5E1"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1,49</w:t>
            </w:r>
          </w:p>
        </w:tc>
        <w:tc>
          <w:tcPr>
            <w:tcW w:w="992" w:type="dxa"/>
            <w:vAlign w:val="center"/>
          </w:tcPr>
          <w:p w14:paraId="7EC7E7B2" w14:textId="7262E024"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4,70</w:t>
            </w:r>
          </w:p>
        </w:tc>
        <w:tc>
          <w:tcPr>
            <w:tcW w:w="992" w:type="dxa"/>
            <w:vAlign w:val="center"/>
          </w:tcPr>
          <w:p w14:paraId="561083EF" w14:textId="177BF2E0"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2,80</w:t>
            </w:r>
          </w:p>
        </w:tc>
        <w:tc>
          <w:tcPr>
            <w:tcW w:w="1168" w:type="dxa"/>
            <w:vAlign w:val="center"/>
          </w:tcPr>
          <w:p w14:paraId="52A253CC" w14:textId="580F5E60"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3,90</w:t>
            </w:r>
          </w:p>
        </w:tc>
        <w:tc>
          <w:tcPr>
            <w:tcW w:w="1168" w:type="dxa"/>
            <w:vAlign w:val="center"/>
          </w:tcPr>
          <w:p w14:paraId="02211268" w14:textId="209393D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0,64</w:t>
            </w:r>
          </w:p>
        </w:tc>
        <w:tc>
          <w:tcPr>
            <w:tcW w:w="1168" w:type="dxa"/>
            <w:vAlign w:val="center"/>
          </w:tcPr>
          <w:p w14:paraId="245295FF" w14:textId="361B2A2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0,26</w:t>
            </w:r>
          </w:p>
        </w:tc>
        <w:tc>
          <w:tcPr>
            <w:tcW w:w="1168" w:type="dxa"/>
            <w:vAlign w:val="center"/>
          </w:tcPr>
          <w:p w14:paraId="4DDA775A" w14:textId="15AB2D2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0,04</w:t>
            </w:r>
          </w:p>
        </w:tc>
        <w:tc>
          <w:tcPr>
            <w:tcW w:w="1140" w:type="dxa"/>
            <w:vAlign w:val="bottom"/>
          </w:tcPr>
          <w:p w14:paraId="6B7EB30A" w14:textId="62EF4784"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0,28</w:t>
            </w:r>
          </w:p>
        </w:tc>
        <w:tc>
          <w:tcPr>
            <w:tcW w:w="1134" w:type="dxa"/>
            <w:vAlign w:val="bottom"/>
          </w:tcPr>
          <w:p w14:paraId="0127C608" w14:textId="10978ED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0,42</w:t>
            </w:r>
          </w:p>
        </w:tc>
      </w:tr>
      <w:tr w:rsidR="001B5473" w:rsidRPr="00635C98" w14:paraId="259AE7A2" w14:textId="6DE4E191" w:rsidTr="00005850">
        <w:trPr>
          <w:cantSplit/>
        </w:trPr>
        <w:tc>
          <w:tcPr>
            <w:tcW w:w="3768" w:type="dxa"/>
          </w:tcPr>
          <w:p w14:paraId="101AB6E5" w14:textId="77777777" w:rsidR="001B5473" w:rsidRPr="00635C98" w:rsidRDefault="001B5473" w:rsidP="001B5473">
            <w:pPr>
              <w:pStyle w:val="CommentText"/>
              <w:keepNext w:val="0"/>
              <w:tabs>
                <w:tab w:val="clear" w:pos="3969"/>
              </w:tabs>
              <w:spacing w:before="120" w:after="120"/>
              <w:jc w:val="left"/>
            </w:pPr>
            <w:r w:rsidRPr="00635C98">
              <w:t>Limoilou</w:t>
            </w:r>
          </w:p>
        </w:tc>
        <w:tc>
          <w:tcPr>
            <w:tcW w:w="1047" w:type="dxa"/>
            <w:vAlign w:val="center"/>
          </w:tcPr>
          <w:p w14:paraId="6BE724FD" w14:textId="5B5FA19F"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1,28</w:t>
            </w:r>
          </w:p>
        </w:tc>
        <w:tc>
          <w:tcPr>
            <w:tcW w:w="992" w:type="dxa"/>
            <w:vAlign w:val="center"/>
          </w:tcPr>
          <w:p w14:paraId="1D82E7C9" w14:textId="60D7BEF3"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5,90</w:t>
            </w:r>
          </w:p>
        </w:tc>
        <w:tc>
          <w:tcPr>
            <w:tcW w:w="992" w:type="dxa"/>
            <w:vAlign w:val="center"/>
          </w:tcPr>
          <w:p w14:paraId="4202D6D2" w14:textId="63483E10"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2,04</w:t>
            </w:r>
          </w:p>
        </w:tc>
        <w:tc>
          <w:tcPr>
            <w:tcW w:w="1168" w:type="dxa"/>
            <w:vAlign w:val="center"/>
          </w:tcPr>
          <w:p w14:paraId="01F8171A" w14:textId="40B05082"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4,97</w:t>
            </w:r>
          </w:p>
        </w:tc>
        <w:tc>
          <w:tcPr>
            <w:tcW w:w="1168" w:type="dxa"/>
            <w:vAlign w:val="center"/>
          </w:tcPr>
          <w:p w14:paraId="3346CBDB" w14:textId="6A01B6C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w:t>
            </w:r>
            <w:r>
              <w:rPr>
                <w:rFonts w:cs="Arial"/>
                <w:bCs/>
                <w:szCs w:val="24"/>
                <w:lang w:val="en-CA"/>
              </w:rPr>
              <w:t>82</w:t>
            </w:r>
          </w:p>
        </w:tc>
        <w:tc>
          <w:tcPr>
            <w:tcW w:w="1168" w:type="dxa"/>
            <w:vAlign w:val="center"/>
          </w:tcPr>
          <w:p w14:paraId="62825990" w14:textId="2EDAC2A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0,34</w:t>
            </w:r>
          </w:p>
        </w:tc>
        <w:tc>
          <w:tcPr>
            <w:tcW w:w="1168" w:type="dxa"/>
            <w:vAlign w:val="center"/>
          </w:tcPr>
          <w:p w14:paraId="65B86910" w14:textId="17D59E58"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0,07</w:t>
            </w:r>
          </w:p>
        </w:tc>
        <w:tc>
          <w:tcPr>
            <w:tcW w:w="1140" w:type="dxa"/>
            <w:vAlign w:val="bottom"/>
          </w:tcPr>
          <w:p w14:paraId="0F6065F2" w14:textId="792853A2"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0,34</w:t>
            </w:r>
          </w:p>
        </w:tc>
        <w:tc>
          <w:tcPr>
            <w:tcW w:w="1134" w:type="dxa"/>
            <w:vAlign w:val="bottom"/>
          </w:tcPr>
          <w:p w14:paraId="00AE6E84" w14:textId="1B1D5A8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0,51</w:t>
            </w:r>
          </w:p>
        </w:tc>
      </w:tr>
      <w:tr w:rsidR="001B5473" w:rsidRPr="00635C98" w14:paraId="2157C73F" w14:textId="3ED2801D" w:rsidTr="00005850">
        <w:trPr>
          <w:cantSplit/>
        </w:trPr>
        <w:tc>
          <w:tcPr>
            <w:tcW w:w="3768" w:type="dxa"/>
          </w:tcPr>
          <w:p w14:paraId="42B50B9E" w14:textId="32367C76" w:rsidR="001B5473" w:rsidRPr="00635C98" w:rsidRDefault="001B5473" w:rsidP="001B5473">
            <w:pPr>
              <w:pStyle w:val="CommentText"/>
              <w:keepNext w:val="0"/>
              <w:tabs>
                <w:tab w:val="clear" w:pos="3969"/>
              </w:tabs>
              <w:spacing w:before="120" w:after="120"/>
              <w:jc w:val="left"/>
            </w:pPr>
            <w:r w:rsidRPr="00635C98">
              <w:t>Lionel</w:t>
            </w:r>
            <w:r>
              <w:noBreakHyphen/>
            </w:r>
            <w:r w:rsidRPr="00635C98">
              <w:t>Groulx</w:t>
            </w:r>
          </w:p>
        </w:tc>
        <w:tc>
          <w:tcPr>
            <w:tcW w:w="1047" w:type="dxa"/>
            <w:vAlign w:val="center"/>
          </w:tcPr>
          <w:p w14:paraId="368B8E1B" w14:textId="4EDE1625"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1,69</w:t>
            </w:r>
          </w:p>
        </w:tc>
        <w:tc>
          <w:tcPr>
            <w:tcW w:w="992" w:type="dxa"/>
            <w:vAlign w:val="center"/>
          </w:tcPr>
          <w:p w14:paraId="22D77641" w14:textId="77FFD739"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3,50</w:t>
            </w:r>
          </w:p>
        </w:tc>
        <w:tc>
          <w:tcPr>
            <w:tcW w:w="992" w:type="dxa"/>
            <w:vAlign w:val="center"/>
          </w:tcPr>
          <w:p w14:paraId="3EE06A4A" w14:textId="2508C530"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2,90</w:t>
            </w:r>
          </w:p>
        </w:tc>
        <w:tc>
          <w:tcPr>
            <w:tcW w:w="1168" w:type="dxa"/>
            <w:vAlign w:val="center"/>
          </w:tcPr>
          <w:p w14:paraId="425A6815" w14:textId="72F645BB"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4,08</w:t>
            </w:r>
          </w:p>
        </w:tc>
        <w:tc>
          <w:tcPr>
            <w:tcW w:w="1168" w:type="dxa"/>
            <w:vAlign w:val="center"/>
          </w:tcPr>
          <w:p w14:paraId="276F5D88" w14:textId="1C7B6A4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0,82</w:t>
            </w:r>
          </w:p>
        </w:tc>
        <w:tc>
          <w:tcPr>
            <w:tcW w:w="1168" w:type="dxa"/>
            <w:vAlign w:val="center"/>
          </w:tcPr>
          <w:p w14:paraId="22DCFF54" w14:textId="1A3406B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0,24</w:t>
            </w:r>
          </w:p>
        </w:tc>
        <w:tc>
          <w:tcPr>
            <w:tcW w:w="1168" w:type="dxa"/>
            <w:vAlign w:val="center"/>
          </w:tcPr>
          <w:p w14:paraId="034A1329" w14:textId="4892EDF8"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5800DF4F" w14:textId="47C02D1E"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0,31</w:t>
            </w:r>
          </w:p>
        </w:tc>
        <w:tc>
          <w:tcPr>
            <w:tcW w:w="1134" w:type="dxa"/>
            <w:vAlign w:val="bottom"/>
          </w:tcPr>
          <w:p w14:paraId="2C89C14A" w14:textId="328FB29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0,53</w:t>
            </w:r>
          </w:p>
        </w:tc>
      </w:tr>
      <w:tr w:rsidR="001B5473" w:rsidRPr="00635C98" w14:paraId="0F90C281" w14:textId="3BC8F047" w:rsidTr="00B51110">
        <w:trPr>
          <w:cantSplit/>
        </w:trPr>
        <w:tc>
          <w:tcPr>
            <w:tcW w:w="3768" w:type="dxa"/>
          </w:tcPr>
          <w:p w14:paraId="3F8378A7" w14:textId="77777777" w:rsidR="001B5473" w:rsidRPr="00635C98" w:rsidRDefault="001B5473" w:rsidP="001B5473">
            <w:pPr>
              <w:pStyle w:val="CommentText"/>
              <w:keepNext w:val="0"/>
              <w:tabs>
                <w:tab w:val="clear" w:pos="3969"/>
              </w:tabs>
              <w:spacing w:before="120" w:after="120"/>
              <w:jc w:val="left"/>
            </w:pPr>
            <w:r w:rsidRPr="00635C98">
              <w:t>Maisonneuve</w:t>
            </w:r>
          </w:p>
        </w:tc>
        <w:tc>
          <w:tcPr>
            <w:tcW w:w="1047" w:type="dxa"/>
            <w:vAlign w:val="center"/>
          </w:tcPr>
          <w:p w14:paraId="31B8846C"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0,34</w:t>
            </w:r>
          </w:p>
        </w:tc>
        <w:tc>
          <w:tcPr>
            <w:tcW w:w="992" w:type="dxa"/>
            <w:vAlign w:val="center"/>
          </w:tcPr>
          <w:p w14:paraId="0EBCF057"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6,20</w:t>
            </w:r>
          </w:p>
        </w:tc>
        <w:tc>
          <w:tcPr>
            <w:tcW w:w="992" w:type="dxa"/>
            <w:vAlign w:val="center"/>
          </w:tcPr>
          <w:p w14:paraId="015CE99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1,22</w:t>
            </w:r>
          </w:p>
        </w:tc>
        <w:tc>
          <w:tcPr>
            <w:tcW w:w="1168" w:type="dxa"/>
            <w:vAlign w:val="center"/>
          </w:tcPr>
          <w:p w14:paraId="6478F661"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5,04</w:t>
            </w:r>
          </w:p>
        </w:tc>
        <w:tc>
          <w:tcPr>
            <w:tcW w:w="1168" w:type="dxa"/>
            <w:vAlign w:val="center"/>
          </w:tcPr>
          <w:p w14:paraId="011DA683" w14:textId="43919F6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0,61</w:t>
            </w:r>
          </w:p>
        </w:tc>
        <w:tc>
          <w:tcPr>
            <w:tcW w:w="1168" w:type="dxa"/>
            <w:vAlign w:val="center"/>
          </w:tcPr>
          <w:p w14:paraId="32F01312" w14:textId="4FBD09A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0,36</w:t>
            </w:r>
          </w:p>
        </w:tc>
        <w:tc>
          <w:tcPr>
            <w:tcW w:w="1168" w:type="dxa"/>
            <w:vAlign w:val="center"/>
          </w:tcPr>
          <w:p w14:paraId="24650ED6" w14:textId="1034D5D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0,28</w:t>
            </w:r>
          </w:p>
        </w:tc>
        <w:tc>
          <w:tcPr>
            <w:tcW w:w="1140" w:type="dxa"/>
            <w:vAlign w:val="bottom"/>
          </w:tcPr>
          <w:p w14:paraId="3FB32557" w14:textId="4E54F99A"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0,41</w:t>
            </w:r>
          </w:p>
        </w:tc>
        <w:tc>
          <w:tcPr>
            <w:tcW w:w="1134" w:type="dxa"/>
            <w:vAlign w:val="bottom"/>
          </w:tcPr>
          <w:p w14:paraId="26B696B5" w14:textId="2CF86ED9"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0,42</w:t>
            </w:r>
          </w:p>
        </w:tc>
      </w:tr>
      <w:tr w:rsidR="001B5473" w:rsidRPr="00635C98" w14:paraId="74E542B0" w14:textId="45C05919" w:rsidTr="00B51110">
        <w:trPr>
          <w:cantSplit/>
        </w:trPr>
        <w:tc>
          <w:tcPr>
            <w:tcW w:w="3768" w:type="dxa"/>
          </w:tcPr>
          <w:p w14:paraId="3F8296F2" w14:textId="238151F2" w:rsidR="001B5473" w:rsidRPr="00635C98" w:rsidRDefault="001B5473" w:rsidP="001B5473">
            <w:pPr>
              <w:pStyle w:val="CommentText"/>
              <w:keepNext w:val="0"/>
              <w:tabs>
                <w:tab w:val="clear" w:pos="3969"/>
              </w:tabs>
              <w:spacing w:before="120" w:after="120"/>
              <w:jc w:val="left"/>
            </w:pPr>
            <w:r w:rsidRPr="00635C98">
              <w:t>Marie</w:t>
            </w:r>
            <w:r>
              <w:noBreakHyphen/>
            </w:r>
            <w:r w:rsidRPr="00635C98">
              <w:t>Victorin</w:t>
            </w:r>
          </w:p>
        </w:tc>
        <w:tc>
          <w:tcPr>
            <w:tcW w:w="1047" w:type="dxa"/>
            <w:vAlign w:val="center"/>
          </w:tcPr>
          <w:p w14:paraId="0FE591B7"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1,00</w:t>
            </w:r>
          </w:p>
        </w:tc>
        <w:tc>
          <w:tcPr>
            <w:tcW w:w="992" w:type="dxa"/>
            <w:vAlign w:val="center"/>
          </w:tcPr>
          <w:p w14:paraId="7513DE1D"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3,90</w:t>
            </w:r>
          </w:p>
        </w:tc>
        <w:tc>
          <w:tcPr>
            <w:tcW w:w="992" w:type="dxa"/>
            <w:vAlign w:val="center"/>
          </w:tcPr>
          <w:p w14:paraId="163CE71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0,74</w:t>
            </w:r>
          </w:p>
        </w:tc>
        <w:tc>
          <w:tcPr>
            <w:tcW w:w="1168" w:type="dxa"/>
            <w:vAlign w:val="center"/>
          </w:tcPr>
          <w:p w14:paraId="39791346"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3,43</w:t>
            </w:r>
          </w:p>
        </w:tc>
        <w:tc>
          <w:tcPr>
            <w:tcW w:w="1168" w:type="dxa"/>
            <w:vAlign w:val="center"/>
          </w:tcPr>
          <w:p w14:paraId="53763230" w14:textId="5063A6B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0,61</w:t>
            </w:r>
          </w:p>
        </w:tc>
        <w:tc>
          <w:tcPr>
            <w:tcW w:w="1168" w:type="dxa"/>
            <w:vAlign w:val="center"/>
          </w:tcPr>
          <w:p w14:paraId="24C8FAB5" w14:textId="1C0319B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14D7B12C" w14:textId="611BE60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0,21</w:t>
            </w:r>
          </w:p>
        </w:tc>
        <w:tc>
          <w:tcPr>
            <w:tcW w:w="1140" w:type="dxa"/>
            <w:vAlign w:val="bottom"/>
          </w:tcPr>
          <w:p w14:paraId="2CDCE354" w14:textId="51C155DF"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0,41</w:t>
            </w:r>
          </w:p>
        </w:tc>
        <w:tc>
          <w:tcPr>
            <w:tcW w:w="1134" w:type="dxa"/>
            <w:vAlign w:val="bottom"/>
          </w:tcPr>
          <w:p w14:paraId="7F26E886" w14:textId="01081A17"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0,37</w:t>
            </w:r>
          </w:p>
        </w:tc>
      </w:tr>
      <w:tr w:rsidR="001B5473" w:rsidRPr="00635C98" w14:paraId="13104D78" w14:textId="12B351B9" w:rsidTr="00B51110">
        <w:trPr>
          <w:cantSplit/>
        </w:trPr>
        <w:tc>
          <w:tcPr>
            <w:tcW w:w="3768" w:type="dxa"/>
          </w:tcPr>
          <w:p w14:paraId="1A3C471C" w14:textId="77777777" w:rsidR="001B5473" w:rsidRPr="00635C98" w:rsidRDefault="001B5473" w:rsidP="001B5473">
            <w:pPr>
              <w:pStyle w:val="CommentText"/>
              <w:keepNext w:val="0"/>
              <w:tabs>
                <w:tab w:val="clear" w:pos="3969"/>
              </w:tabs>
              <w:spacing w:before="120" w:after="120"/>
              <w:jc w:val="left"/>
            </w:pPr>
            <w:r w:rsidRPr="00635C98">
              <w:t>Montmorency</w:t>
            </w:r>
          </w:p>
        </w:tc>
        <w:tc>
          <w:tcPr>
            <w:tcW w:w="1047" w:type="dxa"/>
            <w:vAlign w:val="center"/>
          </w:tcPr>
          <w:p w14:paraId="1580C9AD"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1,49</w:t>
            </w:r>
          </w:p>
        </w:tc>
        <w:tc>
          <w:tcPr>
            <w:tcW w:w="992" w:type="dxa"/>
            <w:vAlign w:val="center"/>
          </w:tcPr>
          <w:p w14:paraId="08C5B6C9"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5,20</w:t>
            </w:r>
          </w:p>
        </w:tc>
        <w:tc>
          <w:tcPr>
            <w:tcW w:w="992" w:type="dxa"/>
            <w:vAlign w:val="center"/>
          </w:tcPr>
          <w:p w14:paraId="2401F4B1"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0,82</w:t>
            </w:r>
          </w:p>
        </w:tc>
        <w:tc>
          <w:tcPr>
            <w:tcW w:w="1168" w:type="dxa"/>
            <w:vAlign w:val="center"/>
          </w:tcPr>
          <w:p w14:paraId="7A150290"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5,35</w:t>
            </w:r>
          </w:p>
        </w:tc>
        <w:tc>
          <w:tcPr>
            <w:tcW w:w="1168" w:type="dxa"/>
            <w:vAlign w:val="center"/>
          </w:tcPr>
          <w:p w14:paraId="681BAB13" w14:textId="1121411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0,89</w:t>
            </w:r>
          </w:p>
        </w:tc>
        <w:tc>
          <w:tcPr>
            <w:tcW w:w="1168" w:type="dxa"/>
            <w:vAlign w:val="center"/>
          </w:tcPr>
          <w:p w14:paraId="3B991047" w14:textId="6712684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0,51</w:t>
            </w:r>
          </w:p>
        </w:tc>
        <w:tc>
          <w:tcPr>
            <w:tcW w:w="1168" w:type="dxa"/>
            <w:vAlign w:val="center"/>
          </w:tcPr>
          <w:p w14:paraId="2A10D6B4" w14:textId="1D05B6E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0,38</w:t>
            </w:r>
          </w:p>
        </w:tc>
        <w:tc>
          <w:tcPr>
            <w:tcW w:w="1140" w:type="dxa"/>
            <w:vAlign w:val="bottom"/>
          </w:tcPr>
          <w:p w14:paraId="615CBDFE" w14:textId="2EDDA22C"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0,58</w:t>
            </w:r>
          </w:p>
        </w:tc>
        <w:tc>
          <w:tcPr>
            <w:tcW w:w="1134" w:type="dxa"/>
            <w:vAlign w:val="bottom"/>
          </w:tcPr>
          <w:p w14:paraId="0452CF32" w14:textId="07A3463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0,56</w:t>
            </w:r>
          </w:p>
        </w:tc>
      </w:tr>
      <w:tr w:rsidR="001B5473" w:rsidRPr="00635C98" w14:paraId="3E541DC5" w14:textId="77E37259" w:rsidTr="00B51110">
        <w:trPr>
          <w:cantSplit/>
        </w:trPr>
        <w:tc>
          <w:tcPr>
            <w:tcW w:w="3768" w:type="dxa"/>
          </w:tcPr>
          <w:p w14:paraId="7378B182" w14:textId="77777777" w:rsidR="001B5473" w:rsidRPr="00635C98" w:rsidRDefault="001B5473" w:rsidP="001B5473">
            <w:pPr>
              <w:pStyle w:val="CommentText"/>
              <w:keepNext w:val="0"/>
              <w:tabs>
                <w:tab w:val="clear" w:pos="3969"/>
              </w:tabs>
              <w:spacing w:before="120" w:after="120"/>
              <w:jc w:val="left"/>
            </w:pPr>
            <w:r w:rsidRPr="00635C98">
              <w:t>Outaouais</w:t>
            </w:r>
          </w:p>
        </w:tc>
        <w:tc>
          <w:tcPr>
            <w:tcW w:w="1047" w:type="dxa"/>
            <w:vAlign w:val="center"/>
          </w:tcPr>
          <w:p w14:paraId="783EBBEA"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3,99</w:t>
            </w:r>
          </w:p>
        </w:tc>
        <w:tc>
          <w:tcPr>
            <w:tcW w:w="992" w:type="dxa"/>
            <w:vAlign w:val="center"/>
          </w:tcPr>
          <w:p w14:paraId="19BBEB3C"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4,90</w:t>
            </w:r>
          </w:p>
        </w:tc>
        <w:tc>
          <w:tcPr>
            <w:tcW w:w="992" w:type="dxa"/>
            <w:vAlign w:val="center"/>
          </w:tcPr>
          <w:p w14:paraId="593C0D93"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0,89</w:t>
            </w:r>
          </w:p>
        </w:tc>
        <w:tc>
          <w:tcPr>
            <w:tcW w:w="1168" w:type="dxa"/>
            <w:vAlign w:val="center"/>
          </w:tcPr>
          <w:p w14:paraId="6FE1A3C1"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5,00</w:t>
            </w:r>
          </w:p>
        </w:tc>
        <w:tc>
          <w:tcPr>
            <w:tcW w:w="1168" w:type="dxa"/>
            <w:vAlign w:val="center"/>
          </w:tcPr>
          <w:p w14:paraId="69C4045D" w14:textId="7AEB7E5D" w:rsidR="001B5473" w:rsidRPr="00A447A9" w:rsidRDefault="001B5473" w:rsidP="001B5473">
            <w:pPr>
              <w:pStyle w:val="CommentText"/>
              <w:keepNext w:val="0"/>
              <w:tabs>
                <w:tab w:val="clear" w:pos="3969"/>
              </w:tabs>
              <w:spacing w:before="120" w:after="120"/>
              <w:jc w:val="center"/>
              <w:rPr>
                <w:rFonts w:cs="Arial"/>
                <w:bCs/>
                <w:szCs w:val="24"/>
                <w:lang w:val="en-CA"/>
              </w:rPr>
            </w:pPr>
            <w:r>
              <w:rPr>
                <w:rFonts w:cs="Arial"/>
                <w:bCs/>
                <w:szCs w:val="24"/>
                <w:lang w:val="en-CA"/>
              </w:rPr>
              <w:t>1,00</w:t>
            </w:r>
          </w:p>
        </w:tc>
        <w:tc>
          <w:tcPr>
            <w:tcW w:w="1168" w:type="dxa"/>
            <w:vAlign w:val="center"/>
          </w:tcPr>
          <w:p w14:paraId="6427BBD1" w14:textId="74ACD39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0,23</w:t>
            </w:r>
          </w:p>
        </w:tc>
        <w:tc>
          <w:tcPr>
            <w:tcW w:w="1168" w:type="dxa"/>
            <w:vAlign w:val="center"/>
          </w:tcPr>
          <w:p w14:paraId="0BEA8872" w14:textId="472B7CF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0,24</w:t>
            </w:r>
          </w:p>
        </w:tc>
        <w:tc>
          <w:tcPr>
            <w:tcW w:w="1140" w:type="dxa"/>
            <w:vAlign w:val="bottom"/>
          </w:tcPr>
          <w:p w14:paraId="785D88ED" w14:textId="1DC92487"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0,51</w:t>
            </w:r>
          </w:p>
        </w:tc>
        <w:tc>
          <w:tcPr>
            <w:tcW w:w="1134" w:type="dxa"/>
            <w:vAlign w:val="bottom"/>
          </w:tcPr>
          <w:p w14:paraId="6BA6C195" w14:textId="488B12E4"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0,69</w:t>
            </w:r>
          </w:p>
        </w:tc>
      </w:tr>
      <w:tr w:rsidR="001B5473" w:rsidRPr="00635C98" w14:paraId="267E6C86" w14:textId="775D57B4" w:rsidTr="00B51110">
        <w:trPr>
          <w:cantSplit/>
        </w:trPr>
        <w:tc>
          <w:tcPr>
            <w:tcW w:w="3768" w:type="dxa"/>
          </w:tcPr>
          <w:p w14:paraId="3C06F5BE" w14:textId="77777777" w:rsidR="001B5473" w:rsidRPr="00635C98" w:rsidRDefault="001B5473" w:rsidP="001B5473">
            <w:pPr>
              <w:pStyle w:val="CommentText"/>
              <w:keepNext w:val="0"/>
              <w:tabs>
                <w:tab w:val="clear" w:pos="3969"/>
              </w:tabs>
              <w:spacing w:before="120" w:after="120"/>
              <w:jc w:val="left"/>
            </w:pPr>
            <w:r w:rsidRPr="00635C98">
              <w:t>Régional de Lanaudière à Joliette</w:t>
            </w:r>
          </w:p>
        </w:tc>
        <w:tc>
          <w:tcPr>
            <w:tcW w:w="1047" w:type="dxa"/>
            <w:vAlign w:val="center"/>
          </w:tcPr>
          <w:p w14:paraId="720E586E"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1,43</w:t>
            </w:r>
          </w:p>
        </w:tc>
        <w:tc>
          <w:tcPr>
            <w:tcW w:w="992" w:type="dxa"/>
            <w:vAlign w:val="center"/>
          </w:tcPr>
          <w:p w14:paraId="2B636F12"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2,60</w:t>
            </w:r>
          </w:p>
        </w:tc>
        <w:tc>
          <w:tcPr>
            <w:tcW w:w="992" w:type="dxa"/>
            <w:vAlign w:val="center"/>
          </w:tcPr>
          <w:p w14:paraId="20A8C9CD"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1,05</w:t>
            </w:r>
          </w:p>
        </w:tc>
        <w:tc>
          <w:tcPr>
            <w:tcW w:w="1168" w:type="dxa"/>
            <w:vAlign w:val="center"/>
          </w:tcPr>
          <w:p w14:paraId="06528329"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3,01</w:t>
            </w:r>
          </w:p>
        </w:tc>
        <w:tc>
          <w:tcPr>
            <w:tcW w:w="1168" w:type="dxa"/>
            <w:vAlign w:val="center"/>
          </w:tcPr>
          <w:p w14:paraId="7CE06AF7" w14:textId="31BB118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0,53</w:t>
            </w:r>
          </w:p>
        </w:tc>
        <w:tc>
          <w:tcPr>
            <w:tcW w:w="1168" w:type="dxa"/>
            <w:vAlign w:val="center"/>
          </w:tcPr>
          <w:p w14:paraId="504EB0E9" w14:textId="24D61DF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68" w:type="dxa"/>
            <w:vAlign w:val="center"/>
          </w:tcPr>
          <w:p w14:paraId="6DC8BE48" w14:textId="1CC307F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36CED038" w14:textId="1A608DBC"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0,16</w:t>
            </w:r>
          </w:p>
        </w:tc>
        <w:tc>
          <w:tcPr>
            <w:tcW w:w="1134" w:type="dxa"/>
            <w:vAlign w:val="bottom"/>
          </w:tcPr>
          <w:p w14:paraId="52FA87DB" w14:textId="052A1973"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0,37</w:t>
            </w:r>
          </w:p>
        </w:tc>
      </w:tr>
      <w:tr w:rsidR="001B5473" w:rsidRPr="00635C98" w14:paraId="507C6696" w14:textId="703AB2F3" w:rsidTr="00B51110">
        <w:trPr>
          <w:cantSplit/>
        </w:trPr>
        <w:tc>
          <w:tcPr>
            <w:tcW w:w="3768" w:type="dxa"/>
          </w:tcPr>
          <w:p w14:paraId="5B162619" w14:textId="77777777" w:rsidR="001B5473" w:rsidRPr="00635C98" w:rsidRDefault="001B5473" w:rsidP="001B5473">
            <w:pPr>
              <w:pStyle w:val="CommentText"/>
              <w:keepNext w:val="0"/>
              <w:tabs>
                <w:tab w:val="clear" w:pos="3969"/>
              </w:tabs>
              <w:spacing w:before="120" w:after="120"/>
              <w:jc w:val="left"/>
            </w:pPr>
            <w:r w:rsidRPr="00635C98">
              <w:t xml:space="preserve">Régional de Lanaudière à L’Assomption </w:t>
            </w:r>
          </w:p>
        </w:tc>
        <w:tc>
          <w:tcPr>
            <w:tcW w:w="1047" w:type="dxa"/>
            <w:vAlign w:val="center"/>
          </w:tcPr>
          <w:p w14:paraId="7BC0699D"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1,64</w:t>
            </w:r>
          </w:p>
        </w:tc>
        <w:tc>
          <w:tcPr>
            <w:tcW w:w="992" w:type="dxa"/>
            <w:vAlign w:val="center"/>
          </w:tcPr>
          <w:p w14:paraId="1FA0B8C1"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1,50</w:t>
            </w:r>
          </w:p>
        </w:tc>
        <w:tc>
          <w:tcPr>
            <w:tcW w:w="992" w:type="dxa"/>
            <w:vAlign w:val="center"/>
          </w:tcPr>
          <w:p w14:paraId="73DC7C62"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0,80</w:t>
            </w:r>
          </w:p>
        </w:tc>
        <w:tc>
          <w:tcPr>
            <w:tcW w:w="1168" w:type="dxa"/>
            <w:vAlign w:val="center"/>
          </w:tcPr>
          <w:p w14:paraId="6C9CA540"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1,67</w:t>
            </w:r>
          </w:p>
        </w:tc>
        <w:tc>
          <w:tcPr>
            <w:tcW w:w="1168" w:type="dxa"/>
            <w:vAlign w:val="center"/>
          </w:tcPr>
          <w:p w14:paraId="72D5FCD1" w14:textId="26B32DE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0,36</w:t>
            </w:r>
          </w:p>
        </w:tc>
        <w:tc>
          <w:tcPr>
            <w:tcW w:w="1168" w:type="dxa"/>
            <w:vAlign w:val="center"/>
          </w:tcPr>
          <w:p w14:paraId="71DC6514" w14:textId="70F94A3D"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2BDBF878" w14:textId="26A1FFE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009796C2" w14:textId="3B1F1470"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0,15</w:t>
            </w:r>
          </w:p>
        </w:tc>
        <w:tc>
          <w:tcPr>
            <w:tcW w:w="1134" w:type="dxa"/>
            <w:vAlign w:val="bottom"/>
          </w:tcPr>
          <w:p w14:paraId="16EFFEAE" w14:textId="325FE75A"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0,25</w:t>
            </w:r>
          </w:p>
        </w:tc>
      </w:tr>
      <w:tr w:rsidR="001B5473" w:rsidRPr="00635C98" w14:paraId="02E198AB" w14:textId="100A09FE" w:rsidTr="00B51110">
        <w:trPr>
          <w:cantSplit/>
        </w:trPr>
        <w:tc>
          <w:tcPr>
            <w:tcW w:w="3768" w:type="dxa"/>
          </w:tcPr>
          <w:p w14:paraId="4F785658" w14:textId="77777777" w:rsidR="001B5473" w:rsidRPr="00635C98" w:rsidRDefault="001B5473" w:rsidP="001B5473">
            <w:pPr>
              <w:pStyle w:val="CommentText"/>
              <w:keepNext w:val="0"/>
              <w:tabs>
                <w:tab w:val="clear" w:pos="3969"/>
              </w:tabs>
              <w:spacing w:before="120" w:after="120"/>
              <w:jc w:val="left"/>
            </w:pPr>
            <w:r w:rsidRPr="00635C98">
              <w:t>Régional de Lanaudière à Terrebonne</w:t>
            </w:r>
          </w:p>
        </w:tc>
        <w:tc>
          <w:tcPr>
            <w:tcW w:w="1047" w:type="dxa"/>
            <w:vAlign w:val="center"/>
          </w:tcPr>
          <w:p w14:paraId="56953D3E"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0,50</w:t>
            </w:r>
          </w:p>
        </w:tc>
        <w:tc>
          <w:tcPr>
            <w:tcW w:w="992" w:type="dxa"/>
            <w:vAlign w:val="center"/>
          </w:tcPr>
          <w:p w14:paraId="365B541B" w14:textId="77777777" w:rsidR="001B5473" w:rsidRPr="00A447A9" w:rsidRDefault="001B5473" w:rsidP="001B5473">
            <w:pPr>
              <w:pStyle w:val="CommentText"/>
              <w:keepNext w:val="0"/>
              <w:tabs>
                <w:tab w:val="clear" w:pos="3969"/>
              </w:tabs>
              <w:spacing w:before="120" w:after="120"/>
              <w:jc w:val="center"/>
              <w:rPr>
                <w:rFonts w:cs="Arial"/>
                <w:strike/>
                <w:szCs w:val="24"/>
              </w:rPr>
            </w:pPr>
            <w:r w:rsidRPr="00A447A9">
              <w:rPr>
                <w:rFonts w:cs="Arial"/>
                <w:bCs/>
                <w:szCs w:val="24"/>
              </w:rPr>
              <w:t>3,15</w:t>
            </w:r>
          </w:p>
        </w:tc>
        <w:tc>
          <w:tcPr>
            <w:tcW w:w="992" w:type="dxa"/>
            <w:vAlign w:val="center"/>
          </w:tcPr>
          <w:p w14:paraId="68B66ED1"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0,60</w:t>
            </w:r>
          </w:p>
        </w:tc>
        <w:tc>
          <w:tcPr>
            <w:tcW w:w="1168" w:type="dxa"/>
            <w:vAlign w:val="center"/>
          </w:tcPr>
          <w:p w14:paraId="39C62E0E"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1,07</w:t>
            </w:r>
          </w:p>
        </w:tc>
        <w:tc>
          <w:tcPr>
            <w:tcW w:w="1168" w:type="dxa"/>
            <w:vAlign w:val="center"/>
          </w:tcPr>
          <w:p w14:paraId="031FA030" w14:textId="4297E54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0,29</w:t>
            </w:r>
          </w:p>
        </w:tc>
        <w:tc>
          <w:tcPr>
            <w:tcW w:w="1168" w:type="dxa"/>
            <w:vAlign w:val="center"/>
          </w:tcPr>
          <w:p w14:paraId="59E171C0" w14:textId="11905E8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37ABBCCC" w14:textId="56E09E3D"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0,13</w:t>
            </w:r>
          </w:p>
        </w:tc>
        <w:tc>
          <w:tcPr>
            <w:tcW w:w="1140" w:type="dxa"/>
            <w:vAlign w:val="bottom"/>
          </w:tcPr>
          <w:p w14:paraId="7933443B" w14:textId="243B394B"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0,14</w:t>
            </w:r>
          </w:p>
        </w:tc>
        <w:tc>
          <w:tcPr>
            <w:tcW w:w="1134" w:type="dxa"/>
            <w:vAlign w:val="bottom"/>
          </w:tcPr>
          <w:p w14:paraId="6C2E1243" w14:textId="0F11C4AC"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0,19</w:t>
            </w:r>
          </w:p>
        </w:tc>
      </w:tr>
      <w:tr w:rsidR="001B5473" w:rsidRPr="00635C98" w14:paraId="0C2B6420" w14:textId="3E7F8EFF" w:rsidTr="00B51110">
        <w:trPr>
          <w:cantSplit/>
        </w:trPr>
        <w:tc>
          <w:tcPr>
            <w:tcW w:w="3768" w:type="dxa"/>
          </w:tcPr>
          <w:p w14:paraId="23AA99D6" w14:textId="77777777" w:rsidR="001B5473" w:rsidRPr="00635C98" w:rsidRDefault="001B5473" w:rsidP="001B5473">
            <w:pPr>
              <w:pStyle w:val="CommentText"/>
              <w:keepNext w:val="0"/>
              <w:tabs>
                <w:tab w:val="clear" w:pos="3969"/>
              </w:tabs>
              <w:spacing w:before="120" w:after="120"/>
              <w:jc w:val="left"/>
            </w:pPr>
            <w:r w:rsidRPr="00635C98">
              <w:t>Rosemont</w:t>
            </w:r>
          </w:p>
        </w:tc>
        <w:tc>
          <w:tcPr>
            <w:tcW w:w="1047" w:type="dxa"/>
            <w:vAlign w:val="center"/>
          </w:tcPr>
          <w:p w14:paraId="62DC65AF"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1,22</w:t>
            </w:r>
          </w:p>
        </w:tc>
        <w:tc>
          <w:tcPr>
            <w:tcW w:w="992" w:type="dxa"/>
            <w:vAlign w:val="center"/>
          </w:tcPr>
          <w:p w14:paraId="3C35CB3B"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4,10</w:t>
            </w:r>
          </w:p>
        </w:tc>
        <w:tc>
          <w:tcPr>
            <w:tcW w:w="992" w:type="dxa"/>
            <w:vAlign w:val="center"/>
          </w:tcPr>
          <w:p w14:paraId="76C27C68"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2,50</w:t>
            </w:r>
          </w:p>
        </w:tc>
        <w:tc>
          <w:tcPr>
            <w:tcW w:w="1168" w:type="dxa"/>
            <w:vAlign w:val="center"/>
          </w:tcPr>
          <w:p w14:paraId="1E2BAA27"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2,54</w:t>
            </w:r>
          </w:p>
        </w:tc>
        <w:tc>
          <w:tcPr>
            <w:tcW w:w="1168" w:type="dxa"/>
            <w:vAlign w:val="center"/>
          </w:tcPr>
          <w:p w14:paraId="088D882D" w14:textId="13685F1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0,57</w:t>
            </w:r>
          </w:p>
        </w:tc>
        <w:tc>
          <w:tcPr>
            <w:tcW w:w="1168" w:type="dxa"/>
            <w:vAlign w:val="center"/>
          </w:tcPr>
          <w:p w14:paraId="53282BB6" w14:textId="0D5818C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0,19</w:t>
            </w:r>
          </w:p>
        </w:tc>
        <w:tc>
          <w:tcPr>
            <w:tcW w:w="1168" w:type="dxa"/>
            <w:vAlign w:val="center"/>
          </w:tcPr>
          <w:p w14:paraId="4ABF156E" w14:textId="2A44297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0,22</w:t>
            </w:r>
          </w:p>
        </w:tc>
        <w:tc>
          <w:tcPr>
            <w:tcW w:w="1140" w:type="dxa"/>
            <w:vAlign w:val="bottom"/>
          </w:tcPr>
          <w:p w14:paraId="6D2B0CB4" w14:textId="37B2A678"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0,30</w:t>
            </w:r>
          </w:p>
        </w:tc>
        <w:tc>
          <w:tcPr>
            <w:tcW w:w="1134" w:type="dxa"/>
            <w:vAlign w:val="bottom"/>
          </w:tcPr>
          <w:p w14:paraId="3E9DB3D0" w14:textId="5BA914F8"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0,35</w:t>
            </w:r>
          </w:p>
        </w:tc>
      </w:tr>
      <w:tr w:rsidR="001B5473" w:rsidRPr="00635C98" w14:paraId="1D7A3A4A" w14:textId="430810F9" w:rsidTr="00B51110">
        <w:trPr>
          <w:cantSplit/>
        </w:trPr>
        <w:tc>
          <w:tcPr>
            <w:tcW w:w="3768" w:type="dxa"/>
          </w:tcPr>
          <w:p w14:paraId="77ACDDD0" w14:textId="09639C50" w:rsidR="001B5473" w:rsidRPr="00635C98" w:rsidRDefault="001B5473" w:rsidP="001B5473">
            <w:pPr>
              <w:pStyle w:val="CommentText"/>
              <w:keepNext w:val="0"/>
              <w:tabs>
                <w:tab w:val="clear" w:pos="3969"/>
              </w:tabs>
              <w:spacing w:before="120" w:after="120"/>
              <w:jc w:val="left"/>
            </w:pPr>
            <w:r w:rsidRPr="00635C98">
              <w:t>Saint</w:t>
            </w:r>
            <w:r>
              <w:noBreakHyphen/>
            </w:r>
            <w:r w:rsidRPr="00635C98">
              <w:t>Félicien</w:t>
            </w:r>
          </w:p>
        </w:tc>
        <w:tc>
          <w:tcPr>
            <w:tcW w:w="1047" w:type="dxa"/>
            <w:vAlign w:val="center"/>
          </w:tcPr>
          <w:p w14:paraId="3DC66BA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1,28</w:t>
            </w:r>
          </w:p>
        </w:tc>
        <w:tc>
          <w:tcPr>
            <w:tcW w:w="992" w:type="dxa"/>
            <w:vAlign w:val="center"/>
          </w:tcPr>
          <w:p w14:paraId="001BA4BB"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1,45</w:t>
            </w:r>
          </w:p>
        </w:tc>
        <w:tc>
          <w:tcPr>
            <w:tcW w:w="992" w:type="dxa"/>
            <w:vAlign w:val="center"/>
          </w:tcPr>
          <w:p w14:paraId="3F8B57F9"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0,52</w:t>
            </w:r>
          </w:p>
        </w:tc>
        <w:tc>
          <w:tcPr>
            <w:tcW w:w="1168" w:type="dxa"/>
            <w:vAlign w:val="center"/>
          </w:tcPr>
          <w:p w14:paraId="5FBAD495"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1,89</w:t>
            </w:r>
          </w:p>
        </w:tc>
        <w:tc>
          <w:tcPr>
            <w:tcW w:w="1168" w:type="dxa"/>
            <w:vAlign w:val="center"/>
          </w:tcPr>
          <w:p w14:paraId="41C61DA5" w14:textId="2E0DFE0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0,39</w:t>
            </w:r>
          </w:p>
        </w:tc>
        <w:tc>
          <w:tcPr>
            <w:tcW w:w="1168" w:type="dxa"/>
            <w:vAlign w:val="center"/>
          </w:tcPr>
          <w:p w14:paraId="73A80E2E" w14:textId="71E7142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0,08</w:t>
            </w:r>
          </w:p>
        </w:tc>
        <w:tc>
          <w:tcPr>
            <w:tcW w:w="1168" w:type="dxa"/>
            <w:vAlign w:val="center"/>
          </w:tcPr>
          <w:p w14:paraId="507DF0B8" w14:textId="6A86FFB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56EC008F" w14:textId="009663F6"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0,15</w:t>
            </w:r>
          </w:p>
        </w:tc>
        <w:tc>
          <w:tcPr>
            <w:tcW w:w="1134" w:type="dxa"/>
            <w:vAlign w:val="bottom"/>
          </w:tcPr>
          <w:p w14:paraId="277FF534" w14:textId="24857D21"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0,23</w:t>
            </w:r>
          </w:p>
        </w:tc>
      </w:tr>
      <w:tr w:rsidR="001B5473" w:rsidRPr="00635C98" w14:paraId="4932BA9C" w14:textId="72EE9013" w:rsidTr="00B51110">
        <w:trPr>
          <w:cantSplit/>
        </w:trPr>
        <w:tc>
          <w:tcPr>
            <w:tcW w:w="3768" w:type="dxa"/>
          </w:tcPr>
          <w:p w14:paraId="751ADA68" w14:textId="77777777" w:rsidR="001B5473" w:rsidRPr="00635C98" w:rsidRDefault="001B5473" w:rsidP="001B5473">
            <w:pPr>
              <w:pStyle w:val="CommentText"/>
              <w:keepNext w:val="0"/>
              <w:tabs>
                <w:tab w:val="clear" w:pos="3969"/>
              </w:tabs>
              <w:spacing w:before="120" w:after="120"/>
              <w:ind w:left="208"/>
              <w:jc w:val="left"/>
            </w:pPr>
            <w:r w:rsidRPr="00635C98">
              <w:t>CEC à Chibougamau</w:t>
            </w:r>
          </w:p>
        </w:tc>
        <w:tc>
          <w:tcPr>
            <w:tcW w:w="1047" w:type="dxa"/>
            <w:vAlign w:val="center"/>
          </w:tcPr>
          <w:p w14:paraId="2239CA75"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1,28</w:t>
            </w:r>
          </w:p>
        </w:tc>
        <w:tc>
          <w:tcPr>
            <w:tcW w:w="992" w:type="dxa"/>
            <w:vAlign w:val="center"/>
          </w:tcPr>
          <w:p w14:paraId="1E18BBF4"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1,10</w:t>
            </w:r>
          </w:p>
        </w:tc>
        <w:tc>
          <w:tcPr>
            <w:tcW w:w="992" w:type="dxa"/>
            <w:vAlign w:val="center"/>
          </w:tcPr>
          <w:p w14:paraId="35EF442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0,00</w:t>
            </w:r>
          </w:p>
        </w:tc>
        <w:tc>
          <w:tcPr>
            <w:tcW w:w="1168" w:type="dxa"/>
            <w:vAlign w:val="center"/>
          </w:tcPr>
          <w:p w14:paraId="37155A37"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0,37</w:t>
            </w:r>
          </w:p>
        </w:tc>
        <w:tc>
          <w:tcPr>
            <w:tcW w:w="1168" w:type="dxa"/>
            <w:vAlign w:val="center"/>
          </w:tcPr>
          <w:p w14:paraId="3A38D05B" w14:textId="03730BF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0,04</w:t>
            </w:r>
          </w:p>
        </w:tc>
        <w:tc>
          <w:tcPr>
            <w:tcW w:w="1168" w:type="dxa"/>
            <w:vAlign w:val="center"/>
          </w:tcPr>
          <w:p w14:paraId="77A57FAC" w14:textId="5BCDDCB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68" w:type="dxa"/>
            <w:vAlign w:val="center"/>
          </w:tcPr>
          <w:p w14:paraId="35346C59" w14:textId="580BE7F1"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0912FAF2" w14:textId="301E2DA3"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451A0DFB" w14:textId="10C9929C"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0,14</w:t>
            </w:r>
          </w:p>
        </w:tc>
      </w:tr>
      <w:tr w:rsidR="001B5473" w:rsidRPr="00635C98" w14:paraId="2E68FE66" w14:textId="13973160" w:rsidTr="00B51110">
        <w:trPr>
          <w:cantSplit/>
        </w:trPr>
        <w:tc>
          <w:tcPr>
            <w:tcW w:w="3768" w:type="dxa"/>
          </w:tcPr>
          <w:p w14:paraId="3A2DC937" w14:textId="6C1C1A79" w:rsidR="001B5473" w:rsidRPr="00635C98" w:rsidRDefault="001B5473" w:rsidP="001B5473">
            <w:pPr>
              <w:pStyle w:val="CommentText"/>
              <w:keepNext w:val="0"/>
              <w:tabs>
                <w:tab w:val="clear" w:pos="3969"/>
              </w:tabs>
              <w:spacing w:before="120" w:after="120"/>
              <w:jc w:val="left"/>
            </w:pPr>
            <w:r w:rsidRPr="00635C98">
              <w:t>Saint</w:t>
            </w:r>
            <w:r>
              <w:noBreakHyphen/>
            </w:r>
            <w:r w:rsidRPr="00635C98">
              <w:t>Hyacinthe</w:t>
            </w:r>
          </w:p>
        </w:tc>
        <w:tc>
          <w:tcPr>
            <w:tcW w:w="1047" w:type="dxa"/>
            <w:vAlign w:val="center"/>
          </w:tcPr>
          <w:p w14:paraId="098D14F5"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1,10</w:t>
            </w:r>
          </w:p>
        </w:tc>
        <w:tc>
          <w:tcPr>
            <w:tcW w:w="992" w:type="dxa"/>
            <w:vAlign w:val="center"/>
          </w:tcPr>
          <w:p w14:paraId="0469A38B"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3,50</w:t>
            </w:r>
          </w:p>
        </w:tc>
        <w:tc>
          <w:tcPr>
            <w:tcW w:w="992" w:type="dxa"/>
            <w:vAlign w:val="center"/>
          </w:tcPr>
          <w:p w14:paraId="63B3C93C"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2,50</w:t>
            </w:r>
          </w:p>
        </w:tc>
        <w:tc>
          <w:tcPr>
            <w:tcW w:w="1168" w:type="dxa"/>
            <w:vAlign w:val="center"/>
          </w:tcPr>
          <w:p w14:paraId="033BF66A"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3,55</w:t>
            </w:r>
          </w:p>
        </w:tc>
        <w:tc>
          <w:tcPr>
            <w:tcW w:w="1168" w:type="dxa"/>
            <w:vAlign w:val="center"/>
          </w:tcPr>
          <w:p w14:paraId="13521B0B" w14:textId="41718C4D"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0,71</w:t>
            </w:r>
          </w:p>
        </w:tc>
        <w:tc>
          <w:tcPr>
            <w:tcW w:w="1168" w:type="dxa"/>
            <w:vAlign w:val="center"/>
          </w:tcPr>
          <w:p w14:paraId="6BCBE19D" w14:textId="4EDC95E4"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0,28</w:t>
            </w:r>
          </w:p>
        </w:tc>
        <w:tc>
          <w:tcPr>
            <w:tcW w:w="1168" w:type="dxa"/>
            <w:vAlign w:val="center"/>
          </w:tcPr>
          <w:p w14:paraId="3AD01B3A" w14:textId="541DD67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40" w:type="dxa"/>
            <w:vAlign w:val="bottom"/>
          </w:tcPr>
          <w:p w14:paraId="697DADB2" w14:textId="200A11F9"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0,37</w:t>
            </w:r>
          </w:p>
        </w:tc>
        <w:tc>
          <w:tcPr>
            <w:tcW w:w="1134" w:type="dxa"/>
            <w:vAlign w:val="bottom"/>
          </w:tcPr>
          <w:p w14:paraId="2A4DE586" w14:textId="3D604E7E"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0,46</w:t>
            </w:r>
          </w:p>
        </w:tc>
      </w:tr>
      <w:tr w:rsidR="001B5473" w:rsidRPr="00635C98" w14:paraId="5365177A" w14:textId="096B219F" w:rsidTr="00B51110">
        <w:trPr>
          <w:cantSplit/>
        </w:trPr>
        <w:tc>
          <w:tcPr>
            <w:tcW w:w="3768" w:type="dxa"/>
          </w:tcPr>
          <w:p w14:paraId="0CF46A40" w14:textId="108BB5CB" w:rsidR="001B5473" w:rsidRPr="00635C98" w:rsidRDefault="001B5473" w:rsidP="001B5473">
            <w:pPr>
              <w:pStyle w:val="CommentText"/>
              <w:keepNext w:val="0"/>
              <w:tabs>
                <w:tab w:val="clear" w:pos="3969"/>
              </w:tabs>
              <w:spacing w:before="120" w:after="120"/>
              <w:jc w:val="left"/>
            </w:pPr>
            <w:r w:rsidRPr="00635C98">
              <w:t>Saint</w:t>
            </w:r>
            <w:r>
              <w:noBreakHyphen/>
            </w:r>
            <w:r w:rsidRPr="00635C98">
              <w:t>Jean</w:t>
            </w:r>
            <w:r>
              <w:noBreakHyphen/>
            </w:r>
            <w:r w:rsidRPr="00635C98">
              <w:t>sur</w:t>
            </w:r>
            <w:r>
              <w:noBreakHyphen/>
            </w:r>
            <w:r w:rsidRPr="00635C98">
              <w:t>Richelieu</w:t>
            </w:r>
          </w:p>
        </w:tc>
        <w:tc>
          <w:tcPr>
            <w:tcW w:w="1047" w:type="dxa"/>
            <w:vAlign w:val="center"/>
          </w:tcPr>
          <w:p w14:paraId="179CBF8B"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1,05</w:t>
            </w:r>
          </w:p>
        </w:tc>
        <w:tc>
          <w:tcPr>
            <w:tcW w:w="992" w:type="dxa"/>
            <w:vAlign w:val="center"/>
          </w:tcPr>
          <w:p w14:paraId="736CE40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2,80</w:t>
            </w:r>
          </w:p>
        </w:tc>
        <w:tc>
          <w:tcPr>
            <w:tcW w:w="992" w:type="dxa"/>
            <w:vAlign w:val="center"/>
          </w:tcPr>
          <w:p w14:paraId="3373D028"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1,02</w:t>
            </w:r>
          </w:p>
        </w:tc>
        <w:tc>
          <w:tcPr>
            <w:tcW w:w="1168" w:type="dxa"/>
            <w:vAlign w:val="center"/>
          </w:tcPr>
          <w:p w14:paraId="7D05679E"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3,06</w:t>
            </w:r>
          </w:p>
        </w:tc>
        <w:tc>
          <w:tcPr>
            <w:tcW w:w="1168" w:type="dxa"/>
            <w:vAlign w:val="center"/>
          </w:tcPr>
          <w:p w14:paraId="1AE71BD0" w14:textId="074BCAD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0,50</w:t>
            </w:r>
          </w:p>
        </w:tc>
        <w:tc>
          <w:tcPr>
            <w:tcW w:w="1168" w:type="dxa"/>
            <w:vAlign w:val="center"/>
          </w:tcPr>
          <w:p w14:paraId="4E80F69E" w14:textId="158834B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0,30</w:t>
            </w:r>
          </w:p>
        </w:tc>
        <w:tc>
          <w:tcPr>
            <w:tcW w:w="1168" w:type="dxa"/>
            <w:vAlign w:val="center"/>
          </w:tcPr>
          <w:p w14:paraId="7A8DA23C" w14:textId="5D097DD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0,06</w:t>
            </w:r>
          </w:p>
        </w:tc>
        <w:tc>
          <w:tcPr>
            <w:tcW w:w="1140" w:type="dxa"/>
            <w:vAlign w:val="bottom"/>
          </w:tcPr>
          <w:p w14:paraId="092122DF" w14:textId="32B00F7A"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0,27</w:t>
            </w:r>
          </w:p>
        </w:tc>
        <w:tc>
          <w:tcPr>
            <w:tcW w:w="1134" w:type="dxa"/>
            <w:vAlign w:val="bottom"/>
          </w:tcPr>
          <w:p w14:paraId="6DF57F5D" w14:textId="274E996F"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0,37</w:t>
            </w:r>
          </w:p>
        </w:tc>
      </w:tr>
      <w:tr w:rsidR="001B5473" w:rsidRPr="00635C98" w14:paraId="3E7A4CF8" w14:textId="7E24123C" w:rsidTr="00B51110">
        <w:trPr>
          <w:cantSplit/>
        </w:trPr>
        <w:tc>
          <w:tcPr>
            <w:tcW w:w="3768" w:type="dxa"/>
          </w:tcPr>
          <w:p w14:paraId="68427F8E" w14:textId="107D52ED" w:rsidR="001B5473" w:rsidRPr="00635C98" w:rsidRDefault="001B5473" w:rsidP="001B5473">
            <w:pPr>
              <w:pStyle w:val="CommentText"/>
              <w:keepNext w:val="0"/>
              <w:tabs>
                <w:tab w:val="clear" w:pos="3969"/>
              </w:tabs>
              <w:spacing w:before="120" w:after="120"/>
              <w:jc w:val="left"/>
            </w:pPr>
            <w:r w:rsidRPr="00635C98">
              <w:t>Saint</w:t>
            </w:r>
            <w:r>
              <w:noBreakHyphen/>
            </w:r>
            <w:r w:rsidRPr="00635C98">
              <w:t>Jérôme</w:t>
            </w:r>
          </w:p>
        </w:tc>
        <w:tc>
          <w:tcPr>
            <w:tcW w:w="1047" w:type="dxa"/>
            <w:vAlign w:val="center"/>
          </w:tcPr>
          <w:p w14:paraId="5A245B6D"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3,06</w:t>
            </w:r>
          </w:p>
        </w:tc>
        <w:tc>
          <w:tcPr>
            <w:tcW w:w="992" w:type="dxa"/>
            <w:vAlign w:val="center"/>
          </w:tcPr>
          <w:p w14:paraId="3FD45391"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5,05</w:t>
            </w:r>
          </w:p>
        </w:tc>
        <w:tc>
          <w:tcPr>
            <w:tcW w:w="992" w:type="dxa"/>
            <w:vAlign w:val="center"/>
          </w:tcPr>
          <w:p w14:paraId="4F96BBE4"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1,76</w:t>
            </w:r>
          </w:p>
        </w:tc>
        <w:tc>
          <w:tcPr>
            <w:tcW w:w="1168" w:type="dxa"/>
            <w:vAlign w:val="center"/>
          </w:tcPr>
          <w:p w14:paraId="64B2E7FA"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3,70</w:t>
            </w:r>
          </w:p>
        </w:tc>
        <w:tc>
          <w:tcPr>
            <w:tcW w:w="1168" w:type="dxa"/>
            <w:vAlign w:val="center"/>
          </w:tcPr>
          <w:p w14:paraId="4FD60A20" w14:textId="6BA9A39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0,61</w:t>
            </w:r>
          </w:p>
        </w:tc>
        <w:tc>
          <w:tcPr>
            <w:tcW w:w="1168" w:type="dxa"/>
            <w:vAlign w:val="center"/>
          </w:tcPr>
          <w:p w14:paraId="18915F74" w14:textId="28BEEC2D" w:rsidR="001B5473" w:rsidRPr="00A447A9" w:rsidRDefault="00F81ACE" w:rsidP="001B5473">
            <w:pPr>
              <w:pStyle w:val="CommentText"/>
              <w:keepNext w:val="0"/>
              <w:tabs>
                <w:tab w:val="clear" w:pos="3969"/>
              </w:tabs>
              <w:spacing w:before="120" w:after="120"/>
              <w:jc w:val="center"/>
              <w:rPr>
                <w:rFonts w:cs="Arial"/>
                <w:bCs/>
                <w:szCs w:val="24"/>
                <w:lang w:val="en-CA"/>
              </w:rPr>
            </w:pPr>
            <w:r>
              <w:rPr>
                <w:rFonts w:cs="Arial"/>
                <w:bCs/>
                <w:szCs w:val="24"/>
                <w:lang w:val="en-CA"/>
              </w:rPr>
              <w:t xml:space="preserve"> </w:t>
            </w:r>
            <w:r w:rsidRPr="00316277">
              <w:rPr>
                <w:rFonts w:cs="Arial"/>
                <w:bCs/>
                <w:szCs w:val="24"/>
                <w:lang w:val="en-CA"/>
              </w:rPr>
              <w:t>0,61</w:t>
            </w:r>
          </w:p>
        </w:tc>
        <w:tc>
          <w:tcPr>
            <w:tcW w:w="1168" w:type="dxa"/>
            <w:vAlign w:val="center"/>
          </w:tcPr>
          <w:p w14:paraId="20CCF5CA" w14:textId="6C16E0F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0,06</w:t>
            </w:r>
          </w:p>
        </w:tc>
        <w:tc>
          <w:tcPr>
            <w:tcW w:w="1140" w:type="dxa"/>
            <w:vAlign w:val="bottom"/>
          </w:tcPr>
          <w:p w14:paraId="51B18DBF" w14:textId="0D60F033"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0,34</w:t>
            </w:r>
          </w:p>
        </w:tc>
        <w:tc>
          <w:tcPr>
            <w:tcW w:w="1134" w:type="dxa"/>
            <w:vAlign w:val="bottom"/>
          </w:tcPr>
          <w:p w14:paraId="48DC86F3" w14:textId="5AEB82D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0,39</w:t>
            </w:r>
          </w:p>
        </w:tc>
      </w:tr>
      <w:tr w:rsidR="001B5473" w:rsidRPr="00635C98" w14:paraId="40098420" w14:textId="77777777" w:rsidTr="00B51110">
        <w:trPr>
          <w:cantSplit/>
        </w:trPr>
        <w:tc>
          <w:tcPr>
            <w:tcW w:w="3768" w:type="dxa"/>
          </w:tcPr>
          <w:p w14:paraId="69EEC6B7" w14:textId="7A8C7436" w:rsidR="001B5473" w:rsidRPr="001B5473" w:rsidRDefault="00F81ACE" w:rsidP="00780FBC">
            <w:pPr>
              <w:pStyle w:val="CommentText"/>
              <w:keepNext w:val="0"/>
              <w:tabs>
                <w:tab w:val="clear" w:pos="3969"/>
              </w:tabs>
              <w:spacing w:before="120" w:after="120"/>
              <w:ind w:firstLine="212"/>
              <w:jc w:val="left"/>
              <w:rPr>
                <w:highlight w:val="lightGray"/>
              </w:rPr>
            </w:pPr>
            <w:r w:rsidRPr="00316277">
              <w:t>CEC</w:t>
            </w:r>
            <w:r w:rsidR="001B5473" w:rsidRPr="00316277">
              <w:t xml:space="preserve"> Mont-Laurier</w:t>
            </w:r>
          </w:p>
        </w:tc>
        <w:tc>
          <w:tcPr>
            <w:tcW w:w="1047" w:type="dxa"/>
            <w:vAlign w:val="center"/>
          </w:tcPr>
          <w:p w14:paraId="084A5AB0"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992" w:type="dxa"/>
            <w:vAlign w:val="center"/>
          </w:tcPr>
          <w:p w14:paraId="2785BD3F"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992" w:type="dxa"/>
            <w:vAlign w:val="center"/>
          </w:tcPr>
          <w:p w14:paraId="50B9F347"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1168" w:type="dxa"/>
            <w:vAlign w:val="center"/>
          </w:tcPr>
          <w:p w14:paraId="08B6B906" w14:textId="77777777"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p>
        </w:tc>
        <w:tc>
          <w:tcPr>
            <w:tcW w:w="1168" w:type="dxa"/>
            <w:vAlign w:val="center"/>
          </w:tcPr>
          <w:p w14:paraId="64E4C091" w14:textId="368711E3"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68" w:type="dxa"/>
            <w:vAlign w:val="center"/>
          </w:tcPr>
          <w:p w14:paraId="36BC6D04" w14:textId="76C5F38C"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0,02</w:t>
            </w:r>
          </w:p>
        </w:tc>
        <w:tc>
          <w:tcPr>
            <w:tcW w:w="1168" w:type="dxa"/>
            <w:vAlign w:val="center"/>
          </w:tcPr>
          <w:p w14:paraId="75AF1355" w14:textId="231D4A02"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40" w:type="dxa"/>
            <w:vAlign w:val="bottom"/>
          </w:tcPr>
          <w:p w14:paraId="58859EC3" w14:textId="180708F6"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0,03</w:t>
            </w:r>
          </w:p>
        </w:tc>
        <w:tc>
          <w:tcPr>
            <w:tcW w:w="1134" w:type="dxa"/>
            <w:vAlign w:val="bottom"/>
          </w:tcPr>
          <w:p w14:paraId="1928747C" w14:textId="60EF8834"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0,02</w:t>
            </w:r>
          </w:p>
        </w:tc>
      </w:tr>
      <w:tr w:rsidR="001B5473" w:rsidRPr="00635C98" w14:paraId="260AF359" w14:textId="77777777" w:rsidTr="00B51110">
        <w:trPr>
          <w:cantSplit/>
        </w:trPr>
        <w:tc>
          <w:tcPr>
            <w:tcW w:w="3768" w:type="dxa"/>
          </w:tcPr>
          <w:p w14:paraId="375F19DD" w14:textId="721FE795" w:rsidR="001B5473" w:rsidRPr="001B5473" w:rsidRDefault="00F81ACE" w:rsidP="00780FBC">
            <w:pPr>
              <w:pStyle w:val="CommentText"/>
              <w:keepNext w:val="0"/>
              <w:tabs>
                <w:tab w:val="clear" w:pos="3969"/>
              </w:tabs>
              <w:spacing w:before="120" w:after="120"/>
              <w:ind w:firstLine="212"/>
              <w:jc w:val="left"/>
              <w:rPr>
                <w:highlight w:val="lightGray"/>
              </w:rPr>
            </w:pPr>
            <w:r w:rsidRPr="00316277">
              <w:t>CEC</w:t>
            </w:r>
            <w:r w:rsidR="001B5473" w:rsidRPr="00316277">
              <w:t xml:space="preserve"> Mont-Tremblant</w:t>
            </w:r>
          </w:p>
        </w:tc>
        <w:tc>
          <w:tcPr>
            <w:tcW w:w="1047" w:type="dxa"/>
            <w:vAlign w:val="center"/>
          </w:tcPr>
          <w:p w14:paraId="56700A47"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992" w:type="dxa"/>
            <w:vAlign w:val="center"/>
          </w:tcPr>
          <w:p w14:paraId="23471B37"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992" w:type="dxa"/>
            <w:vAlign w:val="center"/>
          </w:tcPr>
          <w:p w14:paraId="79EBC327" w14:textId="77777777" w:rsidR="001B5473" w:rsidRPr="001B5473" w:rsidRDefault="001B5473" w:rsidP="001B5473">
            <w:pPr>
              <w:pStyle w:val="CommentText"/>
              <w:keepNext w:val="0"/>
              <w:tabs>
                <w:tab w:val="clear" w:pos="3969"/>
              </w:tabs>
              <w:spacing w:before="120" w:after="120"/>
              <w:jc w:val="center"/>
              <w:rPr>
                <w:rFonts w:cs="Arial"/>
                <w:szCs w:val="24"/>
                <w:highlight w:val="lightGray"/>
              </w:rPr>
            </w:pPr>
          </w:p>
        </w:tc>
        <w:tc>
          <w:tcPr>
            <w:tcW w:w="1168" w:type="dxa"/>
            <w:vAlign w:val="center"/>
          </w:tcPr>
          <w:p w14:paraId="64AA9585" w14:textId="77777777"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p>
        </w:tc>
        <w:tc>
          <w:tcPr>
            <w:tcW w:w="1168" w:type="dxa"/>
            <w:vAlign w:val="center"/>
          </w:tcPr>
          <w:p w14:paraId="7F36EDF3" w14:textId="44ADF3B8"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68" w:type="dxa"/>
            <w:vAlign w:val="center"/>
          </w:tcPr>
          <w:p w14:paraId="79536CEC" w14:textId="606BA54B"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68" w:type="dxa"/>
            <w:vAlign w:val="center"/>
          </w:tcPr>
          <w:p w14:paraId="10869E70" w14:textId="1CB12B14"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bCs/>
                <w:szCs w:val="24"/>
                <w:lang w:val="en-CA"/>
              </w:rPr>
              <w:t>0,00</w:t>
            </w:r>
          </w:p>
        </w:tc>
        <w:tc>
          <w:tcPr>
            <w:tcW w:w="1140" w:type="dxa"/>
            <w:vAlign w:val="bottom"/>
          </w:tcPr>
          <w:p w14:paraId="1778D62D" w14:textId="60490DA1"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0,02</w:t>
            </w:r>
          </w:p>
        </w:tc>
        <w:tc>
          <w:tcPr>
            <w:tcW w:w="1134" w:type="dxa"/>
            <w:vAlign w:val="bottom"/>
          </w:tcPr>
          <w:p w14:paraId="11BD4BA0" w14:textId="6D9CB20D"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0,05</w:t>
            </w:r>
          </w:p>
        </w:tc>
      </w:tr>
      <w:tr w:rsidR="001B5473" w:rsidRPr="00635C98" w14:paraId="3F08F978" w14:textId="4F31FB8F" w:rsidTr="00884C89">
        <w:trPr>
          <w:cantSplit/>
        </w:trPr>
        <w:tc>
          <w:tcPr>
            <w:tcW w:w="3768" w:type="dxa"/>
          </w:tcPr>
          <w:p w14:paraId="74E79630" w14:textId="4889C40B" w:rsidR="001B5473" w:rsidRPr="00635C98" w:rsidRDefault="001B5473" w:rsidP="001B5473">
            <w:pPr>
              <w:pStyle w:val="CommentText"/>
              <w:keepNext w:val="0"/>
              <w:tabs>
                <w:tab w:val="clear" w:pos="3969"/>
              </w:tabs>
              <w:spacing w:before="120" w:after="120"/>
              <w:jc w:val="left"/>
            </w:pPr>
            <w:r w:rsidRPr="00635C98">
              <w:t>Saint</w:t>
            </w:r>
            <w:r>
              <w:noBreakHyphen/>
            </w:r>
            <w:r w:rsidRPr="00635C98">
              <w:t>Laurent</w:t>
            </w:r>
          </w:p>
        </w:tc>
        <w:tc>
          <w:tcPr>
            <w:tcW w:w="1047" w:type="dxa"/>
            <w:vAlign w:val="center"/>
          </w:tcPr>
          <w:p w14:paraId="7379B64E"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1,12</w:t>
            </w:r>
          </w:p>
        </w:tc>
        <w:tc>
          <w:tcPr>
            <w:tcW w:w="992" w:type="dxa"/>
            <w:vAlign w:val="center"/>
          </w:tcPr>
          <w:p w14:paraId="1F53CCBE"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4,10</w:t>
            </w:r>
          </w:p>
        </w:tc>
        <w:tc>
          <w:tcPr>
            <w:tcW w:w="992" w:type="dxa"/>
            <w:vAlign w:val="center"/>
          </w:tcPr>
          <w:p w14:paraId="6CE258FB"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0,39</w:t>
            </w:r>
          </w:p>
        </w:tc>
        <w:tc>
          <w:tcPr>
            <w:tcW w:w="1168" w:type="dxa"/>
            <w:vAlign w:val="center"/>
          </w:tcPr>
          <w:p w14:paraId="427C8BB8"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2,91</w:t>
            </w:r>
          </w:p>
        </w:tc>
        <w:tc>
          <w:tcPr>
            <w:tcW w:w="1168" w:type="dxa"/>
            <w:vAlign w:val="center"/>
          </w:tcPr>
          <w:p w14:paraId="39D69900" w14:textId="7D307968"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0,53</w:t>
            </w:r>
          </w:p>
        </w:tc>
        <w:tc>
          <w:tcPr>
            <w:tcW w:w="1168" w:type="dxa"/>
            <w:vAlign w:val="center"/>
          </w:tcPr>
          <w:p w14:paraId="1DFFEFB9" w14:textId="2FB40EF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0,36</w:t>
            </w:r>
          </w:p>
        </w:tc>
        <w:tc>
          <w:tcPr>
            <w:tcW w:w="1168" w:type="dxa"/>
            <w:vAlign w:val="center"/>
          </w:tcPr>
          <w:p w14:paraId="18A6DA5B" w14:textId="7E9E5BC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0EAE4076" w14:textId="5C90ACD5"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0,19</w:t>
            </w:r>
          </w:p>
        </w:tc>
        <w:tc>
          <w:tcPr>
            <w:tcW w:w="1134" w:type="dxa"/>
            <w:vAlign w:val="bottom"/>
          </w:tcPr>
          <w:p w14:paraId="4B8C6A46" w14:textId="35435826"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0,37</w:t>
            </w:r>
          </w:p>
        </w:tc>
      </w:tr>
      <w:tr w:rsidR="001B5473" w:rsidRPr="00635C98" w14:paraId="700558C1" w14:textId="64D5EAA6" w:rsidTr="00884C89">
        <w:trPr>
          <w:cantSplit/>
        </w:trPr>
        <w:tc>
          <w:tcPr>
            <w:tcW w:w="3768" w:type="dxa"/>
          </w:tcPr>
          <w:p w14:paraId="56575273" w14:textId="79CE4592" w:rsidR="001B5473" w:rsidRPr="00635C98" w:rsidRDefault="001B5473" w:rsidP="001B5473">
            <w:pPr>
              <w:pStyle w:val="CommentText"/>
              <w:keepNext w:val="0"/>
              <w:tabs>
                <w:tab w:val="clear" w:pos="3969"/>
              </w:tabs>
              <w:spacing w:before="120" w:after="120"/>
              <w:jc w:val="left"/>
              <w:rPr>
                <w:lang w:val="en-CA"/>
              </w:rPr>
            </w:pPr>
            <w:r w:rsidRPr="00635C98">
              <w:rPr>
                <w:lang w:val="en-CA"/>
              </w:rPr>
              <w:t>Sept</w:t>
            </w:r>
            <w:r>
              <w:rPr>
                <w:lang w:val="en-CA"/>
              </w:rPr>
              <w:noBreakHyphen/>
            </w:r>
            <w:r w:rsidRPr="00635C98">
              <w:rPr>
                <w:lang w:val="en-CA"/>
              </w:rPr>
              <w:t>Îles</w:t>
            </w:r>
          </w:p>
        </w:tc>
        <w:tc>
          <w:tcPr>
            <w:tcW w:w="1047" w:type="dxa"/>
            <w:vAlign w:val="center"/>
          </w:tcPr>
          <w:p w14:paraId="6F02E828"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3,14</w:t>
            </w:r>
          </w:p>
        </w:tc>
        <w:tc>
          <w:tcPr>
            <w:tcW w:w="992" w:type="dxa"/>
            <w:vAlign w:val="center"/>
          </w:tcPr>
          <w:p w14:paraId="5D913353"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1,30</w:t>
            </w:r>
          </w:p>
        </w:tc>
        <w:tc>
          <w:tcPr>
            <w:tcW w:w="992" w:type="dxa"/>
            <w:vAlign w:val="center"/>
          </w:tcPr>
          <w:p w14:paraId="266AED77"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0,17</w:t>
            </w:r>
          </w:p>
        </w:tc>
        <w:tc>
          <w:tcPr>
            <w:tcW w:w="1168" w:type="dxa"/>
            <w:vAlign w:val="center"/>
          </w:tcPr>
          <w:p w14:paraId="6F24C0CD"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1,61</w:t>
            </w:r>
          </w:p>
        </w:tc>
        <w:tc>
          <w:tcPr>
            <w:tcW w:w="1168" w:type="dxa"/>
            <w:vAlign w:val="center"/>
          </w:tcPr>
          <w:p w14:paraId="3E5DF69C" w14:textId="7CAC025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68" w:type="dxa"/>
            <w:vAlign w:val="center"/>
          </w:tcPr>
          <w:p w14:paraId="5FF9CE25" w14:textId="2D28C9F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0,08</w:t>
            </w:r>
          </w:p>
        </w:tc>
        <w:tc>
          <w:tcPr>
            <w:tcW w:w="1168" w:type="dxa"/>
            <w:vAlign w:val="center"/>
          </w:tcPr>
          <w:p w14:paraId="2B611535" w14:textId="1C3390F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6280C9FE" w14:textId="73996B70"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0,12</w:t>
            </w:r>
          </w:p>
        </w:tc>
        <w:tc>
          <w:tcPr>
            <w:tcW w:w="1134" w:type="dxa"/>
            <w:vAlign w:val="bottom"/>
          </w:tcPr>
          <w:p w14:paraId="7D97DFBB" w14:textId="5FBBAC62"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0,35</w:t>
            </w:r>
          </w:p>
        </w:tc>
      </w:tr>
      <w:tr w:rsidR="001B5473" w:rsidRPr="00635C98" w14:paraId="1AC8B99F" w14:textId="466F0BAF" w:rsidTr="00884C89">
        <w:trPr>
          <w:cantSplit/>
        </w:trPr>
        <w:tc>
          <w:tcPr>
            <w:tcW w:w="3768" w:type="dxa"/>
          </w:tcPr>
          <w:p w14:paraId="182ACDB1" w14:textId="77777777" w:rsidR="001B5473" w:rsidRPr="00635C98" w:rsidRDefault="001B5473" w:rsidP="001B5473">
            <w:pPr>
              <w:pStyle w:val="CommentText"/>
              <w:keepNext w:val="0"/>
              <w:tabs>
                <w:tab w:val="clear" w:pos="3969"/>
              </w:tabs>
              <w:spacing w:before="120" w:after="120"/>
              <w:jc w:val="left"/>
              <w:rPr>
                <w:lang w:val="en-CA"/>
              </w:rPr>
            </w:pPr>
            <w:r w:rsidRPr="00635C98">
              <w:rPr>
                <w:lang w:val="en-CA"/>
              </w:rPr>
              <w:t>Shawinigan</w:t>
            </w:r>
          </w:p>
        </w:tc>
        <w:tc>
          <w:tcPr>
            <w:tcW w:w="1047" w:type="dxa"/>
            <w:vAlign w:val="center"/>
          </w:tcPr>
          <w:p w14:paraId="3D21B03B"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2,23</w:t>
            </w:r>
          </w:p>
        </w:tc>
        <w:tc>
          <w:tcPr>
            <w:tcW w:w="992" w:type="dxa"/>
            <w:vAlign w:val="center"/>
          </w:tcPr>
          <w:p w14:paraId="5072925C"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2,40</w:t>
            </w:r>
          </w:p>
        </w:tc>
        <w:tc>
          <w:tcPr>
            <w:tcW w:w="992" w:type="dxa"/>
            <w:vAlign w:val="center"/>
          </w:tcPr>
          <w:p w14:paraId="5665C5D6"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1,40</w:t>
            </w:r>
          </w:p>
        </w:tc>
        <w:tc>
          <w:tcPr>
            <w:tcW w:w="1168" w:type="dxa"/>
            <w:vAlign w:val="center"/>
          </w:tcPr>
          <w:p w14:paraId="19638A98"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2,00</w:t>
            </w:r>
          </w:p>
        </w:tc>
        <w:tc>
          <w:tcPr>
            <w:tcW w:w="1168" w:type="dxa"/>
            <w:vAlign w:val="center"/>
          </w:tcPr>
          <w:p w14:paraId="51691306" w14:textId="7AC544D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0,43</w:t>
            </w:r>
          </w:p>
        </w:tc>
        <w:tc>
          <w:tcPr>
            <w:tcW w:w="1168" w:type="dxa"/>
            <w:vAlign w:val="center"/>
          </w:tcPr>
          <w:p w14:paraId="70477ECE" w14:textId="0212918A"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0,17</w:t>
            </w:r>
          </w:p>
        </w:tc>
        <w:tc>
          <w:tcPr>
            <w:tcW w:w="1168" w:type="dxa"/>
            <w:vAlign w:val="center"/>
          </w:tcPr>
          <w:p w14:paraId="47EE58F4" w14:textId="56B466E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0,14</w:t>
            </w:r>
          </w:p>
        </w:tc>
        <w:tc>
          <w:tcPr>
            <w:tcW w:w="1140" w:type="dxa"/>
            <w:vAlign w:val="bottom"/>
          </w:tcPr>
          <w:p w14:paraId="730D60CF" w14:textId="3DD11FD1"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0,16</w:t>
            </w:r>
          </w:p>
        </w:tc>
        <w:tc>
          <w:tcPr>
            <w:tcW w:w="1134" w:type="dxa"/>
            <w:vAlign w:val="bottom"/>
          </w:tcPr>
          <w:p w14:paraId="2D201111" w14:textId="1ABE6434"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0,30</w:t>
            </w:r>
          </w:p>
        </w:tc>
      </w:tr>
      <w:tr w:rsidR="001B5473" w:rsidRPr="00635C98" w14:paraId="1E7EB140" w14:textId="423B8082" w:rsidTr="00884C89">
        <w:trPr>
          <w:cantSplit/>
        </w:trPr>
        <w:tc>
          <w:tcPr>
            <w:tcW w:w="3768" w:type="dxa"/>
          </w:tcPr>
          <w:p w14:paraId="2185B86B" w14:textId="77777777" w:rsidR="001B5473" w:rsidRPr="00635C98" w:rsidRDefault="001B5473" w:rsidP="001B5473">
            <w:pPr>
              <w:pStyle w:val="CommentText"/>
              <w:keepNext w:val="0"/>
              <w:tabs>
                <w:tab w:val="clear" w:pos="3969"/>
              </w:tabs>
              <w:spacing w:before="120" w:after="120"/>
              <w:jc w:val="left"/>
              <w:rPr>
                <w:lang w:val="en-CA"/>
              </w:rPr>
            </w:pPr>
            <w:r w:rsidRPr="00635C98">
              <w:rPr>
                <w:lang w:val="en-CA"/>
              </w:rPr>
              <w:t>Sherbrooke</w:t>
            </w:r>
          </w:p>
        </w:tc>
        <w:tc>
          <w:tcPr>
            <w:tcW w:w="1047" w:type="dxa"/>
            <w:tcBorders>
              <w:bottom w:val="single" w:sz="4" w:space="0" w:color="auto"/>
            </w:tcBorders>
            <w:vAlign w:val="center"/>
          </w:tcPr>
          <w:p w14:paraId="2200A86E"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1,63</w:t>
            </w:r>
          </w:p>
        </w:tc>
        <w:tc>
          <w:tcPr>
            <w:tcW w:w="992" w:type="dxa"/>
            <w:tcBorders>
              <w:bottom w:val="single" w:sz="4" w:space="0" w:color="auto"/>
            </w:tcBorders>
            <w:vAlign w:val="center"/>
          </w:tcPr>
          <w:p w14:paraId="0E4A4959"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7,00</w:t>
            </w:r>
          </w:p>
        </w:tc>
        <w:tc>
          <w:tcPr>
            <w:tcW w:w="992" w:type="dxa"/>
            <w:tcBorders>
              <w:bottom w:val="single" w:sz="4" w:space="0" w:color="auto"/>
            </w:tcBorders>
            <w:vAlign w:val="center"/>
          </w:tcPr>
          <w:p w14:paraId="52EC9673"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2,81</w:t>
            </w:r>
          </w:p>
        </w:tc>
        <w:tc>
          <w:tcPr>
            <w:tcW w:w="1168" w:type="dxa"/>
            <w:vAlign w:val="center"/>
          </w:tcPr>
          <w:p w14:paraId="59549FAE"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6,48</w:t>
            </w:r>
          </w:p>
        </w:tc>
        <w:tc>
          <w:tcPr>
            <w:tcW w:w="1168" w:type="dxa"/>
            <w:vAlign w:val="center"/>
          </w:tcPr>
          <w:p w14:paraId="0E97534F" w14:textId="23B829A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1,12</w:t>
            </w:r>
          </w:p>
        </w:tc>
        <w:tc>
          <w:tcPr>
            <w:tcW w:w="1168" w:type="dxa"/>
            <w:vAlign w:val="center"/>
          </w:tcPr>
          <w:p w14:paraId="21A6A6FC" w14:textId="3193B06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0,51</w:t>
            </w:r>
          </w:p>
        </w:tc>
        <w:tc>
          <w:tcPr>
            <w:tcW w:w="1168" w:type="dxa"/>
            <w:vAlign w:val="center"/>
          </w:tcPr>
          <w:p w14:paraId="12F6FE97" w14:textId="021E145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0,27</w:t>
            </w:r>
          </w:p>
        </w:tc>
        <w:tc>
          <w:tcPr>
            <w:tcW w:w="1140" w:type="dxa"/>
            <w:vAlign w:val="bottom"/>
          </w:tcPr>
          <w:p w14:paraId="5732F4EF" w14:textId="1516D91D"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0,58</w:t>
            </w:r>
          </w:p>
        </w:tc>
        <w:tc>
          <w:tcPr>
            <w:tcW w:w="1134" w:type="dxa"/>
            <w:vAlign w:val="bottom"/>
          </w:tcPr>
          <w:p w14:paraId="7FBDD211" w14:textId="2893E62F"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0,69</w:t>
            </w:r>
          </w:p>
        </w:tc>
      </w:tr>
      <w:tr w:rsidR="001B5473" w:rsidRPr="00635C98" w14:paraId="1C961C31" w14:textId="3030C406" w:rsidTr="00884C89">
        <w:trPr>
          <w:cantSplit/>
        </w:trPr>
        <w:tc>
          <w:tcPr>
            <w:tcW w:w="3768" w:type="dxa"/>
          </w:tcPr>
          <w:p w14:paraId="7D62B252" w14:textId="77777777" w:rsidR="001B5473" w:rsidRPr="00635C98" w:rsidRDefault="001B5473" w:rsidP="001B5473">
            <w:pPr>
              <w:pStyle w:val="CommentText"/>
              <w:keepNext w:val="0"/>
              <w:tabs>
                <w:tab w:val="clear" w:pos="3969"/>
              </w:tabs>
              <w:spacing w:before="120" w:after="120"/>
              <w:jc w:val="left"/>
              <w:rPr>
                <w:bCs/>
                <w:lang w:val="en-CA"/>
              </w:rPr>
            </w:pPr>
            <w:r w:rsidRPr="00635C98">
              <w:rPr>
                <w:bCs/>
                <w:lang w:val="en-CA"/>
              </w:rPr>
              <w:t xml:space="preserve">Thetford </w:t>
            </w:r>
          </w:p>
        </w:tc>
        <w:tc>
          <w:tcPr>
            <w:tcW w:w="1047" w:type="dxa"/>
            <w:vAlign w:val="center"/>
          </w:tcPr>
          <w:p w14:paraId="4E5FFE55"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2,42</w:t>
            </w:r>
          </w:p>
        </w:tc>
        <w:tc>
          <w:tcPr>
            <w:tcW w:w="992" w:type="dxa"/>
            <w:vAlign w:val="center"/>
          </w:tcPr>
          <w:p w14:paraId="53ACD72C"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2,00</w:t>
            </w:r>
          </w:p>
        </w:tc>
        <w:tc>
          <w:tcPr>
            <w:tcW w:w="992" w:type="dxa"/>
            <w:vAlign w:val="center"/>
          </w:tcPr>
          <w:p w14:paraId="28C79A16" w14:textId="77777777" w:rsidR="001B5473" w:rsidRPr="00A447A9" w:rsidRDefault="001B5473" w:rsidP="001B5473">
            <w:pPr>
              <w:pStyle w:val="CommentText"/>
              <w:keepNext w:val="0"/>
              <w:tabs>
                <w:tab w:val="clear" w:pos="3969"/>
              </w:tabs>
              <w:spacing w:before="120" w:after="120"/>
              <w:jc w:val="center"/>
              <w:rPr>
                <w:rFonts w:cs="Arial"/>
                <w:szCs w:val="24"/>
                <w:lang w:val="en-CA"/>
              </w:rPr>
            </w:pPr>
            <w:r w:rsidRPr="00A447A9">
              <w:rPr>
                <w:rFonts w:cs="Arial"/>
                <w:szCs w:val="24"/>
                <w:lang w:val="en-CA"/>
              </w:rPr>
              <w:t>0,93</w:t>
            </w:r>
          </w:p>
        </w:tc>
        <w:tc>
          <w:tcPr>
            <w:tcW w:w="1168" w:type="dxa"/>
            <w:vAlign w:val="center"/>
          </w:tcPr>
          <w:p w14:paraId="0C6F1570" w14:textId="77777777"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2,02</w:t>
            </w:r>
          </w:p>
        </w:tc>
        <w:tc>
          <w:tcPr>
            <w:tcW w:w="1168" w:type="dxa"/>
            <w:vAlign w:val="center"/>
          </w:tcPr>
          <w:p w14:paraId="176806E7" w14:textId="5625C2D3"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0,47</w:t>
            </w:r>
          </w:p>
        </w:tc>
        <w:tc>
          <w:tcPr>
            <w:tcW w:w="1168" w:type="dxa"/>
            <w:vAlign w:val="center"/>
          </w:tcPr>
          <w:p w14:paraId="3199B892" w14:textId="10BEA9E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0,08</w:t>
            </w:r>
          </w:p>
        </w:tc>
        <w:tc>
          <w:tcPr>
            <w:tcW w:w="1168" w:type="dxa"/>
            <w:vAlign w:val="center"/>
          </w:tcPr>
          <w:p w14:paraId="66C6949F" w14:textId="279ACB6F"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5A49127C" w14:textId="4CF258D6"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0,16</w:t>
            </w:r>
          </w:p>
        </w:tc>
        <w:tc>
          <w:tcPr>
            <w:tcW w:w="1134" w:type="dxa"/>
            <w:vAlign w:val="bottom"/>
          </w:tcPr>
          <w:p w14:paraId="59DCD8BE" w14:textId="0846F9B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0,28</w:t>
            </w:r>
          </w:p>
        </w:tc>
      </w:tr>
      <w:tr w:rsidR="001B5473" w:rsidRPr="00635C98" w14:paraId="4CF25657" w14:textId="0873E491" w:rsidTr="00884C89">
        <w:trPr>
          <w:cantSplit/>
        </w:trPr>
        <w:tc>
          <w:tcPr>
            <w:tcW w:w="3768" w:type="dxa"/>
          </w:tcPr>
          <w:p w14:paraId="45C4479C" w14:textId="08722447" w:rsidR="001B5473" w:rsidRPr="00635C98" w:rsidRDefault="001B5473" w:rsidP="001B5473">
            <w:pPr>
              <w:pStyle w:val="CommentText"/>
              <w:keepNext w:val="0"/>
              <w:tabs>
                <w:tab w:val="clear" w:pos="3969"/>
              </w:tabs>
              <w:spacing w:before="120" w:after="120"/>
              <w:jc w:val="left"/>
              <w:rPr>
                <w:lang w:val="en-CA"/>
              </w:rPr>
            </w:pPr>
            <w:r w:rsidRPr="00635C98">
              <w:rPr>
                <w:lang w:val="en-CA"/>
              </w:rPr>
              <w:t>Trois</w:t>
            </w:r>
            <w:r>
              <w:rPr>
                <w:lang w:val="en-CA"/>
              </w:rPr>
              <w:noBreakHyphen/>
            </w:r>
            <w:r w:rsidRPr="00635C98">
              <w:rPr>
                <w:lang w:val="en-CA"/>
              </w:rPr>
              <w:t>Rivières</w:t>
            </w:r>
          </w:p>
        </w:tc>
        <w:tc>
          <w:tcPr>
            <w:tcW w:w="1047" w:type="dxa"/>
            <w:vAlign w:val="center"/>
          </w:tcPr>
          <w:p w14:paraId="15FC1446"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2,21</w:t>
            </w:r>
          </w:p>
        </w:tc>
        <w:tc>
          <w:tcPr>
            <w:tcW w:w="992" w:type="dxa"/>
            <w:vAlign w:val="center"/>
          </w:tcPr>
          <w:p w14:paraId="02A28ACA"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6,00</w:t>
            </w:r>
          </w:p>
        </w:tc>
        <w:tc>
          <w:tcPr>
            <w:tcW w:w="992" w:type="dxa"/>
            <w:vAlign w:val="center"/>
          </w:tcPr>
          <w:p w14:paraId="30B31431"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2,87</w:t>
            </w:r>
          </w:p>
        </w:tc>
        <w:tc>
          <w:tcPr>
            <w:tcW w:w="1168" w:type="dxa"/>
            <w:vAlign w:val="center"/>
          </w:tcPr>
          <w:p w14:paraId="611A671B"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5,49</w:t>
            </w:r>
          </w:p>
        </w:tc>
        <w:tc>
          <w:tcPr>
            <w:tcW w:w="1168" w:type="dxa"/>
            <w:vAlign w:val="center"/>
          </w:tcPr>
          <w:p w14:paraId="5501E7DF" w14:textId="63A22B9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0,96</w:t>
            </w:r>
          </w:p>
        </w:tc>
        <w:tc>
          <w:tcPr>
            <w:tcW w:w="1168" w:type="dxa"/>
            <w:vAlign w:val="center"/>
          </w:tcPr>
          <w:p w14:paraId="42C22D68" w14:textId="7FDE42A6"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0,32</w:t>
            </w:r>
          </w:p>
        </w:tc>
        <w:tc>
          <w:tcPr>
            <w:tcW w:w="1168" w:type="dxa"/>
            <w:vAlign w:val="center"/>
          </w:tcPr>
          <w:p w14:paraId="14392940" w14:textId="66BC83D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0,14</w:t>
            </w:r>
          </w:p>
        </w:tc>
        <w:tc>
          <w:tcPr>
            <w:tcW w:w="1140" w:type="dxa"/>
            <w:vAlign w:val="bottom"/>
          </w:tcPr>
          <w:p w14:paraId="638E4E86" w14:textId="25E596A7"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0,42</w:t>
            </w:r>
          </w:p>
        </w:tc>
        <w:tc>
          <w:tcPr>
            <w:tcW w:w="1134" w:type="dxa"/>
            <w:vAlign w:val="bottom"/>
          </w:tcPr>
          <w:p w14:paraId="61144599" w14:textId="73D1439B"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0,65</w:t>
            </w:r>
          </w:p>
        </w:tc>
      </w:tr>
      <w:tr w:rsidR="001B5473" w:rsidRPr="00635C98" w14:paraId="496AD432" w14:textId="61BEDDE4" w:rsidTr="00884C89">
        <w:trPr>
          <w:cantSplit/>
        </w:trPr>
        <w:tc>
          <w:tcPr>
            <w:tcW w:w="3768" w:type="dxa"/>
          </w:tcPr>
          <w:p w14:paraId="07E73827" w14:textId="77777777" w:rsidR="001B5473" w:rsidRPr="00635C98" w:rsidRDefault="001B5473" w:rsidP="001B5473">
            <w:pPr>
              <w:pStyle w:val="CommentText"/>
              <w:keepNext w:val="0"/>
              <w:tabs>
                <w:tab w:val="clear" w:pos="3969"/>
              </w:tabs>
              <w:spacing w:before="120" w:after="120"/>
              <w:jc w:val="left"/>
            </w:pPr>
            <w:r w:rsidRPr="00635C98">
              <w:t>Valleyfield</w:t>
            </w:r>
          </w:p>
        </w:tc>
        <w:tc>
          <w:tcPr>
            <w:tcW w:w="1047" w:type="dxa"/>
            <w:vAlign w:val="center"/>
          </w:tcPr>
          <w:p w14:paraId="4C61DCE6"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2,40</w:t>
            </w:r>
          </w:p>
        </w:tc>
        <w:tc>
          <w:tcPr>
            <w:tcW w:w="992" w:type="dxa"/>
            <w:vAlign w:val="center"/>
          </w:tcPr>
          <w:p w14:paraId="61644E4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2,30</w:t>
            </w:r>
          </w:p>
        </w:tc>
        <w:tc>
          <w:tcPr>
            <w:tcW w:w="992" w:type="dxa"/>
            <w:vAlign w:val="center"/>
          </w:tcPr>
          <w:p w14:paraId="601AE043"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2,20</w:t>
            </w:r>
          </w:p>
        </w:tc>
        <w:tc>
          <w:tcPr>
            <w:tcW w:w="1168" w:type="dxa"/>
            <w:vAlign w:val="center"/>
          </w:tcPr>
          <w:p w14:paraId="021A6394"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2,39</w:t>
            </w:r>
          </w:p>
        </w:tc>
        <w:tc>
          <w:tcPr>
            <w:tcW w:w="1168" w:type="dxa"/>
            <w:vAlign w:val="center"/>
          </w:tcPr>
          <w:p w14:paraId="30201CED" w14:textId="14B55E9B"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0,52</w:t>
            </w:r>
          </w:p>
        </w:tc>
        <w:tc>
          <w:tcPr>
            <w:tcW w:w="1168" w:type="dxa"/>
            <w:vAlign w:val="center"/>
          </w:tcPr>
          <w:p w14:paraId="1F89BCA5" w14:textId="23DEEE69"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0,28</w:t>
            </w:r>
          </w:p>
        </w:tc>
        <w:tc>
          <w:tcPr>
            <w:tcW w:w="1168" w:type="dxa"/>
            <w:vAlign w:val="center"/>
          </w:tcPr>
          <w:p w14:paraId="4F9AC23C" w14:textId="2FA4388C"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0,05</w:t>
            </w:r>
          </w:p>
        </w:tc>
        <w:tc>
          <w:tcPr>
            <w:tcW w:w="1140" w:type="dxa"/>
            <w:vAlign w:val="bottom"/>
          </w:tcPr>
          <w:p w14:paraId="47857F6D" w14:textId="3E1B8154"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0,23</w:t>
            </w:r>
          </w:p>
        </w:tc>
        <w:tc>
          <w:tcPr>
            <w:tcW w:w="1134" w:type="dxa"/>
            <w:vAlign w:val="bottom"/>
          </w:tcPr>
          <w:p w14:paraId="72534F76" w14:textId="403D3C45"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0,35</w:t>
            </w:r>
          </w:p>
        </w:tc>
      </w:tr>
      <w:tr w:rsidR="001B5473" w:rsidRPr="00635C98" w14:paraId="63AC443D" w14:textId="011C67B1" w:rsidTr="00884C89">
        <w:trPr>
          <w:cantSplit/>
        </w:trPr>
        <w:tc>
          <w:tcPr>
            <w:tcW w:w="3768" w:type="dxa"/>
          </w:tcPr>
          <w:p w14:paraId="225B5B2F" w14:textId="77777777" w:rsidR="001B5473" w:rsidRPr="00635C98" w:rsidRDefault="001B5473" w:rsidP="001B5473">
            <w:pPr>
              <w:pStyle w:val="CommentText"/>
              <w:keepNext w:val="0"/>
              <w:tabs>
                <w:tab w:val="clear" w:pos="3969"/>
              </w:tabs>
              <w:spacing w:before="120" w:after="120"/>
              <w:jc w:val="left"/>
            </w:pPr>
            <w:r w:rsidRPr="00635C98">
              <w:t>Vanier</w:t>
            </w:r>
          </w:p>
        </w:tc>
        <w:tc>
          <w:tcPr>
            <w:tcW w:w="1047" w:type="dxa"/>
            <w:vAlign w:val="center"/>
          </w:tcPr>
          <w:p w14:paraId="25C5DC76"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4,08</w:t>
            </w:r>
          </w:p>
        </w:tc>
        <w:tc>
          <w:tcPr>
            <w:tcW w:w="992" w:type="dxa"/>
            <w:vAlign w:val="center"/>
          </w:tcPr>
          <w:p w14:paraId="32A77229"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6,85</w:t>
            </w:r>
          </w:p>
        </w:tc>
        <w:tc>
          <w:tcPr>
            <w:tcW w:w="992" w:type="dxa"/>
            <w:vAlign w:val="center"/>
          </w:tcPr>
          <w:p w14:paraId="5CD359D2"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4,60</w:t>
            </w:r>
          </w:p>
        </w:tc>
        <w:tc>
          <w:tcPr>
            <w:tcW w:w="1168" w:type="dxa"/>
            <w:vAlign w:val="center"/>
          </w:tcPr>
          <w:p w14:paraId="3329BFB5"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4,90</w:t>
            </w:r>
          </w:p>
        </w:tc>
        <w:tc>
          <w:tcPr>
            <w:tcW w:w="1168" w:type="dxa"/>
            <w:vAlign w:val="center"/>
          </w:tcPr>
          <w:p w14:paraId="555EDB5E" w14:textId="26C0D175"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0,68</w:t>
            </w:r>
          </w:p>
        </w:tc>
        <w:tc>
          <w:tcPr>
            <w:tcW w:w="1168" w:type="dxa"/>
            <w:vAlign w:val="center"/>
          </w:tcPr>
          <w:p w14:paraId="55044F5F" w14:textId="28702C9E"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0,26</w:t>
            </w:r>
          </w:p>
        </w:tc>
        <w:tc>
          <w:tcPr>
            <w:tcW w:w="1168" w:type="dxa"/>
            <w:vAlign w:val="center"/>
          </w:tcPr>
          <w:p w14:paraId="479B3357" w14:textId="621AA210"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0,06</w:t>
            </w:r>
          </w:p>
        </w:tc>
        <w:tc>
          <w:tcPr>
            <w:tcW w:w="1140" w:type="dxa"/>
            <w:vAlign w:val="bottom"/>
          </w:tcPr>
          <w:p w14:paraId="40BE4A70" w14:textId="083E0B38"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0,36</w:t>
            </w:r>
          </w:p>
        </w:tc>
        <w:tc>
          <w:tcPr>
            <w:tcW w:w="1134" w:type="dxa"/>
            <w:vAlign w:val="bottom"/>
          </w:tcPr>
          <w:p w14:paraId="39C2B4A9" w14:textId="4F412940"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0,44</w:t>
            </w:r>
          </w:p>
        </w:tc>
      </w:tr>
      <w:tr w:rsidR="001B5473" w:rsidRPr="00026EC1" w14:paraId="6C83A0E3" w14:textId="7D999C8C" w:rsidTr="00884C89">
        <w:trPr>
          <w:cantSplit/>
        </w:trPr>
        <w:tc>
          <w:tcPr>
            <w:tcW w:w="3768" w:type="dxa"/>
          </w:tcPr>
          <w:p w14:paraId="62C2CEEB" w14:textId="77777777" w:rsidR="001B5473" w:rsidRPr="00635C98" w:rsidRDefault="001B5473" w:rsidP="001B5473">
            <w:pPr>
              <w:pStyle w:val="CommentText"/>
              <w:keepNext w:val="0"/>
              <w:tabs>
                <w:tab w:val="clear" w:pos="3969"/>
              </w:tabs>
              <w:spacing w:before="120" w:after="120"/>
              <w:jc w:val="left"/>
            </w:pPr>
            <w:r w:rsidRPr="00635C98">
              <w:t>Vieux Montréal</w:t>
            </w:r>
          </w:p>
        </w:tc>
        <w:tc>
          <w:tcPr>
            <w:tcW w:w="1047" w:type="dxa"/>
            <w:vAlign w:val="center"/>
          </w:tcPr>
          <w:p w14:paraId="668909C0"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1,51</w:t>
            </w:r>
          </w:p>
        </w:tc>
        <w:tc>
          <w:tcPr>
            <w:tcW w:w="992" w:type="dxa"/>
            <w:vAlign w:val="center"/>
          </w:tcPr>
          <w:p w14:paraId="3247F8AC"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7,00</w:t>
            </w:r>
          </w:p>
        </w:tc>
        <w:tc>
          <w:tcPr>
            <w:tcW w:w="992" w:type="dxa"/>
            <w:vAlign w:val="center"/>
          </w:tcPr>
          <w:p w14:paraId="0E1BA3DF" w14:textId="77777777" w:rsidR="001B5473" w:rsidRPr="00A447A9" w:rsidRDefault="001B5473" w:rsidP="001B5473">
            <w:pPr>
              <w:pStyle w:val="CommentText"/>
              <w:keepNext w:val="0"/>
              <w:tabs>
                <w:tab w:val="clear" w:pos="3969"/>
              </w:tabs>
              <w:spacing w:before="120" w:after="120"/>
              <w:jc w:val="center"/>
              <w:rPr>
                <w:rFonts w:cs="Arial"/>
                <w:szCs w:val="24"/>
              </w:rPr>
            </w:pPr>
            <w:r w:rsidRPr="00A447A9">
              <w:rPr>
                <w:rFonts w:cs="Arial"/>
                <w:szCs w:val="24"/>
              </w:rPr>
              <w:t>2,14</w:t>
            </w:r>
          </w:p>
        </w:tc>
        <w:tc>
          <w:tcPr>
            <w:tcW w:w="1168" w:type="dxa"/>
            <w:vAlign w:val="center"/>
          </w:tcPr>
          <w:p w14:paraId="556A5D21" w14:textId="77777777" w:rsidR="001B5473" w:rsidRPr="00A447A9" w:rsidRDefault="001B5473" w:rsidP="001B5473">
            <w:pPr>
              <w:pStyle w:val="CommentText"/>
              <w:keepNext w:val="0"/>
              <w:tabs>
                <w:tab w:val="clear" w:pos="3969"/>
              </w:tabs>
              <w:spacing w:before="120" w:after="120"/>
              <w:jc w:val="center"/>
              <w:rPr>
                <w:rFonts w:cs="Arial"/>
                <w:bCs/>
                <w:szCs w:val="24"/>
              </w:rPr>
            </w:pPr>
            <w:r w:rsidRPr="00A447A9">
              <w:rPr>
                <w:rFonts w:cs="Arial"/>
                <w:bCs/>
                <w:szCs w:val="24"/>
                <w:lang w:val="en-CA"/>
              </w:rPr>
              <w:t>6,18</w:t>
            </w:r>
          </w:p>
        </w:tc>
        <w:tc>
          <w:tcPr>
            <w:tcW w:w="1168" w:type="dxa"/>
            <w:vAlign w:val="center"/>
          </w:tcPr>
          <w:p w14:paraId="0CF9A93D" w14:textId="269BF0D2"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0,86</w:t>
            </w:r>
          </w:p>
        </w:tc>
        <w:tc>
          <w:tcPr>
            <w:tcW w:w="1168" w:type="dxa"/>
            <w:vAlign w:val="center"/>
          </w:tcPr>
          <w:p w14:paraId="0A1E9851" w14:textId="52997B61"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0,38</w:t>
            </w:r>
          </w:p>
        </w:tc>
        <w:tc>
          <w:tcPr>
            <w:tcW w:w="1168" w:type="dxa"/>
            <w:vAlign w:val="center"/>
          </w:tcPr>
          <w:p w14:paraId="15ADBDD7" w14:textId="787B2834" w:rsidR="001B5473" w:rsidRPr="00A447A9" w:rsidRDefault="001B5473" w:rsidP="001B5473">
            <w:pPr>
              <w:pStyle w:val="CommentText"/>
              <w:keepNext w:val="0"/>
              <w:tabs>
                <w:tab w:val="clear" w:pos="3969"/>
              </w:tabs>
              <w:spacing w:before="120" w:after="120"/>
              <w:jc w:val="center"/>
              <w:rPr>
                <w:rFonts w:cs="Arial"/>
                <w:bCs/>
                <w:szCs w:val="24"/>
                <w:lang w:val="en-CA"/>
              </w:rPr>
            </w:pPr>
            <w:r w:rsidRPr="00A447A9">
              <w:rPr>
                <w:rFonts w:cs="Arial"/>
                <w:bCs/>
                <w:szCs w:val="24"/>
                <w:lang w:val="en-CA"/>
              </w:rPr>
              <w:t>0,00</w:t>
            </w:r>
          </w:p>
        </w:tc>
        <w:tc>
          <w:tcPr>
            <w:tcW w:w="1140" w:type="dxa"/>
            <w:vAlign w:val="bottom"/>
          </w:tcPr>
          <w:p w14:paraId="63319E41" w14:textId="11D86826" w:rsidR="001B5473" w:rsidRPr="001B5473" w:rsidRDefault="001B5473" w:rsidP="001B5473">
            <w:pPr>
              <w:pStyle w:val="CommentText"/>
              <w:keepNext w:val="0"/>
              <w:tabs>
                <w:tab w:val="clear" w:pos="3969"/>
              </w:tabs>
              <w:spacing w:before="120" w:after="120"/>
              <w:jc w:val="center"/>
              <w:rPr>
                <w:rFonts w:cs="Arial"/>
                <w:bCs/>
                <w:szCs w:val="24"/>
                <w:highlight w:val="lightGray"/>
                <w:lang w:val="en-CA"/>
              </w:rPr>
            </w:pPr>
            <w:r w:rsidRPr="00316277">
              <w:rPr>
                <w:rFonts w:cs="Arial"/>
                <w:color w:val="000000"/>
                <w:szCs w:val="24"/>
              </w:rPr>
              <w:t>0,49</w:t>
            </w:r>
          </w:p>
        </w:tc>
        <w:tc>
          <w:tcPr>
            <w:tcW w:w="1134" w:type="dxa"/>
            <w:vAlign w:val="bottom"/>
          </w:tcPr>
          <w:p w14:paraId="09179469" w14:textId="362042DC" w:rsidR="001B5473" w:rsidRPr="00316277" w:rsidRDefault="001B5473" w:rsidP="001B5473">
            <w:pPr>
              <w:pStyle w:val="CommentText"/>
              <w:keepNext w:val="0"/>
              <w:tabs>
                <w:tab w:val="clear" w:pos="3969"/>
              </w:tabs>
              <w:spacing w:before="120" w:after="120"/>
              <w:jc w:val="center"/>
              <w:rPr>
                <w:rFonts w:cs="Arial"/>
                <w:bCs/>
                <w:szCs w:val="24"/>
                <w:lang w:val="en-CA"/>
              </w:rPr>
            </w:pPr>
            <w:r w:rsidRPr="00316277">
              <w:rPr>
                <w:rFonts w:cs="Arial"/>
                <w:color w:val="000000"/>
                <w:szCs w:val="24"/>
              </w:rPr>
              <w:t>0,58</w:t>
            </w:r>
          </w:p>
        </w:tc>
      </w:tr>
    </w:tbl>
    <w:p w14:paraId="10C025DF" w14:textId="77777777" w:rsidR="00B37536" w:rsidRPr="00026EC1" w:rsidRDefault="00B37536" w:rsidP="0062209A">
      <w:pPr>
        <w:keepNext w:val="0"/>
      </w:pPr>
    </w:p>
    <w:p w14:paraId="367983CD" w14:textId="77777777" w:rsidR="008D7E54" w:rsidRPr="00026EC1" w:rsidRDefault="008D7E54" w:rsidP="008D7E54"/>
    <w:p w14:paraId="1C88CF15" w14:textId="77777777" w:rsidR="002B176A" w:rsidRDefault="002B176A" w:rsidP="00F05691">
      <w:pPr>
        <w:pStyle w:val="Heading3"/>
        <w:keepNext w:val="0"/>
        <w:sectPr w:rsidR="002B176A" w:rsidSect="002B176A">
          <w:headerReference w:type="default" r:id="rId41"/>
          <w:footerReference w:type="default" r:id="rId42"/>
          <w:footnotePr>
            <w:numRestart w:val="eachPage"/>
          </w:footnotePr>
          <w:pgSz w:w="15840" w:h="12240" w:orient="landscape" w:code="1"/>
          <w:pgMar w:top="1684" w:right="720" w:bottom="1077" w:left="1242" w:header="709" w:footer="709" w:gutter="0"/>
          <w:cols w:space="708"/>
          <w:docGrid w:linePitch="360"/>
        </w:sectPr>
      </w:pPr>
      <w:bookmarkStart w:id="1019" w:name="_Toc535046649"/>
      <w:bookmarkStart w:id="1020" w:name="_Toc133760816"/>
      <w:bookmarkStart w:id="1021" w:name="_Toc133916964"/>
      <w:bookmarkStart w:id="1022" w:name="_Toc134437239"/>
      <w:bookmarkStart w:id="1023" w:name="_Toc462751524"/>
      <w:bookmarkStart w:id="1024" w:name="_Toc484082541"/>
    </w:p>
    <w:p w14:paraId="675A6287" w14:textId="6635D5EF" w:rsidR="00404F34" w:rsidRPr="00E64DC4" w:rsidRDefault="004F2078" w:rsidP="00A64613">
      <w:pPr>
        <w:pStyle w:val="Heading3"/>
        <w:keepNext w:val="0"/>
      </w:pPr>
      <w:bookmarkStart w:id="1025" w:name="_Toc168479569"/>
      <w:r w:rsidRPr="00E64DC4">
        <w:t>Annexe</w:t>
      </w:r>
      <w:r w:rsidR="00CD6C26" w:rsidRPr="00E64DC4">
        <w:t> I</w:t>
      </w:r>
      <w:r w:rsidR="00B92165">
        <w:t>-</w:t>
      </w:r>
      <w:r w:rsidRPr="00E64DC4">
        <w:t>3</w:t>
      </w:r>
      <w:bookmarkStart w:id="1026" w:name="_Toc531486698"/>
      <w:bookmarkStart w:id="1027" w:name="_Toc133760817"/>
      <w:bookmarkStart w:id="1028" w:name="_Toc393449030"/>
      <w:bookmarkStart w:id="1029" w:name="_Toc393449399"/>
      <w:bookmarkEnd w:id="1019"/>
      <w:bookmarkEnd w:id="1020"/>
      <w:bookmarkEnd w:id="1021"/>
      <w:bookmarkEnd w:id="1022"/>
      <w:r w:rsidRPr="00E64DC4">
        <w:br/>
      </w:r>
      <w:r w:rsidRPr="00E64DC4">
        <w:br/>
        <w:t>Liste des discip</w:t>
      </w:r>
      <w:bookmarkEnd w:id="1026"/>
      <w:r w:rsidRPr="00E64DC4">
        <w:t>lines</w:t>
      </w:r>
      <w:bookmarkEnd w:id="1023"/>
      <w:bookmarkEnd w:id="1024"/>
      <w:bookmarkEnd w:id="1025"/>
      <w:bookmarkEnd w:id="1027"/>
      <w:bookmarkEnd w:id="1028"/>
      <w:bookmarkEnd w:id="1029"/>
    </w:p>
    <w:p w14:paraId="268FF814" w14:textId="77777777" w:rsidR="0060346E" w:rsidRPr="00026EC1" w:rsidRDefault="0060346E" w:rsidP="00A64613">
      <w:pPr>
        <w:keepNext w:val="0"/>
        <w:jc w:val="center"/>
        <w:rPr>
          <w:b/>
          <w:u w:val="single"/>
        </w:rPr>
      </w:pPr>
    </w:p>
    <w:tbl>
      <w:tblPr>
        <w:tblW w:w="0" w:type="auto"/>
        <w:tblCellMar>
          <w:left w:w="70" w:type="dxa"/>
          <w:right w:w="70" w:type="dxa"/>
        </w:tblCellMar>
        <w:tblLook w:val="0000" w:firstRow="0" w:lastRow="0" w:firstColumn="0" w:lastColumn="0" w:noHBand="0" w:noVBand="0"/>
      </w:tblPr>
      <w:tblGrid>
        <w:gridCol w:w="1510"/>
        <w:gridCol w:w="7815"/>
      </w:tblGrid>
      <w:tr w:rsidR="00320330" w:rsidRPr="00026EC1" w14:paraId="6F5DAE7C" w14:textId="77777777" w:rsidTr="00190888">
        <w:tc>
          <w:tcPr>
            <w:tcW w:w="1510" w:type="dxa"/>
          </w:tcPr>
          <w:p w14:paraId="65E51AF7" w14:textId="77777777" w:rsidR="00320330" w:rsidRPr="00026EC1" w:rsidRDefault="00320330" w:rsidP="00A64613">
            <w:pPr>
              <w:keepNext w:val="0"/>
              <w:spacing w:after="240"/>
            </w:pPr>
            <w:r w:rsidRPr="00026EC1">
              <w:t>101</w:t>
            </w:r>
          </w:p>
        </w:tc>
        <w:tc>
          <w:tcPr>
            <w:tcW w:w="7815" w:type="dxa"/>
          </w:tcPr>
          <w:p w14:paraId="214857D1" w14:textId="77777777" w:rsidR="00320330" w:rsidRPr="00026EC1" w:rsidRDefault="00320330" w:rsidP="00A64613">
            <w:pPr>
              <w:keepNext w:val="0"/>
              <w:spacing w:after="240"/>
            </w:pPr>
            <w:r w:rsidRPr="00026EC1">
              <w:t>Biologie</w:t>
            </w:r>
          </w:p>
        </w:tc>
      </w:tr>
      <w:tr w:rsidR="00320330" w:rsidRPr="00026EC1" w14:paraId="1D477B8D" w14:textId="77777777" w:rsidTr="00190888">
        <w:tc>
          <w:tcPr>
            <w:tcW w:w="1510" w:type="dxa"/>
          </w:tcPr>
          <w:p w14:paraId="77FBC8C6" w14:textId="4C334E7E" w:rsidR="00320330" w:rsidRPr="00635C98" w:rsidRDefault="00320330" w:rsidP="00A64613">
            <w:pPr>
              <w:keepNext w:val="0"/>
              <w:spacing w:after="240"/>
            </w:pPr>
            <w:r w:rsidRPr="00635C98">
              <w:t>105</w:t>
            </w:r>
            <w:r w:rsidR="00115D39" w:rsidRPr="00635C98">
              <w:t>*</w:t>
            </w:r>
          </w:p>
        </w:tc>
        <w:tc>
          <w:tcPr>
            <w:tcW w:w="7815" w:type="dxa"/>
          </w:tcPr>
          <w:p w14:paraId="11524C58" w14:textId="493669EB" w:rsidR="00320330" w:rsidRPr="00635C98" w:rsidRDefault="00320330" w:rsidP="00A64613">
            <w:pPr>
              <w:keepNext w:val="0"/>
              <w:spacing w:after="240"/>
            </w:pPr>
            <w:r w:rsidRPr="00635C98">
              <w:t>Culture scientifique et technologique</w:t>
            </w:r>
            <w:r w:rsidR="00250A05" w:rsidRPr="00635C98">
              <w:t>*</w:t>
            </w:r>
          </w:p>
        </w:tc>
      </w:tr>
      <w:tr w:rsidR="00320330" w:rsidRPr="00026EC1" w14:paraId="7B997E48" w14:textId="77777777" w:rsidTr="00190888">
        <w:tc>
          <w:tcPr>
            <w:tcW w:w="1510" w:type="dxa"/>
          </w:tcPr>
          <w:p w14:paraId="5A5B90CF" w14:textId="77777777" w:rsidR="00320330" w:rsidRPr="00026EC1" w:rsidRDefault="00320330" w:rsidP="00A64613">
            <w:pPr>
              <w:keepNext w:val="0"/>
              <w:spacing w:after="240"/>
            </w:pPr>
            <w:r w:rsidRPr="00026EC1">
              <w:t>107</w:t>
            </w:r>
          </w:p>
        </w:tc>
        <w:tc>
          <w:tcPr>
            <w:tcW w:w="7815" w:type="dxa"/>
          </w:tcPr>
          <w:p w14:paraId="05CF4512" w14:textId="77777777" w:rsidR="00320330" w:rsidRPr="00026EC1" w:rsidRDefault="00320330" w:rsidP="00A64613">
            <w:pPr>
              <w:keepNext w:val="0"/>
              <w:spacing w:after="240"/>
            </w:pPr>
            <w:r w:rsidRPr="00026EC1">
              <w:t>Techniques de la santé</w:t>
            </w:r>
          </w:p>
        </w:tc>
      </w:tr>
      <w:tr w:rsidR="00320330" w:rsidRPr="00026EC1" w14:paraId="2D60F238" w14:textId="77777777" w:rsidTr="00190888">
        <w:tc>
          <w:tcPr>
            <w:tcW w:w="1510" w:type="dxa"/>
          </w:tcPr>
          <w:p w14:paraId="4A8E7994" w14:textId="77777777" w:rsidR="00320330" w:rsidRPr="00026EC1" w:rsidRDefault="00320330" w:rsidP="00A64613">
            <w:pPr>
              <w:keepNext w:val="0"/>
              <w:spacing w:after="240"/>
            </w:pPr>
            <w:r w:rsidRPr="00026EC1">
              <w:t>109</w:t>
            </w:r>
          </w:p>
        </w:tc>
        <w:tc>
          <w:tcPr>
            <w:tcW w:w="7815" w:type="dxa"/>
          </w:tcPr>
          <w:p w14:paraId="56DB127C" w14:textId="77777777" w:rsidR="00320330" w:rsidRPr="00026EC1" w:rsidRDefault="00320330" w:rsidP="00A64613">
            <w:pPr>
              <w:keepNext w:val="0"/>
              <w:spacing w:after="240"/>
            </w:pPr>
            <w:r w:rsidRPr="00026EC1">
              <w:t>Éducation physique</w:t>
            </w:r>
          </w:p>
        </w:tc>
      </w:tr>
      <w:tr w:rsidR="00320330" w:rsidRPr="00026EC1" w14:paraId="1D148DFD" w14:textId="77777777" w:rsidTr="00190888">
        <w:tc>
          <w:tcPr>
            <w:tcW w:w="1510" w:type="dxa"/>
          </w:tcPr>
          <w:p w14:paraId="7B3919A5" w14:textId="77777777" w:rsidR="00320330" w:rsidRPr="00026EC1" w:rsidRDefault="00320330" w:rsidP="00A64613">
            <w:pPr>
              <w:keepNext w:val="0"/>
              <w:spacing w:after="240"/>
            </w:pPr>
            <w:r w:rsidRPr="00026EC1">
              <w:t>110</w:t>
            </w:r>
          </w:p>
        </w:tc>
        <w:tc>
          <w:tcPr>
            <w:tcW w:w="7815" w:type="dxa"/>
          </w:tcPr>
          <w:p w14:paraId="5899BDD6" w14:textId="77777777" w:rsidR="00320330" w:rsidRPr="00026EC1" w:rsidRDefault="00320330" w:rsidP="00A64613">
            <w:pPr>
              <w:keepNext w:val="0"/>
              <w:spacing w:after="240"/>
            </w:pPr>
            <w:r w:rsidRPr="00026EC1">
              <w:t>Techniques dentaires</w:t>
            </w:r>
          </w:p>
        </w:tc>
      </w:tr>
      <w:tr w:rsidR="00320330" w:rsidRPr="00026EC1" w14:paraId="4C3BF8AB" w14:textId="77777777" w:rsidTr="00190888">
        <w:tc>
          <w:tcPr>
            <w:tcW w:w="1510" w:type="dxa"/>
          </w:tcPr>
          <w:p w14:paraId="3897F52F" w14:textId="77777777" w:rsidR="00320330" w:rsidRPr="00026EC1" w:rsidRDefault="00320330" w:rsidP="00A64613">
            <w:pPr>
              <w:keepNext w:val="0"/>
              <w:spacing w:after="240"/>
            </w:pPr>
            <w:r w:rsidRPr="00026EC1">
              <w:t>111</w:t>
            </w:r>
          </w:p>
        </w:tc>
        <w:tc>
          <w:tcPr>
            <w:tcW w:w="7815" w:type="dxa"/>
          </w:tcPr>
          <w:p w14:paraId="38A5D07C" w14:textId="77777777" w:rsidR="00320330" w:rsidRPr="00026EC1" w:rsidRDefault="00320330" w:rsidP="00A64613">
            <w:pPr>
              <w:keepNext w:val="0"/>
              <w:spacing w:after="240"/>
            </w:pPr>
            <w:r w:rsidRPr="00026EC1">
              <w:t>Techniques d’hygiène dentaire</w:t>
            </w:r>
          </w:p>
        </w:tc>
      </w:tr>
      <w:tr w:rsidR="00320330" w:rsidRPr="00026EC1" w14:paraId="59D58D34" w14:textId="77777777" w:rsidTr="00190888">
        <w:tc>
          <w:tcPr>
            <w:tcW w:w="1510" w:type="dxa"/>
          </w:tcPr>
          <w:p w14:paraId="33BF86DF" w14:textId="77777777" w:rsidR="00320330" w:rsidRPr="00026EC1" w:rsidRDefault="00320330" w:rsidP="00A64613">
            <w:pPr>
              <w:keepNext w:val="0"/>
              <w:spacing w:after="240"/>
            </w:pPr>
            <w:r w:rsidRPr="00026EC1">
              <w:t>112</w:t>
            </w:r>
          </w:p>
        </w:tc>
        <w:tc>
          <w:tcPr>
            <w:tcW w:w="7815" w:type="dxa"/>
          </w:tcPr>
          <w:p w14:paraId="55A5EF2E" w14:textId="77777777" w:rsidR="00320330" w:rsidRPr="00026EC1" w:rsidRDefault="00320330" w:rsidP="00A64613">
            <w:pPr>
              <w:keepNext w:val="0"/>
              <w:spacing w:after="240"/>
            </w:pPr>
            <w:r w:rsidRPr="00026EC1">
              <w:t>Acupuncture</w:t>
            </w:r>
          </w:p>
        </w:tc>
      </w:tr>
      <w:tr w:rsidR="00320330" w:rsidRPr="00A1672E" w14:paraId="44FC0FAB" w14:textId="77777777" w:rsidTr="00190888">
        <w:tc>
          <w:tcPr>
            <w:tcW w:w="1510" w:type="dxa"/>
          </w:tcPr>
          <w:p w14:paraId="7096E765" w14:textId="77777777" w:rsidR="00320330" w:rsidRPr="00A1672E" w:rsidRDefault="00320330" w:rsidP="00A64613">
            <w:pPr>
              <w:keepNext w:val="0"/>
              <w:spacing w:after="240"/>
            </w:pPr>
            <w:r w:rsidRPr="00A1672E">
              <w:t>120</w:t>
            </w:r>
          </w:p>
        </w:tc>
        <w:tc>
          <w:tcPr>
            <w:tcW w:w="7815" w:type="dxa"/>
          </w:tcPr>
          <w:p w14:paraId="6837EFEC" w14:textId="77777777" w:rsidR="00320330" w:rsidRPr="00A1672E" w:rsidRDefault="00320330" w:rsidP="00A64613">
            <w:pPr>
              <w:keepNext w:val="0"/>
              <w:spacing w:after="240"/>
            </w:pPr>
            <w:r w:rsidRPr="00A1672E">
              <w:t>Techniques de diététique</w:t>
            </w:r>
          </w:p>
        </w:tc>
      </w:tr>
      <w:tr w:rsidR="00320330" w:rsidRPr="00026EC1" w14:paraId="12CA9643" w14:textId="77777777" w:rsidTr="00190888">
        <w:tc>
          <w:tcPr>
            <w:tcW w:w="1510" w:type="dxa"/>
          </w:tcPr>
          <w:p w14:paraId="14F1F248" w14:textId="77777777" w:rsidR="00320330" w:rsidRPr="00026EC1" w:rsidRDefault="00320330" w:rsidP="00A64613">
            <w:pPr>
              <w:keepNext w:val="0"/>
              <w:spacing w:after="240"/>
            </w:pPr>
            <w:r w:rsidRPr="00026EC1">
              <w:t>130</w:t>
            </w:r>
          </w:p>
        </w:tc>
        <w:tc>
          <w:tcPr>
            <w:tcW w:w="7815" w:type="dxa"/>
          </w:tcPr>
          <w:p w14:paraId="20E881DC" w14:textId="77777777" w:rsidR="00320330" w:rsidRPr="00026EC1" w:rsidRDefault="00320330" w:rsidP="00A64613">
            <w:pPr>
              <w:keepNext w:val="0"/>
              <w:spacing w:after="240"/>
            </w:pPr>
            <w:r w:rsidRPr="00026EC1">
              <w:t>Électrophysiologie médicale</w:t>
            </w:r>
          </w:p>
        </w:tc>
      </w:tr>
      <w:tr w:rsidR="00320330" w:rsidRPr="00026EC1" w14:paraId="04E98B1C" w14:textId="77777777" w:rsidTr="00190888">
        <w:tc>
          <w:tcPr>
            <w:tcW w:w="1510" w:type="dxa"/>
          </w:tcPr>
          <w:p w14:paraId="00F34ACE" w14:textId="77777777" w:rsidR="00320330" w:rsidRPr="00026EC1" w:rsidRDefault="00320330" w:rsidP="00A64613">
            <w:pPr>
              <w:keepNext w:val="0"/>
              <w:spacing w:after="240"/>
            </w:pPr>
            <w:r w:rsidRPr="00026EC1">
              <w:t>140</w:t>
            </w:r>
          </w:p>
        </w:tc>
        <w:tc>
          <w:tcPr>
            <w:tcW w:w="7815" w:type="dxa"/>
          </w:tcPr>
          <w:p w14:paraId="108978BC" w14:textId="77777777" w:rsidR="00320330" w:rsidRPr="00026EC1" w:rsidRDefault="00320330" w:rsidP="00A64613">
            <w:pPr>
              <w:keepNext w:val="0"/>
              <w:spacing w:after="240"/>
            </w:pPr>
            <w:r w:rsidRPr="00026EC1">
              <w:t>Technologie d’analyses biomédicales</w:t>
            </w:r>
          </w:p>
        </w:tc>
      </w:tr>
      <w:tr w:rsidR="00320330" w:rsidRPr="00026EC1" w14:paraId="46A294FF" w14:textId="77777777" w:rsidTr="00190888">
        <w:tc>
          <w:tcPr>
            <w:tcW w:w="1510" w:type="dxa"/>
          </w:tcPr>
          <w:p w14:paraId="0E8A62BE" w14:textId="77777777" w:rsidR="00320330" w:rsidRPr="00026EC1" w:rsidRDefault="00320330" w:rsidP="00A64613">
            <w:pPr>
              <w:keepNext w:val="0"/>
              <w:spacing w:after="240"/>
            </w:pPr>
            <w:r w:rsidRPr="00026EC1">
              <w:t>141</w:t>
            </w:r>
          </w:p>
        </w:tc>
        <w:tc>
          <w:tcPr>
            <w:tcW w:w="7815" w:type="dxa"/>
          </w:tcPr>
          <w:p w14:paraId="6DFAB946" w14:textId="77777777" w:rsidR="00320330" w:rsidRPr="00026EC1" w:rsidRDefault="00320330" w:rsidP="00A64613">
            <w:pPr>
              <w:keepNext w:val="0"/>
              <w:spacing w:after="240"/>
            </w:pPr>
            <w:r w:rsidRPr="00026EC1">
              <w:t>Techniques d’inhalothérapie</w:t>
            </w:r>
          </w:p>
        </w:tc>
      </w:tr>
      <w:tr w:rsidR="00320330" w:rsidRPr="00026EC1" w14:paraId="052C9585" w14:textId="77777777" w:rsidTr="00190888">
        <w:tc>
          <w:tcPr>
            <w:tcW w:w="1510" w:type="dxa"/>
          </w:tcPr>
          <w:p w14:paraId="663AE5B5" w14:textId="77777777" w:rsidR="00320330" w:rsidRPr="00026EC1" w:rsidRDefault="00320330" w:rsidP="00A64613">
            <w:pPr>
              <w:keepNext w:val="0"/>
              <w:spacing w:after="240"/>
            </w:pPr>
            <w:r w:rsidRPr="00026EC1">
              <w:t>142</w:t>
            </w:r>
          </w:p>
        </w:tc>
        <w:tc>
          <w:tcPr>
            <w:tcW w:w="7815" w:type="dxa"/>
          </w:tcPr>
          <w:p w14:paraId="7C8B403E" w14:textId="77777777" w:rsidR="00320330" w:rsidRPr="00026EC1" w:rsidRDefault="00320330" w:rsidP="00A64613">
            <w:pPr>
              <w:keepNext w:val="0"/>
              <w:spacing w:after="240"/>
            </w:pPr>
            <w:r w:rsidRPr="00026EC1">
              <w:t>Techniques de radiologie</w:t>
            </w:r>
          </w:p>
        </w:tc>
      </w:tr>
      <w:tr w:rsidR="00320330" w:rsidRPr="00026EC1" w14:paraId="14EEC853" w14:textId="77777777" w:rsidTr="00190888">
        <w:tc>
          <w:tcPr>
            <w:tcW w:w="1510" w:type="dxa"/>
          </w:tcPr>
          <w:p w14:paraId="1A70C0B2" w14:textId="77777777" w:rsidR="00320330" w:rsidRPr="00026EC1" w:rsidRDefault="00320330" w:rsidP="00A64613">
            <w:pPr>
              <w:keepNext w:val="0"/>
              <w:spacing w:after="240"/>
            </w:pPr>
            <w:r w:rsidRPr="00026EC1">
              <w:t>144</w:t>
            </w:r>
          </w:p>
        </w:tc>
        <w:tc>
          <w:tcPr>
            <w:tcW w:w="7815" w:type="dxa"/>
          </w:tcPr>
          <w:p w14:paraId="729D3B09" w14:textId="77777777" w:rsidR="00320330" w:rsidRPr="00026EC1" w:rsidRDefault="00320330" w:rsidP="00A64613">
            <w:pPr>
              <w:keepNext w:val="0"/>
              <w:spacing w:after="240"/>
            </w:pPr>
            <w:r w:rsidRPr="00026EC1">
              <w:t>Techniques de réadaptation</w:t>
            </w:r>
          </w:p>
        </w:tc>
      </w:tr>
      <w:tr w:rsidR="00320330" w:rsidRPr="00026EC1" w14:paraId="1ADE7773" w14:textId="77777777" w:rsidTr="00190888">
        <w:tc>
          <w:tcPr>
            <w:tcW w:w="1510" w:type="dxa"/>
          </w:tcPr>
          <w:p w14:paraId="2787DBF7" w14:textId="77777777" w:rsidR="00320330" w:rsidRPr="00026EC1" w:rsidRDefault="00320330" w:rsidP="00A64613">
            <w:pPr>
              <w:keepNext w:val="0"/>
              <w:spacing w:after="240"/>
            </w:pPr>
            <w:r w:rsidRPr="00026EC1">
              <w:t>145</w:t>
            </w:r>
          </w:p>
        </w:tc>
        <w:tc>
          <w:tcPr>
            <w:tcW w:w="7815" w:type="dxa"/>
          </w:tcPr>
          <w:p w14:paraId="220E54F8" w14:textId="77777777" w:rsidR="00320330" w:rsidRPr="00026EC1" w:rsidRDefault="00320330" w:rsidP="00A64613">
            <w:pPr>
              <w:keepNext w:val="0"/>
              <w:spacing w:after="240"/>
            </w:pPr>
            <w:r w:rsidRPr="00026EC1">
              <w:t>Technologie des sciences naturelles</w:t>
            </w:r>
          </w:p>
        </w:tc>
      </w:tr>
      <w:tr w:rsidR="00320330" w:rsidRPr="00026EC1" w14:paraId="1F20AEA9" w14:textId="77777777" w:rsidTr="00190888">
        <w:tc>
          <w:tcPr>
            <w:tcW w:w="1510" w:type="dxa"/>
          </w:tcPr>
          <w:p w14:paraId="639949F2" w14:textId="77777777" w:rsidR="00320330" w:rsidRPr="00026EC1" w:rsidRDefault="00320330" w:rsidP="00A64613">
            <w:pPr>
              <w:keepNext w:val="0"/>
              <w:spacing w:after="240"/>
            </w:pPr>
            <w:r w:rsidRPr="00026EC1">
              <w:t>147</w:t>
            </w:r>
          </w:p>
        </w:tc>
        <w:tc>
          <w:tcPr>
            <w:tcW w:w="7815" w:type="dxa"/>
          </w:tcPr>
          <w:p w14:paraId="0AB6BA95" w14:textId="77777777" w:rsidR="00320330" w:rsidRPr="00026EC1" w:rsidRDefault="00320330" w:rsidP="00A64613">
            <w:pPr>
              <w:keepNext w:val="0"/>
              <w:spacing w:after="240"/>
            </w:pPr>
            <w:r w:rsidRPr="00026EC1">
              <w:t>Milieu naturel</w:t>
            </w:r>
          </w:p>
        </w:tc>
      </w:tr>
      <w:tr w:rsidR="00320330" w:rsidRPr="00026EC1" w14:paraId="67565C9A" w14:textId="77777777" w:rsidTr="00190888">
        <w:tc>
          <w:tcPr>
            <w:tcW w:w="1510" w:type="dxa"/>
          </w:tcPr>
          <w:p w14:paraId="43D95CA4" w14:textId="77777777" w:rsidR="00320330" w:rsidRPr="00026EC1" w:rsidRDefault="00320330" w:rsidP="00A64613">
            <w:pPr>
              <w:keepNext w:val="0"/>
              <w:spacing w:after="240"/>
            </w:pPr>
            <w:r w:rsidRPr="00026EC1">
              <w:t>152</w:t>
            </w:r>
          </w:p>
        </w:tc>
        <w:tc>
          <w:tcPr>
            <w:tcW w:w="7815" w:type="dxa"/>
          </w:tcPr>
          <w:p w14:paraId="04C3D1DA" w14:textId="77777777" w:rsidR="00320330" w:rsidRPr="00026EC1" w:rsidRDefault="00320330" w:rsidP="00A64613">
            <w:pPr>
              <w:keepNext w:val="0"/>
              <w:spacing w:after="240"/>
            </w:pPr>
            <w:r w:rsidRPr="00026EC1">
              <w:t>Gestion et exploitation d’entreprise agricole</w:t>
            </w:r>
          </w:p>
        </w:tc>
      </w:tr>
      <w:tr w:rsidR="00320330" w:rsidRPr="00026EC1" w14:paraId="1E1DE3DD" w14:textId="77777777" w:rsidTr="00190888">
        <w:tc>
          <w:tcPr>
            <w:tcW w:w="1510" w:type="dxa"/>
          </w:tcPr>
          <w:p w14:paraId="772B79ED" w14:textId="77777777" w:rsidR="00320330" w:rsidRPr="00026EC1" w:rsidRDefault="00320330" w:rsidP="00A64613">
            <w:pPr>
              <w:keepNext w:val="0"/>
              <w:spacing w:after="240"/>
            </w:pPr>
            <w:r w:rsidRPr="00026EC1">
              <w:t>153</w:t>
            </w:r>
          </w:p>
        </w:tc>
        <w:tc>
          <w:tcPr>
            <w:tcW w:w="7815" w:type="dxa"/>
          </w:tcPr>
          <w:p w14:paraId="59F16E36" w14:textId="77777777" w:rsidR="00320330" w:rsidRPr="00026EC1" w:rsidRDefault="00320330" w:rsidP="00A64613">
            <w:pPr>
              <w:keepNext w:val="0"/>
              <w:spacing w:after="240"/>
            </w:pPr>
            <w:r w:rsidRPr="00026EC1">
              <w:t>Techniques horticoles</w:t>
            </w:r>
          </w:p>
        </w:tc>
      </w:tr>
      <w:tr w:rsidR="00320330" w:rsidRPr="00026EC1" w14:paraId="6CB61F3A" w14:textId="77777777" w:rsidTr="00190888">
        <w:tc>
          <w:tcPr>
            <w:tcW w:w="1510" w:type="dxa"/>
          </w:tcPr>
          <w:p w14:paraId="7BBB4B61" w14:textId="77777777" w:rsidR="00320330" w:rsidRPr="00026EC1" w:rsidRDefault="00320330" w:rsidP="00A64613">
            <w:pPr>
              <w:keepNext w:val="0"/>
              <w:spacing w:after="240"/>
            </w:pPr>
            <w:r w:rsidRPr="00026EC1">
              <w:t>154</w:t>
            </w:r>
          </w:p>
        </w:tc>
        <w:tc>
          <w:tcPr>
            <w:tcW w:w="7815" w:type="dxa"/>
          </w:tcPr>
          <w:p w14:paraId="5B47CDFC" w14:textId="77777777" w:rsidR="00320330" w:rsidRPr="00026EC1" w:rsidRDefault="00320330" w:rsidP="00A64613">
            <w:pPr>
              <w:keepNext w:val="0"/>
              <w:spacing w:after="240"/>
            </w:pPr>
            <w:r w:rsidRPr="00026EC1">
              <w:t>Technologie des procédés et de la qualité des aliments</w:t>
            </w:r>
          </w:p>
        </w:tc>
      </w:tr>
      <w:tr w:rsidR="00320330" w:rsidRPr="00026EC1" w14:paraId="53FEFB76" w14:textId="77777777" w:rsidTr="00190888">
        <w:tc>
          <w:tcPr>
            <w:tcW w:w="1510" w:type="dxa"/>
          </w:tcPr>
          <w:p w14:paraId="21D8D661" w14:textId="77777777" w:rsidR="00320330" w:rsidRPr="00026EC1" w:rsidRDefault="00320330" w:rsidP="00A64613">
            <w:pPr>
              <w:keepNext w:val="0"/>
              <w:spacing w:after="240"/>
            </w:pPr>
            <w:r w:rsidRPr="00026EC1">
              <w:t>160</w:t>
            </w:r>
          </w:p>
        </w:tc>
        <w:tc>
          <w:tcPr>
            <w:tcW w:w="7815" w:type="dxa"/>
          </w:tcPr>
          <w:p w14:paraId="16A506B5" w14:textId="77777777" w:rsidR="00320330" w:rsidRPr="00026EC1" w:rsidRDefault="00320330" w:rsidP="00A64613">
            <w:pPr>
              <w:keepNext w:val="0"/>
              <w:spacing w:after="240"/>
            </w:pPr>
            <w:r w:rsidRPr="00026EC1">
              <w:t>Techniques paramédicales</w:t>
            </w:r>
          </w:p>
        </w:tc>
      </w:tr>
      <w:tr w:rsidR="00320330" w:rsidRPr="004140AF" w14:paraId="7CCB3A23" w14:textId="77777777" w:rsidTr="00190888">
        <w:tc>
          <w:tcPr>
            <w:tcW w:w="1510" w:type="dxa"/>
          </w:tcPr>
          <w:p w14:paraId="7801B00F" w14:textId="77777777" w:rsidR="00320330" w:rsidRPr="00635C98" w:rsidRDefault="00320330" w:rsidP="00A64613">
            <w:pPr>
              <w:keepNext w:val="0"/>
              <w:spacing w:after="240"/>
            </w:pPr>
            <w:r w:rsidRPr="00635C98">
              <w:t>165</w:t>
            </w:r>
          </w:p>
        </w:tc>
        <w:tc>
          <w:tcPr>
            <w:tcW w:w="7815" w:type="dxa"/>
          </w:tcPr>
          <w:p w14:paraId="73CC399D" w14:textId="7B9AD43D" w:rsidR="00320330" w:rsidRPr="00635C98" w:rsidRDefault="00320330" w:rsidP="00A64613">
            <w:pPr>
              <w:keepNext w:val="0"/>
              <w:spacing w:after="240"/>
            </w:pPr>
            <w:r w:rsidRPr="00635C98">
              <w:t>Pharmaci</w:t>
            </w:r>
            <w:r w:rsidR="00250A05" w:rsidRPr="00635C98">
              <w:t>e</w:t>
            </w:r>
          </w:p>
        </w:tc>
      </w:tr>
      <w:tr w:rsidR="00320330" w:rsidRPr="00026EC1" w14:paraId="216C94E1" w14:textId="77777777" w:rsidTr="00190888">
        <w:tc>
          <w:tcPr>
            <w:tcW w:w="1510" w:type="dxa"/>
          </w:tcPr>
          <w:p w14:paraId="1B824588" w14:textId="77777777" w:rsidR="00320330" w:rsidRPr="00026EC1" w:rsidRDefault="00320330" w:rsidP="00A64613">
            <w:pPr>
              <w:keepNext w:val="0"/>
              <w:spacing w:after="240"/>
            </w:pPr>
            <w:r w:rsidRPr="00026EC1">
              <w:t>171</w:t>
            </w:r>
          </w:p>
        </w:tc>
        <w:tc>
          <w:tcPr>
            <w:tcW w:w="7815" w:type="dxa"/>
          </w:tcPr>
          <w:p w14:paraId="6FB22CC6" w14:textId="77777777" w:rsidR="00320330" w:rsidRPr="00026EC1" w:rsidRDefault="00320330" w:rsidP="00A64613">
            <w:pPr>
              <w:keepNext w:val="0"/>
              <w:spacing w:after="240"/>
              <w:rPr>
                <w:strike/>
              </w:rPr>
            </w:pPr>
            <w:r w:rsidRPr="00026EC1">
              <w:t xml:space="preserve">Techniques de thanatologie </w:t>
            </w:r>
          </w:p>
        </w:tc>
      </w:tr>
    </w:tbl>
    <w:p w14:paraId="41BA3581" w14:textId="77777777" w:rsidR="001811C9" w:rsidRDefault="001811C9" w:rsidP="00A64613">
      <w:pPr>
        <w:keepNext w:val="0"/>
        <w:spacing w:after="240"/>
        <w:sectPr w:rsidR="001811C9" w:rsidSect="002B176A">
          <w:footerReference w:type="default" r:id="rId43"/>
          <w:footnotePr>
            <w:numRestart w:val="eachPage"/>
          </w:footnotePr>
          <w:pgSz w:w="12240" w:h="15840" w:code="1"/>
          <w:pgMar w:top="720" w:right="1077" w:bottom="1242" w:left="1684" w:header="709" w:footer="709" w:gutter="0"/>
          <w:cols w:space="708"/>
          <w:docGrid w:linePitch="360"/>
        </w:sectPr>
      </w:pPr>
    </w:p>
    <w:tbl>
      <w:tblPr>
        <w:tblW w:w="0" w:type="auto"/>
        <w:tblCellMar>
          <w:left w:w="70" w:type="dxa"/>
          <w:right w:w="70" w:type="dxa"/>
        </w:tblCellMar>
        <w:tblLook w:val="0000" w:firstRow="0" w:lastRow="0" w:firstColumn="0" w:lastColumn="0" w:noHBand="0" w:noVBand="0"/>
      </w:tblPr>
      <w:tblGrid>
        <w:gridCol w:w="1510"/>
        <w:gridCol w:w="7815"/>
      </w:tblGrid>
      <w:tr w:rsidR="00320330" w:rsidRPr="00026EC1" w14:paraId="199D63F0" w14:textId="77777777" w:rsidTr="00190888">
        <w:tc>
          <w:tcPr>
            <w:tcW w:w="1510" w:type="dxa"/>
          </w:tcPr>
          <w:p w14:paraId="5D983369" w14:textId="77777777" w:rsidR="00320330" w:rsidRPr="00026EC1" w:rsidRDefault="00320330" w:rsidP="00A64613">
            <w:pPr>
              <w:keepNext w:val="0"/>
              <w:spacing w:after="240"/>
            </w:pPr>
            <w:r w:rsidRPr="00026EC1">
              <w:t>180</w:t>
            </w:r>
          </w:p>
        </w:tc>
        <w:tc>
          <w:tcPr>
            <w:tcW w:w="7815" w:type="dxa"/>
          </w:tcPr>
          <w:p w14:paraId="32F91B69" w14:textId="77777777" w:rsidR="00320330" w:rsidRPr="00026EC1" w:rsidRDefault="00320330" w:rsidP="00A64613">
            <w:pPr>
              <w:keepNext w:val="0"/>
              <w:spacing w:after="240"/>
              <w:rPr>
                <w:strike/>
              </w:rPr>
            </w:pPr>
            <w:r w:rsidRPr="00026EC1">
              <w:t xml:space="preserve">Soins infirmiers </w:t>
            </w:r>
          </w:p>
        </w:tc>
      </w:tr>
      <w:tr w:rsidR="00320330" w:rsidRPr="00026EC1" w14:paraId="2AACB1AF" w14:textId="77777777" w:rsidTr="00190888">
        <w:tc>
          <w:tcPr>
            <w:tcW w:w="1510" w:type="dxa"/>
          </w:tcPr>
          <w:p w14:paraId="460FAB07" w14:textId="77777777" w:rsidR="00320330" w:rsidRPr="00026EC1" w:rsidRDefault="00320330" w:rsidP="00A64613">
            <w:pPr>
              <w:keepNext w:val="0"/>
              <w:spacing w:after="240"/>
            </w:pPr>
            <w:r w:rsidRPr="00026EC1">
              <w:t>181</w:t>
            </w:r>
          </w:p>
        </w:tc>
        <w:tc>
          <w:tcPr>
            <w:tcW w:w="7815" w:type="dxa"/>
          </w:tcPr>
          <w:p w14:paraId="62211843" w14:textId="77777777" w:rsidR="00320330" w:rsidRPr="00026EC1" w:rsidRDefault="00320330" w:rsidP="00A64613">
            <w:pPr>
              <w:keepNext w:val="0"/>
              <w:spacing w:after="240"/>
            </w:pPr>
            <w:r w:rsidRPr="00026EC1">
              <w:t>Soins préhospitaliers d’urgence</w:t>
            </w:r>
          </w:p>
        </w:tc>
      </w:tr>
      <w:tr w:rsidR="00320330" w:rsidRPr="00026EC1" w14:paraId="1A0822B2" w14:textId="77777777" w:rsidTr="00190888">
        <w:tc>
          <w:tcPr>
            <w:tcW w:w="1510" w:type="dxa"/>
          </w:tcPr>
          <w:p w14:paraId="3E295D44" w14:textId="77777777" w:rsidR="00320330" w:rsidRPr="00026EC1" w:rsidRDefault="00320330" w:rsidP="00A64613">
            <w:pPr>
              <w:keepNext w:val="0"/>
              <w:spacing w:after="240"/>
            </w:pPr>
            <w:r w:rsidRPr="00026EC1">
              <w:t>190</w:t>
            </w:r>
          </w:p>
        </w:tc>
        <w:tc>
          <w:tcPr>
            <w:tcW w:w="7815" w:type="dxa"/>
          </w:tcPr>
          <w:p w14:paraId="53EBD99C" w14:textId="77777777" w:rsidR="00320330" w:rsidRPr="00026EC1" w:rsidRDefault="00320330" w:rsidP="00A64613">
            <w:pPr>
              <w:keepNext w:val="0"/>
              <w:spacing w:after="240"/>
            </w:pPr>
            <w:r w:rsidRPr="00026EC1">
              <w:t>Technologie forestière</w:t>
            </w:r>
          </w:p>
        </w:tc>
      </w:tr>
      <w:tr w:rsidR="00320330" w:rsidRPr="00026EC1" w14:paraId="5DBD1511" w14:textId="77777777" w:rsidTr="00190888">
        <w:tc>
          <w:tcPr>
            <w:tcW w:w="1510" w:type="dxa"/>
          </w:tcPr>
          <w:p w14:paraId="4527C527" w14:textId="77777777" w:rsidR="00320330" w:rsidRPr="00026EC1" w:rsidRDefault="00320330" w:rsidP="00A64613">
            <w:pPr>
              <w:keepNext w:val="0"/>
              <w:spacing w:after="240"/>
            </w:pPr>
            <w:r w:rsidRPr="00026EC1">
              <w:t>201</w:t>
            </w:r>
          </w:p>
        </w:tc>
        <w:tc>
          <w:tcPr>
            <w:tcW w:w="7815" w:type="dxa"/>
          </w:tcPr>
          <w:p w14:paraId="21C355BE" w14:textId="77777777" w:rsidR="00320330" w:rsidRPr="00026EC1" w:rsidRDefault="00320330" w:rsidP="00A64613">
            <w:pPr>
              <w:keepNext w:val="0"/>
              <w:spacing w:after="240"/>
            </w:pPr>
            <w:r w:rsidRPr="00026EC1">
              <w:t>Mathématique</w:t>
            </w:r>
          </w:p>
        </w:tc>
      </w:tr>
      <w:tr w:rsidR="00320330" w:rsidRPr="00026EC1" w14:paraId="4B062394" w14:textId="77777777" w:rsidTr="00190888">
        <w:tc>
          <w:tcPr>
            <w:tcW w:w="1510" w:type="dxa"/>
          </w:tcPr>
          <w:p w14:paraId="39DE0C1C" w14:textId="77777777" w:rsidR="00320330" w:rsidRPr="00026EC1" w:rsidRDefault="00320330" w:rsidP="00A64613">
            <w:pPr>
              <w:keepNext w:val="0"/>
              <w:spacing w:after="240"/>
            </w:pPr>
            <w:r w:rsidRPr="00026EC1">
              <w:t>202</w:t>
            </w:r>
          </w:p>
        </w:tc>
        <w:tc>
          <w:tcPr>
            <w:tcW w:w="7815" w:type="dxa"/>
          </w:tcPr>
          <w:p w14:paraId="16836D55" w14:textId="77777777" w:rsidR="00320330" w:rsidRPr="00026EC1" w:rsidRDefault="00320330" w:rsidP="00A64613">
            <w:pPr>
              <w:keepNext w:val="0"/>
              <w:spacing w:after="240"/>
            </w:pPr>
            <w:r w:rsidRPr="00026EC1">
              <w:t>Chimie</w:t>
            </w:r>
          </w:p>
        </w:tc>
      </w:tr>
      <w:tr w:rsidR="00320330" w:rsidRPr="00026EC1" w14:paraId="00F1295A" w14:textId="77777777" w:rsidTr="00190888">
        <w:tc>
          <w:tcPr>
            <w:tcW w:w="1510" w:type="dxa"/>
          </w:tcPr>
          <w:p w14:paraId="458FCC77" w14:textId="77777777" w:rsidR="00320330" w:rsidRPr="00026EC1" w:rsidRDefault="00320330" w:rsidP="00A64613">
            <w:pPr>
              <w:keepNext w:val="0"/>
              <w:spacing w:after="240"/>
            </w:pPr>
            <w:r w:rsidRPr="00026EC1">
              <w:t>203</w:t>
            </w:r>
          </w:p>
        </w:tc>
        <w:tc>
          <w:tcPr>
            <w:tcW w:w="7815" w:type="dxa"/>
          </w:tcPr>
          <w:p w14:paraId="38A3DA0E" w14:textId="77777777" w:rsidR="00320330" w:rsidRPr="00026EC1" w:rsidRDefault="00320330" w:rsidP="00A64613">
            <w:pPr>
              <w:keepNext w:val="0"/>
              <w:spacing w:after="240"/>
            </w:pPr>
            <w:r w:rsidRPr="00026EC1">
              <w:t>Physique</w:t>
            </w:r>
          </w:p>
        </w:tc>
      </w:tr>
      <w:tr w:rsidR="00320330" w:rsidRPr="00000A6E" w14:paraId="0DA9A3A9" w14:textId="77777777" w:rsidTr="00190888">
        <w:tc>
          <w:tcPr>
            <w:tcW w:w="1510" w:type="dxa"/>
          </w:tcPr>
          <w:p w14:paraId="3ECC0224" w14:textId="39DE37C5" w:rsidR="00320330" w:rsidRPr="00635C98" w:rsidRDefault="00320330" w:rsidP="00A64613">
            <w:pPr>
              <w:keepNext w:val="0"/>
              <w:spacing w:after="240"/>
            </w:pPr>
            <w:r w:rsidRPr="00635C98">
              <w:rPr>
                <w:bCs/>
              </w:rPr>
              <w:t>204</w:t>
            </w:r>
            <w:r w:rsidR="00115D39" w:rsidRPr="00635C98">
              <w:t>*</w:t>
            </w:r>
          </w:p>
        </w:tc>
        <w:tc>
          <w:tcPr>
            <w:tcW w:w="7815" w:type="dxa"/>
          </w:tcPr>
          <w:p w14:paraId="337AEB82" w14:textId="3B5F52FC" w:rsidR="00320330" w:rsidRPr="00635C98" w:rsidRDefault="00320330" w:rsidP="00A64613">
            <w:pPr>
              <w:keepNext w:val="0"/>
              <w:spacing w:after="240"/>
            </w:pPr>
            <w:r w:rsidRPr="00635C98">
              <w:t>Langage mathématique et informatiqu</w:t>
            </w:r>
            <w:r w:rsidR="00250A05" w:rsidRPr="00635C98">
              <w:t>e*</w:t>
            </w:r>
          </w:p>
        </w:tc>
      </w:tr>
      <w:tr w:rsidR="00320330" w:rsidRPr="00026EC1" w14:paraId="12E56B88" w14:textId="77777777" w:rsidTr="00190888">
        <w:tc>
          <w:tcPr>
            <w:tcW w:w="1510" w:type="dxa"/>
          </w:tcPr>
          <w:p w14:paraId="3FF83E2C" w14:textId="77777777" w:rsidR="00320330" w:rsidRPr="00026EC1" w:rsidRDefault="00320330" w:rsidP="00A64613">
            <w:pPr>
              <w:keepNext w:val="0"/>
              <w:spacing w:after="240"/>
            </w:pPr>
            <w:r w:rsidRPr="00026EC1">
              <w:t>205</w:t>
            </w:r>
          </w:p>
        </w:tc>
        <w:tc>
          <w:tcPr>
            <w:tcW w:w="7815" w:type="dxa"/>
          </w:tcPr>
          <w:p w14:paraId="3175E52B" w14:textId="77777777" w:rsidR="00320330" w:rsidRPr="00026EC1" w:rsidRDefault="00320330" w:rsidP="00A64613">
            <w:pPr>
              <w:keepNext w:val="0"/>
              <w:spacing w:after="240"/>
            </w:pPr>
            <w:r w:rsidRPr="00026EC1">
              <w:t>Géologie</w:t>
            </w:r>
          </w:p>
        </w:tc>
      </w:tr>
      <w:tr w:rsidR="00320330" w:rsidRPr="00026EC1" w14:paraId="31C80C15" w14:textId="77777777" w:rsidTr="00190888">
        <w:tc>
          <w:tcPr>
            <w:tcW w:w="1510" w:type="dxa"/>
          </w:tcPr>
          <w:p w14:paraId="065AE9C5" w14:textId="77777777" w:rsidR="00320330" w:rsidRPr="00026EC1" w:rsidRDefault="00320330" w:rsidP="00A64613">
            <w:pPr>
              <w:keepNext w:val="0"/>
              <w:spacing w:after="240"/>
            </w:pPr>
            <w:r w:rsidRPr="00026EC1">
              <w:t>210</w:t>
            </w:r>
          </w:p>
        </w:tc>
        <w:tc>
          <w:tcPr>
            <w:tcW w:w="7815" w:type="dxa"/>
          </w:tcPr>
          <w:p w14:paraId="68C6E83B" w14:textId="77777777" w:rsidR="00320330" w:rsidRPr="00026EC1" w:rsidRDefault="00320330" w:rsidP="00A64613">
            <w:pPr>
              <w:keepNext w:val="0"/>
              <w:spacing w:after="240"/>
            </w:pPr>
            <w:r w:rsidRPr="00026EC1">
              <w:t>Techniques de chimie industrielle</w:t>
            </w:r>
          </w:p>
        </w:tc>
      </w:tr>
      <w:tr w:rsidR="00320330" w:rsidRPr="00026EC1" w14:paraId="02586CDE" w14:textId="77777777" w:rsidTr="00190888">
        <w:tc>
          <w:tcPr>
            <w:tcW w:w="1510" w:type="dxa"/>
          </w:tcPr>
          <w:p w14:paraId="628443A4" w14:textId="77777777" w:rsidR="00320330" w:rsidRPr="00026EC1" w:rsidRDefault="00320330" w:rsidP="00A64613">
            <w:pPr>
              <w:keepNext w:val="0"/>
              <w:spacing w:after="240"/>
            </w:pPr>
            <w:r w:rsidRPr="00026EC1">
              <w:t>211</w:t>
            </w:r>
          </w:p>
        </w:tc>
        <w:tc>
          <w:tcPr>
            <w:tcW w:w="7815" w:type="dxa"/>
          </w:tcPr>
          <w:p w14:paraId="0723C565" w14:textId="77777777" w:rsidR="00320330" w:rsidRPr="00026EC1" w:rsidRDefault="00320330" w:rsidP="00A64613">
            <w:pPr>
              <w:keepNext w:val="0"/>
              <w:spacing w:after="240"/>
            </w:pPr>
            <w:r w:rsidRPr="00026EC1">
              <w:t>Techniques des matières plastiques</w:t>
            </w:r>
          </w:p>
        </w:tc>
      </w:tr>
      <w:tr w:rsidR="00320330" w:rsidRPr="00026EC1" w14:paraId="7999BDDA" w14:textId="77777777" w:rsidTr="00190888">
        <w:tc>
          <w:tcPr>
            <w:tcW w:w="1510" w:type="dxa"/>
          </w:tcPr>
          <w:p w14:paraId="15552478" w14:textId="77777777" w:rsidR="00320330" w:rsidRPr="00026EC1" w:rsidRDefault="00320330" w:rsidP="00A64613">
            <w:pPr>
              <w:keepNext w:val="0"/>
              <w:spacing w:after="240"/>
            </w:pPr>
            <w:r w:rsidRPr="00026EC1">
              <w:t>221</w:t>
            </w:r>
          </w:p>
        </w:tc>
        <w:tc>
          <w:tcPr>
            <w:tcW w:w="7815" w:type="dxa"/>
          </w:tcPr>
          <w:p w14:paraId="7E64BC53" w14:textId="77777777" w:rsidR="00320330" w:rsidRPr="00026EC1" w:rsidRDefault="00320330" w:rsidP="00A64613">
            <w:pPr>
              <w:keepNext w:val="0"/>
              <w:spacing w:after="240"/>
            </w:pPr>
            <w:r w:rsidRPr="00026EC1">
              <w:t>Technologie du bâtiment et des travaux publics</w:t>
            </w:r>
          </w:p>
        </w:tc>
      </w:tr>
      <w:tr w:rsidR="00320330" w:rsidRPr="00026EC1" w14:paraId="04958F33" w14:textId="77777777" w:rsidTr="00190888">
        <w:tc>
          <w:tcPr>
            <w:tcW w:w="1510" w:type="dxa"/>
          </w:tcPr>
          <w:p w14:paraId="1A153E39" w14:textId="77777777" w:rsidR="00320330" w:rsidRPr="00026EC1" w:rsidRDefault="00320330" w:rsidP="00A64613">
            <w:pPr>
              <w:keepNext w:val="0"/>
              <w:spacing w:after="240"/>
            </w:pPr>
            <w:r w:rsidRPr="00026EC1">
              <w:t>222</w:t>
            </w:r>
          </w:p>
        </w:tc>
        <w:tc>
          <w:tcPr>
            <w:tcW w:w="7815" w:type="dxa"/>
          </w:tcPr>
          <w:p w14:paraId="3C00C515" w14:textId="77777777" w:rsidR="00320330" w:rsidRPr="00026EC1" w:rsidRDefault="00320330" w:rsidP="00A64613">
            <w:pPr>
              <w:keepNext w:val="0"/>
              <w:spacing w:after="240"/>
            </w:pPr>
            <w:r w:rsidRPr="00026EC1">
              <w:t>Techniques d’aménagement et d’urbanisme</w:t>
            </w:r>
          </w:p>
        </w:tc>
      </w:tr>
      <w:tr w:rsidR="00320330" w:rsidRPr="00026EC1" w14:paraId="40CD7A7F" w14:textId="77777777" w:rsidTr="00190888">
        <w:tc>
          <w:tcPr>
            <w:tcW w:w="1510" w:type="dxa"/>
          </w:tcPr>
          <w:p w14:paraId="78A33F76" w14:textId="77777777" w:rsidR="00320330" w:rsidRPr="00026EC1" w:rsidRDefault="00320330" w:rsidP="00A64613">
            <w:pPr>
              <w:keepNext w:val="0"/>
              <w:spacing w:after="240"/>
            </w:pPr>
            <w:r w:rsidRPr="00026EC1">
              <w:t>223</w:t>
            </w:r>
          </w:p>
        </w:tc>
        <w:tc>
          <w:tcPr>
            <w:tcW w:w="7815" w:type="dxa"/>
          </w:tcPr>
          <w:p w14:paraId="29C68AF4" w14:textId="77777777" w:rsidR="00320330" w:rsidRPr="00026EC1" w:rsidRDefault="00320330" w:rsidP="00A64613">
            <w:pPr>
              <w:keepNext w:val="0"/>
              <w:spacing w:after="240"/>
            </w:pPr>
            <w:r w:rsidRPr="00026EC1">
              <w:t>Énergie</w:t>
            </w:r>
          </w:p>
        </w:tc>
      </w:tr>
      <w:tr w:rsidR="00320330" w:rsidRPr="00026EC1" w14:paraId="25C6E157" w14:textId="77777777" w:rsidTr="00190888">
        <w:tc>
          <w:tcPr>
            <w:tcW w:w="1510" w:type="dxa"/>
          </w:tcPr>
          <w:p w14:paraId="25E13B65" w14:textId="77777777" w:rsidR="00320330" w:rsidRPr="00026EC1" w:rsidRDefault="00320330" w:rsidP="00A64613">
            <w:pPr>
              <w:keepNext w:val="0"/>
              <w:spacing w:after="240"/>
            </w:pPr>
            <w:r w:rsidRPr="00026EC1">
              <w:t>230</w:t>
            </w:r>
          </w:p>
        </w:tc>
        <w:tc>
          <w:tcPr>
            <w:tcW w:w="7815" w:type="dxa"/>
          </w:tcPr>
          <w:p w14:paraId="4CB062B0" w14:textId="77777777" w:rsidR="00320330" w:rsidRPr="00026EC1" w:rsidRDefault="00320330" w:rsidP="00A64613">
            <w:pPr>
              <w:keepNext w:val="0"/>
              <w:spacing w:after="240"/>
            </w:pPr>
            <w:r w:rsidRPr="00026EC1">
              <w:t>Technologie de la géomatique</w:t>
            </w:r>
          </w:p>
        </w:tc>
      </w:tr>
      <w:tr w:rsidR="00320330" w:rsidRPr="00026EC1" w14:paraId="1E7C8B31" w14:textId="77777777" w:rsidTr="00190888">
        <w:tc>
          <w:tcPr>
            <w:tcW w:w="1510" w:type="dxa"/>
          </w:tcPr>
          <w:p w14:paraId="59BF938E" w14:textId="77777777" w:rsidR="00320330" w:rsidRPr="00026EC1" w:rsidRDefault="00320330" w:rsidP="00A64613">
            <w:pPr>
              <w:keepNext w:val="0"/>
              <w:spacing w:after="240"/>
            </w:pPr>
            <w:r w:rsidRPr="00026EC1">
              <w:t>231</w:t>
            </w:r>
          </w:p>
        </w:tc>
        <w:tc>
          <w:tcPr>
            <w:tcW w:w="7815" w:type="dxa"/>
          </w:tcPr>
          <w:p w14:paraId="258C9D55" w14:textId="77777777" w:rsidR="00320330" w:rsidRPr="00026EC1" w:rsidRDefault="00320330" w:rsidP="00A64613">
            <w:pPr>
              <w:keepNext w:val="0"/>
              <w:spacing w:after="240"/>
            </w:pPr>
            <w:r w:rsidRPr="00026EC1">
              <w:t>Techniques de la pêche</w:t>
            </w:r>
          </w:p>
        </w:tc>
      </w:tr>
      <w:tr w:rsidR="00320330" w:rsidRPr="00026EC1" w14:paraId="085E42A4" w14:textId="77777777" w:rsidTr="00190888">
        <w:tc>
          <w:tcPr>
            <w:tcW w:w="1510" w:type="dxa"/>
          </w:tcPr>
          <w:p w14:paraId="2AF48AF4" w14:textId="77777777" w:rsidR="00320330" w:rsidRPr="00026EC1" w:rsidRDefault="00320330" w:rsidP="00A64613">
            <w:pPr>
              <w:keepNext w:val="0"/>
              <w:spacing w:after="240"/>
            </w:pPr>
            <w:r w:rsidRPr="00026EC1">
              <w:t>232</w:t>
            </w:r>
          </w:p>
        </w:tc>
        <w:tc>
          <w:tcPr>
            <w:tcW w:w="7815" w:type="dxa"/>
          </w:tcPr>
          <w:p w14:paraId="0283764E" w14:textId="77777777" w:rsidR="00320330" w:rsidRPr="00026EC1" w:rsidRDefault="00320330" w:rsidP="00A64613">
            <w:pPr>
              <w:keepNext w:val="0"/>
              <w:spacing w:after="240"/>
            </w:pPr>
            <w:r w:rsidRPr="00026EC1">
              <w:t xml:space="preserve">Technologies des pâtes et papiers </w:t>
            </w:r>
          </w:p>
        </w:tc>
      </w:tr>
      <w:tr w:rsidR="00320330" w:rsidRPr="00026EC1" w14:paraId="49989337" w14:textId="77777777" w:rsidTr="00190888">
        <w:tc>
          <w:tcPr>
            <w:tcW w:w="1510" w:type="dxa"/>
          </w:tcPr>
          <w:p w14:paraId="232F38D1" w14:textId="77777777" w:rsidR="00320330" w:rsidRPr="00026EC1" w:rsidRDefault="00320330" w:rsidP="00A64613">
            <w:pPr>
              <w:keepNext w:val="0"/>
              <w:spacing w:after="240"/>
            </w:pPr>
            <w:r w:rsidRPr="00026EC1">
              <w:t>233</w:t>
            </w:r>
          </w:p>
        </w:tc>
        <w:tc>
          <w:tcPr>
            <w:tcW w:w="7815" w:type="dxa"/>
          </w:tcPr>
          <w:p w14:paraId="65A36CFA" w14:textId="77777777" w:rsidR="00320330" w:rsidRPr="00026EC1" w:rsidRDefault="00320330" w:rsidP="00A64613">
            <w:pPr>
              <w:keepNext w:val="0"/>
              <w:spacing w:after="240"/>
            </w:pPr>
            <w:r w:rsidRPr="00026EC1">
              <w:t>Techniques du meuble et d’ébénisterie</w:t>
            </w:r>
          </w:p>
        </w:tc>
      </w:tr>
      <w:tr w:rsidR="00320330" w:rsidRPr="00026EC1" w14:paraId="670FA1A9" w14:textId="77777777" w:rsidTr="00190888">
        <w:tc>
          <w:tcPr>
            <w:tcW w:w="1510" w:type="dxa"/>
          </w:tcPr>
          <w:p w14:paraId="7D5485C9" w14:textId="77777777" w:rsidR="00320330" w:rsidRPr="00026EC1" w:rsidRDefault="00320330" w:rsidP="00A64613">
            <w:pPr>
              <w:keepNext w:val="0"/>
              <w:spacing w:after="240"/>
            </w:pPr>
            <w:r w:rsidRPr="00026EC1">
              <w:t>235</w:t>
            </w:r>
          </w:p>
        </w:tc>
        <w:tc>
          <w:tcPr>
            <w:tcW w:w="7815" w:type="dxa"/>
          </w:tcPr>
          <w:p w14:paraId="2E9D63EF" w14:textId="77777777" w:rsidR="00320330" w:rsidRPr="00026EC1" w:rsidRDefault="00320330" w:rsidP="00A64613">
            <w:pPr>
              <w:keepNext w:val="0"/>
              <w:spacing w:after="240"/>
              <w:rPr>
                <w:dstrike/>
              </w:rPr>
            </w:pPr>
            <w:r w:rsidRPr="00026EC1">
              <w:t>Production industrielle</w:t>
            </w:r>
          </w:p>
        </w:tc>
      </w:tr>
      <w:tr w:rsidR="00320330" w:rsidRPr="00026EC1" w14:paraId="46E633EC" w14:textId="77777777" w:rsidTr="00190888">
        <w:tc>
          <w:tcPr>
            <w:tcW w:w="1510" w:type="dxa"/>
          </w:tcPr>
          <w:p w14:paraId="5DB9C86E" w14:textId="77777777" w:rsidR="00320330" w:rsidRPr="00026EC1" w:rsidRDefault="00320330" w:rsidP="00A64613">
            <w:pPr>
              <w:keepNext w:val="0"/>
              <w:spacing w:after="240"/>
            </w:pPr>
            <w:r w:rsidRPr="00026EC1">
              <w:t>241</w:t>
            </w:r>
          </w:p>
        </w:tc>
        <w:tc>
          <w:tcPr>
            <w:tcW w:w="7815" w:type="dxa"/>
          </w:tcPr>
          <w:p w14:paraId="3B4AFD5A" w14:textId="77777777" w:rsidR="00320330" w:rsidRPr="00026EC1" w:rsidRDefault="00320330" w:rsidP="00A64613">
            <w:pPr>
              <w:keepNext w:val="0"/>
              <w:spacing w:after="240"/>
            </w:pPr>
            <w:r w:rsidRPr="00026EC1">
              <w:t>Techniques de la mécanique</w:t>
            </w:r>
          </w:p>
        </w:tc>
      </w:tr>
      <w:tr w:rsidR="00320330" w:rsidRPr="00026EC1" w14:paraId="6505F1D8" w14:textId="77777777" w:rsidTr="00190888">
        <w:tc>
          <w:tcPr>
            <w:tcW w:w="1510" w:type="dxa"/>
          </w:tcPr>
          <w:p w14:paraId="0862B07E" w14:textId="77777777" w:rsidR="00320330" w:rsidRPr="00026EC1" w:rsidRDefault="00320330" w:rsidP="00A64613">
            <w:pPr>
              <w:keepNext w:val="0"/>
              <w:spacing w:after="240"/>
            </w:pPr>
            <w:r w:rsidRPr="00026EC1">
              <w:t>242</w:t>
            </w:r>
          </w:p>
        </w:tc>
        <w:tc>
          <w:tcPr>
            <w:tcW w:w="7815" w:type="dxa"/>
          </w:tcPr>
          <w:p w14:paraId="4D197763" w14:textId="77777777" w:rsidR="00320330" w:rsidRPr="00026EC1" w:rsidRDefault="00320330" w:rsidP="00A64613">
            <w:pPr>
              <w:keepNext w:val="0"/>
              <w:spacing w:after="240"/>
            </w:pPr>
            <w:r w:rsidRPr="00026EC1">
              <w:t>Dessin technique</w:t>
            </w:r>
          </w:p>
        </w:tc>
      </w:tr>
      <w:tr w:rsidR="00320330" w:rsidRPr="00026EC1" w14:paraId="548B34AF" w14:textId="77777777" w:rsidTr="00190888">
        <w:tc>
          <w:tcPr>
            <w:tcW w:w="1510" w:type="dxa"/>
          </w:tcPr>
          <w:p w14:paraId="301BE65A" w14:textId="77777777" w:rsidR="00320330" w:rsidRPr="00026EC1" w:rsidRDefault="00320330" w:rsidP="00A64613">
            <w:pPr>
              <w:keepNext w:val="0"/>
              <w:spacing w:after="240"/>
            </w:pPr>
            <w:r w:rsidRPr="00026EC1">
              <w:t>243</w:t>
            </w:r>
          </w:p>
        </w:tc>
        <w:tc>
          <w:tcPr>
            <w:tcW w:w="7815" w:type="dxa"/>
          </w:tcPr>
          <w:p w14:paraId="3960E057" w14:textId="77777777" w:rsidR="00320330" w:rsidRPr="00026EC1" w:rsidRDefault="00320330" w:rsidP="00A64613">
            <w:pPr>
              <w:keepNext w:val="0"/>
              <w:spacing w:after="240"/>
            </w:pPr>
            <w:r w:rsidRPr="00026EC1">
              <w:t>Technologie du génie électrique</w:t>
            </w:r>
          </w:p>
        </w:tc>
      </w:tr>
      <w:tr w:rsidR="00320330" w:rsidRPr="00026EC1" w14:paraId="2ED2E4E2" w14:textId="77777777" w:rsidTr="00190888">
        <w:tc>
          <w:tcPr>
            <w:tcW w:w="1510" w:type="dxa"/>
          </w:tcPr>
          <w:p w14:paraId="7B70F78F" w14:textId="77777777" w:rsidR="00320330" w:rsidRPr="00026EC1" w:rsidRDefault="00320330" w:rsidP="00A64613">
            <w:pPr>
              <w:keepNext w:val="0"/>
              <w:spacing w:after="240"/>
            </w:pPr>
            <w:r w:rsidRPr="00026EC1">
              <w:t>244</w:t>
            </w:r>
          </w:p>
        </w:tc>
        <w:tc>
          <w:tcPr>
            <w:tcW w:w="7815" w:type="dxa"/>
          </w:tcPr>
          <w:p w14:paraId="37D62EEC" w14:textId="77777777" w:rsidR="00320330" w:rsidRPr="00026EC1" w:rsidRDefault="00320330" w:rsidP="00A64613">
            <w:pPr>
              <w:keepNext w:val="0"/>
              <w:spacing w:after="240"/>
            </w:pPr>
            <w:r w:rsidRPr="00026EC1">
              <w:t>Technologie physique</w:t>
            </w:r>
          </w:p>
        </w:tc>
      </w:tr>
      <w:tr w:rsidR="00320330" w:rsidRPr="00026EC1" w14:paraId="3F7B6007" w14:textId="77777777" w:rsidTr="00190888">
        <w:tc>
          <w:tcPr>
            <w:tcW w:w="1510" w:type="dxa"/>
          </w:tcPr>
          <w:p w14:paraId="6BA38113" w14:textId="77777777" w:rsidR="00320330" w:rsidRPr="00026EC1" w:rsidRDefault="00320330" w:rsidP="00A64613">
            <w:pPr>
              <w:keepNext w:val="0"/>
              <w:spacing w:after="240"/>
            </w:pPr>
            <w:r w:rsidRPr="00026EC1">
              <w:t>247</w:t>
            </w:r>
          </w:p>
        </w:tc>
        <w:tc>
          <w:tcPr>
            <w:tcW w:w="7815" w:type="dxa"/>
          </w:tcPr>
          <w:p w14:paraId="7A9BA0F9" w14:textId="77777777" w:rsidR="00320330" w:rsidRPr="00026EC1" w:rsidRDefault="00320330" w:rsidP="00A64613">
            <w:pPr>
              <w:keepNext w:val="0"/>
              <w:spacing w:after="240"/>
            </w:pPr>
            <w:r w:rsidRPr="00026EC1">
              <w:t>Technologie de systèmes</w:t>
            </w:r>
          </w:p>
        </w:tc>
      </w:tr>
      <w:tr w:rsidR="00320330" w:rsidRPr="00026EC1" w14:paraId="5CFE53C7" w14:textId="77777777" w:rsidTr="00190888">
        <w:tc>
          <w:tcPr>
            <w:tcW w:w="1510" w:type="dxa"/>
          </w:tcPr>
          <w:p w14:paraId="7B1FB1D9" w14:textId="77777777" w:rsidR="00320330" w:rsidRPr="00026EC1" w:rsidRDefault="00320330" w:rsidP="00A64613">
            <w:pPr>
              <w:keepNext w:val="0"/>
              <w:spacing w:after="240"/>
            </w:pPr>
            <w:r w:rsidRPr="00026EC1">
              <w:t>248</w:t>
            </w:r>
          </w:p>
        </w:tc>
        <w:tc>
          <w:tcPr>
            <w:tcW w:w="7815" w:type="dxa"/>
          </w:tcPr>
          <w:p w14:paraId="09F6D2B6" w14:textId="77777777" w:rsidR="00320330" w:rsidRPr="00026EC1" w:rsidRDefault="00320330" w:rsidP="00A64613">
            <w:pPr>
              <w:keepNext w:val="0"/>
              <w:spacing w:after="240"/>
            </w:pPr>
            <w:r w:rsidRPr="00026EC1">
              <w:t>Techniques maritimes</w:t>
            </w:r>
          </w:p>
        </w:tc>
      </w:tr>
      <w:tr w:rsidR="00320330" w:rsidRPr="00026EC1" w14:paraId="6A9EF95D" w14:textId="77777777" w:rsidTr="00190888">
        <w:tc>
          <w:tcPr>
            <w:tcW w:w="1510" w:type="dxa"/>
          </w:tcPr>
          <w:p w14:paraId="23E0D3F5" w14:textId="77777777" w:rsidR="00320330" w:rsidRPr="00026EC1" w:rsidRDefault="00320330" w:rsidP="00A64613">
            <w:pPr>
              <w:keepNext w:val="0"/>
              <w:spacing w:after="240"/>
            </w:pPr>
            <w:r w:rsidRPr="00026EC1">
              <w:t>251</w:t>
            </w:r>
          </w:p>
        </w:tc>
        <w:tc>
          <w:tcPr>
            <w:tcW w:w="7815" w:type="dxa"/>
          </w:tcPr>
          <w:p w14:paraId="03302F9B" w14:textId="77777777" w:rsidR="00320330" w:rsidRPr="00026EC1" w:rsidRDefault="00320330" w:rsidP="00A64613">
            <w:pPr>
              <w:keepNext w:val="0"/>
              <w:spacing w:after="240"/>
            </w:pPr>
            <w:r w:rsidRPr="00026EC1">
              <w:t>Technologie et gestion des textiles</w:t>
            </w:r>
          </w:p>
        </w:tc>
      </w:tr>
      <w:tr w:rsidR="00320330" w:rsidRPr="00026EC1" w14:paraId="727FBBD2" w14:textId="77777777" w:rsidTr="00190888">
        <w:tc>
          <w:tcPr>
            <w:tcW w:w="1510" w:type="dxa"/>
          </w:tcPr>
          <w:p w14:paraId="6FD15D7F" w14:textId="77777777" w:rsidR="00320330" w:rsidRPr="00026EC1" w:rsidRDefault="00320330" w:rsidP="00A64613">
            <w:pPr>
              <w:keepNext w:val="0"/>
              <w:spacing w:after="240"/>
            </w:pPr>
            <w:r w:rsidRPr="00026EC1">
              <w:t>260</w:t>
            </w:r>
          </w:p>
        </w:tc>
        <w:tc>
          <w:tcPr>
            <w:tcW w:w="7815" w:type="dxa"/>
          </w:tcPr>
          <w:p w14:paraId="4DFCB384" w14:textId="77777777" w:rsidR="00320330" w:rsidRPr="00026EC1" w:rsidRDefault="00320330" w:rsidP="00A64613">
            <w:pPr>
              <w:keepNext w:val="0"/>
              <w:spacing w:after="240"/>
            </w:pPr>
            <w:r w:rsidRPr="00026EC1">
              <w:t>Techniques de l’eau, de l’air et de l’assainissement</w:t>
            </w:r>
          </w:p>
        </w:tc>
      </w:tr>
      <w:tr w:rsidR="00320330" w:rsidRPr="00026EC1" w14:paraId="3792B312" w14:textId="77777777" w:rsidTr="00190888">
        <w:tc>
          <w:tcPr>
            <w:tcW w:w="1510" w:type="dxa"/>
          </w:tcPr>
          <w:p w14:paraId="29556492" w14:textId="77777777" w:rsidR="00320330" w:rsidRPr="00026EC1" w:rsidRDefault="00320330" w:rsidP="00A64613">
            <w:pPr>
              <w:keepNext w:val="0"/>
              <w:spacing w:after="240"/>
            </w:pPr>
            <w:r w:rsidRPr="00026EC1">
              <w:t>262</w:t>
            </w:r>
          </w:p>
        </w:tc>
        <w:tc>
          <w:tcPr>
            <w:tcW w:w="7815" w:type="dxa"/>
          </w:tcPr>
          <w:p w14:paraId="4C00037D" w14:textId="77777777" w:rsidR="00320330" w:rsidRPr="00026EC1" w:rsidRDefault="00320330" w:rsidP="00A64613">
            <w:pPr>
              <w:keepNext w:val="0"/>
              <w:spacing w:after="240"/>
            </w:pPr>
            <w:r w:rsidRPr="00026EC1">
              <w:t>Environnement</w:t>
            </w:r>
          </w:p>
        </w:tc>
      </w:tr>
      <w:tr w:rsidR="00320330" w:rsidRPr="00026EC1" w14:paraId="277D1B4E" w14:textId="77777777" w:rsidTr="00190888">
        <w:tc>
          <w:tcPr>
            <w:tcW w:w="1510" w:type="dxa"/>
          </w:tcPr>
          <w:p w14:paraId="11EC7928" w14:textId="77777777" w:rsidR="00320330" w:rsidRPr="00026EC1" w:rsidRDefault="00320330" w:rsidP="00A64613">
            <w:pPr>
              <w:keepNext w:val="0"/>
              <w:spacing w:after="240"/>
            </w:pPr>
            <w:r w:rsidRPr="00026EC1">
              <w:t>265</w:t>
            </w:r>
          </w:p>
        </w:tc>
        <w:tc>
          <w:tcPr>
            <w:tcW w:w="7815" w:type="dxa"/>
          </w:tcPr>
          <w:p w14:paraId="37F0AF2D" w14:textId="77777777" w:rsidR="00320330" w:rsidRPr="00026EC1" w:rsidRDefault="00320330" w:rsidP="00A64613">
            <w:pPr>
              <w:keepNext w:val="0"/>
              <w:spacing w:after="240"/>
            </w:pPr>
            <w:r w:rsidRPr="00026EC1">
              <w:t>Hygiène industrielle</w:t>
            </w:r>
          </w:p>
        </w:tc>
      </w:tr>
      <w:tr w:rsidR="00320330" w:rsidRPr="00026EC1" w14:paraId="02BA288E" w14:textId="77777777" w:rsidTr="00190888">
        <w:tc>
          <w:tcPr>
            <w:tcW w:w="1510" w:type="dxa"/>
          </w:tcPr>
          <w:p w14:paraId="058D3D88" w14:textId="77777777" w:rsidR="00320330" w:rsidRPr="00026EC1" w:rsidRDefault="00320330" w:rsidP="00A64613">
            <w:pPr>
              <w:keepNext w:val="0"/>
              <w:spacing w:after="240"/>
            </w:pPr>
            <w:r w:rsidRPr="00026EC1">
              <w:t>270</w:t>
            </w:r>
          </w:p>
        </w:tc>
        <w:tc>
          <w:tcPr>
            <w:tcW w:w="7815" w:type="dxa"/>
          </w:tcPr>
          <w:p w14:paraId="167E34BE" w14:textId="77777777" w:rsidR="00320330" w:rsidRPr="00026EC1" w:rsidRDefault="00320330" w:rsidP="00A64613">
            <w:pPr>
              <w:keepNext w:val="0"/>
              <w:spacing w:after="240"/>
            </w:pPr>
            <w:r w:rsidRPr="00026EC1">
              <w:t>Technologie du génie métallurgique</w:t>
            </w:r>
          </w:p>
        </w:tc>
      </w:tr>
      <w:tr w:rsidR="00320330" w:rsidRPr="00026EC1" w14:paraId="7CE43630" w14:textId="77777777" w:rsidTr="00190888">
        <w:tc>
          <w:tcPr>
            <w:tcW w:w="1510" w:type="dxa"/>
          </w:tcPr>
          <w:p w14:paraId="3AB286A9" w14:textId="77777777" w:rsidR="00320330" w:rsidRPr="00026EC1" w:rsidRDefault="00320330" w:rsidP="00A64613">
            <w:pPr>
              <w:keepNext w:val="0"/>
              <w:spacing w:after="240"/>
            </w:pPr>
            <w:r w:rsidRPr="00026EC1">
              <w:t>271</w:t>
            </w:r>
          </w:p>
        </w:tc>
        <w:tc>
          <w:tcPr>
            <w:tcW w:w="7815" w:type="dxa"/>
          </w:tcPr>
          <w:p w14:paraId="6DE4C847" w14:textId="77777777" w:rsidR="00320330" w:rsidRPr="00026EC1" w:rsidRDefault="00320330" w:rsidP="00A64613">
            <w:pPr>
              <w:keepNext w:val="0"/>
              <w:spacing w:after="240"/>
            </w:pPr>
            <w:r w:rsidRPr="00026EC1">
              <w:t>Technologie minérale</w:t>
            </w:r>
          </w:p>
        </w:tc>
      </w:tr>
      <w:tr w:rsidR="00320330" w:rsidRPr="00026EC1" w14:paraId="7972A471" w14:textId="77777777" w:rsidTr="00190888">
        <w:tc>
          <w:tcPr>
            <w:tcW w:w="1510" w:type="dxa"/>
          </w:tcPr>
          <w:p w14:paraId="59FFCCF1" w14:textId="77777777" w:rsidR="00320330" w:rsidRPr="00026EC1" w:rsidRDefault="00320330" w:rsidP="00A64613">
            <w:pPr>
              <w:keepNext w:val="0"/>
              <w:spacing w:after="240"/>
            </w:pPr>
            <w:r w:rsidRPr="00026EC1">
              <w:t>280</w:t>
            </w:r>
          </w:p>
        </w:tc>
        <w:tc>
          <w:tcPr>
            <w:tcW w:w="7815" w:type="dxa"/>
          </w:tcPr>
          <w:p w14:paraId="45661CFB" w14:textId="77777777" w:rsidR="00320330" w:rsidRPr="00026EC1" w:rsidRDefault="00320330" w:rsidP="00A64613">
            <w:pPr>
              <w:keepNext w:val="0"/>
              <w:spacing w:after="240"/>
            </w:pPr>
            <w:r w:rsidRPr="00026EC1">
              <w:t>Aéronautique</w:t>
            </w:r>
          </w:p>
        </w:tc>
      </w:tr>
      <w:tr w:rsidR="00320330" w:rsidRPr="00635C98" w14:paraId="2965EE71" w14:textId="77777777" w:rsidTr="00190888">
        <w:tc>
          <w:tcPr>
            <w:tcW w:w="1510" w:type="dxa"/>
          </w:tcPr>
          <w:p w14:paraId="3E1B8C65" w14:textId="1D0E6473" w:rsidR="00320330" w:rsidRPr="00635C98" w:rsidRDefault="00320330" w:rsidP="00A64613">
            <w:pPr>
              <w:keepNext w:val="0"/>
              <w:spacing w:after="240"/>
            </w:pPr>
            <w:r w:rsidRPr="00635C98">
              <w:rPr>
                <w:bCs/>
              </w:rPr>
              <w:t>300</w:t>
            </w:r>
            <w:r w:rsidR="00115D39" w:rsidRPr="00635C98">
              <w:t>*</w:t>
            </w:r>
          </w:p>
        </w:tc>
        <w:tc>
          <w:tcPr>
            <w:tcW w:w="7815" w:type="dxa"/>
          </w:tcPr>
          <w:p w14:paraId="41E5D695" w14:textId="5F10C563" w:rsidR="00320330" w:rsidRPr="00635C98" w:rsidRDefault="00320330" w:rsidP="00A64613">
            <w:pPr>
              <w:keepNext w:val="0"/>
              <w:spacing w:after="240"/>
            </w:pPr>
            <w:r w:rsidRPr="00635C98">
              <w:t>Sciences humaine</w:t>
            </w:r>
            <w:r w:rsidR="00250A05" w:rsidRPr="00635C98">
              <w:t>s*</w:t>
            </w:r>
          </w:p>
        </w:tc>
      </w:tr>
      <w:tr w:rsidR="00320330" w:rsidRPr="00AA43BF" w14:paraId="4FC2EE22" w14:textId="77777777" w:rsidTr="00190888">
        <w:tc>
          <w:tcPr>
            <w:tcW w:w="1510" w:type="dxa"/>
          </w:tcPr>
          <w:p w14:paraId="4679367F" w14:textId="4C30481F" w:rsidR="00320330" w:rsidRPr="00635C98" w:rsidRDefault="00320330" w:rsidP="00A64613">
            <w:pPr>
              <w:keepNext w:val="0"/>
              <w:spacing w:after="240"/>
            </w:pPr>
            <w:r w:rsidRPr="00635C98">
              <w:rPr>
                <w:bCs/>
              </w:rPr>
              <w:t>305</w:t>
            </w:r>
            <w:r w:rsidR="00115D39" w:rsidRPr="00635C98">
              <w:t>*</w:t>
            </w:r>
          </w:p>
        </w:tc>
        <w:tc>
          <w:tcPr>
            <w:tcW w:w="7815" w:type="dxa"/>
          </w:tcPr>
          <w:p w14:paraId="332C90FC" w14:textId="3C3EFDCE" w:rsidR="00320330" w:rsidRPr="00635C98" w:rsidRDefault="00320330" w:rsidP="00A64613">
            <w:pPr>
              <w:keepNext w:val="0"/>
              <w:spacing w:after="240"/>
            </w:pPr>
            <w:r w:rsidRPr="00635C98">
              <w:t>Sciences humaines (complémentaire</w:t>
            </w:r>
            <w:r w:rsidR="00250A05" w:rsidRPr="00635C98">
              <w:t>)*</w:t>
            </w:r>
          </w:p>
        </w:tc>
      </w:tr>
      <w:tr w:rsidR="00320330" w:rsidRPr="00026EC1" w14:paraId="1C055890" w14:textId="77777777" w:rsidTr="00190888">
        <w:tc>
          <w:tcPr>
            <w:tcW w:w="1510" w:type="dxa"/>
          </w:tcPr>
          <w:p w14:paraId="04367F59" w14:textId="77777777" w:rsidR="00320330" w:rsidRPr="00026EC1" w:rsidRDefault="00320330" w:rsidP="00A64613">
            <w:pPr>
              <w:keepNext w:val="0"/>
              <w:spacing w:after="240"/>
            </w:pPr>
            <w:r w:rsidRPr="00026EC1">
              <w:t>310</w:t>
            </w:r>
          </w:p>
        </w:tc>
        <w:tc>
          <w:tcPr>
            <w:tcW w:w="7815" w:type="dxa"/>
          </w:tcPr>
          <w:p w14:paraId="39C02983" w14:textId="77777777" w:rsidR="00320330" w:rsidRPr="00026EC1" w:rsidRDefault="00320330" w:rsidP="00A64613">
            <w:pPr>
              <w:keepNext w:val="0"/>
              <w:spacing w:after="240"/>
            </w:pPr>
            <w:r w:rsidRPr="00026EC1">
              <w:t>Techniques auxiliaires de la justice</w:t>
            </w:r>
          </w:p>
        </w:tc>
      </w:tr>
      <w:tr w:rsidR="00320330" w:rsidRPr="00026EC1" w14:paraId="5DFB2875" w14:textId="77777777" w:rsidTr="00190888">
        <w:tc>
          <w:tcPr>
            <w:tcW w:w="1510" w:type="dxa"/>
          </w:tcPr>
          <w:p w14:paraId="14235B37" w14:textId="77777777" w:rsidR="00320330" w:rsidRPr="00026EC1" w:rsidRDefault="00320330" w:rsidP="00A64613">
            <w:pPr>
              <w:keepNext w:val="0"/>
              <w:spacing w:after="240"/>
            </w:pPr>
            <w:r w:rsidRPr="00026EC1">
              <w:t>311</w:t>
            </w:r>
          </w:p>
        </w:tc>
        <w:tc>
          <w:tcPr>
            <w:tcW w:w="7815" w:type="dxa"/>
          </w:tcPr>
          <w:p w14:paraId="2B6F0AB9" w14:textId="77777777" w:rsidR="00320330" w:rsidRPr="00026EC1" w:rsidRDefault="00320330" w:rsidP="00A64613">
            <w:pPr>
              <w:keepNext w:val="0"/>
              <w:spacing w:after="240"/>
              <w:rPr>
                <w:dstrike/>
              </w:rPr>
            </w:pPr>
            <w:r w:rsidRPr="00026EC1">
              <w:t>Sécurité incendie</w:t>
            </w:r>
          </w:p>
        </w:tc>
      </w:tr>
      <w:tr w:rsidR="00320330" w:rsidRPr="00026EC1" w14:paraId="0C5602C6" w14:textId="77777777" w:rsidTr="00190888">
        <w:tc>
          <w:tcPr>
            <w:tcW w:w="1510" w:type="dxa"/>
          </w:tcPr>
          <w:p w14:paraId="074BF4C3" w14:textId="77777777" w:rsidR="00320330" w:rsidRPr="00026EC1" w:rsidRDefault="00320330" w:rsidP="00A64613">
            <w:pPr>
              <w:keepNext w:val="0"/>
              <w:spacing w:after="240"/>
            </w:pPr>
            <w:r w:rsidRPr="00026EC1">
              <w:t>320</w:t>
            </w:r>
          </w:p>
        </w:tc>
        <w:tc>
          <w:tcPr>
            <w:tcW w:w="7815" w:type="dxa"/>
          </w:tcPr>
          <w:p w14:paraId="07F991AB" w14:textId="77777777" w:rsidR="00320330" w:rsidRPr="00026EC1" w:rsidRDefault="00320330" w:rsidP="00A64613">
            <w:pPr>
              <w:keepNext w:val="0"/>
              <w:spacing w:after="240"/>
            </w:pPr>
            <w:r w:rsidRPr="00026EC1">
              <w:t>Géographie</w:t>
            </w:r>
          </w:p>
        </w:tc>
      </w:tr>
      <w:tr w:rsidR="00320330" w:rsidRPr="00026EC1" w14:paraId="4E12DC78" w14:textId="77777777" w:rsidTr="00190888">
        <w:tc>
          <w:tcPr>
            <w:tcW w:w="1510" w:type="dxa"/>
          </w:tcPr>
          <w:p w14:paraId="5AB51B81" w14:textId="77777777" w:rsidR="00320330" w:rsidRPr="00026EC1" w:rsidRDefault="00320330" w:rsidP="00A64613">
            <w:pPr>
              <w:keepNext w:val="0"/>
              <w:spacing w:after="240"/>
            </w:pPr>
            <w:r w:rsidRPr="00026EC1">
              <w:t>322</w:t>
            </w:r>
          </w:p>
        </w:tc>
        <w:tc>
          <w:tcPr>
            <w:tcW w:w="7815" w:type="dxa"/>
          </w:tcPr>
          <w:p w14:paraId="70ECF8D4" w14:textId="77777777" w:rsidR="00320330" w:rsidRPr="00026EC1" w:rsidRDefault="00320330" w:rsidP="00A64613">
            <w:pPr>
              <w:keepNext w:val="0"/>
              <w:spacing w:after="240"/>
            </w:pPr>
            <w:r w:rsidRPr="00026EC1">
              <w:t xml:space="preserve">Techniques d’éducation à l’enfance </w:t>
            </w:r>
          </w:p>
        </w:tc>
      </w:tr>
      <w:tr w:rsidR="00320330" w:rsidRPr="00026EC1" w14:paraId="5BD2958E" w14:textId="77777777" w:rsidTr="00190888">
        <w:tc>
          <w:tcPr>
            <w:tcW w:w="1510" w:type="dxa"/>
          </w:tcPr>
          <w:p w14:paraId="44A0C062" w14:textId="77777777" w:rsidR="00320330" w:rsidRPr="00026EC1" w:rsidRDefault="00320330" w:rsidP="00A64613">
            <w:pPr>
              <w:keepNext w:val="0"/>
              <w:spacing w:after="240"/>
            </w:pPr>
            <w:r w:rsidRPr="00026EC1">
              <w:t>330</w:t>
            </w:r>
          </w:p>
        </w:tc>
        <w:tc>
          <w:tcPr>
            <w:tcW w:w="7815" w:type="dxa"/>
          </w:tcPr>
          <w:p w14:paraId="660152CE" w14:textId="77777777" w:rsidR="00320330" w:rsidRPr="00026EC1" w:rsidRDefault="00320330" w:rsidP="00A64613">
            <w:pPr>
              <w:keepNext w:val="0"/>
              <w:spacing w:after="240"/>
            </w:pPr>
            <w:r w:rsidRPr="00026EC1">
              <w:t>Histoire</w:t>
            </w:r>
          </w:p>
        </w:tc>
      </w:tr>
      <w:tr w:rsidR="00320330" w:rsidRPr="00026EC1" w14:paraId="2716E414" w14:textId="77777777" w:rsidTr="00190888">
        <w:tc>
          <w:tcPr>
            <w:tcW w:w="1510" w:type="dxa"/>
          </w:tcPr>
          <w:p w14:paraId="38C057EE" w14:textId="77777777" w:rsidR="00320330" w:rsidRPr="00026EC1" w:rsidRDefault="00320330" w:rsidP="00A64613">
            <w:pPr>
              <w:keepNext w:val="0"/>
              <w:spacing w:after="240"/>
            </w:pPr>
            <w:r w:rsidRPr="00026EC1">
              <w:t>332</w:t>
            </w:r>
          </w:p>
        </w:tc>
        <w:tc>
          <w:tcPr>
            <w:tcW w:w="7815" w:type="dxa"/>
          </w:tcPr>
          <w:p w14:paraId="45FA1C27" w14:textId="77777777" w:rsidR="00320330" w:rsidRPr="00026EC1" w:rsidRDefault="00320330" w:rsidP="00A64613">
            <w:pPr>
              <w:keepNext w:val="0"/>
              <w:spacing w:after="240"/>
            </w:pPr>
            <w:r w:rsidRPr="00026EC1">
              <w:t>Civilisations anciennes</w:t>
            </w:r>
          </w:p>
        </w:tc>
      </w:tr>
      <w:tr w:rsidR="00320330" w:rsidRPr="00026EC1" w14:paraId="15DC8211" w14:textId="77777777" w:rsidTr="00190888">
        <w:tc>
          <w:tcPr>
            <w:tcW w:w="1510" w:type="dxa"/>
          </w:tcPr>
          <w:p w14:paraId="343899ED" w14:textId="77777777" w:rsidR="00320330" w:rsidRPr="00026EC1" w:rsidRDefault="00320330" w:rsidP="00A64613">
            <w:pPr>
              <w:keepNext w:val="0"/>
              <w:spacing w:after="240"/>
            </w:pPr>
            <w:r w:rsidRPr="00026EC1">
              <w:t>340</w:t>
            </w:r>
          </w:p>
        </w:tc>
        <w:tc>
          <w:tcPr>
            <w:tcW w:w="7815" w:type="dxa"/>
          </w:tcPr>
          <w:p w14:paraId="7A75D796" w14:textId="77777777" w:rsidR="00320330" w:rsidRPr="00026EC1" w:rsidRDefault="00320330" w:rsidP="00A64613">
            <w:pPr>
              <w:keepNext w:val="0"/>
              <w:spacing w:after="240"/>
            </w:pPr>
            <w:r w:rsidRPr="00026EC1">
              <w:t>Philosophie</w:t>
            </w:r>
          </w:p>
        </w:tc>
      </w:tr>
      <w:tr w:rsidR="00320330" w:rsidRPr="00026EC1" w14:paraId="60518CD7" w14:textId="77777777" w:rsidTr="00190888">
        <w:tc>
          <w:tcPr>
            <w:tcW w:w="1510" w:type="dxa"/>
          </w:tcPr>
          <w:p w14:paraId="4776814B" w14:textId="77777777" w:rsidR="00320330" w:rsidRPr="00026EC1" w:rsidRDefault="00320330" w:rsidP="00A64613">
            <w:pPr>
              <w:keepNext w:val="0"/>
              <w:spacing w:after="240"/>
            </w:pPr>
            <w:r w:rsidRPr="00026EC1">
              <w:t>345</w:t>
            </w:r>
          </w:p>
        </w:tc>
        <w:tc>
          <w:tcPr>
            <w:tcW w:w="7815" w:type="dxa"/>
          </w:tcPr>
          <w:p w14:paraId="284B0026" w14:textId="77777777" w:rsidR="00320330" w:rsidRPr="00026EC1" w:rsidRDefault="00320330" w:rsidP="00A64613">
            <w:pPr>
              <w:keepNext w:val="0"/>
              <w:spacing w:after="240"/>
            </w:pPr>
            <w:r w:rsidRPr="00026EC1">
              <w:t>Humanities</w:t>
            </w:r>
          </w:p>
        </w:tc>
      </w:tr>
      <w:tr w:rsidR="00320330" w:rsidRPr="00026EC1" w14:paraId="76A1E110" w14:textId="77777777" w:rsidTr="00190888">
        <w:tc>
          <w:tcPr>
            <w:tcW w:w="1510" w:type="dxa"/>
          </w:tcPr>
          <w:p w14:paraId="3395088C" w14:textId="77777777" w:rsidR="00320330" w:rsidRPr="00026EC1" w:rsidRDefault="00320330" w:rsidP="00A64613">
            <w:pPr>
              <w:keepNext w:val="0"/>
              <w:spacing w:after="240"/>
            </w:pPr>
            <w:r w:rsidRPr="00026EC1">
              <w:t>350</w:t>
            </w:r>
          </w:p>
        </w:tc>
        <w:tc>
          <w:tcPr>
            <w:tcW w:w="7815" w:type="dxa"/>
          </w:tcPr>
          <w:p w14:paraId="7775A0AC" w14:textId="77777777" w:rsidR="00320330" w:rsidRPr="00026EC1" w:rsidRDefault="00320330" w:rsidP="00A64613">
            <w:pPr>
              <w:keepNext w:val="0"/>
              <w:spacing w:after="240"/>
            </w:pPr>
            <w:r w:rsidRPr="00026EC1">
              <w:t>Psychologie</w:t>
            </w:r>
          </w:p>
        </w:tc>
      </w:tr>
      <w:tr w:rsidR="00320330" w:rsidRPr="00026EC1" w14:paraId="0F479DB4" w14:textId="77777777" w:rsidTr="00190888">
        <w:tc>
          <w:tcPr>
            <w:tcW w:w="1510" w:type="dxa"/>
          </w:tcPr>
          <w:p w14:paraId="3B44294F" w14:textId="77777777" w:rsidR="00320330" w:rsidRPr="00026EC1" w:rsidRDefault="00320330" w:rsidP="00A64613">
            <w:pPr>
              <w:keepNext w:val="0"/>
              <w:spacing w:after="240"/>
            </w:pPr>
            <w:r w:rsidRPr="00026EC1">
              <w:t>351</w:t>
            </w:r>
          </w:p>
        </w:tc>
        <w:tc>
          <w:tcPr>
            <w:tcW w:w="7815" w:type="dxa"/>
          </w:tcPr>
          <w:p w14:paraId="40F19756" w14:textId="77777777" w:rsidR="00320330" w:rsidRPr="00026EC1" w:rsidRDefault="00320330" w:rsidP="00A64613">
            <w:pPr>
              <w:keepNext w:val="0"/>
              <w:spacing w:after="240"/>
            </w:pPr>
            <w:r w:rsidRPr="00026EC1">
              <w:t>Techniques d’éducation spécialisée</w:t>
            </w:r>
          </w:p>
        </w:tc>
      </w:tr>
      <w:tr w:rsidR="00320330" w:rsidRPr="00026EC1" w14:paraId="5E0E1B37" w14:textId="77777777" w:rsidTr="00190888">
        <w:tc>
          <w:tcPr>
            <w:tcW w:w="1510" w:type="dxa"/>
          </w:tcPr>
          <w:p w14:paraId="4979C59A" w14:textId="77777777" w:rsidR="00320330" w:rsidRPr="00026EC1" w:rsidRDefault="00320330" w:rsidP="00A64613">
            <w:pPr>
              <w:keepNext w:val="0"/>
              <w:spacing w:after="240"/>
            </w:pPr>
            <w:r w:rsidRPr="00026EC1">
              <w:t>352</w:t>
            </w:r>
          </w:p>
        </w:tc>
        <w:tc>
          <w:tcPr>
            <w:tcW w:w="7815" w:type="dxa"/>
          </w:tcPr>
          <w:p w14:paraId="5F9E7C29" w14:textId="77777777" w:rsidR="00320330" w:rsidRPr="00026EC1" w:rsidRDefault="00320330" w:rsidP="00A64613">
            <w:pPr>
              <w:keepNext w:val="0"/>
              <w:spacing w:after="240"/>
            </w:pPr>
            <w:r w:rsidRPr="00026EC1">
              <w:t>Techniques de gérontologie</w:t>
            </w:r>
          </w:p>
        </w:tc>
      </w:tr>
      <w:tr w:rsidR="00320330" w:rsidRPr="00026EC1" w14:paraId="235F3DE2" w14:textId="77777777" w:rsidTr="00190888">
        <w:tc>
          <w:tcPr>
            <w:tcW w:w="1510" w:type="dxa"/>
          </w:tcPr>
          <w:p w14:paraId="5E370384" w14:textId="77777777" w:rsidR="00320330" w:rsidRPr="00026EC1" w:rsidRDefault="00320330" w:rsidP="00A64613">
            <w:pPr>
              <w:keepNext w:val="0"/>
              <w:spacing w:after="240"/>
            </w:pPr>
            <w:r w:rsidRPr="00026EC1">
              <w:t>353</w:t>
            </w:r>
          </w:p>
        </w:tc>
        <w:tc>
          <w:tcPr>
            <w:tcW w:w="7815" w:type="dxa"/>
          </w:tcPr>
          <w:p w14:paraId="7F8EC66D" w14:textId="77777777" w:rsidR="00320330" w:rsidRPr="00026EC1" w:rsidRDefault="00320330" w:rsidP="00A64613">
            <w:pPr>
              <w:keepNext w:val="0"/>
              <w:spacing w:after="240"/>
            </w:pPr>
            <w:r w:rsidRPr="00026EC1">
              <w:t>Techniques d’accueil</w:t>
            </w:r>
          </w:p>
        </w:tc>
      </w:tr>
      <w:tr w:rsidR="00320330" w:rsidRPr="00026EC1" w14:paraId="6D6BF695" w14:textId="77777777" w:rsidTr="00190888">
        <w:tc>
          <w:tcPr>
            <w:tcW w:w="1510" w:type="dxa"/>
          </w:tcPr>
          <w:p w14:paraId="17D5CB5D" w14:textId="77777777" w:rsidR="00320330" w:rsidRPr="00026EC1" w:rsidRDefault="00320330" w:rsidP="00A64613">
            <w:pPr>
              <w:keepNext w:val="0"/>
              <w:spacing w:after="240"/>
            </w:pPr>
            <w:r w:rsidRPr="00026EC1">
              <w:t>354</w:t>
            </w:r>
          </w:p>
        </w:tc>
        <w:tc>
          <w:tcPr>
            <w:tcW w:w="7815" w:type="dxa"/>
          </w:tcPr>
          <w:p w14:paraId="7FE77477" w14:textId="77777777" w:rsidR="00320330" w:rsidRPr="00026EC1" w:rsidRDefault="00320330" w:rsidP="00A64613">
            <w:pPr>
              <w:keepNext w:val="0"/>
              <w:spacing w:after="240"/>
            </w:pPr>
            <w:r w:rsidRPr="00026EC1">
              <w:t>Techniques d’animation</w:t>
            </w:r>
          </w:p>
        </w:tc>
      </w:tr>
      <w:tr w:rsidR="00320330" w:rsidRPr="00026EC1" w14:paraId="0F9A34D4" w14:textId="77777777" w:rsidTr="00190888">
        <w:tc>
          <w:tcPr>
            <w:tcW w:w="1510" w:type="dxa"/>
          </w:tcPr>
          <w:p w14:paraId="61DFADFC" w14:textId="3BC03ACD" w:rsidR="00320330" w:rsidRPr="00635C98" w:rsidRDefault="00320330" w:rsidP="00A64613">
            <w:pPr>
              <w:keepNext w:val="0"/>
              <w:spacing w:after="240"/>
            </w:pPr>
            <w:r w:rsidRPr="00635C98">
              <w:t>360</w:t>
            </w:r>
            <w:r w:rsidR="00115D39" w:rsidRPr="00635C98">
              <w:t>*</w:t>
            </w:r>
          </w:p>
        </w:tc>
        <w:tc>
          <w:tcPr>
            <w:tcW w:w="7815" w:type="dxa"/>
          </w:tcPr>
          <w:p w14:paraId="5D228020" w14:textId="4924E75C" w:rsidR="00320330" w:rsidRPr="00026EC1" w:rsidRDefault="00320330" w:rsidP="00A64613">
            <w:pPr>
              <w:keepNext w:val="0"/>
              <w:spacing w:after="240"/>
            </w:pPr>
            <w:r w:rsidRPr="00635C98">
              <w:t>Multidisciplinaire</w:t>
            </w:r>
            <w:r w:rsidR="009F3325" w:rsidRPr="00635C98">
              <w:t>*</w:t>
            </w:r>
          </w:p>
        </w:tc>
      </w:tr>
      <w:tr w:rsidR="0087074C" w:rsidRPr="00026EC1" w14:paraId="38D160F2" w14:textId="77777777" w:rsidTr="00190888">
        <w:tc>
          <w:tcPr>
            <w:tcW w:w="1510" w:type="dxa"/>
          </w:tcPr>
          <w:p w14:paraId="698E3B9A" w14:textId="734BBDE0" w:rsidR="0087074C" w:rsidRPr="00635C98" w:rsidRDefault="0087074C" w:rsidP="00A64613">
            <w:pPr>
              <w:keepNext w:val="0"/>
              <w:spacing w:after="240"/>
            </w:pPr>
            <w:r w:rsidRPr="00635C98">
              <w:t>365</w:t>
            </w:r>
            <w:r w:rsidR="00115D39" w:rsidRPr="00635C98">
              <w:t>*</w:t>
            </w:r>
          </w:p>
        </w:tc>
        <w:tc>
          <w:tcPr>
            <w:tcW w:w="7815" w:type="dxa"/>
          </w:tcPr>
          <w:p w14:paraId="10917F68" w14:textId="782A509F" w:rsidR="0087074C" w:rsidRPr="00635C98" w:rsidRDefault="0087074C" w:rsidP="00A64613">
            <w:pPr>
              <w:keepNext w:val="0"/>
              <w:spacing w:after="240"/>
            </w:pPr>
            <w:r w:rsidRPr="00635C98">
              <w:t>Transdiciplinair</w:t>
            </w:r>
            <w:r w:rsidR="009F3325" w:rsidRPr="00635C98">
              <w:t>e*</w:t>
            </w:r>
          </w:p>
        </w:tc>
      </w:tr>
      <w:tr w:rsidR="00320330" w:rsidRPr="00026EC1" w14:paraId="2AA6287E" w14:textId="77777777" w:rsidTr="00190888">
        <w:tc>
          <w:tcPr>
            <w:tcW w:w="1510" w:type="dxa"/>
          </w:tcPr>
          <w:p w14:paraId="29E95D64" w14:textId="77777777" w:rsidR="00320330" w:rsidRPr="00026EC1" w:rsidRDefault="00320330" w:rsidP="00A64613">
            <w:pPr>
              <w:keepNext w:val="0"/>
              <w:spacing w:after="240"/>
            </w:pPr>
            <w:r w:rsidRPr="00026EC1">
              <w:t>370</w:t>
            </w:r>
          </w:p>
        </w:tc>
        <w:tc>
          <w:tcPr>
            <w:tcW w:w="7815" w:type="dxa"/>
          </w:tcPr>
          <w:p w14:paraId="78B09DE4" w14:textId="77777777" w:rsidR="00320330" w:rsidRPr="00026EC1" w:rsidRDefault="00320330" w:rsidP="00A64613">
            <w:pPr>
              <w:keepNext w:val="0"/>
              <w:spacing w:after="240"/>
            </w:pPr>
            <w:r w:rsidRPr="00026EC1">
              <w:t xml:space="preserve">Science des religions </w:t>
            </w:r>
          </w:p>
        </w:tc>
      </w:tr>
      <w:tr w:rsidR="00320330" w:rsidRPr="00026EC1" w14:paraId="3908AA6C" w14:textId="77777777" w:rsidTr="00190888">
        <w:tc>
          <w:tcPr>
            <w:tcW w:w="1510" w:type="dxa"/>
          </w:tcPr>
          <w:p w14:paraId="436C3C92" w14:textId="77777777" w:rsidR="00320330" w:rsidRPr="00026EC1" w:rsidRDefault="00320330" w:rsidP="00A64613">
            <w:pPr>
              <w:keepNext w:val="0"/>
              <w:spacing w:after="240"/>
            </w:pPr>
            <w:r w:rsidRPr="00026EC1">
              <w:t>371</w:t>
            </w:r>
          </w:p>
        </w:tc>
        <w:tc>
          <w:tcPr>
            <w:tcW w:w="7815" w:type="dxa"/>
          </w:tcPr>
          <w:p w14:paraId="2A5C7BDE" w14:textId="77777777" w:rsidR="00320330" w:rsidRPr="00026EC1" w:rsidRDefault="00320330" w:rsidP="00A64613">
            <w:pPr>
              <w:keepNext w:val="0"/>
              <w:spacing w:after="240"/>
            </w:pPr>
            <w:r w:rsidRPr="00026EC1">
              <w:t>Pastorale</w:t>
            </w:r>
          </w:p>
        </w:tc>
      </w:tr>
      <w:tr w:rsidR="00320330" w:rsidRPr="00026EC1" w14:paraId="06674827" w14:textId="77777777" w:rsidTr="00190888">
        <w:tc>
          <w:tcPr>
            <w:tcW w:w="1510" w:type="dxa"/>
          </w:tcPr>
          <w:p w14:paraId="1C7EC29C" w14:textId="77777777" w:rsidR="00320330" w:rsidRPr="00026EC1" w:rsidRDefault="00320330" w:rsidP="00A64613">
            <w:pPr>
              <w:keepNext w:val="0"/>
              <w:spacing w:after="240"/>
            </w:pPr>
            <w:r w:rsidRPr="00026EC1">
              <w:t>381</w:t>
            </w:r>
          </w:p>
        </w:tc>
        <w:tc>
          <w:tcPr>
            <w:tcW w:w="7815" w:type="dxa"/>
          </w:tcPr>
          <w:p w14:paraId="45FC9830" w14:textId="77777777" w:rsidR="00320330" w:rsidRPr="00026EC1" w:rsidRDefault="00320330" w:rsidP="00A64613">
            <w:pPr>
              <w:keepNext w:val="0"/>
              <w:spacing w:after="240"/>
            </w:pPr>
            <w:r w:rsidRPr="00026EC1">
              <w:t>Anthropologie</w:t>
            </w:r>
          </w:p>
        </w:tc>
      </w:tr>
      <w:tr w:rsidR="00320330" w:rsidRPr="00026EC1" w14:paraId="40A6612B" w14:textId="77777777" w:rsidTr="00190888">
        <w:tc>
          <w:tcPr>
            <w:tcW w:w="1510" w:type="dxa"/>
          </w:tcPr>
          <w:p w14:paraId="4347A40F" w14:textId="77777777" w:rsidR="00320330" w:rsidRPr="00026EC1" w:rsidRDefault="00320330" w:rsidP="00A64613">
            <w:pPr>
              <w:keepNext w:val="0"/>
              <w:spacing w:after="240"/>
            </w:pPr>
            <w:r w:rsidRPr="00026EC1">
              <w:t>383</w:t>
            </w:r>
          </w:p>
        </w:tc>
        <w:tc>
          <w:tcPr>
            <w:tcW w:w="7815" w:type="dxa"/>
          </w:tcPr>
          <w:p w14:paraId="2E6DAD84" w14:textId="77777777" w:rsidR="00320330" w:rsidRPr="00026EC1" w:rsidRDefault="00320330" w:rsidP="00A64613">
            <w:pPr>
              <w:keepNext w:val="0"/>
              <w:spacing w:after="240"/>
            </w:pPr>
            <w:r w:rsidRPr="00026EC1">
              <w:t>Économique</w:t>
            </w:r>
          </w:p>
        </w:tc>
      </w:tr>
      <w:tr w:rsidR="00320330" w:rsidRPr="00026EC1" w14:paraId="7ABA1437" w14:textId="77777777" w:rsidTr="00190888">
        <w:tc>
          <w:tcPr>
            <w:tcW w:w="1510" w:type="dxa"/>
          </w:tcPr>
          <w:p w14:paraId="49EA7BA6" w14:textId="77777777" w:rsidR="00320330" w:rsidRPr="00026EC1" w:rsidRDefault="00320330" w:rsidP="00A64613">
            <w:pPr>
              <w:keepNext w:val="0"/>
              <w:spacing w:after="240"/>
            </w:pPr>
            <w:r w:rsidRPr="00026EC1">
              <w:t>384</w:t>
            </w:r>
          </w:p>
        </w:tc>
        <w:tc>
          <w:tcPr>
            <w:tcW w:w="7815" w:type="dxa"/>
          </w:tcPr>
          <w:p w14:paraId="43965EA7" w14:textId="77777777" w:rsidR="00320330" w:rsidRPr="00026EC1" w:rsidRDefault="00320330" w:rsidP="00A64613">
            <w:pPr>
              <w:keepNext w:val="0"/>
              <w:spacing w:after="240"/>
            </w:pPr>
            <w:r w:rsidRPr="00026EC1">
              <w:t>Techniques de recherche sociale</w:t>
            </w:r>
          </w:p>
        </w:tc>
      </w:tr>
      <w:tr w:rsidR="00320330" w:rsidRPr="00026EC1" w14:paraId="619B211D" w14:textId="77777777" w:rsidTr="00190888">
        <w:tc>
          <w:tcPr>
            <w:tcW w:w="1510" w:type="dxa"/>
          </w:tcPr>
          <w:p w14:paraId="4FA6833B" w14:textId="77777777" w:rsidR="00320330" w:rsidRPr="00026EC1" w:rsidRDefault="00320330" w:rsidP="00A64613">
            <w:pPr>
              <w:keepNext w:val="0"/>
              <w:spacing w:after="240"/>
            </w:pPr>
            <w:r w:rsidRPr="00026EC1">
              <w:t>385</w:t>
            </w:r>
          </w:p>
        </w:tc>
        <w:tc>
          <w:tcPr>
            <w:tcW w:w="7815" w:type="dxa"/>
          </w:tcPr>
          <w:p w14:paraId="42055503" w14:textId="77777777" w:rsidR="00320330" w:rsidRPr="00026EC1" w:rsidRDefault="00320330" w:rsidP="00A64613">
            <w:pPr>
              <w:keepNext w:val="0"/>
              <w:spacing w:after="240"/>
            </w:pPr>
            <w:r w:rsidRPr="00026EC1">
              <w:t>Science politique</w:t>
            </w:r>
          </w:p>
        </w:tc>
      </w:tr>
      <w:tr w:rsidR="00320330" w:rsidRPr="00026EC1" w14:paraId="49477E93" w14:textId="77777777" w:rsidTr="00190888">
        <w:tc>
          <w:tcPr>
            <w:tcW w:w="1510" w:type="dxa"/>
          </w:tcPr>
          <w:p w14:paraId="17524B40" w14:textId="77777777" w:rsidR="00320330" w:rsidRPr="00026EC1" w:rsidRDefault="00320330" w:rsidP="00A64613">
            <w:pPr>
              <w:keepNext w:val="0"/>
              <w:spacing w:after="240"/>
            </w:pPr>
            <w:r w:rsidRPr="00026EC1">
              <w:t>386</w:t>
            </w:r>
          </w:p>
        </w:tc>
        <w:tc>
          <w:tcPr>
            <w:tcW w:w="7815" w:type="dxa"/>
          </w:tcPr>
          <w:p w14:paraId="4B1D9770" w14:textId="77777777" w:rsidR="00320330" w:rsidRPr="00026EC1" w:rsidRDefault="00320330" w:rsidP="00A64613">
            <w:pPr>
              <w:keepNext w:val="0"/>
              <w:spacing w:after="240"/>
            </w:pPr>
            <w:r w:rsidRPr="00026EC1">
              <w:t>Organisation communautaire</w:t>
            </w:r>
          </w:p>
        </w:tc>
      </w:tr>
      <w:tr w:rsidR="00320330" w:rsidRPr="00026EC1" w14:paraId="17158A14" w14:textId="77777777" w:rsidTr="00190888">
        <w:tc>
          <w:tcPr>
            <w:tcW w:w="1510" w:type="dxa"/>
          </w:tcPr>
          <w:p w14:paraId="56CFB3E7" w14:textId="77777777" w:rsidR="00320330" w:rsidRPr="00026EC1" w:rsidRDefault="00320330" w:rsidP="00A64613">
            <w:pPr>
              <w:keepNext w:val="0"/>
              <w:spacing w:after="240"/>
            </w:pPr>
            <w:r w:rsidRPr="00026EC1">
              <w:t>387</w:t>
            </w:r>
          </w:p>
        </w:tc>
        <w:tc>
          <w:tcPr>
            <w:tcW w:w="7815" w:type="dxa"/>
          </w:tcPr>
          <w:p w14:paraId="79359156" w14:textId="77777777" w:rsidR="00320330" w:rsidRPr="00026EC1" w:rsidRDefault="00320330" w:rsidP="00A64613">
            <w:pPr>
              <w:keepNext w:val="0"/>
              <w:spacing w:after="240"/>
            </w:pPr>
            <w:r w:rsidRPr="00026EC1">
              <w:t>Sociologie</w:t>
            </w:r>
          </w:p>
        </w:tc>
      </w:tr>
      <w:tr w:rsidR="00320330" w:rsidRPr="00026EC1" w14:paraId="4C9E505F" w14:textId="77777777" w:rsidTr="00190888">
        <w:tc>
          <w:tcPr>
            <w:tcW w:w="1510" w:type="dxa"/>
          </w:tcPr>
          <w:p w14:paraId="305EE23B" w14:textId="77777777" w:rsidR="00320330" w:rsidRPr="00026EC1" w:rsidRDefault="00320330" w:rsidP="00A64613">
            <w:pPr>
              <w:keepNext w:val="0"/>
              <w:spacing w:after="240"/>
            </w:pPr>
            <w:r w:rsidRPr="00026EC1">
              <w:t>388</w:t>
            </w:r>
          </w:p>
        </w:tc>
        <w:tc>
          <w:tcPr>
            <w:tcW w:w="7815" w:type="dxa"/>
          </w:tcPr>
          <w:p w14:paraId="4319B76B" w14:textId="77777777" w:rsidR="00320330" w:rsidRPr="00026EC1" w:rsidRDefault="00320330" w:rsidP="00A64613">
            <w:pPr>
              <w:keepNext w:val="0"/>
              <w:spacing w:after="240"/>
            </w:pPr>
            <w:r w:rsidRPr="00026EC1">
              <w:t xml:space="preserve">Techniques de travail social </w:t>
            </w:r>
          </w:p>
        </w:tc>
      </w:tr>
      <w:tr w:rsidR="00320330" w:rsidRPr="00026EC1" w14:paraId="086D7C24" w14:textId="77777777" w:rsidTr="00190888">
        <w:tc>
          <w:tcPr>
            <w:tcW w:w="1510" w:type="dxa"/>
          </w:tcPr>
          <w:p w14:paraId="707E37CE" w14:textId="77777777" w:rsidR="00320330" w:rsidRPr="00026EC1" w:rsidRDefault="00320330" w:rsidP="00A64613">
            <w:pPr>
              <w:keepNext w:val="0"/>
              <w:spacing w:after="240"/>
            </w:pPr>
            <w:r w:rsidRPr="00026EC1">
              <w:t>391</w:t>
            </w:r>
          </w:p>
        </w:tc>
        <w:tc>
          <w:tcPr>
            <w:tcW w:w="7815" w:type="dxa"/>
          </w:tcPr>
          <w:p w14:paraId="352FDE3C" w14:textId="77777777" w:rsidR="00320330" w:rsidRPr="00026EC1" w:rsidRDefault="00320330" w:rsidP="00A64613">
            <w:pPr>
              <w:keepNext w:val="0"/>
              <w:spacing w:after="240"/>
            </w:pPr>
            <w:r w:rsidRPr="00026EC1">
              <w:t xml:space="preserve">Techniques d’intervention en loisir </w:t>
            </w:r>
          </w:p>
        </w:tc>
      </w:tr>
      <w:tr w:rsidR="00320330" w:rsidRPr="00026EC1" w14:paraId="79DAC3CD" w14:textId="77777777" w:rsidTr="00190888">
        <w:tc>
          <w:tcPr>
            <w:tcW w:w="1510" w:type="dxa"/>
          </w:tcPr>
          <w:p w14:paraId="6B402A79" w14:textId="77777777" w:rsidR="00320330" w:rsidRPr="00026EC1" w:rsidRDefault="00320330" w:rsidP="00A64613">
            <w:pPr>
              <w:keepNext w:val="0"/>
              <w:spacing w:after="240"/>
            </w:pPr>
            <w:r w:rsidRPr="00026EC1">
              <w:t>393</w:t>
            </w:r>
          </w:p>
        </w:tc>
        <w:tc>
          <w:tcPr>
            <w:tcW w:w="7815" w:type="dxa"/>
          </w:tcPr>
          <w:p w14:paraId="17AA430B" w14:textId="77777777" w:rsidR="00320330" w:rsidRPr="00026EC1" w:rsidRDefault="00320330" w:rsidP="00A64613">
            <w:pPr>
              <w:keepNext w:val="0"/>
              <w:spacing w:after="240"/>
            </w:pPr>
            <w:r w:rsidRPr="00026EC1">
              <w:t>Techniques de la documentation</w:t>
            </w:r>
          </w:p>
        </w:tc>
      </w:tr>
      <w:tr w:rsidR="00320330" w:rsidRPr="00026EC1" w14:paraId="03F50A48" w14:textId="77777777" w:rsidTr="00190888">
        <w:tc>
          <w:tcPr>
            <w:tcW w:w="1510" w:type="dxa"/>
          </w:tcPr>
          <w:p w14:paraId="58968243" w14:textId="77777777" w:rsidR="00320330" w:rsidRPr="00026EC1" w:rsidRDefault="00320330" w:rsidP="00A64613">
            <w:pPr>
              <w:keepNext w:val="0"/>
              <w:spacing w:after="240"/>
            </w:pPr>
            <w:r w:rsidRPr="00026EC1">
              <w:t>394</w:t>
            </w:r>
          </w:p>
        </w:tc>
        <w:tc>
          <w:tcPr>
            <w:tcW w:w="7815" w:type="dxa"/>
          </w:tcPr>
          <w:p w14:paraId="211028AC" w14:textId="77777777" w:rsidR="00320330" w:rsidRPr="00026EC1" w:rsidRDefault="00320330" w:rsidP="00A64613">
            <w:pPr>
              <w:keepNext w:val="0"/>
              <w:spacing w:after="240"/>
            </w:pPr>
            <w:r w:rsidRPr="00026EC1">
              <w:t>Relations publiques</w:t>
            </w:r>
          </w:p>
        </w:tc>
      </w:tr>
      <w:tr w:rsidR="00320330" w:rsidRPr="00026EC1" w14:paraId="67573BE9" w14:textId="77777777" w:rsidTr="00190888">
        <w:tc>
          <w:tcPr>
            <w:tcW w:w="1510" w:type="dxa"/>
          </w:tcPr>
          <w:p w14:paraId="6A981DAE" w14:textId="77777777" w:rsidR="00320330" w:rsidRPr="00026EC1" w:rsidRDefault="00320330" w:rsidP="00A64613">
            <w:pPr>
              <w:keepNext w:val="0"/>
              <w:spacing w:after="240"/>
            </w:pPr>
            <w:r w:rsidRPr="00026EC1">
              <w:t>401</w:t>
            </w:r>
          </w:p>
        </w:tc>
        <w:tc>
          <w:tcPr>
            <w:tcW w:w="7815" w:type="dxa"/>
          </w:tcPr>
          <w:p w14:paraId="68B79EE2" w14:textId="77777777" w:rsidR="00320330" w:rsidRPr="00026EC1" w:rsidRDefault="00320330" w:rsidP="00A64613">
            <w:pPr>
              <w:keepNext w:val="0"/>
              <w:spacing w:after="240"/>
            </w:pPr>
            <w:r w:rsidRPr="00026EC1">
              <w:t>Administration</w:t>
            </w:r>
          </w:p>
        </w:tc>
      </w:tr>
      <w:tr w:rsidR="00320330" w:rsidRPr="00026EC1" w14:paraId="0B256A6B" w14:textId="77777777" w:rsidTr="00190888">
        <w:tc>
          <w:tcPr>
            <w:tcW w:w="1510" w:type="dxa"/>
          </w:tcPr>
          <w:p w14:paraId="18A2447F" w14:textId="77777777" w:rsidR="00320330" w:rsidRPr="00026EC1" w:rsidRDefault="00320330" w:rsidP="00A64613">
            <w:pPr>
              <w:keepNext w:val="0"/>
              <w:spacing w:after="240"/>
            </w:pPr>
            <w:r w:rsidRPr="00026EC1">
              <w:t>410</w:t>
            </w:r>
          </w:p>
        </w:tc>
        <w:tc>
          <w:tcPr>
            <w:tcW w:w="7815" w:type="dxa"/>
          </w:tcPr>
          <w:p w14:paraId="242A705D" w14:textId="77777777" w:rsidR="00320330" w:rsidRPr="00026EC1" w:rsidRDefault="00320330" w:rsidP="00A64613">
            <w:pPr>
              <w:keepNext w:val="0"/>
              <w:spacing w:after="240"/>
            </w:pPr>
            <w:r w:rsidRPr="00026EC1">
              <w:t>Techniques administratives (1)</w:t>
            </w:r>
          </w:p>
        </w:tc>
      </w:tr>
      <w:tr w:rsidR="00320330" w:rsidRPr="00026EC1" w14:paraId="764A0290" w14:textId="77777777" w:rsidTr="00190888">
        <w:tc>
          <w:tcPr>
            <w:tcW w:w="1510" w:type="dxa"/>
          </w:tcPr>
          <w:p w14:paraId="35703B0D" w14:textId="77777777" w:rsidR="00320330" w:rsidRPr="00026EC1" w:rsidRDefault="00320330" w:rsidP="00A64613">
            <w:pPr>
              <w:keepNext w:val="0"/>
              <w:spacing w:after="240"/>
            </w:pPr>
            <w:r w:rsidRPr="00026EC1">
              <w:t>411</w:t>
            </w:r>
          </w:p>
        </w:tc>
        <w:tc>
          <w:tcPr>
            <w:tcW w:w="7815" w:type="dxa"/>
          </w:tcPr>
          <w:p w14:paraId="2D9633B2" w14:textId="77777777" w:rsidR="00320330" w:rsidRPr="00026EC1" w:rsidRDefault="00320330" w:rsidP="00A64613">
            <w:pPr>
              <w:keepNext w:val="0"/>
              <w:spacing w:after="240"/>
            </w:pPr>
            <w:r w:rsidRPr="00026EC1">
              <w:t>Archives médicales</w:t>
            </w:r>
          </w:p>
        </w:tc>
      </w:tr>
      <w:tr w:rsidR="00320330" w:rsidRPr="00026EC1" w14:paraId="4BF98984" w14:textId="77777777" w:rsidTr="00190888">
        <w:tc>
          <w:tcPr>
            <w:tcW w:w="1510" w:type="dxa"/>
          </w:tcPr>
          <w:p w14:paraId="1051326C" w14:textId="77777777" w:rsidR="00320330" w:rsidRPr="00026EC1" w:rsidRDefault="00320330" w:rsidP="00A64613">
            <w:pPr>
              <w:keepNext w:val="0"/>
              <w:spacing w:after="240"/>
            </w:pPr>
            <w:r w:rsidRPr="00026EC1">
              <w:t>412</w:t>
            </w:r>
          </w:p>
        </w:tc>
        <w:tc>
          <w:tcPr>
            <w:tcW w:w="7815" w:type="dxa"/>
          </w:tcPr>
          <w:p w14:paraId="16080020" w14:textId="77777777" w:rsidR="00320330" w:rsidRPr="00026EC1" w:rsidRDefault="00320330" w:rsidP="00A64613">
            <w:pPr>
              <w:keepNext w:val="0"/>
              <w:spacing w:after="240"/>
            </w:pPr>
            <w:r w:rsidRPr="00026EC1">
              <w:t>Techniques de bureautique</w:t>
            </w:r>
          </w:p>
        </w:tc>
      </w:tr>
      <w:tr w:rsidR="00320330" w:rsidRPr="00026EC1" w14:paraId="0236934C" w14:textId="77777777" w:rsidTr="00190888">
        <w:tc>
          <w:tcPr>
            <w:tcW w:w="1510" w:type="dxa"/>
          </w:tcPr>
          <w:p w14:paraId="3F1D6824" w14:textId="77777777" w:rsidR="00320330" w:rsidRPr="00026EC1" w:rsidRDefault="00320330" w:rsidP="00A64613">
            <w:pPr>
              <w:keepNext w:val="0"/>
              <w:spacing w:after="240"/>
            </w:pPr>
            <w:r w:rsidRPr="00026EC1">
              <w:t>413</w:t>
            </w:r>
          </w:p>
        </w:tc>
        <w:tc>
          <w:tcPr>
            <w:tcW w:w="7815" w:type="dxa"/>
          </w:tcPr>
          <w:p w14:paraId="66310917" w14:textId="77777777" w:rsidR="00320330" w:rsidRPr="00026EC1" w:rsidRDefault="00320330" w:rsidP="00A64613">
            <w:pPr>
              <w:keepNext w:val="0"/>
              <w:spacing w:after="240"/>
            </w:pPr>
            <w:r w:rsidRPr="00026EC1">
              <w:t>Coopération</w:t>
            </w:r>
          </w:p>
        </w:tc>
      </w:tr>
      <w:tr w:rsidR="00320330" w:rsidRPr="00026EC1" w14:paraId="633BFE40" w14:textId="77777777" w:rsidTr="00190888">
        <w:tc>
          <w:tcPr>
            <w:tcW w:w="1510" w:type="dxa"/>
          </w:tcPr>
          <w:p w14:paraId="02BD7938" w14:textId="77777777" w:rsidR="00320330" w:rsidRPr="00026EC1" w:rsidRDefault="00320330" w:rsidP="00A64613">
            <w:pPr>
              <w:keepNext w:val="0"/>
              <w:spacing w:after="240"/>
            </w:pPr>
            <w:r w:rsidRPr="00026EC1">
              <w:t>414</w:t>
            </w:r>
          </w:p>
        </w:tc>
        <w:tc>
          <w:tcPr>
            <w:tcW w:w="7815" w:type="dxa"/>
          </w:tcPr>
          <w:p w14:paraId="39E00C13" w14:textId="77777777" w:rsidR="00320330" w:rsidRPr="00026EC1" w:rsidRDefault="00320330" w:rsidP="00A64613">
            <w:pPr>
              <w:keepNext w:val="0"/>
              <w:spacing w:after="240"/>
            </w:pPr>
            <w:r w:rsidRPr="00026EC1">
              <w:t xml:space="preserve">Techniques de tourisme </w:t>
            </w:r>
          </w:p>
        </w:tc>
      </w:tr>
      <w:tr w:rsidR="00320330" w:rsidRPr="00026EC1" w14:paraId="6E010FD5" w14:textId="77777777" w:rsidTr="00190888">
        <w:tc>
          <w:tcPr>
            <w:tcW w:w="1510" w:type="dxa"/>
          </w:tcPr>
          <w:p w14:paraId="0F95CF25" w14:textId="77777777" w:rsidR="00320330" w:rsidRPr="00026EC1" w:rsidRDefault="00320330" w:rsidP="00A64613">
            <w:pPr>
              <w:keepNext w:val="0"/>
              <w:spacing w:after="240"/>
            </w:pPr>
            <w:r w:rsidRPr="00026EC1">
              <w:t>415</w:t>
            </w:r>
          </w:p>
        </w:tc>
        <w:tc>
          <w:tcPr>
            <w:tcW w:w="7815" w:type="dxa"/>
          </w:tcPr>
          <w:p w14:paraId="01387585" w14:textId="77777777" w:rsidR="00320330" w:rsidRPr="00026EC1" w:rsidRDefault="00320330" w:rsidP="00A64613">
            <w:pPr>
              <w:keepNext w:val="0"/>
              <w:spacing w:after="240"/>
            </w:pPr>
            <w:r w:rsidRPr="00026EC1">
              <w:t>Techniques administratives (2)</w:t>
            </w:r>
          </w:p>
        </w:tc>
      </w:tr>
      <w:tr w:rsidR="00320330" w:rsidRPr="00026EC1" w14:paraId="5004CA38" w14:textId="77777777" w:rsidTr="00190888">
        <w:tc>
          <w:tcPr>
            <w:tcW w:w="1510" w:type="dxa"/>
          </w:tcPr>
          <w:p w14:paraId="39C95824" w14:textId="77777777" w:rsidR="00320330" w:rsidRPr="00026EC1" w:rsidRDefault="00320330" w:rsidP="00A64613">
            <w:pPr>
              <w:keepNext w:val="0"/>
              <w:spacing w:after="240"/>
            </w:pPr>
            <w:r w:rsidRPr="00026EC1">
              <w:t>420</w:t>
            </w:r>
          </w:p>
        </w:tc>
        <w:tc>
          <w:tcPr>
            <w:tcW w:w="7815" w:type="dxa"/>
          </w:tcPr>
          <w:p w14:paraId="7C472289" w14:textId="77777777" w:rsidR="00320330" w:rsidRPr="00026EC1" w:rsidRDefault="00320330" w:rsidP="00A64613">
            <w:pPr>
              <w:keepNext w:val="0"/>
              <w:spacing w:after="240"/>
            </w:pPr>
            <w:r w:rsidRPr="00026EC1">
              <w:t>Techniques de l’informatique</w:t>
            </w:r>
          </w:p>
        </w:tc>
      </w:tr>
      <w:tr w:rsidR="00320330" w:rsidRPr="00026EC1" w14:paraId="6A18B0F7" w14:textId="77777777" w:rsidTr="00190888">
        <w:tc>
          <w:tcPr>
            <w:tcW w:w="1510" w:type="dxa"/>
          </w:tcPr>
          <w:p w14:paraId="62CEA846" w14:textId="77777777" w:rsidR="00320330" w:rsidRPr="00026EC1" w:rsidRDefault="00320330" w:rsidP="00A64613">
            <w:pPr>
              <w:keepNext w:val="0"/>
              <w:spacing w:after="240"/>
            </w:pPr>
            <w:r w:rsidRPr="00026EC1">
              <w:t>430</w:t>
            </w:r>
          </w:p>
        </w:tc>
        <w:tc>
          <w:tcPr>
            <w:tcW w:w="7815" w:type="dxa"/>
          </w:tcPr>
          <w:p w14:paraId="2D1A6EC8" w14:textId="77777777" w:rsidR="00320330" w:rsidRPr="00026EC1" w:rsidRDefault="00320330" w:rsidP="00A64613">
            <w:pPr>
              <w:keepNext w:val="0"/>
              <w:spacing w:after="240"/>
            </w:pPr>
            <w:r w:rsidRPr="00026EC1">
              <w:t>Techniques de gestion hôtelière et des services alimentaires</w:t>
            </w:r>
          </w:p>
        </w:tc>
      </w:tr>
      <w:tr w:rsidR="00320330" w:rsidRPr="00635C98" w14:paraId="6E5EFE69" w14:textId="77777777" w:rsidTr="00190888">
        <w:tc>
          <w:tcPr>
            <w:tcW w:w="1510" w:type="dxa"/>
          </w:tcPr>
          <w:p w14:paraId="5049EA6B" w14:textId="589CB133" w:rsidR="00320330" w:rsidRPr="00635C98" w:rsidRDefault="00320330" w:rsidP="00A64613">
            <w:pPr>
              <w:keepNext w:val="0"/>
              <w:spacing w:after="240"/>
            </w:pPr>
            <w:r w:rsidRPr="00635C98">
              <w:t>500</w:t>
            </w:r>
            <w:r w:rsidR="00115D39" w:rsidRPr="00635C98">
              <w:t>*</w:t>
            </w:r>
          </w:p>
        </w:tc>
        <w:tc>
          <w:tcPr>
            <w:tcW w:w="7815" w:type="dxa"/>
          </w:tcPr>
          <w:p w14:paraId="3EB2D9EC" w14:textId="58954652" w:rsidR="00320330" w:rsidRPr="00635C98" w:rsidRDefault="00320330" w:rsidP="00A64613">
            <w:pPr>
              <w:keepNext w:val="0"/>
              <w:spacing w:after="240"/>
            </w:pPr>
            <w:r w:rsidRPr="00635C98">
              <w:t>Art</w:t>
            </w:r>
            <w:r w:rsidR="009F3325" w:rsidRPr="00635C98">
              <w:t>s*</w:t>
            </w:r>
          </w:p>
        </w:tc>
      </w:tr>
      <w:tr w:rsidR="00320330" w:rsidRPr="00635C98" w14:paraId="11AFFC06" w14:textId="77777777" w:rsidTr="00190888">
        <w:tc>
          <w:tcPr>
            <w:tcW w:w="1510" w:type="dxa"/>
          </w:tcPr>
          <w:p w14:paraId="4D52ED84" w14:textId="0E46CC7E" w:rsidR="00320330" w:rsidRPr="00635C98" w:rsidRDefault="00320330" w:rsidP="00A64613">
            <w:pPr>
              <w:keepNext w:val="0"/>
              <w:spacing w:after="240"/>
            </w:pPr>
            <w:r w:rsidRPr="00635C98">
              <w:t>502</w:t>
            </w:r>
            <w:r w:rsidR="00115D39" w:rsidRPr="00635C98">
              <w:t>*</w:t>
            </w:r>
          </w:p>
        </w:tc>
        <w:tc>
          <w:tcPr>
            <w:tcW w:w="7815" w:type="dxa"/>
          </w:tcPr>
          <w:p w14:paraId="016EC609" w14:textId="5FD2759A" w:rsidR="00320330" w:rsidRPr="00635C98" w:rsidRDefault="00320330" w:rsidP="00A64613">
            <w:pPr>
              <w:keepNext w:val="0"/>
              <w:spacing w:after="240"/>
            </w:pPr>
            <w:r w:rsidRPr="00635C98">
              <w:t>Arts et lettre</w:t>
            </w:r>
            <w:r w:rsidR="009F3325" w:rsidRPr="00635C98">
              <w:t>s*</w:t>
            </w:r>
          </w:p>
        </w:tc>
      </w:tr>
      <w:tr w:rsidR="00320330" w:rsidRPr="00D82F05" w14:paraId="03B9E8EE" w14:textId="77777777" w:rsidTr="00190888">
        <w:tc>
          <w:tcPr>
            <w:tcW w:w="1510" w:type="dxa"/>
          </w:tcPr>
          <w:p w14:paraId="276420DD" w14:textId="4D1FC4E1" w:rsidR="00320330" w:rsidRPr="00635C98" w:rsidRDefault="00320330" w:rsidP="00A64613">
            <w:pPr>
              <w:keepNext w:val="0"/>
              <w:spacing w:after="240"/>
            </w:pPr>
            <w:r w:rsidRPr="00635C98">
              <w:t>504</w:t>
            </w:r>
            <w:r w:rsidR="00115D39" w:rsidRPr="00635C98">
              <w:t>*</w:t>
            </w:r>
          </w:p>
        </w:tc>
        <w:tc>
          <w:tcPr>
            <w:tcW w:w="7815" w:type="dxa"/>
          </w:tcPr>
          <w:p w14:paraId="474D837B" w14:textId="3A932B20" w:rsidR="00320330" w:rsidRPr="00635C98" w:rsidRDefault="00320330" w:rsidP="00A64613">
            <w:pPr>
              <w:keepNext w:val="0"/>
              <w:spacing w:after="240"/>
            </w:pPr>
            <w:r w:rsidRPr="00635C98">
              <w:t>Art et esthétiqu</w:t>
            </w:r>
            <w:r w:rsidR="009F3325" w:rsidRPr="00635C98">
              <w:t>e*</w:t>
            </w:r>
          </w:p>
        </w:tc>
      </w:tr>
      <w:tr w:rsidR="00320330" w:rsidRPr="00026EC1" w14:paraId="37EDCF9C" w14:textId="77777777" w:rsidTr="00190888">
        <w:tc>
          <w:tcPr>
            <w:tcW w:w="1510" w:type="dxa"/>
          </w:tcPr>
          <w:p w14:paraId="0E29A929" w14:textId="77777777" w:rsidR="00320330" w:rsidRPr="00026EC1" w:rsidRDefault="00320330" w:rsidP="00A64613">
            <w:pPr>
              <w:keepNext w:val="0"/>
              <w:spacing w:after="240"/>
            </w:pPr>
            <w:r w:rsidRPr="00026EC1">
              <w:t>506</w:t>
            </w:r>
          </w:p>
        </w:tc>
        <w:tc>
          <w:tcPr>
            <w:tcW w:w="7815" w:type="dxa"/>
          </w:tcPr>
          <w:p w14:paraId="6F4B544C" w14:textId="77777777" w:rsidR="00320330" w:rsidRPr="00026EC1" w:rsidRDefault="00320330" w:rsidP="00A64613">
            <w:pPr>
              <w:keepNext w:val="0"/>
              <w:spacing w:after="240"/>
            </w:pPr>
            <w:r w:rsidRPr="00026EC1">
              <w:t>Danse</w:t>
            </w:r>
          </w:p>
        </w:tc>
      </w:tr>
      <w:tr w:rsidR="00320330" w:rsidRPr="00026EC1" w14:paraId="7214112B" w14:textId="77777777" w:rsidTr="00190888">
        <w:tc>
          <w:tcPr>
            <w:tcW w:w="1510" w:type="dxa"/>
          </w:tcPr>
          <w:p w14:paraId="39427202" w14:textId="77777777" w:rsidR="00320330" w:rsidRPr="00026EC1" w:rsidRDefault="00320330" w:rsidP="00A64613">
            <w:pPr>
              <w:keepNext w:val="0"/>
              <w:spacing w:after="240"/>
            </w:pPr>
            <w:r w:rsidRPr="00026EC1">
              <w:t>510</w:t>
            </w:r>
          </w:p>
        </w:tc>
        <w:tc>
          <w:tcPr>
            <w:tcW w:w="7815" w:type="dxa"/>
          </w:tcPr>
          <w:p w14:paraId="451C8481" w14:textId="77777777" w:rsidR="00320330" w:rsidRPr="00026EC1" w:rsidRDefault="00320330" w:rsidP="00A64613">
            <w:pPr>
              <w:keepNext w:val="0"/>
              <w:spacing w:after="240"/>
            </w:pPr>
            <w:r w:rsidRPr="00026EC1">
              <w:t>Arts plastiques</w:t>
            </w:r>
          </w:p>
        </w:tc>
      </w:tr>
      <w:tr w:rsidR="00320330" w:rsidRPr="00026EC1" w14:paraId="524939AB" w14:textId="77777777" w:rsidTr="00190888">
        <w:tc>
          <w:tcPr>
            <w:tcW w:w="1510" w:type="dxa"/>
          </w:tcPr>
          <w:p w14:paraId="06E38354" w14:textId="77777777" w:rsidR="00320330" w:rsidRPr="00026EC1" w:rsidRDefault="00320330" w:rsidP="00A64613">
            <w:pPr>
              <w:keepNext w:val="0"/>
              <w:spacing w:after="240"/>
            </w:pPr>
            <w:r w:rsidRPr="00026EC1">
              <w:t>511</w:t>
            </w:r>
          </w:p>
        </w:tc>
        <w:tc>
          <w:tcPr>
            <w:tcW w:w="7815" w:type="dxa"/>
          </w:tcPr>
          <w:p w14:paraId="6131E5C9" w14:textId="77777777" w:rsidR="00320330" w:rsidRPr="00026EC1" w:rsidRDefault="00320330" w:rsidP="00A64613">
            <w:pPr>
              <w:keepNext w:val="0"/>
              <w:spacing w:after="240"/>
            </w:pPr>
            <w:r w:rsidRPr="00026EC1">
              <w:t>Arts plastiques</w:t>
            </w:r>
          </w:p>
        </w:tc>
      </w:tr>
      <w:tr w:rsidR="00320330" w:rsidRPr="00026EC1" w14:paraId="228907AF" w14:textId="77777777" w:rsidTr="00190888">
        <w:tc>
          <w:tcPr>
            <w:tcW w:w="1510" w:type="dxa"/>
          </w:tcPr>
          <w:p w14:paraId="5E36334E" w14:textId="77777777" w:rsidR="00320330" w:rsidRPr="00026EC1" w:rsidRDefault="00320330" w:rsidP="00A64613">
            <w:pPr>
              <w:keepNext w:val="0"/>
              <w:spacing w:after="240"/>
            </w:pPr>
            <w:r w:rsidRPr="00026EC1">
              <w:t>520</w:t>
            </w:r>
          </w:p>
        </w:tc>
        <w:tc>
          <w:tcPr>
            <w:tcW w:w="7815" w:type="dxa"/>
          </w:tcPr>
          <w:p w14:paraId="605B1D89" w14:textId="77777777" w:rsidR="00320330" w:rsidRPr="00026EC1" w:rsidRDefault="00320330" w:rsidP="00A64613">
            <w:pPr>
              <w:keepNext w:val="0"/>
              <w:spacing w:after="240"/>
            </w:pPr>
            <w:r w:rsidRPr="00026EC1">
              <w:t>Esthétique et histoire de l’art</w:t>
            </w:r>
          </w:p>
        </w:tc>
      </w:tr>
      <w:tr w:rsidR="00320330" w:rsidRPr="00026EC1" w14:paraId="28613F66" w14:textId="77777777" w:rsidTr="00190888">
        <w:tc>
          <w:tcPr>
            <w:tcW w:w="1510" w:type="dxa"/>
          </w:tcPr>
          <w:p w14:paraId="7DF88229" w14:textId="77777777" w:rsidR="00320330" w:rsidRPr="00026EC1" w:rsidRDefault="00320330" w:rsidP="00A64613">
            <w:pPr>
              <w:keepNext w:val="0"/>
              <w:spacing w:after="240"/>
            </w:pPr>
            <w:r w:rsidRPr="00026EC1">
              <w:t>530</w:t>
            </w:r>
          </w:p>
        </w:tc>
        <w:tc>
          <w:tcPr>
            <w:tcW w:w="7815" w:type="dxa"/>
          </w:tcPr>
          <w:p w14:paraId="41A66AF0" w14:textId="77777777" w:rsidR="00320330" w:rsidRPr="00026EC1" w:rsidRDefault="00320330" w:rsidP="00A64613">
            <w:pPr>
              <w:keepNext w:val="0"/>
              <w:spacing w:after="240"/>
            </w:pPr>
            <w:r w:rsidRPr="00026EC1">
              <w:t>Cinéma</w:t>
            </w:r>
          </w:p>
        </w:tc>
      </w:tr>
      <w:tr w:rsidR="00320330" w:rsidRPr="00026EC1" w14:paraId="0B9C3D9E" w14:textId="77777777" w:rsidTr="00190888">
        <w:tc>
          <w:tcPr>
            <w:tcW w:w="1510" w:type="dxa"/>
          </w:tcPr>
          <w:p w14:paraId="35C9E719" w14:textId="77777777" w:rsidR="00320330" w:rsidRPr="00026EC1" w:rsidRDefault="00320330" w:rsidP="00A64613">
            <w:pPr>
              <w:keepNext w:val="0"/>
              <w:spacing w:after="240"/>
            </w:pPr>
            <w:r w:rsidRPr="00026EC1">
              <w:t>550</w:t>
            </w:r>
          </w:p>
        </w:tc>
        <w:tc>
          <w:tcPr>
            <w:tcW w:w="7815" w:type="dxa"/>
          </w:tcPr>
          <w:p w14:paraId="1DB38905" w14:textId="77777777" w:rsidR="00320330" w:rsidRPr="00026EC1" w:rsidRDefault="00320330" w:rsidP="00A64613">
            <w:pPr>
              <w:keepNext w:val="0"/>
              <w:spacing w:after="240"/>
            </w:pPr>
            <w:r w:rsidRPr="00026EC1">
              <w:t>Musique</w:t>
            </w:r>
          </w:p>
        </w:tc>
      </w:tr>
      <w:tr w:rsidR="00320330" w:rsidRPr="00026EC1" w14:paraId="70302B75" w14:textId="77777777" w:rsidTr="00190888">
        <w:tc>
          <w:tcPr>
            <w:tcW w:w="1510" w:type="dxa"/>
          </w:tcPr>
          <w:p w14:paraId="03F47DBD" w14:textId="77777777" w:rsidR="00320330" w:rsidRPr="00026EC1" w:rsidRDefault="00320330" w:rsidP="00A64613">
            <w:pPr>
              <w:keepNext w:val="0"/>
              <w:spacing w:after="240"/>
            </w:pPr>
            <w:r w:rsidRPr="00026EC1">
              <w:t>551</w:t>
            </w:r>
          </w:p>
        </w:tc>
        <w:tc>
          <w:tcPr>
            <w:tcW w:w="7815" w:type="dxa"/>
          </w:tcPr>
          <w:p w14:paraId="55887CFF" w14:textId="77777777" w:rsidR="00320330" w:rsidRPr="00026EC1" w:rsidRDefault="00320330" w:rsidP="00A64613">
            <w:pPr>
              <w:keepNext w:val="0"/>
              <w:spacing w:after="240"/>
            </w:pPr>
            <w:r w:rsidRPr="00026EC1">
              <w:t>Techniques professionnelles de musique et chanson</w:t>
            </w:r>
          </w:p>
        </w:tc>
      </w:tr>
      <w:tr w:rsidR="00320330" w:rsidRPr="00026EC1" w14:paraId="618F8247" w14:textId="77777777" w:rsidTr="00190888">
        <w:tc>
          <w:tcPr>
            <w:tcW w:w="1510" w:type="dxa"/>
          </w:tcPr>
          <w:p w14:paraId="03002C22" w14:textId="77777777" w:rsidR="00320330" w:rsidRPr="00026EC1" w:rsidRDefault="00320330" w:rsidP="00A64613">
            <w:pPr>
              <w:keepNext w:val="0"/>
              <w:spacing w:after="240"/>
            </w:pPr>
            <w:r w:rsidRPr="00026EC1">
              <w:t>560</w:t>
            </w:r>
          </w:p>
        </w:tc>
        <w:tc>
          <w:tcPr>
            <w:tcW w:w="7815" w:type="dxa"/>
          </w:tcPr>
          <w:p w14:paraId="38A9B4F2" w14:textId="77777777" w:rsidR="00320330" w:rsidRPr="00026EC1" w:rsidRDefault="00320330" w:rsidP="00A64613">
            <w:pPr>
              <w:keepNext w:val="0"/>
              <w:spacing w:after="240"/>
            </w:pPr>
            <w:r w:rsidRPr="00026EC1">
              <w:t>Théâtre</w:t>
            </w:r>
          </w:p>
        </w:tc>
      </w:tr>
      <w:tr w:rsidR="00320330" w:rsidRPr="00026EC1" w14:paraId="2EF3BA39" w14:textId="77777777" w:rsidTr="00190888">
        <w:tc>
          <w:tcPr>
            <w:tcW w:w="1510" w:type="dxa"/>
          </w:tcPr>
          <w:p w14:paraId="5985D0E2" w14:textId="77777777" w:rsidR="00320330" w:rsidRPr="00026EC1" w:rsidRDefault="00320330" w:rsidP="00A64613">
            <w:pPr>
              <w:keepNext w:val="0"/>
              <w:spacing w:after="240"/>
            </w:pPr>
            <w:r w:rsidRPr="00026EC1">
              <w:t>561</w:t>
            </w:r>
          </w:p>
        </w:tc>
        <w:tc>
          <w:tcPr>
            <w:tcW w:w="7815" w:type="dxa"/>
          </w:tcPr>
          <w:p w14:paraId="7DAB47F0" w14:textId="77777777" w:rsidR="00320330" w:rsidRPr="00026EC1" w:rsidRDefault="00320330" w:rsidP="00A64613">
            <w:pPr>
              <w:keepNext w:val="0"/>
              <w:spacing w:after="240"/>
            </w:pPr>
            <w:r w:rsidRPr="00026EC1">
              <w:t>Théâtre professionnel</w:t>
            </w:r>
          </w:p>
        </w:tc>
      </w:tr>
      <w:tr w:rsidR="00320330" w:rsidRPr="00026EC1" w14:paraId="0E48D53D" w14:textId="77777777" w:rsidTr="00190888">
        <w:tc>
          <w:tcPr>
            <w:tcW w:w="1510" w:type="dxa"/>
          </w:tcPr>
          <w:p w14:paraId="573BF63F" w14:textId="77777777" w:rsidR="00320330" w:rsidRPr="00026EC1" w:rsidRDefault="00320330" w:rsidP="00A64613">
            <w:pPr>
              <w:keepNext w:val="0"/>
              <w:spacing w:after="240"/>
            </w:pPr>
            <w:r w:rsidRPr="00026EC1">
              <w:t>570</w:t>
            </w:r>
          </w:p>
        </w:tc>
        <w:tc>
          <w:tcPr>
            <w:tcW w:w="7815" w:type="dxa"/>
          </w:tcPr>
          <w:p w14:paraId="3262AB0D" w14:textId="77777777" w:rsidR="00320330" w:rsidRPr="00026EC1" w:rsidRDefault="00320330" w:rsidP="00A64613">
            <w:pPr>
              <w:keepNext w:val="0"/>
              <w:spacing w:after="240"/>
            </w:pPr>
            <w:r w:rsidRPr="00026EC1">
              <w:t>Arts appliqués</w:t>
            </w:r>
          </w:p>
        </w:tc>
      </w:tr>
      <w:tr w:rsidR="00320330" w:rsidRPr="00026EC1" w14:paraId="267CF8FD" w14:textId="77777777" w:rsidTr="00190888">
        <w:tc>
          <w:tcPr>
            <w:tcW w:w="1510" w:type="dxa"/>
          </w:tcPr>
          <w:p w14:paraId="1B292B87" w14:textId="77777777" w:rsidR="00320330" w:rsidRPr="00026EC1" w:rsidRDefault="00320330" w:rsidP="00A64613">
            <w:pPr>
              <w:keepNext w:val="0"/>
              <w:spacing w:after="240"/>
            </w:pPr>
            <w:r w:rsidRPr="00026EC1">
              <w:t>571</w:t>
            </w:r>
          </w:p>
        </w:tc>
        <w:tc>
          <w:tcPr>
            <w:tcW w:w="7815" w:type="dxa"/>
          </w:tcPr>
          <w:p w14:paraId="15778D86" w14:textId="77777777" w:rsidR="00320330" w:rsidRPr="00026EC1" w:rsidRDefault="00320330" w:rsidP="00A64613">
            <w:pPr>
              <w:keepNext w:val="0"/>
              <w:spacing w:after="240"/>
            </w:pPr>
            <w:r w:rsidRPr="00026EC1">
              <w:t>Industrie de la mode</w:t>
            </w:r>
          </w:p>
        </w:tc>
      </w:tr>
      <w:tr w:rsidR="00320330" w:rsidRPr="00026EC1" w14:paraId="2BFF5B48" w14:textId="77777777" w:rsidTr="00190888">
        <w:tc>
          <w:tcPr>
            <w:tcW w:w="1510" w:type="dxa"/>
          </w:tcPr>
          <w:p w14:paraId="2368DB4D" w14:textId="77777777" w:rsidR="00320330" w:rsidRPr="00026EC1" w:rsidRDefault="00320330" w:rsidP="00A64613">
            <w:pPr>
              <w:keepNext w:val="0"/>
              <w:spacing w:after="240"/>
            </w:pPr>
            <w:r w:rsidRPr="00026EC1">
              <w:t>573</w:t>
            </w:r>
          </w:p>
        </w:tc>
        <w:tc>
          <w:tcPr>
            <w:tcW w:w="7815" w:type="dxa"/>
          </w:tcPr>
          <w:p w14:paraId="08B1E734" w14:textId="3F77402E" w:rsidR="00320330" w:rsidRPr="00026EC1" w:rsidRDefault="00320330" w:rsidP="00A64613">
            <w:pPr>
              <w:keepNext w:val="0"/>
              <w:spacing w:after="240"/>
            </w:pPr>
            <w:r w:rsidRPr="00026EC1">
              <w:t>Métiers d’art</w:t>
            </w:r>
          </w:p>
        </w:tc>
      </w:tr>
      <w:tr w:rsidR="00320330" w:rsidRPr="00026EC1" w14:paraId="10EAD465" w14:textId="77777777" w:rsidTr="00190888">
        <w:tc>
          <w:tcPr>
            <w:tcW w:w="1510" w:type="dxa"/>
          </w:tcPr>
          <w:p w14:paraId="7E5DA521" w14:textId="77777777" w:rsidR="00320330" w:rsidRPr="00026EC1" w:rsidRDefault="00320330" w:rsidP="00A64613">
            <w:pPr>
              <w:keepNext w:val="0"/>
              <w:spacing w:after="240"/>
            </w:pPr>
            <w:r w:rsidRPr="00026EC1">
              <w:t>574</w:t>
            </w:r>
          </w:p>
        </w:tc>
        <w:tc>
          <w:tcPr>
            <w:tcW w:w="7815" w:type="dxa"/>
          </w:tcPr>
          <w:p w14:paraId="6994EA3B" w14:textId="77777777" w:rsidR="00320330" w:rsidRPr="00026EC1" w:rsidRDefault="00320330" w:rsidP="00A64613">
            <w:pPr>
              <w:keepNext w:val="0"/>
              <w:spacing w:after="240"/>
            </w:pPr>
            <w:r w:rsidRPr="00026EC1">
              <w:t>Dessin animé</w:t>
            </w:r>
          </w:p>
        </w:tc>
      </w:tr>
      <w:tr w:rsidR="00320330" w:rsidRPr="00026EC1" w14:paraId="4345E597" w14:textId="77777777" w:rsidTr="00190888">
        <w:tc>
          <w:tcPr>
            <w:tcW w:w="1510" w:type="dxa"/>
          </w:tcPr>
          <w:p w14:paraId="1BE2DCF1" w14:textId="77777777" w:rsidR="00320330" w:rsidRPr="00026EC1" w:rsidRDefault="00320330" w:rsidP="00A64613">
            <w:pPr>
              <w:keepNext w:val="0"/>
              <w:spacing w:after="240"/>
            </w:pPr>
            <w:r w:rsidRPr="00026EC1">
              <w:t>581</w:t>
            </w:r>
          </w:p>
        </w:tc>
        <w:tc>
          <w:tcPr>
            <w:tcW w:w="7815" w:type="dxa"/>
          </w:tcPr>
          <w:p w14:paraId="6942D081" w14:textId="77777777" w:rsidR="00320330" w:rsidRPr="00026EC1" w:rsidRDefault="00320330" w:rsidP="00A64613">
            <w:pPr>
              <w:keepNext w:val="0"/>
              <w:spacing w:after="240"/>
            </w:pPr>
            <w:r w:rsidRPr="00026EC1">
              <w:t>Communications graphiques</w:t>
            </w:r>
          </w:p>
        </w:tc>
      </w:tr>
      <w:tr w:rsidR="00320330" w:rsidRPr="00026EC1" w14:paraId="71992E59" w14:textId="77777777" w:rsidTr="00190888">
        <w:tc>
          <w:tcPr>
            <w:tcW w:w="1510" w:type="dxa"/>
          </w:tcPr>
          <w:p w14:paraId="6B85ADF1" w14:textId="77777777" w:rsidR="00320330" w:rsidRPr="00026EC1" w:rsidRDefault="00320330" w:rsidP="00A64613">
            <w:pPr>
              <w:keepNext w:val="0"/>
              <w:spacing w:after="240"/>
            </w:pPr>
            <w:r w:rsidRPr="00026EC1">
              <w:t>582</w:t>
            </w:r>
          </w:p>
        </w:tc>
        <w:tc>
          <w:tcPr>
            <w:tcW w:w="7815" w:type="dxa"/>
          </w:tcPr>
          <w:p w14:paraId="026ED976" w14:textId="77777777" w:rsidR="00320330" w:rsidRPr="00026EC1" w:rsidRDefault="00320330" w:rsidP="00A64613">
            <w:pPr>
              <w:keepNext w:val="0"/>
              <w:spacing w:after="240"/>
            </w:pPr>
            <w:r w:rsidRPr="00026EC1">
              <w:t xml:space="preserve">Techniques d’intégration multimédia </w:t>
            </w:r>
          </w:p>
        </w:tc>
      </w:tr>
      <w:tr w:rsidR="00320330" w:rsidRPr="00026EC1" w14:paraId="769FD027" w14:textId="77777777" w:rsidTr="00190888">
        <w:tc>
          <w:tcPr>
            <w:tcW w:w="1510" w:type="dxa"/>
          </w:tcPr>
          <w:p w14:paraId="1C940C2A" w14:textId="77777777" w:rsidR="00320330" w:rsidRPr="00026EC1" w:rsidRDefault="00320330" w:rsidP="00A64613">
            <w:pPr>
              <w:keepNext w:val="0"/>
              <w:spacing w:after="240"/>
            </w:pPr>
            <w:r w:rsidRPr="00026EC1">
              <w:t>585</w:t>
            </w:r>
          </w:p>
        </w:tc>
        <w:tc>
          <w:tcPr>
            <w:tcW w:w="7815" w:type="dxa"/>
          </w:tcPr>
          <w:p w14:paraId="76A36D2A" w14:textId="77777777" w:rsidR="00320330" w:rsidRPr="00026EC1" w:rsidRDefault="00320330" w:rsidP="00A64613">
            <w:pPr>
              <w:keepNext w:val="0"/>
              <w:spacing w:after="240"/>
            </w:pPr>
            <w:r w:rsidRPr="00026EC1">
              <w:t xml:space="preserve">Communication </w:t>
            </w:r>
          </w:p>
        </w:tc>
      </w:tr>
      <w:tr w:rsidR="00320330" w:rsidRPr="00026EC1" w14:paraId="6944DAE6" w14:textId="77777777" w:rsidTr="00190888">
        <w:tc>
          <w:tcPr>
            <w:tcW w:w="1510" w:type="dxa"/>
          </w:tcPr>
          <w:p w14:paraId="6C015795" w14:textId="77777777" w:rsidR="00320330" w:rsidRPr="00026EC1" w:rsidRDefault="00320330" w:rsidP="00A64613">
            <w:pPr>
              <w:keepNext w:val="0"/>
              <w:spacing w:after="240"/>
            </w:pPr>
            <w:r w:rsidRPr="00026EC1">
              <w:t>589</w:t>
            </w:r>
          </w:p>
        </w:tc>
        <w:tc>
          <w:tcPr>
            <w:tcW w:w="7815" w:type="dxa"/>
          </w:tcPr>
          <w:p w14:paraId="0A89F33B" w14:textId="77777777" w:rsidR="00320330" w:rsidRPr="00026EC1" w:rsidRDefault="00320330" w:rsidP="00A64613">
            <w:pPr>
              <w:keepNext w:val="0"/>
              <w:spacing w:after="240"/>
            </w:pPr>
            <w:r w:rsidRPr="00026EC1">
              <w:t>Techniques des communications</w:t>
            </w:r>
          </w:p>
        </w:tc>
      </w:tr>
      <w:tr w:rsidR="00320330" w:rsidRPr="00026EC1" w14:paraId="2353F57C" w14:textId="77777777" w:rsidTr="00190888">
        <w:tc>
          <w:tcPr>
            <w:tcW w:w="1510" w:type="dxa"/>
          </w:tcPr>
          <w:p w14:paraId="118E99CD" w14:textId="77777777" w:rsidR="00320330" w:rsidRPr="00026EC1" w:rsidRDefault="00320330" w:rsidP="00A64613">
            <w:pPr>
              <w:keepNext w:val="0"/>
              <w:spacing w:after="240"/>
            </w:pPr>
            <w:r w:rsidRPr="00026EC1">
              <w:t>601</w:t>
            </w:r>
          </w:p>
        </w:tc>
        <w:tc>
          <w:tcPr>
            <w:tcW w:w="7815" w:type="dxa"/>
          </w:tcPr>
          <w:p w14:paraId="26AF04B2" w14:textId="77777777" w:rsidR="00320330" w:rsidRPr="00026EC1" w:rsidRDefault="00320330" w:rsidP="00A64613">
            <w:pPr>
              <w:keepNext w:val="0"/>
              <w:spacing w:after="240"/>
            </w:pPr>
            <w:r w:rsidRPr="00026EC1">
              <w:t>Français (langue et littérature)</w:t>
            </w:r>
          </w:p>
        </w:tc>
      </w:tr>
      <w:tr w:rsidR="00320330" w:rsidRPr="00026EC1" w14:paraId="49DFEA89" w14:textId="77777777" w:rsidTr="00190888">
        <w:tc>
          <w:tcPr>
            <w:tcW w:w="1510" w:type="dxa"/>
          </w:tcPr>
          <w:p w14:paraId="66FD6133" w14:textId="77777777" w:rsidR="00320330" w:rsidRPr="00026EC1" w:rsidRDefault="00320330" w:rsidP="00A64613">
            <w:pPr>
              <w:keepNext w:val="0"/>
              <w:spacing w:after="240"/>
            </w:pPr>
            <w:r w:rsidRPr="00026EC1">
              <w:t>602</w:t>
            </w:r>
          </w:p>
        </w:tc>
        <w:tc>
          <w:tcPr>
            <w:tcW w:w="7815" w:type="dxa"/>
          </w:tcPr>
          <w:p w14:paraId="2186C27D" w14:textId="77777777" w:rsidR="00320330" w:rsidRPr="00026EC1" w:rsidRDefault="00320330" w:rsidP="00A64613">
            <w:pPr>
              <w:keepNext w:val="0"/>
              <w:spacing w:after="240"/>
            </w:pPr>
            <w:r w:rsidRPr="00026EC1">
              <w:t>Français (langue seconde)</w:t>
            </w:r>
          </w:p>
        </w:tc>
      </w:tr>
      <w:tr w:rsidR="00320330" w:rsidRPr="00026EC1" w14:paraId="1526047F" w14:textId="77777777" w:rsidTr="00190888">
        <w:tc>
          <w:tcPr>
            <w:tcW w:w="1510" w:type="dxa"/>
          </w:tcPr>
          <w:p w14:paraId="2E355B4B" w14:textId="77777777" w:rsidR="00320330" w:rsidRPr="00026EC1" w:rsidRDefault="00320330" w:rsidP="00A64613">
            <w:pPr>
              <w:keepNext w:val="0"/>
              <w:spacing w:after="240"/>
            </w:pPr>
            <w:r w:rsidRPr="00026EC1">
              <w:t>603</w:t>
            </w:r>
          </w:p>
        </w:tc>
        <w:tc>
          <w:tcPr>
            <w:tcW w:w="7815" w:type="dxa"/>
          </w:tcPr>
          <w:p w14:paraId="4FFC17B3" w14:textId="77777777" w:rsidR="00320330" w:rsidRPr="00026EC1" w:rsidRDefault="00320330" w:rsidP="00A64613">
            <w:pPr>
              <w:keepNext w:val="0"/>
              <w:spacing w:after="240"/>
            </w:pPr>
            <w:r w:rsidRPr="00026EC1">
              <w:t>Anglais (langue et littérature)</w:t>
            </w:r>
          </w:p>
        </w:tc>
      </w:tr>
      <w:tr w:rsidR="00320330" w:rsidRPr="00026EC1" w14:paraId="45A0B9D0" w14:textId="77777777" w:rsidTr="00190888">
        <w:tc>
          <w:tcPr>
            <w:tcW w:w="1510" w:type="dxa"/>
          </w:tcPr>
          <w:p w14:paraId="6E874723" w14:textId="77777777" w:rsidR="00320330" w:rsidRPr="00026EC1" w:rsidRDefault="00320330" w:rsidP="00A64613">
            <w:pPr>
              <w:keepNext w:val="0"/>
              <w:spacing w:after="240"/>
            </w:pPr>
            <w:r w:rsidRPr="00026EC1">
              <w:t>604</w:t>
            </w:r>
          </w:p>
        </w:tc>
        <w:tc>
          <w:tcPr>
            <w:tcW w:w="7815" w:type="dxa"/>
          </w:tcPr>
          <w:p w14:paraId="56C10319" w14:textId="77777777" w:rsidR="00320330" w:rsidRPr="00026EC1" w:rsidRDefault="00320330" w:rsidP="00A64613">
            <w:pPr>
              <w:keepNext w:val="0"/>
              <w:spacing w:after="240"/>
            </w:pPr>
            <w:r w:rsidRPr="00026EC1">
              <w:t>Anglais (langue seconde)</w:t>
            </w:r>
          </w:p>
        </w:tc>
      </w:tr>
      <w:tr w:rsidR="00320330" w:rsidRPr="00026EC1" w14:paraId="7E9E65F9" w14:textId="77777777" w:rsidTr="00190888">
        <w:tc>
          <w:tcPr>
            <w:tcW w:w="1510" w:type="dxa"/>
          </w:tcPr>
          <w:p w14:paraId="42053156" w14:textId="77777777" w:rsidR="00320330" w:rsidRPr="00026EC1" w:rsidRDefault="00320330" w:rsidP="00A64613">
            <w:pPr>
              <w:keepNext w:val="0"/>
              <w:spacing w:after="240"/>
            </w:pPr>
            <w:r w:rsidRPr="00026EC1">
              <w:t>607</w:t>
            </w:r>
          </w:p>
        </w:tc>
        <w:tc>
          <w:tcPr>
            <w:tcW w:w="7815" w:type="dxa"/>
          </w:tcPr>
          <w:p w14:paraId="5C4282BD" w14:textId="77777777" w:rsidR="00320330" w:rsidRPr="00026EC1" w:rsidRDefault="00320330" w:rsidP="00A64613">
            <w:pPr>
              <w:keepNext w:val="0"/>
              <w:spacing w:after="240"/>
            </w:pPr>
            <w:r w:rsidRPr="00026EC1">
              <w:t>Espagnol</w:t>
            </w:r>
          </w:p>
        </w:tc>
      </w:tr>
      <w:tr w:rsidR="00320330" w:rsidRPr="00026EC1" w14:paraId="73C5EA8C" w14:textId="77777777" w:rsidTr="00190888">
        <w:tc>
          <w:tcPr>
            <w:tcW w:w="1510" w:type="dxa"/>
          </w:tcPr>
          <w:p w14:paraId="1DBAEF14" w14:textId="77777777" w:rsidR="00320330" w:rsidRPr="00026EC1" w:rsidRDefault="00320330" w:rsidP="00A64613">
            <w:pPr>
              <w:keepNext w:val="0"/>
              <w:spacing w:after="240"/>
            </w:pPr>
            <w:r w:rsidRPr="00026EC1">
              <w:t>608</w:t>
            </w:r>
          </w:p>
        </w:tc>
        <w:tc>
          <w:tcPr>
            <w:tcW w:w="7815" w:type="dxa"/>
          </w:tcPr>
          <w:p w14:paraId="2772A237" w14:textId="77777777" w:rsidR="00320330" w:rsidRPr="00026EC1" w:rsidRDefault="00320330" w:rsidP="00A64613">
            <w:pPr>
              <w:keepNext w:val="0"/>
              <w:spacing w:after="240"/>
            </w:pPr>
            <w:r w:rsidRPr="00026EC1">
              <w:t>Italien</w:t>
            </w:r>
          </w:p>
        </w:tc>
      </w:tr>
      <w:tr w:rsidR="00320330" w:rsidRPr="00026EC1" w14:paraId="262580E8" w14:textId="77777777" w:rsidTr="00190888">
        <w:tc>
          <w:tcPr>
            <w:tcW w:w="1510" w:type="dxa"/>
          </w:tcPr>
          <w:p w14:paraId="0AC40382" w14:textId="77777777" w:rsidR="00320330" w:rsidRPr="00026EC1" w:rsidRDefault="00320330" w:rsidP="00A64613">
            <w:pPr>
              <w:keepNext w:val="0"/>
              <w:spacing w:after="240"/>
            </w:pPr>
            <w:r w:rsidRPr="00026EC1">
              <w:t>609</w:t>
            </w:r>
          </w:p>
        </w:tc>
        <w:tc>
          <w:tcPr>
            <w:tcW w:w="7815" w:type="dxa"/>
          </w:tcPr>
          <w:p w14:paraId="1CC75571" w14:textId="77777777" w:rsidR="00320330" w:rsidRPr="00026EC1" w:rsidRDefault="00320330" w:rsidP="00A64613">
            <w:pPr>
              <w:keepNext w:val="0"/>
              <w:spacing w:after="240"/>
            </w:pPr>
            <w:r w:rsidRPr="00026EC1">
              <w:t>Allemand</w:t>
            </w:r>
          </w:p>
        </w:tc>
      </w:tr>
      <w:tr w:rsidR="00320330" w:rsidRPr="00026EC1" w14:paraId="2C804E24" w14:textId="77777777" w:rsidTr="00190888">
        <w:tc>
          <w:tcPr>
            <w:tcW w:w="1510" w:type="dxa"/>
          </w:tcPr>
          <w:p w14:paraId="07CF083F" w14:textId="77777777" w:rsidR="00320330" w:rsidRPr="00026EC1" w:rsidRDefault="00320330" w:rsidP="00A64613">
            <w:pPr>
              <w:keepNext w:val="0"/>
              <w:spacing w:after="240"/>
            </w:pPr>
            <w:r w:rsidRPr="00026EC1">
              <w:t>610</w:t>
            </w:r>
          </w:p>
        </w:tc>
        <w:tc>
          <w:tcPr>
            <w:tcW w:w="7815" w:type="dxa"/>
          </w:tcPr>
          <w:p w14:paraId="2C7C02B3" w14:textId="77777777" w:rsidR="00320330" w:rsidRPr="00026EC1" w:rsidRDefault="00320330" w:rsidP="00A64613">
            <w:pPr>
              <w:keepNext w:val="0"/>
              <w:spacing w:after="240"/>
            </w:pPr>
            <w:r w:rsidRPr="00026EC1">
              <w:t>Russe</w:t>
            </w:r>
          </w:p>
        </w:tc>
      </w:tr>
      <w:tr w:rsidR="00320330" w:rsidRPr="00026EC1" w14:paraId="75A74B05" w14:textId="77777777" w:rsidTr="00190888">
        <w:tc>
          <w:tcPr>
            <w:tcW w:w="1510" w:type="dxa"/>
          </w:tcPr>
          <w:p w14:paraId="51428EFF" w14:textId="77777777" w:rsidR="00320330" w:rsidRPr="00026EC1" w:rsidRDefault="00320330" w:rsidP="00A64613">
            <w:pPr>
              <w:keepNext w:val="0"/>
              <w:spacing w:after="240"/>
            </w:pPr>
            <w:r w:rsidRPr="00026EC1">
              <w:t>611</w:t>
            </w:r>
          </w:p>
        </w:tc>
        <w:tc>
          <w:tcPr>
            <w:tcW w:w="7815" w:type="dxa"/>
          </w:tcPr>
          <w:p w14:paraId="0174B744" w14:textId="77777777" w:rsidR="00320330" w:rsidRPr="00026EC1" w:rsidRDefault="00320330" w:rsidP="00A64613">
            <w:pPr>
              <w:keepNext w:val="0"/>
              <w:spacing w:after="240"/>
            </w:pPr>
            <w:r w:rsidRPr="00026EC1">
              <w:t>Hébreu</w:t>
            </w:r>
          </w:p>
        </w:tc>
      </w:tr>
      <w:tr w:rsidR="00320330" w:rsidRPr="00026EC1" w14:paraId="0A454CEA" w14:textId="77777777" w:rsidTr="00190888">
        <w:tc>
          <w:tcPr>
            <w:tcW w:w="1510" w:type="dxa"/>
          </w:tcPr>
          <w:p w14:paraId="2DF5FC2D" w14:textId="77777777" w:rsidR="00320330" w:rsidRPr="00026EC1" w:rsidRDefault="00320330" w:rsidP="00A64613">
            <w:pPr>
              <w:keepNext w:val="0"/>
              <w:spacing w:after="240"/>
            </w:pPr>
            <w:r w:rsidRPr="00026EC1">
              <w:t>612</w:t>
            </w:r>
          </w:p>
        </w:tc>
        <w:tc>
          <w:tcPr>
            <w:tcW w:w="7815" w:type="dxa"/>
          </w:tcPr>
          <w:p w14:paraId="50D80504" w14:textId="77777777" w:rsidR="00320330" w:rsidRPr="00026EC1" w:rsidRDefault="00320330" w:rsidP="00A64613">
            <w:pPr>
              <w:keepNext w:val="0"/>
              <w:spacing w:after="240"/>
            </w:pPr>
            <w:r w:rsidRPr="00026EC1">
              <w:t>Yiddish</w:t>
            </w:r>
          </w:p>
        </w:tc>
      </w:tr>
      <w:tr w:rsidR="00320330" w:rsidRPr="00026EC1" w14:paraId="6FFB3061" w14:textId="77777777" w:rsidTr="00190888">
        <w:tc>
          <w:tcPr>
            <w:tcW w:w="1510" w:type="dxa"/>
          </w:tcPr>
          <w:p w14:paraId="1FA4540C" w14:textId="77777777" w:rsidR="00320330" w:rsidRPr="00026EC1" w:rsidRDefault="00320330" w:rsidP="00A64613">
            <w:pPr>
              <w:keepNext w:val="0"/>
              <w:spacing w:after="240"/>
            </w:pPr>
            <w:r w:rsidRPr="00026EC1">
              <w:t>613</w:t>
            </w:r>
          </w:p>
        </w:tc>
        <w:tc>
          <w:tcPr>
            <w:tcW w:w="7815" w:type="dxa"/>
          </w:tcPr>
          <w:p w14:paraId="7E391C2F" w14:textId="77777777" w:rsidR="00320330" w:rsidRPr="00026EC1" w:rsidRDefault="00320330" w:rsidP="00A64613">
            <w:pPr>
              <w:keepNext w:val="0"/>
              <w:spacing w:after="240"/>
            </w:pPr>
            <w:r w:rsidRPr="00026EC1">
              <w:t>Chinois</w:t>
            </w:r>
          </w:p>
        </w:tc>
      </w:tr>
      <w:tr w:rsidR="00320330" w:rsidRPr="00026EC1" w14:paraId="6BA63F17" w14:textId="77777777" w:rsidTr="00190888">
        <w:tc>
          <w:tcPr>
            <w:tcW w:w="1510" w:type="dxa"/>
          </w:tcPr>
          <w:p w14:paraId="127BFC71" w14:textId="77777777" w:rsidR="00320330" w:rsidRPr="00026EC1" w:rsidRDefault="00320330" w:rsidP="00A64613">
            <w:pPr>
              <w:keepNext w:val="0"/>
              <w:spacing w:after="240"/>
            </w:pPr>
            <w:r w:rsidRPr="00026EC1">
              <w:t>614</w:t>
            </w:r>
          </w:p>
        </w:tc>
        <w:tc>
          <w:tcPr>
            <w:tcW w:w="7815" w:type="dxa"/>
          </w:tcPr>
          <w:p w14:paraId="399030A0" w14:textId="77777777" w:rsidR="00320330" w:rsidRPr="00026EC1" w:rsidRDefault="00320330" w:rsidP="00A64613">
            <w:pPr>
              <w:keepNext w:val="0"/>
              <w:spacing w:after="240"/>
            </w:pPr>
            <w:r w:rsidRPr="00026EC1">
              <w:t>Langues autochtones</w:t>
            </w:r>
          </w:p>
        </w:tc>
      </w:tr>
      <w:tr w:rsidR="00320330" w:rsidRPr="00026EC1" w14:paraId="17BD0A1E" w14:textId="77777777" w:rsidTr="00190888">
        <w:tc>
          <w:tcPr>
            <w:tcW w:w="1510" w:type="dxa"/>
          </w:tcPr>
          <w:p w14:paraId="63CF54CE" w14:textId="77777777" w:rsidR="00320330" w:rsidRPr="00026EC1" w:rsidRDefault="00320330" w:rsidP="00A64613">
            <w:pPr>
              <w:keepNext w:val="0"/>
              <w:spacing w:after="240"/>
            </w:pPr>
            <w:r w:rsidRPr="00026EC1">
              <w:t>615</w:t>
            </w:r>
          </w:p>
        </w:tc>
        <w:tc>
          <w:tcPr>
            <w:tcW w:w="7815" w:type="dxa"/>
          </w:tcPr>
          <w:p w14:paraId="23F561FE" w14:textId="77777777" w:rsidR="00320330" w:rsidRPr="00026EC1" w:rsidRDefault="00320330" w:rsidP="00A64613">
            <w:pPr>
              <w:keepNext w:val="0"/>
              <w:spacing w:after="240"/>
            </w:pPr>
            <w:r w:rsidRPr="00026EC1">
              <w:t>Langues anciennes</w:t>
            </w:r>
          </w:p>
        </w:tc>
      </w:tr>
      <w:tr w:rsidR="00320330" w:rsidRPr="00026EC1" w14:paraId="2FF768B2" w14:textId="77777777" w:rsidTr="00190888">
        <w:tc>
          <w:tcPr>
            <w:tcW w:w="1510" w:type="dxa"/>
          </w:tcPr>
          <w:p w14:paraId="4A39E741" w14:textId="77777777" w:rsidR="00320330" w:rsidRPr="00026EC1" w:rsidRDefault="00320330" w:rsidP="00A64613">
            <w:pPr>
              <w:keepNext w:val="0"/>
              <w:spacing w:after="240"/>
            </w:pPr>
            <w:r w:rsidRPr="00026EC1">
              <w:t>616</w:t>
            </w:r>
          </w:p>
        </w:tc>
        <w:tc>
          <w:tcPr>
            <w:tcW w:w="7815" w:type="dxa"/>
          </w:tcPr>
          <w:p w14:paraId="2A6997F5" w14:textId="77777777" w:rsidR="00320330" w:rsidRPr="00026EC1" w:rsidRDefault="00320330" w:rsidP="00A64613">
            <w:pPr>
              <w:keepNext w:val="0"/>
              <w:spacing w:after="240"/>
            </w:pPr>
            <w:r w:rsidRPr="00026EC1">
              <w:t>Arabe</w:t>
            </w:r>
          </w:p>
        </w:tc>
      </w:tr>
      <w:tr w:rsidR="00320330" w:rsidRPr="00026EC1" w14:paraId="0AC5EE4E" w14:textId="77777777" w:rsidTr="00190888">
        <w:tc>
          <w:tcPr>
            <w:tcW w:w="1510" w:type="dxa"/>
          </w:tcPr>
          <w:p w14:paraId="41785493" w14:textId="77777777" w:rsidR="00320330" w:rsidRPr="00026EC1" w:rsidRDefault="00320330" w:rsidP="00A64613">
            <w:pPr>
              <w:keepNext w:val="0"/>
              <w:spacing w:after="240"/>
            </w:pPr>
            <w:r w:rsidRPr="00026EC1">
              <w:t>617</w:t>
            </w:r>
          </w:p>
        </w:tc>
        <w:tc>
          <w:tcPr>
            <w:tcW w:w="7815" w:type="dxa"/>
          </w:tcPr>
          <w:p w14:paraId="4051520F" w14:textId="77777777" w:rsidR="00320330" w:rsidRPr="00026EC1" w:rsidRDefault="00320330" w:rsidP="00A64613">
            <w:pPr>
              <w:keepNext w:val="0"/>
              <w:spacing w:after="240"/>
            </w:pPr>
            <w:r w:rsidRPr="00026EC1">
              <w:t>Langue des signes québécoise</w:t>
            </w:r>
          </w:p>
        </w:tc>
      </w:tr>
      <w:tr w:rsidR="000E5F45" w:rsidRPr="00026EC1" w14:paraId="500A2646" w14:textId="77777777" w:rsidTr="00190888">
        <w:tc>
          <w:tcPr>
            <w:tcW w:w="1510" w:type="dxa"/>
          </w:tcPr>
          <w:p w14:paraId="74FA7198" w14:textId="05F46058" w:rsidR="000E5F45" w:rsidRPr="00635C98" w:rsidRDefault="000E5F45" w:rsidP="00A64613">
            <w:pPr>
              <w:keepNext w:val="0"/>
              <w:spacing w:after="240"/>
            </w:pPr>
            <w:r w:rsidRPr="00635C98">
              <w:t>618</w:t>
            </w:r>
            <w:r w:rsidR="00FF71E1" w:rsidRPr="00635C98">
              <w:t>*</w:t>
            </w:r>
          </w:p>
        </w:tc>
        <w:tc>
          <w:tcPr>
            <w:tcW w:w="7815" w:type="dxa"/>
          </w:tcPr>
          <w:p w14:paraId="46E4BBEC" w14:textId="0B20BAFB" w:rsidR="000E5F45" w:rsidRPr="00635C98" w:rsidRDefault="000E5F45" w:rsidP="00A64613">
            <w:pPr>
              <w:keepNext w:val="0"/>
              <w:spacing w:after="240"/>
            </w:pPr>
            <w:r w:rsidRPr="00635C98">
              <w:t>Langue moderne</w:t>
            </w:r>
            <w:r w:rsidR="00FF71E1" w:rsidRPr="00635C98">
              <w:t>*</w:t>
            </w:r>
          </w:p>
        </w:tc>
      </w:tr>
      <w:tr w:rsidR="00320330" w:rsidRPr="00026EC1" w14:paraId="586C89DA" w14:textId="77777777" w:rsidTr="00190888">
        <w:tc>
          <w:tcPr>
            <w:tcW w:w="1510" w:type="dxa"/>
          </w:tcPr>
          <w:p w14:paraId="6653EC8B" w14:textId="77777777" w:rsidR="00320330" w:rsidRPr="00026EC1" w:rsidRDefault="00320330" w:rsidP="00A64613">
            <w:pPr>
              <w:keepNext w:val="0"/>
              <w:spacing w:after="240"/>
            </w:pPr>
            <w:r w:rsidRPr="00026EC1">
              <w:t>620</w:t>
            </w:r>
          </w:p>
        </w:tc>
        <w:tc>
          <w:tcPr>
            <w:tcW w:w="7815" w:type="dxa"/>
          </w:tcPr>
          <w:p w14:paraId="3CA671E7" w14:textId="77777777" w:rsidR="00320330" w:rsidRPr="00026EC1" w:rsidRDefault="00320330" w:rsidP="00A64613">
            <w:pPr>
              <w:keepNext w:val="0"/>
              <w:spacing w:after="240"/>
            </w:pPr>
            <w:r w:rsidRPr="00026EC1">
              <w:t>Sciences de la parole</w:t>
            </w:r>
          </w:p>
        </w:tc>
      </w:tr>
    </w:tbl>
    <w:p w14:paraId="6E885341" w14:textId="77777777" w:rsidR="00105321" w:rsidRPr="00026EC1" w:rsidRDefault="00105321" w:rsidP="00A64613">
      <w:pPr>
        <w:keepNext w:val="0"/>
      </w:pPr>
    </w:p>
    <w:p w14:paraId="7EEEDB5F" w14:textId="597E9534" w:rsidR="00634547" w:rsidRPr="00791F29" w:rsidRDefault="00275751" w:rsidP="00A64613">
      <w:pPr>
        <w:keepNext w:val="0"/>
        <w:tabs>
          <w:tab w:val="left" w:pos="567"/>
        </w:tabs>
        <w:ind w:left="567" w:hanging="567"/>
      </w:pPr>
      <w:r w:rsidRPr="00026EC1">
        <w:rPr>
          <w:rFonts w:ascii="Symbol" w:hAnsi="Symbol"/>
        </w:rPr>
        <w:t></w:t>
      </w:r>
      <w:r w:rsidRPr="00026EC1">
        <w:rPr>
          <w:rFonts w:ascii="Symbol" w:hAnsi="Symbol"/>
        </w:rPr>
        <w:tab/>
      </w:r>
      <w:r w:rsidR="00634547" w:rsidRPr="00026EC1">
        <w:t xml:space="preserve">ainsi que toute autre discipline ou toute autre spécialité ajoutée </w:t>
      </w:r>
      <w:r w:rsidR="00634547" w:rsidRPr="008460F4">
        <w:t xml:space="preserve">aux </w:t>
      </w:r>
      <w:r w:rsidR="00634547" w:rsidRPr="008460F4">
        <w:rPr>
          <w:i/>
          <w:iCs/>
        </w:rPr>
        <w:t xml:space="preserve">Cahiers de l’enseignement collégial </w:t>
      </w:r>
      <w:r w:rsidR="00634547" w:rsidRPr="008460F4">
        <w:t xml:space="preserve">ou leur </w:t>
      </w:r>
      <w:r w:rsidR="00634547" w:rsidRPr="00D700D5">
        <w:t>équivalent par la Direction générale de l’enseignement collégial (DGEC)</w:t>
      </w:r>
      <w:r w:rsidR="003A4567" w:rsidRPr="00D700D5">
        <w:t>.</w:t>
      </w:r>
    </w:p>
    <w:p w14:paraId="2C62C7F8" w14:textId="77777777" w:rsidR="00634547" w:rsidRPr="00026EC1" w:rsidRDefault="00634547" w:rsidP="00A64613">
      <w:pPr>
        <w:keepNext w:val="0"/>
      </w:pPr>
    </w:p>
    <w:p w14:paraId="5106ABFD" w14:textId="0F6353F9" w:rsidR="00B42E87" w:rsidRPr="00210704" w:rsidRDefault="00B42E87" w:rsidP="00A64613">
      <w:pPr>
        <w:pStyle w:val="CommentText"/>
        <w:keepNext w:val="0"/>
        <w:tabs>
          <w:tab w:val="clear" w:pos="3969"/>
        </w:tabs>
        <w:spacing w:after="240"/>
        <w:rPr>
          <w:bCs/>
        </w:rPr>
      </w:pPr>
      <w:r w:rsidRPr="00635C98">
        <w:rPr>
          <w:bCs/>
        </w:rPr>
        <w:t>*</w:t>
      </w:r>
      <w:r w:rsidR="00617BB8" w:rsidRPr="00635C98">
        <w:t xml:space="preserve"> </w:t>
      </w:r>
      <w:r w:rsidR="00617BB8" w:rsidRPr="00635C98">
        <w:rPr>
          <w:bCs/>
        </w:rPr>
        <w:t>Ces codes servent à identifier des cours multidisciplinaires ou complémentaires et ne sont pas des disciplines au sens de la convention collective.</w:t>
      </w:r>
      <w:r w:rsidR="00617BB8" w:rsidRPr="00617BB8">
        <w:rPr>
          <w:bCs/>
        </w:rPr>
        <w:t xml:space="preserve"> </w:t>
      </w:r>
    </w:p>
    <w:p w14:paraId="649E43B1" w14:textId="77777777" w:rsidR="00634547" w:rsidRPr="00026EC1" w:rsidRDefault="00634547" w:rsidP="00634547"/>
    <w:p w14:paraId="2697CBE6" w14:textId="21302C6E" w:rsidR="00404F34" w:rsidRPr="00E64DC4" w:rsidRDefault="00404F34" w:rsidP="00A64613">
      <w:pPr>
        <w:pStyle w:val="Heading3"/>
        <w:keepNext w:val="0"/>
      </w:pPr>
      <w:r w:rsidRPr="00026EC1">
        <w:br w:type="page"/>
      </w:r>
      <w:bookmarkStart w:id="1030" w:name="_Toc535046651"/>
      <w:bookmarkStart w:id="1031" w:name="_Toc133760818"/>
      <w:bookmarkStart w:id="1032" w:name="_Toc133916966"/>
      <w:bookmarkStart w:id="1033" w:name="_Toc134437241"/>
      <w:bookmarkStart w:id="1034" w:name="_Toc393449032"/>
      <w:bookmarkStart w:id="1035" w:name="_Toc393449401"/>
      <w:bookmarkStart w:id="1036" w:name="_Toc462751526"/>
      <w:bookmarkStart w:id="1037" w:name="_Toc484082543"/>
      <w:bookmarkStart w:id="1038" w:name="_Toc168479570"/>
      <w:r w:rsidR="00F53EAA" w:rsidRPr="00E64DC4">
        <w:t>Annexe I</w:t>
      </w:r>
      <w:r w:rsidR="00B92165">
        <w:t>-</w:t>
      </w:r>
      <w:r w:rsidR="00F53EAA" w:rsidRPr="00E64DC4">
        <w:t>4</w:t>
      </w:r>
      <w:bookmarkStart w:id="1039" w:name="_Toc535046652"/>
      <w:bookmarkStart w:id="1040" w:name="_Toc133760819"/>
      <w:bookmarkEnd w:id="1030"/>
      <w:bookmarkEnd w:id="1031"/>
      <w:bookmarkEnd w:id="1032"/>
      <w:bookmarkEnd w:id="1033"/>
      <w:bookmarkEnd w:id="1034"/>
      <w:bookmarkEnd w:id="1035"/>
      <w:r w:rsidR="00F53EAA" w:rsidRPr="00E64DC4">
        <w:br/>
      </w:r>
      <w:r w:rsidR="00F53EAA" w:rsidRPr="00E64DC4">
        <w:br/>
        <w:t>Annexe relative à la détermination des disciplines</w:t>
      </w:r>
      <w:bookmarkEnd w:id="1036"/>
      <w:bookmarkEnd w:id="1037"/>
      <w:bookmarkEnd w:id="1038"/>
      <w:bookmarkEnd w:id="1039"/>
      <w:bookmarkEnd w:id="1040"/>
    </w:p>
    <w:p w14:paraId="4F357FDA" w14:textId="46BCB6B1" w:rsidR="00404F34" w:rsidRPr="00026EC1" w:rsidRDefault="00275751" w:rsidP="00A64613">
      <w:pPr>
        <w:keepNext w:val="0"/>
        <w:tabs>
          <w:tab w:val="left" w:pos="567"/>
        </w:tabs>
        <w:ind w:left="567" w:hanging="567"/>
      </w:pPr>
      <w:r w:rsidRPr="00026EC1">
        <w:t>01.</w:t>
      </w:r>
      <w:r w:rsidRPr="00026EC1">
        <w:tab/>
      </w:r>
      <w:r w:rsidR="00404F34" w:rsidRPr="00026EC1">
        <w:t>En application de la clause 5</w:t>
      </w:r>
      <w:r w:rsidR="00984A6F">
        <w:noBreakHyphen/>
      </w:r>
      <w:r w:rsidR="00404F34" w:rsidRPr="00026EC1">
        <w:t>1.05, les parties maintiennent les pratiques locales relativement à la détermination des disciplines aux fins des clause</w:t>
      </w:r>
      <w:r w:rsidR="00F61E7A" w:rsidRPr="00026EC1">
        <w:t>s </w:t>
      </w:r>
      <w:r w:rsidR="00404F34" w:rsidRPr="00026EC1">
        <w:t>5</w:t>
      </w:r>
      <w:r w:rsidR="00984A6F">
        <w:noBreakHyphen/>
      </w:r>
      <w:r w:rsidR="00404F34" w:rsidRPr="00026EC1">
        <w:t>1.04, 5</w:t>
      </w:r>
      <w:r w:rsidR="00984A6F">
        <w:noBreakHyphen/>
      </w:r>
      <w:r w:rsidR="00404F34" w:rsidRPr="00026EC1">
        <w:t>3.04, 5</w:t>
      </w:r>
      <w:r w:rsidR="00984A6F">
        <w:noBreakHyphen/>
      </w:r>
      <w:r w:rsidR="00404F34" w:rsidRPr="00026EC1">
        <w:t>4.04, 5</w:t>
      </w:r>
      <w:r w:rsidR="00984A6F">
        <w:noBreakHyphen/>
      </w:r>
      <w:r w:rsidR="00404F34" w:rsidRPr="00026EC1">
        <w:t>4.05 et 5</w:t>
      </w:r>
      <w:r w:rsidR="00984A6F">
        <w:noBreakHyphen/>
      </w:r>
      <w:r w:rsidR="00404F34" w:rsidRPr="00026EC1">
        <w:t>4.06 (les trois (3) dernières clauses concernant l</w:t>
      </w:r>
      <w:r w:rsidR="00BC3319" w:rsidRPr="00026EC1">
        <w:t>’</w:t>
      </w:r>
      <w:r w:rsidR="00404F34" w:rsidRPr="00026EC1">
        <w:t>identification locale des surplus) et de l</w:t>
      </w:r>
      <w:r w:rsidR="00BC3319" w:rsidRPr="00026EC1">
        <w:t>’</w:t>
      </w:r>
      <w:r w:rsidR="00404F34" w:rsidRPr="00026EC1">
        <w:t>article 8</w:t>
      </w:r>
      <w:r w:rsidR="00984A6F">
        <w:noBreakHyphen/>
      </w:r>
      <w:r w:rsidR="00404F34" w:rsidRPr="00026EC1">
        <w:t>5.00.</w:t>
      </w:r>
    </w:p>
    <w:p w14:paraId="5276B778" w14:textId="77777777" w:rsidR="00404F34" w:rsidRPr="00026EC1" w:rsidRDefault="00404F34" w:rsidP="00A64613">
      <w:pPr>
        <w:keepNext w:val="0"/>
      </w:pPr>
    </w:p>
    <w:p w14:paraId="2F69584D" w14:textId="77777777" w:rsidR="00404F34" w:rsidRPr="00026EC1" w:rsidRDefault="00275751" w:rsidP="00A64613">
      <w:pPr>
        <w:keepNext w:val="0"/>
        <w:tabs>
          <w:tab w:val="left" w:pos="567"/>
        </w:tabs>
        <w:ind w:left="567" w:hanging="567"/>
      </w:pPr>
      <w:r w:rsidRPr="00026EC1">
        <w:t>02.</w:t>
      </w:r>
      <w:r w:rsidRPr="00026EC1">
        <w:tab/>
      </w:r>
      <w:r w:rsidR="00404F34" w:rsidRPr="00026EC1">
        <w:t>Toutefois, les parties peuvent s</w:t>
      </w:r>
      <w:r w:rsidR="00BC3319" w:rsidRPr="00026EC1">
        <w:t>’</w:t>
      </w:r>
      <w:r w:rsidR="00404F34" w:rsidRPr="00026EC1">
        <w:t>entendre pour modifier ces pratiques locales relativement à la détermination des disciplines.</w:t>
      </w:r>
    </w:p>
    <w:p w14:paraId="776D566A" w14:textId="77777777" w:rsidR="00404F34" w:rsidRPr="00026EC1" w:rsidRDefault="00404F34" w:rsidP="00A64613">
      <w:pPr>
        <w:keepNext w:val="0"/>
      </w:pPr>
    </w:p>
    <w:p w14:paraId="3899158C" w14:textId="5C5CCFE2" w:rsidR="00404F34" w:rsidRPr="00026EC1" w:rsidRDefault="00275751" w:rsidP="00A64613">
      <w:pPr>
        <w:keepNext w:val="0"/>
        <w:tabs>
          <w:tab w:val="left" w:pos="567"/>
        </w:tabs>
        <w:ind w:left="567" w:hanging="567"/>
      </w:pPr>
      <w:r w:rsidRPr="00026EC1">
        <w:t>03.</w:t>
      </w:r>
      <w:r w:rsidRPr="00026EC1">
        <w:tab/>
      </w:r>
      <w:r w:rsidR="00404F34" w:rsidRPr="00026EC1">
        <w:t>Si le maintien des pratiques locales ou une entente pour les modifier a pour effet de fractionner les disciplines énumérées à l</w:t>
      </w:r>
      <w:r w:rsidR="00BC3319" w:rsidRPr="00026EC1">
        <w:t>’</w:t>
      </w:r>
      <w:r w:rsidR="00665807" w:rsidRPr="00026EC1">
        <w:t>A</w:t>
      </w:r>
      <w:r w:rsidR="00404F34" w:rsidRPr="00026EC1">
        <w:t>nnexe I</w:t>
      </w:r>
      <w:r w:rsidR="00984A6F">
        <w:noBreakHyphen/>
      </w:r>
      <w:r w:rsidR="00404F34" w:rsidRPr="00026EC1">
        <w:t>3, le nom de l</w:t>
      </w:r>
      <w:r w:rsidR="00BC3319" w:rsidRPr="00026EC1">
        <w:t>’</w:t>
      </w:r>
      <w:r w:rsidR="00404F34" w:rsidRPr="00026EC1">
        <w:t>enseignante ou de l</w:t>
      </w:r>
      <w:r w:rsidR="00BC3319" w:rsidRPr="00026EC1">
        <w:t>’</w:t>
      </w:r>
      <w:r w:rsidR="00404F34" w:rsidRPr="00026EC1">
        <w:t>enseignant en surplus ainsi que chaque spécialité pour laquelle elle ou il a été engagé ou, sous réserve du dernier paragraphe de la clause 5</w:t>
      </w:r>
      <w:r w:rsidR="00984A6F">
        <w:noBreakHyphen/>
      </w:r>
      <w:r w:rsidR="00404F34" w:rsidRPr="00026EC1">
        <w:t>4.17, qu</w:t>
      </w:r>
      <w:r w:rsidR="00BC3319" w:rsidRPr="00026EC1">
        <w:t>’</w:t>
      </w:r>
      <w:r w:rsidR="00404F34" w:rsidRPr="00026EC1">
        <w:t>elle ou il enseignait l</w:t>
      </w:r>
      <w:r w:rsidR="00BC3319" w:rsidRPr="00026EC1">
        <w:t>’</w:t>
      </w:r>
      <w:r w:rsidR="00404F34" w:rsidRPr="00026EC1">
        <w:t>année de sa mise en disponibilité sont transmis au Bureau de placement; l</w:t>
      </w:r>
      <w:r w:rsidR="00BC3319" w:rsidRPr="00026EC1">
        <w:t>’</w:t>
      </w:r>
      <w:r w:rsidR="00404F34" w:rsidRPr="00026EC1">
        <w:t>inscription sur les listes se fait alors conformément à la liste de l</w:t>
      </w:r>
      <w:r w:rsidR="00BC3319" w:rsidRPr="00026EC1">
        <w:t>’</w:t>
      </w:r>
      <w:r w:rsidR="00665807" w:rsidRPr="00026EC1">
        <w:t>A</w:t>
      </w:r>
      <w:r w:rsidR="00404F34" w:rsidRPr="00026EC1">
        <w:t>nnexe I</w:t>
      </w:r>
      <w:r w:rsidR="00984A6F">
        <w:noBreakHyphen/>
      </w:r>
      <w:r w:rsidR="00404F34" w:rsidRPr="00026EC1">
        <w:t>3 et les modalités de la sécurité d</w:t>
      </w:r>
      <w:r w:rsidR="00BC3319" w:rsidRPr="00026EC1">
        <w:t>’</w:t>
      </w:r>
      <w:r w:rsidR="00404F34" w:rsidRPr="00026EC1">
        <w:t>emploi s</w:t>
      </w:r>
      <w:r w:rsidR="00BC3319" w:rsidRPr="00026EC1">
        <w:t>’</w:t>
      </w:r>
      <w:r w:rsidR="00404F34" w:rsidRPr="00026EC1">
        <w:t>appliquent alors en conséquence. Sous réserve du dernier paragraphe de la clause 5</w:t>
      </w:r>
      <w:r w:rsidR="00984A6F">
        <w:noBreakHyphen/>
      </w:r>
      <w:r w:rsidR="00404F34" w:rsidRPr="00026EC1">
        <w:t>4.17, le Bureau de placement indique également, à titre d</w:t>
      </w:r>
      <w:r w:rsidR="00BC3319" w:rsidRPr="00026EC1">
        <w:t>’</w:t>
      </w:r>
      <w:r w:rsidR="00404F34" w:rsidRPr="00026EC1">
        <w:t>information, la spécialité que l</w:t>
      </w:r>
      <w:r w:rsidR="00BC3319" w:rsidRPr="00026EC1">
        <w:t>’</w:t>
      </w:r>
      <w:r w:rsidR="00404F34" w:rsidRPr="00026EC1">
        <w:t>enseignante ou l</w:t>
      </w:r>
      <w:r w:rsidR="00BC3319" w:rsidRPr="00026EC1">
        <w:t>’</w:t>
      </w:r>
      <w:r w:rsidR="00404F34" w:rsidRPr="00026EC1">
        <w:t>enseignant enseignait au moment de son inscription sur les listes.</w:t>
      </w:r>
    </w:p>
    <w:p w14:paraId="63DC6B35" w14:textId="77777777" w:rsidR="00404F34" w:rsidRPr="00026EC1" w:rsidRDefault="00404F34" w:rsidP="00A64613">
      <w:pPr>
        <w:keepNext w:val="0"/>
      </w:pPr>
    </w:p>
    <w:p w14:paraId="1A09B7CF" w14:textId="0DF36457" w:rsidR="00404F34" w:rsidRPr="00026EC1" w:rsidRDefault="00275751" w:rsidP="00A64613">
      <w:pPr>
        <w:keepNext w:val="0"/>
        <w:tabs>
          <w:tab w:val="left" w:pos="567"/>
        </w:tabs>
        <w:ind w:left="567" w:hanging="567"/>
      </w:pPr>
      <w:r w:rsidRPr="00026EC1">
        <w:t>04.</w:t>
      </w:r>
      <w:r w:rsidRPr="00026EC1">
        <w:tab/>
      </w:r>
      <w:r w:rsidR="00404F34" w:rsidRPr="00026EC1">
        <w:t>Si le maintien des pratiques locales ou une entente pour les modifier a pour effet de regrouper les disciplines énumérées à l</w:t>
      </w:r>
      <w:r w:rsidR="00BC3319" w:rsidRPr="00026EC1">
        <w:t>’</w:t>
      </w:r>
      <w:r w:rsidR="00665807" w:rsidRPr="00026EC1">
        <w:t>A</w:t>
      </w:r>
      <w:r w:rsidR="00404F34" w:rsidRPr="00026EC1">
        <w:t>nnexe I</w:t>
      </w:r>
      <w:r w:rsidR="00984A6F">
        <w:noBreakHyphen/>
      </w:r>
      <w:r w:rsidR="00404F34" w:rsidRPr="00026EC1">
        <w:t>3, le nom de l</w:t>
      </w:r>
      <w:r w:rsidR="00BC3319" w:rsidRPr="00026EC1">
        <w:t>’</w:t>
      </w:r>
      <w:r w:rsidR="00404F34" w:rsidRPr="00026EC1">
        <w:t>enseignante ou de l</w:t>
      </w:r>
      <w:r w:rsidR="00BC3319" w:rsidRPr="00026EC1">
        <w:t>’</w:t>
      </w:r>
      <w:r w:rsidR="00404F34" w:rsidRPr="00026EC1">
        <w:t>enseignant en surplus est transmis au Bureau de placement et il est inscrit sur les listes dans chaque discipline pour laquelle l</w:t>
      </w:r>
      <w:r w:rsidR="00BC3319" w:rsidRPr="00026EC1">
        <w:t>’</w:t>
      </w:r>
      <w:r w:rsidR="00404F34" w:rsidRPr="00026EC1">
        <w:t>enseignante ou l</w:t>
      </w:r>
      <w:r w:rsidR="00BC3319" w:rsidRPr="00026EC1">
        <w:t>’</w:t>
      </w:r>
      <w:r w:rsidR="00404F34" w:rsidRPr="00026EC1">
        <w:t>enseignant a été engagé ou, sous réserve du dernier paragraphe de la clause 5</w:t>
      </w:r>
      <w:r w:rsidR="00984A6F">
        <w:noBreakHyphen/>
      </w:r>
      <w:r w:rsidR="00404F34" w:rsidRPr="00026EC1">
        <w:t>4.17, qu</w:t>
      </w:r>
      <w:r w:rsidR="00BC3319" w:rsidRPr="00026EC1">
        <w:t>’</w:t>
      </w:r>
      <w:r w:rsidR="00404F34" w:rsidRPr="00026EC1">
        <w:t>elle ou il enseignait l</w:t>
      </w:r>
      <w:r w:rsidR="00BC3319" w:rsidRPr="00026EC1">
        <w:t>’</w:t>
      </w:r>
      <w:r w:rsidR="00404F34" w:rsidRPr="00026EC1">
        <w:t>ann</w:t>
      </w:r>
      <w:r w:rsidR="00515C2F" w:rsidRPr="00026EC1">
        <w:t>ée de sa mise en disponibilité.</w:t>
      </w:r>
    </w:p>
    <w:p w14:paraId="01DD34BA" w14:textId="3D61F4F6" w:rsidR="00404F34" w:rsidRPr="00847392" w:rsidRDefault="00404F34" w:rsidP="00A64613">
      <w:pPr>
        <w:pStyle w:val="Heading3"/>
        <w:keepNext w:val="0"/>
      </w:pPr>
      <w:r w:rsidRPr="00026EC1">
        <w:br w:type="page"/>
      </w:r>
      <w:bookmarkStart w:id="1041" w:name="_Toc535046653"/>
      <w:bookmarkStart w:id="1042" w:name="_Toc133760820"/>
      <w:bookmarkStart w:id="1043" w:name="_Toc133916968"/>
      <w:bookmarkStart w:id="1044" w:name="_Toc134437243"/>
      <w:bookmarkStart w:id="1045" w:name="_Toc393449034"/>
      <w:bookmarkStart w:id="1046" w:name="_Toc393449403"/>
      <w:bookmarkStart w:id="1047" w:name="_Toc462751528"/>
      <w:bookmarkStart w:id="1048" w:name="_Toc484082545"/>
      <w:bookmarkStart w:id="1049" w:name="_Toc168479571"/>
      <w:r w:rsidR="00024D22" w:rsidRPr="00BE1860">
        <w:t>Annexe I</w:t>
      </w:r>
      <w:r w:rsidR="00B92165">
        <w:t>-</w:t>
      </w:r>
      <w:r w:rsidR="00024D22" w:rsidRPr="00BE1860">
        <w:t>5</w:t>
      </w:r>
      <w:bookmarkStart w:id="1050" w:name="_Toc535046654"/>
      <w:bookmarkStart w:id="1051" w:name="_Toc133760821"/>
      <w:bookmarkEnd w:id="1041"/>
      <w:bookmarkEnd w:id="1042"/>
      <w:bookmarkEnd w:id="1043"/>
      <w:bookmarkEnd w:id="1044"/>
      <w:bookmarkEnd w:id="1045"/>
      <w:bookmarkEnd w:id="1046"/>
      <w:r w:rsidR="00024D22" w:rsidRPr="00BE1860">
        <w:br/>
      </w:r>
      <w:r w:rsidR="00024D22" w:rsidRPr="00BE1860">
        <w:br/>
      </w:r>
      <w:r w:rsidR="0076713C" w:rsidRPr="00847392">
        <w:t>C</w:t>
      </w:r>
      <w:r w:rsidR="00350280" w:rsidRPr="00847392">
        <w:t>égep</w:t>
      </w:r>
      <w:r w:rsidR="00024D22" w:rsidRPr="00847392">
        <w:t xml:space="preserve"> régional Champlain</w:t>
      </w:r>
      <w:bookmarkEnd w:id="1047"/>
      <w:bookmarkEnd w:id="1048"/>
      <w:bookmarkEnd w:id="1049"/>
      <w:bookmarkEnd w:id="1050"/>
      <w:bookmarkEnd w:id="1051"/>
    </w:p>
    <w:p w14:paraId="1295A32E" w14:textId="74EEFCFB" w:rsidR="00404F34" w:rsidRPr="00847392" w:rsidRDefault="00404F34" w:rsidP="00A64613">
      <w:pPr>
        <w:keepNext w:val="0"/>
      </w:pPr>
      <w:r w:rsidRPr="00847392">
        <w:t>Les clauses de la convention collective s</w:t>
      </w:r>
      <w:r w:rsidR="00BC3319" w:rsidRPr="00847392">
        <w:t>’</w:t>
      </w:r>
      <w:r w:rsidRPr="00847392">
        <w:t xml:space="preserve">appliquent par </w:t>
      </w:r>
      <w:r w:rsidR="008910B3" w:rsidRPr="00847392">
        <w:t>C</w:t>
      </w:r>
      <w:r w:rsidR="00E75E41" w:rsidRPr="00847392">
        <w:t>ollège cons</w:t>
      </w:r>
      <w:r w:rsidR="008910B3" w:rsidRPr="00847392">
        <w:t>tituant</w:t>
      </w:r>
      <w:r w:rsidRPr="00847392">
        <w:t xml:space="preserve">, en y apportant les adaptations nécessaires, aux enseignantes et enseignants du </w:t>
      </w:r>
      <w:r w:rsidR="002F61F6" w:rsidRPr="00847392">
        <w:t>Cégep</w:t>
      </w:r>
      <w:r w:rsidR="00D81A5B" w:rsidRPr="00847392">
        <w:t xml:space="preserve"> </w:t>
      </w:r>
      <w:r w:rsidRPr="00847392">
        <w:t>régional Champlain</w:t>
      </w:r>
      <w:r w:rsidR="00D8581B" w:rsidRPr="00847392">
        <w:t> :</w:t>
      </w:r>
    </w:p>
    <w:p w14:paraId="11A1DFD3" w14:textId="77777777" w:rsidR="00404F34" w:rsidRPr="00847392" w:rsidRDefault="00404F34" w:rsidP="00A64613">
      <w:pPr>
        <w:keepNext w:val="0"/>
      </w:pPr>
    </w:p>
    <w:p w14:paraId="49B67D4A" w14:textId="75D0D23C" w:rsidR="00404F34" w:rsidRPr="00847392" w:rsidRDefault="00275751" w:rsidP="00A64613">
      <w:pPr>
        <w:keepNext w:val="0"/>
        <w:tabs>
          <w:tab w:val="left" w:pos="1701"/>
        </w:tabs>
        <w:ind w:left="1701" w:hanging="567"/>
      </w:pPr>
      <w:r w:rsidRPr="00847392">
        <w:rPr>
          <w:rFonts w:ascii="Symbol" w:hAnsi="Symbol"/>
        </w:rPr>
        <w:t></w:t>
      </w:r>
      <w:r w:rsidRPr="00847392">
        <w:rPr>
          <w:rFonts w:ascii="Symbol" w:hAnsi="Symbol"/>
        </w:rPr>
        <w:tab/>
      </w:r>
      <w:r w:rsidR="004C18F5" w:rsidRPr="00847392">
        <w:t xml:space="preserve">Cégep Champlain à </w:t>
      </w:r>
      <w:r w:rsidR="00404F34" w:rsidRPr="00847392">
        <w:t>Saint</w:t>
      </w:r>
      <w:r w:rsidR="00984A6F">
        <w:noBreakHyphen/>
      </w:r>
      <w:r w:rsidR="00404F34" w:rsidRPr="00847392">
        <w:t>Lambert</w:t>
      </w:r>
    </w:p>
    <w:p w14:paraId="78F1548C" w14:textId="77777777" w:rsidR="00404F34" w:rsidRPr="00847392" w:rsidRDefault="00404F34" w:rsidP="00A64613">
      <w:pPr>
        <w:keepNext w:val="0"/>
      </w:pPr>
    </w:p>
    <w:p w14:paraId="5D4588CD" w14:textId="0BE30609" w:rsidR="00404F34" w:rsidRPr="00847392" w:rsidRDefault="00275751" w:rsidP="00A64613">
      <w:pPr>
        <w:keepNext w:val="0"/>
        <w:tabs>
          <w:tab w:val="left" w:pos="1701"/>
        </w:tabs>
        <w:ind w:left="1701" w:hanging="567"/>
      </w:pPr>
      <w:r w:rsidRPr="00847392">
        <w:rPr>
          <w:rFonts w:ascii="Symbol" w:hAnsi="Symbol"/>
        </w:rPr>
        <w:t></w:t>
      </w:r>
      <w:r w:rsidRPr="00847392">
        <w:rPr>
          <w:rFonts w:ascii="Symbol" w:hAnsi="Symbol"/>
        </w:rPr>
        <w:tab/>
      </w:r>
      <w:r w:rsidR="00520B25" w:rsidRPr="00847392">
        <w:t xml:space="preserve">Cégep Champlain </w:t>
      </w:r>
      <w:r w:rsidR="00984A6F">
        <w:noBreakHyphen/>
      </w:r>
      <w:r w:rsidR="00520B25" w:rsidRPr="00847392">
        <w:t xml:space="preserve"> </w:t>
      </w:r>
      <w:r w:rsidR="00404F34" w:rsidRPr="00847392">
        <w:t>St. Lawrence</w:t>
      </w:r>
    </w:p>
    <w:p w14:paraId="4F9E09BF" w14:textId="77777777" w:rsidR="00404F34" w:rsidRPr="00847392" w:rsidRDefault="00404F34" w:rsidP="00A64613">
      <w:pPr>
        <w:keepNext w:val="0"/>
      </w:pPr>
    </w:p>
    <w:p w14:paraId="7CE8C617" w14:textId="367FF191" w:rsidR="00404F34" w:rsidRPr="00520B25" w:rsidRDefault="00275751" w:rsidP="00A64613">
      <w:pPr>
        <w:keepNext w:val="0"/>
        <w:tabs>
          <w:tab w:val="left" w:pos="1701"/>
        </w:tabs>
        <w:ind w:left="1701" w:hanging="567"/>
      </w:pPr>
      <w:r w:rsidRPr="00847392">
        <w:rPr>
          <w:rFonts w:ascii="Symbol" w:hAnsi="Symbol"/>
        </w:rPr>
        <w:t></w:t>
      </w:r>
      <w:r w:rsidRPr="00847392">
        <w:rPr>
          <w:rFonts w:ascii="Symbol" w:hAnsi="Symbol"/>
        </w:rPr>
        <w:tab/>
      </w:r>
      <w:r w:rsidR="00520B25" w:rsidRPr="00847392">
        <w:t>Cégep Champlain à</w:t>
      </w:r>
      <w:r w:rsidR="00515C2F" w:rsidRPr="00847392">
        <w:t xml:space="preserve"> Lennoxville</w:t>
      </w:r>
    </w:p>
    <w:p w14:paraId="09045B2B" w14:textId="6E493BAE" w:rsidR="00404F34" w:rsidRPr="00BE1860" w:rsidRDefault="00404F34" w:rsidP="00A64613">
      <w:pPr>
        <w:pStyle w:val="Heading3"/>
        <w:keepNext w:val="0"/>
        <w:suppressAutoHyphens w:val="0"/>
      </w:pPr>
      <w:r w:rsidRPr="00F52437">
        <w:br w:type="page"/>
      </w:r>
      <w:bookmarkStart w:id="1052" w:name="_Toc535046655"/>
      <w:bookmarkStart w:id="1053" w:name="_Toc133760822"/>
      <w:bookmarkStart w:id="1054" w:name="_Toc133916970"/>
      <w:bookmarkStart w:id="1055" w:name="_Toc134437245"/>
      <w:bookmarkStart w:id="1056" w:name="_Toc393449036"/>
      <w:bookmarkStart w:id="1057" w:name="_Toc393449405"/>
      <w:bookmarkStart w:id="1058" w:name="_Toc462751530"/>
      <w:bookmarkStart w:id="1059" w:name="_Toc484082547"/>
      <w:bookmarkStart w:id="1060" w:name="_Toc168479572"/>
      <w:r w:rsidR="00024D22" w:rsidRPr="00BE1860">
        <w:t>Annexe I</w:t>
      </w:r>
      <w:r w:rsidR="00B92165">
        <w:t>-</w:t>
      </w:r>
      <w:r w:rsidR="00024D22" w:rsidRPr="00BE1860">
        <w:t>6</w:t>
      </w:r>
      <w:bookmarkStart w:id="1061" w:name="_Toc535046656"/>
      <w:bookmarkStart w:id="1062" w:name="_Toc133760823"/>
      <w:bookmarkEnd w:id="1052"/>
      <w:bookmarkEnd w:id="1053"/>
      <w:bookmarkEnd w:id="1054"/>
      <w:bookmarkEnd w:id="1055"/>
      <w:bookmarkEnd w:id="1056"/>
      <w:bookmarkEnd w:id="1057"/>
      <w:r w:rsidR="00024D22" w:rsidRPr="00BE1860">
        <w:br/>
      </w:r>
      <w:r w:rsidR="00024D22" w:rsidRPr="00BE1860">
        <w:br/>
        <w:t>Pavillons</w:t>
      </w:r>
      <w:bookmarkEnd w:id="1058"/>
      <w:bookmarkEnd w:id="1059"/>
      <w:bookmarkEnd w:id="1060"/>
      <w:bookmarkEnd w:id="1061"/>
      <w:bookmarkEnd w:id="1062"/>
    </w:p>
    <w:p w14:paraId="777407E4" w14:textId="6FABA356" w:rsidR="00F42626" w:rsidRPr="00026EC1" w:rsidRDefault="00F42626" w:rsidP="00A64613">
      <w:pPr>
        <w:keepNext w:val="0"/>
        <w:suppressAutoHyphens w:val="0"/>
        <w:rPr>
          <w:rFonts w:cs="Arial"/>
        </w:rPr>
      </w:pPr>
      <w:r w:rsidRPr="00026EC1">
        <w:rPr>
          <w:rFonts w:cs="Arial"/>
        </w:rPr>
        <w:t>Aux fins de la convention collective, les Collèges ayant des pavillons sont les suivants</w:t>
      </w:r>
      <w:r w:rsidR="00D8581B">
        <w:rPr>
          <w:rFonts w:cs="Arial"/>
        </w:rPr>
        <w:t> :</w:t>
      </w:r>
    </w:p>
    <w:p w14:paraId="395FB1AF" w14:textId="77777777" w:rsidR="00F42626" w:rsidRPr="00026EC1" w:rsidRDefault="00F42626" w:rsidP="00A64613">
      <w:pPr>
        <w:keepNext w:val="0"/>
        <w:suppressAutoHyphens w:val="0"/>
        <w:rPr>
          <w:rFonts w:cs="Arial"/>
        </w:rPr>
      </w:pPr>
    </w:p>
    <w:tbl>
      <w:tblPr>
        <w:tblW w:w="0" w:type="auto"/>
        <w:tblCellMar>
          <w:left w:w="70" w:type="dxa"/>
          <w:right w:w="70" w:type="dxa"/>
        </w:tblCellMar>
        <w:tblLook w:val="04A0" w:firstRow="1" w:lastRow="0" w:firstColumn="1" w:lastColumn="0" w:noHBand="0" w:noVBand="1"/>
      </w:tblPr>
      <w:tblGrid>
        <w:gridCol w:w="3013"/>
        <w:gridCol w:w="2734"/>
        <w:gridCol w:w="3033"/>
      </w:tblGrid>
      <w:tr w:rsidR="00F42626" w:rsidRPr="00026EC1" w14:paraId="0190A809" w14:textId="77777777" w:rsidTr="00F42626">
        <w:trPr>
          <w:cantSplit/>
        </w:trPr>
        <w:tc>
          <w:tcPr>
            <w:tcW w:w="3013" w:type="dxa"/>
            <w:vMerge w:val="restart"/>
            <w:vAlign w:val="center"/>
            <w:hideMark/>
          </w:tcPr>
          <w:p w14:paraId="27306A28" w14:textId="09DD75AB" w:rsidR="00F42626" w:rsidRPr="00026EC1" w:rsidRDefault="00F42626" w:rsidP="00A64613">
            <w:pPr>
              <w:keepNext w:val="0"/>
              <w:suppressAutoHyphens w:val="0"/>
              <w:snapToGrid w:val="0"/>
              <w:rPr>
                <w:rFonts w:cs="Arial"/>
              </w:rPr>
            </w:pPr>
            <w:r w:rsidRPr="00026EC1">
              <w:rPr>
                <w:rFonts w:cs="Arial"/>
              </w:rPr>
              <w:t>Édouard</w:t>
            </w:r>
            <w:r w:rsidR="00984A6F">
              <w:rPr>
                <w:rFonts w:cs="Arial"/>
              </w:rPr>
              <w:noBreakHyphen/>
            </w:r>
            <w:r w:rsidRPr="00026EC1">
              <w:rPr>
                <w:rFonts w:cs="Arial"/>
              </w:rPr>
              <w:t>Montpetit</w:t>
            </w:r>
          </w:p>
        </w:tc>
        <w:tc>
          <w:tcPr>
            <w:tcW w:w="2734" w:type="dxa"/>
            <w:vMerge w:val="restart"/>
            <w:vAlign w:val="center"/>
            <w:hideMark/>
          </w:tcPr>
          <w:p w14:paraId="0765435F" w14:textId="4B4BF070" w:rsidR="00F42626" w:rsidRPr="00026EC1" w:rsidRDefault="00F42626" w:rsidP="00A64613">
            <w:pPr>
              <w:keepNext w:val="0"/>
              <w:suppressAutoHyphens w:val="0"/>
              <w:snapToGrid w:val="0"/>
              <w:rPr>
                <w:rFonts w:cs="Arial"/>
              </w:rPr>
            </w:pPr>
            <w:r w:rsidRPr="00026EC1">
              <w:rPr>
                <w:rFonts w:cs="Arial"/>
              </w:rPr>
              <w:t>deux (2) pavillons</w:t>
            </w:r>
            <w:r w:rsidR="00D8581B">
              <w:rPr>
                <w:rFonts w:cs="Arial"/>
              </w:rPr>
              <w:t> :</w:t>
            </w:r>
          </w:p>
        </w:tc>
        <w:tc>
          <w:tcPr>
            <w:tcW w:w="3033" w:type="dxa"/>
            <w:hideMark/>
          </w:tcPr>
          <w:p w14:paraId="52D647E3" w14:textId="77777777"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Longueuil</w:t>
            </w:r>
          </w:p>
        </w:tc>
      </w:tr>
      <w:tr w:rsidR="00F42626" w:rsidRPr="00026EC1" w14:paraId="4D57D84A" w14:textId="77777777" w:rsidTr="00F42626">
        <w:trPr>
          <w:cantSplit/>
        </w:trPr>
        <w:tc>
          <w:tcPr>
            <w:tcW w:w="0" w:type="auto"/>
            <w:vMerge/>
            <w:vAlign w:val="center"/>
            <w:hideMark/>
          </w:tcPr>
          <w:p w14:paraId="258B0935" w14:textId="77777777" w:rsidR="00F42626" w:rsidRPr="00026EC1" w:rsidRDefault="00F42626" w:rsidP="00A64613">
            <w:pPr>
              <w:keepNext w:val="0"/>
              <w:suppressAutoHyphens w:val="0"/>
              <w:rPr>
                <w:rFonts w:cs="Arial"/>
              </w:rPr>
            </w:pPr>
          </w:p>
        </w:tc>
        <w:tc>
          <w:tcPr>
            <w:tcW w:w="0" w:type="auto"/>
            <w:vMerge/>
            <w:vAlign w:val="center"/>
            <w:hideMark/>
          </w:tcPr>
          <w:p w14:paraId="61ED08F9" w14:textId="77777777" w:rsidR="00F42626" w:rsidRPr="00026EC1" w:rsidRDefault="00F42626" w:rsidP="00A64613">
            <w:pPr>
              <w:keepNext w:val="0"/>
              <w:suppressAutoHyphens w:val="0"/>
              <w:rPr>
                <w:rFonts w:cs="Arial"/>
              </w:rPr>
            </w:pPr>
          </w:p>
        </w:tc>
        <w:tc>
          <w:tcPr>
            <w:tcW w:w="3033" w:type="dxa"/>
            <w:hideMark/>
          </w:tcPr>
          <w:p w14:paraId="5D7E322D" w14:textId="3397ECC1"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Saint</w:t>
            </w:r>
            <w:r w:rsidR="00984A6F">
              <w:rPr>
                <w:rFonts w:cs="Arial"/>
              </w:rPr>
              <w:noBreakHyphen/>
            </w:r>
            <w:r w:rsidR="00F42626" w:rsidRPr="00026EC1">
              <w:rPr>
                <w:rFonts w:cs="Arial"/>
              </w:rPr>
              <w:t>Hubert</w:t>
            </w:r>
          </w:p>
        </w:tc>
      </w:tr>
      <w:tr w:rsidR="00F42626" w:rsidRPr="00026EC1" w14:paraId="157355BE" w14:textId="77777777" w:rsidTr="00F42626">
        <w:trPr>
          <w:cantSplit/>
        </w:trPr>
        <w:tc>
          <w:tcPr>
            <w:tcW w:w="3013" w:type="dxa"/>
          </w:tcPr>
          <w:p w14:paraId="3E1176F5" w14:textId="77777777" w:rsidR="00F42626" w:rsidRPr="00026EC1" w:rsidRDefault="00F42626" w:rsidP="00A64613">
            <w:pPr>
              <w:keepNext w:val="0"/>
              <w:suppressAutoHyphens w:val="0"/>
              <w:snapToGrid w:val="0"/>
              <w:rPr>
                <w:rFonts w:cs="Arial"/>
              </w:rPr>
            </w:pPr>
          </w:p>
        </w:tc>
        <w:tc>
          <w:tcPr>
            <w:tcW w:w="2734" w:type="dxa"/>
          </w:tcPr>
          <w:p w14:paraId="3F0D7A4F" w14:textId="77777777" w:rsidR="00F42626" w:rsidRPr="00026EC1" w:rsidRDefault="00F42626" w:rsidP="00A64613">
            <w:pPr>
              <w:keepNext w:val="0"/>
              <w:suppressAutoHyphens w:val="0"/>
              <w:snapToGrid w:val="0"/>
              <w:rPr>
                <w:rFonts w:cs="Arial"/>
              </w:rPr>
            </w:pPr>
          </w:p>
        </w:tc>
        <w:tc>
          <w:tcPr>
            <w:tcW w:w="3033" w:type="dxa"/>
          </w:tcPr>
          <w:p w14:paraId="0319F25C" w14:textId="77777777" w:rsidR="00F42626" w:rsidRPr="00026EC1" w:rsidRDefault="00F42626" w:rsidP="00A64613">
            <w:pPr>
              <w:keepNext w:val="0"/>
              <w:suppressAutoHyphens w:val="0"/>
              <w:snapToGrid w:val="0"/>
              <w:rPr>
                <w:rFonts w:cs="Arial"/>
              </w:rPr>
            </w:pPr>
          </w:p>
        </w:tc>
      </w:tr>
      <w:tr w:rsidR="00F42626" w:rsidRPr="00026EC1" w14:paraId="42422F8E" w14:textId="77777777" w:rsidTr="00F42626">
        <w:trPr>
          <w:cantSplit/>
        </w:trPr>
        <w:tc>
          <w:tcPr>
            <w:tcW w:w="3013" w:type="dxa"/>
            <w:vMerge w:val="restart"/>
            <w:vAlign w:val="center"/>
            <w:hideMark/>
          </w:tcPr>
          <w:p w14:paraId="04AD14D9" w14:textId="77777777" w:rsidR="00F42626" w:rsidRPr="00026EC1" w:rsidRDefault="00F42626" w:rsidP="00A64613">
            <w:pPr>
              <w:keepNext w:val="0"/>
              <w:suppressAutoHyphens w:val="0"/>
              <w:snapToGrid w:val="0"/>
              <w:rPr>
                <w:rFonts w:cs="Arial"/>
              </w:rPr>
            </w:pPr>
            <w:r w:rsidRPr="00026EC1">
              <w:rPr>
                <w:rFonts w:cs="Arial"/>
              </w:rPr>
              <w:t xml:space="preserve">Gaspésie et des </w:t>
            </w:r>
            <w:r w:rsidR="00924F3D" w:rsidRPr="00026EC1">
              <w:rPr>
                <w:rFonts w:cs="Arial"/>
              </w:rPr>
              <w:t>Î</w:t>
            </w:r>
            <w:r w:rsidRPr="00026EC1">
              <w:rPr>
                <w:rFonts w:cs="Arial"/>
              </w:rPr>
              <w:t>les</w:t>
            </w:r>
          </w:p>
        </w:tc>
        <w:tc>
          <w:tcPr>
            <w:tcW w:w="2734" w:type="dxa"/>
            <w:vMerge w:val="restart"/>
            <w:vAlign w:val="center"/>
            <w:hideMark/>
          </w:tcPr>
          <w:p w14:paraId="7F05837F" w14:textId="1CA8D539" w:rsidR="00F42626" w:rsidRPr="00026EC1" w:rsidRDefault="00F42626" w:rsidP="00A64613">
            <w:pPr>
              <w:keepNext w:val="0"/>
              <w:suppressAutoHyphens w:val="0"/>
              <w:snapToGrid w:val="0"/>
              <w:rPr>
                <w:rFonts w:cs="Arial"/>
              </w:rPr>
            </w:pPr>
            <w:r w:rsidRPr="00026EC1">
              <w:rPr>
                <w:rFonts w:cs="Arial"/>
              </w:rPr>
              <w:t>deux (2) pavillons</w:t>
            </w:r>
            <w:r w:rsidR="00D8581B">
              <w:rPr>
                <w:rFonts w:cs="Arial"/>
              </w:rPr>
              <w:t> :</w:t>
            </w:r>
          </w:p>
        </w:tc>
        <w:tc>
          <w:tcPr>
            <w:tcW w:w="3033" w:type="dxa"/>
            <w:hideMark/>
          </w:tcPr>
          <w:p w14:paraId="1192A7F5" w14:textId="77777777"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anglophone</w:t>
            </w:r>
          </w:p>
        </w:tc>
      </w:tr>
      <w:tr w:rsidR="00F42626" w:rsidRPr="00026EC1" w14:paraId="467127EA" w14:textId="77777777" w:rsidTr="00F42626">
        <w:trPr>
          <w:cantSplit/>
        </w:trPr>
        <w:tc>
          <w:tcPr>
            <w:tcW w:w="0" w:type="auto"/>
            <w:vMerge/>
            <w:vAlign w:val="center"/>
            <w:hideMark/>
          </w:tcPr>
          <w:p w14:paraId="0027345B" w14:textId="77777777" w:rsidR="00F42626" w:rsidRPr="00026EC1" w:rsidRDefault="00F42626" w:rsidP="00A64613">
            <w:pPr>
              <w:keepNext w:val="0"/>
              <w:suppressAutoHyphens w:val="0"/>
              <w:rPr>
                <w:rFonts w:cs="Arial"/>
              </w:rPr>
            </w:pPr>
          </w:p>
        </w:tc>
        <w:tc>
          <w:tcPr>
            <w:tcW w:w="0" w:type="auto"/>
            <w:vMerge/>
            <w:vAlign w:val="center"/>
            <w:hideMark/>
          </w:tcPr>
          <w:p w14:paraId="7B102B65" w14:textId="77777777" w:rsidR="00F42626" w:rsidRPr="00026EC1" w:rsidRDefault="00F42626" w:rsidP="00A64613">
            <w:pPr>
              <w:keepNext w:val="0"/>
              <w:suppressAutoHyphens w:val="0"/>
              <w:rPr>
                <w:rFonts w:cs="Arial"/>
              </w:rPr>
            </w:pPr>
          </w:p>
        </w:tc>
        <w:tc>
          <w:tcPr>
            <w:tcW w:w="3033" w:type="dxa"/>
            <w:hideMark/>
          </w:tcPr>
          <w:p w14:paraId="365DC591" w14:textId="77777777"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francophone</w:t>
            </w:r>
          </w:p>
        </w:tc>
      </w:tr>
      <w:tr w:rsidR="00F42626" w:rsidRPr="00026EC1" w14:paraId="4F69D724" w14:textId="77777777" w:rsidTr="00F42626">
        <w:trPr>
          <w:cantSplit/>
        </w:trPr>
        <w:tc>
          <w:tcPr>
            <w:tcW w:w="3013" w:type="dxa"/>
          </w:tcPr>
          <w:p w14:paraId="7E15067C" w14:textId="77777777" w:rsidR="00F42626" w:rsidRPr="00026EC1" w:rsidRDefault="00F42626" w:rsidP="00A64613">
            <w:pPr>
              <w:keepNext w:val="0"/>
              <w:suppressAutoHyphens w:val="0"/>
              <w:snapToGrid w:val="0"/>
              <w:rPr>
                <w:rFonts w:cs="Arial"/>
              </w:rPr>
            </w:pPr>
          </w:p>
        </w:tc>
        <w:tc>
          <w:tcPr>
            <w:tcW w:w="2734" w:type="dxa"/>
          </w:tcPr>
          <w:p w14:paraId="07A6B205" w14:textId="77777777" w:rsidR="00F42626" w:rsidRPr="00026EC1" w:rsidRDefault="00F42626" w:rsidP="00A64613">
            <w:pPr>
              <w:keepNext w:val="0"/>
              <w:suppressAutoHyphens w:val="0"/>
              <w:snapToGrid w:val="0"/>
              <w:rPr>
                <w:rFonts w:cs="Arial"/>
              </w:rPr>
            </w:pPr>
          </w:p>
        </w:tc>
        <w:tc>
          <w:tcPr>
            <w:tcW w:w="3033" w:type="dxa"/>
          </w:tcPr>
          <w:p w14:paraId="21081DBE" w14:textId="77777777" w:rsidR="00F42626" w:rsidRPr="00026EC1" w:rsidRDefault="00F42626" w:rsidP="00A64613">
            <w:pPr>
              <w:keepNext w:val="0"/>
              <w:suppressAutoHyphens w:val="0"/>
              <w:snapToGrid w:val="0"/>
              <w:rPr>
                <w:rFonts w:cs="Arial"/>
              </w:rPr>
            </w:pPr>
          </w:p>
        </w:tc>
      </w:tr>
      <w:tr w:rsidR="00F42626" w:rsidRPr="00026EC1" w14:paraId="0DC1B8E1" w14:textId="77777777" w:rsidTr="00F42626">
        <w:trPr>
          <w:cantSplit/>
        </w:trPr>
        <w:tc>
          <w:tcPr>
            <w:tcW w:w="3013" w:type="dxa"/>
            <w:vMerge w:val="restart"/>
            <w:vAlign w:val="center"/>
            <w:hideMark/>
          </w:tcPr>
          <w:p w14:paraId="2A6F671B" w14:textId="77777777" w:rsidR="00F42626" w:rsidRPr="00026EC1" w:rsidRDefault="00F42626" w:rsidP="00A64613">
            <w:pPr>
              <w:keepNext w:val="0"/>
              <w:suppressAutoHyphens w:val="0"/>
              <w:snapToGrid w:val="0"/>
              <w:rPr>
                <w:rFonts w:cs="Arial"/>
              </w:rPr>
            </w:pPr>
            <w:r w:rsidRPr="00026EC1">
              <w:rPr>
                <w:rFonts w:cs="Arial"/>
              </w:rPr>
              <w:t>Limoilou</w:t>
            </w:r>
          </w:p>
        </w:tc>
        <w:tc>
          <w:tcPr>
            <w:tcW w:w="2734" w:type="dxa"/>
            <w:vMerge w:val="restart"/>
            <w:vAlign w:val="center"/>
            <w:hideMark/>
          </w:tcPr>
          <w:p w14:paraId="0ED34749" w14:textId="2AC3F4C1" w:rsidR="00F42626" w:rsidRPr="00026EC1" w:rsidRDefault="00F42626" w:rsidP="00A64613">
            <w:pPr>
              <w:keepNext w:val="0"/>
              <w:suppressAutoHyphens w:val="0"/>
              <w:snapToGrid w:val="0"/>
              <w:rPr>
                <w:rFonts w:cs="Arial"/>
              </w:rPr>
            </w:pPr>
            <w:r w:rsidRPr="00026EC1">
              <w:rPr>
                <w:rFonts w:cs="Arial"/>
              </w:rPr>
              <w:t>deux (2) pavillons</w:t>
            </w:r>
            <w:r w:rsidR="00D8581B">
              <w:rPr>
                <w:rFonts w:cs="Arial"/>
              </w:rPr>
              <w:t> :</w:t>
            </w:r>
          </w:p>
        </w:tc>
        <w:tc>
          <w:tcPr>
            <w:tcW w:w="3033" w:type="dxa"/>
            <w:hideMark/>
          </w:tcPr>
          <w:p w14:paraId="5A627224" w14:textId="77777777"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Charlesbourg</w:t>
            </w:r>
          </w:p>
        </w:tc>
      </w:tr>
      <w:tr w:rsidR="00F42626" w:rsidRPr="00026EC1" w14:paraId="6518F539" w14:textId="77777777" w:rsidTr="00F42626">
        <w:trPr>
          <w:cantSplit/>
        </w:trPr>
        <w:tc>
          <w:tcPr>
            <w:tcW w:w="0" w:type="auto"/>
            <w:vMerge/>
            <w:vAlign w:val="center"/>
            <w:hideMark/>
          </w:tcPr>
          <w:p w14:paraId="5BDE557F" w14:textId="77777777" w:rsidR="00F42626" w:rsidRPr="00026EC1" w:rsidRDefault="00F42626" w:rsidP="00A64613">
            <w:pPr>
              <w:keepNext w:val="0"/>
              <w:suppressAutoHyphens w:val="0"/>
              <w:rPr>
                <w:rFonts w:cs="Arial"/>
              </w:rPr>
            </w:pPr>
          </w:p>
        </w:tc>
        <w:tc>
          <w:tcPr>
            <w:tcW w:w="0" w:type="auto"/>
            <w:vMerge/>
            <w:vAlign w:val="center"/>
            <w:hideMark/>
          </w:tcPr>
          <w:p w14:paraId="7B82C718" w14:textId="77777777" w:rsidR="00F42626" w:rsidRPr="00026EC1" w:rsidRDefault="00F42626" w:rsidP="00A64613">
            <w:pPr>
              <w:keepNext w:val="0"/>
              <w:suppressAutoHyphens w:val="0"/>
              <w:rPr>
                <w:rFonts w:cs="Arial"/>
              </w:rPr>
            </w:pPr>
          </w:p>
        </w:tc>
        <w:tc>
          <w:tcPr>
            <w:tcW w:w="3033" w:type="dxa"/>
            <w:hideMark/>
          </w:tcPr>
          <w:p w14:paraId="631CDB61" w14:textId="77777777"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Québec</w:t>
            </w:r>
          </w:p>
        </w:tc>
      </w:tr>
      <w:tr w:rsidR="00F42626" w:rsidRPr="00026EC1" w14:paraId="75FB5285" w14:textId="77777777" w:rsidTr="00F42626">
        <w:trPr>
          <w:cantSplit/>
        </w:trPr>
        <w:tc>
          <w:tcPr>
            <w:tcW w:w="3013" w:type="dxa"/>
          </w:tcPr>
          <w:p w14:paraId="09847582" w14:textId="77777777" w:rsidR="00F42626" w:rsidRPr="00026EC1" w:rsidRDefault="00F42626" w:rsidP="00A64613">
            <w:pPr>
              <w:keepNext w:val="0"/>
              <w:suppressAutoHyphens w:val="0"/>
              <w:snapToGrid w:val="0"/>
              <w:rPr>
                <w:rFonts w:cs="Arial"/>
              </w:rPr>
            </w:pPr>
          </w:p>
        </w:tc>
        <w:tc>
          <w:tcPr>
            <w:tcW w:w="2734" w:type="dxa"/>
          </w:tcPr>
          <w:p w14:paraId="399CC1FC" w14:textId="77777777" w:rsidR="00F42626" w:rsidRPr="00026EC1" w:rsidRDefault="00F42626" w:rsidP="00A64613">
            <w:pPr>
              <w:keepNext w:val="0"/>
              <w:suppressAutoHyphens w:val="0"/>
              <w:snapToGrid w:val="0"/>
              <w:rPr>
                <w:rFonts w:cs="Arial"/>
              </w:rPr>
            </w:pPr>
          </w:p>
        </w:tc>
        <w:tc>
          <w:tcPr>
            <w:tcW w:w="3033" w:type="dxa"/>
          </w:tcPr>
          <w:p w14:paraId="4DCABE82" w14:textId="77777777" w:rsidR="00F42626" w:rsidRPr="00026EC1" w:rsidRDefault="00F42626" w:rsidP="00A64613">
            <w:pPr>
              <w:keepNext w:val="0"/>
              <w:suppressAutoHyphens w:val="0"/>
              <w:snapToGrid w:val="0"/>
              <w:rPr>
                <w:rFonts w:cs="Arial"/>
              </w:rPr>
            </w:pPr>
          </w:p>
        </w:tc>
      </w:tr>
      <w:tr w:rsidR="00F42626" w:rsidRPr="00026EC1" w14:paraId="232D9683" w14:textId="77777777" w:rsidTr="009D3BEE">
        <w:trPr>
          <w:cantSplit/>
        </w:trPr>
        <w:tc>
          <w:tcPr>
            <w:tcW w:w="3013" w:type="dxa"/>
            <w:vMerge w:val="restart"/>
            <w:vAlign w:val="center"/>
            <w:hideMark/>
          </w:tcPr>
          <w:p w14:paraId="4599BB97" w14:textId="77777777" w:rsidR="00F42626" w:rsidRPr="00026EC1" w:rsidRDefault="00F42626" w:rsidP="00A64613">
            <w:pPr>
              <w:keepNext w:val="0"/>
              <w:suppressAutoHyphens w:val="0"/>
              <w:snapToGrid w:val="0"/>
              <w:jc w:val="left"/>
              <w:rPr>
                <w:rFonts w:cs="Arial"/>
              </w:rPr>
            </w:pPr>
            <w:r w:rsidRPr="00026EC1">
              <w:rPr>
                <w:rFonts w:cs="Arial"/>
              </w:rPr>
              <w:t>Outaouais</w:t>
            </w:r>
          </w:p>
        </w:tc>
        <w:tc>
          <w:tcPr>
            <w:tcW w:w="2734" w:type="dxa"/>
            <w:vMerge w:val="restart"/>
            <w:vAlign w:val="center"/>
            <w:hideMark/>
          </w:tcPr>
          <w:p w14:paraId="35BE72B0" w14:textId="76C8B0C0" w:rsidR="00F42626" w:rsidRPr="00026EC1" w:rsidRDefault="00F42626" w:rsidP="00A64613">
            <w:pPr>
              <w:keepNext w:val="0"/>
              <w:suppressAutoHyphens w:val="0"/>
              <w:snapToGrid w:val="0"/>
              <w:jc w:val="left"/>
              <w:rPr>
                <w:rFonts w:cs="Arial"/>
              </w:rPr>
            </w:pPr>
            <w:r w:rsidRPr="00026EC1">
              <w:rPr>
                <w:rFonts w:cs="Arial"/>
              </w:rPr>
              <w:t>deux (2) pavillons</w:t>
            </w:r>
            <w:r w:rsidR="00D8581B">
              <w:rPr>
                <w:rFonts w:cs="Arial"/>
              </w:rPr>
              <w:t> :</w:t>
            </w:r>
          </w:p>
        </w:tc>
        <w:tc>
          <w:tcPr>
            <w:tcW w:w="3033" w:type="dxa"/>
            <w:hideMark/>
          </w:tcPr>
          <w:p w14:paraId="664293D1" w14:textId="68156DDE" w:rsidR="00F42626" w:rsidRPr="00026EC1" w:rsidRDefault="00275751" w:rsidP="00A64613">
            <w:pPr>
              <w:keepNext w:val="0"/>
              <w:tabs>
                <w:tab w:val="left" w:pos="567"/>
              </w:tabs>
              <w:suppressAutoHyphens w:val="0"/>
              <w:snapToGrid w:val="0"/>
              <w:ind w:left="567" w:hanging="567"/>
              <w:rPr>
                <w:rFonts w:cs="Arial"/>
              </w:rPr>
            </w:pPr>
            <w:r w:rsidRPr="00026EC1">
              <w:rPr>
                <w:rFonts w:ascii="Symbol" w:hAnsi="Symbol" w:cs="Arial"/>
              </w:rPr>
              <w:t></w:t>
            </w:r>
            <w:r w:rsidRPr="00026EC1">
              <w:rPr>
                <w:rFonts w:ascii="Symbol" w:hAnsi="Symbol" w:cs="Arial"/>
              </w:rPr>
              <w:tab/>
            </w:r>
            <w:r w:rsidR="00F42626" w:rsidRPr="00026EC1">
              <w:rPr>
                <w:rFonts w:cs="Arial"/>
              </w:rPr>
              <w:t>Félix</w:t>
            </w:r>
            <w:r w:rsidR="00984A6F">
              <w:rPr>
                <w:rFonts w:cs="Arial"/>
              </w:rPr>
              <w:noBreakHyphen/>
            </w:r>
            <w:r w:rsidR="00F42626" w:rsidRPr="00026EC1">
              <w:rPr>
                <w:rFonts w:cs="Arial"/>
              </w:rPr>
              <w:t>Leclerc</w:t>
            </w:r>
          </w:p>
        </w:tc>
      </w:tr>
      <w:tr w:rsidR="00F42626" w:rsidRPr="00026EC1" w14:paraId="14800D51" w14:textId="77777777" w:rsidTr="00F42626">
        <w:trPr>
          <w:cantSplit/>
        </w:trPr>
        <w:tc>
          <w:tcPr>
            <w:tcW w:w="0" w:type="auto"/>
            <w:vMerge/>
            <w:vAlign w:val="center"/>
            <w:hideMark/>
          </w:tcPr>
          <w:p w14:paraId="26F3F469" w14:textId="77777777" w:rsidR="00F42626" w:rsidRPr="00026EC1" w:rsidRDefault="00F42626" w:rsidP="00A64613">
            <w:pPr>
              <w:keepNext w:val="0"/>
              <w:suppressAutoHyphens w:val="0"/>
              <w:rPr>
                <w:rFonts w:cs="Arial"/>
              </w:rPr>
            </w:pPr>
          </w:p>
        </w:tc>
        <w:tc>
          <w:tcPr>
            <w:tcW w:w="0" w:type="auto"/>
            <w:vMerge/>
            <w:vAlign w:val="center"/>
            <w:hideMark/>
          </w:tcPr>
          <w:p w14:paraId="77F42B4B" w14:textId="77777777" w:rsidR="00F42626" w:rsidRPr="00026EC1" w:rsidRDefault="00F42626" w:rsidP="00A64613">
            <w:pPr>
              <w:keepNext w:val="0"/>
              <w:suppressAutoHyphens w:val="0"/>
              <w:rPr>
                <w:rFonts w:cs="Arial"/>
              </w:rPr>
            </w:pPr>
          </w:p>
        </w:tc>
        <w:tc>
          <w:tcPr>
            <w:tcW w:w="3033" w:type="dxa"/>
            <w:hideMark/>
          </w:tcPr>
          <w:p w14:paraId="6D2DE390" w14:textId="346B9C5F" w:rsidR="00733E3D" w:rsidRPr="00026EC1" w:rsidRDefault="00275751" w:rsidP="00A64613">
            <w:pPr>
              <w:keepNext w:val="0"/>
              <w:tabs>
                <w:tab w:val="left" w:pos="567"/>
              </w:tabs>
              <w:suppressAutoHyphens w:val="0"/>
              <w:snapToGrid w:val="0"/>
              <w:ind w:left="567" w:hanging="567"/>
              <w:rPr>
                <w:rFonts w:cs="Arial"/>
                <w:lang w:val="en-CA"/>
              </w:rPr>
            </w:pPr>
            <w:r w:rsidRPr="00026EC1">
              <w:rPr>
                <w:rFonts w:ascii="Symbol" w:hAnsi="Symbol" w:cs="Arial"/>
                <w:lang w:val="en-CA"/>
              </w:rPr>
              <w:t></w:t>
            </w:r>
            <w:r w:rsidRPr="00026EC1">
              <w:rPr>
                <w:rFonts w:ascii="Symbol" w:hAnsi="Symbol" w:cs="Arial"/>
                <w:lang w:val="en-CA"/>
              </w:rPr>
              <w:tab/>
            </w:r>
            <w:r w:rsidR="00F42626" w:rsidRPr="00026EC1">
              <w:rPr>
                <w:rFonts w:cs="Arial"/>
                <w:lang w:val="en-CA"/>
              </w:rPr>
              <w:t>Gabrielle</w:t>
            </w:r>
            <w:r w:rsidR="00984A6F">
              <w:rPr>
                <w:rFonts w:cs="Arial"/>
                <w:lang w:val="en-CA"/>
              </w:rPr>
              <w:noBreakHyphen/>
            </w:r>
            <w:r w:rsidR="00F42626" w:rsidRPr="00026EC1">
              <w:rPr>
                <w:rFonts w:cs="Arial"/>
                <w:lang w:val="en-CA"/>
              </w:rPr>
              <w:t>Roy</w:t>
            </w:r>
          </w:p>
        </w:tc>
      </w:tr>
      <w:tr w:rsidR="00E241CA" w:rsidRPr="00026EC1" w14:paraId="1660529A" w14:textId="77777777" w:rsidTr="00F42626">
        <w:trPr>
          <w:cantSplit/>
        </w:trPr>
        <w:tc>
          <w:tcPr>
            <w:tcW w:w="0" w:type="auto"/>
            <w:vAlign w:val="center"/>
            <w:hideMark/>
          </w:tcPr>
          <w:p w14:paraId="0F8B9599" w14:textId="77777777" w:rsidR="00E241CA" w:rsidRPr="00026EC1" w:rsidRDefault="00E241CA" w:rsidP="00A64613">
            <w:pPr>
              <w:keepNext w:val="0"/>
              <w:suppressAutoHyphens w:val="0"/>
              <w:rPr>
                <w:rFonts w:cs="Arial"/>
              </w:rPr>
            </w:pPr>
          </w:p>
        </w:tc>
        <w:tc>
          <w:tcPr>
            <w:tcW w:w="0" w:type="auto"/>
            <w:vAlign w:val="center"/>
            <w:hideMark/>
          </w:tcPr>
          <w:p w14:paraId="78F6D8C2" w14:textId="77777777" w:rsidR="00E241CA" w:rsidRPr="00026EC1" w:rsidRDefault="00E241CA" w:rsidP="00A64613">
            <w:pPr>
              <w:keepNext w:val="0"/>
              <w:suppressAutoHyphens w:val="0"/>
              <w:rPr>
                <w:rFonts w:cs="Arial"/>
              </w:rPr>
            </w:pPr>
          </w:p>
        </w:tc>
        <w:tc>
          <w:tcPr>
            <w:tcW w:w="3033" w:type="dxa"/>
            <w:hideMark/>
          </w:tcPr>
          <w:p w14:paraId="30E683F0" w14:textId="77777777" w:rsidR="00E241CA" w:rsidRPr="00026EC1" w:rsidRDefault="00E241CA" w:rsidP="00A64613">
            <w:pPr>
              <w:keepNext w:val="0"/>
              <w:suppressAutoHyphens w:val="0"/>
              <w:snapToGrid w:val="0"/>
              <w:rPr>
                <w:rFonts w:cs="Arial"/>
                <w:lang w:val="en-CA"/>
              </w:rPr>
            </w:pPr>
          </w:p>
        </w:tc>
      </w:tr>
      <w:tr w:rsidR="00F42626" w:rsidRPr="00026EC1" w14:paraId="7A84A851" w14:textId="77777777" w:rsidTr="00F42626">
        <w:trPr>
          <w:cantSplit/>
        </w:trPr>
        <w:tc>
          <w:tcPr>
            <w:tcW w:w="0" w:type="auto"/>
            <w:vAlign w:val="center"/>
            <w:hideMark/>
          </w:tcPr>
          <w:p w14:paraId="084D8B35" w14:textId="76075D93" w:rsidR="00F42626" w:rsidRPr="00026EC1" w:rsidRDefault="00F42626" w:rsidP="00A64613">
            <w:pPr>
              <w:keepNext w:val="0"/>
              <w:suppressAutoHyphens w:val="0"/>
              <w:rPr>
                <w:rFonts w:cs="Arial"/>
              </w:rPr>
            </w:pPr>
            <w:r w:rsidRPr="00026EC1">
              <w:rPr>
                <w:rFonts w:cs="Arial"/>
              </w:rPr>
              <w:t>Sept</w:t>
            </w:r>
            <w:r w:rsidR="00984A6F">
              <w:rPr>
                <w:rFonts w:cs="Arial"/>
              </w:rPr>
              <w:noBreakHyphen/>
            </w:r>
            <w:r w:rsidRPr="00026EC1">
              <w:rPr>
                <w:rFonts w:cs="Arial"/>
              </w:rPr>
              <w:t>Îles</w:t>
            </w:r>
          </w:p>
        </w:tc>
        <w:tc>
          <w:tcPr>
            <w:tcW w:w="0" w:type="auto"/>
            <w:vAlign w:val="center"/>
            <w:hideMark/>
          </w:tcPr>
          <w:p w14:paraId="21E218A4" w14:textId="69240E90" w:rsidR="00F42626" w:rsidRPr="00026EC1" w:rsidRDefault="00F42626" w:rsidP="00A64613">
            <w:pPr>
              <w:keepNext w:val="0"/>
              <w:suppressAutoHyphens w:val="0"/>
              <w:rPr>
                <w:rFonts w:cs="Arial"/>
              </w:rPr>
            </w:pPr>
            <w:r w:rsidRPr="00026EC1">
              <w:rPr>
                <w:rFonts w:cs="Arial"/>
              </w:rPr>
              <w:t>deux (2) pavillons</w:t>
            </w:r>
            <w:r w:rsidR="00D8581B">
              <w:rPr>
                <w:rFonts w:cs="Arial"/>
              </w:rPr>
              <w:t> :</w:t>
            </w:r>
          </w:p>
        </w:tc>
        <w:tc>
          <w:tcPr>
            <w:tcW w:w="3033" w:type="dxa"/>
            <w:hideMark/>
          </w:tcPr>
          <w:p w14:paraId="79D821BE" w14:textId="77777777" w:rsidR="00F42626" w:rsidRPr="00026EC1" w:rsidRDefault="00275751" w:rsidP="00A64613">
            <w:pPr>
              <w:keepNext w:val="0"/>
              <w:tabs>
                <w:tab w:val="left" w:pos="567"/>
              </w:tabs>
              <w:suppressAutoHyphens w:val="0"/>
              <w:snapToGrid w:val="0"/>
              <w:ind w:left="567" w:hanging="567"/>
              <w:rPr>
                <w:rFonts w:cs="Arial"/>
                <w:lang w:val="en-CA"/>
              </w:rPr>
            </w:pPr>
            <w:r w:rsidRPr="00026EC1">
              <w:rPr>
                <w:rFonts w:ascii="Symbol" w:hAnsi="Symbol" w:cs="Arial"/>
                <w:lang w:val="en-CA"/>
              </w:rPr>
              <w:t></w:t>
            </w:r>
            <w:r w:rsidRPr="00026EC1">
              <w:rPr>
                <w:rFonts w:ascii="Symbol" w:hAnsi="Symbol" w:cs="Arial"/>
                <w:lang w:val="en-CA"/>
              </w:rPr>
              <w:tab/>
            </w:r>
            <w:r w:rsidR="00F42626" w:rsidRPr="00026EC1">
              <w:rPr>
                <w:rFonts w:cs="Arial"/>
                <w:lang w:val="en-CA"/>
              </w:rPr>
              <w:t>anglophone</w:t>
            </w:r>
          </w:p>
          <w:p w14:paraId="739371E1" w14:textId="77777777" w:rsidR="00F42626" w:rsidRPr="00026EC1" w:rsidRDefault="00275751" w:rsidP="00A64613">
            <w:pPr>
              <w:keepNext w:val="0"/>
              <w:tabs>
                <w:tab w:val="left" w:pos="567"/>
              </w:tabs>
              <w:suppressAutoHyphens w:val="0"/>
              <w:snapToGrid w:val="0"/>
              <w:ind w:left="567" w:hanging="567"/>
              <w:rPr>
                <w:rFonts w:cs="Arial"/>
                <w:lang w:val="en-CA"/>
              </w:rPr>
            </w:pPr>
            <w:r w:rsidRPr="00026EC1">
              <w:rPr>
                <w:rFonts w:ascii="Symbol" w:hAnsi="Symbol" w:cs="Arial"/>
                <w:lang w:val="en-CA"/>
              </w:rPr>
              <w:t></w:t>
            </w:r>
            <w:r w:rsidRPr="00026EC1">
              <w:rPr>
                <w:rFonts w:ascii="Symbol" w:hAnsi="Symbol" w:cs="Arial"/>
                <w:lang w:val="en-CA"/>
              </w:rPr>
              <w:tab/>
            </w:r>
            <w:r w:rsidR="00F42626" w:rsidRPr="00026EC1">
              <w:rPr>
                <w:rFonts w:cs="Arial"/>
                <w:lang w:val="en-CA"/>
              </w:rPr>
              <w:t>francophone</w:t>
            </w:r>
          </w:p>
        </w:tc>
      </w:tr>
    </w:tbl>
    <w:p w14:paraId="4E3A14B3" w14:textId="77777777" w:rsidR="007957AC" w:rsidRPr="00026EC1" w:rsidRDefault="007957AC" w:rsidP="007957AC">
      <w:pPr>
        <w:rPr>
          <w:lang w:val="en-CA"/>
        </w:rPr>
      </w:pPr>
    </w:p>
    <w:p w14:paraId="1E73AF1D" w14:textId="7AD34E86" w:rsidR="008D34F7" w:rsidRPr="009E58C2" w:rsidRDefault="00404F34" w:rsidP="008D34F7">
      <w:pPr>
        <w:pStyle w:val="Heading3"/>
        <w:keepNext w:val="0"/>
      </w:pPr>
      <w:r w:rsidRPr="00026EC1">
        <w:br w:type="page"/>
      </w:r>
      <w:bookmarkStart w:id="1063" w:name="_Toc535046657"/>
      <w:bookmarkStart w:id="1064" w:name="_Toc133760824"/>
      <w:bookmarkStart w:id="1065" w:name="_Toc133916972"/>
      <w:bookmarkStart w:id="1066" w:name="_Toc134437247"/>
      <w:bookmarkStart w:id="1067" w:name="_Toc393449038"/>
      <w:bookmarkStart w:id="1068" w:name="_Toc393449407"/>
      <w:bookmarkStart w:id="1069" w:name="_Toc168479573"/>
      <w:bookmarkStart w:id="1070" w:name="_Toc462751532"/>
      <w:bookmarkStart w:id="1071" w:name="_Toc484082549"/>
      <w:r w:rsidR="00024D22" w:rsidRPr="00A923CB">
        <w:t>Annexe I</w:t>
      </w:r>
      <w:r w:rsidR="00B92165">
        <w:t>-</w:t>
      </w:r>
      <w:r w:rsidR="00024D22" w:rsidRPr="00A923CB">
        <w:t>7</w:t>
      </w:r>
      <w:bookmarkStart w:id="1072" w:name="_Toc535046658"/>
      <w:bookmarkStart w:id="1073" w:name="_Toc133760825"/>
      <w:bookmarkEnd w:id="1063"/>
      <w:bookmarkEnd w:id="1064"/>
      <w:bookmarkEnd w:id="1065"/>
      <w:bookmarkEnd w:id="1066"/>
      <w:bookmarkEnd w:id="1067"/>
      <w:bookmarkEnd w:id="1068"/>
      <w:r w:rsidR="00024D22" w:rsidRPr="00A923CB">
        <w:br/>
      </w:r>
      <w:r w:rsidR="00024D22" w:rsidRPr="00A923CB">
        <w:br/>
      </w:r>
      <w:r w:rsidR="008D34F7" w:rsidRPr="00316277">
        <w:t>Liste des sous-centres et des centres d’études collégiales et</w:t>
      </w:r>
      <w:r w:rsidR="008D34F7">
        <w:t xml:space="preserve"> conditions particulières pour les enseignantes et enseignants oeuvrant dans les sous</w:t>
      </w:r>
      <w:r w:rsidR="00F81ACE" w:rsidRPr="00316277">
        <w:t>-</w:t>
      </w:r>
      <w:r w:rsidR="008D34F7">
        <w:t xml:space="preserve">centres </w:t>
      </w:r>
      <w:r w:rsidR="008D34F7" w:rsidRPr="00316277">
        <w:t>et les centres d’études collégiales</w:t>
      </w:r>
      <w:bookmarkEnd w:id="1069"/>
    </w:p>
    <w:bookmarkEnd w:id="1070"/>
    <w:bookmarkEnd w:id="1071"/>
    <w:bookmarkEnd w:id="1072"/>
    <w:bookmarkEnd w:id="1073"/>
    <w:p w14:paraId="4E276997" w14:textId="363FACEE" w:rsidR="00665C84" w:rsidRPr="00026EC1" w:rsidRDefault="00275751" w:rsidP="00A64613">
      <w:pPr>
        <w:keepNext w:val="0"/>
        <w:tabs>
          <w:tab w:val="left" w:pos="567"/>
        </w:tabs>
        <w:ind w:left="567" w:hanging="567"/>
      </w:pPr>
      <w:r w:rsidRPr="00026EC1">
        <w:t>01.</w:t>
      </w:r>
      <w:r w:rsidRPr="00026EC1">
        <w:tab/>
      </w:r>
      <w:r w:rsidR="00665C84" w:rsidRPr="00026EC1">
        <w:t>Dans le réseau des cégeps, les Collèges ayant des sous</w:t>
      </w:r>
      <w:r w:rsidR="00984A6F">
        <w:noBreakHyphen/>
      </w:r>
      <w:r w:rsidR="00665C84" w:rsidRPr="00026EC1">
        <w:t>centres sont les suivants</w:t>
      </w:r>
      <w:r w:rsidR="00D8581B">
        <w:t> :</w:t>
      </w:r>
    </w:p>
    <w:p w14:paraId="590A956E" w14:textId="77777777" w:rsidR="00665C84" w:rsidRPr="00026EC1" w:rsidRDefault="00665C84" w:rsidP="00A64613">
      <w:pPr>
        <w:keepNext w:val="0"/>
      </w:pPr>
    </w:p>
    <w:p w14:paraId="0613730F" w14:textId="4312EBDE"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 Cégep de l</w:t>
      </w:r>
      <w:r w:rsidR="00BC3319" w:rsidRPr="00026EC1">
        <w:t>’</w:t>
      </w:r>
      <w:r w:rsidR="00665C84" w:rsidRPr="00026EC1">
        <w:t>Abitibi</w:t>
      </w:r>
      <w:r w:rsidR="00984A6F">
        <w:noBreakHyphen/>
      </w:r>
      <w:r w:rsidR="00665C84" w:rsidRPr="00026EC1">
        <w:t xml:space="preserve">Témiscamingue pour ses </w:t>
      </w:r>
      <w:r w:rsidR="0085650A" w:rsidRPr="00026EC1">
        <w:t>s</w:t>
      </w:r>
      <w:r w:rsidR="00665C84" w:rsidRPr="00026EC1">
        <w:t>ous</w:t>
      </w:r>
      <w:r w:rsidR="00984A6F">
        <w:noBreakHyphen/>
      </w:r>
      <w:r w:rsidR="00665C84" w:rsidRPr="00026EC1">
        <w:t>centres d</w:t>
      </w:r>
      <w:r w:rsidR="00BC3319" w:rsidRPr="00026EC1">
        <w:t>’</w:t>
      </w:r>
      <w:r w:rsidR="00665C84" w:rsidRPr="00026EC1">
        <w:t>Amos et de Val</w:t>
      </w:r>
      <w:r w:rsidR="00984A6F">
        <w:noBreakHyphen/>
      </w:r>
      <w:r w:rsidR="00665C84" w:rsidRPr="00026EC1">
        <w:t>d</w:t>
      </w:r>
      <w:r w:rsidR="00BC3319" w:rsidRPr="00026EC1">
        <w:t>’</w:t>
      </w:r>
      <w:r w:rsidR="00347930" w:rsidRPr="00026EC1">
        <w:t>O</w:t>
      </w:r>
      <w:r w:rsidR="00665C84" w:rsidRPr="00026EC1">
        <w:t>r;</w:t>
      </w:r>
    </w:p>
    <w:p w14:paraId="3331AE9D" w14:textId="77777777" w:rsidR="00665C84" w:rsidRPr="00BA4239" w:rsidRDefault="00665C84" w:rsidP="00A64613">
      <w:pPr>
        <w:pStyle w:val="Texte1cm00000"/>
        <w:keepNext w:val="0"/>
        <w:rPr>
          <w:sz w:val="20"/>
        </w:rPr>
      </w:pPr>
    </w:p>
    <w:p w14:paraId="14047E4D" w14:textId="3940D30D" w:rsidR="00BA4239" w:rsidRPr="000B066F" w:rsidRDefault="00D34EE9" w:rsidP="004F71C1">
      <w:pPr>
        <w:keepNext w:val="0"/>
        <w:numPr>
          <w:ilvl w:val="0"/>
          <w:numId w:val="23"/>
        </w:numPr>
        <w:tabs>
          <w:tab w:val="left" w:pos="1134"/>
        </w:tabs>
        <w:ind w:left="1134" w:hanging="567"/>
        <w:rPr>
          <w:rFonts w:cs="Arial"/>
          <w:bCs/>
          <w:smallCaps/>
          <w:szCs w:val="24"/>
        </w:rPr>
      </w:pPr>
      <w:r>
        <w:rPr>
          <w:rFonts w:cs="Arial"/>
          <w:szCs w:val="24"/>
        </w:rPr>
        <w:t>l</w:t>
      </w:r>
      <w:r w:rsidR="00BA4239" w:rsidRPr="000B066F">
        <w:rPr>
          <w:rFonts w:cs="Arial"/>
          <w:szCs w:val="24"/>
        </w:rPr>
        <w:t>e Cégep de Beauce</w:t>
      </w:r>
      <w:r w:rsidR="00984A6F">
        <w:rPr>
          <w:rFonts w:cs="Arial"/>
          <w:szCs w:val="24"/>
        </w:rPr>
        <w:noBreakHyphen/>
      </w:r>
      <w:r w:rsidR="00BA4239" w:rsidRPr="000B066F">
        <w:rPr>
          <w:rFonts w:cs="Arial"/>
          <w:szCs w:val="24"/>
        </w:rPr>
        <w:t>Appalaches pour son Centre d’études collégiales de Lac</w:t>
      </w:r>
      <w:r w:rsidR="00984A6F">
        <w:rPr>
          <w:rFonts w:cs="Arial"/>
          <w:szCs w:val="24"/>
        </w:rPr>
        <w:noBreakHyphen/>
      </w:r>
      <w:r w:rsidR="00BA4239" w:rsidRPr="000B066F">
        <w:rPr>
          <w:rFonts w:cs="Arial"/>
          <w:szCs w:val="24"/>
        </w:rPr>
        <w:t xml:space="preserve">Mégantic </w:t>
      </w:r>
      <w:r w:rsidR="00BA4239" w:rsidRPr="000B066F">
        <w:rPr>
          <w:rFonts w:cs="Arial"/>
        </w:rPr>
        <w:t>et</w:t>
      </w:r>
      <w:r w:rsidR="00BA4239" w:rsidRPr="000B066F">
        <w:rPr>
          <w:rFonts w:cs="Arial"/>
          <w:szCs w:val="24"/>
        </w:rPr>
        <w:t xml:space="preserve"> son Centre d’études collégiales de Sainte</w:t>
      </w:r>
      <w:r w:rsidR="00984A6F">
        <w:rPr>
          <w:rFonts w:cs="Arial"/>
          <w:szCs w:val="24"/>
        </w:rPr>
        <w:noBreakHyphen/>
      </w:r>
      <w:r w:rsidR="00BA4239" w:rsidRPr="000B066F">
        <w:rPr>
          <w:rFonts w:cs="Arial"/>
          <w:szCs w:val="24"/>
        </w:rPr>
        <w:t>Marie</w:t>
      </w:r>
      <w:r w:rsidR="00984A6F">
        <w:rPr>
          <w:rFonts w:cs="Arial"/>
          <w:szCs w:val="24"/>
        </w:rPr>
        <w:noBreakHyphen/>
      </w:r>
      <w:r w:rsidR="00BA4239" w:rsidRPr="000B066F">
        <w:rPr>
          <w:rFonts w:cs="Arial"/>
          <w:szCs w:val="24"/>
        </w:rPr>
        <w:t>de</w:t>
      </w:r>
      <w:r w:rsidR="00984A6F">
        <w:rPr>
          <w:rFonts w:cs="Arial"/>
          <w:szCs w:val="24"/>
        </w:rPr>
        <w:noBreakHyphen/>
      </w:r>
      <w:r w:rsidR="00BA4239" w:rsidRPr="000B066F">
        <w:rPr>
          <w:rFonts w:cs="Arial"/>
          <w:szCs w:val="24"/>
        </w:rPr>
        <w:t>Beauce;</w:t>
      </w:r>
    </w:p>
    <w:p w14:paraId="0B6E0B78" w14:textId="77777777" w:rsidR="00665C84" w:rsidRPr="00BA4239" w:rsidRDefault="00665C84" w:rsidP="00A64613">
      <w:pPr>
        <w:keepNext w:val="0"/>
        <w:tabs>
          <w:tab w:val="left" w:pos="1134"/>
        </w:tabs>
        <w:ind w:left="1134" w:hanging="567"/>
        <w:rPr>
          <w:sz w:val="20"/>
        </w:rPr>
      </w:pPr>
    </w:p>
    <w:p w14:paraId="17BAB69D" w14:textId="4AE54C14"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 Cégep de la Gaspésie et des Îles pour son Centre d</w:t>
      </w:r>
      <w:r w:rsidR="00BC3319" w:rsidRPr="00026EC1">
        <w:t>’</w:t>
      </w:r>
      <w:r w:rsidR="00665C84" w:rsidRPr="00026EC1">
        <w:t xml:space="preserve">études collégiales </w:t>
      </w:r>
      <w:r w:rsidR="00FA534A">
        <w:t>Carleton</w:t>
      </w:r>
      <w:r w:rsidR="00984A6F">
        <w:noBreakHyphen/>
      </w:r>
      <w:r w:rsidR="00FA534A">
        <w:t>sur</w:t>
      </w:r>
      <w:r w:rsidR="00984A6F">
        <w:noBreakHyphen/>
      </w:r>
      <w:r w:rsidR="00FA534A">
        <w:t>Mer</w:t>
      </w:r>
      <w:r w:rsidR="00665C84" w:rsidRPr="00026EC1">
        <w:t xml:space="preserve"> et son Centre d</w:t>
      </w:r>
      <w:r w:rsidR="00BC3319" w:rsidRPr="00026EC1">
        <w:t>’</w:t>
      </w:r>
      <w:r w:rsidR="00665C84" w:rsidRPr="00026EC1">
        <w:t>études collégiales des Îles</w:t>
      </w:r>
      <w:r w:rsidR="00984A6F">
        <w:noBreakHyphen/>
      </w:r>
      <w:r w:rsidR="00665C84" w:rsidRPr="00026EC1">
        <w:t>de</w:t>
      </w:r>
      <w:r w:rsidR="00984A6F">
        <w:noBreakHyphen/>
      </w:r>
      <w:r w:rsidR="00665C84" w:rsidRPr="00026EC1">
        <w:t>la</w:t>
      </w:r>
      <w:r w:rsidR="00984A6F">
        <w:noBreakHyphen/>
      </w:r>
      <w:r w:rsidR="00665C84" w:rsidRPr="00026EC1">
        <w:t>Madeleine;</w:t>
      </w:r>
    </w:p>
    <w:p w14:paraId="70FC6B77" w14:textId="77777777" w:rsidR="00665C84" w:rsidRPr="00BA4239" w:rsidRDefault="00665C84" w:rsidP="00A64613">
      <w:pPr>
        <w:keepNext w:val="0"/>
        <w:ind w:left="567"/>
        <w:rPr>
          <w:sz w:val="20"/>
        </w:rPr>
      </w:pPr>
    </w:p>
    <w:p w14:paraId="1EB3AA8B" w14:textId="77777777"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 Cégep de Jonquière pour son Centre d</w:t>
      </w:r>
      <w:r w:rsidR="00BC3319" w:rsidRPr="00026EC1">
        <w:t>’</w:t>
      </w:r>
      <w:r w:rsidR="00665C84" w:rsidRPr="00026EC1">
        <w:t>études collégiales en Charlevoix;</w:t>
      </w:r>
    </w:p>
    <w:p w14:paraId="6DA26924" w14:textId="77777777" w:rsidR="00665C84" w:rsidRPr="00BA4239" w:rsidRDefault="00665C84" w:rsidP="00A64613">
      <w:pPr>
        <w:pStyle w:val="Texte1cm00000"/>
        <w:keepNext w:val="0"/>
        <w:rPr>
          <w:sz w:val="20"/>
        </w:rPr>
      </w:pPr>
    </w:p>
    <w:p w14:paraId="0AA87155" w14:textId="5CE609A3" w:rsidR="00BA4239" w:rsidRPr="00D21B2D" w:rsidRDefault="00832D31" w:rsidP="004F71C1">
      <w:pPr>
        <w:keepNext w:val="0"/>
        <w:numPr>
          <w:ilvl w:val="0"/>
          <w:numId w:val="24"/>
        </w:numPr>
        <w:tabs>
          <w:tab w:val="left" w:pos="1134"/>
        </w:tabs>
        <w:ind w:left="1134" w:hanging="567"/>
        <w:rPr>
          <w:rFonts w:cs="Arial"/>
          <w:szCs w:val="24"/>
        </w:rPr>
      </w:pPr>
      <w:r>
        <w:rPr>
          <w:rFonts w:cs="Arial"/>
          <w:szCs w:val="24"/>
        </w:rPr>
        <w:t>l</w:t>
      </w:r>
      <w:r w:rsidR="00BA4239" w:rsidRPr="00D21B2D">
        <w:rPr>
          <w:rFonts w:cs="Arial"/>
          <w:szCs w:val="24"/>
        </w:rPr>
        <w:t xml:space="preserve">e Cégep de La Pocatière pour son Centre d’études collégiales de Montmagny et son Centre </w:t>
      </w:r>
      <w:r w:rsidR="00BA4239" w:rsidRPr="00D21B2D">
        <w:rPr>
          <w:rFonts w:cs="Arial"/>
        </w:rPr>
        <w:t>d’études</w:t>
      </w:r>
      <w:r w:rsidR="00BA4239" w:rsidRPr="00D21B2D">
        <w:rPr>
          <w:rFonts w:cs="Arial"/>
          <w:szCs w:val="24"/>
        </w:rPr>
        <w:t xml:space="preserve"> collégiales du Témiscouata;</w:t>
      </w:r>
    </w:p>
    <w:p w14:paraId="7B10890A" w14:textId="77777777" w:rsidR="00665C84" w:rsidRPr="00BA4239" w:rsidRDefault="00665C84" w:rsidP="00A64613">
      <w:pPr>
        <w:keepNext w:val="0"/>
        <w:ind w:left="567"/>
        <w:rPr>
          <w:sz w:val="20"/>
        </w:rPr>
      </w:pPr>
    </w:p>
    <w:p w14:paraId="4466498E" w14:textId="77777777"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les Cégeps de Matane et Rimouski pour leur Centre matapédien d</w:t>
      </w:r>
      <w:r w:rsidR="00BC3319" w:rsidRPr="00026EC1">
        <w:t>’</w:t>
      </w:r>
      <w:r w:rsidR="00665C84" w:rsidRPr="00026EC1">
        <w:t>études collégiales;</w:t>
      </w:r>
    </w:p>
    <w:p w14:paraId="2320AF6B" w14:textId="77777777" w:rsidR="00665C84" w:rsidRPr="00BA4239" w:rsidRDefault="00665C84" w:rsidP="00A64613">
      <w:pPr>
        <w:keepNext w:val="0"/>
        <w:ind w:left="567"/>
        <w:rPr>
          <w:sz w:val="20"/>
        </w:rPr>
      </w:pPr>
    </w:p>
    <w:p w14:paraId="37F665C0" w14:textId="0AC0BE6A"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 Cégep de Saint</w:t>
      </w:r>
      <w:r w:rsidR="00984A6F">
        <w:noBreakHyphen/>
      </w:r>
      <w:r w:rsidR="00665C84" w:rsidRPr="00026EC1">
        <w:t>Félicien pour son Centre d</w:t>
      </w:r>
      <w:r w:rsidR="00BC3319" w:rsidRPr="00026EC1">
        <w:t>’</w:t>
      </w:r>
      <w:r w:rsidR="00665C84" w:rsidRPr="00026EC1">
        <w:t>études collégiales à Chibougamau;</w:t>
      </w:r>
    </w:p>
    <w:p w14:paraId="02AA5457" w14:textId="77777777" w:rsidR="00665C84" w:rsidRPr="00BA4239" w:rsidRDefault="00665C84" w:rsidP="00A64613">
      <w:pPr>
        <w:pStyle w:val="Texte1cm00000"/>
        <w:keepNext w:val="0"/>
        <w:rPr>
          <w:sz w:val="20"/>
        </w:rPr>
      </w:pPr>
    </w:p>
    <w:p w14:paraId="5B723C0F" w14:textId="477ABEFD" w:rsidR="00665C84" w:rsidRPr="00026EC1"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665C84" w:rsidRPr="00026EC1">
        <w:t>le Cégep de Saint</w:t>
      </w:r>
      <w:r w:rsidR="00984A6F">
        <w:noBreakHyphen/>
      </w:r>
      <w:r w:rsidR="00665C84" w:rsidRPr="00026EC1">
        <w:t>Jérôme pour son Centre collégial de Mont</w:t>
      </w:r>
      <w:r w:rsidR="00984A6F">
        <w:noBreakHyphen/>
      </w:r>
      <w:r w:rsidR="00665C84" w:rsidRPr="00026EC1">
        <w:t>Laurier et son Centre collégial de Mont</w:t>
      </w:r>
      <w:r w:rsidR="00984A6F">
        <w:noBreakHyphen/>
      </w:r>
      <w:r w:rsidR="00665C84" w:rsidRPr="00026EC1">
        <w:t>Tremblant;</w:t>
      </w:r>
    </w:p>
    <w:p w14:paraId="4876FCF8" w14:textId="77777777" w:rsidR="00665C84" w:rsidRPr="00BA4239" w:rsidRDefault="00665C84" w:rsidP="00A64613">
      <w:pPr>
        <w:pStyle w:val="Texte1cm00000"/>
        <w:keepNext w:val="0"/>
        <w:rPr>
          <w:sz w:val="20"/>
        </w:rPr>
      </w:pPr>
    </w:p>
    <w:p w14:paraId="17D387B2" w14:textId="4D5D760F" w:rsidR="00665C84"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5650A" w:rsidRPr="00026EC1">
        <w:t>l</w:t>
      </w:r>
      <w:r w:rsidR="00665C84" w:rsidRPr="00026EC1">
        <w:t>e Collège de Shawinigan pour son Centre d</w:t>
      </w:r>
      <w:r w:rsidR="00BC3319" w:rsidRPr="00026EC1">
        <w:t>’</w:t>
      </w:r>
      <w:r w:rsidR="00665C84" w:rsidRPr="00026EC1">
        <w:t>études collégiales de La Tuque;</w:t>
      </w:r>
    </w:p>
    <w:p w14:paraId="1586EE00" w14:textId="74653397" w:rsidR="00426D56" w:rsidRDefault="00426D56" w:rsidP="00A64613">
      <w:pPr>
        <w:keepNext w:val="0"/>
        <w:tabs>
          <w:tab w:val="left" w:pos="1134"/>
        </w:tabs>
        <w:ind w:left="1134" w:hanging="567"/>
      </w:pPr>
    </w:p>
    <w:p w14:paraId="3DCF299A" w14:textId="6A7DE997" w:rsidR="00426D56" w:rsidRDefault="00426D56" w:rsidP="00426D56">
      <w:pPr>
        <w:keepNext w:val="0"/>
        <w:tabs>
          <w:tab w:val="left" w:pos="1134"/>
        </w:tabs>
        <w:ind w:left="1134" w:hanging="567"/>
      </w:pPr>
      <w:r w:rsidRPr="00316277">
        <w:rPr>
          <w:rFonts w:ascii="Symbol" w:hAnsi="Symbol"/>
        </w:rPr>
        <w:t></w:t>
      </w:r>
      <w:r w:rsidRPr="00316277">
        <w:rPr>
          <w:rFonts w:ascii="Symbol" w:hAnsi="Symbol"/>
        </w:rPr>
        <w:tab/>
      </w:r>
      <w:r w:rsidRPr="00316277">
        <w:t>le Collège de Thetford pour son Centre d’études collégiales de L</w:t>
      </w:r>
      <w:r w:rsidR="00F84EA7" w:rsidRPr="00316277">
        <w:t>otbinière</w:t>
      </w:r>
      <w:r w:rsidRPr="00316277">
        <w:t>;</w:t>
      </w:r>
    </w:p>
    <w:p w14:paraId="290963B9" w14:textId="77777777" w:rsidR="00665C84" w:rsidRPr="00BA4239" w:rsidRDefault="00665C84" w:rsidP="00A64613">
      <w:pPr>
        <w:pStyle w:val="Texte1cm00000"/>
        <w:keepNext w:val="0"/>
        <w:rPr>
          <w:sz w:val="20"/>
        </w:rPr>
      </w:pPr>
    </w:p>
    <w:p w14:paraId="2255A902" w14:textId="5FA19910" w:rsidR="00F84EA7" w:rsidRPr="00F84EA7" w:rsidRDefault="00F84EA7" w:rsidP="00864798">
      <w:pPr>
        <w:pStyle w:val="ListParagraph"/>
        <w:numPr>
          <w:ilvl w:val="0"/>
          <w:numId w:val="47"/>
        </w:numPr>
        <w:tabs>
          <w:tab w:val="left" w:pos="1134"/>
        </w:tabs>
        <w:ind w:left="567" w:firstLine="0"/>
      </w:pPr>
      <w:r w:rsidRPr="00316277">
        <w:rPr>
          <w:rFonts w:cs="Arial"/>
        </w:rPr>
        <w:t>le Cégep de Valleyfield pour son Centre d’études collégiales à Saint-Constant.</w:t>
      </w:r>
    </w:p>
    <w:p w14:paraId="27446885" w14:textId="77777777" w:rsidR="00F84EA7" w:rsidRPr="00026EC1" w:rsidRDefault="00F84EA7" w:rsidP="00F84EA7">
      <w:pPr>
        <w:pStyle w:val="ListParagraph"/>
        <w:tabs>
          <w:tab w:val="left" w:pos="1134"/>
        </w:tabs>
        <w:ind w:left="567"/>
      </w:pPr>
    </w:p>
    <w:p w14:paraId="6843828D" w14:textId="0A19D10E" w:rsidR="008A29BA" w:rsidRDefault="00275751" w:rsidP="00A64613">
      <w:pPr>
        <w:keepNext w:val="0"/>
        <w:tabs>
          <w:tab w:val="left" w:pos="1134"/>
        </w:tabs>
        <w:ind w:left="1134" w:hanging="567"/>
      </w:pPr>
      <w:r w:rsidRPr="00026EC1">
        <w:rPr>
          <w:rFonts w:ascii="Symbol" w:hAnsi="Symbol"/>
        </w:rPr>
        <w:t></w:t>
      </w:r>
      <w:r w:rsidRPr="00026EC1">
        <w:rPr>
          <w:rFonts w:ascii="Symbol" w:hAnsi="Symbol"/>
        </w:rPr>
        <w:tab/>
      </w:r>
      <w:r w:rsidR="0085650A" w:rsidRPr="00026EC1">
        <w:t>l</w:t>
      </w:r>
      <w:r w:rsidR="00665C84" w:rsidRPr="00026EC1">
        <w:t>e Cégep de Victoriaville pour son École nationale du meuble et de l</w:t>
      </w:r>
      <w:r w:rsidR="00BC3319" w:rsidRPr="00026EC1">
        <w:t>’</w:t>
      </w:r>
      <w:r w:rsidR="00665C84" w:rsidRPr="00026EC1">
        <w:t>ébénisterie, division Montréal</w:t>
      </w:r>
      <w:r w:rsidR="00665C84" w:rsidRPr="00F84EA7">
        <w:t>.</w:t>
      </w:r>
    </w:p>
    <w:p w14:paraId="1B75AB07" w14:textId="00565027" w:rsidR="008A29BA" w:rsidRDefault="008A29BA">
      <w:pPr>
        <w:keepNext w:val="0"/>
        <w:suppressAutoHyphens w:val="0"/>
        <w:jc w:val="left"/>
      </w:pPr>
    </w:p>
    <w:p w14:paraId="12FB0234" w14:textId="77777777" w:rsidR="00AC0A9D" w:rsidRPr="00316277" w:rsidRDefault="00AC0A9D" w:rsidP="00AC0A9D">
      <w:pPr>
        <w:keepNext w:val="0"/>
        <w:autoSpaceDE w:val="0"/>
        <w:autoSpaceDN w:val="0"/>
        <w:adjustRightInd w:val="0"/>
        <w:jc w:val="center"/>
        <w:rPr>
          <w:rFonts w:cs="Arial"/>
          <w:b/>
          <w:bCs/>
        </w:rPr>
      </w:pPr>
      <w:r w:rsidRPr="00316277">
        <w:rPr>
          <w:rFonts w:cs="Arial"/>
          <w:b/>
          <w:bCs/>
        </w:rPr>
        <w:t>CONDITIONS PARTICULIÈRES POUR LES ENSEIGNANTES ET ENSEIGNANTS</w:t>
      </w:r>
    </w:p>
    <w:p w14:paraId="429048C7" w14:textId="4B4EA1EF" w:rsidR="00AC0A9D" w:rsidRPr="00A42605" w:rsidRDefault="00AC0A9D" w:rsidP="00AC0A9D">
      <w:pPr>
        <w:keepNext w:val="0"/>
        <w:autoSpaceDE w:val="0"/>
        <w:autoSpaceDN w:val="0"/>
        <w:adjustRightInd w:val="0"/>
        <w:jc w:val="center"/>
        <w:rPr>
          <w:rFonts w:cs="Arial"/>
          <w:b/>
          <w:bCs/>
        </w:rPr>
      </w:pPr>
      <w:r w:rsidRPr="00316277">
        <w:rPr>
          <w:rFonts w:cs="Arial"/>
          <w:b/>
          <w:bCs/>
        </w:rPr>
        <w:t>OEUVRANT DANS LES SOUS-CENTRES ET LES CENTRE</w:t>
      </w:r>
      <w:r w:rsidR="00F81ACE" w:rsidRPr="00316277">
        <w:rPr>
          <w:rFonts w:cs="Arial"/>
          <w:b/>
          <w:bCs/>
        </w:rPr>
        <w:t>S</w:t>
      </w:r>
      <w:r w:rsidRPr="00316277">
        <w:rPr>
          <w:rFonts w:cs="Arial"/>
          <w:b/>
          <w:bCs/>
        </w:rPr>
        <w:t xml:space="preserve"> D’ÉTUDES COLLÉGIALES</w:t>
      </w:r>
    </w:p>
    <w:p w14:paraId="54F03DAB" w14:textId="77777777" w:rsidR="00AC0A9D" w:rsidRPr="00BA4239" w:rsidRDefault="00AC0A9D" w:rsidP="00A64613">
      <w:pPr>
        <w:keepNext w:val="0"/>
        <w:rPr>
          <w:sz w:val="20"/>
        </w:rPr>
      </w:pPr>
    </w:p>
    <w:p w14:paraId="37396F3B" w14:textId="000CA5C2" w:rsidR="00BA4239" w:rsidRPr="00D727F7" w:rsidRDefault="00AC0A9D" w:rsidP="008A29BA">
      <w:pPr>
        <w:keepNext w:val="0"/>
        <w:suppressAutoHyphens w:val="0"/>
        <w:ind w:left="567" w:hanging="567"/>
        <w:jc w:val="left"/>
        <w:rPr>
          <w:rFonts w:cs="Arial"/>
          <w:szCs w:val="24"/>
        </w:rPr>
      </w:pPr>
      <w:r>
        <w:rPr>
          <w:bCs/>
        </w:rPr>
        <w:br w:type="page"/>
      </w:r>
      <w:r w:rsidR="00275751" w:rsidRPr="00026EC1">
        <w:rPr>
          <w:bCs/>
        </w:rPr>
        <w:t>02.</w:t>
      </w:r>
      <w:r w:rsidR="00275751" w:rsidRPr="00026EC1">
        <w:rPr>
          <w:bCs/>
        </w:rPr>
        <w:tab/>
      </w:r>
      <w:r w:rsidR="00BA4239" w:rsidRPr="00D21B2D">
        <w:rPr>
          <w:rFonts w:cs="Arial"/>
          <w:b/>
          <w:szCs w:val="24"/>
          <w:u w:val="single"/>
        </w:rPr>
        <w:t xml:space="preserve">Dispositions particulières au Cégep de La Pocatière pour son Centre d’études collégiales de </w:t>
      </w:r>
      <w:r w:rsidR="00BA4239" w:rsidRPr="00D21B2D">
        <w:rPr>
          <w:b/>
          <w:bCs/>
          <w:u w:val="single"/>
        </w:rPr>
        <w:t>Montmagny</w:t>
      </w:r>
      <w:r w:rsidR="00BA4239" w:rsidRPr="00D21B2D">
        <w:rPr>
          <w:rFonts w:cs="Arial"/>
          <w:b/>
          <w:szCs w:val="24"/>
          <w:u w:val="single"/>
        </w:rPr>
        <w:t xml:space="preserve"> et son Centre d’études collégiales </w:t>
      </w:r>
      <w:r w:rsidR="00BA4239" w:rsidRPr="00330882">
        <w:rPr>
          <w:rFonts w:cs="Arial"/>
          <w:b/>
          <w:szCs w:val="24"/>
          <w:u w:val="single"/>
        </w:rPr>
        <w:t>du Témiscouata</w:t>
      </w:r>
      <w:r w:rsidR="00BA4239" w:rsidRPr="00D21B2D">
        <w:rPr>
          <w:rFonts w:cs="Arial"/>
          <w:b/>
          <w:szCs w:val="24"/>
          <w:u w:val="single"/>
        </w:rPr>
        <w:t xml:space="preserve"> et au Cégep de Saint</w:t>
      </w:r>
      <w:r w:rsidR="00984A6F">
        <w:rPr>
          <w:rFonts w:cs="Arial"/>
          <w:b/>
          <w:szCs w:val="24"/>
          <w:u w:val="single"/>
        </w:rPr>
        <w:noBreakHyphen/>
      </w:r>
      <w:r w:rsidR="00BA4239" w:rsidRPr="00D21B2D">
        <w:rPr>
          <w:rFonts w:cs="Arial"/>
          <w:b/>
          <w:szCs w:val="24"/>
          <w:u w:val="single"/>
        </w:rPr>
        <w:t>Jérôme pour son Centre d’études collégiales de Mont</w:t>
      </w:r>
      <w:r w:rsidR="00984A6F">
        <w:rPr>
          <w:rFonts w:cs="Arial"/>
          <w:b/>
          <w:szCs w:val="24"/>
          <w:u w:val="single"/>
        </w:rPr>
        <w:noBreakHyphen/>
      </w:r>
      <w:r w:rsidR="00BA4239" w:rsidRPr="00D21B2D">
        <w:rPr>
          <w:rFonts w:cs="Arial"/>
          <w:b/>
          <w:szCs w:val="24"/>
          <w:u w:val="single"/>
        </w:rPr>
        <w:t>Laurier et pour son Centre d’études collégiales de Mont</w:t>
      </w:r>
      <w:r w:rsidR="00984A6F">
        <w:rPr>
          <w:rFonts w:cs="Arial"/>
          <w:b/>
          <w:szCs w:val="24"/>
          <w:u w:val="single"/>
        </w:rPr>
        <w:noBreakHyphen/>
      </w:r>
      <w:r w:rsidR="00BA4239" w:rsidRPr="00D21B2D">
        <w:rPr>
          <w:rFonts w:cs="Arial"/>
          <w:b/>
          <w:szCs w:val="24"/>
          <w:u w:val="single"/>
        </w:rPr>
        <w:t>Tremblant</w:t>
      </w:r>
    </w:p>
    <w:p w14:paraId="316CF98F" w14:textId="77777777" w:rsidR="00665C84" w:rsidRPr="00026EC1" w:rsidRDefault="00665C84" w:rsidP="00A64613">
      <w:pPr>
        <w:keepNext w:val="0"/>
        <w:tabs>
          <w:tab w:val="left" w:pos="567"/>
        </w:tabs>
        <w:ind w:left="567" w:hanging="567"/>
        <w:rPr>
          <w:b/>
          <w:bCs/>
          <w:u w:val="single"/>
        </w:rPr>
      </w:pPr>
    </w:p>
    <w:p w14:paraId="3CAEC10F" w14:textId="7C07D1D9" w:rsidR="00665C84" w:rsidRPr="00026EC1" w:rsidRDefault="00665C84" w:rsidP="00A64613">
      <w:pPr>
        <w:pStyle w:val="Texte1cm"/>
        <w:keepNext w:val="0"/>
      </w:pPr>
      <w:r w:rsidRPr="00026EC1">
        <w:t>Le Collège et son sous</w:t>
      </w:r>
      <w:r w:rsidR="00984A6F">
        <w:noBreakHyphen/>
      </w:r>
      <w:r w:rsidRPr="00026EC1">
        <w:t xml:space="preserve">centre identifié sont considérés comme deux </w:t>
      </w:r>
      <w:r w:rsidR="00001A42" w:rsidRPr="00026EC1">
        <w:t>c</w:t>
      </w:r>
      <w:r w:rsidRPr="00026EC1">
        <w:t>ollèges distincts aux fins de l</w:t>
      </w:r>
      <w:r w:rsidR="00BC3319" w:rsidRPr="00026EC1">
        <w:t>’</w:t>
      </w:r>
      <w:r w:rsidRPr="00026EC1">
        <w:t>application des dispositions de la convention collective relatives aux sujets suivants</w:t>
      </w:r>
      <w:r w:rsidR="00D8581B">
        <w:t> :</w:t>
      </w:r>
    </w:p>
    <w:p w14:paraId="17313BB0" w14:textId="6542F7F4" w:rsidR="00665C84" w:rsidRPr="00026EC1" w:rsidRDefault="00665C84" w:rsidP="00A64613">
      <w:pPr>
        <w:pStyle w:val="Texte1cm00000"/>
        <w:keepNext w:val="0"/>
        <w:ind w:left="0"/>
      </w:pPr>
    </w:p>
    <w:p w14:paraId="56CB7D3E" w14:textId="77777777" w:rsidR="00665C84" w:rsidRPr="00026EC1" w:rsidRDefault="00275751" w:rsidP="00A64613">
      <w:pPr>
        <w:keepNext w:val="0"/>
        <w:tabs>
          <w:tab w:val="left" w:pos="1134"/>
        </w:tabs>
        <w:ind w:left="1134" w:hanging="567"/>
      </w:pPr>
      <w:r w:rsidRPr="00026EC1">
        <w:t>a)</w:t>
      </w:r>
      <w:r w:rsidRPr="00026EC1">
        <w:tab/>
      </w:r>
      <w:r w:rsidR="00665C84" w:rsidRPr="00026EC1">
        <w:t>département et coordination départementale;</w:t>
      </w:r>
    </w:p>
    <w:p w14:paraId="5790971A" w14:textId="77777777" w:rsidR="00665C84" w:rsidRPr="00026EC1" w:rsidRDefault="00275751" w:rsidP="00A64613">
      <w:pPr>
        <w:keepNext w:val="0"/>
        <w:tabs>
          <w:tab w:val="left" w:pos="1134"/>
        </w:tabs>
        <w:ind w:left="1134" w:hanging="567"/>
      </w:pPr>
      <w:r w:rsidRPr="00026EC1">
        <w:t>b)</w:t>
      </w:r>
      <w:r w:rsidRPr="00026EC1">
        <w:tab/>
      </w:r>
      <w:r w:rsidR="00665C84" w:rsidRPr="00026EC1">
        <w:t>sélection des enseignantes et enseignants réguliers;</w:t>
      </w:r>
    </w:p>
    <w:p w14:paraId="6101A9A5" w14:textId="77777777" w:rsidR="00665C84" w:rsidRPr="00026EC1" w:rsidRDefault="00275751" w:rsidP="00A64613">
      <w:pPr>
        <w:keepNext w:val="0"/>
        <w:tabs>
          <w:tab w:val="left" w:pos="1134"/>
        </w:tabs>
        <w:ind w:left="1134" w:hanging="567"/>
      </w:pPr>
      <w:r w:rsidRPr="00026EC1">
        <w:t>c)</w:t>
      </w:r>
      <w:r w:rsidRPr="00026EC1">
        <w:tab/>
      </w:r>
      <w:r w:rsidR="00665C84" w:rsidRPr="00026EC1">
        <w:t>engagement;</w:t>
      </w:r>
    </w:p>
    <w:p w14:paraId="17D5F9AF" w14:textId="77777777" w:rsidR="00665C84" w:rsidRPr="00026EC1" w:rsidRDefault="00275751" w:rsidP="00A64613">
      <w:pPr>
        <w:keepNext w:val="0"/>
        <w:tabs>
          <w:tab w:val="left" w:pos="1134"/>
        </w:tabs>
        <w:ind w:left="1134" w:hanging="567"/>
      </w:pPr>
      <w:r w:rsidRPr="00026EC1">
        <w:t>d)</w:t>
      </w:r>
      <w:r w:rsidRPr="00026EC1">
        <w:tab/>
      </w:r>
      <w:r w:rsidR="00665C84" w:rsidRPr="00026EC1">
        <w:t>permanence;</w:t>
      </w:r>
    </w:p>
    <w:p w14:paraId="06D860C8" w14:textId="77777777" w:rsidR="00665C84" w:rsidRPr="00026EC1" w:rsidRDefault="00275751" w:rsidP="00A64613">
      <w:pPr>
        <w:keepNext w:val="0"/>
        <w:tabs>
          <w:tab w:val="left" w:pos="1134"/>
        </w:tabs>
        <w:ind w:left="1134" w:hanging="567"/>
      </w:pPr>
      <w:r w:rsidRPr="00026EC1">
        <w:t>e)</w:t>
      </w:r>
      <w:r w:rsidRPr="00026EC1">
        <w:tab/>
      </w:r>
      <w:r w:rsidR="00665C84" w:rsidRPr="00026EC1">
        <w:t>ancienneté;</w:t>
      </w:r>
    </w:p>
    <w:p w14:paraId="36058098" w14:textId="03043714" w:rsidR="00665C84" w:rsidRPr="00026EC1" w:rsidRDefault="00275751" w:rsidP="00A64613">
      <w:pPr>
        <w:keepNext w:val="0"/>
        <w:tabs>
          <w:tab w:val="left" w:pos="1134"/>
        </w:tabs>
        <w:ind w:left="1134" w:hanging="567"/>
      </w:pPr>
      <w:r w:rsidRPr="00026EC1">
        <w:t>f)</w:t>
      </w:r>
      <w:r w:rsidRPr="00026EC1">
        <w:tab/>
      </w:r>
      <w:r w:rsidR="00665C84" w:rsidRPr="00026EC1">
        <w:t>modalités de la sécurité d</w:t>
      </w:r>
      <w:r w:rsidR="00BC3319" w:rsidRPr="00026EC1">
        <w:t>’</w:t>
      </w:r>
      <w:r w:rsidR="00665C84" w:rsidRPr="00026EC1">
        <w:t xml:space="preserve">emploi (sous réserve de la clause 05 de la présente </w:t>
      </w:r>
      <w:r w:rsidR="008A29BA">
        <w:t>a</w:t>
      </w:r>
      <w:r w:rsidR="00665C84" w:rsidRPr="00026EC1">
        <w:t>nnexe);</w:t>
      </w:r>
    </w:p>
    <w:p w14:paraId="0C2319F1" w14:textId="77777777" w:rsidR="00665C84" w:rsidRPr="00026EC1" w:rsidRDefault="00275751" w:rsidP="00A64613">
      <w:pPr>
        <w:keepNext w:val="0"/>
        <w:tabs>
          <w:tab w:val="left" w:pos="1134"/>
        </w:tabs>
        <w:ind w:left="1134" w:hanging="567"/>
      </w:pPr>
      <w:r w:rsidRPr="00026EC1">
        <w:t>g)</w:t>
      </w:r>
      <w:r w:rsidRPr="00026EC1">
        <w:tab/>
      </w:r>
      <w:r w:rsidR="00665C84" w:rsidRPr="00026EC1">
        <w:t>échanges intercollèges;</w:t>
      </w:r>
    </w:p>
    <w:p w14:paraId="39A6FA68" w14:textId="77777777" w:rsidR="00665C84" w:rsidRPr="00026EC1" w:rsidRDefault="00275751" w:rsidP="00A64613">
      <w:pPr>
        <w:keepNext w:val="0"/>
        <w:tabs>
          <w:tab w:val="left" w:pos="1134"/>
        </w:tabs>
        <w:ind w:left="1134" w:hanging="567"/>
      </w:pPr>
      <w:r w:rsidRPr="00026EC1">
        <w:t>h)</w:t>
      </w:r>
      <w:r w:rsidRPr="00026EC1">
        <w:tab/>
      </w:r>
      <w:r w:rsidR="00665C84" w:rsidRPr="00026EC1">
        <w:t>projet de répartition des enseignantes et enseignants entre les disciplines;</w:t>
      </w:r>
    </w:p>
    <w:p w14:paraId="55E1490A" w14:textId="77777777" w:rsidR="00665C84" w:rsidRPr="00026EC1" w:rsidRDefault="00275751" w:rsidP="00A64613">
      <w:pPr>
        <w:keepNext w:val="0"/>
        <w:tabs>
          <w:tab w:val="left" w:pos="1134"/>
        </w:tabs>
        <w:ind w:left="1134" w:hanging="567"/>
      </w:pPr>
      <w:r w:rsidRPr="00026EC1">
        <w:t>i)</w:t>
      </w:r>
      <w:r w:rsidRPr="00026EC1">
        <w:tab/>
      </w:r>
      <w:r w:rsidR="00665C84" w:rsidRPr="00026EC1">
        <w:t>le nombre de postes dans une discipline et son application;</w:t>
      </w:r>
    </w:p>
    <w:p w14:paraId="3EBBD5A1" w14:textId="77777777" w:rsidR="00665C84" w:rsidRPr="00026EC1" w:rsidRDefault="00275751" w:rsidP="00A64613">
      <w:pPr>
        <w:keepNext w:val="0"/>
        <w:tabs>
          <w:tab w:val="left" w:pos="1134"/>
        </w:tabs>
        <w:ind w:left="1134" w:hanging="567"/>
      </w:pPr>
      <w:r w:rsidRPr="00026EC1">
        <w:t>j)</w:t>
      </w:r>
      <w:r w:rsidRPr="00026EC1">
        <w:tab/>
      </w:r>
      <w:r w:rsidR="00665C84" w:rsidRPr="00026EC1">
        <w:t>calcul de la charge de travail d</w:t>
      </w:r>
      <w:r w:rsidR="00BC3319" w:rsidRPr="00026EC1">
        <w:t>’</w:t>
      </w:r>
      <w:r w:rsidR="00665C84" w:rsidRPr="00026EC1">
        <w:t>une enseignante ou d</w:t>
      </w:r>
      <w:r w:rsidR="00BC3319" w:rsidRPr="00026EC1">
        <w:t>’</w:t>
      </w:r>
      <w:r w:rsidR="00665C84" w:rsidRPr="00026EC1">
        <w:t>un enseignant;</w:t>
      </w:r>
    </w:p>
    <w:p w14:paraId="46FF68E4" w14:textId="77777777" w:rsidR="00665C84" w:rsidRPr="00026EC1" w:rsidRDefault="00275751" w:rsidP="00A64613">
      <w:pPr>
        <w:keepNext w:val="0"/>
        <w:tabs>
          <w:tab w:val="left" w:pos="1134"/>
        </w:tabs>
        <w:ind w:left="1134" w:hanging="567"/>
      </w:pPr>
      <w:r w:rsidRPr="00026EC1">
        <w:t>k)</w:t>
      </w:r>
      <w:r w:rsidRPr="00026EC1">
        <w:tab/>
      </w:r>
      <w:r w:rsidR="00665C84" w:rsidRPr="00026EC1">
        <w:t>formation continue.</w:t>
      </w:r>
    </w:p>
    <w:p w14:paraId="4F67BFC7" w14:textId="77777777" w:rsidR="00665C84" w:rsidRPr="00026EC1" w:rsidRDefault="00665C84" w:rsidP="00A64613">
      <w:pPr>
        <w:keepNext w:val="0"/>
      </w:pPr>
    </w:p>
    <w:p w14:paraId="5A352409" w14:textId="74E67FC9" w:rsidR="00BA4239" w:rsidRPr="000B066F" w:rsidRDefault="00BA4239" w:rsidP="00A64613">
      <w:pPr>
        <w:keepNext w:val="0"/>
        <w:ind w:left="567"/>
        <w:rPr>
          <w:rFonts w:cs="Arial"/>
          <w:szCs w:val="24"/>
        </w:rPr>
      </w:pPr>
      <w:r w:rsidRPr="000B066F">
        <w:rPr>
          <w:rFonts w:cs="Arial"/>
          <w:szCs w:val="24"/>
        </w:rPr>
        <w:t xml:space="preserve">Malgré l’alinéa f) du point 02 de la présente </w:t>
      </w:r>
      <w:r w:rsidR="00F96948">
        <w:rPr>
          <w:rFonts w:cs="Arial"/>
          <w:szCs w:val="24"/>
        </w:rPr>
        <w:t>a</w:t>
      </w:r>
      <w:r w:rsidRPr="000B066F">
        <w:rPr>
          <w:rFonts w:cs="Arial"/>
          <w:szCs w:val="24"/>
        </w:rPr>
        <w:t>nnexe, à compter de l’année d’engagement 2017</w:t>
      </w:r>
      <w:r w:rsidR="00984A6F">
        <w:rPr>
          <w:rFonts w:cs="Arial"/>
          <w:szCs w:val="24"/>
        </w:rPr>
        <w:noBreakHyphen/>
      </w:r>
      <w:r w:rsidRPr="000B066F">
        <w:rPr>
          <w:rFonts w:cs="Arial"/>
          <w:szCs w:val="24"/>
        </w:rPr>
        <w:t>2018, une charge d’enseignement disponible au Centre d’études collégiales de Mont</w:t>
      </w:r>
      <w:r w:rsidR="00984A6F">
        <w:rPr>
          <w:rFonts w:cs="Arial"/>
          <w:szCs w:val="24"/>
        </w:rPr>
        <w:noBreakHyphen/>
      </w:r>
      <w:r w:rsidRPr="000B066F">
        <w:rPr>
          <w:rFonts w:cs="Arial"/>
          <w:szCs w:val="24"/>
        </w:rPr>
        <w:t>Tremblant ne peut être octroyée à une enseignante ou à un enseignant non permanent du Centre d’études collégiales de Mont</w:t>
      </w:r>
      <w:r w:rsidR="00984A6F">
        <w:rPr>
          <w:rFonts w:cs="Arial"/>
          <w:szCs w:val="24"/>
        </w:rPr>
        <w:noBreakHyphen/>
      </w:r>
      <w:r w:rsidRPr="000B066F">
        <w:rPr>
          <w:rFonts w:cs="Arial"/>
          <w:szCs w:val="24"/>
        </w:rPr>
        <w:t>Tremblant si cette charge permet d’éviter ou d’annuler la mise en disponibilité d’une enseignante ou d’un enseignant permanent du Cégep de Saint</w:t>
      </w:r>
      <w:r w:rsidR="00984A6F">
        <w:rPr>
          <w:rFonts w:cs="Arial"/>
          <w:szCs w:val="24"/>
        </w:rPr>
        <w:noBreakHyphen/>
      </w:r>
      <w:r w:rsidRPr="000B066F">
        <w:rPr>
          <w:rFonts w:cs="Arial"/>
          <w:szCs w:val="24"/>
        </w:rPr>
        <w:t>Jérôme.</w:t>
      </w:r>
    </w:p>
    <w:p w14:paraId="43B458F1" w14:textId="77777777" w:rsidR="00BA4239" w:rsidRPr="000B066F" w:rsidRDefault="00BA4239" w:rsidP="00A64613">
      <w:pPr>
        <w:keepNext w:val="0"/>
        <w:ind w:left="567" w:hanging="568"/>
        <w:rPr>
          <w:rFonts w:cs="Arial"/>
          <w:szCs w:val="24"/>
        </w:rPr>
      </w:pPr>
    </w:p>
    <w:p w14:paraId="78C4F010" w14:textId="16BEDCF6" w:rsidR="00BA4239" w:rsidRPr="00502488" w:rsidRDefault="00BA4239" w:rsidP="00A64613">
      <w:pPr>
        <w:keepNext w:val="0"/>
        <w:ind w:left="567"/>
        <w:rPr>
          <w:rFonts w:cs="Arial"/>
          <w:szCs w:val="24"/>
        </w:rPr>
      </w:pPr>
      <w:r w:rsidRPr="000B066F">
        <w:rPr>
          <w:rFonts w:cs="Arial"/>
          <w:szCs w:val="24"/>
        </w:rPr>
        <w:t>Malgré l’alinéa f) du point 02 de la présente annexe, à compter de l’année d’engagement 2017</w:t>
      </w:r>
      <w:r w:rsidR="00984A6F">
        <w:rPr>
          <w:rFonts w:cs="Arial"/>
          <w:szCs w:val="24"/>
        </w:rPr>
        <w:noBreakHyphen/>
      </w:r>
      <w:r w:rsidRPr="000B066F">
        <w:rPr>
          <w:rFonts w:cs="Arial"/>
          <w:szCs w:val="24"/>
        </w:rPr>
        <w:t>2018, une charge d’enseignement disponible au Cégep de Saint</w:t>
      </w:r>
      <w:r w:rsidR="00984A6F">
        <w:rPr>
          <w:rFonts w:cs="Arial"/>
          <w:szCs w:val="24"/>
        </w:rPr>
        <w:noBreakHyphen/>
      </w:r>
      <w:r w:rsidRPr="000B066F">
        <w:rPr>
          <w:rFonts w:cs="Arial"/>
          <w:szCs w:val="24"/>
        </w:rPr>
        <w:t>Jérôme ne peut être octroyée à une enseignante ou à un enseignant non permanent du Cégep de Saint</w:t>
      </w:r>
      <w:r w:rsidR="00984A6F">
        <w:rPr>
          <w:rFonts w:cs="Arial"/>
          <w:szCs w:val="24"/>
        </w:rPr>
        <w:noBreakHyphen/>
      </w:r>
      <w:r w:rsidRPr="000B066F">
        <w:rPr>
          <w:rFonts w:cs="Arial"/>
          <w:szCs w:val="24"/>
        </w:rPr>
        <w:t>Jérôme si cette charge permet d’éviter ou d’annuler la mise en disponibilité d’une enseignante ou d’un enseignant permanent du Centre d’études collégiales de Mont</w:t>
      </w:r>
      <w:r w:rsidR="00984A6F">
        <w:rPr>
          <w:rFonts w:cs="Arial"/>
          <w:szCs w:val="24"/>
        </w:rPr>
        <w:noBreakHyphen/>
      </w:r>
      <w:r w:rsidRPr="000B066F">
        <w:rPr>
          <w:rFonts w:cs="Arial"/>
          <w:szCs w:val="24"/>
        </w:rPr>
        <w:t>Tremblant.</w:t>
      </w:r>
      <w:r w:rsidRPr="00502488">
        <w:rPr>
          <w:rFonts w:cs="Arial"/>
          <w:szCs w:val="24"/>
        </w:rPr>
        <w:t xml:space="preserve"> </w:t>
      </w:r>
    </w:p>
    <w:p w14:paraId="363A7FD6" w14:textId="77777777" w:rsidR="00665C84" w:rsidRPr="00026EC1" w:rsidRDefault="00665C84" w:rsidP="00A64613">
      <w:pPr>
        <w:keepNext w:val="0"/>
      </w:pPr>
    </w:p>
    <w:p w14:paraId="7D470F7A" w14:textId="401AF801" w:rsidR="00665C84" w:rsidRPr="00026EC1" w:rsidRDefault="00275751" w:rsidP="00A64613">
      <w:pPr>
        <w:keepNext w:val="0"/>
        <w:tabs>
          <w:tab w:val="left" w:pos="0"/>
        </w:tabs>
        <w:ind w:left="567" w:hanging="567"/>
        <w:rPr>
          <w:b/>
          <w:bCs/>
          <w:u w:val="single"/>
        </w:rPr>
      </w:pPr>
      <w:r w:rsidRPr="00026EC1">
        <w:rPr>
          <w:bCs/>
        </w:rPr>
        <w:t>03.</w:t>
      </w:r>
      <w:r w:rsidRPr="00026EC1">
        <w:rPr>
          <w:bCs/>
        </w:rPr>
        <w:tab/>
      </w:r>
      <w:r w:rsidR="00665C84" w:rsidRPr="00026EC1">
        <w:rPr>
          <w:b/>
          <w:bCs/>
          <w:u w:val="single"/>
        </w:rPr>
        <w:t>Dispositions particulières au Cégep Beauce</w:t>
      </w:r>
      <w:r w:rsidR="00984A6F">
        <w:rPr>
          <w:b/>
          <w:bCs/>
          <w:u w:val="single"/>
        </w:rPr>
        <w:noBreakHyphen/>
      </w:r>
      <w:r w:rsidR="00665C84" w:rsidRPr="00026EC1">
        <w:rPr>
          <w:b/>
          <w:bCs/>
          <w:u w:val="single"/>
        </w:rPr>
        <w:t>Appalaches pour son Centre d</w:t>
      </w:r>
      <w:r w:rsidR="00BC3319" w:rsidRPr="00026EC1">
        <w:rPr>
          <w:b/>
          <w:bCs/>
          <w:u w:val="single"/>
        </w:rPr>
        <w:t>’</w:t>
      </w:r>
      <w:r w:rsidR="00665C84" w:rsidRPr="00026EC1">
        <w:rPr>
          <w:b/>
          <w:bCs/>
          <w:u w:val="single"/>
        </w:rPr>
        <w:t>études collégiales de Lac</w:t>
      </w:r>
      <w:r w:rsidR="00984A6F">
        <w:rPr>
          <w:b/>
          <w:bCs/>
          <w:u w:val="single"/>
        </w:rPr>
        <w:noBreakHyphen/>
      </w:r>
      <w:r w:rsidR="00665C84" w:rsidRPr="00026EC1">
        <w:rPr>
          <w:b/>
          <w:bCs/>
          <w:u w:val="single"/>
        </w:rPr>
        <w:t>Mégantic</w:t>
      </w:r>
    </w:p>
    <w:p w14:paraId="2A29BA40" w14:textId="77777777" w:rsidR="00665C84" w:rsidRPr="00026EC1" w:rsidRDefault="00665C84" w:rsidP="00A64613">
      <w:pPr>
        <w:pStyle w:val="Texte1cm"/>
        <w:keepNext w:val="0"/>
      </w:pPr>
    </w:p>
    <w:p w14:paraId="1DDAF7B4" w14:textId="22577CF9" w:rsidR="00665C84" w:rsidRPr="00026EC1" w:rsidRDefault="00665C84" w:rsidP="00A64613">
      <w:pPr>
        <w:pStyle w:val="Texte1cm"/>
        <w:keepNext w:val="0"/>
      </w:pPr>
      <w:r w:rsidRPr="00026EC1">
        <w:t>Le Collège et son sous</w:t>
      </w:r>
      <w:r w:rsidR="00984A6F">
        <w:noBreakHyphen/>
      </w:r>
      <w:r w:rsidRPr="00026EC1">
        <w:t>centre identifié sont considérés comme deux collèges distincts aux fins de l</w:t>
      </w:r>
      <w:r w:rsidR="00BC3319" w:rsidRPr="00026EC1">
        <w:t>’</w:t>
      </w:r>
      <w:r w:rsidRPr="00026EC1">
        <w:t>application des dispositions de la convention collective relatives aux sujets suivants</w:t>
      </w:r>
      <w:r w:rsidR="00D8581B">
        <w:t> :</w:t>
      </w:r>
    </w:p>
    <w:p w14:paraId="745D6EAF" w14:textId="77777777" w:rsidR="00665C84" w:rsidRPr="00026EC1" w:rsidRDefault="00665C84" w:rsidP="00A64613">
      <w:pPr>
        <w:keepNext w:val="0"/>
      </w:pPr>
    </w:p>
    <w:p w14:paraId="3F6C158D" w14:textId="77777777" w:rsidR="00665C84" w:rsidRPr="00026EC1" w:rsidRDefault="00275751" w:rsidP="00A64613">
      <w:pPr>
        <w:keepNext w:val="0"/>
        <w:tabs>
          <w:tab w:val="left" w:pos="1134"/>
        </w:tabs>
        <w:ind w:left="1134" w:hanging="567"/>
      </w:pPr>
      <w:r w:rsidRPr="00026EC1">
        <w:t>a)</w:t>
      </w:r>
      <w:r w:rsidRPr="00026EC1">
        <w:tab/>
      </w:r>
      <w:r w:rsidR="00665C84" w:rsidRPr="00026EC1">
        <w:t>engagement;</w:t>
      </w:r>
    </w:p>
    <w:p w14:paraId="3083A44E" w14:textId="77777777" w:rsidR="00665C84" w:rsidRPr="00026EC1" w:rsidRDefault="00275751" w:rsidP="00A64613">
      <w:pPr>
        <w:keepNext w:val="0"/>
        <w:tabs>
          <w:tab w:val="left" w:pos="1134"/>
        </w:tabs>
        <w:ind w:left="1134" w:hanging="567"/>
      </w:pPr>
      <w:r w:rsidRPr="00026EC1">
        <w:t>b)</w:t>
      </w:r>
      <w:r w:rsidRPr="00026EC1">
        <w:tab/>
      </w:r>
      <w:r w:rsidR="00665C84" w:rsidRPr="00026EC1">
        <w:t>permanence;</w:t>
      </w:r>
    </w:p>
    <w:p w14:paraId="45431542" w14:textId="77777777" w:rsidR="00665C84" w:rsidRPr="00026EC1" w:rsidRDefault="00275751" w:rsidP="00A64613">
      <w:pPr>
        <w:keepNext w:val="0"/>
        <w:tabs>
          <w:tab w:val="left" w:pos="1134"/>
        </w:tabs>
        <w:ind w:left="1134" w:hanging="567"/>
      </w:pPr>
      <w:r w:rsidRPr="00026EC1">
        <w:t>c)</w:t>
      </w:r>
      <w:r w:rsidRPr="00026EC1">
        <w:tab/>
      </w:r>
      <w:r w:rsidR="00665C84" w:rsidRPr="00026EC1">
        <w:t>ancienneté;</w:t>
      </w:r>
    </w:p>
    <w:p w14:paraId="39936569" w14:textId="77777777" w:rsidR="00665C84" w:rsidRPr="00026EC1" w:rsidRDefault="00275751" w:rsidP="00A64613">
      <w:pPr>
        <w:keepNext w:val="0"/>
        <w:tabs>
          <w:tab w:val="left" w:pos="1134"/>
        </w:tabs>
        <w:ind w:left="1134" w:hanging="567"/>
      </w:pPr>
      <w:r w:rsidRPr="00026EC1">
        <w:t>d)</w:t>
      </w:r>
      <w:r w:rsidRPr="00026EC1">
        <w:tab/>
      </w:r>
      <w:r w:rsidR="00665C84" w:rsidRPr="00026EC1">
        <w:t>modalités de la sécurité d</w:t>
      </w:r>
      <w:r w:rsidR="00BC3319" w:rsidRPr="00026EC1">
        <w:t>’</w:t>
      </w:r>
      <w:r w:rsidR="00665C84" w:rsidRPr="00026EC1">
        <w:t>emploi (sous réserve de la clause</w:t>
      </w:r>
      <w:r w:rsidR="00EF7680" w:rsidRPr="00026EC1">
        <w:t> </w:t>
      </w:r>
      <w:r w:rsidR="00665C84" w:rsidRPr="00026EC1">
        <w:t>05 de la présente annexe);</w:t>
      </w:r>
    </w:p>
    <w:p w14:paraId="66A63E37" w14:textId="77777777" w:rsidR="00665C84" w:rsidRPr="00026EC1" w:rsidRDefault="00275751" w:rsidP="00A64613">
      <w:pPr>
        <w:keepNext w:val="0"/>
        <w:tabs>
          <w:tab w:val="left" w:pos="1134"/>
        </w:tabs>
        <w:ind w:left="1134" w:hanging="567"/>
      </w:pPr>
      <w:r w:rsidRPr="00026EC1">
        <w:t>e)</w:t>
      </w:r>
      <w:r w:rsidRPr="00026EC1">
        <w:tab/>
      </w:r>
      <w:r w:rsidR="00665C84" w:rsidRPr="00026EC1">
        <w:t>échanges intercollèges;</w:t>
      </w:r>
    </w:p>
    <w:p w14:paraId="12ADB25A" w14:textId="77777777" w:rsidR="00665C84" w:rsidRPr="00026EC1" w:rsidRDefault="00275751" w:rsidP="00A64613">
      <w:pPr>
        <w:keepNext w:val="0"/>
        <w:tabs>
          <w:tab w:val="left" w:pos="1134"/>
        </w:tabs>
        <w:ind w:left="1134" w:hanging="567"/>
      </w:pPr>
      <w:r w:rsidRPr="00026EC1">
        <w:t>f)</w:t>
      </w:r>
      <w:r w:rsidRPr="00026EC1">
        <w:tab/>
      </w:r>
      <w:r w:rsidR="00665C84" w:rsidRPr="00026EC1">
        <w:t>projet de répartition des enseignantes et enseignants entre les disciplines;</w:t>
      </w:r>
    </w:p>
    <w:p w14:paraId="2C9FEF87" w14:textId="77777777" w:rsidR="00665C84" w:rsidRPr="00026EC1" w:rsidRDefault="00275751" w:rsidP="00A64613">
      <w:pPr>
        <w:keepNext w:val="0"/>
        <w:tabs>
          <w:tab w:val="left" w:pos="1134"/>
        </w:tabs>
        <w:ind w:left="1134" w:hanging="567"/>
      </w:pPr>
      <w:r w:rsidRPr="00026EC1">
        <w:t>g)</w:t>
      </w:r>
      <w:r w:rsidRPr="00026EC1">
        <w:tab/>
      </w:r>
      <w:r w:rsidR="00665C84" w:rsidRPr="00026EC1">
        <w:t>le nombre de postes dans une discipline et son application;</w:t>
      </w:r>
    </w:p>
    <w:p w14:paraId="0EB4D6CD" w14:textId="77777777" w:rsidR="00665C84" w:rsidRPr="00026EC1" w:rsidRDefault="00275751" w:rsidP="00A64613">
      <w:pPr>
        <w:keepNext w:val="0"/>
        <w:tabs>
          <w:tab w:val="left" w:pos="1134"/>
        </w:tabs>
        <w:ind w:left="1134" w:hanging="567"/>
      </w:pPr>
      <w:r w:rsidRPr="00026EC1">
        <w:t>h)</w:t>
      </w:r>
      <w:r w:rsidRPr="00026EC1">
        <w:tab/>
      </w:r>
      <w:r w:rsidR="00665C84" w:rsidRPr="00026EC1">
        <w:t>calcul de la charge de travail d</w:t>
      </w:r>
      <w:r w:rsidR="00BC3319" w:rsidRPr="00026EC1">
        <w:t>’</w:t>
      </w:r>
      <w:r w:rsidR="00665C84" w:rsidRPr="00026EC1">
        <w:t>une enseignante ou d</w:t>
      </w:r>
      <w:r w:rsidR="00BC3319" w:rsidRPr="00026EC1">
        <w:t>’</w:t>
      </w:r>
      <w:r w:rsidR="00665C84" w:rsidRPr="00026EC1">
        <w:t>un enseignant;</w:t>
      </w:r>
    </w:p>
    <w:p w14:paraId="4AA13842" w14:textId="77777777" w:rsidR="00665C84" w:rsidRPr="00026EC1" w:rsidRDefault="00275751" w:rsidP="00A64613">
      <w:pPr>
        <w:keepNext w:val="0"/>
        <w:tabs>
          <w:tab w:val="left" w:pos="1134"/>
        </w:tabs>
        <w:ind w:left="1134" w:hanging="567"/>
      </w:pPr>
      <w:r w:rsidRPr="00026EC1">
        <w:t>i)</w:t>
      </w:r>
      <w:r w:rsidRPr="00026EC1">
        <w:tab/>
      </w:r>
      <w:r w:rsidR="00665C84" w:rsidRPr="00026EC1">
        <w:t>formation continue.</w:t>
      </w:r>
    </w:p>
    <w:p w14:paraId="733F7E94" w14:textId="77777777" w:rsidR="00665C84" w:rsidRPr="00026EC1" w:rsidRDefault="00665C84" w:rsidP="00A64613">
      <w:pPr>
        <w:keepNext w:val="0"/>
      </w:pPr>
    </w:p>
    <w:p w14:paraId="30C736C7" w14:textId="091A4DDD" w:rsidR="004D48DD" w:rsidRPr="00A42605" w:rsidRDefault="00275751" w:rsidP="004D48DD">
      <w:pPr>
        <w:autoSpaceDE w:val="0"/>
        <w:autoSpaceDN w:val="0"/>
        <w:adjustRightInd w:val="0"/>
        <w:spacing w:beforeLines="60" w:before="144" w:afterLines="60" w:after="144"/>
        <w:ind w:left="426" w:hanging="426"/>
        <w:rPr>
          <w:rFonts w:cs="Arial"/>
          <w:b/>
          <w:bCs/>
        </w:rPr>
      </w:pPr>
      <w:r w:rsidRPr="00026EC1">
        <w:t>04.</w:t>
      </w:r>
      <w:r w:rsidRPr="00026EC1">
        <w:tab/>
      </w:r>
      <w:r w:rsidR="00665C84" w:rsidRPr="00026EC1">
        <w:rPr>
          <w:b/>
          <w:u w:val="single"/>
        </w:rPr>
        <w:t xml:space="preserve">Dispositions particulières </w:t>
      </w:r>
      <w:r w:rsidR="006C7190" w:rsidRPr="00CB060D">
        <w:rPr>
          <w:rFonts w:cs="Arial"/>
          <w:b/>
          <w:bCs/>
          <w:u w:val="single"/>
        </w:rPr>
        <w:t>au Cégep de Saint-Félicien pour son Centre d’études collégiales à Chibougamau</w:t>
      </w:r>
      <w:r w:rsidR="006C7190" w:rsidRPr="00CB060D">
        <w:rPr>
          <w:rStyle w:val="FootnoteReference"/>
          <w:rFonts w:cs="Arial"/>
          <w:b/>
          <w:bCs/>
          <w:u w:val="single"/>
        </w:rPr>
        <w:footnoteReference w:id="45"/>
      </w:r>
      <w:r w:rsidR="006C7190" w:rsidRPr="00CB060D">
        <w:rPr>
          <w:rFonts w:cs="Arial"/>
          <w:b/>
          <w:bCs/>
          <w:u w:val="single"/>
        </w:rPr>
        <w:t>,</w:t>
      </w:r>
      <w:r w:rsidR="006C7190" w:rsidRPr="00CB060D">
        <w:rPr>
          <w:b/>
          <w:u w:val="single"/>
        </w:rPr>
        <w:t xml:space="preserve"> </w:t>
      </w:r>
      <w:r w:rsidR="00665C84" w:rsidRPr="00CB060D">
        <w:rPr>
          <w:b/>
          <w:u w:val="single"/>
        </w:rPr>
        <w:t>a</w:t>
      </w:r>
      <w:r w:rsidR="00665C84" w:rsidRPr="00026EC1">
        <w:rPr>
          <w:b/>
          <w:u w:val="single"/>
        </w:rPr>
        <w:t>u Cégep de Jonquière pour son Centre d</w:t>
      </w:r>
      <w:r w:rsidR="00BC3319" w:rsidRPr="00026EC1">
        <w:rPr>
          <w:b/>
          <w:u w:val="single"/>
        </w:rPr>
        <w:t>’</w:t>
      </w:r>
      <w:r w:rsidR="00665C84" w:rsidRPr="00026EC1">
        <w:rPr>
          <w:b/>
          <w:u w:val="single"/>
        </w:rPr>
        <w:t>études collégiales en Charlevoix</w:t>
      </w:r>
      <w:r w:rsidR="0054524B" w:rsidRPr="00316277">
        <w:rPr>
          <w:b/>
          <w:u w:val="single"/>
        </w:rPr>
        <w:t>,</w:t>
      </w:r>
      <w:r w:rsidR="00665C84" w:rsidRPr="00026EC1">
        <w:rPr>
          <w:b/>
          <w:u w:val="single"/>
        </w:rPr>
        <w:t xml:space="preserve"> au Cégep de la Gaspésie et des Îles pour son Centre d</w:t>
      </w:r>
      <w:r w:rsidR="00BC3319" w:rsidRPr="00026EC1">
        <w:rPr>
          <w:b/>
          <w:u w:val="single"/>
        </w:rPr>
        <w:t>’</w:t>
      </w:r>
      <w:r w:rsidR="00665C84" w:rsidRPr="00026EC1">
        <w:rPr>
          <w:b/>
          <w:u w:val="single"/>
        </w:rPr>
        <w:t xml:space="preserve">études collégiales </w:t>
      </w:r>
      <w:r w:rsidR="005F4875">
        <w:rPr>
          <w:b/>
          <w:u w:val="single"/>
        </w:rPr>
        <w:t>Carleton</w:t>
      </w:r>
      <w:r w:rsidR="00984A6F">
        <w:rPr>
          <w:b/>
          <w:u w:val="single"/>
        </w:rPr>
        <w:noBreakHyphen/>
      </w:r>
      <w:r w:rsidR="005F4875">
        <w:rPr>
          <w:b/>
          <w:u w:val="single"/>
        </w:rPr>
        <w:t>sur</w:t>
      </w:r>
      <w:r w:rsidR="00984A6F">
        <w:rPr>
          <w:b/>
          <w:u w:val="single"/>
        </w:rPr>
        <w:noBreakHyphen/>
      </w:r>
      <w:r w:rsidR="009B33A0">
        <w:rPr>
          <w:b/>
          <w:u w:val="single"/>
        </w:rPr>
        <w:t>M</w:t>
      </w:r>
      <w:r w:rsidR="005F4875">
        <w:rPr>
          <w:b/>
          <w:u w:val="single"/>
        </w:rPr>
        <w:t>er</w:t>
      </w:r>
      <w:r w:rsidR="00665C84" w:rsidRPr="00026EC1">
        <w:rPr>
          <w:b/>
          <w:u w:val="single"/>
        </w:rPr>
        <w:t xml:space="preserve"> </w:t>
      </w:r>
    </w:p>
    <w:p w14:paraId="3C2CE4C9" w14:textId="658D2B09" w:rsidR="00665C84" w:rsidRPr="00026EC1" w:rsidRDefault="00665C84" w:rsidP="00A64613">
      <w:pPr>
        <w:keepNext w:val="0"/>
        <w:tabs>
          <w:tab w:val="left" w:pos="0"/>
        </w:tabs>
        <w:ind w:left="567" w:hanging="567"/>
        <w:rPr>
          <w:b/>
          <w:i/>
          <w:u w:val="single"/>
        </w:rPr>
      </w:pPr>
    </w:p>
    <w:p w14:paraId="57A90290" w14:textId="7CE7A2CE" w:rsidR="00665C84" w:rsidRPr="00026EC1" w:rsidRDefault="00665C84" w:rsidP="00A64613">
      <w:pPr>
        <w:keepNext w:val="0"/>
        <w:ind w:left="567"/>
      </w:pPr>
      <w:r w:rsidRPr="00026EC1">
        <w:t>Le Collège et son ou ses sous</w:t>
      </w:r>
      <w:r w:rsidR="00984A6F">
        <w:noBreakHyphen/>
      </w:r>
      <w:r w:rsidRPr="00026EC1">
        <w:t>centres identifiés sont considérés comme deux collèges distincts aux fins de l</w:t>
      </w:r>
      <w:r w:rsidR="00BC3319" w:rsidRPr="00026EC1">
        <w:t>’</w:t>
      </w:r>
      <w:r w:rsidRPr="00026EC1">
        <w:t>application des dispositions de la convention collective relatives aux sujets suivants</w:t>
      </w:r>
      <w:r w:rsidR="00D8581B">
        <w:t> :</w:t>
      </w:r>
    </w:p>
    <w:p w14:paraId="09D42A1A" w14:textId="77777777" w:rsidR="00665C84" w:rsidRPr="00026EC1" w:rsidRDefault="00665C84" w:rsidP="00A64613">
      <w:pPr>
        <w:keepNext w:val="0"/>
        <w:ind w:left="567"/>
      </w:pPr>
    </w:p>
    <w:p w14:paraId="1A4C9FA8" w14:textId="77777777" w:rsidR="00665C84" w:rsidRPr="00026EC1" w:rsidRDefault="00275751" w:rsidP="00A64613">
      <w:pPr>
        <w:keepNext w:val="0"/>
        <w:tabs>
          <w:tab w:val="left" w:pos="1134"/>
        </w:tabs>
        <w:ind w:left="1134" w:hanging="567"/>
      </w:pPr>
      <w:r w:rsidRPr="00026EC1">
        <w:t>a)</w:t>
      </w:r>
      <w:r w:rsidRPr="00026EC1">
        <w:tab/>
      </w:r>
      <w:r w:rsidR="00665C84" w:rsidRPr="00026EC1">
        <w:t>engagement;</w:t>
      </w:r>
    </w:p>
    <w:p w14:paraId="0895A1A3" w14:textId="77777777" w:rsidR="00665C84" w:rsidRPr="00026EC1" w:rsidRDefault="00275751" w:rsidP="00A64613">
      <w:pPr>
        <w:keepNext w:val="0"/>
        <w:tabs>
          <w:tab w:val="left" w:pos="1134"/>
        </w:tabs>
        <w:ind w:left="1134" w:hanging="567"/>
      </w:pPr>
      <w:r w:rsidRPr="00026EC1">
        <w:t>b)</w:t>
      </w:r>
      <w:r w:rsidRPr="00026EC1">
        <w:tab/>
      </w:r>
      <w:r w:rsidR="00665C84" w:rsidRPr="00026EC1">
        <w:t>permanence;</w:t>
      </w:r>
    </w:p>
    <w:p w14:paraId="6F66A721" w14:textId="77777777" w:rsidR="00665C84" w:rsidRPr="00026EC1" w:rsidRDefault="00275751" w:rsidP="00A64613">
      <w:pPr>
        <w:keepNext w:val="0"/>
        <w:tabs>
          <w:tab w:val="left" w:pos="1134"/>
        </w:tabs>
        <w:ind w:left="1134" w:hanging="567"/>
      </w:pPr>
      <w:r w:rsidRPr="00026EC1">
        <w:t>c)</w:t>
      </w:r>
      <w:r w:rsidRPr="00026EC1">
        <w:tab/>
      </w:r>
      <w:r w:rsidR="00665C84" w:rsidRPr="00026EC1">
        <w:t>ancienneté;</w:t>
      </w:r>
    </w:p>
    <w:p w14:paraId="502690AD" w14:textId="77777777" w:rsidR="00665C84" w:rsidRPr="00026EC1" w:rsidRDefault="00275751" w:rsidP="00A64613">
      <w:pPr>
        <w:keepNext w:val="0"/>
        <w:tabs>
          <w:tab w:val="left" w:pos="1134"/>
        </w:tabs>
        <w:ind w:left="1134" w:hanging="567"/>
      </w:pPr>
      <w:r w:rsidRPr="00026EC1">
        <w:t>d)</w:t>
      </w:r>
      <w:r w:rsidRPr="00026EC1">
        <w:tab/>
      </w:r>
      <w:r w:rsidR="00665C84" w:rsidRPr="00026EC1">
        <w:t>modalités de la sécurité d</w:t>
      </w:r>
      <w:r w:rsidR="00BC3319" w:rsidRPr="00026EC1">
        <w:t>’</w:t>
      </w:r>
      <w:r w:rsidR="00665C84" w:rsidRPr="00026EC1">
        <w:t xml:space="preserve">emploi </w:t>
      </w:r>
      <w:r w:rsidR="0085650A" w:rsidRPr="00026EC1">
        <w:t>(</w:t>
      </w:r>
      <w:r w:rsidR="00665C84" w:rsidRPr="00026EC1">
        <w:t>sous réserve de la clause 05 de la présente annexe</w:t>
      </w:r>
      <w:r w:rsidR="0085650A" w:rsidRPr="00026EC1">
        <w:t>)</w:t>
      </w:r>
      <w:r w:rsidR="00665C84" w:rsidRPr="00026EC1">
        <w:t>;</w:t>
      </w:r>
    </w:p>
    <w:p w14:paraId="72892811" w14:textId="77777777" w:rsidR="00665C84" w:rsidRPr="00026EC1" w:rsidRDefault="00275751" w:rsidP="00A64613">
      <w:pPr>
        <w:keepNext w:val="0"/>
        <w:tabs>
          <w:tab w:val="left" w:pos="1134"/>
        </w:tabs>
        <w:ind w:left="1134" w:hanging="567"/>
      </w:pPr>
      <w:r w:rsidRPr="00026EC1">
        <w:t>e)</w:t>
      </w:r>
      <w:r w:rsidRPr="00026EC1">
        <w:tab/>
      </w:r>
      <w:r w:rsidR="00665C84" w:rsidRPr="00026EC1">
        <w:t>échanges intercollèges;</w:t>
      </w:r>
    </w:p>
    <w:p w14:paraId="12D3119C" w14:textId="77777777" w:rsidR="00665C84" w:rsidRPr="00026EC1" w:rsidRDefault="00275751" w:rsidP="00A64613">
      <w:pPr>
        <w:keepNext w:val="0"/>
        <w:tabs>
          <w:tab w:val="left" w:pos="1134"/>
        </w:tabs>
        <w:ind w:left="1134" w:hanging="567"/>
      </w:pPr>
      <w:r w:rsidRPr="00026EC1">
        <w:t>f)</w:t>
      </w:r>
      <w:r w:rsidRPr="00026EC1">
        <w:tab/>
      </w:r>
      <w:r w:rsidR="00665C84" w:rsidRPr="00026EC1">
        <w:t>projet de répartition des enseignantes et enseignants entre les disciplines;</w:t>
      </w:r>
    </w:p>
    <w:p w14:paraId="465743D8" w14:textId="77777777" w:rsidR="00665C84" w:rsidRPr="00026EC1" w:rsidRDefault="00275751" w:rsidP="00A64613">
      <w:pPr>
        <w:keepNext w:val="0"/>
        <w:tabs>
          <w:tab w:val="left" w:pos="1134"/>
        </w:tabs>
        <w:ind w:left="1134" w:hanging="567"/>
      </w:pPr>
      <w:r w:rsidRPr="00026EC1">
        <w:t>g)</w:t>
      </w:r>
      <w:r w:rsidRPr="00026EC1">
        <w:tab/>
      </w:r>
      <w:r w:rsidR="00665C84" w:rsidRPr="00026EC1">
        <w:t>nombre de postes dans une discipline et son application;</w:t>
      </w:r>
    </w:p>
    <w:p w14:paraId="1CD29BD3" w14:textId="77777777" w:rsidR="00665C84" w:rsidRPr="00026EC1" w:rsidRDefault="00275751" w:rsidP="00A64613">
      <w:pPr>
        <w:keepNext w:val="0"/>
        <w:tabs>
          <w:tab w:val="left" w:pos="1134"/>
        </w:tabs>
        <w:ind w:left="1134" w:hanging="567"/>
      </w:pPr>
      <w:r w:rsidRPr="00026EC1">
        <w:t>h)</w:t>
      </w:r>
      <w:r w:rsidRPr="00026EC1">
        <w:tab/>
      </w:r>
      <w:r w:rsidR="00665C84" w:rsidRPr="00026EC1">
        <w:t>calcul de la charge de travail d</w:t>
      </w:r>
      <w:r w:rsidR="00BC3319" w:rsidRPr="00026EC1">
        <w:t>’</w:t>
      </w:r>
      <w:r w:rsidR="00665C84" w:rsidRPr="00026EC1">
        <w:t>une enseignante ou d</w:t>
      </w:r>
      <w:r w:rsidR="00BC3319" w:rsidRPr="00026EC1">
        <w:t>’</w:t>
      </w:r>
      <w:r w:rsidR="00665C84" w:rsidRPr="00026EC1">
        <w:t>un enseignant;</w:t>
      </w:r>
    </w:p>
    <w:p w14:paraId="56B0A5C6" w14:textId="77777777" w:rsidR="00665C84" w:rsidRPr="00026EC1" w:rsidRDefault="00275751" w:rsidP="00A64613">
      <w:pPr>
        <w:keepNext w:val="0"/>
        <w:tabs>
          <w:tab w:val="left" w:pos="1134"/>
        </w:tabs>
        <w:ind w:left="1134" w:hanging="567"/>
      </w:pPr>
      <w:r w:rsidRPr="00026EC1">
        <w:t>i)</w:t>
      </w:r>
      <w:r w:rsidRPr="00026EC1">
        <w:tab/>
      </w:r>
      <w:r w:rsidR="00665C84" w:rsidRPr="00026EC1">
        <w:t>formation continue;</w:t>
      </w:r>
    </w:p>
    <w:p w14:paraId="51D478A4" w14:textId="77777777" w:rsidR="00665C84" w:rsidRPr="00026EC1" w:rsidRDefault="00275751" w:rsidP="00A64613">
      <w:pPr>
        <w:keepNext w:val="0"/>
        <w:tabs>
          <w:tab w:val="left" w:pos="1134"/>
        </w:tabs>
        <w:ind w:left="1134" w:hanging="567"/>
      </w:pPr>
      <w:r w:rsidRPr="00026EC1">
        <w:t>j)</w:t>
      </w:r>
      <w:r w:rsidRPr="00026EC1">
        <w:tab/>
      </w:r>
      <w:r w:rsidR="00665C84" w:rsidRPr="00026EC1">
        <w:t>département et coordination départementale;</w:t>
      </w:r>
    </w:p>
    <w:p w14:paraId="5F251201" w14:textId="77777777" w:rsidR="00665C84" w:rsidRPr="00026EC1" w:rsidRDefault="00275751" w:rsidP="00A64613">
      <w:pPr>
        <w:keepNext w:val="0"/>
        <w:tabs>
          <w:tab w:val="left" w:pos="1134"/>
        </w:tabs>
        <w:ind w:left="1134" w:hanging="567"/>
      </w:pPr>
      <w:r w:rsidRPr="00026EC1">
        <w:t>k)</w:t>
      </w:r>
      <w:r w:rsidRPr="00026EC1">
        <w:tab/>
      </w:r>
      <w:r w:rsidR="00665C84" w:rsidRPr="00026EC1">
        <w:t>sélection des enseignantes et enseignants réguliers;</w:t>
      </w:r>
    </w:p>
    <w:p w14:paraId="2C3095D1" w14:textId="77777777" w:rsidR="00665C84" w:rsidRPr="00026EC1" w:rsidRDefault="00275751" w:rsidP="00A64613">
      <w:pPr>
        <w:keepNext w:val="0"/>
        <w:tabs>
          <w:tab w:val="left" w:pos="1134"/>
        </w:tabs>
        <w:ind w:left="1134" w:hanging="567"/>
      </w:pPr>
      <w:r w:rsidRPr="00026EC1">
        <w:t>l)</w:t>
      </w:r>
      <w:r w:rsidRPr="00026EC1">
        <w:tab/>
      </w:r>
      <w:r w:rsidR="00665C84" w:rsidRPr="00026EC1">
        <w:t>perfectionnement;</w:t>
      </w:r>
    </w:p>
    <w:p w14:paraId="5EF04A84" w14:textId="77777777" w:rsidR="00665C84" w:rsidRPr="00026EC1" w:rsidRDefault="00275751" w:rsidP="00A64613">
      <w:pPr>
        <w:keepNext w:val="0"/>
        <w:tabs>
          <w:tab w:val="left" w:pos="1134"/>
        </w:tabs>
        <w:ind w:left="1134" w:hanging="567"/>
      </w:pPr>
      <w:r w:rsidRPr="00026EC1">
        <w:t>m)</w:t>
      </w:r>
      <w:r w:rsidRPr="00026EC1">
        <w:tab/>
      </w:r>
      <w:r w:rsidR="00665C84" w:rsidRPr="00026EC1">
        <w:t>cours d</w:t>
      </w:r>
      <w:r w:rsidR="00BC3319" w:rsidRPr="00026EC1">
        <w:t>’</w:t>
      </w:r>
      <w:r w:rsidR="00665C84" w:rsidRPr="00026EC1">
        <w:t>été;</w:t>
      </w:r>
    </w:p>
    <w:p w14:paraId="436790C1" w14:textId="77777777" w:rsidR="00665C84" w:rsidRPr="00026EC1" w:rsidRDefault="00275751" w:rsidP="00A64613">
      <w:pPr>
        <w:keepNext w:val="0"/>
        <w:tabs>
          <w:tab w:val="left" w:pos="1134"/>
        </w:tabs>
        <w:ind w:left="1134" w:hanging="567"/>
      </w:pPr>
      <w:r w:rsidRPr="00026EC1">
        <w:t>n)</w:t>
      </w:r>
      <w:r w:rsidRPr="00026EC1">
        <w:tab/>
      </w:r>
      <w:r w:rsidR="00665C84" w:rsidRPr="00026EC1">
        <w:t>CRT;</w:t>
      </w:r>
    </w:p>
    <w:p w14:paraId="77291E0B" w14:textId="77777777" w:rsidR="00665C84" w:rsidRPr="00026EC1" w:rsidRDefault="00275751" w:rsidP="00A64613">
      <w:pPr>
        <w:keepNext w:val="0"/>
        <w:tabs>
          <w:tab w:val="left" w:pos="1134"/>
        </w:tabs>
        <w:ind w:left="1134" w:hanging="567"/>
      </w:pPr>
      <w:r w:rsidRPr="00026EC1">
        <w:t>o)</w:t>
      </w:r>
      <w:r w:rsidRPr="00026EC1">
        <w:tab/>
      </w:r>
      <w:r w:rsidR="00665C84" w:rsidRPr="00026EC1">
        <w:t>comité de programme et coordination du comité de programme.</w:t>
      </w:r>
    </w:p>
    <w:p w14:paraId="7F727557" w14:textId="77777777" w:rsidR="00665C84" w:rsidRPr="00026EC1" w:rsidRDefault="00665C84" w:rsidP="00A64613">
      <w:pPr>
        <w:keepNext w:val="0"/>
        <w:ind w:left="567" w:hanging="567"/>
      </w:pPr>
    </w:p>
    <w:p w14:paraId="650C99CB" w14:textId="3F4AD5CD" w:rsidR="00665C84" w:rsidRPr="00026EC1" w:rsidRDefault="00275751" w:rsidP="00A64613">
      <w:pPr>
        <w:keepNext w:val="0"/>
        <w:tabs>
          <w:tab w:val="left" w:pos="0"/>
        </w:tabs>
        <w:ind w:left="567" w:hanging="567"/>
      </w:pPr>
      <w:r w:rsidRPr="00026EC1">
        <w:t>05.</w:t>
      </w:r>
      <w:r w:rsidRPr="00026EC1">
        <w:tab/>
      </w:r>
      <w:r w:rsidR="00665C84" w:rsidRPr="00026EC1">
        <w:t>Dans le cas de fermeture totale ou partielle d</w:t>
      </w:r>
      <w:r w:rsidR="00BC3319" w:rsidRPr="00026EC1">
        <w:t>’</w:t>
      </w:r>
      <w:r w:rsidR="00665C84" w:rsidRPr="00026EC1">
        <w:t xml:space="preserve">un programme dans un </w:t>
      </w:r>
      <w:r w:rsidR="0085650A" w:rsidRPr="00026EC1">
        <w:t>s</w:t>
      </w:r>
      <w:r w:rsidR="00665C84" w:rsidRPr="00026EC1">
        <w:t>ous</w:t>
      </w:r>
      <w:r w:rsidR="00984A6F">
        <w:noBreakHyphen/>
      </w:r>
      <w:r w:rsidR="00665C84" w:rsidRPr="00026EC1">
        <w:t>centre ou dans le cas de la fermeture d</w:t>
      </w:r>
      <w:r w:rsidR="00BC3319" w:rsidRPr="00026EC1">
        <w:t>’</w:t>
      </w:r>
      <w:r w:rsidR="00665C84" w:rsidRPr="00026EC1">
        <w:t>un sous</w:t>
      </w:r>
      <w:r w:rsidR="00984A6F">
        <w:noBreakHyphen/>
      </w:r>
      <w:r w:rsidR="00665C84" w:rsidRPr="00026EC1">
        <w:t>centre, les enseignantes et enseignants visés ne sont plus régis par la présente annexe</w:t>
      </w:r>
      <w:r w:rsidR="00665807" w:rsidRPr="00026EC1">
        <w:t xml:space="preserve"> </w:t>
      </w:r>
      <w:r w:rsidR="00665C84" w:rsidRPr="00026EC1">
        <w:t>et le Collège succède à son sous</w:t>
      </w:r>
      <w:r w:rsidR="00984A6F">
        <w:noBreakHyphen/>
      </w:r>
      <w:r w:rsidR="00665C84" w:rsidRPr="00026EC1">
        <w:t>centre.</w:t>
      </w:r>
    </w:p>
    <w:p w14:paraId="2F74DF15" w14:textId="77777777" w:rsidR="00404F34" w:rsidRPr="00026EC1" w:rsidRDefault="00404F34" w:rsidP="00A64613">
      <w:pPr>
        <w:keepNext w:val="0"/>
      </w:pPr>
    </w:p>
    <w:p w14:paraId="319EF668" w14:textId="7A584F6C" w:rsidR="00404F34" w:rsidRPr="009E58C2" w:rsidRDefault="00404F34" w:rsidP="00A64613">
      <w:pPr>
        <w:pStyle w:val="Heading3"/>
        <w:keepNext w:val="0"/>
      </w:pPr>
      <w:r w:rsidRPr="00026EC1">
        <w:br w:type="page"/>
      </w:r>
      <w:bookmarkStart w:id="1074" w:name="_Toc535046659"/>
      <w:bookmarkStart w:id="1075" w:name="_Toc133760826"/>
      <w:bookmarkStart w:id="1076" w:name="_Toc133916974"/>
      <w:bookmarkStart w:id="1077" w:name="_Toc134437249"/>
      <w:bookmarkStart w:id="1078" w:name="_Toc393449040"/>
      <w:bookmarkStart w:id="1079" w:name="_Toc393449409"/>
      <w:bookmarkStart w:id="1080" w:name="_Toc462751534"/>
      <w:bookmarkStart w:id="1081" w:name="_Toc484082551"/>
      <w:bookmarkStart w:id="1082" w:name="_Toc168479574"/>
      <w:r w:rsidR="00024D22" w:rsidRPr="009E58C2">
        <w:t>A</w:t>
      </w:r>
      <w:r w:rsidR="00C053FC" w:rsidRPr="009E58C2">
        <w:t>nnexe I</w:t>
      </w:r>
      <w:r w:rsidR="00B92165">
        <w:t>-</w:t>
      </w:r>
      <w:r w:rsidR="00024D22" w:rsidRPr="009E58C2">
        <w:t>8</w:t>
      </w:r>
      <w:bookmarkStart w:id="1083" w:name="_Toc535046660"/>
      <w:bookmarkStart w:id="1084" w:name="_Toc133760827"/>
      <w:bookmarkEnd w:id="1074"/>
      <w:bookmarkEnd w:id="1075"/>
      <w:bookmarkEnd w:id="1076"/>
      <w:bookmarkEnd w:id="1077"/>
      <w:bookmarkEnd w:id="1078"/>
      <w:bookmarkEnd w:id="1079"/>
      <w:r w:rsidR="00024D22" w:rsidRPr="009E58C2">
        <w:br/>
      </w:r>
      <w:r w:rsidR="00024D22" w:rsidRPr="009E58C2">
        <w:br/>
        <w:t>Lettre d’entente relative à l’augmentation du taux de réussite des étudiantes et des étudiants et à la réduction des coûts qu’entraîne la reprise des cours échoué</w:t>
      </w:r>
      <w:bookmarkEnd w:id="1083"/>
      <w:r w:rsidR="00024D22" w:rsidRPr="009E58C2">
        <w:t>s</w:t>
      </w:r>
      <w:bookmarkEnd w:id="1080"/>
      <w:bookmarkEnd w:id="1081"/>
      <w:bookmarkEnd w:id="1082"/>
      <w:bookmarkEnd w:id="1084"/>
    </w:p>
    <w:p w14:paraId="3A5FBC16" w14:textId="1CF8504F" w:rsidR="00404F34" w:rsidRPr="00026EC1" w:rsidRDefault="00404F34" w:rsidP="00A64613">
      <w:pPr>
        <w:keepNext w:val="0"/>
      </w:pPr>
      <w:r w:rsidRPr="00026EC1">
        <w:t>Dans le but d</w:t>
      </w:r>
      <w:r w:rsidR="00BC3319" w:rsidRPr="00026EC1">
        <w:t>’</w:t>
      </w:r>
      <w:r w:rsidRPr="00026EC1">
        <w:t>augmenter le taux de réussite des étudiantes et des étudiants et</w:t>
      </w:r>
      <w:r w:rsidR="00001A42" w:rsidRPr="00026EC1">
        <w:t>,</w:t>
      </w:r>
      <w:r w:rsidRPr="00026EC1">
        <w:t xml:space="preserve"> par conséquent, de diminuer les coûts qu</w:t>
      </w:r>
      <w:r w:rsidR="00BC3319" w:rsidRPr="00026EC1">
        <w:t>’</w:t>
      </w:r>
      <w:r w:rsidRPr="00026EC1">
        <w:t>entraîne la reprise ou le remplacement dans le curriculum des cours échoués, les enseignantes et les enseignants s</w:t>
      </w:r>
      <w:r w:rsidR="00BC3319" w:rsidRPr="00026EC1">
        <w:t>’</w:t>
      </w:r>
      <w:r w:rsidRPr="00026EC1">
        <w:t>engagent collectivement à assumer, en sus de la tâche d</w:t>
      </w:r>
      <w:r w:rsidR="00BC3319" w:rsidRPr="00026EC1">
        <w:t>’</w:t>
      </w:r>
      <w:r w:rsidRPr="00026EC1">
        <w:t>enseignement calculée à l</w:t>
      </w:r>
      <w:r w:rsidR="00BC3319" w:rsidRPr="00026EC1">
        <w:t>’</w:t>
      </w:r>
      <w:r w:rsidR="00665807" w:rsidRPr="00026EC1">
        <w:t>A</w:t>
      </w:r>
      <w:r w:rsidRPr="00026EC1">
        <w:t>nnexe I</w:t>
      </w:r>
      <w:r w:rsidR="00984A6F">
        <w:noBreakHyphen/>
      </w:r>
      <w:r w:rsidRPr="00026EC1">
        <w:t>1 de la convention collective actuelle, une</w:t>
      </w:r>
      <w:r w:rsidR="00302126">
        <w:t> </w:t>
      </w:r>
      <w:r w:rsidR="002E5087" w:rsidRPr="00026EC1">
        <w:t>(1)</w:t>
      </w:r>
      <w:r w:rsidRPr="00026EC1">
        <w:t xml:space="preserve"> heure hebdomadaire d</w:t>
      </w:r>
      <w:r w:rsidR="00BC3319" w:rsidRPr="00026EC1">
        <w:t>’</w:t>
      </w:r>
      <w:r w:rsidRPr="00026EC1">
        <w:t>encadrement.</w:t>
      </w:r>
    </w:p>
    <w:p w14:paraId="05BF7CB3" w14:textId="77777777" w:rsidR="00404F34" w:rsidRPr="00583A08" w:rsidRDefault="00404F34" w:rsidP="00A64613">
      <w:pPr>
        <w:keepNext w:val="0"/>
        <w:rPr>
          <w:sz w:val="22"/>
          <w:szCs w:val="22"/>
        </w:rPr>
      </w:pPr>
    </w:p>
    <w:p w14:paraId="1E1F974D" w14:textId="5ACB1325" w:rsidR="00404F34" w:rsidRPr="00026EC1" w:rsidRDefault="00404F34" w:rsidP="00A64613">
      <w:pPr>
        <w:keepNext w:val="0"/>
      </w:pPr>
      <w:r w:rsidRPr="00026EC1">
        <w:t>Pour une année donnée, une fois déterminé le nombre d</w:t>
      </w:r>
      <w:r w:rsidR="00BC3319" w:rsidRPr="00026EC1">
        <w:t>’</w:t>
      </w:r>
      <w:r w:rsidRPr="00026EC1">
        <w:t>heures d</w:t>
      </w:r>
      <w:r w:rsidR="00BC3319" w:rsidRPr="00026EC1">
        <w:t>’</w:t>
      </w:r>
      <w:r w:rsidRPr="00026EC1">
        <w:t>activités spéciales d</w:t>
      </w:r>
      <w:r w:rsidR="00BC3319" w:rsidRPr="00026EC1">
        <w:t>’</w:t>
      </w:r>
      <w:r w:rsidRPr="00026EC1">
        <w:t>encadrement qu</w:t>
      </w:r>
      <w:r w:rsidR="00BC3319" w:rsidRPr="00026EC1">
        <w:t>’</w:t>
      </w:r>
      <w:r w:rsidRPr="00026EC1">
        <w:t>un département doit effectuer, celui</w:t>
      </w:r>
      <w:r w:rsidR="00984A6F">
        <w:noBreakHyphen/>
      </w:r>
      <w:r w:rsidRPr="00026EC1">
        <w:t>ci soumet au Collège pour approbation, en même temps que sa répartition de la charge d</w:t>
      </w:r>
      <w:r w:rsidR="00BC3319" w:rsidRPr="00026EC1">
        <w:t>’</w:t>
      </w:r>
      <w:r w:rsidRPr="00026EC1">
        <w:t>enseignement, les projets applicables au cours de chacune des sessions.</w:t>
      </w:r>
    </w:p>
    <w:p w14:paraId="3CFC2842" w14:textId="77777777" w:rsidR="00404F34" w:rsidRPr="00583A08" w:rsidRDefault="00404F34" w:rsidP="00A64613">
      <w:pPr>
        <w:keepNext w:val="0"/>
        <w:rPr>
          <w:sz w:val="22"/>
          <w:szCs w:val="22"/>
        </w:rPr>
      </w:pPr>
    </w:p>
    <w:p w14:paraId="30A14A2A" w14:textId="0E771561" w:rsidR="00404F34" w:rsidRPr="00026EC1" w:rsidRDefault="00404F34" w:rsidP="00A64613">
      <w:pPr>
        <w:keepNext w:val="0"/>
      </w:pPr>
      <w:r w:rsidRPr="00026EC1">
        <w:t>Chaque projet vise une discipline ou un programme précis. Des enseignantes et enseignants de plusieurs départements peuvent être impliqués dans un même projet soit directement aux activités d</w:t>
      </w:r>
      <w:r w:rsidR="00BC3319" w:rsidRPr="00026EC1">
        <w:t>’</w:t>
      </w:r>
      <w:r w:rsidRPr="00026EC1">
        <w:t>encadrement, soit indirectement par un accroissement de leur charge d</w:t>
      </w:r>
      <w:r w:rsidR="00BC3319" w:rsidRPr="00026EC1">
        <w:t>’</w:t>
      </w:r>
      <w:r w:rsidRPr="00026EC1">
        <w:t>enseignement. La charge d</w:t>
      </w:r>
      <w:r w:rsidR="00BC3319" w:rsidRPr="00026EC1">
        <w:t>’</w:t>
      </w:r>
      <w:r w:rsidRPr="00026EC1">
        <w:t>enseignement peut être répartie inégalement entre les enseignantes et les enseignants de sorte que</w:t>
      </w:r>
      <w:r w:rsidR="00001A42" w:rsidRPr="00026EC1">
        <w:t>,</w:t>
      </w:r>
      <w:r w:rsidRPr="00026EC1">
        <w:t xml:space="preserve"> par exemple, une enseignante ou un enseignant puisse assumer plus d</w:t>
      </w:r>
      <w:r w:rsidR="00BC3319" w:rsidRPr="00026EC1">
        <w:t>’</w:t>
      </w:r>
      <w:r w:rsidRPr="00026EC1">
        <w:t>une</w:t>
      </w:r>
      <w:r w:rsidR="00302126">
        <w:t> </w:t>
      </w:r>
      <w:r w:rsidR="00E241CA" w:rsidRPr="00026EC1">
        <w:t>(1)</w:t>
      </w:r>
      <w:r w:rsidRPr="00026EC1">
        <w:t xml:space="preserve"> heure d</w:t>
      </w:r>
      <w:r w:rsidR="00BC3319" w:rsidRPr="00026EC1">
        <w:t>’</w:t>
      </w:r>
      <w:r w:rsidRPr="00026EC1">
        <w:t>encadrement, d</w:t>
      </w:r>
      <w:r w:rsidR="00BC3319" w:rsidRPr="00026EC1">
        <w:t>’</w:t>
      </w:r>
      <w:r w:rsidRPr="00026EC1">
        <w:t>autres enseignantes et enseignant</w:t>
      </w:r>
      <w:r w:rsidR="00E241CA" w:rsidRPr="00026EC1">
        <w:t>s</w:t>
      </w:r>
      <w:r w:rsidRPr="00026EC1">
        <w:t xml:space="preserve"> assumant, en sus de leur charge régulière, partie ou totalité de la charge d</w:t>
      </w:r>
      <w:r w:rsidR="00BC3319" w:rsidRPr="00026EC1">
        <w:t>’</w:t>
      </w:r>
      <w:r w:rsidRPr="00026EC1">
        <w:t>enseignement normalement attribuée à cette enseignante ou à cet enseignant. Chaque projet représente une prestation d</w:t>
      </w:r>
      <w:r w:rsidR="00BC3319" w:rsidRPr="00026EC1">
        <w:t>’</w:t>
      </w:r>
      <w:r w:rsidRPr="00026EC1">
        <w:t>encadrement totalisant en moyenne une</w:t>
      </w:r>
      <w:r w:rsidR="00302126">
        <w:t> </w:t>
      </w:r>
      <w:r w:rsidR="00E241CA" w:rsidRPr="00026EC1">
        <w:t>(1)</w:t>
      </w:r>
      <w:r w:rsidRPr="00026EC1">
        <w:t xml:space="preserve"> heure par semaine pendant la session par enseignante ou enseignant à temps complet ou l</w:t>
      </w:r>
      <w:r w:rsidR="00BC3319" w:rsidRPr="00026EC1">
        <w:t>’</w:t>
      </w:r>
      <w:r w:rsidRPr="00026EC1">
        <w:t>équivalent concerné par le projet.</w:t>
      </w:r>
    </w:p>
    <w:p w14:paraId="36A6ED19" w14:textId="77777777" w:rsidR="00404F34" w:rsidRPr="00583A08" w:rsidRDefault="00404F34" w:rsidP="00A64613">
      <w:pPr>
        <w:keepNext w:val="0"/>
        <w:rPr>
          <w:sz w:val="22"/>
          <w:szCs w:val="22"/>
        </w:rPr>
      </w:pPr>
    </w:p>
    <w:p w14:paraId="3CE2A8A1" w14:textId="77777777" w:rsidR="00404F34" w:rsidRPr="00026EC1" w:rsidRDefault="00404F34" w:rsidP="00A64613">
      <w:pPr>
        <w:keepNext w:val="0"/>
      </w:pPr>
      <w:r w:rsidRPr="00026EC1">
        <w:t>Lorsque le Collège présente au Syndicat le projet de répartition des enseignantes et enseignants, il s</w:t>
      </w:r>
      <w:r w:rsidR="00BC3319" w:rsidRPr="00026EC1">
        <w:t>’</w:t>
      </w:r>
      <w:r w:rsidRPr="00026EC1">
        <w:t>assure, dans toute la mesure du possible, que les projets d</w:t>
      </w:r>
      <w:r w:rsidR="00BC3319" w:rsidRPr="00026EC1">
        <w:t>’</w:t>
      </w:r>
      <w:r w:rsidRPr="00026EC1">
        <w:t>encadrement établis par les départements puissent se faire sans que cela entraîne des dépassements de la CI maximale.</w:t>
      </w:r>
    </w:p>
    <w:p w14:paraId="5E6C0C71" w14:textId="77777777" w:rsidR="00404F34" w:rsidRPr="00583A08" w:rsidRDefault="00404F34" w:rsidP="00A64613">
      <w:pPr>
        <w:keepNext w:val="0"/>
        <w:rPr>
          <w:sz w:val="22"/>
          <w:szCs w:val="22"/>
        </w:rPr>
      </w:pPr>
    </w:p>
    <w:p w14:paraId="722630BA" w14:textId="7E9F1B1B" w:rsidR="00404F34" w:rsidRPr="00026EC1" w:rsidRDefault="00404F34" w:rsidP="00A64613">
      <w:pPr>
        <w:keepNext w:val="0"/>
      </w:pPr>
      <w:r w:rsidRPr="00026EC1">
        <w:t>Toutes les enseignantes et tous les enseignants du Collège doivent être partie prenante à un projet. Celles et ceux qui n</w:t>
      </w:r>
      <w:r w:rsidR="00BC3319" w:rsidRPr="00026EC1">
        <w:t>’</w:t>
      </w:r>
      <w:r w:rsidRPr="00026EC1">
        <w:t>assument pas une prestation d</w:t>
      </w:r>
      <w:r w:rsidR="00BC3319" w:rsidRPr="00026EC1">
        <w:t>’</w:t>
      </w:r>
      <w:r w:rsidRPr="00026EC1">
        <w:t>encadrement totalisant une</w:t>
      </w:r>
      <w:r w:rsidR="009E58C2">
        <w:t> </w:t>
      </w:r>
      <w:r w:rsidR="00E241CA" w:rsidRPr="00026EC1">
        <w:t>(1)</w:t>
      </w:r>
      <w:r w:rsidRPr="00026EC1">
        <w:t xml:space="preserve"> heure par semaine pendant chacune des deux</w:t>
      </w:r>
      <w:r w:rsidR="00302126">
        <w:t> </w:t>
      </w:r>
      <w:r w:rsidR="00E241CA" w:rsidRPr="00026EC1">
        <w:t>(2)</w:t>
      </w:r>
      <w:r w:rsidRPr="00026EC1">
        <w:t xml:space="preserve"> sessions voient cependant leur charge d</w:t>
      </w:r>
      <w:r w:rsidR="00BC3319" w:rsidRPr="00026EC1">
        <w:t>’</w:t>
      </w:r>
      <w:r w:rsidRPr="00026EC1">
        <w:t xml:space="preserve">enseignement annuelle maximale portée à </w:t>
      </w:r>
      <w:r w:rsidR="00EA4B6A" w:rsidRPr="00026EC1">
        <w:t>quatre</w:t>
      </w:r>
      <w:r w:rsidR="00984A6F">
        <w:noBreakHyphen/>
      </w:r>
      <w:r w:rsidR="00EA4B6A" w:rsidRPr="00026EC1">
        <w:t>vingt</w:t>
      </w:r>
      <w:r w:rsidR="00984A6F">
        <w:noBreakHyphen/>
      </w:r>
      <w:r w:rsidR="00EA4B6A" w:rsidRPr="00026EC1">
        <w:t>sept</w:t>
      </w:r>
      <w:r w:rsidR="00302126">
        <w:t> </w:t>
      </w:r>
      <w:r w:rsidR="00EA4B6A" w:rsidRPr="00026EC1">
        <w:t>(87).</w:t>
      </w:r>
    </w:p>
    <w:p w14:paraId="3E283C11" w14:textId="77777777" w:rsidR="00404F34" w:rsidRPr="00583A08" w:rsidRDefault="00404F34" w:rsidP="00A64613">
      <w:pPr>
        <w:keepNext w:val="0"/>
        <w:rPr>
          <w:sz w:val="22"/>
          <w:szCs w:val="22"/>
        </w:rPr>
      </w:pPr>
    </w:p>
    <w:p w14:paraId="2895329E" w14:textId="0B568394" w:rsidR="00404F34" w:rsidRPr="00026EC1" w:rsidRDefault="00404F34" w:rsidP="00A64613">
      <w:pPr>
        <w:keepNext w:val="0"/>
      </w:pPr>
      <w:r w:rsidRPr="00026EC1">
        <w:t>Aux fins d</w:t>
      </w:r>
      <w:r w:rsidR="00BC3319" w:rsidRPr="00026EC1">
        <w:t>’</w:t>
      </w:r>
      <w:r w:rsidRPr="00026EC1">
        <w:t>évaluer les impacts de cette mesure, tant en ce qui a trait à l</w:t>
      </w:r>
      <w:r w:rsidR="00BC3319" w:rsidRPr="00026EC1">
        <w:t>’</w:t>
      </w:r>
      <w:r w:rsidRPr="00026EC1">
        <w:t>augmentation des taux de réussite qu</w:t>
      </w:r>
      <w:r w:rsidR="00BC3319" w:rsidRPr="00026EC1">
        <w:t>’</w:t>
      </w:r>
      <w:r w:rsidRPr="00026EC1">
        <w:t xml:space="preserve">en ce qui concerne la diminution des coûts engendrés par la reprise ou le remplacement des cours échoués, le Ministère, la Fédération des cégeps et </w:t>
      </w:r>
      <w:r w:rsidRPr="009E58C2">
        <w:t>la</w:t>
      </w:r>
      <w:r w:rsidR="009E58C2">
        <w:t> </w:t>
      </w:r>
      <w:r w:rsidRPr="009E58C2">
        <w:t>FNEEQ</w:t>
      </w:r>
      <w:r w:rsidR="00AA4AD7" w:rsidRPr="00026EC1">
        <w:t> </w:t>
      </w:r>
      <w:r w:rsidRPr="00026EC1">
        <w:t>(CSN) se rencontrent le ou vers le 30 octobre de chaque année. À la suite de cette évaluation, les parties peuvent convenir d</w:t>
      </w:r>
      <w:r w:rsidR="00BC3319" w:rsidRPr="00026EC1">
        <w:t>’</w:t>
      </w:r>
      <w:r w:rsidRPr="00026EC1">
        <w:t>y apporter les modifications qui leur semblent appropriées ou de faire aux parties locales les recommandations qu</w:t>
      </w:r>
      <w:r w:rsidR="00BC3319" w:rsidRPr="00026EC1">
        <w:t>’</w:t>
      </w:r>
      <w:r w:rsidRPr="00026EC1">
        <w:t>elles jugent opportunes.</w:t>
      </w:r>
    </w:p>
    <w:p w14:paraId="7EC39416" w14:textId="7B0A63A3" w:rsidR="00404F34" w:rsidRPr="009E58C2" w:rsidRDefault="00404F34" w:rsidP="00A64613">
      <w:pPr>
        <w:pStyle w:val="Heading3"/>
        <w:keepNext w:val="0"/>
      </w:pPr>
      <w:r w:rsidRPr="00026EC1">
        <w:br w:type="page"/>
      </w:r>
      <w:bookmarkStart w:id="1085" w:name="_Toc535046661"/>
      <w:bookmarkStart w:id="1086" w:name="_Toc133760828"/>
      <w:bookmarkStart w:id="1087" w:name="_Toc133916976"/>
      <w:bookmarkStart w:id="1088" w:name="_Toc134437251"/>
      <w:bookmarkStart w:id="1089" w:name="_Toc393449042"/>
      <w:bookmarkStart w:id="1090" w:name="_Toc393449411"/>
      <w:bookmarkStart w:id="1091" w:name="_Toc462751536"/>
      <w:bookmarkStart w:id="1092" w:name="_Toc484082553"/>
      <w:bookmarkStart w:id="1093" w:name="_Toc168479575"/>
      <w:r w:rsidR="003F3392" w:rsidRPr="009E58C2">
        <w:t>Annexe I</w:t>
      </w:r>
      <w:r w:rsidR="00B92165">
        <w:t>-</w:t>
      </w:r>
      <w:r w:rsidR="003F3392" w:rsidRPr="009E58C2">
        <w:t>9</w:t>
      </w:r>
      <w:bookmarkStart w:id="1094" w:name="_Toc535046662"/>
      <w:bookmarkStart w:id="1095" w:name="_Toc133760829"/>
      <w:bookmarkEnd w:id="1085"/>
      <w:bookmarkEnd w:id="1086"/>
      <w:bookmarkEnd w:id="1087"/>
      <w:bookmarkEnd w:id="1088"/>
      <w:bookmarkEnd w:id="1089"/>
      <w:bookmarkEnd w:id="1090"/>
      <w:r w:rsidR="003F3392" w:rsidRPr="009E58C2">
        <w:br/>
      </w:r>
      <w:r w:rsidR="003F3392" w:rsidRPr="009E58C2">
        <w:br/>
        <w:t>Lettre d’entente sur les garanties</w:t>
      </w:r>
      <w:bookmarkEnd w:id="1091"/>
      <w:bookmarkEnd w:id="1092"/>
      <w:bookmarkEnd w:id="1093"/>
      <w:bookmarkEnd w:id="1094"/>
      <w:bookmarkEnd w:id="1095"/>
    </w:p>
    <w:p w14:paraId="30151524" w14:textId="3348BE5A" w:rsidR="00CB1F1F" w:rsidRPr="00026EC1" w:rsidRDefault="00CB1F1F" w:rsidP="00A64613">
      <w:pPr>
        <w:keepNext w:val="0"/>
      </w:pPr>
      <w:r w:rsidRPr="00026EC1">
        <w:t>Le Ministère s’engage à ce que le mode de financement utilisé, dans les Collèges où le Syndicat des enseignantes et enseignants est affilié à la FNEEQ (CSN), pour déterminer le nombre d’enseignantes et enseignants à temps complet ou l’équivalent, lorsqu’appliqué aux inscriptions aux cours ou aux programmes, selon le cas, de l’année 1998</w:t>
      </w:r>
      <w:r w:rsidR="00984A6F">
        <w:noBreakHyphen/>
      </w:r>
      <w:r w:rsidRPr="00026EC1">
        <w:t>1999, génère, pour l’ensemble des trois</w:t>
      </w:r>
      <w:r w:rsidR="00302126">
        <w:t> </w:t>
      </w:r>
      <w:r w:rsidRPr="00026EC1">
        <w:t>(3) volets prévus à la clause 8</w:t>
      </w:r>
      <w:r w:rsidR="00984A6F">
        <w:noBreakHyphen/>
      </w:r>
      <w:r w:rsidRPr="00026EC1">
        <w:t>5.02, dans l’ensemble des Collèges et Campus, au moins onze mille cinq cent soixante</w:t>
      </w:r>
      <w:r w:rsidR="00984A6F">
        <w:noBreakHyphen/>
      </w:r>
      <w:r w:rsidRPr="00026EC1">
        <w:t>dix</w:t>
      </w:r>
      <w:r w:rsidR="00984A6F">
        <w:noBreakHyphen/>
      </w:r>
      <w:r w:rsidRPr="00026EC1">
        <w:t>neuf virgule cinquante</w:t>
      </w:r>
      <w:r w:rsidR="00984A6F">
        <w:noBreakHyphen/>
      </w:r>
      <w:r w:rsidRPr="00026EC1">
        <w:t>six (11 579,56) enseignantes et enseignants à temps complet ou l’équivalent.</w:t>
      </w:r>
    </w:p>
    <w:p w14:paraId="33D8D760" w14:textId="77777777" w:rsidR="00CB1F1F" w:rsidRPr="00026EC1" w:rsidRDefault="00CB1F1F" w:rsidP="00A64613">
      <w:pPr>
        <w:keepNext w:val="0"/>
        <w:rPr>
          <w:strike/>
        </w:rPr>
      </w:pPr>
    </w:p>
    <w:p w14:paraId="20CB5ACA" w14:textId="61D6C583" w:rsidR="00CB1F1F" w:rsidRDefault="00CB1F1F" w:rsidP="00A64613">
      <w:pPr>
        <w:keepNext w:val="0"/>
      </w:pPr>
      <w:r w:rsidRPr="00026EC1">
        <w:t>À compter de l’année 2016</w:t>
      </w:r>
      <w:r w:rsidR="00984A6F">
        <w:noBreakHyphen/>
      </w:r>
      <w:r w:rsidRPr="00026EC1">
        <w:t>2017, ce nombre est majoré de 403 ETC incluant 30 ETC réalloués aux fins de la création de charges d’enseignement à la formation continue. Ces res</w:t>
      </w:r>
      <w:r w:rsidR="005A7FD5" w:rsidRPr="00026EC1">
        <w:t>sources sont prévues à l’Annexe</w:t>
      </w:r>
      <w:r w:rsidR="0074642F">
        <w:t> </w:t>
      </w:r>
      <w:r w:rsidRPr="00026EC1">
        <w:t>I</w:t>
      </w:r>
      <w:r w:rsidR="00984A6F">
        <w:noBreakHyphen/>
      </w:r>
      <w:r w:rsidRPr="00026EC1">
        <w:t>13 de la convention collective FNEEQ</w:t>
      </w:r>
      <w:r w:rsidR="00984A6F">
        <w:noBreakHyphen/>
      </w:r>
      <w:r w:rsidRPr="00026EC1">
        <w:t>CSN et à l’Annexe</w:t>
      </w:r>
      <w:r w:rsidR="0074642F">
        <w:t> </w:t>
      </w:r>
      <w:r w:rsidRPr="00026EC1">
        <w:t>VIII</w:t>
      </w:r>
      <w:r w:rsidR="00984A6F">
        <w:noBreakHyphen/>
      </w:r>
      <w:r w:rsidRPr="00026EC1">
        <w:t>4 de la convention collective FEC</w:t>
      </w:r>
      <w:r w:rsidR="00984A6F">
        <w:noBreakHyphen/>
      </w:r>
      <w:r w:rsidRPr="00026EC1">
        <w:t>CSQ pour les collèges suivants</w:t>
      </w:r>
      <w:r w:rsidR="00D8581B">
        <w:t> :</w:t>
      </w:r>
      <w:r w:rsidRPr="00026EC1">
        <w:t xml:space="preserve"> Gaspésie et des Îles, Rimouski, Rivière</w:t>
      </w:r>
      <w:r w:rsidR="00984A6F">
        <w:noBreakHyphen/>
      </w:r>
      <w:r w:rsidRPr="00026EC1">
        <w:t>du</w:t>
      </w:r>
      <w:r w:rsidR="00984A6F">
        <w:noBreakHyphen/>
      </w:r>
      <w:r w:rsidRPr="00026EC1">
        <w:t>Loup et Sorel</w:t>
      </w:r>
      <w:r w:rsidR="00984A6F">
        <w:noBreakHyphen/>
      </w:r>
      <w:r w:rsidRPr="00026EC1">
        <w:t>Tracy.</w:t>
      </w:r>
    </w:p>
    <w:p w14:paraId="07640CF5" w14:textId="77777777" w:rsidR="004D48DD" w:rsidRDefault="004D48DD" w:rsidP="004D48DD">
      <w:pPr>
        <w:keepNext w:val="0"/>
      </w:pPr>
    </w:p>
    <w:p w14:paraId="576F1DAF" w14:textId="77777777" w:rsidR="004D48DD" w:rsidRPr="00316277" w:rsidRDefault="004D48DD" w:rsidP="004D48DD">
      <w:pPr>
        <w:keepNext w:val="0"/>
        <w:autoSpaceDE w:val="0"/>
        <w:autoSpaceDN w:val="0"/>
        <w:adjustRightInd w:val="0"/>
        <w:rPr>
          <w:rFonts w:cstheme="minorHAnsi"/>
          <w:lang w:eastAsia="fr-CA"/>
        </w:rPr>
      </w:pPr>
      <w:r w:rsidRPr="00316277">
        <w:rPr>
          <w:rFonts w:cstheme="minorHAnsi"/>
          <w:lang w:eastAsia="fr-CA"/>
        </w:rPr>
        <w:t xml:space="preserve">À compter de l’année 2021-2022, ce nombre est majoré de 55,26 ETC. </w:t>
      </w:r>
    </w:p>
    <w:p w14:paraId="5CD2B357" w14:textId="77777777" w:rsidR="004D48DD" w:rsidRPr="00316277" w:rsidRDefault="004D48DD" w:rsidP="004D48DD">
      <w:pPr>
        <w:keepNext w:val="0"/>
        <w:autoSpaceDE w:val="0"/>
        <w:autoSpaceDN w:val="0"/>
        <w:adjustRightInd w:val="0"/>
        <w:rPr>
          <w:rFonts w:cstheme="minorHAnsi"/>
          <w:lang w:eastAsia="fr-CA"/>
        </w:rPr>
      </w:pPr>
    </w:p>
    <w:p w14:paraId="1A36F89C" w14:textId="5AD751CF" w:rsidR="004D48DD" w:rsidRPr="0062360B" w:rsidRDefault="004D48DD" w:rsidP="004D48DD">
      <w:pPr>
        <w:keepNext w:val="0"/>
        <w:autoSpaceDE w:val="0"/>
        <w:autoSpaceDN w:val="0"/>
        <w:adjustRightInd w:val="0"/>
        <w:rPr>
          <w:rFonts w:cstheme="minorHAnsi"/>
          <w:lang w:eastAsia="fr-CA"/>
        </w:rPr>
      </w:pPr>
      <w:r w:rsidRPr="00316277">
        <w:rPr>
          <w:rFonts w:cstheme="minorHAnsi"/>
          <w:lang w:eastAsia="fr-CA"/>
        </w:rPr>
        <w:t>À compter de l’année 2024-2025</w:t>
      </w:r>
      <w:r w:rsidR="006C7190" w:rsidRPr="00316277">
        <w:rPr>
          <w:rFonts w:cstheme="minorHAnsi"/>
          <w:lang w:eastAsia="fr-CA"/>
        </w:rPr>
        <w:t>,</w:t>
      </w:r>
      <w:r w:rsidRPr="00316277">
        <w:rPr>
          <w:rFonts w:cstheme="minorHAnsi"/>
          <w:lang w:eastAsia="fr-CA"/>
        </w:rPr>
        <w:t xml:space="preserve"> ce nombre est majoré de 107 ETC.</w:t>
      </w:r>
      <w:r>
        <w:rPr>
          <w:rFonts w:cstheme="minorHAnsi"/>
          <w:lang w:eastAsia="fr-CA"/>
        </w:rPr>
        <w:t xml:space="preserve"> </w:t>
      </w:r>
    </w:p>
    <w:p w14:paraId="3466B3DA" w14:textId="77777777" w:rsidR="00CB1F1F" w:rsidRPr="00026EC1" w:rsidRDefault="00CB1F1F" w:rsidP="004D48DD">
      <w:pPr>
        <w:keepNext w:val="0"/>
      </w:pPr>
    </w:p>
    <w:p w14:paraId="630E7C13" w14:textId="77777777" w:rsidR="00CB1F1F" w:rsidRPr="00026EC1" w:rsidRDefault="00CB1F1F" w:rsidP="00A64613">
      <w:pPr>
        <w:keepNext w:val="0"/>
      </w:pPr>
      <w:r w:rsidRPr="00026EC1">
        <w:t>Par ailleurs, le Ministère fournira à la FNEEQ (CSN) les données disponibles et pertinentes lui permettant de vérifier que le Ministère a alloué aux collèges visés par des modifications ou des implantations de programmes, ou par des développements du réseau, les ressources supplémentaires nécessaires pour éviter que ces modifications, implantations ou développements aient comme conséquence d’augmenter la tâche des enseignantes et enseignants.</w:t>
      </w:r>
    </w:p>
    <w:p w14:paraId="3DBAC27D" w14:textId="77777777" w:rsidR="00CB1F1F" w:rsidRPr="00026EC1" w:rsidRDefault="00CB1F1F" w:rsidP="00A64613">
      <w:pPr>
        <w:keepNext w:val="0"/>
      </w:pPr>
    </w:p>
    <w:p w14:paraId="40C40A3B" w14:textId="77777777" w:rsidR="00CB1F1F" w:rsidRPr="00026EC1" w:rsidRDefault="00CB1F1F" w:rsidP="00A64613">
      <w:pPr>
        <w:keepNext w:val="0"/>
      </w:pPr>
      <w:r w:rsidRPr="00026EC1">
        <w:t>Si les vérifications prouvent que la totalité des ressources nécessaires n’a pas été allouée, ces ressources manquantes seront allouées pour l’année d’enseignement suivante.</w:t>
      </w:r>
    </w:p>
    <w:p w14:paraId="3BC94496" w14:textId="17219EF7" w:rsidR="00404F34" w:rsidRPr="009E58C2" w:rsidRDefault="00404F34" w:rsidP="00A64613">
      <w:pPr>
        <w:pStyle w:val="Heading3"/>
        <w:keepNext w:val="0"/>
      </w:pPr>
      <w:r w:rsidRPr="00026EC1">
        <w:br w:type="page"/>
      </w:r>
      <w:bookmarkStart w:id="1096" w:name="_Toc535046663"/>
      <w:bookmarkStart w:id="1097" w:name="_Toc133760830"/>
      <w:bookmarkStart w:id="1098" w:name="_Toc133916978"/>
      <w:bookmarkStart w:id="1099" w:name="_Toc134437253"/>
      <w:bookmarkStart w:id="1100" w:name="_Toc393449044"/>
      <w:bookmarkStart w:id="1101" w:name="_Toc393449413"/>
      <w:bookmarkStart w:id="1102" w:name="_Toc462751538"/>
      <w:bookmarkStart w:id="1103" w:name="_Toc484082555"/>
      <w:bookmarkStart w:id="1104" w:name="_Toc168479576"/>
      <w:r w:rsidR="003F3392" w:rsidRPr="009E58C2">
        <w:t>Annexe I</w:t>
      </w:r>
      <w:r w:rsidR="00B92165">
        <w:t>-</w:t>
      </w:r>
      <w:r w:rsidR="003F3392" w:rsidRPr="009E58C2">
        <w:t>10</w:t>
      </w:r>
      <w:bookmarkStart w:id="1105" w:name="_Toc535046664"/>
      <w:bookmarkStart w:id="1106" w:name="_Toc133760831"/>
      <w:bookmarkEnd w:id="1096"/>
      <w:bookmarkEnd w:id="1097"/>
      <w:bookmarkEnd w:id="1098"/>
      <w:bookmarkEnd w:id="1099"/>
      <w:bookmarkEnd w:id="1100"/>
      <w:bookmarkEnd w:id="1101"/>
      <w:r w:rsidR="003F3392" w:rsidRPr="009E58C2">
        <w:br/>
      </w:r>
      <w:r w:rsidR="003F3392" w:rsidRPr="009E58C2">
        <w:br/>
        <w:t>Cégep régional de Lanaudière</w:t>
      </w:r>
      <w:bookmarkEnd w:id="1102"/>
      <w:bookmarkEnd w:id="1103"/>
      <w:bookmarkEnd w:id="1104"/>
      <w:bookmarkEnd w:id="1105"/>
      <w:bookmarkEnd w:id="1106"/>
    </w:p>
    <w:p w14:paraId="2E6F243A" w14:textId="5CB32029" w:rsidR="00404F34" w:rsidRPr="00026EC1" w:rsidRDefault="00404F34" w:rsidP="00A64613">
      <w:pPr>
        <w:keepNext w:val="0"/>
      </w:pPr>
      <w:r w:rsidRPr="00026EC1">
        <w:t>Les clauses de la convention collective s</w:t>
      </w:r>
      <w:r w:rsidR="00BC3319" w:rsidRPr="00026EC1">
        <w:t>’</w:t>
      </w:r>
      <w:r w:rsidRPr="00026EC1">
        <w:t>appliquent par Collège constituant aux enseignantes et enseignants du Cégep régional de Lanaudière en y apportant les adaptations nécessaires</w:t>
      </w:r>
      <w:r w:rsidR="00D8581B">
        <w:t> :</w:t>
      </w:r>
    </w:p>
    <w:p w14:paraId="78CD9085" w14:textId="77777777" w:rsidR="00404F34" w:rsidRPr="00026EC1" w:rsidRDefault="00404F34" w:rsidP="00A64613">
      <w:pPr>
        <w:keepNext w:val="0"/>
      </w:pPr>
    </w:p>
    <w:p w14:paraId="012E3B27" w14:textId="77777777"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Cégep régional de Lanaudière à L</w:t>
      </w:r>
      <w:r w:rsidR="00BC3319" w:rsidRPr="00026EC1">
        <w:t>’</w:t>
      </w:r>
      <w:r w:rsidR="00404F34" w:rsidRPr="00026EC1">
        <w:t>Assomption</w:t>
      </w:r>
    </w:p>
    <w:p w14:paraId="659FEBF5" w14:textId="77777777" w:rsidR="00404F34" w:rsidRPr="00026EC1" w:rsidRDefault="00404F34" w:rsidP="00A64613">
      <w:pPr>
        <w:keepNext w:val="0"/>
      </w:pPr>
    </w:p>
    <w:p w14:paraId="432BF6F6" w14:textId="77777777"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Cégep régional de Lanaudière à Joliette</w:t>
      </w:r>
    </w:p>
    <w:p w14:paraId="08AE2253" w14:textId="77777777" w:rsidR="00404F34" w:rsidRPr="00026EC1" w:rsidRDefault="00404F34" w:rsidP="00A64613">
      <w:pPr>
        <w:keepNext w:val="0"/>
      </w:pPr>
    </w:p>
    <w:p w14:paraId="1B676D4C" w14:textId="77777777" w:rsidR="00404F34" w:rsidRPr="00026EC1" w:rsidRDefault="00275751" w:rsidP="00A64613">
      <w:pPr>
        <w:keepNext w:val="0"/>
        <w:tabs>
          <w:tab w:val="left" w:pos="567"/>
        </w:tabs>
        <w:ind w:left="567" w:hanging="567"/>
      </w:pPr>
      <w:r w:rsidRPr="00026EC1">
        <w:rPr>
          <w:rFonts w:ascii="Symbol" w:hAnsi="Symbol"/>
        </w:rPr>
        <w:t></w:t>
      </w:r>
      <w:r w:rsidRPr="00026EC1">
        <w:rPr>
          <w:rFonts w:ascii="Symbol" w:hAnsi="Symbol"/>
        </w:rPr>
        <w:tab/>
      </w:r>
      <w:r w:rsidR="00404F34" w:rsidRPr="00026EC1">
        <w:t>Cégep régional de Lanaudière à Terrebonne</w:t>
      </w:r>
    </w:p>
    <w:p w14:paraId="39FEE11F" w14:textId="77777777" w:rsidR="007D2E71" w:rsidRPr="00026EC1" w:rsidRDefault="007D2E71" w:rsidP="00A64613">
      <w:pPr>
        <w:keepNext w:val="0"/>
      </w:pPr>
      <w:r w:rsidRPr="00026EC1">
        <w:br w:type="page"/>
      </w:r>
    </w:p>
    <w:p w14:paraId="020F2B8C" w14:textId="7FDC2AEA" w:rsidR="00611FE0" w:rsidRPr="009E58C2" w:rsidRDefault="00611FE0" w:rsidP="00A64613">
      <w:pPr>
        <w:pStyle w:val="Heading3"/>
        <w:keepNext w:val="0"/>
      </w:pPr>
      <w:bookmarkStart w:id="1107" w:name="_Toc462751540"/>
      <w:bookmarkStart w:id="1108" w:name="_Toc484082557"/>
      <w:bookmarkStart w:id="1109" w:name="_Toc168479577"/>
      <w:bookmarkStart w:id="1110" w:name="_Toc393449049"/>
      <w:bookmarkStart w:id="1111" w:name="_Toc393449418"/>
      <w:r w:rsidRPr="009E58C2">
        <w:t>Annexe I</w:t>
      </w:r>
      <w:r w:rsidR="00B92165">
        <w:t>-</w:t>
      </w:r>
      <w:r w:rsidRPr="009E58C2">
        <w:t>11</w:t>
      </w:r>
      <w:r w:rsidRPr="009E58C2">
        <w:br/>
      </w:r>
      <w:r w:rsidRPr="009E58C2">
        <w:br/>
        <w:t>Ressources d’enseignement allouées au volet</w:t>
      </w:r>
      <w:r w:rsidR="00BD1F8A">
        <w:t> </w:t>
      </w:r>
      <w:r w:rsidRPr="009E58C2">
        <w:t>1</w:t>
      </w:r>
      <w:bookmarkEnd w:id="1107"/>
      <w:bookmarkEnd w:id="1108"/>
      <w:bookmarkEnd w:id="1109"/>
    </w:p>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681"/>
        <w:gridCol w:w="1701"/>
        <w:gridCol w:w="1701"/>
        <w:gridCol w:w="1276"/>
        <w:gridCol w:w="1275"/>
        <w:gridCol w:w="1129"/>
      </w:tblGrid>
      <w:tr w:rsidR="00CA3E6A" w:rsidRPr="00931806" w14:paraId="376C9CAD" w14:textId="4D20B79D" w:rsidTr="00CA3E6A">
        <w:trPr>
          <w:trHeight w:val="283"/>
          <w:tblHeader/>
          <w:jc w:val="center"/>
        </w:trPr>
        <w:tc>
          <w:tcPr>
            <w:tcW w:w="3681" w:type="dxa"/>
            <w:tcBorders>
              <w:bottom w:val="single" w:sz="8" w:space="0" w:color="auto"/>
            </w:tcBorders>
            <w:shd w:val="clear" w:color="auto" w:fill="auto"/>
            <w:noWrap/>
            <w:vAlign w:val="center"/>
            <w:hideMark/>
          </w:tcPr>
          <w:p w14:paraId="6CE160CF" w14:textId="77777777" w:rsidR="00CA3E6A" w:rsidRPr="00931806" w:rsidRDefault="00CA3E6A" w:rsidP="00CA3E6A">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Nom du collège</w:t>
            </w:r>
          </w:p>
        </w:tc>
        <w:tc>
          <w:tcPr>
            <w:tcW w:w="1701" w:type="dxa"/>
            <w:tcBorders>
              <w:bottom w:val="single" w:sz="8" w:space="0" w:color="auto"/>
            </w:tcBorders>
            <w:shd w:val="clear" w:color="auto" w:fill="auto"/>
            <w:vAlign w:val="center"/>
            <w:hideMark/>
          </w:tcPr>
          <w:p w14:paraId="1D4BC58F" w14:textId="102997C4" w:rsidR="00CA3E6A" w:rsidRPr="00BA7AC5" w:rsidRDefault="00CA3E6A" w:rsidP="00CA3E6A">
            <w:pPr>
              <w:keepNext w:val="0"/>
              <w:spacing w:before="60" w:after="60"/>
              <w:jc w:val="center"/>
              <w:rPr>
                <w:rFonts w:cs="Arial"/>
                <w:b/>
                <w:bCs/>
                <w:color w:val="000000"/>
                <w:sz w:val="22"/>
                <w:szCs w:val="22"/>
                <w:vertAlign w:val="superscript"/>
                <w:lang w:eastAsia="fr-CA"/>
              </w:rPr>
            </w:pPr>
            <w:r w:rsidRPr="00931806">
              <w:rPr>
                <w:rFonts w:cs="Arial"/>
                <w:b/>
                <w:bCs/>
                <w:color w:val="000000"/>
                <w:sz w:val="22"/>
                <w:szCs w:val="22"/>
                <w:lang w:eastAsia="fr-CA"/>
              </w:rPr>
              <w:t>Allocation coefficient HP</w:t>
            </w:r>
            <w:r>
              <w:rPr>
                <w:rFonts w:cs="Arial"/>
                <w:b/>
                <w:bCs/>
                <w:color w:val="000000"/>
                <w:sz w:val="22"/>
                <w:szCs w:val="22"/>
                <w:vertAlign w:val="superscript"/>
                <w:lang w:eastAsia="fr-CA"/>
              </w:rPr>
              <w:t>1</w:t>
            </w:r>
          </w:p>
        </w:tc>
        <w:tc>
          <w:tcPr>
            <w:tcW w:w="1701" w:type="dxa"/>
            <w:tcBorders>
              <w:bottom w:val="single" w:sz="8" w:space="0" w:color="auto"/>
            </w:tcBorders>
            <w:shd w:val="clear" w:color="auto" w:fill="auto"/>
            <w:vAlign w:val="center"/>
            <w:hideMark/>
          </w:tcPr>
          <w:p w14:paraId="7EE6C933" w14:textId="449B7F59" w:rsidR="00CA3E6A" w:rsidRPr="003A248C" w:rsidRDefault="00CA3E6A" w:rsidP="00CA3E6A">
            <w:pPr>
              <w:keepNext w:val="0"/>
              <w:spacing w:before="60" w:after="60"/>
              <w:jc w:val="center"/>
              <w:rPr>
                <w:rFonts w:cs="Arial"/>
                <w:b/>
                <w:bCs/>
                <w:color w:val="000000"/>
                <w:sz w:val="22"/>
                <w:szCs w:val="22"/>
                <w:vertAlign w:val="superscript"/>
                <w:lang w:eastAsia="fr-CA"/>
              </w:rPr>
            </w:pPr>
            <w:r w:rsidRPr="00931806">
              <w:rPr>
                <w:rFonts w:cs="Arial"/>
                <w:b/>
                <w:bCs/>
                <w:color w:val="000000"/>
                <w:sz w:val="22"/>
                <w:szCs w:val="22"/>
                <w:lang w:eastAsia="fr-CA"/>
              </w:rPr>
              <w:t>Allocation Encadrement</w:t>
            </w:r>
            <w:r>
              <w:rPr>
                <w:rFonts w:cs="Arial"/>
                <w:b/>
                <w:bCs/>
                <w:color w:val="000000"/>
                <w:sz w:val="22"/>
                <w:szCs w:val="22"/>
                <w:vertAlign w:val="superscript"/>
                <w:lang w:eastAsia="fr-CA"/>
              </w:rPr>
              <w:t>2</w:t>
            </w:r>
          </w:p>
        </w:tc>
        <w:tc>
          <w:tcPr>
            <w:tcW w:w="1276" w:type="dxa"/>
            <w:tcBorders>
              <w:bottom w:val="single" w:sz="8" w:space="0" w:color="auto"/>
            </w:tcBorders>
            <w:shd w:val="clear" w:color="auto" w:fill="auto"/>
            <w:vAlign w:val="center"/>
            <w:hideMark/>
          </w:tcPr>
          <w:p w14:paraId="04254897" w14:textId="78B901F7" w:rsidR="00CA3E6A" w:rsidRPr="003A248C" w:rsidRDefault="00CA3E6A" w:rsidP="00CA3E6A">
            <w:pPr>
              <w:keepNext w:val="0"/>
              <w:spacing w:before="60" w:after="60"/>
              <w:jc w:val="center"/>
              <w:rPr>
                <w:rFonts w:cs="Arial"/>
                <w:b/>
                <w:bCs/>
                <w:color w:val="000000"/>
                <w:sz w:val="22"/>
                <w:szCs w:val="22"/>
                <w:vertAlign w:val="superscript"/>
                <w:lang w:eastAsia="fr-CA"/>
              </w:rPr>
            </w:pPr>
            <w:r w:rsidRPr="00135C13">
              <w:rPr>
                <w:rFonts w:cs="Arial"/>
                <w:b/>
                <w:bCs/>
                <w:color w:val="000000"/>
                <w:sz w:val="22"/>
                <w:szCs w:val="22"/>
                <w:lang w:eastAsia="fr-CA"/>
              </w:rPr>
              <w:t>Soins infirmiers</w:t>
            </w:r>
            <w:r>
              <w:rPr>
                <w:rFonts w:cs="Arial"/>
                <w:b/>
                <w:bCs/>
                <w:color w:val="000000"/>
                <w:sz w:val="22"/>
                <w:szCs w:val="22"/>
                <w:vertAlign w:val="superscript"/>
                <w:lang w:eastAsia="fr-CA"/>
              </w:rPr>
              <w:t>3</w:t>
            </w:r>
          </w:p>
        </w:tc>
        <w:tc>
          <w:tcPr>
            <w:tcW w:w="1275" w:type="dxa"/>
            <w:tcBorders>
              <w:bottom w:val="single" w:sz="8" w:space="0" w:color="auto"/>
            </w:tcBorders>
            <w:shd w:val="clear" w:color="auto" w:fill="auto"/>
            <w:vAlign w:val="center"/>
            <w:hideMark/>
          </w:tcPr>
          <w:p w14:paraId="255E8DA4" w14:textId="32424222" w:rsidR="00CA3E6A" w:rsidRPr="003A248C" w:rsidRDefault="00CA3E6A" w:rsidP="00CA3E6A">
            <w:pPr>
              <w:keepNext w:val="0"/>
              <w:spacing w:before="60" w:after="60"/>
              <w:jc w:val="center"/>
              <w:rPr>
                <w:rFonts w:cs="Arial"/>
                <w:b/>
                <w:bCs/>
                <w:color w:val="000000"/>
                <w:sz w:val="22"/>
                <w:szCs w:val="22"/>
                <w:vertAlign w:val="superscript"/>
                <w:lang w:eastAsia="fr-CA"/>
              </w:rPr>
            </w:pPr>
            <w:r w:rsidRPr="00135C13">
              <w:rPr>
                <w:rFonts w:cs="Arial"/>
                <w:b/>
                <w:bCs/>
                <w:color w:val="000000"/>
                <w:sz w:val="22"/>
                <w:szCs w:val="22"/>
                <w:lang w:eastAsia="fr-CA"/>
              </w:rPr>
              <w:t>CI maximale</w:t>
            </w:r>
            <w:r>
              <w:rPr>
                <w:rFonts w:cs="Arial"/>
                <w:b/>
                <w:bCs/>
                <w:color w:val="000000"/>
                <w:sz w:val="22"/>
                <w:szCs w:val="22"/>
                <w:vertAlign w:val="superscript"/>
                <w:lang w:eastAsia="fr-CA"/>
              </w:rPr>
              <w:t>4</w:t>
            </w:r>
          </w:p>
        </w:tc>
        <w:tc>
          <w:tcPr>
            <w:tcW w:w="1129" w:type="dxa"/>
            <w:tcBorders>
              <w:bottom w:val="single" w:sz="8" w:space="0" w:color="auto"/>
            </w:tcBorders>
          </w:tcPr>
          <w:p w14:paraId="6B7F3BCF" w14:textId="20A307E3" w:rsidR="00CA3E6A" w:rsidRPr="00316277" w:rsidRDefault="00CA3E6A" w:rsidP="00CA3E6A">
            <w:pPr>
              <w:keepNext w:val="0"/>
              <w:jc w:val="center"/>
              <w:rPr>
                <w:rFonts w:cs="Arial"/>
                <w:b/>
                <w:bCs/>
                <w:color w:val="000000"/>
                <w:sz w:val="22"/>
                <w:szCs w:val="22"/>
                <w:lang w:eastAsia="fr-CA"/>
              </w:rPr>
            </w:pPr>
            <w:r w:rsidRPr="00316277">
              <w:rPr>
                <w:rFonts w:cs="Arial"/>
                <w:b/>
                <w:bCs/>
                <w:color w:val="000000"/>
                <w:sz w:val="22"/>
                <w:szCs w:val="22"/>
                <w:lang w:eastAsia="fr-CA"/>
              </w:rPr>
              <w:t>NES</w:t>
            </w:r>
            <w:r w:rsidR="00E95016" w:rsidRPr="00316277">
              <w:rPr>
                <w:rFonts w:cs="Arial"/>
                <w:b/>
                <w:bCs/>
                <w:color w:val="000000"/>
                <w:sz w:val="22"/>
                <w:szCs w:val="22"/>
                <w:vertAlign w:val="subscript"/>
                <w:lang w:eastAsia="fr-CA"/>
              </w:rPr>
              <w:t>2</w:t>
            </w:r>
          </w:p>
          <w:p w14:paraId="7B30EE74" w14:textId="0B2675E7" w:rsidR="00CA3E6A" w:rsidRPr="00316277" w:rsidRDefault="00CA3E6A" w:rsidP="00CA3E6A">
            <w:pPr>
              <w:keepNext w:val="0"/>
              <w:spacing w:before="60" w:after="60"/>
              <w:jc w:val="center"/>
              <w:rPr>
                <w:rFonts w:cs="Arial"/>
                <w:b/>
                <w:bCs/>
                <w:color w:val="000000"/>
                <w:sz w:val="22"/>
                <w:szCs w:val="22"/>
                <w:lang w:eastAsia="fr-CA"/>
              </w:rPr>
            </w:pPr>
            <w:r w:rsidRPr="00316277">
              <w:rPr>
                <w:rFonts w:cs="Arial"/>
                <w:b/>
                <w:bCs/>
                <w:color w:val="000000"/>
                <w:sz w:val="22"/>
                <w:szCs w:val="22"/>
                <w:lang w:eastAsia="fr-CA"/>
              </w:rPr>
              <w:t>Cours 30 heures</w:t>
            </w:r>
            <w:r w:rsidRPr="00316277">
              <w:rPr>
                <w:rFonts w:cs="Arial"/>
                <w:b/>
                <w:bCs/>
                <w:color w:val="000000"/>
                <w:sz w:val="22"/>
                <w:szCs w:val="22"/>
                <w:vertAlign w:val="superscript"/>
                <w:lang w:eastAsia="fr-CA"/>
              </w:rPr>
              <w:t>5</w:t>
            </w:r>
          </w:p>
        </w:tc>
      </w:tr>
      <w:tr w:rsidR="00CA3E6A" w:rsidRPr="00931806" w14:paraId="66D2E3DE" w14:textId="1F38D1FA" w:rsidTr="00CA3E6A">
        <w:trPr>
          <w:trHeight w:val="283"/>
          <w:jc w:val="center"/>
        </w:trPr>
        <w:tc>
          <w:tcPr>
            <w:tcW w:w="3681" w:type="dxa"/>
            <w:tcBorders>
              <w:bottom w:val="single" w:sz="6" w:space="0" w:color="auto"/>
              <w:right w:val="single" w:sz="6" w:space="0" w:color="auto"/>
            </w:tcBorders>
            <w:shd w:val="clear" w:color="auto" w:fill="auto"/>
            <w:noWrap/>
            <w:vAlign w:val="center"/>
            <w:hideMark/>
          </w:tcPr>
          <w:p w14:paraId="5CC3795B" w14:textId="5E630341"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Abitibi</w:t>
            </w:r>
            <w:r>
              <w:rPr>
                <w:rFonts w:cs="Arial"/>
                <w:color w:val="000000"/>
                <w:sz w:val="22"/>
                <w:szCs w:val="22"/>
                <w:lang w:eastAsia="fr-CA"/>
              </w:rPr>
              <w:noBreakHyphen/>
            </w:r>
            <w:r w:rsidRPr="00931806">
              <w:rPr>
                <w:rFonts w:cs="Arial"/>
                <w:color w:val="000000"/>
                <w:sz w:val="22"/>
                <w:szCs w:val="22"/>
                <w:lang w:eastAsia="fr-CA"/>
              </w:rPr>
              <w:t>Témiscamingue</w:t>
            </w:r>
            <w:r>
              <w:rPr>
                <w:rFonts w:cs="Arial"/>
                <w:color w:val="000000"/>
                <w:sz w:val="22"/>
                <w:szCs w:val="22"/>
                <w:lang w:eastAsia="fr-CA"/>
              </w:rPr>
              <w:t xml:space="preserve"> </w:t>
            </w:r>
          </w:p>
        </w:tc>
        <w:tc>
          <w:tcPr>
            <w:tcW w:w="1701" w:type="dxa"/>
            <w:tcBorders>
              <w:left w:val="single" w:sz="6" w:space="0" w:color="auto"/>
              <w:bottom w:val="single" w:sz="6" w:space="0" w:color="auto"/>
              <w:right w:val="single" w:sz="6" w:space="0" w:color="auto"/>
            </w:tcBorders>
            <w:shd w:val="clear" w:color="auto" w:fill="auto"/>
            <w:noWrap/>
            <w:hideMark/>
          </w:tcPr>
          <w:p w14:paraId="5213701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1,08</w:t>
            </w:r>
          </w:p>
        </w:tc>
        <w:tc>
          <w:tcPr>
            <w:tcW w:w="1701" w:type="dxa"/>
            <w:tcBorders>
              <w:left w:val="single" w:sz="6" w:space="0" w:color="auto"/>
              <w:bottom w:val="single" w:sz="6" w:space="0" w:color="auto"/>
              <w:right w:val="single" w:sz="6" w:space="0" w:color="auto"/>
            </w:tcBorders>
            <w:shd w:val="clear" w:color="auto" w:fill="auto"/>
            <w:noWrap/>
            <w:hideMark/>
          </w:tcPr>
          <w:p w14:paraId="4EC0595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0,61</w:t>
            </w:r>
          </w:p>
        </w:tc>
        <w:tc>
          <w:tcPr>
            <w:tcW w:w="1276" w:type="dxa"/>
            <w:tcBorders>
              <w:left w:val="single" w:sz="6" w:space="0" w:color="auto"/>
              <w:bottom w:val="single" w:sz="6" w:space="0" w:color="auto"/>
              <w:right w:val="single" w:sz="6" w:space="0" w:color="auto"/>
            </w:tcBorders>
            <w:shd w:val="clear" w:color="auto" w:fill="auto"/>
            <w:noWrap/>
            <w:hideMark/>
          </w:tcPr>
          <w:p w14:paraId="15B3A49E"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0,72</w:t>
            </w:r>
          </w:p>
        </w:tc>
        <w:tc>
          <w:tcPr>
            <w:tcW w:w="1275" w:type="dxa"/>
            <w:tcBorders>
              <w:left w:val="single" w:sz="6" w:space="0" w:color="auto"/>
              <w:bottom w:val="single" w:sz="6" w:space="0" w:color="auto"/>
            </w:tcBorders>
            <w:shd w:val="clear" w:color="auto" w:fill="auto"/>
            <w:noWrap/>
            <w:hideMark/>
          </w:tcPr>
          <w:p w14:paraId="27BF094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0,71</w:t>
            </w:r>
          </w:p>
        </w:tc>
        <w:tc>
          <w:tcPr>
            <w:tcW w:w="1129" w:type="dxa"/>
            <w:tcBorders>
              <w:left w:val="single" w:sz="6" w:space="0" w:color="auto"/>
              <w:bottom w:val="single" w:sz="6" w:space="0" w:color="auto"/>
            </w:tcBorders>
            <w:vAlign w:val="center"/>
          </w:tcPr>
          <w:p w14:paraId="61DC24C8" w14:textId="5D85E294"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0,16</w:t>
            </w:r>
          </w:p>
        </w:tc>
      </w:tr>
      <w:tr w:rsidR="00CA3E6A" w:rsidRPr="00931806" w14:paraId="2582C7C5" w14:textId="557BF900"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37CB302" w14:textId="46BDCE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Abitibi</w:t>
            </w:r>
            <w:r>
              <w:rPr>
                <w:rFonts w:cs="Arial"/>
                <w:color w:val="000000"/>
                <w:sz w:val="22"/>
                <w:szCs w:val="22"/>
                <w:lang w:eastAsia="fr-CA"/>
              </w:rPr>
              <w:noBreakHyphen/>
            </w:r>
            <w:r w:rsidRPr="00931806">
              <w:rPr>
                <w:rFonts w:cs="Arial"/>
                <w:color w:val="000000"/>
                <w:sz w:val="22"/>
                <w:szCs w:val="22"/>
                <w:lang w:eastAsia="fr-CA"/>
              </w:rPr>
              <w:t xml:space="preserve">Témiscamingue </w:t>
            </w:r>
            <w:r>
              <w:rPr>
                <w:rFonts w:cs="Arial"/>
                <w:color w:val="000000"/>
                <w:sz w:val="22"/>
                <w:szCs w:val="22"/>
                <w:lang w:eastAsia="fr-CA"/>
              </w:rPr>
              <w:noBreakHyphen/>
            </w:r>
            <w:r w:rsidRPr="00931806">
              <w:rPr>
                <w:rFonts w:cs="Arial"/>
                <w:color w:val="000000"/>
                <w:sz w:val="22"/>
                <w:szCs w:val="22"/>
                <w:lang w:eastAsia="fr-CA"/>
              </w:rPr>
              <w:t xml:space="preserve"> Pavillon Amos</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1EC3B2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EA52DF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AD8DE9C"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0CE0C21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0,11</w:t>
            </w:r>
          </w:p>
        </w:tc>
        <w:tc>
          <w:tcPr>
            <w:tcW w:w="1129" w:type="dxa"/>
            <w:tcBorders>
              <w:top w:val="single" w:sz="6" w:space="0" w:color="auto"/>
              <w:left w:val="single" w:sz="6" w:space="0" w:color="auto"/>
              <w:bottom w:val="single" w:sz="6" w:space="0" w:color="auto"/>
            </w:tcBorders>
            <w:vAlign w:val="center"/>
          </w:tcPr>
          <w:p w14:paraId="100C67DE" w14:textId="20761E1A"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3FCDBD76" w14:textId="46F97495"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5369B1F" w14:textId="37F288EA"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Abitibi</w:t>
            </w:r>
            <w:r>
              <w:rPr>
                <w:rFonts w:cs="Arial"/>
                <w:color w:val="000000"/>
                <w:sz w:val="22"/>
                <w:szCs w:val="22"/>
                <w:lang w:eastAsia="fr-CA"/>
              </w:rPr>
              <w:noBreakHyphen/>
            </w:r>
            <w:r w:rsidRPr="00931806">
              <w:rPr>
                <w:rFonts w:cs="Arial"/>
                <w:color w:val="000000"/>
                <w:sz w:val="22"/>
                <w:szCs w:val="22"/>
                <w:lang w:eastAsia="fr-CA"/>
              </w:rPr>
              <w:t xml:space="preserve">Témiscamingue </w:t>
            </w:r>
            <w:r>
              <w:rPr>
                <w:rFonts w:cs="Arial"/>
                <w:color w:val="000000"/>
                <w:sz w:val="22"/>
                <w:szCs w:val="22"/>
                <w:lang w:eastAsia="fr-CA"/>
              </w:rPr>
              <w:noBreakHyphen/>
            </w:r>
            <w:r w:rsidRPr="00931806">
              <w:rPr>
                <w:rFonts w:cs="Arial"/>
                <w:color w:val="000000"/>
                <w:sz w:val="22"/>
                <w:szCs w:val="22"/>
                <w:lang w:eastAsia="fr-CA"/>
              </w:rPr>
              <w:t xml:space="preserve"> Pavillon Val</w:t>
            </w:r>
            <w:r>
              <w:rPr>
                <w:rFonts w:cs="Arial"/>
                <w:color w:val="000000"/>
                <w:sz w:val="22"/>
                <w:szCs w:val="22"/>
                <w:lang w:eastAsia="fr-CA"/>
              </w:rPr>
              <w:noBreakHyphen/>
            </w:r>
            <w:r w:rsidRPr="00931806">
              <w:rPr>
                <w:rFonts w:cs="Arial"/>
                <w:color w:val="000000"/>
                <w:sz w:val="22"/>
                <w:szCs w:val="22"/>
                <w:lang w:eastAsia="fr-CA"/>
              </w:rPr>
              <w:t>d'Or</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AE9C3D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50ABED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7F4EC672"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0,49</w:t>
            </w:r>
          </w:p>
        </w:tc>
        <w:tc>
          <w:tcPr>
            <w:tcW w:w="1275" w:type="dxa"/>
            <w:tcBorders>
              <w:top w:val="single" w:sz="6" w:space="0" w:color="auto"/>
              <w:left w:val="single" w:sz="6" w:space="0" w:color="auto"/>
              <w:bottom w:val="single" w:sz="6" w:space="0" w:color="auto"/>
            </w:tcBorders>
            <w:shd w:val="clear" w:color="auto" w:fill="auto"/>
            <w:noWrap/>
            <w:hideMark/>
          </w:tcPr>
          <w:p w14:paraId="0C1FECD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0,21</w:t>
            </w:r>
          </w:p>
        </w:tc>
        <w:tc>
          <w:tcPr>
            <w:tcW w:w="1129" w:type="dxa"/>
            <w:tcBorders>
              <w:top w:val="single" w:sz="6" w:space="0" w:color="auto"/>
              <w:left w:val="single" w:sz="6" w:space="0" w:color="auto"/>
              <w:bottom w:val="single" w:sz="6" w:space="0" w:color="auto"/>
            </w:tcBorders>
            <w:vAlign w:val="center"/>
          </w:tcPr>
          <w:p w14:paraId="6AFA5629" w14:textId="7DFAC3BE"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2B89FE19" w14:textId="20C86187"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2EA2B09"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Ahuntsic</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C81E9E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EF864B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4,69</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2F25A2E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51E7252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2,09</w:t>
            </w:r>
          </w:p>
        </w:tc>
        <w:tc>
          <w:tcPr>
            <w:tcW w:w="1129" w:type="dxa"/>
            <w:tcBorders>
              <w:top w:val="single" w:sz="6" w:space="0" w:color="auto"/>
              <w:left w:val="single" w:sz="6" w:space="0" w:color="auto"/>
              <w:bottom w:val="single" w:sz="6" w:space="0" w:color="auto"/>
            </w:tcBorders>
            <w:vAlign w:val="center"/>
          </w:tcPr>
          <w:p w14:paraId="42522A9F" w14:textId="23CBEB73"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0,49</w:t>
            </w:r>
          </w:p>
        </w:tc>
      </w:tr>
      <w:tr w:rsidR="00CA3E6A" w:rsidRPr="00931806" w14:paraId="36E281D0" w14:textId="6539E08A"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67E5DB3F"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Alma</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818FBB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2,78</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17E8B8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0,41</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71B8B6F1"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0,48</w:t>
            </w:r>
          </w:p>
        </w:tc>
        <w:tc>
          <w:tcPr>
            <w:tcW w:w="1275" w:type="dxa"/>
            <w:tcBorders>
              <w:top w:val="single" w:sz="6" w:space="0" w:color="auto"/>
              <w:left w:val="single" w:sz="6" w:space="0" w:color="auto"/>
              <w:bottom w:val="single" w:sz="6" w:space="0" w:color="auto"/>
            </w:tcBorders>
            <w:shd w:val="clear" w:color="auto" w:fill="auto"/>
            <w:noWrap/>
            <w:hideMark/>
          </w:tcPr>
          <w:p w14:paraId="564F2F9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0,43</w:t>
            </w:r>
          </w:p>
        </w:tc>
        <w:tc>
          <w:tcPr>
            <w:tcW w:w="1129" w:type="dxa"/>
            <w:tcBorders>
              <w:top w:val="single" w:sz="6" w:space="0" w:color="auto"/>
              <w:left w:val="single" w:sz="6" w:space="0" w:color="auto"/>
              <w:bottom w:val="single" w:sz="6" w:space="0" w:color="auto"/>
            </w:tcBorders>
            <w:vAlign w:val="center"/>
          </w:tcPr>
          <w:p w14:paraId="7867F29C" w14:textId="61144DBA"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0,10</w:t>
            </w:r>
          </w:p>
        </w:tc>
      </w:tr>
      <w:tr w:rsidR="00CA3E6A" w:rsidRPr="00931806" w14:paraId="20999AB3" w14:textId="46D33AC4"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A9AD1FE" w14:textId="0A4EB5B8"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André</w:t>
            </w:r>
            <w:r>
              <w:rPr>
                <w:rFonts w:cs="Arial"/>
                <w:color w:val="000000"/>
                <w:sz w:val="22"/>
                <w:szCs w:val="22"/>
                <w:lang w:eastAsia="fr-CA"/>
              </w:rPr>
              <w:noBreakHyphen/>
            </w:r>
            <w:r w:rsidRPr="00931806">
              <w:rPr>
                <w:rFonts w:cs="Arial"/>
                <w:color w:val="000000"/>
                <w:sz w:val="22"/>
                <w:szCs w:val="22"/>
                <w:lang w:eastAsia="fr-CA"/>
              </w:rPr>
              <w:t>Laurendeau</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076D76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A32C4B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1,92</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2689F5DA"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2,11</w:t>
            </w:r>
          </w:p>
        </w:tc>
        <w:tc>
          <w:tcPr>
            <w:tcW w:w="1275" w:type="dxa"/>
            <w:tcBorders>
              <w:top w:val="single" w:sz="6" w:space="0" w:color="auto"/>
              <w:left w:val="single" w:sz="6" w:space="0" w:color="auto"/>
              <w:bottom w:val="single" w:sz="6" w:space="0" w:color="auto"/>
            </w:tcBorders>
            <w:shd w:val="clear" w:color="auto" w:fill="auto"/>
            <w:noWrap/>
            <w:hideMark/>
          </w:tcPr>
          <w:p w14:paraId="15A9727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1,07</w:t>
            </w:r>
          </w:p>
        </w:tc>
        <w:tc>
          <w:tcPr>
            <w:tcW w:w="1129" w:type="dxa"/>
            <w:tcBorders>
              <w:top w:val="single" w:sz="6" w:space="0" w:color="auto"/>
              <w:left w:val="single" w:sz="6" w:space="0" w:color="auto"/>
              <w:bottom w:val="single" w:sz="6" w:space="0" w:color="auto"/>
            </w:tcBorders>
            <w:vAlign w:val="center"/>
          </w:tcPr>
          <w:p w14:paraId="308240DA" w14:textId="62F6C630"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0,21</w:t>
            </w:r>
          </w:p>
        </w:tc>
      </w:tr>
      <w:tr w:rsidR="00CA3E6A" w:rsidRPr="00931806" w14:paraId="630320EC" w14:textId="0FFEC84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36641100" w14:textId="2F4CC054"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Beauce</w:t>
            </w:r>
            <w:r>
              <w:rPr>
                <w:rFonts w:cs="Arial"/>
                <w:color w:val="000000"/>
                <w:sz w:val="22"/>
                <w:szCs w:val="22"/>
                <w:lang w:eastAsia="fr-CA"/>
              </w:rPr>
              <w:noBreakHyphen/>
            </w:r>
            <w:r w:rsidRPr="00931806">
              <w:rPr>
                <w:rFonts w:cs="Arial"/>
                <w:color w:val="000000"/>
                <w:sz w:val="22"/>
                <w:szCs w:val="22"/>
                <w:lang w:eastAsia="fr-CA"/>
              </w:rPr>
              <w:t>Appalaches</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7ED05B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1,83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B0119B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318AC6B1"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0,42</w:t>
            </w:r>
          </w:p>
        </w:tc>
        <w:tc>
          <w:tcPr>
            <w:tcW w:w="1275" w:type="dxa"/>
            <w:tcBorders>
              <w:top w:val="single" w:sz="6" w:space="0" w:color="auto"/>
              <w:left w:val="single" w:sz="6" w:space="0" w:color="auto"/>
              <w:bottom w:val="single" w:sz="6" w:space="0" w:color="auto"/>
            </w:tcBorders>
            <w:shd w:val="clear" w:color="auto" w:fill="auto"/>
            <w:noWrap/>
            <w:hideMark/>
          </w:tcPr>
          <w:p w14:paraId="33F5427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0,58</w:t>
            </w:r>
          </w:p>
        </w:tc>
        <w:tc>
          <w:tcPr>
            <w:tcW w:w="1129" w:type="dxa"/>
            <w:tcBorders>
              <w:top w:val="single" w:sz="6" w:space="0" w:color="auto"/>
              <w:left w:val="single" w:sz="6" w:space="0" w:color="auto"/>
              <w:bottom w:val="single" w:sz="6" w:space="0" w:color="auto"/>
            </w:tcBorders>
            <w:vAlign w:val="center"/>
          </w:tcPr>
          <w:p w14:paraId="3C555662" w14:textId="301E15A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0,15</w:t>
            </w:r>
          </w:p>
        </w:tc>
      </w:tr>
      <w:tr w:rsidR="00CA3E6A" w:rsidRPr="00931806" w14:paraId="53E64217" w14:textId="30DFAF3D"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A12F433" w14:textId="20E0AEA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Beauce</w:t>
            </w:r>
            <w:r>
              <w:rPr>
                <w:rFonts w:cs="Arial"/>
                <w:color w:val="000000"/>
                <w:sz w:val="22"/>
                <w:szCs w:val="22"/>
                <w:lang w:eastAsia="fr-CA"/>
              </w:rPr>
              <w:noBreakHyphen/>
            </w:r>
            <w:r w:rsidRPr="00931806">
              <w:rPr>
                <w:rFonts w:cs="Arial"/>
                <w:color w:val="000000"/>
                <w:sz w:val="22"/>
                <w:szCs w:val="22"/>
                <w:lang w:eastAsia="fr-CA"/>
              </w:rPr>
              <w:t xml:space="preserve">Appalaches </w:t>
            </w:r>
            <w:r>
              <w:rPr>
                <w:rFonts w:cs="Arial"/>
                <w:color w:val="000000"/>
                <w:sz w:val="22"/>
                <w:szCs w:val="22"/>
                <w:lang w:eastAsia="fr-CA"/>
              </w:rPr>
              <w:t>–</w:t>
            </w:r>
            <w:r w:rsidRPr="00931806">
              <w:rPr>
                <w:rFonts w:cs="Arial"/>
                <w:color w:val="000000"/>
                <w:sz w:val="22"/>
                <w:szCs w:val="22"/>
                <w:lang w:eastAsia="fr-CA"/>
              </w:rPr>
              <w:t xml:space="preserve"> </w:t>
            </w:r>
            <w:r>
              <w:rPr>
                <w:rFonts w:cs="Arial"/>
                <w:color w:val="000000"/>
                <w:sz w:val="22"/>
                <w:szCs w:val="22"/>
                <w:lang w:eastAsia="fr-CA"/>
              </w:rPr>
              <w:t xml:space="preserve">CEC de </w:t>
            </w:r>
            <w:r w:rsidRPr="00931806">
              <w:rPr>
                <w:rFonts w:cs="Arial"/>
                <w:color w:val="000000"/>
                <w:sz w:val="22"/>
                <w:szCs w:val="22"/>
                <w:lang w:eastAsia="fr-CA"/>
              </w:rPr>
              <w:t>Lac</w:t>
            </w:r>
            <w:r>
              <w:rPr>
                <w:rFonts w:cs="Arial"/>
                <w:color w:val="000000"/>
                <w:sz w:val="22"/>
                <w:szCs w:val="22"/>
                <w:lang w:eastAsia="fr-CA"/>
              </w:rPr>
              <w:noBreakHyphen/>
            </w:r>
            <w:r w:rsidRPr="00931806">
              <w:rPr>
                <w:rFonts w:cs="Arial"/>
                <w:color w:val="000000"/>
                <w:sz w:val="22"/>
                <w:szCs w:val="22"/>
                <w:lang w:eastAsia="fr-CA"/>
              </w:rPr>
              <w:t>Mégantic</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42F02A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0,70</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A86588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689F525A"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0,13</w:t>
            </w:r>
          </w:p>
        </w:tc>
        <w:tc>
          <w:tcPr>
            <w:tcW w:w="1275" w:type="dxa"/>
            <w:tcBorders>
              <w:top w:val="single" w:sz="6" w:space="0" w:color="auto"/>
              <w:left w:val="single" w:sz="6" w:space="0" w:color="auto"/>
              <w:bottom w:val="single" w:sz="6" w:space="0" w:color="auto"/>
            </w:tcBorders>
            <w:shd w:val="clear" w:color="auto" w:fill="auto"/>
            <w:noWrap/>
            <w:hideMark/>
          </w:tcPr>
          <w:p w14:paraId="4327409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0,10</w:t>
            </w:r>
          </w:p>
        </w:tc>
        <w:tc>
          <w:tcPr>
            <w:tcW w:w="1129" w:type="dxa"/>
            <w:tcBorders>
              <w:top w:val="single" w:sz="6" w:space="0" w:color="auto"/>
              <w:left w:val="single" w:sz="6" w:space="0" w:color="auto"/>
              <w:bottom w:val="single" w:sz="6" w:space="0" w:color="auto"/>
            </w:tcBorders>
            <w:vAlign w:val="center"/>
          </w:tcPr>
          <w:p w14:paraId="10529580" w14:textId="0D325974"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0,01</w:t>
            </w:r>
          </w:p>
        </w:tc>
      </w:tr>
      <w:tr w:rsidR="00CA3E6A" w:rsidRPr="00931806" w14:paraId="7E94929D" w14:textId="4B3DF6E9"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38246A5" w14:textId="79E9FC82" w:rsidR="00CA3E6A" w:rsidRPr="00135C13" w:rsidRDefault="00CA3E6A" w:rsidP="00CA3E6A">
            <w:pPr>
              <w:keepNext w:val="0"/>
              <w:spacing w:before="60" w:after="60"/>
              <w:jc w:val="left"/>
              <w:rPr>
                <w:rFonts w:cs="Arial"/>
                <w:sz w:val="22"/>
                <w:szCs w:val="22"/>
                <w:lang w:eastAsia="fr-CA"/>
              </w:rPr>
            </w:pPr>
            <w:r w:rsidRPr="00135C13">
              <w:rPr>
                <w:rFonts w:cs="Arial"/>
                <w:sz w:val="22"/>
                <w:szCs w:val="22"/>
                <w:lang w:eastAsia="fr-CA"/>
              </w:rPr>
              <w:t>Champlain</w:t>
            </w:r>
            <w:r w:rsidRPr="00471FB9">
              <w:rPr>
                <w:rFonts w:cs="Arial"/>
                <w:sz w:val="22"/>
                <w:szCs w:val="22"/>
                <w:lang w:eastAsia="fr-CA"/>
              </w:rPr>
              <w:t xml:space="preserve"> </w:t>
            </w:r>
            <w:r w:rsidRPr="00135C13">
              <w:rPr>
                <w:rFonts w:cs="Arial"/>
                <w:sz w:val="22"/>
                <w:szCs w:val="22"/>
                <w:lang w:eastAsia="fr-CA"/>
              </w:rPr>
              <w:t>à Saint</w:t>
            </w:r>
            <w:r>
              <w:rPr>
                <w:rFonts w:cs="Arial"/>
                <w:sz w:val="22"/>
                <w:szCs w:val="22"/>
                <w:lang w:eastAsia="fr-CA"/>
              </w:rPr>
              <w:noBreakHyphen/>
            </w:r>
            <w:r w:rsidRPr="00135C13">
              <w:rPr>
                <w:rFonts w:cs="Arial"/>
                <w:sz w:val="22"/>
                <w:szCs w:val="22"/>
                <w:lang w:eastAsia="fr-CA"/>
              </w:rPr>
              <w:t>Lambert</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7DCFD0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3E50F7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2,61</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12E847F"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0,38</w:t>
            </w:r>
          </w:p>
        </w:tc>
        <w:tc>
          <w:tcPr>
            <w:tcW w:w="1275" w:type="dxa"/>
            <w:tcBorders>
              <w:top w:val="single" w:sz="6" w:space="0" w:color="auto"/>
              <w:left w:val="single" w:sz="6" w:space="0" w:color="auto"/>
              <w:bottom w:val="single" w:sz="6" w:space="0" w:color="auto"/>
            </w:tcBorders>
            <w:shd w:val="clear" w:color="auto" w:fill="auto"/>
            <w:noWrap/>
            <w:hideMark/>
          </w:tcPr>
          <w:p w14:paraId="409DBE2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0,77</w:t>
            </w:r>
          </w:p>
        </w:tc>
        <w:tc>
          <w:tcPr>
            <w:tcW w:w="1129" w:type="dxa"/>
            <w:tcBorders>
              <w:top w:val="single" w:sz="6" w:space="0" w:color="auto"/>
              <w:left w:val="single" w:sz="6" w:space="0" w:color="auto"/>
              <w:bottom w:val="single" w:sz="6" w:space="0" w:color="auto"/>
            </w:tcBorders>
            <w:vAlign w:val="center"/>
          </w:tcPr>
          <w:p w14:paraId="23363751" w14:textId="5F9E752E"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0,30</w:t>
            </w:r>
          </w:p>
        </w:tc>
      </w:tr>
      <w:tr w:rsidR="00CA3E6A" w:rsidRPr="00931806" w14:paraId="3CF97904" w14:textId="71F4DCC3"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4C996EF" w14:textId="43EED8B5" w:rsidR="00CA3E6A" w:rsidRPr="00135C13" w:rsidRDefault="00CA3E6A" w:rsidP="00CA3E6A">
            <w:pPr>
              <w:keepNext w:val="0"/>
              <w:spacing w:before="60" w:after="60"/>
              <w:jc w:val="left"/>
              <w:rPr>
                <w:rFonts w:cs="Arial"/>
                <w:sz w:val="22"/>
                <w:szCs w:val="22"/>
                <w:lang w:val="en-CA" w:eastAsia="fr-CA"/>
              </w:rPr>
            </w:pPr>
            <w:r w:rsidRPr="00135C13">
              <w:rPr>
                <w:rFonts w:cs="Arial"/>
                <w:sz w:val="22"/>
                <w:szCs w:val="22"/>
                <w:lang w:val="en-CA" w:eastAsia="fr-CA"/>
              </w:rPr>
              <w:t>Champlain</w:t>
            </w:r>
            <w:r>
              <w:rPr>
                <w:rFonts w:cs="Arial"/>
                <w:sz w:val="22"/>
                <w:szCs w:val="22"/>
                <w:lang w:val="en-CA" w:eastAsia="fr-CA"/>
              </w:rPr>
              <w:t xml:space="preserve"> </w:t>
            </w:r>
            <w:r>
              <w:rPr>
                <w:rFonts w:cs="Arial"/>
                <w:sz w:val="22"/>
                <w:szCs w:val="22"/>
                <w:lang w:val="en-CA" w:eastAsia="fr-CA"/>
              </w:rPr>
              <w:noBreakHyphen/>
            </w:r>
            <w:r w:rsidRPr="00135C13">
              <w:rPr>
                <w:rFonts w:cs="Arial"/>
                <w:sz w:val="22"/>
                <w:szCs w:val="22"/>
                <w:lang w:val="en-CA" w:eastAsia="fr-CA"/>
              </w:rPr>
              <w:t xml:space="preserve"> St. Lawrence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4B0191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2BEEE5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0,54</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2C12EABD"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6CC42CD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0,27</w:t>
            </w:r>
          </w:p>
        </w:tc>
        <w:tc>
          <w:tcPr>
            <w:tcW w:w="1129" w:type="dxa"/>
            <w:tcBorders>
              <w:top w:val="single" w:sz="6" w:space="0" w:color="auto"/>
              <w:left w:val="single" w:sz="6" w:space="0" w:color="auto"/>
              <w:bottom w:val="single" w:sz="6" w:space="0" w:color="auto"/>
            </w:tcBorders>
            <w:vAlign w:val="center"/>
          </w:tcPr>
          <w:p w14:paraId="59C629D6" w14:textId="5D024ED5"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0,10</w:t>
            </w:r>
          </w:p>
        </w:tc>
      </w:tr>
      <w:tr w:rsidR="00CA3E6A" w:rsidRPr="00931806" w14:paraId="102176B8" w14:textId="223FE078"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9A475C7"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Chicoutimi</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5473FA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1,57</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961431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1,22</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D08A19A"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0,77</w:t>
            </w:r>
          </w:p>
        </w:tc>
        <w:tc>
          <w:tcPr>
            <w:tcW w:w="1275" w:type="dxa"/>
            <w:tcBorders>
              <w:top w:val="single" w:sz="6" w:space="0" w:color="auto"/>
              <w:left w:val="single" w:sz="6" w:space="0" w:color="auto"/>
              <w:bottom w:val="single" w:sz="6" w:space="0" w:color="auto"/>
            </w:tcBorders>
            <w:shd w:val="clear" w:color="auto" w:fill="auto"/>
            <w:noWrap/>
            <w:hideMark/>
          </w:tcPr>
          <w:p w14:paraId="6F2C435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0,90</w:t>
            </w:r>
          </w:p>
        </w:tc>
        <w:tc>
          <w:tcPr>
            <w:tcW w:w="1129" w:type="dxa"/>
            <w:tcBorders>
              <w:top w:val="single" w:sz="6" w:space="0" w:color="auto"/>
              <w:left w:val="single" w:sz="6" w:space="0" w:color="auto"/>
              <w:bottom w:val="single" w:sz="6" w:space="0" w:color="auto"/>
            </w:tcBorders>
            <w:vAlign w:val="center"/>
          </w:tcPr>
          <w:p w14:paraId="07931A63" w14:textId="3C973B83"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0,14</w:t>
            </w:r>
          </w:p>
        </w:tc>
      </w:tr>
      <w:tr w:rsidR="00CA3E6A" w:rsidRPr="00931806" w14:paraId="27C73492" w14:textId="316803AF"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6ED43733" w14:textId="3C98BAA4"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Chicoutimi </w:t>
            </w:r>
            <w:r>
              <w:rPr>
                <w:rFonts w:cs="Arial"/>
                <w:color w:val="000000"/>
                <w:sz w:val="22"/>
                <w:szCs w:val="22"/>
                <w:lang w:eastAsia="fr-CA"/>
              </w:rPr>
              <w:noBreakHyphen/>
            </w:r>
            <w:r w:rsidRPr="00931806">
              <w:rPr>
                <w:rFonts w:cs="Arial"/>
                <w:color w:val="000000"/>
                <w:sz w:val="22"/>
                <w:szCs w:val="22"/>
                <w:lang w:eastAsia="fr-CA"/>
              </w:rPr>
              <w:t xml:space="preserve"> CQFA</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E568ED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9B3D7D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F6C49C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485609E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0,14</w:t>
            </w:r>
          </w:p>
        </w:tc>
        <w:tc>
          <w:tcPr>
            <w:tcW w:w="1129" w:type="dxa"/>
            <w:tcBorders>
              <w:top w:val="single" w:sz="6" w:space="0" w:color="auto"/>
              <w:left w:val="single" w:sz="6" w:space="0" w:color="auto"/>
              <w:bottom w:val="single" w:sz="6" w:space="0" w:color="auto"/>
            </w:tcBorders>
            <w:vAlign w:val="center"/>
          </w:tcPr>
          <w:p w14:paraId="7E62217E" w14:textId="10D2ED48"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0,00</w:t>
            </w:r>
          </w:p>
        </w:tc>
      </w:tr>
      <w:tr w:rsidR="00CA3E6A" w:rsidRPr="00931806" w14:paraId="6AFC813C" w14:textId="15ABE593"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038815C"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Dawson</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2C7625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0,99</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6156F9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8,29</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76FF4E2A"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1,35</w:t>
            </w:r>
          </w:p>
        </w:tc>
        <w:tc>
          <w:tcPr>
            <w:tcW w:w="1275" w:type="dxa"/>
            <w:tcBorders>
              <w:top w:val="single" w:sz="6" w:space="0" w:color="auto"/>
              <w:left w:val="single" w:sz="6" w:space="0" w:color="auto"/>
              <w:bottom w:val="single" w:sz="6" w:space="0" w:color="auto"/>
            </w:tcBorders>
            <w:shd w:val="clear" w:color="auto" w:fill="auto"/>
            <w:noWrap/>
            <w:hideMark/>
          </w:tcPr>
          <w:p w14:paraId="3B669F5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2,37</w:t>
            </w:r>
          </w:p>
        </w:tc>
        <w:tc>
          <w:tcPr>
            <w:tcW w:w="1129" w:type="dxa"/>
            <w:tcBorders>
              <w:top w:val="single" w:sz="6" w:space="0" w:color="auto"/>
              <w:left w:val="single" w:sz="6" w:space="0" w:color="auto"/>
              <w:bottom w:val="single" w:sz="6" w:space="0" w:color="auto"/>
            </w:tcBorders>
            <w:vAlign w:val="center"/>
          </w:tcPr>
          <w:p w14:paraId="7E92E32F" w14:textId="06E58AB9"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0,76</w:t>
            </w:r>
          </w:p>
        </w:tc>
      </w:tr>
      <w:tr w:rsidR="00CA3E6A" w:rsidRPr="00931806" w14:paraId="0586FC01" w14:textId="64227769"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6345E5F5" w14:textId="1F117536"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Édouard</w:t>
            </w:r>
            <w:r>
              <w:rPr>
                <w:rFonts w:cs="Arial"/>
                <w:color w:val="000000"/>
                <w:sz w:val="22"/>
                <w:szCs w:val="22"/>
                <w:lang w:eastAsia="fr-CA"/>
              </w:rPr>
              <w:noBreakHyphen/>
            </w:r>
            <w:r w:rsidRPr="00931806">
              <w:rPr>
                <w:rFonts w:cs="Arial"/>
                <w:color w:val="000000"/>
                <w:sz w:val="22"/>
                <w:szCs w:val="22"/>
                <w:lang w:eastAsia="fr-CA"/>
              </w:rPr>
              <w:t>Montpetit</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B93E3A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0,10</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390B2D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5,44</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1B4EE376"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2,22</w:t>
            </w:r>
          </w:p>
        </w:tc>
        <w:tc>
          <w:tcPr>
            <w:tcW w:w="1275" w:type="dxa"/>
            <w:tcBorders>
              <w:top w:val="single" w:sz="6" w:space="0" w:color="auto"/>
              <w:left w:val="single" w:sz="6" w:space="0" w:color="auto"/>
              <w:bottom w:val="single" w:sz="6" w:space="0" w:color="auto"/>
            </w:tcBorders>
            <w:shd w:val="clear" w:color="auto" w:fill="auto"/>
            <w:noWrap/>
          </w:tcPr>
          <w:p w14:paraId="3C78E8C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1,82</w:t>
            </w:r>
          </w:p>
        </w:tc>
        <w:tc>
          <w:tcPr>
            <w:tcW w:w="1129" w:type="dxa"/>
            <w:tcBorders>
              <w:top w:val="single" w:sz="6" w:space="0" w:color="auto"/>
              <w:left w:val="single" w:sz="6" w:space="0" w:color="auto"/>
              <w:bottom w:val="single" w:sz="6" w:space="0" w:color="auto"/>
            </w:tcBorders>
            <w:vAlign w:val="center"/>
          </w:tcPr>
          <w:p w14:paraId="194BE25F" w14:textId="2F078B16"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0,56</w:t>
            </w:r>
          </w:p>
        </w:tc>
      </w:tr>
      <w:tr w:rsidR="00CA3E6A" w:rsidRPr="00931806" w14:paraId="3019A879" w14:textId="0F380738"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67E6072" w14:textId="680A0B0E"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Édouard</w:t>
            </w:r>
            <w:r>
              <w:rPr>
                <w:rFonts w:cs="Arial"/>
                <w:color w:val="000000"/>
                <w:sz w:val="22"/>
                <w:szCs w:val="22"/>
                <w:lang w:eastAsia="fr-CA"/>
              </w:rPr>
              <w:noBreakHyphen/>
            </w:r>
            <w:r w:rsidRPr="00931806">
              <w:rPr>
                <w:rFonts w:cs="Arial"/>
                <w:color w:val="000000"/>
                <w:sz w:val="22"/>
                <w:szCs w:val="22"/>
                <w:lang w:eastAsia="fr-CA"/>
              </w:rPr>
              <w:t xml:space="preserve">Montpetit </w:t>
            </w:r>
            <w:r>
              <w:rPr>
                <w:rFonts w:cs="Arial"/>
                <w:color w:val="000000"/>
                <w:sz w:val="22"/>
                <w:szCs w:val="22"/>
                <w:lang w:eastAsia="fr-CA"/>
              </w:rPr>
              <w:noBreakHyphen/>
            </w:r>
            <w:r w:rsidRPr="00931806">
              <w:rPr>
                <w:rFonts w:cs="Arial"/>
                <w:color w:val="000000"/>
                <w:sz w:val="22"/>
                <w:szCs w:val="22"/>
                <w:lang w:eastAsia="fr-CA"/>
              </w:rPr>
              <w:t xml:space="preserve"> École nationale d'aérotechnique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946C41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ADD758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45894FD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3FC97EF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0,32</w:t>
            </w:r>
          </w:p>
        </w:tc>
        <w:tc>
          <w:tcPr>
            <w:tcW w:w="1129" w:type="dxa"/>
            <w:tcBorders>
              <w:top w:val="single" w:sz="6" w:space="0" w:color="auto"/>
              <w:left w:val="single" w:sz="6" w:space="0" w:color="auto"/>
              <w:bottom w:val="single" w:sz="6" w:space="0" w:color="auto"/>
            </w:tcBorders>
            <w:vAlign w:val="center"/>
          </w:tcPr>
          <w:p w14:paraId="7379A55D" w14:textId="287B23E4"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62DF4F27" w14:textId="1CC9DF91"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6360E765" w14:textId="02A6147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Édouard</w:t>
            </w:r>
            <w:r>
              <w:rPr>
                <w:rFonts w:cs="Arial"/>
                <w:color w:val="000000"/>
                <w:sz w:val="22"/>
                <w:szCs w:val="22"/>
                <w:lang w:eastAsia="fr-CA"/>
              </w:rPr>
              <w:noBreakHyphen/>
            </w:r>
            <w:r w:rsidRPr="00931806">
              <w:rPr>
                <w:rFonts w:cs="Arial"/>
                <w:color w:val="000000"/>
                <w:sz w:val="22"/>
                <w:szCs w:val="22"/>
                <w:lang w:eastAsia="fr-CA"/>
              </w:rPr>
              <w:t xml:space="preserve">Montpetit </w:t>
            </w:r>
            <w:r>
              <w:rPr>
                <w:rFonts w:cs="Arial"/>
                <w:color w:val="000000"/>
                <w:sz w:val="22"/>
                <w:szCs w:val="22"/>
                <w:lang w:eastAsia="fr-CA"/>
              </w:rPr>
              <w:noBreakHyphen/>
            </w:r>
            <w:r w:rsidRPr="00931806">
              <w:rPr>
                <w:rFonts w:cs="Arial"/>
                <w:color w:val="000000"/>
                <w:sz w:val="22"/>
                <w:szCs w:val="22"/>
                <w:lang w:eastAsia="fr-CA"/>
              </w:rPr>
              <w:t xml:space="preserve"> École nationale d'aérotechnique </w:t>
            </w:r>
            <w:r>
              <w:rPr>
                <w:rFonts w:cs="Arial"/>
                <w:color w:val="000000"/>
                <w:sz w:val="22"/>
                <w:szCs w:val="22"/>
                <w:lang w:eastAsia="fr-CA"/>
              </w:rPr>
              <w:noBreakHyphen/>
            </w:r>
            <w:r w:rsidRPr="00931806">
              <w:rPr>
                <w:rFonts w:cs="Arial"/>
                <w:color w:val="000000"/>
                <w:sz w:val="22"/>
                <w:szCs w:val="22"/>
                <w:lang w:eastAsia="fr-CA"/>
              </w:rPr>
              <w:t xml:space="preserve"> Anglophone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79A0BC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BC35F7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4E393B5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04A5ACB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129" w:type="dxa"/>
            <w:tcBorders>
              <w:top w:val="single" w:sz="6" w:space="0" w:color="auto"/>
              <w:left w:val="single" w:sz="6" w:space="0" w:color="auto"/>
              <w:bottom w:val="single" w:sz="6" w:space="0" w:color="auto"/>
            </w:tcBorders>
            <w:vAlign w:val="center"/>
          </w:tcPr>
          <w:p w14:paraId="07927E0B" w14:textId="409B2BDC"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1F7B7ACF" w14:textId="19FA2099"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BEC7C3C" w14:textId="4177145D" w:rsidR="00CA3E6A" w:rsidRPr="00931806" w:rsidRDefault="00CA3E6A" w:rsidP="00CA3E6A">
            <w:pPr>
              <w:keepNext w:val="0"/>
              <w:spacing w:before="60" w:after="60"/>
              <w:jc w:val="left"/>
              <w:rPr>
                <w:rFonts w:cs="Arial"/>
                <w:color w:val="000000"/>
                <w:sz w:val="22"/>
                <w:szCs w:val="22"/>
                <w:lang w:eastAsia="fr-CA"/>
              </w:rPr>
            </w:pPr>
            <w:r w:rsidRPr="007D4D35">
              <w:rPr>
                <w:rFonts w:cs="Arial"/>
                <w:color w:val="000000"/>
                <w:sz w:val="22"/>
                <w:szCs w:val="22"/>
                <w:lang w:eastAsia="fr-CA"/>
              </w:rPr>
              <w:t>Garneau</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A66E74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8C48F8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3,67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7693F4DA"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2,56</w:t>
            </w:r>
          </w:p>
        </w:tc>
        <w:tc>
          <w:tcPr>
            <w:tcW w:w="1275" w:type="dxa"/>
            <w:tcBorders>
              <w:top w:val="single" w:sz="6" w:space="0" w:color="auto"/>
              <w:left w:val="single" w:sz="6" w:space="0" w:color="auto"/>
              <w:bottom w:val="single" w:sz="6" w:space="0" w:color="auto"/>
            </w:tcBorders>
            <w:shd w:val="clear" w:color="auto" w:fill="auto"/>
            <w:noWrap/>
            <w:hideMark/>
          </w:tcPr>
          <w:p w14:paraId="2525355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1,80</w:t>
            </w:r>
          </w:p>
        </w:tc>
        <w:tc>
          <w:tcPr>
            <w:tcW w:w="1129" w:type="dxa"/>
            <w:tcBorders>
              <w:top w:val="single" w:sz="6" w:space="0" w:color="auto"/>
              <w:left w:val="single" w:sz="6" w:space="0" w:color="auto"/>
              <w:bottom w:val="single" w:sz="6" w:space="0" w:color="auto"/>
            </w:tcBorders>
            <w:vAlign w:val="center"/>
          </w:tcPr>
          <w:p w14:paraId="2BC154B1" w14:textId="58B9B349"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0,49</w:t>
            </w:r>
          </w:p>
        </w:tc>
      </w:tr>
      <w:tr w:rsidR="00CA3E6A" w:rsidRPr="00931806" w14:paraId="7DEF99D5" w14:textId="32DACC3D"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F231FE1" w14:textId="7B8FF2E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Gaspésie et des Îles </w:t>
            </w:r>
            <w:r>
              <w:rPr>
                <w:rFonts w:cs="Arial"/>
                <w:color w:val="000000"/>
                <w:sz w:val="22"/>
                <w:szCs w:val="22"/>
                <w:lang w:eastAsia="fr-CA"/>
              </w:rPr>
              <w:noBreakHyphen/>
            </w:r>
            <w:r w:rsidRPr="00931806">
              <w:rPr>
                <w:rFonts w:cs="Arial"/>
                <w:color w:val="000000"/>
                <w:sz w:val="22"/>
                <w:szCs w:val="22"/>
                <w:lang w:eastAsia="fr-CA"/>
              </w:rPr>
              <w:t xml:space="preserve"> École des pêches et de l'aquaculture du Québec</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18ADBE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0,80</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723B6C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6445D9B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66BD0ED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129" w:type="dxa"/>
            <w:tcBorders>
              <w:top w:val="single" w:sz="6" w:space="0" w:color="auto"/>
              <w:left w:val="single" w:sz="6" w:space="0" w:color="auto"/>
              <w:bottom w:val="single" w:sz="6" w:space="0" w:color="auto"/>
            </w:tcBorders>
            <w:vAlign w:val="center"/>
          </w:tcPr>
          <w:p w14:paraId="0EDA1402" w14:textId="671FD2DB"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0,00</w:t>
            </w:r>
          </w:p>
        </w:tc>
      </w:tr>
      <w:tr w:rsidR="00CA3E6A" w:rsidRPr="00931806" w14:paraId="0905EF68" w14:textId="5F3E4E04"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6BED7C02" w14:textId="7BD70812" w:rsidR="00CA3E6A" w:rsidRPr="003A248C" w:rsidRDefault="00CA3E6A" w:rsidP="00CA3E6A">
            <w:pPr>
              <w:keepNext w:val="0"/>
              <w:spacing w:before="60" w:after="60"/>
              <w:jc w:val="left"/>
              <w:rPr>
                <w:rFonts w:cs="Arial"/>
                <w:color w:val="000000"/>
                <w:sz w:val="22"/>
                <w:szCs w:val="22"/>
                <w:lang w:eastAsia="fr-CA"/>
              </w:rPr>
            </w:pPr>
            <w:r w:rsidRPr="003A248C">
              <w:rPr>
                <w:rFonts w:cs="Arial"/>
                <w:color w:val="000000"/>
                <w:sz w:val="22"/>
                <w:szCs w:val="22"/>
                <w:lang w:eastAsia="fr-CA"/>
              </w:rPr>
              <w:t xml:space="preserve">Gaspésie et des Îles </w:t>
            </w:r>
            <w:r>
              <w:rPr>
                <w:rFonts w:cs="Arial"/>
                <w:color w:val="000000"/>
                <w:sz w:val="22"/>
                <w:szCs w:val="22"/>
                <w:lang w:eastAsia="fr-CA"/>
              </w:rPr>
              <w:noBreakHyphen/>
            </w:r>
            <w:r w:rsidRPr="003A248C">
              <w:rPr>
                <w:rFonts w:cs="Arial"/>
                <w:color w:val="000000"/>
                <w:sz w:val="22"/>
                <w:szCs w:val="22"/>
                <w:lang w:eastAsia="fr-CA"/>
              </w:rPr>
              <w:t xml:space="preserve"> </w:t>
            </w:r>
            <w:r w:rsidRPr="003A248C">
              <w:rPr>
                <w:sz w:val="22"/>
                <w:szCs w:val="22"/>
              </w:rPr>
              <w:t>Carleton</w:t>
            </w:r>
            <w:r>
              <w:rPr>
                <w:sz w:val="22"/>
                <w:szCs w:val="22"/>
              </w:rPr>
              <w:noBreakHyphen/>
            </w:r>
            <w:r w:rsidRPr="003A248C">
              <w:rPr>
                <w:sz w:val="22"/>
                <w:szCs w:val="22"/>
              </w:rPr>
              <w:t>sur</w:t>
            </w:r>
            <w:r>
              <w:rPr>
                <w:sz w:val="22"/>
                <w:szCs w:val="22"/>
              </w:rPr>
              <w:noBreakHyphen/>
            </w:r>
            <w:r w:rsidRPr="003A248C">
              <w:rPr>
                <w:sz w:val="22"/>
                <w:szCs w:val="22"/>
              </w:rPr>
              <w:t>Mer</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0BB4DD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1,63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CA6075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3D25385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57EF0E5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129" w:type="dxa"/>
            <w:tcBorders>
              <w:top w:val="single" w:sz="6" w:space="0" w:color="auto"/>
              <w:left w:val="single" w:sz="6" w:space="0" w:color="auto"/>
              <w:bottom w:val="single" w:sz="6" w:space="0" w:color="auto"/>
            </w:tcBorders>
            <w:vAlign w:val="center"/>
          </w:tcPr>
          <w:p w14:paraId="7443DF9E" w14:textId="4AE90582"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0,02</w:t>
            </w:r>
          </w:p>
        </w:tc>
      </w:tr>
      <w:tr w:rsidR="00CA3E6A" w:rsidRPr="00931806" w14:paraId="78883AF2" w14:textId="6AE6AD60"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3BE2D6A" w14:textId="2DA70279" w:rsidR="00CA3E6A" w:rsidRPr="00931806" w:rsidRDefault="00CA3E6A" w:rsidP="00CA3E6A">
            <w:pPr>
              <w:keepNext w:val="0"/>
              <w:spacing w:before="60" w:after="60"/>
              <w:jc w:val="left"/>
              <w:rPr>
                <w:rFonts w:cs="Arial"/>
                <w:color w:val="000000"/>
                <w:sz w:val="22"/>
                <w:szCs w:val="22"/>
                <w:lang w:eastAsia="fr-CA"/>
              </w:rPr>
            </w:pPr>
            <w:r w:rsidRPr="007D4D35">
              <w:rPr>
                <w:rFonts w:cs="Arial"/>
                <w:color w:val="000000"/>
                <w:sz w:val="22"/>
                <w:szCs w:val="22"/>
                <w:lang w:eastAsia="fr-CA"/>
              </w:rPr>
              <w:t>Granby</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1E1240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1,14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5302FA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1,09</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47FF4376"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0,83</w:t>
            </w:r>
          </w:p>
        </w:tc>
        <w:tc>
          <w:tcPr>
            <w:tcW w:w="1275" w:type="dxa"/>
            <w:tcBorders>
              <w:top w:val="single" w:sz="6" w:space="0" w:color="auto"/>
              <w:left w:val="single" w:sz="6" w:space="0" w:color="auto"/>
              <w:bottom w:val="single" w:sz="6" w:space="0" w:color="auto"/>
            </w:tcBorders>
            <w:shd w:val="clear" w:color="auto" w:fill="auto"/>
            <w:noWrap/>
            <w:hideMark/>
          </w:tcPr>
          <w:p w14:paraId="26CBEE7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0,64</w:t>
            </w:r>
          </w:p>
        </w:tc>
        <w:tc>
          <w:tcPr>
            <w:tcW w:w="1129" w:type="dxa"/>
            <w:tcBorders>
              <w:top w:val="single" w:sz="6" w:space="0" w:color="auto"/>
              <w:left w:val="single" w:sz="6" w:space="0" w:color="auto"/>
              <w:bottom w:val="single" w:sz="6" w:space="0" w:color="auto"/>
            </w:tcBorders>
            <w:vAlign w:val="center"/>
          </w:tcPr>
          <w:p w14:paraId="2E963B2E" w14:textId="68851FEB"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0,15</w:t>
            </w:r>
          </w:p>
        </w:tc>
      </w:tr>
      <w:tr w:rsidR="00CA3E6A" w:rsidRPr="00931806" w14:paraId="6C52E204" w14:textId="54691E90"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1D4A4F73"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Heritage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6D6BA3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2,88</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6B33FE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A8422D8"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0,45</w:t>
            </w:r>
          </w:p>
        </w:tc>
        <w:tc>
          <w:tcPr>
            <w:tcW w:w="1275" w:type="dxa"/>
            <w:tcBorders>
              <w:top w:val="single" w:sz="6" w:space="0" w:color="auto"/>
              <w:left w:val="single" w:sz="6" w:space="0" w:color="auto"/>
              <w:bottom w:val="single" w:sz="6" w:space="0" w:color="auto"/>
            </w:tcBorders>
            <w:shd w:val="clear" w:color="auto" w:fill="auto"/>
            <w:noWrap/>
            <w:hideMark/>
          </w:tcPr>
          <w:p w14:paraId="5A39893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0,43</w:t>
            </w:r>
          </w:p>
        </w:tc>
        <w:tc>
          <w:tcPr>
            <w:tcW w:w="1129" w:type="dxa"/>
            <w:tcBorders>
              <w:top w:val="single" w:sz="6" w:space="0" w:color="auto"/>
              <w:left w:val="single" w:sz="6" w:space="0" w:color="auto"/>
              <w:bottom w:val="single" w:sz="6" w:space="0" w:color="auto"/>
            </w:tcBorders>
            <w:vAlign w:val="center"/>
          </w:tcPr>
          <w:p w14:paraId="5FC665C2" w14:textId="56267674"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0,13</w:t>
            </w:r>
          </w:p>
        </w:tc>
      </w:tr>
      <w:tr w:rsidR="00CA3E6A" w:rsidRPr="00931806" w14:paraId="13DB07BA" w14:textId="593AAF7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2B5B322"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John Abbott</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FA5E69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A8CBE8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5,26</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8E6D331"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1,50</w:t>
            </w:r>
          </w:p>
        </w:tc>
        <w:tc>
          <w:tcPr>
            <w:tcW w:w="1275" w:type="dxa"/>
            <w:tcBorders>
              <w:top w:val="single" w:sz="6" w:space="0" w:color="auto"/>
              <w:left w:val="single" w:sz="6" w:space="0" w:color="auto"/>
              <w:bottom w:val="single" w:sz="6" w:space="0" w:color="auto"/>
            </w:tcBorders>
            <w:shd w:val="clear" w:color="auto" w:fill="auto"/>
            <w:noWrap/>
            <w:hideMark/>
          </w:tcPr>
          <w:p w14:paraId="2A40D29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1,76</w:t>
            </w:r>
          </w:p>
        </w:tc>
        <w:tc>
          <w:tcPr>
            <w:tcW w:w="1129" w:type="dxa"/>
            <w:tcBorders>
              <w:top w:val="single" w:sz="6" w:space="0" w:color="auto"/>
              <w:left w:val="single" w:sz="6" w:space="0" w:color="auto"/>
              <w:bottom w:val="single" w:sz="6" w:space="0" w:color="auto"/>
            </w:tcBorders>
          </w:tcPr>
          <w:p w14:paraId="3B699ECD" w14:textId="0415914F"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0,55</w:t>
            </w:r>
          </w:p>
        </w:tc>
      </w:tr>
      <w:tr w:rsidR="00CA3E6A" w:rsidRPr="00931806" w14:paraId="45E9CA3F" w14:textId="5DFDF803"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4C4387F"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Jonquière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6B8366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2,95</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40B03B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1,42</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2A26D817"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0,58</w:t>
            </w:r>
          </w:p>
        </w:tc>
        <w:tc>
          <w:tcPr>
            <w:tcW w:w="1275" w:type="dxa"/>
            <w:tcBorders>
              <w:top w:val="single" w:sz="6" w:space="0" w:color="auto"/>
              <w:left w:val="single" w:sz="6" w:space="0" w:color="auto"/>
              <w:bottom w:val="single" w:sz="6" w:space="0" w:color="auto"/>
            </w:tcBorders>
            <w:shd w:val="clear" w:color="auto" w:fill="auto"/>
            <w:noWrap/>
            <w:hideMark/>
          </w:tcPr>
          <w:p w14:paraId="2F3CADF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1,16</w:t>
            </w:r>
          </w:p>
        </w:tc>
        <w:tc>
          <w:tcPr>
            <w:tcW w:w="1129" w:type="dxa"/>
            <w:tcBorders>
              <w:top w:val="single" w:sz="6" w:space="0" w:color="auto"/>
              <w:left w:val="single" w:sz="6" w:space="0" w:color="auto"/>
              <w:bottom w:val="single" w:sz="6" w:space="0" w:color="auto"/>
            </w:tcBorders>
            <w:vAlign w:val="center"/>
          </w:tcPr>
          <w:p w14:paraId="73206740" w14:textId="2C8F117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0,20</w:t>
            </w:r>
          </w:p>
        </w:tc>
      </w:tr>
      <w:tr w:rsidR="00CA3E6A" w:rsidRPr="00931806" w14:paraId="7C2F46A1" w14:textId="3D25EC20"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3500A89B" w14:textId="377C6E90"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Jonquière </w:t>
            </w:r>
            <w:r>
              <w:rPr>
                <w:rFonts w:cs="Arial"/>
                <w:color w:val="000000"/>
                <w:sz w:val="22"/>
                <w:szCs w:val="22"/>
                <w:lang w:eastAsia="fr-CA"/>
              </w:rPr>
              <w:noBreakHyphen/>
            </w:r>
            <w:r w:rsidRPr="00931806">
              <w:rPr>
                <w:rFonts w:cs="Arial"/>
                <w:color w:val="000000"/>
                <w:sz w:val="22"/>
                <w:szCs w:val="22"/>
                <w:lang w:eastAsia="fr-CA"/>
              </w:rPr>
              <w:t xml:space="preserve"> </w:t>
            </w:r>
            <w:r>
              <w:rPr>
                <w:rFonts w:cs="Arial"/>
                <w:color w:val="000000"/>
                <w:sz w:val="22"/>
                <w:szCs w:val="22"/>
                <w:lang w:eastAsia="fr-CA"/>
              </w:rPr>
              <w:t>CEC</w:t>
            </w:r>
            <w:r w:rsidRPr="00931806">
              <w:rPr>
                <w:rFonts w:cs="Arial"/>
                <w:color w:val="000000"/>
                <w:sz w:val="22"/>
                <w:szCs w:val="22"/>
                <w:lang w:eastAsia="fr-CA"/>
              </w:rPr>
              <w:t xml:space="preserve"> e</w:t>
            </w:r>
            <w:r>
              <w:rPr>
                <w:rFonts w:cs="Arial"/>
                <w:color w:val="000000"/>
                <w:sz w:val="22"/>
                <w:szCs w:val="22"/>
                <w:lang w:eastAsia="fr-CA"/>
              </w:rPr>
              <w:t>n</w:t>
            </w:r>
            <w:r w:rsidRPr="00931806">
              <w:rPr>
                <w:rFonts w:cs="Arial"/>
                <w:color w:val="000000"/>
                <w:sz w:val="22"/>
                <w:szCs w:val="22"/>
                <w:lang w:eastAsia="fr-CA"/>
              </w:rPr>
              <w:t xml:space="preserve"> Charlevoix</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551145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286BCE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CD4E920"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0,15</w:t>
            </w:r>
          </w:p>
        </w:tc>
        <w:tc>
          <w:tcPr>
            <w:tcW w:w="1275" w:type="dxa"/>
            <w:tcBorders>
              <w:top w:val="single" w:sz="6" w:space="0" w:color="auto"/>
              <w:left w:val="single" w:sz="6" w:space="0" w:color="auto"/>
              <w:bottom w:val="single" w:sz="6" w:space="0" w:color="auto"/>
            </w:tcBorders>
            <w:shd w:val="clear" w:color="auto" w:fill="auto"/>
            <w:noWrap/>
            <w:hideMark/>
          </w:tcPr>
          <w:p w14:paraId="6F005E5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129" w:type="dxa"/>
            <w:tcBorders>
              <w:top w:val="single" w:sz="6" w:space="0" w:color="auto"/>
              <w:left w:val="single" w:sz="6" w:space="0" w:color="auto"/>
              <w:bottom w:val="single" w:sz="6" w:space="0" w:color="auto"/>
            </w:tcBorders>
            <w:vAlign w:val="center"/>
          </w:tcPr>
          <w:p w14:paraId="72E0546C" w14:textId="079EA5C8"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0,02</w:t>
            </w:r>
          </w:p>
        </w:tc>
      </w:tr>
      <w:tr w:rsidR="00CA3E6A" w:rsidRPr="00931806" w14:paraId="7D816FD7" w14:textId="2313BA68"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3CB57C69"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La Pocatière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9728D9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1,63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AAF356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8B21D10"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0,26</w:t>
            </w:r>
          </w:p>
        </w:tc>
        <w:tc>
          <w:tcPr>
            <w:tcW w:w="1275" w:type="dxa"/>
            <w:tcBorders>
              <w:top w:val="single" w:sz="6" w:space="0" w:color="auto"/>
              <w:left w:val="single" w:sz="6" w:space="0" w:color="auto"/>
              <w:bottom w:val="single" w:sz="6" w:space="0" w:color="auto"/>
            </w:tcBorders>
            <w:shd w:val="clear" w:color="auto" w:fill="auto"/>
            <w:noWrap/>
            <w:hideMark/>
          </w:tcPr>
          <w:p w14:paraId="4411E4C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0,34</w:t>
            </w:r>
          </w:p>
        </w:tc>
        <w:tc>
          <w:tcPr>
            <w:tcW w:w="1129" w:type="dxa"/>
            <w:tcBorders>
              <w:top w:val="single" w:sz="6" w:space="0" w:color="auto"/>
              <w:left w:val="single" w:sz="6" w:space="0" w:color="auto"/>
              <w:bottom w:val="single" w:sz="6" w:space="0" w:color="auto"/>
            </w:tcBorders>
            <w:vAlign w:val="center"/>
          </w:tcPr>
          <w:p w14:paraId="46E2F555" w14:textId="6C4A9410"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0,05</w:t>
            </w:r>
          </w:p>
        </w:tc>
      </w:tr>
      <w:tr w:rsidR="00CA3E6A" w:rsidRPr="00931806" w14:paraId="4C55FCA6" w14:textId="0BEA97A6"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69AC7FFE" w14:textId="13359951"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La Pocatière </w:t>
            </w:r>
            <w:r>
              <w:rPr>
                <w:rFonts w:cs="Arial"/>
                <w:color w:val="000000"/>
                <w:sz w:val="22"/>
                <w:szCs w:val="22"/>
                <w:lang w:eastAsia="fr-CA"/>
              </w:rPr>
              <w:noBreakHyphen/>
            </w:r>
            <w:r w:rsidRPr="00931806">
              <w:rPr>
                <w:rFonts w:cs="Arial"/>
                <w:color w:val="000000"/>
                <w:sz w:val="22"/>
                <w:szCs w:val="22"/>
                <w:lang w:eastAsia="fr-CA"/>
              </w:rPr>
              <w:t xml:space="preserve"> </w:t>
            </w:r>
            <w:r>
              <w:rPr>
                <w:rFonts w:cs="Arial"/>
                <w:color w:val="000000"/>
                <w:sz w:val="22"/>
                <w:szCs w:val="22"/>
                <w:lang w:eastAsia="fr-CA"/>
              </w:rPr>
              <w:t>CEC</w:t>
            </w:r>
            <w:r w:rsidRPr="00931806">
              <w:rPr>
                <w:rFonts w:cs="Arial"/>
                <w:color w:val="000000"/>
                <w:sz w:val="22"/>
                <w:szCs w:val="22"/>
                <w:lang w:eastAsia="fr-CA"/>
              </w:rPr>
              <w:t xml:space="preserve"> de Montmagny</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9B71AE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0,75</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08FCB6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72C77A4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69AA7BA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0,13</w:t>
            </w:r>
          </w:p>
        </w:tc>
        <w:tc>
          <w:tcPr>
            <w:tcW w:w="1129" w:type="dxa"/>
            <w:tcBorders>
              <w:top w:val="single" w:sz="6" w:space="0" w:color="auto"/>
              <w:left w:val="single" w:sz="6" w:space="0" w:color="auto"/>
              <w:bottom w:val="single" w:sz="6" w:space="0" w:color="auto"/>
            </w:tcBorders>
            <w:vAlign w:val="center"/>
          </w:tcPr>
          <w:p w14:paraId="41C85FA5" w14:textId="041F22A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0,01</w:t>
            </w:r>
          </w:p>
        </w:tc>
      </w:tr>
      <w:tr w:rsidR="00CA3E6A" w:rsidRPr="00931806" w14:paraId="14835171" w14:textId="3F0A1A74"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19CA3D61" w14:textId="72539F75"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Lanaudière </w:t>
            </w:r>
            <w:r>
              <w:rPr>
                <w:rFonts w:cs="Arial"/>
                <w:color w:val="000000"/>
                <w:sz w:val="22"/>
                <w:szCs w:val="22"/>
                <w:lang w:eastAsia="fr-CA"/>
              </w:rPr>
              <w:noBreakHyphen/>
            </w:r>
            <w:r w:rsidRPr="00931806">
              <w:rPr>
                <w:rFonts w:cs="Arial"/>
                <w:color w:val="000000"/>
                <w:sz w:val="22"/>
                <w:szCs w:val="22"/>
                <w:lang w:eastAsia="fr-CA"/>
              </w:rPr>
              <w:t xml:space="preserve"> Assomption</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EA17A3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3DB8BB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1,01</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448B7D3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364F1FC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0,53</w:t>
            </w:r>
          </w:p>
        </w:tc>
        <w:tc>
          <w:tcPr>
            <w:tcW w:w="1129" w:type="dxa"/>
            <w:tcBorders>
              <w:top w:val="single" w:sz="6" w:space="0" w:color="auto"/>
              <w:left w:val="single" w:sz="6" w:space="0" w:color="auto"/>
              <w:bottom w:val="single" w:sz="6" w:space="0" w:color="auto"/>
            </w:tcBorders>
            <w:vAlign w:val="center"/>
          </w:tcPr>
          <w:p w14:paraId="01A5A1FF" w14:textId="3981F9E0"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0,15</w:t>
            </w:r>
          </w:p>
        </w:tc>
      </w:tr>
      <w:tr w:rsidR="00CA3E6A" w:rsidRPr="00931806" w14:paraId="002C30F5" w14:textId="4A445C8C"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122AE54" w14:textId="1B2476FD"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Lanaudière </w:t>
            </w:r>
            <w:r>
              <w:rPr>
                <w:rFonts w:cs="Arial"/>
                <w:color w:val="000000"/>
                <w:sz w:val="22"/>
                <w:szCs w:val="22"/>
                <w:lang w:eastAsia="fr-CA"/>
              </w:rPr>
              <w:noBreakHyphen/>
            </w:r>
            <w:r w:rsidRPr="00931806">
              <w:rPr>
                <w:rFonts w:cs="Arial"/>
                <w:color w:val="000000"/>
                <w:sz w:val="22"/>
                <w:szCs w:val="22"/>
                <w:lang w:eastAsia="fr-CA"/>
              </w:rPr>
              <w:t xml:space="preserve"> Joliette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A86A35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2,18</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A35C7E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CEF153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1,58</w:t>
            </w:r>
          </w:p>
        </w:tc>
        <w:tc>
          <w:tcPr>
            <w:tcW w:w="1275" w:type="dxa"/>
            <w:tcBorders>
              <w:top w:val="single" w:sz="6" w:space="0" w:color="auto"/>
              <w:left w:val="single" w:sz="6" w:space="0" w:color="auto"/>
              <w:bottom w:val="single" w:sz="6" w:space="0" w:color="auto"/>
            </w:tcBorders>
            <w:shd w:val="clear" w:color="auto" w:fill="auto"/>
            <w:noWrap/>
            <w:hideMark/>
          </w:tcPr>
          <w:p w14:paraId="4B0E56F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0,92</w:t>
            </w:r>
          </w:p>
        </w:tc>
        <w:tc>
          <w:tcPr>
            <w:tcW w:w="1129" w:type="dxa"/>
            <w:tcBorders>
              <w:top w:val="single" w:sz="6" w:space="0" w:color="auto"/>
              <w:left w:val="single" w:sz="6" w:space="0" w:color="auto"/>
              <w:bottom w:val="single" w:sz="6" w:space="0" w:color="auto"/>
            </w:tcBorders>
            <w:vAlign w:val="center"/>
          </w:tcPr>
          <w:p w14:paraId="3B9F4772" w14:textId="4A5BD49A"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0,15</w:t>
            </w:r>
          </w:p>
        </w:tc>
      </w:tr>
      <w:tr w:rsidR="00CA3E6A" w:rsidRPr="00931806" w14:paraId="4DCF75F9" w14:textId="6884A486"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1A4DCB1B" w14:textId="4603E5B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Lanaudière </w:t>
            </w:r>
            <w:r>
              <w:rPr>
                <w:rFonts w:cs="Arial"/>
                <w:color w:val="000000"/>
                <w:sz w:val="22"/>
                <w:szCs w:val="22"/>
                <w:lang w:eastAsia="fr-CA"/>
              </w:rPr>
              <w:noBreakHyphen/>
            </w:r>
            <w:r w:rsidRPr="00931806">
              <w:rPr>
                <w:rFonts w:cs="Arial"/>
                <w:color w:val="000000"/>
                <w:sz w:val="22"/>
                <w:szCs w:val="22"/>
                <w:lang w:eastAsia="fr-CA"/>
              </w:rPr>
              <w:t xml:space="preserve"> Terrebonne</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35757D7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0,26</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775AE99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1,13</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07CC460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tcPr>
          <w:p w14:paraId="42A84E4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0,48</w:t>
            </w:r>
          </w:p>
        </w:tc>
        <w:tc>
          <w:tcPr>
            <w:tcW w:w="1129" w:type="dxa"/>
            <w:tcBorders>
              <w:top w:val="single" w:sz="6" w:space="0" w:color="auto"/>
              <w:left w:val="single" w:sz="6" w:space="0" w:color="auto"/>
              <w:bottom w:val="single" w:sz="6" w:space="0" w:color="auto"/>
            </w:tcBorders>
            <w:vAlign w:val="center"/>
          </w:tcPr>
          <w:p w14:paraId="43A886CA" w14:textId="3FF7E3B3"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0,15</w:t>
            </w:r>
          </w:p>
        </w:tc>
      </w:tr>
      <w:tr w:rsidR="00CA3E6A" w:rsidRPr="00931806" w14:paraId="014C0CA2" w14:textId="3347D29E"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2AEDA12F" w14:textId="26A06B14"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Lévis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794D45B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1,51</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2479504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1,51</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0D76E5C7"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1,29</w:t>
            </w:r>
          </w:p>
        </w:tc>
        <w:tc>
          <w:tcPr>
            <w:tcW w:w="1275" w:type="dxa"/>
            <w:tcBorders>
              <w:top w:val="single" w:sz="6" w:space="0" w:color="auto"/>
              <w:left w:val="single" w:sz="6" w:space="0" w:color="auto"/>
              <w:bottom w:val="single" w:sz="6" w:space="0" w:color="auto"/>
            </w:tcBorders>
            <w:shd w:val="clear" w:color="auto" w:fill="auto"/>
            <w:noWrap/>
          </w:tcPr>
          <w:p w14:paraId="2559CE4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1,01</w:t>
            </w:r>
          </w:p>
        </w:tc>
        <w:tc>
          <w:tcPr>
            <w:tcW w:w="1129" w:type="dxa"/>
            <w:tcBorders>
              <w:top w:val="single" w:sz="6" w:space="0" w:color="auto"/>
              <w:left w:val="single" w:sz="6" w:space="0" w:color="auto"/>
              <w:bottom w:val="single" w:sz="6" w:space="0" w:color="auto"/>
            </w:tcBorders>
            <w:vAlign w:val="center"/>
          </w:tcPr>
          <w:p w14:paraId="6567CC11" w14:textId="23E71602"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0,21</w:t>
            </w:r>
          </w:p>
        </w:tc>
      </w:tr>
      <w:tr w:rsidR="00CA3E6A" w:rsidRPr="00931806" w14:paraId="3B5F54D5" w14:textId="5A0C8BC1"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5D8D6037"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Limoilou</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13B1151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1,07</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B83FDD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2,21</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1308FF72"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1,78</w:t>
            </w:r>
          </w:p>
        </w:tc>
        <w:tc>
          <w:tcPr>
            <w:tcW w:w="1275" w:type="dxa"/>
            <w:tcBorders>
              <w:top w:val="single" w:sz="6" w:space="0" w:color="auto"/>
              <w:left w:val="single" w:sz="6" w:space="0" w:color="auto"/>
              <w:bottom w:val="single" w:sz="6" w:space="0" w:color="auto"/>
            </w:tcBorders>
            <w:shd w:val="clear" w:color="auto" w:fill="auto"/>
            <w:noWrap/>
          </w:tcPr>
          <w:p w14:paraId="5B3C824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1,10</w:t>
            </w:r>
          </w:p>
        </w:tc>
        <w:tc>
          <w:tcPr>
            <w:tcW w:w="1129" w:type="dxa"/>
            <w:tcBorders>
              <w:top w:val="single" w:sz="6" w:space="0" w:color="auto"/>
              <w:left w:val="single" w:sz="6" w:space="0" w:color="auto"/>
              <w:bottom w:val="single" w:sz="6" w:space="0" w:color="auto"/>
            </w:tcBorders>
            <w:vAlign w:val="center"/>
          </w:tcPr>
          <w:p w14:paraId="2E5A5450" w14:textId="7344053E"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0,31</w:t>
            </w:r>
          </w:p>
        </w:tc>
      </w:tr>
      <w:tr w:rsidR="00CA3E6A" w:rsidRPr="00931806" w14:paraId="3FC4EF3F" w14:textId="5A615BCD"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3464432" w14:textId="73DA2066"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Limoilou </w:t>
            </w:r>
            <w:r>
              <w:rPr>
                <w:rFonts w:cs="Arial"/>
                <w:color w:val="000000"/>
                <w:sz w:val="22"/>
                <w:szCs w:val="22"/>
                <w:lang w:eastAsia="fr-CA"/>
              </w:rPr>
              <w:noBreakHyphen/>
            </w:r>
            <w:r w:rsidRPr="00931806">
              <w:rPr>
                <w:rFonts w:cs="Arial"/>
                <w:color w:val="000000"/>
                <w:sz w:val="22"/>
                <w:szCs w:val="22"/>
                <w:lang w:eastAsia="fr-CA"/>
              </w:rPr>
              <w:t xml:space="preserve"> Charlesbourg</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9B323A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0,25</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86CAB2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0,86</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C823B1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4B20AE2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0,49</w:t>
            </w:r>
          </w:p>
        </w:tc>
        <w:tc>
          <w:tcPr>
            <w:tcW w:w="1129" w:type="dxa"/>
            <w:tcBorders>
              <w:top w:val="single" w:sz="6" w:space="0" w:color="auto"/>
              <w:left w:val="single" w:sz="6" w:space="0" w:color="auto"/>
              <w:bottom w:val="single" w:sz="6" w:space="0" w:color="auto"/>
            </w:tcBorders>
            <w:vAlign w:val="center"/>
          </w:tcPr>
          <w:p w14:paraId="640BA009" w14:textId="24072A6C"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32487822" w14:textId="2D076DEF"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11B13C4" w14:textId="04AC5675"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Lionel</w:t>
            </w:r>
            <w:r>
              <w:rPr>
                <w:rFonts w:cs="Arial"/>
                <w:color w:val="000000"/>
                <w:sz w:val="22"/>
                <w:szCs w:val="22"/>
                <w:lang w:eastAsia="fr-CA"/>
              </w:rPr>
              <w:noBreakHyphen/>
            </w:r>
            <w:r w:rsidRPr="00931806">
              <w:rPr>
                <w:rFonts w:cs="Arial"/>
                <w:color w:val="000000"/>
                <w:sz w:val="22"/>
                <w:szCs w:val="22"/>
                <w:lang w:eastAsia="fr-CA"/>
              </w:rPr>
              <w:t>Groulx</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6D1EB7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3,20</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E42327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4,75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3DD03DCC"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0,83</w:t>
            </w:r>
          </w:p>
        </w:tc>
        <w:tc>
          <w:tcPr>
            <w:tcW w:w="1275" w:type="dxa"/>
            <w:tcBorders>
              <w:top w:val="single" w:sz="6" w:space="0" w:color="auto"/>
              <w:left w:val="single" w:sz="6" w:space="0" w:color="auto"/>
              <w:bottom w:val="single" w:sz="6" w:space="0" w:color="auto"/>
            </w:tcBorders>
            <w:shd w:val="clear" w:color="auto" w:fill="auto"/>
            <w:noWrap/>
            <w:hideMark/>
          </w:tcPr>
          <w:p w14:paraId="78DF86E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1,53</w:t>
            </w:r>
          </w:p>
        </w:tc>
        <w:tc>
          <w:tcPr>
            <w:tcW w:w="1129" w:type="dxa"/>
            <w:tcBorders>
              <w:top w:val="single" w:sz="6" w:space="0" w:color="auto"/>
              <w:left w:val="single" w:sz="6" w:space="0" w:color="auto"/>
              <w:bottom w:val="single" w:sz="6" w:space="0" w:color="auto"/>
            </w:tcBorders>
            <w:vAlign w:val="center"/>
          </w:tcPr>
          <w:p w14:paraId="11113C8C" w14:textId="338A696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0,50</w:t>
            </w:r>
          </w:p>
        </w:tc>
      </w:tr>
      <w:tr w:rsidR="00CA3E6A" w:rsidRPr="00931806" w14:paraId="44ECA759" w14:textId="5D4C8EB7"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1358D31"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Maisonneuve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E76464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A73C5F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5,04</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BB154A1"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1,35</w:t>
            </w:r>
          </w:p>
        </w:tc>
        <w:tc>
          <w:tcPr>
            <w:tcW w:w="1275" w:type="dxa"/>
            <w:tcBorders>
              <w:top w:val="single" w:sz="6" w:space="0" w:color="auto"/>
              <w:left w:val="single" w:sz="6" w:space="0" w:color="auto"/>
              <w:bottom w:val="single" w:sz="6" w:space="0" w:color="auto"/>
            </w:tcBorders>
            <w:shd w:val="clear" w:color="auto" w:fill="auto"/>
            <w:noWrap/>
            <w:hideMark/>
          </w:tcPr>
          <w:p w14:paraId="7D085D3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1,66</w:t>
            </w:r>
          </w:p>
        </w:tc>
        <w:tc>
          <w:tcPr>
            <w:tcW w:w="1129" w:type="dxa"/>
            <w:tcBorders>
              <w:top w:val="single" w:sz="6" w:space="0" w:color="auto"/>
              <w:left w:val="single" w:sz="6" w:space="0" w:color="auto"/>
              <w:bottom w:val="single" w:sz="6" w:space="0" w:color="auto"/>
            </w:tcBorders>
            <w:vAlign w:val="center"/>
          </w:tcPr>
          <w:p w14:paraId="5D0BE3BC" w14:textId="5FFB45A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0,52</w:t>
            </w:r>
          </w:p>
        </w:tc>
      </w:tr>
      <w:tr w:rsidR="00CA3E6A" w:rsidRPr="00931806" w14:paraId="6E09F4CE" w14:textId="2C2C9AA9"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5DCED27" w14:textId="0338FE4C"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Marie</w:t>
            </w:r>
            <w:r>
              <w:rPr>
                <w:rFonts w:cs="Arial"/>
                <w:color w:val="000000"/>
                <w:sz w:val="22"/>
                <w:szCs w:val="22"/>
                <w:lang w:eastAsia="fr-CA"/>
              </w:rPr>
              <w:noBreakHyphen/>
            </w:r>
            <w:r w:rsidRPr="00931806">
              <w:rPr>
                <w:rFonts w:cs="Arial"/>
                <w:color w:val="000000"/>
                <w:sz w:val="22"/>
                <w:szCs w:val="22"/>
                <w:lang w:eastAsia="fr-CA"/>
              </w:rPr>
              <w:t>Victorin</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782D99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0,97</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1E3642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2,09</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3F8DFD4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453A70E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1,21</w:t>
            </w:r>
          </w:p>
        </w:tc>
        <w:tc>
          <w:tcPr>
            <w:tcW w:w="1129" w:type="dxa"/>
            <w:tcBorders>
              <w:top w:val="single" w:sz="6" w:space="0" w:color="auto"/>
              <w:left w:val="single" w:sz="6" w:space="0" w:color="auto"/>
              <w:bottom w:val="single" w:sz="6" w:space="0" w:color="auto"/>
            </w:tcBorders>
            <w:vAlign w:val="center"/>
          </w:tcPr>
          <w:p w14:paraId="4636066F" w14:textId="45ACD7D6"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0,22</w:t>
            </w:r>
          </w:p>
        </w:tc>
      </w:tr>
      <w:tr w:rsidR="00CA3E6A" w:rsidRPr="00931806" w14:paraId="43D28F38" w14:textId="21A19D47"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F016718"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Montmorency</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3DCB8B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0,52</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5A6484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5,62</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90BCFE7"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2,22</w:t>
            </w:r>
          </w:p>
        </w:tc>
        <w:tc>
          <w:tcPr>
            <w:tcW w:w="1275" w:type="dxa"/>
            <w:tcBorders>
              <w:top w:val="single" w:sz="6" w:space="0" w:color="auto"/>
              <w:left w:val="single" w:sz="6" w:space="0" w:color="auto"/>
              <w:bottom w:val="single" w:sz="6" w:space="0" w:color="auto"/>
            </w:tcBorders>
            <w:shd w:val="clear" w:color="auto" w:fill="auto"/>
            <w:noWrap/>
            <w:hideMark/>
          </w:tcPr>
          <w:p w14:paraId="2533806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2,08</w:t>
            </w:r>
          </w:p>
        </w:tc>
        <w:tc>
          <w:tcPr>
            <w:tcW w:w="1129" w:type="dxa"/>
            <w:tcBorders>
              <w:top w:val="single" w:sz="6" w:space="0" w:color="auto"/>
              <w:left w:val="single" w:sz="6" w:space="0" w:color="auto"/>
              <w:bottom w:val="single" w:sz="6" w:space="0" w:color="auto"/>
            </w:tcBorders>
            <w:vAlign w:val="center"/>
          </w:tcPr>
          <w:p w14:paraId="501B752C" w14:textId="12E10C5B"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0,61</w:t>
            </w:r>
          </w:p>
        </w:tc>
      </w:tr>
      <w:tr w:rsidR="00CA3E6A" w:rsidRPr="00931806" w14:paraId="4A7EB712" w14:textId="486B04A8"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7FCD24F7"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Outaouais</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C101ED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1,58</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17B71A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2,46</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3D921DD"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0,88</w:t>
            </w:r>
          </w:p>
        </w:tc>
        <w:tc>
          <w:tcPr>
            <w:tcW w:w="1275" w:type="dxa"/>
            <w:tcBorders>
              <w:top w:val="single" w:sz="6" w:space="0" w:color="auto"/>
              <w:left w:val="single" w:sz="6" w:space="0" w:color="auto"/>
              <w:bottom w:val="single" w:sz="6" w:space="0" w:color="auto"/>
            </w:tcBorders>
            <w:shd w:val="clear" w:color="auto" w:fill="auto"/>
            <w:noWrap/>
            <w:hideMark/>
          </w:tcPr>
          <w:p w14:paraId="0BF4D43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1,04</w:t>
            </w:r>
          </w:p>
        </w:tc>
        <w:tc>
          <w:tcPr>
            <w:tcW w:w="1129" w:type="dxa"/>
            <w:tcBorders>
              <w:top w:val="single" w:sz="6" w:space="0" w:color="auto"/>
              <w:left w:val="single" w:sz="6" w:space="0" w:color="auto"/>
              <w:bottom w:val="single" w:sz="6" w:space="0" w:color="auto"/>
            </w:tcBorders>
            <w:vAlign w:val="center"/>
          </w:tcPr>
          <w:p w14:paraId="4C9E7B8B" w14:textId="5EA3A9D7"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0,42</w:t>
            </w:r>
          </w:p>
        </w:tc>
      </w:tr>
      <w:tr w:rsidR="00CA3E6A" w:rsidRPr="00931806" w14:paraId="411FA381" w14:textId="76F66D84"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7A420CFF" w14:textId="0153EBA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Outaouais </w:t>
            </w:r>
            <w:r>
              <w:rPr>
                <w:rFonts w:cs="Arial"/>
                <w:color w:val="000000"/>
                <w:sz w:val="22"/>
                <w:szCs w:val="22"/>
                <w:lang w:eastAsia="fr-CA"/>
              </w:rPr>
              <w:noBreakHyphen/>
            </w:r>
            <w:r w:rsidRPr="00931806">
              <w:rPr>
                <w:rFonts w:cs="Arial"/>
                <w:color w:val="000000"/>
                <w:sz w:val="22"/>
                <w:szCs w:val="22"/>
                <w:lang w:eastAsia="fr-CA"/>
              </w:rPr>
              <w:t xml:space="preserve"> Campus Félix</w:t>
            </w:r>
            <w:r>
              <w:rPr>
                <w:rFonts w:cs="Arial"/>
                <w:color w:val="000000"/>
                <w:sz w:val="22"/>
                <w:szCs w:val="22"/>
                <w:lang w:eastAsia="fr-CA"/>
              </w:rPr>
              <w:noBreakHyphen/>
            </w:r>
            <w:r w:rsidRPr="00931806">
              <w:rPr>
                <w:rFonts w:cs="Arial"/>
                <w:color w:val="000000"/>
                <w:sz w:val="22"/>
                <w:szCs w:val="22"/>
                <w:lang w:eastAsia="fr-CA"/>
              </w:rPr>
              <w:t>Leclerc</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2F97C3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1,02</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81EFAE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6817EFF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795EB3AB"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0,46</w:t>
            </w:r>
          </w:p>
        </w:tc>
        <w:tc>
          <w:tcPr>
            <w:tcW w:w="1129" w:type="dxa"/>
            <w:tcBorders>
              <w:top w:val="single" w:sz="6" w:space="0" w:color="auto"/>
              <w:left w:val="single" w:sz="6" w:space="0" w:color="auto"/>
              <w:bottom w:val="single" w:sz="6" w:space="0" w:color="auto"/>
            </w:tcBorders>
            <w:vAlign w:val="center"/>
          </w:tcPr>
          <w:p w14:paraId="66D461FA" w14:textId="28FC3E78"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0DDF6628" w14:textId="7CBFABED"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75D0536B"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Rosemont</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41D1B9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BB95E0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1,95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378E79F"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0,28</w:t>
            </w:r>
          </w:p>
        </w:tc>
        <w:tc>
          <w:tcPr>
            <w:tcW w:w="1275" w:type="dxa"/>
            <w:tcBorders>
              <w:top w:val="single" w:sz="6" w:space="0" w:color="auto"/>
              <w:left w:val="single" w:sz="6" w:space="0" w:color="auto"/>
              <w:bottom w:val="single" w:sz="6" w:space="0" w:color="auto"/>
            </w:tcBorders>
            <w:shd w:val="clear" w:color="auto" w:fill="auto"/>
            <w:noWrap/>
            <w:hideMark/>
          </w:tcPr>
          <w:p w14:paraId="605A93A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0,88</w:t>
            </w:r>
          </w:p>
        </w:tc>
        <w:tc>
          <w:tcPr>
            <w:tcW w:w="1129" w:type="dxa"/>
            <w:tcBorders>
              <w:top w:val="single" w:sz="6" w:space="0" w:color="auto"/>
              <w:left w:val="single" w:sz="6" w:space="0" w:color="auto"/>
              <w:bottom w:val="single" w:sz="6" w:space="0" w:color="auto"/>
            </w:tcBorders>
            <w:vAlign w:val="center"/>
          </w:tcPr>
          <w:p w14:paraId="6033A9D1" w14:textId="6879E41F"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0,17</w:t>
            </w:r>
          </w:p>
        </w:tc>
      </w:tr>
      <w:tr w:rsidR="00CA3E6A" w:rsidRPr="00931806" w14:paraId="126F503D" w14:textId="3906A78B"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E5EC301" w14:textId="6785DDF0"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Félicien</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46BD93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1,62</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879541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36BA31D"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0,61</w:t>
            </w:r>
          </w:p>
        </w:tc>
        <w:tc>
          <w:tcPr>
            <w:tcW w:w="1275" w:type="dxa"/>
            <w:tcBorders>
              <w:top w:val="single" w:sz="6" w:space="0" w:color="auto"/>
              <w:left w:val="single" w:sz="6" w:space="0" w:color="auto"/>
              <w:bottom w:val="single" w:sz="6" w:space="0" w:color="auto"/>
            </w:tcBorders>
            <w:shd w:val="clear" w:color="auto" w:fill="auto"/>
            <w:noWrap/>
            <w:hideMark/>
          </w:tcPr>
          <w:p w14:paraId="635D6EC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0,38</w:t>
            </w:r>
          </w:p>
        </w:tc>
        <w:tc>
          <w:tcPr>
            <w:tcW w:w="1129" w:type="dxa"/>
            <w:tcBorders>
              <w:top w:val="single" w:sz="6" w:space="0" w:color="auto"/>
              <w:left w:val="single" w:sz="6" w:space="0" w:color="auto"/>
              <w:bottom w:val="single" w:sz="6" w:space="0" w:color="auto"/>
            </w:tcBorders>
            <w:vAlign w:val="center"/>
          </w:tcPr>
          <w:p w14:paraId="4F56598F" w14:textId="273168C2"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0,05</w:t>
            </w:r>
          </w:p>
        </w:tc>
      </w:tr>
      <w:tr w:rsidR="00CA3E6A" w:rsidRPr="00931806" w14:paraId="2E3D4AC8" w14:textId="3EB6A987"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365F160" w14:textId="3D1FBD24"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 xml:space="preserve">Félicien </w:t>
            </w:r>
            <w:r>
              <w:rPr>
                <w:rFonts w:cs="Arial"/>
                <w:color w:val="000000"/>
                <w:sz w:val="22"/>
                <w:szCs w:val="22"/>
                <w:lang w:eastAsia="fr-CA"/>
              </w:rPr>
              <w:t>–</w:t>
            </w:r>
            <w:r w:rsidRPr="00931806">
              <w:rPr>
                <w:rFonts w:cs="Arial"/>
                <w:color w:val="000000"/>
                <w:sz w:val="22"/>
                <w:szCs w:val="22"/>
                <w:lang w:eastAsia="fr-CA"/>
              </w:rPr>
              <w:t xml:space="preserve"> </w:t>
            </w:r>
            <w:r>
              <w:rPr>
                <w:rFonts w:cs="Arial"/>
                <w:color w:val="000000"/>
                <w:sz w:val="22"/>
                <w:szCs w:val="22"/>
                <w:lang w:eastAsia="fr-CA"/>
              </w:rPr>
              <w:t>CEC à</w:t>
            </w:r>
            <w:r w:rsidRPr="00931806">
              <w:rPr>
                <w:rFonts w:cs="Arial"/>
                <w:color w:val="000000"/>
                <w:sz w:val="22"/>
                <w:szCs w:val="22"/>
                <w:lang w:eastAsia="fr-CA"/>
              </w:rPr>
              <w:t xml:space="preserve"> Chibougamau</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8E9D91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E3988A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08714C0"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5933AB3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0,10</w:t>
            </w:r>
          </w:p>
        </w:tc>
        <w:tc>
          <w:tcPr>
            <w:tcW w:w="1129" w:type="dxa"/>
            <w:tcBorders>
              <w:top w:val="single" w:sz="6" w:space="0" w:color="auto"/>
              <w:left w:val="single" w:sz="6" w:space="0" w:color="auto"/>
              <w:bottom w:val="single" w:sz="6" w:space="0" w:color="auto"/>
            </w:tcBorders>
            <w:vAlign w:val="center"/>
          </w:tcPr>
          <w:p w14:paraId="00926D13" w14:textId="2D8C98BE"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0,00</w:t>
            </w:r>
          </w:p>
        </w:tc>
      </w:tr>
      <w:tr w:rsidR="00CA3E6A" w:rsidRPr="00931806" w14:paraId="6C56BF53" w14:textId="0C6F1AE4"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06AB71F" w14:textId="14FA79BC"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Hyacinthe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8FFD94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1,36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A3F81C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2,92</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F37F67D"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1,44</w:t>
            </w:r>
          </w:p>
        </w:tc>
        <w:tc>
          <w:tcPr>
            <w:tcW w:w="1275" w:type="dxa"/>
            <w:tcBorders>
              <w:top w:val="single" w:sz="6" w:space="0" w:color="auto"/>
              <w:left w:val="single" w:sz="6" w:space="0" w:color="auto"/>
              <w:bottom w:val="single" w:sz="6" w:space="0" w:color="auto"/>
            </w:tcBorders>
            <w:shd w:val="clear" w:color="auto" w:fill="auto"/>
            <w:noWrap/>
            <w:hideMark/>
          </w:tcPr>
          <w:p w14:paraId="70F7C53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1,37</w:t>
            </w:r>
          </w:p>
        </w:tc>
        <w:tc>
          <w:tcPr>
            <w:tcW w:w="1129" w:type="dxa"/>
            <w:tcBorders>
              <w:top w:val="single" w:sz="6" w:space="0" w:color="auto"/>
              <w:left w:val="single" w:sz="6" w:space="0" w:color="auto"/>
              <w:bottom w:val="single" w:sz="6" w:space="0" w:color="auto"/>
            </w:tcBorders>
            <w:vAlign w:val="center"/>
          </w:tcPr>
          <w:p w14:paraId="1D675E05" w14:textId="05CC88B2"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0,36</w:t>
            </w:r>
          </w:p>
        </w:tc>
      </w:tr>
      <w:tr w:rsidR="00CA3E6A" w:rsidRPr="00931806" w14:paraId="2D466F2E" w14:textId="218EA5D8"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56F6D141" w14:textId="53160011"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Jean</w:t>
            </w:r>
            <w:r>
              <w:rPr>
                <w:rFonts w:cs="Arial"/>
                <w:color w:val="000000"/>
                <w:sz w:val="22"/>
                <w:szCs w:val="22"/>
                <w:lang w:eastAsia="fr-CA"/>
              </w:rPr>
              <w:noBreakHyphen/>
            </w:r>
            <w:r w:rsidRPr="00931806">
              <w:rPr>
                <w:rFonts w:cs="Arial"/>
                <w:color w:val="000000"/>
                <w:sz w:val="22"/>
                <w:szCs w:val="22"/>
                <w:lang w:eastAsia="fr-CA"/>
              </w:rPr>
              <w:t>sur</w:t>
            </w:r>
            <w:r>
              <w:rPr>
                <w:rFonts w:cs="Arial"/>
                <w:color w:val="000000"/>
                <w:sz w:val="22"/>
                <w:szCs w:val="22"/>
                <w:lang w:eastAsia="fr-CA"/>
              </w:rPr>
              <w:noBreakHyphen/>
            </w:r>
            <w:r w:rsidRPr="00931806">
              <w:rPr>
                <w:rFonts w:cs="Arial"/>
                <w:color w:val="000000"/>
                <w:sz w:val="22"/>
                <w:szCs w:val="22"/>
                <w:lang w:eastAsia="fr-CA"/>
              </w:rPr>
              <w:t>Richelieu</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5C69F6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FDEF94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2,36</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15FFA3E"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0,97</w:t>
            </w:r>
          </w:p>
        </w:tc>
        <w:tc>
          <w:tcPr>
            <w:tcW w:w="1275" w:type="dxa"/>
            <w:tcBorders>
              <w:top w:val="single" w:sz="6" w:space="0" w:color="auto"/>
              <w:left w:val="single" w:sz="6" w:space="0" w:color="auto"/>
              <w:bottom w:val="single" w:sz="6" w:space="0" w:color="auto"/>
            </w:tcBorders>
            <w:shd w:val="clear" w:color="auto" w:fill="auto"/>
            <w:noWrap/>
            <w:hideMark/>
          </w:tcPr>
          <w:p w14:paraId="5A0FDAB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1,00</w:t>
            </w:r>
          </w:p>
        </w:tc>
        <w:tc>
          <w:tcPr>
            <w:tcW w:w="1129" w:type="dxa"/>
            <w:tcBorders>
              <w:top w:val="single" w:sz="6" w:space="0" w:color="auto"/>
              <w:left w:val="single" w:sz="6" w:space="0" w:color="auto"/>
              <w:bottom w:val="single" w:sz="6" w:space="0" w:color="auto"/>
            </w:tcBorders>
            <w:vAlign w:val="center"/>
          </w:tcPr>
          <w:p w14:paraId="787D1E41" w14:textId="12A4B5B6"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0,23</w:t>
            </w:r>
          </w:p>
        </w:tc>
      </w:tr>
      <w:tr w:rsidR="00CA3E6A" w:rsidRPr="00931806" w14:paraId="525EBC2D" w14:textId="72FE907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2240EB5" w14:textId="335FF581"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Jérôme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C54E4C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0,73</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FDAB5B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2,80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0FBCCE88"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2,65</w:t>
            </w:r>
          </w:p>
        </w:tc>
        <w:tc>
          <w:tcPr>
            <w:tcW w:w="1275" w:type="dxa"/>
            <w:tcBorders>
              <w:top w:val="single" w:sz="6" w:space="0" w:color="auto"/>
              <w:left w:val="single" w:sz="6" w:space="0" w:color="auto"/>
              <w:bottom w:val="single" w:sz="6" w:space="0" w:color="auto"/>
            </w:tcBorders>
            <w:shd w:val="clear" w:color="auto" w:fill="auto"/>
            <w:noWrap/>
            <w:hideMark/>
          </w:tcPr>
          <w:p w14:paraId="594BF76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1,47</w:t>
            </w:r>
          </w:p>
        </w:tc>
        <w:tc>
          <w:tcPr>
            <w:tcW w:w="1129" w:type="dxa"/>
            <w:tcBorders>
              <w:top w:val="single" w:sz="6" w:space="0" w:color="auto"/>
              <w:left w:val="single" w:sz="6" w:space="0" w:color="auto"/>
              <w:bottom w:val="single" w:sz="6" w:space="0" w:color="auto"/>
            </w:tcBorders>
            <w:vAlign w:val="center"/>
          </w:tcPr>
          <w:p w14:paraId="2AF84C24" w14:textId="53DBBE90"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0,31</w:t>
            </w:r>
          </w:p>
        </w:tc>
      </w:tr>
      <w:tr w:rsidR="00CA3E6A" w:rsidRPr="00931806" w14:paraId="5341784A" w14:textId="128DDC1E"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1765E610" w14:textId="2FC7E8F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 xml:space="preserve">Jérôme </w:t>
            </w:r>
            <w:r>
              <w:rPr>
                <w:rFonts w:cs="Arial"/>
                <w:color w:val="000000"/>
                <w:sz w:val="22"/>
                <w:szCs w:val="22"/>
                <w:lang w:eastAsia="fr-CA"/>
              </w:rPr>
              <w:noBreakHyphen/>
            </w:r>
            <w:r w:rsidRPr="00931806">
              <w:rPr>
                <w:rFonts w:cs="Arial"/>
                <w:color w:val="000000"/>
                <w:sz w:val="22"/>
                <w:szCs w:val="22"/>
                <w:lang w:eastAsia="fr-CA"/>
              </w:rPr>
              <w:t xml:space="preserve"> </w:t>
            </w:r>
            <w:r w:rsidR="008A29BA">
              <w:rPr>
                <w:rFonts w:cs="Arial"/>
                <w:color w:val="000000"/>
                <w:sz w:val="22"/>
                <w:szCs w:val="22"/>
                <w:lang w:eastAsia="fr-CA"/>
              </w:rPr>
              <w:t>CEC</w:t>
            </w:r>
            <w:r w:rsidRPr="00931806">
              <w:rPr>
                <w:rFonts w:cs="Arial"/>
                <w:color w:val="000000"/>
                <w:sz w:val="22"/>
                <w:szCs w:val="22"/>
                <w:lang w:eastAsia="fr-CA"/>
              </w:rPr>
              <w:t xml:space="preserve"> Mont</w:t>
            </w:r>
            <w:r>
              <w:rPr>
                <w:rFonts w:cs="Arial"/>
                <w:color w:val="000000"/>
                <w:sz w:val="22"/>
                <w:szCs w:val="22"/>
                <w:lang w:eastAsia="fr-CA"/>
              </w:rPr>
              <w:noBreakHyphen/>
            </w:r>
            <w:r w:rsidRPr="00931806">
              <w:rPr>
                <w:rFonts w:cs="Arial"/>
                <w:color w:val="000000"/>
                <w:sz w:val="22"/>
                <w:szCs w:val="22"/>
                <w:lang w:eastAsia="fr-CA"/>
              </w:rPr>
              <w:t>Laurier</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B37B3E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0,76</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2FC7DD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34DFFE1B"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0,12</w:t>
            </w:r>
          </w:p>
        </w:tc>
        <w:tc>
          <w:tcPr>
            <w:tcW w:w="1275" w:type="dxa"/>
            <w:tcBorders>
              <w:top w:val="single" w:sz="6" w:space="0" w:color="auto"/>
              <w:left w:val="single" w:sz="6" w:space="0" w:color="auto"/>
              <w:bottom w:val="single" w:sz="6" w:space="0" w:color="auto"/>
            </w:tcBorders>
            <w:shd w:val="clear" w:color="auto" w:fill="auto"/>
            <w:noWrap/>
            <w:hideMark/>
          </w:tcPr>
          <w:p w14:paraId="102414D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129" w:type="dxa"/>
            <w:tcBorders>
              <w:top w:val="single" w:sz="6" w:space="0" w:color="auto"/>
              <w:left w:val="single" w:sz="6" w:space="0" w:color="auto"/>
              <w:bottom w:val="single" w:sz="6" w:space="0" w:color="auto"/>
            </w:tcBorders>
            <w:vAlign w:val="center"/>
          </w:tcPr>
          <w:p w14:paraId="674238F9" w14:textId="302A840A"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0,02</w:t>
            </w:r>
          </w:p>
        </w:tc>
      </w:tr>
      <w:tr w:rsidR="00CA3E6A" w:rsidRPr="00931806" w14:paraId="07516436" w14:textId="72908CA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11B0A174" w14:textId="1A041F28"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 xml:space="preserve">Jérôme </w:t>
            </w:r>
            <w:r>
              <w:rPr>
                <w:rFonts w:cs="Arial"/>
                <w:color w:val="000000"/>
                <w:sz w:val="22"/>
                <w:szCs w:val="22"/>
                <w:lang w:eastAsia="fr-CA"/>
              </w:rPr>
              <w:noBreakHyphen/>
            </w:r>
            <w:r w:rsidRPr="00931806">
              <w:rPr>
                <w:rFonts w:cs="Arial"/>
                <w:color w:val="000000"/>
                <w:sz w:val="22"/>
                <w:szCs w:val="22"/>
                <w:lang w:eastAsia="fr-CA"/>
              </w:rPr>
              <w:t xml:space="preserve"> </w:t>
            </w:r>
            <w:r w:rsidR="008A29BA">
              <w:rPr>
                <w:rFonts w:cs="Arial"/>
                <w:color w:val="000000"/>
                <w:sz w:val="22"/>
                <w:szCs w:val="22"/>
                <w:lang w:eastAsia="fr-CA"/>
              </w:rPr>
              <w:t>CEC</w:t>
            </w:r>
            <w:r w:rsidRPr="00931806">
              <w:rPr>
                <w:rFonts w:cs="Arial"/>
                <w:color w:val="000000"/>
                <w:sz w:val="22"/>
                <w:szCs w:val="22"/>
                <w:lang w:eastAsia="fr-CA"/>
              </w:rPr>
              <w:t xml:space="preserve"> Mont</w:t>
            </w:r>
            <w:r>
              <w:rPr>
                <w:rFonts w:cs="Arial"/>
                <w:color w:val="000000"/>
                <w:sz w:val="22"/>
                <w:szCs w:val="22"/>
                <w:lang w:eastAsia="fr-CA"/>
              </w:rPr>
              <w:noBreakHyphen/>
            </w:r>
            <w:r w:rsidRPr="00931806">
              <w:rPr>
                <w:rFonts w:cs="Arial"/>
                <w:color w:val="000000"/>
                <w:sz w:val="22"/>
                <w:szCs w:val="22"/>
                <w:lang w:eastAsia="fr-CA"/>
              </w:rPr>
              <w:t>Tremblant</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402E883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0,51</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42BFB0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CC2A36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7203654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0,10</w:t>
            </w:r>
          </w:p>
        </w:tc>
        <w:tc>
          <w:tcPr>
            <w:tcW w:w="1129" w:type="dxa"/>
            <w:tcBorders>
              <w:top w:val="single" w:sz="6" w:space="0" w:color="auto"/>
              <w:left w:val="single" w:sz="6" w:space="0" w:color="auto"/>
              <w:bottom w:val="single" w:sz="6" w:space="0" w:color="auto"/>
            </w:tcBorders>
            <w:vAlign w:val="center"/>
          </w:tcPr>
          <w:p w14:paraId="2E701D70" w14:textId="6A18326C"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0,02</w:t>
            </w:r>
          </w:p>
        </w:tc>
      </w:tr>
      <w:tr w:rsidR="00CA3E6A" w:rsidRPr="00931806" w14:paraId="771E908B" w14:textId="1E260B76"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6E9E65C0" w14:textId="68B4518B"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Saint</w:t>
            </w:r>
            <w:r>
              <w:rPr>
                <w:rFonts w:cs="Arial"/>
                <w:color w:val="000000"/>
                <w:sz w:val="22"/>
                <w:szCs w:val="22"/>
                <w:lang w:eastAsia="fr-CA"/>
              </w:rPr>
              <w:noBreakHyphen/>
            </w:r>
            <w:r w:rsidRPr="00931806">
              <w:rPr>
                <w:rFonts w:cs="Arial"/>
                <w:color w:val="000000"/>
                <w:sz w:val="22"/>
                <w:szCs w:val="22"/>
                <w:lang w:eastAsia="fr-CA"/>
              </w:rPr>
              <w:t>Laurent</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DB269B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1,48</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508D775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2,37</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06C75000"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1,08</w:t>
            </w:r>
          </w:p>
        </w:tc>
        <w:tc>
          <w:tcPr>
            <w:tcW w:w="1275" w:type="dxa"/>
            <w:tcBorders>
              <w:top w:val="single" w:sz="6" w:space="0" w:color="auto"/>
              <w:left w:val="single" w:sz="6" w:space="0" w:color="auto"/>
              <w:bottom w:val="single" w:sz="6" w:space="0" w:color="auto"/>
            </w:tcBorders>
            <w:shd w:val="clear" w:color="auto" w:fill="auto"/>
            <w:noWrap/>
          </w:tcPr>
          <w:p w14:paraId="2754B13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1,20</w:t>
            </w:r>
          </w:p>
        </w:tc>
        <w:tc>
          <w:tcPr>
            <w:tcW w:w="1129" w:type="dxa"/>
            <w:tcBorders>
              <w:top w:val="single" w:sz="6" w:space="0" w:color="auto"/>
              <w:left w:val="single" w:sz="6" w:space="0" w:color="auto"/>
              <w:bottom w:val="single" w:sz="6" w:space="0" w:color="auto"/>
            </w:tcBorders>
            <w:vAlign w:val="center"/>
          </w:tcPr>
          <w:p w14:paraId="34926311" w14:textId="3D533B51"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0,27</w:t>
            </w:r>
          </w:p>
        </w:tc>
      </w:tr>
    </w:tbl>
    <w:p w14:paraId="6D824B07" w14:textId="77777777" w:rsidR="00FD2284" w:rsidRDefault="00FD2284" w:rsidP="00A64613">
      <w:pPr>
        <w:keepNext w:val="0"/>
      </w:pPr>
    </w:p>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681"/>
        <w:gridCol w:w="1701"/>
        <w:gridCol w:w="1701"/>
        <w:gridCol w:w="1276"/>
        <w:gridCol w:w="1275"/>
        <w:gridCol w:w="1129"/>
      </w:tblGrid>
      <w:tr w:rsidR="00CA3E6A" w:rsidRPr="00931806" w14:paraId="45585773" w14:textId="13AB201B" w:rsidTr="00CA3E6A">
        <w:trPr>
          <w:trHeight w:val="283"/>
          <w:tblHeader/>
          <w:jc w:val="center"/>
        </w:trPr>
        <w:tc>
          <w:tcPr>
            <w:tcW w:w="3681" w:type="dxa"/>
            <w:tcBorders>
              <w:bottom w:val="single" w:sz="8" w:space="0" w:color="auto"/>
            </w:tcBorders>
            <w:shd w:val="clear" w:color="auto" w:fill="auto"/>
            <w:noWrap/>
            <w:vAlign w:val="center"/>
            <w:hideMark/>
          </w:tcPr>
          <w:p w14:paraId="08B754EC" w14:textId="77777777" w:rsidR="00CA3E6A" w:rsidRPr="00931806" w:rsidRDefault="00CA3E6A" w:rsidP="00A64613">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Nom du collège</w:t>
            </w:r>
          </w:p>
        </w:tc>
        <w:tc>
          <w:tcPr>
            <w:tcW w:w="1701" w:type="dxa"/>
            <w:tcBorders>
              <w:bottom w:val="single" w:sz="8" w:space="0" w:color="auto"/>
            </w:tcBorders>
            <w:shd w:val="clear" w:color="auto" w:fill="auto"/>
            <w:vAlign w:val="center"/>
            <w:hideMark/>
          </w:tcPr>
          <w:p w14:paraId="7C41882B" w14:textId="77777777" w:rsidR="00CA3E6A" w:rsidRPr="00931806" w:rsidRDefault="00CA3E6A" w:rsidP="00A64613">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Allocation coefficient HP</w:t>
            </w:r>
            <w:r>
              <w:rPr>
                <w:rStyle w:val="FootnoteReference"/>
                <w:rFonts w:cs="Arial"/>
                <w:b/>
                <w:bCs/>
                <w:color w:val="000000"/>
                <w:sz w:val="22"/>
                <w:szCs w:val="22"/>
                <w:lang w:eastAsia="fr-CA"/>
              </w:rPr>
              <w:footnoteReference w:id="46"/>
            </w:r>
          </w:p>
        </w:tc>
        <w:tc>
          <w:tcPr>
            <w:tcW w:w="1701" w:type="dxa"/>
            <w:tcBorders>
              <w:bottom w:val="single" w:sz="8" w:space="0" w:color="auto"/>
            </w:tcBorders>
            <w:shd w:val="clear" w:color="auto" w:fill="auto"/>
            <w:vAlign w:val="center"/>
            <w:hideMark/>
          </w:tcPr>
          <w:p w14:paraId="7911E0CA" w14:textId="77777777" w:rsidR="00CA3E6A" w:rsidRPr="00931806" w:rsidRDefault="00CA3E6A" w:rsidP="00A64613">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Allocation Encadrement</w:t>
            </w:r>
            <w:r>
              <w:rPr>
                <w:rStyle w:val="FootnoteReference"/>
                <w:rFonts w:cs="Arial"/>
                <w:b/>
                <w:bCs/>
                <w:color w:val="000000"/>
                <w:sz w:val="22"/>
                <w:szCs w:val="22"/>
                <w:lang w:eastAsia="fr-CA"/>
              </w:rPr>
              <w:footnoteReference w:id="47"/>
            </w:r>
          </w:p>
        </w:tc>
        <w:tc>
          <w:tcPr>
            <w:tcW w:w="1276" w:type="dxa"/>
            <w:tcBorders>
              <w:bottom w:val="single" w:sz="8" w:space="0" w:color="auto"/>
            </w:tcBorders>
            <w:shd w:val="clear" w:color="auto" w:fill="auto"/>
            <w:vAlign w:val="center"/>
            <w:hideMark/>
          </w:tcPr>
          <w:p w14:paraId="3DE9994C" w14:textId="77777777" w:rsidR="00CA3E6A" w:rsidRPr="00135C13" w:rsidRDefault="00CA3E6A" w:rsidP="00A64613">
            <w:pPr>
              <w:keepNext w:val="0"/>
              <w:spacing w:before="60" w:after="60"/>
              <w:jc w:val="center"/>
              <w:rPr>
                <w:rFonts w:cs="Arial"/>
                <w:b/>
                <w:bCs/>
                <w:color w:val="000000"/>
                <w:sz w:val="22"/>
                <w:szCs w:val="22"/>
                <w:lang w:eastAsia="fr-CA"/>
              </w:rPr>
            </w:pPr>
            <w:r w:rsidRPr="00135C13">
              <w:rPr>
                <w:rFonts w:cs="Arial"/>
                <w:b/>
                <w:bCs/>
                <w:color w:val="000000"/>
                <w:sz w:val="22"/>
                <w:szCs w:val="22"/>
                <w:lang w:eastAsia="fr-CA"/>
              </w:rPr>
              <w:t>Soins infirmiers</w:t>
            </w:r>
            <w:r>
              <w:rPr>
                <w:rStyle w:val="FootnoteReference"/>
                <w:rFonts w:cs="Arial"/>
                <w:b/>
                <w:bCs/>
                <w:color w:val="000000"/>
                <w:sz w:val="22"/>
                <w:szCs w:val="22"/>
                <w:lang w:eastAsia="fr-CA"/>
              </w:rPr>
              <w:footnoteReference w:id="48"/>
            </w:r>
          </w:p>
        </w:tc>
        <w:tc>
          <w:tcPr>
            <w:tcW w:w="1275" w:type="dxa"/>
            <w:tcBorders>
              <w:bottom w:val="single" w:sz="8" w:space="0" w:color="auto"/>
            </w:tcBorders>
            <w:shd w:val="clear" w:color="auto" w:fill="auto"/>
            <w:vAlign w:val="center"/>
            <w:hideMark/>
          </w:tcPr>
          <w:p w14:paraId="45AAD273" w14:textId="77777777" w:rsidR="00CA3E6A" w:rsidRPr="00135C13" w:rsidRDefault="00CA3E6A" w:rsidP="00A64613">
            <w:pPr>
              <w:keepNext w:val="0"/>
              <w:spacing w:before="60" w:after="60"/>
              <w:jc w:val="center"/>
              <w:rPr>
                <w:rFonts w:cs="Arial"/>
                <w:b/>
                <w:bCs/>
                <w:color w:val="000000"/>
                <w:sz w:val="22"/>
                <w:szCs w:val="22"/>
                <w:lang w:eastAsia="fr-CA"/>
              </w:rPr>
            </w:pPr>
            <w:r w:rsidRPr="00135C13">
              <w:rPr>
                <w:rFonts w:cs="Arial"/>
                <w:b/>
                <w:bCs/>
                <w:color w:val="000000"/>
                <w:sz w:val="22"/>
                <w:szCs w:val="22"/>
                <w:lang w:eastAsia="fr-CA"/>
              </w:rPr>
              <w:t>CI maximale</w:t>
            </w:r>
            <w:r>
              <w:rPr>
                <w:rStyle w:val="FootnoteReference"/>
                <w:rFonts w:cs="Arial"/>
                <w:b/>
                <w:bCs/>
                <w:color w:val="000000"/>
                <w:sz w:val="22"/>
                <w:szCs w:val="22"/>
                <w:lang w:eastAsia="fr-CA"/>
              </w:rPr>
              <w:footnoteReference w:id="49"/>
            </w:r>
          </w:p>
        </w:tc>
        <w:tc>
          <w:tcPr>
            <w:tcW w:w="1129" w:type="dxa"/>
            <w:tcBorders>
              <w:bottom w:val="single" w:sz="8" w:space="0" w:color="auto"/>
            </w:tcBorders>
          </w:tcPr>
          <w:p w14:paraId="1D729B1E" w14:textId="4D7BCEDC" w:rsidR="00CA3E6A" w:rsidRPr="00316277" w:rsidRDefault="00CA3E6A" w:rsidP="00CA3E6A">
            <w:pPr>
              <w:keepNext w:val="0"/>
              <w:jc w:val="center"/>
              <w:rPr>
                <w:rFonts w:cs="Arial"/>
                <w:b/>
                <w:bCs/>
                <w:color w:val="000000"/>
                <w:sz w:val="22"/>
                <w:szCs w:val="22"/>
                <w:lang w:eastAsia="fr-CA"/>
              </w:rPr>
            </w:pPr>
            <w:r w:rsidRPr="00316277">
              <w:rPr>
                <w:rFonts w:cs="Arial"/>
                <w:b/>
                <w:bCs/>
                <w:color w:val="000000"/>
                <w:sz w:val="22"/>
                <w:szCs w:val="22"/>
                <w:lang w:eastAsia="fr-CA"/>
              </w:rPr>
              <w:t>NES</w:t>
            </w:r>
            <w:r w:rsidR="008A29BA" w:rsidRPr="00316277">
              <w:rPr>
                <w:rFonts w:cs="Arial"/>
                <w:b/>
                <w:bCs/>
                <w:color w:val="000000"/>
                <w:sz w:val="22"/>
                <w:szCs w:val="22"/>
                <w:vertAlign w:val="subscript"/>
                <w:lang w:eastAsia="fr-CA"/>
              </w:rPr>
              <w:t>2</w:t>
            </w:r>
          </w:p>
          <w:p w14:paraId="26FB7730" w14:textId="50B58FD6" w:rsidR="00CA3E6A" w:rsidRPr="00316277" w:rsidRDefault="00CA3E6A" w:rsidP="00CA3E6A">
            <w:pPr>
              <w:keepNext w:val="0"/>
              <w:spacing w:before="60" w:after="60"/>
              <w:jc w:val="center"/>
              <w:rPr>
                <w:rFonts w:cs="Arial"/>
                <w:b/>
                <w:bCs/>
                <w:color w:val="000000"/>
                <w:sz w:val="22"/>
                <w:szCs w:val="22"/>
                <w:lang w:eastAsia="fr-CA"/>
              </w:rPr>
            </w:pPr>
            <w:r w:rsidRPr="00316277">
              <w:rPr>
                <w:rFonts w:cs="Arial"/>
                <w:b/>
                <w:bCs/>
                <w:color w:val="000000"/>
                <w:sz w:val="22"/>
                <w:szCs w:val="22"/>
                <w:lang w:eastAsia="fr-CA"/>
              </w:rPr>
              <w:t>Cours 30 heures</w:t>
            </w:r>
            <w:r w:rsidRPr="00316277">
              <w:rPr>
                <w:rStyle w:val="FootnoteReference"/>
                <w:rFonts w:cs="Arial"/>
                <w:b/>
                <w:bCs/>
                <w:color w:val="000000"/>
                <w:sz w:val="22"/>
                <w:szCs w:val="22"/>
                <w:lang w:eastAsia="fr-CA"/>
              </w:rPr>
              <w:footnoteReference w:id="50"/>
            </w:r>
          </w:p>
        </w:tc>
      </w:tr>
      <w:tr w:rsidR="00CA3E6A" w:rsidRPr="00931806" w14:paraId="2FE61367" w14:textId="18183BF0"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6A9C2C57" w14:textId="3B005E9D"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Sept</w:t>
            </w:r>
            <w:r>
              <w:rPr>
                <w:rFonts w:cs="Arial"/>
                <w:color w:val="000000"/>
                <w:sz w:val="22"/>
                <w:szCs w:val="22"/>
                <w:lang w:eastAsia="fr-CA"/>
              </w:rPr>
              <w:noBreakHyphen/>
            </w:r>
            <w:r w:rsidRPr="00931806">
              <w:rPr>
                <w:rFonts w:cs="Arial"/>
                <w:color w:val="000000"/>
                <w:sz w:val="22"/>
                <w:szCs w:val="22"/>
                <w:lang w:eastAsia="fr-CA"/>
              </w:rPr>
              <w:t>Îles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45DEB96"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3,39</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2223952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0,15</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7EE6E28B"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0,36</w:t>
            </w:r>
          </w:p>
        </w:tc>
        <w:tc>
          <w:tcPr>
            <w:tcW w:w="1275" w:type="dxa"/>
            <w:tcBorders>
              <w:top w:val="single" w:sz="6" w:space="0" w:color="auto"/>
              <w:left w:val="single" w:sz="6" w:space="0" w:color="auto"/>
              <w:bottom w:val="single" w:sz="6" w:space="0" w:color="auto"/>
            </w:tcBorders>
            <w:shd w:val="clear" w:color="auto" w:fill="auto"/>
            <w:noWrap/>
          </w:tcPr>
          <w:p w14:paraId="7A8DE06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0,32</w:t>
            </w:r>
          </w:p>
        </w:tc>
        <w:tc>
          <w:tcPr>
            <w:tcW w:w="1129" w:type="dxa"/>
            <w:tcBorders>
              <w:top w:val="single" w:sz="6" w:space="0" w:color="auto"/>
              <w:left w:val="single" w:sz="6" w:space="0" w:color="auto"/>
              <w:bottom w:val="single" w:sz="6" w:space="0" w:color="auto"/>
            </w:tcBorders>
            <w:vAlign w:val="center"/>
          </w:tcPr>
          <w:p w14:paraId="74C0354F" w14:textId="5F773BC3"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0,05</w:t>
            </w:r>
          </w:p>
        </w:tc>
      </w:tr>
      <w:tr w:rsidR="00CA3E6A" w:rsidRPr="00931806" w14:paraId="78294832" w14:textId="0CCA10B6"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28831D60" w14:textId="74D222C8"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Sept</w:t>
            </w:r>
            <w:r>
              <w:rPr>
                <w:rFonts w:cs="Arial"/>
                <w:color w:val="000000"/>
                <w:sz w:val="22"/>
                <w:szCs w:val="22"/>
                <w:lang w:eastAsia="fr-CA"/>
              </w:rPr>
              <w:noBreakHyphen/>
            </w:r>
            <w:r w:rsidRPr="00931806">
              <w:rPr>
                <w:rFonts w:cs="Arial"/>
                <w:color w:val="000000"/>
                <w:sz w:val="22"/>
                <w:szCs w:val="22"/>
                <w:lang w:eastAsia="fr-CA"/>
              </w:rPr>
              <w:t xml:space="preserve">Îles </w:t>
            </w:r>
            <w:r>
              <w:rPr>
                <w:rFonts w:cs="Arial"/>
                <w:color w:val="000000"/>
                <w:sz w:val="22"/>
                <w:szCs w:val="22"/>
                <w:lang w:eastAsia="fr-CA"/>
              </w:rPr>
              <w:noBreakHyphen/>
            </w:r>
            <w:r w:rsidRPr="00931806">
              <w:rPr>
                <w:rFonts w:cs="Arial"/>
                <w:color w:val="000000"/>
                <w:sz w:val="22"/>
                <w:szCs w:val="22"/>
                <w:lang w:eastAsia="fr-CA"/>
              </w:rPr>
              <w:t xml:space="preserve"> Pavillon anglophone</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90AC63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0,56</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3D63EE3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00723DB0"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tcPr>
          <w:p w14:paraId="39B537C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129" w:type="dxa"/>
            <w:tcBorders>
              <w:top w:val="single" w:sz="6" w:space="0" w:color="auto"/>
              <w:left w:val="single" w:sz="6" w:space="0" w:color="auto"/>
              <w:bottom w:val="single" w:sz="6" w:space="0" w:color="auto"/>
            </w:tcBorders>
            <w:vAlign w:val="center"/>
          </w:tcPr>
          <w:p w14:paraId="3EEFD715" w14:textId="3251680A"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26AC9832" w14:textId="121B069D"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tcPr>
          <w:p w14:paraId="62C3A457"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Shawinigan</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684995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2,12</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27FA67A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0,31</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14:paraId="49C4F38E"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0,74</w:t>
            </w:r>
          </w:p>
        </w:tc>
        <w:tc>
          <w:tcPr>
            <w:tcW w:w="1275" w:type="dxa"/>
            <w:tcBorders>
              <w:top w:val="single" w:sz="6" w:space="0" w:color="auto"/>
              <w:left w:val="single" w:sz="6" w:space="0" w:color="auto"/>
              <w:bottom w:val="single" w:sz="6" w:space="0" w:color="auto"/>
            </w:tcBorders>
            <w:shd w:val="clear" w:color="auto" w:fill="auto"/>
            <w:noWrap/>
          </w:tcPr>
          <w:p w14:paraId="23C0634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0,46</w:t>
            </w:r>
          </w:p>
        </w:tc>
        <w:tc>
          <w:tcPr>
            <w:tcW w:w="1129" w:type="dxa"/>
            <w:tcBorders>
              <w:top w:val="single" w:sz="6" w:space="0" w:color="auto"/>
              <w:left w:val="single" w:sz="6" w:space="0" w:color="auto"/>
              <w:bottom w:val="single" w:sz="6" w:space="0" w:color="auto"/>
            </w:tcBorders>
            <w:vAlign w:val="center"/>
          </w:tcPr>
          <w:p w14:paraId="31D9818A" w14:textId="37E60648"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0,07</w:t>
            </w:r>
          </w:p>
        </w:tc>
      </w:tr>
      <w:tr w:rsidR="00CA3E6A" w:rsidRPr="00931806" w14:paraId="4D8F3D4C" w14:textId="004B501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6577900" w14:textId="15C1A776"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 xml:space="preserve">Shawinigan </w:t>
            </w:r>
            <w:r>
              <w:rPr>
                <w:rFonts w:cs="Arial"/>
                <w:color w:val="000000"/>
                <w:sz w:val="22"/>
                <w:szCs w:val="22"/>
                <w:lang w:eastAsia="fr-CA"/>
              </w:rPr>
              <w:noBreakHyphen/>
            </w:r>
            <w:r w:rsidRPr="00931806">
              <w:rPr>
                <w:rFonts w:cs="Arial"/>
                <w:color w:val="000000"/>
                <w:sz w:val="22"/>
                <w:szCs w:val="22"/>
                <w:lang w:eastAsia="fr-CA"/>
              </w:rPr>
              <w:t xml:space="preserve"> CEC de la Tuque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4C9CFB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0,64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D335E39"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93BA587"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275" w:type="dxa"/>
            <w:tcBorders>
              <w:top w:val="single" w:sz="6" w:space="0" w:color="auto"/>
              <w:left w:val="single" w:sz="6" w:space="0" w:color="auto"/>
              <w:bottom w:val="single" w:sz="6" w:space="0" w:color="auto"/>
            </w:tcBorders>
            <w:shd w:val="clear" w:color="auto" w:fill="auto"/>
            <w:noWrap/>
            <w:hideMark/>
          </w:tcPr>
          <w:p w14:paraId="2049E2D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0,00</w:t>
            </w:r>
          </w:p>
        </w:tc>
        <w:tc>
          <w:tcPr>
            <w:tcW w:w="1129" w:type="dxa"/>
            <w:tcBorders>
              <w:top w:val="single" w:sz="6" w:space="0" w:color="auto"/>
              <w:left w:val="single" w:sz="6" w:space="0" w:color="auto"/>
              <w:bottom w:val="single" w:sz="6" w:space="0" w:color="auto"/>
            </w:tcBorders>
            <w:vAlign w:val="center"/>
          </w:tcPr>
          <w:p w14:paraId="644B7A35" w14:textId="454664BB" w:rsidR="00CA3E6A" w:rsidRPr="00316277" w:rsidRDefault="00E95016"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w:t>
            </w:r>
          </w:p>
        </w:tc>
      </w:tr>
      <w:tr w:rsidR="00CA3E6A" w:rsidRPr="00931806" w14:paraId="54259589" w14:textId="3E9C41E2"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B2F707E"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Sherbrooke</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5FB4A1F"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0,98</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457518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3,70</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422B46EF"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2,27</w:t>
            </w:r>
          </w:p>
        </w:tc>
        <w:tc>
          <w:tcPr>
            <w:tcW w:w="1275" w:type="dxa"/>
            <w:tcBorders>
              <w:top w:val="single" w:sz="6" w:space="0" w:color="auto"/>
              <w:left w:val="single" w:sz="6" w:space="0" w:color="auto"/>
              <w:bottom w:val="single" w:sz="6" w:space="0" w:color="auto"/>
            </w:tcBorders>
            <w:shd w:val="clear" w:color="auto" w:fill="auto"/>
            <w:noWrap/>
            <w:hideMark/>
          </w:tcPr>
          <w:p w14:paraId="114D0E2D"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1,91</w:t>
            </w:r>
          </w:p>
        </w:tc>
        <w:tc>
          <w:tcPr>
            <w:tcW w:w="1129" w:type="dxa"/>
            <w:tcBorders>
              <w:top w:val="single" w:sz="6" w:space="0" w:color="auto"/>
              <w:left w:val="single" w:sz="6" w:space="0" w:color="auto"/>
              <w:bottom w:val="single" w:sz="6" w:space="0" w:color="auto"/>
            </w:tcBorders>
            <w:vAlign w:val="center"/>
          </w:tcPr>
          <w:p w14:paraId="0B986248" w14:textId="22F30D1B"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0,41</w:t>
            </w:r>
          </w:p>
        </w:tc>
      </w:tr>
      <w:tr w:rsidR="00CA3E6A" w:rsidRPr="00931806" w14:paraId="3AA0DD46" w14:textId="6FFF1C33"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0E683A8"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Thetford</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6655AA88"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2,30</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7F7C0FD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0,27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252D7DC"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0,44</w:t>
            </w:r>
          </w:p>
        </w:tc>
        <w:tc>
          <w:tcPr>
            <w:tcW w:w="1275" w:type="dxa"/>
            <w:tcBorders>
              <w:top w:val="single" w:sz="6" w:space="0" w:color="auto"/>
              <w:left w:val="single" w:sz="6" w:space="0" w:color="auto"/>
              <w:bottom w:val="single" w:sz="6" w:space="0" w:color="auto"/>
            </w:tcBorders>
            <w:shd w:val="clear" w:color="auto" w:fill="auto"/>
            <w:noWrap/>
            <w:hideMark/>
          </w:tcPr>
          <w:p w14:paraId="0F2FDF9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0,45</w:t>
            </w:r>
          </w:p>
        </w:tc>
        <w:tc>
          <w:tcPr>
            <w:tcW w:w="1129" w:type="dxa"/>
            <w:tcBorders>
              <w:top w:val="single" w:sz="6" w:space="0" w:color="auto"/>
              <w:left w:val="single" w:sz="6" w:space="0" w:color="auto"/>
              <w:bottom w:val="single" w:sz="6" w:space="0" w:color="auto"/>
            </w:tcBorders>
            <w:vAlign w:val="center"/>
          </w:tcPr>
          <w:p w14:paraId="28E9CBA3" w14:textId="614A9534"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0,08</w:t>
            </w:r>
          </w:p>
        </w:tc>
      </w:tr>
      <w:tr w:rsidR="00CA3E6A" w:rsidRPr="00931806" w14:paraId="4E0E20A7" w14:textId="2C35F07A"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48559C39" w14:textId="1EDE50F2"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Trois</w:t>
            </w:r>
            <w:r>
              <w:rPr>
                <w:rFonts w:cs="Arial"/>
                <w:color w:val="000000"/>
                <w:sz w:val="22"/>
                <w:szCs w:val="22"/>
                <w:lang w:eastAsia="fr-CA"/>
              </w:rPr>
              <w:noBreakHyphen/>
            </w:r>
            <w:r w:rsidRPr="00931806">
              <w:rPr>
                <w:rFonts w:cs="Arial"/>
                <w:color w:val="000000"/>
                <w:sz w:val="22"/>
                <w:szCs w:val="22"/>
                <w:lang w:eastAsia="fr-CA"/>
              </w:rPr>
              <w:t>Rivières</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7570FB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1,22</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0202FDF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2,87</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64A7FAF0"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1,02</w:t>
            </w:r>
          </w:p>
        </w:tc>
        <w:tc>
          <w:tcPr>
            <w:tcW w:w="1275" w:type="dxa"/>
            <w:tcBorders>
              <w:top w:val="single" w:sz="6" w:space="0" w:color="auto"/>
              <w:left w:val="single" w:sz="6" w:space="0" w:color="auto"/>
              <w:bottom w:val="single" w:sz="6" w:space="0" w:color="auto"/>
            </w:tcBorders>
            <w:shd w:val="clear" w:color="auto" w:fill="auto"/>
            <w:noWrap/>
            <w:hideMark/>
          </w:tcPr>
          <w:p w14:paraId="1B52AEF1"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1,46</w:t>
            </w:r>
          </w:p>
        </w:tc>
        <w:tc>
          <w:tcPr>
            <w:tcW w:w="1129" w:type="dxa"/>
            <w:tcBorders>
              <w:top w:val="single" w:sz="6" w:space="0" w:color="auto"/>
              <w:left w:val="single" w:sz="6" w:space="0" w:color="auto"/>
              <w:bottom w:val="single" w:sz="6" w:space="0" w:color="auto"/>
            </w:tcBorders>
            <w:vAlign w:val="center"/>
          </w:tcPr>
          <w:p w14:paraId="2C573E01" w14:textId="054AE847"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0,31</w:t>
            </w:r>
          </w:p>
        </w:tc>
      </w:tr>
      <w:tr w:rsidR="00CA3E6A" w:rsidRPr="00931806" w14:paraId="315516AF" w14:textId="29F2835B"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0F077CFD"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Valleyfield</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2D52B2FA"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2,04</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58A8FC15"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1,05</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59431CC1"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1,39</w:t>
            </w:r>
          </w:p>
        </w:tc>
        <w:tc>
          <w:tcPr>
            <w:tcW w:w="1275" w:type="dxa"/>
            <w:tcBorders>
              <w:top w:val="single" w:sz="6" w:space="0" w:color="auto"/>
              <w:left w:val="single" w:sz="6" w:space="0" w:color="auto"/>
              <w:bottom w:val="single" w:sz="6" w:space="0" w:color="auto"/>
            </w:tcBorders>
            <w:shd w:val="clear" w:color="auto" w:fill="auto"/>
            <w:noWrap/>
            <w:hideMark/>
          </w:tcPr>
          <w:p w14:paraId="7EB2EDA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0,75</w:t>
            </w:r>
          </w:p>
        </w:tc>
        <w:tc>
          <w:tcPr>
            <w:tcW w:w="1129" w:type="dxa"/>
            <w:tcBorders>
              <w:top w:val="single" w:sz="6" w:space="0" w:color="auto"/>
              <w:left w:val="single" w:sz="6" w:space="0" w:color="auto"/>
              <w:bottom w:val="single" w:sz="6" w:space="0" w:color="auto"/>
            </w:tcBorders>
            <w:vAlign w:val="center"/>
          </w:tcPr>
          <w:p w14:paraId="57A60F7A" w14:textId="25BD8CFD"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0,18</w:t>
            </w:r>
          </w:p>
        </w:tc>
      </w:tr>
      <w:tr w:rsidR="00CA3E6A" w:rsidRPr="00931806" w14:paraId="4AC27EA4" w14:textId="18AC97DC" w:rsidTr="00CA3E6A">
        <w:trPr>
          <w:trHeight w:val="283"/>
          <w:jc w:val="center"/>
        </w:trPr>
        <w:tc>
          <w:tcPr>
            <w:tcW w:w="3681" w:type="dxa"/>
            <w:tcBorders>
              <w:top w:val="single" w:sz="6" w:space="0" w:color="auto"/>
              <w:bottom w:val="single" w:sz="6" w:space="0" w:color="auto"/>
              <w:right w:val="single" w:sz="6" w:space="0" w:color="auto"/>
            </w:tcBorders>
            <w:shd w:val="clear" w:color="auto" w:fill="auto"/>
            <w:noWrap/>
            <w:vAlign w:val="center"/>
            <w:hideMark/>
          </w:tcPr>
          <w:p w14:paraId="285415C3"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Vanier</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3CD399A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2,07</w:t>
            </w:r>
          </w:p>
        </w:tc>
        <w:tc>
          <w:tcPr>
            <w:tcW w:w="1701" w:type="dxa"/>
            <w:tcBorders>
              <w:top w:val="single" w:sz="6" w:space="0" w:color="auto"/>
              <w:left w:val="single" w:sz="6" w:space="0" w:color="auto"/>
              <w:bottom w:val="single" w:sz="6" w:space="0" w:color="auto"/>
              <w:right w:val="single" w:sz="6" w:space="0" w:color="auto"/>
            </w:tcBorders>
            <w:shd w:val="clear" w:color="auto" w:fill="auto"/>
            <w:noWrap/>
            <w:hideMark/>
          </w:tcPr>
          <w:p w14:paraId="1CBB78C3"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5,58</w:t>
            </w:r>
          </w:p>
        </w:tc>
        <w:tc>
          <w:tcPr>
            <w:tcW w:w="1276" w:type="dxa"/>
            <w:tcBorders>
              <w:top w:val="single" w:sz="6" w:space="0" w:color="auto"/>
              <w:left w:val="single" w:sz="6" w:space="0" w:color="auto"/>
              <w:bottom w:val="single" w:sz="6" w:space="0" w:color="auto"/>
              <w:right w:val="single" w:sz="6" w:space="0" w:color="auto"/>
            </w:tcBorders>
            <w:shd w:val="clear" w:color="auto" w:fill="auto"/>
            <w:noWrap/>
            <w:hideMark/>
          </w:tcPr>
          <w:p w14:paraId="173114B7"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1,37</w:t>
            </w:r>
          </w:p>
        </w:tc>
        <w:tc>
          <w:tcPr>
            <w:tcW w:w="1275" w:type="dxa"/>
            <w:tcBorders>
              <w:top w:val="single" w:sz="6" w:space="0" w:color="auto"/>
              <w:left w:val="single" w:sz="6" w:space="0" w:color="auto"/>
              <w:bottom w:val="single" w:sz="6" w:space="0" w:color="auto"/>
            </w:tcBorders>
            <w:shd w:val="clear" w:color="auto" w:fill="auto"/>
            <w:noWrap/>
            <w:hideMark/>
          </w:tcPr>
          <w:p w14:paraId="50F4648E"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1,86</w:t>
            </w:r>
          </w:p>
        </w:tc>
        <w:tc>
          <w:tcPr>
            <w:tcW w:w="1129" w:type="dxa"/>
            <w:tcBorders>
              <w:top w:val="single" w:sz="6" w:space="0" w:color="auto"/>
              <w:left w:val="single" w:sz="6" w:space="0" w:color="auto"/>
              <w:bottom w:val="single" w:sz="6" w:space="0" w:color="auto"/>
            </w:tcBorders>
            <w:vAlign w:val="center"/>
          </w:tcPr>
          <w:p w14:paraId="304A92E9" w14:textId="73D68B4A"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0,51</w:t>
            </w:r>
          </w:p>
        </w:tc>
      </w:tr>
      <w:tr w:rsidR="00CA3E6A" w:rsidRPr="00931806" w14:paraId="3FF1FF2F" w14:textId="37F2D321" w:rsidTr="00CA3E6A">
        <w:trPr>
          <w:trHeight w:val="283"/>
          <w:jc w:val="center"/>
        </w:trPr>
        <w:tc>
          <w:tcPr>
            <w:tcW w:w="3681" w:type="dxa"/>
            <w:tcBorders>
              <w:top w:val="single" w:sz="6" w:space="0" w:color="auto"/>
              <w:right w:val="single" w:sz="6" w:space="0" w:color="auto"/>
            </w:tcBorders>
            <w:shd w:val="clear" w:color="auto" w:fill="auto"/>
            <w:noWrap/>
            <w:vAlign w:val="center"/>
            <w:hideMark/>
          </w:tcPr>
          <w:p w14:paraId="2281385D" w14:textId="77777777" w:rsidR="00CA3E6A" w:rsidRPr="00931806" w:rsidRDefault="00CA3E6A" w:rsidP="00CA3E6A">
            <w:pPr>
              <w:keepNext w:val="0"/>
              <w:spacing w:before="60" w:after="60"/>
              <w:jc w:val="left"/>
              <w:rPr>
                <w:rFonts w:cs="Arial"/>
                <w:color w:val="000000"/>
                <w:sz w:val="22"/>
                <w:szCs w:val="22"/>
                <w:lang w:eastAsia="fr-CA"/>
              </w:rPr>
            </w:pPr>
            <w:r w:rsidRPr="00931806">
              <w:rPr>
                <w:rFonts w:cs="Arial"/>
                <w:color w:val="000000"/>
                <w:sz w:val="22"/>
                <w:szCs w:val="22"/>
                <w:lang w:eastAsia="fr-CA"/>
              </w:rPr>
              <w:t>Vieux Montréal</w:t>
            </w:r>
          </w:p>
        </w:tc>
        <w:tc>
          <w:tcPr>
            <w:tcW w:w="1701" w:type="dxa"/>
            <w:tcBorders>
              <w:top w:val="single" w:sz="6" w:space="0" w:color="auto"/>
              <w:left w:val="single" w:sz="6" w:space="0" w:color="auto"/>
              <w:right w:val="single" w:sz="6" w:space="0" w:color="auto"/>
            </w:tcBorders>
            <w:shd w:val="clear" w:color="auto" w:fill="auto"/>
            <w:noWrap/>
            <w:hideMark/>
          </w:tcPr>
          <w:p w14:paraId="525C1902"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0,71</w:t>
            </w:r>
          </w:p>
        </w:tc>
        <w:tc>
          <w:tcPr>
            <w:tcW w:w="1701" w:type="dxa"/>
            <w:tcBorders>
              <w:top w:val="single" w:sz="6" w:space="0" w:color="auto"/>
              <w:left w:val="single" w:sz="6" w:space="0" w:color="auto"/>
              <w:right w:val="single" w:sz="6" w:space="0" w:color="auto"/>
            </w:tcBorders>
            <w:shd w:val="clear" w:color="auto" w:fill="auto"/>
            <w:noWrap/>
            <w:hideMark/>
          </w:tcPr>
          <w:p w14:paraId="323837AC"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3,31</w:t>
            </w:r>
          </w:p>
        </w:tc>
        <w:tc>
          <w:tcPr>
            <w:tcW w:w="1276" w:type="dxa"/>
            <w:tcBorders>
              <w:top w:val="single" w:sz="6" w:space="0" w:color="auto"/>
              <w:left w:val="single" w:sz="6" w:space="0" w:color="auto"/>
              <w:right w:val="single" w:sz="6" w:space="0" w:color="auto"/>
            </w:tcBorders>
            <w:shd w:val="clear" w:color="auto" w:fill="auto"/>
            <w:noWrap/>
            <w:hideMark/>
          </w:tcPr>
          <w:p w14:paraId="78D262E3" w14:textId="77777777" w:rsidR="00CA3E6A" w:rsidRPr="00931806" w:rsidRDefault="00CA3E6A" w:rsidP="00CA3E6A">
            <w:pPr>
              <w:keepNext w:val="0"/>
              <w:spacing w:before="60" w:after="60"/>
              <w:jc w:val="center"/>
              <w:rPr>
                <w:rFonts w:cs="Arial"/>
                <w:sz w:val="22"/>
                <w:szCs w:val="22"/>
                <w:lang w:eastAsia="fr-CA"/>
              </w:rPr>
            </w:pPr>
            <w:r w:rsidRPr="00931806">
              <w:rPr>
                <w:rFonts w:cs="Arial"/>
                <w:sz w:val="22"/>
                <w:szCs w:val="22"/>
                <w:lang w:eastAsia="fr-CA"/>
              </w:rPr>
              <w:t>1,44</w:t>
            </w:r>
          </w:p>
        </w:tc>
        <w:tc>
          <w:tcPr>
            <w:tcW w:w="1275" w:type="dxa"/>
            <w:tcBorders>
              <w:top w:val="single" w:sz="6" w:space="0" w:color="auto"/>
              <w:left w:val="single" w:sz="6" w:space="0" w:color="auto"/>
            </w:tcBorders>
            <w:shd w:val="clear" w:color="auto" w:fill="auto"/>
            <w:noWrap/>
            <w:hideMark/>
          </w:tcPr>
          <w:p w14:paraId="3A2887E4" w14:textId="77777777" w:rsidR="00CA3E6A" w:rsidRPr="00931806" w:rsidRDefault="00CA3E6A" w:rsidP="00CA3E6A">
            <w:pPr>
              <w:keepNext w:val="0"/>
              <w:spacing w:before="60" w:after="60"/>
              <w:jc w:val="center"/>
              <w:rPr>
                <w:rFonts w:cs="Arial"/>
                <w:color w:val="000000"/>
                <w:sz w:val="22"/>
                <w:szCs w:val="22"/>
                <w:lang w:eastAsia="fr-CA"/>
              </w:rPr>
            </w:pPr>
            <w:r w:rsidRPr="00931806">
              <w:rPr>
                <w:rFonts w:cs="Arial"/>
                <w:color w:val="000000"/>
                <w:sz w:val="22"/>
                <w:szCs w:val="22"/>
                <w:lang w:eastAsia="fr-CA"/>
              </w:rPr>
              <w:t>1,87</w:t>
            </w:r>
          </w:p>
        </w:tc>
        <w:tc>
          <w:tcPr>
            <w:tcW w:w="1129" w:type="dxa"/>
            <w:tcBorders>
              <w:top w:val="single" w:sz="6" w:space="0" w:color="auto"/>
              <w:left w:val="single" w:sz="6" w:space="0" w:color="auto"/>
            </w:tcBorders>
            <w:vAlign w:val="center"/>
          </w:tcPr>
          <w:p w14:paraId="799A74B3" w14:textId="08AA9DBB" w:rsidR="00CA3E6A" w:rsidRPr="00316277" w:rsidRDefault="00CA3E6A" w:rsidP="00CA3E6A">
            <w:pPr>
              <w:keepNext w:val="0"/>
              <w:spacing w:before="60" w:after="60"/>
              <w:jc w:val="center"/>
              <w:rPr>
                <w:rFonts w:cs="Arial"/>
                <w:color w:val="000000"/>
                <w:sz w:val="22"/>
                <w:szCs w:val="22"/>
                <w:lang w:eastAsia="fr-CA"/>
              </w:rPr>
            </w:pPr>
            <w:r w:rsidRPr="00316277">
              <w:rPr>
                <w:rFonts w:cs="Arial"/>
                <w:color w:val="000000"/>
                <w:sz w:val="22"/>
                <w:szCs w:val="22"/>
                <w:lang w:eastAsia="fr-CA"/>
              </w:rPr>
              <w:t>0,39</w:t>
            </w:r>
          </w:p>
        </w:tc>
      </w:tr>
      <w:tr w:rsidR="00CA3E6A" w:rsidRPr="00026EC1" w14:paraId="1A1C6B73" w14:textId="357BDD75" w:rsidTr="00CA3E6A">
        <w:trPr>
          <w:trHeight w:val="283"/>
          <w:jc w:val="center"/>
        </w:trPr>
        <w:tc>
          <w:tcPr>
            <w:tcW w:w="3681" w:type="dxa"/>
            <w:shd w:val="clear" w:color="auto" w:fill="auto"/>
            <w:noWrap/>
            <w:vAlign w:val="center"/>
            <w:hideMark/>
          </w:tcPr>
          <w:p w14:paraId="41D7813F" w14:textId="77777777" w:rsidR="00CA3E6A" w:rsidRPr="00931806" w:rsidRDefault="00CA3E6A" w:rsidP="00CA3E6A">
            <w:pPr>
              <w:keepNext w:val="0"/>
              <w:spacing w:before="60" w:after="60"/>
              <w:jc w:val="left"/>
              <w:rPr>
                <w:rFonts w:cs="Arial"/>
                <w:b/>
                <w:bCs/>
                <w:color w:val="000000"/>
                <w:sz w:val="22"/>
                <w:szCs w:val="22"/>
                <w:lang w:eastAsia="fr-CA"/>
              </w:rPr>
            </w:pPr>
            <w:r w:rsidRPr="00931806">
              <w:rPr>
                <w:rFonts w:cs="Arial"/>
                <w:b/>
                <w:bCs/>
                <w:color w:val="000000"/>
                <w:sz w:val="22"/>
                <w:szCs w:val="22"/>
                <w:lang w:eastAsia="fr-CA"/>
              </w:rPr>
              <w:t>Total</w:t>
            </w:r>
          </w:p>
        </w:tc>
        <w:tc>
          <w:tcPr>
            <w:tcW w:w="1701" w:type="dxa"/>
            <w:shd w:val="clear" w:color="auto" w:fill="auto"/>
            <w:noWrap/>
            <w:hideMark/>
          </w:tcPr>
          <w:p w14:paraId="03861932" w14:textId="77777777" w:rsidR="00CA3E6A" w:rsidRPr="00931806" w:rsidRDefault="00CA3E6A" w:rsidP="00CA3E6A">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67,20</w:t>
            </w:r>
          </w:p>
        </w:tc>
        <w:tc>
          <w:tcPr>
            <w:tcW w:w="1701" w:type="dxa"/>
            <w:shd w:val="clear" w:color="auto" w:fill="auto"/>
            <w:noWrap/>
            <w:hideMark/>
          </w:tcPr>
          <w:p w14:paraId="4A813555" w14:textId="77777777" w:rsidR="00CA3E6A" w:rsidRPr="00931806" w:rsidRDefault="00CA3E6A" w:rsidP="00CA3E6A">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97,45</w:t>
            </w:r>
          </w:p>
        </w:tc>
        <w:tc>
          <w:tcPr>
            <w:tcW w:w="1276" w:type="dxa"/>
            <w:shd w:val="clear" w:color="auto" w:fill="auto"/>
            <w:noWrap/>
            <w:hideMark/>
          </w:tcPr>
          <w:p w14:paraId="39335DF7" w14:textId="77777777" w:rsidR="00CA3E6A" w:rsidRPr="00931806" w:rsidRDefault="00CA3E6A" w:rsidP="00CA3E6A">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41,83</w:t>
            </w:r>
          </w:p>
        </w:tc>
        <w:tc>
          <w:tcPr>
            <w:tcW w:w="1275" w:type="dxa"/>
            <w:shd w:val="clear" w:color="auto" w:fill="auto"/>
            <w:noWrap/>
            <w:hideMark/>
          </w:tcPr>
          <w:p w14:paraId="02A8A05B" w14:textId="77777777" w:rsidR="00CA3E6A" w:rsidRPr="00026EC1" w:rsidRDefault="00CA3E6A" w:rsidP="00CA3E6A">
            <w:pPr>
              <w:keepNext w:val="0"/>
              <w:spacing w:before="60" w:after="60"/>
              <w:jc w:val="center"/>
              <w:rPr>
                <w:rFonts w:cs="Arial"/>
                <w:b/>
                <w:bCs/>
                <w:color w:val="000000"/>
                <w:sz w:val="22"/>
                <w:szCs w:val="22"/>
                <w:lang w:eastAsia="fr-CA"/>
              </w:rPr>
            </w:pPr>
            <w:r w:rsidRPr="00931806">
              <w:rPr>
                <w:rFonts w:cs="Arial"/>
                <w:b/>
                <w:bCs/>
                <w:color w:val="000000"/>
                <w:sz w:val="22"/>
                <w:szCs w:val="22"/>
                <w:lang w:eastAsia="fr-CA"/>
              </w:rPr>
              <w:t>46,98</w:t>
            </w:r>
          </w:p>
        </w:tc>
        <w:tc>
          <w:tcPr>
            <w:tcW w:w="1129" w:type="dxa"/>
          </w:tcPr>
          <w:p w14:paraId="6BEB90AB" w14:textId="1471CE8D" w:rsidR="00CA3E6A" w:rsidRPr="00316277" w:rsidRDefault="00CA3E6A" w:rsidP="00CA3E6A">
            <w:pPr>
              <w:keepNext w:val="0"/>
              <w:spacing w:before="60" w:after="60"/>
              <w:jc w:val="center"/>
              <w:rPr>
                <w:rFonts w:cs="Arial"/>
                <w:b/>
                <w:bCs/>
                <w:color w:val="000000"/>
                <w:sz w:val="22"/>
                <w:szCs w:val="22"/>
                <w:lang w:eastAsia="fr-CA"/>
              </w:rPr>
            </w:pPr>
            <w:r w:rsidRPr="00316277">
              <w:rPr>
                <w:rFonts w:cs="Arial"/>
                <w:b/>
                <w:bCs/>
                <w:color w:val="000000"/>
                <w:sz w:val="22"/>
                <w:szCs w:val="22"/>
                <w:lang w:eastAsia="fr-CA"/>
              </w:rPr>
              <w:t>11,27</w:t>
            </w:r>
          </w:p>
        </w:tc>
      </w:tr>
    </w:tbl>
    <w:p w14:paraId="1090DE00" w14:textId="77777777" w:rsidR="000E48CA" w:rsidRPr="00316277" w:rsidRDefault="000E48CA" w:rsidP="00A64613">
      <w:pPr>
        <w:keepNext w:val="0"/>
      </w:pPr>
    </w:p>
    <w:p w14:paraId="18C60C99" w14:textId="77777777" w:rsidR="007D3512" w:rsidRPr="00316277" w:rsidRDefault="007D3512" w:rsidP="00A64613">
      <w:pPr>
        <w:keepNext w:val="0"/>
      </w:pPr>
    </w:p>
    <w:tbl>
      <w:tblPr>
        <w:tblW w:w="10207" w:type="dxa"/>
        <w:tblInd w:w="-361" w:type="dxa"/>
        <w:tblLayout w:type="fixed"/>
        <w:tblCellMar>
          <w:left w:w="70" w:type="dxa"/>
          <w:right w:w="70" w:type="dxa"/>
        </w:tblCellMar>
        <w:tblLook w:val="04A0" w:firstRow="1" w:lastRow="0" w:firstColumn="1" w:lastColumn="0" w:noHBand="0" w:noVBand="1"/>
      </w:tblPr>
      <w:tblGrid>
        <w:gridCol w:w="10207"/>
      </w:tblGrid>
      <w:tr w:rsidR="00E142E3" w:rsidRPr="00026EC1" w14:paraId="02FDF682" w14:textId="77777777" w:rsidTr="000E48CA">
        <w:trPr>
          <w:trHeight w:val="168"/>
        </w:trPr>
        <w:tc>
          <w:tcPr>
            <w:tcW w:w="1020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B74C7C" w14:textId="77777777" w:rsidR="00E142E3" w:rsidRPr="00026EC1" w:rsidRDefault="00E142E3" w:rsidP="00A64613">
            <w:pPr>
              <w:keepNext w:val="0"/>
              <w:spacing w:before="60" w:after="60"/>
              <w:rPr>
                <w:rFonts w:cs="Arial"/>
                <w:b/>
                <w:bCs/>
                <w:color w:val="000000"/>
                <w:sz w:val="22"/>
                <w:szCs w:val="22"/>
                <w:lang w:eastAsia="fr-CA"/>
              </w:rPr>
            </w:pPr>
            <w:r w:rsidRPr="00026EC1">
              <w:rPr>
                <w:rFonts w:cs="Arial"/>
                <w:b/>
                <w:bCs/>
                <w:color w:val="000000"/>
                <w:sz w:val="22"/>
                <w:szCs w:val="22"/>
                <w:lang w:eastAsia="fr-CA"/>
              </w:rPr>
              <w:t>Allocation petites cohortes (55 ETC)</w:t>
            </w:r>
          </w:p>
        </w:tc>
      </w:tr>
      <w:tr w:rsidR="00E142E3" w:rsidRPr="00026EC1" w14:paraId="20E12DD9" w14:textId="77777777" w:rsidTr="000E48CA">
        <w:trPr>
          <w:trHeight w:val="180"/>
        </w:trPr>
        <w:tc>
          <w:tcPr>
            <w:tcW w:w="1020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3E69B50" w14:textId="31B999B2" w:rsidR="00E142E3" w:rsidRPr="00026EC1" w:rsidRDefault="00E142E3" w:rsidP="00A64613">
            <w:pPr>
              <w:keepNext w:val="0"/>
              <w:spacing w:before="60" w:after="60"/>
              <w:rPr>
                <w:rFonts w:cs="Arial"/>
                <w:color w:val="000000"/>
                <w:sz w:val="22"/>
                <w:szCs w:val="22"/>
                <w:lang w:eastAsia="fr-CA"/>
              </w:rPr>
            </w:pPr>
            <w:r w:rsidRPr="00026EC1">
              <w:rPr>
                <w:rFonts w:cs="Arial"/>
                <w:color w:val="000000"/>
                <w:sz w:val="22"/>
                <w:szCs w:val="22"/>
                <w:lang w:eastAsia="fr-CA"/>
              </w:rPr>
              <w:t>Ressources allouées aux fins de l'application de l'</w:t>
            </w:r>
            <w:r w:rsidR="0074642F">
              <w:rPr>
                <w:rFonts w:cs="Arial"/>
                <w:color w:val="000000"/>
                <w:sz w:val="22"/>
                <w:szCs w:val="22"/>
                <w:lang w:eastAsia="fr-CA"/>
              </w:rPr>
              <w:t>a</w:t>
            </w:r>
            <w:r w:rsidRPr="00026EC1">
              <w:rPr>
                <w:rFonts w:cs="Arial"/>
                <w:color w:val="000000"/>
                <w:sz w:val="22"/>
                <w:szCs w:val="22"/>
                <w:lang w:eastAsia="fr-CA"/>
              </w:rPr>
              <w:t>nnexe budgétaire sur la Consolidation de l'offre de formation (S026).</w:t>
            </w:r>
          </w:p>
        </w:tc>
      </w:tr>
    </w:tbl>
    <w:p w14:paraId="47D87008" w14:textId="77777777" w:rsidR="00871AE8" w:rsidRPr="00026EC1" w:rsidRDefault="00871AE8" w:rsidP="00A64613">
      <w:pPr>
        <w:keepNext w:val="0"/>
        <w:jc w:val="left"/>
      </w:pPr>
    </w:p>
    <w:p w14:paraId="568A2AF3" w14:textId="5D6E5782" w:rsidR="002A6693" w:rsidRPr="009E58C2" w:rsidRDefault="00611FE0" w:rsidP="00A64613">
      <w:pPr>
        <w:pStyle w:val="Heading3"/>
        <w:keepNext w:val="0"/>
      </w:pPr>
      <w:r w:rsidRPr="00026EC1">
        <w:br w:type="page"/>
      </w:r>
      <w:bookmarkStart w:id="1112" w:name="_Toc462751542"/>
      <w:bookmarkStart w:id="1113" w:name="_Toc484082559"/>
      <w:bookmarkStart w:id="1114" w:name="_Toc168479578"/>
      <w:r w:rsidR="00D23E23" w:rsidRPr="009E58C2">
        <w:t>Annexe I</w:t>
      </w:r>
      <w:r w:rsidR="00B92165">
        <w:t>-</w:t>
      </w:r>
      <w:r w:rsidR="00D23E23" w:rsidRPr="009E58C2">
        <w:t>12</w:t>
      </w:r>
      <w:r w:rsidR="003F3392" w:rsidRPr="009E58C2">
        <w:br/>
      </w:r>
      <w:r w:rsidR="003F3392" w:rsidRPr="009E58C2">
        <w:br/>
        <w:t>Annexe relative aux ressources liées aux programmes</w:t>
      </w:r>
      <w:r w:rsidR="003F3392" w:rsidRPr="009E58C2">
        <w:br/>
        <w:t>à faible effectif (petites cohortes)</w:t>
      </w:r>
      <w:bookmarkEnd w:id="1110"/>
      <w:bookmarkEnd w:id="1111"/>
      <w:bookmarkEnd w:id="1112"/>
      <w:bookmarkEnd w:id="1113"/>
      <w:bookmarkEnd w:id="1114"/>
    </w:p>
    <w:p w14:paraId="19E74C65" w14:textId="5F0DE733" w:rsidR="00F441E2" w:rsidRPr="00026EC1" w:rsidRDefault="00F441E2" w:rsidP="00A64613">
      <w:pPr>
        <w:keepNext w:val="0"/>
      </w:pPr>
      <w:r w:rsidRPr="00026EC1">
        <w:t>À compter de l</w:t>
      </w:r>
      <w:r w:rsidR="00BC3319" w:rsidRPr="00026EC1">
        <w:t>’</w:t>
      </w:r>
      <w:r w:rsidRPr="00026EC1">
        <w:t>année d</w:t>
      </w:r>
      <w:r w:rsidR="00BC3319" w:rsidRPr="00026EC1">
        <w:t>’</w:t>
      </w:r>
      <w:r w:rsidRPr="00026EC1">
        <w:t>enseignement 2011</w:t>
      </w:r>
      <w:r w:rsidR="00984A6F">
        <w:noBreakHyphen/>
      </w:r>
      <w:r w:rsidRPr="00026EC1">
        <w:t>2012, pour chaque année de la convention collective, le Ministère s</w:t>
      </w:r>
      <w:r w:rsidR="00BC3319" w:rsidRPr="00026EC1">
        <w:t>’</w:t>
      </w:r>
      <w:r w:rsidRPr="00026EC1">
        <w:t xml:space="preserve">engage à ce que, dans les </w:t>
      </w:r>
      <w:r w:rsidR="009B4F11" w:rsidRPr="00026EC1">
        <w:t>C</w:t>
      </w:r>
      <w:r w:rsidRPr="00026EC1">
        <w:t>ollèges où le Syndicat des enseignantes et des enseignants est affilié à la FNEEQ (CSN), l</w:t>
      </w:r>
      <w:r w:rsidR="00BC3319" w:rsidRPr="00026EC1">
        <w:t>’</w:t>
      </w:r>
      <w:r w:rsidRPr="00026EC1">
        <w:t xml:space="preserve">annexe budgétaire (S026) intitulée </w:t>
      </w:r>
      <w:r w:rsidRPr="00026EC1">
        <w:rPr>
          <w:i/>
        </w:rPr>
        <w:t>Consolidation de l</w:t>
      </w:r>
      <w:r w:rsidR="00BC3319" w:rsidRPr="00026EC1">
        <w:rPr>
          <w:i/>
        </w:rPr>
        <w:t>’</w:t>
      </w:r>
      <w:r w:rsidRPr="00026EC1">
        <w:rPr>
          <w:i/>
        </w:rPr>
        <w:t>offre de formation</w:t>
      </w:r>
      <w:r w:rsidRPr="00026EC1">
        <w:t>, utilisée pour soutenir les programmes à faible effectif (petite</w:t>
      </w:r>
      <w:r w:rsidR="00D01827" w:rsidRPr="00026EC1">
        <w:t>s</w:t>
      </w:r>
      <w:r w:rsidRPr="00026EC1">
        <w:t xml:space="preserve"> cohorte</w:t>
      </w:r>
      <w:r w:rsidR="00D01827" w:rsidRPr="00026EC1">
        <w:t>s</w:t>
      </w:r>
      <w:r w:rsidRPr="00026EC1">
        <w:t>), lorsqu</w:t>
      </w:r>
      <w:r w:rsidR="00BC3319" w:rsidRPr="00026EC1">
        <w:t>’</w:t>
      </w:r>
      <w:r w:rsidRPr="00026EC1">
        <w:t>appliquée aux données de l</w:t>
      </w:r>
      <w:r w:rsidR="00BC3319" w:rsidRPr="00026EC1">
        <w:t>’</w:t>
      </w:r>
      <w:r w:rsidRPr="00026EC1">
        <w:t>année 2007</w:t>
      </w:r>
      <w:r w:rsidR="00984A6F">
        <w:noBreakHyphen/>
      </w:r>
      <w:r w:rsidRPr="00026EC1">
        <w:t>2008</w:t>
      </w:r>
      <w:r w:rsidR="00EA6192" w:rsidRPr="00026EC1">
        <w:t>,</w:t>
      </w:r>
      <w:r w:rsidRPr="00026EC1">
        <w:t xml:space="preserve"> génère, pour l</w:t>
      </w:r>
      <w:r w:rsidR="00BC3319" w:rsidRPr="00026EC1">
        <w:t>’</w:t>
      </w:r>
      <w:r w:rsidRPr="00026EC1">
        <w:t xml:space="preserve">ensemble des </w:t>
      </w:r>
      <w:r w:rsidR="00D01827" w:rsidRPr="00026EC1">
        <w:t>C</w:t>
      </w:r>
      <w:r w:rsidRPr="00026EC1">
        <w:t xml:space="preserve">ollèges et </w:t>
      </w:r>
      <w:r w:rsidR="00D01827" w:rsidRPr="00026EC1">
        <w:t>C</w:t>
      </w:r>
      <w:r w:rsidRPr="00026EC1">
        <w:t xml:space="preserve">ampus, au moins </w:t>
      </w:r>
      <w:r w:rsidR="00D01827" w:rsidRPr="00026EC1">
        <w:t>soixante</w:t>
      </w:r>
      <w:r w:rsidR="00984A6F">
        <w:noBreakHyphen/>
      </w:r>
      <w:r w:rsidR="00D01827" w:rsidRPr="00026EC1">
        <w:t>quinze virgule quatre</w:t>
      </w:r>
      <w:r w:rsidR="00984A6F">
        <w:noBreakHyphen/>
      </w:r>
      <w:r w:rsidR="00D01827" w:rsidRPr="00026EC1">
        <w:t>vingt</w:t>
      </w:r>
      <w:r w:rsidR="00984A6F">
        <w:noBreakHyphen/>
      </w:r>
      <w:r w:rsidR="00D01827" w:rsidRPr="00026EC1">
        <w:t>quatorze</w:t>
      </w:r>
      <w:r w:rsidR="00302126">
        <w:t> </w:t>
      </w:r>
      <w:r w:rsidR="00D01827" w:rsidRPr="00026EC1">
        <w:t>(</w:t>
      </w:r>
      <w:r w:rsidRPr="00026EC1">
        <w:t>75,94</w:t>
      </w:r>
      <w:r w:rsidR="00D01827" w:rsidRPr="00026EC1">
        <w:t>)</w:t>
      </w:r>
      <w:r w:rsidRPr="00026EC1">
        <w:t xml:space="preserve"> ETC, auxquels s</w:t>
      </w:r>
      <w:r w:rsidR="00BC3319" w:rsidRPr="00026EC1">
        <w:t>’</w:t>
      </w:r>
      <w:r w:rsidRPr="00026EC1">
        <w:t xml:space="preserve">ajoutent les </w:t>
      </w:r>
      <w:r w:rsidR="00D01827" w:rsidRPr="00026EC1">
        <w:t>cinquante</w:t>
      </w:r>
      <w:r w:rsidR="00984A6F">
        <w:noBreakHyphen/>
      </w:r>
      <w:r w:rsidR="00D01827" w:rsidRPr="00026EC1">
        <w:t>cinq</w:t>
      </w:r>
      <w:r w:rsidR="00302126">
        <w:t> </w:t>
      </w:r>
      <w:r w:rsidR="00D01827" w:rsidRPr="00026EC1">
        <w:t>(</w:t>
      </w:r>
      <w:r w:rsidRPr="00026EC1">
        <w:t>55</w:t>
      </w:r>
      <w:r w:rsidR="00D01827" w:rsidRPr="00026EC1">
        <w:t>)</w:t>
      </w:r>
      <w:r w:rsidRPr="00026EC1">
        <w:t xml:space="preserve"> ETC prévus à l</w:t>
      </w:r>
      <w:r w:rsidR="00BC3319" w:rsidRPr="00026EC1">
        <w:t>’</w:t>
      </w:r>
      <w:r w:rsidR="00665807" w:rsidRPr="00026EC1">
        <w:t>A</w:t>
      </w:r>
      <w:r w:rsidRPr="00026EC1">
        <w:t>nnexe</w:t>
      </w:r>
      <w:r w:rsidR="001E2957" w:rsidRPr="00026EC1">
        <w:t> </w:t>
      </w:r>
      <w:r w:rsidRPr="00026EC1">
        <w:t>I</w:t>
      </w:r>
      <w:r w:rsidR="0074642F">
        <w:rPr>
          <w:rFonts w:ascii="Cambria Math" w:hAnsi="Cambria Math"/>
        </w:rPr>
        <w:t>‑</w:t>
      </w:r>
      <w:r w:rsidRPr="00026EC1">
        <w:t>11</w:t>
      </w:r>
      <w:r w:rsidR="00290AEB" w:rsidRPr="00026EC1">
        <w:t xml:space="preserve"> de la convention collective 2010</w:t>
      </w:r>
      <w:r w:rsidR="00984A6F">
        <w:noBreakHyphen/>
      </w:r>
      <w:r w:rsidR="00290AEB" w:rsidRPr="00026EC1">
        <w:t>2015</w:t>
      </w:r>
      <w:r w:rsidRPr="00026EC1">
        <w:t>.</w:t>
      </w:r>
    </w:p>
    <w:p w14:paraId="596A7E01" w14:textId="77777777" w:rsidR="002C13B4" w:rsidRPr="00026EC1" w:rsidRDefault="002C13B4" w:rsidP="00A64613">
      <w:pPr>
        <w:keepNext w:val="0"/>
      </w:pPr>
    </w:p>
    <w:p w14:paraId="6570D8DC" w14:textId="77A93D99" w:rsidR="00982374" w:rsidRPr="006D11A6" w:rsidRDefault="00404F34" w:rsidP="00A64613">
      <w:pPr>
        <w:pStyle w:val="Heading3"/>
        <w:keepNext w:val="0"/>
      </w:pPr>
      <w:r w:rsidRPr="00026EC1">
        <w:br w:type="page"/>
      </w:r>
      <w:bookmarkStart w:id="1115" w:name="_Toc132010043"/>
      <w:bookmarkStart w:id="1116" w:name="_Toc134606357"/>
      <w:bookmarkStart w:id="1117" w:name="_Toc134956453"/>
      <w:bookmarkStart w:id="1118" w:name="_Toc135211695"/>
      <w:bookmarkStart w:id="1119" w:name="_Toc393802611"/>
      <w:bookmarkStart w:id="1120" w:name="_Toc441742326"/>
      <w:bookmarkStart w:id="1121" w:name="_Toc462751544"/>
      <w:bookmarkStart w:id="1122" w:name="_Toc484082561"/>
      <w:bookmarkStart w:id="1123" w:name="_Toc168479579"/>
      <w:bookmarkStart w:id="1124" w:name="_Toc535046665"/>
      <w:bookmarkStart w:id="1125" w:name="_Toc133760832"/>
      <w:bookmarkStart w:id="1126" w:name="_Toc133916980"/>
      <w:bookmarkStart w:id="1127" w:name="_Toc134437255"/>
      <w:r w:rsidR="00B5468A" w:rsidRPr="006D11A6">
        <w:t xml:space="preserve">Annexe </w:t>
      </w:r>
      <w:bookmarkEnd w:id="1115"/>
      <w:bookmarkEnd w:id="1116"/>
      <w:bookmarkEnd w:id="1117"/>
      <w:bookmarkEnd w:id="1118"/>
      <w:r w:rsidR="00B5468A" w:rsidRPr="006D11A6">
        <w:t>I</w:t>
      </w:r>
      <w:r w:rsidR="00B92165">
        <w:t>-</w:t>
      </w:r>
      <w:r w:rsidR="00B5468A" w:rsidRPr="006D11A6">
        <w:t>13</w:t>
      </w:r>
      <w:r w:rsidR="00B5468A" w:rsidRPr="006D11A6">
        <w:br/>
      </w:r>
      <w:r w:rsidR="00B5468A" w:rsidRPr="006D11A6">
        <w:br/>
      </w:r>
      <w:bookmarkEnd w:id="1119"/>
      <w:bookmarkEnd w:id="1120"/>
      <w:r w:rsidR="00982374" w:rsidRPr="006D11A6">
        <w:t>Charge</w:t>
      </w:r>
      <w:r w:rsidR="00EB4C73" w:rsidRPr="006D11A6">
        <w:t>s</w:t>
      </w:r>
      <w:r w:rsidR="00982374" w:rsidRPr="006D11A6">
        <w:t xml:space="preserve"> à la formation continue</w:t>
      </w:r>
      <w:bookmarkEnd w:id="1121"/>
      <w:bookmarkEnd w:id="1122"/>
      <w:r w:rsidR="00BD1F8A">
        <w:t> </w:t>
      </w:r>
      <w:r w:rsidR="00BD1F8A" w:rsidRPr="00316277">
        <w:t>(CFC)</w:t>
      </w:r>
      <w:bookmarkEnd w:id="1123"/>
    </w:p>
    <w:p w14:paraId="353C4A5C" w14:textId="1B16EB75" w:rsidR="00982374" w:rsidRPr="00026EC1" w:rsidRDefault="00982374" w:rsidP="004F71C1">
      <w:pPr>
        <w:keepNext w:val="0"/>
        <w:numPr>
          <w:ilvl w:val="1"/>
          <w:numId w:val="15"/>
        </w:numPr>
        <w:tabs>
          <w:tab w:val="clear" w:pos="1785"/>
        </w:tabs>
        <w:ind w:left="567" w:hanging="567"/>
      </w:pPr>
      <w:r w:rsidRPr="00026EC1">
        <w:t xml:space="preserve">Les </w:t>
      </w:r>
      <w:r w:rsidR="001A0A59">
        <w:t xml:space="preserve">CFC </w:t>
      </w:r>
      <w:r w:rsidRPr="00026EC1">
        <w:t>sont réparties de la manière suivante</w:t>
      </w:r>
      <w:r w:rsidR="00D8581B">
        <w:t> :</w:t>
      </w:r>
    </w:p>
    <w:p w14:paraId="64FD8E7A" w14:textId="77777777" w:rsidR="00982374" w:rsidRPr="00026EC1" w:rsidRDefault="00982374" w:rsidP="00A64613">
      <w:pPr>
        <w:keepNext w:val="0"/>
        <w:ind w:left="567"/>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1730"/>
      </w:tblGrid>
      <w:tr w:rsidR="004C296A" w:rsidRPr="00026EC1" w14:paraId="1C43B284" w14:textId="77777777" w:rsidTr="004C296A">
        <w:tc>
          <w:tcPr>
            <w:tcW w:w="5925" w:type="dxa"/>
            <w:shd w:val="clear" w:color="auto" w:fill="auto"/>
          </w:tcPr>
          <w:p w14:paraId="0759BA59" w14:textId="77777777" w:rsidR="004C296A" w:rsidRPr="00E5180B" w:rsidRDefault="004C296A" w:rsidP="00F44D2B">
            <w:pPr>
              <w:pStyle w:val="Selonlesdisp"/>
              <w:keepNext w:val="0"/>
              <w:ind w:left="-570"/>
              <w:rPr>
                <w:b w:val="0"/>
                <w:bCs/>
                <w:caps w:val="0"/>
                <w:sz w:val="12"/>
                <w:szCs w:val="12"/>
              </w:rPr>
            </w:pPr>
          </w:p>
          <w:p w14:paraId="184EA327" w14:textId="77777777" w:rsidR="004C296A" w:rsidRPr="00026EC1" w:rsidRDefault="004C296A" w:rsidP="00F44D2B">
            <w:pPr>
              <w:pStyle w:val="Selonlesdisp"/>
              <w:keepNext w:val="0"/>
              <w:ind w:left="-570"/>
              <w:rPr>
                <w:b w:val="0"/>
                <w:bCs/>
                <w:caps w:val="0"/>
              </w:rPr>
            </w:pPr>
            <w:r w:rsidRPr="00026EC1">
              <w:rPr>
                <w:b w:val="0"/>
                <w:bCs/>
                <w:caps w:val="0"/>
              </w:rPr>
              <w:t>COLLÈGE OU CAMPUS</w:t>
            </w:r>
          </w:p>
          <w:p w14:paraId="1BD5D933" w14:textId="77777777" w:rsidR="004C296A" w:rsidRPr="00E5180B" w:rsidRDefault="004C296A" w:rsidP="00F44D2B">
            <w:pPr>
              <w:pStyle w:val="Selonlesdisp"/>
              <w:keepNext w:val="0"/>
              <w:ind w:left="-570"/>
              <w:rPr>
                <w:b w:val="0"/>
                <w:bCs/>
                <w:caps w:val="0"/>
                <w:sz w:val="12"/>
                <w:szCs w:val="12"/>
              </w:rPr>
            </w:pPr>
          </w:p>
        </w:tc>
        <w:tc>
          <w:tcPr>
            <w:tcW w:w="1730" w:type="dxa"/>
            <w:shd w:val="clear" w:color="auto" w:fill="auto"/>
            <w:vAlign w:val="center"/>
          </w:tcPr>
          <w:p w14:paraId="75FA3EAF" w14:textId="522C3BA8" w:rsidR="004C296A" w:rsidRPr="00026EC1" w:rsidRDefault="004C296A" w:rsidP="00F44D2B">
            <w:pPr>
              <w:keepNext w:val="0"/>
              <w:jc w:val="center"/>
              <w:rPr>
                <w:bCs/>
                <w:lang w:val="en-CA"/>
              </w:rPr>
            </w:pPr>
            <w:r w:rsidRPr="00026EC1">
              <w:rPr>
                <w:bCs/>
                <w:lang w:val="en-CA"/>
              </w:rPr>
              <w:t>CHARGES</w:t>
            </w:r>
            <w:r w:rsidRPr="00173987">
              <w:rPr>
                <w:bCs/>
                <w:vertAlign w:val="superscript"/>
                <w:lang w:val="en-CA"/>
              </w:rPr>
              <w:t>1</w:t>
            </w:r>
          </w:p>
        </w:tc>
      </w:tr>
      <w:tr w:rsidR="004C296A" w:rsidRPr="00026EC1" w14:paraId="6B9668FF" w14:textId="77777777" w:rsidTr="004C296A">
        <w:tc>
          <w:tcPr>
            <w:tcW w:w="5925" w:type="dxa"/>
            <w:shd w:val="clear" w:color="auto" w:fill="auto"/>
          </w:tcPr>
          <w:p w14:paraId="6C243E01" w14:textId="77777777" w:rsidR="004C296A" w:rsidRPr="00026EC1" w:rsidRDefault="004C296A" w:rsidP="00F44D2B">
            <w:pPr>
              <w:pStyle w:val="CommentText"/>
              <w:keepNext w:val="0"/>
              <w:tabs>
                <w:tab w:val="clear" w:pos="3969"/>
              </w:tabs>
              <w:spacing w:before="120" w:after="120"/>
              <w:rPr>
                <w:lang w:val="en-CA"/>
              </w:rPr>
            </w:pPr>
            <w:r w:rsidRPr="00026EC1">
              <w:rPr>
                <w:lang w:val="en-CA"/>
              </w:rPr>
              <w:t>Abitibi</w:t>
            </w:r>
            <w:r>
              <w:rPr>
                <w:lang w:val="en-CA"/>
              </w:rPr>
              <w:noBreakHyphen/>
            </w:r>
            <w:r w:rsidRPr="00026EC1">
              <w:rPr>
                <w:lang w:val="en-CA"/>
              </w:rPr>
              <w:t>Témiscamingue</w:t>
            </w:r>
          </w:p>
        </w:tc>
        <w:tc>
          <w:tcPr>
            <w:tcW w:w="1730" w:type="dxa"/>
            <w:tcBorders>
              <w:left w:val="single" w:sz="4" w:space="0" w:color="auto"/>
            </w:tcBorders>
            <w:shd w:val="clear" w:color="auto" w:fill="auto"/>
          </w:tcPr>
          <w:p w14:paraId="4B21D287"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1,59</w:t>
            </w:r>
          </w:p>
        </w:tc>
      </w:tr>
      <w:tr w:rsidR="004C296A" w:rsidRPr="00026EC1" w14:paraId="66E4C6DA" w14:textId="77777777" w:rsidTr="004C296A">
        <w:tc>
          <w:tcPr>
            <w:tcW w:w="5925" w:type="dxa"/>
            <w:shd w:val="clear" w:color="auto" w:fill="auto"/>
          </w:tcPr>
          <w:p w14:paraId="253D0548" w14:textId="77777777" w:rsidR="004C296A" w:rsidRPr="00026EC1" w:rsidRDefault="004C296A" w:rsidP="00F44D2B">
            <w:pPr>
              <w:pStyle w:val="CommentText"/>
              <w:keepNext w:val="0"/>
              <w:tabs>
                <w:tab w:val="clear" w:pos="3969"/>
              </w:tabs>
              <w:spacing w:before="120" w:after="120"/>
              <w:rPr>
                <w:smallCaps/>
                <w:lang w:val="en-CA"/>
              </w:rPr>
            </w:pPr>
            <w:r w:rsidRPr="00026EC1">
              <w:rPr>
                <w:lang w:val="en-CA"/>
              </w:rPr>
              <w:t>Ahuntsic</w:t>
            </w:r>
          </w:p>
        </w:tc>
        <w:tc>
          <w:tcPr>
            <w:tcW w:w="1730" w:type="dxa"/>
            <w:tcBorders>
              <w:left w:val="single" w:sz="4" w:space="0" w:color="auto"/>
            </w:tcBorders>
            <w:shd w:val="clear" w:color="auto" w:fill="auto"/>
          </w:tcPr>
          <w:p w14:paraId="79810D36"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10,38</w:t>
            </w:r>
          </w:p>
        </w:tc>
      </w:tr>
      <w:tr w:rsidR="004C296A" w:rsidRPr="00026EC1" w14:paraId="7975C436" w14:textId="77777777" w:rsidTr="004C296A">
        <w:tc>
          <w:tcPr>
            <w:tcW w:w="5925" w:type="dxa"/>
            <w:shd w:val="clear" w:color="auto" w:fill="auto"/>
          </w:tcPr>
          <w:p w14:paraId="71AD8B4F" w14:textId="77777777" w:rsidR="004C296A" w:rsidRPr="00026EC1" w:rsidRDefault="004C296A" w:rsidP="00F44D2B">
            <w:pPr>
              <w:pStyle w:val="CommentText"/>
              <w:keepNext w:val="0"/>
              <w:tabs>
                <w:tab w:val="clear" w:pos="3969"/>
              </w:tabs>
              <w:spacing w:before="120" w:after="120"/>
              <w:rPr>
                <w:lang w:val="en-CA"/>
              </w:rPr>
            </w:pPr>
            <w:r w:rsidRPr="00026EC1">
              <w:rPr>
                <w:lang w:val="en-CA"/>
              </w:rPr>
              <w:t>Alma</w:t>
            </w:r>
          </w:p>
        </w:tc>
        <w:tc>
          <w:tcPr>
            <w:tcW w:w="1730" w:type="dxa"/>
            <w:tcBorders>
              <w:left w:val="single" w:sz="4" w:space="0" w:color="auto"/>
            </w:tcBorders>
            <w:shd w:val="clear" w:color="auto" w:fill="auto"/>
          </w:tcPr>
          <w:p w14:paraId="36C688AA" w14:textId="77777777" w:rsidR="004C296A" w:rsidRPr="00316277" w:rsidRDefault="004C296A" w:rsidP="00F44D2B">
            <w:pPr>
              <w:pStyle w:val="CommentText"/>
              <w:keepNext w:val="0"/>
              <w:tabs>
                <w:tab w:val="clear" w:pos="3969"/>
              </w:tabs>
              <w:spacing w:before="120" w:after="120"/>
              <w:jc w:val="center"/>
              <w:rPr>
                <w:lang w:val="fr-FR"/>
              </w:rPr>
            </w:pPr>
            <w:r w:rsidRPr="00316277">
              <w:rPr>
                <w:lang w:val="fr-FR"/>
              </w:rPr>
              <w:t>2,18</w:t>
            </w:r>
          </w:p>
        </w:tc>
      </w:tr>
      <w:tr w:rsidR="004C296A" w:rsidRPr="00026EC1" w14:paraId="28142EEF" w14:textId="77777777" w:rsidTr="004C296A">
        <w:tc>
          <w:tcPr>
            <w:tcW w:w="5925" w:type="dxa"/>
            <w:shd w:val="clear" w:color="auto" w:fill="auto"/>
          </w:tcPr>
          <w:p w14:paraId="35F53F62" w14:textId="77777777" w:rsidR="004C296A" w:rsidRPr="00026EC1" w:rsidRDefault="004C296A" w:rsidP="00F44D2B">
            <w:pPr>
              <w:pStyle w:val="CommentText"/>
              <w:keepNext w:val="0"/>
              <w:tabs>
                <w:tab w:val="clear" w:pos="3969"/>
              </w:tabs>
              <w:spacing w:before="120" w:after="120"/>
              <w:rPr>
                <w:lang w:val="fr-FR"/>
              </w:rPr>
            </w:pPr>
            <w:r w:rsidRPr="00026EC1">
              <w:rPr>
                <w:lang w:val="fr-FR"/>
              </w:rPr>
              <w:t>André</w:t>
            </w:r>
            <w:r>
              <w:rPr>
                <w:lang w:val="fr-FR"/>
              </w:rPr>
              <w:noBreakHyphen/>
            </w:r>
            <w:r w:rsidRPr="00026EC1">
              <w:rPr>
                <w:lang w:val="fr-FR"/>
              </w:rPr>
              <w:t>Laurendeau</w:t>
            </w:r>
          </w:p>
        </w:tc>
        <w:tc>
          <w:tcPr>
            <w:tcW w:w="1730" w:type="dxa"/>
            <w:tcBorders>
              <w:left w:val="single" w:sz="4" w:space="0" w:color="auto"/>
            </w:tcBorders>
            <w:shd w:val="clear" w:color="auto" w:fill="auto"/>
          </w:tcPr>
          <w:p w14:paraId="766F54C6" w14:textId="77777777" w:rsidR="004C296A" w:rsidRPr="00316277" w:rsidRDefault="004C296A" w:rsidP="00F44D2B">
            <w:pPr>
              <w:pStyle w:val="CommentText"/>
              <w:keepNext w:val="0"/>
              <w:tabs>
                <w:tab w:val="clear" w:pos="3969"/>
              </w:tabs>
              <w:spacing w:before="120" w:after="120"/>
              <w:jc w:val="center"/>
            </w:pPr>
            <w:r w:rsidRPr="00316277">
              <w:t>4,07</w:t>
            </w:r>
          </w:p>
        </w:tc>
      </w:tr>
      <w:tr w:rsidR="004C296A" w:rsidRPr="00026EC1" w14:paraId="56AC22C1" w14:textId="77777777" w:rsidTr="004C296A">
        <w:tc>
          <w:tcPr>
            <w:tcW w:w="5925" w:type="dxa"/>
            <w:shd w:val="clear" w:color="auto" w:fill="auto"/>
          </w:tcPr>
          <w:p w14:paraId="29595C2B" w14:textId="77777777" w:rsidR="004C296A" w:rsidRPr="00026EC1" w:rsidRDefault="004C296A" w:rsidP="00F44D2B">
            <w:pPr>
              <w:pStyle w:val="CommentText"/>
              <w:keepNext w:val="0"/>
              <w:tabs>
                <w:tab w:val="clear" w:pos="3969"/>
              </w:tabs>
              <w:spacing w:before="120" w:after="120"/>
            </w:pPr>
            <w:r w:rsidRPr="00026EC1">
              <w:t>Beauce</w:t>
            </w:r>
            <w:r>
              <w:noBreakHyphen/>
            </w:r>
            <w:r w:rsidRPr="00026EC1">
              <w:t>Appalaches</w:t>
            </w:r>
          </w:p>
        </w:tc>
        <w:tc>
          <w:tcPr>
            <w:tcW w:w="1730" w:type="dxa"/>
            <w:tcBorders>
              <w:left w:val="single" w:sz="4" w:space="0" w:color="auto"/>
            </w:tcBorders>
            <w:shd w:val="clear" w:color="auto" w:fill="auto"/>
          </w:tcPr>
          <w:p w14:paraId="61B422E9" w14:textId="77777777" w:rsidR="004C296A" w:rsidRPr="00316277" w:rsidRDefault="004C296A" w:rsidP="00F44D2B">
            <w:pPr>
              <w:pStyle w:val="CommentText"/>
              <w:keepNext w:val="0"/>
              <w:tabs>
                <w:tab w:val="clear" w:pos="3969"/>
              </w:tabs>
              <w:spacing w:before="120" w:after="120"/>
              <w:jc w:val="center"/>
            </w:pPr>
            <w:r w:rsidRPr="00316277">
              <w:t>1,74</w:t>
            </w:r>
          </w:p>
        </w:tc>
      </w:tr>
      <w:tr w:rsidR="004C296A" w:rsidRPr="00026EC1" w14:paraId="4A6D09F7" w14:textId="77777777" w:rsidTr="004C296A">
        <w:tc>
          <w:tcPr>
            <w:tcW w:w="5925" w:type="dxa"/>
            <w:shd w:val="clear" w:color="auto" w:fill="auto"/>
          </w:tcPr>
          <w:p w14:paraId="24BE2559" w14:textId="77777777" w:rsidR="004C296A" w:rsidRPr="00026EC1" w:rsidRDefault="004C296A" w:rsidP="00F44D2B">
            <w:pPr>
              <w:pStyle w:val="CommentText"/>
              <w:keepNext w:val="0"/>
              <w:tabs>
                <w:tab w:val="clear" w:pos="3969"/>
              </w:tabs>
              <w:spacing w:before="120" w:after="120"/>
              <w:ind w:left="708"/>
            </w:pPr>
            <w:r w:rsidRPr="00026EC1">
              <w:t>CEC de Lac Mégantic</w:t>
            </w:r>
          </w:p>
        </w:tc>
        <w:tc>
          <w:tcPr>
            <w:tcW w:w="1730" w:type="dxa"/>
            <w:tcBorders>
              <w:left w:val="single" w:sz="4" w:space="0" w:color="auto"/>
            </w:tcBorders>
            <w:shd w:val="clear" w:color="auto" w:fill="auto"/>
          </w:tcPr>
          <w:p w14:paraId="2B8C8F95" w14:textId="77777777" w:rsidR="004C296A" w:rsidRPr="00316277" w:rsidRDefault="004C296A" w:rsidP="00F44D2B">
            <w:pPr>
              <w:pStyle w:val="CommentText"/>
              <w:keepNext w:val="0"/>
              <w:tabs>
                <w:tab w:val="clear" w:pos="3969"/>
              </w:tabs>
              <w:spacing w:before="120" w:after="120"/>
              <w:jc w:val="center"/>
            </w:pPr>
            <w:r w:rsidRPr="00316277">
              <w:t>0,13</w:t>
            </w:r>
          </w:p>
        </w:tc>
      </w:tr>
      <w:tr w:rsidR="004C296A" w:rsidRPr="00026EC1" w14:paraId="33CDBAE3" w14:textId="77777777" w:rsidTr="004C296A">
        <w:tc>
          <w:tcPr>
            <w:tcW w:w="5925" w:type="dxa"/>
            <w:shd w:val="clear" w:color="auto" w:fill="auto"/>
          </w:tcPr>
          <w:p w14:paraId="54242378" w14:textId="77777777" w:rsidR="004C296A" w:rsidRPr="00026EC1" w:rsidRDefault="004C296A" w:rsidP="00F44D2B">
            <w:pPr>
              <w:pStyle w:val="CommentText"/>
              <w:keepNext w:val="0"/>
              <w:tabs>
                <w:tab w:val="clear" w:pos="3969"/>
              </w:tabs>
              <w:spacing w:before="120" w:after="120"/>
            </w:pPr>
            <w:r w:rsidRPr="00367D44">
              <w:t>Champlain à Saint</w:t>
            </w:r>
            <w:r>
              <w:noBreakHyphen/>
            </w:r>
            <w:r w:rsidRPr="00367D44">
              <w:t>Lambert</w:t>
            </w:r>
          </w:p>
        </w:tc>
        <w:tc>
          <w:tcPr>
            <w:tcW w:w="1730" w:type="dxa"/>
            <w:tcBorders>
              <w:left w:val="single" w:sz="4" w:space="0" w:color="auto"/>
            </w:tcBorders>
            <w:shd w:val="clear" w:color="auto" w:fill="auto"/>
          </w:tcPr>
          <w:p w14:paraId="63F47231" w14:textId="77777777" w:rsidR="004C296A" w:rsidRPr="00316277" w:rsidRDefault="004C296A" w:rsidP="00F44D2B">
            <w:pPr>
              <w:pStyle w:val="CommentText"/>
              <w:keepNext w:val="0"/>
              <w:tabs>
                <w:tab w:val="clear" w:pos="3969"/>
              </w:tabs>
              <w:spacing w:before="120" w:after="120"/>
              <w:jc w:val="center"/>
            </w:pPr>
            <w:r w:rsidRPr="00316277">
              <w:t>2,26</w:t>
            </w:r>
          </w:p>
        </w:tc>
      </w:tr>
      <w:tr w:rsidR="004C296A" w:rsidRPr="00026EC1" w14:paraId="1753EC34" w14:textId="77777777" w:rsidTr="004C296A">
        <w:tc>
          <w:tcPr>
            <w:tcW w:w="5925" w:type="dxa"/>
            <w:shd w:val="clear" w:color="auto" w:fill="auto"/>
          </w:tcPr>
          <w:p w14:paraId="76875E51" w14:textId="77777777" w:rsidR="004C296A" w:rsidRPr="00367D44" w:rsidRDefault="004C296A" w:rsidP="00F44D2B">
            <w:pPr>
              <w:pStyle w:val="CommentText"/>
              <w:keepNext w:val="0"/>
              <w:tabs>
                <w:tab w:val="clear" w:pos="3969"/>
                <w:tab w:val="left" w:pos="64"/>
              </w:tabs>
              <w:spacing w:before="120" w:after="120"/>
            </w:pPr>
            <w:r>
              <w:tab/>
            </w:r>
            <w:r w:rsidRPr="00386CBC">
              <w:t>Champlain-St. Lawrence</w:t>
            </w:r>
          </w:p>
        </w:tc>
        <w:tc>
          <w:tcPr>
            <w:tcW w:w="1730" w:type="dxa"/>
            <w:tcBorders>
              <w:left w:val="single" w:sz="4" w:space="0" w:color="auto"/>
            </w:tcBorders>
            <w:shd w:val="clear" w:color="auto" w:fill="auto"/>
          </w:tcPr>
          <w:p w14:paraId="52440A82" w14:textId="77777777" w:rsidR="004C296A" w:rsidRPr="00316277" w:rsidRDefault="004C296A" w:rsidP="00F44D2B">
            <w:pPr>
              <w:pStyle w:val="CommentText"/>
              <w:keepNext w:val="0"/>
              <w:tabs>
                <w:tab w:val="clear" w:pos="3969"/>
              </w:tabs>
              <w:spacing w:before="120" w:after="120"/>
              <w:jc w:val="center"/>
            </w:pPr>
            <w:r w:rsidRPr="00316277">
              <w:t>0,10</w:t>
            </w:r>
          </w:p>
        </w:tc>
      </w:tr>
      <w:tr w:rsidR="004C296A" w:rsidRPr="00026EC1" w14:paraId="35CEDE13" w14:textId="77777777" w:rsidTr="004C296A">
        <w:tc>
          <w:tcPr>
            <w:tcW w:w="5925" w:type="dxa"/>
            <w:shd w:val="clear" w:color="auto" w:fill="auto"/>
          </w:tcPr>
          <w:p w14:paraId="09994B9B" w14:textId="77777777" w:rsidR="004C296A" w:rsidRPr="00026EC1" w:rsidRDefault="004C296A" w:rsidP="00F44D2B">
            <w:pPr>
              <w:pStyle w:val="CommentText"/>
              <w:keepNext w:val="0"/>
              <w:tabs>
                <w:tab w:val="clear" w:pos="3969"/>
              </w:tabs>
              <w:spacing w:before="120" w:after="120"/>
            </w:pPr>
            <w:r w:rsidRPr="00026EC1">
              <w:t>Chicoutimi</w:t>
            </w:r>
          </w:p>
        </w:tc>
        <w:tc>
          <w:tcPr>
            <w:tcW w:w="1730" w:type="dxa"/>
            <w:tcBorders>
              <w:left w:val="single" w:sz="4" w:space="0" w:color="auto"/>
            </w:tcBorders>
            <w:shd w:val="clear" w:color="auto" w:fill="auto"/>
          </w:tcPr>
          <w:p w14:paraId="749FE987" w14:textId="77777777" w:rsidR="004C296A" w:rsidRPr="00316277" w:rsidRDefault="004C296A" w:rsidP="00F44D2B">
            <w:pPr>
              <w:pStyle w:val="CommentText"/>
              <w:keepNext w:val="0"/>
              <w:tabs>
                <w:tab w:val="clear" w:pos="3969"/>
              </w:tabs>
              <w:spacing w:before="120" w:after="120"/>
              <w:jc w:val="center"/>
            </w:pPr>
            <w:r w:rsidRPr="00316277">
              <w:t>2,63</w:t>
            </w:r>
          </w:p>
        </w:tc>
      </w:tr>
      <w:tr w:rsidR="004C296A" w:rsidRPr="00026EC1" w14:paraId="2032F5D7" w14:textId="77777777" w:rsidTr="004C296A">
        <w:tc>
          <w:tcPr>
            <w:tcW w:w="5925" w:type="dxa"/>
            <w:shd w:val="clear" w:color="auto" w:fill="auto"/>
          </w:tcPr>
          <w:p w14:paraId="5C2A4675" w14:textId="77777777" w:rsidR="004C296A" w:rsidRPr="00026EC1" w:rsidRDefault="004C296A" w:rsidP="00F44D2B">
            <w:pPr>
              <w:pStyle w:val="CommentText"/>
              <w:keepNext w:val="0"/>
              <w:tabs>
                <w:tab w:val="clear" w:pos="3969"/>
              </w:tabs>
              <w:spacing w:before="120" w:after="120"/>
              <w:ind w:left="773"/>
            </w:pPr>
            <w:r w:rsidRPr="00316277">
              <w:t>Centre québécois de formation aéronautique</w:t>
            </w:r>
          </w:p>
        </w:tc>
        <w:tc>
          <w:tcPr>
            <w:tcW w:w="1730" w:type="dxa"/>
            <w:tcBorders>
              <w:left w:val="single" w:sz="4" w:space="0" w:color="auto"/>
            </w:tcBorders>
            <w:shd w:val="clear" w:color="auto" w:fill="auto"/>
          </w:tcPr>
          <w:p w14:paraId="473D92BB" w14:textId="77777777" w:rsidR="004C296A" w:rsidRPr="00316277" w:rsidRDefault="004C296A" w:rsidP="00F44D2B">
            <w:pPr>
              <w:pStyle w:val="CommentText"/>
              <w:keepNext w:val="0"/>
              <w:tabs>
                <w:tab w:val="clear" w:pos="3969"/>
              </w:tabs>
              <w:spacing w:before="120" w:after="120"/>
              <w:jc w:val="center"/>
            </w:pPr>
            <w:r w:rsidRPr="00316277">
              <w:t>0,00</w:t>
            </w:r>
          </w:p>
        </w:tc>
      </w:tr>
      <w:tr w:rsidR="004C296A" w:rsidRPr="00026EC1" w14:paraId="3CDB45C1" w14:textId="77777777" w:rsidTr="004C296A">
        <w:tc>
          <w:tcPr>
            <w:tcW w:w="5925" w:type="dxa"/>
            <w:shd w:val="clear" w:color="auto" w:fill="auto"/>
          </w:tcPr>
          <w:p w14:paraId="5E0DEDC7" w14:textId="77777777" w:rsidR="004C296A" w:rsidRPr="00026EC1" w:rsidRDefault="004C296A" w:rsidP="00F44D2B">
            <w:pPr>
              <w:pStyle w:val="CommentText"/>
              <w:keepNext w:val="0"/>
              <w:tabs>
                <w:tab w:val="clear" w:pos="3969"/>
              </w:tabs>
              <w:spacing w:before="120" w:after="120"/>
            </w:pPr>
            <w:r w:rsidRPr="00026EC1">
              <w:t>Dawson</w:t>
            </w:r>
          </w:p>
        </w:tc>
        <w:tc>
          <w:tcPr>
            <w:tcW w:w="1730" w:type="dxa"/>
            <w:tcBorders>
              <w:left w:val="single" w:sz="4" w:space="0" w:color="auto"/>
            </w:tcBorders>
            <w:shd w:val="clear" w:color="auto" w:fill="auto"/>
          </w:tcPr>
          <w:p w14:paraId="46FEED1D" w14:textId="77777777" w:rsidR="004C296A" w:rsidRPr="00316277" w:rsidRDefault="004C296A" w:rsidP="00F44D2B">
            <w:pPr>
              <w:pStyle w:val="CommentText"/>
              <w:keepNext w:val="0"/>
              <w:tabs>
                <w:tab w:val="clear" w:pos="3969"/>
              </w:tabs>
              <w:spacing w:before="120" w:after="120"/>
              <w:jc w:val="center"/>
            </w:pPr>
            <w:r w:rsidRPr="00316277">
              <w:t>13,87</w:t>
            </w:r>
          </w:p>
        </w:tc>
      </w:tr>
      <w:tr w:rsidR="004C296A" w:rsidRPr="00026EC1" w14:paraId="35915F66" w14:textId="77777777" w:rsidTr="004C296A">
        <w:tc>
          <w:tcPr>
            <w:tcW w:w="5925" w:type="dxa"/>
            <w:shd w:val="clear" w:color="auto" w:fill="auto"/>
          </w:tcPr>
          <w:p w14:paraId="430FDD3F" w14:textId="77777777" w:rsidR="004C296A" w:rsidRPr="00026EC1" w:rsidRDefault="004C296A" w:rsidP="00F44D2B">
            <w:pPr>
              <w:pStyle w:val="CommentText"/>
              <w:keepNext w:val="0"/>
              <w:tabs>
                <w:tab w:val="clear" w:pos="3969"/>
              </w:tabs>
              <w:spacing w:before="120" w:after="120"/>
            </w:pPr>
            <w:r w:rsidRPr="00026EC1">
              <w:t>Édouard</w:t>
            </w:r>
            <w:r>
              <w:noBreakHyphen/>
            </w:r>
            <w:r w:rsidRPr="00026EC1">
              <w:t>Montpetit</w:t>
            </w:r>
          </w:p>
        </w:tc>
        <w:tc>
          <w:tcPr>
            <w:tcW w:w="1730" w:type="dxa"/>
            <w:tcBorders>
              <w:left w:val="single" w:sz="4" w:space="0" w:color="auto"/>
            </w:tcBorders>
            <w:shd w:val="clear" w:color="auto" w:fill="auto"/>
          </w:tcPr>
          <w:p w14:paraId="021D3546" w14:textId="77777777" w:rsidR="004C296A" w:rsidRPr="00316277" w:rsidRDefault="004C296A" w:rsidP="00F44D2B">
            <w:pPr>
              <w:pStyle w:val="CommentText"/>
              <w:keepNext w:val="0"/>
              <w:tabs>
                <w:tab w:val="clear" w:pos="3969"/>
              </w:tabs>
              <w:spacing w:before="120" w:after="120"/>
              <w:jc w:val="center"/>
            </w:pPr>
            <w:r w:rsidRPr="00316277">
              <w:t>7,68</w:t>
            </w:r>
          </w:p>
        </w:tc>
      </w:tr>
      <w:tr w:rsidR="004C296A" w:rsidRPr="00026EC1" w14:paraId="2B27D566" w14:textId="77777777" w:rsidTr="004C296A">
        <w:tc>
          <w:tcPr>
            <w:tcW w:w="5925" w:type="dxa"/>
            <w:shd w:val="clear" w:color="auto" w:fill="auto"/>
          </w:tcPr>
          <w:p w14:paraId="2505A2E7" w14:textId="77777777" w:rsidR="004C296A" w:rsidRPr="00026EC1" w:rsidRDefault="004C296A" w:rsidP="00F44D2B">
            <w:pPr>
              <w:pStyle w:val="CommentText"/>
              <w:keepNext w:val="0"/>
              <w:tabs>
                <w:tab w:val="clear" w:pos="3969"/>
              </w:tabs>
              <w:spacing w:before="120" w:after="120"/>
            </w:pPr>
            <w:r w:rsidRPr="00026EC1">
              <w:t xml:space="preserve">Garneau </w:t>
            </w:r>
          </w:p>
        </w:tc>
        <w:tc>
          <w:tcPr>
            <w:tcW w:w="1730" w:type="dxa"/>
            <w:tcBorders>
              <w:left w:val="single" w:sz="4" w:space="0" w:color="auto"/>
            </w:tcBorders>
            <w:shd w:val="clear" w:color="auto" w:fill="auto"/>
          </w:tcPr>
          <w:p w14:paraId="1A0ACB59" w14:textId="77777777" w:rsidR="004C296A" w:rsidRPr="00316277" w:rsidRDefault="004C296A" w:rsidP="00F44D2B">
            <w:pPr>
              <w:pStyle w:val="CommentText"/>
              <w:keepNext w:val="0"/>
              <w:tabs>
                <w:tab w:val="clear" w:pos="3969"/>
              </w:tabs>
              <w:spacing w:before="120" w:after="120"/>
              <w:jc w:val="center"/>
            </w:pPr>
            <w:r w:rsidRPr="00316277">
              <w:t>5,22</w:t>
            </w:r>
          </w:p>
        </w:tc>
      </w:tr>
      <w:tr w:rsidR="004C296A" w:rsidRPr="00026EC1" w14:paraId="2087DEB0" w14:textId="77777777" w:rsidTr="004C296A">
        <w:tc>
          <w:tcPr>
            <w:tcW w:w="5925" w:type="dxa"/>
            <w:shd w:val="clear" w:color="auto" w:fill="auto"/>
          </w:tcPr>
          <w:p w14:paraId="32326925" w14:textId="77777777" w:rsidR="004C296A" w:rsidRPr="00026EC1" w:rsidRDefault="004C296A" w:rsidP="00F44D2B">
            <w:pPr>
              <w:pStyle w:val="CommentText"/>
              <w:keepNext w:val="0"/>
              <w:tabs>
                <w:tab w:val="clear" w:pos="3969"/>
              </w:tabs>
              <w:spacing w:before="120" w:after="120"/>
            </w:pPr>
            <w:r w:rsidRPr="00026EC1">
              <w:t>Gaspésie et des Îles</w:t>
            </w:r>
            <w:r>
              <w:t> :</w:t>
            </w:r>
          </w:p>
        </w:tc>
        <w:tc>
          <w:tcPr>
            <w:tcW w:w="1730" w:type="dxa"/>
            <w:tcBorders>
              <w:left w:val="single" w:sz="4" w:space="0" w:color="auto"/>
            </w:tcBorders>
            <w:shd w:val="clear" w:color="auto" w:fill="auto"/>
          </w:tcPr>
          <w:p w14:paraId="238781B6" w14:textId="77777777" w:rsidR="004C296A" w:rsidRPr="00316277" w:rsidRDefault="004C296A" w:rsidP="00F44D2B">
            <w:pPr>
              <w:pStyle w:val="CommentText"/>
              <w:keepNext w:val="0"/>
              <w:tabs>
                <w:tab w:val="clear" w:pos="3969"/>
              </w:tabs>
              <w:spacing w:before="120" w:after="120"/>
              <w:jc w:val="center"/>
            </w:pPr>
          </w:p>
        </w:tc>
      </w:tr>
      <w:tr w:rsidR="004C296A" w:rsidRPr="00026EC1" w14:paraId="016C84A6" w14:textId="77777777" w:rsidTr="004C296A">
        <w:tc>
          <w:tcPr>
            <w:tcW w:w="5925" w:type="dxa"/>
            <w:shd w:val="clear" w:color="auto" w:fill="auto"/>
          </w:tcPr>
          <w:p w14:paraId="1776C8ED" w14:textId="77777777" w:rsidR="004C296A" w:rsidRPr="00026EC1" w:rsidRDefault="004C296A" w:rsidP="00F44D2B">
            <w:pPr>
              <w:pStyle w:val="CommentText"/>
              <w:keepNext w:val="0"/>
              <w:tabs>
                <w:tab w:val="clear" w:pos="3969"/>
                <w:tab w:val="left" w:pos="567"/>
              </w:tabs>
              <w:spacing w:before="120" w:after="120"/>
            </w:pPr>
            <w:r w:rsidRPr="00026EC1">
              <w:tab/>
              <w:t xml:space="preserve">CEC </w:t>
            </w:r>
            <w:r w:rsidRPr="00892A71">
              <w:t>Carleton</w:t>
            </w:r>
            <w:r>
              <w:noBreakHyphen/>
            </w:r>
            <w:r w:rsidRPr="00892A71">
              <w:t>sur</w:t>
            </w:r>
            <w:r>
              <w:noBreakHyphen/>
              <w:t>M</w:t>
            </w:r>
            <w:r w:rsidRPr="00892A71">
              <w:t>er</w:t>
            </w:r>
          </w:p>
        </w:tc>
        <w:tc>
          <w:tcPr>
            <w:tcW w:w="1730" w:type="dxa"/>
            <w:tcBorders>
              <w:left w:val="single" w:sz="4" w:space="0" w:color="auto"/>
            </w:tcBorders>
            <w:shd w:val="clear" w:color="auto" w:fill="auto"/>
          </w:tcPr>
          <w:p w14:paraId="7BF50277" w14:textId="77777777" w:rsidR="004C296A" w:rsidRPr="00316277" w:rsidRDefault="004C296A" w:rsidP="00F44D2B">
            <w:pPr>
              <w:pStyle w:val="CommentText"/>
              <w:keepNext w:val="0"/>
              <w:tabs>
                <w:tab w:val="clear" w:pos="3969"/>
              </w:tabs>
              <w:spacing w:before="120" w:after="120"/>
              <w:jc w:val="center"/>
            </w:pPr>
            <w:r w:rsidRPr="00316277">
              <w:t>0,78</w:t>
            </w:r>
          </w:p>
        </w:tc>
      </w:tr>
      <w:tr w:rsidR="004C296A" w:rsidRPr="00026EC1" w14:paraId="4F960899" w14:textId="77777777" w:rsidTr="004C296A">
        <w:tc>
          <w:tcPr>
            <w:tcW w:w="5925" w:type="dxa"/>
            <w:shd w:val="clear" w:color="auto" w:fill="auto"/>
          </w:tcPr>
          <w:p w14:paraId="3B2979B2" w14:textId="77777777" w:rsidR="004C296A" w:rsidRPr="00026EC1" w:rsidRDefault="004C296A" w:rsidP="00F44D2B">
            <w:pPr>
              <w:pStyle w:val="CommentText"/>
              <w:keepNext w:val="0"/>
              <w:tabs>
                <w:tab w:val="clear" w:pos="3969"/>
                <w:tab w:val="left" w:pos="567"/>
              </w:tabs>
              <w:spacing w:before="120" w:after="120"/>
              <w:ind w:left="631"/>
            </w:pPr>
            <w:r w:rsidRPr="00316277">
              <w:t>École des pêches et de l’aquaculture</w:t>
            </w:r>
          </w:p>
        </w:tc>
        <w:tc>
          <w:tcPr>
            <w:tcW w:w="1730" w:type="dxa"/>
            <w:tcBorders>
              <w:left w:val="single" w:sz="4" w:space="0" w:color="auto"/>
            </w:tcBorders>
            <w:shd w:val="clear" w:color="auto" w:fill="auto"/>
          </w:tcPr>
          <w:p w14:paraId="2D3118ED" w14:textId="77777777" w:rsidR="004C296A" w:rsidRPr="00316277" w:rsidRDefault="004C296A" w:rsidP="00F44D2B">
            <w:pPr>
              <w:pStyle w:val="CommentText"/>
              <w:keepNext w:val="0"/>
              <w:tabs>
                <w:tab w:val="clear" w:pos="3969"/>
              </w:tabs>
              <w:spacing w:before="120" w:after="120"/>
              <w:jc w:val="center"/>
            </w:pPr>
            <w:r w:rsidRPr="00316277">
              <w:t>0,00</w:t>
            </w:r>
          </w:p>
        </w:tc>
      </w:tr>
      <w:tr w:rsidR="004C296A" w:rsidRPr="00026EC1" w14:paraId="16DA07F6" w14:textId="77777777" w:rsidTr="004C296A">
        <w:tc>
          <w:tcPr>
            <w:tcW w:w="5925" w:type="dxa"/>
            <w:shd w:val="clear" w:color="auto" w:fill="auto"/>
          </w:tcPr>
          <w:p w14:paraId="49D4C0E1" w14:textId="77777777" w:rsidR="004C296A" w:rsidRPr="00026EC1" w:rsidRDefault="004C296A" w:rsidP="00F44D2B">
            <w:pPr>
              <w:pStyle w:val="CommentText"/>
              <w:keepNext w:val="0"/>
              <w:tabs>
                <w:tab w:val="clear" w:pos="3969"/>
              </w:tabs>
              <w:spacing w:before="120" w:after="120"/>
              <w:rPr>
                <w:lang w:val="en-CA"/>
              </w:rPr>
            </w:pPr>
            <w:r w:rsidRPr="007D4D35">
              <w:rPr>
                <w:lang w:val="en-CA"/>
              </w:rPr>
              <w:t>Granby</w:t>
            </w:r>
          </w:p>
        </w:tc>
        <w:tc>
          <w:tcPr>
            <w:tcW w:w="1730" w:type="dxa"/>
            <w:tcBorders>
              <w:left w:val="single" w:sz="4" w:space="0" w:color="auto"/>
            </w:tcBorders>
            <w:shd w:val="clear" w:color="auto" w:fill="auto"/>
          </w:tcPr>
          <w:p w14:paraId="2EFF6532"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2,55</w:t>
            </w:r>
          </w:p>
        </w:tc>
      </w:tr>
      <w:tr w:rsidR="004C296A" w:rsidRPr="00026EC1" w14:paraId="524D76AC" w14:textId="77777777" w:rsidTr="004C296A">
        <w:tc>
          <w:tcPr>
            <w:tcW w:w="5925" w:type="dxa"/>
            <w:shd w:val="clear" w:color="auto" w:fill="auto"/>
          </w:tcPr>
          <w:p w14:paraId="457015D9"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Heritage</w:t>
            </w:r>
          </w:p>
        </w:tc>
        <w:tc>
          <w:tcPr>
            <w:tcW w:w="1730" w:type="dxa"/>
            <w:tcBorders>
              <w:left w:val="single" w:sz="4" w:space="0" w:color="auto"/>
            </w:tcBorders>
            <w:shd w:val="clear" w:color="auto" w:fill="auto"/>
          </w:tcPr>
          <w:p w14:paraId="278FCA37" w14:textId="77777777" w:rsidR="004C296A" w:rsidRPr="00316277" w:rsidRDefault="004C296A" w:rsidP="00F44D2B">
            <w:pPr>
              <w:pStyle w:val="CommentText"/>
              <w:keepNext w:val="0"/>
              <w:tabs>
                <w:tab w:val="clear" w:pos="3969"/>
              </w:tabs>
              <w:spacing w:before="120" w:after="120"/>
              <w:jc w:val="center"/>
            </w:pPr>
            <w:r w:rsidRPr="00316277">
              <w:t>1,19</w:t>
            </w:r>
          </w:p>
        </w:tc>
      </w:tr>
      <w:tr w:rsidR="004C296A" w:rsidRPr="00026EC1" w14:paraId="7791420C" w14:textId="77777777" w:rsidTr="004C296A">
        <w:tc>
          <w:tcPr>
            <w:tcW w:w="5925" w:type="dxa"/>
            <w:shd w:val="clear" w:color="auto" w:fill="auto"/>
          </w:tcPr>
          <w:p w14:paraId="3A74F726"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John Abbott</w:t>
            </w:r>
          </w:p>
        </w:tc>
        <w:tc>
          <w:tcPr>
            <w:tcW w:w="1730" w:type="dxa"/>
            <w:tcBorders>
              <w:left w:val="single" w:sz="4" w:space="0" w:color="auto"/>
            </w:tcBorders>
            <w:shd w:val="clear" w:color="auto" w:fill="auto"/>
          </w:tcPr>
          <w:p w14:paraId="38498572" w14:textId="77777777" w:rsidR="004C296A" w:rsidRPr="00316277" w:rsidRDefault="004C296A" w:rsidP="00F44D2B">
            <w:pPr>
              <w:pStyle w:val="CommentText"/>
              <w:keepNext w:val="0"/>
              <w:tabs>
                <w:tab w:val="clear" w:pos="3969"/>
              </w:tabs>
              <w:spacing w:before="120" w:after="120"/>
              <w:jc w:val="center"/>
            </w:pPr>
            <w:r w:rsidRPr="00316277">
              <w:t>8,09</w:t>
            </w:r>
          </w:p>
        </w:tc>
      </w:tr>
      <w:tr w:rsidR="004C296A" w:rsidRPr="00026EC1" w14:paraId="0167F1B9" w14:textId="77777777" w:rsidTr="004C296A">
        <w:tc>
          <w:tcPr>
            <w:tcW w:w="5925" w:type="dxa"/>
            <w:shd w:val="clear" w:color="auto" w:fill="auto"/>
          </w:tcPr>
          <w:p w14:paraId="3CC02F60" w14:textId="77777777" w:rsidR="004C296A" w:rsidRPr="00026EC1" w:rsidRDefault="004C296A" w:rsidP="00F06294">
            <w:pPr>
              <w:pStyle w:val="CommentText"/>
              <w:keepNext w:val="0"/>
              <w:tabs>
                <w:tab w:val="clear" w:pos="3969"/>
              </w:tabs>
              <w:spacing w:before="120" w:after="120"/>
              <w:jc w:val="left"/>
            </w:pPr>
            <w:r w:rsidRPr="00026EC1">
              <w:t>Jonquière</w:t>
            </w:r>
          </w:p>
        </w:tc>
        <w:tc>
          <w:tcPr>
            <w:tcW w:w="1730" w:type="dxa"/>
            <w:tcBorders>
              <w:left w:val="single" w:sz="4" w:space="0" w:color="auto"/>
            </w:tcBorders>
            <w:shd w:val="clear" w:color="auto" w:fill="auto"/>
          </w:tcPr>
          <w:p w14:paraId="27479D3D" w14:textId="77777777" w:rsidR="004C296A" w:rsidRPr="00316277" w:rsidRDefault="004C296A" w:rsidP="00F06294">
            <w:pPr>
              <w:pStyle w:val="CommentText"/>
              <w:keepNext w:val="0"/>
              <w:tabs>
                <w:tab w:val="clear" w:pos="3969"/>
              </w:tabs>
              <w:spacing w:before="120" w:after="120"/>
              <w:jc w:val="center"/>
            </w:pPr>
            <w:r w:rsidRPr="00316277">
              <w:t>1,93</w:t>
            </w:r>
          </w:p>
        </w:tc>
      </w:tr>
      <w:tr w:rsidR="004C296A" w:rsidRPr="00026EC1" w14:paraId="6140ED8D" w14:textId="77777777" w:rsidTr="004C296A">
        <w:tc>
          <w:tcPr>
            <w:tcW w:w="5925" w:type="dxa"/>
            <w:shd w:val="clear" w:color="auto" w:fill="auto"/>
          </w:tcPr>
          <w:p w14:paraId="4DB1E8E3" w14:textId="77777777" w:rsidR="004C296A" w:rsidRPr="00026EC1" w:rsidRDefault="004C296A" w:rsidP="00E00248">
            <w:pPr>
              <w:pStyle w:val="CommentText"/>
              <w:keepNext w:val="0"/>
              <w:tabs>
                <w:tab w:val="clear" w:pos="3969"/>
              </w:tabs>
              <w:spacing w:before="120" w:after="120"/>
              <w:jc w:val="center"/>
              <w:rPr>
                <w:lang w:val="en-CA"/>
              </w:rPr>
            </w:pPr>
            <w:r w:rsidRPr="00026EC1">
              <w:rPr>
                <w:bCs/>
              </w:rPr>
              <w:t>COLLÈGE OU CAMPUS</w:t>
            </w:r>
          </w:p>
        </w:tc>
        <w:tc>
          <w:tcPr>
            <w:tcW w:w="1730" w:type="dxa"/>
            <w:shd w:val="clear" w:color="auto" w:fill="auto"/>
            <w:vAlign w:val="center"/>
          </w:tcPr>
          <w:p w14:paraId="3D4027BA" w14:textId="25C1A2DF" w:rsidR="004C296A" w:rsidRPr="00316277" w:rsidRDefault="004C296A" w:rsidP="00E00248">
            <w:pPr>
              <w:pStyle w:val="CommentText"/>
              <w:keepNext w:val="0"/>
              <w:tabs>
                <w:tab w:val="clear" w:pos="3969"/>
              </w:tabs>
              <w:spacing w:before="120" w:after="120"/>
              <w:jc w:val="center"/>
            </w:pPr>
            <w:r w:rsidRPr="00026EC1">
              <w:rPr>
                <w:bCs/>
                <w:lang w:val="en-CA"/>
              </w:rPr>
              <w:t>CHARGES</w:t>
            </w:r>
            <w:r w:rsidRPr="00173987">
              <w:rPr>
                <w:bCs/>
                <w:vertAlign w:val="superscript"/>
                <w:lang w:val="en-CA"/>
              </w:rPr>
              <w:t>1</w:t>
            </w:r>
          </w:p>
        </w:tc>
      </w:tr>
      <w:tr w:rsidR="004C296A" w:rsidRPr="00026EC1" w14:paraId="21E779BE" w14:textId="77777777" w:rsidTr="004C296A">
        <w:tc>
          <w:tcPr>
            <w:tcW w:w="5925" w:type="dxa"/>
            <w:shd w:val="clear" w:color="auto" w:fill="auto"/>
          </w:tcPr>
          <w:p w14:paraId="3766D328" w14:textId="77777777" w:rsidR="004C296A" w:rsidRPr="00026EC1" w:rsidRDefault="004C296A" w:rsidP="00F44D2B">
            <w:pPr>
              <w:pStyle w:val="CommentText"/>
              <w:keepNext w:val="0"/>
              <w:tabs>
                <w:tab w:val="clear" w:pos="3969"/>
                <w:tab w:val="left" w:pos="567"/>
              </w:tabs>
              <w:spacing w:before="120" w:after="120"/>
              <w:jc w:val="left"/>
            </w:pPr>
            <w:r w:rsidRPr="00026EC1">
              <w:tab/>
              <w:t>CEC en Charlevoix</w:t>
            </w:r>
          </w:p>
        </w:tc>
        <w:tc>
          <w:tcPr>
            <w:tcW w:w="1730" w:type="dxa"/>
            <w:tcBorders>
              <w:left w:val="single" w:sz="4" w:space="0" w:color="auto"/>
            </w:tcBorders>
            <w:shd w:val="clear" w:color="auto" w:fill="auto"/>
          </w:tcPr>
          <w:p w14:paraId="145527E0" w14:textId="77777777" w:rsidR="004C296A" w:rsidRPr="00316277" w:rsidRDefault="004C296A" w:rsidP="00F44D2B">
            <w:pPr>
              <w:pStyle w:val="CommentText"/>
              <w:keepNext w:val="0"/>
              <w:tabs>
                <w:tab w:val="clear" w:pos="3969"/>
              </w:tabs>
              <w:spacing w:before="120" w:after="120"/>
              <w:jc w:val="center"/>
            </w:pPr>
            <w:r w:rsidRPr="00316277">
              <w:t>0,45</w:t>
            </w:r>
          </w:p>
        </w:tc>
      </w:tr>
      <w:tr w:rsidR="004C296A" w:rsidRPr="00026EC1" w14:paraId="2F766262" w14:textId="77777777" w:rsidTr="004C296A">
        <w:tc>
          <w:tcPr>
            <w:tcW w:w="5925" w:type="dxa"/>
            <w:shd w:val="clear" w:color="auto" w:fill="auto"/>
          </w:tcPr>
          <w:p w14:paraId="48363ECC" w14:textId="77777777" w:rsidR="004C296A" w:rsidRPr="00026EC1" w:rsidRDefault="004C296A" w:rsidP="00F44D2B">
            <w:pPr>
              <w:pStyle w:val="CommentText"/>
              <w:keepNext w:val="0"/>
              <w:tabs>
                <w:tab w:val="clear" w:pos="3969"/>
              </w:tabs>
              <w:spacing w:before="120" w:after="120"/>
              <w:jc w:val="left"/>
            </w:pPr>
            <w:r w:rsidRPr="00026EC1">
              <w:t>La Pocatière</w:t>
            </w:r>
          </w:p>
        </w:tc>
        <w:tc>
          <w:tcPr>
            <w:tcW w:w="1730" w:type="dxa"/>
            <w:tcBorders>
              <w:left w:val="single" w:sz="4" w:space="0" w:color="auto"/>
            </w:tcBorders>
            <w:shd w:val="clear" w:color="auto" w:fill="auto"/>
          </w:tcPr>
          <w:p w14:paraId="6B1C159F" w14:textId="02D6FD5D" w:rsidR="004C296A" w:rsidRPr="00316277" w:rsidRDefault="004C296A" w:rsidP="00F44D2B">
            <w:pPr>
              <w:pStyle w:val="CommentText"/>
              <w:keepNext w:val="0"/>
              <w:tabs>
                <w:tab w:val="clear" w:pos="3969"/>
              </w:tabs>
              <w:spacing w:before="120" w:after="120"/>
              <w:jc w:val="center"/>
            </w:pPr>
            <w:r w:rsidRPr="00316277">
              <w:t>1,34</w:t>
            </w:r>
          </w:p>
        </w:tc>
      </w:tr>
      <w:tr w:rsidR="004C296A" w:rsidRPr="00026EC1" w14:paraId="62FA99C8" w14:textId="77777777" w:rsidTr="004C296A">
        <w:tc>
          <w:tcPr>
            <w:tcW w:w="5925" w:type="dxa"/>
            <w:shd w:val="clear" w:color="auto" w:fill="auto"/>
          </w:tcPr>
          <w:p w14:paraId="6BA9198C" w14:textId="77777777" w:rsidR="004C296A" w:rsidRPr="00026EC1" w:rsidRDefault="004C296A" w:rsidP="00F44D2B">
            <w:pPr>
              <w:pStyle w:val="CommentText"/>
              <w:keepNext w:val="0"/>
              <w:tabs>
                <w:tab w:val="clear" w:pos="3969"/>
              </w:tabs>
              <w:spacing w:before="120" w:after="120"/>
              <w:ind w:left="708"/>
              <w:jc w:val="left"/>
            </w:pPr>
            <w:r w:rsidRPr="00026EC1">
              <w:t>CEC de Montmagny</w:t>
            </w:r>
          </w:p>
        </w:tc>
        <w:tc>
          <w:tcPr>
            <w:tcW w:w="1730" w:type="dxa"/>
            <w:tcBorders>
              <w:left w:val="single" w:sz="4" w:space="0" w:color="auto"/>
            </w:tcBorders>
            <w:shd w:val="clear" w:color="auto" w:fill="auto"/>
          </w:tcPr>
          <w:p w14:paraId="06CC342F" w14:textId="1E6379D4" w:rsidR="004C296A" w:rsidRPr="00316277" w:rsidRDefault="004C296A" w:rsidP="00F44D2B">
            <w:pPr>
              <w:pStyle w:val="CommentText"/>
              <w:keepNext w:val="0"/>
              <w:tabs>
                <w:tab w:val="clear" w:pos="3969"/>
              </w:tabs>
              <w:spacing w:before="120" w:after="120"/>
              <w:jc w:val="center"/>
            </w:pPr>
            <w:r w:rsidRPr="00316277">
              <w:t>0,61</w:t>
            </w:r>
          </w:p>
        </w:tc>
      </w:tr>
      <w:tr w:rsidR="004C296A" w:rsidRPr="00026EC1" w14:paraId="0EF750A4" w14:textId="77777777" w:rsidTr="004C296A">
        <w:tc>
          <w:tcPr>
            <w:tcW w:w="5925" w:type="dxa"/>
            <w:shd w:val="clear" w:color="auto" w:fill="auto"/>
          </w:tcPr>
          <w:p w14:paraId="42EA7C07" w14:textId="77777777" w:rsidR="004C296A" w:rsidRPr="00026EC1" w:rsidRDefault="004C296A" w:rsidP="00F44D2B">
            <w:pPr>
              <w:pStyle w:val="CommentText"/>
              <w:keepNext w:val="0"/>
              <w:tabs>
                <w:tab w:val="clear" w:pos="3969"/>
              </w:tabs>
              <w:spacing w:before="120" w:after="120"/>
              <w:jc w:val="left"/>
            </w:pPr>
            <w:r w:rsidRPr="00026EC1">
              <w:t>Lévis</w:t>
            </w:r>
          </w:p>
        </w:tc>
        <w:tc>
          <w:tcPr>
            <w:tcW w:w="1730" w:type="dxa"/>
            <w:tcBorders>
              <w:left w:val="single" w:sz="4" w:space="0" w:color="auto"/>
            </w:tcBorders>
            <w:shd w:val="clear" w:color="auto" w:fill="auto"/>
          </w:tcPr>
          <w:p w14:paraId="2866E8A2" w14:textId="77777777" w:rsidR="004C296A" w:rsidRPr="00316277" w:rsidRDefault="004C296A" w:rsidP="00F44D2B">
            <w:pPr>
              <w:pStyle w:val="CommentText"/>
              <w:keepNext w:val="0"/>
              <w:tabs>
                <w:tab w:val="clear" w:pos="3969"/>
              </w:tabs>
              <w:spacing w:before="120" w:after="120"/>
              <w:jc w:val="center"/>
            </w:pPr>
            <w:r w:rsidRPr="00316277">
              <w:t>1,74</w:t>
            </w:r>
          </w:p>
        </w:tc>
      </w:tr>
      <w:tr w:rsidR="004C296A" w:rsidRPr="00026EC1" w14:paraId="1A61F0C2" w14:textId="77777777" w:rsidTr="004C296A">
        <w:tc>
          <w:tcPr>
            <w:tcW w:w="5925" w:type="dxa"/>
            <w:shd w:val="clear" w:color="auto" w:fill="auto"/>
          </w:tcPr>
          <w:p w14:paraId="40DD697D" w14:textId="77777777" w:rsidR="004C296A" w:rsidRPr="00026EC1" w:rsidRDefault="004C296A" w:rsidP="00F44D2B">
            <w:pPr>
              <w:pStyle w:val="CommentText"/>
              <w:keepNext w:val="0"/>
              <w:tabs>
                <w:tab w:val="clear" w:pos="3969"/>
              </w:tabs>
              <w:spacing w:before="120" w:after="120"/>
              <w:jc w:val="left"/>
            </w:pPr>
            <w:r w:rsidRPr="00026EC1">
              <w:t>Limoilou</w:t>
            </w:r>
          </w:p>
        </w:tc>
        <w:tc>
          <w:tcPr>
            <w:tcW w:w="1730" w:type="dxa"/>
            <w:tcBorders>
              <w:left w:val="single" w:sz="4" w:space="0" w:color="auto"/>
            </w:tcBorders>
            <w:shd w:val="clear" w:color="auto" w:fill="auto"/>
          </w:tcPr>
          <w:p w14:paraId="5DFEFDF8" w14:textId="77777777" w:rsidR="004C296A" w:rsidRPr="00316277" w:rsidRDefault="004C296A" w:rsidP="00F44D2B">
            <w:pPr>
              <w:pStyle w:val="CommentText"/>
              <w:keepNext w:val="0"/>
              <w:tabs>
                <w:tab w:val="clear" w:pos="3969"/>
              </w:tabs>
              <w:spacing w:before="120" w:after="120"/>
              <w:jc w:val="center"/>
            </w:pPr>
            <w:r w:rsidRPr="00316277">
              <w:t>5,28</w:t>
            </w:r>
          </w:p>
        </w:tc>
      </w:tr>
      <w:tr w:rsidR="004C296A" w:rsidRPr="00026EC1" w14:paraId="6005CEA3" w14:textId="77777777" w:rsidTr="004C296A">
        <w:tc>
          <w:tcPr>
            <w:tcW w:w="5925" w:type="dxa"/>
            <w:shd w:val="clear" w:color="auto" w:fill="auto"/>
          </w:tcPr>
          <w:p w14:paraId="3A5DF7E7" w14:textId="77777777" w:rsidR="004C296A" w:rsidRPr="00026EC1" w:rsidRDefault="004C296A" w:rsidP="00F44D2B">
            <w:pPr>
              <w:pStyle w:val="CommentText"/>
              <w:keepNext w:val="0"/>
              <w:tabs>
                <w:tab w:val="clear" w:pos="3969"/>
              </w:tabs>
              <w:spacing w:before="120" w:after="120"/>
              <w:jc w:val="left"/>
            </w:pPr>
            <w:r w:rsidRPr="00026EC1">
              <w:t>Lionel</w:t>
            </w:r>
            <w:r>
              <w:noBreakHyphen/>
            </w:r>
            <w:r w:rsidRPr="00026EC1">
              <w:t>Groulx</w:t>
            </w:r>
          </w:p>
        </w:tc>
        <w:tc>
          <w:tcPr>
            <w:tcW w:w="1730" w:type="dxa"/>
            <w:tcBorders>
              <w:left w:val="single" w:sz="4" w:space="0" w:color="auto"/>
            </w:tcBorders>
            <w:shd w:val="clear" w:color="auto" w:fill="auto"/>
          </w:tcPr>
          <w:p w14:paraId="00628E9D" w14:textId="77777777" w:rsidR="004C296A" w:rsidRPr="00316277" w:rsidRDefault="004C296A" w:rsidP="00F44D2B">
            <w:pPr>
              <w:pStyle w:val="CommentText"/>
              <w:keepNext w:val="0"/>
              <w:tabs>
                <w:tab w:val="clear" w:pos="3969"/>
              </w:tabs>
              <w:spacing w:before="120" w:after="120"/>
              <w:jc w:val="center"/>
            </w:pPr>
            <w:r w:rsidRPr="00316277">
              <w:t>3,60</w:t>
            </w:r>
          </w:p>
        </w:tc>
      </w:tr>
      <w:tr w:rsidR="004C296A" w:rsidRPr="00026EC1" w14:paraId="04F2A16F" w14:textId="77777777" w:rsidTr="004C296A">
        <w:tc>
          <w:tcPr>
            <w:tcW w:w="5925" w:type="dxa"/>
            <w:shd w:val="clear" w:color="auto" w:fill="auto"/>
          </w:tcPr>
          <w:p w14:paraId="59D5267F" w14:textId="77777777" w:rsidR="004C296A" w:rsidRPr="00026EC1" w:rsidRDefault="004C296A" w:rsidP="00F44D2B">
            <w:pPr>
              <w:pStyle w:val="CommentText"/>
              <w:keepNext w:val="0"/>
              <w:tabs>
                <w:tab w:val="clear" w:pos="3969"/>
              </w:tabs>
              <w:spacing w:before="120" w:after="120"/>
              <w:jc w:val="left"/>
            </w:pPr>
            <w:r w:rsidRPr="00026EC1">
              <w:t>Maisonneuve</w:t>
            </w:r>
          </w:p>
        </w:tc>
        <w:tc>
          <w:tcPr>
            <w:tcW w:w="1730" w:type="dxa"/>
            <w:tcBorders>
              <w:left w:val="single" w:sz="4" w:space="0" w:color="auto"/>
            </w:tcBorders>
            <w:shd w:val="clear" w:color="auto" w:fill="auto"/>
          </w:tcPr>
          <w:p w14:paraId="70DDB842" w14:textId="70F75DEE" w:rsidR="004C296A" w:rsidRPr="00316277" w:rsidRDefault="004C296A" w:rsidP="00F44D2B">
            <w:pPr>
              <w:pStyle w:val="CommentText"/>
              <w:keepNext w:val="0"/>
              <w:tabs>
                <w:tab w:val="clear" w:pos="3969"/>
              </w:tabs>
              <w:spacing w:before="120" w:after="120"/>
              <w:jc w:val="center"/>
            </w:pPr>
            <w:r w:rsidRPr="00316277">
              <w:t>1</w:t>
            </w:r>
            <w:r>
              <w:t>1,26</w:t>
            </w:r>
          </w:p>
        </w:tc>
      </w:tr>
      <w:tr w:rsidR="004C296A" w:rsidRPr="00026EC1" w14:paraId="09487BBF" w14:textId="77777777" w:rsidTr="004C296A">
        <w:tc>
          <w:tcPr>
            <w:tcW w:w="5925" w:type="dxa"/>
            <w:shd w:val="clear" w:color="auto" w:fill="auto"/>
          </w:tcPr>
          <w:p w14:paraId="6B27D0B3" w14:textId="77777777" w:rsidR="004C296A" w:rsidRPr="00026EC1" w:rsidRDefault="004C296A" w:rsidP="00F44D2B">
            <w:pPr>
              <w:pStyle w:val="CommentText"/>
              <w:keepNext w:val="0"/>
              <w:tabs>
                <w:tab w:val="clear" w:pos="3969"/>
              </w:tabs>
              <w:spacing w:before="120" w:after="120"/>
              <w:jc w:val="left"/>
            </w:pPr>
            <w:r w:rsidRPr="00026EC1">
              <w:t>Marie</w:t>
            </w:r>
            <w:r>
              <w:noBreakHyphen/>
            </w:r>
            <w:r w:rsidRPr="00026EC1">
              <w:t>Victorin</w:t>
            </w:r>
          </w:p>
        </w:tc>
        <w:tc>
          <w:tcPr>
            <w:tcW w:w="1730" w:type="dxa"/>
            <w:tcBorders>
              <w:left w:val="single" w:sz="4" w:space="0" w:color="auto"/>
            </w:tcBorders>
            <w:shd w:val="clear" w:color="auto" w:fill="auto"/>
          </w:tcPr>
          <w:p w14:paraId="16F9D40C" w14:textId="3320F762" w:rsidR="004C296A" w:rsidRPr="00316277" w:rsidRDefault="004C296A" w:rsidP="00F44D2B">
            <w:pPr>
              <w:pStyle w:val="CommentText"/>
              <w:keepNext w:val="0"/>
              <w:tabs>
                <w:tab w:val="clear" w:pos="3969"/>
              </w:tabs>
              <w:spacing w:before="120" w:after="120"/>
              <w:jc w:val="center"/>
            </w:pPr>
            <w:r w:rsidRPr="00316277">
              <w:t>6,</w:t>
            </w:r>
            <w:r>
              <w:t>81</w:t>
            </w:r>
          </w:p>
        </w:tc>
      </w:tr>
      <w:tr w:rsidR="004C296A" w:rsidRPr="00026EC1" w14:paraId="0B782E90" w14:textId="77777777" w:rsidTr="004C296A">
        <w:tc>
          <w:tcPr>
            <w:tcW w:w="5925" w:type="dxa"/>
            <w:shd w:val="clear" w:color="auto" w:fill="auto"/>
          </w:tcPr>
          <w:p w14:paraId="3CC00862" w14:textId="77777777" w:rsidR="004C296A" w:rsidRPr="00026EC1" w:rsidRDefault="004C296A" w:rsidP="00F44D2B">
            <w:pPr>
              <w:pStyle w:val="CommentText"/>
              <w:keepNext w:val="0"/>
              <w:tabs>
                <w:tab w:val="clear" w:pos="3969"/>
              </w:tabs>
              <w:spacing w:before="120" w:after="120"/>
              <w:jc w:val="left"/>
            </w:pPr>
            <w:r w:rsidRPr="00026EC1">
              <w:t>Montmorency</w:t>
            </w:r>
          </w:p>
        </w:tc>
        <w:tc>
          <w:tcPr>
            <w:tcW w:w="1730" w:type="dxa"/>
            <w:tcBorders>
              <w:left w:val="single" w:sz="4" w:space="0" w:color="auto"/>
            </w:tcBorders>
            <w:shd w:val="clear" w:color="auto" w:fill="auto"/>
          </w:tcPr>
          <w:p w14:paraId="78C728E1" w14:textId="6C6329A5" w:rsidR="004C296A" w:rsidRPr="00316277" w:rsidRDefault="004C296A" w:rsidP="00F44D2B">
            <w:pPr>
              <w:pStyle w:val="CommentText"/>
              <w:keepNext w:val="0"/>
              <w:tabs>
                <w:tab w:val="clear" w:pos="3969"/>
              </w:tabs>
              <w:spacing w:before="120" w:after="120"/>
              <w:jc w:val="center"/>
            </w:pPr>
            <w:r>
              <w:t>6,25</w:t>
            </w:r>
          </w:p>
        </w:tc>
      </w:tr>
      <w:tr w:rsidR="004C296A" w:rsidRPr="00026EC1" w14:paraId="6F639C0C" w14:textId="77777777" w:rsidTr="004C296A">
        <w:tc>
          <w:tcPr>
            <w:tcW w:w="5925" w:type="dxa"/>
            <w:shd w:val="clear" w:color="auto" w:fill="auto"/>
          </w:tcPr>
          <w:p w14:paraId="1C9EF04E" w14:textId="77777777" w:rsidR="004C296A" w:rsidRPr="00026EC1" w:rsidRDefault="004C296A" w:rsidP="00F44D2B">
            <w:pPr>
              <w:pStyle w:val="CommentText"/>
              <w:keepNext w:val="0"/>
              <w:tabs>
                <w:tab w:val="clear" w:pos="3969"/>
              </w:tabs>
              <w:spacing w:before="120" w:after="120"/>
              <w:jc w:val="left"/>
            </w:pPr>
            <w:r w:rsidRPr="00026EC1">
              <w:t>Outaouais</w:t>
            </w:r>
          </w:p>
        </w:tc>
        <w:tc>
          <w:tcPr>
            <w:tcW w:w="1730" w:type="dxa"/>
            <w:tcBorders>
              <w:left w:val="single" w:sz="4" w:space="0" w:color="auto"/>
            </w:tcBorders>
            <w:shd w:val="clear" w:color="auto" w:fill="auto"/>
          </w:tcPr>
          <w:p w14:paraId="723B7E27" w14:textId="1FC381A5" w:rsidR="004C296A" w:rsidRPr="00316277" w:rsidRDefault="004C296A" w:rsidP="00F44D2B">
            <w:pPr>
              <w:pStyle w:val="CommentText"/>
              <w:keepNext w:val="0"/>
              <w:tabs>
                <w:tab w:val="clear" w:pos="3969"/>
              </w:tabs>
              <w:spacing w:before="120" w:after="120"/>
              <w:jc w:val="center"/>
            </w:pPr>
            <w:r w:rsidRPr="00316277">
              <w:t>2,</w:t>
            </w:r>
            <w:r>
              <w:t>6</w:t>
            </w:r>
            <w:r w:rsidRPr="00316277">
              <w:t>0</w:t>
            </w:r>
          </w:p>
        </w:tc>
      </w:tr>
      <w:tr w:rsidR="004C296A" w:rsidRPr="00026EC1" w14:paraId="298D28B6" w14:textId="77777777" w:rsidTr="004C296A">
        <w:tc>
          <w:tcPr>
            <w:tcW w:w="5925" w:type="dxa"/>
            <w:shd w:val="clear" w:color="auto" w:fill="auto"/>
          </w:tcPr>
          <w:p w14:paraId="5B665831" w14:textId="77777777" w:rsidR="004C296A" w:rsidRPr="00026EC1" w:rsidRDefault="004C296A" w:rsidP="00F44D2B">
            <w:pPr>
              <w:pStyle w:val="CommentText"/>
              <w:keepNext w:val="0"/>
              <w:tabs>
                <w:tab w:val="clear" w:pos="3969"/>
              </w:tabs>
              <w:spacing w:before="120" w:after="120"/>
              <w:jc w:val="left"/>
            </w:pPr>
            <w:r w:rsidRPr="00026EC1">
              <w:t>Régional de Lanaudière à Joliette</w:t>
            </w:r>
          </w:p>
        </w:tc>
        <w:tc>
          <w:tcPr>
            <w:tcW w:w="1730" w:type="dxa"/>
            <w:tcBorders>
              <w:left w:val="single" w:sz="4" w:space="0" w:color="auto"/>
            </w:tcBorders>
            <w:shd w:val="clear" w:color="auto" w:fill="auto"/>
          </w:tcPr>
          <w:p w14:paraId="6CEBB50A" w14:textId="77777777" w:rsidR="004C296A" w:rsidRPr="00316277" w:rsidRDefault="004C296A" w:rsidP="00F44D2B">
            <w:pPr>
              <w:pStyle w:val="CommentText"/>
              <w:keepNext w:val="0"/>
              <w:tabs>
                <w:tab w:val="clear" w:pos="3969"/>
              </w:tabs>
              <w:spacing w:before="120" w:after="120"/>
              <w:jc w:val="center"/>
            </w:pPr>
            <w:r w:rsidRPr="00316277">
              <w:t>1,90</w:t>
            </w:r>
          </w:p>
        </w:tc>
      </w:tr>
      <w:tr w:rsidR="004C296A" w:rsidRPr="00026EC1" w14:paraId="1DB5E9BA" w14:textId="77777777" w:rsidTr="004C296A">
        <w:tc>
          <w:tcPr>
            <w:tcW w:w="5925" w:type="dxa"/>
            <w:shd w:val="clear" w:color="auto" w:fill="auto"/>
          </w:tcPr>
          <w:p w14:paraId="275F9B85" w14:textId="77777777" w:rsidR="004C296A" w:rsidRPr="00026EC1" w:rsidRDefault="004C296A" w:rsidP="00F44D2B">
            <w:pPr>
              <w:pStyle w:val="CommentText"/>
              <w:keepNext w:val="0"/>
              <w:tabs>
                <w:tab w:val="clear" w:pos="3969"/>
              </w:tabs>
              <w:spacing w:before="120" w:after="120"/>
              <w:jc w:val="left"/>
            </w:pPr>
            <w:r w:rsidRPr="00026EC1">
              <w:t>Régional de Lanaudière à L’Assomption</w:t>
            </w:r>
          </w:p>
        </w:tc>
        <w:tc>
          <w:tcPr>
            <w:tcW w:w="1730" w:type="dxa"/>
            <w:tcBorders>
              <w:left w:val="single" w:sz="4" w:space="0" w:color="auto"/>
            </w:tcBorders>
            <w:shd w:val="clear" w:color="auto" w:fill="auto"/>
          </w:tcPr>
          <w:p w14:paraId="7611A362" w14:textId="3A142130" w:rsidR="004C296A" w:rsidRPr="00316277" w:rsidRDefault="004C296A" w:rsidP="00F44D2B">
            <w:pPr>
              <w:pStyle w:val="CommentText"/>
              <w:keepNext w:val="0"/>
              <w:tabs>
                <w:tab w:val="clear" w:pos="3969"/>
              </w:tabs>
              <w:spacing w:before="120" w:after="120"/>
              <w:jc w:val="center"/>
            </w:pPr>
            <w:r w:rsidRPr="00316277">
              <w:t>1,</w:t>
            </w:r>
            <w:r>
              <w:t>05</w:t>
            </w:r>
          </w:p>
        </w:tc>
      </w:tr>
      <w:tr w:rsidR="004C296A" w:rsidRPr="00026EC1" w14:paraId="2B8C0EC0" w14:textId="77777777" w:rsidTr="004C296A">
        <w:tc>
          <w:tcPr>
            <w:tcW w:w="5925" w:type="dxa"/>
            <w:shd w:val="clear" w:color="auto" w:fill="auto"/>
          </w:tcPr>
          <w:p w14:paraId="66D4599D" w14:textId="77777777" w:rsidR="004C296A" w:rsidRPr="00026EC1" w:rsidRDefault="004C296A" w:rsidP="00F44D2B">
            <w:pPr>
              <w:pStyle w:val="CommentText"/>
              <w:keepNext w:val="0"/>
              <w:tabs>
                <w:tab w:val="clear" w:pos="3969"/>
              </w:tabs>
              <w:spacing w:before="120" w:after="120"/>
              <w:jc w:val="left"/>
            </w:pPr>
            <w:r w:rsidRPr="00026EC1">
              <w:t>Régional de Lanaudière à Terrebonne</w:t>
            </w:r>
          </w:p>
        </w:tc>
        <w:tc>
          <w:tcPr>
            <w:tcW w:w="1730" w:type="dxa"/>
            <w:tcBorders>
              <w:left w:val="single" w:sz="4" w:space="0" w:color="auto"/>
            </w:tcBorders>
            <w:shd w:val="clear" w:color="auto" w:fill="auto"/>
          </w:tcPr>
          <w:p w14:paraId="4802B950" w14:textId="77777777" w:rsidR="004C296A" w:rsidRPr="00316277" w:rsidRDefault="004C296A" w:rsidP="00F44D2B">
            <w:pPr>
              <w:pStyle w:val="CommentText"/>
              <w:keepNext w:val="0"/>
              <w:tabs>
                <w:tab w:val="clear" w:pos="3969"/>
              </w:tabs>
              <w:spacing w:before="120" w:after="120"/>
              <w:jc w:val="center"/>
            </w:pPr>
            <w:r w:rsidRPr="00316277">
              <w:t>1,14</w:t>
            </w:r>
          </w:p>
        </w:tc>
      </w:tr>
      <w:tr w:rsidR="004C296A" w:rsidRPr="00026EC1" w14:paraId="1AB3EF50" w14:textId="77777777" w:rsidTr="004C296A">
        <w:tc>
          <w:tcPr>
            <w:tcW w:w="5925" w:type="dxa"/>
            <w:shd w:val="clear" w:color="auto" w:fill="auto"/>
          </w:tcPr>
          <w:p w14:paraId="371EA9AD" w14:textId="77777777" w:rsidR="004C296A" w:rsidRPr="00026EC1" w:rsidRDefault="004C296A" w:rsidP="00F44D2B">
            <w:pPr>
              <w:pStyle w:val="CommentText"/>
              <w:keepNext w:val="0"/>
              <w:tabs>
                <w:tab w:val="clear" w:pos="3969"/>
              </w:tabs>
              <w:spacing w:before="120" w:after="120"/>
              <w:jc w:val="left"/>
            </w:pPr>
            <w:r w:rsidRPr="00026EC1">
              <w:t>Rosemont</w:t>
            </w:r>
          </w:p>
        </w:tc>
        <w:tc>
          <w:tcPr>
            <w:tcW w:w="1730" w:type="dxa"/>
            <w:tcBorders>
              <w:left w:val="single" w:sz="4" w:space="0" w:color="auto"/>
            </w:tcBorders>
            <w:shd w:val="clear" w:color="auto" w:fill="auto"/>
          </w:tcPr>
          <w:p w14:paraId="39EED6D1" w14:textId="77777777" w:rsidR="004C296A" w:rsidRPr="00316277" w:rsidRDefault="004C296A" w:rsidP="00F44D2B">
            <w:pPr>
              <w:pStyle w:val="CommentText"/>
              <w:keepNext w:val="0"/>
              <w:tabs>
                <w:tab w:val="clear" w:pos="3969"/>
              </w:tabs>
              <w:spacing w:before="120" w:after="120"/>
              <w:jc w:val="center"/>
            </w:pPr>
            <w:r w:rsidRPr="00316277">
              <w:t>3,86</w:t>
            </w:r>
          </w:p>
        </w:tc>
      </w:tr>
      <w:tr w:rsidR="004C296A" w:rsidRPr="00026EC1" w14:paraId="35424505" w14:textId="77777777" w:rsidTr="004C296A">
        <w:tc>
          <w:tcPr>
            <w:tcW w:w="5925" w:type="dxa"/>
            <w:shd w:val="clear" w:color="auto" w:fill="auto"/>
          </w:tcPr>
          <w:p w14:paraId="03F08C4F" w14:textId="77777777" w:rsidR="004C296A" w:rsidRPr="00026EC1" w:rsidRDefault="004C296A" w:rsidP="00F44D2B">
            <w:pPr>
              <w:pStyle w:val="CommentText"/>
              <w:keepNext w:val="0"/>
              <w:tabs>
                <w:tab w:val="clear" w:pos="3969"/>
              </w:tabs>
              <w:spacing w:before="120" w:after="120"/>
              <w:jc w:val="left"/>
            </w:pPr>
            <w:r w:rsidRPr="00026EC1">
              <w:t>Saint</w:t>
            </w:r>
            <w:r>
              <w:noBreakHyphen/>
            </w:r>
            <w:r w:rsidRPr="00026EC1">
              <w:t>Félicien</w:t>
            </w:r>
          </w:p>
        </w:tc>
        <w:tc>
          <w:tcPr>
            <w:tcW w:w="1730" w:type="dxa"/>
            <w:tcBorders>
              <w:left w:val="single" w:sz="4" w:space="0" w:color="auto"/>
            </w:tcBorders>
            <w:shd w:val="clear" w:color="auto" w:fill="auto"/>
          </w:tcPr>
          <w:p w14:paraId="3AED1B6F" w14:textId="3768DCFD" w:rsidR="004C296A" w:rsidRPr="00316277" w:rsidRDefault="004C296A" w:rsidP="00F44D2B">
            <w:pPr>
              <w:pStyle w:val="CommentText"/>
              <w:keepNext w:val="0"/>
              <w:tabs>
                <w:tab w:val="clear" w:pos="3969"/>
              </w:tabs>
              <w:spacing w:before="120" w:after="120"/>
              <w:jc w:val="center"/>
            </w:pPr>
            <w:r w:rsidRPr="00316277">
              <w:t>2,</w:t>
            </w:r>
            <w:r>
              <w:t>5</w:t>
            </w:r>
            <w:r w:rsidRPr="00316277">
              <w:t>5</w:t>
            </w:r>
          </w:p>
        </w:tc>
      </w:tr>
      <w:tr w:rsidR="004C296A" w:rsidRPr="00026EC1" w14:paraId="126C95BB" w14:textId="77777777" w:rsidTr="004C296A">
        <w:tc>
          <w:tcPr>
            <w:tcW w:w="5925" w:type="dxa"/>
            <w:shd w:val="clear" w:color="auto" w:fill="auto"/>
          </w:tcPr>
          <w:p w14:paraId="4A5EA689" w14:textId="77777777" w:rsidR="004C296A" w:rsidRPr="00026EC1" w:rsidRDefault="004C296A" w:rsidP="00F44D2B">
            <w:pPr>
              <w:pStyle w:val="CommentText"/>
              <w:keepNext w:val="0"/>
              <w:tabs>
                <w:tab w:val="clear" w:pos="3969"/>
              </w:tabs>
              <w:spacing w:before="120" w:after="120"/>
              <w:ind w:left="765"/>
              <w:jc w:val="left"/>
            </w:pPr>
            <w:r>
              <w:t>CEC à Chibougamau</w:t>
            </w:r>
          </w:p>
        </w:tc>
        <w:tc>
          <w:tcPr>
            <w:tcW w:w="1730" w:type="dxa"/>
            <w:tcBorders>
              <w:left w:val="single" w:sz="4" w:space="0" w:color="auto"/>
            </w:tcBorders>
            <w:shd w:val="clear" w:color="auto" w:fill="auto"/>
          </w:tcPr>
          <w:p w14:paraId="085DD2CC" w14:textId="77777777" w:rsidR="004C296A" w:rsidRPr="00316277" w:rsidRDefault="004C296A" w:rsidP="00F44D2B">
            <w:pPr>
              <w:pStyle w:val="CommentText"/>
              <w:keepNext w:val="0"/>
              <w:tabs>
                <w:tab w:val="clear" w:pos="3969"/>
              </w:tabs>
              <w:spacing w:before="120" w:after="120"/>
              <w:jc w:val="center"/>
            </w:pPr>
            <w:r w:rsidRPr="00316277">
              <w:t>0,45</w:t>
            </w:r>
          </w:p>
        </w:tc>
      </w:tr>
      <w:tr w:rsidR="004C296A" w:rsidRPr="00026EC1" w14:paraId="45FFDE6B" w14:textId="77777777" w:rsidTr="004C296A">
        <w:tc>
          <w:tcPr>
            <w:tcW w:w="5925" w:type="dxa"/>
            <w:shd w:val="clear" w:color="auto" w:fill="auto"/>
          </w:tcPr>
          <w:p w14:paraId="6AB8F48F" w14:textId="77777777" w:rsidR="004C296A" w:rsidRPr="00026EC1" w:rsidRDefault="004C296A" w:rsidP="00F44D2B">
            <w:pPr>
              <w:pStyle w:val="CommentText"/>
              <w:keepNext w:val="0"/>
              <w:tabs>
                <w:tab w:val="clear" w:pos="3969"/>
              </w:tabs>
              <w:spacing w:before="120" w:after="120"/>
              <w:jc w:val="left"/>
            </w:pPr>
            <w:r w:rsidRPr="00026EC1">
              <w:t>Saint</w:t>
            </w:r>
            <w:r>
              <w:noBreakHyphen/>
            </w:r>
            <w:r w:rsidRPr="00026EC1">
              <w:t>Hyacinthe</w:t>
            </w:r>
          </w:p>
        </w:tc>
        <w:tc>
          <w:tcPr>
            <w:tcW w:w="1730" w:type="dxa"/>
            <w:tcBorders>
              <w:left w:val="single" w:sz="4" w:space="0" w:color="auto"/>
            </w:tcBorders>
            <w:shd w:val="clear" w:color="auto" w:fill="auto"/>
          </w:tcPr>
          <w:p w14:paraId="718CEA27" w14:textId="3719561C" w:rsidR="004C296A" w:rsidRPr="00316277" w:rsidRDefault="004C296A" w:rsidP="00F44D2B">
            <w:pPr>
              <w:pStyle w:val="CommentText"/>
              <w:keepNext w:val="0"/>
              <w:tabs>
                <w:tab w:val="clear" w:pos="3969"/>
              </w:tabs>
              <w:spacing w:before="120" w:after="120"/>
              <w:jc w:val="center"/>
            </w:pPr>
            <w:r w:rsidRPr="00316277">
              <w:t>4,</w:t>
            </w:r>
            <w:r>
              <w:t>35</w:t>
            </w:r>
          </w:p>
        </w:tc>
      </w:tr>
      <w:tr w:rsidR="004C296A" w:rsidRPr="00026EC1" w14:paraId="03AB8D64" w14:textId="77777777" w:rsidTr="004C296A">
        <w:tc>
          <w:tcPr>
            <w:tcW w:w="5925" w:type="dxa"/>
            <w:shd w:val="clear" w:color="auto" w:fill="auto"/>
          </w:tcPr>
          <w:p w14:paraId="04047947" w14:textId="77777777" w:rsidR="004C296A" w:rsidRPr="00026EC1" w:rsidRDefault="004C296A" w:rsidP="00F44D2B">
            <w:pPr>
              <w:pStyle w:val="CommentText"/>
              <w:keepNext w:val="0"/>
              <w:tabs>
                <w:tab w:val="clear" w:pos="3969"/>
              </w:tabs>
              <w:spacing w:before="120" w:after="120"/>
              <w:jc w:val="left"/>
            </w:pPr>
            <w:r w:rsidRPr="00026EC1">
              <w:t>Saint</w:t>
            </w:r>
            <w:r>
              <w:noBreakHyphen/>
            </w:r>
            <w:r w:rsidRPr="00026EC1">
              <w:t>Jean</w:t>
            </w:r>
            <w:r>
              <w:noBreakHyphen/>
            </w:r>
            <w:r w:rsidRPr="00026EC1">
              <w:t>sur</w:t>
            </w:r>
            <w:r>
              <w:noBreakHyphen/>
            </w:r>
            <w:r w:rsidRPr="00026EC1">
              <w:t>Richelieu</w:t>
            </w:r>
          </w:p>
        </w:tc>
        <w:tc>
          <w:tcPr>
            <w:tcW w:w="1730" w:type="dxa"/>
            <w:tcBorders>
              <w:left w:val="single" w:sz="4" w:space="0" w:color="auto"/>
            </w:tcBorders>
            <w:shd w:val="clear" w:color="auto" w:fill="auto"/>
          </w:tcPr>
          <w:p w14:paraId="27730C4C" w14:textId="77777777" w:rsidR="004C296A" w:rsidRPr="00316277" w:rsidRDefault="004C296A" w:rsidP="00F44D2B">
            <w:pPr>
              <w:pStyle w:val="CommentText"/>
              <w:keepNext w:val="0"/>
              <w:tabs>
                <w:tab w:val="clear" w:pos="3969"/>
              </w:tabs>
              <w:spacing w:before="120" w:after="120"/>
              <w:jc w:val="center"/>
            </w:pPr>
            <w:r w:rsidRPr="00316277">
              <w:t>4,44</w:t>
            </w:r>
          </w:p>
        </w:tc>
      </w:tr>
      <w:tr w:rsidR="004C296A" w:rsidRPr="00026EC1" w14:paraId="2EE2682D" w14:textId="77777777" w:rsidTr="004C296A">
        <w:tc>
          <w:tcPr>
            <w:tcW w:w="5925" w:type="dxa"/>
            <w:shd w:val="clear" w:color="auto" w:fill="auto"/>
          </w:tcPr>
          <w:p w14:paraId="675BD745" w14:textId="77777777" w:rsidR="004C296A" w:rsidRPr="00026EC1" w:rsidRDefault="004C296A" w:rsidP="00F44D2B">
            <w:pPr>
              <w:pStyle w:val="CommentText"/>
              <w:keepNext w:val="0"/>
              <w:tabs>
                <w:tab w:val="clear" w:pos="3969"/>
              </w:tabs>
              <w:spacing w:before="120" w:after="120"/>
              <w:jc w:val="left"/>
            </w:pPr>
            <w:r w:rsidRPr="00026EC1">
              <w:t>Saint</w:t>
            </w:r>
            <w:r>
              <w:noBreakHyphen/>
            </w:r>
            <w:r w:rsidRPr="00026EC1">
              <w:t>Jérôme</w:t>
            </w:r>
          </w:p>
        </w:tc>
        <w:tc>
          <w:tcPr>
            <w:tcW w:w="1730" w:type="dxa"/>
            <w:tcBorders>
              <w:left w:val="single" w:sz="4" w:space="0" w:color="auto"/>
            </w:tcBorders>
            <w:shd w:val="clear" w:color="auto" w:fill="auto"/>
          </w:tcPr>
          <w:p w14:paraId="4333A233" w14:textId="18D58CF1" w:rsidR="004C296A" w:rsidRPr="00316277" w:rsidRDefault="004C296A" w:rsidP="00F44D2B">
            <w:pPr>
              <w:pStyle w:val="CommentText"/>
              <w:keepNext w:val="0"/>
              <w:tabs>
                <w:tab w:val="clear" w:pos="3969"/>
              </w:tabs>
              <w:spacing w:before="120" w:after="120"/>
              <w:jc w:val="center"/>
            </w:pPr>
            <w:r w:rsidRPr="00316277">
              <w:t>3,</w:t>
            </w:r>
            <w:r>
              <w:t>36</w:t>
            </w:r>
          </w:p>
        </w:tc>
      </w:tr>
      <w:tr w:rsidR="004C296A" w:rsidRPr="008C6987" w14:paraId="3AE6FA37" w14:textId="77777777" w:rsidTr="004C296A">
        <w:tc>
          <w:tcPr>
            <w:tcW w:w="5925" w:type="dxa"/>
            <w:shd w:val="clear" w:color="auto" w:fill="auto"/>
          </w:tcPr>
          <w:p w14:paraId="35029F1F" w14:textId="77777777" w:rsidR="004C296A" w:rsidRPr="00026EC1" w:rsidRDefault="004C296A" w:rsidP="00B658D2">
            <w:pPr>
              <w:pStyle w:val="CommentText"/>
              <w:keepNext w:val="0"/>
              <w:tabs>
                <w:tab w:val="clear" w:pos="3969"/>
              </w:tabs>
              <w:spacing w:before="120" w:after="120"/>
              <w:ind w:left="708"/>
              <w:jc w:val="left"/>
            </w:pPr>
            <w:r w:rsidRPr="00026EC1">
              <w:t>CEC Mont</w:t>
            </w:r>
            <w:r>
              <w:noBreakHyphen/>
            </w:r>
            <w:r w:rsidRPr="00026EC1">
              <w:t>Laurier</w:t>
            </w:r>
          </w:p>
        </w:tc>
        <w:tc>
          <w:tcPr>
            <w:tcW w:w="1730" w:type="dxa"/>
            <w:tcBorders>
              <w:left w:val="single" w:sz="4" w:space="0" w:color="auto"/>
            </w:tcBorders>
            <w:shd w:val="clear" w:color="auto" w:fill="auto"/>
          </w:tcPr>
          <w:p w14:paraId="39A64662" w14:textId="77777777" w:rsidR="004C296A" w:rsidRPr="00316277" w:rsidRDefault="004C296A" w:rsidP="00B658D2">
            <w:pPr>
              <w:pStyle w:val="CommentText"/>
              <w:keepNext w:val="0"/>
              <w:tabs>
                <w:tab w:val="clear" w:pos="3969"/>
              </w:tabs>
              <w:spacing w:before="120" w:after="120"/>
              <w:jc w:val="center"/>
            </w:pPr>
            <w:r w:rsidRPr="00316277">
              <w:t>0,15</w:t>
            </w:r>
          </w:p>
        </w:tc>
      </w:tr>
      <w:tr w:rsidR="004C296A" w:rsidRPr="008C6987" w14:paraId="781B0B70" w14:textId="77777777" w:rsidTr="004C296A">
        <w:tc>
          <w:tcPr>
            <w:tcW w:w="5925" w:type="dxa"/>
            <w:shd w:val="clear" w:color="auto" w:fill="auto"/>
          </w:tcPr>
          <w:p w14:paraId="549245DC" w14:textId="77777777" w:rsidR="004C296A" w:rsidRPr="00026EC1" w:rsidRDefault="004C296A" w:rsidP="00A65F80">
            <w:pPr>
              <w:pStyle w:val="CommentText"/>
              <w:keepNext w:val="0"/>
              <w:tabs>
                <w:tab w:val="clear" w:pos="3969"/>
              </w:tabs>
              <w:spacing w:before="120" w:after="120"/>
              <w:ind w:left="708"/>
              <w:jc w:val="left"/>
            </w:pPr>
            <w:r w:rsidRPr="00026EC1">
              <w:t>CEC Mont</w:t>
            </w:r>
            <w:r>
              <w:noBreakHyphen/>
            </w:r>
            <w:r w:rsidRPr="00026EC1">
              <w:t>Tremblant</w:t>
            </w:r>
          </w:p>
        </w:tc>
        <w:tc>
          <w:tcPr>
            <w:tcW w:w="1730" w:type="dxa"/>
            <w:tcBorders>
              <w:left w:val="single" w:sz="4" w:space="0" w:color="auto"/>
            </w:tcBorders>
            <w:shd w:val="clear" w:color="auto" w:fill="auto"/>
          </w:tcPr>
          <w:p w14:paraId="28D46B09" w14:textId="77777777" w:rsidR="004C296A" w:rsidRPr="00316277" w:rsidRDefault="004C296A" w:rsidP="00A65F80">
            <w:pPr>
              <w:pStyle w:val="CommentText"/>
              <w:keepNext w:val="0"/>
              <w:tabs>
                <w:tab w:val="clear" w:pos="3969"/>
              </w:tabs>
              <w:spacing w:before="120" w:after="120"/>
              <w:jc w:val="center"/>
            </w:pPr>
            <w:r w:rsidRPr="00316277">
              <w:t>0,00</w:t>
            </w:r>
          </w:p>
        </w:tc>
      </w:tr>
      <w:tr w:rsidR="004C296A" w:rsidRPr="00026EC1" w14:paraId="0B028039" w14:textId="77777777" w:rsidTr="004C296A">
        <w:tc>
          <w:tcPr>
            <w:tcW w:w="5925" w:type="dxa"/>
            <w:shd w:val="clear" w:color="auto" w:fill="auto"/>
          </w:tcPr>
          <w:p w14:paraId="3EC36488" w14:textId="77777777" w:rsidR="004C296A" w:rsidRPr="00026EC1" w:rsidRDefault="004C296A" w:rsidP="00F44D2B">
            <w:pPr>
              <w:pStyle w:val="CommentText"/>
              <w:keepNext w:val="0"/>
              <w:tabs>
                <w:tab w:val="clear" w:pos="3969"/>
              </w:tabs>
              <w:spacing w:before="120" w:after="120"/>
              <w:ind w:left="708"/>
              <w:jc w:val="left"/>
            </w:pPr>
            <w:r w:rsidRPr="00026EC1">
              <w:rPr>
                <w:bCs/>
              </w:rPr>
              <w:t>COLLÈGE OU CAMPUS</w:t>
            </w:r>
          </w:p>
        </w:tc>
        <w:tc>
          <w:tcPr>
            <w:tcW w:w="1730" w:type="dxa"/>
            <w:shd w:val="clear" w:color="auto" w:fill="auto"/>
            <w:vAlign w:val="center"/>
          </w:tcPr>
          <w:p w14:paraId="68F49B9B" w14:textId="79960377" w:rsidR="004C296A" w:rsidRPr="00316277" w:rsidRDefault="004C296A" w:rsidP="00F44D2B">
            <w:pPr>
              <w:pStyle w:val="CommentText"/>
              <w:keepNext w:val="0"/>
              <w:tabs>
                <w:tab w:val="clear" w:pos="3969"/>
              </w:tabs>
              <w:spacing w:before="120" w:after="120"/>
              <w:jc w:val="center"/>
            </w:pPr>
            <w:r w:rsidRPr="00026EC1">
              <w:rPr>
                <w:bCs/>
                <w:lang w:val="en-CA"/>
              </w:rPr>
              <w:t>CHARGES</w:t>
            </w:r>
            <w:r>
              <w:rPr>
                <w:rStyle w:val="FootnoteReference"/>
                <w:bCs/>
                <w:lang w:val="en-CA"/>
              </w:rPr>
              <w:footnoteReference w:id="51"/>
            </w:r>
          </w:p>
        </w:tc>
      </w:tr>
      <w:tr w:rsidR="004C296A" w:rsidRPr="008C6987" w14:paraId="51E128F0" w14:textId="77777777" w:rsidTr="004C296A">
        <w:tc>
          <w:tcPr>
            <w:tcW w:w="5925" w:type="dxa"/>
            <w:shd w:val="clear" w:color="auto" w:fill="auto"/>
          </w:tcPr>
          <w:p w14:paraId="65F21334" w14:textId="77777777" w:rsidR="004C296A" w:rsidRPr="00026EC1" w:rsidRDefault="004C296A" w:rsidP="00F44D2B">
            <w:pPr>
              <w:pStyle w:val="CommentText"/>
              <w:keepNext w:val="0"/>
              <w:tabs>
                <w:tab w:val="clear" w:pos="3969"/>
              </w:tabs>
              <w:spacing w:before="120" w:after="120"/>
              <w:jc w:val="left"/>
            </w:pPr>
            <w:r w:rsidRPr="00026EC1">
              <w:t>Saint</w:t>
            </w:r>
            <w:r>
              <w:noBreakHyphen/>
            </w:r>
            <w:r w:rsidRPr="00026EC1">
              <w:t>Laurent</w:t>
            </w:r>
          </w:p>
        </w:tc>
        <w:tc>
          <w:tcPr>
            <w:tcW w:w="1730" w:type="dxa"/>
            <w:tcBorders>
              <w:left w:val="single" w:sz="4" w:space="0" w:color="auto"/>
            </w:tcBorders>
            <w:shd w:val="clear" w:color="auto" w:fill="auto"/>
          </w:tcPr>
          <w:p w14:paraId="739C6525" w14:textId="51AC6FC7" w:rsidR="004C296A" w:rsidRPr="00316277" w:rsidRDefault="004C296A" w:rsidP="00F44D2B">
            <w:pPr>
              <w:pStyle w:val="CommentText"/>
              <w:keepNext w:val="0"/>
              <w:tabs>
                <w:tab w:val="clear" w:pos="3969"/>
              </w:tabs>
              <w:spacing w:before="120" w:after="120"/>
              <w:jc w:val="center"/>
              <w:rPr>
                <w:lang w:val="en-CA"/>
              </w:rPr>
            </w:pPr>
            <w:r w:rsidRPr="00316277">
              <w:rPr>
                <w:lang w:val="en-CA"/>
              </w:rPr>
              <w:t>5,2</w:t>
            </w:r>
            <w:r w:rsidR="00087C44">
              <w:rPr>
                <w:lang w:val="en-CA"/>
              </w:rPr>
              <w:t>5</w:t>
            </w:r>
          </w:p>
        </w:tc>
      </w:tr>
      <w:tr w:rsidR="004C296A" w:rsidRPr="008C6987" w14:paraId="287FF25C" w14:textId="77777777" w:rsidTr="004C296A">
        <w:tc>
          <w:tcPr>
            <w:tcW w:w="5925" w:type="dxa"/>
            <w:shd w:val="clear" w:color="auto" w:fill="auto"/>
          </w:tcPr>
          <w:p w14:paraId="45EC59A0"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Sept</w:t>
            </w:r>
            <w:r>
              <w:rPr>
                <w:lang w:val="en-CA"/>
              </w:rPr>
              <w:noBreakHyphen/>
            </w:r>
            <w:r w:rsidRPr="00026EC1">
              <w:rPr>
                <w:lang w:val="en-CA"/>
              </w:rPr>
              <w:t>Îles</w:t>
            </w:r>
          </w:p>
        </w:tc>
        <w:tc>
          <w:tcPr>
            <w:tcW w:w="1730" w:type="dxa"/>
            <w:tcBorders>
              <w:left w:val="single" w:sz="4" w:space="0" w:color="auto"/>
            </w:tcBorders>
            <w:shd w:val="clear" w:color="auto" w:fill="auto"/>
          </w:tcPr>
          <w:p w14:paraId="3B8CED7F"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1,16</w:t>
            </w:r>
          </w:p>
        </w:tc>
      </w:tr>
      <w:tr w:rsidR="004C296A" w:rsidRPr="008C6987" w14:paraId="00CA0B5E" w14:textId="77777777" w:rsidTr="004C296A">
        <w:tc>
          <w:tcPr>
            <w:tcW w:w="5925" w:type="dxa"/>
            <w:shd w:val="clear" w:color="auto" w:fill="auto"/>
          </w:tcPr>
          <w:p w14:paraId="4F81895D"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Shawinigan</w:t>
            </w:r>
          </w:p>
        </w:tc>
        <w:tc>
          <w:tcPr>
            <w:tcW w:w="1730" w:type="dxa"/>
            <w:tcBorders>
              <w:left w:val="single" w:sz="4" w:space="0" w:color="auto"/>
            </w:tcBorders>
            <w:shd w:val="clear" w:color="auto" w:fill="auto"/>
          </w:tcPr>
          <w:p w14:paraId="35866B2A" w14:textId="17B6E2D7" w:rsidR="004C296A" w:rsidRPr="00316277" w:rsidRDefault="004C296A" w:rsidP="00F44D2B">
            <w:pPr>
              <w:pStyle w:val="CommentText"/>
              <w:keepNext w:val="0"/>
              <w:tabs>
                <w:tab w:val="clear" w:pos="3969"/>
              </w:tabs>
              <w:spacing w:before="120" w:after="120"/>
              <w:jc w:val="center"/>
              <w:rPr>
                <w:lang w:val="en-CA"/>
              </w:rPr>
            </w:pPr>
            <w:r w:rsidRPr="00316277">
              <w:rPr>
                <w:lang w:val="en-CA"/>
              </w:rPr>
              <w:t>2,</w:t>
            </w:r>
            <w:r>
              <w:rPr>
                <w:lang w:val="en-CA"/>
              </w:rPr>
              <w:t>77</w:t>
            </w:r>
          </w:p>
        </w:tc>
      </w:tr>
      <w:tr w:rsidR="004C296A" w:rsidRPr="008C6987" w14:paraId="79311D43" w14:textId="77777777" w:rsidTr="004C296A">
        <w:tc>
          <w:tcPr>
            <w:tcW w:w="5925" w:type="dxa"/>
            <w:shd w:val="clear" w:color="auto" w:fill="auto"/>
          </w:tcPr>
          <w:p w14:paraId="6222D835"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Sherbrooke</w:t>
            </w:r>
          </w:p>
        </w:tc>
        <w:tc>
          <w:tcPr>
            <w:tcW w:w="1730" w:type="dxa"/>
            <w:tcBorders>
              <w:left w:val="single" w:sz="4" w:space="0" w:color="auto"/>
            </w:tcBorders>
            <w:shd w:val="clear" w:color="auto" w:fill="auto"/>
          </w:tcPr>
          <w:p w14:paraId="79D84738"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4,82</w:t>
            </w:r>
          </w:p>
        </w:tc>
      </w:tr>
      <w:tr w:rsidR="004C296A" w:rsidRPr="008C6987" w14:paraId="5365C7EC" w14:textId="77777777" w:rsidTr="004C296A">
        <w:tc>
          <w:tcPr>
            <w:tcW w:w="5925" w:type="dxa"/>
            <w:shd w:val="clear" w:color="auto" w:fill="auto"/>
          </w:tcPr>
          <w:p w14:paraId="6C3C7F29" w14:textId="77777777" w:rsidR="004C296A" w:rsidRPr="00026EC1" w:rsidRDefault="004C296A" w:rsidP="00F44D2B">
            <w:pPr>
              <w:pStyle w:val="CommentText"/>
              <w:keepNext w:val="0"/>
              <w:tabs>
                <w:tab w:val="clear" w:pos="3969"/>
              </w:tabs>
              <w:spacing w:before="120" w:after="120"/>
              <w:jc w:val="left"/>
              <w:rPr>
                <w:bCs/>
                <w:lang w:val="en-CA"/>
              </w:rPr>
            </w:pPr>
            <w:r w:rsidRPr="00026EC1">
              <w:rPr>
                <w:bCs/>
                <w:lang w:val="en-CA"/>
              </w:rPr>
              <w:t xml:space="preserve">Thetford </w:t>
            </w:r>
          </w:p>
        </w:tc>
        <w:tc>
          <w:tcPr>
            <w:tcW w:w="1730" w:type="dxa"/>
            <w:tcBorders>
              <w:left w:val="single" w:sz="4" w:space="0" w:color="auto"/>
            </w:tcBorders>
            <w:shd w:val="clear" w:color="auto" w:fill="auto"/>
          </w:tcPr>
          <w:p w14:paraId="2B3961B3" w14:textId="77777777" w:rsidR="004C296A" w:rsidRPr="00316277" w:rsidRDefault="004C296A" w:rsidP="00F44D2B">
            <w:pPr>
              <w:pStyle w:val="CommentText"/>
              <w:keepNext w:val="0"/>
              <w:tabs>
                <w:tab w:val="clear" w:pos="3969"/>
              </w:tabs>
              <w:spacing w:before="120" w:after="120"/>
              <w:jc w:val="center"/>
              <w:rPr>
                <w:lang w:val="en-CA"/>
              </w:rPr>
            </w:pPr>
            <w:r w:rsidRPr="00316277">
              <w:rPr>
                <w:lang w:val="en-CA"/>
              </w:rPr>
              <w:t>1,48</w:t>
            </w:r>
          </w:p>
        </w:tc>
      </w:tr>
      <w:tr w:rsidR="004C296A" w:rsidRPr="008C6987" w14:paraId="77C38BC9" w14:textId="77777777" w:rsidTr="004C296A">
        <w:tc>
          <w:tcPr>
            <w:tcW w:w="5925" w:type="dxa"/>
            <w:shd w:val="clear" w:color="auto" w:fill="auto"/>
          </w:tcPr>
          <w:p w14:paraId="02B395E9" w14:textId="77777777" w:rsidR="004C296A" w:rsidRPr="00026EC1" w:rsidRDefault="004C296A" w:rsidP="00F44D2B">
            <w:pPr>
              <w:pStyle w:val="CommentText"/>
              <w:keepNext w:val="0"/>
              <w:tabs>
                <w:tab w:val="clear" w:pos="3969"/>
              </w:tabs>
              <w:spacing w:before="120" w:after="120"/>
              <w:jc w:val="left"/>
              <w:rPr>
                <w:lang w:val="en-CA"/>
              </w:rPr>
            </w:pPr>
            <w:r w:rsidRPr="00026EC1">
              <w:rPr>
                <w:lang w:val="en-CA"/>
              </w:rPr>
              <w:t>Trois</w:t>
            </w:r>
            <w:r>
              <w:rPr>
                <w:lang w:val="en-CA"/>
              </w:rPr>
              <w:noBreakHyphen/>
            </w:r>
            <w:r w:rsidRPr="00026EC1">
              <w:rPr>
                <w:lang w:val="en-CA"/>
              </w:rPr>
              <w:t>Rivières</w:t>
            </w:r>
          </w:p>
        </w:tc>
        <w:tc>
          <w:tcPr>
            <w:tcW w:w="1730" w:type="dxa"/>
            <w:tcBorders>
              <w:left w:val="single" w:sz="4" w:space="0" w:color="auto"/>
            </w:tcBorders>
            <w:shd w:val="clear" w:color="auto" w:fill="auto"/>
          </w:tcPr>
          <w:p w14:paraId="69D05115" w14:textId="77777777" w:rsidR="004C296A" w:rsidRPr="00316277" w:rsidRDefault="004C296A" w:rsidP="00F44D2B">
            <w:pPr>
              <w:pStyle w:val="CommentText"/>
              <w:keepNext w:val="0"/>
              <w:tabs>
                <w:tab w:val="clear" w:pos="3969"/>
              </w:tabs>
              <w:spacing w:before="120" w:after="120"/>
              <w:jc w:val="center"/>
            </w:pPr>
            <w:r w:rsidRPr="00316277">
              <w:t>3,39</w:t>
            </w:r>
          </w:p>
        </w:tc>
      </w:tr>
      <w:tr w:rsidR="004C296A" w:rsidRPr="008C6987" w14:paraId="6523CD0E" w14:textId="77777777" w:rsidTr="004C296A">
        <w:tc>
          <w:tcPr>
            <w:tcW w:w="5925" w:type="dxa"/>
            <w:shd w:val="clear" w:color="auto" w:fill="auto"/>
          </w:tcPr>
          <w:p w14:paraId="23D69336" w14:textId="77777777" w:rsidR="004C296A" w:rsidRPr="00026EC1" w:rsidRDefault="004C296A" w:rsidP="00F44D2B">
            <w:pPr>
              <w:pStyle w:val="CommentText"/>
              <w:keepNext w:val="0"/>
              <w:tabs>
                <w:tab w:val="clear" w:pos="3969"/>
              </w:tabs>
              <w:spacing w:before="120" w:after="120"/>
              <w:jc w:val="left"/>
            </w:pPr>
            <w:r w:rsidRPr="00026EC1">
              <w:t>Valleyfield</w:t>
            </w:r>
          </w:p>
        </w:tc>
        <w:tc>
          <w:tcPr>
            <w:tcW w:w="1730" w:type="dxa"/>
            <w:tcBorders>
              <w:left w:val="single" w:sz="4" w:space="0" w:color="auto"/>
            </w:tcBorders>
            <w:shd w:val="clear" w:color="auto" w:fill="auto"/>
          </w:tcPr>
          <w:p w14:paraId="433F0EB3" w14:textId="77777777" w:rsidR="004C296A" w:rsidRPr="00316277" w:rsidRDefault="004C296A" w:rsidP="00F44D2B">
            <w:pPr>
              <w:pStyle w:val="CommentText"/>
              <w:keepNext w:val="0"/>
              <w:tabs>
                <w:tab w:val="clear" w:pos="3969"/>
              </w:tabs>
              <w:spacing w:before="120" w:after="120"/>
              <w:jc w:val="center"/>
            </w:pPr>
            <w:r w:rsidRPr="00316277">
              <w:t>2,09</w:t>
            </w:r>
          </w:p>
        </w:tc>
      </w:tr>
      <w:tr w:rsidR="004C296A" w:rsidRPr="008C6987" w14:paraId="36202220" w14:textId="77777777" w:rsidTr="004C296A">
        <w:tc>
          <w:tcPr>
            <w:tcW w:w="5925" w:type="dxa"/>
            <w:shd w:val="clear" w:color="auto" w:fill="auto"/>
          </w:tcPr>
          <w:p w14:paraId="297E7EBC" w14:textId="77777777" w:rsidR="004C296A" w:rsidRPr="00026EC1" w:rsidRDefault="004C296A" w:rsidP="00F44D2B">
            <w:pPr>
              <w:pStyle w:val="CommentText"/>
              <w:keepNext w:val="0"/>
              <w:tabs>
                <w:tab w:val="clear" w:pos="3969"/>
              </w:tabs>
              <w:spacing w:before="120" w:after="120"/>
              <w:jc w:val="left"/>
            </w:pPr>
            <w:r w:rsidRPr="00026EC1">
              <w:t>Vanier</w:t>
            </w:r>
          </w:p>
        </w:tc>
        <w:tc>
          <w:tcPr>
            <w:tcW w:w="1730" w:type="dxa"/>
            <w:tcBorders>
              <w:left w:val="single" w:sz="4" w:space="0" w:color="auto"/>
            </w:tcBorders>
            <w:shd w:val="clear" w:color="auto" w:fill="auto"/>
          </w:tcPr>
          <w:p w14:paraId="05A21584" w14:textId="77777777" w:rsidR="004C296A" w:rsidRPr="00316277" w:rsidRDefault="004C296A" w:rsidP="00F44D2B">
            <w:pPr>
              <w:pStyle w:val="CommentText"/>
              <w:keepNext w:val="0"/>
              <w:tabs>
                <w:tab w:val="clear" w:pos="3969"/>
              </w:tabs>
              <w:spacing w:before="120" w:after="120"/>
              <w:jc w:val="center"/>
            </w:pPr>
            <w:r w:rsidRPr="00316277">
              <w:t>9,16</w:t>
            </w:r>
          </w:p>
        </w:tc>
      </w:tr>
      <w:tr w:rsidR="004C296A" w:rsidRPr="008C6987" w14:paraId="487BB68C" w14:textId="77777777" w:rsidTr="004C296A">
        <w:tc>
          <w:tcPr>
            <w:tcW w:w="5925" w:type="dxa"/>
            <w:shd w:val="clear" w:color="auto" w:fill="auto"/>
          </w:tcPr>
          <w:p w14:paraId="09C9EFCF" w14:textId="77777777" w:rsidR="004C296A" w:rsidRPr="00026EC1" w:rsidRDefault="004C296A" w:rsidP="00F44D2B">
            <w:pPr>
              <w:pStyle w:val="CommentText"/>
              <w:keepNext w:val="0"/>
              <w:tabs>
                <w:tab w:val="clear" w:pos="3969"/>
              </w:tabs>
              <w:spacing w:before="120" w:after="120"/>
              <w:jc w:val="left"/>
            </w:pPr>
            <w:r w:rsidRPr="00026EC1">
              <w:t>Vieux Montréal</w:t>
            </w:r>
          </w:p>
        </w:tc>
        <w:tc>
          <w:tcPr>
            <w:tcW w:w="1730" w:type="dxa"/>
            <w:tcBorders>
              <w:left w:val="single" w:sz="4" w:space="0" w:color="auto"/>
            </w:tcBorders>
            <w:shd w:val="clear" w:color="auto" w:fill="auto"/>
          </w:tcPr>
          <w:p w14:paraId="0C55892A" w14:textId="77777777" w:rsidR="004C296A" w:rsidRPr="00316277" w:rsidRDefault="004C296A" w:rsidP="00F44D2B">
            <w:pPr>
              <w:pStyle w:val="CommentText"/>
              <w:keepNext w:val="0"/>
              <w:tabs>
                <w:tab w:val="clear" w:pos="3969"/>
              </w:tabs>
              <w:spacing w:before="120" w:after="120"/>
              <w:jc w:val="center"/>
            </w:pPr>
            <w:r w:rsidRPr="00316277">
              <w:t>8,35</w:t>
            </w:r>
          </w:p>
        </w:tc>
      </w:tr>
    </w:tbl>
    <w:p w14:paraId="431D707F" w14:textId="77777777" w:rsidR="00982374" w:rsidRPr="00026EC1" w:rsidRDefault="00982374" w:rsidP="00A64613">
      <w:pPr>
        <w:keepNext w:val="0"/>
      </w:pPr>
    </w:p>
    <w:p w14:paraId="5B71A202" w14:textId="6ABC03B6" w:rsidR="00982374" w:rsidRPr="00026EC1" w:rsidRDefault="00982374" w:rsidP="00A64613">
      <w:pPr>
        <w:keepNext w:val="0"/>
        <w:ind w:left="567" w:hanging="567"/>
      </w:pPr>
      <w:r w:rsidRPr="00026EC1">
        <w:t>2.</w:t>
      </w:r>
      <w:r w:rsidRPr="00026EC1">
        <w:tab/>
        <w:t>Les charges peuvent être fractionnées en charges à temps partiel.</w:t>
      </w:r>
      <w:r w:rsidR="004D48DD" w:rsidRPr="004D48DD">
        <w:t xml:space="preserve"> </w:t>
      </w:r>
      <w:r w:rsidR="004D48DD" w:rsidRPr="00316277">
        <w:rPr>
          <w:rStyle w:val="ElevSoulign"/>
          <w:b w:val="0"/>
          <w:bCs w:val="0"/>
          <w:u w:val="none"/>
        </w:rPr>
        <w:t xml:space="preserve">À moins d’entente entre les parties, jusqu’à </w:t>
      </w:r>
      <w:r w:rsidR="00AE6E7D" w:rsidRPr="00316277">
        <w:rPr>
          <w:rStyle w:val="ElevSoulign"/>
          <w:b w:val="0"/>
          <w:bCs w:val="0"/>
          <w:u w:val="none"/>
        </w:rPr>
        <w:t>quinze pour cent (</w:t>
      </w:r>
      <w:r w:rsidR="004D48DD" w:rsidRPr="00316277">
        <w:rPr>
          <w:rStyle w:val="ElevSoulign"/>
          <w:b w:val="0"/>
          <w:bCs w:val="0"/>
          <w:u w:val="none"/>
        </w:rPr>
        <w:t>15 %</w:t>
      </w:r>
      <w:r w:rsidR="00AE6E7D" w:rsidRPr="00316277">
        <w:rPr>
          <w:rStyle w:val="ElevSoulign"/>
          <w:b w:val="0"/>
          <w:bCs w:val="0"/>
          <w:u w:val="none"/>
        </w:rPr>
        <w:t>)</w:t>
      </w:r>
      <w:r w:rsidR="004D48DD" w:rsidRPr="00316277">
        <w:rPr>
          <w:rStyle w:val="ElevSoulign"/>
          <w:b w:val="0"/>
          <w:bCs w:val="0"/>
          <w:u w:val="none"/>
        </w:rPr>
        <w:t xml:space="preserve"> des charges peuvent servir à libérer des enseignantes ou des enseignants à la formation continue pour réaliser des activités prévues aux alinéas b) et c) de la clause 8-4.01. De plus,</w:t>
      </w:r>
      <w:r w:rsidR="003A5E93">
        <w:rPr>
          <w:rStyle w:val="ElevSoulign"/>
          <w:b w:val="0"/>
          <w:bCs w:val="0"/>
          <w:u w:val="none"/>
        </w:rPr>
        <w:t xml:space="preserve"> </w:t>
      </w:r>
      <w:r w:rsidR="004D48DD" w:rsidRPr="00316277">
        <w:t>l</w:t>
      </w:r>
      <w:r w:rsidRPr="004D48DD">
        <w:t>a</w:t>
      </w:r>
      <w:r w:rsidRPr="00026EC1">
        <w:t xml:space="preserve"> totalité ou une partie de</w:t>
      </w:r>
      <w:r w:rsidR="00AE6E7D" w:rsidRPr="00316277">
        <w:t>s</w:t>
      </w:r>
      <w:r w:rsidRPr="00026EC1">
        <w:t xml:space="preserve"> charges peuvent, après entente entre les parties, être transformées en argent. Dans ce cas, chaque charge à temps complet est comptabilisée pour une valeur de zéro virgule quarante</w:t>
      </w:r>
      <w:r w:rsidR="00984A6F">
        <w:noBreakHyphen/>
      </w:r>
      <w:r w:rsidRPr="00026EC1">
        <w:t>six</w:t>
      </w:r>
      <w:r w:rsidR="00302126">
        <w:t> </w:t>
      </w:r>
      <w:r w:rsidRPr="00026EC1">
        <w:t>(0,46) ETC en fonction du salaire moyen normalisé du Collège.</w:t>
      </w:r>
    </w:p>
    <w:p w14:paraId="316119D1" w14:textId="77777777" w:rsidR="00982374" w:rsidRPr="00026EC1" w:rsidRDefault="00982374" w:rsidP="00A64613">
      <w:pPr>
        <w:keepNext w:val="0"/>
      </w:pPr>
    </w:p>
    <w:p w14:paraId="752840C3" w14:textId="63749489" w:rsidR="00B5468A" w:rsidRDefault="00982374" w:rsidP="00A64613">
      <w:pPr>
        <w:keepNext w:val="0"/>
        <w:ind w:left="567" w:hanging="567"/>
      </w:pPr>
      <w:r w:rsidRPr="00026EC1">
        <w:t>3.</w:t>
      </w:r>
      <w:r w:rsidRPr="00026EC1">
        <w:tab/>
        <w:t>Les charges octroyées pour une année donnée sont utilisées l’année où elles sont allouées. Toutefois, après entente entre les parties, ces charges peuvent être transférées à une année ultérieure.</w:t>
      </w:r>
    </w:p>
    <w:p w14:paraId="5C14B2CE" w14:textId="77777777" w:rsidR="004D48DD" w:rsidRPr="00316277" w:rsidRDefault="004D48DD" w:rsidP="004D48DD">
      <w:pPr>
        <w:pStyle w:val="N-Commun"/>
        <w:ind w:left="0"/>
        <w:rPr>
          <w:rStyle w:val="ElevSoulign"/>
          <w:rFonts w:ascii="Arial" w:hAnsi="Arial" w:cs="Times New Roman"/>
          <w:snapToGrid w:val="0"/>
          <w:sz w:val="24"/>
          <w:u w:val="none"/>
          <w:lang w:eastAsia="fr-FR"/>
        </w:rPr>
      </w:pPr>
    </w:p>
    <w:p w14:paraId="10212853" w14:textId="040AA312" w:rsidR="00857BA1" w:rsidRDefault="00857BA1" w:rsidP="00A64613">
      <w:pPr>
        <w:keepNext w:val="0"/>
        <w:jc w:val="left"/>
      </w:pPr>
      <w:r>
        <w:br w:type="page"/>
      </w:r>
    </w:p>
    <w:p w14:paraId="5F23B579" w14:textId="1562F3C0" w:rsidR="00857BA1" w:rsidRPr="00533E57" w:rsidRDefault="00857BA1" w:rsidP="00A64613">
      <w:pPr>
        <w:pStyle w:val="Heading3"/>
        <w:keepNext w:val="0"/>
      </w:pPr>
      <w:bookmarkStart w:id="1128" w:name="_Toc168479580"/>
      <w:r w:rsidRPr="00533E57">
        <w:t>Annexe I</w:t>
      </w:r>
      <w:r w:rsidR="00B92165">
        <w:t>-</w:t>
      </w:r>
      <w:r w:rsidRPr="00533E57">
        <w:t>14</w:t>
      </w:r>
      <w:r w:rsidRPr="00533E57">
        <w:br/>
      </w:r>
      <w:r w:rsidRPr="00533E57">
        <w:br/>
        <w:t>Annexe relative au soutien à la réussi</w:t>
      </w:r>
      <w:r w:rsidR="00890C1A" w:rsidRPr="00533E57">
        <w:t>t</w:t>
      </w:r>
      <w:r w:rsidRPr="00533E57">
        <w:t>e</w:t>
      </w:r>
      <w:bookmarkEnd w:id="1128"/>
    </w:p>
    <w:p w14:paraId="2D4B4B23" w14:textId="6A38DD82" w:rsidR="00890C1A" w:rsidRPr="00533E57" w:rsidRDefault="00890C1A" w:rsidP="00A64613">
      <w:pPr>
        <w:pStyle w:val="xxxmsobodytext"/>
        <w:shd w:val="clear" w:color="auto" w:fill="FFFFFF"/>
        <w:suppressAutoHyphens/>
        <w:spacing w:before="0" w:beforeAutospacing="0" w:after="0" w:afterAutospacing="0"/>
        <w:ind w:left="567"/>
        <w:jc w:val="both"/>
        <w:rPr>
          <w:rFonts w:ascii="Arial" w:hAnsi="Arial" w:cs="Arial"/>
          <w:color w:val="201F1E"/>
        </w:rPr>
      </w:pPr>
      <w:r w:rsidRPr="0091348D">
        <w:rPr>
          <w:rFonts w:ascii="Arial" w:hAnsi="Arial" w:cs="Arial"/>
          <w:color w:val="201F1E"/>
        </w:rPr>
        <w:t>À compter de l’année d’engagement 2021</w:t>
      </w:r>
      <w:r w:rsidR="00984A6F" w:rsidRPr="0091348D">
        <w:rPr>
          <w:rFonts w:ascii="Arial" w:hAnsi="Arial" w:cs="Arial"/>
          <w:color w:val="201F1E"/>
        </w:rPr>
        <w:noBreakHyphen/>
      </w:r>
      <w:r w:rsidRPr="0091348D">
        <w:rPr>
          <w:rFonts w:ascii="Arial" w:hAnsi="Arial" w:cs="Arial"/>
          <w:color w:val="201F1E"/>
        </w:rPr>
        <w:t>2022, l</w:t>
      </w:r>
      <w:r w:rsidRPr="00533E57">
        <w:rPr>
          <w:rFonts w:ascii="Arial" w:hAnsi="Arial" w:cs="Arial"/>
          <w:color w:val="201F1E"/>
        </w:rPr>
        <w:t>e Ministère alloue, par l’annexe budgétaire A112</w:t>
      </w:r>
      <w:r w:rsidR="00AD4DB0" w:rsidRPr="00533E57">
        <w:rPr>
          <w:rFonts w:ascii="Arial" w:hAnsi="Arial" w:cs="Arial"/>
          <w:color w:val="201F1E"/>
        </w:rPr>
        <w:t xml:space="preserve"> </w:t>
      </w:r>
      <w:r w:rsidR="000640B0" w:rsidRPr="00533E57">
        <w:rPr>
          <w:rFonts w:ascii="Arial" w:hAnsi="Arial" w:cs="Arial"/>
          <w:color w:val="201F1E"/>
        </w:rPr>
        <w:t>« </w:t>
      </w:r>
      <w:r w:rsidR="00AD4DB0" w:rsidRPr="00533E57">
        <w:rPr>
          <w:rFonts w:ascii="Arial" w:hAnsi="Arial" w:cs="Arial"/>
          <w:color w:val="201F1E"/>
        </w:rPr>
        <w:t>Soutien à la réussite scolaire</w:t>
      </w:r>
      <w:r w:rsidR="000640B0" w:rsidRPr="00533E57">
        <w:rPr>
          <w:rFonts w:ascii="Arial" w:hAnsi="Arial" w:cs="Arial"/>
          <w:color w:val="201F1E"/>
        </w:rPr>
        <w:t> »</w:t>
      </w:r>
      <w:r w:rsidRPr="00533E57">
        <w:rPr>
          <w:rFonts w:ascii="Arial" w:hAnsi="Arial" w:cs="Arial"/>
          <w:color w:val="201F1E"/>
        </w:rPr>
        <w:t>, un montant de</w:t>
      </w:r>
      <w:r w:rsidR="00302126">
        <w:rPr>
          <w:rFonts w:ascii="Arial" w:hAnsi="Arial" w:cs="Arial"/>
          <w:color w:val="201F1E"/>
        </w:rPr>
        <w:t> </w:t>
      </w:r>
      <w:r w:rsidRPr="00533E57">
        <w:rPr>
          <w:rFonts w:ascii="Arial" w:hAnsi="Arial" w:cs="Arial"/>
          <w:color w:val="201F1E"/>
        </w:rPr>
        <w:t>11 855</w:t>
      </w:r>
      <w:r w:rsidR="00DE736C" w:rsidRPr="00533E57">
        <w:rPr>
          <w:rFonts w:ascii="Arial" w:hAnsi="Arial" w:cs="Arial"/>
          <w:color w:val="201F1E"/>
        </w:rPr>
        <w:t> </w:t>
      </w:r>
      <w:r w:rsidRPr="00533E57">
        <w:rPr>
          <w:rFonts w:ascii="Arial" w:hAnsi="Arial" w:cs="Arial"/>
          <w:color w:val="201F1E"/>
        </w:rPr>
        <w:t>638</w:t>
      </w:r>
      <w:r w:rsidR="00DE736C" w:rsidRPr="00533E57">
        <w:rPr>
          <w:rFonts w:ascii="Arial" w:hAnsi="Arial" w:cs="Arial"/>
          <w:color w:val="201F1E"/>
        </w:rPr>
        <w:t> </w:t>
      </w:r>
      <w:r w:rsidRPr="00533E57">
        <w:rPr>
          <w:rFonts w:ascii="Arial" w:hAnsi="Arial" w:cs="Arial"/>
          <w:color w:val="201F1E"/>
        </w:rPr>
        <w:t>$</w:t>
      </w:r>
      <w:r w:rsidR="00270BF1" w:rsidRPr="00533E57">
        <w:rPr>
          <w:rStyle w:val="FootnoteReference"/>
          <w:rFonts w:ascii="Arial" w:hAnsi="Arial" w:cs="Arial"/>
          <w:color w:val="201F1E"/>
        </w:rPr>
        <w:footnoteReference w:id="52"/>
      </w:r>
      <w:r w:rsidRPr="00533E57">
        <w:rPr>
          <w:rFonts w:ascii="Arial" w:hAnsi="Arial" w:cs="Arial"/>
          <w:color w:val="201F1E"/>
        </w:rPr>
        <w:t xml:space="preserve"> aux collèges du réseau en vue de soutenir la réussite scolaire des étudiantes ou des étudiants ayant des besoins particuliers (EBP) et des étudiantes ou des étudiants en situation de handicap (EESH). Ce montant est réparti selon les modalités de la règle budgétaire de ladite annexe et est converti en </w:t>
      </w:r>
      <w:r w:rsidR="003A34E1" w:rsidRPr="00533E57">
        <w:rPr>
          <w:rFonts w:ascii="Arial" w:hAnsi="Arial" w:cs="Arial"/>
          <w:color w:val="201F1E"/>
        </w:rPr>
        <w:t>équivalent temps complet (</w:t>
      </w:r>
      <w:r w:rsidRPr="00533E57">
        <w:rPr>
          <w:rFonts w:ascii="Arial" w:hAnsi="Arial" w:cs="Arial"/>
          <w:color w:val="201F1E"/>
        </w:rPr>
        <w:t>ETC</w:t>
      </w:r>
      <w:r w:rsidR="003A34E1" w:rsidRPr="00533E57">
        <w:rPr>
          <w:rFonts w:ascii="Arial" w:hAnsi="Arial" w:cs="Arial"/>
          <w:color w:val="201F1E"/>
        </w:rPr>
        <w:t>)</w:t>
      </w:r>
      <w:r w:rsidRPr="00533E57">
        <w:rPr>
          <w:rFonts w:ascii="Arial" w:hAnsi="Arial" w:cs="Arial"/>
          <w:color w:val="201F1E"/>
        </w:rPr>
        <w:t>.</w:t>
      </w:r>
    </w:p>
    <w:p w14:paraId="4446FA09" w14:textId="0513A8E1" w:rsidR="00E65CB9" w:rsidRPr="00533E57" w:rsidRDefault="00E65CB9" w:rsidP="00A64613">
      <w:pPr>
        <w:pStyle w:val="xxxmsobodytext"/>
        <w:shd w:val="clear" w:color="auto" w:fill="FFFFFF"/>
        <w:suppressAutoHyphens/>
        <w:ind w:left="567"/>
        <w:jc w:val="both"/>
        <w:rPr>
          <w:rFonts w:ascii="Arial" w:hAnsi="Arial" w:cs="Arial"/>
        </w:rPr>
      </w:pPr>
      <w:r w:rsidRPr="00533E57">
        <w:rPr>
          <w:rFonts w:ascii="Arial" w:hAnsi="Arial" w:cs="Arial"/>
        </w:rPr>
        <w:t>Le Collège consacre à la création de poste</w:t>
      </w:r>
      <w:r w:rsidR="008A5178">
        <w:rPr>
          <w:rFonts w:ascii="Arial" w:hAnsi="Arial" w:cs="Arial"/>
        </w:rPr>
        <w:t xml:space="preserve"> </w:t>
      </w:r>
      <w:r w:rsidR="0054524B" w:rsidRPr="00316277">
        <w:rPr>
          <w:rFonts w:ascii="Arial" w:hAnsi="Arial" w:cs="Arial"/>
        </w:rPr>
        <w:t>soixante-quinze pour cent (</w:t>
      </w:r>
      <w:r w:rsidR="008A5178" w:rsidRPr="00316277">
        <w:rPr>
          <w:rFonts w:ascii="Arial" w:hAnsi="Arial" w:cs="Arial"/>
        </w:rPr>
        <w:t>75</w:t>
      </w:r>
      <w:r w:rsidR="00DE736C" w:rsidRPr="00316277">
        <w:rPr>
          <w:rFonts w:ascii="Arial" w:hAnsi="Arial" w:cs="Arial"/>
        </w:rPr>
        <w:t> </w:t>
      </w:r>
      <w:r w:rsidRPr="00316277">
        <w:rPr>
          <w:rFonts w:ascii="Arial" w:hAnsi="Arial" w:cs="Arial"/>
        </w:rPr>
        <w:t>%</w:t>
      </w:r>
      <w:r w:rsidR="0054524B" w:rsidRPr="00316277">
        <w:rPr>
          <w:rFonts w:ascii="Arial" w:hAnsi="Arial" w:cs="Arial"/>
        </w:rPr>
        <w:t>)</w:t>
      </w:r>
      <w:r w:rsidRPr="00533E57">
        <w:rPr>
          <w:rFonts w:ascii="Arial" w:hAnsi="Arial" w:cs="Arial"/>
        </w:rPr>
        <w:t xml:space="preserve"> du montant qui lui est alloué pour le soutien à la réussite selon les besoins qu’il aura identifiés en lien avec son plan de réussite. Ces ressources servent aux fins des volets</w:t>
      </w:r>
      <w:r w:rsidR="00302126">
        <w:rPr>
          <w:rFonts w:ascii="Arial" w:hAnsi="Arial" w:cs="Arial"/>
        </w:rPr>
        <w:t> </w:t>
      </w:r>
      <w:r w:rsidRPr="00533E57">
        <w:rPr>
          <w:rFonts w:ascii="Arial" w:hAnsi="Arial" w:cs="Arial"/>
        </w:rPr>
        <w:t>1 ou 2 de la tâche d’enseignement, dans l’objectif de soutenir la réussite scolaire des étudiantes ou des étudiants EB</w:t>
      </w:r>
      <w:r w:rsidR="0083002F" w:rsidRPr="00533E57">
        <w:rPr>
          <w:rFonts w:ascii="Arial" w:hAnsi="Arial" w:cs="Arial"/>
        </w:rPr>
        <w:t>P</w:t>
      </w:r>
      <w:r w:rsidRPr="00533E57">
        <w:rPr>
          <w:rFonts w:ascii="Arial" w:hAnsi="Arial" w:cs="Arial"/>
        </w:rPr>
        <w:t xml:space="preserve"> et EESH. Ce pourcentage peut être modifié par entente entre les parties, conformément à </w:t>
      </w:r>
      <w:r w:rsidR="00524EFE" w:rsidRPr="00533E57">
        <w:rPr>
          <w:rFonts w:ascii="Arial" w:hAnsi="Arial" w:cs="Arial"/>
        </w:rPr>
        <w:t>la clause</w:t>
      </w:r>
      <w:r w:rsidR="00302126">
        <w:rPr>
          <w:rFonts w:ascii="Arial" w:hAnsi="Arial" w:cs="Arial"/>
        </w:rPr>
        <w:t> </w:t>
      </w:r>
      <w:r w:rsidR="00524EFE" w:rsidRPr="00533E57">
        <w:rPr>
          <w:rFonts w:ascii="Arial" w:hAnsi="Arial" w:cs="Arial"/>
        </w:rPr>
        <w:t>8</w:t>
      </w:r>
      <w:r w:rsidR="00984A6F">
        <w:rPr>
          <w:rFonts w:ascii="Arial" w:hAnsi="Arial" w:cs="Arial"/>
        </w:rPr>
        <w:noBreakHyphen/>
      </w:r>
      <w:r w:rsidR="00524EFE" w:rsidRPr="00533E57">
        <w:rPr>
          <w:rFonts w:ascii="Arial" w:hAnsi="Arial" w:cs="Arial"/>
        </w:rPr>
        <w:t>5.09</w:t>
      </w:r>
      <w:r w:rsidR="00D10C7F" w:rsidRPr="00533E57">
        <w:rPr>
          <w:rFonts w:ascii="Arial" w:hAnsi="Arial" w:cs="Arial"/>
        </w:rPr>
        <w:t>.</w:t>
      </w:r>
    </w:p>
    <w:p w14:paraId="1417A956" w14:textId="5E4262BA" w:rsidR="00E65CB9" w:rsidRPr="00533E57" w:rsidRDefault="00E65CB9" w:rsidP="00A64613">
      <w:pPr>
        <w:pStyle w:val="xxxmsobodytext"/>
        <w:shd w:val="clear" w:color="auto" w:fill="FFFFFF"/>
        <w:suppressAutoHyphens/>
        <w:ind w:left="567"/>
        <w:jc w:val="both"/>
        <w:rPr>
          <w:rFonts w:ascii="Arial" w:hAnsi="Arial" w:cs="Arial"/>
          <w:color w:val="201F1E"/>
        </w:rPr>
      </w:pPr>
      <w:r w:rsidRPr="00533E57">
        <w:rPr>
          <w:rFonts w:ascii="Arial" w:hAnsi="Arial" w:cs="Arial"/>
          <w:color w:val="201F1E"/>
        </w:rPr>
        <w:t xml:space="preserve">De plus, </w:t>
      </w:r>
      <w:r w:rsidR="0054524B" w:rsidRPr="00316277">
        <w:rPr>
          <w:rFonts w:ascii="Arial" w:hAnsi="Arial" w:cs="Arial"/>
          <w:color w:val="201F1E"/>
        </w:rPr>
        <w:t>vingt-cinq pour cent (25</w:t>
      </w:r>
      <w:r w:rsidR="00DE736C" w:rsidRPr="00316277">
        <w:rPr>
          <w:rFonts w:ascii="Arial" w:hAnsi="Arial" w:cs="Arial"/>
          <w:color w:val="201F1E"/>
        </w:rPr>
        <w:t> </w:t>
      </w:r>
      <w:r w:rsidR="00714A15" w:rsidRPr="00316277">
        <w:rPr>
          <w:rFonts w:ascii="Arial" w:hAnsi="Arial" w:cs="Arial"/>
          <w:color w:val="201F1E"/>
        </w:rPr>
        <w:t>%</w:t>
      </w:r>
      <w:r w:rsidR="0054524B" w:rsidRPr="00316277">
        <w:rPr>
          <w:rFonts w:ascii="Arial" w:hAnsi="Arial" w:cs="Arial"/>
          <w:color w:val="201F1E"/>
        </w:rPr>
        <w:t>)</w:t>
      </w:r>
      <w:r w:rsidRPr="00533E57">
        <w:rPr>
          <w:rFonts w:ascii="Arial" w:hAnsi="Arial" w:cs="Arial"/>
          <w:color w:val="201F1E"/>
        </w:rPr>
        <w:t xml:space="preserve"> du montant accordé à chaque collège doit servir à libérer des enseignantes ou des enseignants de leur charge d’enseignement pour qu’elles ou qu’ils puissent réaliser des activités qui ont pour objectif de soutenir la réussite scolaire de ces étudiantes ou de ces étudiants.</w:t>
      </w:r>
    </w:p>
    <w:p w14:paraId="6AC80C33" w14:textId="4AB89E39" w:rsidR="00E65CB9" w:rsidRPr="00533E57" w:rsidRDefault="00E65CB9" w:rsidP="00A64613">
      <w:pPr>
        <w:pStyle w:val="xxxmsobodytext"/>
        <w:shd w:val="clear" w:color="auto" w:fill="FFFFFF"/>
        <w:suppressAutoHyphens/>
        <w:spacing w:before="0" w:beforeAutospacing="0" w:after="0" w:afterAutospacing="0"/>
        <w:ind w:left="567"/>
        <w:jc w:val="both"/>
        <w:rPr>
          <w:rFonts w:ascii="Arial" w:hAnsi="Arial" w:cs="Arial"/>
          <w:color w:val="201F1E"/>
        </w:rPr>
      </w:pPr>
      <w:r w:rsidRPr="00533E57">
        <w:rPr>
          <w:rFonts w:ascii="Arial" w:hAnsi="Arial" w:cs="Arial"/>
          <w:color w:val="201F1E"/>
        </w:rPr>
        <w:t>Les ressources peuvent être utilisées notamment pour les activités suivantes</w:t>
      </w:r>
      <w:r w:rsidR="00D8581B" w:rsidRPr="00533E57">
        <w:rPr>
          <w:rFonts w:ascii="Arial" w:hAnsi="Arial" w:cs="Arial"/>
          <w:color w:val="201F1E"/>
        </w:rPr>
        <w:t> :</w:t>
      </w:r>
      <w:r w:rsidRPr="00533E57">
        <w:rPr>
          <w:rFonts w:ascii="Arial" w:hAnsi="Arial" w:cs="Arial"/>
          <w:color w:val="201F1E"/>
        </w:rPr>
        <w:t xml:space="preserve"> </w:t>
      </w:r>
    </w:p>
    <w:p w14:paraId="1788F711" w14:textId="77777777" w:rsidR="00E65CB9"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offrant un encadrement dans le cadre de leur programme d’études ou de leur stage;</w:t>
      </w:r>
    </w:p>
    <w:p w14:paraId="7C7B086F" w14:textId="77777777" w:rsidR="00E65CB9"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développant des activités pédagogiques adaptées à leur situation ou qui répondent à certaines problématiques vécues par ces étudiantes ou ces étudiants dans le cadre de leurs études;</w:t>
      </w:r>
    </w:p>
    <w:p w14:paraId="16FF928C" w14:textId="77777777" w:rsidR="00E65CB9"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réalisant des activités de recherche et d’innovation pour les classes, les ateliers, les laboratoires et les centres d’aide;</w:t>
      </w:r>
    </w:p>
    <w:p w14:paraId="65A5C106" w14:textId="77777777" w:rsidR="00E65CB9"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mettant sur pied des projets mobilisateurs qui peuvent avoir une incidence significative sur leur réussite scolaire;</w:t>
      </w:r>
    </w:p>
    <w:p w14:paraId="22EAFDEA" w14:textId="77777777" w:rsidR="00E65CB9"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adaptant des activités pédagogiques ou du matériel d’apprentissage en fonction de pratiques pédagogiques inclusives qui accordent la priorité à la diversité des approches pédagogiques notamment la conception universelle de l’apprentissage;</w:t>
      </w:r>
    </w:p>
    <w:p w14:paraId="5E24F79D" w14:textId="77777777" w:rsidR="00C82880" w:rsidRPr="00533E57" w:rsidRDefault="00E65CB9" w:rsidP="00A64613">
      <w:pPr>
        <w:pStyle w:val="xxxmsobodytext"/>
        <w:shd w:val="clear" w:color="auto" w:fill="FFFFFF"/>
        <w:suppressAutoHyphens/>
        <w:spacing w:before="0" w:beforeAutospacing="0" w:after="0" w:afterAutospacing="0"/>
        <w:ind w:left="1418" w:hanging="284"/>
        <w:jc w:val="both"/>
        <w:rPr>
          <w:rFonts w:ascii="Arial" w:hAnsi="Arial" w:cs="Arial"/>
          <w:color w:val="201F1E"/>
        </w:rPr>
      </w:pPr>
      <w:r w:rsidRPr="00533E57">
        <w:rPr>
          <w:rFonts w:ascii="Arial" w:hAnsi="Arial" w:cs="Arial"/>
          <w:color w:val="201F1E"/>
        </w:rPr>
        <w:t>•</w:t>
      </w:r>
      <w:r w:rsidRPr="00533E57">
        <w:rPr>
          <w:rFonts w:ascii="Arial" w:hAnsi="Arial" w:cs="Arial"/>
          <w:color w:val="201F1E"/>
        </w:rPr>
        <w:tab/>
        <w:t>en offrant un accompagnement personnalisé à ces étudiantes ou à ces étudiants.</w:t>
      </w:r>
    </w:p>
    <w:p w14:paraId="244970E1" w14:textId="4534A5CB" w:rsidR="00B5468A" w:rsidRPr="00026EC1" w:rsidRDefault="00B5468A" w:rsidP="00A64613">
      <w:pPr>
        <w:keepNext w:val="0"/>
      </w:pPr>
      <w:r w:rsidRPr="00026EC1">
        <w:br w:type="page"/>
      </w:r>
    </w:p>
    <w:p w14:paraId="24272275" w14:textId="49A6BB0A" w:rsidR="002767E2" w:rsidRPr="00533E57" w:rsidRDefault="002767E2" w:rsidP="00A64613">
      <w:pPr>
        <w:pStyle w:val="Heading3"/>
        <w:keepNext w:val="0"/>
      </w:pPr>
      <w:bookmarkStart w:id="1129" w:name="_Toc168479581"/>
      <w:r w:rsidRPr="00533E57">
        <w:t>Annexe I</w:t>
      </w:r>
      <w:r w:rsidR="00B92165">
        <w:t>-</w:t>
      </w:r>
      <w:r w:rsidRPr="00533E57">
        <w:t>1</w:t>
      </w:r>
      <w:r w:rsidR="001C2525" w:rsidRPr="00533E57">
        <w:t>5</w:t>
      </w:r>
      <w:r w:rsidRPr="00533E57">
        <w:br/>
      </w:r>
      <w:r w:rsidRPr="00533E57">
        <w:br/>
      </w:r>
      <w:r w:rsidR="001C2525" w:rsidRPr="00533E57">
        <w:t>L</w:t>
      </w:r>
      <w:r w:rsidR="00626785" w:rsidRPr="00533E57">
        <w:t xml:space="preserve">ettre d’intention relative à l’évaluation de la norme de financement des </w:t>
      </w:r>
      <w:r w:rsidR="00FE221C" w:rsidRPr="00533E57">
        <w:t>enseignantes et des enseignants (modèle d’allocation « EREG » des programmes de soins infirmiers (180.A0 et 180.B0)</w:t>
      </w:r>
      <w:bookmarkEnd w:id="1129"/>
    </w:p>
    <w:p w14:paraId="323FEFDD" w14:textId="66D54187" w:rsidR="00DF00B1" w:rsidRPr="00533E57" w:rsidRDefault="00DF00B1" w:rsidP="00A64613">
      <w:pPr>
        <w:keepNext w:val="0"/>
        <w:rPr>
          <w:rFonts w:cstheme="minorHAnsi"/>
        </w:rPr>
      </w:pPr>
      <w:r w:rsidRPr="00533E57">
        <w:rPr>
          <w:rFonts w:cstheme="minorHAnsi"/>
        </w:rPr>
        <w:t>Le ministère de l’Enseignement supérieur s’engage à effectuer l’analyse de la norme de financement des enseignantes et des enseignants (modèle d’allocation « Erég ») propres aux programmes de soins infirmiers</w:t>
      </w:r>
      <w:r w:rsidR="00302126">
        <w:rPr>
          <w:rFonts w:cstheme="minorHAnsi"/>
        </w:rPr>
        <w:t> </w:t>
      </w:r>
      <w:r w:rsidRPr="00533E57">
        <w:rPr>
          <w:rFonts w:cstheme="minorHAnsi"/>
        </w:rPr>
        <w:t xml:space="preserve">(180.A0 et 180.B0). </w:t>
      </w:r>
    </w:p>
    <w:p w14:paraId="7FD0EC9C" w14:textId="77777777" w:rsidR="00432FE7" w:rsidRPr="00533E57" w:rsidRDefault="00432FE7" w:rsidP="00A64613">
      <w:pPr>
        <w:keepNext w:val="0"/>
        <w:rPr>
          <w:rFonts w:cstheme="minorHAnsi"/>
        </w:rPr>
      </w:pPr>
    </w:p>
    <w:p w14:paraId="59E1B0E6" w14:textId="4CEFFB5C" w:rsidR="00DF00B1" w:rsidRPr="00533E57" w:rsidRDefault="00DF00B1" w:rsidP="00A64613">
      <w:pPr>
        <w:keepNext w:val="0"/>
        <w:rPr>
          <w:rFonts w:cstheme="minorHAnsi"/>
          <w:u w:val="single"/>
        </w:rPr>
      </w:pPr>
      <w:r w:rsidRPr="00533E57">
        <w:rPr>
          <w:rFonts w:cstheme="minorHAnsi"/>
          <w:u w:val="single"/>
        </w:rPr>
        <w:t>Travaux en cours</w:t>
      </w:r>
    </w:p>
    <w:p w14:paraId="0CD61916" w14:textId="77777777" w:rsidR="00432FE7" w:rsidRPr="00533E57" w:rsidRDefault="00432FE7" w:rsidP="00A64613">
      <w:pPr>
        <w:keepNext w:val="0"/>
        <w:rPr>
          <w:rFonts w:cstheme="minorHAnsi"/>
          <w:u w:val="single"/>
        </w:rPr>
      </w:pPr>
    </w:p>
    <w:p w14:paraId="424C5510" w14:textId="2BAEB459" w:rsidR="00DF00B1" w:rsidRPr="00533E57" w:rsidRDefault="00DD035A" w:rsidP="00A64613">
      <w:pPr>
        <w:pStyle w:val="ListParagraph"/>
        <w:suppressAutoHyphens/>
        <w:ind w:left="851" w:hanging="425"/>
        <w:contextualSpacing/>
        <w:rPr>
          <w:rFonts w:cstheme="minorHAnsi"/>
        </w:rPr>
      </w:pPr>
      <w:r w:rsidRPr="00533E57">
        <w:rPr>
          <w:rFonts w:cstheme="minorHAnsi"/>
        </w:rPr>
        <w:t>1.</w:t>
      </w:r>
      <w:r w:rsidRPr="00533E57">
        <w:rPr>
          <w:rFonts w:cstheme="minorHAnsi"/>
        </w:rPr>
        <w:tab/>
      </w:r>
      <w:r w:rsidR="00DF00B1" w:rsidRPr="00533E57">
        <w:rPr>
          <w:rFonts w:cstheme="minorHAnsi"/>
        </w:rPr>
        <w:t>Le ministère de la Santé et des Services sociaux, en collaboration avec le ministère de l’Enseignement supérieur, a mandaté une firme pour trouver des solutions pérennes pour faciliter la coordination des stages (interordres). Le mandat vise à solutionner les défis pour la région de Montréal dans un premier temps, mais proposer des solutions transférables aux autres régions. Le mandat est prévu pour l’année 2021.</w:t>
      </w:r>
    </w:p>
    <w:p w14:paraId="05681F62" w14:textId="77777777" w:rsidR="00DF00B1" w:rsidRPr="00533E57" w:rsidRDefault="00DF00B1" w:rsidP="00A64613">
      <w:pPr>
        <w:pStyle w:val="ListParagraph"/>
        <w:suppressAutoHyphens/>
        <w:ind w:left="1428"/>
        <w:rPr>
          <w:rFonts w:cstheme="minorHAnsi"/>
        </w:rPr>
      </w:pPr>
    </w:p>
    <w:p w14:paraId="06889A8B" w14:textId="0E2C51CA" w:rsidR="00DF00B1" w:rsidRPr="00533E57" w:rsidRDefault="00DD035A" w:rsidP="00A64613">
      <w:pPr>
        <w:pStyle w:val="ListParagraph"/>
        <w:suppressAutoHyphens/>
        <w:ind w:left="851" w:hanging="425"/>
        <w:contextualSpacing/>
        <w:rPr>
          <w:rFonts w:cstheme="minorHAnsi"/>
        </w:rPr>
      </w:pPr>
      <w:r w:rsidRPr="00533E57">
        <w:rPr>
          <w:rFonts w:cstheme="minorHAnsi"/>
        </w:rPr>
        <w:t>2.</w:t>
      </w:r>
      <w:r w:rsidRPr="00533E57">
        <w:rPr>
          <w:rFonts w:cstheme="minorHAnsi"/>
        </w:rPr>
        <w:tab/>
      </w:r>
      <w:r w:rsidR="00DF00B1" w:rsidRPr="00533E57">
        <w:rPr>
          <w:rFonts w:cstheme="minorHAnsi"/>
        </w:rPr>
        <w:t>Se déroule, de mars à juin 2021, le Groupe de travail national sur l’effectif infirmier. Son mandat vise, notamment, à cibler des solutions concernant l'augmentation des admissions dans les programmes et la formation initiale. Un plan d’action</w:t>
      </w:r>
      <w:r w:rsidR="004A17E1" w:rsidRPr="00533E57">
        <w:rPr>
          <w:rFonts w:cstheme="minorHAnsi"/>
        </w:rPr>
        <w:t> </w:t>
      </w:r>
      <w:r w:rsidR="00DF00B1" w:rsidRPr="00533E57">
        <w:rPr>
          <w:rFonts w:cstheme="minorHAnsi"/>
        </w:rPr>
        <w:t>2021</w:t>
      </w:r>
      <w:r w:rsidR="00984A6F">
        <w:rPr>
          <w:rFonts w:cstheme="minorHAnsi"/>
        </w:rPr>
        <w:noBreakHyphen/>
      </w:r>
      <w:r w:rsidR="00DF00B1" w:rsidRPr="00533E57">
        <w:rPr>
          <w:rFonts w:cstheme="minorHAnsi"/>
        </w:rPr>
        <w:t>2023 sera créé.</w:t>
      </w:r>
    </w:p>
    <w:p w14:paraId="195E84AB" w14:textId="77777777" w:rsidR="00DD035A" w:rsidRPr="00533E57" w:rsidRDefault="00DD035A" w:rsidP="00A64613">
      <w:pPr>
        <w:pStyle w:val="ListParagraph"/>
        <w:suppressAutoHyphens/>
        <w:ind w:left="851" w:hanging="425"/>
        <w:contextualSpacing/>
        <w:rPr>
          <w:rFonts w:cstheme="minorHAnsi"/>
        </w:rPr>
      </w:pPr>
    </w:p>
    <w:p w14:paraId="419D72DB" w14:textId="5BE40342" w:rsidR="00DF00B1" w:rsidRPr="00533E57" w:rsidRDefault="00DF00B1" w:rsidP="00A64613">
      <w:pPr>
        <w:keepNext w:val="0"/>
        <w:rPr>
          <w:rFonts w:cstheme="minorHAnsi"/>
        </w:rPr>
      </w:pPr>
      <w:r w:rsidRPr="00533E57">
        <w:rPr>
          <w:rFonts w:cstheme="minorHAnsi"/>
        </w:rPr>
        <w:t>L’ensemble de ces travaux pourrait conduire à des modifications au modèle actuel de réalisation des stages qui est un intrant pouva</w:t>
      </w:r>
      <w:r w:rsidR="004F11A8" w:rsidRPr="00533E57">
        <w:rPr>
          <w:rFonts w:cstheme="minorHAnsi"/>
        </w:rPr>
        <w:t>n</w:t>
      </w:r>
      <w:r w:rsidRPr="00533E57">
        <w:rPr>
          <w:rFonts w:cstheme="minorHAnsi"/>
        </w:rPr>
        <w:t>t impacter l’analyse de la norme de financement des enseignantes et des enseignants. Le cas échéant, la direction générale du financement s’engage à effectuer les travaux. Ces travaux seront sous la responsabilité du comité mixte des affaires matérielles et financières et plus spécifiquement le comité du</w:t>
      </w:r>
      <w:r w:rsidR="00DD035A" w:rsidRPr="00533E57">
        <w:rPr>
          <w:rFonts w:cstheme="minorHAnsi"/>
        </w:rPr>
        <w:t> </w:t>
      </w:r>
      <w:r w:rsidRPr="00533E57">
        <w:rPr>
          <w:rFonts w:cstheme="minorHAnsi"/>
        </w:rPr>
        <w:t>E (paragraphe 41 de l’annexe budgétaire E102)</w:t>
      </w:r>
      <w:r w:rsidR="001578B9" w:rsidRPr="00533E57">
        <w:rPr>
          <w:rFonts w:cstheme="minorHAnsi"/>
        </w:rPr>
        <w:t>.</w:t>
      </w:r>
    </w:p>
    <w:p w14:paraId="59980CE5" w14:textId="77777777" w:rsidR="00DD035A" w:rsidRPr="00533E57" w:rsidRDefault="00DD035A" w:rsidP="00A64613">
      <w:pPr>
        <w:keepNext w:val="0"/>
        <w:rPr>
          <w:rFonts w:cstheme="minorHAnsi"/>
        </w:rPr>
      </w:pPr>
    </w:p>
    <w:p w14:paraId="504C036A" w14:textId="77777777" w:rsidR="00DF00B1" w:rsidRPr="00533E57" w:rsidRDefault="00DF00B1" w:rsidP="00A64613">
      <w:pPr>
        <w:keepNext w:val="0"/>
        <w:rPr>
          <w:rFonts w:cstheme="minorHAnsi"/>
          <w:u w:val="single"/>
        </w:rPr>
      </w:pPr>
      <w:r w:rsidRPr="00533E57">
        <w:rPr>
          <w:rFonts w:cstheme="minorHAnsi"/>
          <w:u w:val="single"/>
        </w:rPr>
        <w:t>Travaux préparatoires</w:t>
      </w:r>
    </w:p>
    <w:p w14:paraId="5C61ED69" w14:textId="77777777" w:rsidR="00DD035A" w:rsidRPr="00533E57" w:rsidRDefault="00DD035A" w:rsidP="00A64613">
      <w:pPr>
        <w:keepNext w:val="0"/>
        <w:rPr>
          <w:rFonts w:cstheme="minorHAnsi"/>
        </w:rPr>
      </w:pPr>
    </w:p>
    <w:p w14:paraId="0F2BDAC5" w14:textId="799B200B" w:rsidR="00DF00B1" w:rsidRPr="00533E57" w:rsidRDefault="00DF00B1" w:rsidP="00A64613">
      <w:pPr>
        <w:keepNext w:val="0"/>
        <w:rPr>
          <w:rFonts w:cstheme="minorHAnsi"/>
        </w:rPr>
      </w:pPr>
      <w:r w:rsidRPr="00533E57">
        <w:rPr>
          <w:rFonts w:cstheme="minorHAnsi"/>
        </w:rPr>
        <w:t>Des travaux préparatoires, visant à documenter la situation actuelle des stages en soins infirmiers pour les programmes 180.A0 et 180.B0 seront entrepris dès le début de l’automne 2021</w:t>
      </w:r>
      <w:r w:rsidR="00D8581B" w:rsidRPr="00533E57">
        <w:rPr>
          <w:rFonts w:cstheme="minorHAnsi"/>
        </w:rPr>
        <w:t> :</w:t>
      </w:r>
      <w:r w:rsidRPr="00533E57">
        <w:rPr>
          <w:rFonts w:cstheme="minorHAnsi"/>
        </w:rPr>
        <w:t xml:space="preserve"> </w:t>
      </w:r>
    </w:p>
    <w:p w14:paraId="5C189980" w14:textId="77777777" w:rsidR="00DD035A" w:rsidRPr="00533E57" w:rsidRDefault="00DD035A" w:rsidP="00A64613">
      <w:pPr>
        <w:keepNext w:val="0"/>
        <w:rPr>
          <w:rFonts w:cstheme="minorHAnsi"/>
        </w:rPr>
      </w:pPr>
    </w:p>
    <w:p w14:paraId="20746234" w14:textId="3B6CA2E8" w:rsidR="00DF00B1" w:rsidRPr="00533E57" w:rsidRDefault="00DD035A" w:rsidP="00A64613">
      <w:pPr>
        <w:keepNext w:val="0"/>
        <w:ind w:left="709" w:hanging="425"/>
        <w:contextualSpacing/>
        <w:rPr>
          <w:rFonts w:cstheme="minorHAnsi"/>
        </w:rPr>
      </w:pPr>
      <w:r w:rsidRPr="00533E57">
        <w:rPr>
          <w:rFonts w:ascii="Symbol" w:eastAsia="Symbol" w:hAnsi="Symbol" w:cstheme="minorHAnsi"/>
        </w:rPr>
        <w:t></w:t>
      </w:r>
      <w:r w:rsidRPr="00533E57">
        <w:rPr>
          <w:rFonts w:cstheme="minorHAnsi"/>
        </w:rPr>
        <w:tab/>
      </w:r>
      <w:r w:rsidR="00DF00B1" w:rsidRPr="00533E57">
        <w:rPr>
          <w:rFonts w:cstheme="minorHAnsi"/>
        </w:rPr>
        <w:t>Cueillette de données auprès des établissements offrant le programme de soins infirmiers;</w:t>
      </w:r>
    </w:p>
    <w:p w14:paraId="2BE825EE" w14:textId="040BEA07" w:rsidR="00DF00B1" w:rsidRPr="00533E57" w:rsidRDefault="00DD035A" w:rsidP="00A64613">
      <w:pPr>
        <w:keepNext w:val="0"/>
        <w:ind w:left="709" w:hanging="425"/>
        <w:contextualSpacing/>
        <w:rPr>
          <w:rFonts w:cstheme="minorHAnsi"/>
        </w:rPr>
      </w:pPr>
      <w:r w:rsidRPr="00533E57">
        <w:rPr>
          <w:rFonts w:ascii="Symbol" w:eastAsia="Symbol" w:hAnsi="Symbol" w:cstheme="minorHAnsi"/>
        </w:rPr>
        <w:t></w:t>
      </w:r>
      <w:r w:rsidRPr="00533E57">
        <w:rPr>
          <w:rFonts w:cstheme="minorHAnsi"/>
        </w:rPr>
        <w:tab/>
      </w:r>
      <w:r w:rsidR="00DF00B1" w:rsidRPr="00533E57">
        <w:rPr>
          <w:rFonts w:cstheme="minorHAnsi"/>
        </w:rPr>
        <w:t>État de situation du déroulement et du fonctionnement des stages en soins infirmiers;</w:t>
      </w:r>
    </w:p>
    <w:p w14:paraId="0403E86B" w14:textId="2FDD5DB9" w:rsidR="00DF00B1" w:rsidRPr="00533E57" w:rsidRDefault="00DD035A" w:rsidP="00A64613">
      <w:pPr>
        <w:keepNext w:val="0"/>
        <w:ind w:left="709" w:hanging="425"/>
        <w:contextualSpacing/>
        <w:rPr>
          <w:rFonts w:cstheme="minorHAnsi"/>
        </w:rPr>
      </w:pPr>
      <w:r w:rsidRPr="00533E57">
        <w:rPr>
          <w:rFonts w:ascii="Symbol" w:eastAsia="Symbol" w:hAnsi="Symbol" w:cstheme="minorHAnsi"/>
        </w:rPr>
        <w:t></w:t>
      </w:r>
      <w:r w:rsidRPr="00533E57">
        <w:rPr>
          <w:rFonts w:cstheme="minorHAnsi"/>
        </w:rPr>
        <w:tab/>
      </w:r>
      <w:r w:rsidR="00DF00B1" w:rsidRPr="00533E57">
        <w:rPr>
          <w:rFonts w:cstheme="minorHAnsi"/>
        </w:rPr>
        <w:t>Consultation du ministère de la Santé et des services sociaux et, le cas échéant, des établissements du Réseau de la santé et des services sociaux.</w:t>
      </w:r>
    </w:p>
    <w:p w14:paraId="399E7311" w14:textId="77777777" w:rsidR="00DD035A" w:rsidRPr="00533E57" w:rsidRDefault="00DD035A" w:rsidP="00A64613">
      <w:pPr>
        <w:keepNext w:val="0"/>
        <w:ind w:left="708"/>
        <w:rPr>
          <w:rFonts w:cstheme="minorHAnsi"/>
        </w:rPr>
      </w:pPr>
    </w:p>
    <w:p w14:paraId="24F7F2E4" w14:textId="0E28BBB8" w:rsidR="00DF00B1" w:rsidRPr="00533E57" w:rsidRDefault="00DF00B1" w:rsidP="00A64613">
      <w:pPr>
        <w:keepNext w:val="0"/>
        <w:rPr>
          <w:rFonts w:cstheme="minorHAnsi"/>
        </w:rPr>
      </w:pPr>
      <w:r w:rsidRPr="00533E57">
        <w:rPr>
          <w:rFonts w:cstheme="minorHAnsi"/>
        </w:rPr>
        <w:t>L’analyse des normes de financement du modèle d’allocation « Erég » qui s’ensuivra tiendra compte des résultats des travaux en cours et de documentation énoncés ci</w:t>
      </w:r>
      <w:r w:rsidR="00984A6F">
        <w:rPr>
          <w:rFonts w:cstheme="minorHAnsi"/>
        </w:rPr>
        <w:noBreakHyphen/>
      </w:r>
      <w:r w:rsidRPr="00533E57">
        <w:rPr>
          <w:rFonts w:cstheme="minorHAnsi"/>
        </w:rPr>
        <w:t>dessus et du contexte évolutif de l’enseignement dans ce programme, notamment l’utilisation des mannequins (intelligents ou haute</w:t>
      </w:r>
      <w:r w:rsidR="00984A6F">
        <w:rPr>
          <w:rFonts w:cstheme="minorHAnsi"/>
        </w:rPr>
        <w:noBreakHyphen/>
      </w:r>
      <w:r w:rsidRPr="00533E57">
        <w:rPr>
          <w:rFonts w:cstheme="minorHAnsi"/>
        </w:rPr>
        <w:t>fidélité) et les exigences particulières, le cas échéant, des milieux d’enseignement clinique. La mise en place des nouvelles normes, le cas échéant, entraînerait une correction du financement des enseignantes et des enseignants des programmes de soins infirmiers rétroactive à la date de signature de la convention collective.</w:t>
      </w:r>
    </w:p>
    <w:p w14:paraId="5EA1D3CA" w14:textId="77777777" w:rsidR="00DD035A" w:rsidRPr="00533E57" w:rsidRDefault="00DD035A" w:rsidP="00A64613">
      <w:pPr>
        <w:keepNext w:val="0"/>
        <w:rPr>
          <w:rFonts w:cstheme="minorHAnsi"/>
        </w:rPr>
      </w:pPr>
    </w:p>
    <w:p w14:paraId="718EC6F3" w14:textId="272372C3" w:rsidR="002767E2" w:rsidRDefault="00DF00B1" w:rsidP="00BD1F8A">
      <w:pPr>
        <w:keepNext w:val="0"/>
      </w:pPr>
      <w:r w:rsidRPr="00533E57">
        <w:rPr>
          <w:rFonts w:cstheme="minorHAnsi"/>
        </w:rPr>
        <w:t>Le ministère de l’Enseignement supérieur s’engage à consulter les parties syndicales nationales aux moments charnières.</w:t>
      </w:r>
    </w:p>
    <w:p w14:paraId="44D3BAA9" w14:textId="1E80CB04" w:rsidR="008A5178" w:rsidRDefault="008A5178">
      <w:pPr>
        <w:keepNext w:val="0"/>
        <w:suppressAutoHyphens w:val="0"/>
        <w:jc w:val="left"/>
        <w:rPr>
          <w:rStyle w:val="normaltextrun"/>
          <w:rFonts w:cs="Arial"/>
          <w:snapToGrid/>
          <w:szCs w:val="24"/>
          <w:lang w:eastAsia="fr-CA"/>
        </w:rPr>
      </w:pPr>
    </w:p>
    <w:p w14:paraId="22072396" w14:textId="361ECC6A" w:rsidR="008A5178" w:rsidRPr="00194EE3" w:rsidRDefault="008A5178" w:rsidP="00194EE3">
      <w:pPr>
        <w:keepNext w:val="0"/>
        <w:suppressAutoHyphens w:val="0"/>
        <w:jc w:val="left"/>
        <w:rPr>
          <w:rStyle w:val="normaltextrun"/>
          <w:rFonts w:cs="Arial"/>
          <w:snapToGrid/>
          <w:szCs w:val="24"/>
          <w:lang w:eastAsia="fr-CA"/>
        </w:rPr>
        <w:sectPr w:rsidR="008A5178" w:rsidRPr="00194EE3" w:rsidSect="002B176A">
          <w:footnotePr>
            <w:numRestart w:val="eachPage"/>
          </w:footnotePr>
          <w:pgSz w:w="12240" w:h="15840" w:code="1"/>
          <w:pgMar w:top="720" w:right="1077" w:bottom="1242" w:left="1684" w:header="709" w:footer="709" w:gutter="0"/>
          <w:cols w:space="708"/>
          <w:docGrid w:linePitch="360"/>
        </w:sectPr>
      </w:pPr>
    </w:p>
    <w:p w14:paraId="063DAEEE" w14:textId="059346EC" w:rsidR="00194EE3" w:rsidRPr="00316277" w:rsidRDefault="00194EE3" w:rsidP="0006633D">
      <w:pPr>
        <w:pStyle w:val="Heading3"/>
        <w:rPr>
          <w:b w:val="0"/>
          <w:caps w:val="0"/>
        </w:rPr>
      </w:pPr>
      <w:bookmarkStart w:id="1130" w:name="_Toc168479582"/>
      <w:r w:rsidRPr="00316277">
        <w:t>Annexe I-16</w:t>
      </w:r>
      <w:r w:rsidR="0006633D" w:rsidRPr="00E64DC4">
        <w:br/>
      </w:r>
      <w:r w:rsidR="0006633D" w:rsidRPr="00E64DC4">
        <w:br/>
      </w:r>
      <w:r w:rsidRPr="00316277">
        <w:t>R</w:t>
      </w:r>
      <w:r w:rsidR="0006633D" w:rsidRPr="00316277">
        <w:t>essources d’enseignement alloué</w:t>
      </w:r>
      <w:r w:rsidR="00087C44">
        <w:t>E</w:t>
      </w:r>
      <w:r w:rsidR="0006633D" w:rsidRPr="00316277">
        <w:t>s au volet 1 pour l’enseignement clinique dans les programmes de soins infirmiers</w:t>
      </w:r>
      <w:r w:rsidRPr="00316277">
        <w:t xml:space="preserve"> (180.A0 </w:t>
      </w:r>
      <w:r w:rsidR="0006633D" w:rsidRPr="00316277">
        <w:t>et</w:t>
      </w:r>
      <w:r w:rsidRPr="00316277">
        <w:t xml:space="preserve"> 180.B0)</w:t>
      </w:r>
      <w:bookmarkEnd w:id="1130"/>
    </w:p>
    <w:tbl>
      <w:tblPr>
        <w:tblStyle w:val="TableGrid"/>
        <w:tblW w:w="0" w:type="auto"/>
        <w:tblInd w:w="-5" w:type="dxa"/>
        <w:tblLook w:val="04A0" w:firstRow="1" w:lastRow="0" w:firstColumn="1" w:lastColumn="0" w:noHBand="0" w:noVBand="1"/>
      </w:tblPr>
      <w:tblGrid>
        <w:gridCol w:w="6521"/>
        <w:gridCol w:w="2681"/>
      </w:tblGrid>
      <w:tr w:rsidR="00194EE3" w:rsidRPr="00194EE3" w14:paraId="2BCCC97E" w14:textId="77777777" w:rsidTr="00F44D2B">
        <w:tc>
          <w:tcPr>
            <w:tcW w:w="6521" w:type="dxa"/>
            <w:vAlign w:val="center"/>
          </w:tcPr>
          <w:p w14:paraId="076CA4F3" w14:textId="77777777" w:rsidR="00194EE3" w:rsidRPr="00194EE3" w:rsidRDefault="00194EE3" w:rsidP="00F44D2B">
            <w:pPr>
              <w:pStyle w:val="N-FNEEQ"/>
              <w:spacing w:before="60" w:after="60"/>
              <w:jc w:val="center"/>
              <w:rPr>
                <w:rFonts w:ascii="Arial" w:eastAsia="Times New Roman" w:hAnsi="Arial" w:cs="Times New Roman"/>
                <w:b/>
                <w:caps/>
                <w:snapToGrid w:val="0"/>
                <w:color w:val="auto"/>
                <w:sz w:val="24"/>
                <w:highlight w:val="lightGray"/>
                <w:u w:val="single"/>
                <w:lang w:eastAsia="fr-FR"/>
              </w:rPr>
            </w:pPr>
            <w:r w:rsidRPr="00316277">
              <w:rPr>
                <w:rFonts w:ascii="Arial" w:eastAsia="Times New Roman" w:hAnsi="Arial" w:cs="Times New Roman"/>
                <w:b/>
                <w:caps/>
                <w:snapToGrid w:val="0"/>
                <w:color w:val="auto"/>
                <w:sz w:val="24"/>
                <w:u w:val="single"/>
                <w:lang w:eastAsia="fr-FR"/>
              </w:rPr>
              <w:t>Collège ou campus</w:t>
            </w:r>
          </w:p>
        </w:tc>
        <w:tc>
          <w:tcPr>
            <w:tcW w:w="2681" w:type="dxa"/>
            <w:vAlign w:val="center"/>
          </w:tcPr>
          <w:p w14:paraId="6E00B280" w14:textId="55691EA3" w:rsidR="00194EE3" w:rsidRPr="00316277" w:rsidRDefault="00194EE3" w:rsidP="00F44D2B">
            <w:pPr>
              <w:pStyle w:val="N-FNEEQ"/>
              <w:spacing w:before="0" w:after="0"/>
              <w:jc w:val="center"/>
              <w:rPr>
                <w:rFonts w:ascii="Arial" w:eastAsia="Times New Roman" w:hAnsi="Arial" w:cs="Times New Roman"/>
                <w:b/>
                <w:caps/>
                <w:snapToGrid w:val="0"/>
                <w:color w:val="auto"/>
                <w:sz w:val="24"/>
                <w:u w:val="single"/>
                <w:lang w:eastAsia="fr-FR"/>
              </w:rPr>
            </w:pPr>
            <w:r w:rsidRPr="00316277">
              <w:rPr>
                <w:rFonts w:ascii="Arial" w:eastAsia="Times New Roman" w:hAnsi="Arial" w:cs="Times New Roman"/>
                <w:b/>
                <w:caps/>
                <w:snapToGrid w:val="0"/>
                <w:color w:val="auto"/>
                <w:sz w:val="24"/>
                <w:u w:val="single"/>
                <w:lang w:eastAsia="fr-FR"/>
              </w:rPr>
              <w:t>Allocation</w:t>
            </w:r>
            <w:r w:rsidRPr="00316277">
              <w:rPr>
                <w:rFonts w:ascii="Arial" w:eastAsia="Times New Roman" w:hAnsi="Arial" w:cs="Times New Roman"/>
                <w:b/>
                <w:caps/>
                <w:snapToGrid w:val="0"/>
                <w:color w:val="auto"/>
                <w:sz w:val="24"/>
                <w:vertAlign w:val="superscript"/>
                <w:lang w:eastAsia="fr-FR"/>
              </w:rPr>
              <w:t>1</w:t>
            </w:r>
          </w:p>
        </w:tc>
      </w:tr>
      <w:tr w:rsidR="00194EE3" w:rsidRPr="00194EE3" w14:paraId="29527DF5" w14:textId="77777777" w:rsidTr="00F44D2B">
        <w:tc>
          <w:tcPr>
            <w:tcW w:w="6521" w:type="dxa"/>
            <w:vAlign w:val="bottom"/>
          </w:tcPr>
          <w:p w14:paraId="6A5ABD50"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Abitibi-Témiscamingue</w:t>
            </w:r>
          </w:p>
        </w:tc>
        <w:tc>
          <w:tcPr>
            <w:tcW w:w="2681" w:type="dxa"/>
            <w:vAlign w:val="bottom"/>
          </w:tcPr>
          <w:p w14:paraId="361D9E66"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0,77</w:t>
            </w:r>
          </w:p>
        </w:tc>
      </w:tr>
      <w:tr w:rsidR="00194EE3" w:rsidRPr="00194EE3" w14:paraId="04BC0CE6" w14:textId="77777777" w:rsidTr="00F44D2B">
        <w:tc>
          <w:tcPr>
            <w:tcW w:w="6521" w:type="dxa"/>
            <w:vAlign w:val="bottom"/>
          </w:tcPr>
          <w:p w14:paraId="0D1C14D4"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Ahuntsic</w:t>
            </w:r>
          </w:p>
        </w:tc>
        <w:tc>
          <w:tcPr>
            <w:tcW w:w="2681" w:type="dxa"/>
            <w:vAlign w:val="bottom"/>
          </w:tcPr>
          <w:p w14:paraId="0957B4B4"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194EE3" w14:paraId="7B346530" w14:textId="77777777" w:rsidTr="00F44D2B">
        <w:tc>
          <w:tcPr>
            <w:tcW w:w="6521" w:type="dxa"/>
            <w:vAlign w:val="bottom"/>
          </w:tcPr>
          <w:p w14:paraId="3D478D2D"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Alma</w:t>
            </w:r>
          </w:p>
        </w:tc>
        <w:tc>
          <w:tcPr>
            <w:tcW w:w="2681" w:type="dxa"/>
            <w:vAlign w:val="bottom"/>
          </w:tcPr>
          <w:p w14:paraId="7CFFC4F8"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0,39</w:t>
            </w:r>
          </w:p>
        </w:tc>
      </w:tr>
      <w:tr w:rsidR="00194EE3" w:rsidRPr="00194EE3" w14:paraId="0E388F81" w14:textId="77777777" w:rsidTr="00F44D2B">
        <w:tc>
          <w:tcPr>
            <w:tcW w:w="6521" w:type="dxa"/>
            <w:vAlign w:val="bottom"/>
          </w:tcPr>
          <w:p w14:paraId="241ACF76"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André-Laurendeau</w:t>
            </w:r>
          </w:p>
        </w:tc>
        <w:tc>
          <w:tcPr>
            <w:tcW w:w="2681" w:type="dxa"/>
            <w:vAlign w:val="bottom"/>
          </w:tcPr>
          <w:p w14:paraId="3395A06F"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1,89</w:t>
            </w:r>
          </w:p>
        </w:tc>
      </w:tr>
      <w:tr w:rsidR="00194EE3" w:rsidRPr="00194EE3" w14:paraId="58862627" w14:textId="77777777" w:rsidTr="00F44D2B">
        <w:tc>
          <w:tcPr>
            <w:tcW w:w="6521" w:type="dxa"/>
            <w:vAlign w:val="bottom"/>
          </w:tcPr>
          <w:p w14:paraId="2AE5FECA"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Beauce-Appalaches</w:t>
            </w:r>
          </w:p>
        </w:tc>
        <w:tc>
          <w:tcPr>
            <w:tcW w:w="2681" w:type="dxa"/>
            <w:vAlign w:val="bottom"/>
          </w:tcPr>
          <w:p w14:paraId="546C4454"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0,41</w:t>
            </w:r>
          </w:p>
        </w:tc>
      </w:tr>
      <w:tr w:rsidR="00194EE3" w:rsidRPr="00194EE3" w14:paraId="675B8E3E" w14:textId="77777777" w:rsidTr="00F44D2B">
        <w:tc>
          <w:tcPr>
            <w:tcW w:w="6521" w:type="dxa"/>
            <w:vAlign w:val="bottom"/>
          </w:tcPr>
          <w:p w14:paraId="2D7285A1" w14:textId="77777777" w:rsidR="00194EE3" w:rsidRPr="00194EE3" w:rsidRDefault="00194EE3" w:rsidP="00F44D2B">
            <w:pPr>
              <w:pStyle w:val="N-FNEEQ"/>
              <w:spacing w:before="40" w:after="40"/>
              <w:ind w:left="597"/>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CEC de Lac-Mégantic</w:t>
            </w:r>
          </w:p>
        </w:tc>
        <w:tc>
          <w:tcPr>
            <w:tcW w:w="2681" w:type="dxa"/>
            <w:vAlign w:val="bottom"/>
          </w:tcPr>
          <w:p w14:paraId="1D7D34B4"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0,04</w:t>
            </w:r>
          </w:p>
        </w:tc>
      </w:tr>
      <w:tr w:rsidR="00194EE3" w:rsidRPr="00194EE3" w14:paraId="3FAF88D7" w14:textId="77777777" w:rsidTr="00F44D2B">
        <w:tc>
          <w:tcPr>
            <w:tcW w:w="6521" w:type="dxa"/>
            <w:vAlign w:val="bottom"/>
          </w:tcPr>
          <w:p w14:paraId="3E6CCAD9"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Champlain à Saint-Lambert</w:t>
            </w:r>
          </w:p>
        </w:tc>
        <w:tc>
          <w:tcPr>
            <w:tcW w:w="2681" w:type="dxa"/>
            <w:vAlign w:val="bottom"/>
          </w:tcPr>
          <w:p w14:paraId="6EAEB701"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0,50</w:t>
            </w:r>
          </w:p>
        </w:tc>
      </w:tr>
      <w:tr w:rsidR="00E070A2" w:rsidRPr="00194EE3" w14:paraId="626F3F69" w14:textId="77777777" w:rsidTr="00F44D2B">
        <w:tc>
          <w:tcPr>
            <w:tcW w:w="6521" w:type="dxa"/>
            <w:vAlign w:val="bottom"/>
          </w:tcPr>
          <w:p w14:paraId="2801A5AA" w14:textId="4F6FA0E3" w:rsidR="00E070A2" w:rsidRPr="00194EE3" w:rsidRDefault="00E070A2"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Champlain St-Lawrence</w:t>
            </w:r>
          </w:p>
        </w:tc>
        <w:tc>
          <w:tcPr>
            <w:tcW w:w="2681" w:type="dxa"/>
            <w:vAlign w:val="bottom"/>
          </w:tcPr>
          <w:p w14:paraId="623D3D8D" w14:textId="7C47117D" w:rsidR="00E070A2" w:rsidRPr="00316277" w:rsidRDefault="0006633D"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194EE3" w14:paraId="6F3EB268" w14:textId="77777777" w:rsidTr="00F44D2B">
        <w:tc>
          <w:tcPr>
            <w:tcW w:w="6521" w:type="dxa"/>
            <w:vAlign w:val="bottom"/>
          </w:tcPr>
          <w:p w14:paraId="4C21741A"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Chicoutimi</w:t>
            </w:r>
          </w:p>
        </w:tc>
        <w:tc>
          <w:tcPr>
            <w:tcW w:w="2681" w:type="dxa"/>
            <w:vAlign w:val="bottom"/>
          </w:tcPr>
          <w:p w14:paraId="3A6FD4AD"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0,72</w:t>
            </w:r>
          </w:p>
        </w:tc>
      </w:tr>
      <w:tr w:rsidR="00194EE3" w:rsidRPr="00194EE3" w14:paraId="3340EF15" w14:textId="77777777" w:rsidTr="00F44D2B">
        <w:tc>
          <w:tcPr>
            <w:tcW w:w="6521" w:type="dxa"/>
            <w:vAlign w:val="bottom"/>
          </w:tcPr>
          <w:p w14:paraId="534F3D83" w14:textId="77777777" w:rsidR="00194EE3" w:rsidRPr="00194EE3" w:rsidRDefault="00194EE3" w:rsidP="00F44D2B">
            <w:pPr>
              <w:pStyle w:val="N-FNEEQ"/>
              <w:spacing w:before="40" w:after="40"/>
              <w:ind w:left="597"/>
              <w:rPr>
                <w:rFonts w:ascii="Arial" w:hAnsi="Arial" w:cs="Arial"/>
                <w:color w:val="000000"/>
                <w:sz w:val="24"/>
                <w:szCs w:val="24"/>
                <w:highlight w:val="lightGray"/>
              </w:rPr>
            </w:pPr>
            <w:r w:rsidRPr="00316277">
              <w:rPr>
                <w:rFonts w:ascii="Arial" w:hAnsi="Arial" w:cs="Arial"/>
                <w:color w:val="000000"/>
                <w:sz w:val="24"/>
                <w:szCs w:val="24"/>
              </w:rPr>
              <w:t>Centre québécois de formation en aéronautique</w:t>
            </w:r>
          </w:p>
        </w:tc>
        <w:tc>
          <w:tcPr>
            <w:tcW w:w="2681" w:type="dxa"/>
            <w:vAlign w:val="bottom"/>
          </w:tcPr>
          <w:p w14:paraId="21F79CA3"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194EE3" w14:paraId="62125020" w14:textId="77777777" w:rsidTr="00F44D2B">
        <w:tc>
          <w:tcPr>
            <w:tcW w:w="6521" w:type="dxa"/>
            <w:vAlign w:val="bottom"/>
          </w:tcPr>
          <w:p w14:paraId="5D20D89C"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Dawson</w:t>
            </w:r>
          </w:p>
        </w:tc>
        <w:tc>
          <w:tcPr>
            <w:tcW w:w="2681" w:type="dxa"/>
            <w:vAlign w:val="bottom"/>
          </w:tcPr>
          <w:p w14:paraId="5022CCA9"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1,10</w:t>
            </w:r>
          </w:p>
        </w:tc>
      </w:tr>
      <w:tr w:rsidR="00194EE3" w:rsidRPr="00194EE3" w14:paraId="65A05C80" w14:textId="77777777" w:rsidTr="00F44D2B">
        <w:tc>
          <w:tcPr>
            <w:tcW w:w="6521" w:type="dxa"/>
            <w:vAlign w:val="bottom"/>
          </w:tcPr>
          <w:p w14:paraId="7398C891"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Édouard Montpetit</w:t>
            </w:r>
          </w:p>
        </w:tc>
        <w:tc>
          <w:tcPr>
            <w:tcW w:w="2681" w:type="dxa"/>
            <w:vAlign w:val="bottom"/>
          </w:tcPr>
          <w:p w14:paraId="475366ED"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1,35</w:t>
            </w:r>
          </w:p>
        </w:tc>
      </w:tr>
      <w:tr w:rsidR="00194EE3" w:rsidRPr="00194EE3" w14:paraId="360A4D85" w14:textId="77777777" w:rsidTr="00F44D2B">
        <w:tc>
          <w:tcPr>
            <w:tcW w:w="6521" w:type="dxa"/>
            <w:vAlign w:val="bottom"/>
          </w:tcPr>
          <w:p w14:paraId="54098280"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Garneau</w:t>
            </w:r>
          </w:p>
        </w:tc>
        <w:tc>
          <w:tcPr>
            <w:tcW w:w="2681" w:type="dxa"/>
            <w:vAlign w:val="bottom"/>
          </w:tcPr>
          <w:p w14:paraId="0BE046D7"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2,47</w:t>
            </w:r>
          </w:p>
        </w:tc>
      </w:tr>
      <w:tr w:rsidR="00194EE3" w:rsidRPr="00194EE3" w14:paraId="392DF2DE" w14:textId="77777777" w:rsidTr="00F44D2B">
        <w:tc>
          <w:tcPr>
            <w:tcW w:w="6521" w:type="dxa"/>
            <w:vAlign w:val="bottom"/>
          </w:tcPr>
          <w:p w14:paraId="444CAF9F"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Gaspésie des Îles</w:t>
            </w:r>
          </w:p>
        </w:tc>
        <w:tc>
          <w:tcPr>
            <w:tcW w:w="2681" w:type="dxa"/>
            <w:vAlign w:val="bottom"/>
          </w:tcPr>
          <w:p w14:paraId="4CFA4B77" w14:textId="5035F3A4" w:rsidR="00194EE3" w:rsidRPr="00316277" w:rsidRDefault="00194EE3" w:rsidP="00F44D2B">
            <w:pPr>
              <w:pStyle w:val="N-FNEEQ"/>
              <w:spacing w:before="40" w:after="40"/>
              <w:ind w:left="33"/>
              <w:jc w:val="center"/>
              <w:rPr>
                <w:rFonts w:ascii="Arial" w:hAnsi="Arial" w:cs="Arial"/>
                <w:color w:val="000000"/>
                <w:sz w:val="24"/>
                <w:szCs w:val="24"/>
              </w:rPr>
            </w:pPr>
          </w:p>
        </w:tc>
      </w:tr>
      <w:tr w:rsidR="00194EE3" w:rsidRPr="00194EE3" w14:paraId="39FAFEEE" w14:textId="77777777" w:rsidTr="00F44D2B">
        <w:tc>
          <w:tcPr>
            <w:tcW w:w="6521" w:type="dxa"/>
            <w:vAlign w:val="bottom"/>
          </w:tcPr>
          <w:p w14:paraId="32CAF1EF" w14:textId="77777777" w:rsidR="00194EE3" w:rsidRPr="00194EE3" w:rsidRDefault="00194EE3" w:rsidP="00F44D2B">
            <w:pPr>
              <w:pStyle w:val="N-FNEEQ"/>
              <w:spacing w:before="40" w:after="40"/>
              <w:ind w:left="597"/>
              <w:rPr>
                <w:rFonts w:ascii="Arial" w:hAnsi="Arial" w:cs="Arial"/>
                <w:color w:val="000000"/>
                <w:sz w:val="24"/>
                <w:szCs w:val="24"/>
                <w:highlight w:val="lightGray"/>
              </w:rPr>
            </w:pPr>
            <w:r w:rsidRPr="00316277">
              <w:rPr>
                <w:rFonts w:ascii="Arial" w:hAnsi="Arial" w:cs="Arial"/>
                <w:color w:val="000000"/>
                <w:sz w:val="24"/>
                <w:szCs w:val="24"/>
              </w:rPr>
              <w:t>CEC Carleton-sur-Mer</w:t>
            </w:r>
          </w:p>
        </w:tc>
        <w:tc>
          <w:tcPr>
            <w:tcW w:w="2681" w:type="dxa"/>
            <w:vAlign w:val="bottom"/>
          </w:tcPr>
          <w:p w14:paraId="2EB03C03"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194EE3" w14:paraId="5F47F209" w14:textId="77777777" w:rsidTr="00F44D2B">
        <w:tc>
          <w:tcPr>
            <w:tcW w:w="6521" w:type="dxa"/>
            <w:vAlign w:val="bottom"/>
          </w:tcPr>
          <w:p w14:paraId="6D12C102" w14:textId="77777777" w:rsidR="00194EE3" w:rsidRPr="00194EE3" w:rsidRDefault="00194EE3" w:rsidP="00F44D2B">
            <w:pPr>
              <w:pStyle w:val="N-FNEEQ"/>
              <w:spacing w:before="40" w:after="40"/>
              <w:ind w:left="597"/>
              <w:rPr>
                <w:rFonts w:ascii="Arial" w:hAnsi="Arial" w:cs="Arial"/>
                <w:color w:val="000000"/>
                <w:sz w:val="24"/>
                <w:szCs w:val="24"/>
                <w:highlight w:val="lightGray"/>
              </w:rPr>
            </w:pPr>
            <w:r w:rsidRPr="00316277">
              <w:rPr>
                <w:rFonts w:ascii="Arial" w:hAnsi="Arial" w:cs="Arial"/>
                <w:color w:val="000000"/>
                <w:sz w:val="24"/>
                <w:szCs w:val="24"/>
              </w:rPr>
              <w:t>École des pêches et de l’aquaculture du Québec</w:t>
            </w:r>
          </w:p>
        </w:tc>
        <w:tc>
          <w:tcPr>
            <w:tcW w:w="2681" w:type="dxa"/>
            <w:vAlign w:val="bottom"/>
          </w:tcPr>
          <w:p w14:paraId="03834DAF"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194EE3" w14:paraId="26B8024C" w14:textId="77777777" w:rsidTr="00F44D2B">
        <w:tc>
          <w:tcPr>
            <w:tcW w:w="6521" w:type="dxa"/>
            <w:vAlign w:val="bottom"/>
          </w:tcPr>
          <w:p w14:paraId="661D3DB3"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Granby</w:t>
            </w:r>
          </w:p>
        </w:tc>
        <w:tc>
          <w:tcPr>
            <w:tcW w:w="2681" w:type="dxa"/>
            <w:vAlign w:val="bottom"/>
          </w:tcPr>
          <w:p w14:paraId="0AD4F497"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0,75</w:t>
            </w:r>
          </w:p>
        </w:tc>
      </w:tr>
      <w:tr w:rsidR="00194EE3" w:rsidRPr="00194EE3" w14:paraId="327C2861" w14:textId="77777777" w:rsidTr="00F44D2B">
        <w:tc>
          <w:tcPr>
            <w:tcW w:w="6521" w:type="dxa"/>
            <w:vAlign w:val="bottom"/>
          </w:tcPr>
          <w:p w14:paraId="7C3CF559"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Heritage</w:t>
            </w:r>
          </w:p>
        </w:tc>
        <w:tc>
          <w:tcPr>
            <w:tcW w:w="2681" w:type="dxa"/>
            <w:vAlign w:val="bottom"/>
          </w:tcPr>
          <w:p w14:paraId="499D4C12"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0,39</w:t>
            </w:r>
          </w:p>
        </w:tc>
      </w:tr>
      <w:tr w:rsidR="00194EE3" w:rsidRPr="00194EE3" w14:paraId="2618CD7F" w14:textId="77777777" w:rsidTr="00F44D2B">
        <w:tc>
          <w:tcPr>
            <w:tcW w:w="6521" w:type="dxa"/>
            <w:vAlign w:val="bottom"/>
          </w:tcPr>
          <w:p w14:paraId="6025E2E9"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John Abbott</w:t>
            </w:r>
          </w:p>
        </w:tc>
        <w:tc>
          <w:tcPr>
            <w:tcW w:w="2681" w:type="dxa"/>
            <w:vAlign w:val="bottom"/>
          </w:tcPr>
          <w:p w14:paraId="287EDE09"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0,98</w:t>
            </w:r>
          </w:p>
        </w:tc>
      </w:tr>
      <w:tr w:rsidR="00194EE3" w:rsidRPr="00194EE3" w14:paraId="4126C9B8" w14:textId="77777777" w:rsidTr="00F44D2B">
        <w:tc>
          <w:tcPr>
            <w:tcW w:w="6521" w:type="dxa"/>
            <w:vAlign w:val="bottom"/>
          </w:tcPr>
          <w:p w14:paraId="20904CE4"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Jonquière</w:t>
            </w:r>
          </w:p>
        </w:tc>
        <w:tc>
          <w:tcPr>
            <w:tcW w:w="2681" w:type="dxa"/>
            <w:vAlign w:val="bottom"/>
          </w:tcPr>
          <w:p w14:paraId="5AE292CE"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0,35</w:t>
            </w:r>
          </w:p>
        </w:tc>
      </w:tr>
      <w:tr w:rsidR="00194EE3" w:rsidRPr="00194EE3" w14:paraId="2AA2A40A" w14:textId="77777777" w:rsidTr="00F44D2B">
        <w:tc>
          <w:tcPr>
            <w:tcW w:w="6521" w:type="dxa"/>
            <w:vAlign w:val="bottom"/>
          </w:tcPr>
          <w:p w14:paraId="08156C5E" w14:textId="77777777" w:rsidR="00194EE3" w:rsidRPr="00194EE3" w:rsidRDefault="00194EE3" w:rsidP="00F44D2B">
            <w:pPr>
              <w:pStyle w:val="N-FNEEQ"/>
              <w:spacing w:before="40" w:after="40"/>
              <w:ind w:left="597"/>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CEC en Charlevoix</w:t>
            </w:r>
          </w:p>
        </w:tc>
        <w:tc>
          <w:tcPr>
            <w:tcW w:w="2681" w:type="dxa"/>
            <w:vAlign w:val="bottom"/>
          </w:tcPr>
          <w:p w14:paraId="38EB016E"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0,08</w:t>
            </w:r>
          </w:p>
        </w:tc>
      </w:tr>
      <w:tr w:rsidR="00194EE3" w:rsidRPr="00194EE3" w14:paraId="384829A9" w14:textId="77777777" w:rsidTr="00F44D2B">
        <w:tc>
          <w:tcPr>
            <w:tcW w:w="6521" w:type="dxa"/>
            <w:vAlign w:val="bottom"/>
          </w:tcPr>
          <w:p w14:paraId="3C7BED9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La Pocatière</w:t>
            </w:r>
          </w:p>
        </w:tc>
        <w:tc>
          <w:tcPr>
            <w:tcW w:w="2681" w:type="dxa"/>
            <w:vAlign w:val="bottom"/>
          </w:tcPr>
          <w:p w14:paraId="7957CC5E"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0,21</w:t>
            </w:r>
          </w:p>
        </w:tc>
      </w:tr>
      <w:tr w:rsidR="00194EE3" w:rsidRPr="00194EE3" w14:paraId="7ECC99B9" w14:textId="77777777" w:rsidTr="00F44D2B">
        <w:tc>
          <w:tcPr>
            <w:tcW w:w="6521" w:type="dxa"/>
            <w:vAlign w:val="bottom"/>
          </w:tcPr>
          <w:p w14:paraId="43730772" w14:textId="77777777" w:rsidR="00194EE3" w:rsidRPr="00194EE3" w:rsidRDefault="00194EE3" w:rsidP="00F44D2B">
            <w:pPr>
              <w:pStyle w:val="N-FNEEQ"/>
              <w:spacing w:before="40" w:after="40"/>
              <w:ind w:left="458" w:firstLine="142"/>
              <w:rPr>
                <w:rFonts w:ascii="Arial" w:hAnsi="Arial" w:cs="Arial"/>
                <w:color w:val="000000"/>
                <w:sz w:val="24"/>
                <w:szCs w:val="24"/>
                <w:highlight w:val="lightGray"/>
              </w:rPr>
            </w:pPr>
            <w:r w:rsidRPr="00316277">
              <w:rPr>
                <w:rFonts w:ascii="Arial" w:hAnsi="Arial" w:cs="Arial"/>
                <w:color w:val="000000"/>
                <w:sz w:val="24"/>
                <w:szCs w:val="24"/>
              </w:rPr>
              <w:t>CEC de Montmagny</w:t>
            </w:r>
          </w:p>
        </w:tc>
        <w:tc>
          <w:tcPr>
            <w:tcW w:w="2681" w:type="dxa"/>
            <w:vAlign w:val="bottom"/>
          </w:tcPr>
          <w:p w14:paraId="2EF16C18"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B678B5" w14:paraId="378A4406" w14:textId="77777777" w:rsidTr="00F44D2B">
        <w:tc>
          <w:tcPr>
            <w:tcW w:w="6521" w:type="dxa"/>
            <w:vAlign w:val="bottom"/>
          </w:tcPr>
          <w:p w14:paraId="0A325994"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Lévis</w:t>
            </w:r>
          </w:p>
        </w:tc>
        <w:tc>
          <w:tcPr>
            <w:tcW w:w="2681" w:type="dxa"/>
            <w:vAlign w:val="bottom"/>
          </w:tcPr>
          <w:p w14:paraId="48A3308C"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0,99</w:t>
            </w:r>
          </w:p>
        </w:tc>
      </w:tr>
      <w:tr w:rsidR="00664F19" w:rsidRPr="00B678B5" w14:paraId="7E525620" w14:textId="77777777" w:rsidTr="006A55B8">
        <w:tc>
          <w:tcPr>
            <w:tcW w:w="6521" w:type="dxa"/>
            <w:vAlign w:val="bottom"/>
          </w:tcPr>
          <w:p w14:paraId="762542FA" w14:textId="77777777" w:rsidR="00664F19" w:rsidRPr="00194EE3" w:rsidRDefault="00664F19" w:rsidP="006A55B8">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Limoilou</w:t>
            </w:r>
          </w:p>
        </w:tc>
        <w:tc>
          <w:tcPr>
            <w:tcW w:w="2681" w:type="dxa"/>
            <w:vAlign w:val="bottom"/>
          </w:tcPr>
          <w:p w14:paraId="0E8779A5" w14:textId="77777777" w:rsidR="00664F19" w:rsidRPr="00316277" w:rsidRDefault="00664F19" w:rsidP="006A55B8">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1,16</w:t>
            </w:r>
          </w:p>
        </w:tc>
      </w:tr>
      <w:tr w:rsidR="00194EE3" w:rsidRPr="00B678B5" w14:paraId="57669945" w14:textId="77777777" w:rsidTr="00F44D2B">
        <w:tc>
          <w:tcPr>
            <w:tcW w:w="6521" w:type="dxa"/>
            <w:vAlign w:val="center"/>
          </w:tcPr>
          <w:p w14:paraId="4E6079DD" w14:textId="77777777" w:rsidR="00194EE3" w:rsidRPr="00194EE3" w:rsidRDefault="00194EE3" w:rsidP="00F44D2B">
            <w:pPr>
              <w:pStyle w:val="N-FNEEQ"/>
              <w:spacing w:before="40" w:after="40"/>
              <w:ind w:left="23"/>
              <w:jc w:val="center"/>
              <w:rPr>
                <w:rFonts w:ascii="Arial" w:hAnsi="Arial" w:cs="Arial"/>
                <w:color w:val="000000"/>
                <w:sz w:val="24"/>
                <w:szCs w:val="24"/>
                <w:highlight w:val="lightGray"/>
              </w:rPr>
            </w:pPr>
            <w:r w:rsidRPr="00316277">
              <w:rPr>
                <w:rFonts w:ascii="Arial" w:eastAsia="Times New Roman" w:hAnsi="Arial" w:cs="Times New Roman"/>
                <w:b/>
                <w:caps/>
                <w:snapToGrid w:val="0"/>
                <w:color w:val="auto"/>
                <w:sz w:val="24"/>
                <w:u w:val="single"/>
                <w:lang w:eastAsia="fr-FR"/>
              </w:rPr>
              <w:t>Collège ou campus</w:t>
            </w:r>
          </w:p>
        </w:tc>
        <w:tc>
          <w:tcPr>
            <w:tcW w:w="2681" w:type="dxa"/>
            <w:vAlign w:val="center"/>
          </w:tcPr>
          <w:p w14:paraId="662FEB66"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eastAsia="Times New Roman" w:hAnsi="Arial" w:cs="Times New Roman"/>
                <w:b/>
                <w:caps/>
                <w:snapToGrid w:val="0"/>
                <w:color w:val="auto"/>
                <w:sz w:val="24"/>
                <w:u w:val="single"/>
                <w:lang w:eastAsia="fr-FR"/>
              </w:rPr>
              <w:t>Allocation</w:t>
            </w:r>
            <w:r w:rsidRPr="00316277">
              <w:rPr>
                <w:rStyle w:val="FootnoteReference"/>
                <w:rFonts w:ascii="Arial" w:eastAsia="Times New Roman" w:hAnsi="Arial" w:cs="Times New Roman"/>
                <w:b/>
                <w:caps/>
                <w:snapToGrid w:val="0"/>
                <w:color w:val="auto"/>
                <w:sz w:val="24"/>
                <w:lang w:eastAsia="fr-FR"/>
              </w:rPr>
              <w:footnoteReference w:id="53"/>
            </w:r>
          </w:p>
        </w:tc>
      </w:tr>
      <w:tr w:rsidR="00194EE3" w:rsidRPr="00B678B5" w14:paraId="77A5D7BE" w14:textId="77777777" w:rsidTr="00F44D2B">
        <w:tc>
          <w:tcPr>
            <w:tcW w:w="6521" w:type="dxa"/>
            <w:vAlign w:val="bottom"/>
          </w:tcPr>
          <w:p w14:paraId="746DF8C7"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Lionel-Groulx</w:t>
            </w:r>
          </w:p>
        </w:tc>
        <w:tc>
          <w:tcPr>
            <w:tcW w:w="2681" w:type="dxa"/>
            <w:vAlign w:val="bottom"/>
          </w:tcPr>
          <w:p w14:paraId="39EDECE5"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0,86</w:t>
            </w:r>
          </w:p>
        </w:tc>
      </w:tr>
      <w:tr w:rsidR="00194EE3" w:rsidRPr="00B678B5" w14:paraId="73B6D521" w14:textId="77777777" w:rsidTr="00F44D2B">
        <w:tc>
          <w:tcPr>
            <w:tcW w:w="6521" w:type="dxa"/>
            <w:vAlign w:val="bottom"/>
          </w:tcPr>
          <w:p w14:paraId="305289F6"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Maisonneuve</w:t>
            </w:r>
          </w:p>
        </w:tc>
        <w:tc>
          <w:tcPr>
            <w:tcW w:w="2681" w:type="dxa"/>
            <w:vAlign w:val="bottom"/>
          </w:tcPr>
          <w:p w14:paraId="6983789C"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1,25</w:t>
            </w:r>
          </w:p>
        </w:tc>
      </w:tr>
      <w:tr w:rsidR="00194EE3" w:rsidRPr="00B678B5" w14:paraId="06A08721" w14:textId="77777777" w:rsidTr="00F44D2B">
        <w:tc>
          <w:tcPr>
            <w:tcW w:w="6521" w:type="dxa"/>
            <w:vAlign w:val="bottom"/>
          </w:tcPr>
          <w:p w14:paraId="481B58BC"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Marie</w:t>
            </w:r>
            <w:r w:rsidRPr="00316277">
              <w:rPr>
                <w:rFonts w:ascii="Cambria Math" w:hAnsi="Cambria Math" w:cs="Cambria Math"/>
                <w:color w:val="000000"/>
                <w:sz w:val="24"/>
                <w:szCs w:val="24"/>
              </w:rPr>
              <w:t>‑</w:t>
            </w:r>
            <w:r w:rsidRPr="00316277">
              <w:rPr>
                <w:rFonts w:ascii="Arial" w:hAnsi="Arial" w:cs="Arial"/>
                <w:color w:val="000000"/>
                <w:sz w:val="24"/>
                <w:szCs w:val="24"/>
              </w:rPr>
              <w:t>Victorin</w:t>
            </w:r>
          </w:p>
        </w:tc>
        <w:tc>
          <w:tcPr>
            <w:tcW w:w="2681" w:type="dxa"/>
            <w:vAlign w:val="bottom"/>
          </w:tcPr>
          <w:p w14:paraId="5C2806FA"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B678B5" w14:paraId="203E23D1" w14:textId="77777777" w:rsidTr="00F44D2B">
        <w:tc>
          <w:tcPr>
            <w:tcW w:w="6521" w:type="dxa"/>
            <w:vAlign w:val="bottom"/>
          </w:tcPr>
          <w:p w14:paraId="576CBC74"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Montmorency</w:t>
            </w:r>
          </w:p>
        </w:tc>
        <w:tc>
          <w:tcPr>
            <w:tcW w:w="2681" w:type="dxa"/>
            <w:vAlign w:val="bottom"/>
          </w:tcPr>
          <w:p w14:paraId="01868237"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1,82</w:t>
            </w:r>
          </w:p>
        </w:tc>
      </w:tr>
      <w:tr w:rsidR="00194EE3" w:rsidRPr="00B678B5" w14:paraId="0817C45B" w14:textId="77777777" w:rsidTr="00F44D2B">
        <w:tc>
          <w:tcPr>
            <w:tcW w:w="6521" w:type="dxa"/>
            <w:vAlign w:val="bottom"/>
          </w:tcPr>
          <w:p w14:paraId="0AF0C65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Outaouais</w:t>
            </w:r>
          </w:p>
        </w:tc>
        <w:tc>
          <w:tcPr>
            <w:tcW w:w="2681" w:type="dxa"/>
            <w:vAlign w:val="bottom"/>
          </w:tcPr>
          <w:p w14:paraId="51F6E764"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0,84</w:t>
            </w:r>
          </w:p>
        </w:tc>
      </w:tr>
      <w:tr w:rsidR="00194EE3" w:rsidRPr="00B678B5" w14:paraId="5D06B51C" w14:textId="77777777" w:rsidTr="00F44D2B">
        <w:tc>
          <w:tcPr>
            <w:tcW w:w="6521" w:type="dxa"/>
            <w:vAlign w:val="bottom"/>
          </w:tcPr>
          <w:p w14:paraId="12D48AC3"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Régional de Lanaudière à Joliette</w:t>
            </w:r>
          </w:p>
        </w:tc>
        <w:tc>
          <w:tcPr>
            <w:tcW w:w="2681" w:type="dxa"/>
            <w:vAlign w:val="bottom"/>
          </w:tcPr>
          <w:p w14:paraId="7EDC1B0D"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1,28</w:t>
            </w:r>
          </w:p>
        </w:tc>
      </w:tr>
      <w:tr w:rsidR="00194EE3" w:rsidRPr="00B678B5" w14:paraId="2D2D9A8F" w14:textId="77777777" w:rsidTr="00F44D2B">
        <w:tc>
          <w:tcPr>
            <w:tcW w:w="6521" w:type="dxa"/>
            <w:vAlign w:val="bottom"/>
          </w:tcPr>
          <w:p w14:paraId="655EE8E2"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Régional de Lanaudière à L’Assomption</w:t>
            </w:r>
          </w:p>
        </w:tc>
        <w:tc>
          <w:tcPr>
            <w:tcW w:w="2681" w:type="dxa"/>
            <w:vAlign w:val="bottom"/>
          </w:tcPr>
          <w:p w14:paraId="05190DA8"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B678B5" w14:paraId="24512DFB" w14:textId="77777777" w:rsidTr="00F44D2B">
        <w:tc>
          <w:tcPr>
            <w:tcW w:w="6521" w:type="dxa"/>
            <w:vAlign w:val="bottom"/>
          </w:tcPr>
          <w:p w14:paraId="498F2016"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Régional de Lanaudière à Terrebonne</w:t>
            </w:r>
          </w:p>
        </w:tc>
        <w:tc>
          <w:tcPr>
            <w:tcW w:w="2681" w:type="dxa"/>
            <w:vAlign w:val="bottom"/>
          </w:tcPr>
          <w:p w14:paraId="12CED86B"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B678B5" w14:paraId="35AD281B" w14:textId="77777777" w:rsidTr="00F44D2B">
        <w:tc>
          <w:tcPr>
            <w:tcW w:w="6521" w:type="dxa"/>
            <w:vAlign w:val="bottom"/>
          </w:tcPr>
          <w:p w14:paraId="595DB6F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Rosemont</w:t>
            </w:r>
          </w:p>
        </w:tc>
        <w:tc>
          <w:tcPr>
            <w:tcW w:w="2681" w:type="dxa"/>
            <w:vAlign w:val="bottom"/>
          </w:tcPr>
          <w:p w14:paraId="7B42330B"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0,55</w:t>
            </w:r>
          </w:p>
        </w:tc>
      </w:tr>
      <w:tr w:rsidR="00194EE3" w:rsidRPr="00B678B5" w14:paraId="60E911B2" w14:textId="77777777" w:rsidTr="00F44D2B">
        <w:tc>
          <w:tcPr>
            <w:tcW w:w="6521" w:type="dxa"/>
          </w:tcPr>
          <w:p w14:paraId="4EE85811" w14:textId="77777777" w:rsidR="00194EE3" w:rsidRPr="00194EE3" w:rsidRDefault="00194EE3" w:rsidP="00F44D2B">
            <w:pPr>
              <w:pStyle w:val="N-FNEEQ"/>
              <w:spacing w:before="40" w:after="40"/>
              <w:ind w:left="23"/>
              <w:rPr>
                <w:rFonts w:ascii="Arial" w:hAnsi="Arial" w:cs="Arial"/>
                <w:color w:val="auto"/>
                <w:sz w:val="24"/>
                <w:szCs w:val="24"/>
                <w:highlight w:val="lightGray"/>
              </w:rPr>
            </w:pPr>
            <w:r w:rsidRPr="00316277">
              <w:rPr>
                <w:rFonts w:ascii="Arial" w:hAnsi="Arial" w:cs="Arial"/>
                <w:color w:val="auto"/>
                <w:sz w:val="24"/>
                <w:szCs w:val="24"/>
              </w:rPr>
              <w:t>Saint-Félicien</w:t>
            </w:r>
          </w:p>
        </w:tc>
        <w:tc>
          <w:tcPr>
            <w:tcW w:w="2681" w:type="dxa"/>
          </w:tcPr>
          <w:p w14:paraId="42877039" w14:textId="77777777" w:rsidR="00194EE3" w:rsidRPr="00316277" w:rsidRDefault="00194EE3" w:rsidP="00F44D2B">
            <w:pPr>
              <w:pStyle w:val="N-FNEEQ"/>
              <w:spacing w:before="40" w:after="40"/>
              <w:ind w:left="33"/>
              <w:jc w:val="center"/>
              <w:rPr>
                <w:rFonts w:ascii="Arial" w:hAnsi="Arial" w:cs="Arial"/>
                <w:color w:val="auto"/>
                <w:sz w:val="24"/>
                <w:szCs w:val="24"/>
              </w:rPr>
            </w:pPr>
            <w:r w:rsidRPr="00316277">
              <w:rPr>
                <w:rFonts w:ascii="Arial" w:hAnsi="Arial" w:cs="Arial"/>
                <w:color w:val="auto"/>
                <w:sz w:val="24"/>
                <w:szCs w:val="24"/>
              </w:rPr>
              <w:t>0,25</w:t>
            </w:r>
          </w:p>
        </w:tc>
      </w:tr>
      <w:tr w:rsidR="00194EE3" w:rsidRPr="00B678B5" w14:paraId="54D81AA1" w14:textId="77777777" w:rsidTr="00F44D2B">
        <w:tc>
          <w:tcPr>
            <w:tcW w:w="6521" w:type="dxa"/>
          </w:tcPr>
          <w:p w14:paraId="6858D572" w14:textId="77777777" w:rsidR="00194EE3" w:rsidRPr="00194EE3" w:rsidRDefault="00194EE3" w:rsidP="00F44D2B">
            <w:pPr>
              <w:pStyle w:val="N-FNEEQ"/>
              <w:spacing w:before="40" w:after="40"/>
              <w:ind w:left="600"/>
              <w:rPr>
                <w:rFonts w:ascii="Arial" w:hAnsi="Arial" w:cs="Arial"/>
                <w:color w:val="auto"/>
                <w:sz w:val="24"/>
                <w:szCs w:val="24"/>
                <w:highlight w:val="lightGray"/>
              </w:rPr>
            </w:pPr>
            <w:r w:rsidRPr="00316277">
              <w:rPr>
                <w:rFonts w:ascii="Arial" w:hAnsi="Arial" w:cs="Arial"/>
                <w:color w:val="auto"/>
                <w:sz w:val="24"/>
                <w:szCs w:val="24"/>
              </w:rPr>
              <w:t>CEC à Chibougamau</w:t>
            </w:r>
          </w:p>
        </w:tc>
        <w:tc>
          <w:tcPr>
            <w:tcW w:w="2681" w:type="dxa"/>
          </w:tcPr>
          <w:p w14:paraId="330152F4" w14:textId="77777777" w:rsidR="00194EE3" w:rsidRPr="00316277" w:rsidRDefault="00194EE3" w:rsidP="00F44D2B">
            <w:pPr>
              <w:pStyle w:val="N-FNEEQ"/>
              <w:spacing w:before="40" w:after="40"/>
              <w:ind w:left="33"/>
              <w:jc w:val="center"/>
              <w:rPr>
                <w:rFonts w:ascii="Arial" w:hAnsi="Arial" w:cs="Arial"/>
                <w:color w:val="auto"/>
                <w:sz w:val="24"/>
                <w:szCs w:val="24"/>
              </w:rPr>
            </w:pPr>
            <w:r w:rsidRPr="00316277">
              <w:rPr>
                <w:rFonts w:ascii="Arial" w:hAnsi="Arial" w:cs="Arial"/>
                <w:color w:val="auto"/>
                <w:sz w:val="24"/>
                <w:szCs w:val="24"/>
              </w:rPr>
              <w:t>0,04</w:t>
            </w:r>
          </w:p>
        </w:tc>
      </w:tr>
      <w:tr w:rsidR="00194EE3" w:rsidRPr="00B678B5" w14:paraId="7AEF440C" w14:textId="77777777" w:rsidTr="00F44D2B">
        <w:tc>
          <w:tcPr>
            <w:tcW w:w="6521" w:type="dxa"/>
          </w:tcPr>
          <w:p w14:paraId="018270FA" w14:textId="77777777" w:rsidR="00194EE3" w:rsidRPr="00194EE3" w:rsidRDefault="00194EE3" w:rsidP="00F44D2B">
            <w:pPr>
              <w:pStyle w:val="N-FNEEQ"/>
              <w:spacing w:before="40" w:after="40"/>
              <w:ind w:left="0"/>
              <w:rPr>
                <w:rFonts w:ascii="Arial" w:hAnsi="Arial" w:cs="Arial"/>
                <w:color w:val="auto"/>
                <w:sz w:val="24"/>
                <w:szCs w:val="24"/>
                <w:highlight w:val="lightGray"/>
              </w:rPr>
            </w:pPr>
            <w:r w:rsidRPr="00316277">
              <w:rPr>
                <w:rFonts w:ascii="Arial" w:hAnsi="Arial" w:cs="Arial"/>
                <w:color w:val="auto"/>
                <w:sz w:val="24"/>
                <w:szCs w:val="24"/>
              </w:rPr>
              <w:t>Saint-Hyacinthe</w:t>
            </w:r>
          </w:p>
        </w:tc>
        <w:tc>
          <w:tcPr>
            <w:tcW w:w="2681" w:type="dxa"/>
          </w:tcPr>
          <w:p w14:paraId="0434DC2C" w14:textId="77777777" w:rsidR="00194EE3" w:rsidRPr="00316277" w:rsidRDefault="00194EE3" w:rsidP="00F44D2B">
            <w:pPr>
              <w:pStyle w:val="N-FNEEQ"/>
              <w:spacing w:before="40" w:after="40"/>
              <w:ind w:left="33"/>
              <w:jc w:val="center"/>
              <w:rPr>
                <w:rFonts w:ascii="Arial" w:hAnsi="Arial" w:cs="Arial"/>
                <w:color w:val="auto"/>
                <w:sz w:val="24"/>
                <w:szCs w:val="24"/>
              </w:rPr>
            </w:pPr>
            <w:r w:rsidRPr="00316277">
              <w:rPr>
                <w:rFonts w:ascii="Arial" w:hAnsi="Arial" w:cs="Arial"/>
                <w:color w:val="000000"/>
                <w:sz w:val="24"/>
                <w:szCs w:val="24"/>
              </w:rPr>
              <w:t>1,01</w:t>
            </w:r>
          </w:p>
        </w:tc>
      </w:tr>
      <w:tr w:rsidR="00194EE3" w:rsidRPr="00B678B5" w14:paraId="20D92088" w14:textId="77777777" w:rsidTr="00F44D2B">
        <w:tc>
          <w:tcPr>
            <w:tcW w:w="6521" w:type="dxa"/>
            <w:vAlign w:val="bottom"/>
          </w:tcPr>
          <w:p w14:paraId="4812714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Saint-Jean-sur-Richelieu</w:t>
            </w:r>
          </w:p>
        </w:tc>
        <w:tc>
          <w:tcPr>
            <w:tcW w:w="2681" w:type="dxa"/>
            <w:vAlign w:val="bottom"/>
          </w:tcPr>
          <w:p w14:paraId="0691C256"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0,86</w:t>
            </w:r>
          </w:p>
        </w:tc>
      </w:tr>
      <w:tr w:rsidR="00194EE3" w:rsidRPr="00B678B5" w14:paraId="2F0869FB" w14:textId="77777777" w:rsidTr="00F44D2B">
        <w:tc>
          <w:tcPr>
            <w:tcW w:w="6521" w:type="dxa"/>
            <w:vAlign w:val="bottom"/>
          </w:tcPr>
          <w:p w14:paraId="44C1B93A"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Saint-Jérôme</w:t>
            </w:r>
          </w:p>
        </w:tc>
        <w:tc>
          <w:tcPr>
            <w:tcW w:w="2681" w:type="dxa"/>
            <w:vAlign w:val="bottom"/>
          </w:tcPr>
          <w:p w14:paraId="56EBCC45"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1,83</w:t>
            </w:r>
          </w:p>
        </w:tc>
      </w:tr>
      <w:tr w:rsidR="00194EE3" w:rsidRPr="00B678B5" w14:paraId="004D8AE2" w14:textId="77777777" w:rsidTr="00F44D2B">
        <w:tc>
          <w:tcPr>
            <w:tcW w:w="6521" w:type="dxa"/>
            <w:vAlign w:val="bottom"/>
          </w:tcPr>
          <w:p w14:paraId="70D67FC6" w14:textId="77777777" w:rsidR="00194EE3" w:rsidRPr="00194EE3" w:rsidRDefault="00194EE3" w:rsidP="00F44D2B">
            <w:pPr>
              <w:pStyle w:val="N-FNEEQ"/>
              <w:spacing w:before="40" w:after="40"/>
              <w:ind w:left="600"/>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CEC de Mont-Laurier</w:t>
            </w:r>
          </w:p>
        </w:tc>
        <w:tc>
          <w:tcPr>
            <w:tcW w:w="2681" w:type="dxa"/>
            <w:vAlign w:val="bottom"/>
          </w:tcPr>
          <w:p w14:paraId="6FF0B49B"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0,09</w:t>
            </w:r>
          </w:p>
        </w:tc>
      </w:tr>
      <w:tr w:rsidR="00194EE3" w:rsidRPr="00B678B5" w14:paraId="53AD0F4F" w14:textId="77777777" w:rsidTr="00F44D2B">
        <w:tc>
          <w:tcPr>
            <w:tcW w:w="6521" w:type="dxa"/>
            <w:vAlign w:val="bottom"/>
          </w:tcPr>
          <w:p w14:paraId="39D5BB38" w14:textId="77777777" w:rsidR="00194EE3" w:rsidRPr="00194EE3" w:rsidRDefault="00194EE3" w:rsidP="00F44D2B">
            <w:pPr>
              <w:pStyle w:val="N-FNEEQ"/>
              <w:spacing w:before="40" w:after="40"/>
              <w:ind w:left="600"/>
              <w:rPr>
                <w:rFonts w:ascii="Arial" w:hAnsi="Arial" w:cs="Arial"/>
                <w:color w:val="000000"/>
                <w:sz w:val="24"/>
                <w:szCs w:val="24"/>
                <w:highlight w:val="lightGray"/>
              </w:rPr>
            </w:pPr>
            <w:r w:rsidRPr="00316277">
              <w:rPr>
                <w:rFonts w:ascii="Arial" w:hAnsi="Arial" w:cs="Arial"/>
                <w:color w:val="000000"/>
                <w:sz w:val="24"/>
                <w:szCs w:val="24"/>
              </w:rPr>
              <w:t>CEC de Mont-Tremblant</w:t>
            </w:r>
          </w:p>
        </w:tc>
        <w:tc>
          <w:tcPr>
            <w:tcW w:w="2681" w:type="dxa"/>
            <w:vAlign w:val="bottom"/>
          </w:tcPr>
          <w:p w14:paraId="577C393F" w14:textId="77777777" w:rsidR="00194EE3" w:rsidRPr="00316277" w:rsidRDefault="00194EE3"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0,00</w:t>
            </w:r>
          </w:p>
        </w:tc>
      </w:tr>
      <w:tr w:rsidR="00194EE3" w:rsidRPr="00B678B5" w14:paraId="4CA6B468" w14:textId="77777777" w:rsidTr="00F44D2B">
        <w:tc>
          <w:tcPr>
            <w:tcW w:w="6521" w:type="dxa"/>
            <w:vAlign w:val="bottom"/>
          </w:tcPr>
          <w:p w14:paraId="31313958"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Saint-Laurent</w:t>
            </w:r>
          </w:p>
        </w:tc>
        <w:tc>
          <w:tcPr>
            <w:tcW w:w="2681" w:type="dxa"/>
            <w:vAlign w:val="bottom"/>
          </w:tcPr>
          <w:p w14:paraId="4871B12C"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1,34</w:t>
            </w:r>
          </w:p>
        </w:tc>
      </w:tr>
      <w:tr w:rsidR="00194EE3" w:rsidRPr="00B678B5" w14:paraId="7BFD4189" w14:textId="77777777" w:rsidTr="00F44D2B">
        <w:tc>
          <w:tcPr>
            <w:tcW w:w="6521" w:type="dxa"/>
            <w:vAlign w:val="bottom"/>
          </w:tcPr>
          <w:p w14:paraId="3263E84D"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Sept-Îles</w:t>
            </w:r>
          </w:p>
        </w:tc>
        <w:tc>
          <w:tcPr>
            <w:tcW w:w="2681" w:type="dxa"/>
            <w:vAlign w:val="bottom"/>
          </w:tcPr>
          <w:p w14:paraId="3DD3A8BD"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0,20</w:t>
            </w:r>
          </w:p>
        </w:tc>
      </w:tr>
      <w:tr w:rsidR="00194EE3" w:rsidRPr="00B678B5" w14:paraId="1681C562" w14:textId="77777777" w:rsidTr="00F44D2B">
        <w:tc>
          <w:tcPr>
            <w:tcW w:w="6521" w:type="dxa"/>
            <w:vAlign w:val="bottom"/>
          </w:tcPr>
          <w:p w14:paraId="3DC80DAB"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Shawinigan</w:t>
            </w:r>
          </w:p>
        </w:tc>
        <w:tc>
          <w:tcPr>
            <w:tcW w:w="2681" w:type="dxa"/>
            <w:vAlign w:val="bottom"/>
          </w:tcPr>
          <w:p w14:paraId="3EC13E5A"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0,50</w:t>
            </w:r>
          </w:p>
        </w:tc>
      </w:tr>
      <w:tr w:rsidR="00194EE3" w:rsidRPr="00B678B5" w14:paraId="70CFC39E" w14:textId="77777777" w:rsidTr="00F44D2B">
        <w:tc>
          <w:tcPr>
            <w:tcW w:w="6521" w:type="dxa"/>
            <w:vAlign w:val="bottom"/>
          </w:tcPr>
          <w:p w14:paraId="0B7E0D68"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Sherbrooke</w:t>
            </w:r>
          </w:p>
        </w:tc>
        <w:tc>
          <w:tcPr>
            <w:tcW w:w="2681" w:type="dxa"/>
            <w:vAlign w:val="bottom"/>
          </w:tcPr>
          <w:p w14:paraId="7DD50939"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1,71</w:t>
            </w:r>
          </w:p>
        </w:tc>
      </w:tr>
      <w:tr w:rsidR="00194EE3" w:rsidRPr="00B678B5" w14:paraId="7F1B3BBB" w14:textId="77777777" w:rsidTr="00F44D2B">
        <w:tc>
          <w:tcPr>
            <w:tcW w:w="6521" w:type="dxa"/>
            <w:vAlign w:val="bottom"/>
          </w:tcPr>
          <w:p w14:paraId="6D908499"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Thetford</w:t>
            </w:r>
          </w:p>
        </w:tc>
        <w:tc>
          <w:tcPr>
            <w:tcW w:w="2681" w:type="dxa"/>
            <w:vAlign w:val="bottom"/>
          </w:tcPr>
          <w:p w14:paraId="5C3BD9B1"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0,26</w:t>
            </w:r>
          </w:p>
        </w:tc>
      </w:tr>
      <w:tr w:rsidR="00194EE3" w:rsidRPr="00B678B5" w14:paraId="3226B6E4" w14:textId="77777777" w:rsidTr="00F44D2B">
        <w:tc>
          <w:tcPr>
            <w:tcW w:w="6521" w:type="dxa"/>
            <w:vAlign w:val="bottom"/>
          </w:tcPr>
          <w:p w14:paraId="52CF6C5E"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Trois-Rivières</w:t>
            </w:r>
          </w:p>
        </w:tc>
        <w:tc>
          <w:tcPr>
            <w:tcW w:w="2681" w:type="dxa"/>
            <w:vAlign w:val="bottom"/>
          </w:tcPr>
          <w:p w14:paraId="7A7D40AA"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1,24</w:t>
            </w:r>
          </w:p>
        </w:tc>
      </w:tr>
      <w:tr w:rsidR="00194EE3" w:rsidRPr="00B678B5" w14:paraId="354D08E0" w14:textId="77777777" w:rsidTr="00F44D2B">
        <w:tc>
          <w:tcPr>
            <w:tcW w:w="6521" w:type="dxa"/>
            <w:vAlign w:val="bottom"/>
          </w:tcPr>
          <w:p w14:paraId="1243097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Valleyfield</w:t>
            </w:r>
          </w:p>
        </w:tc>
        <w:tc>
          <w:tcPr>
            <w:tcW w:w="2681" w:type="dxa"/>
            <w:vAlign w:val="bottom"/>
          </w:tcPr>
          <w:p w14:paraId="30CFF73F"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0,89</w:t>
            </w:r>
          </w:p>
        </w:tc>
      </w:tr>
      <w:tr w:rsidR="00194EE3" w:rsidRPr="00B678B5" w14:paraId="07FAD0C1" w14:textId="77777777" w:rsidTr="00F44D2B">
        <w:tc>
          <w:tcPr>
            <w:tcW w:w="6521" w:type="dxa"/>
            <w:vAlign w:val="bottom"/>
          </w:tcPr>
          <w:p w14:paraId="675A3CCF"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 xml:space="preserve">Vanier </w:t>
            </w:r>
          </w:p>
        </w:tc>
        <w:tc>
          <w:tcPr>
            <w:tcW w:w="2681" w:type="dxa"/>
            <w:vAlign w:val="bottom"/>
          </w:tcPr>
          <w:p w14:paraId="0BDBBD53"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0,81</w:t>
            </w:r>
          </w:p>
        </w:tc>
      </w:tr>
      <w:tr w:rsidR="00194EE3" w:rsidRPr="00B678B5" w14:paraId="58093DE5" w14:textId="77777777" w:rsidTr="00F44D2B">
        <w:tc>
          <w:tcPr>
            <w:tcW w:w="6521" w:type="dxa"/>
            <w:vAlign w:val="bottom"/>
          </w:tcPr>
          <w:p w14:paraId="3C27270C" w14:textId="77777777" w:rsidR="00194EE3" w:rsidRPr="00194EE3" w:rsidRDefault="00194EE3" w:rsidP="00F44D2B">
            <w:pPr>
              <w:pStyle w:val="N-FNEEQ"/>
              <w:spacing w:before="40" w:after="40"/>
              <w:ind w:left="23"/>
              <w:rPr>
                <w:rFonts w:ascii="Arial" w:eastAsia="Times New Roman" w:hAnsi="Arial" w:cs="Arial"/>
                <w:b/>
                <w:caps/>
                <w:snapToGrid w:val="0"/>
                <w:color w:val="auto"/>
                <w:sz w:val="24"/>
                <w:szCs w:val="24"/>
                <w:highlight w:val="lightGray"/>
                <w:u w:val="single"/>
                <w:lang w:eastAsia="fr-FR"/>
              </w:rPr>
            </w:pPr>
            <w:r w:rsidRPr="00316277">
              <w:rPr>
                <w:rFonts w:ascii="Arial" w:hAnsi="Arial" w:cs="Arial"/>
                <w:color w:val="000000"/>
                <w:sz w:val="24"/>
                <w:szCs w:val="24"/>
              </w:rPr>
              <w:t>Vieux Montréal</w:t>
            </w:r>
          </w:p>
        </w:tc>
        <w:tc>
          <w:tcPr>
            <w:tcW w:w="2681" w:type="dxa"/>
            <w:vAlign w:val="bottom"/>
          </w:tcPr>
          <w:p w14:paraId="4511D445" w14:textId="77777777" w:rsidR="00194EE3" w:rsidRPr="00316277" w:rsidRDefault="00194EE3" w:rsidP="00F44D2B">
            <w:pPr>
              <w:pStyle w:val="N-FNEEQ"/>
              <w:spacing w:before="40" w:after="40"/>
              <w:ind w:left="33"/>
              <w:jc w:val="center"/>
              <w:rPr>
                <w:rFonts w:ascii="Arial" w:eastAsia="Times New Roman" w:hAnsi="Arial" w:cs="Arial"/>
                <w:b/>
                <w:caps/>
                <w:snapToGrid w:val="0"/>
                <w:color w:val="auto"/>
                <w:sz w:val="24"/>
                <w:szCs w:val="24"/>
                <w:u w:val="single"/>
                <w:lang w:eastAsia="fr-FR"/>
              </w:rPr>
            </w:pPr>
            <w:r w:rsidRPr="00316277">
              <w:rPr>
                <w:rFonts w:ascii="Arial" w:hAnsi="Arial" w:cs="Arial"/>
                <w:color w:val="000000"/>
                <w:sz w:val="24"/>
                <w:szCs w:val="24"/>
              </w:rPr>
              <w:t>1,49</w:t>
            </w:r>
          </w:p>
        </w:tc>
      </w:tr>
      <w:tr w:rsidR="00194EE3" w:rsidRPr="00B678B5" w14:paraId="46AE1C8A" w14:textId="77777777" w:rsidTr="00F44D2B">
        <w:tc>
          <w:tcPr>
            <w:tcW w:w="6521" w:type="dxa"/>
            <w:vAlign w:val="bottom"/>
          </w:tcPr>
          <w:p w14:paraId="75986A6E" w14:textId="77777777" w:rsidR="00194EE3" w:rsidRPr="00194EE3" w:rsidRDefault="00194EE3" w:rsidP="00F44D2B">
            <w:pPr>
              <w:pStyle w:val="N-FNEEQ"/>
              <w:spacing w:before="40" w:after="40"/>
              <w:ind w:left="23"/>
              <w:rPr>
                <w:rFonts w:ascii="Arial" w:hAnsi="Arial" w:cs="Arial"/>
                <w:color w:val="000000"/>
                <w:sz w:val="24"/>
                <w:szCs w:val="24"/>
                <w:highlight w:val="lightGray"/>
              </w:rPr>
            </w:pPr>
            <w:r w:rsidRPr="00316277">
              <w:rPr>
                <w:rFonts w:ascii="Arial" w:hAnsi="Arial" w:cs="Arial"/>
                <w:color w:val="000000"/>
                <w:sz w:val="24"/>
                <w:szCs w:val="24"/>
              </w:rPr>
              <w:t>Total</w:t>
            </w:r>
          </w:p>
        </w:tc>
        <w:tc>
          <w:tcPr>
            <w:tcW w:w="2681" w:type="dxa"/>
            <w:vAlign w:val="bottom"/>
          </w:tcPr>
          <w:p w14:paraId="733801E8" w14:textId="4571F526" w:rsidR="00194EE3" w:rsidRPr="00316277" w:rsidRDefault="00E070A2" w:rsidP="00F44D2B">
            <w:pPr>
              <w:pStyle w:val="N-FNEEQ"/>
              <w:spacing w:before="40" w:after="40"/>
              <w:ind w:left="33"/>
              <w:jc w:val="center"/>
              <w:rPr>
                <w:rFonts w:ascii="Arial" w:hAnsi="Arial" w:cs="Arial"/>
                <w:color w:val="000000"/>
                <w:sz w:val="24"/>
                <w:szCs w:val="24"/>
              </w:rPr>
            </w:pPr>
            <w:r w:rsidRPr="00316277">
              <w:rPr>
                <w:rFonts w:ascii="Arial" w:hAnsi="Arial" w:cs="Arial"/>
                <w:color w:val="000000"/>
                <w:sz w:val="24"/>
                <w:szCs w:val="24"/>
              </w:rPr>
              <w:t>33,67</w:t>
            </w:r>
          </w:p>
        </w:tc>
      </w:tr>
    </w:tbl>
    <w:p w14:paraId="4A5221AB" w14:textId="77777777" w:rsidR="00194EE3" w:rsidRPr="00316277" w:rsidRDefault="00194EE3" w:rsidP="008D34F7">
      <w:pPr>
        <w:pStyle w:val="Heading3"/>
        <w:keepNext w:val="0"/>
        <w:sectPr w:rsidR="00194EE3" w:rsidRPr="00316277" w:rsidSect="002B176A">
          <w:footnotePr>
            <w:numRestart w:val="eachPage"/>
          </w:footnotePr>
          <w:pgSz w:w="12240" w:h="15840" w:code="1"/>
          <w:pgMar w:top="720" w:right="1077" w:bottom="1242" w:left="1684" w:header="709" w:footer="709" w:gutter="0"/>
          <w:cols w:space="708"/>
          <w:docGrid w:linePitch="360"/>
        </w:sectPr>
      </w:pPr>
    </w:p>
    <w:p w14:paraId="44247FFF" w14:textId="79AE583A" w:rsidR="008D34F7" w:rsidRPr="00316277" w:rsidRDefault="008A5178" w:rsidP="008D34F7">
      <w:pPr>
        <w:pStyle w:val="Heading3"/>
        <w:keepNext w:val="0"/>
      </w:pPr>
      <w:bookmarkStart w:id="1131" w:name="_Toc168479583"/>
      <w:r w:rsidRPr="00316277">
        <w:t>Annexe </w:t>
      </w:r>
      <w:r w:rsidR="001A19F1" w:rsidRPr="00316277">
        <w:t>I-</w:t>
      </w:r>
      <w:r w:rsidR="00D52FCD" w:rsidRPr="00316277">
        <w:t>1</w:t>
      </w:r>
      <w:r w:rsidR="00194EE3" w:rsidRPr="00316277">
        <w:t>7</w:t>
      </w:r>
      <w:r w:rsidRPr="00316277">
        <w:br/>
      </w:r>
      <w:r w:rsidR="007A04FB" w:rsidRPr="00E64DC4">
        <w:br/>
      </w:r>
      <w:r w:rsidR="008D34F7" w:rsidRPr="00316277">
        <w:t>Annexe relative au projet pilote en soins infirmiers</w:t>
      </w:r>
      <w:bookmarkEnd w:id="1131"/>
    </w:p>
    <w:p w14:paraId="49B7A336" w14:textId="0F929053" w:rsidR="00194EE3" w:rsidRPr="00316277" w:rsidRDefault="00194EE3" w:rsidP="00864798">
      <w:pPr>
        <w:pStyle w:val="paragraph"/>
        <w:numPr>
          <w:ilvl w:val="0"/>
          <w:numId w:val="48"/>
        </w:numPr>
        <w:suppressAutoHyphens/>
        <w:spacing w:before="0" w:beforeAutospacing="0" w:after="0" w:afterAutospacing="0"/>
        <w:ind w:left="426" w:hanging="425"/>
        <w:jc w:val="both"/>
        <w:textAlignment w:val="baseline"/>
        <w:rPr>
          <w:rStyle w:val="normaltextrun"/>
          <w:rFonts w:ascii="Arial" w:hAnsi="Arial" w:cs="Arial"/>
        </w:rPr>
      </w:pPr>
      <w:r w:rsidRPr="00316277">
        <w:rPr>
          <w:rStyle w:val="normaltextrun"/>
          <w:rFonts w:ascii="Arial" w:hAnsi="Arial" w:cs="Arial"/>
        </w:rPr>
        <w:t>Un projet pilote est mis en place à la date de signature de la convention collective jusqu’au 31</w:t>
      </w:r>
      <w:r w:rsidR="00664F19" w:rsidRPr="00316277">
        <w:rPr>
          <w:rStyle w:val="normaltextrun"/>
          <w:rFonts w:ascii="Arial" w:hAnsi="Arial" w:cs="Arial"/>
        </w:rPr>
        <w:t> </w:t>
      </w:r>
      <w:r w:rsidRPr="00316277">
        <w:rPr>
          <w:rStyle w:val="normaltextrun"/>
          <w:rFonts w:ascii="Arial" w:hAnsi="Arial" w:cs="Arial"/>
        </w:rPr>
        <w:t>mars</w:t>
      </w:r>
      <w:r w:rsidR="00664F19" w:rsidRPr="00316277">
        <w:rPr>
          <w:rStyle w:val="normaltextrun"/>
          <w:rFonts w:ascii="Arial" w:hAnsi="Arial" w:cs="Arial"/>
        </w:rPr>
        <w:t> </w:t>
      </w:r>
      <w:r w:rsidRPr="00316277">
        <w:rPr>
          <w:rStyle w:val="normaltextrun"/>
          <w:rFonts w:ascii="Arial" w:hAnsi="Arial" w:cs="Arial"/>
        </w:rPr>
        <w:t xml:space="preserve">2028, afin de permettre la tenue de stage la fin de semaine en soins infirmiers prenant fin au plus tard </w:t>
      </w:r>
      <w:r w:rsidRPr="00316277">
        <w:rPr>
          <w:rStyle w:val="normaltextrun"/>
          <w:rFonts w:ascii="Arial" w:hAnsi="Arial"/>
        </w:rPr>
        <w:t>à la fin de la session d’hiver 2028</w:t>
      </w:r>
      <w:r w:rsidRPr="00316277">
        <w:rPr>
          <w:rStyle w:val="normaltextrun"/>
          <w:rFonts w:ascii="Arial" w:hAnsi="Arial" w:cs="Arial"/>
        </w:rPr>
        <w:t>.</w:t>
      </w:r>
    </w:p>
    <w:p w14:paraId="24FD37AB" w14:textId="77777777" w:rsidR="00194EE3" w:rsidRPr="00316277" w:rsidRDefault="00194EE3" w:rsidP="00194EE3">
      <w:pPr>
        <w:pStyle w:val="paragraph"/>
        <w:suppressAutoHyphens/>
        <w:spacing w:before="0" w:beforeAutospacing="0" w:after="0" w:afterAutospacing="0"/>
        <w:ind w:left="713"/>
        <w:jc w:val="both"/>
        <w:textAlignment w:val="baseline"/>
        <w:rPr>
          <w:rStyle w:val="normaltextrun"/>
          <w:rFonts w:ascii="Arial" w:hAnsi="Arial" w:cs="Arial"/>
        </w:rPr>
      </w:pPr>
    </w:p>
    <w:p w14:paraId="214D67ED" w14:textId="75DC0C88" w:rsidR="00194EE3" w:rsidRPr="00316277" w:rsidRDefault="00194EE3" w:rsidP="00864798">
      <w:pPr>
        <w:pStyle w:val="ListParagraph"/>
        <w:numPr>
          <w:ilvl w:val="0"/>
          <w:numId w:val="48"/>
        </w:numPr>
        <w:ind w:left="426" w:hanging="431"/>
        <w:rPr>
          <w:rFonts w:cstheme="minorHAnsi"/>
        </w:rPr>
      </w:pPr>
      <w:r w:rsidRPr="00316277">
        <w:rPr>
          <w:rFonts w:cs="Arial"/>
          <w:snapToGrid w:val="0"/>
        </w:rPr>
        <w:t xml:space="preserve">L’enseignante ou l’enseignant qui participe au projet pilote le fait sur une base volontaire. Toutefois, </w:t>
      </w:r>
      <w:r w:rsidR="00664F19" w:rsidRPr="00316277">
        <w:rPr>
          <w:rFonts w:cs="Arial"/>
          <w:snapToGrid w:val="0"/>
        </w:rPr>
        <w:t xml:space="preserve">une suppléance ou </w:t>
      </w:r>
      <w:r w:rsidRPr="00316277">
        <w:rPr>
          <w:rFonts w:cs="Arial"/>
          <w:snapToGrid w:val="0"/>
        </w:rPr>
        <w:t>un remplacement peut être comblé</w:t>
      </w:r>
      <w:r w:rsidR="00664F19" w:rsidRPr="00316277">
        <w:rPr>
          <w:rFonts w:cs="Arial"/>
          <w:snapToGrid w:val="0"/>
        </w:rPr>
        <w:t xml:space="preserve"> </w:t>
      </w:r>
      <w:r w:rsidRPr="00316277">
        <w:rPr>
          <w:rFonts w:cs="Arial"/>
          <w:snapToGrid w:val="0"/>
        </w:rPr>
        <w:t>selon les mécanismes habituels.</w:t>
      </w:r>
    </w:p>
    <w:p w14:paraId="3198A98B" w14:textId="77777777" w:rsidR="00194EE3" w:rsidRPr="00316277" w:rsidRDefault="00194EE3" w:rsidP="00194EE3">
      <w:pPr>
        <w:pStyle w:val="ListParagraph"/>
        <w:rPr>
          <w:rFonts w:cstheme="minorHAnsi"/>
        </w:rPr>
      </w:pPr>
    </w:p>
    <w:p w14:paraId="48AD070C" w14:textId="5EB32B2D" w:rsidR="00194EE3" w:rsidRPr="00316277" w:rsidRDefault="00194EE3" w:rsidP="00864798">
      <w:pPr>
        <w:pStyle w:val="ListParagraph"/>
        <w:numPr>
          <w:ilvl w:val="0"/>
          <w:numId w:val="48"/>
        </w:numPr>
        <w:ind w:left="426" w:hanging="425"/>
        <w:rPr>
          <w:rFonts w:cstheme="minorHAnsi"/>
        </w:rPr>
      </w:pPr>
      <w:r w:rsidRPr="00316277">
        <w:rPr>
          <w:rFonts w:cstheme="minorHAnsi"/>
        </w:rPr>
        <w:t>Le département, qui a la responsabilité de répartir les activités pédagogiques dont les stages en milieu clinique, tient compte notamment de l’enseignante et l’enseignant qui a signalé auprès de sa coordination départementale son intérêt à donner un ou des stages la fin de semaine.</w:t>
      </w:r>
    </w:p>
    <w:p w14:paraId="30F43120" w14:textId="77777777" w:rsidR="00194EE3" w:rsidRPr="00316277" w:rsidRDefault="00194EE3" w:rsidP="00194EE3">
      <w:pPr>
        <w:rPr>
          <w:rFonts w:cstheme="minorHAnsi"/>
        </w:rPr>
      </w:pPr>
    </w:p>
    <w:p w14:paraId="230D6355" w14:textId="77777777" w:rsidR="00194EE3" w:rsidRPr="00316277" w:rsidRDefault="00194EE3" w:rsidP="00864798">
      <w:pPr>
        <w:pStyle w:val="ListParagraph"/>
        <w:numPr>
          <w:ilvl w:val="0"/>
          <w:numId w:val="48"/>
        </w:numPr>
        <w:ind w:left="426" w:hanging="426"/>
        <w:rPr>
          <w:rFonts w:cstheme="minorHAnsi"/>
        </w:rPr>
      </w:pPr>
      <w:r w:rsidRPr="00316277">
        <w:rPr>
          <w:rFonts w:cstheme="minorHAnsi"/>
        </w:rPr>
        <w:t>Ce projet pilote doit respecter les modalités suivantes :</w:t>
      </w:r>
    </w:p>
    <w:p w14:paraId="53A86B06" w14:textId="77777777" w:rsidR="00194EE3" w:rsidRPr="00316277" w:rsidRDefault="00194EE3" w:rsidP="00864798">
      <w:pPr>
        <w:pStyle w:val="ListParagraph"/>
        <w:numPr>
          <w:ilvl w:val="1"/>
          <w:numId w:val="49"/>
        </w:numPr>
        <w:ind w:left="1701" w:hanging="567"/>
        <w:rPr>
          <w:rFonts w:cstheme="minorHAnsi"/>
        </w:rPr>
      </w:pPr>
      <w:r w:rsidRPr="00316277">
        <w:rPr>
          <w:rFonts w:cstheme="minorHAnsi"/>
        </w:rPr>
        <w:t>Les stages de fin de semaine se déroulent de jour uniquement ;</w:t>
      </w:r>
    </w:p>
    <w:p w14:paraId="7F1EB964" w14:textId="77777777" w:rsidR="00194EE3" w:rsidRPr="00316277" w:rsidRDefault="00194EE3" w:rsidP="00864798">
      <w:pPr>
        <w:pStyle w:val="ListParagraph"/>
        <w:numPr>
          <w:ilvl w:val="1"/>
          <w:numId w:val="49"/>
        </w:numPr>
        <w:ind w:left="1701" w:hanging="567"/>
        <w:rPr>
          <w:rFonts w:cstheme="minorHAnsi"/>
        </w:rPr>
      </w:pPr>
      <w:r w:rsidRPr="00316277">
        <w:rPr>
          <w:rFonts w:cstheme="minorHAnsi"/>
        </w:rPr>
        <w:t>L’enseignante ou l’enseignant à temps complet ou à temps partiel participant au projet pilote dispose, sur une base hebdomadaire, de deux (2) jours de repos.</w:t>
      </w:r>
    </w:p>
    <w:p w14:paraId="58BB26F7" w14:textId="77777777" w:rsidR="00194EE3" w:rsidRPr="00316277" w:rsidRDefault="00194EE3" w:rsidP="00194EE3">
      <w:pPr>
        <w:spacing w:line="259" w:lineRule="auto"/>
        <w:ind w:left="1134"/>
        <w:rPr>
          <w:rFonts w:cstheme="minorHAnsi"/>
        </w:rPr>
      </w:pPr>
    </w:p>
    <w:p w14:paraId="1ED2B277" w14:textId="77777777" w:rsidR="00194EE3" w:rsidRPr="00316277" w:rsidRDefault="00194EE3" w:rsidP="00864798">
      <w:pPr>
        <w:pStyle w:val="N-Commun"/>
        <w:numPr>
          <w:ilvl w:val="0"/>
          <w:numId w:val="48"/>
        </w:numPr>
        <w:spacing w:before="0" w:after="0"/>
        <w:ind w:left="426"/>
        <w:rPr>
          <w:rStyle w:val="Strong"/>
          <w:rFonts w:ascii="Arial" w:hAnsi="Arial" w:cs="Arial"/>
          <w:b w:val="0"/>
          <w:bCs w:val="0"/>
          <w:sz w:val="24"/>
        </w:rPr>
      </w:pPr>
      <w:r w:rsidRPr="00316277">
        <w:rPr>
          <w:rStyle w:val="Strong"/>
          <w:rFonts w:ascii="Arial" w:hAnsi="Arial" w:cs="Arial"/>
          <w:b w:val="0"/>
          <w:bCs w:val="0"/>
          <w:sz w:val="24"/>
        </w:rPr>
        <w:t>Prime</w:t>
      </w:r>
    </w:p>
    <w:p w14:paraId="141545D1" w14:textId="77777777" w:rsidR="00194EE3" w:rsidRPr="00316277" w:rsidRDefault="00194EE3" w:rsidP="00194EE3">
      <w:pPr>
        <w:keepNext w:val="0"/>
        <w:suppressAutoHyphens w:val="0"/>
        <w:jc w:val="left"/>
        <w:rPr>
          <w:rFonts w:cs="Arial"/>
          <w:szCs w:val="24"/>
          <w:lang w:eastAsia="fr-CA"/>
        </w:rPr>
      </w:pPr>
    </w:p>
    <w:p w14:paraId="0F241A73" w14:textId="77777777" w:rsidR="00194EE3" w:rsidRPr="00316277" w:rsidRDefault="00194EE3" w:rsidP="00194EE3">
      <w:pPr>
        <w:jc w:val="left"/>
        <w:rPr>
          <w:rFonts w:cs="Arial"/>
          <w:szCs w:val="24"/>
          <w:lang w:eastAsia="fr-CA"/>
        </w:rPr>
      </w:pPr>
      <w:r w:rsidRPr="00316277">
        <w:rPr>
          <w:rFonts w:cs="Arial"/>
          <w:szCs w:val="24"/>
          <w:lang w:eastAsia="fr-CA"/>
        </w:rPr>
        <w:t>Dans le cadre du projet pilote en soins infirmiers :</w:t>
      </w:r>
    </w:p>
    <w:p w14:paraId="7717781A" w14:textId="77777777" w:rsidR="00194EE3" w:rsidRPr="00316277" w:rsidRDefault="00194EE3" w:rsidP="00194EE3">
      <w:pPr>
        <w:keepNext w:val="0"/>
        <w:suppressAutoHyphens w:val="0"/>
        <w:ind w:left="1800" w:firstLine="60"/>
        <w:rPr>
          <w:rFonts w:cs="Arial"/>
          <w:szCs w:val="24"/>
          <w:lang w:eastAsia="fr-CA"/>
        </w:rPr>
      </w:pPr>
    </w:p>
    <w:p w14:paraId="5A6784D7" w14:textId="77777777" w:rsidR="00194EE3" w:rsidRPr="00316277" w:rsidRDefault="00194EE3" w:rsidP="00864798">
      <w:pPr>
        <w:pStyle w:val="ListParagraph"/>
        <w:keepNext/>
        <w:numPr>
          <w:ilvl w:val="0"/>
          <w:numId w:val="76"/>
        </w:numPr>
        <w:suppressAutoHyphens/>
        <w:snapToGrid w:val="0"/>
        <w:rPr>
          <w:rFonts w:cs="Arial"/>
          <w:szCs w:val="24"/>
          <w:lang w:eastAsia="fr-FR"/>
        </w:rPr>
      </w:pPr>
      <w:r w:rsidRPr="00316277">
        <w:rPr>
          <w:rFonts w:cs="Arial"/>
          <w:szCs w:val="24"/>
        </w:rPr>
        <w:t xml:space="preserve">l’enseignante ou l’enseignant à temps complet ou à temps partiel qui assume une charge d’enseignement la fin de semaine a droit pour chaque heure travaillée la fin de semaine à une prime de quatre pour cent (4 %) de son salaire annuel divisé par 1690 heures. </w:t>
      </w:r>
      <w:r w:rsidRPr="00316277">
        <w:rPr>
          <w:rFonts w:cs="Arial"/>
          <w:szCs w:val="24"/>
          <w:lang w:eastAsia="fr-CA"/>
        </w:rPr>
        <w:t>Cette prime n’est pas cotisable aux fins du régime de retraite.</w:t>
      </w:r>
    </w:p>
    <w:p w14:paraId="50600EA3" w14:textId="77777777" w:rsidR="00194EE3" w:rsidRPr="00316277" w:rsidRDefault="00194EE3" w:rsidP="00194EE3">
      <w:pPr>
        <w:keepNext w:val="0"/>
        <w:suppressAutoHyphens w:val="0"/>
        <w:ind w:left="1800" w:firstLine="60"/>
        <w:rPr>
          <w:rFonts w:cs="Arial"/>
          <w:szCs w:val="24"/>
          <w:lang w:eastAsia="fr-CA"/>
        </w:rPr>
      </w:pPr>
    </w:p>
    <w:p w14:paraId="101E5796" w14:textId="77777777" w:rsidR="00194EE3" w:rsidRPr="00316277" w:rsidRDefault="00194EE3" w:rsidP="00864798">
      <w:pPr>
        <w:pStyle w:val="ListParagraph"/>
        <w:numPr>
          <w:ilvl w:val="0"/>
          <w:numId w:val="77"/>
        </w:numPr>
        <w:snapToGrid w:val="0"/>
        <w:rPr>
          <w:rFonts w:cs="Arial"/>
          <w:szCs w:val="24"/>
          <w:lang w:eastAsia="fr-CA"/>
        </w:rPr>
      </w:pPr>
      <w:r w:rsidRPr="00316277">
        <w:rPr>
          <w:rFonts w:cs="Arial"/>
          <w:szCs w:val="24"/>
          <w:lang w:eastAsia="fr-CA"/>
        </w:rPr>
        <w:t>l’enseignante ou l’enseignant chargé de cours qui assume des heures de cours la fin de semaine dans le cadre d’un stage a droit à une prime de quatre pour cent (4 %) du taux horaire pour les heures travaillées la fin de semaine. Cette prime n’est pas cotisable aux fins du régime de retraite.</w:t>
      </w:r>
    </w:p>
    <w:p w14:paraId="5F5412F8" w14:textId="77777777" w:rsidR="0076366E" w:rsidRPr="00316277" w:rsidRDefault="0076366E">
      <w:pPr>
        <w:keepNext w:val="0"/>
        <w:suppressAutoHyphens w:val="0"/>
        <w:jc w:val="left"/>
        <w:rPr>
          <w:rFonts w:eastAsia="Calibri" w:cstheme="minorHAnsi"/>
          <w:snapToGrid/>
          <w:szCs w:val="22"/>
          <w:lang w:eastAsia="en-US"/>
        </w:rPr>
      </w:pPr>
      <w:r w:rsidRPr="00316277">
        <w:rPr>
          <w:rFonts w:cstheme="minorHAnsi"/>
        </w:rPr>
        <w:br w:type="page"/>
      </w:r>
    </w:p>
    <w:p w14:paraId="28F5D486" w14:textId="77777777" w:rsidR="003A5E93" w:rsidRDefault="00770C53" w:rsidP="003A5E93">
      <w:pPr>
        <w:pStyle w:val="Heading3"/>
        <w:rPr>
          <w:lang w:eastAsia="fr-CA"/>
        </w:rPr>
      </w:pPr>
      <w:bookmarkStart w:id="1132" w:name="_Toc168479584"/>
      <w:r w:rsidRPr="00316277">
        <w:t>Annexe I-1</w:t>
      </w:r>
      <w:r w:rsidR="00194EE3" w:rsidRPr="00316277">
        <w:t>8</w:t>
      </w:r>
      <w:r w:rsidRPr="00316277">
        <w:br/>
      </w:r>
      <w:r w:rsidRPr="00316277">
        <w:br/>
      </w:r>
      <w:r w:rsidR="008D34F7" w:rsidRPr="00316277">
        <w:t xml:space="preserve">Valeur d’une </w:t>
      </w:r>
      <w:r w:rsidR="00A832F1" w:rsidRPr="00316277">
        <w:t xml:space="preserve">charge à la formation continue </w:t>
      </w:r>
      <w:r w:rsidR="0091348D" w:rsidRPr="00316277">
        <w:t>(</w:t>
      </w:r>
      <w:r w:rsidR="008D34F7" w:rsidRPr="00316277">
        <w:t>CFC</w:t>
      </w:r>
      <w:r w:rsidR="0091348D" w:rsidRPr="00316277">
        <w:t>)</w:t>
      </w:r>
      <w:bookmarkEnd w:id="1132"/>
    </w:p>
    <w:p w14:paraId="59338592" w14:textId="6F33955C" w:rsidR="00770C53" w:rsidRPr="00316277" w:rsidRDefault="00770C53" w:rsidP="00864798">
      <w:pPr>
        <w:pStyle w:val="ListParagraph"/>
        <w:numPr>
          <w:ilvl w:val="0"/>
          <w:numId w:val="58"/>
        </w:numPr>
        <w:rPr>
          <w:lang w:eastAsia="fr-CA"/>
        </w:rPr>
      </w:pPr>
      <w:r w:rsidRPr="00316277">
        <w:rPr>
          <w:lang w:eastAsia="fr-CA"/>
        </w:rPr>
        <w:t xml:space="preserve">Pour la durée de </w:t>
      </w:r>
      <w:r w:rsidR="00EF5DBD" w:rsidRPr="00316277">
        <w:rPr>
          <w:lang w:eastAsia="fr-CA"/>
        </w:rPr>
        <w:t xml:space="preserve">la </w:t>
      </w:r>
      <w:r w:rsidRPr="00316277">
        <w:rPr>
          <w:lang w:eastAsia="fr-CA"/>
        </w:rPr>
        <w:t>convention collective</w:t>
      </w:r>
      <w:r w:rsidR="001A19F1" w:rsidRPr="00316277">
        <w:rPr>
          <w:lang w:eastAsia="fr-CA"/>
        </w:rPr>
        <w:t xml:space="preserve"> 2023-2028</w:t>
      </w:r>
      <w:r w:rsidRPr="00316277">
        <w:rPr>
          <w:lang w:eastAsia="fr-CA"/>
        </w:rPr>
        <w:t xml:space="preserve">, le Ministère s’engage à transmettre annuellement </w:t>
      </w:r>
      <w:r w:rsidR="00194EE3" w:rsidRPr="00316277">
        <w:rPr>
          <w:lang w:eastAsia="fr-CA"/>
        </w:rPr>
        <w:t>à la</w:t>
      </w:r>
      <w:r w:rsidRPr="00316277">
        <w:rPr>
          <w:lang w:eastAsia="fr-CA"/>
        </w:rPr>
        <w:t xml:space="preserve"> partie syndical</w:t>
      </w:r>
      <w:r w:rsidR="00194EE3" w:rsidRPr="00316277">
        <w:rPr>
          <w:lang w:eastAsia="fr-CA"/>
        </w:rPr>
        <w:t>e</w:t>
      </w:r>
      <w:r w:rsidRPr="00316277">
        <w:rPr>
          <w:lang w:eastAsia="fr-CA"/>
        </w:rPr>
        <w:t xml:space="preserve"> nationale les données pertinentes afin d’effectuer un suivi de l’évolution de la valeur d’une </w:t>
      </w:r>
      <w:r w:rsidR="001A19F1" w:rsidRPr="00316277">
        <w:rPr>
          <w:lang w:eastAsia="fr-CA"/>
        </w:rPr>
        <w:t>CFC</w:t>
      </w:r>
      <w:r w:rsidRPr="00316277">
        <w:rPr>
          <w:lang w:eastAsia="fr-CA"/>
        </w:rPr>
        <w:t>.</w:t>
      </w:r>
    </w:p>
    <w:p w14:paraId="3AEEEFE3" w14:textId="77777777" w:rsidR="006B063E" w:rsidRPr="00316277" w:rsidRDefault="006B063E" w:rsidP="006B063E">
      <w:pPr>
        <w:pStyle w:val="ListParagraph"/>
        <w:ind w:left="720"/>
        <w:rPr>
          <w:lang w:eastAsia="fr-CA"/>
        </w:rPr>
      </w:pPr>
    </w:p>
    <w:p w14:paraId="28980C41" w14:textId="6FAC6319" w:rsidR="00770C53" w:rsidRPr="00316277" w:rsidRDefault="00770C53" w:rsidP="00864798">
      <w:pPr>
        <w:pStyle w:val="ListParagraph"/>
        <w:numPr>
          <w:ilvl w:val="0"/>
          <w:numId w:val="58"/>
        </w:numPr>
        <w:rPr>
          <w:lang w:eastAsia="fr-CA"/>
        </w:rPr>
      </w:pPr>
      <w:r w:rsidRPr="00316277">
        <w:rPr>
          <w:szCs w:val="24"/>
          <w:lang w:eastAsia="fr-CA"/>
        </w:rPr>
        <w:t>Les parties nationales reconnaissent que la valeur d’une CFC est calculée selon la formule suivante:</w:t>
      </w:r>
    </w:p>
    <w:p w14:paraId="615CC970" w14:textId="77777777" w:rsidR="00EB54F4" w:rsidRPr="00316277" w:rsidRDefault="00EB54F4" w:rsidP="00EB54F4">
      <w:pPr>
        <w:pStyle w:val="ListParagraph"/>
        <w:ind w:left="720"/>
        <w:rPr>
          <w:b/>
          <w:bCs/>
          <w:szCs w:val="24"/>
          <w:lang w:eastAsia="fr-CA"/>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657"/>
        <w:gridCol w:w="653"/>
        <w:gridCol w:w="567"/>
        <w:gridCol w:w="567"/>
      </w:tblGrid>
      <w:tr w:rsidR="00770C53" w:rsidRPr="00AC7C0F" w14:paraId="12386266" w14:textId="77777777" w:rsidTr="00172B27">
        <w:tc>
          <w:tcPr>
            <w:tcW w:w="3266" w:type="dxa"/>
            <w:vMerge w:val="restart"/>
            <w:vAlign w:val="center"/>
          </w:tcPr>
          <w:p w14:paraId="6C1AE7C3" w14:textId="77777777" w:rsidR="00770C53" w:rsidRPr="00AC7C0F" w:rsidRDefault="00770C53" w:rsidP="000E19C6">
            <w:pPr>
              <w:keepNext w:val="0"/>
              <w:ind w:left="1457" w:hanging="851"/>
              <w:rPr>
                <w:b/>
                <w:bCs/>
                <w:szCs w:val="24"/>
                <w:highlight w:val="lightGray"/>
                <w:lang w:eastAsia="fr-CA"/>
              </w:rPr>
            </w:pPr>
            <w:r w:rsidRPr="00316277">
              <w:rPr>
                <w:b/>
                <w:bCs/>
                <w:szCs w:val="24"/>
              </w:rPr>
              <w:t>Valeur en ETC d’une CFC</w:t>
            </w:r>
          </w:p>
        </w:tc>
        <w:tc>
          <w:tcPr>
            <w:tcW w:w="657" w:type="dxa"/>
            <w:vMerge w:val="restart"/>
            <w:vAlign w:val="center"/>
          </w:tcPr>
          <w:p w14:paraId="5F3A0EFC" w14:textId="77777777" w:rsidR="00770C53" w:rsidRPr="00AC7C0F" w:rsidRDefault="00770C53" w:rsidP="00EB54F4">
            <w:pPr>
              <w:keepNext w:val="0"/>
              <w:rPr>
                <w:b/>
                <w:bCs/>
                <w:szCs w:val="24"/>
                <w:highlight w:val="lightGray"/>
                <w:lang w:eastAsia="fr-CA"/>
              </w:rPr>
            </w:pPr>
            <w:r w:rsidRPr="00316277">
              <w:rPr>
                <w:b/>
                <w:bCs/>
                <w:szCs w:val="24"/>
                <w:lang w:eastAsia="fr-CA"/>
              </w:rPr>
              <w:t>=</w:t>
            </w:r>
          </w:p>
        </w:tc>
        <w:tc>
          <w:tcPr>
            <w:tcW w:w="653" w:type="dxa"/>
            <w:tcBorders>
              <w:bottom w:val="single" w:sz="4" w:space="0" w:color="auto"/>
            </w:tcBorders>
            <w:vAlign w:val="center"/>
          </w:tcPr>
          <w:p w14:paraId="515DD028" w14:textId="77777777" w:rsidR="00770C53" w:rsidRPr="00AC7C0F" w:rsidRDefault="00770C53" w:rsidP="00EB54F4">
            <w:pPr>
              <w:keepNext w:val="0"/>
              <w:rPr>
                <w:b/>
                <w:bCs/>
                <w:szCs w:val="24"/>
                <w:highlight w:val="lightGray"/>
                <w:lang w:eastAsia="fr-CA"/>
              </w:rPr>
            </w:pPr>
            <w:r w:rsidRPr="00316277">
              <w:rPr>
                <w:b/>
                <w:bCs/>
                <w:szCs w:val="24"/>
                <w:lang w:eastAsia="fr-CA"/>
              </w:rPr>
              <w:t>A</w:t>
            </w:r>
          </w:p>
        </w:tc>
        <w:tc>
          <w:tcPr>
            <w:tcW w:w="567" w:type="dxa"/>
            <w:tcBorders>
              <w:bottom w:val="single" w:sz="4" w:space="0" w:color="auto"/>
            </w:tcBorders>
            <w:vAlign w:val="center"/>
          </w:tcPr>
          <w:p w14:paraId="17077CFA" w14:textId="77777777" w:rsidR="00770C53" w:rsidRPr="00AC7C0F" w:rsidRDefault="00770C53" w:rsidP="00EB54F4">
            <w:pPr>
              <w:keepNext w:val="0"/>
              <w:rPr>
                <w:b/>
                <w:bCs/>
                <w:szCs w:val="24"/>
                <w:highlight w:val="lightGray"/>
                <w:lang w:eastAsia="fr-CA"/>
              </w:rPr>
            </w:pPr>
            <w:r w:rsidRPr="00316277">
              <w:rPr>
                <w:b/>
                <w:bCs/>
                <w:szCs w:val="24"/>
                <w:lang w:eastAsia="fr-CA"/>
              </w:rPr>
              <w:t>-</w:t>
            </w:r>
          </w:p>
        </w:tc>
        <w:tc>
          <w:tcPr>
            <w:tcW w:w="567" w:type="dxa"/>
            <w:tcBorders>
              <w:bottom w:val="single" w:sz="4" w:space="0" w:color="auto"/>
            </w:tcBorders>
            <w:vAlign w:val="center"/>
          </w:tcPr>
          <w:p w14:paraId="1552529F" w14:textId="77777777" w:rsidR="00770C53" w:rsidRPr="00316277" w:rsidRDefault="00770C53" w:rsidP="00EB54F4">
            <w:pPr>
              <w:keepNext w:val="0"/>
              <w:rPr>
                <w:b/>
                <w:bCs/>
                <w:szCs w:val="24"/>
                <w:lang w:eastAsia="fr-CA"/>
              </w:rPr>
            </w:pPr>
            <w:r w:rsidRPr="00316277">
              <w:rPr>
                <w:b/>
                <w:bCs/>
                <w:szCs w:val="24"/>
                <w:lang w:eastAsia="fr-CA"/>
              </w:rPr>
              <w:t>B</w:t>
            </w:r>
          </w:p>
        </w:tc>
      </w:tr>
      <w:tr w:rsidR="00770C53" w:rsidRPr="00AC7C0F" w14:paraId="14FED400" w14:textId="77777777" w:rsidTr="00172B27">
        <w:tc>
          <w:tcPr>
            <w:tcW w:w="3266" w:type="dxa"/>
            <w:vMerge/>
          </w:tcPr>
          <w:p w14:paraId="1823A538" w14:textId="77777777" w:rsidR="00770C53" w:rsidRPr="00AC7C0F" w:rsidRDefault="00770C53" w:rsidP="00EB54F4">
            <w:pPr>
              <w:keepNext w:val="0"/>
              <w:rPr>
                <w:b/>
                <w:bCs/>
                <w:szCs w:val="24"/>
                <w:highlight w:val="lightGray"/>
                <w:lang w:eastAsia="fr-CA"/>
              </w:rPr>
            </w:pPr>
          </w:p>
        </w:tc>
        <w:tc>
          <w:tcPr>
            <w:tcW w:w="657" w:type="dxa"/>
            <w:vMerge/>
          </w:tcPr>
          <w:p w14:paraId="2A8617BB" w14:textId="77777777" w:rsidR="00770C53" w:rsidRPr="00AC7C0F" w:rsidRDefault="00770C53" w:rsidP="00EB54F4">
            <w:pPr>
              <w:keepNext w:val="0"/>
              <w:rPr>
                <w:b/>
                <w:bCs/>
                <w:szCs w:val="24"/>
                <w:highlight w:val="lightGray"/>
                <w:lang w:eastAsia="fr-CA"/>
              </w:rPr>
            </w:pPr>
          </w:p>
        </w:tc>
        <w:tc>
          <w:tcPr>
            <w:tcW w:w="1787" w:type="dxa"/>
            <w:gridSpan w:val="3"/>
            <w:tcBorders>
              <w:top w:val="single" w:sz="4" w:space="0" w:color="auto"/>
            </w:tcBorders>
            <w:vAlign w:val="center"/>
          </w:tcPr>
          <w:p w14:paraId="75493839" w14:textId="77777777" w:rsidR="00770C53" w:rsidRPr="00316277" w:rsidRDefault="00770C53" w:rsidP="00EF5DBD">
            <w:pPr>
              <w:keepNext w:val="0"/>
              <w:ind w:firstLine="687"/>
              <w:rPr>
                <w:b/>
                <w:bCs/>
                <w:szCs w:val="24"/>
                <w:lang w:eastAsia="fr-CA"/>
              </w:rPr>
            </w:pPr>
            <w:r w:rsidRPr="00316277">
              <w:rPr>
                <w:b/>
                <w:bCs/>
                <w:szCs w:val="24"/>
                <w:lang w:val="fr-FR"/>
              </w:rPr>
              <w:t>A</w:t>
            </w:r>
          </w:p>
        </w:tc>
      </w:tr>
    </w:tbl>
    <w:p w14:paraId="52E5024F" w14:textId="77777777" w:rsidR="00EB54F4" w:rsidRPr="00316277" w:rsidRDefault="00EB54F4" w:rsidP="00EB54F4">
      <w:pPr>
        <w:keepNext w:val="0"/>
        <w:rPr>
          <w:b/>
          <w:bCs/>
          <w:szCs w:val="24"/>
          <w:lang w:eastAsia="fr-CA"/>
        </w:rPr>
      </w:pPr>
    </w:p>
    <w:p w14:paraId="0F17D00E" w14:textId="099B773D" w:rsidR="00770C53" w:rsidRPr="00316277" w:rsidRDefault="00770C53" w:rsidP="00EB54F4">
      <w:pPr>
        <w:keepNext w:val="0"/>
        <w:rPr>
          <w:szCs w:val="24"/>
          <w:lang w:eastAsia="fr-CA"/>
        </w:rPr>
      </w:pPr>
      <w:r w:rsidRPr="00316277">
        <w:rPr>
          <w:szCs w:val="24"/>
          <w:lang w:eastAsia="fr-CA"/>
        </w:rPr>
        <w:t>où</w:t>
      </w:r>
    </w:p>
    <w:p w14:paraId="41A04F90" w14:textId="77777777" w:rsidR="00EB54F4" w:rsidRPr="00316277" w:rsidRDefault="00EB54F4" w:rsidP="00EB54F4">
      <w:pPr>
        <w:keepNext w:val="0"/>
        <w:rPr>
          <w:b/>
          <w:bCs/>
          <w:szCs w:val="24"/>
          <w:lang w:eastAsia="fr-CA"/>
        </w:rPr>
      </w:pPr>
    </w:p>
    <w:p w14:paraId="1F956A93" w14:textId="1366F8FF" w:rsidR="00770C53" w:rsidRPr="00316277" w:rsidRDefault="00770C53" w:rsidP="00EB54F4">
      <w:pPr>
        <w:keepNext w:val="0"/>
        <w:ind w:left="1134" w:hanging="425"/>
        <w:rPr>
          <w:szCs w:val="24"/>
          <w:lang w:eastAsia="fr-CA"/>
        </w:rPr>
      </w:pPr>
      <w:r w:rsidRPr="00316277">
        <w:rPr>
          <w:szCs w:val="24"/>
          <w:lang w:eastAsia="fr-CA"/>
        </w:rPr>
        <w:t>A </w:t>
      </w:r>
      <w:r w:rsidR="00BD1FDD" w:rsidRPr="00316277">
        <w:rPr>
          <w:szCs w:val="24"/>
          <w:lang w:eastAsia="fr-CA"/>
        </w:rPr>
        <w:t>=</w:t>
      </w:r>
      <w:r w:rsidRPr="00316277">
        <w:rPr>
          <w:szCs w:val="24"/>
          <w:lang w:eastAsia="fr-CA"/>
        </w:rPr>
        <w:tab/>
        <w:t>le traitement moyen du réseau collégial d’un équivalent temps complet (ETC) à l’enseignement régulier (excluant l’enseignante ou l’enseignant chargé de cours)</w:t>
      </w:r>
      <w:r w:rsidR="00664F19" w:rsidRPr="00316277">
        <w:rPr>
          <w:szCs w:val="24"/>
          <w:lang w:eastAsia="fr-CA"/>
        </w:rPr>
        <w:t>;</w:t>
      </w:r>
    </w:p>
    <w:p w14:paraId="10E02457" w14:textId="77777777" w:rsidR="00EB54F4" w:rsidRPr="00316277" w:rsidRDefault="00EB54F4" w:rsidP="00EB54F4">
      <w:pPr>
        <w:keepNext w:val="0"/>
        <w:ind w:left="1134" w:hanging="425"/>
        <w:rPr>
          <w:b/>
          <w:bCs/>
          <w:szCs w:val="24"/>
          <w:lang w:eastAsia="fr-CA"/>
        </w:rPr>
      </w:pPr>
    </w:p>
    <w:p w14:paraId="40CD4A20" w14:textId="056D0019" w:rsidR="00770C53" w:rsidRPr="00770C53" w:rsidRDefault="00770C53" w:rsidP="00EB54F4">
      <w:pPr>
        <w:keepNext w:val="0"/>
        <w:ind w:left="1134" w:hanging="425"/>
        <w:rPr>
          <w:szCs w:val="24"/>
          <w:lang w:eastAsia="fr-CA"/>
        </w:rPr>
      </w:pPr>
      <w:r w:rsidRPr="00316277">
        <w:rPr>
          <w:szCs w:val="24"/>
          <w:lang w:eastAsia="fr-CA"/>
        </w:rPr>
        <w:t>B </w:t>
      </w:r>
      <w:r w:rsidR="00BD1FDD" w:rsidRPr="00316277">
        <w:rPr>
          <w:szCs w:val="24"/>
          <w:lang w:eastAsia="fr-CA"/>
        </w:rPr>
        <w:t>=</w:t>
      </w:r>
      <w:r w:rsidRPr="00316277">
        <w:rPr>
          <w:szCs w:val="24"/>
          <w:lang w:eastAsia="fr-CA"/>
        </w:rPr>
        <w:tab/>
        <w:t xml:space="preserve">le traitement moyen du réseau collégial d’un ETC à la formation continue (enseignante ou enseignant chargé de cours, calculé sur la base de 525 </w:t>
      </w:r>
      <w:r w:rsidR="00BD1FDD" w:rsidRPr="00316277">
        <w:rPr>
          <w:szCs w:val="24"/>
          <w:lang w:eastAsia="fr-CA"/>
        </w:rPr>
        <w:t>heures de cours</w:t>
      </w:r>
      <w:r w:rsidRPr="00316277">
        <w:rPr>
          <w:szCs w:val="24"/>
          <w:lang w:eastAsia="fr-CA"/>
        </w:rPr>
        <w:t xml:space="preserve"> dans une année d’engagement).</w:t>
      </w:r>
    </w:p>
    <w:p w14:paraId="7B7597D3" w14:textId="77777777" w:rsidR="006B063E" w:rsidRPr="00316277" w:rsidRDefault="006B063E" w:rsidP="00832105">
      <w:pPr>
        <w:pStyle w:val="ListParagraph"/>
        <w:spacing w:before="120" w:after="120" w:line="259" w:lineRule="auto"/>
        <w:ind w:left="709" w:hanging="425"/>
        <w:contextualSpacing/>
        <w:rPr>
          <w:rFonts w:cstheme="minorHAnsi"/>
        </w:rPr>
        <w:sectPr w:rsidR="006B063E" w:rsidRPr="00316277" w:rsidSect="002B176A">
          <w:footnotePr>
            <w:numRestart w:val="eachPage"/>
          </w:footnotePr>
          <w:pgSz w:w="12240" w:h="15840" w:code="1"/>
          <w:pgMar w:top="720" w:right="1077" w:bottom="1242" w:left="1684" w:header="709" w:footer="709" w:gutter="0"/>
          <w:cols w:space="708"/>
          <w:docGrid w:linePitch="360"/>
        </w:sectPr>
      </w:pPr>
    </w:p>
    <w:p w14:paraId="472FA2C3" w14:textId="77777777" w:rsidR="003A5E93" w:rsidRPr="003A5E93" w:rsidRDefault="00DC7E50" w:rsidP="003A5E93">
      <w:pPr>
        <w:pStyle w:val="Heading3"/>
        <w:rPr>
          <w:rFonts w:cs="Arial"/>
        </w:rPr>
      </w:pPr>
      <w:bookmarkStart w:id="1133" w:name="_Toc168479585"/>
      <w:r w:rsidRPr="00316277">
        <w:t>Annexe I-19</w:t>
      </w:r>
      <w:r w:rsidRPr="00316277">
        <w:br/>
      </w:r>
      <w:r w:rsidRPr="00316277">
        <w:br/>
        <w:t xml:space="preserve">Annexe relative au financement </w:t>
      </w:r>
      <w:r w:rsidR="00DF185D" w:rsidRPr="00316277">
        <w:t>de la charge supplémentaire pour l’adaptation numérique liée à la format</w:t>
      </w:r>
      <w:r w:rsidRPr="00316277">
        <w:t xml:space="preserve">ion </w:t>
      </w:r>
      <w:r w:rsidR="00DF185D" w:rsidRPr="00316277">
        <w:t>à distance</w:t>
      </w:r>
      <w:r w:rsidRPr="00316277">
        <w:t xml:space="preserve"> </w:t>
      </w:r>
      <w:r w:rsidR="00DF185D" w:rsidRPr="00316277">
        <w:t>(FAD</w:t>
      </w:r>
      <w:r w:rsidRPr="00316277">
        <w:t>)</w:t>
      </w:r>
      <w:bookmarkEnd w:id="1133"/>
    </w:p>
    <w:p w14:paraId="3964A04B" w14:textId="508631C1" w:rsidR="006B063E" w:rsidRPr="009654C3" w:rsidRDefault="006B063E" w:rsidP="00864798">
      <w:pPr>
        <w:pStyle w:val="N-Commun"/>
        <w:numPr>
          <w:ilvl w:val="0"/>
          <w:numId w:val="78"/>
        </w:numPr>
        <w:spacing w:before="0" w:after="0"/>
        <w:ind w:left="567" w:hanging="567"/>
        <w:rPr>
          <w:rFonts w:ascii="Arial" w:hAnsi="Arial" w:cs="Arial"/>
          <w:sz w:val="24"/>
        </w:rPr>
      </w:pPr>
      <w:r w:rsidRPr="00316277">
        <w:rPr>
          <w:rFonts w:ascii="Arial" w:hAnsi="Arial" w:cs="Arial"/>
          <w:sz w:val="24"/>
          <w:lang w:val="fr-FR"/>
        </w:rPr>
        <w:t xml:space="preserve">À compter de l’année 2024-2025, une enveloppe réseau de 19 ETC par année est constituée pour financer la charge </w:t>
      </w:r>
      <w:r w:rsidR="00664F19" w:rsidRPr="00316277">
        <w:rPr>
          <w:rFonts w:ascii="Arial" w:hAnsi="Arial" w:cs="Arial"/>
          <w:sz w:val="24"/>
          <w:lang w:val="fr-FR"/>
        </w:rPr>
        <w:t>supplémentaire</w:t>
      </w:r>
      <w:r w:rsidRPr="00316277">
        <w:rPr>
          <w:rFonts w:ascii="Arial" w:hAnsi="Arial" w:cs="Arial"/>
          <w:sz w:val="24"/>
          <w:lang w:val="fr-FR"/>
        </w:rPr>
        <w:t xml:space="preserve"> générée par</w:t>
      </w:r>
      <w:r w:rsidRPr="009654C3">
        <w:rPr>
          <w:rFonts w:ascii="Arial" w:hAnsi="Arial" w:cs="Arial"/>
          <w:sz w:val="24"/>
          <w:lang w:val="fr-FR"/>
        </w:rPr>
        <w:t xml:space="preserve"> l’adaptation numérique liée à la FAD, applicable aux secteurs de l’enseignement régulier et de la formation continue</w:t>
      </w:r>
      <w:r w:rsidRPr="009654C3">
        <w:rPr>
          <w:rStyle w:val="FootnoteReference"/>
          <w:rFonts w:ascii="Arial" w:hAnsi="Arial" w:cs="Arial"/>
          <w:sz w:val="24"/>
          <w:lang w:val="fr-FR"/>
        </w:rPr>
        <w:footnoteReference w:id="54"/>
      </w:r>
      <w:r w:rsidRPr="009654C3">
        <w:rPr>
          <w:rFonts w:ascii="Arial" w:hAnsi="Arial" w:cs="Arial"/>
          <w:sz w:val="24"/>
          <w:lang w:val="fr-FR"/>
        </w:rPr>
        <w:t>.</w:t>
      </w:r>
    </w:p>
    <w:p w14:paraId="64662733" w14:textId="77777777" w:rsidR="006B063E" w:rsidRPr="00316277" w:rsidRDefault="006B063E" w:rsidP="006B063E">
      <w:pPr>
        <w:pStyle w:val="N-Commun"/>
        <w:spacing w:before="0" w:after="0"/>
        <w:ind w:left="567" w:hanging="567"/>
        <w:rPr>
          <w:rFonts w:ascii="Arial" w:hAnsi="Arial" w:cs="Arial"/>
          <w:sz w:val="24"/>
        </w:rPr>
      </w:pPr>
    </w:p>
    <w:p w14:paraId="3DFAB415" w14:textId="5445B041" w:rsidR="006B063E" w:rsidRPr="00316277" w:rsidRDefault="006B063E" w:rsidP="00864798">
      <w:pPr>
        <w:pStyle w:val="N-Commun"/>
        <w:numPr>
          <w:ilvl w:val="0"/>
          <w:numId w:val="78"/>
        </w:numPr>
        <w:spacing w:before="0" w:after="0"/>
        <w:ind w:left="567" w:hanging="567"/>
        <w:rPr>
          <w:rFonts w:ascii="Arial" w:hAnsi="Arial" w:cs="Arial"/>
          <w:sz w:val="24"/>
        </w:rPr>
      </w:pPr>
      <w:r w:rsidRPr="00316277">
        <w:rPr>
          <w:rFonts w:ascii="Arial" w:hAnsi="Arial" w:cs="Arial"/>
          <w:sz w:val="24"/>
          <w:lang w:val="fr-FR"/>
        </w:rPr>
        <w:t>Suivant la signature de la convention collective 2023-2028, le comité consultatif sur la tâche répartit annuellement les ressources de la présente annexe entre les collèges selon les modalités énumérées au point 3. Cette répartition est basée sur une estimation des ETC pour l’enseignement régulier et</w:t>
      </w:r>
      <w:r w:rsidRPr="009654C3">
        <w:rPr>
          <w:rFonts w:ascii="Arial" w:hAnsi="Arial" w:cs="Arial"/>
          <w:sz w:val="24"/>
          <w:lang w:val="fr-FR"/>
        </w:rPr>
        <w:t xml:space="preserve"> sur le nombre de périodes pour la formation continue,</w:t>
      </w:r>
      <w:r w:rsidRPr="00316277">
        <w:rPr>
          <w:rFonts w:ascii="Arial" w:hAnsi="Arial" w:cs="Arial"/>
          <w:sz w:val="24"/>
          <w:lang w:val="fr-FR"/>
        </w:rPr>
        <w:t xml:space="preserve"> à partir de données transmises par l’ensemble des collèges au CPNC pour l’année précédente.</w:t>
      </w:r>
    </w:p>
    <w:p w14:paraId="55DB5A53" w14:textId="77777777" w:rsidR="006B063E" w:rsidRPr="00316277" w:rsidRDefault="006B063E" w:rsidP="006B063E">
      <w:pPr>
        <w:pStyle w:val="N-Commun"/>
        <w:spacing w:before="0" w:after="0"/>
        <w:ind w:left="567" w:hanging="567"/>
        <w:rPr>
          <w:rFonts w:ascii="Arial" w:hAnsi="Arial" w:cs="Arial"/>
          <w:sz w:val="24"/>
        </w:rPr>
      </w:pPr>
    </w:p>
    <w:p w14:paraId="5B25140B" w14:textId="77777777" w:rsidR="006B063E" w:rsidRPr="00316277" w:rsidRDefault="006B063E" w:rsidP="00864798">
      <w:pPr>
        <w:pStyle w:val="N-Commun"/>
        <w:numPr>
          <w:ilvl w:val="0"/>
          <w:numId w:val="78"/>
        </w:numPr>
        <w:spacing w:before="0" w:after="0"/>
        <w:ind w:left="567" w:hanging="567"/>
        <w:rPr>
          <w:rFonts w:ascii="Arial" w:hAnsi="Arial" w:cs="Arial"/>
          <w:sz w:val="24"/>
        </w:rPr>
      </w:pPr>
      <w:r w:rsidRPr="00316277">
        <w:rPr>
          <w:rFonts w:ascii="Arial" w:hAnsi="Arial" w:cs="Arial"/>
          <w:sz w:val="24"/>
        </w:rPr>
        <w:t>La répartition des ressources de la présente annexe est effectuée selon les modalités suivantes :</w:t>
      </w:r>
    </w:p>
    <w:p w14:paraId="387EC76F" w14:textId="77777777" w:rsidR="006B063E" w:rsidRPr="00316277" w:rsidRDefault="006B063E" w:rsidP="006B063E">
      <w:pPr>
        <w:pStyle w:val="N-Commun"/>
        <w:spacing w:before="0" w:after="0"/>
        <w:ind w:left="284"/>
        <w:rPr>
          <w:rFonts w:ascii="Arial" w:hAnsi="Arial" w:cs="Arial"/>
          <w:sz w:val="24"/>
        </w:rPr>
      </w:pPr>
    </w:p>
    <w:p w14:paraId="72B5B434" w14:textId="29ABE0AB" w:rsidR="006B063E" w:rsidRPr="00316277" w:rsidRDefault="006B063E" w:rsidP="00864798">
      <w:pPr>
        <w:pStyle w:val="N-Commun"/>
        <w:numPr>
          <w:ilvl w:val="1"/>
          <w:numId w:val="78"/>
        </w:numPr>
        <w:spacing w:before="0" w:after="0"/>
        <w:ind w:left="1134" w:hanging="567"/>
        <w:rPr>
          <w:rFonts w:ascii="Arial" w:hAnsi="Arial" w:cs="Arial"/>
          <w:sz w:val="24"/>
        </w:rPr>
      </w:pPr>
      <w:r w:rsidRPr="00316277">
        <w:rPr>
          <w:rFonts w:ascii="Arial" w:hAnsi="Arial" w:cs="Arial"/>
          <w:sz w:val="24"/>
          <w:lang w:val="fr-FR"/>
        </w:rPr>
        <w:t xml:space="preserve">D’abord, des ETC sont répartis entre les collèges qui ont à soutenir la bonification, pour les cours offerts en enseignement comodal, </w:t>
      </w:r>
      <w:r w:rsidR="00790594" w:rsidRPr="00316277">
        <w:rPr>
          <w:rFonts w:ascii="Arial" w:hAnsi="Arial" w:cs="Arial"/>
          <w:sz w:val="24"/>
          <w:lang w:val="fr-FR"/>
        </w:rPr>
        <w:t xml:space="preserve">de </w:t>
      </w:r>
      <w:r w:rsidRPr="00316277">
        <w:rPr>
          <w:rFonts w:ascii="Arial" w:hAnsi="Arial" w:cs="Arial"/>
          <w:sz w:val="24"/>
          <w:lang w:val="fr-FR"/>
        </w:rPr>
        <w:t>la charge individuelle des enseignantes et enseignants à temps complet ou à temps partiel, tel que prévu à l’Annexe I-1. Des montants sont également accordés aux collèges qui ont à soutenir la bonification, pour les cours offerts en enseignement comodal, du nombre de périodes pour les enseignantes et enseignants rémunérés à titre de chargé de cours tel que prévu à</w:t>
      </w:r>
      <w:r w:rsidR="00790594" w:rsidRPr="00316277">
        <w:rPr>
          <w:rFonts w:ascii="Arial" w:hAnsi="Arial" w:cs="Arial"/>
          <w:sz w:val="24"/>
          <w:lang w:val="fr-FR"/>
        </w:rPr>
        <w:t xml:space="preserve"> la clause </w:t>
      </w:r>
      <w:r w:rsidRPr="00316277">
        <w:rPr>
          <w:rFonts w:ascii="Arial" w:hAnsi="Arial" w:cs="Arial"/>
          <w:sz w:val="24"/>
          <w:lang w:val="fr-FR"/>
        </w:rPr>
        <w:t>6</w:t>
      </w:r>
      <w:r w:rsidR="00790594" w:rsidRPr="00316277">
        <w:rPr>
          <w:rFonts w:ascii="Arial" w:hAnsi="Arial" w:cs="Arial"/>
          <w:sz w:val="24"/>
          <w:lang w:val="fr-FR"/>
        </w:rPr>
        <w:noBreakHyphen/>
      </w:r>
      <w:r w:rsidRPr="00316277">
        <w:rPr>
          <w:rFonts w:ascii="Arial" w:hAnsi="Arial" w:cs="Arial"/>
          <w:sz w:val="24"/>
          <w:lang w:val="fr-FR"/>
        </w:rPr>
        <w:t xml:space="preserve">1.03. </w:t>
      </w:r>
    </w:p>
    <w:p w14:paraId="3FCF28A6" w14:textId="77777777" w:rsidR="006B063E" w:rsidRPr="00316277" w:rsidRDefault="006B063E" w:rsidP="006B063E">
      <w:pPr>
        <w:pStyle w:val="N-Commun"/>
        <w:spacing w:before="0" w:after="0"/>
        <w:ind w:left="1211"/>
        <w:rPr>
          <w:rFonts w:ascii="Arial" w:hAnsi="Arial" w:cs="Arial"/>
          <w:sz w:val="24"/>
        </w:rPr>
      </w:pPr>
    </w:p>
    <w:p w14:paraId="09574897" w14:textId="33717257" w:rsidR="006B063E" w:rsidRPr="00316277" w:rsidRDefault="006B063E" w:rsidP="00864798">
      <w:pPr>
        <w:pStyle w:val="N-Commun"/>
        <w:numPr>
          <w:ilvl w:val="1"/>
          <w:numId w:val="78"/>
        </w:numPr>
        <w:spacing w:before="0" w:after="0"/>
        <w:ind w:left="1134" w:hanging="567"/>
        <w:rPr>
          <w:rFonts w:ascii="Arial" w:hAnsi="Arial" w:cs="Arial"/>
          <w:sz w:val="24"/>
        </w:rPr>
      </w:pPr>
      <w:r w:rsidRPr="00316277">
        <w:rPr>
          <w:rFonts w:ascii="Arial" w:hAnsi="Arial" w:cs="Arial"/>
          <w:sz w:val="24"/>
          <w:lang w:val="fr-FR"/>
        </w:rPr>
        <w:t>Le solde non utilisé est ensuite réparti en ETC aux collèges qui ont à soutenir la reconnaissance d’un même cours offert en présence et à distance comme deux (2) cours différents dans la charge individuelle des enseignantes et enseignants à temps complet ou à temps partiel, tel que prévu à l’Annexe</w:t>
      </w:r>
      <w:r w:rsidR="00790594" w:rsidRPr="00316277">
        <w:rPr>
          <w:rFonts w:ascii="Arial" w:hAnsi="Arial" w:cs="Arial"/>
          <w:sz w:val="24"/>
          <w:lang w:val="fr-FR"/>
        </w:rPr>
        <w:t> </w:t>
      </w:r>
      <w:r w:rsidRPr="00316277">
        <w:rPr>
          <w:rFonts w:ascii="Arial" w:hAnsi="Arial" w:cs="Arial"/>
          <w:sz w:val="24"/>
          <w:lang w:val="fr-FR"/>
        </w:rPr>
        <w:t>I-1.</w:t>
      </w:r>
    </w:p>
    <w:p w14:paraId="74888BFD" w14:textId="77777777" w:rsidR="006B063E" w:rsidRPr="00316277" w:rsidRDefault="006B063E" w:rsidP="006B063E">
      <w:pPr>
        <w:pStyle w:val="N-Commun"/>
        <w:spacing w:before="0" w:after="0"/>
        <w:ind w:left="0"/>
        <w:rPr>
          <w:rFonts w:ascii="Arial" w:hAnsi="Arial" w:cs="Arial"/>
          <w:sz w:val="24"/>
        </w:rPr>
      </w:pPr>
    </w:p>
    <w:p w14:paraId="356F5F86" w14:textId="3A34153B" w:rsidR="006B063E" w:rsidRPr="00316277" w:rsidRDefault="006B063E" w:rsidP="002F675D">
      <w:pPr>
        <w:pStyle w:val="N-Commun"/>
        <w:spacing w:before="0" w:after="0"/>
        <w:ind w:left="567"/>
        <w:rPr>
          <w:rFonts w:ascii="Arial" w:hAnsi="Arial" w:cs="Arial"/>
          <w:sz w:val="24"/>
        </w:rPr>
      </w:pPr>
      <w:r w:rsidRPr="00316277">
        <w:rPr>
          <w:rFonts w:ascii="Arial" w:hAnsi="Arial" w:cs="Arial"/>
          <w:sz w:val="24"/>
          <w:lang w:val="fr-FR"/>
        </w:rPr>
        <w:t>Les parties nationales conviennent ensuite, en CNR, de la répartition du solde non utilisé afin de soutenir d’autres besoins liés à la formation à distance.</w:t>
      </w:r>
    </w:p>
    <w:p w14:paraId="65596B82" w14:textId="4E7EEFFC" w:rsidR="006B063E" w:rsidRPr="00316277" w:rsidRDefault="006B063E" w:rsidP="00A0157B">
      <w:pPr>
        <w:pStyle w:val="N-FNEEQ"/>
        <w:spacing w:before="0" w:after="0"/>
        <w:jc w:val="center"/>
        <w:rPr>
          <w:rFonts w:ascii="Arial" w:hAnsi="Arial" w:cs="Arial"/>
          <w:b/>
          <w:color w:val="auto"/>
          <w:sz w:val="24"/>
          <w:szCs w:val="24"/>
          <w:lang w:val="fr-FR"/>
        </w:rPr>
      </w:pPr>
      <w:r w:rsidRPr="00316277">
        <w:rPr>
          <w:rFonts w:ascii="Arial" w:hAnsi="Arial" w:cs="Arial"/>
          <w:b/>
          <w:color w:val="auto"/>
          <w:sz w:val="24"/>
          <w:szCs w:val="24"/>
          <w:lang w:val="fr-FR"/>
        </w:rPr>
        <w:t>Répartition des allocations et montants pour l’année 2024-2025</w:t>
      </w:r>
    </w:p>
    <w:p w14:paraId="76C9800B" w14:textId="77777777" w:rsidR="00A0157B" w:rsidRPr="00316277" w:rsidRDefault="00A0157B" w:rsidP="00A0157B">
      <w:pPr>
        <w:pStyle w:val="N-FNEEQ"/>
        <w:spacing w:before="0" w:after="0"/>
        <w:jc w:val="center"/>
        <w:rPr>
          <w:rFonts w:ascii="Arial" w:hAnsi="Arial" w:cs="Arial"/>
          <w:b/>
          <w:color w:val="auto"/>
          <w:sz w:val="24"/>
          <w:szCs w:val="24"/>
          <w:lang w:val="fr-FR"/>
        </w:rPr>
      </w:pPr>
    </w:p>
    <w:p w14:paraId="327E411B" w14:textId="37F158DF" w:rsidR="006B063E" w:rsidRPr="009A1CC5" w:rsidRDefault="006B063E" w:rsidP="00A0157B">
      <w:pPr>
        <w:keepNext w:val="0"/>
        <w:suppressAutoHyphens w:val="0"/>
        <w:rPr>
          <w:rFonts w:eastAsiaTheme="minorHAnsi" w:cs="Arial"/>
          <w:snapToGrid/>
          <w:szCs w:val="24"/>
          <w:lang w:val="fr-FR" w:eastAsia="en-US"/>
        </w:rPr>
      </w:pPr>
      <w:r w:rsidRPr="009A1CC5">
        <w:rPr>
          <w:rFonts w:eastAsiaTheme="minorHAnsi" w:cs="Arial"/>
          <w:snapToGrid/>
          <w:szCs w:val="24"/>
          <w:lang w:val="fr-FR" w:eastAsia="en-US"/>
        </w:rPr>
        <w:t>Les tableaux ci-dessous présentent la répartition de l’enveloppe réseau pour l’année 2024</w:t>
      </w:r>
      <w:r w:rsidR="002F675D" w:rsidRPr="009A1CC5">
        <w:rPr>
          <w:rFonts w:eastAsiaTheme="minorHAnsi" w:cs="Arial"/>
          <w:snapToGrid/>
          <w:szCs w:val="24"/>
          <w:lang w:val="fr-FR" w:eastAsia="en-US"/>
        </w:rPr>
        <w:noBreakHyphen/>
      </w:r>
      <w:r w:rsidRPr="009A1CC5">
        <w:rPr>
          <w:rFonts w:eastAsiaTheme="minorHAnsi" w:cs="Arial"/>
          <w:snapToGrid/>
          <w:szCs w:val="24"/>
          <w:lang w:val="fr-FR" w:eastAsia="en-US"/>
        </w:rPr>
        <w:t xml:space="preserve">2025 seulement, excluant un solde de </w:t>
      </w:r>
      <w:r w:rsidR="00790594" w:rsidRPr="009A1CC5">
        <w:rPr>
          <w:rFonts w:eastAsiaTheme="minorHAnsi" w:cs="Arial"/>
          <w:snapToGrid/>
          <w:szCs w:val="24"/>
          <w:lang w:val="fr-FR" w:eastAsia="en-US"/>
        </w:rPr>
        <w:t>quatre virgule cinquante-trois (4,53)</w:t>
      </w:r>
      <w:r w:rsidRPr="009A1CC5">
        <w:rPr>
          <w:rFonts w:eastAsiaTheme="minorHAnsi" w:cs="Arial"/>
          <w:snapToGrid/>
          <w:szCs w:val="24"/>
          <w:lang w:val="fr-FR" w:eastAsia="en-US"/>
        </w:rPr>
        <w:t xml:space="preserve"> ETC devant être traité par le CNR. Pour les années subséquentes, les allocations et montants sont transmis aux collèges conformément à la clause</w:t>
      </w:r>
      <w:r w:rsidR="002F675D" w:rsidRPr="009A1CC5">
        <w:rPr>
          <w:rFonts w:eastAsiaTheme="minorHAnsi" w:cs="Arial"/>
          <w:snapToGrid/>
          <w:szCs w:val="24"/>
          <w:lang w:val="fr-FR" w:eastAsia="en-US"/>
        </w:rPr>
        <w:t> </w:t>
      </w:r>
      <w:r w:rsidRPr="009A1CC5">
        <w:rPr>
          <w:rFonts w:eastAsiaTheme="minorHAnsi" w:cs="Arial"/>
          <w:snapToGrid/>
          <w:szCs w:val="24"/>
          <w:lang w:val="fr-FR" w:eastAsia="en-US"/>
        </w:rPr>
        <w:t>8-5.01.</w:t>
      </w:r>
    </w:p>
    <w:p w14:paraId="30946B59" w14:textId="1D2A9189" w:rsidR="006B063E" w:rsidRPr="009A1CC5" w:rsidRDefault="006B063E" w:rsidP="006B063E">
      <w:pPr>
        <w:keepNext w:val="0"/>
      </w:pPr>
    </w:p>
    <w:p w14:paraId="6AF5A16E" w14:textId="2A9CABE4" w:rsidR="002F675D" w:rsidRPr="00316277" w:rsidRDefault="002F675D" w:rsidP="002F675D">
      <w:pPr>
        <w:pStyle w:val="N-FNEEQ"/>
        <w:spacing w:before="0"/>
        <w:jc w:val="center"/>
        <w:rPr>
          <w:rFonts w:ascii="Arial" w:hAnsi="Arial" w:cs="Arial"/>
          <w:b/>
          <w:color w:val="auto"/>
          <w:sz w:val="24"/>
          <w:szCs w:val="24"/>
          <w:vertAlign w:val="superscript"/>
          <w:lang w:val="fr-FR"/>
        </w:rPr>
      </w:pPr>
      <w:r w:rsidRPr="009A1CC5">
        <w:rPr>
          <w:rFonts w:ascii="Arial" w:hAnsi="Arial" w:cs="Arial"/>
          <w:b/>
          <w:color w:val="auto"/>
          <w:sz w:val="24"/>
          <w:szCs w:val="24"/>
          <w:lang w:val="fr-FR"/>
        </w:rPr>
        <w:t xml:space="preserve">Enseignement </w:t>
      </w:r>
      <w:r w:rsidRPr="009A1CC5">
        <w:rPr>
          <w:rFonts w:ascii="Arial" w:hAnsi="Arial" w:cs="Arial"/>
          <w:b/>
          <w:bCs/>
          <w:color w:val="auto"/>
          <w:sz w:val="24"/>
          <w:szCs w:val="24"/>
          <w:lang w:val="fr-FR"/>
        </w:rPr>
        <w:t>régulier</w:t>
      </w:r>
      <w:r w:rsidRPr="009A1CC5">
        <w:rPr>
          <w:rFonts w:ascii="Arial" w:hAnsi="Arial" w:cs="Arial"/>
          <w:b/>
          <w:bCs/>
          <w:caps/>
          <w:color w:val="auto"/>
          <w:sz w:val="24"/>
          <w:szCs w:val="24"/>
          <w:vertAlign w:val="superscript"/>
          <w:lang w:val="fr-FR"/>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3"/>
        <w:gridCol w:w="2576"/>
      </w:tblGrid>
      <w:tr w:rsidR="002F675D" w:rsidRPr="002F675D" w14:paraId="215EAA6B" w14:textId="77777777" w:rsidTr="00F44D2B">
        <w:trPr>
          <w:trHeight w:val="558"/>
          <w:jc w:val="center"/>
        </w:trPr>
        <w:tc>
          <w:tcPr>
            <w:tcW w:w="5783" w:type="dxa"/>
            <w:shd w:val="clear" w:color="auto" w:fill="auto"/>
            <w:vAlign w:val="center"/>
          </w:tcPr>
          <w:p w14:paraId="6C3EF291" w14:textId="77777777" w:rsidR="002F675D" w:rsidRPr="002F675D" w:rsidRDefault="002F675D" w:rsidP="00F44D2B">
            <w:pPr>
              <w:pStyle w:val="Selonlesdisp"/>
              <w:keepNext w:val="0"/>
              <w:spacing w:before="60" w:after="60"/>
              <w:ind w:left="-570"/>
              <w:rPr>
                <w:b w:val="0"/>
                <w:bCs/>
                <w:caps w:val="0"/>
                <w:highlight w:val="lightGray"/>
              </w:rPr>
            </w:pPr>
            <w:r w:rsidRPr="00316277">
              <w:rPr>
                <w:b w:val="0"/>
                <w:bCs/>
                <w:caps w:val="0"/>
              </w:rPr>
              <w:t>COLLÈGE OU CAMPUS</w:t>
            </w:r>
          </w:p>
        </w:tc>
        <w:tc>
          <w:tcPr>
            <w:tcW w:w="2576" w:type="dxa"/>
            <w:shd w:val="clear" w:color="auto" w:fill="auto"/>
            <w:vAlign w:val="center"/>
          </w:tcPr>
          <w:p w14:paraId="45EC9D63" w14:textId="77777777" w:rsidR="002F675D" w:rsidRPr="00316277" w:rsidRDefault="002F675D" w:rsidP="00F44D2B">
            <w:pPr>
              <w:keepNext w:val="0"/>
              <w:spacing w:before="60" w:after="60"/>
              <w:jc w:val="center"/>
              <w:rPr>
                <w:bCs/>
                <w:lang w:val="en-CA"/>
              </w:rPr>
            </w:pPr>
            <w:r w:rsidRPr="00316277">
              <w:rPr>
                <w:bCs/>
                <w:lang w:val="en-CA"/>
              </w:rPr>
              <w:t>ALLOCATION EN ETC</w:t>
            </w:r>
          </w:p>
        </w:tc>
      </w:tr>
      <w:tr w:rsidR="002F675D" w:rsidRPr="002F675D" w14:paraId="7DF5A0B0" w14:textId="77777777" w:rsidTr="00F44D2B">
        <w:trPr>
          <w:jc w:val="center"/>
        </w:trPr>
        <w:tc>
          <w:tcPr>
            <w:tcW w:w="5783" w:type="dxa"/>
            <w:shd w:val="clear" w:color="auto" w:fill="auto"/>
          </w:tcPr>
          <w:p w14:paraId="47BCA157" w14:textId="77777777" w:rsidR="002F675D" w:rsidRPr="002F675D" w:rsidRDefault="002F675D" w:rsidP="00F44D2B">
            <w:pPr>
              <w:pStyle w:val="CommentText"/>
              <w:keepNext w:val="0"/>
              <w:tabs>
                <w:tab w:val="clear" w:pos="3969"/>
              </w:tabs>
              <w:spacing w:before="40" w:after="40"/>
              <w:rPr>
                <w:highlight w:val="lightGray"/>
                <w:lang w:val="en-CA"/>
              </w:rPr>
            </w:pPr>
            <w:r w:rsidRPr="00316277">
              <w:rPr>
                <w:lang w:val="en-CA"/>
              </w:rPr>
              <w:t>Abitibi</w:t>
            </w:r>
            <w:r w:rsidRPr="00316277">
              <w:rPr>
                <w:lang w:val="en-CA"/>
              </w:rPr>
              <w:noBreakHyphen/>
              <w:t>Témiscamingue</w:t>
            </w:r>
          </w:p>
        </w:tc>
        <w:tc>
          <w:tcPr>
            <w:tcW w:w="2576" w:type="dxa"/>
            <w:shd w:val="clear" w:color="auto" w:fill="auto"/>
          </w:tcPr>
          <w:p w14:paraId="2A86519C"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0,86</w:t>
            </w:r>
          </w:p>
        </w:tc>
      </w:tr>
      <w:tr w:rsidR="002F675D" w:rsidRPr="002F675D" w14:paraId="27226B1E" w14:textId="77777777" w:rsidTr="00F44D2B">
        <w:trPr>
          <w:jc w:val="center"/>
        </w:trPr>
        <w:tc>
          <w:tcPr>
            <w:tcW w:w="5783" w:type="dxa"/>
            <w:shd w:val="clear" w:color="auto" w:fill="auto"/>
          </w:tcPr>
          <w:p w14:paraId="5AB4C376" w14:textId="77777777" w:rsidR="002F675D" w:rsidRPr="002F675D" w:rsidRDefault="002F675D" w:rsidP="00F44D2B">
            <w:pPr>
              <w:pStyle w:val="CommentText"/>
              <w:keepNext w:val="0"/>
              <w:tabs>
                <w:tab w:val="clear" w:pos="3969"/>
              </w:tabs>
              <w:spacing w:before="40" w:after="40"/>
              <w:rPr>
                <w:smallCaps/>
                <w:highlight w:val="lightGray"/>
                <w:lang w:val="en-CA"/>
              </w:rPr>
            </w:pPr>
            <w:r w:rsidRPr="00316277">
              <w:rPr>
                <w:lang w:val="en-CA"/>
              </w:rPr>
              <w:t>Ahuntsic</w:t>
            </w:r>
          </w:p>
        </w:tc>
        <w:tc>
          <w:tcPr>
            <w:tcW w:w="2576" w:type="dxa"/>
            <w:shd w:val="clear" w:color="auto" w:fill="auto"/>
          </w:tcPr>
          <w:p w14:paraId="63BB6519"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0,04</w:t>
            </w:r>
          </w:p>
        </w:tc>
      </w:tr>
      <w:tr w:rsidR="002F675D" w:rsidRPr="002F675D" w14:paraId="162BD70A" w14:textId="77777777" w:rsidTr="00F44D2B">
        <w:trPr>
          <w:jc w:val="center"/>
        </w:trPr>
        <w:tc>
          <w:tcPr>
            <w:tcW w:w="5783" w:type="dxa"/>
            <w:shd w:val="clear" w:color="auto" w:fill="auto"/>
          </w:tcPr>
          <w:p w14:paraId="6E741B1D" w14:textId="77777777" w:rsidR="002F675D" w:rsidRPr="002F675D" w:rsidRDefault="002F675D" w:rsidP="00F44D2B">
            <w:pPr>
              <w:pStyle w:val="CommentText"/>
              <w:keepNext w:val="0"/>
              <w:tabs>
                <w:tab w:val="clear" w:pos="3969"/>
              </w:tabs>
              <w:spacing w:before="40" w:after="40"/>
              <w:rPr>
                <w:highlight w:val="lightGray"/>
                <w:lang w:val="en-CA"/>
              </w:rPr>
            </w:pPr>
            <w:r w:rsidRPr="00316277">
              <w:rPr>
                <w:lang w:val="en-CA"/>
              </w:rPr>
              <w:t>Alma</w:t>
            </w:r>
          </w:p>
        </w:tc>
        <w:tc>
          <w:tcPr>
            <w:tcW w:w="2576" w:type="dxa"/>
            <w:shd w:val="clear" w:color="auto" w:fill="auto"/>
          </w:tcPr>
          <w:p w14:paraId="774110BB" w14:textId="77777777" w:rsidR="002F675D" w:rsidRPr="00316277" w:rsidRDefault="002F675D" w:rsidP="00F44D2B">
            <w:pPr>
              <w:pStyle w:val="CommentText"/>
              <w:keepNext w:val="0"/>
              <w:tabs>
                <w:tab w:val="clear" w:pos="3969"/>
              </w:tabs>
              <w:spacing w:before="40" w:after="40"/>
              <w:jc w:val="center"/>
              <w:rPr>
                <w:lang w:val="fr-FR"/>
              </w:rPr>
            </w:pPr>
            <w:r w:rsidRPr="00316277">
              <w:rPr>
                <w:lang w:val="fr-FR"/>
              </w:rPr>
              <w:t>0,00</w:t>
            </w:r>
          </w:p>
        </w:tc>
      </w:tr>
      <w:tr w:rsidR="002F675D" w:rsidRPr="002F675D" w14:paraId="3D06EE9C" w14:textId="77777777" w:rsidTr="00F44D2B">
        <w:trPr>
          <w:jc w:val="center"/>
        </w:trPr>
        <w:tc>
          <w:tcPr>
            <w:tcW w:w="5783" w:type="dxa"/>
            <w:shd w:val="clear" w:color="auto" w:fill="auto"/>
          </w:tcPr>
          <w:p w14:paraId="2AE54CE9" w14:textId="77777777" w:rsidR="002F675D" w:rsidRPr="002F675D" w:rsidRDefault="002F675D" w:rsidP="00F44D2B">
            <w:pPr>
              <w:pStyle w:val="CommentText"/>
              <w:keepNext w:val="0"/>
              <w:tabs>
                <w:tab w:val="clear" w:pos="3969"/>
              </w:tabs>
              <w:spacing w:before="40" w:after="40"/>
              <w:rPr>
                <w:highlight w:val="lightGray"/>
                <w:lang w:val="fr-FR"/>
              </w:rPr>
            </w:pPr>
            <w:r w:rsidRPr="00316277">
              <w:rPr>
                <w:lang w:val="fr-FR"/>
              </w:rPr>
              <w:t>André</w:t>
            </w:r>
            <w:r w:rsidRPr="00316277">
              <w:rPr>
                <w:lang w:val="fr-FR"/>
              </w:rPr>
              <w:noBreakHyphen/>
              <w:t>Laurendeau</w:t>
            </w:r>
          </w:p>
        </w:tc>
        <w:tc>
          <w:tcPr>
            <w:tcW w:w="2576" w:type="dxa"/>
            <w:shd w:val="clear" w:color="auto" w:fill="auto"/>
          </w:tcPr>
          <w:p w14:paraId="39C45BEA"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25A5A66D" w14:textId="77777777" w:rsidTr="00F44D2B">
        <w:trPr>
          <w:jc w:val="center"/>
        </w:trPr>
        <w:tc>
          <w:tcPr>
            <w:tcW w:w="5783" w:type="dxa"/>
            <w:shd w:val="clear" w:color="auto" w:fill="auto"/>
          </w:tcPr>
          <w:p w14:paraId="4DFC9EE7" w14:textId="77777777" w:rsidR="002F675D" w:rsidRPr="002F675D" w:rsidRDefault="002F675D" w:rsidP="00F44D2B">
            <w:pPr>
              <w:pStyle w:val="CommentText"/>
              <w:keepNext w:val="0"/>
              <w:tabs>
                <w:tab w:val="clear" w:pos="3969"/>
              </w:tabs>
              <w:spacing w:before="40" w:after="40"/>
              <w:rPr>
                <w:highlight w:val="lightGray"/>
              </w:rPr>
            </w:pPr>
            <w:r w:rsidRPr="00316277">
              <w:t>Beauce</w:t>
            </w:r>
            <w:r w:rsidRPr="00316277">
              <w:noBreakHyphen/>
              <w:t>Appalaches</w:t>
            </w:r>
          </w:p>
        </w:tc>
        <w:tc>
          <w:tcPr>
            <w:tcW w:w="2576" w:type="dxa"/>
            <w:shd w:val="clear" w:color="auto" w:fill="auto"/>
          </w:tcPr>
          <w:p w14:paraId="6F68E1A7" w14:textId="77777777" w:rsidR="002F675D" w:rsidRPr="00316277" w:rsidRDefault="002F675D" w:rsidP="00F44D2B">
            <w:pPr>
              <w:pStyle w:val="CommentText"/>
              <w:keepNext w:val="0"/>
              <w:tabs>
                <w:tab w:val="clear" w:pos="3969"/>
              </w:tabs>
              <w:spacing w:before="40" w:after="40"/>
              <w:jc w:val="center"/>
            </w:pPr>
            <w:r w:rsidRPr="00316277">
              <w:t>0,10</w:t>
            </w:r>
          </w:p>
        </w:tc>
      </w:tr>
      <w:tr w:rsidR="002F675D" w:rsidRPr="002F675D" w14:paraId="44A2FB0D" w14:textId="77777777" w:rsidTr="00F44D2B">
        <w:trPr>
          <w:jc w:val="center"/>
        </w:trPr>
        <w:tc>
          <w:tcPr>
            <w:tcW w:w="5783" w:type="dxa"/>
            <w:shd w:val="clear" w:color="auto" w:fill="auto"/>
          </w:tcPr>
          <w:p w14:paraId="5EEE66A8" w14:textId="77777777" w:rsidR="002F675D" w:rsidRPr="002F675D" w:rsidRDefault="002F675D" w:rsidP="00F44D2B">
            <w:pPr>
              <w:pStyle w:val="CommentText"/>
              <w:keepNext w:val="0"/>
              <w:tabs>
                <w:tab w:val="clear" w:pos="3969"/>
              </w:tabs>
              <w:spacing w:before="40" w:after="40"/>
              <w:ind w:left="589"/>
              <w:rPr>
                <w:highlight w:val="lightGray"/>
              </w:rPr>
            </w:pPr>
            <w:r w:rsidRPr="00316277">
              <w:t>CEC de Lac Mégantic</w:t>
            </w:r>
          </w:p>
        </w:tc>
        <w:tc>
          <w:tcPr>
            <w:tcW w:w="2576" w:type="dxa"/>
            <w:shd w:val="clear" w:color="auto" w:fill="auto"/>
          </w:tcPr>
          <w:p w14:paraId="7AE52AAC"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0B3B4C07" w14:textId="77777777" w:rsidTr="00F44D2B">
        <w:trPr>
          <w:jc w:val="center"/>
        </w:trPr>
        <w:tc>
          <w:tcPr>
            <w:tcW w:w="5783" w:type="dxa"/>
            <w:shd w:val="clear" w:color="auto" w:fill="auto"/>
          </w:tcPr>
          <w:p w14:paraId="3B85F139" w14:textId="77777777" w:rsidR="002F675D" w:rsidRPr="002F675D" w:rsidRDefault="002F675D" w:rsidP="00F44D2B">
            <w:pPr>
              <w:pStyle w:val="CommentText"/>
              <w:keepNext w:val="0"/>
              <w:tabs>
                <w:tab w:val="clear" w:pos="3969"/>
              </w:tabs>
              <w:spacing w:before="40" w:after="40"/>
              <w:rPr>
                <w:highlight w:val="lightGray"/>
              </w:rPr>
            </w:pPr>
            <w:r w:rsidRPr="00316277">
              <w:t>Champlain à Saint</w:t>
            </w:r>
            <w:r w:rsidRPr="00316277">
              <w:noBreakHyphen/>
              <w:t>Lambert</w:t>
            </w:r>
          </w:p>
        </w:tc>
        <w:tc>
          <w:tcPr>
            <w:tcW w:w="2576" w:type="dxa"/>
            <w:shd w:val="clear" w:color="auto" w:fill="auto"/>
          </w:tcPr>
          <w:p w14:paraId="1C83E6D5"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1E3884D" w14:textId="77777777" w:rsidTr="00F44D2B">
        <w:trPr>
          <w:jc w:val="center"/>
        </w:trPr>
        <w:tc>
          <w:tcPr>
            <w:tcW w:w="5783" w:type="dxa"/>
            <w:shd w:val="clear" w:color="auto" w:fill="auto"/>
          </w:tcPr>
          <w:p w14:paraId="7CE0696D" w14:textId="77777777" w:rsidR="002F675D" w:rsidRPr="002F675D" w:rsidRDefault="002F675D" w:rsidP="00F44D2B">
            <w:pPr>
              <w:pStyle w:val="CommentText"/>
              <w:keepNext w:val="0"/>
              <w:tabs>
                <w:tab w:val="clear" w:pos="3969"/>
              </w:tabs>
              <w:spacing w:before="40" w:after="40"/>
              <w:rPr>
                <w:highlight w:val="lightGray"/>
              </w:rPr>
            </w:pPr>
            <w:r w:rsidRPr="00316277">
              <w:t>Champlain- St. Lawrence</w:t>
            </w:r>
          </w:p>
        </w:tc>
        <w:tc>
          <w:tcPr>
            <w:tcW w:w="2576" w:type="dxa"/>
            <w:shd w:val="clear" w:color="auto" w:fill="auto"/>
          </w:tcPr>
          <w:p w14:paraId="48398657" w14:textId="77777777" w:rsidR="002F675D" w:rsidRPr="00316277" w:rsidRDefault="002F675D" w:rsidP="00F44D2B">
            <w:pPr>
              <w:pStyle w:val="CommentText"/>
              <w:keepNext w:val="0"/>
              <w:tabs>
                <w:tab w:val="clear" w:pos="3969"/>
              </w:tabs>
              <w:spacing w:before="40" w:after="40"/>
              <w:jc w:val="center"/>
            </w:pPr>
            <w:r w:rsidRPr="00316277">
              <w:t>0,18</w:t>
            </w:r>
          </w:p>
        </w:tc>
      </w:tr>
      <w:tr w:rsidR="002F675D" w:rsidRPr="002F675D" w14:paraId="2FD7EA2A" w14:textId="77777777" w:rsidTr="00F44D2B">
        <w:trPr>
          <w:jc w:val="center"/>
        </w:trPr>
        <w:tc>
          <w:tcPr>
            <w:tcW w:w="5783" w:type="dxa"/>
            <w:shd w:val="clear" w:color="auto" w:fill="auto"/>
          </w:tcPr>
          <w:p w14:paraId="70F0E3DC" w14:textId="77777777" w:rsidR="002F675D" w:rsidRPr="002F675D" w:rsidRDefault="002F675D" w:rsidP="00F44D2B">
            <w:pPr>
              <w:pStyle w:val="CommentText"/>
              <w:keepNext w:val="0"/>
              <w:tabs>
                <w:tab w:val="clear" w:pos="3969"/>
              </w:tabs>
              <w:spacing w:before="40" w:after="40"/>
              <w:rPr>
                <w:highlight w:val="lightGray"/>
              </w:rPr>
            </w:pPr>
            <w:r w:rsidRPr="00316277">
              <w:t>Chicoutimi</w:t>
            </w:r>
          </w:p>
        </w:tc>
        <w:tc>
          <w:tcPr>
            <w:tcW w:w="2576" w:type="dxa"/>
            <w:shd w:val="clear" w:color="auto" w:fill="auto"/>
          </w:tcPr>
          <w:p w14:paraId="646272B8"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4DB99BC" w14:textId="77777777" w:rsidTr="00F44D2B">
        <w:trPr>
          <w:jc w:val="center"/>
        </w:trPr>
        <w:tc>
          <w:tcPr>
            <w:tcW w:w="5783" w:type="dxa"/>
            <w:shd w:val="clear" w:color="auto" w:fill="auto"/>
          </w:tcPr>
          <w:p w14:paraId="093F27A0" w14:textId="77777777" w:rsidR="002F675D" w:rsidRPr="002F675D" w:rsidRDefault="002F675D" w:rsidP="00F44D2B">
            <w:pPr>
              <w:pStyle w:val="CommentText"/>
              <w:keepNext w:val="0"/>
              <w:tabs>
                <w:tab w:val="clear" w:pos="3969"/>
              </w:tabs>
              <w:spacing w:before="40" w:after="40"/>
              <w:ind w:left="589"/>
              <w:rPr>
                <w:highlight w:val="lightGray"/>
              </w:rPr>
            </w:pPr>
            <w:r w:rsidRPr="00316277">
              <w:t>Centre québécois de formation aéronautique</w:t>
            </w:r>
          </w:p>
        </w:tc>
        <w:tc>
          <w:tcPr>
            <w:tcW w:w="2576" w:type="dxa"/>
            <w:shd w:val="clear" w:color="auto" w:fill="auto"/>
          </w:tcPr>
          <w:p w14:paraId="56DFDAD9"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3453577F" w14:textId="77777777" w:rsidTr="00F44D2B">
        <w:trPr>
          <w:jc w:val="center"/>
        </w:trPr>
        <w:tc>
          <w:tcPr>
            <w:tcW w:w="5783" w:type="dxa"/>
            <w:shd w:val="clear" w:color="auto" w:fill="auto"/>
          </w:tcPr>
          <w:p w14:paraId="57A5B882" w14:textId="77777777" w:rsidR="002F675D" w:rsidRPr="002F675D" w:rsidRDefault="002F675D" w:rsidP="00F44D2B">
            <w:pPr>
              <w:pStyle w:val="CommentText"/>
              <w:keepNext w:val="0"/>
              <w:tabs>
                <w:tab w:val="clear" w:pos="3969"/>
              </w:tabs>
              <w:spacing w:before="40" w:after="40"/>
              <w:rPr>
                <w:highlight w:val="lightGray"/>
              </w:rPr>
            </w:pPr>
            <w:r w:rsidRPr="00316277">
              <w:t>Dawson</w:t>
            </w:r>
          </w:p>
        </w:tc>
        <w:tc>
          <w:tcPr>
            <w:tcW w:w="2576" w:type="dxa"/>
            <w:shd w:val="clear" w:color="auto" w:fill="auto"/>
          </w:tcPr>
          <w:p w14:paraId="0BA42CB2"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50FABBCE" w14:textId="77777777" w:rsidTr="00F44D2B">
        <w:trPr>
          <w:jc w:val="center"/>
        </w:trPr>
        <w:tc>
          <w:tcPr>
            <w:tcW w:w="5783" w:type="dxa"/>
            <w:shd w:val="clear" w:color="auto" w:fill="auto"/>
          </w:tcPr>
          <w:p w14:paraId="7C506AC4" w14:textId="77777777" w:rsidR="002F675D" w:rsidRPr="002F675D" w:rsidRDefault="002F675D" w:rsidP="00F44D2B">
            <w:pPr>
              <w:pStyle w:val="CommentText"/>
              <w:keepNext w:val="0"/>
              <w:tabs>
                <w:tab w:val="clear" w:pos="3969"/>
              </w:tabs>
              <w:spacing w:before="40" w:after="40"/>
              <w:rPr>
                <w:highlight w:val="lightGray"/>
              </w:rPr>
            </w:pPr>
            <w:r w:rsidRPr="00316277">
              <w:t>Édouard</w:t>
            </w:r>
            <w:r w:rsidRPr="00316277">
              <w:noBreakHyphen/>
              <w:t>Montpetit</w:t>
            </w:r>
          </w:p>
        </w:tc>
        <w:tc>
          <w:tcPr>
            <w:tcW w:w="2576" w:type="dxa"/>
            <w:shd w:val="clear" w:color="auto" w:fill="auto"/>
          </w:tcPr>
          <w:p w14:paraId="341CD3EB"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45CE0E63" w14:textId="77777777" w:rsidTr="00F44D2B">
        <w:trPr>
          <w:jc w:val="center"/>
        </w:trPr>
        <w:tc>
          <w:tcPr>
            <w:tcW w:w="5783" w:type="dxa"/>
            <w:shd w:val="clear" w:color="auto" w:fill="auto"/>
          </w:tcPr>
          <w:p w14:paraId="3E03BB15" w14:textId="77777777" w:rsidR="002F675D" w:rsidRPr="002F675D" w:rsidRDefault="002F675D" w:rsidP="00F44D2B">
            <w:pPr>
              <w:pStyle w:val="CommentText"/>
              <w:keepNext w:val="0"/>
              <w:tabs>
                <w:tab w:val="clear" w:pos="3969"/>
              </w:tabs>
              <w:spacing w:before="40" w:after="40"/>
              <w:rPr>
                <w:highlight w:val="lightGray"/>
              </w:rPr>
            </w:pPr>
            <w:r w:rsidRPr="00316277">
              <w:t xml:space="preserve">Garneau </w:t>
            </w:r>
          </w:p>
        </w:tc>
        <w:tc>
          <w:tcPr>
            <w:tcW w:w="2576" w:type="dxa"/>
            <w:shd w:val="clear" w:color="auto" w:fill="auto"/>
          </w:tcPr>
          <w:p w14:paraId="302CE806"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19ECECF0" w14:textId="77777777" w:rsidTr="00F44D2B">
        <w:trPr>
          <w:jc w:val="center"/>
        </w:trPr>
        <w:tc>
          <w:tcPr>
            <w:tcW w:w="5783" w:type="dxa"/>
            <w:shd w:val="clear" w:color="auto" w:fill="auto"/>
          </w:tcPr>
          <w:p w14:paraId="0D0ACE80" w14:textId="77777777" w:rsidR="002F675D" w:rsidRPr="002F675D" w:rsidRDefault="002F675D" w:rsidP="00F44D2B">
            <w:pPr>
              <w:pStyle w:val="CommentText"/>
              <w:keepNext w:val="0"/>
              <w:tabs>
                <w:tab w:val="clear" w:pos="3969"/>
              </w:tabs>
              <w:spacing w:before="40" w:after="40"/>
              <w:rPr>
                <w:highlight w:val="lightGray"/>
              </w:rPr>
            </w:pPr>
            <w:r w:rsidRPr="00316277">
              <w:t>Gaspésie et des Îles :</w:t>
            </w:r>
          </w:p>
        </w:tc>
        <w:tc>
          <w:tcPr>
            <w:tcW w:w="2576" w:type="dxa"/>
            <w:shd w:val="clear" w:color="auto" w:fill="auto"/>
          </w:tcPr>
          <w:p w14:paraId="72A0B281" w14:textId="77777777" w:rsidR="002F675D" w:rsidRPr="00316277" w:rsidRDefault="002F675D" w:rsidP="00F44D2B">
            <w:pPr>
              <w:pStyle w:val="CommentText"/>
              <w:keepNext w:val="0"/>
              <w:tabs>
                <w:tab w:val="clear" w:pos="3969"/>
              </w:tabs>
              <w:spacing w:before="40" w:after="40"/>
              <w:jc w:val="center"/>
            </w:pPr>
          </w:p>
        </w:tc>
      </w:tr>
      <w:tr w:rsidR="002F675D" w:rsidRPr="002F675D" w14:paraId="563917C1" w14:textId="77777777" w:rsidTr="00F44D2B">
        <w:trPr>
          <w:jc w:val="center"/>
        </w:trPr>
        <w:tc>
          <w:tcPr>
            <w:tcW w:w="5783" w:type="dxa"/>
            <w:shd w:val="clear" w:color="auto" w:fill="auto"/>
          </w:tcPr>
          <w:p w14:paraId="314A6038" w14:textId="77777777" w:rsidR="002F675D" w:rsidRPr="002F675D" w:rsidRDefault="002F675D" w:rsidP="00F44D2B">
            <w:pPr>
              <w:pStyle w:val="CommentText"/>
              <w:keepNext w:val="0"/>
              <w:tabs>
                <w:tab w:val="clear" w:pos="3969"/>
                <w:tab w:val="left" w:pos="567"/>
              </w:tabs>
              <w:spacing w:before="40" w:after="40"/>
              <w:rPr>
                <w:highlight w:val="lightGray"/>
              </w:rPr>
            </w:pPr>
            <w:r w:rsidRPr="00316277">
              <w:tab/>
              <w:t>CEC Carleton</w:t>
            </w:r>
            <w:r w:rsidRPr="00316277">
              <w:noBreakHyphen/>
              <w:t>sur</w:t>
            </w:r>
            <w:r w:rsidRPr="00316277">
              <w:noBreakHyphen/>
              <w:t>Mer</w:t>
            </w:r>
          </w:p>
        </w:tc>
        <w:tc>
          <w:tcPr>
            <w:tcW w:w="2576" w:type="dxa"/>
            <w:shd w:val="clear" w:color="auto" w:fill="auto"/>
          </w:tcPr>
          <w:p w14:paraId="0D5A248E" w14:textId="77777777" w:rsidR="002F675D" w:rsidRPr="00316277" w:rsidRDefault="002F675D" w:rsidP="00F44D2B">
            <w:pPr>
              <w:pStyle w:val="CommentText"/>
              <w:keepNext w:val="0"/>
              <w:tabs>
                <w:tab w:val="clear" w:pos="3969"/>
              </w:tabs>
              <w:spacing w:before="40" w:after="40"/>
              <w:jc w:val="center"/>
            </w:pPr>
            <w:r w:rsidRPr="00316277">
              <w:t>1,27</w:t>
            </w:r>
          </w:p>
        </w:tc>
      </w:tr>
      <w:tr w:rsidR="002F675D" w:rsidRPr="002F675D" w14:paraId="41D35E6F" w14:textId="77777777" w:rsidTr="00F44D2B">
        <w:trPr>
          <w:jc w:val="center"/>
        </w:trPr>
        <w:tc>
          <w:tcPr>
            <w:tcW w:w="5783" w:type="dxa"/>
            <w:shd w:val="clear" w:color="auto" w:fill="auto"/>
          </w:tcPr>
          <w:p w14:paraId="67511B7B" w14:textId="77777777" w:rsidR="002F675D" w:rsidRPr="002F675D" w:rsidRDefault="002F675D" w:rsidP="00F44D2B">
            <w:pPr>
              <w:pStyle w:val="CommentText"/>
              <w:keepNext w:val="0"/>
              <w:tabs>
                <w:tab w:val="clear" w:pos="3969"/>
                <w:tab w:val="left" w:pos="567"/>
              </w:tabs>
              <w:spacing w:before="40" w:after="40"/>
              <w:ind w:left="599"/>
              <w:rPr>
                <w:highlight w:val="lightGray"/>
              </w:rPr>
            </w:pPr>
            <w:r w:rsidRPr="00316277">
              <w:t>École des pêches et de l’aquaculture du Québec</w:t>
            </w:r>
          </w:p>
        </w:tc>
        <w:tc>
          <w:tcPr>
            <w:tcW w:w="2576" w:type="dxa"/>
            <w:shd w:val="clear" w:color="auto" w:fill="auto"/>
          </w:tcPr>
          <w:p w14:paraId="2D982BC1" w14:textId="77777777" w:rsidR="002F675D" w:rsidRPr="00316277" w:rsidRDefault="002F675D" w:rsidP="00F44D2B">
            <w:pPr>
              <w:pStyle w:val="CommentText"/>
              <w:keepNext w:val="0"/>
              <w:tabs>
                <w:tab w:val="clear" w:pos="3969"/>
              </w:tabs>
              <w:spacing w:before="40" w:after="40"/>
              <w:jc w:val="center"/>
            </w:pPr>
            <w:r w:rsidRPr="00316277">
              <w:t>0,50</w:t>
            </w:r>
          </w:p>
        </w:tc>
      </w:tr>
      <w:tr w:rsidR="002F675D" w:rsidRPr="002F675D" w14:paraId="4C5992BA" w14:textId="77777777" w:rsidTr="00F44D2B">
        <w:trPr>
          <w:jc w:val="center"/>
        </w:trPr>
        <w:tc>
          <w:tcPr>
            <w:tcW w:w="5783" w:type="dxa"/>
            <w:shd w:val="clear" w:color="auto" w:fill="auto"/>
          </w:tcPr>
          <w:p w14:paraId="64DAA190" w14:textId="77777777" w:rsidR="002F675D" w:rsidRPr="002F675D" w:rsidRDefault="002F675D" w:rsidP="00F44D2B">
            <w:pPr>
              <w:pStyle w:val="CommentText"/>
              <w:keepNext w:val="0"/>
              <w:tabs>
                <w:tab w:val="clear" w:pos="3969"/>
              </w:tabs>
              <w:spacing w:before="40" w:after="40"/>
              <w:rPr>
                <w:highlight w:val="lightGray"/>
                <w:lang w:val="en-CA"/>
              </w:rPr>
            </w:pPr>
            <w:r w:rsidRPr="00316277">
              <w:rPr>
                <w:lang w:val="en-CA"/>
              </w:rPr>
              <w:t>Granby</w:t>
            </w:r>
          </w:p>
        </w:tc>
        <w:tc>
          <w:tcPr>
            <w:tcW w:w="2576" w:type="dxa"/>
            <w:shd w:val="clear" w:color="auto" w:fill="auto"/>
          </w:tcPr>
          <w:p w14:paraId="3274F7F7" w14:textId="77777777" w:rsidR="002F675D" w:rsidRPr="00316277" w:rsidRDefault="002F675D" w:rsidP="00F44D2B">
            <w:pPr>
              <w:pStyle w:val="CommentText"/>
              <w:keepNext w:val="0"/>
              <w:tabs>
                <w:tab w:val="clear" w:pos="3969"/>
              </w:tabs>
              <w:spacing w:before="40" w:after="40"/>
              <w:jc w:val="center"/>
              <w:rPr>
                <w:lang w:val="en-CA"/>
              </w:rPr>
            </w:pPr>
            <w:r w:rsidRPr="00316277">
              <w:t>0,00</w:t>
            </w:r>
          </w:p>
        </w:tc>
      </w:tr>
      <w:tr w:rsidR="002F675D" w:rsidRPr="002F675D" w14:paraId="6A34D6A2" w14:textId="77777777" w:rsidTr="00F44D2B">
        <w:trPr>
          <w:jc w:val="center"/>
        </w:trPr>
        <w:tc>
          <w:tcPr>
            <w:tcW w:w="5783" w:type="dxa"/>
            <w:shd w:val="clear" w:color="auto" w:fill="auto"/>
          </w:tcPr>
          <w:p w14:paraId="235EB4CD"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Heritage</w:t>
            </w:r>
          </w:p>
        </w:tc>
        <w:tc>
          <w:tcPr>
            <w:tcW w:w="2576" w:type="dxa"/>
            <w:shd w:val="clear" w:color="auto" w:fill="auto"/>
          </w:tcPr>
          <w:p w14:paraId="034ADE0A"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0B837AC2" w14:textId="77777777" w:rsidTr="00F44D2B">
        <w:trPr>
          <w:jc w:val="center"/>
        </w:trPr>
        <w:tc>
          <w:tcPr>
            <w:tcW w:w="5783" w:type="dxa"/>
            <w:shd w:val="clear" w:color="auto" w:fill="auto"/>
          </w:tcPr>
          <w:p w14:paraId="081AFD1E"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John Abbott</w:t>
            </w:r>
          </w:p>
        </w:tc>
        <w:tc>
          <w:tcPr>
            <w:tcW w:w="2576" w:type="dxa"/>
            <w:shd w:val="clear" w:color="auto" w:fill="auto"/>
          </w:tcPr>
          <w:p w14:paraId="0E6D2079" w14:textId="77777777" w:rsidR="002F675D" w:rsidRPr="00316277" w:rsidRDefault="002F675D" w:rsidP="00F44D2B">
            <w:pPr>
              <w:pStyle w:val="CommentText"/>
              <w:keepNext w:val="0"/>
              <w:tabs>
                <w:tab w:val="clear" w:pos="3969"/>
              </w:tabs>
              <w:spacing w:before="40" w:after="40"/>
              <w:jc w:val="center"/>
            </w:pPr>
            <w:r w:rsidRPr="00316277">
              <w:t>0,18</w:t>
            </w:r>
          </w:p>
        </w:tc>
      </w:tr>
      <w:tr w:rsidR="002F675D" w:rsidRPr="002F675D" w14:paraId="2C247D2B" w14:textId="77777777" w:rsidTr="00F44D2B">
        <w:trPr>
          <w:jc w:val="center"/>
        </w:trPr>
        <w:tc>
          <w:tcPr>
            <w:tcW w:w="5783" w:type="dxa"/>
            <w:shd w:val="clear" w:color="auto" w:fill="auto"/>
          </w:tcPr>
          <w:p w14:paraId="4E090BD0" w14:textId="77777777" w:rsidR="002F675D" w:rsidRPr="002F675D" w:rsidRDefault="002F675D" w:rsidP="00F44D2B">
            <w:pPr>
              <w:pStyle w:val="CommentText"/>
              <w:keepNext w:val="0"/>
              <w:tabs>
                <w:tab w:val="clear" w:pos="3969"/>
              </w:tabs>
              <w:spacing w:before="40" w:after="40"/>
              <w:jc w:val="left"/>
              <w:rPr>
                <w:highlight w:val="lightGray"/>
              </w:rPr>
            </w:pPr>
            <w:r w:rsidRPr="00316277">
              <w:t>Jonquière</w:t>
            </w:r>
          </w:p>
        </w:tc>
        <w:tc>
          <w:tcPr>
            <w:tcW w:w="2576" w:type="dxa"/>
            <w:shd w:val="clear" w:color="auto" w:fill="auto"/>
          </w:tcPr>
          <w:p w14:paraId="4C171243"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347FFB0E" w14:textId="77777777" w:rsidTr="00F44D2B">
        <w:trPr>
          <w:jc w:val="center"/>
        </w:trPr>
        <w:tc>
          <w:tcPr>
            <w:tcW w:w="5783" w:type="dxa"/>
            <w:tcBorders>
              <w:bottom w:val="single" w:sz="4" w:space="0" w:color="000000"/>
            </w:tcBorders>
            <w:shd w:val="clear" w:color="auto" w:fill="auto"/>
          </w:tcPr>
          <w:p w14:paraId="0EE29285" w14:textId="77777777" w:rsidR="002F675D" w:rsidRPr="002F675D" w:rsidRDefault="002F675D" w:rsidP="00F44D2B">
            <w:pPr>
              <w:pStyle w:val="CommentText"/>
              <w:keepNext w:val="0"/>
              <w:tabs>
                <w:tab w:val="clear" w:pos="3969"/>
                <w:tab w:val="left" w:pos="567"/>
              </w:tabs>
              <w:spacing w:before="40" w:after="40"/>
              <w:jc w:val="left"/>
              <w:rPr>
                <w:highlight w:val="lightGray"/>
              </w:rPr>
            </w:pPr>
            <w:r w:rsidRPr="00316277">
              <w:tab/>
              <w:t>CEC en Charlevoix</w:t>
            </w:r>
          </w:p>
        </w:tc>
        <w:tc>
          <w:tcPr>
            <w:tcW w:w="2576" w:type="dxa"/>
            <w:tcBorders>
              <w:bottom w:val="single" w:sz="4" w:space="0" w:color="000000"/>
            </w:tcBorders>
            <w:shd w:val="clear" w:color="auto" w:fill="auto"/>
          </w:tcPr>
          <w:p w14:paraId="251BBF20" w14:textId="77777777" w:rsidR="002F675D" w:rsidRPr="00316277" w:rsidRDefault="002F675D" w:rsidP="00F44D2B">
            <w:pPr>
              <w:pStyle w:val="CommentText"/>
              <w:keepNext w:val="0"/>
              <w:tabs>
                <w:tab w:val="clear" w:pos="3969"/>
              </w:tabs>
              <w:spacing w:before="40" w:after="40"/>
              <w:jc w:val="center"/>
            </w:pPr>
            <w:r w:rsidRPr="00316277">
              <w:t>0,02</w:t>
            </w:r>
          </w:p>
        </w:tc>
      </w:tr>
      <w:tr w:rsidR="002F675D" w:rsidRPr="00026EC1" w14:paraId="230349A2" w14:textId="77777777" w:rsidTr="00F44D2B">
        <w:trPr>
          <w:jc w:val="center"/>
        </w:trPr>
        <w:tc>
          <w:tcPr>
            <w:tcW w:w="5783" w:type="dxa"/>
            <w:tcBorders>
              <w:bottom w:val="single" w:sz="4" w:space="0" w:color="auto"/>
            </w:tcBorders>
            <w:shd w:val="clear" w:color="auto" w:fill="auto"/>
          </w:tcPr>
          <w:p w14:paraId="2CCF060E" w14:textId="77777777" w:rsidR="002F675D" w:rsidRPr="002F675D" w:rsidRDefault="002F675D" w:rsidP="00F44D2B">
            <w:pPr>
              <w:pStyle w:val="CommentText"/>
              <w:keepNext w:val="0"/>
              <w:tabs>
                <w:tab w:val="clear" w:pos="3969"/>
              </w:tabs>
              <w:spacing w:before="40" w:after="40"/>
              <w:jc w:val="left"/>
              <w:rPr>
                <w:highlight w:val="lightGray"/>
              </w:rPr>
            </w:pPr>
            <w:r w:rsidRPr="00316277">
              <w:t>La Pocatière</w:t>
            </w:r>
          </w:p>
        </w:tc>
        <w:tc>
          <w:tcPr>
            <w:tcW w:w="2576" w:type="dxa"/>
            <w:tcBorders>
              <w:bottom w:val="single" w:sz="4" w:space="0" w:color="auto"/>
            </w:tcBorders>
            <w:shd w:val="clear" w:color="auto" w:fill="auto"/>
          </w:tcPr>
          <w:p w14:paraId="1D2802E2" w14:textId="77777777" w:rsidR="002F675D" w:rsidRPr="00316277" w:rsidRDefault="002F675D" w:rsidP="00F44D2B">
            <w:pPr>
              <w:pStyle w:val="CommentText"/>
              <w:keepNext w:val="0"/>
              <w:tabs>
                <w:tab w:val="clear" w:pos="3969"/>
              </w:tabs>
              <w:spacing w:before="40" w:after="40"/>
              <w:jc w:val="center"/>
            </w:pPr>
            <w:r w:rsidRPr="00316277">
              <w:t>0,43</w:t>
            </w:r>
          </w:p>
        </w:tc>
      </w:tr>
      <w:tr w:rsidR="002F675D" w:rsidRPr="002F675D" w14:paraId="567C66EB" w14:textId="77777777" w:rsidTr="00F44D2B">
        <w:trPr>
          <w:jc w:val="center"/>
        </w:trPr>
        <w:tc>
          <w:tcPr>
            <w:tcW w:w="8359" w:type="dxa"/>
            <w:gridSpan w:val="2"/>
            <w:tcBorders>
              <w:top w:val="nil"/>
              <w:left w:val="nil"/>
              <w:bottom w:val="single" w:sz="4" w:space="0" w:color="auto"/>
              <w:right w:val="nil"/>
            </w:tcBorders>
            <w:shd w:val="clear" w:color="auto" w:fill="auto"/>
          </w:tcPr>
          <w:p w14:paraId="225054D4" w14:textId="77777777" w:rsidR="00A0157B" w:rsidRPr="00316277" w:rsidRDefault="00A0157B" w:rsidP="00F44D2B">
            <w:pPr>
              <w:pStyle w:val="CommentText"/>
              <w:keepNext w:val="0"/>
              <w:tabs>
                <w:tab w:val="clear" w:pos="3969"/>
              </w:tabs>
              <w:spacing w:before="120" w:after="120"/>
              <w:jc w:val="center"/>
              <w:rPr>
                <w:rFonts w:cs="Arial"/>
                <w:b/>
                <w:bCs/>
                <w:szCs w:val="24"/>
                <w:lang w:val="fr-FR"/>
              </w:rPr>
            </w:pPr>
          </w:p>
          <w:p w14:paraId="502C81CD" w14:textId="2B421C9C" w:rsidR="002F675D" w:rsidRPr="00316277" w:rsidRDefault="002F675D" w:rsidP="00F44D2B">
            <w:pPr>
              <w:pStyle w:val="CommentText"/>
              <w:keepNext w:val="0"/>
              <w:tabs>
                <w:tab w:val="clear" w:pos="3969"/>
              </w:tabs>
              <w:spacing w:before="120" w:after="120"/>
              <w:jc w:val="center"/>
            </w:pPr>
            <w:r w:rsidRPr="00316277">
              <w:rPr>
                <w:rFonts w:cs="Arial"/>
                <w:b/>
                <w:bCs/>
                <w:szCs w:val="24"/>
                <w:lang w:val="fr-FR"/>
              </w:rPr>
              <w:t>Enseignement régulier</w:t>
            </w:r>
            <w:r w:rsidRPr="00316277">
              <w:rPr>
                <w:rStyle w:val="FootnoteReference"/>
                <w:rFonts w:cs="Arial"/>
                <w:b/>
                <w:bCs/>
                <w:szCs w:val="24"/>
                <w:lang w:val="fr-FR"/>
              </w:rPr>
              <w:footnoteReference w:id="55"/>
            </w:r>
          </w:p>
        </w:tc>
      </w:tr>
      <w:tr w:rsidR="002F675D" w:rsidRPr="002F675D" w14:paraId="4B1ED187" w14:textId="77777777" w:rsidTr="00F44D2B">
        <w:trPr>
          <w:jc w:val="center"/>
        </w:trPr>
        <w:tc>
          <w:tcPr>
            <w:tcW w:w="5783" w:type="dxa"/>
            <w:tcBorders>
              <w:top w:val="single" w:sz="4" w:space="0" w:color="auto"/>
            </w:tcBorders>
            <w:shd w:val="clear" w:color="auto" w:fill="auto"/>
            <w:vAlign w:val="center"/>
          </w:tcPr>
          <w:p w14:paraId="7D853037" w14:textId="77777777" w:rsidR="002F675D" w:rsidRPr="002F675D" w:rsidRDefault="002F675D" w:rsidP="00F44D2B">
            <w:pPr>
              <w:pStyle w:val="CommentText"/>
              <w:keepNext w:val="0"/>
              <w:tabs>
                <w:tab w:val="clear" w:pos="3969"/>
              </w:tabs>
              <w:spacing w:before="40" w:after="40"/>
              <w:ind w:left="599"/>
              <w:jc w:val="left"/>
              <w:rPr>
                <w:highlight w:val="lightGray"/>
              </w:rPr>
            </w:pPr>
            <w:r w:rsidRPr="00316277">
              <w:rPr>
                <w:bCs/>
              </w:rPr>
              <w:t>COLLÈGE OU CAMPUS</w:t>
            </w:r>
          </w:p>
        </w:tc>
        <w:tc>
          <w:tcPr>
            <w:tcW w:w="2576" w:type="dxa"/>
            <w:tcBorders>
              <w:top w:val="single" w:sz="4" w:space="0" w:color="auto"/>
            </w:tcBorders>
            <w:shd w:val="clear" w:color="auto" w:fill="auto"/>
            <w:vAlign w:val="center"/>
          </w:tcPr>
          <w:p w14:paraId="7997AEEE" w14:textId="77777777" w:rsidR="002F675D" w:rsidRPr="00316277" w:rsidRDefault="002F675D" w:rsidP="00F44D2B">
            <w:pPr>
              <w:pStyle w:val="CommentText"/>
              <w:keepNext w:val="0"/>
              <w:tabs>
                <w:tab w:val="clear" w:pos="3969"/>
              </w:tabs>
              <w:spacing w:before="40" w:after="40"/>
              <w:jc w:val="center"/>
            </w:pPr>
            <w:r w:rsidRPr="00316277">
              <w:rPr>
                <w:bCs/>
                <w:lang w:val="en-CA"/>
              </w:rPr>
              <w:t>ALLOCATION EN ETC</w:t>
            </w:r>
          </w:p>
        </w:tc>
      </w:tr>
      <w:tr w:rsidR="002F675D" w:rsidRPr="002F675D" w14:paraId="65798FDA" w14:textId="77777777" w:rsidTr="00F44D2B">
        <w:trPr>
          <w:jc w:val="center"/>
        </w:trPr>
        <w:tc>
          <w:tcPr>
            <w:tcW w:w="5783" w:type="dxa"/>
            <w:tcBorders>
              <w:top w:val="single" w:sz="4" w:space="0" w:color="auto"/>
            </w:tcBorders>
            <w:shd w:val="clear" w:color="auto" w:fill="auto"/>
          </w:tcPr>
          <w:p w14:paraId="785905A0" w14:textId="77777777" w:rsidR="002F675D" w:rsidRPr="002F675D" w:rsidRDefault="002F675D" w:rsidP="00F44D2B">
            <w:pPr>
              <w:pStyle w:val="CommentText"/>
              <w:keepNext w:val="0"/>
              <w:tabs>
                <w:tab w:val="clear" w:pos="3969"/>
              </w:tabs>
              <w:spacing w:before="40" w:after="40"/>
              <w:ind w:left="599"/>
              <w:jc w:val="left"/>
              <w:rPr>
                <w:highlight w:val="lightGray"/>
              </w:rPr>
            </w:pPr>
            <w:r w:rsidRPr="00316277">
              <w:t>CEC de Montmagny</w:t>
            </w:r>
          </w:p>
        </w:tc>
        <w:tc>
          <w:tcPr>
            <w:tcW w:w="2576" w:type="dxa"/>
            <w:tcBorders>
              <w:top w:val="single" w:sz="4" w:space="0" w:color="auto"/>
            </w:tcBorders>
            <w:shd w:val="clear" w:color="auto" w:fill="auto"/>
          </w:tcPr>
          <w:p w14:paraId="0A39C650" w14:textId="77777777" w:rsidR="002F675D" w:rsidRPr="00316277" w:rsidRDefault="002F675D" w:rsidP="00F44D2B">
            <w:pPr>
              <w:pStyle w:val="CommentText"/>
              <w:keepNext w:val="0"/>
              <w:tabs>
                <w:tab w:val="clear" w:pos="3969"/>
              </w:tabs>
              <w:spacing w:before="40" w:after="40"/>
              <w:jc w:val="center"/>
            </w:pPr>
            <w:r w:rsidRPr="00316277">
              <w:t>0,06</w:t>
            </w:r>
          </w:p>
        </w:tc>
      </w:tr>
      <w:tr w:rsidR="002F675D" w:rsidRPr="002F675D" w14:paraId="72B9BC8D" w14:textId="77777777" w:rsidTr="00F44D2B">
        <w:trPr>
          <w:jc w:val="center"/>
        </w:trPr>
        <w:tc>
          <w:tcPr>
            <w:tcW w:w="5783" w:type="dxa"/>
            <w:shd w:val="clear" w:color="auto" w:fill="auto"/>
          </w:tcPr>
          <w:p w14:paraId="03907F28" w14:textId="77777777" w:rsidR="002F675D" w:rsidRPr="002F675D" w:rsidRDefault="002F675D" w:rsidP="00F44D2B">
            <w:pPr>
              <w:pStyle w:val="CommentText"/>
              <w:keepNext w:val="0"/>
              <w:tabs>
                <w:tab w:val="clear" w:pos="3969"/>
              </w:tabs>
              <w:spacing w:before="40" w:after="40"/>
              <w:jc w:val="left"/>
              <w:rPr>
                <w:highlight w:val="lightGray"/>
              </w:rPr>
            </w:pPr>
            <w:r w:rsidRPr="00316277">
              <w:t>Lévis</w:t>
            </w:r>
          </w:p>
        </w:tc>
        <w:tc>
          <w:tcPr>
            <w:tcW w:w="2576" w:type="dxa"/>
            <w:shd w:val="clear" w:color="auto" w:fill="auto"/>
          </w:tcPr>
          <w:p w14:paraId="596AD6A7"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7F556551" w14:textId="77777777" w:rsidTr="00F44D2B">
        <w:trPr>
          <w:jc w:val="center"/>
        </w:trPr>
        <w:tc>
          <w:tcPr>
            <w:tcW w:w="5783" w:type="dxa"/>
            <w:shd w:val="clear" w:color="auto" w:fill="auto"/>
          </w:tcPr>
          <w:p w14:paraId="5A835F0A" w14:textId="77777777" w:rsidR="002F675D" w:rsidRPr="002F675D" w:rsidRDefault="002F675D" w:rsidP="00F44D2B">
            <w:pPr>
              <w:pStyle w:val="CommentText"/>
              <w:keepNext w:val="0"/>
              <w:tabs>
                <w:tab w:val="clear" w:pos="3969"/>
              </w:tabs>
              <w:spacing w:before="40" w:after="40"/>
              <w:jc w:val="left"/>
              <w:rPr>
                <w:highlight w:val="lightGray"/>
              </w:rPr>
            </w:pPr>
            <w:r w:rsidRPr="00316277">
              <w:t>Limoilou</w:t>
            </w:r>
          </w:p>
        </w:tc>
        <w:tc>
          <w:tcPr>
            <w:tcW w:w="2576" w:type="dxa"/>
            <w:shd w:val="clear" w:color="auto" w:fill="auto"/>
          </w:tcPr>
          <w:p w14:paraId="7CE1D92C" w14:textId="77777777" w:rsidR="002F675D" w:rsidRPr="00316277" w:rsidRDefault="002F675D" w:rsidP="00F44D2B">
            <w:pPr>
              <w:pStyle w:val="CommentText"/>
              <w:keepNext w:val="0"/>
              <w:tabs>
                <w:tab w:val="clear" w:pos="3969"/>
              </w:tabs>
              <w:spacing w:before="40" w:after="40"/>
              <w:jc w:val="center"/>
            </w:pPr>
            <w:r w:rsidRPr="00316277">
              <w:t>0,77</w:t>
            </w:r>
          </w:p>
        </w:tc>
      </w:tr>
      <w:tr w:rsidR="002F675D" w:rsidRPr="002F675D" w14:paraId="50F8ABE6" w14:textId="77777777" w:rsidTr="00F44D2B">
        <w:trPr>
          <w:jc w:val="center"/>
        </w:trPr>
        <w:tc>
          <w:tcPr>
            <w:tcW w:w="5783" w:type="dxa"/>
            <w:shd w:val="clear" w:color="auto" w:fill="auto"/>
          </w:tcPr>
          <w:p w14:paraId="0A1CC9D8" w14:textId="77777777" w:rsidR="002F675D" w:rsidRPr="002F675D" w:rsidRDefault="002F675D" w:rsidP="00F44D2B">
            <w:pPr>
              <w:pStyle w:val="CommentText"/>
              <w:keepNext w:val="0"/>
              <w:tabs>
                <w:tab w:val="clear" w:pos="3969"/>
              </w:tabs>
              <w:spacing w:before="40" w:after="40"/>
              <w:jc w:val="left"/>
              <w:rPr>
                <w:highlight w:val="lightGray"/>
              </w:rPr>
            </w:pPr>
            <w:r w:rsidRPr="00316277">
              <w:t>Lionel</w:t>
            </w:r>
            <w:r w:rsidRPr="00316277">
              <w:noBreakHyphen/>
              <w:t>Groulx</w:t>
            </w:r>
          </w:p>
        </w:tc>
        <w:tc>
          <w:tcPr>
            <w:tcW w:w="2576" w:type="dxa"/>
            <w:shd w:val="clear" w:color="auto" w:fill="auto"/>
          </w:tcPr>
          <w:p w14:paraId="0D7808DD"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19BC3EE6" w14:textId="77777777" w:rsidTr="00F44D2B">
        <w:trPr>
          <w:jc w:val="center"/>
        </w:trPr>
        <w:tc>
          <w:tcPr>
            <w:tcW w:w="5783" w:type="dxa"/>
            <w:shd w:val="clear" w:color="auto" w:fill="auto"/>
          </w:tcPr>
          <w:p w14:paraId="6EE7776F" w14:textId="77777777" w:rsidR="002F675D" w:rsidRPr="002F675D" w:rsidRDefault="002F675D" w:rsidP="00F44D2B">
            <w:pPr>
              <w:pStyle w:val="CommentText"/>
              <w:keepNext w:val="0"/>
              <w:tabs>
                <w:tab w:val="clear" w:pos="3969"/>
              </w:tabs>
              <w:spacing w:before="40" w:after="40"/>
              <w:jc w:val="left"/>
              <w:rPr>
                <w:highlight w:val="lightGray"/>
              </w:rPr>
            </w:pPr>
            <w:r w:rsidRPr="00316277">
              <w:t>Maisonneuve</w:t>
            </w:r>
          </w:p>
        </w:tc>
        <w:tc>
          <w:tcPr>
            <w:tcW w:w="2576" w:type="dxa"/>
            <w:shd w:val="clear" w:color="auto" w:fill="auto"/>
          </w:tcPr>
          <w:p w14:paraId="40DDD835"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1F5BBFB7" w14:textId="77777777" w:rsidTr="00F44D2B">
        <w:trPr>
          <w:jc w:val="center"/>
        </w:trPr>
        <w:tc>
          <w:tcPr>
            <w:tcW w:w="5783" w:type="dxa"/>
            <w:shd w:val="clear" w:color="auto" w:fill="auto"/>
          </w:tcPr>
          <w:p w14:paraId="65C5C8A1" w14:textId="77777777" w:rsidR="002F675D" w:rsidRPr="002F675D" w:rsidRDefault="002F675D" w:rsidP="00F44D2B">
            <w:pPr>
              <w:pStyle w:val="CommentText"/>
              <w:keepNext w:val="0"/>
              <w:tabs>
                <w:tab w:val="clear" w:pos="3969"/>
              </w:tabs>
              <w:spacing w:before="40" w:after="40"/>
              <w:jc w:val="left"/>
              <w:rPr>
                <w:highlight w:val="lightGray"/>
              </w:rPr>
            </w:pPr>
            <w:r w:rsidRPr="00316277">
              <w:t>Marie</w:t>
            </w:r>
            <w:r w:rsidRPr="00316277">
              <w:noBreakHyphen/>
              <w:t>Victorin</w:t>
            </w:r>
          </w:p>
        </w:tc>
        <w:tc>
          <w:tcPr>
            <w:tcW w:w="2576" w:type="dxa"/>
            <w:shd w:val="clear" w:color="auto" w:fill="auto"/>
          </w:tcPr>
          <w:p w14:paraId="6FAEC8D6" w14:textId="77777777" w:rsidR="002F675D" w:rsidRPr="00316277" w:rsidRDefault="002F675D" w:rsidP="00F44D2B">
            <w:pPr>
              <w:pStyle w:val="CommentText"/>
              <w:keepNext w:val="0"/>
              <w:tabs>
                <w:tab w:val="clear" w:pos="3969"/>
              </w:tabs>
              <w:spacing w:before="40" w:after="40"/>
              <w:jc w:val="center"/>
            </w:pPr>
            <w:r w:rsidRPr="00316277">
              <w:t>0,02</w:t>
            </w:r>
          </w:p>
        </w:tc>
      </w:tr>
      <w:tr w:rsidR="002F675D" w:rsidRPr="002F675D" w14:paraId="34A70CF1" w14:textId="77777777" w:rsidTr="00F44D2B">
        <w:trPr>
          <w:jc w:val="center"/>
        </w:trPr>
        <w:tc>
          <w:tcPr>
            <w:tcW w:w="5783" w:type="dxa"/>
            <w:shd w:val="clear" w:color="auto" w:fill="auto"/>
          </w:tcPr>
          <w:p w14:paraId="1DD6A0A1" w14:textId="77777777" w:rsidR="002F675D" w:rsidRPr="002F675D" w:rsidRDefault="002F675D" w:rsidP="00F44D2B">
            <w:pPr>
              <w:pStyle w:val="CommentText"/>
              <w:keepNext w:val="0"/>
              <w:tabs>
                <w:tab w:val="clear" w:pos="3969"/>
              </w:tabs>
              <w:spacing w:before="40" w:after="40"/>
              <w:jc w:val="left"/>
              <w:rPr>
                <w:highlight w:val="lightGray"/>
              </w:rPr>
            </w:pPr>
            <w:r w:rsidRPr="00316277">
              <w:t>Montmorency</w:t>
            </w:r>
          </w:p>
        </w:tc>
        <w:tc>
          <w:tcPr>
            <w:tcW w:w="2576" w:type="dxa"/>
            <w:shd w:val="clear" w:color="auto" w:fill="auto"/>
          </w:tcPr>
          <w:p w14:paraId="4DDD0F76"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3AD49CC6" w14:textId="77777777" w:rsidTr="00F44D2B">
        <w:trPr>
          <w:jc w:val="center"/>
        </w:trPr>
        <w:tc>
          <w:tcPr>
            <w:tcW w:w="5783" w:type="dxa"/>
            <w:shd w:val="clear" w:color="auto" w:fill="auto"/>
          </w:tcPr>
          <w:p w14:paraId="07A842AF" w14:textId="77777777" w:rsidR="002F675D" w:rsidRPr="002F675D" w:rsidRDefault="002F675D" w:rsidP="00F44D2B">
            <w:pPr>
              <w:pStyle w:val="CommentText"/>
              <w:keepNext w:val="0"/>
              <w:tabs>
                <w:tab w:val="clear" w:pos="3969"/>
              </w:tabs>
              <w:spacing w:before="40" w:after="40"/>
              <w:jc w:val="left"/>
              <w:rPr>
                <w:highlight w:val="lightGray"/>
              </w:rPr>
            </w:pPr>
            <w:r w:rsidRPr="00316277">
              <w:t>Outaouais</w:t>
            </w:r>
          </w:p>
        </w:tc>
        <w:tc>
          <w:tcPr>
            <w:tcW w:w="2576" w:type="dxa"/>
            <w:shd w:val="clear" w:color="auto" w:fill="auto"/>
          </w:tcPr>
          <w:p w14:paraId="5D12F1D7"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12525073" w14:textId="77777777" w:rsidTr="00F44D2B">
        <w:trPr>
          <w:jc w:val="center"/>
        </w:trPr>
        <w:tc>
          <w:tcPr>
            <w:tcW w:w="5783" w:type="dxa"/>
            <w:shd w:val="clear" w:color="auto" w:fill="auto"/>
          </w:tcPr>
          <w:p w14:paraId="098F1F57" w14:textId="77777777" w:rsidR="002F675D" w:rsidRPr="002F675D" w:rsidRDefault="002F675D" w:rsidP="00F44D2B">
            <w:pPr>
              <w:pStyle w:val="CommentText"/>
              <w:keepNext w:val="0"/>
              <w:tabs>
                <w:tab w:val="clear" w:pos="3969"/>
              </w:tabs>
              <w:spacing w:before="40" w:after="40"/>
              <w:jc w:val="left"/>
              <w:rPr>
                <w:highlight w:val="lightGray"/>
              </w:rPr>
            </w:pPr>
            <w:r w:rsidRPr="00316277">
              <w:t>Régional de Lanaudière à Joliette</w:t>
            </w:r>
          </w:p>
        </w:tc>
        <w:tc>
          <w:tcPr>
            <w:tcW w:w="2576" w:type="dxa"/>
            <w:shd w:val="clear" w:color="auto" w:fill="auto"/>
          </w:tcPr>
          <w:p w14:paraId="52B2040D" w14:textId="77777777" w:rsidR="002F675D" w:rsidRPr="00316277" w:rsidRDefault="002F675D" w:rsidP="00F44D2B">
            <w:pPr>
              <w:pStyle w:val="CommentText"/>
              <w:keepNext w:val="0"/>
              <w:tabs>
                <w:tab w:val="clear" w:pos="3969"/>
              </w:tabs>
              <w:spacing w:before="40" w:after="40"/>
              <w:jc w:val="center"/>
            </w:pPr>
            <w:r w:rsidRPr="00316277">
              <w:t>0,08</w:t>
            </w:r>
          </w:p>
        </w:tc>
      </w:tr>
      <w:tr w:rsidR="002F675D" w:rsidRPr="002F675D" w14:paraId="261B697A" w14:textId="77777777" w:rsidTr="00F44D2B">
        <w:trPr>
          <w:jc w:val="center"/>
        </w:trPr>
        <w:tc>
          <w:tcPr>
            <w:tcW w:w="5783" w:type="dxa"/>
            <w:shd w:val="clear" w:color="auto" w:fill="auto"/>
          </w:tcPr>
          <w:p w14:paraId="7AE50A90" w14:textId="77777777" w:rsidR="002F675D" w:rsidRPr="002F675D" w:rsidRDefault="002F675D" w:rsidP="00F44D2B">
            <w:pPr>
              <w:pStyle w:val="CommentText"/>
              <w:keepNext w:val="0"/>
              <w:tabs>
                <w:tab w:val="clear" w:pos="3969"/>
              </w:tabs>
              <w:spacing w:before="40" w:after="40"/>
              <w:jc w:val="left"/>
              <w:rPr>
                <w:highlight w:val="lightGray"/>
              </w:rPr>
            </w:pPr>
            <w:r w:rsidRPr="00316277">
              <w:t>Régional de Lanaudière à L’Assomption</w:t>
            </w:r>
          </w:p>
        </w:tc>
        <w:tc>
          <w:tcPr>
            <w:tcW w:w="2576" w:type="dxa"/>
            <w:shd w:val="clear" w:color="auto" w:fill="auto"/>
          </w:tcPr>
          <w:p w14:paraId="3FD33EC2"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059BC742" w14:textId="77777777" w:rsidTr="00F44D2B">
        <w:trPr>
          <w:jc w:val="center"/>
        </w:trPr>
        <w:tc>
          <w:tcPr>
            <w:tcW w:w="5783" w:type="dxa"/>
            <w:shd w:val="clear" w:color="auto" w:fill="auto"/>
          </w:tcPr>
          <w:p w14:paraId="04AA2E5D" w14:textId="77777777" w:rsidR="002F675D" w:rsidRPr="002F675D" w:rsidRDefault="002F675D" w:rsidP="00F44D2B">
            <w:pPr>
              <w:pStyle w:val="CommentText"/>
              <w:keepNext w:val="0"/>
              <w:tabs>
                <w:tab w:val="clear" w:pos="3969"/>
              </w:tabs>
              <w:spacing w:before="40" w:after="40"/>
              <w:jc w:val="left"/>
              <w:rPr>
                <w:highlight w:val="lightGray"/>
              </w:rPr>
            </w:pPr>
            <w:r w:rsidRPr="00316277">
              <w:t>Régional de Lanaudière à Terrebonne</w:t>
            </w:r>
          </w:p>
        </w:tc>
        <w:tc>
          <w:tcPr>
            <w:tcW w:w="2576" w:type="dxa"/>
            <w:shd w:val="clear" w:color="auto" w:fill="auto"/>
          </w:tcPr>
          <w:p w14:paraId="0FC14C60"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5E76FEE" w14:textId="77777777" w:rsidTr="00F44D2B">
        <w:trPr>
          <w:jc w:val="center"/>
        </w:trPr>
        <w:tc>
          <w:tcPr>
            <w:tcW w:w="5783" w:type="dxa"/>
            <w:shd w:val="clear" w:color="auto" w:fill="auto"/>
          </w:tcPr>
          <w:p w14:paraId="4437F449" w14:textId="77777777" w:rsidR="002F675D" w:rsidRPr="002F675D" w:rsidRDefault="002F675D" w:rsidP="00F44D2B">
            <w:pPr>
              <w:pStyle w:val="CommentText"/>
              <w:keepNext w:val="0"/>
              <w:tabs>
                <w:tab w:val="clear" w:pos="3969"/>
              </w:tabs>
              <w:spacing w:before="40" w:after="40"/>
              <w:jc w:val="left"/>
              <w:rPr>
                <w:highlight w:val="lightGray"/>
              </w:rPr>
            </w:pPr>
            <w:r w:rsidRPr="00316277">
              <w:t>Rosemont</w:t>
            </w:r>
          </w:p>
        </w:tc>
        <w:tc>
          <w:tcPr>
            <w:tcW w:w="2576" w:type="dxa"/>
            <w:shd w:val="clear" w:color="auto" w:fill="auto"/>
          </w:tcPr>
          <w:p w14:paraId="31A36F09"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3D4FFE34" w14:textId="77777777" w:rsidTr="00F44D2B">
        <w:trPr>
          <w:jc w:val="center"/>
        </w:trPr>
        <w:tc>
          <w:tcPr>
            <w:tcW w:w="5783" w:type="dxa"/>
            <w:shd w:val="clear" w:color="auto" w:fill="auto"/>
          </w:tcPr>
          <w:p w14:paraId="7ABDD81F" w14:textId="77777777" w:rsidR="002F675D" w:rsidRPr="002F675D" w:rsidRDefault="002F675D" w:rsidP="00F44D2B">
            <w:pPr>
              <w:pStyle w:val="CommentText"/>
              <w:keepNext w:val="0"/>
              <w:tabs>
                <w:tab w:val="clear" w:pos="3969"/>
              </w:tabs>
              <w:spacing w:before="40" w:after="40"/>
              <w:jc w:val="left"/>
              <w:rPr>
                <w:highlight w:val="lightGray"/>
              </w:rPr>
            </w:pPr>
            <w:r w:rsidRPr="00316277">
              <w:t>Saint</w:t>
            </w:r>
            <w:r w:rsidRPr="00316277">
              <w:noBreakHyphen/>
              <w:t>Félicien</w:t>
            </w:r>
          </w:p>
        </w:tc>
        <w:tc>
          <w:tcPr>
            <w:tcW w:w="2576" w:type="dxa"/>
            <w:shd w:val="clear" w:color="auto" w:fill="auto"/>
          </w:tcPr>
          <w:p w14:paraId="60191538"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C400376" w14:textId="77777777" w:rsidTr="00F44D2B">
        <w:trPr>
          <w:jc w:val="center"/>
        </w:trPr>
        <w:tc>
          <w:tcPr>
            <w:tcW w:w="5783" w:type="dxa"/>
            <w:shd w:val="clear" w:color="auto" w:fill="auto"/>
          </w:tcPr>
          <w:p w14:paraId="40D7EA35" w14:textId="77777777" w:rsidR="002F675D" w:rsidRPr="002F675D" w:rsidRDefault="002F675D" w:rsidP="00F44D2B">
            <w:pPr>
              <w:pStyle w:val="CommentText"/>
              <w:keepNext w:val="0"/>
              <w:tabs>
                <w:tab w:val="clear" w:pos="3969"/>
              </w:tabs>
              <w:spacing w:before="40" w:after="40"/>
              <w:ind w:left="740"/>
              <w:jc w:val="left"/>
              <w:rPr>
                <w:highlight w:val="lightGray"/>
              </w:rPr>
            </w:pPr>
            <w:r w:rsidRPr="00316277">
              <w:t>CEC à Chibougamau</w:t>
            </w:r>
          </w:p>
        </w:tc>
        <w:tc>
          <w:tcPr>
            <w:tcW w:w="2576" w:type="dxa"/>
            <w:shd w:val="clear" w:color="auto" w:fill="auto"/>
          </w:tcPr>
          <w:p w14:paraId="3640BA83"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00F2A3BB" w14:textId="77777777" w:rsidTr="00F44D2B">
        <w:trPr>
          <w:jc w:val="center"/>
        </w:trPr>
        <w:tc>
          <w:tcPr>
            <w:tcW w:w="5783" w:type="dxa"/>
            <w:shd w:val="clear" w:color="auto" w:fill="auto"/>
          </w:tcPr>
          <w:p w14:paraId="6ED1B7D5" w14:textId="77777777" w:rsidR="002F675D" w:rsidRPr="002F675D" w:rsidRDefault="002F675D" w:rsidP="00F44D2B">
            <w:pPr>
              <w:pStyle w:val="CommentText"/>
              <w:keepNext w:val="0"/>
              <w:tabs>
                <w:tab w:val="clear" w:pos="3969"/>
              </w:tabs>
              <w:spacing w:before="40" w:after="40"/>
              <w:jc w:val="left"/>
              <w:rPr>
                <w:highlight w:val="lightGray"/>
              </w:rPr>
            </w:pPr>
            <w:r w:rsidRPr="00316277">
              <w:t>Saint</w:t>
            </w:r>
            <w:r w:rsidRPr="00316277">
              <w:noBreakHyphen/>
              <w:t>Hyacinthe</w:t>
            </w:r>
          </w:p>
        </w:tc>
        <w:tc>
          <w:tcPr>
            <w:tcW w:w="2576" w:type="dxa"/>
            <w:shd w:val="clear" w:color="auto" w:fill="auto"/>
          </w:tcPr>
          <w:p w14:paraId="7E864ADB"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718F8072" w14:textId="77777777" w:rsidTr="00F44D2B">
        <w:trPr>
          <w:jc w:val="center"/>
        </w:trPr>
        <w:tc>
          <w:tcPr>
            <w:tcW w:w="5783" w:type="dxa"/>
            <w:shd w:val="clear" w:color="auto" w:fill="auto"/>
          </w:tcPr>
          <w:p w14:paraId="777FED42" w14:textId="77777777" w:rsidR="002F675D" w:rsidRPr="002F675D" w:rsidRDefault="002F675D" w:rsidP="00F44D2B">
            <w:pPr>
              <w:pStyle w:val="CommentText"/>
              <w:keepNext w:val="0"/>
              <w:tabs>
                <w:tab w:val="clear" w:pos="3969"/>
              </w:tabs>
              <w:spacing w:before="40" w:after="40"/>
              <w:jc w:val="left"/>
              <w:rPr>
                <w:highlight w:val="lightGray"/>
              </w:rPr>
            </w:pPr>
            <w:r w:rsidRPr="00316277">
              <w:t>Saint</w:t>
            </w:r>
            <w:r w:rsidRPr="00316277">
              <w:noBreakHyphen/>
              <w:t>Jean</w:t>
            </w:r>
            <w:r w:rsidRPr="00316277">
              <w:noBreakHyphen/>
              <w:t>sur</w:t>
            </w:r>
            <w:r w:rsidRPr="00316277">
              <w:noBreakHyphen/>
              <w:t>Richelieu</w:t>
            </w:r>
          </w:p>
        </w:tc>
        <w:tc>
          <w:tcPr>
            <w:tcW w:w="2576" w:type="dxa"/>
            <w:shd w:val="clear" w:color="auto" w:fill="auto"/>
          </w:tcPr>
          <w:p w14:paraId="01BE0341"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224F3F89" w14:textId="77777777" w:rsidTr="00F44D2B">
        <w:trPr>
          <w:jc w:val="center"/>
        </w:trPr>
        <w:tc>
          <w:tcPr>
            <w:tcW w:w="5783" w:type="dxa"/>
            <w:shd w:val="clear" w:color="auto" w:fill="auto"/>
          </w:tcPr>
          <w:p w14:paraId="293F7939" w14:textId="77777777" w:rsidR="002F675D" w:rsidRPr="002F675D" w:rsidRDefault="002F675D" w:rsidP="00F44D2B">
            <w:pPr>
              <w:pStyle w:val="CommentText"/>
              <w:keepNext w:val="0"/>
              <w:tabs>
                <w:tab w:val="clear" w:pos="3969"/>
              </w:tabs>
              <w:spacing w:before="40" w:after="40"/>
              <w:jc w:val="left"/>
              <w:rPr>
                <w:highlight w:val="lightGray"/>
              </w:rPr>
            </w:pPr>
            <w:r w:rsidRPr="00316277">
              <w:t>Saint</w:t>
            </w:r>
            <w:r w:rsidRPr="00316277">
              <w:noBreakHyphen/>
              <w:t>Jérôme</w:t>
            </w:r>
          </w:p>
        </w:tc>
        <w:tc>
          <w:tcPr>
            <w:tcW w:w="2576" w:type="dxa"/>
            <w:shd w:val="clear" w:color="auto" w:fill="auto"/>
          </w:tcPr>
          <w:p w14:paraId="031A482B"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5C0E08AF" w14:textId="77777777" w:rsidTr="00F44D2B">
        <w:trPr>
          <w:jc w:val="center"/>
        </w:trPr>
        <w:tc>
          <w:tcPr>
            <w:tcW w:w="5783" w:type="dxa"/>
            <w:shd w:val="clear" w:color="auto" w:fill="auto"/>
          </w:tcPr>
          <w:p w14:paraId="5545412A" w14:textId="77777777" w:rsidR="002F675D" w:rsidRPr="002F675D" w:rsidRDefault="002F675D" w:rsidP="00F44D2B">
            <w:pPr>
              <w:pStyle w:val="CommentText"/>
              <w:keepNext w:val="0"/>
              <w:tabs>
                <w:tab w:val="clear" w:pos="3969"/>
              </w:tabs>
              <w:spacing w:before="40" w:after="40"/>
              <w:ind w:left="708"/>
              <w:jc w:val="left"/>
              <w:rPr>
                <w:highlight w:val="lightGray"/>
              </w:rPr>
            </w:pPr>
            <w:r w:rsidRPr="00316277">
              <w:t>CEC Mont</w:t>
            </w:r>
            <w:r w:rsidRPr="00316277">
              <w:noBreakHyphen/>
              <w:t>Laurier</w:t>
            </w:r>
          </w:p>
        </w:tc>
        <w:tc>
          <w:tcPr>
            <w:tcW w:w="2576" w:type="dxa"/>
            <w:shd w:val="clear" w:color="auto" w:fill="auto"/>
          </w:tcPr>
          <w:p w14:paraId="5CE1C34B"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5B694A03" w14:textId="77777777" w:rsidTr="00F44D2B">
        <w:trPr>
          <w:jc w:val="center"/>
        </w:trPr>
        <w:tc>
          <w:tcPr>
            <w:tcW w:w="5783" w:type="dxa"/>
            <w:shd w:val="clear" w:color="auto" w:fill="auto"/>
          </w:tcPr>
          <w:p w14:paraId="217005C1" w14:textId="77777777" w:rsidR="002F675D" w:rsidRPr="002F675D" w:rsidRDefault="002F675D" w:rsidP="00F44D2B">
            <w:pPr>
              <w:pStyle w:val="CommentText"/>
              <w:keepNext w:val="0"/>
              <w:tabs>
                <w:tab w:val="clear" w:pos="3969"/>
              </w:tabs>
              <w:spacing w:before="40" w:after="40"/>
              <w:ind w:left="708"/>
              <w:jc w:val="left"/>
              <w:rPr>
                <w:highlight w:val="lightGray"/>
              </w:rPr>
            </w:pPr>
            <w:r w:rsidRPr="00316277">
              <w:t>CEC Mont</w:t>
            </w:r>
            <w:r w:rsidRPr="00316277">
              <w:noBreakHyphen/>
              <w:t>Tremblant</w:t>
            </w:r>
          </w:p>
        </w:tc>
        <w:tc>
          <w:tcPr>
            <w:tcW w:w="2576" w:type="dxa"/>
            <w:shd w:val="clear" w:color="auto" w:fill="auto"/>
          </w:tcPr>
          <w:p w14:paraId="61999155"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1D59F4D" w14:textId="77777777" w:rsidTr="00F44D2B">
        <w:trPr>
          <w:jc w:val="center"/>
        </w:trPr>
        <w:tc>
          <w:tcPr>
            <w:tcW w:w="5783" w:type="dxa"/>
            <w:shd w:val="clear" w:color="auto" w:fill="auto"/>
          </w:tcPr>
          <w:p w14:paraId="714930A6" w14:textId="77777777" w:rsidR="002F675D" w:rsidRPr="002F675D" w:rsidRDefault="002F675D" w:rsidP="00F44D2B">
            <w:pPr>
              <w:pStyle w:val="CommentText"/>
              <w:keepNext w:val="0"/>
              <w:tabs>
                <w:tab w:val="clear" w:pos="3969"/>
              </w:tabs>
              <w:spacing w:before="40" w:after="40"/>
              <w:jc w:val="left"/>
              <w:rPr>
                <w:highlight w:val="lightGray"/>
              </w:rPr>
            </w:pPr>
            <w:r w:rsidRPr="00316277">
              <w:t>Saint</w:t>
            </w:r>
            <w:r w:rsidRPr="00316277">
              <w:noBreakHyphen/>
              <w:t>Laurent</w:t>
            </w:r>
          </w:p>
        </w:tc>
        <w:tc>
          <w:tcPr>
            <w:tcW w:w="2576" w:type="dxa"/>
            <w:shd w:val="clear" w:color="auto" w:fill="auto"/>
          </w:tcPr>
          <w:p w14:paraId="1FDC4F29"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0,00</w:t>
            </w:r>
          </w:p>
        </w:tc>
      </w:tr>
      <w:tr w:rsidR="002F675D" w:rsidRPr="002F675D" w14:paraId="54D38264" w14:textId="77777777" w:rsidTr="00F44D2B">
        <w:trPr>
          <w:jc w:val="center"/>
        </w:trPr>
        <w:tc>
          <w:tcPr>
            <w:tcW w:w="5783" w:type="dxa"/>
            <w:shd w:val="clear" w:color="auto" w:fill="auto"/>
          </w:tcPr>
          <w:p w14:paraId="5B4D2AC8"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Sept</w:t>
            </w:r>
            <w:r w:rsidRPr="00316277">
              <w:rPr>
                <w:lang w:val="en-CA"/>
              </w:rPr>
              <w:noBreakHyphen/>
              <w:t>Îles</w:t>
            </w:r>
          </w:p>
        </w:tc>
        <w:tc>
          <w:tcPr>
            <w:tcW w:w="2576" w:type="dxa"/>
            <w:shd w:val="clear" w:color="auto" w:fill="auto"/>
          </w:tcPr>
          <w:p w14:paraId="3A6F2461"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0,09</w:t>
            </w:r>
          </w:p>
        </w:tc>
      </w:tr>
      <w:tr w:rsidR="002F675D" w:rsidRPr="002F675D" w14:paraId="3AD57D9C" w14:textId="77777777" w:rsidTr="00F44D2B">
        <w:trPr>
          <w:jc w:val="center"/>
        </w:trPr>
        <w:tc>
          <w:tcPr>
            <w:tcW w:w="5783" w:type="dxa"/>
            <w:shd w:val="clear" w:color="auto" w:fill="auto"/>
          </w:tcPr>
          <w:p w14:paraId="513E1869"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Shawinigan</w:t>
            </w:r>
          </w:p>
        </w:tc>
        <w:tc>
          <w:tcPr>
            <w:tcW w:w="2576" w:type="dxa"/>
            <w:shd w:val="clear" w:color="auto" w:fill="auto"/>
          </w:tcPr>
          <w:p w14:paraId="563B4511"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0,14</w:t>
            </w:r>
          </w:p>
        </w:tc>
      </w:tr>
      <w:tr w:rsidR="002F675D" w:rsidRPr="002F675D" w14:paraId="2BDB4086" w14:textId="77777777" w:rsidTr="00F44D2B">
        <w:trPr>
          <w:jc w:val="center"/>
        </w:trPr>
        <w:tc>
          <w:tcPr>
            <w:tcW w:w="5783" w:type="dxa"/>
            <w:shd w:val="clear" w:color="auto" w:fill="auto"/>
          </w:tcPr>
          <w:p w14:paraId="2B409ABF"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Sherbrooke</w:t>
            </w:r>
          </w:p>
        </w:tc>
        <w:tc>
          <w:tcPr>
            <w:tcW w:w="2576" w:type="dxa"/>
            <w:shd w:val="clear" w:color="auto" w:fill="auto"/>
          </w:tcPr>
          <w:p w14:paraId="687D5964"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0,00</w:t>
            </w:r>
          </w:p>
        </w:tc>
      </w:tr>
      <w:tr w:rsidR="002F675D" w:rsidRPr="002F675D" w14:paraId="2F94F53B" w14:textId="77777777" w:rsidTr="00F44D2B">
        <w:trPr>
          <w:jc w:val="center"/>
        </w:trPr>
        <w:tc>
          <w:tcPr>
            <w:tcW w:w="5783" w:type="dxa"/>
            <w:shd w:val="clear" w:color="auto" w:fill="auto"/>
          </w:tcPr>
          <w:p w14:paraId="15471D70" w14:textId="77777777" w:rsidR="002F675D" w:rsidRPr="002F675D" w:rsidRDefault="002F675D" w:rsidP="00F44D2B">
            <w:pPr>
              <w:pStyle w:val="CommentText"/>
              <w:keepNext w:val="0"/>
              <w:tabs>
                <w:tab w:val="clear" w:pos="3969"/>
              </w:tabs>
              <w:spacing w:before="40" w:after="40"/>
              <w:jc w:val="left"/>
              <w:rPr>
                <w:bCs/>
                <w:highlight w:val="lightGray"/>
                <w:lang w:val="en-CA"/>
              </w:rPr>
            </w:pPr>
            <w:r w:rsidRPr="00316277">
              <w:rPr>
                <w:bCs/>
                <w:lang w:val="en-CA"/>
              </w:rPr>
              <w:t xml:space="preserve">Thetford </w:t>
            </w:r>
          </w:p>
        </w:tc>
        <w:tc>
          <w:tcPr>
            <w:tcW w:w="2576" w:type="dxa"/>
            <w:shd w:val="clear" w:color="auto" w:fill="auto"/>
          </w:tcPr>
          <w:p w14:paraId="64411379" w14:textId="77777777" w:rsidR="002F675D" w:rsidRPr="00316277" w:rsidRDefault="002F675D" w:rsidP="00F44D2B">
            <w:pPr>
              <w:pStyle w:val="CommentText"/>
              <w:keepNext w:val="0"/>
              <w:tabs>
                <w:tab w:val="clear" w:pos="3969"/>
              </w:tabs>
              <w:spacing w:before="40" w:after="40"/>
              <w:jc w:val="center"/>
              <w:rPr>
                <w:lang w:val="en-CA"/>
              </w:rPr>
            </w:pPr>
            <w:r w:rsidRPr="00316277">
              <w:rPr>
                <w:lang w:val="en-CA"/>
              </w:rPr>
              <w:t>0,70</w:t>
            </w:r>
          </w:p>
        </w:tc>
      </w:tr>
      <w:tr w:rsidR="002F675D" w:rsidRPr="002F675D" w14:paraId="3EBE1B77" w14:textId="77777777" w:rsidTr="00F44D2B">
        <w:trPr>
          <w:jc w:val="center"/>
        </w:trPr>
        <w:tc>
          <w:tcPr>
            <w:tcW w:w="5783" w:type="dxa"/>
            <w:shd w:val="clear" w:color="auto" w:fill="auto"/>
          </w:tcPr>
          <w:p w14:paraId="00909DF9" w14:textId="77777777" w:rsidR="002F675D" w:rsidRPr="002F675D" w:rsidRDefault="002F675D" w:rsidP="00F44D2B">
            <w:pPr>
              <w:pStyle w:val="CommentText"/>
              <w:keepNext w:val="0"/>
              <w:tabs>
                <w:tab w:val="clear" w:pos="3969"/>
              </w:tabs>
              <w:spacing w:before="40" w:after="40"/>
              <w:jc w:val="left"/>
              <w:rPr>
                <w:highlight w:val="lightGray"/>
                <w:lang w:val="en-CA"/>
              </w:rPr>
            </w:pPr>
            <w:r w:rsidRPr="00316277">
              <w:rPr>
                <w:lang w:val="en-CA"/>
              </w:rPr>
              <w:t>Trois</w:t>
            </w:r>
            <w:r w:rsidRPr="00316277">
              <w:rPr>
                <w:lang w:val="en-CA"/>
              </w:rPr>
              <w:noBreakHyphen/>
              <w:t>Rivières</w:t>
            </w:r>
          </w:p>
        </w:tc>
        <w:tc>
          <w:tcPr>
            <w:tcW w:w="2576" w:type="dxa"/>
            <w:shd w:val="clear" w:color="auto" w:fill="auto"/>
          </w:tcPr>
          <w:p w14:paraId="4708FC26"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5BA4DD6F" w14:textId="77777777" w:rsidTr="00F44D2B">
        <w:trPr>
          <w:jc w:val="center"/>
        </w:trPr>
        <w:tc>
          <w:tcPr>
            <w:tcW w:w="5783" w:type="dxa"/>
            <w:shd w:val="clear" w:color="auto" w:fill="auto"/>
          </w:tcPr>
          <w:p w14:paraId="1E308B7C" w14:textId="77777777" w:rsidR="002F675D" w:rsidRPr="002F675D" w:rsidRDefault="002F675D" w:rsidP="00F44D2B">
            <w:pPr>
              <w:pStyle w:val="CommentText"/>
              <w:keepNext w:val="0"/>
              <w:tabs>
                <w:tab w:val="clear" w:pos="3969"/>
              </w:tabs>
              <w:spacing w:before="40" w:after="40"/>
              <w:jc w:val="left"/>
              <w:rPr>
                <w:highlight w:val="lightGray"/>
              </w:rPr>
            </w:pPr>
            <w:r w:rsidRPr="00316277">
              <w:t>Valleyfield</w:t>
            </w:r>
          </w:p>
        </w:tc>
        <w:tc>
          <w:tcPr>
            <w:tcW w:w="2576" w:type="dxa"/>
            <w:shd w:val="clear" w:color="auto" w:fill="auto"/>
          </w:tcPr>
          <w:p w14:paraId="4763D310" w14:textId="77777777" w:rsidR="002F675D" w:rsidRPr="00316277" w:rsidRDefault="002F675D" w:rsidP="00F44D2B">
            <w:pPr>
              <w:pStyle w:val="CommentText"/>
              <w:keepNext w:val="0"/>
              <w:tabs>
                <w:tab w:val="clear" w:pos="3969"/>
              </w:tabs>
              <w:spacing w:before="40" w:after="40"/>
              <w:jc w:val="center"/>
            </w:pPr>
            <w:r w:rsidRPr="00316277">
              <w:t>0,22</w:t>
            </w:r>
          </w:p>
        </w:tc>
      </w:tr>
      <w:tr w:rsidR="002F675D" w:rsidRPr="002F675D" w14:paraId="4E92ABEC" w14:textId="77777777" w:rsidTr="00F44D2B">
        <w:trPr>
          <w:jc w:val="center"/>
        </w:trPr>
        <w:tc>
          <w:tcPr>
            <w:tcW w:w="5783" w:type="dxa"/>
            <w:shd w:val="clear" w:color="auto" w:fill="auto"/>
          </w:tcPr>
          <w:p w14:paraId="5ECFD63F" w14:textId="77777777" w:rsidR="002F675D" w:rsidRPr="002F675D" w:rsidRDefault="002F675D" w:rsidP="00F44D2B">
            <w:pPr>
              <w:pStyle w:val="CommentText"/>
              <w:keepNext w:val="0"/>
              <w:tabs>
                <w:tab w:val="clear" w:pos="3969"/>
              </w:tabs>
              <w:spacing w:before="40" w:after="40"/>
              <w:jc w:val="left"/>
              <w:rPr>
                <w:highlight w:val="lightGray"/>
              </w:rPr>
            </w:pPr>
            <w:r w:rsidRPr="00316277">
              <w:t>Vanier</w:t>
            </w:r>
          </w:p>
        </w:tc>
        <w:tc>
          <w:tcPr>
            <w:tcW w:w="2576" w:type="dxa"/>
            <w:shd w:val="clear" w:color="auto" w:fill="auto"/>
          </w:tcPr>
          <w:p w14:paraId="665B1071" w14:textId="77777777" w:rsidR="002F675D" w:rsidRPr="00316277" w:rsidRDefault="002F675D" w:rsidP="00F44D2B">
            <w:pPr>
              <w:pStyle w:val="CommentText"/>
              <w:keepNext w:val="0"/>
              <w:tabs>
                <w:tab w:val="clear" w:pos="3969"/>
              </w:tabs>
              <w:spacing w:before="40" w:after="40"/>
              <w:jc w:val="center"/>
            </w:pPr>
            <w:r w:rsidRPr="00316277">
              <w:t>0,00</w:t>
            </w:r>
          </w:p>
        </w:tc>
      </w:tr>
      <w:tr w:rsidR="002F675D" w:rsidRPr="002F675D" w14:paraId="601FEBA1" w14:textId="77777777" w:rsidTr="00F44D2B">
        <w:trPr>
          <w:jc w:val="center"/>
        </w:trPr>
        <w:tc>
          <w:tcPr>
            <w:tcW w:w="5783" w:type="dxa"/>
            <w:shd w:val="clear" w:color="auto" w:fill="auto"/>
          </w:tcPr>
          <w:p w14:paraId="6BDA53A6" w14:textId="77777777" w:rsidR="002F675D" w:rsidRPr="002F675D" w:rsidRDefault="002F675D" w:rsidP="00F44D2B">
            <w:pPr>
              <w:pStyle w:val="CommentText"/>
              <w:keepNext w:val="0"/>
              <w:tabs>
                <w:tab w:val="clear" w:pos="3969"/>
              </w:tabs>
              <w:spacing w:before="40" w:after="40"/>
              <w:jc w:val="left"/>
              <w:rPr>
                <w:highlight w:val="lightGray"/>
              </w:rPr>
            </w:pPr>
            <w:r w:rsidRPr="00316277">
              <w:t>Vieux Montréal</w:t>
            </w:r>
          </w:p>
        </w:tc>
        <w:tc>
          <w:tcPr>
            <w:tcW w:w="2576" w:type="dxa"/>
            <w:shd w:val="clear" w:color="auto" w:fill="auto"/>
          </w:tcPr>
          <w:p w14:paraId="31C7FC1E" w14:textId="77777777" w:rsidR="002F675D" w:rsidRPr="00316277" w:rsidRDefault="002F675D" w:rsidP="00F44D2B">
            <w:pPr>
              <w:pStyle w:val="CommentText"/>
              <w:keepNext w:val="0"/>
              <w:tabs>
                <w:tab w:val="clear" w:pos="3969"/>
              </w:tabs>
              <w:spacing w:before="40" w:after="40"/>
              <w:jc w:val="center"/>
            </w:pPr>
            <w:r w:rsidRPr="00316277">
              <w:t>0,07</w:t>
            </w:r>
          </w:p>
        </w:tc>
      </w:tr>
    </w:tbl>
    <w:p w14:paraId="439F6C6F" w14:textId="77777777" w:rsidR="002F675D" w:rsidRPr="00316277" w:rsidRDefault="002F675D" w:rsidP="002F675D">
      <w:pPr>
        <w:pStyle w:val="N-FNEEQ"/>
        <w:spacing w:before="0"/>
        <w:ind w:left="0"/>
        <w:rPr>
          <w:rFonts w:ascii="Arial" w:hAnsi="Arial" w:cs="Arial"/>
          <w:b/>
          <w:bCs/>
          <w:color w:val="auto"/>
          <w:sz w:val="24"/>
          <w:szCs w:val="24"/>
          <w:lang w:val="fr-FR"/>
        </w:rPr>
      </w:pPr>
    </w:p>
    <w:p w14:paraId="34B42DF2" w14:textId="7ED31FC7" w:rsidR="002F675D" w:rsidRPr="00316277" w:rsidRDefault="002F675D" w:rsidP="002F675D">
      <w:pPr>
        <w:pStyle w:val="N-FNEEQ"/>
        <w:spacing w:before="0"/>
        <w:jc w:val="center"/>
        <w:rPr>
          <w:rFonts w:ascii="Arial" w:hAnsi="Arial" w:cs="Arial"/>
          <w:b/>
          <w:color w:val="auto"/>
          <w:sz w:val="24"/>
          <w:szCs w:val="24"/>
          <w:lang w:val="fr-FR"/>
        </w:rPr>
      </w:pPr>
      <w:r w:rsidRPr="00316277">
        <w:rPr>
          <w:rFonts w:ascii="Arial" w:hAnsi="Arial" w:cs="Arial"/>
          <w:b/>
          <w:color w:val="auto"/>
          <w:sz w:val="24"/>
          <w:szCs w:val="24"/>
          <w:lang w:val="fr-FR"/>
        </w:rPr>
        <w:t xml:space="preserve">Formation </w:t>
      </w:r>
      <w:r w:rsidRPr="00316277">
        <w:rPr>
          <w:rFonts w:ascii="Arial" w:hAnsi="Arial" w:cs="Arial"/>
          <w:b/>
          <w:bCs/>
          <w:color w:val="auto"/>
          <w:sz w:val="24"/>
          <w:szCs w:val="24"/>
          <w:lang w:val="fr-FR"/>
        </w:rPr>
        <w:t>continue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2"/>
        <w:gridCol w:w="2150"/>
      </w:tblGrid>
      <w:tr w:rsidR="002F675D" w:rsidRPr="002F675D" w14:paraId="266FFD10" w14:textId="77777777" w:rsidTr="00F44D2B">
        <w:trPr>
          <w:trHeight w:val="558"/>
          <w:jc w:val="center"/>
        </w:trPr>
        <w:tc>
          <w:tcPr>
            <w:tcW w:w="6072" w:type="dxa"/>
            <w:shd w:val="clear" w:color="auto" w:fill="auto"/>
            <w:vAlign w:val="center"/>
          </w:tcPr>
          <w:p w14:paraId="7F537DF1" w14:textId="77777777" w:rsidR="002F675D" w:rsidRPr="002F675D" w:rsidRDefault="002F675D" w:rsidP="00F44D2B">
            <w:pPr>
              <w:pStyle w:val="Selonlesdisp"/>
              <w:keepNext w:val="0"/>
              <w:spacing w:before="60" w:after="60"/>
              <w:ind w:left="-570"/>
              <w:rPr>
                <w:b w:val="0"/>
                <w:bCs/>
                <w:caps w:val="0"/>
                <w:highlight w:val="lightGray"/>
              </w:rPr>
            </w:pPr>
            <w:r w:rsidRPr="00316277">
              <w:rPr>
                <w:b w:val="0"/>
                <w:bCs/>
                <w:caps w:val="0"/>
              </w:rPr>
              <w:t>COLLÈGE OU CAMPUS</w:t>
            </w:r>
          </w:p>
        </w:tc>
        <w:tc>
          <w:tcPr>
            <w:tcW w:w="2150" w:type="dxa"/>
            <w:shd w:val="clear" w:color="auto" w:fill="auto"/>
            <w:vAlign w:val="center"/>
          </w:tcPr>
          <w:p w14:paraId="41138F5F" w14:textId="77777777" w:rsidR="002F675D" w:rsidRPr="00316277" w:rsidRDefault="002F675D" w:rsidP="00F44D2B">
            <w:pPr>
              <w:keepNext w:val="0"/>
              <w:spacing w:before="60" w:after="60"/>
              <w:jc w:val="center"/>
              <w:rPr>
                <w:bCs/>
                <w:lang w:val="en-CA"/>
              </w:rPr>
            </w:pPr>
            <w:r w:rsidRPr="00316277">
              <w:rPr>
                <w:bCs/>
                <w:caps/>
              </w:rPr>
              <w:t>Montant</w:t>
            </w:r>
          </w:p>
        </w:tc>
      </w:tr>
      <w:tr w:rsidR="002F675D" w:rsidRPr="002F675D" w14:paraId="6DF6591A" w14:textId="77777777" w:rsidTr="00F44D2B">
        <w:trPr>
          <w:jc w:val="center"/>
        </w:trPr>
        <w:tc>
          <w:tcPr>
            <w:tcW w:w="6072" w:type="dxa"/>
            <w:shd w:val="clear" w:color="auto" w:fill="auto"/>
          </w:tcPr>
          <w:p w14:paraId="314C2894" w14:textId="77777777" w:rsidR="002F675D" w:rsidRPr="002F675D" w:rsidRDefault="002F675D" w:rsidP="00F44D2B">
            <w:pPr>
              <w:pStyle w:val="CommentText"/>
              <w:keepNext w:val="0"/>
              <w:tabs>
                <w:tab w:val="clear" w:pos="3969"/>
              </w:tabs>
              <w:spacing w:before="60" w:after="60"/>
              <w:rPr>
                <w:highlight w:val="lightGray"/>
                <w:lang w:val="en-CA"/>
              </w:rPr>
            </w:pPr>
            <w:r w:rsidRPr="00316277">
              <w:rPr>
                <w:lang w:val="en-CA"/>
              </w:rPr>
              <w:t>Abitibi</w:t>
            </w:r>
            <w:r w:rsidRPr="00316277">
              <w:rPr>
                <w:lang w:val="en-CA"/>
              </w:rPr>
              <w:noBreakHyphen/>
              <w:t>Témiscamingue</w:t>
            </w:r>
          </w:p>
        </w:tc>
        <w:tc>
          <w:tcPr>
            <w:tcW w:w="2150" w:type="dxa"/>
            <w:shd w:val="clear" w:color="auto" w:fill="auto"/>
          </w:tcPr>
          <w:p w14:paraId="51BD8078"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0,00</w:t>
            </w:r>
          </w:p>
        </w:tc>
      </w:tr>
      <w:tr w:rsidR="002F675D" w:rsidRPr="002F675D" w14:paraId="7EBAA065" w14:textId="77777777" w:rsidTr="00F44D2B">
        <w:trPr>
          <w:jc w:val="center"/>
        </w:trPr>
        <w:tc>
          <w:tcPr>
            <w:tcW w:w="6072" w:type="dxa"/>
            <w:shd w:val="clear" w:color="auto" w:fill="auto"/>
          </w:tcPr>
          <w:p w14:paraId="0868E3A8" w14:textId="77777777" w:rsidR="002F675D" w:rsidRPr="002F675D" w:rsidRDefault="002F675D" w:rsidP="00F44D2B">
            <w:pPr>
              <w:pStyle w:val="CommentText"/>
              <w:keepNext w:val="0"/>
              <w:tabs>
                <w:tab w:val="clear" w:pos="3969"/>
              </w:tabs>
              <w:spacing w:before="60" w:after="60"/>
              <w:rPr>
                <w:smallCaps/>
                <w:highlight w:val="lightGray"/>
                <w:lang w:val="en-CA"/>
              </w:rPr>
            </w:pPr>
            <w:r w:rsidRPr="00316277">
              <w:rPr>
                <w:lang w:val="en-CA"/>
              </w:rPr>
              <w:t>Ahuntsic</w:t>
            </w:r>
          </w:p>
        </w:tc>
        <w:tc>
          <w:tcPr>
            <w:tcW w:w="2150" w:type="dxa"/>
            <w:shd w:val="clear" w:color="auto" w:fill="auto"/>
          </w:tcPr>
          <w:p w14:paraId="3AF25BDA"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0,00</w:t>
            </w:r>
          </w:p>
        </w:tc>
      </w:tr>
      <w:tr w:rsidR="002F675D" w:rsidRPr="002F675D" w14:paraId="2316B91B" w14:textId="77777777" w:rsidTr="00F44D2B">
        <w:trPr>
          <w:jc w:val="center"/>
        </w:trPr>
        <w:tc>
          <w:tcPr>
            <w:tcW w:w="6072" w:type="dxa"/>
            <w:shd w:val="clear" w:color="auto" w:fill="auto"/>
          </w:tcPr>
          <w:p w14:paraId="58A8399A" w14:textId="77777777" w:rsidR="002F675D" w:rsidRPr="002F675D" w:rsidRDefault="002F675D" w:rsidP="00F44D2B">
            <w:pPr>
              <w:pStyle w:val="CommentText"/>
              <w:keepNext w:val="0"/>
              <w:tabs>
                <w:tab w:val="clear" w:pos="3969"/>
              </w:tabs>
              <w:spacing w:before="60" w:after="60"/>
              <w:rPr>
                <w:highlight w:val="lightGray"/>
                <w:lang w:val="en-CA"/>
              </w:rPr>
            </w:pPr>
            <w:r w:rsidRPr="00316277">
              <w:rPr>
                <w:lang w:val="en-CA"/>
              </w:rPr>
              <w:t>Alma</w:t>
            </w:r>
          </w:p>
        </w:tc>
        <w:tc>
          <w:tcPr>
            <w:tcW w:w="2150" w:type="dxa"/>
            <w:shd w:val="clear" w:color="auto" w:fill="auto"/>
          </w:tcPr>
          <w:p w14:paraId="48B6ACF9" w14:textId="77777777" w:rsidR="002F675D" w:rsidRPr="00316277" w:rsidRDefault="002F675D" w:rsidP="00F44D2B">
            <w:pPr>
              <w:pStyle w:val="CommentText"/>
              <w:keepNext w:val="0"/>
              <w:tabs>
                <w:tab w:val="clear" w:pos="3969"/>
              </w:tabs>
              <w:spacing w:before="60" w:after="60"/>
              <w:jc w:val="center"/>
              <w:rPr>
                <w:lang w:val="fr-FR"/>
              </w:rPr>
            </w:pPr>
            <w:r w:rsidRPr="00316277">
              <w:rPr>
                <w:lang w:val="en-CA"/>
              </w:rPr>
              <w:t>0,00</w:t>
            </w:r>
          </w:p>
        </w:tc>
      </w:tr>
      <w:tr w:rsidR="002F675D" w:rsidRPr="002F675D" w14:paraId="14007DFB" w14:textId="77777777" w:rsidTr="00F44D2B">
        <w:trPr>
          <w:jc w:val="center"/>
        </w:trPr>
        <w:tc>
          <w:tcPr>
            <w:tcW w:w="6072" w:type="dxa"/>
            <w:shd w:val="clear" w:color="auto" w:fill="auto"/>
          </w:tcPr>
          <w:p w14:paraId="39C802D2" w14:textId="77777777" w:rsidR="002F675D" w:rsidRPr="002F675D" w:rsidRDefault="002F675D" w:rsidP="00F44D2B">
            <w:pPr>
              <w:pStyle w:val="CommentText"/>
              <w:keepNext w:val="0"/>
              <w:tabs>
                <w:tab w:val="clear" w:pos="3969"/>
              </w:tabs>
              <w:spacing w:before="60" w:after="60"/>
              <w:rPr>
                <w:highlight w:val="lightGray"/>
                <w:lang w:val="fr-FR"/>
              </w:rPr>
            </w:pPr>
            <w:r w:rsidRPr="00316277">
              <w:rPr>
                <w:lang w:val="fr-FR"/>
              </w:rPr>
              <w:t>André</w:t>
            </w:r>
            <w:r w:rsidRPr="00316277">
              <w:rPr>
                <w:lang w:val="fr-FR"/>
              </w:rPr>
              <w:noBreakHyphen/>
              <w:t>Laurendeau</w:t>
            </w:r>
          </w:p>
        </w:tc>
        <w:tc>
          <w:tcPr>
            <w:tcW w:w="2150" w:type="dxa"/>
            <w:shd w:val="clear" w:color="auto" w:fill="auto"/>
          </w:tcPr>
          <w:p w14:paraId="49210D1A"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22FB6C83" w14:textId="77777777" w:rsidTr="00F44D2B">
        <w:trPr>
          <w:jc w:val="center"/>
        </w:trPr>
        <w:tc>
          <w:tcPr>
            <w:tcW w:w="6072" w:type="dxa"/>
            <w:shd w:val="clear" w:color="auto" w:fill="auto"/>
          </w:tcPr>
          <w:p w14:paraId="71EDD05C" w14:textId="77777777" w:rsidR="002F675D" w:rsidRPr="002F675D" w:rsidRDefault="002F675D" w:rsidP="00F44D2B">
            <w:pPr>
              <w:pStyle w:val="CommentText"/>
              <w:keepNext w:val="0"/>
              <w:tabs>
                <w:tab w:val="clear" w:pos="3969"/>
              </w:tabs>
              <w:spacing w:before="60" w:after="60"/>
              <w:rPr>
                <w:highlight w:val="lightGray"/>
              </w:rPr>
            </w:pPr>
            <w:r w:rsidRPr="00316277">
              <w:t>Beauce</w:t>
            </w:r>
            <w:r w:rsidRPr="00316277">
              <w:noBreakHyphen/>
              <w:t>Appalaches</w:t>
            </w:r>
          </w:p>
        </w:tc>
        <w:tc>
          <w:tcPr>
            <w:tcW w:w="2150" w:type="dxa"/>
            <w:shd w:val="clear" w:color="auto" w:fill="auto"/>
          </w:tcPr>
          <w:p w14:paraId="4B5F52E1"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38FC7351" w14:textId="77777777" w:rsidTr="00F44D2B">
        <w:trPr>
          <w:jc w:val="center"/>
        </w:trPr>
        <w:tc>
          <w:tcPr>
            <w:tcW w:w="6072" w:type="dxa"/>
            <w:shd w:val="clear" w:color="auto" w:fill="auto"/>
          </w:tcPr>
          <w:p w14:paraId="227EB136" w14:textId="77777777" w:rsidR="002F675D" w:rsidRPr="002F675D" w:rsidRDefault="002F675D" w:rsidP="00F44D2B">
            <w:pPr>
              <w:pStyle w:val="CommentText"/>
              <w:keepNext w:val="0"/>
              <w:tabs>
                <w:tab w:val="clear" w:pos="3969"/>
              </w:tabs>
              <w:spacing w:before="60" w:after="60"/>
              <w:ind w:left="708"/>
              <w:rPr>
                <w:highlight w:val="lightGray"/>
              </w:rPr>
            </w:pPr>
            <w:r w:rsidRPr="00316277">
              <w:t>CEC de Lac Mégantic</w:t>
            </w:r>
          </w:p>
        </w:tc>
        <w:tc>
          <w:tcPr>
            <w:tcW w:w="2150" w:type="dxa"/>
            <w:shd w:val="clear" w:color="auto" w:fill="auto"/>
          </w:tcPr>
          <w:p w14:paraId="7161335D"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5989B063" w14:textId="77777777" w:rsidTr="00F44D2B">
        <w:trPr>
          <w:jc w:val="center"/>
        </w:trPr>
        <w:tc>
          <w:tcPr>
            <w:tcW w:w="6072" w:type="dxa"/>
            <w:shd w:val="clear" w:color="auto" w:fill="auto"/>
          </w:tcPr>
          <w:p w14:paraId="47E0C012" w14:textId="77777777" w:rsidR="002F675D" w:rsidRPr="002F675D" w:rsidRDefault="002F675D" w:rsidP="00F44D2B">
            <w:pPr>
              <w:pStyle w:val="CommentText"/>
              <w:keepNext w:val="0"/>
              <w:tabs>
                <w:tab w:val="clear" w:pos="3969"/>
              </w:tabs>
              <w:spacing w:before="60" w:after="60"/>
              <w:rPr>
                <w:highlight w:val="lightGray"/>
              </w:rPr>
            </w:pPr>
            <w:r w:rsidRPr="00316277">
              <w:t>Champlain à Saint</w:t>
            </w:r>
            <w:r w:rsidRPr="00316277">
              <w:noBreakHyphen/>
              <w:t>Lambert</w:t>
            </w:r>
          </w:p>
        </w:tc>
        <w:tc>
          <w:tcPr>
            <w:tcW w:w="2150" w:type="dxa"/>
            <w:shd w:val="clear" w:color="auto" w:fill="auto"/>
          </w:tcPr>
          <w:p w14:paraId="14353D9F"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4C6CF532" w14:textId="77777777" w:rsidTr="00F44D2B">
        <w:trPr>
          <w:jc w:val="center"/>
        </w:trPr>
        <w:tc>
          <w:tcPr>
            <w:tcW w:w="6072" w:type="dxa"/>
            <w:shd w:val="clear" w:color="auto" w:fill="auto"/>
          </w:tcPr>
          <w:p w14:paraId="1240A594" w14:textId="77777777" w:rsidR="002F675D" w:rsidRPr="002F675D" w:rsidRDefault="002F675D" w:rsidP="00F44D2B">
            <w:pPr>
              <w:pStyle w:val="CommentText"/>
              <w:keepNext w:val="0"/>
              <w:tabs>
                <w:tab w:val="clear" w:pos="3969"/>
              </w:tabs>
              <w:spacing w:before="60" w:after="60"/>
              <w:rPr>
                <w:highlight w:val="lightGray"/>
              </w:rPr>
            </w:pPr>
            <w:r w:rsidRPr="00316277">
              <w:t>Champlain- St. Lawrence</w:t>
            </w:r>
          </w:p>
        </w:tc>
        <w:tc>
          <w:tcPr>
            <w:tcW w:w="2150" w:type="dxa"/>
            <w:shd w:val="clear" w:color="auto" w:fill="auto"/>
          </w:tcPr>
          <w:p w14:paraId="551CC98C"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6B514E82" w14:textId="77777777" w:rsidTr="00F44D2B">
        <w:trPr>
          <w:jc w:val="center"/>
        </w:trPr>
        <w:tc>
          <w:tcPr>
            <w:tcW w:w="6072" w:type="dxa"/>
            <w:shd w:val="clear" w:color="auto" w:fill="auto"/>
          </w:tcPr>
          <w:p w14:paraId="0B076A3D" w14:textId="77777777" w:rsidR="002F675D" w:rsidRPr="002F675D" w:rsidRDefault="002F675D" w:rsidP="00F44D2B">
            <w:pPr>
              <w:pStyle w:val="CommentText"/>
              <w:keepNext w:val="0"/>
              <w:tabs>
                <w:tab w:val="clear" w:pos="3969"/>
              </w:tabs>
              <w:spacing w:before="60" w:after="60"/>
              <w:rPr>
                <w:highlight w:val="lightGray"/>
              </w:rPr>
            </w:pPr>
            <w:r w:rsidRPr="00316277">
              <w:t>Chicoutimi</w:t>
            </w:r>
          </w:p>
        </w:tc>
        <w:tc>
          <w:tcPr>
            <w:tcW w:w="2150" w:type="dxa"/>
            <w:shd w:val="clear" w:color="auto" w:fill="auto"/>
          </w:tcPr>
          <w:p w14:paraId="36836F4B"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4419F327" w14:textId="77777777" w:rsidTr="00F44D2B">
        <w:trPr>
          <w:jc w:val="center"/>
        </w:trPr>
        <w:tc>
          <w:tcPr>
            <w:tcW w:w="6072" w:type="dxa"/>
            <w:shd w:val="clear" w:color="auto" w:fill="auto"/>
          </w:tcPr>
          <w:p w14:paraId="293DCF42" w14:textId="77777777" w:rsidR="002F675D" w:rsidRPr="002F675D" w:rsidRDefault="002F675D" w:rsidP="00F44D2B">
            <w:pPr>
              <w:pStyle w:val="CommentText"/>
              <w:keepNext w:val="0"/>
              <w:tabs>
                <w:tab w:val="clear" w:pos="3969"/>
              </w:tabs>
              <w:spacing w:before="60" w:after="60"/>
              <w:ind w:left="772"/>
              <w:rPr>
                <w:highlight w:val="lightGray"/>
              </w:rPr>
            </w:pPr>
            <w:r w:rsidRPr="00316277">
              <w:t>Centre québécois de formation aéronautique</w:t>
            </w:r>
          </w:p>
        </w:tc>
        <w:tc>
          <w:tcPr>
            <w:tcW w:w="2150" w:type="dxa"/>
            <w:shd w:val="clear" w:color="auto" w:fill="auto"/>
          </w:tcPr>
          <w:p w14:paraId="4344DE89"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11D3BA4C" w14:textId="77777777" w:rsidTr="00F44D2B">
        <w:trPr>
          <w:jc w:val="center"/>
        </w:trPr>
        <w:tc>
          <w:tcPr>
            <w:tcW w:w="6072" w:type="dxa"/>
            <w:shd w:val="clear" w:color="auto" w:fill="auto"/>
          </w:tcPr>
          <w:p w14:paraId="329200A7" w14:textId="77777777" w:rsidR="002F675D" w:rsidRPr="002F675D" w:rsidRDefault="002F675D" w:rsidP="00F44D2B">
            <w:pPr>
              <w:pStyle w:val="CommentText"/>
              <w:keepNext w:val="0"/>
              <w:tabs>
                <w:tab w:val="clear" w:pos="3969"/>
              </w:tabs>
              <w:spacing w:before="60" w:after="60"/>
              <w:rPr>
                <w:highlight w:val="lightGray"/>
              </w:rPr>
            </w:pPr>
            <w:r w:rsidRPr="00316277">
              <w:t>Dawson</w:t>
            </w:r>
          </w:p>
        </w:tc>
        <w:tc>
          <w:tcPr>
            <w:tcW w:w="2150" w:type="dxa"/>
            <w:shd w:val="clear" w:color="auto" w:fill="auto"/>
          </w:tcPr>
          <w:p w14:paraId="262FC636"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7B779C50" w14:textId="77777777" w:rsidTr="00F44D2B">
        <w:trPr>
          <w:jc w:val="center"/>
        </w:trPr>
        <w:tc>
          <w:tcPr>
            <w:tcW w:w="6072" w:type="dxa"/>
            <w:shd w:val="clear" w:color="auto" w:fill="auto"/>
          </w:tcPr>
          <w:p w14:paraId="029E9D53" w14:textId="77777777" w:rsidR="002F675D" w:rsidRPr="002F675D" w:rsidRDefault="002F675D" w:rsidP="00F44D2B">
            <w:pPr>
              <w:pStyle w:val="CommentText"/>
              <w:keepNext w:val="0"/>
              <w:tabs>
                <w:tab w:val="clear" w:pos="3969"/>
              </w:tabs>
              <w:spacing w:before="60" w:after="60"/>
              <w:rPr>
                <w:highlight w:val="lightGray"/>
              </w:rPr>
            </w:pPr>
            <w:r w:rsidRPr="00316277">
              <w:t>Édouard</w:t>
            </w:r>
            <w:r w:rsidRPr="00316277">
              <w:noBreakHyphen/>
              <w:t>Montpetit</w:t>
            </w:r>
          </w:p>
        </w:tc>
        <w:tc>
          <w:tcPr>
            <w:tcW w:w="2150" w:type="dxa"/>
            <w:shd w:val="clear" w:color="auto" w:fill="auto"/>
          </w:tcPr>
          <w:p w14:paraId="1A0636F9"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291E5A3D" w14:textId="77777777" w:rsidTr="00F44D2B">
        <w:trPr>
          <w:jc w:val="center"/>
        </w:trPr>
        <w:tc>
          <w:tcPr>
            <w:tcW w:w="6072" w:type="dxa"/>
            <w:shd w:val="clear" w:color="auto" w:fill="auto"/>
          </w:tcPr>
          <w:p w14:paraId="36B4A033" w14:textId="77777777" w:rsidR="002F675D" w:rsidRPr="002F675D" w:rsidRDefault="002F675D" w:rsidP="00F44D2B">
            <w:pPr>
              <w:pStyle w:val="CommentText"/>
              <w:keepNext w:val="0"/>
              <w:tabs>
                <w:tab w:val="clear" w:pos="3969"/>
              </w:tabs>
              <w:spacing w:before="60" w:after="60"/>
              <w:rPr>
                <w:highlight w:val="lightGray"/>
              </w:rPr>
            </w:pPr>
            <w:r w:rsidRPr="00316277">
              <w:t xml:space="preserve">Garneau </w:t>
            </w:r>
          </w:p>
        </w:tc>
        <w:tc>
          <w:tcPr>
            <w:tcW w:w="2150" w:type="dxa"/>
            <w:shd w:val="clear" w:color="auto" w:fill="auto"/>
          </w:tcPr>
          <w:p w14:paraId="4A72972C" w14:textId="77777777" w:rsidR="002F675D" w:rsidRPr="00316277" w:rsidRDefault="002F675D" w:rsidP="00F44D2B">
            <w:pPr>
              <w:pStyle w:val="CommentText"/>
              <w:keepNext w:val="0"/>
              <w:tabs>
                <w:tab w:val="clear" w:pos="3969"/>
              </w:tabs>
              <w:spacing w:before="60" w:after="60"/>
              <w:jc w:val="center"/>
            </w:pPr>
            <w:r w:rsidRPr="00316277">
              <w:t>45 563$</w:t>
            </w:r>
          </w:p>
        </w:tc>
      </w:tr>
      <w:tr w:rsidR="002F675D" w:rsidRPr="002F675D" w14:paraId="540EA804" w14:textId="77777777" w:rsidTr="00F44D2B">
        <w:trPr>
          <w:jc w:val="center"/>
        </w:trPr>
        <w:tc>
          <w:tcPr>
            <w:tcW w:w="6072" w:type="dxa"/>
            <w:shd w:val="clear" w:color="auto" w:fill="auto"/>
          </w:tcPr>
          <w:p w14:paraId="0C78952E" w14:textId="77777777" w:rsidR="002F675D" w:rsidRPr="002F675D" w:rsidRDefault="002F675D" w:rsidP="00F44D2B">
            <w:pPr>
              <w:pStyle w:val="CommentText"/>
              <w:keepNext w:val="0"/>
              <w:tabs>
                <w:tab w:val="clear" w:pos="3969"/>
              </w:tabs>
              <w:spacing w:before="60" w:after="60"/>
              <w:rPr>
                <w:highlight w:val="lightGray"/>
              </w:rPr>
            </w:pPr>
            <w:r w:rsidRPr="00316277">
              <w:t>Gaspésie et des Îles :</w:t>
            </w:r>
          </w:p>
        </w:tc>
        <w:tc>
          <w:tcPr>
            <w:tcW w:w="2150" w:type="dxa"/>
            <w:shd w:val="clear" w:color="auto" w:fill="auto"/>
          </w:tcPr>
          <w:p w14:paraId="08FFAFF9" w14:textId="77777777" w:rsidR="002F675D" w:rsidRPr="00316277" w:rsidRDefault="002F675D" w:rsidP="00F44D2B">
            <w:pPr>
              <w:pStyle w:val="CommentText"/>
              <w:keepNext w:val="0"/>
              <w:tabs>
                <w:tab w:val="clear" w:pos="3969"/>
              </w:tabs>
              <w:spacing w:before="60" w:after="60"/>
              <w:jc w:val="center"/>
            </w:pPr>
          </w:p>
        </w:tc>
      </w:tr>
      <w:tr w:rsidR="002F675D" w:rsidRPr="002F675D" w14:paraId="6B55547F" w14:textId="77777777" w:rsidTr="00F44D2B">
        <w:trPr>
          <w:jc w:val="center"/>
        </w:trPr>
        <w:tc>
          <w:tcPr>
            <w:tcW w:w="6072" w:type="dxa"/>
            <w:shd w:val="clear" w:color="auto" w:fill="auto"/>
          </w:tcPr>
          <w:p w14:paraId="51508302" w14:textId="77777777" w:rsidR="002F675D" w:rsidRPr="002F675D" w:rsidRDefault="002F675D" w:rsidP="00F44D2B">
            <w:pPr>
              <w:pStyle w:val="CommentText"/>
              <w:keepNext w:val="0"/>
              <w:tabs>
                <w:tab w:val="clear" w:pos="3969"/>
                <w:tab w:val="left" w:pos="567"/>
              </w:tabs>
              <w:spacing w:before="60" w:after="60"/>
              <w:rPr>
                <w:highlight w:val="lightGray"/>
              </w:rPr>
            </w:pPr>
            <w:r w:rsidRPr="00316277">
              <w:tab/>
              <w:t>CEC Carleton</w:t>
            </w:r>
            <w:r w:rsidRPr="00316277">
              <w:noBreakHyphen/>
              <w:t>sur</w:t>
            </w:r>
            <w:r w:rsidRPr="00316277">
              <w:noBreakHyphen/>
              <w:t>Mer</w:t>
            </w:r>
          </w:p>
        </w:tc>
        <w:tc>
          <w:tcPr>
            <w:tcW w:w="2150" w:type="dxa"/>
            <w:shd w:val="clear" w:color="auto" w:fill="auto"/>
          </w:tcPr>
          <w:p w14:paraId="18BED09A"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388AF8AC" w14:textId="77777777" w:rsidTr="00F44D2B">
        <w:trPr>
          <w:jc w:val="center"/>
        </w:trPr>
        <w:tc>
          <w:tcPr>
            <w:tcW w:w="6072" w:type="dxa"/>
            <w:shd w:val="clear" w:color="auto" w:fill="auto"/>
          </w:tcPr>
          <w:p w14:paraId="439780F3" w14:textId="77777777" w:rsidR="002F675D" w:rsidRPr="002F675D" w:rsidRDefault="002F675D" w:rsidP="00F44D2B">
            <w:pPr>
              <w:pStyle w:val="CommentText"/>
              <w:keepNext w:val="0"/>
              <w:tabs>
                <w:tab w:val="clear" w:pos="3969"/>
                <w:tab w:val="left" w:pos="567"/>
              </w:tabs>
              <w:spacing w:before="60" w:after="60"/>
              <w:ind w:left="599"/>
              <w:rPr>
                <w:highlight w:val="lightGray"/>
              </w:rPr>
            </w:pPr>
            <w:r w:rsidRPr="00316277">
              <w:t>École des pêches et de l’aquaculture du Québec</w:t>
            </w:r>
          </w:p>
        </w:tc>
        <w:tc>
          <w:tcPr>
            <w:tcW w:w="2150" w:type="dxa"/>
            <w:shd w:val="clear" w:color="auto" w:fill="auto"/>
          </w:tcPr>
          <w:p w14:paraId="263ACB03"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3FC3E323" w14:textId="77777777" w:rsidTr="00F44D2B">
        <w:trPr>
          <w:jc w:val="center"/>
        </w:trPr>
        <w:tc>
          <w:tcPr>
            <w:tcW w:w="6072" w:type="dxa"/>
            <w:shd w:val="clear" w:color="auto" w:fill="auto"/>
          </w:tcPr>
          <w:p w14:paraId="4672BC5F" w14:textId="77777777" w:rsidR="002F675D" w:rsidRPr="002F675D" w:rsidRDefault="002F675D" w:rsidP="00F44D2B">
            <w:pPr>
              <w:pStyle w:val="CommentText"/>
              <w:keepNext w:val="0"/>
              <w:tabs>
                <w:tab w:val="clear" w:pos="3969"/>
              </w:tabs>
              <w:spacing w:before="60" w:after="60"/>
              <w:rPr>
                <w:highlight w:val="lightGray"/>
                <w:lang w:val="en-CA"/>
              </w:rPr>
            </w:pPr>
            <w:r w:rsidRPr="00316277">
              <w:rPr>
                <w:lang w:val="en-CA"/>
              </w:rPr>
              <w:t>Granby</w:t>
            </w:r>
          </w:p>
        </w:tc>
        <w:tc>
          <w:tcPr>
            <w:tcW w:w="2150" w:type="dxa"/>
            <w:shd w:val="clear" w:color="auto" w:fill="auto"/>
          </w:tcPr>
          <w:p w14:paraId="3AB152D7"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0,00</w:t>
            </w:r>
          </w:p>
        </w:tc>
      </w:tr>
      <w:tr w:rsidR="002F675D" w:rsidRPr="002F675D" w14:paraId="75E9AACA" w14:textId="77777777" w:rsidTr="00F44D2B">
        <w:trPr>
          <w:jc w:val="center"/>
        </w:trPr>
        <w:tc>
          <w:tcPr>
            <w:tcW w:w="6072" w:type="dxa"/>
            <w:shd w:val="clear" w:color="auto" w:fill="auto"/>
          </w:tcPr>
          <w:p w14:paraId="58ED982B"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Heritage</w:t>
            </w:r>
          </w:p>
        </w:tc>
        <w:tc>
          <w:tcPr>
            <w:tcW w:w="2150" w:type="dxa"/>
            <w:shd w:val="clear" w:color="auto" w:fill="auto"/>
          </w:tcPr>
          <w:p w14:paraId="2DF39D63"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4D2D1194" w14:textId="77777777" w:rsidTr="00F44D2B">
        <w:trPr>
          <w:jc w:val="center"/>
        </w:trPr>
        <w:tc>
          <w:tcPr>
            <w:tcW w:w="6072" w:type="dxa"/>
            <w:shd w:val="clear" w:color="auto" w:fill="auto"/>
          </w:tcPr>
          <w:p w14:paraId="204A00B2"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John Abbott</w:t>
            </w:r>
          </w:p>
        </w:tc>
        <w:tc>
          <w:tcPr>
            <w:tcW w:w="2150" w:type="dxa"/>
            <w:shd w:val="clear" w:color="auto" w:fill="auto"/>
          </w:tcPr>
          <w:p w14:paraId="52096323" w14:textId="77777777" w:rsidR="002F675D" w:rsidRPr="00316277" w:rsidRDefault="002F675D" w:rsidP="00F44D2B">
            <w:pPr>
              <w:pStyle w:val="CommentText"/>
              <w:keepNext w:val="0"/>
              <w:tabs>
                <w:tab w:val="clear" w:pos="3969"/>
              </w:tabs>
              <w:spacing w:before="60" w:after="60"/>
              <w:jc w:val="center"/>
            </w:pPr>
            <w:r w:rsidRPr="00316277">
              <w:rPr>
                <w:lang w:val="en-CA"/>
              </w:rPr>
              <w:t>0,00</w:t>
            </w:r>
          </w:p>
        </w:tc>
      </w:tr>
      <w:tr w:rsidR="002F675D" w:rsidRPr="002F675D" w14:paraId="5F4BEED9" w14:textId="77777777" w:rsidTr="00F44D2B">
        <w:trPr>
          <w:jc w:val="center"/>
        </w:trPr>
        <w:tc>
          <w:tcPr>
            <w:tcW w:w="6072" w:type="dxa"/>
            <w:shd w:val="clear" w:color="auto" w:fill="auto"/>
          </w:tcPr>
          <w:p w14:paraId="550828C4" w14:textId="77777777" w:rsidR="002F675D" w:rsidRPr="002F675D" w:rsidRDefault="002F675D" w:rsidP="00F44D2B">
            <w:pPr>
              <w:pStyle w:val="CommentText"/>
              <w:keepNext w:val="0"/>
              <w:tabs>
                <w:tab w:val="clear" w:pos="3969"/>
              </w:tabs>
              <w:spacing w:before="60" w:after="60"/>
              <w:jc w:val="left"/>
              <w:rPr>
                <w:highlight w:val="lightGray"/>
              </w:rPr>
            </w:pPr>
            <w:r w:rsidRPr="00316277">
              <w:t>Jonquière</w:t>
            </w:r>
          </w:p>
        </w:tc>
        <w:tc>
          <w:tcPr>
            <w:tcW w:w="2150" w:type="dxa"/>
            <w:shd w:val="clear" w:color="auto" w:fill="auto"/>
          </w:tcPr>
          <w:p w14:paraId="3510C46A" w14:textId="77777777" w:rsidR="002F675D" w:rsidRPr="00316277" w:rsidRDefault="002F675D" w:rsidP="00F44D2B">
            <w:pPr>
              <w:pStyle w:val="CommentText"/>
              <w:keepNext w:val="0"/>
              <w:tabs>
                <w:tab w:val="clear" w:pos="3969"/>
              </w:tabs>
              <w:spacing w:before="60" w:after="60"/>
              <w:jc w:val="center"/>
            </w:pPr>
            <w:r w:rsidRPr="00316277">
              <w:t>20 728$</w:t>
            </w:r>
          </w:p>
        </w:tc>
      </w:tr>
      <w:tr w:rsidR="002F675D" w:rsidRPr="002F675D" w14:paraId="09D3315D" w14:textId="77777777" w:rsidTr="00F44D2B">
        <w:trPr>
          <w:jc w:val="center"/>
        </w:trPr>
        <w:tc>
          <w:tcPr>
            <w:tcW w:w="6072" w:type="dxa"/>
            <w:shd w:val="clear" w:color="auto" w:fill="auto"/>
          </w:tcPr>
          <w:p w14:paraId="7F16DA96" w14:textId="77777777" w:rsidR="002F675D" w:rsidRPr="002F675D" w:rsidRDefault="002F675D" w:rsidP="00F44D2B">
            <w:pPr>
              <w:pStyle w:val="CommentText"/>
              <w:keepNext w:val="0"/>
              <w:tabs>
                <w:tab w:val="clear" w:pos="3969"/>
                <w:tab w:val="left" w:pos="567"/>
              </w:tabs>
              <w:spacing w:before="60" w:after="60"/>
              <w:jc w:val="left"/>
              <w:rPr>
                <w:highlight w:val="lightGray"/>
              </w:rPr>
            </w:pPr>
            <w:r w:rsidRPr="00316277">
              <w:tab/>
              <w:t>CEC en Charlevoix</w:t>
            </w:r>
          </w:p>
        </w:tc>
        <w:tc>
          <w:tcPr>
            <w:tcW w:w="2150" w:type="dxa"/>
            <w:shd w:val="clear" w:color="auto" w:fill="auto"/>
          </w:tcPr>
          <w:p w14:paraId="2ACCB1F1" w14:textId="77777777" w:rsidR="002F675D" w:rsidRPr="00316277" w:rsidRDefault="002F675D" w:rsidP="00F44D2B">
            <w:pPr>
              <w:pStyle w:val="CommentText"/>
              <w:keepNext w:val="0"/>
              <w:tabs>
                <w:tab w:val="clear" w:pos="3969"/>
              </w:tabs>
              <w:spacing w:before="60" w:after="60"/>
              <w:jc w:val="center"/>
              <w:rPr>
                <w:lang w:val="en-CA"/>
              </w:rPr>
            </w:pPr>
            <w:r w:rsidRPr="00316277">
              <w:t>0,00</w:t>
            </w:r>
          </w:p>
        </w:tc>
      </w:tr>
      <w:tr w:rsidR="002F675D" w:rsidRPr="002F675D" w14:paraId="5D701E0D" w14:textId="77777777" w:rsidTr="00F44D2B">
        <w:trPr>
          <w:jc w:val="center"/>
        </w:trPr>
        <w:tc>
          <w:tcPr>
            <w:tcW w:w="6072" w:type="dxa"/>
            <w:shd w:val="clear" w:color="auto" w:fill="auto"/>
          </w:tcPr>
          <w:p w14:paraId="061962DA" w14:textId="77777777" w:rsidR="002F675D" w:rsidRPr="002F675D" w:rsidRDefault="002F675D" w:rsidP="00F44D2B">
            <w:pPr>
              <w:pStyle w:val="CommentText"/>
              <w:keepNext w:val="0"/>
              <w:tabs>
                <w:tab w:val="clear" w:pos="3969"/>
              </w:tabs>
              <w:spacing w:before="60" w:after="60"/>
              <w:jc w:val="left"/>
              <w:rPr>
                <w:highlight w:val="lightGray"/>
              </w:rPr>
            </w:pPr>
            <w:r w:rsidRPr="00316277">
              <w:t>La Pocatière</w:t>
            </w:r>
          </w:p>
        </w:tc>
        <w:tc>
          <w:tcPr>
            <w:tcW w:w="2150" w:type="dxa"/>
            <w:shd w:val="clear" w:color="auto" w:fill="auto"/>
          </w:tcPr>
          <w:p w14:paraId="16F2032A" w14:textId="77777777" w:rsidR="002F675D" w:rsidRPr="00316277" w:rsidRDefault="002F675D" w:rsidP="00F44D2B">
            <w:pPr>
              <w:pStyle w:val="CommentText"/>
              <w:keepNext w:val="0"/>
              <w:tabs>
                <w:tab w:val="clear" w:pos="3969"/>
              </w:tabs>
              <w:spacing w:before="60" w:after="60"/>
              <w:jc w:val="center"/>
              <w:rPr>
                <w:lang w:val="en-CA"/>
              </w:rPr>
            </w:pPr>
            <w:r w:rsidRPr="00316277">
              <w:t>0,00</w:t>
            </w:r>
          </w:p>
        </w:tc>
      </w:tr>
      <w:tr w:rsidR="002F675D" w:rsidRPr="002F675D" w14:paraId="62634EC7" w14:textId="77777777" w:rsidTr="00F44D2B">
        <w:trPr>
          <w:jc w:val="center"/>
        </w:trPr>
        <w:tc>
          <w:tcPr>
            <w:tcW w:w="6072" w:type="dxa"/>
            <w:shd w:val="clear" w:color="auto" w:fill="auto"/>
          </w:tcPr>
          <w:p w14:paraId="313DB09D" w14:textId="77777777" w:rsidR="002F675D" w:rsidRPr="002F675D" w:rsidRDefault="002F675D" w:rsidP="00F44D2B">
            <w:pPr>
              <w:pStyle w:val="CommentText"/>
              <w:keepNext w:val="0"/>
              <w:tabs>
                <w:tab w:val="clear" w:pos="3969"/>
              </w:tabs>
              <w:spacing w:before="60" w:after="60"/>
              <w:ind w:left="599"/>
              <w:jc w:val="left"/>
              <w:rPr>
                <w:highlight w:val="lightGray"/>
              </w:rPr>
            </w:pPr>
            <w:r w:rsidRPr="00316277">
              <w:t>CEC de Montmagny</w:t>
            </w:r>
          </w:p>
        </w:tc>
        <w:tc>
          <w:tcPr>
            <w:tcW w:w="2150" w:type="dxa"/>
            <w:shd w:val="clear" w:color="auto" w:fill="auto"/>
          </w:tcPr>
          <w:p w14:paraId="26AD5359" w14:textId="77777777" w:rsidR="002F675D" w:rsidRPr="00316277" w:rsidRDefault="002F675D" w:rsidP="00F44D2B">
            <w:pPr>
              <w:pStyle w:val="CommentText"/>
              <w:keepNext w:val="0"/>
              <w:tabs>
                <w:tab w:val="clear" w:pos="3969"/>
              </w:tabs>
              <w:spacing w:before="60" w:after="60"/>
              <w:jc w:val="center"/>
              <w:rPr>
                <w:lang w:val="en-CA"/>
              </w:rPr>
            </w:pPr>
            <w:r w:rsidRPr="00316277">
              <w:t>0,00</w:t>
            </w:r>
          </w:p>
        </w:tc>
      </w:tr>
      <w:tr w:rsidR="002F675D" w:rsidRPr="002F675D" w14:paraId="561938C0" w14:textId="77777777" w:rsidTr="00F44D2B">
        <w:trPr>
          <w:jc w:val="center"/>
        </w:trPr>
        <w:tc>
          <w:tcPr>
            <w:tcW w:w="6072" w:type="dxa"/>
            <w:shd w:val="clear" w:color="auto" w:fill="auto"/>
          </w:tcPr>
          <w:p w14:paraId="16D21325" w14:textId="77777777" w:rsidR="002F675D" w:rsidRPr="002F675D" w:rsidRDefault="002F675D" w:rsidP="00F44D2B">
            <w:pPr>
              <w:pStyle w:val="CommentText"/>
              <w:keepNext w:val="0"/>
              <w:tabs>
                <w:tab w:val="clear" w:pos="3969"/>
              </w:tabs>
              <w:spacing w:before="60" w:after="60"/>
              <w:jc w:val="left"/>
              <w:rPr>
                <w:highlight w:val="lightGray"/>
              </w:rPr>
            </w:pPr>
            <w:r w:rsidRPr="00316277">
              <w:t>Lévis</w:t>
            </w:r>
          </w:p>
        </w:tc>
        <w:tc>
          <w:tcPr>
            <w:tcW w:w="2150" w:type="dxa"/>
            <w:shd w:val="clear" w:color="auto" w:fill="auto"/>
          </w:tcPr>
          <w:p w14:paraId="143526AB" w14:textId="77777777" w:rsidR="002F675D" w:rsidRPr="00316277" w:rsidRDefault="002F675D" w:rsidP="00F44D2B">
            <w:pPr>
              <w:pStyle w:val="CommentText"/>
              <w:keepNext w:val="0"/>
              <w:tabs>
                <w:tab w:val="clear" w:pos="3969"/>
              </w:tabs>
              <w:spacing w:before="60" w:after="60"/>
              <w:jc w:val="center"/>
            </w:pPr>
            <w:r w:rsidRPr="00316277">
              <w:t>5 849$</w:t>
            </w:r>
          </w:p>
        </w:tc>
      </w:tr>
      <w:tr w:rsidR="002F675D" w:rsidRPr="002F675D" w14:paraId="7F223A3D" w14:textId="77777777" w:rsidTr="00F44D2B">
        <w:trPr>
          <w:jc w:val="center"/>
        </w:trPr>
        <w:tc>
          <w:tcPr>
            <w:tcW w:w="6072" w:type="dxa"/>
            <w:tcBorders>
              <w:bottom w:val="single" w:sz="4" w:space="0" w:color="000000"/>
            </w:tcBorders>
            <w:shd w:val="clear" w:color="auto" w:fill="auto"/>
          </w:tcPr>
          <w:p w14:paraId="20A2F44B" w14:textId="77777777" w:rsidR="002F675D" w:rsidRPr="002F675D" w:rsidRDefault="002F675D" w:rsidP="00F44D2B">
            <w:pPr>
              <w:pStyle w:val="CommentText"/>
              <w:keepNext w:val="0"/>
              <w:tabs>
                <w:tab w:val="clear" w:pos="3969"/>
              </w:tabs>
              <w:spacing w:before="60" w:after="60"/>
              <w:jc w:val="left"/>
              <w:rPr>
                <w:highlight w:val="lightGray"/>
              </w:rPr>
            </w:pPr>
            <w:r w:rsidRPr="00316277">
              <w:t>Limoilou</w:t>
            </w:r>
          </w:p>
        </w:tc>
        <w:tc>
          <w:tcPr>
            <w:tcW w:w="2150" w:type="dxa"/>
            <w:tcBorders>
              <w:bottom w:val="single" w:sz="4" w:space="0" w:color="000000"/>
            </w:tcBorders>
            <w:shd w:val="clear" w:color="auto" w:fill="auto"/>
          </w:tcPr>
          <w:p w14:paraId="2682B338" w14:textId="77777777" w:rsidR="002F675D" w:rsidRPr="00316277" w:rsidRDefault="002F675D" w:rsidP="00F44D2B">
            <w:pPr>
              <w:pStyle w:val="CommentText"/>
              <w:keepNext w:val="0"/>
              <w:tabs>
                <w:tab w:val="clear" w:pos="3969"/>
              </w:tabs>
              <w:spacing w:before="60" w:after="60"/>
              <w:jc w:val="center"/>
            </w:pPr>
            <w:r w:rsidRPr="00316277">
              <w:t>16 624$</w:t>
            </w:r>
          </w:p>
        </w:tc>
      </w:tr>
      <w:tr w:rsidR="002F675D" w:rsidRPr="00026EC1" w14:paraId="701C8FE9" w14:textId="77777777" w:rsidTr="00F44D2B">
        <w:trPr>
          <w:jc w:val="center"/>
        </w:trPr>
        <w:tc>
          <w:tcPr>
            <w:tcW w:w="6072" w:type="dxa"/>
            <w:tcBorders>
              <w:bottom w:val="single" w:sz="4" w:space="0" w:color="auto"/>
            </w:tcBorders>
            <w:shd w:val="clear" w:color="auto" w:fill="auto"/>
          </w:tcPr>
          <w:p w14:paraId="5F2140A0" w14:textId="77777777" w:rsidR="002F675D" w:rsidRPr="002F675D" w:rsidRDefault="002F675D" w:rsidP="00F44D2B">
            <w:pPr>
              <w:pStyle w:val="CommentText"/>
              <w:keepNext w:val="0"/>
              <w:tabs>
                <w:tab w:val="clear" w:pos="3969"/>
              </w:tabs>
              <w:spacing w:before="60" w:after="60"/>
              <w:jc w:val="left"/>
              <w:rPr>
                <w:highlight w:val="lightGray"/>
              </w:rPr>
            </w:pPr>
            <w:r w:rsidRPr="00316277">
              <w:t>Lionel</w:t>
            </w:r>
            <w:r w:rsidRPr="00316277">
              <w:noBreakHyphen/>
              <w:t>Groulx</w:t>
            </w:r>
          </w:p>
        </w:tc>
        <w:tc>
          <w:tcPr>
            <w:tcW w:w="2150" w:type="dxa"/>
            <w:tcBorders>
              <w:bottom w:val="single" w:sz="4" w:space="0" w:color="auto"/>
            </w:tcBorders>
            <w:shd w:val="clear" w:color="auto" w:fill="auto"/>
          </w:tcPr>
          <w:p w14:paraId="19B92DBE" w14:textId="77777777" w:rsidR="002F675D" w:rsidRPr="00316277" w:rsidRDefault="002F675D" w:rsidP="00F44D2B">
            <w:pPr>
              <w:pStyle w:val="CommentText"/>
              <w:keepNext w:val="0"/>
              <w:tabs>
                <w:tab w:val="clear" w:pos="3969"/>
              </w:tabs>
              <w:spacing w:before="60" w:after="60"/>
              <w:jc w:val="center"/>
            </w:pPr>
            <w:r w:rsidRPr="00316277">
              <w:t>0,00</w:t>
            </w:r>
          </w:p>
        </w:tc>
      </w:tr>
    </w:tbl>
    <w:p w14:paraId="3CBBE4DF" w14:textId="77777777" w:rsidR="00A3067D" w:rsidRDefault="00A3067D">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2"/>
        <w:gridCol w:w="2150"/>
      </w:tblGrid>
      <w:tr w:rsidR="002F675D" w:rsidRPr="002F675D" w14:paraId="65845D40" w14:textId="77777777" w:rsidTr="00A3067D">
        <w:trPr>
          <w:jc w:val="center"/>
        </w:trPr>
        <w:tc>
          <w:tcPr>
            <w:tcW w:w="8222" w:type="dxa"/>
            <w:gridSpan w:val="2"/>
            <w:tcBorders>
              <w:top w:val="nil"/>
              <w:left w:val="nil"/>
              <w:bottom w:val="single" w:sz="4" w:space="0" w:color="auto"/>
              <w:right w:val="nil"/>
            </w:tcBorders>
            <w:shd w:val="clear" w:color="auto" w:fill="auto"/>
          </w:tcPr>
          <w:p w14:paraId="12C9DF33" w14:textId="22FC1B9C" w:rsidR="002F675D" w:rsidRPr="00316277" w:rsidRDefault="002F675D" w:rsidP="00F44D2B">
            <w:pPr>
              <w:pStyle w:val="N-FNEEQ"/>
              <w:spacing w:before="240"/>
              <w:jc w:val="center"/>
              <w:rPr>
                <w:rFonts w:ascii="Arial" w:hAnsi="Arial" w:cs="Arial"/>
                <w:b/>
                <w:color w:val="auto"/>
                <w:sz w:val="24"/>
                <w:szCs w:val="24"/>
                <w:lang w:val="fr-FR"/>
              </w:rPr>
            </w:pPr>
            <w:r w:rsidRPr="00316277">
              <w:rPr>
                <w:rFonts w:ascii="Arial" w:hAnsi="Arial" w:cs="Arial"/>
                <w:b/>
                <w:bCs/>
                <w:color w:val="auto"/>
                <w:sz w:val="24"/>
                <w:szCs w:val="24"/>
                <w:lang w:val="fr-FR"/>
              </w:rPr>
              <w:t>Formation continue</w:t>
            </w:r>
          </w:p>
        </w:tc>
      </w:tr>
      <w:tr w:rsidR="002F675D" w:rsidRPr="002F675D" w14:paraId="29A030B4" w14:textId="77777777" w:rsidTr="00A3067D">
        <w:trPr>
          <w:jc w:val="center"/>
        </w:trPr>
        <w:tc>
          <w:tcPr>
            <w:tcW w:w="6072" w:type="dxa"/>
            <w:tcBorders>
              <w:top w:val="single" w:sz="4" w:space="0" w:color="auto"/>
              <w:left w:val="single" w:sz="4" w:space="0" w:color="auto"/>
              <w:bottom w:val="single" w:sz="4" w:space="0" w:color="auto"/>
              <w:right w:val="single" w:sz="4" w:space="0" w:color="auto"/>
            </w:tcBorders>
            <w:shd w:val="clear" w:color="auto" w:fill="auto"/>
            <w:vAlign w:val="center"/>
          </w:tcPr>
          <w:p w14:paraId="21FA4328" w14:textId="77777777" w:rsidR="002F675D" w:rsidRPr="002F675D" w:rsidRDefault="002F675D" w:rsidP="00F44D2B">
            <w:pPr>
              <w:pStyle w:val="CommentText"/>
              <w:keepNext w:val="0"/>
              <w:tabs>
                <w:tab w:val="clear" w:pos="3969"/>
              </w:tabs>
              <w:spacing w:before="60" w:after="60"/>
              <w:jc w:val="center"/>
              <w:rPr>
                <w:highlight w:val="lightGray"/>
              </w:rPr>
            </w:pPr>
            <w:r w:rsidRPr="00316277">
              <w:rPr>
                <w:bCs/>
              </w:rPr>
              <w:t>COLLÈGE OU CAMPUS</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18EF2662" w14:textId="77777777" w:rsidR="002F675D" w:rsidRPr="00316277" w:rsidRDefault="002F675D" w:rsidP="00F44D2B">
            <w:pPr>
              <w:pStyle w:val="CommentText"/>
              <w:keepNext w:val="0"/>
              <w:tabs>
                <w:tab w:val="clear" w:pos="3969"/>
              </w:tabs>
              <w:spacing w:before="60" w:after="60"/>
              <w:jc w:val="center"/>
            </w:pPr>
            <w:r w:rsidRPr="00316277">
              <w:rPr>
                <w:bCs/>
                <w:caps/>
              </w:rPr>
              <w:t>Montant</w:t>
            </w:r>
          </w:p>
        </w:tc>
      </w:tr>
      <w:tr w:rsidR="002F675D" w:rsidRPr="002F675D" w14:paraId="1FA43FFB" w14:textId="77777777" w:rsidTr="00A3067D">
        <w:trPr>
          <w:jc w:val="center"/>
        </w:trPr>
        <w:tc>
          <w:tcPr>
            <w:tcW w:w="6072" w:type="dxa"/>
            <w:tcBorders>
              <w:top w:val="single" w:sz="4" w:space="0" w:color="auto"/>
            </w:tcBorders>
            <w:shd w:val="clear" w:color="auto" w:fill="auto"/>
          </w:tcPr>
          <w:p w14:paraId="01793E97" w14:textId="77777777" w:rsidR="002F675D" w:rsidRPr="002F675D" w:rsidRDefault="002F675D" w:rsidP="00F44D2B">
            <w:pPr>
              <w:pStyle w:val="CommentText"/>
              <w:keepNext w:val="0"/>
              <w:tabs>
                <w:tab w:val="clear" w:pos="3969"/>
              </w:tabs>
              <w:spacing w:before="60" w:after="60"/>
              <w:jc w:val="left"/>
              <w:rPr>
                <w:highlight w:val="lightGray"/>
              </w:rPr>
            </w:pPr>
            <w:r w:rsidRPr="00316277">
              <w:t>Maisonneuve</w:t>
            </w:r>
          </w:p>
        </w:tc>
        <w:tc>
          <w:tcPr>
            <w:tcW w:w="2150" w:type="dxa"/>
            <w:tcBorders>
              <w:top w:val="single" w:sz="4" w:space="0" w:color="auto"/>
            </w:tcBorders>
            <w:shd w:val="clear" w:color="auto" w:fill="auto"/>
          </w:tcPr>
          <w:p w14:paraId="2362C820"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0B8CD0C2" w14:textId="77777777" w:rsidTr="00A3067D">
        <w:trPr>
          <w:jc w:val="center"/>
        </w:trPr>
        <w:tc>
          <w:tcPr>
            <w:tcW w:w="6072" w:type="dxa"/>
            <w:shd w:val="clear" w:color="auto" w:fill="auto"/>
          </w:tcPr>
          <w:p w14:paraId="7B3742AE" w14:textId="77777777" w:rsidR="002F675D" w:rsidRPr="002F675D" w:rsidRDefault="002F675D" w:rsidP="00F44D2B">
            <w:pPr>
              <w:pStyle w:val="CommentText"/>
              <w:keepNext w:val="0"/>
              <w:tabs>
                <w:tab w:val="clear" w:pos="3969"/>
              </w:tabs>
              <w:spacing w:before="60" w:after="60"/>
              <w:jc w:val="left"/>
              <w:rPr>
                <w:highlight w:val="lightGray"/>
              </w:rPr>
            </w:pPr>
            <w:r w:rsidRPr="00316277">
              <w:t>Marie</w:t>
            </w:r>
            <w:r w:rsidRPr="00316277">
              <w:noBreakHyphen/>
              <w:t>Victorin</w:t>
            </w:r>
          </w:p>
        </w:tc>
        <w:tc>
          <w:tcPr>
            <w:tcW w:w="2150" w:type="dxa"/>
            <w:shd w:val="clear" w:color="auto" w:fill="auto"/>
          </w:tcPr>
          <w:p w14:paraId="12060224"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784EC381" w14:textId="77777777" w:rsidTr="00A3067D">
        <w:trPr>
          <w:jc w:val="center"/>
        </w:trPr>
        <w:tc>
          <w:tcPr>
            <w:tcW w:w="6072" w:type="dxa"/>
            <w:shd w:val="clear" w:color="auto" w:fill="auto"/>
          </w:tcPr>
          <w:p w14:paraId="3431665D" w14:textId="77777777" w:rsidR="002F675D" w:rsidRPr="002F675D" w:rsidRDefault="002F675D" w:rsidP="00F44D2B">
            <w:pPr>
              <w:pStyle w:val="CommentText"/>
              <w:keepNext w:val="0"/>
              <w:tabs>
                <w:tab w:val="clear" w:pos="3969"/>
              </w:tabs>
              <w:spacing w:before="60" w:after="60"/>
              <w:jc w:val="left"/>
              <w:rPr>
                <w:highlight w:val="lightGray"/>
              </w:rPr>
            </w:pPr>
            <w:r w:rsidRPr="00316277">
              <w:t>Montmorency</w:t>
            </w:r>
          </w:p>
        </w:tc>
        <w:tc>
          <w:tcPr>
            <w:tcW w:w="2150" w:type="dxa"/>
            <w:shd w:val="clear" w:color="auto" w:fill="auto"/>
          </w:tcPr>
          <w:p w14:paraId="6630C6FD"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397DD447" w14:textId="77777777" w:rsidTr="00A3067D">
        <w:trPr>
          <w:jc w:val="center"/>
        </w:trPr>
        <w:tc>
          <w:tcPr>
            <w:tcW w:w="6072" w:type="dxa"/>
            <w:shd w:val="clear" w:color="auto" w:fill="auto"/>
          </w:tcPr>
          <w:p w14:paraId="00AF25C7" w14:textId="77777777" w:rsidR="002F675D" w:rsidRPr="002F675D" w:rsidRDefault="002F675D" w:rsidP="00F44D2B">
            <w:pPr>
              <w:pStyle w:val="CommentText"/>
              <w:keepNext w:val="0"/>
              <w:tabs>
                <w:tab w:val="clear" w:pos="3969"/>
              </w:tabs>
              <w:spacing w:before="60" w:after="60"/>
              <w:jc w:val="left"/>
              <w:rPr>
                <w:highlight w:val="lightGray"/>
              </w:rPr>
            </w:pPr>
            <w:r w:rsidRPr="00316277">
              <w:t>Outaouais</w:t>
            </w:r>
          </w:p>
        </w:tc>
        <w:tc>
          <w:tcPr>
            <w:tcW w:w="2150" w:type="dxa"/>
            <w:shd w:val="clear" w:color="auto" w:fill="auto"/>
          </w:tcPr>
          <w:p w14:paraId="5A48E4C9"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159A693F" w14:textId="77777777" w:rsidTr="00A3067D">
        <w:trPr>
          <w:jc w:val="center"/>
        </w:trPr>
        <w:tc>
          <w:tcPr>
            <w:tcW w:w="6072" w:type="dxa"/>
            <w:shd w:val="clear" w:color="auto" w:fill="auto"/>
          </w:tcPr>
          <w:p w14:paraId="2B458442" w14:textId="77777777" w:rsidR="002F675D" w:rsidRPr="002F675D" w:rsidRDefault="002F675D" w:rsidP="00F44D2B">
            <w:pPr>
              <w:pStyle w:val="CommentText"/>
              <w:keepNext w:val="0"/>
              <w:tabs>
                <w:tab w:val="clear" w:pos="3969"/>
              </w:tabs>
              <w:spacing w:before="60" w:after="60"/>
              <w:jc w:val="left"/>
              <w:rPr>
                <w:highlight w:val="lightGray"/>
              </w:rPr>
            </w:pPr>
            <w:r w:rsidRPr="00316277">
              <w:t>Régional de Lanaudière à Joliette</w:t>
            </w:r>
          </w:p>
        </w:tc>
        <w:tc>
          <w:tcPr>
            <w:tcW w:w="2150" w:type="dxa"/>
            <w:shd w:val="clear" w:color="auto" w:fill="auto"/>
          </w:tcPr>
          <w:p w14:paraId="24EF9100"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1BFF15B6" w14:textId="77777777" w:rsidTr="00A3067D">
        <w:trPr>
          <w:jc w:val="center"/>
        </w:trPr>
        <w:tc>
          <w:tcPr>
            <w:tcW w:w="6072" w:type="dxa"/>
            <w:shd w:val="clear" w:color="auto" w:fill="auto"/>
          </w:tcPr>
          <w:p w14:paraId="5FC44ADC" w14:textId="77777777" w:rsidR="002F675D" w:rsidRPr="002F675D" w:rsidRDefault="002F675D" w:rsidP="00F44D2B">
            <w:pPr>
              <w:pStyle w:val="CommentText"/>
              <w:keepNext w:val="0"/>
              <w:tabs>
                <w:tab w:val="clear" w:pos="3969"/>
              </w:tabs>
              <w:spacing w:before="60" w:after="60"/>
              <w:jc w:val="left"/>
              <w:rPr>
                <w:highlight w:val="lightGray"/>
              </w:rPr>
            </w:pPr>
            <w:r w:rsidRPr="00316277">
              <w:t>Régional de Lanaudière à L’Assomption</w:t>
            </w:r>
          </w:p>
        </w:tc>
        <w:tc>
          <w:tcPr>
            <w:tcW w:w="2150" w:type="dxa"/>
            <w:shd w:val="clear" w:color="auto" w:fill="auto"/>
          </w:tcPr>
          <w:p w14:paraId="0878C3E0"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4E27663B" w14:textId="77777777" w:rsidTr="00A3067D">
        <w:trPr>
          <w:jc w:val="center"/>
        </w:trPr>
        <w:tc>
          <w:tcPr>
            <w:tcW w:w="6072" w:type="dxa"/>
            <w:shd w:val="clear" w:color="auto" w:fill="auto"/>
          </w:tcPr>
          <w:p w14:paraId="23F09679" w14:textId="77777777" w:rsidR="002F675D" w:rsidRPr="002F675D" w:rsidRDefault="002F675D" w:rsidP="00F44D2B">
            <w:pPr>
              <w:pStyle w:val="CommentText"/>
              <w:keepNext w:val="0"/>
              <w:tabs>
                <w:tab w:val="clear" w:pos="3969"/>
              </w:tabs>
              <w:spacing w:before="60" w:after="60"/>
              <w:jc w:val="left"/>
              <w:rPr>
                <w:highlight w:val="lightGray"/>
              </w:rPr>
            </w:pPr>
            <w:r w:rsidRPr="00316277">
              <w:t>Régional de Lanaudière à Terrebonne</w:t>
            </w:r>
          </w:p>
        </w:tc>
        <w:tc>
          <w:tcPr>
            <w:tcW w:w="2150" w:type="dxa"/>
            <w:shd w:val="clear" w:color="auto" w:fill="auto"/>
          </w:tcPr>
          <w:p w14:paraId="5FC97200"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71FA53DE" w14:textId="77777777" w:rsidTr="00A3067D">
        <w:trPr>
          <w:jc w:val="center"/>
        </w:trPr>
        <w:tc>
          <w:tcPr>
            <w:tcW w:w="6072" w:type="dxa"/>
            <w:shd w:val="clear" w:color="auto" w:fill="auto"/>
          </w:tcPr>
          <w:p w14:paraId="5889C56A" w14:textId="77777777" w:rsidR="002F675D" w:rsidRPr="002F675D" w:rsidRDefault="002F675D" w:rsidP="00F44D2B">
            <w:pPr>
              <w:pStyle w:val="CommentText"/>
              <w:keepNext w:val="0"/>
              <w:tabs>
                <w:tab w:val="clear" w:pos="3969"/>
              </w:tabs>
              <w:spacing w:before="60" w:after="60"/>
              <w:jc w:val="left"/>
              <w:rPr>
                <w:highlight w:val="lightGray"/>
              </w:rPr>
            </w:pPr>
            <w:r w:rsidRPr="00316277">
              <w:t>Rosemont</w:t>
            </w:r>
          </w:p>
        </w:tc>
        <w:tc>
          <w:tcPr>
            <w:tcW w:w="2150" w:type="dxa"/>
            <w:shd w:val="clear" w:color="auto" w:fill="auto"/>
          </w:tcPr>
          <w:p w14:paraId="3867677F"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75B49EE0" w14:textId="77777777" w:rsidTr="00A3067D">
        <w:trPr>
          <w:jc w:val="center"/>
        </w:trPr>
        <w:tc>
          <w:tcPr>
            <w:tcW w:w="6072" w:type="dxa"/>
            <w:shd w:val="clear" w:color="auto" w:fill="auto"/>
          </w:tcPr>
          <w:p w14:paraId="2B705899" w14:textId="77777777" w:rsidR="002F675D" w:rsidRPr="002F675D" w:rsidRDefault="002F675D" w:rsidP="00F44D2B">
            <w:pPr>
              <w:pStyle w:val="CommentText"/>
              <w:keepNext w:val="0"/>
              <w:tabs>
                <w:tab w:val="clear" w:pos="3969"/>
              </w:tabs>
              <w:spacing w:before="60" w:after="60"/>
              <w:jc w:val="left"/>
              <w:rPr>
                <w:highlight w:val="lightGray"/>
              </w:rPr>
            </w:pPr>
            <w:r w:rsidRPr="00316277">
              <w:t>Saint</w:t>
            </w:r>
            <w:r w:rsidRPr="00316277">
              <w:noBreakHyphen/>
              <w:t>Félicien</w:t>
            </w:r>
          </w:p>
        </w:tc>
        <w:tc>
          <w:tcPr>
            <w:tcW w:w="2150" w:type="dxa"/>
            <w:shd w:val="clear" w:color="auto" w:fill="auto"/>
          </w:tcPr>
          <w:p w14:paraId="10039D42"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2A6B497B" w14:textId="77777777" w:rsidTr="00A3067D">
        <w:trPr>
          <w:jc w:val="center"/>
        </w:trPr>
        <w:tc>
          <w:tcPr>
            <w:tcW w:w="6072" w:type="dxa"/>
            <w:shd w:val="clear" w:color="auto" w:fill="auto"/>
          </w:tcPr>
          <w:p w14:paraId="2D3FF688" w14:textId="77777777" w:rsidR="002F675D" w:rsidRPr="002F675D" w:rsidRDefault="002F675D" w:rsidP="00F44D2B">
            <w:pPr>
              <w:pStyle w:val="CommentText"/>
              <w:keepNext w:val="0"/>
              <w:tabs>
                <w:tab w:val="clear" w:pos="3969"/>
              </w:tabs>
              <w:spacing w:before="60" w:after="60"/>
              <w:ind w:left="740"/>
              <w:jc w:val="left"/>
              <w:rPr>
                <w:highlight w:val="lightGray"/>
              </w:rPr>
            </w:pPr>
            <w:r w:rsidRPr="00316277">
              <w:t>CEC à Chibougamau</w:t>
            </w:r>
          </w:p>
        </w:tc>
        <w:tc>
          <w:tcPr>
            <w:tcW w:w="2150" w:type="dxa"/>
            <w:shd w:val="clear" w:color="auto" w:fill="auto"/>
          </w:tcPr>
          <w:p w14:paraId="09E17C54"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270607DA" w14:textId="77777777" w:rsidTr="00A3067D">
        <w:trPr>
          <w:jc w:val="center"/>
        </w:trPr>
        <w:tc>
          <w:tcPr>
            <w:tcW w:w="6072" w:type="dxa"/>
            <w:shd w:val="clear" w:color="auto" w:fill="auto"/>
          </w:tcPr>
          <w:p w14:paraId="70EEB88A" w14:textId="77777777" w:rsidR="002F675D" w:rsidRPr="002F675D" w:rsidRDefault="002F675D" w:rsidP="00F44D2B">
            <w:pPr>
              <w:pStyle w:val="CommentText"/>
              <w:keepNext w:val="0"/>
              <w:tabs>
                <w:tab w:val="clear" w:pos="3969"/>
              </w:tabs>
              <w:spacing w:before="60" w:after="60"/>
              <w:jc w:val="left"/>
              <w:rPr>
                <w:highlight w:val="lightGray"/>
              </w:rPr>
            </w:pPr>
            <w:r w:rsidRPr="00316277">
              <w:t>Saint</w:t>
            </w:r>
            <w:r w:rsidRPr="00316277">
              <w:noBreakHyphen/>
              <w:t>Hyacinthe</w:t>
            </w:r>
          </w:p>
        </w:tc>
        <w:tc>
          <w:tcPr>
            <w:tcW w:w="2150" w:type="dxa"/>
            <w:shd w:val="clear" w:color="auto" w:fill="auto"/>
          </w:tcPr>
          <w:p w14:paraId="112A8391"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573214A9" w14:textId="77777777" w:rsidTr="00A3067D">
        <w:trPr>
          <w:jc w:val="center"/>
        </w:trPr>
        <w:tc>
          <w:tcPr>
            <w:tcW w:w="6072" w:type="dxa"/>
            <w:shd w:val="clear" w:color="auto" w:fill="auto"/>
          </w:tcPr>
          <w:p w14:paraId="2D67F62F" w14:textId="77777777" w:rsidR="002F675D" w:rsidRPr="002F675D" w:rsidRDefault="002F675D" w:rsidP="00F44D2B">
            <w:pPr>
              <w:pStyle w:val="CommentText"/>
              <w:keepNext w:val="0"/>
              <w:tabs>
                <w:tab w:val="clear" w:pos="3969"/>
              </w:tabs>
              <w:spacing w:before="60" w:after="60"/>
              <w:jc w:val="left"/>
              <w:rPr>
                <w:highlight w:val="lightGray"/>
              </w:rPr>
            </w:pPr>
            <w:r w:rsidRPr="00316277">
              <w:t>Saint</w:t>
            </w:r>
            <w:r w:rsidRPr="00316277">
              <w:noBreakHyphen/>
              <w:t>Jean</w:t>
            </w:r>
            <w:r w:rsidRPr="00316277">
              <w:noBreakHyphen/>
              <w:t>sur</w:t>
            </w:r>
            <w:r w:rsidRPr="00316277">
              <w:noBreakHyphen/>
              <w:t>Richelieu</w:t>
            </w:r>
          </w:p>
        </w:tc>
        <w:tc>
          <w:tcPr>
            <w:tcW w:w="2150" w:type="dxa"/>
            <w:shd w:val="clear" w:color="auto" w:fill="auto"/>
          </w:tcPr>
          <w:p w14:paraId="085C4790"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6FC73E9D" w14:textId="77777777" w:rsidTr="00A3067D">
        <w:trPr>
          <w:jc w:val="center"/>
        </w:trPr>
        <w:tc>
          <w:tcPr>
            <w:tcW w:w="6072" w:type="dxa"/>
            <w:shd w:val="clear" w:color="auto" w:fill="auto"/>
          </w:tcPr>
          <w:p w14:paraId="374F7DD3" w14:textId="77777777" w:rsidR="002F675D" w:rsidRPr="002F675D" w:rsidRDefault="002F675D" w:rsidP="00F44D2B">
            <w:pPr>
              <w:pStyle w:val="CommentText"/>
              <w:keepNext w:val="0"/>
              <w:tabs>
                <w:tab w:val="clear" w:pos="3969"/>
              </w:tabs>
              <w:spacing w:before="60" w:after="60"/>
              <w:jc w:val="left"/>
              <w:rPr>
                <w:highlight w:val="lightGray"/>
              </w:rPr>
            </w:pPr>
            <w:r w:rsidRPr="00316277">
              <w:t>Saint</w:t>
            </w:r>
            <w:r w:rsidRPr="00316277">
              <w:noBreakHyphen/>
              <w:t>Jérôme</w:t>
            </w:r>
          </w:p>
        </w:tc>
        <w:tc>
          <w:tcPr>
            <w:tcW w:w="2150" w:type="dxa"/>
            <w:shd w:val="clear" w:color="auto" w:fill="auto"/>
          </w:tcPr>
          <w:p w14:paraId="7F9AC6BD"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0D3D0B99" w14:textId="77777777" w:rsidTr="00A3067D">
        <w:trPr>
          <w:jc w:val="center"/>
        </w:trPr>
        <w:tc>
          <w:tcPr>
            <w:tcW w:w="6072" w:type="dxa"/>
            <w:shd w:val="clear" w:color="auto" w:fill="auto"/>
          </w:tcPr>
          <w:p w14:paraId="49B9F3E9" w14:textId="77777777" w:rsidR="002F675D" w:rsidRPr="002F675D" w:rsidRDefault="002F675D" w:rsidP="00F44D2B">
            <w:pPr>
              <w:pStyle w:val="CommentText"/>
              <w:keepNext w:val="0"/>
              <w:tabs>
                <w:tab w:val="clear" w:pos="3969"/>
              </w:tabs>
              <w:spacing w:before="60" w:after="60"/>
              <w:ind w:left="708"/>
              <w:jc w:val="left"/>
              <w:rPr>
                <w:highlight w:val="lightGray"/>
              </w:rPr>
            </w:pPr>
            <w:r w:rsidRPr="00316277">
              <w:t>CEC Mont</w:t>
            </w:r>
            <w:r w:rsidRPr="00316277">
              <w:noBreakHyphen/>
              <w:t>Laurier</w:t>
            </w:r>
          </w:p>
        </w:tc>
        <w:tc>
          <w:tcPr>
            <w:tcW w:w="2150" w:type="dxa"/>
            <w:shd w:val="clear" w:color="auto" w:fill="auto"/>
          </w:tcPr>
          <w:p w14:paraId="7DCF1A9E"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2C65839F" w14:textId="77777777" w:rsidTr="00A3067D">
        <w:trPr>
          <w:jc w:val="center"/>
        </w:trPr>
        <w:tc>
          <w:tcPr>
            <w:tcW w:w="6072" w:type="dxa"/>
            <w:shd w:val="clear" w:color="auto" w:fill="auto"/>
          </w:tcPr>
          <w:p w14:paraId="79F2AB25" w14:textId="77777777" w:rsidR="002F675D" w:rsidRPr="002F675D" w:rsidRDefault="002F675D" w:rsidP="00F44D2B">
            <w:pPr>
              <w:pStyle w:val="CommentText"/>
              <w:keepNext w:val="0"/>
              <w:tabs>
                <w:tab w:val="clear" w:pos="3969"/>
              </w:tabs>
              <w:spacing w:before="60" w:after="60"/>
              <w:ind w:left="708"/>
              <w:jc w:val="left"/>
              <w:rPr>
                <w:highlight w:val="lightGray"/>
              </w:rPr>
            </w:pPr>
            <w:r w:rsidRPr="00316277">
              <w:t>CEC Mont</w:t>
            </w:r>
            <w:r w:rsidRPr="00316277">
              <w:noBreakHyphen/>
              <w:t>Tremblant</w:t>
            </w:r>
          </w:p>
        </w:tc>
        <w:tc>
          <w:tcPr>
            <w:tcW w:w="2150" w:type="dxa"/>
            <w:shd w:val="clear" w:color="auto" w:fill="auto"/>
          </w:tcPr>
          <w:p w14:paraId="6D9C9DFA"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59B4DF57" w14:textId="77777777" w:rsidTr="00A3067D">
        <w:trPr>
          <w:jc w:val="center"/>
        </w:trPr>
        <w:tc>
          <w:tcPr>
            <w:tcW w:w="6072" w:type="dxa"/>
            <w:shd w:val="clear" w:color="auto" w:fill="auto"/>
          </w:tcPr>
          <w:p w14:paraId="4D7731B8" w14:textId="77777777" w:rsidR="002F675D" w:rsidRPr="002F675D" w:rsidRDefault="002F675D" w:rsidP="00F44D2B">
            <w:pPr>
              <w:pStyle w:val="CommentText"/>
              <w:keepNext w:val="0"/>
              <w:tabs>
                <w:tab w:val="clear" w:pos="3969"/>
              </w:tabs>
              <w:spacing w:before="60" w:after="60"/>
              <w:jc w:val="left"/>
              <w:rPr>
                <w:highlight w:val="lightGray"/>
              </w:rPr>
            </w:pPr>
            <w:r w:rsidRPr="00316277">
              <w:t>Saint</w:t>
            </w:r>
            <w:r w:rsidRPr="00316277">
              <w:noBreakHyphen/>
              <w:t>Laurent</w:t>
            </w:r>
          </w:p>
        </w:tc>
        <w:tc>
          <w:tcPr>
            <w:tcW w:w="2150" w:type="dxa"/>
            <w:shd w:val="clear" w:color="auto" w:fill="auto"/>
          </w:tcPr>
          <w:p w14:paraId="70BB3A34"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0,00</w:t>
            </w:r>
          </w:p>
        </w:tc>
      </w:tr>
      <w:tr w:rsidR="002F675D" w:rsidRPr="002F675D" w14:paraId="0F701D0C" w14:textId="77777777" w:rsidTr="00A3067D">
        <w:trPr>
          <w:jc w:val="center"/>
        </w:trPr>
        <w:tc>
          <w:tcPr>
            <w:tcW w:w="6072" w:type="dxa"/>
            <w:shd w:val="clear" w:color="auto" w:fill="auto"/>
          </w:tcPr>
          <w:p w14:paraId="0AE8EF97"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Sept</w:t>
            </w:r>
            <w:r w:rsidRPr="00316277">
              <w:rPr>
                <w:lang w:val="en-CA"/>
              </w:rPr>
              <w:noBreakHyphen/>
              <w:t>Îles</w:t>
            </w:r>
          </w:p>
        </w:tc>
        <w:tc>
          <w:tcPr>
            <w:tcW w:w="2150" w:type="dxa"/>
            <w:shd w:val="clear" w:color="auto" w:fill="auto"/>
          </w:tcPr>
          <w:p w14:paraId="253C254F" w14:textId="77777777" w:rsidR="002F675D" w:rsidRPr="00316277" w:rsidRDefault="002F675D" w:rsidP="00F44D2B">
            <w:pPr>
              <w:pStyle w:val="CommentText"/>
              <w:keepNext w:val="0"/>
              <w:tabs>
                <w:tab w:val="clear" w:pos="3969"/>
              </w:tabs>
              <w:spacing w:before="60" w:after="60"/>
              <w:jc w:val="center"/>
              <w:rPr>
                <w:lang w:val="en-CA"/>
              </w:rPr>
            </w:pPr>
            <w:r w:rsidRPr="00316277">
              <w:t>0,00</w:t>
            </w:r>
          </w:p>
        </w:tc>
      </w:tr>
      <w:tr w:rsidR="002F675D" w:rsidRPr="002F675D" w14:paraId="146CE722" w14:textId="77777777" w:rsidTr="00A3067D">
        <w:trPr>
          <w:jc w:val="center"/>
        </w:trPr>
        <w:tc>
          <w:tcPr>
            <w:tcW w:w="6072" w:type="dxa"/>
            <w:shd w:val="clear" w:color="auto" w:fill="auto"/>
          </w:tcPr>
          <w:p w14:paraId="5B170490"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Shawinigan</w:t>
            </w:r>
          </w:p>
        </w:tc>
        <w:tc>
          <w:tcPr>
            <w:tcW w:w="2150" w:type="dxa"/>
            <w:shd w:val="clear" w:color="auto" w:fill="auto"/>
          </w:tcPr>
          <w:p w14:paraId="1D16F2CA"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15 393$</w:t>
            </w:r>
          </w:p>
        </w:tc>
      </w:tr>
      <w:tr w:rsidR="002F675D" w:rsidRPr="002F675D" w14:paraId="54DB6574" w14:textId="77777777" w:rsidTr="00A3067D">
        <w:trPr>
          <w:jc w:val="center"/>
        </w:trPr>
        <w:tc>
          <w:tcPr>
            <w:tcW w:w="6072" w:type="dxa"/>
            <w:shd w:val="clear" w:color="auto" w:fill="auto"/>
          </w:tcPr>
          <w:p w14:paraId="30EBBC39"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Sherbrooke</w:t>
            </w:r>
          </w:p>
        </w:tc>
        <w:tc>
          <w:tcPr>
            <w:tcW w:w="2150" w:type="dxa"/>
            <w:shd w:val="clear" w:color="auto" w:fill="auto"/>
          </w:tcPr>
          <w:p w14:paraId="5EA0AB60" w14:textId="77777777" w:rsidR="002F675D" w:rsidRPr="00316277" w:rsidRDefault="002F675D" w:rsidP="00F44D2B">
            <w:pPr>
              <w:pStyle w:val="CommentText"/>
              <w:keepNext w:val="0"/>
              <w:tabs>
                <w:tab w:val="clear" w:pos="3969"/>
              </w:tabs>
              <w:spacing w:before="60" w:after="60"/>
              <w:jc w:val="center"/>
              <w:rPr>
                <w:lang w:val="en-CA"/>
              </w:rPr>
            </w:pPr>
            <w:r w:rsidRPr="00316277">
              <w:rPr>
                <w:lang w:val="en-CA"/>
              </w:rPr>
              <w:t>0,00</w:t>
            </w:r>
          </w:p>
        </w:tc>
      </w:tr>
      <w:tr w:rsidR="002F675D" w:rsidRPr="002F675D" w14:paraId="36B2B89C" w14:textId="77777777" w:rsidTr="00A3067D">
        <w:trPr>
          <w:jc w:val="center"/>
        </w:trPr>
        <w:tc>
          <w:tcPr>
            <w:tcW w:w="6072" w:type="dxa"/>
            <w:shd w:val="clear" w:color="auto" w:fill="auto"/>
          </w:tcPr>
          <w:p w14:paraId="7FCFFC56" w14:textId="77777777" w:rsidR="002F675D" w:rsidRPr="002F675D" w:rsidRDefault="002F675D" w:rsidP="00F44D2B">
            <w:pPr>
              <w:pStyle w:val="CommentText"/>
              <w:keepNext w:val="0"/>
              <w:tabs>
                <w:tab w:val="clear" w:pos="3969"/>
              </w:tabs>
              <w:spacing w:before="60" w:after="60"/>
              <w:jc w:val="left"/>
              <w:rPr>
                <w:bCs/>
                <w:highlight w:val="lightGray"/>
                <w:lang w:val="en-CA"/>
              </w:rPr>
            </w:pPr>
            <w:r w:rsidRPr="00316277">
              <w:rPr>
                <w:bCs/>
                <w:lang w:val="en-CA"/>
              </w:rPr>
              <w:t xml:space="preserve">Thetford </w:t>
            </w:r>
          </w:p>
        </w:tc>
        <w:tc>
          <w:tcPr>
            <w:tcW w:w="2150" w:type="dxa"/>
            <w:shd w:val="clear" w:color="auto" w:fill="auto"/>
          </w:tcPr>
          <w:p w14:paraId="69107057" w14:textId="77777777" w:rsidR="002F675D" w:rsidRPr="00316277" w:rsidRDefault="002F675D" w:rsidP="00F44D2B">
            <w:pPr>
              <w:pStyle w:val="CommentText"/>
              <w:keepNext w:val="0"/>
              <w:tabs>
                <w:tab w:val="clear" w:pos="3969"/>
              </w:tabs>
              <w:spacing w:before="60" w:after="60"/>
              <w:jc w:val="center"/>
              <w:rPr>
                <w:lang w:val="en-CA"/>
              </w:rPr>
            </w:pPr>
            <w:r w:rsidRPr="00316277">
              <w:t>0,00</w:t>
            </w:r>
          </w:p>
        </w:tc>
      </w:tr>
      <w:tr w:rsidR="002F675D" w:rsidRPr="002F675D" w14:paraId="2DAC9167" w14:textId="77777777" w:rsidTr="00A3067D">
        <w:trPr>
          <w:jc w:val="center"/>
        </w:trPr>
        <w:tc>
          <w:tcPr>
            <w:tcW w:w="6072" w:type="dxa"/>
            <w:shd w:val="clear" w:color="auto" w:fill="auto"/>
          </w:tcPr>
          <w:p w14:paraId="01610DF2" w14:textId="77777777" w:rsidR="002F675D" w:rsidRPr="002F675D" w:rsidRDefault="002F675D" w:rsidP="00F44D2B">
            <w:pPr>
              <w:pStyle w:val="CommentText"/>
              <w:keepNext w:val="0"/>
              <w:tabs>
                <w:tab w:val="clear" w:pos="3969"/>
              </w:tabs>
              <w:spacing w:before="60" w:after="60"/>
              <w:jc w:val="left"/>
              <w:rPr>
                <w:highlight w:val="lightGray"/>
                <w:lang w:val="en-CA"/>
              </w:rPr>
            </w:pPr>
            <w:r w:rsidRPr="00316277">
              <w:rPr>
                <w:lang w:val="en-CA"/>
              </w:rPr>
              <w:t>Trois</w:t>
            </w:r>
            <w:r w:rsidRPr="00316277">
              <w:rPr>
                <w:lang w:val="en-CA"/>
              </w:rPr>
              <w:noBreakHyphen/>
              <w:t>Rivières</w:t>
            </w:r>
          </w:p>
        </w:tc>
        <w:tc>
          <w:tcPr>
            <w:tcW w:w="2150" w:type="dxa"/>
            <w:shd w:val="clear" w:color="auto" w:fill="auto"/>
          </w:tcPr>
          <w:p w14:paraId="0360A528"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1DD1E894" w14:textId="77777777" w:rsidTr="00A3067D">
        <w:trPr>
          <w:jc w:val="center"/>
        </w:trPr>
        <w:tc>
          <w:tcPr>
            <w:tcW w:w="6072" w:type="dxa"/>
            <w:shd w:val="clear" w:color="auto" w:fill="auto"/>
          </w:tcPr>
          <w:p w14:paraId="5052DF49" w14:textId="77777777" w:rsidR="002F675D" w:rsidRPr="002F675D" w:rsidRDefault="002F675D" w:rsidP="00F44D2B">
            <w:pPr>
              <w:pStyle w:val="CommentText"/>
              <w:keepNext w:val="0"/>
              <w:tabs>
                <w:tab w:val="clear" w:pos="3969"/>
              </w:tabs>
              <w:spacing w:before="60" w:after="60"/>
              <w:jc w:val="left"/>
              <w:rPr>
                <w:highlight w:val="lightGray"/>
              </w:rPr>
            </w:pPr>
            <w:r w:rsidRPr="00316277">
              <w:t>Valleyfield</w:t>
            </w:r>
          </w:p>
        </w:tc>
        <w:tc>
          <w:tcPr>
            <w:tcW w:w="2150" w:type="dxa"/>
            <w:shd w:val="clear" w:color="auto" w:fill="auto"/>
          </w:tcPr>
          <w:p w14:paraId="164CDD49"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7404989D" w14:textId="77777777" w:rsidTr="00A3067D">
        <w:trPr>
          <w:jc w:val="center"/>
        </w:trPr>
        <w:tc>
          <w:tcPr>
            <w:tcW w:w="6072" w:type="dxa"/>
            <w:shd w:val="clear" w:color="auto" w:fill="auto"/>
          </w:tcPr>
          <w:p w14:paraId="18D42BF1" w14:textId="77777777" w:rsidR="002F675D" w:rsidRPr="002F675D" w:rsidRDefault="002F675D" w:rsidP="00F44D2B">
            <w:pPr>
              <w:pStyle w:val="CommentText"/>
              <w:keepNext w:val="0"/>
              <w:tabs>
                <w:tab w:val="clear" w:pos="3969"/>
              </w:tabs>
              <w:spacing w:before="60" w:after="60"/>
              <w:jc w:val="left"/>
              <w:rPr>
                <w:highlight w:val="lightGray"/>
              </w:rPr>
            </w:pPr>
            <w:r w:rsidRPr="00316277">
              <w:t>Vanier</w:t>
            </w:r>
          </w:p>
        </w:tc>
        <w:tc>
          <w:tcPr>
            <w:tcW w:w="2150" w:type="dxa"/>
            <w:shd w:val="clear" w:color="auto" w:fill="auto"/>
          </w:tcPr>
          <w:p w14:paraId="1EA67C8B" w14:textId="77777777" w:rsidR="002F675D" w:rsidRPr="00316277" w:rsidRDefault="002F675D" w:rsidP="00F44D2B">
            <w:pPr>
              <w:pStyle w:val="CommentText"/>
              <w:keepNext w:val="0"/>
              <w:tabs>
                <w:tab w:val="clear" w:pos="3969"/>
              </w:tabs>
              <w:spacing w:before="60" w:after="60"/>
              <w:jc w:val="center"/>
            </w:pPr>
            <w:r w:rsidRPr="00316277">
              <w:t>0,00</w:t>
            </w:r>
          </w:p>
        </w:tc>
      </w:tr>
      <w:tr w:rsidR="002F675D" w:rsidRPr="002F675D" w14:paraId="1C95141D" w14:textId="77777777" w:rsidTr="00A3067D">
        <w:trPr>
          <w:jc w:val="center"/>
        </w:trPr>
        <w:tc>
          <w:tcPr>
            <w:tcW w:w="6072" w:type="dxa"/>
            <w:shd w:val="clear" w:color="auto" w:fill="auto"/>
          </w:tcPr>
          <w:p w14:paraId="6F5FC11C" w14:textId="77777777" w:rsidR="002F675D" w:rsidRPr="002F675D" w:rsidRDefault="002F675D" w:rsidP="00F44D2B">
            <w:pPr>
              <w:pStyle w:val="CommentText"/>
              <w:keepNext w:val="0"/>
              <w:tabs>
                <w:tab w:val="clear" w:pos="3969"/>
              </w:tabs>
              <w:spacing w:before="60" w:after="60"/>
              <w:jc w:val="left"/>
              <w:rPr>
                <w:highlight w:val="lightGray"/>
              </w:rPr>
            </w:pPr>
            <w:r w:rsidRPr="00316277">
              <w:t>Vieux Montréal</w:t>
            </w:r>
          </w:p>
        </w:tc>
        <w:tc>
          <w:tcPr>
            <w:tcW w:w="2150" w:type="dxa"/>
            <w:shd w:val="clear" w:color="auto" w:fill="auto"/>
          </w:tcPr>
          <w:p w14:paraId="47803599" w14:textId="77777777" w:rsidR="002F675D" w:rsidRPr="00316277" w:rsidRDefault="002F675D" w:rsidP="00F44D2B">
            <w:pPr>
              <w:pStyle w:val="CommentText"/>
              <w:keepNext w:val="0"/>
              <w:tabs>
                <w:tab w:val="clear" w:pos="3969"/>
              </w:tabs>
              <w:spacing w:before="60" w:after="60"/>
              <w:jc w:val="center"/>
            </w:pPr>
            <w:r w:rsidRPr="00316277">
              <w:t>1 847$</w:t>
            </w:r>
          </w:p>
        </w:tc>
      </w:tr>
    </w:tbl>
    <w:p w14:paraId="34F3F341" w14:textId="690B6D3B" w:rsidR="001811C9" w:rsidRDefault="001811C9" w:rsidP="008A5178">
      <w:pPr>
        <w:pStyle w:val="paragraph"/>
        <w:suppressAutoHyphens/>
        <w:spacing w:before="0" w:beforeAutospacing="0" w:after="0" w:afterAutospacing="0"/>
        <w:jc w:val="both"/>
        <w:textAlignment w:val="baseline"/>
        <w:rPr>
          <w:rStyle w:val="normaltextrun"/>
          <w:rFonts w:ascii="Arial" w:hAnsi="Arial" w:cs="Arial"/>
        </w:rPr>
        <w:sectPr w:rsidR="001811C9" w:rsidSect="002B176A">
          <w:footnotePr>
            <w:numRestart w:val="eachPage"/>
          </w:footnotePr>
          <w:pgSz w:w="12240" w:h="15840" w:code="1"/>
          <w:pgMar w:top="720" w:right="1077" w:bottom="1242" w:left="1684" w:header="709" w:footer="709" w:gutter="0"/>
          <w:cols w:space="708"/>
          <w:docGrid w:linePitch="360"/>
        </w:sectPr>
      </w:pPr>
    </w:p>
    <w:p w14:paraId="307C1AEA" w14:textId="1547EA8E" w:rsidR="00404F34" w:rsidRPr="00026EC1" w:rsidRDefault="00BC4A82" w:rsidP="007F120F">
      <w:pPr>
        <w:pStyle w:val="Heading1"/>
        <w:keepNext w:val="0"/>
        <w:tabs>
          <w:tab w:val="left" w:pos="1701"/>
          <w:tab w:val="left" w:pos="1985"/>
        </w:tabs>
      </w:pPr>
      <w:r w:rsidRPr="00026EC1">
        <w:t>SECTION II</w:t>
      </w:r>
      <w:r w:rsidR="0084152D">
        <w:t xml:space="preserve"> </w:t>
      </w:r>
      <w:r w:rsidR="002F5A0C">
        <w:t>-</w:t>
      </w:r>
      <w:r w:rsidR="0084152D">
        <w:t xml:space="preserve"> </w:t>
      </w:r>
      <w:r w:rsidR="00404F34" w:rsidRPr="00026EC1">
        <w:t>SÉCURITÉ D</w:t>
      </w:r>
      <w:r w:rsidR="00BC3319" w:rsidRPr="00026EC1">
        <w:t>’</w:t>
      </w:r>
      <w:r w:rsidR="00404F34" w:rsidRPr="00026EC1">
        <w:t>EMPLOI</w:t>
      </w:r>
      <w:bookmarkEnd w:id="1124"/>
      <w:bookmarkEnd w:id="1125"/>
      <w:bookmarkEnd w:id="1126"/>
      <w:bookmarkEnd w:id="1127"/>
      <w:r w:rsidR="0084152D" w:rsidRPr="0035151D">
        <w:fldChar w:fldCharType="begin"/>
      </w:r>
      <w:r w:rsidR="0084152D" w:rsidRPr="0035151D">
        <w:instrText xml:space="preserve"> TC " </w:instrText>
      </w:r>
      <w:bookmarkStart w:id="1134" w:name="_Toc94954695"/>
      <w:bookmarkStart w:id="1135" w:name="_Toc94966372"/>
      <w:bookmarkStart w:id="1136" w:name="_Toc95035250"/>
      <w:bookmarkStart w:id="1137" w:name="_Toc95035393"/>
      <w:bookmarkStart w:id="1138" w:name="_Toc95035536"/>
      <w:bookmarkStart w:id="1139" w:name="_Toc95035681"/>
      <w:bookmarkStart w:id="1140" w:name="_Toc157589306"/>
      <w:bookmarkStart w:id="1141" w:name="_Toc161323759"/>
      <w:bookmarkStart w:id="1142" w:name="_Toc163483099"/>
      <w:bookmarkStart w:id="1143" w:name="_Toc163483698"/>
      <w:bookmarkStart w:id="1144" w:name="_Toc163483888"/>
      <w:bookmarkStart w:id="1145" w:name="_Toc167870858"/>
      <w:bookmarkStart w:id="1146" w:name="_Toc167871022"/>
      <w:bookmarkStart w:id="1147" w:name="_Toc167871178"/>
      <w:bookmarkStart w:id="1148" w:name="_Toc167871354"/>
      <w:bookmarkStart w:id="1149" w:name="_Toc168049423"/>
      <w:bookmarkStart w:id="1150" w:name="_Toc168401587"/>
      <w:bookmarkStart w:id="1151" w:name="_Toc168402203"/>
      <w:bookmarkStart w:id="1152" w:name="_Toc168409639"/>
      <w:bookmarkStart w:id="1153" w:name="_Toc168410393"/>
      <w:bookmarkStart w:id="1154" w:name="_Toc168410639"/>
      <w:bookmarkStart w:id="1155" w:name="_Toc168410880"/>
      <w:bookmarkStart w:id="1156" w:name="_Toc168479586"/>
      <w:r w:rsidR="0084152D">
        <w:instrText>section ii</w:instrText>
      </w:r>
      <w:r w:rsidR="0084152D" w:rsidRPr="0035151D">
        <w:instrText xml:space="preserve">  </w:instrText>
      </w:r>
      <w:r w:rsidR="00984A6F">
        <w:noBreakHyphen/>
      </w:r>
      <w:r w:rsidR="0084152D" w:rsidRPr="0035151D">
        <w:instrText xml:space="preserve">  </w:instrText>
      </w:r>
      <w:r w:rsidR="0084152D">
        <w:instrText>sécurité d’emploi</w:instrTex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r w:rsidR="0084152D" w:rsidRPr="0035151D">
        <w:instrText>"\N</w:instrText>
      </w:r>
      <w:r w:rsidR="0084152D" w:rsidRPr="0035151D">
        <w:fldChar w:fldCharType="end"/>
      </w:r>
    </w:p>
    <w:p w14:paraId="24215F2C" w14:textId="0810E331" w:rsidR="00404F34" w:rsidRPr="00F124EF" w:rsidRDefault="003F3392" w:rsidP="007F120F">
      <w:pPr>
        <w:pStyle w:val="Heading3"/>
        <w:keepNext w:val="0"/>
      </w:pPr>
      <w:bookmarkStart w:id="1157" w:name="_Toc535046666"/>
      <w:bookmarkStart w:id="1158" w:name="_Toc133760833"/>
      <w:bookmarkStart w:id="1159" w:name="_Toc133916981"/>
      <w:bookmarkStart w:id="1160" w:name="_Toc134437256"/>
      <w:bookmarkStart w:id="1161" w:name="_Toc393449052"/>
      <w:bookmarkStart w:id="1162" w:name="_Toc393449421"/>
      <w:bookmarkStart w:id="1163" w:name="_Toc462751547"/>
      <w:bookmarkStart w:id="1164" w:name="_Toc484082564"/>
      <w:bookmarkStart w:id="1165" w:name="_Toc168479587"/>
      <w:r w:rsidRPr="00F124EF">
        <w:t>Annexe II</w:t>
      </w:r>
      <w:r w:rsidR="002F5A0C">
        <w:t>-</w:t>
      </w:r>
      <w:r w:rsidRPr="00F124EF">
        <w:t>1</w:t>
      </w:r>
      <w:bookmarkEnd w:id="1157"/>
      <w:bookmarkEnd w:id="1158"/>
      <w:bookmarkEnd w:id="1159"/>
      <w:bookmarkEnd w:id="1160"/>
      <w:r w:rsidRPr="00F124EF">
        <w:br/>
      </w:r>
      <w:r w:rsidRPr="00F124EF">
        <w:br/>
      </w:r>
      <w:bookmarkStart w:id="1166" w:name="_Toc535046667"/>
      <w:bookmarkStart w:id="1167" w:name="_Toc133760834"/>
      <w:r w:rsidRPr="00F124EF">
        <w:t>Liste de la zone à laquelle est rattaché chaque collège aux fins de l’application de la sécurité d’emplo</w:t>
      </w:r>
      <w:bookmarkEnd w:id="1166"/>
      <w:r w:rsidRPr="00F124EF">
        <w:t>i</w:t>
      </w:r>
      <w:bookmarkEnd w:id="1161"/>
      <w:bookmarkEnd w:id="1162"/>
      <w:bookmarkEnd w:id="1163"/>
      <w:bookmarkEnd w:id="1164"/>
      <w:bookmarkEnd w:id="1165"/>
      <w:bookmarkEnd w:id="1167"/>
    </w:p>
    <w:tbl>
      <w:tblPr>
        <w:tblW w:w="0" w:type="auto"/>
        <w:tblCellMar>
          <w:left w:w="70" w:type="dxa"/>
          <w:right w:w="70" w:type="dxa"/>
        </w:tblCellMar>
        <w:tblLook w:val="04A0" w:firstRow="1" w:lastRow="0" w:firstColumn="1" w:lastColumn="0" w:noHBand="0" w:noVBand="1"/>
      </w:tblPr>
      <w:tblGrid>
        <w:gridCol w:w="4225"/>
        <w:gridCol w:w="5254"/>
      </w:tblGrid>
      <w:tr w:rsidR="009C73D0" w:rsidRPr="00026EC1" w14:paraId="44773D87" w14:textId="77777777" w:rsidTr="001309D8">
        <w:tc>
          <w:tcPr>
            <w:tcW w:w="4225" w:type="dxa"/>
            <w:hideMark/>
          </w:tcPr>
          <w:p w14:paraId="04A616D4" w14:textId="77777777" w:rsidR="009C73D0" w:rsidRPr="00026EC1" w:rsidRDefault="009C73D0" w:rsidP="007F120F">
            <w:pPr>
              <w:pStyle w:val="MGSTexte0cm"/>
              <w:keepNext w:val="0"/>
              <w:rPr>
                <w:rFonts w:cs="Arial"/>
              </w:rPr>
            </w:pPr>
            <w:r w:rsidRPr="00026EC1">
              <w:rPr>
                <w:rFonts w:cs="Arial"/>
              </w:rPr>
              <w:t>COLLÈGES</w:t>
            </w:r>
          </w:p>
        </w:tc>
        <w:tc>
          <w:tcPr>
            <w:tcW w:w="5254" w:type="dxa"/>
            <w:hideMark/>
          </w:tcPr>
          <w:p w14:paraId="72C68207" w14:textId="77777777" w:rsidR="009C73D0" w:rsidRPr="00026EC1" w:rsidRDefault="009C73D0" w:rsidP="007F120F">
            <w:pPr>
              <w:pStyle w:val="MGSTexte0cm"/>
              <w:keepNext w:val="0"/>
              <w:jc w:val="left"/>
              <w:rPr>
                <w:rFonts w:cs="Arial"/>
              </w:rPr>
            </w:pPr>
            <w:r w:rsidRPr="00026EC1">
              <w:rPr>
                <w:rFonts w:cs="Arial"/>
              </w:rPr>
              <w:t>AUTRES COLLÈGES DE LA ZONE</w:t>
            </w:r>
          </w:p>
        </w:tc>
      </w:tr>
      <w:tr w:rsidR="009C73D0" w:rsidRPr="00026EC1" w14:paraId="09894C65" w14:textId="77777777" w:rsidTr="001309D8">
        <w:tc>
          <w:tcPr>
            <w:tcW w:w="4225" w:type="dxa"/>
          </w:tcPr>
          <w:p w14:paraId="2D804EF8" w14:textId="77777777" w:rsidR="009C73D0" w:rsidRPr="00026EC1" w:rsidRDefault="009C73D0" w:rsidP="007F120F">
            <w:pPr>
              <w:keepNext w:val="0"/>
              <w:snapToGrid w:val="0"/>
              <w:rPr>
                <w:rFonts w:cs="Arial"/>
              </w:rPr>
            </w:pPr>
          </w:p>
        </w:tc>
        <w:tc>
          <w:tcPr>
            <w:tcW w:w="5254" w:type="dxa"/>
          </w:tcPr>
          <w:p w14:paraId="2E623B4A" w14:textId="77777777" w:rsidR="009C73D0" w:rsidRPr="00026EC1" w:rsidRDefault="009C73D0" w:rsidP="007F120F">
            <w:pPr>
              <w:keepNext w:val="0"/>
              <w:snapToGrid w:val="0"/>
              <w:jc w:val="left"/>
              <w:rPr>
                <w:rFonts w:cs="Arial"/>
              </w:rPr>
            </w:pPr>
          </w:p>
        </w:tc>
      </w:tr>
      <w:tr w:rsidR="009C73D0" w:rsidRPr="00026EC1" w14:paraId="1736CDFA" w14:textId="77777777" w:rsidTr="00164FA2">
        <w:trPr>
          <w:cantSplit/>
        </w:trPr>
        <w:tc>
          <w:tcPr>
            <w:tcW w:w="4225" w:type="dxa"/>
            <w:hideMark/>
          </w:tcPr>
          <w:p w14:paraId="73446F3E" w14:textId="4B8EADF2" w:rsidR="009C73D0" w:rsidRPr="009C73D0" w:rsidRDefault="009C73D0" w:rsidP="007F120F">
            <w:pPr>
              <w:keepNext w:val="0"/>
              <w:rPr>
                <w:rFonts w:cs="Arial"/>
              </w:rPr>
            </w:pPr>
            <w:r w:rsidRPr="009C73D0">
              <w:rPr>
                <w:rFonts w:cs="Arial"/>
              </w:rPr>
              <w:t>ABITIBI</w:t>
            </w:r>
            <w:r w:rsidR="00984A6F">
              <w:rPr>
                <w:rFonts w:cs="Arial"/>
              </w:rPr>
              <w:noBreakHyphen/>
            </w:r>
            <w:r w:rsidRPr="009C73D0">
              <w:rPr>
                <w:rFonts w:cs="Arial"/>
              </w:rPr>
              <w:t>TÉMISCAMINGUE</w:t>
            </w:r>
          </w:p>
        </w:tc>
        <w:tc>
          <w:tcPr>
            <w:tcW w:w="5254" w:type="dxa"/>
            <w:hideMark/>
          </w:tcPr>
          <w:p w14:paraId="236C9257" w14:textId="3CD39EEE" w:rsidR="009C73D0" w:rsidRPr="009C73D0" w:rsidRDefault="009C73D0" w:rsidP="007F120F">
            <w:pPr>
              <w:keepNext w:val="0"/>
              <w:snapToGrid w:val="0"/>
              <w:jc w:val="left"/>
              <w:rPr>
                <w:rFonts w:cs="Arial"/>
              </w:rPr>
            </w:pPr>
          </w:p>
        </w:tc>
      </w:tr>
      <w:tr w:rsidR="009C73D0" w:rsidRPr="00026EC1" w14:paraId="578359AA" w14:textId="77777777" w:rsidTr="001309D8">
        <w:tc>
          <w:tcPr>
            <w:tcW w:w="4225" w:type="dxa"/>
            <w:hideMark/>
          </w:tcPr>
          <w:p w14:paraId="2C88B667" w14:textId="77777777" w:rsidR="009C73D0" w:rsidRPr="009C73D0" w:rsidRDefault="009C73D0" w:rsidP="007F120F">
            <w:pPr>
              <w:keepNext w:val="0"/>
              <w:snapToGrid w:val="0"/>
              <w:spacing w:before="120"/>
              <w:rPr>
                <w:rFonts w:cs="Arial"/>
              </w:rPr>
            </w:pPr>
            <w:r w:rsidRPr="009C73D0">
              <w:rPr>
                <w:rFonts w:cs="Arial"/>
              </w:rPr>
              <w:t>AHUNTSIC</w:t>
            </w:r>
          </w:p>
        </w:tc>
        <w:tc>
          <w:tcPr>
            <w:tcW w:w="5254" w:type="dxa"/>
            <w:hideMark/>
          </w:tcPr>
          <w:p w14:paraId="13CA6B4E" w14:textId="2AD26865"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L’Assomption, Lionel</w:t>
            </w:r>
            <w:r w:rsidR="00984A6F">
              <w:rPr>
                <w:rFonts w:cs="Arial"/>
              </w:rPr>
              <w:noBreakHyphen/>
            </w:r>
            <w:r w:rsidRPr="009C73D0">
              <w:rPr>
                <w:rFonts w:cs="Arial"/>
              </w:rPr>
              <w:t>Groulx, Montmorency, Saint</w:t>
            </w:r>
            <w:r w:rsidR="00984A6F">
              <w:rPr>
                <w:rFonts w:cs="Arial"/>
              </w:rPr>
              <w:noBreakHyphen/>
            </w:r>
            <w:r w:rsidRPr="009C73D0">
              <w:rPr>
                <w:rFonts w:cs="Arial"/>
              </w:rPr>
              <w:t>Jérôme, Terrebonne</w:t>
            </w:r>
          </w:p>
        </w:tc>
      </w:tr>
      <w:tr w:rsidR="009C73D0" w:rsidRPr="00026EC1" w14:paraId="574B9781" w14:textId="77777777" w:rsidTr="001309D8">
        <w:tc>
          <w:tcPr>
            <w:tcW w:w="4225" w:type="dxa"/>
            <w:hideMark/>
          </w:tcPr>
          <w:p w14:paraId="6513AFCA" w14:textId="77777777" w:rsidR="009C73D0" w:rsidRPr="009C73D0" w:rsidRDefault="009C73D0" w:rsidP="007F120F">
            <w:pPr>
              <w:keepNext w:val="0"/>
              <w:snapToGrid w:val="0"/>
              <w:spacing w:before="120"/>
              <w:rPr>
                <w:rFonts w:cs="Arial"/>
              </w:rPr>
            </w:pPr>
            <w:r w:rsidRPr="009C73D0">
              <w:rPr>
                <w:rFonts w:cs="Arial"/>
              </w:rPr>
              <w:t>ALMA</w:t>
            </w:r>
          </w:p>
        </w:tc>
        <w:tc>
          <w:tcPr>
            <w:tcW w:w="5254" w:type="dxa"/>
            <w:hideMark/>
          </w:tcPr>
          <w:p w14:paraId="3F4BBAD7" w14:textId="77777777" w:rsidR="009C73D0" w:rsidRPr="009C73D0" w:rsidRDefault="009C73D0" w:rsidP="007F120F">
            <w:pPr>
              <w:keepNext w:val="0"/>
              <w:snapToGrid w:val="0"/>
              <w:spacing w:before="120"/>
              <w:jc w:val="left"/>
              <w:rPr>
                <w:rFonts w:cs="Arial"/>
              </w:rPr>
            </w:pPr>
            <w:r w:rsidRPr="009C73D0">
              <w:rPr>
                <w:rFonts w:cs="Arial"/>
              </w:rPr>
              <w:t>Jonquière</w:t>
            </w:r>
          </w:p>
        </w:tc>
      </w:tr>
      <w:tr w:rsidR="009C73D0" w:rsidRPr="00026EC1" w14:paraId="77B67DAA" w14:textId="77777777" w:rsidTr="001309D8">
        <w:tc>
          <w:tcPr>
            <w:tcW w:w="4225" w:type="dxa"/>
            <w:hideMark/>
          </w:tcPr>
          <w:p w14:paraId="0A00220F" w14:textId="2756A21C" w:rsidR="009C73D0" w:rsidRPr="009C73D0" w:rsidRDefault="009C73D0" w:rsidP="007F120F">
            <w:pPr>
              <w:keepNext w:val="0"/>
              <w:snapToGrid w:val="0"/>
              <w:spacing w:before="120"/>
              <w:rPr>
                <w:rFonts w:cs="Arial"/>
              </w:rPr>
            </w:pPr>
            <w:r w:rsidRPr="009C73D0">
              <w:rPr>
                <w:rFonts w:cs="Arial"/>
              </w:rPr>
              <w:t>ANDRÉ</w:t>
            </w:r>
            <w:r w:rsidR="00984A6F">
              <w:rPr>
                <w:rFonts w:cs="Arial"/>
              </w:rPr>
              <w:noBreakHyphen/>
            </w:r>
            <w:r w:rsidRPr="009C73D0">
              <w:rPr>
                <w:rFonts w:cs="Arial"/>
              </w:rPr>
              <w:t>LAURENDEAU</w:t>
            </w:r>
          </w:p>
        </w:tc>
        <w:tc>
          <w:tcPr>
            <w:tcW w:w="5254" w:type="dxa"/>
            <w:hideMark/>
          </w:tcPr>
          <w:p w14:paraId="42274608" w14:textId="3F8730BB"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 Terrebonne, Valleyfield</w:t>
            </w:r>
          </w:p>
        </w:tc>
      </w:tr>
      <w:tr w:rsidR="009C73D0" w:rsidRPr="00026EC1" w14:paraId="5CB2F11C" w14:textId="77777777" w:rsidTr="001309D8">
        <w:tc>
          <w:tcPr>
            <w:tcW w:w="4225" w:type="dxa"/>
            <w:hideMark/>
          </w:tcPr>
          <w:p w14:paraId="2EFFDE04" w14:textId="066DB63D" w:rsidR="009C73D0" w:rsidRPr="009C73D0" w:rsidRDefault="009C73D0" w:rsidP="007F120F">
            <w:pPr>
              <w:pStyle w:val="CommentText"/>
              <w:keepNext w:val="0"/>
              <w:tabs>
                <w:tab w:val="left" w:pos="708"/>
              </w:tabs>
              <w:spacing w:before="120"/>
              <w:rPr>
                <w:rFonts w:cs="Arial"/>
              </w:rPr>
            </w:pPr>
            <w:r w:rsidRPr="009C73D0">
              <w:rPr>
                <w:rFonts w:cs="Arial"/>
              </w:rPr>
              <w:t>BAIE</w:t>
            </w:r>
            <w:r w:rsidR="00984A6F">
              <w:rPr>
                <w:rFonts w:cs="Arial"/>
              </w:rPr>
              <w:noBreakHyphen/>
            </w:r>
            <w:r w:rsidRPr="009C73D0">
              <w:rPr>
                <w:rFonts w:cs="Arial"/>
              </w:rPr>
              <w:t>COMEAU</w:t>
            </w:r>
          </w:p>
        </w:tc>
        <w:tc>
          <w:tcPr>
            <w:tcW w:w="5254" w:type="dxa"/>
            <w:hideMark/>
          </w:tcPr>
          <w:p w14:paraId="28F511A7" w14:textId="06ED4F77" w:rsidR="009C73D0" w:rsidRPr="009C73D0" w:rsidRDefault="00984A6F" w:rsidP="007F120F">
            <w:pPr>
              <w:keepNext w:val="0"/>
              <w:snapToGrid w:val="0"/>
              <w:spacing w:before="120"/>
              <w:jc w:val="left"/>
              <w:rPr>
                <w:rFonts w:cs="Arial"/>
              </w:rPr>
            </w:pPr>
            <w:r>
              <w:rPr>
                <w:rFonts w:cs="Arial"/>
              </w:rPr>
              <w:noBreakHyphen/>
            </w:r>
          </w:p>
        </w:tc>
      </w:tr>
      <w:tr w:rsidR="009C73D0" w:rsidRPr="00026EC1" w14:paraId="191A7F68" w14:textId="77777777" w:rsidTr="001309D8">
        <w:tc>
          <w:tcPr>
            <w:tcW w:w="4225" w:type="dxa"/>
            <w:hideMark/>
          </w:tcPr>
          <w:p w14:paraId="2A12CAFC" w14:textId="1412298A" w:rsidR="009C73D0" w:rsidRPr="009C73D0" w:rsidRDefault="009C73D0" w:rsidP="007F120F">
            <w:pPr>
              <w:keepNext w:val="0"/>
              <w:snapToGrid w:val="0"/>
              <w:spacing w:before="120"/>
              <w:rPr>
                <w:rFonts w:cs="Arial"/>
              </w:rPr>
            </w:pPr>
            <w:r w:rsidRPr="009C73D0">
              <w:rPr>
                <w:rFonts w:cs="Arial"/>
              </w:rPr>
              <w:t>BEAUCE</w:t>
            </w:r>
            <w:r w:rsidR="00984A6F">
              <w:rPr>
                <w:rFonts w:cs="Arial"/>
              </w:rPr>
              <w:noBreakHyphen/>
            </w:r>
            <w:r w:rsidRPr="009C73D0">
              <w:rPr>
                <w:rFonts w:cs="Arial"/>
              </w:rPr>
              <w:t>APPALACHES</w:t>
            </w:r>
          </w:p>
        </w:tc>
        <w:tc>
          <w:tcPr>
            <w:tcW w:w="5254" w:type="dxa"/>
            <w:hideMark/>
          </w:tcPr>
          <w:p w14:paraId="2E01E0D1" w14:textId="2C0C4207" w:rsidR="009C73D0" w:rsidRPr="009C73D0" w:rsidRDefault="00984A6F" w:rsidP="007F120F">
            <w:pPr>
              <w:keepNext w:val="0"/>
              <w:snapToGrid w:val="0"/>
              <w:spacing w:before="120"/>
              <w:jc w:val="left"/>
              <w:rPr>
                <w:rFonts w:cs="Arial"/>
              </w:rPr>
            </w:pPr>
            <w:r>
              <w:rPr>
                <w:rFonts w:cs="Arial"/>
              </w:rPr>
              <w:noBreakHyphen/>
            </w:r>
          </w:p>
        </w:tc>
      </w:tr>
      <w:tr w:rsidR="009C73D0" w:rsidRPr="00026EC1" w14:paraId="533F64F9" w14:textId="77777777" w:rsidTr="001309D8">
        <w:tc>
          <w:tcPr>
            <w:tcW w:w="4225" w:type="dxa"/>
            <w:hideMark/>
          </w:tcPr>
          <w:p w14:paraId="28966537" w14:textId="49E15D83" w:rsidR="009C73D0" w:rsidRPr="009C73D0" w:rsidRDefault="009C73D0" w:rsidP="007F120F">
            <w:pPr>
              <w:keepNext w:val="0"/>
              <w:snapToGrid w:val="0"/>
              <w:spacing w:before="120"/>
              <w:rPr>
                <w:rFonts w:cs="Arial"/>
              </w:rPr>
            </w:pPr>
            <w:r w:rsidRPr="009C73D0">
              <w:rPr>
                <w:rFonts w:cs="Arial"/>
              </w:rPr>
              <w:t>BOIS</w:t>
            </w:r>
            <w:r w:rsidR="00984A6F">
              <w:rPr>
                <w:rFonts w:cs="Arial"/>
              </w:rPr>
              <w:noBreakHyphen/>
            </w:r>
            <w:r w:rsidRPr="009C73D0">
              <w:rPr>
                <w:rFonts w:cs="Arial"/>
              </w:rPr>
              <w:t>DE</w:t>
            </w:r>
            <w:r w:rsidR="00984A6F">
              <w:rPr>
                <w:rFonts w:cs="Arial"/>
              </w:rPr>
              <w:noBreakHyphen/>
            </w:r>
            <w:r w:rsidRPr="009C73D0">
              <w:rPr>
                <w:rFonts w:cs="Arial"/>
              </w:rPr>
              <w:t>BOULOGNE</w:t>
            </w:r>
          </w:p>
        </w:tc>
        <w:tc>
          <w:tcPr>
            <w:tcW w:w="5254" w:type="dxa"/>
            <w:hideMark/>
          </w:tcPr>
          <w:p w14:paraId="2CB5BDCE" w14:textId="24BB650D"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Jérôme, Terrebonne</w:t>
            </w:r>
          </w:p>
        </w:tc>
      </w:tr>
      <w:tr w:rsidR="009C73D0" w:rsidRPr="00026EC1" w14:paraId="296E14E7" w14:textId="77777777" w:rsidTr="001309D8">
        <w:tc>
          <w:tcPr>
            <w:tcW w:w="4225" w:type="dxa"/>
            <w:hideMark/>
          </w:tcPr>
          <w:p w14:paraId="421175D4" w14:textId="02094AF5" w:rsidR="009C73D0" w:rsidRPr="009C73D0" w:rsidRDefault="009C73D0" w:rsidP="007F120F">
            <w:pPr>
              <w:pStyle w:val="CommentText"/>
              <w:keepNext w:val="0"/>
              <w:tabs>
                <w:tab w:val="left" w:pos="708"/>
              </w:tabs>
              <w:spacing w:before="120"/>
              <w:rPr>
                <w:rFonts w:cs="Arial"/>
              </w:rPr>
            </w:pPr>
            <w:r w:rsidRPr="009C73D0">
              <w:t>CARLETON</w:t>
            </w:r>
            <w:r w:rsidR="00984A6F">
              <w:noBreakHyphen/>
            </w:r>
            <w:r w:rsidRPr="009C73D0">
              <w:t>SUR</w:t>
            </w:r>
            <w:r w:rsidR="00984A6F">
              <w:noBreakHyphen/>
            </w:r>
            <w:r w:rsidRPr="009C73D0">
              <w:t>MER</w:t>
            </w:r>
          </w:p>
        </w:tc>
        <w:tc>
          <w:tcPr>
            <w:tcW w:w="5254" w:type="dxa"/>
            <w:hideMark/>
          </w:tcPr>
          <w:p w14:paraId="32E229E5" w14:textId="7ABC3360" w:rsidR="009C73D0" w:rsidRPr="009C73D0" w:rsidRDefault="00984A6F" w:rsidP="007F120F">
            <w:pPr>
              <w:keepNext w:val="0"/>
              <w:snapToGrid w:val="0"/>
              <w:spacing w:before="120"/>
              <w:jc w:val="left"/>
              <w:rPr>
                <w:rFonts w:cs="Arial"/>
              </w:rPr>
            </w:pPr>
            <w:r>
              <w:rPr>
                <w:rFonts w:cs="Arial"/>
              </w:rPr>
              <w:noBreakHyphen/>
            </w:r>
          </w:p>
        </w:tc>
      </w:tr>
      <w:tr w:rsidR="009C73D0" w:rsidRPr="00026EC1" w14:paraId="0ED22917" w14:textId="77777777" w:rsidTr="001309D8">
        <w:tc>
          <w:tcPr>
            <w:tcW w:w="4225" w:type="dxa"/>
            <w:hideMark/>
          </w:tcPr>
          <w:p w14:paraId="7F24AC2B" w14:textId="77777777" w:rsidR="009C73D0" w:rsidRPr="009C73D0" w:rsidRDefault="009C73D0" w:rsidP="007F120F">
            <w:pPr>
              <w:keepNext w:val="0"/>
              <w:snapToGrid w:val="0"/>
              <w:spacing w:before="120"/>
              <w:rPr>
                <w:rFonts w:cs="Arial"/>
              </w:rPr>
            </w:pPr>
            <w:r w:rsidRPr="009C73D0">
              <w:rPr>
                <w:rFonts w:cs="Arial"/>
              </w:rPr>
              <w:t>CHAMPLAIN À LENNOXVILLE</w:t>
            </w:r>
          </w:p>
        </w:tc>
        <w:tc>
          <w:tcPr>
            <w:tcW w:w="5254" w:type="dxa"/>
            <w:hideMark/>
          </w:tcPr>
          <w:p w14:paraId="3CEDEE0C" w14:textId="77777777" w:rsidR="009C73D0" w:rsidRPr="009C73D0" w:rsidRDefault="009C73D0" w:rsidP="007F120F">
            <w:pPr>
              <w:keepNext w:val="0"/>
              <w:snapToGrid w:val="0"/>
              <w:spacing w:before="120"/>
              <w:jc w:val="left"/>
              <w:rPr>
                <w:rFonts w:cs="Arial"/>
              </w:rPr>
            </w:pPr>
            <w:r w:rsidRPr="009C73D0">
              <w:rPr>
                <w:rFonts w:cs="Arial"/>
              </w:rPr>
              <w:t>Sherbrooke</w:t>
            </w:r>
          </w:p>
        </w:tc>
      </w:tr>
      <w:tr w:rsidR="009C73D0" w:rsidRPr="00026EC1" w14:paraId="1F9E8379" w14:textId="77777777" w:rsidTr="001309D8">
        <w:tc>
          <w:tcPr>
            <w:tcW w:w="4225" w:type="dxa"/>
            <w:hideMark/>
          </w:tcPr>
          <w:p w14:paraId="2F7F0BF5" w14:textId="5F73865B" w:rsidR="009C73D0" w:rsidRPr="009C73D0" w:rsidRDefault="009C73D0" w:rsidP="007F120F">
            <w:pPr>
              <w:keepNext w:val="0"/>
              <w:snapToGrid w:val="0"/>
              <w:spacing w:before="120"/>
              <w:rPr>
                <w:rFonts w:cs="Arial"/>
              </w:rPr>
            </w:pPr>
            <w:r w:rsidRPr="009C73D0">
              <w:rPr>
                <w:rFonts w:cs="Arial"/>
              </w:rPr>
              <w:t>CHAMPLAIN À SAINT</w:t>
            </w:r>
            <w:r w:rsidR="00984A6F">
              <w:rPr>
                <w:rFonts w:cs="Arial"/>
              </w:rPr>
              <w:noBreakHyphen/>
            </w:r>
            <w:r w:rsidRPr="009C73D0">
              <w:rPr>
                <w:rFonts w:cs="Arial"/>
              </w:rPr>
              <w:t>LAMBERT</w:t>
            </w:r>
          </w:p>
        </w:tc>
        <w:tc>
          <w:tcPr>
            <w:tcW w:w="5254" w:type="dxa"/>
            <w:hideMark/>
          </w:tcPr>
          <w:p w14:paraId="37FA7D1D" w14:textId="36F90F0D" w:rsidR="009C73D0" w:rsidRPr="009C73D0" w:rsidRDefault="009C73D0" w:rsidP="007F120F">
            <w:pPr>
              <w:keepNext w:val="0"/>
              <w:snapToGrid w:val="0"/>
              <w:spacing w:before="120"/>
              <w:jc w:val="left"/>
              <w:rPr>
                <w:rFonts w:cs="Arial"/>
              </w:rPr>
            </w:pPr>
            <w:r w:rsidRPr="009C73D0">
              <w:rPr>
                <w:rFonts w:cs="Arial"/>
              </w:rPr>
              <w:t>Édouard</w:t>
            </w:r>
            <w:r w:rsidR="00984A6F">
              <w:rPr>
                <w:rFonts w:cs="Arial"/>
              </w:rPr>
              <w:noBreakHyphen/>
            </w:r>
            <w:r w:rsidRPr="009C73D0">
              <w:rPr>
                <w:rFonts w:cs="Arial"/>
              </w:rPr>
              <w:t>Montpetit, Île de Montréal*, Montmorency, Saint</w:t>
            </w:r>
            <w:r w:rsidR="00984A6F">
              <w:rPr>
                <w:rFonts w:cs="Arial"/>
              </w:rPr>
              <w:noBreakHyphen/>
            </w:r>
            <w:r w:rsidRPr="009C73D0">
              <w:rPr>
                <w:rFonts w:cs="Arial"/>
              </w:rPr>
              <w:t>Hyacinthe,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w:t>
            </w:r>
          </w:p>
        </w:tc>
      </w:tr>
      <w:tr w:rsidR="009C73D0" w:rsidRPr="00026EC1" w14:paraId="51B153CB" w14:textId="77777777" w:rsidTr="001309D8">
        <w:tc>
          <w:tcPr>
            <w:tcW w:w="4225" w:type="dxa"/>
            <w:hideMark/>
          </w:tcPr>
          <w:p w14:paraId="1F268CCE" w14:textId="77777777" w:rsidR="009C73D0" w:rsidRPr="009C73D0" w:rsidRDefault="009C73D0" w:rsidP="007F120F">
            <w:pPr>
              <w:keepNext w:val="0"/>
              <w:snapToGrid w:val="0"/>
              <w:spacing w:before="120"/>
              <w:rPr>
                <w:rFonts w:cs="Arial"/>
              </w:rPr>
            </w:pPr>
            <w:r w:rsidRPr="009C73D0">
              <w:rPr>
                <w:rFonts w:cs="Arial"/>
              </w:rPr>
              <w:t>CHAMPLAIN </w:t>
            </w:r>
            <w:r w:rsidRPr="009C73D0">
              <w:rPr>
                <w:rFonts w:ascii="Cambria Math" w:hAnsi="Cambria Math" w:cs="Arial"/>
              </w:rPr>
              <w:t>‑ </w:t>
            </w:r>
            <w:r w:rsidRPr="009C73D0">
              <w:rPr>
                <w:rFonts w:cs="Arial"/>
              </w:rPr>
              <w:t>ST. LAWRENCE</w:t>
            </w:r>
          </w:p>
        </w:tc>
        <w:tc>
          <w:tcPr>
            <w:tcW w:w="5254" w:type="dxa"/>
            <w:hideMark/>
          </w:tcPr>
          <w:p w14:paraId="24F47821" w14:textId="77777777" w:rsidR="009C73D0" w:rsidRPr="009C73D0" w:rsidRDefault="009C73D0" w:rsidP="007F120F">
            <w:pPr>
              <w:keepNext w:val="0"/>
              <w:snapToGrid w:val="0"/>
              <w:spacing w:before="120"/>
              <w:jc w:val="left"/>
              <w:rPr>
                <w:rFonts w:cs="Arial"/>
              </w:rPr>
            </w:pPr>
            <w:r w:rsidRPr="009C73D0">
              <w:rPr>
                <w:rFonts w:cs="Arial"/>
              </w:rPr>
              <w:t>Région de Québec**</w:t>
            </w:r>
          </w:p>
        </w:tc>
      </w:tr>
      <w:tr w:rsidR="009C73D0" w:rsidRPr="00026EC1" w14:paraId="7A92C358" w14:textId="77777777" w:rsidTr="001309D8">
        <w:tc>
          <w:tcPr>
            <w:tcW w:w="4225" w:type="dxa"/>
            <w:hideMark/>
          </w:tcPr>
          <w:p w14:paraId="1AE8695E" w14:textId="77777777" w:rsidR="009C73D0" w:rsidRPr="009C73D0" w:rsidRDefault="009C73D0" w:rsidP="007F120F">
            <w:pPr>
              <w:keepNext w:val="0"/>
              <w:snapToGrid w:val="0"/>
              <w:spacing w:before="120"/>
              <w:rPr>
                <w:rFonts w:cs="Arial"/>
              </w:rPr>
            </w:pPr>
            <w:r w:rsidRPr="009C73D0">
              <w:rPr>
                <w:rFonts w:cs="Arial"/>
              </w:rPr>
              <w:t>CHARLEVOIX</w:t>
            </w:r>
          </w:p>
        </w:tc>
        <w:tc>
          <w:tcPr>
            <w:tcW w:w="5254" w:type="dxa"/>
            <w:hideMark/>
          </w:tcPr>
          <w:p w14:paraId="611EEDB9" w14:textId="5C1F8C58" w:rsidR="009C73D0" w:rsidRPr="009C73D0" w:rsidRDefault="00984A6F" w:rsidP="007F120F">
            <w:pPr>
              <w:keepNext w:val="0"/>
              <w:snapToGrid w:val="0"/>
              <w:spacing w:before="120"/>
              <w:jc w:val="left"/>
              <w:rPr>
                <w:rFonts w:cs="Arial"/>
              </w:rPr>
            </w:pPr>
            <w:r>
              <w:rPr>
                <w:rFonts w:cs="Arial"/>
              </w:rPr>
              <w:noBreakHyphen/>
            </w:r>
          </w:p>
        </w:tc>
      </w:tr>
      <w:tr w:rsidR="009C73D0" w:rsidRPr="00026EC1" w14:paraId="311046D7" w14:textId="77777777" w:rsidTr="001309D8">
        <w:tc>
          <w:tcPr>
            <w:tcW w:w="4225" w:type="dxa"/>
            <w:hideMark/>
          </w:tcPr>
          <w:p w14:paraId="6B5D11CF" w14:textId="77777777" w:rsidR="009C73D0" w:rsidRPr="009C73D0" w:rsidRDefault="009C73D0" w:rsidP="007F120F">
            <w:pPr>
              <w:keepNext w:val="0"/>
              <w:snapToGrid w:val="0"/>
              <w:spacing w:before="120"/>
              <w:rPr>
                <w:rFonts w:cs="Arial"/>
              </w:rPr>
            </w:pPr>
            <w:r w:rsidRPr="009C73D0">
              <w:rPr>
                <w:rFonts w:cs="Arial"/>
              </w:rPr>
              <w:t>CHIBOUGAMAU</w:t>
            </w:r>
          </w:p>
        </w:tc>
        <w:tc>
          <w:tcPr>
            <w:tcW w:w="5254" w:type="dxa"/>
            <w:hideMark/>
          </w:tcPr>
          <w:p w14:paraId="6C81225D" w14:textId="6895D423" w:rsidR="009C73D0" w:rsidRPr="009C73D0" w:rsidRDefault="00984A6F" w:rsidP="007F120F">
            <w:pPr>
              <w:keepNext w:val="0"/>
              <w:snapToGrid w:val="0"/>
              <w:spacing w:before="120"/>
              <w:jc w:val="left"/>
              <w:rPr>
                <w:rFonts w:cs="Arial"/>
              </w:rPr>
            </w:pPr>
            <w:r>
              <w:rPr>
                <w:rFonts w:cs="Arial"/>
              </w:rPr>
              <w:noBreakHyphen/>
            </w:r>
          </w:p>
        </w:tc>
      </w:tr>
      <w:tr w:rsidR="009C73D0" w:rsidRPr="00026EC1" w14:paraId="409496EB" w14:textId="77777777" w:rsidTr="001309D8">
        <w:tc>
          <w:tcPr>
            <w:tcW w:w="4225" w:type="dxa"/>
            <w:hideMark/>
          </w:tcPr>
          <w:p w14:paraId="587A8616" w14:textId="77777777" w:rsidR="009C73D0" w:rsidRPr="009C73D0" w:rsidRDefault="009C73D0" w:rsidP="007F120F">
            <w:pPr>
              <w:keepNext w:val="0"/>
              <w:snapToGrid w:val="0"/>
              <w:spacing w:before="120"/>
              <w:rPr>
                <w:rFonts w:cs="Arial"/>
              </w:rPr>
            </w:pPr>
            <w:r w:rsidRPr="009C73D0">
              <w:rPr>
                <w:rFonts w:cs="Arial"/>
              </w:rPr>
              <w:t>CHICOUTIMI</w:t>
            </w:r>
          </w:p>
        </w:tc>
        <w:tc>
          <w:tcPr>
            <w:tcW w:w="5254" w:type="dxa"/>
            <w:hideMark/>
          </w:tcPr>
          <w:p w14:paraId="6F76EDFB" w14:textId="77777777" w:rsidR="009C73D0" w:rsidRPr="009C73D0" w:rsidRDefault="009C73D0" w:rsidP="007F120F">
            <w:pPr>
              <w:keepNext w:val="0"/>
              <w:snapToGrid w:val="0"/>
              <w:spacing w:before="120"/>
              <w:jc w:val="left"/>
              <w:rPr>
                <w:rFonts w:cs="Arial"/>
              </w:rPr>
            </w:pPr>
            <w:r w:rsidRPr="009C73D0">
              <w:rPr>
                <w:rFonts w:cs="Arial"/>
              </w:rPr>
              <w:t>Jonquière</w:t>
            </w:r>
          </w:p>
        </w:tc>
      </w:tr>
      <w:tr w:rsidR="009C73D0" w:rsidRPr="00026EC1" w14:paraId="443DF843" w14:textId="77777777" w:rsidTr="001309D8">
        <w:tc>
          <w:tcPr>
            <w:tcW w:w="4225" w:type="dxa"/>
            <w:hideMark/>
          </w:tcPr>
          <w:p w14:paraId="1F6E7C08" w14:textId="77777777" w:rsidR="009C73D0" w:rsidRPr="009C73D0" w:rsidRDefault="009C73D0" w:rsidP="007F120F">
            <w:pPr>
              <w:keepNext w:val="0"/>
              <w:snapToGrid w:val="0"/>
              <w:spacing w:before="120"/>
              <w:rPr>
                <w:rFonts w:cs="Arial"/>
              </w:rPr>
            </w:pPr>
            <w:r w:rsidRPr="009C73D0">
              <w:rPr>
                <w:rFonts w:cs="Arial"/>
              </w:rPr>
              <w:t>DAWSON</w:t>
            </w:r>
          </w:p>
        </w:tc>
        <w:tc>
          <w:tcPr>
            <w:tcW w:w="5254" w:type="dxa"/>
            <w:hideMark/>
          </w:tcPr>
          <w:p w14:paraId="6C98FD65" w14:textId="4432ED7D"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 Terrebonne</w:t>
            </w:r>
          </w:p>
        </w:tc>
      </w:tr>
    </w:tbl>
    <w:p w14:paraId="5E7C060A" w14:textId="77777777" w:rsidR="001811C9" w:rsidRDefault="001811C9" w:rsidP="007F120F">
      <w:pPr>
        <w:keepNext w:val="0"/>
        <w:snapToGrid w:val="0"/>
        <w:spacing w:before="120"/>
        <w:rPr>
          <w:rFonts w:cs="Arial"/>
        </w:rPr>
        <w:sectPr w:rsidR="001811C9" w:rsidSect="002B176A">
          <w:headerReference w:type="default" r:id="rId44"/>
          <w:footnotePr>
            <w:numRestart w:val="eachPage"/>
          </w:footnotePr>
          <w:pgSz w:w="12240" w:h="15840" w:code="1"/>
          <w:pgMar w:top="720" w:right="1077" w:bottom="1242" w:left="1684" w:header="709" w:footer="709" w:gutter="0"/>
          <w:cols w:space="708"/>
          <w:docGrid w:linePitch="360"/>
        </w:sectPr>
      </w:pPr>
    </w:p>
    <w:tbl>
      <w:tblPr>
        <w:tblW w:w="0" w:type="auto"/>
        <w:tblCellMar>
          <w:left w:w="70" w:type="dxa"/>
          <w:right w:w="70" w:type="dxa"/>
        </w:tblCellMar>
        <w:tblLook w:val="04A0" w:firstRow="1" w:lastRow="0" w:firstColumn="1" w:lastColumn="0" w:noHBand="0" w:noVBand="1"/>
      </w:tblPr>
      <w:tblGrid>
        <w:gridCol w:w="4225"/>
        <w:gridCol w:w="5254"/>
      </w:tblGrid>
      <w:tr w:rsidR="009C73D0" w:rsidRPr="00026EC1" w14:paraId="3C99B3D7" w14:textId="77777777" w:rsidTr="001309D8">
        <w:tc>
          <w:tcPr>
            <w:tcW w:w="4225" w:type="dxa"/>
            <w:hideMark/>
          </w:tcPr>
          <w:p w14:paraId="186A03D3" w14:textId="77777777" w:rsidR="009C73D0" w:rsidRPr="009C73D0" w:rsidRDefault="009C73D0" w:rsidP="007F120F">
            <w:pPr>
              <w:keepNext w:val="0"/>
              <w:snapToGrid w:val="0"/>
              <w:spacing w:before="120"/>
              <w:rPr>
                <w:rFonts w:cs="Arial"/>
              </w:rPr>
            </w:pPr>
            <w:r w:rsidRPr="009C73D0">
              <w:rPr>
                <w:rFonts w:cs="Arial"/>
              </w:rPr>
              <w:t>DRUMMONDVILLE</w:t>
            </w:r>
          </w:p>
        </w:tc>
        <w:tc>
          <w:tcPr>
            <w:tcW w:w="5254" w:type="dxa"/>
            <w:hideMark/>
          </w:tcPr>
          <w:p w14:paraId="36217531" w14:textId="1D8B9FF5" w:rsidR="009C73D0" w:rsidRPr="009C73D0" w:rsidRDefault="00984A6F" w:rsidP="007F120F">
            <w:pPr>
              <w:keepNext w:val="0"/>
              <w:snapToGrid w:val="0"/>
              <w:spacing w:before="120"/>
              <w:jc w:val="left"/>
              <w:rPr>
                <w:rFonts w:cs="Arial"/>
              </w:rPr>
            </w:pPr>
            <w:r>
              <w:rPr>
                <w:rFonts w:cs="Arial"/>
              </w:rPr>
              <w:noBreakHyphen/>
            </w:r>
          </w:p>
        </w:tc>
      </w:tr>
      <w:tr w:rsidR="009C73D0" w:rsidRPr="00026EC1" w14:paraId="3AAEDC20" w14:textId="77777777" w:rsidTr="001309D8">
        <w:tc>
          <w:tcPr>
            <w:tcW w:w="4225" w:type="dxa"/>
            <w:hideMark/>
          </w:tcPr>
          <w:p w14:paraId="6F950D2E" w14:textId="3EB6E0F8" w:rsidR="009C73D0" w:rsidRPr="009C73D0" w:rsidRDefault="009C73D0" w:rsidP="007F120F">
            <w:pPr>
              <w:keepNext w:val="0"/>
              <w:snapToGrid w:val="0"/>
              <w:spacing w:before="120"/>
              <w:rPr>
                <w:rFonts w:cs="Arial"/>
              </w:rPr>
            </w:pPr>
            <w:r w:rsidRPr="009C73D0">
              <w:rPr>
                <w:rFonts w:cs="Arial"/>
              </w:rPr>
              <w:t>ÉDOUARD</w:t>
            </w:r>
            <w:r w:rsidR="00984A6F">
              <w:rPr>
                <w:rFonts w:cs="Arial"/>
              </w:rPr>
              <w:noBreakHyphen/>
            </w:r>
            <w:r w:rsidRPr="009C73D0">
              <w:rPr>
                <w:rFonts w:cs="Arial"/>
              </w:rPr>
              <w:t>MONTPETIT</w:t>
            </w:r>
          </w:p>
        </w:tc>
        <w:tc>
          <w:tcPr>
            <w:tcW w:w="5254" w:type="dxa"/>
            <w:hideMark/>
          </w:tcPr>
          <w:p w14:paraId="442781E4" w14:textId="39FF5575"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Île de Montréal*, Montmorency, Saint</w:t>
            </w:r>
            <w:r w:rsidR="00984A6F">
              <w:rPr>
                <w:rFonts w:cs="Arial"/>
              </w:rPr>
              <w:noBreakHyphen/>
            </w:r>
            <w:r w:rsidRPr="009C73D0">
              <w:rPr>
                <w:rFonts w:cs="Arial"/>
              </w:rPr>
              <w:t>Hyacinthe,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 xml:space="preserve">Richelieu </w:t>
            </w:r>
          </w:p>
        </w:tc>
      </w:tr>
      <w:tr w:rsidR="009C73D0" w:rsidRPr="00026EC1" w14:paraId="2BC70CF0" w14:textId="77777777" w:rsidTr="001309D8">
        <w:tc>
          <w:tcPr>
            <w:tcW w:w="4225" w:type="dxa"/>
            <w:hideMark/>
          </w:tcPr>
          <w:p w14:paraId="613F785D" w14:textId="42EBE0A5" w:rsidR="009C73D0" w:rsidRPr="009C73D0" w:rsidRDefault="009C73D0" w:rsidP="007F120F">
            <w:pPr>
              <w:keepNext w:val="0"/>
              <w:snapToGrid w:val="0"/>
              <w:spacing w:before="120"/>
              <w:rPr>
                <w:rFonts w:cs="Arial"/>
              </w:rPr>
            </w:pPr>
            <w:r w:rsidRPr="009C73D0">
              <w:rPr>
                <w:rFonts w:cs="Arial"/>
              </w:rPr>
              <w:t>GARNEAU</w:t>
            </w:r>
          </w:p>
        </w:tc>
        <w:tc>
          <w:tcPr>
            <w:tcW w:w="5254" w:type="dxa"/>
            <w:hideMark/>
          </w:tcPr>
          <w:p w14:paraId="5AF95F3A" w14:textId="77777777" w:rsidR="009C73D0" w:rsidRPr="009C73D0" w:rsidRDefault="009C73D0" w:rsidP="007F120F">
            <w:pPr>
              <w:keepNext w:val="0"/>
              <w:snapToGrid w:val="0"/>
              <w:spacing w:before="120"/>
              <w:jc w:val="left"/>
              <w:rPr>
                <w:rFonts w:cs="Arial"/>
              </w:rPr>
            </w:pPr>
            <w:r w:rsidRPr="009C73D0">
              <w:rPr>
                <w:rFonts w:cs="Arial"/>
              </w:rPr>
              <w:t>Région de Québec**</w:t>
            </w:r>
          </w:p>
        </w:tc>
      </w:tr>
      <w:tr w:rsidR="009C73D0" w:rsidRPr="00026EC1" w14:paraId="6C197683" w14:textId="77777777" w:rsidTr="001309D8">
        <w:trPr>
          <w:cantSplit/>
          <w:trHeight w:val="390"/>
        </w:trPr>
        <w:tc>
          <w:tcPr>
            <w:tcW w:w="4225" w:type="dxa"/>
            <w:hideMark/>
          </w:tcPr>
          <w:p w14:paraId="0E481700" w14:textId="77777777" w:rsidR="009C73D0" w:rsidRPr="009C73D0" w:rsidRDefault="009C73D0" w:rsidP="007F120F">
            <w:pPr>
              <w:keepNext w:val="0"/>
              <w:snapToGrid w:val="0"/>
              <w:spacing w:before="120"/>
              <w:rPr>
                <w:rFonts w:cs="Arial"/>
              </w:rPr>
            </w:pPr>
            <w:r w:rsidRPr="009C73D0">
              <w:rPr>
                <w:rFonts w:cs="Arial"/>
              </w:rPr>
              <w:t>GASPÉSIE ET DES ÎLES</w:t>
            </w:r>
          </w:p>
        </w:tc>
        <w:tc>
          <w:tcPr>
            <w:tcW w:w="5254" w:type="dxa"/>
            <w:hideMark/>
          </w:tcPr>
          <w:p w14:paraId="7EA71D3C" w14:textId="6DEA58A3" w:rsidR="009C73D0" w:rsidRPr="009C73D0" w:rsidRDefault="00984A6F" w:rsidP="007F120F">
            <w:pPr>
              <w:keepNext w:val="0"/>
              <w:snapToGrid w:val="0"/>
              <w:spacing w:before="120"/>
              <w:jc w:val="left"/>
              <w:rPr>
                <w:rFonts w:cs="Arial"/>
              </w:rPr>
            </w:pPr>
            <w:r>
              <w:rPr>
                <w:rFonts w:cs="Arial"/>
              </w:rPr>
              <w:noBreakHyphen/>
            </w:r>
          </w:p>
        </w:tc>
      </w:tr>
      <w:tr w:rsidR="009C73D0" w:rsidRPr="00026EC1" w14:paraId="41D93BC1" w14:textId="77777777" w:rsidTr="001309D8">
        <w:tc>
          <w:tcPr>
            <w:tcW w:w="4225" w:type="dxa"/>
            <w:hideMark/>
          </w:tcPr>
          <w:p w14:paraId="27E47933" w14:textId="7DC94C64" w:rsidR="009C73D0" w:rsidRPr="009C73D0" w:rsidRDefault="009C73D0" w:rsidP="007F120F">
            <w:pPr>
              <w:keepNext w:val="0"/>
              <w:snapToGrid w:val="0"/>
              <w:spacing w:before="120"/>
              <w:rPr>
                <w:rFonts w:cs="Arial"/>
              </w:rPr>
            </w:pPr>
            <w:r w:rsidRPr="009C73D0">
              <w:rPr>
                <w:rFonts w:cs="Arial"/>
              </w:rPr>
              <w:t>GÉRALD</w:t>
            </w:r>
            <w:r w:rsidR="00984A6F">
              <w:rPr>
                <w:rFonts w:cs="Arial"/>
              </w:rPr>
              <w:noBreakHyphen/>
            </w:r>
            <w:r w:rsidRPr="009C73D0">
              <w:rPr>
                <w:rFonts w:cs="Arial"/>
              </w:rPr>
              <w:t>GODIN</w:t>
            </w:r>
          </w:p>
        </w:tc>
        <w:tc>
          <w:tcPr>
            <w:tcW w:w="5254" w:type="dxa"/>
            <w:hideMark/>
          </w:tcPr>
          <w:p w14:paraId="030A6BE1" w14:textId="47117CDE"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Jérôme, Valleyfield</w:t>
            </w:r>
          </w:p>
        </w:tc>
      </w:tr>
      <w:tr w:rsidR="009C73D0" w:rsidRPr="00026EC1" w14:paraId="27A5A7D7" w14:textId="77777777" w:rsidTr="001309D8">
        <w:tc>
          <w:tcPr>
            <w:tcW w:w="4225" w:type="dxa"/>
            <w:hideMark/>
          </w:tcPr>
          <w:p w14:paraId="45D62A9D" w14:textId="5D9D35A7" w:rsidR="009C73D0" w:rsidRPr="009C73D0" w:rsidRDefault="009C73D0" w:rsidP="007F120F">
            <w:pPr>
              <w:keepNext w:val="0"/>
              <w:snapToGrid w:val="0"/>
              <w:spacing w:before="120"/>
              <w:rPr>
                <w:rFonts w:cs="Arial"/>
              </w:rPr>
            </w:pPr>
            <w:r w:rsidRPr="009C73D0">
              <w:rPr>
                <w:rFonts w:cs="Arial"/>
              </w:rPr>
              <w:br w:type="page"/>
              <w:t xml:space="preserve">GRANBY </w:t>
            </w:r>
          </w:p>
        </w:tc>
        <w:tc>
          <w:tcPr>
            <w:tcW w:w="5254" w:type="dxa"/>
            <w:hideMark/>
          </w:tcPr>
          <w:p w14:paraId="442DAF2A" w14:textId="0CB4ADEC" w:rsidR="009C73D0" w:rsidRPr="009C73D0" w:rsidRDefault="00984A6F" w:rsidP="007F120F">
            <w:pPr>
              <w:keepNext w:val="0"/>
              <w:snapToGrid w:val="0"/>
              <w:spacing w:before="120"/>
              <w:jc w:val="left"/>
              <w:rPr>
                <w:rFonts w:cs="Arial"/>
              </w:rPr>
            </w:pPr>
            <w:r>
              <w:rPr>
                <w:rFonts w:cs="Arial"/>
              </w:rPr>
              <w:noBreakHyphen/>
            </w:r>
          </w:p>
        </w:tc>
      </w:tr>
      <w:tr w:rsidR="009C73D0" w:rsidRPr="00026EC1" w14:paraId="31286017" w14:textId="77777777" w:rsidTr="001309D8">
        <w:tc>
          <w:tcPr>
            <w:tcW w:w="4225" w:type="dxa"/>
            <w:hideMark/>
          </w:tcPr>
          <w:p w14:paraId="1924A4D2" w14:textId="77777777" w:rsidR="009C73D0" w:rsidRPr="009C73D0" w:rsidRDefault="009C73D0" w:rsidP="007F120F">
            <w:pPr>
              <w:keepNext w:val="0"/>
              <w:snapToGrid w:val="0"/>
              <w:spacing w:before="120"/>
              <w:rPr>
                <w:rFonts w:cs="Arial"/>
              </w:rPr>
            </w:pPr>
            <w:r w:rsidRPr="009C73D0">
              <w:rPr>
                <w:rFonts w:cs="Arial"/>
              </w:rPr>
              <w:t>HERITAGE</w:t>
            </w:r>
          </w:p>
        </w:tc>
        <w:tc>
          <w:tcPr>
            <w:tcW w:w="5254" w:type="dxa"/>
            <w:hideMark/>
          </w:tcPr>
          <w:p w14:paraId="2DD3CB3B" w14:textId="77777777" w:rsidR="009C73D0" w:rsidRPr="009C73D0" w:rsidRDefault="009C73D0" w:rsidP="007F120F">
            <w:pPr>
              <w:keepNext w:val="0"/>
              <w:snapToGrid w:val="0"/>
              <w:spacing w:before="120"/>
              <w:jc w:val="left"/>
              <w:rPr>
                <w:rFonts w:cs="Arial"/>
              </w:rPr>
            </w:pPr>
            <w:r w:rsidRPr="009C73D0">
              <w:rPr>
                <w:rFonts w:cs="Arial"/>
              </w:rPr>
              <w:t>Outaouais</w:t>
            </w:r>
          </w:p>
        </w:tc>
      </w:tr>
      <w:tr w:rsidR="009C73D0" w:rsidRPr="00026EC1" w14:paraId="6CFC713E" w14:textId="77777777" w:rsidTr="001309D8">
        <w:trPr>
          <w:trHeight w:val="513"/>
        </w:trPr>
        <w:tc>
          <w:tcPr>
            <w:tcW w:w="4225" w:type="dxa"/>
            <w:hideMark/>
          </w:tcPr>
          <w:p w14:paraId="74FB1B08" w14:textId="45CD511E" w:rsidR="009C73D0" w:rsidRPr="009C73D0" w:rsidRDefault="009C73D0" w:rsidP="007F120F">
            <w:pPr>
              <w:keepNext w:val="0"/>
              <w:snapToGrid w:val="0"/>
              <w:spacing w:before="120"/>
              <w:rPr>
                <w:rFonts w:cs="Arial"/>
              </w:rPr>
            </w:pPr>
            <w:r w:rsidRPr="009C73D0">
              <w:rPr>
                <w:rFonts w:cs="Arial"/>
              </w:rPr>
              <w:t>ÎLES</w:t>
            </w:r>
            <w:r w:rsidR="00984A6F">
              <w:rPr>
                <w:rFonts w:cs="Arial"/>
              </w:rPr>
              <w:noBreakHyphen/>
            </w:r>
            <w:r w:rsidRPr="009C73D0">
              <w:rPr>
                <w:rFonts w:cs="Arial"/>
              </w:rPr>
              <w:t>DE</w:t>
            </w:r>
            <w:r w:rsidR="00984A6F">
              <w:rPr>
                <w:rFonts w:cs="Arial"/>
              </w:rPr>
              <w:noBreakHyphen/>
            </w:r>
            <w:r w:rsidRPr="009C73D0">
              <w:rPr>
                <w:rFonts w:cs="Arial"/>
              </w:rPr>
              <w:t>LA</w:t>
            </w:r>
            <w:r w:rsidR="00984A6F">
              <w:rPr>
                <w:rFonts w:cs="Arial"/>
              </w:rPr>
              <w:noBreakHyphen/>
            </w:r>
            <w:r w:rsidRPr="009C73D0">
              <w:rPr>
                <w:rFonts w:cs="Arial"/>
              </w:rPr>
              <w:t>MADELEINE</w:t>
            </w:r>
          </w:p>
        </w:tc>
        <w:tc>
          <w:tcPr>
            <w:tcW w:w="5254" w:type="dxa"/>
            <w:hideMark/>
          </w:tcPr>
          <w:p w14:paraId="60490973" w14:textId="56034FC5" w:rsidR="009C73D0" w:rsidRPr="009C73D0" w:rsidRDefault="00984A6F" w:rsidP="007F120F">
            <w:pPr>
              <w:keepNext w:val="0"/>
              <w:snapToGrid w:val="0"/>
              <w:spacing w:before="120"/>
              <w:jc w:val="left"/>
              <w:rPr>
                <w:rFonts w:cs="Arial"/>
              </w:rPr>
            </w:pPr>
            <w:r>
              <w:rPr>
                <w:rFonts w:cs="Arial"/>
              </w:rPr>
              <w:noBreakHyphen/>
            </w:r>
          </w:p>
        </w:tc>
      </w:tr>
      <w:tr w:rsidR="009C73D0" w:rsidRPr="00026EC1" w14:paraId="1A270DED" w14:textId="77777777" w:rsidTr="001309D8">
        <w:tc>
          <w:tcPr>
            <w:tcW w:w="4225" w:type="dxa"/>
            <w:hideMark/>
          </w:tcPr>
          <w:p w14:paraId="2B914A04" w14:textId="77777777" w:rsidR="009C73D0" w:rsidRPr="009C73D0" w:rsidRDefault="009C73D0" w:rsidP="007F120F">
            <w:pPr>
              <w:keepNext w:val="0"/>
              <w:snapToGrid w:val="0"/>
              <w:spacing w:before="120"/>
              <w:rPr>
                <w:rFonts w:cs="Arial"/>
              </w:rPr>
            </w:pPr>
            <w:r w:rsidRPr="009C73D0">
              <w:rPr>
                <w:rFonts w:cs="Arial"/>
              </w:rPr>
              <w:t>JOHN ABBOTT</w:t>
            </w:r>
          </w:p>
        </w:tc>
        <w:tc>
          <w:tcPr>
            <w:tcW w:w="5254" w:type="dxa"/>
            <w:hideMark/>
          </w:tcPr>
          <w:p w14:paraId="7FD143E8" w14:textId="3FBF0783"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Valleyfield</w:t>
            </w:r>
          </w:p>
        </w:tc>
      </w:tr>
      <w:tr w:rsidR="009C73D0" w:rsidRPr="00026EC1" w14:paraId="6535C41A" w14:textId="77777777" w:rsidTr="001309D8">
        <w:tc>
          <w:tcPr>
            <w:tcW w:w="4225" w:type="dxa"/>
            <w:hideMark/>
          </w:tcPr>
          <w:p w14:paraId="674DED46" w14:textId="77777777" w:rsidR="009C73D0" w:rsidRPr="009C73D0" w:rsidRDefault="009C73D0" w:rsidP="007F120F">
            <w:pPr>
              <w:keepNext w:val="0"/>
              <w:snapToGrid w:val="0"/>
              <w:spacing w:before="120"/>
              <w:rPr>
                <w:rFonts w:cs="Arial"/>
              </w:rPr>
            </w:pPr>
            <w:r w:rsidRPr="009C73D0">
              <w:rPr>
                <w:rFonts w:cs="Arial"/>
              </w:rPr>
              <w:t>JOLIETTE</w:t>
            </w:r>
          </w:p>
        </w:tc>
        <w:tc>
          <w:tcPr>
            <w:tcW w:w="5254" w:type="dxa"/>
            <w:hideMark/>
          </w:tcPr>
          <w:p w14:paraId="33948EC4" w14:textId="77777777" w:rsidR="009C73D0" w:rsidRPr="009C73D0" w:rsidRDefault="009C73D0" w:rsidP="007F120F">
            <w:pPr>
              <w:keepNext w:val="0"/>
              <w:snapToGrid w:val="0"/>
              <w:spacing w:before="120"/>
              <w:jc w:val="left"/>
              <w:rPr>
                <w:rFonts w:cs="Arial"/>
              </w:rPr>
            </w:pPr>
            <w:r w:rsidRPr="009C73D0">
              <w:rPr>
                <w:rFonts w:cs="Arial"/>
              </w:rPr>
              <w:t>L’Assomption, Terrebonne</w:t>
            </w:r>
          </w:p>
        </w:tc>
      </w:tr>
      <w:tr w:rsidR="009C73D0" w:rsidRPr="00026EC1" w14:paraId="22862137" w14:textId="77777777" w:rsidTr="001309D8">
        <w:tc>
          <w:tcPr>
            <w:tcW w:w="4225" w:type="dxa"/>
            <w:hideMark/>
          </w:tcPr>
          <w:p w14:paraId="5AB0FD8C" w14:textId="77777777" w:rsidR="009C73D0" w:rsidRPr="009C73D0" w:rsidRDefault="009C73D0" w:rsidP="007F120F">
            <w:pPr>
              <w:keepNext w:val="0"/>
              <w:spacing w:before="120"/>
              <w:rPr>
                <w:rFonts w:cs="Arial"/>
              </w:rPr>
            </w:pPr>
            <w:r w:rsidRPr="009C73D0">
              <w:rPr>
                <w:rFonts w:cs="Arial"/>
              </w:rPr>
              <w:t>JONQUIÈRE</w:t>
            </w:r>
          </w:p>
        </w:tc>
        <w:tc>
          <w:tcPr>
            <w:tcW w:w="5254" w:type="dxa"/>
            <w:hideMark/>
          </w:tcPr>
          <w:p w14:paraId="52FBD779" w14:textId="77777777" w:rsidR="009C73D0" w:rsidRPr="009C73D0" w:rsidRDefault="009C73D0" w:rsidP="007F120F">
            <w:pPr>
              <w:keepNext w:val="0"/>
              <w:spacing w:before="120"/>
              <w:jc w:val="left"/>
              <w:rPr>
                <w:rFonts w:cs="Arial"/>
              </w:rPr>
            </w:pPr>
            <w:r w:rsidRPr="009C73D0">
              <w:rPr>
                <w:rFonts w:cs="Arial"/>
              </w:rPr>
              <w:t>Alma, Chicoutimi</w:t>
            </w:r>
          </w:p>
        </w:tc>
      </w:tr>
      <w:tr w:rsidR="009C73D0" w:rsidRPr="00026EC1" w14:paraId="692E99C4" w14:textId="77777777" w:rsidTr="001309D8">
        <w:tc>
          <w:tcPr>
            <w:tcW w:w="4225" w:type="dxa"/>
            <w:hideMark/>
          </w:tcPr>
          <w:p w14:paraId="0EB4EFCF" w14:textId="133A1F54" w:rsidR="009C73D0" w:rsidRPr="009C73D0" w:rsidRDefault="009C73D0" w:rsidP="007F120F">
            <w:pPr>
              <w:keepNext w:val="0"/>
              <w:snapToGrid w:val="0"/>
              <w:spacing w:before="120"/>
              <w:rPr>
                <w:rFonts w:cs="Arial"/>
              </w:rPr>
            </w:pPr>
            <w:r w:rsidRPr="009C73D0">
              <w:rPr>
                <w:rFonts w:cs="Arial"/>
              </w:rPr>
              <w:t>LAC</w:t>
            </w:r>
            <w:r w:rsidR="00984A6F">
              <w:rPr>
                <w:rFonts w:cs="Arial"/>
              </w:rPr>
              <w:noBreakHyphen/>
            </w:r>
            <w:r w:rsidRPr="009C73D0">
              <w:rPr>
                <w:rFonts w:cs="Arial"/>
              </w:rPr>
              <w:t>MÉGANTIC</w:t>
            </w:r>
          </w:p>
        </w:tc>
        <w:tc>
          <w:tcPr>
            <w:tcW w:w="5254" w:type="dxa"/>
            <w:hideMark/>
          </w:tcPr>
          <w:p w14:paraId="4E608DD9" w14:textId="5A66D3C9" w:rsidR="009C73D0" w:rsidRPr="009C73D0" w:rsidRDefault="00984A6F" w:rsidP="007F120F">
            <w:pPr>
              <w:keepNext w:val="0"/>
              <w:snapToGrid w:val="0"/>
              <w:spacing w:before="120"/>
              <w:jc w:val="left"/>
              <w:rPr>
                <w:rFonts w:cs="Arial"/>
              </w:rPr>
            </w:pPr>
            <w:r>
              <w:rPr>
                <w:rFonts w:cs="Arial"/>
              </w:rPr>
              <w:noBreakHyphen/>
            </w:r>
          </w:p>
        </w:tc>
      </w:tr>
      <w:tr w:rsidR="009C73D0" w:rsidRPr="00026EC1" w14:paraId="39B157A3" w14:textId="77777777" w:rsidTr="001309D8">
        <w:tc>
          <w:tcPr>
            <w:tcW w:w="4225" w:type="dxa"/>
            <w:hideMark/>
          </w:tcPr>
          <w:p w14:paraId="3BCDEF89" w14:textId="77777777" w:rsidR="009C73D0" w:rsidRPr="009C73D0" w:rsidRDefault="009C73D0" w:rsidP="007F120F">
            <w:pPr>
              <w:keepNext w:val="0"/>
              <w:snapToGrid w:val="0"/>
              <w:spacing w:before="120"/>
              <w:rPr>
                <w:rFonts w:cs="Arial"/>
              </w:rPr>
            </w:pPr>
            <w:r w:rsidRPr="009C73D0">
              <w:rPr>
                <w:rFonts w:cs="Arial"/>
              </w:rPr>
              <w:t>LA POCATIÈRE</w:t>
            </w:r>
          </w:p>
        </w:tc>
        <w:tc>
          <w:tcPr>
            <w:tcW w:w="5254" w:type="dxa"/>
            <w:hideMark/>
          </w:tcPr>
          <w:p w14:paraId="666B33DB" w14:textId="3415CE93" w:rsidR="009C73D0" w:rsidRPr="009C73D0" w:rsidRDefault="009C73D0" w:rsidP="007F120F">
            <w:pPr>
              <w:keepNext w:val="0"/>
              <w:snapToGrid w:val="0"/>
              <w:spacing w:before="120"/>
              <w:jc w:val="left"/>
              <w:rPr>
                <w:rFonts w:cs="Arial"/>
              </w:rPr>
            </w:pPr>
            <w:r w:rsidRPr="009C73D0">
              <w:rPr>
                <w:rFonts w:cs="Arial"/>
              </w:rPr>
              <w:t>Montmagny</w:t>
            </w:r>
          </w:p>
        </w:tc>
      </w:tr>
      <w:tr w:rsidR="009C73D0" w:rsidRPr="00026EC1" w14:paraId="1F3C9C5F" w14:textId="77777777" w:rsidTr="001309D8">
        <w:tc>
          <w:tcPr>
            <w:tcW w:w="4225" w:type="dxa"/>
            <w:hideMark/>
          </w:tcPr>
          <w:p w14:paraId="637BE473" w14:textId="77777777" w:rsidR="009C73D0" w:rsidRPr="009C73D0" w:rsidRDefault="009C73D0" w:rsidP="007F120F">
            <w:pPr>
              <w:keepNext w:val="0"/>
              <w:snapToGrid w:val="0"/>
              <w:spacing w:before="120"/>
              <w:rPr>
                <w:rFonts w:cs="Arial"/>
              </w:rPr>
            </w:pPr>
            <w:r w:rsidRPr="009C73D0">
              <w:rPr>
                <w:rFonts w:cs="Arial"/>
              </w:rPr>
              <w:t>L’ASSOMPTION</w:t>
            </w:r>
          </w:p>
        </w:tc>
        <w:tc>
          <w:tcPr>
            <w:tcW w:w="5254" w:type="dxa"/>
            <w:hideMark/>
          </w:tcPr>
          <w:p w14:paraId="22F8009F" w14:textId="35D637A7" w:rsidR="009C73D0" w:rsidRPr="009C73D0" w:rsidRDefault="009C73D0" w:rsidP="007F120F">
            <w:pPr>
              <w:keepNext w:val="0"/>
              <w:snapToGrid w:val="0"/>
              <w:spacing w:before="120"/>
              <w:jc w:val="left"/>
              <w:rPr>
                <w:rFonts w:cs="Arial"/>
              </w:rPr>
            </w:pPr>
            <w:r w:rsidRPr="009C73D0">
              <w:rPr>
                <w:rFonts w:cs="Arial"/>
              </w:rPr>
              <w:t>Ahuntsic, Joliette, Lionel</w:t>
            </w:r>
            <w:r w:rsidR="00984A6F">
              <w:rPr>
                <w:rFonts w:cs="Arial"/>
              </w:rPr>
              <w:noBreakHyphen/>
            </w:r>
            <w:r w:rsidRPr="009C73D0">
              <w:rPr>
                <w:rFonts w:cs="Arial"/>
              </w:rPr>
              <w:t>Groulx, Maisonneuve, Marie</w:t>
            </w:r>
            <w:r w:rsidR="00984A6F">
              <w:rPr>
                <w:rFonts w:cs="Arial"/>
              </w:rPr>
              <w:noBreakHyphen/>
            </w:r>
            <w:r w:rsidRPr="009C73D0">
              <w:rPr>
                <w:rFonts w:cs="Arial"/>
              </w:rPr>
              <w:t>Victorin, Rosemont, Terrebonne</w:t>
            </w:r>
          </w:p>
        </w:tc>
      </w:tr>
      <w:tr w:rsidR="009C73D0" w:rsidRPr="00026EC1" w14:paraId="5D76C8F6" w14:textId="77777777" w:rsidTr="001309D8">
        <w:tc>
          <w:tcPr>
            <w:tcW w:w="4225" w:type="dxa"/>
            <w:hideMark/>
          </w:tcPr>
          <w:p w14:paraId="0678606E" w14:textId="6FB96545" w:rsidR="009C73D0" w:rsidRPr="009C73D0" w:rsidRDefault="009C73D0" w:rsidP="007F120F">
            <w:pPr>
              <w:keepNext w:val="0"/>
              <w:snapToGrid w:val="0"/>
              <w:spacing w:before="120"/>
              <w:rPr>
                <w:rFonts w:cs="Arial"/>
              </w:rPr>
            </w:pPr>
            <w:r w:rsidRPr="009C73D0">
              <w:rPr>
                <w:rFonts w:cs="Arial"/>
              </w:rPr>
              <w:t>LÉVIS</w:t>
            </w:r>
          </w:p>
        </w:tc>
        <w:tc>
          <w:tcPr>
            <w:tcW w:w="5254" w:type="dxa"/>
            <w:hideMark/>
          </w:tcPr>
          <w:p w14:paraId="531811FC" w14:textId="77777777" w:rsidR="009C73D0" w:rsidRPr="009C73D0" w:rsidRDefault="009C73D0" w:rsidP="007F120F">
            <w:pPr>
              <w:keepNext w:val="0"/>
              <w:snapToGrid w:val="0"/>
              <w:spacing w:before="120"/>
              <w:jc w:val="left"/>
              <w:rPr>
                <w:rFonts w:cs="Arial"/>
              </w:rPr>
            </w:pPr>
            <w:r w:rsidRPr="009C73D0">
              <w:rPr>
                <w:rFonts w:cs="Arial"/>
              </w:rPr>
              <w:t>Montmagny, Région de Québec**</w:t>
            </w:r>
          </w:p>
        </w:tc>
      </w:tr>
      <w:tr w:rsidR="009C73D0" w:rsidRPr="00026EC1" w14:paraId="2C8B93AF" w14:textId="77777777" w:rsidTr="001309D8">
        <w:tc>
          <w:tcPr>
            <w:tcW w:w="4225" w:type="dxa"/>
            <w:hideMark/>
          </w:tcPr>
          <w:p w14:paraId="31086C18" w14:textId="77777777" w:rsidR="009C73D0" w:rsidRPr="009C73D0" w:rsidRDefault="009C73D0" w:rsidP="007F120F">
            <w:pPr>
              <w:keepNext w:val="0"/>
              <w:snapToGrid w:val="0"/>
              <w:spacing w:before="120"/>
              <w:rPr>
                <w:rFonts w:cs="Arial"/>
              </w:rPr>
            </w:pPr>
            <w:r w:rsidRPr="009C73D0">
              <w:rPr>
                <w:rFonts w:cs="Arial"/>
              </w:rPr>
              <w:t>LIMOILOU</w:t>
            </w:r>
          </w:p>
        </w:tc>
        <w:tc>
          <w:tcPr>
            <w:tcW w:w="5254" w:type="dxa"/>
          </w:tcPr>
          <w:p w14:paraId="2B27AFAF" w14:textId="77777777" w:rsidR="009C73D0" w:rsidRPr="009C73D0" w:rsidRDefault="009C73D0" w:rsidP="007F120F">
            <w:pPr>
              <w:keepNext w:val="0"/>
              <w:spacing w:before="120"/>
              <w:jc w:val="left"/>
              <w:rPr>
                <w:rFonts w:cs="Arial"/>
              </w:rPr>
            </w:pPr>
            <w:r w:rsidRPr="009C73D0">
              <w:rPr>
                <w:rFonts w:cs="Arial"/>
              </w:rPr>
              <w:t>Région de Québec**</w:t>
            </w:r>
          </w:p>
        </w:tc>
      </w:tr>
      <w:tr w:rsidR="009C73D0" w:rsidRPr="00026EC1" w14:paraId="37C1F8FB" w14:textId="77777777" w:rsidTr="001309D8">
        <w:tc>
          <w:tcPr>
            <w:tcW w:w="4225" w:type="dxa"/>
            <w:hideMark/>
          </w:tcPr>
          <w:p w14:paraId="01AD6284" w14:textId="48001F6D" w:rsidR="009C73D0" w:rsidRPr="009C73D0" w:rsidRDefault="009C73D0" w:rsidP="007F120F">
            <w:pPr>
              <w:keepNext w:val="0"/>
              <w:snapToGrid w:val="0"/>
              <w:spacing w:before="120"/>
              <w:rPr>
                <w:rFonts w:cs="Arial"/>
              </w:rPr>
            </w:pPr>
            <w:r w:rsidRPr="009C73D0">
              <w:rPr>
                <w:rFonts w:cs="Arial"/>
              </w:rPr>
              <w:t>LIONEL</w:t>
            </w:r>
            <w:r w:rsidR="00984A6F">
              <w:rPr>
                <w:rFonts w:cs="Arial"/>
              </w:rPr>
              <w:noBreakHyphen/>
            </w:r>
            <w:r w:rsidRPr="009C73D0">
              <w:rPr>
                <w:rFonts w:cs="Arial"/>
              </w:rPr>
              <w:t>GROULX</w:t>
            </w:r>
          </w:p>
        </w:tc>
        <w:tc>
          <w:tcPr>
            <w:tcW w:w="5254" w:type="dxa"/>
            <w:hideMark/>
          </w:tcPr>
          <w:p w14:paraId="73A90F6F" w14:textId="07A1DBE7" w:rsidR="009C73D0" w:rsidRPr="009C73D0" w:rsidRDefault="009C73D0" w:rsidP="007F120F">
            <w:pPr>
              <w:pStyle w:val="Document1"/>
              <w:keepNext w:val="0"/>
              <w:keepLines w:val="0"/>
              <w:widowControl/>
              <w:tabs>
                <w:tab w:val="left" w:pos="708"/>
              </w:tabs>
              <w:spacing w:before="120"/>
              <w:rPr>
                <w:rFonts w:ascii="Arial" w:hAnsi="Arial" w:cs="Arial"/>
                <w:szCs w:val="24"/>
                <w:lang w:val="fr-CA"/>
              </w:rPr>
            </w:pPr>
            <w:r w:rsidRPr="009C73D0">
              <w:rPr>
                <w:rFonts w:ascii="Arial" w:hAnsi="Arial" w:cs="Arial"/>
                <w:szCs w:val="24"/>
                <w:lang w:val="fr-CA"/>
              </w:rPr>
              <w:t>Île de Montréal*, L’Assomption, Montmorency, Saint</w:t>
            </w:r>
            <w:r w:rsidR="00984A6F">
              <w:rPr>
                <w:rFonts w:ascii="Arial" w:hAnsi="Arial" w:cs="Arial"/>
                <w:szCs w:val="24"/>
                <w:lang w:val="fr-CA"/>
              </w:rPr>
              <w:noBreakHyphen/>
            </w:r>
            <w:r w:rsidRPr="009C73D0">
              <w:rPr>
                <w:rFonts w:ascii="Arial" w:hAnsi="Arial" w:cs="Arial"/>
                <w:szCs w:val="24"/>
                <w:lang w:val="fr-CA"/>
              </w:rPr>
              <w:t>Jérôme, Terrebonne</w:t>
            </w:r>
          </w:p>
        </w:tc>
      </w:tr>
      <w:tr w:rsidR="009C73D0" w:rsidRPr="00026EC1" w14:paraId="6432284E" w14:textId="77777777" w:rsidTr="001309D8">
        <w:tc>
          <w:tcPr>
            <w:tcW w:w="4225" w:type="dxa"/>
            <w:hideMark/>
          </w:tcPr>
          <w:p w14:paraId="27799611" w14:textId="77777777" w:rsidR="009C73D0" w:rsidRPr="009C73D0" w:rsidRDefault="009C73D0" w:rsidP="007F120F">
            <w:pPr>
              <w:keepNext w:val="0"/>
              <w:snapToGrid w:val="0"/>
              <w:spacing w:before="120"/>
              <w:rPr>
                <w:rFonts w:cs="Arial"/>
              </w:rPr>
            </w:pPr>
            <w:r w:rsidRPr="009C73D0">
              <w:rPr>
                <w:rFonts w:cs="Arial"/>
              </w:rPr>
              <w:t>MAISONNEUVE</w:t>
            </w:r>
          </w:p>
        </w:tc>
        <w:tc>
          <w:tcPr>
            <w:tcW w:w="5254" w:type="dxa"/>
            <w:hideMark/>
          </w:tcPr>
          <w:p w14:paraId="7E7EDEB1" w14:textId="16459114"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L’Assomption, Lionel</w:t>
            </w:r>
            <w:r w:rsidR="00984A6F">
              <w:rPr>
                <w:rFonts w:cs="Arial"/>
              </w:rPr>
              <w:noBreakHyphen/>
            </w:r>
            <w:r w:rsidRPr="009C73D0">
              <w:rPr>
                <w:rFonts w:cs="Arial"/>
              </w:rPr>
              <w:t>Groulx, Montmorency,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 Terrebonne</w:t>
            </w:r>
          </w:p>
        </w:tc>
      </w:tr>
      <w:tr w:rsidR="009C73D0" w:rsidRPr="00026EC1" w14:paraId="6DD4C0CE" w14:textId="77777777" w:rsidTr="001309D8">
        <w:tc>
          <w:tcPr>
            <w:tcW w:w="4225" w:type="dxa"/>
            <w:hideMark/>
          </w:tcPr>
          <w:p w14:paraId="734129D9" w14:textId="4E8CCFD2" w:rsidR="009C73D0" w:rsidRPr="009C73D0" w:rsidRDefault="009C73D0" w:rsidP="007F120F">
            <w:pPr>
              <w:keepNext w:val="0"/>
              <w:snapToGrid w:val="0"/>
              <w:spacing w:before="120"/>
              <w:rPr>
                <w:rFonts w:cs="Arial"/>
              </w:rPr>
            </w:pPr>
            <w:r w:rsidRPr="009C73D0">
              <w:rPr>
                <w:rFonts w:cs="Arial"/>
              </w:rPr>
              <w:t>MARIE</w:t>
            </w:r>
            <w:r w:rsidR="00984A6F">
              <w:rPr>
                <w:rFonts w:cs="Arial"/>
              </w:rPr>
              <w:noBreakHyphen/>
            </w:r>
            <w:r w:rsidRPr="009C73D0">
              <w:rPr>
                <w:rFonts w:cs="Arial"/>
              </w:rPr>
              <w:t>VICTORIN</w:t>
            </w:r>
          </w:p>
        </w:tc>
        <w:tc>
          <w:tcPr>
            <w:tcW w:w="5254" w:type="dxa"/>
            <w:hideMark/>
          </w:tcPr>
          <w:p w14:paraId="25EF7128" w14:textId="0F9FB33B"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L’Assomption, Lionel</w:t>
            </w:r>
            <w:r w:rsidR="00984A6F">
              <w:rPr>
                <w:rFonts w:cs="Arial"/>
              </w:rPr>
              <w:noBreakHyphen/>
            </w:r>
            <w:r w:rsidRPr="009C73D0">
              <w:rPr>
                <w:rFonts w:cs="Arial"/>
              </w:rPr>
              <w:t>Groulx, Montmorency, Terrebonne</w:t>
            </w:r>
          </w:p>
        </w:tc>
      </w:tr>
      <w:tr w:rsidR="009C73D0" w:rsidRPr="00026EC1" w14:paraId="0661CB40" w14:textId="77777777" w:rsidTr="001309D8">
        <w:tc>
          <w:tcPr>
            <w:tcW w:w="4225" w:type="dxa"/>
            <w:hideMark/>
          </w:tcPr>
          <w:p w14:paraId="15F57E4C" w14:textId="77777777" w:rsidR="009C73D0" w:rsidRPr="009C73D0" w:rsidRDefault="009C73D0" w:rsidP="007F120F">
            <w:pPr>
              <w:keepNext w:val="0"/>
              <w:snapToGrid w:val="0"/>
              <w:spacing w:before="120"/>
              <w:rPr>
                <w:rFonts w:cs="Arial"/>
              </w:rPr>
            </w:pPr>
            <w:r w:rsidRPr="009C73D0">
              <w:rPr>
                <w:rFonts w:cs="Arial"/>
              </w:rPr>
              <w:t>MATANE</w:t>
            </w:r>
          </w:p>
        </w:tc>
        <w:tc>
          <w:tcPr>
            <w:tcW w:w="5254" w:type="dxa"/>
            <w:hideMark/>
          </w:tcPr>
          <w:p w14:paraId="05FAECF9" w14:textId="60146644" w:rsidR="009C73D0" w:rsidRPr="009C73D0" w:rsidRDefault="00984A6F" w:rsidP="007F120F">
            <w:pPr>
              <w:keepNext w:val="0"/>
              <w:snapToGrid w:val="0"/>
              <w:spacing w:before="120"/>
              <w:jc w:val="left"/>
              <w:rPr>
                <w:rFonts w:cs="Arial"/>
              </w:rPr>
            </w:pPr>
            <w:r>
              <w:rPr>
                <w:rFonts w:cs="Arial"/>
              </w:rPr>
              <w:noBreakHyphen/>
            </w:r>
          </w:p>
        </w:tc>
      </w:tr>
      <w:tr w:rsidR="009C73D0" w:rsidRPr="00026EC1" w14:paraId="2C0901E3" w14:textId="77777777" w:rsidTr="001309D8">
        <w:tc>
          <w:tcPr>
            <w:tcW w:w="4225" w:type="dxa"/>
            <w:hideMark/>
          </w:tcPr>
          <w:p w14:paraId="70BF11F7" w14:textId="77777777" w:rsidR="009C73D0" w:rsidRPr="009C73D0" w:rsidRDefault="009C73D0" w:rsidP="007F120F">
            <w:pPr>
              <w:keepNext w:val="0"/>
              <w:snapToGrid w:val="0"/>
              <w:spacing w:before="120"/>
              <w:rPr>
                <w:rFonts w:cs="Arial"/>
              </w:rPr>
            </w:pPr>
            <w:r w:rsidRPr="009C73D0">
              <w:rPr>
                <w:rFonts w:cs="Arial"/>
              </w:rPr>
              <w:t>MATAPÉDIA (Matane)</w:t>
            </w:r>
          </w:p>
        </w:tc>
        <w:tc>
          <w:tcPr>
            <w:tcW w:w="5254" w:type="dxa"/>
            <w:hideMark/>
          </w:tcPr>
          <w:p w14:paraId="6D212804" w14:textId="77777777" w:rsidR="009C73D0" w:rsidRPr="009C73D0" w:rsidRDefault="009C73D0" w:rsidP="007F120F">
            <w:pPr>
              <w:keepNext w:val="0"/>
              <w:snapToGrid w:val="0"/>
              <w:spacing w:before="120"/>
              <w:jc w:val="left"/>
              <w:rPr>
                <w:rFonts w:cs="Arial"/>
              </w:rPr>
            </w:pPr>
            <w:r w:rsidRPr="009C73D0">
              <w:rPr>
                <w:rFonts w:cs="Arial"/>
              </w:rPr>
              <w:t>Matapédia (Rimouski)</w:t>
            </w:r>
          </w:p>
        </w:tc>
      </w:tr>
      <w:tr w:rsidR="009C73D0" w:rsidRPr="00026EC1" w14:paraId="69FFB7F2" w14:textId="77777777" w:rsidTr="001309D8">
        <w:tc>
          <w:tcPr>
            <w:tcW w:w="4225" w:type="dxa"/>
            <w:hideMark/>
          </w:tcPr>
          <w:p w14:paraId="709A329C" w14:textId="77777777" w:rsidR="009C73D0" w:rsidRPr="009C73D0" w:rsidRDefault="009C73D0" w:rsidP="007F120F">
            <w:pPr>
              <w:keepNext w:val="0"/>
              <w:snapToGrid w:val="0"/>
              <w:spacing w:before="120"/>
              <w:rPr>
                <w:rFonts w:cs="Arial"/>
              </w:rPr>
            </w:pPr>
            <w:r w:rsidRPr="009C73D0">
              <w:rPr>
                <w:rFonts w:cs="Arial"/>
              </w:rPr>
              <w:t>MATAPÉDIA (Rimouski)</w:t>
            </w:r>
          </w:p>
        </w:tc>
        <w:tc>
          <w:tcPr>
            <w:tcW w:w="5254" w:type="dxa"/>
            <w:hideMark/>
          </w:tcPr>
          <w:p w14:paraId="66948002" w14:textId="77777777" w:rsidR="009C73D0" w:rsidRPr="009C73D0" w:rsidRDefault="009C73D0" w:rsidP="007F120F">
            <w:pPr>
              <w:keepNext w:val="0"/>
              <w:snapToGrid w:val="0"/>
              <w:spacing w:before="120"/>
              <w:jc w:val="left"/>
              <w:rPr>
                <w:rFonts w:cs="Arial"/>
              </w:rPr>
            </w:pPr>
            <w:r w:rsidRPr="009C73D0">
              <w:rPr>
                <w:rFonts w:cs="Arial"/>
              </w:rPr>
              <w:t>Matapédia (Matane)</w:t>
            </w:r>
          </w:p>
        </w:tc>
      </w:tr>
      <w:tr w:rsidR="009C73D0" w:rsidRPr="00026EC1" w14:paraId="34F8737A" w14:textId="77777777" w:rsidTr="001309D8">
        <w:tc>
          <w:tcPr>
            <w:tcW w:w="4225" w:type="dxa"/>
            <w:hideMark/>
          </w:tcPr>
          <w:p w14:paraId="1240BC59" w14:textId="7C5BE3F8" w:rsidR="009C73D0" w:rsidRPr="009C73D0" w:rsidRDefault="009C73D0" w:rsidP="007F120F">
            <w:pPr>
              <w:keepNext w:val="0"/>
              <w:snapToGrid w:val="0"/>
              <w:spacing w:before="120"/>
              <w:rPr>
                <w:rFonts w:cs="Arial"/>
              </w:rPr>
            </w:pPr>
            <w:r w:rsidRPr="009C73D0">
              <w:rPr>
                <w:rFonts w:cs="Arial"/>
              </w:rPr>
              <w:t>MONT</w:t>
            </w:r>
            <w:r w:rsidR="00984A6F">
              <w:rPr>
                <w:rFonts w:cs="Arial"/>
              </w:rPr>
              <w:noBreakHyphen/>
            </w:r>
            <w:r w:rsidRPr="009C73D0">
              <w:rPr>
                <w:rFonts w:cs="Arial"/>
              </w:rPr>
              <w:t>LAURIER</w:t>
            </w:r>
          </w:p>
        </w:tc>
        <w:tc>
          <w:tcPr>
            <w:tcW w:w="5254" w:type="dxa"/>
            <w:hideMark/>
          </w:tcPr>
          <w:p w14:paraId="5886585B" w14:textId="444449A3" w:rsidR="009C73D0" w:rsidRPr="009C73D0" w:rsidRDefault="00984A6F" w:rsidP="007F120F">
            <w:pPr>
              <w:keepNext w:val="0"/>
              <w:snapToGrid w:val="0"/>
              <w:spacing w:before="120"/>
              <w:jc w:val="left"/>
              <w:rPr>
                <w:rFonts w:cs="Arial"/>
              </w:rPr>
            </w:pPr>
            <w:r>
              <w:rPr>
                <w:rFonts w:cs="Arial"/>
              </w:rPr>
              <w:noBreakHyphen/>
            </w:r>
          </w:p>
        </w:tc>
      </w:tr>
      <w:tr w:rsidR="009C73D0" w:rsidRPr="00026EC1" w14:paraId="5D43403D" w14:textId="77777777" w:rsidTr="001309D8">
        <w:tc>
          <w:tcPr>
            <w:tcW w:w="4225" w:type="dxa"/>
            <w:hideMark/>
          </w:tcPr>
          <w:p w14:paraId="3A72CFAF" w14:textId="77777777" w:rsidR="009C73D0" w:rsidRPr="009C73D0" w:rsidRDefault="009C73D0" w:rsidP="007F120F">
            <w:pPr>
              <w:keepNext w:val="0"/>
              <w:snapToGrid w:val="0"/>
              <w:spacing w:before="120"/>
              <w:rPr>
                <w:rFonts w:cs="Arial"/>
              </w:rPr>
            </w:pPr>
            <w:r w:rsidRPr="009C73D0">
              <w:rPr>
                <w:rFonts w:cs="Arial"/>
              </w:rPr>
              <w:t>MONTMAGNY</w:t>
            </w:r>
          </w:p>
        </w:tc>
        <w:tc>
          <w:tcPr>
            <w:tcW w:w="5254" w:type="dxa"/>
            <w:hideMark/>
          </w:tcPr>
          <w:p w14:paraId="61964789" w14:textId="366EF670" w:rsidR="009C73D0" w:rsidRPr="009C73D0" w:rsidRDefault="009C73D0" w:rsidP="007F120F">
            <w:pPr>
              <w:keepNext w:val="0"/>
              <w:snapToGrid w:val="0"/>
              <w:spacing w:before="120"/>
              <w:jc w:val="left"/>
              <w:rPr>
                <w:rFonts w:cs="Arial"/>
              </w:rPr>
            </w:pPr>
            <w:r w:rsidRPr="009C73D0">
              <w:rPr>
                <w:rFonts w:cs="Arial"/>
              </w:rPr>
              <w:t>La Pocatière, Lévis</w:t>
            </w:r>
          </w:p>
        </w:tc>
      </w:tr>
      <w:tr w:rsidR="009C73D0" w:rsidRPr="00026EC1" w14:paraId="18050FD9" w14:textId="77777777" w:rsidTr="001309D8">
        <w:tc>
          <w:tcPr>
            <w:tcW w:w="4225" w:type="dxa"/>
          </w:tcPr>
          <w:p w14:paraId="78044C75" w14:textId="77777777" w:rsidR="009C73D0" w:rsidRPr="009C73D0" w:rsidRDefault="009C73D0" w:rsidP="007F120F">
            <w:pPr>
              <w:keepNext w:val="0"/>
              <w:spacing w:before="120"/>
              <w:rPr>
                <w:rFonts w:cs="Arial"/>
              </w:rPr>
            </w:pPr>
            <w:r w:rsidRPr="009C73D0">
              <w:rPr>
                <w:rFonts w:cs="Arial"/>
              </w:rPr>
              <w:t>MONTMORENCY</w:t>
            </w:r>
          </w:p>
        </w:tc>
        <w:tc>
          <w:tcPr>
            <w:tcW w:w="5254" w:type="dxa"/>
            <w:hideMark/>
          </w:tcPr>
          <w:p w14:paraId="57F61EB6" w14:textId="513379F5" w:rsidR="009C73D0" w:rsidRPr="009C73D0" w:rsidRDefault="009C73D0" w:rsidP="007F120F">
            <w:pPr>
              <w:keepNext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Saint</w:t>
            </w:r>
            <w:r w:rsidR="00984A6F">
              <w:rPr>
                <w:rFonts w:cs="Arial"/>
              </w:rPr>
              <w:noBreakHyphen/>
            </w:r>
            <w:r w:rsidRPr="009C73D0">
              <w:rPr>
                <w:rFonts w:cs="Arial"/>
              </w:rPr>
              <w:t>Jérôme, Terrebonne</w:t>
            </w:r>
          </w:p>
        </w:tc>
      </w:tr>
      <w:tr w:rsidR="009C73D0" w:rsidRPr="00026EC1" w14:paraId="53361C26" w14:textId="77777777" w:rsidTr="001309D8">
        <w:tc>
          <w:tcPr>
            <w:tcW w:w="4225" w:type="dxa"/>
            <w:hideMark/>
          </w:tcPr>
          <w:p w14:paraId="153DC89C" w14:textId="5F0E6F7F" w:rsidR="009C73D0" w:rsidRPr="009C73D0" w:rsidRDefault="009C73D0" w:rsidP="007F120F">
            <w:pPr>
              <w:keepNext w:val="0"/>
              <w:snapToGrid w:val="0"/>
              <w:spacing w:before="120"/>
              <w:rPr>
                <w:rFonts w:cs="Arial"/>
              </w:rPr>
            </w:pPr>
            <w:r w:rsidRPr="009C73D0">
              <w:rPr>
                <w:rFonts w:cs="Arial"/>
              </w:rPr>
              <w:t>MONT</w:t>
            </w:r>
            <w:r w:rsidR="00984A6F">
              <w:rPr>
                <w:rFonts w:cs="Arial"/>
              </w:rPr>
              <w:noBreakHyphen/>
            </w:r>
            <w:r w:rsidRPr="009C73D0">
              <w:rPr>
                <w:rFonts w:cs="Arial"/>
              </w:rPr>
              <w:t>TREMBLANT</w:t>
            </w:r>
          </w:p>
        </w:tc>
        <w:tc>
          <w:tcPr>
            <w:tcW w:w="5254" w:type="dxa"/>
            <w:hideMark/>
          </w:tcPr>
          <w:p w14:paraId="7E45B4CD" w14:textId="4BF3D250" w:rsidR="009C73D0" w:rsidRPr="009C73D0" w:rsidRDefault="00984A6F" w:rsidP="007F120F">
            <w:pPr>
              <w:keepNext w:val="0"/>
              <w:snapToGrid w:val="0"/>
              <w:spacing w:before="120"/>
              <w:jc w:val="left"/>
              <w:rPr>
                <w:rFonts w:cs="Arial"/>
              </w:rPr>
            </w:pPr>
            <w:r>
              <w:rPr>
                <w:rFonts w:cs="Arial"/>
              </w:rPr>
              <w:noBreakHyphen/>
            </w:r>
          </w:p>
        </w:tc>
      </w:tr>
      <w:tr w:rsidR="009C73D0" w:rsidRPr="00026EC1" w14:paraId="6423C18F" w14:textId="77777777" w:rsidTr="001309D8">
        <w:tc>
          <w:tcPr>
            <w:tcW w:w="4225" w:type="dxa"/>
            <w:hideMark/>
          </w:tcPr>
          <w:p w14:paraId="5DE2CB6C" w14:textId="77777777" w:rsidR="009C73D0" w:rsidRPr="009C73D0" w:rsidRDefault="009C73D0" w:rsidP="007F120F">
            <w:pPr>
              <w:keepNext w:val="0"/>
              <w:snapToGrid w:val="0"/>
              <w:spacing w:before="120"/>
              <w:rPr>
                <w:rFonts w:cs="Arial"/>
              </w:rPr>
            </w:pPr>
            <w:r w:rsidRPr="009C73D0">
              <w:rPr>
                <w:rFonts w:cs="Arial"/>
              </w:rPr>
              <w:t>OUTAOUAIS</w:t>
            </w:r>
          </w:p>
        </w:tc>
        <w:tc>
          <w:tcPr>
            <w:tcW w:w="5254" w:type="dxa"/>
            <w:hideMark/>
          </w:tcPr>
          <w:p w14:paraId="60A2E478" w14:textId="77777777" w:rsidR="009C73D0" w:rsidRPr="009C73D0" w:rsidRDefault="009C73D0" w:rsidP="007F120F">
            <w:pPr>
              <w:keepNext w:val="0"/>
              <w:snapToGrid w:val="0"/>
              <w:spacing w:before="120"/>
              <w:jc w:val="left"/>
              <w:rPr>
                <w:rFonts w:cs="Arial"/>
              </w:rPr>
            </w:pPr>
            <w:r w:rsidRPr="009C73D0">
              <w:rPr>
                <w:rFonts w:cs="Arial"/>
              </w:rPr>
              <w:t>Heritage</w:t>
            </w:r>
          </w:p>
        </w:tc>
      </w:tr>
      <w:tr w:rsidR="009C73D0" w:rsidRPr="00026EC1" w14:paraId="27B82410" w14:textId="77777777" w:rsidTr="001309D8">
        <w:tc>
          <w:tcPr>
            <w:tcW w:w="4225" w:type="dxa"/>
            <w:hideMark/>
          </w:tcPr>
          <w:p w14:paraId="4AC56F5A" w14:textId="77777777" w:rsidR="009C73D0" w:rsidRPr="009C73D0" w:rsidRDefault="009C73D0" w:rsidP="007F120F">
            <w:pPr>
              <w:keepNext w:val="0"/>
              <w:snapToGrid w:val="0"/>
              <w:spacing w:before="120"/>
              <w:rPr>
                <w:rFonts w:cs="Arial"/>
              </w:rPr>
            </w:pPr>
            <w:r w:rsidRPr="009C73D0">
              <w:rPr>
                <w:rFonts w:cs="Arial"/>
              </w:rPr>
              <w:t>RIMOUSKI</w:t>
            </w:r>
          </w:p>
        </w:tc>
        <w:tc>
          <w:tcPr>
            <w:tcW w:w="5254" w:type="dxa"/>
            <w:hideMark/>
          </w:tcPr>
          <w:p w14:paraId="134DB8D3" w14:textId="746D7B5B" w:rsidR="009C73D0" w:rsidRPr="009C73D0" w:rsidRDefault="00984A6F" w:rsidP="007F120F">
            <w:pPr>
              <w:keepNext w:val="0"/>
              <w:snapToGrid w:val="0"/>
              <w:spacing w:before="120"/>
              <w:jc w:val="left"/>
              <w:rPr>
                <w:rFonts w:cs="Arial"/>
              </w:rPr>
            </w:pPr>
            <w:r>
              <w:rPr>
                <w:rFonts w:cs="Arial"/>
              </w:rPr>
              <w:noBreakHyphen/>
            </w:r>
          </w:p>
        </w:tc>
      </w:tr>
      <w:tr w:rsidR="009C73D0" w:rsidRPr="00026EC1" w14:paraId="37BD75D2" w14:textId="77777777" w:rsidTr="001309D8">
        <w:tc>
          <w:tcPr>
            <w:tcW w:w="4225" w:type="dxa"/>
            <w:hideMark/>
          </w:tcPr>
          <w:p w14:paraId="5E4C3022" w14:textId="28D11A28" w:rsidR="009C73D0" w:rsidRPr="009C73D0" w:rsidRDefault="009C73D0" w:rsidP="007F120F">
            <w:pPr>
              <w:keepNext w:val="0"/>
              <w:snapToGrid w:val="0"/>
              <w:spacing w:before="120"/>
              <w:rPr>
                <w:rFonts w:cs="Arial"/>
              </w:rPr>
            </w:pPr>
            <w:r w:rsidRPr="009C73D0">
              <w:rPr>
                <w:rFonts w:cs="Arial"/>
              </w:rPr>
              <w:t>RIVIÈRE</w:t>
            </w:r>
            <w:r w:rsidR="00984A6F">
              <w:rPr>
                <w:rFonts w:cs="Arial"/>
              </w:rPr>
              <w:noBreakHyphen/>
            </w:r>
            <w:r w:rsidRPr="009C73D0">
              <w:rPr>
                <w:rFonts w:cs="Arial"/>
              </w:rPr>
              <w:t>DU</w:t>
            </w:r>
            <w:r w:rsidR="00984A6F">
              <w:rPr>
                <w:rFonts w:cs="Arial"/>
              </w:rPr>
              <w:noBreakHyphen/>
            </w:r>
            <w:r w:rsidRPr="009C73D0">
              <w:rPr>
                <w:rFonts w:cs="Arial"/>
              </w:rPr>
              <w:t>LOUP</w:t>
            </w:r>
          </w:p>
        </w:tc>
        <w:tc>
          <w:tcPr>
            <w:tcW w:w="5254" w:type="dxa"/>
            <w:hideMark/>
          </w:tcPr>
          <w:p w14:paraId="2BDF7CA4" w14:textId="0E043FF7" w:rsidR="009C73D0" w:rsidRPr="009C73D0" w:rsidRDefault="00984A6F" w:rsidP="007F120F">
            <w:pPr>
              <w:keepNext w:val="0"/>
              <w:snapToGrid w:val="0"/>
              <w:spacing w:before="120"/>
              <w:jc w:val="left"/>
              <w:rPr>
                <w:rFonts w:cs="Arial"/>
              </w:rPr>
            </w:pPr>
            <w:r>
              <w:rPr>
                <w:rFonts w:cs="Arial"/>
              </w:rPr>
              <w:noBreakHyphen/>
            </w:r>
          </w:p>
        </w:tc>
      </w:tr>
      <w:tr w:rsidR="009C73D0" w:rsidRPr="00026EC1" w14:paraId="6C9E2908" w14:textId="77777777" w:rsidTr="001309D8">
        <w:tc>
          <w:tcPr>
            <w:tcW w:w="4225" w:type="dxa"/>
            <w:hideMark/>
          </w:tcPr>
          <w:p w14:paraId="7A5DD5BF" w14:textId="77777777" w:rsidR="009C73D0" w:rsidRPr="009C73D0" w:rsidRDefault="009C73D0" w:rsidP="007F120F">
            <w:pPr>
              <w:keepNext w:val="0"/>
              <w:snapToGrid w:val="0"/>
              <w:spacing w:before="120"/>
              <w:rPr>
                <w:rFonts w:cs="Arial"/>
              </w:rPr>
            </w:pPr>
            <w:r w:rsidRPr="009C73D0">
              <w:rPr>
                <w:rFonts w:cs="Arial"/>
              </w:rPr>
              <w:t>ROSEMONT</w:t>
            </w:r>
          </w:p>
        </w:tc>
        <w:tc>
          <w:tcPr>
            <w:tcW w:w="5254" w:type="dxa"/>
            <w:hideMark/>
          </w:tcPr>
          <w:p w14:paraId="7CDE0621" w14:textId="77259D89"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L’Assomption, Lionel</w:t>
            </w:r>
            <w:r w:rsidR="00984A6F">
              <w:rPr>
                <w:rFonts w:cs="Arial"/>
              </w:rPr>
              <w:noBreakHyphen/>
            </w:r>
            <w:r w:rsidRPr="009C73D0">
              <w:rPr>
                <w:rFonts w:cs="Arial"/>
              </w:rPr>
              <w:t>Groulx, Montmorency, 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 Terrebonne</w:t>
            </w:r>
          </w:p>
        </w:tc>
      </w:tr>
      <w:tr w:rsidR="009C73D0" w:rsidRPr="00026EC1" w14:paraId="4643663F" w14:textId="77777777" w:rsidTr="001309D8">
        <w:tc>
          <w:tcPr>
            <w:tcW w:w="4225" w:type="dxa"/>
            <w:hideMark/>
          </w:tcPr>
          <w:p w14:paraId="0A98FA4A" w14:textId="6496754E" w:rsidR="009C73D0" w:rsidRPr="009C73D0" w:rsidRDefault="009C73D0" w:rsidP="007F120F">
            <w:pPr>
              <w:keepNext w:val="0"/>
              <w:snapToGrid w:val="0"/>
              <w:spacing w:before="120"/>
              <w:rPr>
                <w:rFonts w:cs="Arial"/>
              </w:rPr>
            </w:pPr>
            <w:r w:rsidRPr="009C73D0">
              <w:rPr>
                <w:rFonts w:cs="Arial"/>
              </w:rPr>
              <w:t>SAINT</w:t>
            </w:r>
            <w:r w:rsidR="00984A6F">
              <w:rPr>
                <w:rFonts w:cs="Arial"/>
              </w:rPr>
              <w:noBreakHyphen/>
            </w:r>
            <w:r w:rsidRPr="009C73D0">
              <w:rPr>
                <w:rFonts w:cs="Arial"/>
              </w:rPr>
              <w:t>FÉLICIEN</w:t>
            </w:r>
          </w:p>
        </w:tc>
        <w:tc>
          <w:tcPr>
            <w:tcW w:w="5254" w:type="dxa"/>
            <w:hideMark/>
          </w:tcPr>
          <w:p w14:paraId="29C6AF64" w14:textId="754C5D5B" w:rsidR="009C73D0" w:rsidRPr="009C73D0" w:rsidRDefault="00984A6F" w:rsidP="007F120F">
            <w:pPr>
              <w:keepNext w:val="0"/>
              <w:snapToGrid w:val="0"/>
              <w:spacing w:before="120"/>
              <w:jc w:val="left"/>
              <w:rPr>
                <w:rFonts w:cs="Arial"/>
              </w:rPr>
            </w:pPr>
            <w:r>
              <w:rPr>
                <w:rFonts w:cs="Arial"/>
              </w:rPr>
              <w:noBreakHyphen/>
            </w:r>
          </w:p>
        </w:tc>
      </w:tr>
      <w:tr w:rsidR="009C73D0" w:rsidRPr="00026EC1" w14:paraId="1178A989" w14:textId="77777777" w:rsidTr="001309D8">
        <w:tc>
          <w:tcPr>
            <w:tcW w:w="4225" w:type="dxa"/>
            <w:hideMark/>
          </w:tcPr>
          <w:p w14:paraId="22B64D57" w14:textId="4318A928" w:rsidR="009C73D0" w:rsidRPr="009C73D0" w:rsidRDefault="009C73D0" w:rsidP="007F120F">
            <w:pPr>
              <w:keepNext w:val="0"/>
              <w:snapToGrid w:val="0"/>
              <w:spacing w:before="120"/>
              <w:rPr>
                <w:rFonts w:cs="Arial"/>
              </w:rPr>
            </w:pPr>
            <w:r w:rsidRPr="009C73D0">
              <w:rPr>
                <w:rFonts w:cs="Arial"/>
              </w:rPr>
              <w:t>SAINT</w:t>
            </w:r>
            <w:r w:rsidR="00984A6F">
              <w:rPr>
                <w:rFonts w:cs="Arial"/>
              </w:rPr>
              <w:noBreakHyphen/>
            </w:r>
            <w:r w:rsidRPr="009C73D0">
              <w:rPr>
                <w:rFonts w:cs="Arial"/>
              </w:rPr>
              <w:t>HYACINTHE</w:t>
            </w:r>
          </w:p>
        </w:tc>
        <w:tc>
          <w:tcPr>
            <w:tcW w:w="5254" w:type="dxa"/>
            <w:hideMark/>
          </w:tcPr>
          <w:p w14:paraId="46C1BCE6" w14:textId="025FBAC1"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w:t>
            </w:r>
          </w:p>
        </w:tc>
      </w:tr>
      <w:tr w:rsidR="009C73D0" w:rsidRPr="00026EC1" w14:paraId="7508F76B" w14:textId="77777777" w:rsidTr="001309D8">
        <w:tc>
          <w:tcPr>
            <w:tcW w:w="4225" w:type="dxa"/>
            <w:hideMark/>
          </w:tcPr>
          <w:p w14:paraId="5D0CA869" w14:textId="0C22454E" w:rsidR="009C73D0" w:rsidRPr="009C73D0" w:rsidRDefault="009C73D0" w:rsidP="007F120F">
            <w:pPr>
              <w:keepNext w:val="0"/>
              <w:snapToGrid w:val="0"/>
              <w:spacing w:before="120"/>
              <w:rPr>
                <w:rFonts w:cs="Arial"/>
              </w:rPr>
            </w:pPr>
            <w:r w:rsidRPr="009C73D0">
              <w:rPr>
                <w:rFonts w:cs="Arial"/>
              </w:rPr>
              <w:t>SAINT</w:t>
            </w:r>
            <w:r w:rsidR="00984A6F">
              <w:rPr>
                <w:rFonts w:cs="Arial"/>
              </w:rPr>
              <w:noBreakHyphen/>
            </w:r>
            <w:r w:rsidRPr="009C73D0">
              <w:rPr>
                <w:rFonts w:cs="Arial"/>
              </w:rPr>
              <w:t>JEAN</w:t>
            </w:r>
            <w:r w:rsidR="00984A6F">
              <w:rPr>
                <w:rFonts w:cs="Arial"/>
              </w:rPr>
              <w:noBreakHyphen/>
            </w:r>
            <w:r w:rsidRPr="009C73D0">
              <w:rPr>
                <w:rFonts w:cs="Arial"/>
              </w:rPr>
              <w:t>SUR</w:t>
            </w:r>
            <w:r w:rsidR="00984A6F">
              <w:rPr>
                <w:rFonts w:cs="Arial"/>
              </w:rPr>
              <w:noBreakHyphen/>
            </w:r>
            <w:r w:rsidRPr="009C73D0">
              <w:rPr>
                <w:rFonts w:cs="Arial"/>
              </w:rPr>
              <w:t>RICHELIEU</w:t>
            </w:r>
          </w:p>
        </w:tc>
        <w:tc>
          <w:tcPr>
            <w:tcW w:w="5254" w:type="dxa"/>
            <w:hideMark/>
          </w:tcPr>
          <w:p w14:paraId="49A5B476" w14:textId="5469569A"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André</w:t>
            </w:r>
            <w:r w:rsidR="00984A6F">
              <w:rPr>
                <w:rFonts w:cs="Arial"/>
              </w:rPr>
              <w:noBreakHyphen/>
            </w:r>
            <w:r w:rsidRPr="009C73D0">
              <w:rPr>
                <w:rFonts w:cs="Arial"/>
              </w:rPr>
              <w:t>Laurendeau, Dawson, Édouard</w:t>
            </w:r>
            <w:r w:rsidR="00984A6F">
              <w:rPr>
                <w:rFonts w:cs="Arial"/>
              </w:rPr>
              <w:noBreakHyphen/>
            </w:r>
            <w:r w:rsidRPr="009C73D0">
              <w:rPr>
                <w:rFonts w:cs="Arial"/>
              </w:rPr>
              <w:t>Montpetit, Maisonneuve, Rosemont, Vieux Montréal</w:t>
            </w:r>
          </w:p>
        </w:tc>
      </w:tr>
      <w:tr w:rsidR="009C73D0" w:rsidRPr="00026EC1" w14:paraId="0519F015" w14:textId="77777777" w:rsidTr="001309D8">
        <w:tc>
          <w:tcPr>
            <w:tcW w:w="4225" w:type="dxa"/>
            <w:hideMark/>
          </w:tcPr>
          <w:p w14:paraId="7408BAEE" w14:textId="02CC21DC" w:rsidR="009C73D0" w:rsidRPr="009C73D0" w:rsidRDefault="009C73D0" w:rsidP="007F120F">
            <w:pPr>
              <w:keepNext w:val="0"/>
              <w:snapToGrid w:val="0"/>
              <w:spacing w:before="120"/>
              <w:rPr>
                <w:rFonts w:cs="Arial"/>
              </w:rPr>
            </w:pPr>
            <w:r w:rsidRPr="009C73D0">
              <w:rPr>
                <w:rFonts w:cs="Arial"/>
              </w:rPr>
              <w:t>SAINT</w:t>
            </w:r>
            <w:r w:rsidR="00984A6F">
              <w:rPr>
                <w:rFonts w:cs="Arial"/>
              </w:rPr>
              <w:noBreakHyphen/>
            </w:r>
            <w:r w:rsidRPr="009C73D0">
              <w:rPr>
                <w:rFonts w:cs="Arial"/>
              </w:rPr>
              <w:t>JÉROME</w:t>
            </w:r>
          </w:p>
        </w:tc>
        <w:tc>
          <w:tcPr>
            <w:tcW w:w="5254" w:type="dxa"/>
            <w:hideMark/>
          </w:tcPr>
          <w:p w14:paraId="0DF82E6E" w14:textId="0E92C10B" w:rsidR="009C73D0" w:rsidRPr="009C73D0" w:rsidRDefault="009C73D0" w:rsidP="007F120F">
            <w:pPr>
              <w:keepNext w:val="0"/>
              <w:snapToGrid w:val="0"/>
              <w:spacing w:before="120"/>
              <w:jc w:val="left"/>
              <w:rPr>
                <w:rFonts w:cs="Arial"/>
              </w:rPr>
            </w:pPr>
            <w:r w:rsidRPr="009C73D0">
              <w:rPr>
                <w:rFonts w:cs="Arial"/>
              </w:rPr>
              <w:t>Ahuntsic, Bois</w:t>
            </w:r>
            <w:r w:rsidR="00984A6F">
              <w:rPr>
                <w:rFonts w:cs="Arial"/>
              </w:rPr>
              <w:noBreakHyphen/>
            </w:r>
            <w:r w:rsidRPr="009C73D0">
              <w:rPr>
                <w:rFonts w:cs="Arial"/>
              </w:rPr>
              <w:t>de</w:t>
            </w:r>
            <w:r w:rsidR="00984A6F">
              <w:rPr>
                <w:rFonts w:cs="Arial"/>
              </w:rPr>
              <w:noBreakHyphen/>
            </w:r>
            <w:r w:rsidRPr="009C73D0">
              <w:rPr>
                <w:rFonts w:cs="Arial"/>
              </w:rPr>
              <w:t>Boulogne, Gérald Godin, Lionel</w:t>
            </w:r>
            <w:r w:rsidR="00984A6F">
              <w:rPr>
                <w:rFonts w:cs="Arial"/>
              </w:rPr>
              <w:noBreakHyphen/>
            </w:r>
            <w:r w:rsidRPr="009C73D0">
              <w:rPr>
                <w:rFonts w:cs="Arial"/>
              </w:rPr>
              <w:t>Groulx, Montmorency, Saint</w:t>
            </w:r>
            <w:r w:rsidR="00984A6F">
              <w:rPr>
                <w:rFonts w:cs="Arial"/>
              </w:rPr>
              <w:noBreakHyphen/>
            </w:r>
            <w:r w:rsidRPr="009C73D0">
              <w:rPr>
                <w:rFonts w:cs="Arial"/>
              </w:rPr>
              <w:t>Laurent, Terrebonne, Vanier</w:t>
            </w:r>
          </w:p>
        </w:tc>
      </w:tr>
      <w:tr w:rsidR="009C73D0" w:rsidRPr="00026EC1" w14:paraId="4B04D9E6" w14:textId="77777777" w:rsidTr="001309D8">
        <w:tc>
          <w:tcPr>
            <w:tcW w:w="4225" w:type="dxa"/>
            <w:hideMark/>
          </w:tcPr>
          <w:p w14:paraId="490025AF" w14:textId="5CD108A2" w:rsidR="009C73D0" w:rsidRPr="009C73D0" w:rsidRDefault="009C73D0" w:rsidP="007F120F">
            <w:pPr>
              <w:keepNext w:val="0"/>
              <w:snapToGrid w:val="0"/>
              <w:spacing w:before="120"/>
              <w:rPr>
                <w:rFonts w:cs="Arial"/>
              </w:rPr>
            </w:pPr>
            <w:r w:rsidRPr="009C73D0">
              <w:rPr>
                <w:rFonts w:cs="Arial"/>
              </w:rPr>
              <w:t>SAINT</w:t>
            </w:r>
            <w:r w:rsidR="00984A6F">
              <w:rPr>
                <w:rFonts w:cs="Arial"/>
              </w:rPr>
              <w:noBreakHyphen/>
            </w:r>
            <w:r w:rsidRPr="009C73D0">
              <w:rPr>
                <w:rFonts w:cs="Arial"/>
              </w:rPr>
              <w:t>LAURENT</w:t>
            </w:r>
          </w:p>
        </w:tc>
        <w:tc>
          <w:tcPr>
            <w:tcW w:w="5254" w:type="dxa"/>
            <w:hideMark/>
          </w:tcPr>
          <w:p w14:paraId="25B27A26" w14:textId="13C33877"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Jérôme, Terrebonne</w:t>
            </w:r>
          </w:p>
        </w:tc>
      </w:tr>
      <w:tr w:rsidR="009C73D0" w:rsidRPr="00026EC1" w14:paraId="0C0E35A4" w14:textId="77777777" w:rsidTr="001309D8">
        <w:tc>
          <w:tcPr>
            <w:tcW w:w="4225" w:type="dxa"/>
            <w:hideMark/>
          </w:tcPr>
          <w:p w14:paraId="083094F5" w14:textId="6D024F69" w:rsidR="009C73D0" w:rsidRPr="009C73D0" w:rsidRDefault="009C73D0" w:rsidP="007F120F">
            <w:pPr>
              <w:keepNext w:val="0"/>
              <w:snapToGrid w:val="0"/>
              <w:spacing w:before="120"/>
              <w:rPr>
                <w:rFonts w:cs="Arial"/>
              </w:rPr>
            </w:pPr>
            <w:r w:rsidRPr="009C73D0">
              <w:rPr>
                <w:rFonts w:cs="Arial"/>
              </w:rPr>
              <w:t>SAINTE</w:t>
            </w:r>
            <w:r w:rsidR="00984A6F">
              <w:rPr>
                <w:rFonts w:cs="Arial"/>
              </w:rPr>
              <w:noBreakHyphen/>
            </w:r>
            <w:r w:rsidRPr="009C73D0">
              <w:rPr>
                <w:rFonts w:cs="Arial"/>
              </w:rPr>
              <w:t>FOY</w:t>
            </w:r>
          </w:p>
        </w:tc>
        <w:tc>
          <w:tcPr>
            <w:tcW w:w="5254" w:type="dxa"/>
            <w:hideMark/>
          </w:tcPr>
          <w:p w14:paraId="4ACF4170" w14:textId="77777777" w:rsidR="009C73D0" w:rsidRPr="009C73D0" w:rsidRDefault="009C73D0" w:rsidP="007F120F">
            <w:pPr>
              <w:keepNext w:val="0"/>
              <w:snapToGrid w:val="0"/>
              <w:spacing w:before="120"/>
              <w:jc w:val="left"/>
              <w:rPr>
                <w:rFonts w:cs="Arial"/>
              </w:rPr>
            </w:pPr>
            <w:r w:rsidRPr="009C73D0">
              <w:rPr>
                <w:rFonts w:cs="Arial"/>
              </w:rPr>
              <w:t>Région de Québec**</w:t>
            </w:r>
          </w:p>
        </w:tc>
      </w:tr>
      <w:tr w:rsidR="009C73D0" w:rsidRPr="00026EC1" w14:paraId="31019679" w14:textId="77777777" w:rsidTr="001309D8">
        <w:tc>
          <w:tcPr>
            <w:tcW w:w="4225" w:type="dxa"/>
            <w:hideMark/>
          </w:tcPr>
          <w:p w14:paraId="182C80CA" w14:textId="73116C76" w:rsidR="009C73D0" w:rsidRPr="009C73D0" w:rsidRDefault="009C73D0" w:rsidP="007F120F">
            <w:pPr>
              <w:keepNext w:val="0"/>
              <w:snapToGrid w:val="0"/>
              <w:spacing w:before="120"/>
              <w:rPr>
                <w:rFonts w:cs="Arial"/>
                <w:lang w:val="en-CA"/>
              </w:rPr>
            </w:pPr>
            <w:r w:rsidRPr="009C73D0">
              <w:rPr>
                <w:rFonts w:cs="Arial"/>
                <w:lang w:val="en-CA"/>
              </w:rPr>
              <w:t>SEPT</w:t>
            </w:r>
            <w:r w:rsidR="00984A6F">
              <w:rPr>
                <w:rFonts w:cs="Arial"/>
                <w:lang w:val="en-CA"/>
              </w:rPr>
              <w:noBreakHyphen/>
            </w:r>
            <w:r w:rsidRPr="009C73D0">
              <w:rPr>
                <w:rFonts w:cs="Arial"/>
                <w:lang w:val="en-CA"/>
              </w:rPr>
              <w:t>ÎLES</w:t>
            </w:r>
          </w:p>
        </w:tc>
        <w:tc>
          <w:tcPr>
            <w:tcW w:w="5254" w:type="dxa"/>
            <w:hideMark/>
          </w:tcPr>
          <w:p w14:paraId="7E557F4D" w14:textId="49AAA51D" w:rsidR="009C73D0" w:rsidRPr="009C73D0" w:rsidRDefault="00984A6F" w:rsidP="007F120F">
            <w:pPr>
              <w:keepNext w:val="0"/>
              <w:snapToGrid w:val="0"/>
              <w:spacing w:before="120"/>
              <w:jc w:val="left"/>
              <w:rPr>
                <w:rFonts w:cs="Arial"/>
                <w:lang w:val="en-CA"/>
              </w:rPr>
            </w:pPr>
            <w:r>
              <w:rPr>
                <w:rFonts w:cs="Arial"/>
                <w:lang w:val="en-CA"/>
              </w:rPr>
              <w:noBreakHyphen/>
            </w:r>
          </w:p>
        </w:tc>
      </w:tr>
      <w:tr w:rsidR="009C73D0" w:rsidRPr="00026EC1" w14:paraId="0B44D80B" w14:textId="77777777" w:rsidTr="001309D8">
        <w:tc>
          <w:tcPr>
            <w:tcW w:w="4225" w:type="dxa"/>
            <w:hideMark/>
          </w:tcPr>
          <w:p w14:paraId="24F67035" w14:textId="77777777" w:rsidR="009C73D0" w:rsidRPr="009C73D0" w:rsidRDefault="009C73D0" w:rsidP="007F120F">
            <w:pPr>
              <w:keepNext w:val="0"/>
              <w:snapToGrid w:val="0"/>
              <w:spacing w:before="120"/>
              <w:rPr>
                <w:rFonts w:cs="Arial"/>
                <w:lang w:val="en-CA"/>
              </w:rPr>
            </w:pPr>
            <w:r w:rsidRPr="009C73D0">
              <w:rPr>
                <w:rFonts w:cs="Arial"/>
                <w:lang w:val="en-CA"/>
              </w:rPr>
              <w:t>SHAWINIGAN</w:t>
            </w:r>
          </w:p>
        </w:tc>
        <w:tc>
          <w:tcPr>
            <w:tcW w:w="5254" w:type="dxa"/>
            <w:hideMark/>
          </w:tcPr>
          <w:p w14:paraId="1D3B6956" w14:textId="6DD1D1AE" w:rsidR="009C73D0" w:rsidRPr="009C73D0" w:rsidRDefault="009C73D0" w:rsidP="007F120F">
            <w:pPr>
              <w:keepNext w:val="0"/>
              <w:snapToGrid w:val="0"/>
              <w:spacing w:before="120"/>
              <w:jc w:val="left"/>
              <w:rPr>
                <w:rFonts w:cs="Arial"/>
              </w:rPr>
            </w:pPr>
            <w:r w:rsidRPr="009C73D0">
              <w:rPr>
                <w:rFonts w:cs="Arial"/>
              </w:rPr>
              <w:t>Trois</w:t>
            </w:r>
            <w:r w:rsidR="00984A6F">
              <w:rPr>
                <w:rFonts w:cs="Arial"/>
              </w:rPr>
              <w:noBreakHyphen/>
            </w:r>
            <w:r w:rsidRPr="009C73D0">
              <w:rPr>
                <w:rFonts w:cs="Arial"/>
              </w:rPr>
              <w:t>Rivières</w:t>
            </w:r>
          </w:p>
        </w:tc>
      </w:tr>
      <w:tr w:rsidR="009C73D0" w:rsidRPr="00026EC1" w14:paraId="788312E9" w14:textId="77777777" w:rsidTr="001309D8">
        <w:tc>
          <w:tcPr>
            <w:tcW w:w="4225" w:type="dxa"/>
            <w:hideMark/>
          </w:tcPr>
          <w:p w14:paraId="6B20E2A1" w14:textId="77777777" w:rsidR="009C73D0" w:rsidRPr="009C73D0" w:rsidRDefault="009C73D0" w:rsidP="007F120F">
            <w:pPr>
              <w:keepNext w:val="0"/>
              <w:snapToGrid w:val="0"/>
              <w:spacing w:before="120"/>
              <w:rPr>
                <w:rFonts w:cs="Arial"/>
              </w:rPr>
            </w:pPr>
            <w:r w:rsidRPr="009C73D0">
              <w:rPr>
                <w:rFonts w:cs="Arial"/>
              </w:rPr>
              <w:t>SHERBROOKE</w:t>
            </w:r>
          </w:p>
        </w:tc>
        <w:tc>
          <w:tcPr>
            <w:tcW w:w="5254" w:type="dxa"/>
            <w:hideMark/>
          </w:tcPr>
          <w:p w14:paraId="67A32303" w14:textId="77777777" w:rsidR="009C73D0" w:rsidRPr="009C73D0" w:rsidRDefault="009C73D0" w:rsidP="007F120F">
            <w:pPr>
              <w:keepNext w:val="0"/>
              <w:snapToGrid w:val="0"/>
              <w:spacing w:before="120"/>
              <w:jc w:val="left"/>
              <w:rPr>
                <w:rFonts w:cs="Arial"/>
              </w:rPr>
            </w:pPr>
            <w:r w:rsidRPr="009C73D0">
              <w:rPr>
                <w:rFonts w:cs="Arial"/>
              </w:rPr>
              <w:t>Champlain à Lennoxville</w:t>
            </w:r>
          </w:p>
        </w:tc>
      </w:tr>
      <w:tr w:rsidR="009C73D0" w:rsidRPr="00026EC1" w14:paraId="049CA78C" w14:textId="77777777" w:rsidTr="001309D8">
        <w:tc>
          <w:tcPr>
            <w:tcW w:w="4225" w:type="dxa"/>
            <w:hideMark/>
          </w:tcPr>
          <w:p w14:paraId="57797944" w14:textId="5250951A" w:rsidR="009C73D0" w:rsidRPr="009C73D0" w:rsidRDefault="009C73D0" w:rsidP="007F120F">
            <w:pPr>
              <w:keepNext w:val="0"/>
              <w:snapToGrid w:val="0"/>
              <w:spacing w:before="120"/>
              <w:rPr>
                <w:rFonts w:cs="Arial"/>
                <w:lang w:val="en-CA"/>
              </w:rPr>
            </w:pPr>
            <w:r w:rsidRPr="009C73D0">
              <w:rPr>
                <w:rFonts w:cs="Arial"/>
                <w:lang w:val="en-CA"/>
              </w:rPr>
              <w:t>SOREL</w:t>
            </w:r>
            <w:r w:rsidR="00984A6F">
              <w:rPr>
                <w:rFonts w:cs="Arial"/>
                <w:lang w:val="en-CA"/>
              </w:rPr>
              <w:noBreakHyphen/>
            </w:r>
            <w:r w:rsidRPr="009C73D0">
              <w:rPr>
                <w:rFonts w:cs="Arial"/>
                <w:lang w:val="en-CA"/>
              </w:rPr>
              <w:t>TRACY</w:t>
            </w:r>
          </w:p>
        </w:tc>
        <w:tc>
          <w:tcPr>
            <w:tcW w:w="5254" w:type="dxa"/>
            <w:hideMark/>
          </w:tcPr>
          <w:p w14:paraId="6A2E1305" w14:textId="396AE40F" w:rsidR="009C73D0" w:rsidRPr="009C73D0" w:rsidRDefault="00984A6F" w:rsidP="007F120F">
            <w:pPr>
              <w:keepNext w:val="0"/>
              <w:snapToGrid w:val="0"/>
              <w:spacing w:before="120"/>
              <w:jc w:val="left"/>
              <w:rPr>
                <w:rFonts w:cs="Arial"/>
                <w:lang w:val="en-CA"/>
              </w:rPr>
            </w:pPr>
            <w:r>
              <w:rPr>
                <w:rFonts w:cs="Arial"/>
                <w:lang w:val="en-CA"/>
              </w:rPr>
              <w:noBreakHyphen/>
            </w:r>
          </w:p>
        </w:tc>
      </w:tr>
      <w:tr w:rsidR="00330882" w:rsidRPr="00026EC1" w14:paraId="300182AE" w14:textId="77777777" w:rsidTr="001309D8">
        <w:tc>
          <w:tcPr>
            <w:tcW w:w="4225" w:type="dxa"/>
          </w:tcPr>
          <w:p w14:paraId="199B007E" w14:textId="3A54DA54" w:rsidR="00330882" w:rsidRPr="00316277" w:rsidRDefault="00330882" w:rsidP="007F120F">
            <w:pPr>
              <w:keepNext w:val="0"/>
              <w:snapToGrid w:val="0"/>
              <w:spacing w:before="120"/>
              <w:rPr>
                <w:rFonts w:cs="Arial"/>
                <w:lang w:val="en-CA"/>
              </w:rPr>
            </w:pPr>
            <w:r w:rsidRPr="00316277">
              <w:rPr>
                <w:rFonts w:cs="Arial"/>
                <w:lang w:val="en-CA"/>
              </w:rPr>
              <w:t>TÉMISCOUATA</w:t>
            </w:r>
          </w:p>
        </w:tc>
        <w:tc>
          <w:tcPr>
            <w:tcW w:w="5254" w:type="dxa"/>
          </w:tcPr>
          <w:p w14:paraId="6A6E9971" w14:textId="777713A0" w:rsidR="00330882" w:rsidRDefault="00B33E42" w:rsidP="007F120F">
            <w:pPr>
              <w:keepNext w:val="0"/>
              <w:snapToGrid w:val="0"/>
              <w:spacing w:before="120"/>
              <w:jc w:val="left"/>
              <w:rPr>
                <w:rFonts w:cs="Arial"/>
                <w:lang w:val="en-CA"/>
              </w:rPr>
            </w:pPr>
            <w:r>
              <w:rPr>
                <w:rFonts w:cs="Arial"/>
                <w:lang w:val="en-CA"/>
              </w:rPr>
              <w:noBreakHyphen/>
            </w:r>
          </w:p>
        </w:tc>
      </w:tr>
      <w:tr w:rsidR="009C73D0" w:rsidRPr="00026EC1" w14:paraId="4BED981E" w14:textId="77777777" w:rsidTr="001309D8">
        <w:tc>
          <w:tcPr>
            <w:tcW w:w="4225" w:type="dxa"/>
            <w:hideMark/>
          </w:tcPr>
          <w:p w14:paraId="08D45B96" w14:textId="77777777" w:rsidR="009C73D0" w:rsidRPr="009C73D0" w:rsidRDefault="009C73D0" w:rsidP="007F120F">
            <w:pPr>
              <w:keepNext w:val="0"/>
              <w:snapToGrid w:val="0"/>
              <w:spacing w:before="120"/>
              <w:rPr>
                <w:rFonts w:cs="Arial"/>
                <w:lang w:val="en-CA"/>
              </w:rPr>
            </w:pPr>
            <w:r w:rsidRPr="009C73D0">
              <w:rPr>
                <w:rFonts w:cs="Arial"/>
                <w:lang w:val="en-CA"/>
              </w:rPr>
              <w:t>TERREBONNE</w:t>
            </w:r>
          </w:p>
        </w:tc>
        <w:tc>
          <w:tcPr>
            <w:tcW w:w="5254" w:type="dxa"/>
            <w:hideMark/>
          </w:tcPr>
          <w:p w14:paraId="55CA4609" w14:textId="528757AD" w:rsidR="009C73D0" w:rsidRPr="009C73D0" w:rsidRDefault="009C73D0" w:rsidP="007F120F">
            <w:pPr>
              <w:keepNext w:val="0"/>
              <w:snapToGrid w:val="0"/>
              <w:spacing w:before="120"/>
              <w:jc w:val="left"/>
              <w:rPr>
                <w:rFonts w:cs="Arial"/>
              </w:rPr>
            </w:pPr>
            <w:r w:rsidRPr="009C73D0">
              <w:rPr>
                <w:rFonts w:cs="Arial"/>
              </w:rPr>
              <w:t>Ahuntsic, André</w:t>
            </w:r>
            <w:r w:rsidR="00984A6F">
              <w:rPr>
                <w:rFonts w:cs="Arial"/>
              </w:rPr>
              <w:noBreakHyphen/>
            </w:r>
            <w:r w:rsidRPr="009C73D0">
              <w:rPr>
                <w:rFonts w:cs="Arial"/>
              </w:rPr>
              <w:t>Laurendeau, Bois</w:t>
            </w:r>
            <w:r w:rsidR="00984A6F">
              <w:rPr>
                <w:rFonts w:cs="Arial"/>
              </w:rPr>
              <w:noBreakHyphen/>
            </w:r>
            <w:r w:rsidRPr="009C73D0">
              <w:rPr>
                <w:rFonts w:cs="Arial"/>
              </w:rPr>
              <w:t>de</w:t>
            </w:r>
            <w:r w:rsidR="00984A6F">
              <w:rPr>
                <w:rFonts w:cs="Arial"/>
              </w:rPr>
              <w:noBreakHyphen/>
            </w:r>
            <w:r w:rsidRPr="009C73D0">
              <w:rPr>
                <w:rFonts w:cs="Arial"/>
              </w:rPr>
              <w:t>Boulogne, Dawson, Joliette, L’Assomption, Lionel</w:t>
            </w:r>
            <w:r w:rsidR="00984A6F">
              <w:rPr>
                <w:rFonts w:cs="Arial"/>
              </w:rPr>
              <w:noBreakHyphen/>
            </w:r>
            <w:r w:rsidRPr="009C73D0">
              <w:rPr>
                <w:rFonts w:cs="Arial"/>
              </w:rPr>
              <w:t>Groulx, Maisonneuve, Marie</w:t>
            </w:r>
            <w:r w:rsidR="00984A6F">
              <w:rPr>
                <w:rFonts w:cs="Arial"/>
              </w:rPr>
              <w:noBreakHyphen/>
            </w:r>
            <w:r w:rsidRPr="009C73D0">
              <w:rPr>
                <w:rFonts w:cs="Arial"/>
              </w:rPr>
              <w:t>Victorin, Montmorency, Rosemont, Saint</w:t>
            </w:r>
            <w:r w:rsidR="00984A6F">
              <w:rPr>
                <w:rFonts w:cs="Arial"/>
              </w:rPr>
              <w:noBreakHyphen/>
            </w:r>
            <w:r w:rsidRPr="009C73D0">
              <w:rPr>
                <w:rFonts w:cs="Arial"/>
              </w:rPr>
              <w:t>Jérôme, Saint</w:t>
            </w:r>
            <w:r w:rsidR="00984A6F">
              <w:rPr>
                <w:rFonts w:cs="Arial"/>
              </w:rPr>
              <w:noBreakHyphen/>
            </w:r>
            <w:r w:rsidRPr="009C73D0">
              <w:rPr>
                <w:rFonts w:cs="Arial"/>
              </w:rPr>
              <w:t>Laurent, Vanier, Vieux Montréal</w:t>
            </w:r>
          </w:p>
        </w:tc>
      </w:tr>
      <w:tr w:rsidR="009C73D0" w:rsidRPr="00026EC1" w14:paraId="05FDA8E5" w14:textId="77777777" w:rsidTr="001309D8">
        <w:tc>
          <w:tcPr>
            <w:tcW w:w="4225" w:type="dxa"/>
            <w:hideMark/>
          </w:tcPr>
          <w:p w14:paraId="74F1905C" w14:textId="77777777" w:rsidR="009C73D0" w:rsidRPr="009C73D0" w:rsidRDefault="009C73D0" w:rsidP="007F120F">
            <w:pPr>
              <w:keepNext w:val="0"/>
              <w:snapToGrid w:val="0"/>
              <w:spacing w:before="120"/>
              <w:rPr>
                <w:rFonts w:cs="Arial"/>
              </w:rPr>
            </w:pPr>
            <w:r w:rsidRPr="009C73D0">
              <w:rPr>
                <w:rFonts w:cs="Arial"/>
              </w:rPr>
              <w:t>THETFORD</w:t>
            </w:r>
          </w:p>
        </w:tc>
        <w:tc>
          <w:tcPr>
            <w:tcW w:w="5254" w:type="dxa"/>
            <w:hideMark/>
          </w:tcPr>
          <w:p w14:paraId="723C14FA" w14:textId="586D6223" w:rsidR="009C73D0" w:rsidRPr="009C73D0" w:rsidRDefault="00984A6F" w:rsidP="007F120F">
            <w:pPr>
              <w:keepNext w:val="0"/>
              <w:snapToGrid w:val="0"/>
              <w:spacing w:before="120"/>
              <w:jc w:val="left"/>
              <w:rPr>
                <w:rFonts w:cs="Arial"/>
              </w:rPr>
            </w:pPr>
            <w:r>
              <w:rPr>
                <w:rFonts w:cs="Arial"/>
              </w:rPr>
              <w:noBreakHyphen/>
            </w:r>
          </w:p>
        </w:tc>
      </w:tr>
      <w:tr w:rsidR="009C73D0" w:rsidRPr="00026EC1" w14:paraId="6C532B89" w14:textId="77777777" w:rsidTr="001309D8">
        <w:tc>
          <w:tcPr>
            <w:tcW w:w="4225" w:type="dxa"/>
            <w:hideMark/>
          </w:tcPr>
          <w:p w14:paraId="6F450639" w14:textId="6EB4556B" w:rsidR="009C73D0" w:rsidRPr="009C73D0" w:rsidRDefault="009C73D0" w:rsidP="007F120F">
            <w:pPr>
              <w:keepNext w:val="0"/>
              <w:snapToGrid w:val="0"/>
              <w:spacing w:before="120"/>
              <w:rPr>
                <w:rFonts w:cs="Arial"/>
              </w:rPr>
            </w:pPr>
            <w:r w:rsidRPr="009C73D0">
              <w:rPr>
                <w:rFonts w:cs="Arial"/>
              </w:rPr>
              <w:t>TROIS</w:t>
            </w:r>
            <w:r w:rsidR="00984A6F">
              <w:rPr>
                <w:rFonts w:cs="Arial"/>
              </w:rPr>
              <w:noBreakHyphen/>
            </w:r>
            <w:r w:rsidRPr="009C73D0">
              <w:rPr>
                <w:rFonts w:cs="Arial"/>
              </w:rPr>
              <w:t>RIVIÈRES</w:t>
            </w:r>
          </w:p>
        </w:tc>
        <w:tc>
          <w:tcPr>
            <w:tcW w:w="5254" w:type="dxa"/>
            <w:hideMark/>
          </w:tcPr>
          <w:p w14:paraId="460C98EA" w14:textId="77777777" w:rsidR="009C73D0" w:rsidRPr="009C73D0" w:rsidRDefault="009C73D0" w:rsidP="007F120F">
            <w:pPr>
              <w:keepNext w:val="0"/>
              <w:snapToGrid w:val="0"/>
              <w:spacing w:before="120"/>
              <w:jc w:val="left"/>
              <w:rPr>
                <w:rFonts w:cs="Arial"/>
                <w:lang w:val="en-CA"/>
              </w:rPr>
            </w:pPr>
            <w:r w:rsidRPr="009C73D0">
              <w:rPr>
                <w:rFonts w:cs="Arial"/>
                <w:lang w:val="en-CA"/>
              </w:rPr>
              <w:t>Shawinigan</w:t>
            </w:r>
          </w:p>
        </w:tc>
      </w:tr>
      <w:tr w:rsidR="009C73D0" w:rsidRPr="00026EC1" w14:paraId="4A7B891A" w14:textId="77777777" w:rsidTr="001309D8">
        <w:tc>
          <w:tcPr>
            <w:tcW w:w="4225" w:type="dxa"/>
            <w:hideMark/>
          </w:tcPr>
          <w:p w14:paraId="4DBA2180" w14:textId="77777777" w:rsidR="009C73D0" w:rsidRPr="009C73D0" w:rsidRDefault="009C73D0" w:rsidP="007F120F">
            <w:pPr>
              <w:keepNext w:val="0"/>
              <w:snapToGrid w:val="0"/>
              <w:spacing w:before="120"/>
              <w:rPr>
                <w:rFonts w:cs="Arial"/>
                <w:lang w:val="en-CA"/>
              </w:rPr>
            </w:pPr>
            <w:r w:rsidRPr="009C73D0">
              <w:rPr>
                <w:rFonts w:cs="Arial"/>
                <w:lang w:val="en-CA"/>
              </w:rPr>
              <w:t>VALLEYFIELD</w:t>
            </w:r>
          </w:p>
        </w:tc>
        <w:tc>
          <w:tcPr>
            <w:tcW w:w="5254" w:type="dxa"/>
            <w:hideMark/>
          </w:tcPr>
          <w:p w14:paraId="78A419B7" w14:textId="16483B8D" w:rsidR="009C73D0" w:rsidRPr="009C73D0" w:rsidRDefault="009C73D0" w:rsidP="007F120F">
            <w:pPr>
              <w:keepNext w:val="0"/>
              <w:snapToGrid w:val="0"/>
              <w:spacing w:before="120"/>
              <w:jc w:val="left"/>
              <w:rPr>
                <w:rFonts w:cs="Arial"/>
              </w:rPr>
            </w:pPr>
            <w:r w:rsidRPr="009C73D0">
              <w:rPr>
                <w:rFonts w:cs="Arial"/>
              </w:rPr>
              <w:t>André</w:t>
            </w:r>
            <w:r w:rsidR="00984A6F">
              <w:rPr>
                <w:rFonts w:cs="Arial"/>
              </w:rPr>
              <w:noBreakHyphen/>
            </w:r>
            <w:r w:rsidRPr="009C73D0">
              <w:rPr>
                <w:rFonts w:cs="Arial"/>
              </w:rPr>
              <w:t>Laurendeau, John Abbott, Gérald</w:t>
            </w:r>
            <w:r w:rsidR="00984A6F">
              <w:rPr>
                <w:rFonts w:cs="Arial"/>
              </w:rPr>
              <w:noBreakHyphen/>
            </w:r>
            <w:r w:rsidRPr="009C73D0">
              <w:rPr>
                <w:rFonts w:cs="Arial"/>
              </w:rPr>
              <w:t>Godin</w:t>
            </w:r>
          </w:p>
        </w:tc>
      </w:tr>
      <w:tr w:rsidR="009C73D0" w:rsidRPr="00026EC1" w14:paraId="023453E1" w14:textId="77777777" w:rsidTr="001309D8">
        <w:tc>
          <w:tcPr>
            <w:tcW w:w="4225" w:type="dxa"/>
            <w:hideMark/>
          </w:tcPr>
          <w:p w14:paraId="00477B99" w14:textId="77777777" w:rsidR="009C73D0" w:rsidRPr="009C73D0" w:rsidRDefault="009C73D0" w:rsidP="007F120F">
            <w:pPr>
              <w:keepNext w:val="0"/>
              <w:snapToGrid w:val="0"/>
              <w:spacing w:before="120"/>
              <w:rPr>
                <w:rFonts w:cs="Arial"/>
              </w:rPr>
            </w:pPr>
            <w:r w:rsidRPr="009C73D0">
              <w:rPr>
                <w:rFonts w:cs="Arial"/>
              </w:rPr>
              <w:t>VANIER</w:t>
            </w:r>
          </w:p>
        </w:tc>
        <w:tc>
          <w:tcPr>
            <w:tcW w:w="5254" w:type="dxa"/>
            <w:hideMark/>
          </w:tcPr>
          <w:p w14:paraId="515D4531" w14:textId="40AF0928"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Montpetit, Île de Montréal*, Lionel</w:t>
            </w:r>
            <w:r w:rsidR="00984A6F">
              <w:rPr>
                <w:rFonts w:cs="Arial"/>
              </w:rPr>
              <w:noBreakHyphen/>
            </w:r>
            <w:r w:rsidRPr="009C73D0">
              <w:rPr>
                <w:rFonts w:cs="Arial"/>
              </w:rPr>
              <w:t>Groulx, Montmorency, Saint</w:t>
            </w:r>
            <w:r w:rsidR="00984A6F">
              <w:rPr>
                <w:rFonts w:cs="Arial"/>
              </w:rPr>
              <w:noBreakHyphen/>
            </w:r>
            <w:r w:rsidRPr="009C73D0">
              <w:rPr>
                <w:rFonts w:cs="Arial"/>
              </w:rPr>
              <w:t>Jérôme, Terrebonne</w:t>
            </w:r>
          </w:p>
        </w:tc>
      </w:tr>
      <w:tr w:rsidR="009C73D0" w:rsidRPr="00026EC1" w14:paraId="7DCE3972" w14:textId="77777777" w:rsidTr="001309D8">
        <w:tc>
          <w:tcPr>
            <w:tcW w:w="4225" w:type="dxa"/>
            <w:hideMark/>
          </w:tcPr>
          <w:p w14:paraId="2C828FE5" w14:textId="77777777" w:rsidR="009C73D0" w:rsidRPr="009C73D0" w:rsidRDefault="009C73D0" w:rsidP="007F120F">
            <w:pPr>
              <w:keepNext w:val="0"/>
              <w:snapToGrid w:val="0"/>
              <w:spacing w:before="120"/>
              <w:rPr>
                <w:rFonts w:cs="Arial"/>
              </w:rPr>
            </w:pPr>
            <w:r w:rsidRPr="009C73D0">
              <w:rPr>
                <w:rFonts w:cs="Arial"/>
              </w:rPr>
              <w:t>VICTORIAVILLE</w:t>
            </w:r>
          </w:p>
        </w:tc>
        <w:tc>
          <w:tcPr>
            <w:tcW w:w="5254" w:type="dxa"/>
            <w:hideMark/>
          </w:tcPr>
          <w:p w14:paraId="27D6FDAA" w14:textId="73F1BB64" w:rsidR="009C73D0" w:rsidRPr="009C73D0" w:rsidRDefault="00984A6F" w:rsidP="007F120F">
            <w:pPr>
              <w:keepNext w:val="0"/>
              <w:snapToGrid w:val="0"/>
              <w:spacing w:before="120"/>
              <w:jc w:val="left"/>
              <w:rPr>
                <w:rFonts w:cs="Arial"/>
              </w:rPr>
            </w:pPr>
            <w:r>
              <w:rPr>
                <w:rFonts w:cs="Arial"/>
              </w:rPr>
              <w:noBreakHyphen/>
            </w:r>
          </w:p>
        </w:tc>
      </w:tr>
      <w:tr w:rsidR="009C73D0" w:rsidRPr="00026EC1" w14:paraId="7E21CA25" w14:textId="77777777" w:rsidTr="00727BAA">
        <w:trPr>
          <w:cantSplit/>
        </w:trPr>
        <w:tc>
          <w:tcPr>
            <w:tcW w:w="4225" w:type="dxa"/>
            <w:hideMark/>
          </w:tcPr>
          <w:p w14:paraId="6B7ED0AF" w14:textId="77777777" w:rsidR="009C73D0" w:rsidRPr="009C73D0" w:rsidRDefault="009C73D0" w:rsidP="007F120F">
            <w:pPr>
              <w:keepNext w:val="0"/>
              <w:snapToGrid w:val="0"/>
              <w:spacing w:before="120"/>
              <w:rPr>
                <w:rFonts w:cs="Arial"/>
              </w:rPr>
            </w:pPr>
            <w:r w:rsidRPr="009C73D0">
              <w:rPr>
                <w:rFonts w:cs="Arial"/>
              </w:rPr>
              <w:t>VIEUX MONTRÉAL</w:t>
            </w:r>
          </w:p>
        </w:tc>
        <w:tc>
          <w:tcPr>
            <w:tcW w:w="5254" w:type="dxa"/>
            <w:hideMark/>
          </w:tcPr>
          <w:p w14:paraId="7B18B697" w14:textId="461C5EC8" w:rsidR="009C73D0" w:rsidRPr="009C73D0" w:rsidRDefault="009C73D0" w:rsidP="007F120F">
            <w:pPr>
              <w:keepNext w:val="0"/>
              <w:snapToGrid w:val="0"/>
              <w:spacing w:before="120"/>
              <w:jc w:val="left"/>
              <w:rPr>
                <w:rFonts w:cs="Arial"/>
              </w:rPr>
            </w:pPr>
            <w:r w:rsidRPr="009C73D0">
              <w:rPr>
                <w:rFonts w:cs="Arial"/>
              </w:rPr>
              <w:t>Champlain à Saint</w:t>
            </w:r>
            <w:r w:rsidR="00984A6F">
              <w:rPr>
                <w:rFonts w:cs="Arial"/>
              </w:rPr>
              <w:noBreakHyphen/>
            </w:r>
            <w:r w:rsidRPr="009C73D0">
              <w:rPr>
                <w:rFonts w:cs="Arial"/>
              </w:rPr>
              <w:t>Lambert, Édouard</w:t>
            </w:r>
            <w:r w:rsidR="00984A6F">
              <w:rPr>
                <w:rFonts w:cs="Arial"/>
              </w:rPr>
              <w:noBreakHyphen/>
            </w:r>
            <w:r w:rsidRPr="009C73D0">
              <w:rPr>
                <w:rFonts w:cs="Arial"/>
              </w:rPr>
              <w:t xml:space="preserve">Montpetit, </w:t>
            </w:r>
            <w:r w:rsidR="00727BAA" w:rsidRPr="009C73D0">
              <w:rPr>
                <w:rFonts w:cs="Arial"/>
              </w:rPr>
              <w:t>Île de Montréal*, Lionel</w:t>
            </w:r>
            <w:r w:rsidR="00984A6F">
              <w:rPr>
                <w:rFonts w:cs="Arial"/>
              </w:rPr>
              <w:noBreakHyphen/>
            </w:r>
            <w:r w:rsidR="00727BAA" w:rsidRPr="009C73D0">
              <w:rPr>
                <w:rFonts w:cs="Arial"/>
              </w:rPr>
              <w:t>Groulx, Montmorency, Saint</w:t>
            </w:r>
            <w:r w:rsidR="00984A6F">
              <w:rPr>
                <w:rFonts w:cs="Arial"/>
              </w:rPr>
              <w:noBreakHyphen/>
            </w:r>
            <w:r w:rsidR="00727BAA" w:rsidRPr="009C73D0">
              <w:rPr>
                <w:rFonts w:cs="Arial"/>
              </w:rPr>
              <w:t>Jean</w:t>
            </w:r>
            <w:r w:rsidR="00984A6F">
              <w:rPr>
                <w:rFonts w:cs="Arial"/>
              </w:rPr>
              <w:noBreakHyphen/>
            </w:r>
            <w:r w:rsidR="00727BAA" w:rsidRPr="009C73D0">
              <w:rPr>
                <w:rFonts w:cs="Arial"/>
              </w:rPr>
              <w:t>sur</w:t>
            </w:r>
            <w:r w:rsidR="00984A6F">
              <w:rPr>
                <w:rFonts w:cs="Arial"/>
              </w:rPr>
              <w:noBreakHyphen/>
            </w:r>
            <w:r w:rsidR="00727BAA" w:rsidRPr="009C73D0">
              <w:rPr>
                <w:rFonts w:cs="Arial"/>
              </w:rPr>
              <w:t>Richelieu, Terrebonne</w:t>
            </w:r>
          </w:p>
        </w:tc>
      </w:tr>
      <w:tr w:rsidR="009C73D0" w:rsidRPr="00026EC1" w14:paraId="604ABA6A" w14:textId="77777777" w:rsidTr="001309D8">
        <w:tc>
          <w:tcPr>
            <w:tcW w:w="9479" w:type="dxa"/>
            <w:gridSpan w:val="2"/>
            <w:tcBorders>
              <w:top w:val="nil"/>
              <w:left w:val="nil"/>
              <w:bottom w:val="single" w:sz="4" w:space="0" w:color="auto"/>
            </w:tcBorders>
          </w:tcPr>
          <w:p w14:paraId="7154E10E" w14:textId="77777777" w:rsidR="009C73D0" w:rsidRPr="009C73D0" w:rsidRDefault="009C73D0" w:rsidP="007F120F">
            <w:pPr>
              <w:keepNext w:val="0"/>
              <w:snapToGrid w:val="0"/>
              <w:spacing w:before="120"/>
              <w:jc w:val="left"/>
              <w:rPr>
                <w:rFonts w:cs="Arial"/>
              </w:rPr>
            </w:pPr>
          </w:p>
        </w:tc>
      </w:tr>
      <w:tr w:rsidR="009C73D0" w:rsidRPr="00026EC1" w14:paraId="696D1981" w14:textId="77777777" w:rsidTr="001309D8">
        <w:tc>
          <w:tcPr>
            <w:tcW w:w="4225" w:type="dxa"/>
            <w:tcBorders>
              <w:top w:val="single" w:sz="4" w:space="0" w:color="auto"/>
              <w:left w:val="nil"/>
              <w:bottom w:val="nil"/>
              <w:right w:val="nil"/>
            </w:tcBorders>
            <w:hideMark/>
          </w:tcPr>
          <w:p w14:paraId="2DDE56BE" w14:textId="77777777" w:rsidR="009C73D0" w:rsidRPr="009C73D0" w:rsidRDefault="009C73D0" w:rsidP="007F120F">
            <w:pPr>
              <w:keepNext w:val="0"/>
              <w:snapToGrid w:val="0"/>
              <w:spacing w:before="120"/>
              <w:rPr>
                <w:rFonts w:cs="Arial"/>
              </w:rPr>
            </w:pPr>
            <w:r w:rsidRPr="009C73D0">
              <w:rPr>
                <w:rFonts w:cs="Arial"/>
              </w:rPr>
              <w:t>* Île de Montréal :</w:t>
            </w:r>
          </w:p>
        </w:tc>
        <w:tc>
          <w:tcPr>
            <w:tcW w:w="5254" w:type="dxa"/>
            <w:hideMark/>
          </w:tcPr>
          <w:p w14:paraId="45B26F85" w14:textId="2758D0C1" w:rsidR="009C73D0" w:rsidRPr="009C73D0" w:rsidRDefault="009C73D0" w:rsidP="007F120F">
            <w:pPr>
              <w:keepNext w:val="0"/>
              <w:snapToGrid w:val="0"/>
              <w:spacing w:before="120"/>
              <w:jc w:val="left"/>
              <w:rPr>
                <w:rFonts w:cs="Arial"/>
              </w:rPr>
            </w:pPr>
            <w:r w:rsidRPr="009C73D0">
              <w:rPr>
                <w:rFonts w:cs="Arial"/>
              </w:rPr>
              <w:t>Les collèges Ahuntsic, André</w:t>
            </w:r>
            <w:r w:rsidR="00984A6F">
              <w:rPr>
                <w:rFonts w:cs="Arial"/>
              </w:rPr>
              <w:noBreakHyphen/>
            </w:r>
            <w:r w:rsidRPr="009C73D0">
              <w:rPr>
                <w:rFonts w:cs="Arial"/>
              </w:rPr>
              <w:t>Laurendeau, Bois</w:t>
            </w:r>
            <w:r w:rsidR="00984A6F">
              <w:rPr>
                <w:rFonts w:cs="Arial"/>
              </w:rPr>
              <w:noBreakHyphen/>
            </w:r>
            <w:r w:rsidRPr="009C73D0">
              <w:rPr>
                <w:rFonts w:cs="Arial"/>
              </w:rPr>
              <w:t>de</w:t>
            </w:r>
            <w:r w:rsidR="00984A6F">
              <w:rPr>
                <w:rFonts w:cs="Arial"/>
              </w:rPr>
              <w:noBreakHyphen/>
            </w:r>
            <w:r w:rsidRPr="009C73D0">
              <w:rPr>
                <w:rFonts w:cs="Arial"/>
              </w:rPr>
              <w:t>Boulogne, Dawson, John Abbott, Gérald</w:t>
            </w:r>
            <w:r w:rsidR="00984A6F">
              <w:rPr>
                <w:rFonts w:cs="Arial"/>
              </w:rPr>
              <w:noBreakHyphen/>
            </w:r>
            <w:r w:rsidRPr="009C73D0">
              <w:rPr>
                <w:rFonts w:cs="Arial"/>
              </w:rPr>
              <w:t>Godin, Maisonneuve, Marie</w:t>
            </w:r>
            <w:r w:rsidR="00984A6F">
              <w:rPr>
                <w:rFonts w:cs="Arial"/>
              </w:rPr>
              <w:noBreakHyphen/>
            </w:r>
            <w:r w:rsidRPr="009C73D0">
              <w:rPr>
                <w:rFonts w:cs="Arial"/>
              </w:rPr>
              <w:t>Victorin, Rosemont, Saint</w:t>
            </w:r>
            <w:r w:rsidR="00984A6F">
              <w:rPr>
                <w:rFonts w:cs="Arial"/>
              </w:rPr>
              <w:noBreakHyphen/>
            </w:r>
            <w:r w:rsidRPr="009C73D0">
              <w:rPr>
                <w:rFonts w:cs="Arial"/>
              </w:rPr>
              <w:t>Laurent, Vanier, Vieux Montréal.</w:t>
            </w:r>
          </w:p>
        </w:tc>
      </w:tr>
      <w:tr w:rsidR="009C73D0" w:rsidRPr="00026EC1" w14:paraId="1BEF1EEC" w14:textId="77777777" w:rsidTr="001309D8">
        <w:trPr>
          <w:cantSplit/>
        </w:trPr>
        <w:tc>
          <w:tcPr>
            <w:tcW w:w="4225" w:type="dxa"/>
            <w:hideMark/>
          </w:tcPr>
          <w:p w14:paraId="1978620D" w14:textId="77777777" w:rsidR="009C73D0" w:rsidRPr="009C73D0" w:rsidRDefault="009C73D0" w:rsidP="007F120F">
            <w:pPr>
              <w:keepNext w:val="0"/>
              <w:snapToGrid w:val="0"/>
              <w:spacing w:before="120"/>
              <w:rPr>
                <w:rFonts w:cs="Arial"/>
              </w:rPr>
            </w:pPr>
            <w:r w:rsidRPr="009C73D0">
              <w:rPr>
                <w:rFonts w:cs="Arial"/>
              </w:rPr>
              <w:t>** Région de Québec :</w:t>
            </w:r>
          </w:p>
        </w:tc>
        <w:tc>
          <w:tcPr>
            <w:tcW w:w="5254" w:type="dxa"/>
            <w:hideMark/>
          </w:tcPr>
          <w:p w14:paraId="3A564DB0" w14:textId="59F0EF97" w:rsidR="009C73D0" w:rsidRPr="009C73D0" w:rsidRDefault="009C73D0" w:rsidP="007F120F">
            <w:pPr>
              <w:keepNext w:val="0"/>
              <w:snapToGrid w:val="0"/>
              <w:spacing w:before="120"/>
              <w:jc w:val="left"/>
              <w:rPr>
                <w:rFonts w:cs="Arial"/>
              </w:rPr>
            </w:pPr>
            <w:r w:rsidRPr="009C73D0">
              <w:rPr>
                <w:rFonts w:cs="Arial"/>
              </w:rPr>
              <w:t>Les collèges Champlain </w:t>
            </w:r>
            <w:r w:rsidRPr="009C73D0">
              <w:rPr>
                <w:rFonts w:ascii="Cambria Math" w:hAnsi="Cambria Math" w:cs="Arial"/>
              </w:rPr>
              <w:t>‑</w:t>
            </w:r>
            <w:r w:rsidRPr="009C73D0">
              <w:rPr>
                <w:rFonts w:cs="Arial"/>
              </w:rPr>
              <w:t> St. Lawrence, Garneau, Lévis, Limoilou, Sainte</w:t>
            </w:r>
            <w:r w:rsidR="00984A6F">
              <w:rPr>
                <w:rFonts w:cs="Arial"/>
              </w:rPr>
              <w:noBreakHyphen/>
            </w:r>
            <w:r w:rsidRPr="009C73D0">
              <w:rPr>
                <w:rFonts w:cs="Arial"/>
              </w:rPr>
              <w:t>Foy.</w:t>
            </w:r>
          </w:p>
        </w:tc>
      </w:tr>
      <w:tr w:rsidR="009C73D0" w:rsidRPr="00026EC1" w14:paraId="7BB5B917" w14:textId="77777777" w:rsidTr="001309D8">
        <w:trPr>
          <w:cantSplit/>
        </w:trPr>
        <w:tc>
          <w:tcPr>
            <w:tcW w:w="9479" w:type="dxa"/>
            <w:gridSpan w:val="2"/>
            <w:hideMark/>
          </w:tcPr>
          <w:p w14:paraId="3F82103D" w14:textId="77777777" w:rsidR="009C73D0" w:rsidRPr="00026EC1" w:rsidRDefault="009C73D0" w:rsidP="007F120F">
            <w:pPr>
              <w:keepNext w:val="0"/>
              <w:snapToGrid w:val="0"/>
              <w:jc w:val="left"/>
              <w:rPr>
                <w:rFonts w:cs="Arial"/>
                <w:sz w:val="22"/>
                <w:lang w:eastAsia="fr-CA"/>
              </w:rPr>
            </w:pPr>
          </w:p>
        </w:tc>
      </w:tr>
    </w:tbl>
    <w:p w14:paraId="59DE7C1E" w14:textId="645826B1" w:rsidR="00404F34" w:rsidRPr="00F124EF" w:rsidRDefault="00C11200" w:rsidP="007F120F">
      <w:pPr>
        <w:pStyle w:val="Heading3"/>
        <w:keepNext w:val="0"/>
      </w:pPr>
      <w:bookmarkStart w:id="1168" w:name="_Toc535046668"/>
      <w:bookmarkStart w:id="1169" w:name="_Toc133760835"/>
      <w:bookmarkStart w:id="1170" w:name="_Toc133916983"/>
      <w:bookmarkStart w:id="1171" w:name="_Toc134437258"/>
      <w:r w:rsidRPr="00026EC1">
        <w:br w:type="page"/>
      </w:r>
      <w:bookmarkStart w:id="1172" w:name="_Toc393449054"/>
      <w:bookmarkStart w:id="1173" w:name="_Toc393449423"/>
      <w:bookmarkStart w:id="1174" w:name="_Toc462751549"/>
      <w:bookmarkStart w:id="1175" w:name="_Toc484082566"/>
      <w:bookmarkStart w:id="1176" w:name="_Toc168479588"/>
      <w:r w:rsidR="006A74E0" w:rsidRPr="00F124EF">
        <w:t>Annexe II</w:t>
      </w:r>
      <w:r w:rsidR="002F5A0C">
        <w:t>-</w:t>
      </w:r>
      <w:r w:rsidR="003F3392" w:rsidRPr="00F124EF">
        <w:t>2</w:t>
      </w:r>
      <w:bookmarkEnd w:id="1168"/>
      <w:bookmarkEnd w:id="1169"/>
      <w:bookmarkEnd w:id="1170"/>
      <w:bookmarkEnd w:id="1171"/>
      <w:r w:rsidR="003F3392" w:rsidRPr="00F124EF">
        <w:br/>
      </w:r>
      <w:r w:rsidR="003F3392" w:rsidRPr="00F124EF">
        <w:br/>
      </w:r>
      <w:bookmarkStart w:id="1177" w:name="_Toc535046669"/>
      <w:bookmarkStart w:id="1178" w:name="_Toc133760836"/>
      <w:r w:rsidR="003F3392" w:rsidRPr="00F124EF">
        <w:t>Liste du secteur auquel est rattaché chaque collège aux fins de l’application de la sécurité d’emploi</w:t>
      </w:r>
      <w:bookmarkEnd w:id="1172"/>
      <w:bookmarkEnd w:id="1173"/>
      <w:bookmarkEnd w:id="1174"/>
      <w:bookmarkEnd w:id="1175"/>
      <w:bookmarkEnd w:id="1176"/>
      <w:bookmarkEnd w:id="1177"/>
      <w:bookmarkEnd w:id="1178"/>
    </w:p>
    <w:p w14:paraId="4E1E9995" w14:textId="77777777" w:rsidR="00C11200" w:rsidRPr="00026EC1" w:rsidRDefault="00C11200" w:rsidP="007F120F">
      <w:pPr>
        <w:keepNext w:val="0"/>
      </w:pPr>
      <w:bookmarkStart w:id="1179" w:name="_Toc535046670"/>
    </w:p>
    <w:tbl>
      <w:tblPr>
        <w:tblW w:w="0" w:type="auto"/>
        <w:tblCellMar>
          <w:left w:w="70" w:type="dxa"/>
          <w:right w:w="70" w:type="dxa"/>
        </w:tblCellMar>
        <w:tblLook w:val="0000" w:firstRow="0" w:lastRow="0" w:firstColumn="0" w:lastColumn="0" w:noHBand="0" w:noVBand="0"/>
      </w:tblPr>
      <w:tblGrid>
        <w:gridCol w:w="4171"/>
        <w:gridCol w:w="5308"/>
      </w:tblGrid>
      <w:tr w:rsidR="00D05F4F" w:rsidRPr="00026EC1" w14:paraId="0D42E4EC" w14:textId="77777777" w:rsidTr="001309D8">
        <w:trPr>
          <w:cantSplit/>
        </w:trPr>
        <w:tc>
          <w:tcPr>
            <w:tcW w:w="4171" w:type="dxa"/>
          </w:tcPr>
          <w:p w14:paraId="037DB976" w14:textId="77777777" w:rsidR="00D05F4F" w:rsidRPr="00026EC1" w:rsidRDefault="00D05F4F" w:rsidP="007F120F">
            <w:pPr>
              <w:pStyle w:val="MGSTexte0cm"/>
              <w:keepNext w:val="0"/>
            </w:pPr>
            <w:r w:rsidRPr="00026EC1">
              <w:t>COLLÈGES</w:t>
            </w:r>
          </w:p>
        </w:tc>
        <w:tc>
          <w:tcPr>
            <w:tcW w:w="5308" w:type="dxa"/>
          </w:tcPr>
          <w:p w14:paraId="0940928D" w14:textId="77777777" w:rsidR="00D05F4F" w:rsidRPr="00026EC1" w:rsidRDefault="00D05F4F" w:rsidP="007F120F">
            <w:pPr>
              <w:pStyle w:val="MGSTexte0cm"/>
              <w:keepNext w:val="0"/>
              <w:jc w:val="left"/>
            </w:pPr>
            <w:r w:rsidRPr="00026EC1">
              <w:t>AUTRES COLLÈGES DU SECTEUR</w:t>
            </w:r>
          </w:p>
        </w:tc>
      </w:tr>
      <w:tr w:rsidR="00D05F4F" w:rsidRPr="00026EC1" w14:paraId="59BE6DED" w14:textId="77777777" w:rsidTr="001309D8">
        <w:trPr>
          <w:cantSplit/>
        </w:trPr>
        <w:tc>
          <w:tcPr>
            <w:tcW w:w="4171" w:type="dxa"/>
          </w:tcPr>
          <w:p w14:paraId="5A54DFF7" w14:textId="77777777" w:rsidR="00D05F4F" w:rsidRPr="00026EC1" w:rsidRDefault="00D05F4F" w:rsidP="007F120F">
            <w:pPr>
              <w:keepNext w:val="0"/>
            </w:pPr>
          </w:p>
        </w:tc>
        <w:tc>
          <w:tcPr>
            <w:tcW w:w="5308" w:type="dxa"/>
          </w:tcPr>
          <w:p w14:paraId="0520E359" w14:textId="77777777" w:rsidR="00D05F4F" w:rsidRPr="00026EC1" w:rsidRDefault="00D05F4F" w:rsidP="007F120F">
            <w:pPr>
              <w:keepNext w:val="0"/>
              <w:jc w:val="left"/>
            </w:pPr>
          </w:p>
        </w:tc>
      </w:tr>
      <w:tr w:rsidR="00D05F4F" w:rsidRPr="00026EC1" w14:paraId="0B0584A0" w14:textId="77777777" w:rsidTr="001309D8">
        <w:trPr>
          <w:cantSplit/>
          <w:trHeight w:val="404"/>
        </w:trPr>
        <w:tc>
          <w:tcPr>
            <w:tcW w:w="4171" w:type="dxa"/>
          </w:tcPr>
          <w:p w14:paraId="798BF775" w14:textId="430DC810" w:rsidR="00D05F4F" w:rsidRPr="00D05F4F" w:rsidRDefault="00D05F4F" w:rsidP="007F120F">
            <w:pPr>
              <w:keepNext w:val="0"/>
              <w:spacing w:before="120"/>
            </w:pPr>
            <w:r w:rsidRPr="00D05F4F">
              <w:t>ABITIBI</w:t>
            </w:r>
            <w:r w:rsidR="00984A6F">
              <w:noBreakHyphen/>
            </w:r>
            <w:r w:rsidRPr="00D05F4F">
              <w:t>TÉMISCAMINGUE</w:t>
            </w:r>
          </w:p>
        </w:tc>
        <w:tc>
          <w:tcPr>
            <w:tcW w:w="5308" w:type="dxa"/>
          </w:tcPr>
          <w:p w14:paraId="09A145F5" w14:textId="3CE2CA95" w:rsidR="00D05F4F" w:rsidRPr="00D05F4F" w:rsidRDefault="00984A6F" w:rsidP="007F120F">
            <w:pPr>
              <w:keepNext w:val="0"/>
              <w:spacing w:before="120"/>
              <w:jc w:val="left"/>
            </w:pPr>
            <w:r>
              <w:noBreakHyphen/>
            </w:r>
          </w:p>
        </w:tc>
      </w:tr>
      <w:tr w:rsidR="00D05F4F" w:rsidRPr="00026EC1" w14:paraId="727FF5D0" w14:textId="77777777" w:rsidTr="001309D8">
        <w:trPr>
          <w:cantSplit/>
        </w:trPr>
        <w:tc>
          <w:tcPr>
            <w:tcW w:w="4171" w:type="dxa"/>
          </w:tcPr>
          <w:p w14:paraId="6DBD9F93" w14:textId="77777777" w:rsidR="00D05F4F" w:rsidRPr="00D05F4F" w:rsidRDefault="00D05F4F" w:rsidP="007F120F">
            <w:pPr>
              <w:keepNext w:val="0"/>
              <w:spacing w:before="120"/>
            </w:pPr>
            <w:r w:rsidRPr="00D05F4F">
              <w:t>AHUNTSIC</w:t>
            </w:r>
          </w:p>
        </w:tc>
        <w:tc>
          <w:tcPr>
            <w:tcW w:w="5308" w:type="dxa"/>
          </w:tcPr>
          <w:p w14:paraId="1E9FC61C" w14:textId="2E90AAD5"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09CCAA0C" w14:textId="77777777" w:rsidTr="001309D8">
        <w:trPr>
          <w:cantSplit/>
        </w:trPr>
        <w:tc>
          <w:tcPr>
            <w:tcW w:w="4171" w:type="dxa"/>
          </w:tcPr>
          <w:p w14:paraId="32061E01" w14:textId="77777777" w:rsidR="00D05F4F" w:rsidRPr="00D05F4F" w:rsidRDefault="00D05F4F" w:rsidP="007F120F">
            <w:pPr>
              <w:keepNext w:val="0"/>
              <w:spacing w:before="120"/>
            </w:pPr>
            <w:r w:rsidRPr="00D05F4F">
              <w:t>ALMA</w:t>
            </w:r>
          </w:p>
        </w:tc>
        <w:tc>
          <w:tcPr>
            <w:tcW w:w="5308" w:type="dxa"/>
          </w:tcPr>
          <w:p w14:paraId="2FB9E681" w14:textId="50EDD531" w:rsidR="00D05F4F" w:rsidRPr="00D05F4F" w:rsidRDefault="00D05F4F" w:rsidP="007F120F">
            <w:pPr>
              <w:keepNext w:val="0"/>
              <w:spacing w:before="120"/>
              <w:jc w:val="left"/>
            </w:pPr>
            <w:r w:rsidRPr="00D05F4F">
              <w:t>Chicoutimi, Jonquière, Saint</w:t>
            </w:r>
            <w:r w:rsidR="00984A6F">
              <w:noBreakHyphen/>
            </w:r>
            <w:r w:rsidRPr="00D05F4F">
              <w:t>Félicien</w:t>
            </w:r>
          </w:p>
        </w:tc>
      </w:tr>
      <w:tr w:rsidR="00D05F4F" w:rsidRPr="00026EC1" w14:paraId="3DBB88A1" w14:textId="77777777" w:rsidTr="001309D8">
        <w:trPr>
          <w:cantSplit/>
        </w:trPr>
        <w:tc>
          <w:tcPr>
            <w:tcW w:w="4171" w:type="dxa"/>
          </w:tcPr>
          <w:p w14:paraId="0BA45745" w14:textId="7B4E7FCD" w:rsidR="00D05F4F" w:rsidRPr="00D05F4F" w:rsidRDefault="00D05F4F" w:rsidP="007F120F">
            <w:pPr>
              <w:keepNext w:val="0"/>
              <w:spacing w:before="120"/>
            </w:pPr>
            <w:r w:rsidRPr="00D05F4F">
              <w:t>ANDRÉ</w:t>
            </w:r>
            <w:r w:rsidR="00984A6F">
              <w:noBreakHyphen/>
            </w:r>
            <w:r w:rsidRPr="00D05F4F">
              <w:t>LAURENDEAU</w:t>
            </w:r>
          </w:p>
        </w:tc>
        <w:tc>
          <w:tcPr>
            <w:tcW w:w="5308" w:type="dxa"/>
          </w:tcPr>
          <w:p w14:paraId="3AB49B6D" w14:textId="19EF3D55"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3C78CF5D" w14:textId="77777777" w:rsidTr="001309D8">
        <w:trPr>
          <w:cantSplit/>
        </w:trPr>
        <w:tc>
          <w:tcPr>
            <w:tcW w:w="4171" w:type="dxa"/>
          </w:tcPr>
          <w:p w14:paraId="5E754EC5" w14:textId="3AC97EDE" w:rsidR="00D05F4F" w:rsidRPr="00D05F4F" w:rsidRDefault="00D05F4F" w:rsidP="007F120F">
            <w:pPr>
              <w:keepNext w:val="0"/>
              <w:spacing w:before="120"/>
            </w:pPr>
            <w:r w:rsidRPr="00D05F4F">
              <w:t>BAIE</w:t>
            </w:r>
            <w:r w:rsidR="00984A6F">
              <w:noBreakHyphen/>
            </w:r>
            <w:r w:rsidRPr="00D05F4F">
              <w:t>COMEAU</w:t>
            </w:r>
          </w:p>
        </w:tc>
        <w:tc>
          <w:tcPr>
            <w:tcW w:w="5308" w:type="dxa"/>
          </w:tcPr>
          <w:p w14:paraId="555BC3F1" w14:textId="3F5AA369" w:rsidR="00D05F4F" w:rsidRPr="00D05F4F" w:rsidRDefault="00984A6F" w:rsidP="007F120F">
            <w:pPr>
              <w:keepNext w:val="0"/>
              <w:spacing w:before="120"/>
              <w:jc w:val="left"/>
              <w:rPr>
                <w:i/>
              </w:rPr>
            </w:pPr>
            <w:r>
              <w:rPr>
                <w:i/>
              </w:rPr>
              <w:noBreakHyphen/>
            </w:r>
          </w:p>
        </w:tc>
      </w:tr>
      <w:tr w:rsidR="00D05F4F" w:rsidRPr="00026EC1" w14:paraId="15F94D45" w14:textId="77777777" w:rsidTr="001309D8">
        <w:trPr>
          <w:cantSplit/>
        </w:trPr>
        <w:tc>
          <w:tcPr>
            <w:tcW w:w="4171" w:type="dxa"/>
          </w:tcPr>
          <w:p w14:paraId="4EAA1121" w14:textId="77C0B663" w:rsidR="00D05F4F" w:rsidRPr="00D05F4F" w:rsidRDefault="00D05F4F" w:rsidP="007F120F">
            <w:pPr>
              <w:keepNext w:val="0"/>
              <w:spacing w:before="120"/>
            </w:pPr>
            <w:r w:rsidRPr="00D05F4F">
              <w:t>BEAUCE</w:t>
            </w:r>
            <w:r w:rsidR="00984A6F">
              <w:noBreakHyphen/>
            </w:r>
            <w:r w:rsidRPr="00D05F4F">
              <w:t>APPALACHES</w:t>
            </w:r>
          </w:p>
        </w:tc>
        <w:tc>
          <w:tcPr>
            <w:tcW w:w="5308" w:type="dxa"/>
            <w:vAlign w:val="center"/>
          </w:tcPr>
          <w:p w14:paraId="6D5FF9A6" w14:textId="2E44947D" w:rsidR="00D05F4F" w:rsidRPr="00D05F4F" w:rsidRDefault="00D05F4F" w:rsidP="007F120F">
            <w:pPr>
              <w:keepNext w:val="0"/>
              <w:jc w:val="left"/>
              <w:rPr>
                <w:strike/>
              </w:rPr>
            </w:pPr>
            <w:r w:rsidRPr="00D05F4F">
              <w:t>Lac</w:t>
            </w:r>
            <w:r w:rsidR="00984A6F">
              <w:noBreakHyphen/>
            </w:r>
            <w:r w:rsidRPr="00D05F4F">
              <w:t>Mégantic, Thetford</w:t>
            </w:r>
          </w:p>
        </w:tc>
      </w:tr>
      <w:tr w:rsidR="00D05F4F" w:rsidRPr="00026EC1" w14:paraId="247B6ABA" w14:textId="77777777" w:rsidTr="001309D8">
        <w:trPr>
          <w:cantSplit/>
        </w:trPr>
        <w:tc>
          <w:tcPr>
            <w:tcW w:w="4171" w:type="dxa"/>
          </w:tcPr>
          <w:p w14:paraId="1815FC34" w14:textId="08479487" w:rsidR="00D05F4F" w:rsidRPr="00D05F4F" w:rsidRDefault="00D05F4F" w:rsidP="007F120F">
            <w:pPr>
              <w:keepNext w:val="0"/>
              <w:spacing w:before="120"/>
            </w:pPr>
            <w:r w:rsidRPr="00D05F4F">
              <w:t>BOIS</w:t>
            </w:r>
            <w:r w:rsidR="00984A6F">
              <w:noBreakHyphen/>
            </w:r>
            <w:r w:rsidRPr="00D05F4F">
              <w:t>DE</w:t>
            </w:r>
            <w:r w:rsidR="00984A6F">
              <w:noBreakHyphen/>
            </w:r>
            <w:r w:rsidRPr="00D05F4F">
              <w:t>BOULOGNE</w:t>
            </w:r>
          </w:p>
        </w:tc>
        <w:tc>
          <w:tcPr>
            <w:tcW w:w="5308" w:type="dxa"/>
          </w:tcPr>
          <w:p w14:paraId="1E7909D8" w14:textId="414463F1"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50ABB3DB" w14:textId="77777777" w:rsidTr="001309D8">
        <w:trPr>
          <w:cantSplit/>
        </w:trPr>
        <w:tc>
          <w:tcPr>
            <w:tcW w:w="4171" w:type="dxa"/>
          </w:tcPr>
          <w:p w14:paraId="2DBA3172" w14:textId="20EA6777" w:rsidR="00D05F4F" w:rsidRPr="00D05F4F" w:rsidRDefault="00D05F4F" w:rsidP="007F120F">
            <w:pPr>
              <w:keepNext w:val="0"/>
              <w:spacing w:before="120"/>
            </w:pPr>
            <w:r w:rsidRPr="00D05F4F">
              <w:t>CARLETON</w:t>
            </w:r>
            <w:r w:rsidR="00984A6F">
              <w:noBreakHyphen/>
            </w:r>
            <w:r w:rsidRPr="00D05F4F">
              <w:t>SUR</w:t>
            </w:r>
            <w:r w:rsidR="00984A6F">
              <w:noBreakHyphen/>
            </w:r>
            <w:r w:rsidRPr="00D05F4F">
              <w:t>MER</w:t>
            </w:r>
          </w:p>
        </w:tc>
        <w:tc>
          <w:tcPr>
            <w:tcW w:w="5308" w:type="dxa"/>
          </w:tcPr>
          <w:p w14:paraId="5B07AE04" w14:textId="3C2EFC4E" w:rsidR="00D05F4F" w:rsidRPr="00D05F4F" w:rsidRDefault="00984A6F" w:rsidP="007F120F">
            <w:pPr>
              <w:keepNext w:val="0"/>
              <w:spacing w:before="120"/>
              <w:jc w:val="left"/>
              <w:rPr>
                <w:i/>
              </w:rPr>
            </w:pPr>
            <w:r>
              <w:rPr>
                <w:i/>
              </w:rPr>
              <w:noBreakHyphen/>
            </w:r>
          </w:p>
        </w:tc>
      </w:tr>
      <w:tr w:rsidR="00D05F4F" w:rsidRPr="00026EC1" w14:paraId="63A34EA7" w14:textId="77777777" w:rsidTr="001309D8">
        <w:trPr>
          <w:cantSplit/>
        </w:trPr>
        <w:tc>
          <w:tcPr>
            <w:tcW w:w="4171" w:type="dxa"/>
          </w:tcPr>
          <w:p w14:paraId="661FC1AE" w14:textId="77777777" w:rsidR="00D05F4F" w:rsidRPr="00D05F4F" w:rsidRDefault="00D05F4F" w:rsidP="007F120F">
            <w:pPr>
              <w:keepNext w:val="0"/>
              <w:spacing w:before="120"/>
            </w:pPr>
            <w:r w:rsidRPr="00D05F4F">
              <w:rPr>
                <w:rFonts w:cs="Arial"/>
              </w:rPr>
              <w:t xml:space="preserve">CHAMPLAIN À </w:t>
            </w:r>
            <w:r w:rsidRPr="00D05F4F">
              <w:t>LENNOXVILLE</w:t>
            </w:r>
          </w:p>
        </w:tc>
        <w:tc>
          <w:tcPr>
            <w:tcW w:w="5308" w:type="dxa"/>
          </w:tcPr>
          <w:p w14:paraId="6B562A57" w14:textId="77777777" w:rsidR="00D05F4F" w:rsidRPr="00D05F4F" w:rsidRDefault="00D05F4F" w:rsidP="007F120F">
            <w:pPr>
              <w:keepNext w:val="0"/>
              <w:spacing w:before="120"/>
              <w:jc w:val="left"/>
            </w:pPr>
            <w:r w:rsidRPr="00D05F4F">
              <w:t>Drummondville, Granby, Sherbrooke, Victoriaville</w:t>
            </w:r>
          </w:p>
        </w:tc>
      </w:tr>
      <w:tr w:rsidR="00D05F4F" w:rsidRPr="00026EC1" w14:paraId="76CEC03C" w14:textId="77777777" w:rsidTr="001309D8">
        <w:trPr>
          <w:cantSplit/>
        </w:trPr>
        <w:tc>
          <w:tcPr>
            <w:tcW w:w="4171" w:type="dxa"/>
          </w:tcPr>
          <w:p w14:paraId="0B0D5109" w14:textId="0DA0000E" w:rsidR="00D05F4F" w:rsidRPr="00D05F4F" w:rsidRDefault="00D05F4F" w:rsidP="007F120F">
            <w:pPr>
              <w:keepNext w:val="0"/>
              <w:spacing w:before="120"/>
            </w:pPr>
            <w:r w:rsidRPr="00D05F4F">
              <w:rPr>
                <w:rFonts w:cs="Arial"/>
              </w:rPr>
              <w:t xml:space="preserve">CHAMPLAIN À </w:t>
            </w:r>
            <w:r w:rsidRPr="00D05F4F">
              <w:t>SAINT</w:t>
            </w:r>
            <w:r w:rsidR="00984A6F">
              <w:noBreakHyphen/>
            </w:r>
            <w:r w:rsidRPr="00D05F4F">
              <w:t>LAMBERT</w:t>
            </w:r>
          </w:p>
        </w:tc>
        <w:tc>
          <w:tcPr>
            <w:tcW w:w="5308" w:type="dxa"/>
          </w:tcPr>
          <w:p w14:paraId="18EA7D1F" w14:textId="217365AC" w:rsidR="00D05F4F" w:rsidRPr="00D05F4F" w:rsidRDefault="00D05F4F" w:rsidP="007F120F">
            <w:pPr>
              <w:keepNext w:val="0"/>
              <w:spacing w:before="120"/>
              <w:jc w:val="left"/>
            </w:pPr>
            <w:r w:rsidRPr="00D05F4F">
              <w:t>Drummondville,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7869280D" w14:textId="77777777" w:rsidTr="001309D8">
        <w:trPr>
          <w:cantSplit/>
        </w:trPr>
        <w:tc>
          <w:tcPr>
            <w:tcW w:w="4171" w:type="dxa"/>
          </w:tcPr>
          <w:p w14:paraId="74B1C3EA" w14:textId="77777777" w:rsidR="00D05F4F" w:rsidRPr="00D05F4F" w:rsidRDefault="00D05F4F" w:rsidP="007F120F">
            <w:pPr>
              <w:keepNext w:val="0"/>
              <w:spacing w:before="120"/>
            </w:pPr>
            <w:r w:rsidRPr="00D05F4F">
              <w:t>CHAMPLAIN </w:t>
            </w:r>
            <w:r w:rsidRPr="00D05F4F">
              <w:rPr>
                <w:rFonts w:ascii="Cambria Math" w:hAnsi="Cambria Math"/>
              </w:rPr>
              <w:t>‑ </w:t>
            </w:r>
            <w:r w:rsidRPr="00D05F4F">
              <w:t>ST. LAWRENCE</w:t>
            </w:r>
          </w:p>
        </w:tc>
        <w:tc>
          <w:tcPr>
            <w:tcW w:w="5308" w:type="dxa"/>
          </w:tcPr>
          <w:p w14:paraId="62B5ED9A" w14:textId="77777777" w:rsidR="00D05F4F" w:rsidRPr="00D05F4F" w:rsidRDefault="00D05F4F" w:rsidP="007F120F">
            <w:pPr>
              <w:keepNext w:val="0"/>
              <w:spacing w:before="120"/>
              <w:jc w:val="left"/>
            </w:pPr>
            <w:r w:rsidRPr="00D05F4F">
              <w:t>Montmagny, Région de Québec**</w:t>
            </w:r>
          </w:p>
        </w:tc>
      </w:tr>
      <w:tr w:rsidR="00D05F4F" w:rsidRPr="002044D1" w14:paraId="79933F5E" w14:textId="77777777" w:rsidTr="001309D8">
        <w:trPr>
          <w:cantSplit/>
        </w:trPr>
        <w:tc>
          <w:tcPr>
            <w:tcW w:w="4171" w:type="dxa"/>
          </w:tcPr>
          <w:p w14:paraId="75326545" w14:textId="77777777" w:rsidR="00D05F4F" w:rsidRPr="00D05F4F" w:rsidRDefault="00D05F4F" w:rsidP="007F120F">
            <w:pPr>
              <w:keepNext w:val="0"/>
              <w:spacing w:before="120"/>
            </w:pPr>
            <w:r w:rsidRPr="00D05F4F">
              <w:t>CHARLEVOIX</w:t>
            </w:r>
          </w:p>
        </w:tc>
        <w:tc>
          <w:tcPr>
            <w:tcW w:w="5308" w:type="dxa"/>
          </w:tcPr>
          <w:p w14:paraId="2963ED4C" w14:textId="7FB720BE" w:rsidR="00D05F4F" w:rsidRPr="00D05F4F" w:rsidRDefault="00984A6F" w:rsidP="007F120F">
            <w:pPr>
              <w:keepNext w:val="0"/>
              <w:spacing w:before="120"/>
              <w:jc w:val="left"/>
            </w:pPr>
            <w:r>
              <w:noBreakHyphen/>
            </w:r>
          </w:p>
        </w:tc>
      </w:tr>
      <w:tr w:rsidR="00D05F4F" w:rsidRPr="00026EC1" w14:paraId="7E960522" w14:textId="77777777" w:rsidTr="001309D8">
        <w:trPr>
          <w:cantSplit/>
        </w:trPr>
        <w:tc>
          <w:tcPr>
            <w:tcW w:w="4171" w:type="dxa"/>
          </w:tcPr>
          <w:p w14:paraId="20F2F349" w14:textId="77777777" w:rsidR="00D05F4F" w:rsidRPr="00D05F4F" w:rsidRDefault="00D05F4F" w:rsidP="007F120F">
            <w:pPr>
              <w:keepNext w:val="0"/>
              <w:spacing w:before="120"/>
            </w:pPr>
            <w:r w:rsidRPr="00D05F4F">
              <w:t>CHIBOUGAMAU</w:t>
            </w:r>
          </w:p>
        </w:tc>
        <w:tc>
          <w:tcPr>
            <w:tcW w:w="5308" w:type="dxa"/>
          </w:tcPr>
          <w:p w14:paraId="236BEDFF" w14:textId="775FBC06" w:rsidR="00D05F4F" w:rsidRPr="00D05F4F" w:rsidRDefault="00984A6F" w:rsidP="007F120F">
            <w:pPr>
              <w:keepNext w:val="0"/>
              <w:spacing w:before="120"/>
              <w:jc w:val="left"/>
            </w:pPr>
            <w:r>
              <w:noBreakHyphen/>
            </w:r>
          </w:p>
        </w:tc>
      </w:tr>
      <w:tr w:rsidR="00D05F4F" w:rsidRPr="00026EC1" w14:paraId="26E3019E" w14:textId="77777777" w:rsidTr="001309D8">
        <w:trPr>
          <w:cantSplit/>
        </w:trPr>
        <w:tc>
          <w:tcPr>
            <w:tcW w:w="4171" w:type="dxa"/>
          </w:tcPr>
          <w:p w14:paraId="1F6AA53B" w14:textId="77777777" w:rsidR="00D05F4F" w:rsidRPr="00D05F4F" w:rsidRDefault="00D05F4F" w:rsidP="007F120F">
            <w:pPr>
              <w:keepNext w:val="0"/>
              <w:spacing w:before="120"/>
            </w:pPr>
            <w:r w:rsidRPr="00D05F4F">
              <w:t>CHICOUTIMI</w:t>
            </w:r>
          </w:p>
        </w:tc>
        <w:tc>
          <w:tcPr>
            <w:tcW w:w="5308" w:type="dxa"/>
          </w:tcPr>
          <w:p w14:paraId="59518187" w14:textId="77777777" w:rsidR="00D05F4F" w:rsidRPr="00D05F4F" w:rsidRDefault="00D05F4F" w:rsidP="007F120F">
            <w:pPr>
              <w:keepNext w:val="0"/>
              <w:spacing w:before="120"/>
              <w:jc w:val="left"/>
            </w:pPr>
            <w:r w:rsidRPr="00D05F4F">
              <w:t>Alma, Jonquière</w:t>
            </w:r>
          </w:p>
        </w:tc>
      </w:tr>
      <w:tr w:rsidR="00D05F4F" w:rsidRPr="00026EC1" w14:paraId="0F744FAC" w14:textId="77777777" w:rsidTr="001309D8">
        <w:trPr>
          <w:cantSplit/>
        </w:trPr>
        <w:tc>
          <w:tcPr>
            <w:tcW w:w="4171" w:type="dxa"/>
          </w:tcPr>
          <w:p w14:paraId="6DC1E19D" w14:textId="77777777" w:rsidR="00D05F4F" w:rsidRPr="00D05F4F" w:rsidRDefault="00D05F4F" w:rsidP="007F120F">
            <w:pPr>
              <w:keepNext w:val="0"/>
              <w:spacing w:before="120"/>
            </w:pPr>
            <w:r w:rsidRPr="00D05F4F">
              <w:t>DAWSON</w:t>
            </w:r>
          </w:p>
        </w:tc>
        <w:tc>
          <w:tcPr>
            <w:tcW w:w="5308" w:type="dxa"/>
          </w:tcPr>
          <w:p w14:paraId="41F92E5C" w14:textId="2EF4F750"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w:t>
            </w:r>
            <w:r w:rsidR="005E6280">
              <w:t>,</w:t>
            </w:r>
            <w:r w:rsidRPr="00D05F4F">
              <w:t xml:space="preserve">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19403808" w14:textId="77777777" w:rsidTr="001309D8">
        <w:trPr>
          <w:cantSplit/>
        </w:trPr>
        <w:tc>
          <w:tcPr>
            <w:tcW w:w="4171" w:type="dxa"/>
          </w:tcPr>
          <w:p w14:paraId="7C214190" w14:textId="77777777" w:rsidR="00D05F4F" w:rsidRPr="00D05F4F" w:rsidRDefault="00D05F4F" w:rsidP="007F120F">
            <w:pPr>
              <w:keepNext w:val="0"/>
              <w:spacing w:before="120"/>
            </w:pPr>
            <w:r w:rsidRPr="00D05F4F">
              <w:t>DRUMMONDVILLE</w:t>
            </w:r>
          </w:p>
        </w:tc>
        <w:tc>
          <w:tcPr>
            <w:tcW w:w="5308" w:type="dxa"/>
          </w:tcPr>
          <w:p w14:paraId="22DD277A" w14:textId="5083396C" w:rsidR="00D05F4F" w:rsidRPr="00D05F4F" w:rsidRDefault="00D05F4F" w:rsidP="007F120F">
            <w:pPr>
              <w:keepNext w:val="0"/>
              <w:spacing w:before="120"/>
              <w:jc w:val="left"/>
            </w:pPr>
            <w:r w:rsidRPr="00D05F4F">
              <w:rPr>
                <w:rFonts w:cs="Arial"/>
              </w:rPr>
              <w:t xml:space="preserve">Champlain à </w:t>
            </w:r>
            <w:r w:rsidRPr="00D05F4F">
              <w:t xml:space="preserve">Lennoxville, </w:t>
            </w:r>
            <w:r w:rsidRPr="00D05F4F">
              <w:rPr>
                <w:rFonts w:cs="Arial"/>
              </w:rPr>
              <w:t xml:space="preserve">Champlain à </w:t>
            </w:r>
            <w:r w:rsidRPr="00D05F4F">
              <w:t>Saint</w:t>
            </w:r>
            <w:r w:rsidR="00984A6F">
              <w:noBreakHyphen/>
            </w:r>
            <w:r w:rsidRPr="00D05F4F">
              <w:t>Lambert, Édouard</w:t>
            </w:r>
            <w:r w:rsidR="00984A6F">
              <w:noBreakHyphen/>
            </w:r>
            <w:r w:rsidRPr="00D05F4F">
              <w:t>Montpetit, Granby</w:t>
            </w:r>
            <w:r w:rsidR="005E6280">
              <w:t>,</w:t>
            </w:r>
            <w:r w:rsidRPr="00D05F4F">
              <w:t xml:space="preserve"> Saint</w:t>
            </w:r>
            <w:r w:rsidR="00984A6F">
              <w:noBreakHyphen/>
            </w:r>
            <w:r w:rsidRPr="00D05F4F">
              <w:t>Hyacinthe, Shawinigan, Sherbrooke, Sorel</w:t>
            </w:r>
            <w:r w:rsidR="00984A6F">
              <w:noBreakHyphen/>
            </w:r>
            <w:r w:rsidRPr="00D05F4F">
              <w:t>Tracy, Trois</w:t>
            </w:r>
            <w:r w:rsidR="00984A6F">
              <w:noBreakHyphen/>
            </w:r>
            <w:r w:rsidRPr="00D05F4F">
              <w:t>Rivières, Victoriaville</w:t>
            </w:r>
          </w:p>
        </w:tc>
      </w:tr>
      <w:tr w:rsidR="00D05F4F" w:rsidRPr="00026EC1" w14:paraId="73716C38" w14:textId="77777777" w:rsidTr="001309D8">
        <w:trPr>
          <w:cantSplit/>
        </w:trPr>
        <w:tc>
          <w:tcPr>
            <w:tcW w:w="4171" w:type="dxa"/>
          </w:tcPr>
          <w:p w14:paraId="4FB25409" w14:textId="669547F7" w:rsidR="00D05F4F" w:rsidRPr="00D05F4F" w:rsidRDefault="00D05F4F" w:rsidP="007F120F">
            <w:pPr>
              <w:keepNext w:val="0"/>
              <w:spacing w:before="120"/>
            </w:pPr>
            <w:r w:rsidRPr="00D05F4F">
              <w:t>ÉDOUARD</w:t>
            </w:r>
            <w:r w:rsidR="00984A6F">
              <w:noBreakHyphen/>
            </w:r>
            <w:r w:rsidRPr="00D05F4F">
              <w:t>MONTPETIT</w:t>
            </w:r>
          </w:p>
        </w:tc>
        <w:tc>
          <w:tcPr>
            <w:tcW w:w="5308" w:type="dxa"/>
          </w:tcPr>
          <w:p w14:paraId="074EC1E7" w14:textId="678D07D1"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Drummondville, Granby</w:t>
            </w:r>
            <w:r w:rsidR="005E6280">
              <w:t>,</w:t>
            </w:r>
            <w:r w:rsidRPr="00D05F4F">
              <w:t xml:space="preserve">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0F401591" w14:textId="77777777" w:rsidTr="001309D8">
        <w:trPr>
          <w:cantSplit/>
        </w:trPr>
        <w:tc>
          <w:tcPr>
            <w:tcW w:w="4171" w:type="dxa"/>
          </w:tcPr>
          <w:p w14:paraId="61518E1D" w14:textId="1721A9F9" w:rsidR="00D05F4F" w:rsidRPr="00D05F4F" w:rsidRDefault="00D05F4F" w:rsidP="007F120F">
            <w:pPr>
              <w:keepNext w:val="0"/>
              <w:spacing w:before="120"/>
            </w:pPr>
            <w:r w:rsidRPr="00D05F4F">
              <w:t>GARNEAU</w:t>
            </w:r>
          </w:p>
        </w:tc>
        <w:tc>
          <w:tcPr>
            <w:tcW w:w="5308" w:type="dxa"/>
          </w:tcPr>
          <w:p w14:paraId="10C5CC6C" w14:textId="77777777" w:rsidR="00D05F4F" w:rsidRPr="00D05F4F" w:rsidRDefault="00D05F4F" w:rsidP="007F120F">
            <w:pPr>
              <w:keepNext w:val="0"/>
              <w:spacing w:before="120"/>
              <w:jc w:val="left"/>
            </w:pPr>
            <w:r w:rsidRPr="00D05F4F">
              <w:t>Montmagny, Région de Québec**</w:t>
            </w:r>
          </w:p>
        </w:tc>
      </w:tr>
      <w:tr w:rsidR="00D05F4F" w:rsidRPr="00026EC1" w14:paraId="0758F301" w14:textId="77777777" w:rsidTr="001309D8">
        <w:trPr>
          <w:cantSplit/>
          <w:trHeight w:val="412"/>
        </w:trPr>
        <w:tc>
          <w:tcPr>
            <w:tcW w:w="4171" w:type="dxa"/>
            <w:tcBorders>
              <w:bottom w:val="nil"/>
            </w:tcBorders>
          </w:tcPr>
          <w:p w14:paraId="28881659" w14:textId="77777777" w:rsidR="00D05F4F" w:rsidRPr="00D05F4F" w:rsidRDefault="00D05F4F" w:rsidP="007F120F">
            <w:pPr>
              <w:keepNext w:val="0"/>
              <w:spacing w:before="120"/>
            </w:pPr>
            <w:r w:rsidRPr="00D05F4F">
              <w:t>GASPÉSIE ET DES ÎLES</w:t>
            </w:r>
          </w:p>
        </w:tc>
        <w:tc>
          <w:tcPr>
            <w:tcW w:w="5308" w:type="dxa"/>
            <w:tcBorders>
              <w:bottom w:val="nil"/>
            </w:tcBorders>
          </w:tcPr>
          <w:p w14:paraId="07CE106E" w14:textId="304BEE8B" w:rsidR="00D05F4F" w:rsidRPr="00D05F4F" w:rsidRDefault="00984A6F" w:rsidP="007F120F">
            <w:pPr>
              <w:keepNext w:val="0"/>
              <w:spacing w:before="120"/>
              <w:jc w:val="left"/>
            </w:pPr>
            <w:r>
              <w:noBreakHyphen/>
            </w:r>
          </w:p>
        </w:tc>
      </w:tr>
      <w:tr w:rsidR="00D05F4F" w:rsidRPr="00026EC1" w14:paraId="284DB735" w14:textId="77777777" w:rsidTr="001309D8">
        <w:trPr>
          <w:cantSplit/>
        </w:trPr>
        <w:tc>
          <w:tcPr>
            <w:tcW w:w="4171" w:type="dxa"/>
          </w:tcPr>
          <w:p w14:paraId="7A6F12D3" w14:textId="03414020" w:rsidR="00D05F4F" w:rsidRPr="00D05F4F" w:rsidRDefault="00D05F4F" w:rsidP="007F120F">
            <w:pPr>
              <w:keepNext w:val="0"/>
              <w:spacing w:before="120"/>
            </w:pPr>
            <w:r w:rsidRPr="00D05F4F">
              <w:t>GÉRALD</w:t>
            </w:r>
            <w:r w:rsidR="00984A6F">
              <w:noBreakHyphen/>
            </w:r>
            <w:r w:rsidRPr="00D05F4F">
              <w:t>GODIN</w:t>
            </w:r>
          </w:p>
        </w:tc>
        <w:tc>
          <w:tcPr>
            <w:tcW w:w="5308" w:type="dxa"/>
          </w:tcPr>
          <w:p w14:paraId="123221F7" w14:textId="02AB2FA8"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Terrebonne, Valleyfield</w:t>
            </w:r>
          </w:p>
        </w:tc>
      </w:tr>
      <w:tr w:rsidR="00D05F4F" w:rsidRPr="00026EC1" w14:paraId="5C16B0BF" w14:textId="77777777" w:rsidTr="001309D8">
        <w:trPr>
          <w:cantSplit/>
        </w:trPr>
        <w:tc>
          <w:tcPr>
            <w:tcW w:w="4171" w:type="dxa"/>
          </w:tcPr>
          <w:p w14:paraId="487A21C1" w14:textId="032E7F6F" w:rsidR="00D05F4F" w:rsidRPr="00D05F4F" w:rsidRDefault="00D05F4F" w:rsidP="007F120F">
            <w:pPr>
              <w:keepNext w:val="0"/>
              <w:spacing w:before="120"/>
              <w:rPr>
                <w:lang w:val="de-DE"/>
              </w:rPr>
            </w:pPr>
            <w:r w:rsidRPr="00D05F4F">
              <w:rPr>
                <w:lang w:val="de-DE"/>
              </w:rPr>
              <w:t>GRANBY</w:t>
            </w:r>
            <w:r w:rsidRPr="00D05F4F">
              <w:t xml:space="preserve"> </w:t>
            </w:r>
          </w:p>
        </w:tc>
        <w:tc>
          <w:tcPr>
            <w:tcW w:w="5308" w:type="dxa"/>
          </w:tcPr>
          <w:p w14:paraId="106DB71E" w14:textId="3BDB971C" w:rsidR="00D05F4F" w:rsidRPr="00D05F4F" w:rsidRDefault="00D05F4F" w:rsidP="007F120F">
            <w:pPr>
              <w:keepNext w:val="0"/>
              <w:spacing w:before="120"/>
              <w:jc w:val="left"/>
            </w:pPr>
            <w:r w:rsidRPr="00D05F4F">
              <w:rPr>
                <w:rFonts w:cs="Arial"/>
              </w:rPr>
              <w:t xml:space="preserve">Champlain à </w:t>
            </w:r>
            <w:r w:rsidRPr="00D05F4F">
              <w:t xml:space="preserve">Lennoxville, </w:t>
            </w:r>
            <w:r w:rsidRPr="00D05F4F">
              <w:rPr>
                <w:rFonts w:cs="Arial"/>
              </w:rPr>
              <w:t xml:space="preserve">Champlain à </w:t>
            </w:r>
            <w:r w:rsidRPr="00D05F4F">
              <w:t>Saint</w:t>
            </w:r>
            <w:r w:rsidRPr="00D05F4F">
              <w:rPr>
                <w:rFonts w:ascii="Cambria Math" w:hAnsi="Cambria Math"/>
              </w:rPr>
              <w:t>‑</w:t>
            </w:r>
            <w:r w:rsidRPr="00D05F4F">
              <w:t>Lambert, Drummondville, Édouard</w:t>
            </w:r>
            <w:r w:rsidR="00984A6F">
              <w:noBreakHyphen/>
            </w:r>
            <w:r w:rsidRPr="00D05F4F">
              <w:t>Montpetit, Île de Montréal*,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Sherbrooke</w:t>
            </w:r>
          </w:p>
        </w:tc>
      </w:tr>
      <w:tr w:rsidR="00D05F4F" w:rsidRPr="00026EC1" w14:paraId="549BB7C0" w14:textId="77777777" w:rsidTr="001309D8">
        <w:trPr>
          <w:cantSplit/>
        </w:trPr>
        <w:tc>
          <w:tcPr>
            <w:tcW w:w="4171" w:type="dxa"/>
          </w:tcPr>
          <w:p w14:paraId="6D8767BA" w14:textId="77777777" w:rsidR="00D05F4F" w:rsidRPr="00D05F4F" w:rsidRDefault="00D05F4F" w:rsidP="007F120F">
            <w:pPr>
              <w:keepNext w:val="0"/>
              <w:spacing w:before="120"/>
            </w:pPr>
            <w:r w:rsidRPr="00D05F4F">
              <w:t>HERITAGE</w:t>
            </w:r>
          </w:p>
        </w:tc>
        <w:tc>
          <w:tcPr>
            <w:tcW w:w="5308" w:type="dxa"/>
          </w:tcPr>
          <w:p w14:paraId="7EA32A53" w14:textId="77777777" w:rsidR="00D05F4F" w:rsidRPr="00D05F4F" w:rsidRDefault="00D05F4F" w:rsidP="007F120F">
            <w:pPr>
              <w:keepNext w:val="0"/>
              <w:spacing w:before="120"/>
              <w:jc w:val="left"/>
            </w:pPr>
            <w:r w:rsidRPr="00D05F4F">
              <w:t>Outaouais</w:t>
            </w:r>
          </w:p>
        </w:tc>
      </w:tr>
      <w:tr w:rsidR="00D05F4F" w:rsidRPr="00026EC1" w14:paraId="414CC804" w14:textId="77777777" w:rsidTr="001309D8">
        <w:trPr>
          <w:cantSplit/>
        </w:trPr>
        <w:tc>
          <w:tcPr>
            <w:tcW w:w="4171" w:type="dxa"/>
          </w:tcPr>
          <w:p w14:paraId="74E5157E" w14:textId="41401C38" w:rsidR="00D05F4F" w:rsidRPr="00D05F4F" w:rsidRDefault="00D05F4F" w:rsidP="007F120F">
            <w:pPr>
              <w:keepNext w:val="0"/>
              <w:spacing w:before="120"/>
            </w:pPr>
            <w:r w:rsidRPr="00D05F4F">
              <w:t>ÎLES</w:t>
            </w:r>
            <w:r w:rsidR="00984A6F">
              <w:noBreakHyphen/>
            </w:r>
            <w:r w:rsidRPr="00D05F4F">
              <w:t>DE</w:t>
            </w:r>
            <w:r w:rsidR="00984A6F">
              <w:noBreakHyphen/>
            </w:r>
            <w:r w:rsidRPr="00D05F4F">
              <w:t>LA</w:t>
            </w:r>
            <w:r w:rsidR="00984A6F">
              <w:noBreakHyphen/>
            </w:r>
            <w:r w:rsidRPr="00D05F4F">
              <w:t>MADELEINE</w:t>
            </w:r>
          </w:p>
        </w:tc>
        <w:tc>
          <w:tcPr>
            <w:tcW w:w="5308" w:type="dxa"/>
          </w:tcPr>
          <w:p w14:paraId="13766D53" w14:textId="0E68AE95" w:rsidR="00D05F4F" w:rsidRPr="00D05F4F" w:rsidRDefault="00984A6F" w:rsidP="007F120F">
            <w:pPr>
              <w:keepNext w:val="0"/>
              <w:spacing w:before="120"/>
              <w:jc w:val="left"/>
            </w:pPr>
            <w:r>
              <w:noBreakHyphen/>
            </w:r>
          </w:p>
        </w:tc>
      </w:tr>
      <w:tr w:rsidR="00D05F4F" w:rsidRPr="00026EC1" w14:paraId="0A0D5192" w14:textId="77777777" w:rsidTr="001309D8">
        <w:trPr>
          <w:cantSplit/>
        </w:trPr>
        <w:tc>
          <w:tcPr>
            <w:tcW w:w="4171" w:type="dxa"/>
          </w:tcPr>
          <w:p w14:paraId="39A22A81" w14:textId="77777777" w:rsidR="00D05F4F" w:rsidRPr="00D05F4F" w:rsidRDefault="00D05F4F" w:rsidP="007F120F">
            <w:pPr>
              <w:keepNext w:val="0"/>
              <w:spacing w:before="120"/>
            </w:pPr>
            <w:r w:rsidRPr="00D05F4F">
              <w:t>JOHN ABBOTT</w:t>
            </w:r>
          </w:p>
        </w:tc>
        <w:tc>
          <w:tcPr>
            <w:tcW w:w="5308" w:type="dxa"/>
          </w:tcPr>
          <w:p w14:paraId="1D4563AB" w14:textId="1973AABE"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Terrebonne, Valleyfield</w:t>
            </w:r>
          </w:p>
        </w:tc>
      </w:tr>
      <w:tr w:rsidR="00D05F4F" w:rsidRPr="00026EC1" w14:paraId="458B5B72" w14:textId="77777777" w:rsidTr="001309D8">
        <w:trPr>
          <w:cantSplit/>
        </w:trPr>
        <w:tc>
          <w:tcPr>
            <w:tcW w:w="4171" w:type="dxa"/>
          </w:tcPr>
          <w:p w14:paraId="3BFEF53A" w14:textId="77777777" w:rsidR="00D05F4F" w:rsidRPr="00D05F4F" w:rsidRDefault="00D05F4F" w:rsidP="007F120F">
            <w:pPr>
              <w:keepNext w:val="0"/>
              <w:spacing w:before="120"/>
            </w:pPr>
            <w:r w:rsidRPr="00D05F4F">
              <w:t>JOLIETTE</w:t>
            </w:r>
          </w:p>
        </w:tc>
        <w:tc>
          <w:tcPr>
            <w:tcW w:w="5308" w:type="dxa"/>
          </w:tcPr>
          <w:p w14:paraId="3F128BD6" w14:textId="6B91B20B"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L’Assomption, Lionel</w:t>
            </w:r>
            <w:r w:rsidR="00984A6F">
              <w:noBreakHyphen/>
            </w:r>
            <w:r w:rsidRPr="00D05F4F">
              <w:t>Groulx, Montmorency, Saint</w:t>
            </w:r>
            <w:r w:rsidR="00984A6F">
              <w:noBreakHyphen/>
            </w:r>
            <w:r w:rsidRPr="00D05F4F">
              <w:t>Jérôme, Terrebonne, Trois</w:t>
            </w:r>
            <w:r w:rsidR="00984A6F">
              <w:noBreakHyphen/>
            </w:r>
            <w:r w:rsidRPr="00D05F4F">
              <w:t>Rivières</w:t>
            </w:r>
          </w:p>
        </w:tc>
      </w:tr>
      <w:tr w:rsidR="00D05F4F" w:rsidRPr="00026EC1" w14:paraId="57C26F8D" w14:textId="77777777" w:rsidTr="001309D8">
        <w:trPr>
          <w:cantSplit/>
        </w:trPr>
        <w:tc>
          <w:tcPr>
            <w:tcW w:w="4171" w:type="dxa"/>
          </w:tcPr>
          <w:p w14:paraId="0E4001EE" w14:textId="77777777" w:rsidR="00D05F4F" w:rsidRPr="00D05F4F" w:rsidRDefault="00D05F4F" w:rsidP="007F120F">
            <w:pPr>
              <w:keepNext w:val="0"/>
              <w:spacing w:before="120"/>
            </w:pPr>
            <w:r w:rsidRPr="00D05F4F">
              <w:t>JONQUIÈRE</w:t>
            </w:r>
          </w:p>
        </w:tc>
        <w:tc>
          <w:tcPr>
            <w:tcW w:w="5308" w:type="dxa"/>
          </w:tcPr>
          <w:p w14:paraId="4896AEF3" w14:textId="77777777" w:rsidR="00D05F4F" w:rsidRPr="00D05F4F" w:rsidRDefault="00D05F4F" w:rsidP="007F120F">
            <w:pPr>
              <w:keepNext w:val="0"/>
              <w:spacing w:before="120"/>
              <w:jc w:val="left"/>
            </w:pPr>
            <w:r w:rsidRPr="00D05F4F">
              <w:t>Alma, Chicoutimi</w:t>
            </w:r>
          </w:p>
        </w:tc>
      </w:tr>
      <w:tr w:rsidR="00D05F4F" w:rsidRPr="00026EC1" w14:paraId="3A12E199" w14:textId="77777777" w:rsidTr="001309D8">
        <w:trPr>
          <w:cantSplit/>
        </w:trPr>
        <w:tc>
          <w:tcPr>
            <w:tcW w:w="4171" w:type="dxa"/>
          </w:tcPr>
          <w:p w14:paraId="593E54CE" w14:textId="6CCBA973" w:rsidR="00D05F4F" w:rsidRPr="00D05F4F" w:rsidRDefault="00D05F4F" w:rsidP="007F120F">
            <w:pPr>
              <w:keepNext w:val="0"/>
              <w:spacing w:before="120"/>
            </w:pPr>
            <w:r w:rsidRPr="00D05F4F">
              <w:t>LAC</w:t>
            </w:r>
            <w:r w:rsidR="00984A6F">
              <w:noBreakHyphen/>
            </w:r>
            <w:r w:rsidRPr="00D05F4F">
              <w:t>MÉGANTIC</w:t>
            </w:r>
          </w:p>
        </w:tc>
        <w:tc>
          <w:tcPr>
            <w:tcW w:w="5308" w:type="dxa"/>
          </w:tcPr>
          <w:p w14:paraId="474841D8" w14:textId="4D18D77C" w:rsidR="00D05F4F" w:rsidRPr="00D05F4F" w:rsidRDefault="00D05F4F" w:rsidP="007F120F">
            <w:pPr>
              <w:keepNext w:val="0"/>
              <w:spacing w:before="120"/>
              <w:jc w:val="left"/>
            </w:pPr>
            <w:r w:rsidRPr="00D05F4F">
              <w:t>Beauce</w:t>
            </w:r>
            <w:r w:rsidR="00984A6F">
              <w:noBreakHyphen/>
            </w:r>
            <w:r w:rsidRPr="00D05F4F">
              <w:t>Appalaches, Sherbrooke, Thetford</w:t>
            </w:r>
          </w:p>
        </w:tc>
      </w:tr>
      <w:tr w:rsidR="00D05F4F" w:rsidRPr="00026EC1" w14:paraId="50317F66" w14:textId="77777777" w:rsidTr="001309D8">
        <w:trPr>
          <w:cantSplit/>
        </w:trPr>
        <w:tc>
          <w:tcPr>
            <w:tcW w:w="4171" w:type="dxa"/>
          </w:tcPr>
          <w:p w14:paraId="0165742A" w14:textId="77777777" w:rsidR="00D05F4F" w:rsidRPr="00D05F4F" w:rsidRDefault="00D05F4F" w:rsidP="007F120F">
            <w:pPr>
              <w:keepNext w:val="0"/>
              <w:spacing w:before="120"/>
            </w:pPr>
            <w:r w:rsidRPr="00D05F4F">
              <w:t>LA POCATIÈRE</w:t>
            </w:r>
          </w:p>
        </w:tc>
        <w:tc>
          <w:tcPr>
            <w:tcW w:w="5308" w:type="dxa"/>
          </w:tcPr>
          <w:p w14:paraId="2C2630F9" w14:textId="77777777" w:rsidR="00D05F4F" w:rsidRPr="00D05F4F" w:rsidRDefault="00D05F4F" w:rsidP="007F120F">
            <w:pPr>
              <w:keepNext w:val="0"/>
              <w:spacing w:before="120"/>
              <w:jc w:val="left"/>
            </w:pPr>
            <w:r w:rsidRPr="00D05F4F">
              <w:t>Montmagny, Rivière du Loup</w:t>
            </w:r>
          </w:p>
        </w:tc>
      </w:tr>
      <w:tr w:rsidR="00D05F4F" w:rsidRPr="00026EC1" w14:paraId="638A1471" w14:textId="77777777" w:rsidTr="001309D8">
        <w:trPr>
          <w:cantSplit/>
        </w:trPr>
        <w:tc>
          <w:tcPr>
            <w:tcW w:w="4171" w:type="dxa"/>
          </w:tcPr>
          <w:p w14:paraId="15F14137" w14:textId="77777777" w:rsidR="00D05F4F" w:rsidRPr="00D05F4F" w:rsidRDefault="00D05F4F" w:rsidP="007F120F">
            <w:pPr>
              <w:keepNext w:val="0"/>
              <w:spacing w:before="120"/>
            </w:pPr>
            <w:r w:rsidRPr="00D05F4F">
              <w:t>L’ASSOMPTION</w:t>
            </w:r>
          </w:p>
        </w:tc>
        <w:tc>
          <w:tcPr>
            <w:tcW w:w="5308" w:type="dxa"/>
          </w:tcPr>
          <w:p w14:paraId="635F8BFB" w14:textId="55279A85"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Terrebonne</w:t>
            </w:r>
          </w:p>
        </w:tc>
      </w:tr>
      <w:tr w:rsidR="00D05F4F" w:rsidRPr="00026EC1" w14:paraId="4837AD8A" w14:textId="77777777" w:rsidTr="001309D8">
        <w:trPr>
          <w:cantSplit/>
        </w:trPr>
        <w:tc>
          <w:tcPr>
            <w:tcW w:w="4171" w:type="dxa"/>
          </w:tcPr>
          <w:p w14:paraId="3CC82369" w14:textId="0B2469F2" w:rsidR="00D05F4F" w:rsidRPr="00D05F4F" w:rsidRDefault="00D05F4F" w:rsidP="007F120F">
            <w:pPr>
              <w:keepNext w:val="0"/>
              <w:spacing w:before="120"/>
            </w:pPr>
            <w:r w:rsidRPr="00D05F4F">
              <w:t>LÉVIS</w:t>
            </w:r>
          </w:p>
        </w:tc>
        <w:tc>
          <w:tcPr>
            <w:tcW w:w="5308" w:type="dxa"/>
          </w:tcPr>
          <w:p w14:paraId="65033C93" w14:textId="77777777" w:rsidR="00D05F4F" w:rsidRPr="00D05F4F" w:rsidRDefault="00D05F4F" w:rsidP="007F120F">
            <w:pPr>
              <w:keepNext w:val="0"/>
              <w:spacing w:before="120"/>
              <w:jc w:val="left"/>
            </w:pPr>
            <w:r w:rsidRPr="00D05F4F">
              <w:t>Montmagny, Région de Québec**</w:t>
            </w:r>
          </w:p>
        </w:tc>
      </w:tr>
      <w:tr w:rsidR="00D05F4F" w:rsidRPr="00026EC1" w14:paraId="7DE74E9E" w14:textId="77777777" w:rsidTr="001309D8">
        <w:trPr>
          <w:cantSplit/>
        </w:trPr>
        <w:tc>
          <w:tcPr>
            <w:tcW w:w="4171" w:type="dxa"/>
          </w:tcPr>
          <w:p w14:paraId="1B0974AE" w14:textId="77777777" w:rsidR="00D05F4F" w:rsidRPr="00D05F4F" w:rsidRDefault="00D05F4F" w:rsidP="007F120F">
            <w:pPr>
              <w:keepNext w:val="0"/>
              <w:spacing w:before="120"/>
            </w:pPr>
            <w:r w:rsidRPr="00D05F4F">
              <w:t>LIMOILOU</w:t>
            </w:r>
          </w:p>
        </w:tc>
        <w:tc>
          <w:tcPr>
            <w:tcW w:w="5308" w:type="dxa"/>
          </w:tcPr>
          <w:p w14:paraId="54CE001D" w14:textId="77777777" w:rsidR="00D05F4F" w:rsidRPr="00D05F4F" w:rsidRDefault="00D05F4F" w:rsidP="007F120F">
            <w:pPr>
              <w:keepNext w:val="0"/>
              <w:spacing w:before="120"/>
              <w:jc w:val="left"/>
            </w:pPr>
            <w:r w:rsidRPr="00D05F4F">
              <w:t>Montmagny, Région de Québec**</w:t>
            </w:r>
          </w:p>
        </w:tc>
      </w:tr>
      <w:tr w:rsidR="00D05F4F" w:rsidRPr="00026EC1" w14:paraId="4B9133CA" w14:textId="77777777" w:rsidTr="001309D8">
        <w:trPr>
          <w:cantSplit/>
        </w:trPr>
        <w:tc>
          <w:tcPr>
            <w:tcW w:w="4171" w:type="dxa"/>
          </w:tcPr>
          <w:p w14:paraId="2DC00DCB" w14:textId="6EF4245A" w:rsidR="00D05F4F" w:rsidRPr="00D05F4F" w:rsidRDefault="00D05F4F" w:rsidP="007F120F">
            <w:pPr>
              <w:keepNext w:val="0"/>
              <w:spacing w:before="120"/>
            </w:pPr>
            <w:r w:rsidRPr="00D05F4F">
              <w:t>LIONEL</w:t>
            </w:r>
            <w:r w:rsidR="00984A6F">
              <w:noBreakHyphen/>
            </w:r>
            <w:r w:rsidRPr="00D05F4F">
              <w:t>GROULX</w:t>
            </w:r>
          </w:p>
        </w:tc>
        <w:tc>
          <w:tcPr>
            <w:tcW w:w="5308" w:type="dxa"/>
          </w:tcPr>
          <w:p w14:paraId="3BDDEB1B" w14:textId="1D8E9E77"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L’Assomption, Montmorency,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Terrebonne, Valleyfield</w:t>
            </w:r>
          </w:p>
        </w:tc>
      </w:tr>
      <w:tr w:rsidR="00D05F4F" w:rsidRPr="00026EC1" w14:paraId="4464C538" w14:textId="77777777" w:rsidTr="001309D8">
        <w:trPr>
          <w:cantSplit/>
        </w:trPr>
        <w:tc>
          <w:tcPr>
            <w:tcW w:w="4171" w:type="dxa"/>
          </w:tcPr>
          <w:p w14:paraId="1C7CA314" w14:textId="77777777" w:rsidR="00D05F4F" w:rsidRPr="00D05F4F" w:rsidRDefault="00D05F4F" w:rsidP="007F120F">
            <w:pPr>
              <w:keepNext w:val="0"/>
              <w:spacing w:before="120"/>
            </w:pPr>
            <w:r w:rsidRPr="00D05F4F">
              <w:t>MAISONNEUVE</w:t>
            </w:r>
          </w:p>
        </w:tc>
        <w:tc>
          <w:tcPr>
            <w:tcW w:w="5308" w:type="dxa"/>
          </w:tcPr>
          <w:p w14:paraId="7488EFCF" w14:textId="20751A91" w:rsidR="00D05F4F" w:rsidRPr="00D05F4F" w:rsidRDefault="00D05F4F" w:rsidP="007F120F">
            <w:pPr>
              <w:pStyle w:val="CommentText"/>
              <w:keepNext w:val="0"/>
              <w:tabs>
                <w:tab w:val="clear" w:pos="3969"/>
              </w:tabs>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48112398" w14:textId="77777777" w:rsidTr="001309D8">
        <w:trPr>
          <w:cantSplit/>
        </w:trPr>
        <w:tc>
          <w:tcPr>
            <w:tcW w:w="4171" w:type="dxa"/>
          </w:tcPr>
          <w:p w14:paraId="68EEDA45" w14:textId="6D13FB69" w:rsidR="00D05F4F" w:rsidRPr="00D05F4F" w:rsidRDefault="00D05F4F" w:rsidP="007F120F">
            <w:pPr>
              <w:keepNext w:val="0"/>
              <w:spacing w:before="120"/>
            </w:pPr>
            <w:r w:rsidRPr="00D05F4F">
              <w:t>MARIE</w:t>
            </w:r>
            <w:r w:rsidR="00984A6F">
              <w:noBreakHyphen/>
            </w:r>
            <w:r w:rsidRPr="00D05F4F">
              <w:t>VICTORIN</w:t>
            </w:r>
          </w:p>
        </w:tc>
        <w:tc>
          <w:tcPr>
            <w:tcW w:w="5308" w:type="dxa"/>
          </w:tcPr>
          <w:p w14:paraId="2E387C9B" w14:textId="4D6F5C4F"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7EA8F5AB" w14:textId="77777777" w:rsidTr="001309D8">
        <w:trPr>
          <w:cantSplit/>
        </w:trPr>
        <w:tc>
          <w:tcPr>
            <w:tcW w:w="4171" w:type="dxa"/>
          </w:tcPr>
          <w:p w14:paraId="548F5D87" w14:textId="77777777" w:rsidR="00D05F4F" w:rsidRPr="00D05F4F" w:rsidRDefault="00D05F4F" w:rsidP="007F120F">
            <w:pPr>
              <w:keepNext w:val="0"/>
              <w:spacing w:before="120"/>
            </w:pPr>
            <w:r w:rsidRPr="00D05F4F">
              <w:t>MATANE</w:t>
            </w:r>
          </w:p>
        </w:tc>
        <w:tc>
          <w:tcPr>
            <w:tcW w:w="5308" w:type="dxa"/>
          </w:tcPr>
          <w:p w14:paraId="1B03DFAF" w14:textId="77777777" w:rsidR="00D05F4F" w:rsidRPr="00D05F4F" w:rsidRDefault="00D05F4F" w:rsidP="007F120F">
            <w:pPr>
              <w:keepNext w:val="0"/>
              <w:spacing w:before="120"/>
              <w:jc w:val="left"/>
            </w:pPr>
            <w:r w:rsidRPr="00D05F4F">
              <w:t>Matapédia (Matane), Matapédia (Rimouski), Rimouski</w:t>
            </w:r>
          </w:p>
        </w:tc>
      </w:tr>
      <w:tr w:rsidR="00D05F4F" w:rsidRPr="00026EC1" w14:paraId="391972EF" w14:textId="77777777" w:rsidTr="001309D8">
        <w:trPr>
          <w:cantSplit/>
        </w:trPr>
        <w:tc>
          <w:tcPr>
            <w:tcW w:w="4171" w:type="dxa"/>
          </w:tcPr>
          <w:p w14:paraId="32E58AB2" w14:textId="77777777" w:rsidR="00D05F4F" w:rsidRPr="00D05F4F" w:rsidRDefault="00D05F4F" w:rsidP="007F120F">
            <w:pPr>
              <w:keepNext w:val="0"/>
              <w:spacing w:before="120"/>
            </w:pPr>
            <w:r w:rsidRPr="00D05F4F">
              <w:t>MATAPÉDIA (Matane)</w:t>
            </w:r>
          </w:p>
        </w:tc>
        <w:tc>
          <w:tcPr>
            <w:tcW w:w="5308" w:type="dxa"/>
          </w:tcPr>
          <w:p w14:paraId="2B06A5F5" w14:textId="77777777" w:rsidR="00D05F4F" w:rsidRPr="00D05F4F" w:rsidRDefault="00D05F4F" w:rsidP="007F120F">
            <w:pPr>
              <w:keepNext w:val="0"/>
              <w:spacing w:before="120"/>
              <w:jc w:val="left"/>
            </w:pPr>
            <w:r w:rsidRPr="00D05F4F">
              <w:t>Matane, Matapédia (Rimouski), Rimouski</w:t>
            </w:r>
          </w:p>
        </w:tc>
      </w:tr>
      <w:tr w:rsidR="00D05F4F" w:rsidRPr="00026EC1" w14:paraId="75D32C77" w14:textId="77777777" w:rsidTr="001309D8">
        <w:trPr>
          <w:cantSplit/>
        </w:trPr>
        <w:tc>
          <w:tcPr>
            <w:tcW w:w="4171" w:type="dxa"/>
          </w:tcPr>
          <w:p w14:paraId="205B06E1" w14:textId="77777777" w:rsidR="00D05F4F" w:rsidRPr="00D05F4F" w:rsidRDefault="00D05F4F" w:rsidP="007F120F">
            <w:pPr>
              <w:keepNext w:val="0"/>
              <w:spacing w:before="120"/>
            </w:pPr>
            <w:r w:rsidRPr="00D05F4F">
              <w:t>MATAPÉDIA (Rimouski)</w:t>
            </w:r>
          </w:p>
        </w:tc>
        <w:tc>
          <w:tcPr>
            <w:tcW w:w="5308" w:type="dxa"/>
          </w:tcPr>
          <w:p w14:paraId="5F23A739" w14:textId="77777777" w:rsidR="00D05F4F" w:rsidRPr="00D05F4F" w:rsidRDefault="00D05F4F" w:rsidP="007F120F">
            <w:pPr>
              <w:keepNext w:val="0"/>
              <w:spacing w:before="120"/>
              <w:jc w:val="left"/>
            </w:pPr>
            <w:r w:rsidRPr="00D05F4F">
              <w:t>Matane, Matapédia (Matane), Rimouski</w:t>
            </w:r>
          </w:p>
        </w:tc>
      </w:tr>
      <w:tr w:rsidR="00D05F4F" w:rsidRPr="00026EC1" w14:paraId="60E6D79A" w14:textId="77777777" w:rsidTr="001309D8">
        <w:trPr>
          <w:cantSplit/>
        </w:trPr>
        <w:tc>
          <w:tcPr>
            <w:tcW w:w="4171" w:type="dxa"/>
          </w:tcPr>
          <w:p w14:paraId="415DCD9D" w14:textId="47188ED6" w:rsidR="00D05F4F" w:rsidRPr="00D05F4F" w:rsidRDefault="00D05F4F" w:rsidP="007F120F">
            <w:pPr>
              <w:keepNext w:val="0"/>
              <w:spacing w:before="120"/>
            </w:pPr>
            <w:r w:rsidRPr="00D05F4F">
              <w:t>MONT</w:t>
            </w:r>
            <w:r w:rsidR="00984A6F">
              <w:noBreakHyphen/>
            </w:r>
            <w:r w:rsidRPr="00D05F4F">
              <w:t>LAURIER</w:t>
            </w:r>
          </w:p>
        </w:tc>
        <w:tc>
          <w:tcPr>
            <w:tcW w:w="5308" w:type="dxa"/>
          </w:tcPr>
          <w:p w14:paraId="46A5C797" w14:textId="0A06C7B8" w:rsidR="00D05F4F" w:rsidRPr="00D05F4F" w:rsidRDefault="00D05F4F" w:rsidP="007F120F">
            <w:pPr>
              <w:keepNext w:val="0"/>
              <w:spacing w:before="120"/>
              <w:jc w:val="left"/>
            </w:pPr>
            <w:r w:rsidRPr="00D05F4F">
              <w:t>Mont</w:t>
            </w:r>
            <w:r w:rsidR="00984A6F">
              <w:noBreakHyphen/>
            </w:r>
            <w:r w:rsidRPr="00D05F4F">
              <w:t>Tremblant</w:t>
            </w:r>
          </w:p>
        </w:tc>
      </w:tr>
      <w:tr w:rsidR="00D05F4F" w:rsidRPr="00026EC1" w14:paraId="63170889" w14:textId="77777777" w:rsidTr="001309D8">
        <w:trPr>
          <w:cantSplit/>
        </w:trPr>
        <w:tc>
          <w:tcPr>
            <w:tcW w:w="4171" w:type="dxa"/>
          </w:tcPr>
          <w:p w14:paraId="12EA106E" w14:textId="77777777" w:rsidR="00D05F4F" w:rsidRPr="00D05F4F" w:rsidRDefault="00D05F4F" w:rsidP="007F120F">
            <w:pPr>
              <w:keepNext w:val="0"/>
              <w:spacing w:before="120"/>
            </w:pPr>
            <w:r w:rsidRPr="00D05F4F">
              <w:t>MONTMAGNY</w:t>
            </w:r>
          </w:p>
        </w:tc>
        <w:tc>
          <w:tcPr>
            <w:tcW w:w="5308" w:type="dxa"/>
          </w:tcPr>
          <w:p w14:paraId="38850B80" w14:textId="77777777" w:rsidR="00D05F4F" w:rsidRPr="00D05F4F" w:rsidRDefault="00D05F4F" w:rsidP="007F120F">
            <w:pPr>
              <w:keepNext w:val="0"/>
              <w:spacing w:before="120"/>
              <w:jc w:val="left"/>
            </w:pPr>
            <w:r w:rsidRPr="00D05F4F">
              <w:t>La Pocatière, Région de Québec**</w:t>
            </w:r>
          </w:p>
        </w:tc>
      </w:tr>
      <w:tr w:rsidR="00D05F4F" w:rsidRPr="00026EC1" w14:paraId="18D65B8C" w14:textId="77777777" w:rsidTr="001309D8">
        <w:trPr>
          <w:cantSplit/>
        </w:trPr>
        <w:tc>
          <w:tcPr>
            <w:tcW w:w="4171" w:type="dxa"/>
          </w:tcPr>
          <w:p w14:paraId="05AF6436" w14:textId="77777777" w:rsidR="00D05F4F" w:rsidRPr="00D05F4F" w:rsidRDefault="00D05F4F" w:rsidP="007F120F">
            <w:pPr>
              <w:keepNext w:val="0"/>
              <w:spacing w:before="120"/>
            </w:pPr>
            <w:r w:rsidRPr="00D05F4F">
              <w:t>MONTMORENCY</w:t>
            </w:r>
          </w:p>
        </w:tc>
        <w:tc>
          <w:tcPr>
            <w:tcW w:w="5308" w:type="dxa"/>
          </w:tcPr>
          <w:p w14:paraId="34A4296F" w14:textId="066CBFAA"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L’Assomption, Lionel</w:t>
            </w:r>
            <w:r w:rsidR="00984A6F">
              <w:noBreakHyphen/>
            </w:r>
            <w:r w:rsidRPr="00D05F4F">
              <w:t>Groulx,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Terrebonne, Valleyfield</w:t>
            </w:r>
          </w:p>
        </w:tc>
      </w:tr>
      <w:tr w:rsidR="00D05F4F" w:rsidRPr="00026EC1" w14:paraId="6488725C" w14:textId="77777777" w:rsidTr="001309D8">
        <w:trPr>
          <w:cantSplit/>
        </w:trPr>
        <w:tc>
          <w:tcPr>
            <w:tcW w:w="4171" w:type="dxa"/>
          </w:tcPr>
          <w:p w14:paraId="7282C3A0" w14:textId="7729C96C" w:rsidR="00D05F4F" w:rsidRPr="00D05F4F" w:rsidRDefault="00D05F4F" w:rsidP="007F120F">
            <w:pPr>
              <w:keepNext w:val="0"/>
              <w:spacing w:before="120"/>
            </w:pPr>
            <w:r w:rsidRPr="00D05F4F">
              <w:t>MONT</w:t>
            </w:r>
            <w:r w:rsidR="00984A6F">
              <w:noBreakHyphen/>
            </w:r>
            <w:r w:rsidRPr="00D05F4F">
              <w:t>TREMBLANT</w:t>
            </w:r>
          </w:p>
        </w:tc>
        <w:tc>
          <w:tcPr>
            <w:tcW w:w="5308" w:type="dxa"/>
          </w:tcPr>
          <w:p w14:paraId="1D97D30E" w14:textId="73C06CC1" w:rsidR="00D05F4F" w:rsidRPr="00D05F4F" w:rsidRDefault="00D05F4F" w:rsidP="007F120F">
            <w:pPr>
              <w:keepNext w:val="0"/>
              <w:spacing w:before="120"/>
              <w:jc w:val="left"/>
            </w:pPr>
            <w:r w:rsidRPr="00D05F4F">
              <w:t>Mont</w:t>
            </w:r>
            <w:r w:rsidR="00984A6F">
              <w:noBreakHyphen/>
            </w:r>
            <w:r w:rsidRPr="00D05F4F">
              <w:t>Laurier, Saint</w:t>
            </w:r>
            <w:r w:rsidR="00984A6F">
              <w:noBreakHyphen/>
            </w:r>
            <w:r w:rsidRPr="00D05F4F">
              <w:t>Jérôme</w:t>
            </w:r>
          </w:p>
        </w:tc>
      </w:tr>
      <w:tr w:rsidR="00D05F4F" w:rsidRPr="00026EC1" w14:paraId="320AFA2B" w14:textId="77777777" w:rsidTr="001309D8">
        <w:trPr>
          <w:cantSplit/>
        </w:trPr>
        <w:tc>
          <w:tcPr>
            <w:tcW w:w="4171" w:type="dxa"/>
          </w:tcPr>
          <w:p w14:paraId="61982F0D" w14:textId="77777777" w:rsidR="00D05F4F" w:rsidRPr="00D05F4F" w:rsidRDefault="00D05F4F" w:rsidP="007F120F">
            <w:pPr>
              <w:keepNext w:val="0"/>
              <w:spacing w:before="120"/>
            </w:pPr>
            <w:r w:rsidRPr="00D05F4F">
              <w:t>OUTAOUAIS</w:t>
            </w:r>
          </w:p>
        </w:tc>
        <w:tc>
          <w:tcPr>
            <w:tcW w:w="5308" w:type="dxa"/>
          </w:tcPr>
          <w:p w14:paraId="2651FAB0" w14:textId="77777777" w:rsidR="00D05F4F" w:rsidRPr="00D05F4F" w:rsidRDefault="00D05F4F" w:rsidP="007F120F">
            <w:pPr>
              <w:keepNext w:val="0"/>
              <w:spacing w:before="120"/>
              <w:jc w:val="left"/>
            </w:pPr>
            <w:r w:rsidRPr="00D05F4F">
              <w:t>Heritage</w:t>
            </w:r>
          </w:p>
        </w:tc>
      </w:tr>
      <w:tr w:rsidR="00D05F4F" w:rsidRPr="00026EC1" w14:paraId="738F4ED5" w14:textId="77777777" w:rsidTr="001309D8">
        <w:trPr>
          <w:cantSplit/>
        </w:trPr>
        <w:tc>
          <w:tcPr>
            <w:tcW w:w="4171" w:type="dxa"/>
          </w:tcPr>
          <w:p w14:paraId="6A2C215B" w14:textId="77777777" w:rsidR="00D05F4F" w:rsidRPr="00D05F4F" w:rsidRDefault="00D05F4F" w:rsidP="007F120F">
            <w:pPr>
              <w:keepNext w:val="0"/>
              <w:spacing w:before="120"/>
            </w:pPr>
            <w:r w:rsidRPr="00D05F4F">
              <w:t>RIMOUSKI</w:t>
            </w:r>
          </w:p>
        </w:tc>
        <w:tc>
          <w:tcPr>
            <w:tcW w:w="5308" w:type="dxa"/>
          </w:tcPr>
          <w:p w14:paraId="3A0882D1" w14:textId="4FFCE15E" w:rsidR="00D05F4F" w:rsidRPr="00D05F4F" w:rsidRDefault="00D05F4F" w:rsidP="007F120F">
            <w:pPr>
              <w:keepNext w:val="0"/>
              <w:spacing w:before="120"/>
              <w:jc w:val="left"/>
            </w:pPr>
            <w:r w:rsidRPr="00D05F4F">
              <w:t>Matane, Matapédia (Matane), Matapédia (Rimouski), Rivière</w:t>
            </w:r>
            <w:r w:rsidR="00984A6F">
              <w:noBreakHyphen/>
            </w:r>
            <w:r w:rsidRPr="00D05F4F">
              <w:t>du</w:t>
            </w:r>
            <w:r w:rsidR="00984A6F">
              <w:noBreakHyphen/>
            </w:r>
            <w:r w:rsidRPr="00D05F4F">
              <w:t>Loup</w:t>
            </w:r>
          </w:p>
        </w:tc>
      </w:tr>
      <w:tr w:rsidR="00D05F4F" w:rsidRPr="00026EC1" w14:paraId="3ECF7A62" w14:textId="77777777" w:rsidTr="001309D8">
        <w:trPr>
          <w:cantSplit/>
        </w:trPr>
        <w:tc>
          <w:tcPr>
            <w:tcW w:w="4171" w:type="dxa"/>
          </w:tcPr>
          <w:p w14:paraId="5BD04973" w14:textId="59E136BC" w:rsidR="00D05F4F" w:rsidRPr="00D05F4F" w:rsidRDefault="00D05F4F" w:rsidP="007F120F">
            <w:pPr>
              <w:keepNext w:val="0"/>
              <w:spacing w:before="120"/>
            </w:pPr>
            <w:r w:rsidRPr="00D05F4F">
              <w:t>RIVIÈRE</w:t>
            </w:r>
            <w:r w:rsidR="00984A6F">
              <w:noBreakHyphen/>
            </w:r>
            <w:r w:rsidRPr="00D05F4F">
              <w:t>DU</w:t>
            </w:r>
            <w:r w:rsidR="00984A6F">
              <w:noBreakHyphen/>
            </w:r>
            <w:r w:rsidRPr="00D05F4F">
              <w:t>LOUP</w:t>
            </w:r>
          </w:p>
        </w:tc>
        <w:tc>
          <w:tcPr>
            <w:tcW w:w="5308" w:type="dxa"/>
          </w:tcPr>
          <w:p w14:paraId="609E9538" w14:textId="7DDE8DAE" w:rsidR="00D05F4F" w:rsidRPr="00D05F4F" w:rsidRDefault="00D05F4F" w:rsidP="007F120F">
            <w:pPr>
              <w:keepNext w:val="0"/>
              <w:spacing w:before="120"/>
              <w:jc w:val="left"/>
            </w:pPr>
            <w:r w:rsidRPr="00D05F4F">
              <w:t>La Pocatière, Rimouski</w:t>
            </w:r>
            <w:r w:rsidR="00330882" w:rsidRPr="00316277">
              <w:rPr>
                <w:rFonts w:cs="Arial"/>
              </w:rPr>
              <w:t>, Témiscouata</w:t>
            </w:r>
          </w:p>
        </w:tc>
      </w:tr>
      <w:tr w:rsidR="00D05F4F" w:rsidRPr="00026EC1" w14:paraId="6789891F" w14:textId="77777777" w:rsidTr="001309D8">
        <w:trPr>
          <w:cantSplit/>
        </w:trPr>
        <w:tc>
          <w:tcPr>
            <w:tcW w:w="4171" w:type="dxa"/>
          </w:tcPr>
          <w:p w14:paraId="3896D0CD" w14:textId="77777777" w:rsidR="00D05F4F" w:rsidRPr="00D05F4F" w:rsidRDefault="00D05F4F" w:rsidP="007F120F">
            <w:pPr>
              <w:keepNext w:val="0"/>
              <w:spacing w:before="120"/>
            </w:pPr>
            <w:r w:rsidRPr="00D05F4F">
              <w:t>ROSEMONT</w:t>
            </w:r>
          </w:p>
        </w:tc>
        <w:tc>
          <w:tcPr>
            <w:tcW w:w="5308" w:type="dxa"/>
          </w:tcPr>
          <w:p w14:paraId="0CD52217" w14:textId="29787AFF"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3940FBE7" w14:textId="77777777" w:rsidTr="001309D8">
        <w:trPr>
          <w:cantSplit/>
        </w:trPr>
        <w:tc>
          <w:tcPr>
            <w:tcW w:w="4171" w:type="dxa"/>
          </w:tcPr>
          <w:p w14:paraId="225E5004" w14:textId="18E691CC" w:rsidR="00D05F4F" w:rsidRPr="00D05F4F" w:rsidRDefault="00D05F4F" w:rsidP="007F120F">
            <w:pPr>
              <w:keepNext w:val="0"/>
              <w:spacing w:before="120"/>
            </w:pPr>
            <w:r w:rsidRPr="00D05F4F">
              <w:t>SAINT</w:t>
            </w:r>
            <w:r w:rsidR="00984A6F">
              <w:noBreakHyphen/>
            </w:r>
            <w:r w:rsidRPr="00D05F4F">
              <w:t>FÉLICIEN</w:t>
            </w:r>
          </w:p>
        </w:tc>
        <w:tc>
          <w:tcPr>
            <w:tcW w:w="5308" w:type="dxa"/>
          </w:tcPr>
          <w:p w14:paraId="1730768F" w14:textId="77777777" w:rsidR="00D05F4F" w:rsidRPr="00D05F4F" w:rsidRDefault="00D05F4F" w:rsidP="007F120F">
            <w:pPr>
              <w:keepNext w:val="0"/>
              <w:spacing w:before="120"/>
              <w:jc w:val="left"/>
            </w:pPr>
            <w:r w:rsidRPr="00D05F4F">
              <w:t>Alma</w:t>
            </w:r>
          </w:p>
        </w:tc>
      </w:tr>
      <w:tr w:rsidR="00D05F4F" w:rsidRPr="00026EC1" w14:paraId="43D3A733" w14:textId="77777777" w:rsidTr="001309D8">
        <w:trPr>
          <w:cantSplit/>
        </w:trPr>
        <w:tc>
          <w:tcPr>
            <w:tcW w:w="4171" w:type="dxa"/>
          </w:tcPr>
          <w:p w14:paraId="0D0CB05A" w14:textId="5C1CCB6E" w:rsidR="00D05F4F" w:rsidRPr="00D05F4F" w:rsidRDefault="00D05F4F" w:rsidP="007F120F">
            <w:pPr>
              <w:keepNext w:val="0"/>
              <w:spacing w:before="120"/>
            </w:pPr>
            <w:r w:rsidRPr="00D05F4F">
              <w:t>SAINT</w:t>
            </w:r>
            <w:r w:rsidR="00984A6F">
              <w:noBreakHyphen/>
            </w:r>
            <w:r w:rsidRPr="00D05F4F">
              <w:t>HYACINTHE</w:t>
            </w:r>
          </w:p>
        </w:tc>
        <w:tc>
          <w:tcPr>
            <w:tcW w:w="5308" w:type="dxa"/>
          </w:tcPr>
          <w:p w14:paraId="3AD62198" w14:textId="5FE7B504"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Drummondville, Édouard</w:t>
            </w:r>
            <w:r w:rsidR="00984A6F">
              <w:noBreakHyphen/>
            </w:r>
            <w:r w:rsidRPr="00D05F4F">
              <w:t>Montpetit, Granby Île de Montréal*, L’Assomption, Montmorency, Saint</w:t>
            </w:r>
            <w:r w:rsidR="00984A6F">
              <w:noBreakHyphen/>
            </w:r>
            <w:r w:rsidRPr="00D05F4F">
              <w:t>Jean</w:t>
            </w:r>
            <w:r w:rsidR="00984A6F">
              <w:noBreakHyphen/>
            </w:r>
            <w:r w:rsidRPr="00D05F4F">
              <w:t>sur</w:t>
            </w:r>
            <w:r w:rsidR="00984A6F">
              <w:noBreakHyphen/>
            </w:r>
            <w:r w:rsidRPr="00D05F4F">
              <w:t>Richelieu, Sorel</w:t>
            </w:r>
            <w:r w:rsidR="00984A6F">
              <w:noBreakHyphen/>
            </w:r>
            <w:r w:rsidRPr="00D05F4F">
              <w:t>Tracy, Terrebonne, Victoriaville</w:t>
            </w:r>
          </w:p>
        </w:tc>
      </w:tr>
      <w:tr w:rsidR="00D05F4F" w:rsidRPr="00026EC1" w14:paraId="098642A2" w14:textId="77777777" w:rsidTr="001309D8">
        <w:trPr>
          <w:cantSplit/>
        </w:trPr>
        <w:tc>
          <w:tcPr>
            <w:tcW w:w="4171" w:type="dxa"/>
          </w:tcPr>
          <w:p w14:paraId="29C22758" w14:textId="3328384F" w:rsidR="00D05F4F" w:rsidRPr="00D05F4F" w:rsidRDefault="00D05F4F" w:rsidP="007F120F">
            <w:pPr>
              <w:keepNext w:val="0"/>
              <w:spacing w:before="120"/>
            </w:pPr>
            <w:r w:rsidRPr="00D05F4F">
              <w:t>SAINT</w:t>
            </w:r>
            <w:r w:rsidR="00984A6F">
              <w:noBreakHyphen/>
            </w:r>
            <w:r w:rsidRPr="00D05F4F">
              <w:t>JEAN</w:t>
            </w:r>
            <w:r w:rsidR="00984A6F">
              <w:noBreakHyphen/>
            </w:r>
            <w:r w:rsidRPr="00D05F4F">
              <w:t>SUR</w:t>
            </w:r>
            <w:r w:rsidR="00984A6F">
              <w:noBreakHyphen/>
            </w:r>
            <w:r w:rsidRPr="00D05F4F">
              <w:t>RICHELIEU</w:t>
            </w:r>
          </w:p>
        </w:tc>
        <w:tc>
          <w:tcPr>
            <w:tcW w:w="5308" w:type="dxa"/>
          </w:tcPr>
          <w:p w14:paraId="186C3051" w14:textId="2D591ADF"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L’Assomption, Lionel</w:t>
            </w:r>
            <w:r w:rsidR="00984A6F">
              <w:noBreakHyphen/>
            </w:r>
            <w:r w:rsidRPr="00D05F4F">
              <w:t>Groulx, Montmorency, Saint</w:t>
            </w:r>
            <w:r w:rsidR="00984A6F">
              <w:noBreakHyphen/>
            </w:r>
            <w:r w:rsidRPr="00D05F4F">
              <w:t>Hyacinthe, Terrebonne, Valleyfield</w:t>
            </w:r>
          </w:p>
        </w:tc>
      </w:tr>
      <w:tr w:rsidR="00D05F4F" w:rsidRPr="00026EC1" w14:paraId="75983A8D" w14:textId="77777777" w:rsidTr="001309D8">
        <w:trPr>
          <w:cantSplit/>
        </w:trPr>
        <w:tc>
          <w:tcPr>
            <w:tcW w:w="4171" w:type="dxa"/>
          </w:tcPr>
          <w:p w14:paraId="7EB704F5" w14:textId="22865782" w:rsidR="00D05F4F" w:rsidRPr="00D05F4F" w:rsidRDefault="00D05F4F" w:rsidP="007F120F">
            <w:pPr>
              <w:keepNext w:val="0"/>
              <w:spacing w:before="120"/>
            </w:pPr>
            <w:r w:rsidRPr="00D05F4F">
              <w:t>SAINT</w:t>
            </w:r>
            <w:r w:rsidR="00984A6F">
              <w:noBreakHyphen/>
            </w:r>
            <w:r w:rsidRPr="00D05F4F">
              <w:t>JÉRÔME</w:t>
            </w:r>
          </w:p>
        </w:tc>
        <w:tc>
          <w:tcPr>
            <w:tcW w:w="5308" w:type="dxa"/>
          </w:tcPr>
          <w:p w14:paraId="4E462F7A" w14:textId="57A2A900"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L’Assomption, Lionel</w:t>
            </w:r>
            <w:r w:rsidR="00984A6F">
              <w:noBreakHyphen/>
            </w:r>
            <w:r w:rsidRPr="00D05F4F">
              <w:t>Groulx, Montmorency, Mont</w:t>
            </w:r>
            <w:r w:rsidR="00984A6F">
              <w:noBreakHyphen/>
            </w:r>
            <w:r w:rsidRPr="00D05F4F">
              <w:t>Tremblant, Terrebonne</w:t>
            </w:r>
          </w:p>
        </w:tc>
      </w:tr>
      <w:tr w:rsidR="00D05F4F" w:rsidRPr="00026EC1" w14:paraId="4B929350" w14:textId="77777777" w:rsidTr="001309D8">
        <w:trPr>
          <w:cantSplit/>
        </w:trPr>
        <w:tc>
          <w:tcPr>
            <w:tcW w:w="4171" w:type="dxa"/>
          </w:tcPr>
          <w:p w14:paraId="2A677A64" w14:textId="5478250B" w:rsidR="00D05F4F" w:rsidRPr="00D05F4F" w:rsidRDefault="00D05F4F" w:rsidP="007F120F">
            <w:pPr>
              <w:keepNext w:val="0"/>
              <w:spacing w:before="120"/>
            </w:pPr>
            <w:r w:rsidRPr="00D05F4F">
              <w:t>SAINT</w:t>
            </w:r>
            <w:r w:rsidR="00984A6F">
              <w:noBreakHyphen/>
            </w:r>
            <w:r w:rsidRPr="00D05F4F">
              <w:t>LAURENT</w:t>
            </w:r>
          </w:p>
        </w:tc>
        <w:tc>
          <w:tcPr>
            <w:tcW w:w="5308" w:type="dxa"/>
          </w:tcPr>
          <w:p w14:paraId="5ECF2385" w14:textId="0D3AC55D"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5907DCC6" w14:textId="77777777" w:rsidTr="001309D8">
        <w:trPr>
          <w:cantSplit/>
        </w:trPr>
        <w:tc>
          <w:tcPr>
            <w:tcW w:w="4171" w:type="dxa"/>
          </w:tcPr>
          <w:p w14:paraId="7419849C" w14:textId="2974C10C" w:rsidR="00D05F4F" w:rsidRPr="00D05F4F" w:rsidRDefault="00D05F4F" w:rsidP="007F120F">
            <w:pPr>
              <w:keepNext w:val="0"/>
              <w:spacing w:before="120"/>
            </w:pPr>
            <w:r w:rsidRPr="00D05F4F">
              <w:t>SAINTE</w:t>
            </w:r>
            <w:r w:rsidR="00984A6F">
              <w:noBreakHyphen/>
            </w:r>
            <w:r w:rsidRPr="00D05F4F">
              <w:t>FOY</w:t>
            </w:r>
          </w:p>
        </w:tc>
        <w:tc>
          <w:tcPr>
            <w:tcW w:w="5308" w:type="dxa"/>
          </w:tcPr>
          <w:p w14:paraId="12015ADF" w14:textId="77777777" w:rsidR="00D05F4F" w:rsidRPr="00D05F4F" w:rsidRDefault="00D05F4F" w:rsidP="007F120F">
            <w:pPr>
              <w:keepNext w:val="0"/>
              <w:spacing w:before="120"/>
              <w:jc w:val="left"/>
            </w:pPr>
            <w:r w:rsidRPr="00D05F4F">
              <w:t>Montmagny, Région de Québec**</w:t>
            </w:r>
          </w:p>
        </w:tc>
      </w:tr>
      <w:tr w:rsidR="00D05F4F" w:rsidRPr="00026EC1" w14:paraId="7E20574B" w14:textId="77777777" w:rsidTr="001309D8">
        <w:trPr>
          <w:cantSplit/>
        </w:trPr>
        <w:tc>
          <w:tcPr>
            <w:tcW w:w="4171" w:type="dxa"/>
          </w:tcPr>
          <w:p w14:paraId="1DAD87E0" w14:textId="59531749" w:rsidR="00D05F4F" w:rsidRPr="00D05F4F" w:rsidRDefault="00D05F4F" w:rsidP="007F120F">
            <w:pPr>
              <w:keepNext w:val="0"/>
              <w:spacing w:before="120"/>
              <w:rPr>
                <w:lang w:val="en-CA"/>
              </w:rPr>
            </w:pPr>
            <w:r w:rsidRPr="00D05F4F">
              <w:rPr>
                <w:lang w:val="en-CA"/>
              </w:rPr>
              <w:t>SEPT</w:t>
            </w:r>
            <w:r w:rsidR="00984A6F">
              <w:rPr>
                <w:lang w:val="en-CA"/>
              </w:rPr>
              <w:noBreakHyphen/>
            </w:r>
            <w:r w:rsidRPr="00D05F4F">
              <w:rPr>
                <w:lang w:val="en-CA"/>
              </w:rPr>
              <w:t>ÎLES</w:t>
            </w:r>
          </w:p>
        </w:tc>
        <w:tc>
          <w:tcPr>
            <w:tcW w:w="5308" w:type="dxa"/>
          </w:tcPr>
          <w:p w14:paraId="25425E17" w14:textId="200F73C8" w:rsidR="00D05F4F" w:rsidRPr="00D05F4F" w:rsidRDefault="00984A6F" w:rsidP="007F120F">
            <w:pPr>
              <w:keepNext w:val="0"/>
              <w:spacing w:before="120"/>
              <w:jc w:val="left"/>
              <w:rPr>
                <w:lang w:val="en-CA"/>
              </w:rPr>
            </w:pPr>
            <w:r>
              <w:rPr>
                <w:lang w:val="en-CA"/>
              </w:rPr>
              <w:noBreakHyphen/>
            </w:r>
          </w:p>
        </w:tc>
      </w:tr>
      <w:tr w:rsidR="00D05F4F" w:rsidRPr="00026EC1" w14:paraId="7D3AEDA7" w14:textId="77777777" w:rsidTr="001309D8">
        <w:trPr>
          <w:cantSplit/>
        </w:trPr>
        <w:tc>
          <w:tcPr>
            <w:tcW w:w="4171" w:type="dxa"/>
          </w:tcPr>
          <w:p w14:paraId="39C1C844" w14:textId="77777777" w:rsidR="00D05F4F" w:rsidRPr="00D05F4F" w:rsidRDefault="00D05F4F" w:rsidP="007F120F">
            <w:pPr>
              <w:keepNext w:val="0"/>
              <w:spacing w:before="120"/>
              <w:rPr>
                <w:lang w:val="en-CA"/>
              </w:rPr>
            </w:pPr>
            <w:r w:rsidRPr="00D05F4F">
              <w:rPr>
                <w:lang w:val="en-CA"/>
              </w:rPr>
              <w:t>SHAWINIGAN</w:t>
            </w:r>
          </w:p>
        </w:tc>
        <w:tc>
          <w:tcPr>
            <w:tcW w:w="5308" w:type="dxa"/>
          </w:tcPr>
          <w:p w14:paraId="5A2CA175" w14:textId="34B1BC85" w:rsidR="00D05F4F" w:rsidRPr="00D05F4F" w:rsidRDefault="00D05F4F" w:rsidP="007F120F">
            <w:pPr>
              <w:keepNext w:val="0"/>
              <w:spacing w:before="120"/>
              <w:jc w:val="left"/>
            </w:pPr>
            <w:r w:rsidRPr="00D05F4F">
              <w:t>Drummondville, Trois</w:t>
            </w:r>
            <w:r w:rsidR="00984A6F">
              <w:noBreakHyphen/>
            </w:r>
            <w:r w:rsidRPr="00D05F4F">
              <w:t>Rivières, Victoriaville</w:t>
            </w:r>
          </w:p>
        </w:tc>
      </w:tr>
      <w:tr w:rsidR="00D05F4F" w:rsidRPr="00026EC1" w14:paraId="724B0EEA" w14:textId="77777777" w:rsidTr="001309D8">
        <w:trPr>
          <w:cantSplit/>
        </w:trPr>
        <w:tc>
          <w:tcPr>
            <w:tcW w:w="4171" w:type="dxa"/>
          </w:tcPr>
          <w:p w14:paraId="58BC0BF0" w14:textId="77777777" w:rsidR="00D05F4F" w:rsidRPr="00D05F4F" w:rsidRDefault="00D05F4F" w:rsidP="007F120F">
            <w:pPr>
              <w:keepNext w:val="0"/>
              <w:spacing w:before="120"/>
            </w:pPr>
            <w:r w:rsidRPr="00D05F4F">
              <w:t>SHERBROOKE</w:t>
            </w:r>
          </w:p>
        </w:tc>
        <w:tc>
          <w:tcPr>
            <w:tcW w:w="5308" w:type="dxa"/>
          </w:tcPr>
          <w:p w14:paraId="4122E229" w14:textId="2B6C3D97" w:rsidR="00D05F4F" w:rsidRPr="00D05F4F" w:rsidRDefault="00D05F4F" w:rsidP="007F120F">
            <w:pPr>
              <w:keepNext w:val="0"/>
              <w:spacing w:before="120"/>
              <w:jc w:val="left"/>
            </w:pPr>
            <w:r w:rsidRPr="00D05F4F">
              <w:rPr>
                <w:rFonts w:cs="Arial"/>
              </w:rPr>
              <w:t xml:space="preserve">Champlain à </w:t>
            </w:r>
            <w:r w:rsidRPr="00D05F4F">
              <w:t>Lennoxville, Drummondville, Granby, Lac</w:t>
            </w:r>
            <w:r w:rsidR="00984A6F">
              <w:noBreakHyphen/>
            </w:r>
            <w:r w:rsidRPr="00D05F4F">
              <w:t>Mégantic, Victoriaville</w:t>
            </w:r>
          </w:p>
        </w:tc>
      </w:tr>
      <w:tr w:rsidR="00D05F4F" w:rsidRPr="00026EC1" w14:paraId="3FE16C95" w14:textId="77777777" w:rsidTr="001309D8">
        <w:trPr>
          <w:cantSplit/>
        </w:trPr>
        <w:tc>
          <w:tcPr>
            <w:tcW w:w="4171" w:type="dxa"/>
          </w:tcPr>
          <w:p w14:paraId="448826E9" w14:textId="3B829F7F" w:rsidR="00D05F4F" w:rsidRPr="00D05F4F" w:rsidRDefault="00D05F4F" w:rsidP="007F120F">
            <w:pPr>
              <w:keepNext w:val="0"/>
              <w:spacing w:before="120"/>
            </w:pPr>
            <w:r w:rsidRPr="00D05F4F">
              <w:t>SOREL</w:t>
            </w:r>
            <w:r w:rsidR="00984A6F">
              <w:noBreakHyphen/>
            </w:r>
            <w:r w:rsidRPr="00D05F4F">
              <w:t>TRACY</w:t>
            </w:r>
          </w:p>
        </w:tc>
        <w:tc>
          <w:tcPr>
            <w:tcW w:w="5308" w:type="dxa"/>
          </w:tcPr>
          <w:p w14:paraId="364994E2" w14:textId="0E7A46D9"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Drummondville, Édouard</w:t>
            </w:r>
            <w:r w:rsidR="00984A6F">
              <w:noBreakHyphen/>
            </w:r>
            <w:r w:rsidRPr="00D05F4F">
              <w:t>Montpetit, Île de Montréal*, Saint</w:t>
            </w:r>
            <w:r w:rsidR="00984A6F">
              <w:noBreakHyphen/>
            </w:r>
            <w:r w:rsidRPr="00D05F4F">
              <w:t>Hyacinthe, Terrebonne, Trois</w:t>
            </w:r>
            <w:r w:rsidR="00984A6F">
              <w:noBreakHyphen/>
            </w:r>
            <w:r w:rsidRPr="00D05F4F">
              <w:t>Rivières</w:t>
            </w:r>
          </w:p>
        </w:tc>
      </w:tr>
      <w:tr w:rsidR="00330882" w:rsidRPr="00026EC1" w14:paraId="1633FBA3" w14:textId="77777777" w:rsidTr="001309D8">
        <w:trPr>
          <w:cantSplit/>
        </w:trPr>
        <w:tc>
          <w:tcPr>
            <w:tcW w:w="4171" w:type="dxa"/>
          </w:tcPr>
          <w:p w14:paraId="464CF1DC" w14:textId="47B65225" w:rsidR="00330882" w:rsidRPr="00330882" w:rsidRDefault="00330882" w:rsidP="007F120F">
            <w:pPr>
              <w:keepNext w:val="0"/>
              <w:spacing w:before="120"/>
              <w:rPr>
                <w:highlight w:val="lightGray"/>
              </w:rPr>
            </w:pPr>
            <w:r w:rsidRPr="00316277">
              <w:t>TÉMISCOUATA</w:t>
            </w:r>
          </w:p>
        </w:tc>
        <w:tc>
          <w:tcPr>
            <w:tcW w:w="5308" w:type="dxa"/>
          </w:tcPr>
          <w:p w14:paraId="10E75852" w14:textId="254B6777" w:rsidR="00330882" w:rsidRPr="00D05F4F" w:rsidRDefault="00330882" w:rsidP="007F120F">
            <w:pPr>
              <w:keepNext w:val="0"/>
              <w:spacing w:before="120"/>
              <w:jc w:val="left"/>
              <w:rPr>
                <w:rFonts w:cs="Arial"/>
              </w:rPr>
            </w:pPr>
            <w:r w:rsidRPr="00316277">
              <w:rPr>
                <w:rFonts w:cs="Arial"/>
              </w:rPr>
              <w:t>Rivière-du-Loup</w:t>
            </w:r>
          </w:p>
        </w:tc>
      </w:tr>
      <w:tr w:rsidR="00D05F4F" w:rsidRPr="00026EC1" w14:paraId="0DEFB5BE" w14:textId="77777777" w:rsidTr="001309D8">
        <w:trPr>
          <w:cantSplit/>
        </w:trPr>
        <w:tc>
          <w:tcPr>
            <w:tcW w:w="4171" w:type="dxa"/>
          </w:tcPr>
          <w:p w14:paraId="460F58BC" w14:textId="77777777" w:rsidR="00D05F4F" w:rsidRPr="00D05F4F" w:rsidRDefault="00D05F4F" w:rsidP="007F120F">
            <w:pPr>
              <w:keepNext w:val="0"/>
              <w:spacing w:before="120"/>
            </w:pPr>
            <w:r w:rsidRPr="00D05F4F">
              <w:t>TERREBONNE</w:t>
            </w:r>
          </w:p>
        </w:tc>
        <w:tc>
          <w:tcPr>
            <w:tcW w:w="5308" w:type="dxa"/>
          </w:tcPr>
          <w:p w14:paraId="55CBFE82" w14:textId="77C69D1A"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Valleyfield</w:t>
            </w:r>
          </w:p>
        </w:tc>
      </w:tr>
      <w:tr w:rsidR="00D05F4F" w:rsidRPr="00026EC1" w14:paraId="7E23131D" w14:textId="77777777" w:rsidTr="001309D8">
        <w:trPr>
          <w:cantSplit/>
        </w:trPr>
        <w:tc>
          <w:tcPr>
            <w:tcW w:w="4171" w:type="dxa"/>
          </w:tcPr>
          <w:p w14:paraId="401BFECF" w14:textId="77777777" w:rsidR="00D05F4F" w:rsidRPr="00D05F4F" w:rsidRDefault="00D05F4F" w:rsidP="007F120F">
            <w:pPr>
              <w:keepNext w:val="0"/>
              <w:spacing w:before="120"/>
            </w:pPr>
            <w:r w:rsidRPr="00D05F4F">
              <w:t>THETFORD</w:t>
            </w:r>
          </w:p>
        </w:tc>
        <w:tc>
          <w:tcPr>
            <w:tcW w:w="5308" w:type="dxa"/>
          </w:tcPr>
          <w:p w14:paraId="0D0B1B4D" w14:textId="3C988D42" w:rsidR="00D05F4F" w:rsidRPr="00D05F4F" w:rsidRDefault="00D05F4F" w:rsidP="007F120F">
            <w:pPr>
              <w:pStyle w:val="CommentText"/>
              <w:keepNext w:val="0"/>
              <w:tabs>
                <w:tab w:val="clear" w:pos="3969"/>
              </w:tabs>
              <w:spacing w:before="120"/>
              <w:jc w:val="left"/>
            </w:pPr>
            <w:r w:rsidRPr="00D05F4F">
              <w:t>Beauce</w:t>
            </w:r>
            <w:r w:rsidR="00984A6F">
              <w:noBreakHyphen/>
            </w:r>
            <w:r w:rsidRPr="00D05F4F">
              <w:t>Appalaches, Lac</w:t>
            </w:r>
            <w:r w:rsidR="00984A6F">
              <w:noBreakHyphen/>
            </w:r>
            <w:r w:rsidRPr="00D05F4F">
              <w:t>Mégantic, Victoriaville</w:t>
            </w:r>
          </w:p>
        </w:tc>
      </w:tr>
      <w:tr w:rsidR="00D05F4F" w:rsidRPr="00026EC1" w14:paraId="7AEA13C3" w14:textId="77777777" w:rsidTr="001309D8">
        <w:trPr>
          <w:cantSplit/>
        </w:trPr>
        <w:tc>
          <w:tcPr>
            <w:tcW w:w="4171" w:type="dxa"/>
          </w:tcPr>
          <w:p w14:paraId="22A13DF1" w14:textId="399BBEC1" w:rsidR="00D05F4F" w:rsidRPr="00D05F4F" w:rsidRDefault="00D05F4F" w:rsidP="007F120F">
            <w:pPr>
              <w:keepNext w:val="0"/>
              <w:spacing w:before="120"/>
            </w:pPr>
            <w:r w:rsidRPr="00D05F4F">
              <w:t>TROIS</w:t>
            </w:r>
            <w:r w:rsidR="00984A6F">
              <w:noBreakHyphen/>
            </w:r>
            <w:r w:rsidRPr="00D05F4F">
              <w:t>RIVIÈRES</w:t>
            </w:r>
          </w:p>
        </w:tc>
        <w:tc>
          <w:tcPr>
            <w:tcW w:w="5308" w:type="dxa"/>
          </w:tcPr>
          <w:p w14:paraId="1ED20A83" w14:textId="23023A25" w:rsidR="00D05F4F" w:rsidRPr="00D05F4F" w:rsidRDefault="00D05F4F" w:rsidP="007F120F">
            <w:pPr>
              <w:keepNext w:val="0"/>
              <w:spacing w:before="120"/>
              <w:jc w:val="left"/>
              <w:rPr>
                <w:lang w:val="en-CA"/>
              </w:rPr>
            </w:pPr>
            <w:r w:rsidRPr="00D05F4F">
              <w:rPr>
                <w:lang w:val="en-CA"/>
              </w:rPr>
              <w:t>Drummondville, Joliette, Shawinigan, Sorel</w:t>
            </w:r>
            <w:r w:rsidR="00984A6F">
              <w:rPr>
                <w:lang w:val="en-CA"/>
              </w:rPr>
              <w:noBreakHyphen/>
            </w:r>
            <w:r w:rsidRPr="00D05F4F">
              <w:rPr>
                <w:lang w:val="en-CA"/>
              </w:rPr>
              <w:t>Tracy, Victoriaville</w:t>
            </w:r>
          </w:p>
        </w:tc>
      </w:tr>
      <w:tr w:rsidR="00D05F4F" w:rsidRPr="00026EC1" w14:paraId="63F63476" w14:textId="77777777" w:rsidTr="001309D8">
        <w:trPr>
          <w:cantSplit/>
        </w:trPr>
        <w:tc>
          <w:tcPr>
            <w:tcW w:w="4171" w:type="dxa"/>
          </w:tcPr>
          <w:p w14:paraId="01050752" w14:textId="77777777" w:rsidR="00D05F4F" w:rsidRPr="00D05F4F" w:rsidRDefault="00D05F4F" w:rsidP="007F120F">
            <w:pPr>
              <w:keepNext w:val="0"/>
              <w:spacing w:before="120"/>
              <w:rPr>
                <w:lang w:val="en-CA"/>
              </w:rPr>
            </w:pPr>
            <w:r w:rsidRPr="00D05F4F">
              <w:rPr>
                <w:lang w:val="en-CA"/>
              </w:rPr>
              <w:t>VALLEYFIELD</w:t>
            </w:r>
          </w:p>
        </w:tc>
        <w:tc>
          <w:tcPr>
            <w:tcW w:w="5308" w:type="dxa"/>
          </w:tcPr>
          <w:p w14:paraId="38F6826C" w14:textId="5CE50EF5"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Île de Montréal*, Lionel</w:t>
            </w:r>
            <w:r w:rsidR="00984A6F">
              <w:noBreakHyphen/>
            </w:r>
            <w:r w:rsidRPr="00D05F4F">
              <w:t>Groulx, Montmorency, Saint</w:t>
            </w:r>
            <w:r w:rsidR="00984A6F">
              <w:noBreakHyphen/>
            </w:r>
            <w:r w:rsidRPr="00D05F4F">
              <w:t>Jean</w:t>
            </w:r>
            <w:r w:rsidR="00984A6F">
              <w:noBreakHyphen/>
            </w:r>
            <w:r w:rsidRPr="00D05F4F">
              <w:t>sur</w:t>
            </w:r>
            <w:r w:rsidR="00984A6F">
              <w:noBreakHyphen/>
            </w:r>
            <w:r w:rsidRPr="00D05F4F">
              <w:t>Richelieu, Terrebonne</w:t>
            </w:r>
          </w:p>
        </w:tc>
      </w:tr>
      <w:tr w:rsidR="00D05F4F" w:rsidRPr="00026EC1" w14:paraId="400094C7" w14:textId="77777777" w:rsidTr="001309D8">
        <w:trPr>
          <w:cantSplit/>
        </w:trPr>
        <w:tc>
          <w:tcPr>
            <w:tcW w:w="4171" w:type="dxa"/>
          </w:tcPr>
          <w:p w14:paraId="77478641" w14:textId="77777777" w:rsidR="00D05F4F" w:rsidRPr="00D05F4F" w:rsidRDefault="00D05F4F" w:rsidP="007F120F">
            <w:pPr>
              <w:keepNext w:val="0"/>
              <w:spacing w:before="120"/>
            </w:pPr>
            <w:r w:rsidRPr="00D05F4F">
              <w:t>VANIER</w:t>
            </w:r>
          </w:p>
        </w:tc>
        <w:tc>
          <w:tcPr>
            <w:tcW w:w="5308" w:type="dxa"/>
          </w:tcPr>
          <w:p w14:paraId="0DF66154" w14:textId="15FD6EEC"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w:t>
            </w:r>
            <w:r w:rsidR="00FE2075">
              <w:t>,</w:t>
            </w:r>
            <w:r w:rsidRPr="00D05F4F">
              <w:t xml:space="preserve">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F02729" w14:paraId="09D9F3F3" w14:textId="77777777" w:rsidTr="001309D8">
        <w:trPr>
          <w:cantSplit/>
        </w:trPr>
        <w:tc>
          <w:tcPr>
            <w:tcW w:w="4171" w:type="dxa"/>
          </w:tcPr>
          <w:p w14:paraId="71587826" w14:textId="77777777" w:rsidR="00D05F4F" w:rsidRPr="00D05F4F" w:rsidRDefault="00D05F4F" w:rsidP="007F120F">
            <w:pPr>
              <w:keepNext w:val="0"/>
              <w:spacing w:before="120"/>
              <w:rPr>
                <w:lang w:val="en-CA"/>
              </w:rPr>
            </w:pPr>
            <w:r w:rsidRPr="00D05F4F">
              <w:rPr>
                <w:lang w:val="en-CA"/>
              </w:rPr>
              <w:t>VICTORIAVILLE</w:t>
            </w:r>
          </w:p>
        </w:tc>
        <w:tc>
          <w:tcPr>
            <w:tcW w:w="5308" w:type="dxa"/>
          </w:tcPr>
          <w:p w14:paraId="6A062C2F" w14:textId="7B2682AD" w:rsidR="00D05F4F" w:rsidRPr="00D05F4F" w:rsidRDefault="00D05F4F" w:rsidP="007F120F">
            <w:pPr>
              <w:keepNext w:val="0"/>
              <w:spacing w:before="120"/>
              <w:jc w:val="left"/>
              <w:rPr>
                <w:lang w:val="en-CA"/>
              </w:rPr>
            </w:pPr>
            <w:r w:rsidRPr="00D05F4F">
              <w:rPr>
                <w:rFonts w:cs="Arial"/>
              </w:rPr>
              <w:t xml:space="preserve">Champlain à </w:t>
            </w:r>
            <w:r w:rsidRPr="00D05F4F">
              <w:rPr>
                <w:lang w:val="en-CA"/>
              </w:rPr>
              <w:t>Lennoxville, Drummondville, Saint</w:t>
            </w:r>
            <w:r w:rsidR="00984A6F">
              <w:rPr>
                <w:lang w:val="en-CA"/>
              </w:rPr>
              <w:noBreakHyphen/>
            </w:r>
            <w:r w:rsidRPr="00D05F4F">
              <w:rPr>
                <w:lang w:val="en-CA"/>
              </w:rPr>
              <w:t>Hyacinthe, Shawinigan, Sherbrooke, Thetford, Trois</w:t>
            </w:r>
            <w:r w:rsidR="00984A6F">
              <w:rPr>
                <w:lang w:val="en-CA"/>
              </w:rPr>
              <w:noBreakHyphen/>
            </w:r>
            <w:r w:rsidRPr="00D05F4F">
              <w:rPr>
                <w:lang w:val="en-CA"/>
              </w:rPr>
              <w:t>Rivières</w:t>
            </w:r>
          </w:p>
        </w:tc>
      </w:tr>
      <w:tr w:rsidR="00D05F4F" w:rsidRPr="00026EC1" w14:paraId="5DBB03AC" w14:textId="77777777" w:rsidTr="001309D8">
        <w:trPr>
          <w:cantSplit/>
        </w:trPr>
        <w:tc>
          <w:tcPr>
            <w:tcW w:w="4171" w:type="dxa"/>
          </w:tcPr>
          <w:p w14:paraId="097061D6" w14:textId="77777777" w:rsidR="00D05F4F" w:rsidRPr="00D05F4F" w:rsidRDefault="00D05F4F" w:rsidP="007F120F">
            <w:pPr>
              <w:keepNext w:val="0"/>
              <w:spacing w:before="120"/>
            </w:pPr>
            <w:r w:rsidRPr="00D05F4F">
              <w:t>VIEUX MONTRÉAL</w:t>
            </w:r>
          </w:p>
        </w:tc>
        <w:tc>
          <w:tcPr>
            <w:tcW w:w="5308" w:type="dxa"/>
          </w:tcPr>
          <w:p w14:paraId="3765F6D4" w14:textId="5F000B4B" w:rsidR="00D05F4F" w:rsidRPr="00D05F4F" w:rsidRDefault="00D05F4F" w:rsidP="007F120F">
            <w:pPr>
              <w:keepNext w:val="0"/>
              <w:spacing w:before="120"/>
              <w:jc w:val="left"/>
            </w:pPr>
            <w:r w:rsidRPr="00D05F4F">
              <w:rPr>
                <w:rFonts w:cs="Arial"/>
              </w:rPr>
              <w:t xml:space="preserve">Champlain à </w:t>
            </w:r>
            <w:r w:rsidRPr="00D05F4F">
              <w:t>Saint</w:t>
            </w:r>
            <w:r w:rsidR="00984A6F">
              <w:noBreakHyphen/>
            </w:r>
            <w:r w:rsidRPr="00D05F4F">
              <w:t>Lambert, Édouard</w:t>
            </w:r>
            <w:r w:rsidR="00984A6F">
              <w:noBreakHyphen/>
            </w:r>
            <w:r w:rsidRPr="00D05F4F">
              <w:t>Montpetit, Granby</w:t>
            </w:r>
            <w:r w:rsidR="00FE2075">
              <w:t>,</w:t>
            </w:r>
            <w:r w:rsidRPr="00D05F4F">
              <w:t xml:space="preserve"> Île de Montréal*, Joliette, L’Assomption, Lionel</w:t>
            </w:r>
            <w:r w:rsidR="00984A6F">
              <w:noBreakHyphen/>
            </w:r>
            <w:r w:rsidRPr="00D05F4F">
              <w:t>Groulx, Montmorency, Saint</w:t>
            </w:r>
            <w:r w:rsidR="00984A6F">
              <w:noBreakHyphen/>
            </w:r>
            <w:r w:rsidRPr="00D05F4F">
              <w:t>Hyacinthe, Saint</w:t>
            </w:r>
            <w:r w:rsidR="00984A6F">
              <w:noBreakHyphen/>
            </w:r>
            <w:r w:rsidRPr="00D05F4F">
              <w:t>Jean</w:t>
            </w:r>
            <w:r w:rsidR="00984A6F">
              <w:noBreakHyphen/>
            </w:r>
            <w:r w:rsidRPr="00D05F4F">
              <w:t>sur</w:t>
            </w:r>
            <w:r w:rsidR="00984A6F">
              <w:noBreakHyphen/>
            </w:r>
            <w:r w:rsidRPr="00D05F4F">
              <w:t>Richelieu, Saint</w:t>
            </w:r>
            <w:r w:rsidR="00984A6F">
              <w:noBreakHyphen/>
            </w:r>
            <w:r w:rsidRPr="00D05F4F">
              <w:t>Jérôme, Sorel</w:t>
            </w:r>
            <w:r w:rsidR="00984A6F">
              <w:noBreakHyphen/>
            </w:r>
            <w:r w:rsidRPr="00D05F4F">
              <w:t>Tracy, Terrebonne, Valleyfield</w:t>
            </w:r>
          </w:p>
        </w:tc>
      </w:tr>
      <w:tr w:rsidR="00D05F4F" w:rsidRPr="00026EC1" w14:paraId="1BBF67E0" w14:textId="77777777" w:rsidTr="001309D8">
        <w:trPr>
          <w:cantSplit/>
          <w:trHeight w:val="195"/>
        </w:trPr>
        <w:tc>
          <w:tcPr>
            <w:tcW w:w="9479" w:type="dxa"/>
            <w:gridSpan w:val="2"/>
          </w:tcPr>
          <w:p w14:paraId="6A88C376" w14:textId="77777777" w:rsidR="00D05F4F" w:rsidRPr="00D05F4F" w:rsidRDefault="00D05F4F" w:rsidP="007F120F">
            <w:pPr>
              <w:keepNext w:val="0"/>
              <w:spacing w:before="120"/>
              <w:jc w:val="left"/>
            </w:pPr>
          </w:p>
        </w:tc>
      </w:tr>
      <w:tr w:rsidR="00D05F4F" w:rsidRPr="00026EC1" w14:paraId="295CA83D" w14:textId="77777777" w:rsidTr="001309D8">
        <w:trPr>
          <w:cantSplit/>
        </w:trPr>
        <w:tc>
          <w:tcPr>
            <w:tcW w:w="4171" w:type="dxa"/>
            <w:tcBorders>
              <w:top w:val="single" w:sz="4" w:space="0" w:color="auto"/>
            </w:tcBorders>
          </w:tcPr>
          <w:p w14:paraId="1900C655" w14:textId="77777777" w:rsidR="00D05F4F" w:rsidRPr="00D05F4F" w:rsidRDefault="00D05F4F" w:rsidP="007F120F">
            <w:pPr>
              <w:keepNext w:val="0"/>
              <w:spacing w:before="120"/>
            </w:pPr>
            <w:r w:rsidRPr="00D05F4F">
              <w:t>* Île de Montréal :</w:t>
            </w:r>
          </w:p>
        </w:tc>
        <w:tc>
          <w:tcPr>
            <w:tcW w:w="5308" w:type="dxa"/>
          </w:tcPr>
          <w:p w14:paraId="4DC56912" w14:textId="2287B244" w:rsidR="00D05F4F" w:rsidRPr="00D05F4F" w:rsidRDefault="00D05F4F" w:rsidP="007F120F">
            <w:pPr>
              <w:keepNext w:val="0"/>
              <w:spacing w:before="120"/>
              <w:jc w:val="left"/>
            </w:pPr>
            <w:r w:rsidRPr="00D05F4F">
              <w:t>Les collèges Ahuntsic, André</w:t>
            </w:r>
            <w:r w:rsidR="00984A6F">
              <w:noBreakHyphen/>
            </w:r>
            <w:r w:rsidRPr="00D05F4F">
              <w:t>Laurendeau, Bois</w:t>
            </w:r>
            <w:r w:rsidR="00984A6F">
              <w:noBreakHyphen/>
            </w:r>
            <w:r w:rsidRPr="00D05F4F">
              <w:t>de</w:t>
            </w:r>
            <w:r w:rsidR="00984A6F">
              <w:noBreakHyphen/>
            </w:r>
            <w:r w:rsidRPr="00D05F4F">
              <w:t>Boulogne, Dawson, Gérald</w:t>
            </w:r>
            <w:r w:rsidR="00984A6F">
              <w:noBreakHyphen/>
            </w:r>
            <w:r w:rsidRPr="00D05F4F">
              <w:t>Godin, John Abbott, Maisonneuve, Marie</w:t>
            </w:r>
            <w:r w:rsidR="00984A6F">
              <w:noBreakHyphen/>
            </w:r>
            <w:r w:rsidRPr="00D05F4F">
              <w:t>Victorin, Rosemont, Saint</w:t>
            </w:r>
            <w:r w:rsidR="00984A6F">
              <w:noBreakHyphen/>
            </w:r>
            <w:r w:rsidRPr="00D05F4F">
              <w:t>Laurent, Vanier, Vieux Montréal.</w:t>
            </w:r>
          </w:p>
        </w:tc>
      </w:tr>
      <w:tr w:rsidR="00D05F4F" w:rsidRPr="00026EC1" w14:paraId="3C2541C2" w14:textId="77777777" w:rsidTr="001309D8">
        <w:trPr>
          <w:cantSplit/>
          <w:trHeight w:val="195"/>
        </w:trPr>
        <w:tc>
          <w:tcPr>
            <w:tcW w:w="4171" w:type="dxa"/>
          </w:tcPr>
          <w:p w14:paraId="62AEF7B0" w14:textId="77777777" w:rsidR="00D05F4F" w:rsidRPr="00D05F4F" w:rsidRDefault="00D05F4F" w:rsidP="007F120F">
            <w:pPr>
              <w:keepNext w:val="0"/>
              <w:spacing w:before="120"/>
              <w:jc w:val="left"/>
            </w:pPr>
            <w:r w:rsidRPr="00D05F4F">
              <w:t>** Région de Québec :</w:t>
            </w:r>
          </w:p>
        </w:tc>
        <w:tc>
          <w:tcPr>
            <w:tcW w:w="5308" w:type="dxa"/>
          </w:tcPr>
          <w:p w14:paraId="6D60F85F" w14:textId="0F012695" w:rsidR="00D05F4F" w:rsidRPr="00D05F4F" w:rsidRDefault="00D05F4F" w:rsidP="007F120F">
            <w:pPr>
              <w:keepNext w:val="0"/>
              <w:spacing w:before="120"/>
              <w:jc w:val="left"/>
            </w:pPr>
            <w:r w:rsidRPr="00D05F4F">
              <w:t xml:space="preserve">Les collèges </w:t>
            </w:r>
            <w:r w:rsidRPr="00D05F4F">
              <w:rPr>
                <w:rFonts w:cs="Arial"/>
              </w:rPr>
              <w:t>Champlain </w:t>
            </w:r>
            <w:r w:rsidRPr="00D05F4F">
              <w:rPr>
                <w:rFonts w:ascii="Cambria Math" w:hAnsi="Cambria Math" w:cs="Arial"/>
              </w:rPr>
              <w:t>‑ </w:t>
            </w:r>
            <w:r w:rsidRPr="00D05F4F">
              <w:t>St. Lawrence, Garneau, Lévis, Limoilou, Sainte</w:t>
            </w:r>
            <w:r w:rsidR="00984A6F">
              <w:noBreakHyphen/>
            </w:r>
            <w:r w:rsidRPr="00D05F4F">
              <w:t>Foy</w:t>
            </w:r>
            <w:r w:rsidR="00FE2075">
              <w:t>.</w:t>
            </w:r>
          </w:p>
        </w:tc>
      </w:tr>
    </w:tbl>
    <w:p w14:paraId="42214718" w14:textId="77777777" w:rsidR="00FE0971" w:rsidRPr="00026EC1" w:rsidRDefault="00FE0971" w:rsidP="007F120F">
      <w:pPr>
        <w:keepNext w:val="0"/>
      </w:pPr>
    </w:p>
    <w:p w14:paraId="11B14C3F" w14:textId="08B8BA30" w:rsidR="00404F34" w:rsidRPr="00F124EF" w:rsidRDefault="00404F34" w:rsidP="007F120F">
      <w:pPr>
        <w:pStyle w:val="Heading3"/>
        <w:keepNext w:val="0"/>
      </w:pPr>
      <w:r w:rsidRPr="00026EC1">
        <w:br w:type="page"/>
      </w:r>
      <w:bookmarkStart w:id="1180" w:name="_Toc133760837"/>
      <w:bookmarkStart w:id="1181" w:name="_Toc133916985"/>
      <w:bookmarkStart w:id="1182" w:name="_Toc134437260"/>
      <w:bookmarkStart w:id="1183" w:name="_Toc393449056"/>
      <w:bookmarkStart w:id="1184" w:name="_Toc393449425"/>
      <w:bookmarkStart w:id="1185" w:name="_Toc462751551"/>
      <w:bookmarkStart w:id="1186" w:name="_Toc484082568"/>
      <w:bookmarkStart w:id="1187" w:name="_Toc168479589"/>
      <w:r w:rsidR="00597012" w:rsidRPr="00F124EF">
        <w:t>Annexe II</w:t>
      </w:r>
      <w:r w:rsidR="002F5A0C">
        <w:t>-</w:t>
      </w:r>
      <w:r w:rsidR="00597012" w:rsidRPr="00F124EF">
        <w:t>3</w:t>
      </w:r>
      <w:bookmarkEnd w:id="1179"/>
      <w:bookmarkEnd w:id="1180"/>
      <w:bookmarkEnd w:id="1181"/>
      <w:bookmarkEnd w:id="1182"/>
      <w:r w:rsidR="00597012" w:rsidRPr="00F124EF">
        <w:br/>
      </w:r>
      <w:r w:rsidR="00597012" w:rsidRPr="00F124EF">
        <w:br/>
      </w:r>
      <w:bookmarkStart w:id="1188" w:name="_Toc535046671"/>
      <w:bookmarkStart w:id="1189" w:name="_Toc133760838"/>
      <w:r w:rsidR="00597012" w:rsidRPr="00F124EF">
        <w:t>Frais de déménagement</w:t>
      </w:r>
      <w:bookmarkEnd w:id="1183"/>
      <w:bookmarkEnd w:id="1184"/>
      <w:bookmarkEnd w:id="1185"/>
      <w:bookmarkEnd w:id="1186"/>
      <w:bookmarkEnd w:id="1187"/>
      <w:bookmarkEnd w:id="1188"/>
      <w:bookmarkEnd w:id="1189"/>
    </w:p>
    <w:p w14:paraId="59C6CF46" w14:textId="77777777" w:rsidR="00F0799A" w:rsidRPr="00026EC1" w:rsidRDefault="00F0799A" w:rsidP="007F120F">
      <w:pPr>
        <w:pStyle w:val="NUMRODECLAUSE"/>
        <w:keepNext w:val="0"/>
      </w:pPr>
      <w:r w:rsidRPr="00026EC1">
        <w:t>1.01</w:t>
      </w:r>
    </w:p>
    <w:p w14:paraId="3B0A87B9" w14:textId="77777777" w:rsidR="00F0799A" w:rsidRPr="00026EC1" w:rsidRDefault="00F0799A" w:rsidP="007F120F">
      <w:pPr>
        <w:keepNext w:val="0"/>
      </w:pPr>
      <w:r w:rsidRPr="00026EC1">
        <w:t>Les dispositions de la présente annexe</w:t>
      </w:r>
      <w:r w:rsidR="00477DEF" w:rsidRPr="00026EC1">
        <w:t xml:space="preserve"> </w:t>
      </w:r>
      <w:r w:rsidRPr="00026EC1">
        <w:t>visent l</w:t>
      </w:r>
      <w:r w:rsidR="00BC3319" w:rsidRPr="00026EC1">
        <w:t>’</w:t>
      </w:r>
      <w:r w:rsidRPr="00026EC1">
        <w:t>enseignante ou l</w:t>
      </w:r>
      <w:r w:rsidR="00BC3319" w:rsidRPr="00026EC1">
        <w:t>’</w:t>
      </w:r>
      <w:r w:rsidRPr="00026EC1">
        <w:t>enseignant qui, conformément aux dispositions relatives à la sécurité d</w:t>
      </w:r>
      <w:r w:rsidR="00BC3319" w:rsidRPr="00026EC1">
        <w:t>’</w:t>
      </w:r>
      <w:r w:rsidRPr="00026EC1">
        <w:t>emploi, est l</w:t>
      </w:r>
      <w:r w:rsidR="00BC3319" w:rsidRPr="00026EC1">
        <w:t>’</w:t>
      </w:r>
      <w:r w:rsidRPr="00026EC1">
        <w:t>objet d</w:t>
      </w:r>
      <w:r w:rsidR="00BC3319" w:rsidRPr="00026EC1">
        <w:t>’</w:t>
      </w:r>
      <w:r w:rsidRPr="00026EC1">
        <w:t>un engagement impliquant un changement de domicile.</w:t>
      </w:r>
    </w:p>
    <w:p w14:paraId="1E058F23" w14:textId="77777777" w:rsidR="00F0799A" w:rsidRPr="00026EC1" w:rsidRDefault="00F0799A" w:rsidP="007F120F">
      <w:pPr>
        <w:keepNext w:val="0"/>
      </w:pPr>
    </w:p>
    <w:p w14:paraId="5650FDC4" w14:textId="564C4873" w:rsidR="00F0799A" w:rsidRPr="00026EC1" w:rsidRDefault="00F0799A" w:rsidP="007F120F">
      <w:pPr>
        <w:keepNext w:val="0"/>
      </w:pPr>
      <w:r w:rsidRPr="00026EC1">
        <w:t>Lorsque la distance entre le lieu de travail antérieur et le nouveau lieu de travail est supérieure à cinquante</w:t>
      </w:r>
      <w:r w:rsidR="00302126">
        <w:t> </w:t>
      </w:r>
      <w:r w:rsidRPr="00026EC1">
        <w:t>(50) kilomètres, les frais de déménagement prévus à la présente annexe</w:t>
      </w:r>
      <w:r w:rsidR="00477DEF" w:rsidRPr="00026EC1">
        <w:t xml:space="preserve"> </w:t>
      </w:r>
      <w:r w:rsidRPr="00026EC1">
        <w:t>s</w:t>
      </w:r>
      <w:r w:rsidR="00BC3319" w:rsidRPr="00026EC1">
        <w:t>’</w:t>
      </w:r>
      <w:r w:rsidRPr="00026EC1">
        <w:t>appliquent si l</w:t>
      </w:r>
      <w:r w:rsidR="00BC3319" w:rsidRPr="00026EC1">
        <w:t>’</w:t>
      </w:r>
      <w:r w:rsidRPr="00026EC1">
        <w:t>enseignante ou l</w:t>
      </w:r>
      <w:r w:rsidR="00BC3319" w:rsidRPr="00026EC1">
        <w:t>’</w:t>
      </w:r>
      <w:r w:rsidRPr="00026EC1">
        <w:t>enseignant déménage. Après étude du dossier particulier, le Collège d</w:t>
      </w:r>
      <w:r w:rsidR="00BC3319" w:rsidRPr="00026EC1">
        <w:t>’</w:t>
      </w:r>
      <w:r w:rsidRPr="00026EC1">
        <w:t>origine peut aussi autoriser le remboursement des frais de déménagement dans d</w:t>
      </w:r>
      <w:r w:rsidR="00BC3319" w:rsidRPr="00026EC1">
        <w:t>’</w:t>
      </w:r>
      <w:r w:rsidRPr="00026EC1">
        <w:t>autres cas.</w:t>
      </w:r>
    </w:p>
    <w:p w14:paraId="7C24300D" w14:textId="77777777" w:rsidR="00F0799A" w:rsidRPr="00026EC1" w:rsidRDefault="00F0799A" w:rsidP="007F120F">
      <w:pPr>
        <w:keepNext w:val="0"/>
      </w:pPr>
    </w:p>
    <w:p w14:paraId="1354597D" w14:textId="77777777" w:rsidR="00F0799A" w:rsidRPr="00026EC1" w:rsidRDefault="00F0799A" w:rsidP="007F120F">
      <w:pPr>
        <w:pStyle w:val="NUMRODECLAUSE"/>
        <w:keepNext w:val="0"/>
      </w:pPr>
      <w:r w:rsidRPr="00026EC1">
        <w:t>1.02</w:t>
      </w:r>
    </w:p>
    <w:p w14:paraId="25F9C024" w14:textId="3AAC407F" w:rsidR="00F0799A" w:rsidRPr="00026EC1" w:rsidRDefault="00F0799A" w:rsidP="007F120F">
      <w:pPr>
        <w:keepNext w:val="0"/>
      </w:pPr>
      <w:r w:rsidRPr="00026EC1">
        <w:t>Les allocations prévues à la présente annexe</w:t>
      </w:r>
      <w:r w:rsidR="00477DEF" w:rsidRPr="00026EC1">
        <w:t xml:space="preserve"> </w:t>
      </w:r>
      <w:r w:rsidRPr="00026EC1">
        <w:t>sont payées par le Collège d</w:t>
      </w:r>
      <w:r w:rsidR="00BC3319" w:rsidRPr="00026EC1">
        <w:t>’</w:t>
      </w:r>
      <w:r w:rsidRPr="00026EC1">
        <w:t>origine de l</w:t>
      </w:r>
      <w:r w:rsidR="00BC3319" w:rsidRPr="00026EC1">
        <w:t>’</w:t>
      </w:r>
      <w:r w:rsidRPr="00026EC1">
        <w:t>enseignante ou de l</w:t>
      </w:r>
      <w:r w:rsidR="00BC3319" w:rsidRPr="00026EC1">
        <w:t>’</w:t>
      </w:r>
      <w:r w:rsidRPr="00026EC1">
        <w:t>enseignant sur présentation de pièces justificatives. Le Collège verse les montants autorisés dans les trente</w:t>
      </w:r>
      <w:r w:rsidR="00302126">
        <w:t> </w:t>
      </w:r>
      <w:r w:rsidRPr="00026EC1">
        <w:t>(30) jours.</w:t>
      </w:r>
    </w:p>
    <w:p w14:paraId="794CF39A" w14:textId="77777777" w:rsidR="00F0799A" w:rsidRPr="00026EC1" w:rsidRDefault="00F0799A" w:rsidP="007F120F">
      <w:pPr>
        <w:keepNext w:val="0"/>
      </w:pPr>
    </w:p>
    <w:p w14:paraId="182A4293" w14:textId="77777777" w:rsidR="00F0799A" w:rsidRPr="00026EC1" w:rsidRDefault="00F0799A" w:rsidP="007F120F">
      <w:pPr>
        <w:pStyle w:val="NUMRODECLAUSE"/>
        <w:keepNext w:val="0"/>
      </w:pPr>
      <w:r w:rsidRPr="00026EC1">
        <w:t>1.03</w:t>
      </w:r>
    </w:p>
    <w:p w14:paraId="2848BCF9" w14:textId="6C812619" w:rsidR="00F0799A" w:rsidRPr="00026EC1" w:rsidRDefault="00F0799A" w:rsidP="007F120F">
      <w:pPr>
        <w:keepNext w:val="0"/>
      </w:pPr>
      <w:r w:rsidRPr="00026EC1">
        <w:t>L</w:t>
      </w:r>
      <w:r w:rsidR="00BC3319" w:rsidRPr="00026EC1">
        <w:t>’</w:t>
      </w:r>
      <w:r w:rsidRPr="00026EC1">
        <w:t>enseignante ou l</w:t>
      </w:r>
      <w:r w:rsidR="00BC3319" w:rsidRPr="00026EC1">
        <w:t>’</w:t>
      </w:r>
      <w:r w:rsidRPr="00026EC1">
        <w:t>enseignant à qui une offre d</w:t>
      </w:r>
      <w:r w:rsidR="00BC3319" w:rsidRPr="00026EC1">
        <w:t>’</w:t>
      </w:r>
      <w:r w:rsidRPr="00026EC1">
        <w:t>emploi est faite et qui déménage pour accepter cette offre a droit de s</w:t>
      </w:r>
      <w:r w:rsidR="00BC3319" w:rsidRPr="00026EC1">
        <w:t>’</w:t>
      </w:r>
      <w:r w:rsidRPr="00026EC1">
        <w:t>absenter</w:t>
      </w:r>
      <w:r w:rsidR="00D8581B">
        <w:t> :</w:t>
      </w:r>
    </w:p>
    <w:p w14:paraId="09865F72" w14:textId="77777777" w:rsidR="00F0799A" w:rsidRPr="00026EC1" w:rsidRDefault="00F0799A" w:rsidP="007F120F">
      <w:pPr>
        <w:keepNext w:val="0"/>
      </w:pPr>
    </w:p>
    <w:p w14:paraId="03085ABB" w14:textId="6F10069F" w:rsidR="00F0799A" w:rsidRPr="00026EC1" w:rsidRDefault="00275751" w:rsidP="007F120F">
      <w:pPr>
        <w:keepNext w:val="0"/>
        <w:tabs>
          <w:tab w:val="left" w:pos="567"/>
        </w:tabs>
        <w:ind w:left="567" w:hanging="567"/>
      </w:pPr>
      <w:r w:rsidRPr="00026EC1">
        <w:t>a)</w:t>
      </w:r>
      <w:r w:rsidRPr="00026EC1">
        <w:tab/>
      </w:r>
      <w:r w:rsidR="00F0799A" w:rsidRPr="00026EC1">
        <w:t>sans perte de salaire, pour une durée maximale de trois</w:t>
      </w:r>
      <w:r w:rsidR="00302126">
        <w:t> </w:t>
      </w:r>
      <w:r w:rsidR="00F0799A" w:rsidRPr="00026EC1">
        <w:t>(3) jours ouvrables, excluant la durée du trajet aller</w:t>
      </w:r>
      <w:r w:rsidR="00984A6F">
        <w:noBreakHyphen/>
      </w:r>
      <w:r w:rsidR="00F0799A" w:rsidRPr="00026EC1">
        <w:t>retour</w:t>
      </w:r>
      <w:r w:rsidR="00EA6192" w:rsidRPr="00026EC1">
        <w:t>,</w:t>
      </w:r>
      <w:r w:rsidR="00F0799A" w:rsidRPr="00026EC1">
        <w:t xml:space="preserve"> pour se chercher un nouveau domicile. À cette occasion, le Collège rembourse à l</w:t>
      </w:r>
      <w:r w:rsidR="00BC3319" w:rsidRPr="00026EC1">
        <w:t>’</w:t>
      </w:r>
      <w:r w:rsidR="00F0799A" w:rsidRPr="00026EC1">
        <w:t>enseignante ou l</w:t>
      </w:r>
      <w:r w:rsidR="00BC3319" w:rsidRPr="00026EC1">
        <w:t>’</w:t>
      </w:r>
      <w:r w:rsidR="00F0799A" w:rsidRPr="00026EC1">
        <w:t>enseignant les frais de déplacement pour elle</w:t>
      </w:r>
      <w:r w:rsidR="00984A6F">
        <w:noBreakHyphen/>
      </w:r>
      <w:r w:rsidR="00F0799A" w:rsidRPr="00026EC1">
        <w:t>même ou lui</w:t>
      </w:r>
      <w:r w:rsidR="00984A6F">
        <w:noBreakHyphen/>
      </w:r>
      <w:r w:rsidR="00F0799A" w:rsidRPr="00026EC1">
        <w:t>même ainsi que pour sa conjointe ou son conjoint pour un voyage aller</w:t>
      </w:r>
      <w:r w:rsidR="00984A6F">
        <w:noBreakHyphen/>
      </w:r>
      <w:r w:rsidR="00F0799A" w:rsidRPr="00026EC1">
        <w:t>retour et les frais de séjour pour une période n</w:t>
      </w:r>
      <w:r w:rsidR="00BC3319" w:rsidRPr="00026EC1">
        <w:t>’</w:t>
      </w:r>
      <w:r w:rsidR="00F0799A" w:rsidRPr="00026EC1">
        <w:t>excédant pas trois</w:t>
      </w:r>
      <w:r w:rsidR="00302126">
        <w:t> </w:t>
      </w:r>
      <w:r w:rsidR="00F0799A" w:rsidRPr="00026EC1">
        <w:t>(3) jours, conformément au régime de frais de déplacement en vigueur au Collège;</w:t>
      </w:r>
    </w:p>
    <w:p w14:paraId="728D61E4" w14:textId="77777777" w:rsidR="00F0799A" w:rsidRPr="00026EC1" w:rsidRDefault="00F0799A" w:rsidP="007F120F">
      <w:pPr>
        <w:keepNext w:val="0"/>
      </w:pPr>
    </w:p>
    <w:p w14:paraId="34F15D3E" w14:textId="39AEC164" w:rsidR="00F0799A" w:rsidRPr="00026EC1" w:rsidRDefault="00275751" w:rsidP="007F120F">
      <w:pPr>
        <w:keepNext w:val="0"/>
        <w:tabs>
          <w:tab w:val="left" w:pos="567"/>
        </w:tabs>
        <w:ind w:left="567" w:hanging="567"/>
      </w:pPr>
      <w:r w:rsidRPr="00026EC1">
        <w:t>b)</w:t>
      </w:r>
      <w:r w:rsidRPr="00026EC1">
        <w:tab/>
      </w:r>
      <w:r w:rsidR="00F0799A" w:rsidRPr="00026EC1">
        <w:t>sans perte de salaire, pour une durée de trois</w:t>
      </w:r>
      <w:r w:rsidR="00302126">
        <w:t> </w:t>
      </w:r>
      <w:r w:rsidR="00F0799A" w:rsidRPr="00026EC1">
        <w:t>(3) jours ouvrables, pour déménager et emménager. À cette occasion, les frais de déplacement et de séjour de l</w:t>
      </w:r>
      <w:r w:rsidR="00BC3319" w:rsidRPr="00026EC1">
        <w:t>’</w:t>
      </w:r>
      <w:r w:rsidR="00F0799A" w:rsidRPr="00026EC1">
        <w:t>enseignante ou de l</w:t>
      </w:r>
      <w:r w:rsidR="00BC3319" w:rsidRPr="00026EC1">
        <w:t>’</w:t>
      </w:r>
      <w:r w:rsidR="00F0799A" w:rsidRPr="00026EC1">
        <w:t>enseignant et de ses personnes à charge lui sont remboursés selon le régime de frais de déplacement en vigueur au Collège.</w:t>
      </w:r>
    </w:p>
    <w:p w14:paraId="2A92F635" w14:textId="77777777" w:rsidR="00F0799A" w:rsidRPr="00026EC1" w:rsidRDefault="00F0799A" w:rsidP="007F120F">
      <w:pPr>
        <w:keepNext w:val="0"/>
      </w:pPr>
    </w:p>
    <w:p w14:paraId="62FC0B32" w14:textId="77777777" w:rsidR="00F0799A" w:rsidRPr="00026EC1" w:rsidRDefault="00F0799A" w:rsidP="007F120F">
      <w:pPr>
        <w:pStyle w:val="NUMRODECLAUSE"/>
        <w:keepNext w:val="0"/>
      </w:pPr>
      <w:r w:rsidRPr="00026EC1">
        <w:t>1.04</w:t>
      </w:r>
    </w:p>
    <w:p w14:paraId="79507E57" w14:textId="39D25A52" w:rsidR="009A1CC5" w:rsidRDefault="00F0799A" w:rsidP="007F120F">
      <w:pPr>
        <w:keepNext w:val="0"/>
      </w:pPr>
      <w:r w:rsidRPr="00026EC1">
        <w:t>Le Collège rembourse, sur production de pièces justificatives, les frais encourus pour le transport des meubles meublants et effets personnels de l</w:t>
      </w:r>
      <w:r w:rsidR="00BC3319" w:rsidRPr="00026EC1">
        <w:t>’</w:t>
      </w:r>
      <w:r w:rsidRPr="00026EC1">
        <w:t>enseignante ou de l</w:t>
      </w:r>
      <w:r w:rsidR="00BC3319" w:rsidRPr="00026EC1">
        <w:t>’</w:t>
      </w:r>
      <w:r w:rsidRPr="00026EC1">
        <w:t>enseignant visé, y compris l</w:t>
      </w:r>
      <w:r w:rsidR="00BC3319" w:rsidRPr="00026EC1">
        <w:t>’</w:t>
      </w:r>
      <w:r w:rsidRPr="00026EC1">
        <w:t>emballage, le déballage et le coût de la prime d</w:t>
      </w:r>
      <w:r w:rsidR="00BC3319" w:rsidRPr="00026EC1">
        <w:t>’</w:t>
      </w:r>
      <w:r w:rsidRPr="00026EC1">
        <w:t>assurance, ou les frais de remorquage d</w:t>
      </w:r>
      <w:r w:rsidR="00BC3319" w:rsidRPr="00026EC1">
        <w:t>’</w:t>
      </w:r>
      <w:r w:rsidRPr="00026EC1">
        <w:t>une maison mobile à condition qu</w:t>
      </w:r>
      <w:r w:rsidR="00BC3319" w:rsidRPr="00026EC1">
        <w:t>’</w:t>
      </w:r>
      <w:r w:rsidRPr="00026EC1">
        <w:t>elle ou il fournisse à l</w:t>
      </w:r>
      <w:r w:rsidR="00BC3319" w:rsidRPr="00026EC1">
        <w:t>’</w:t>
      </w:r>
      <w:r w:rsidRPr="00026EC1">
        <w:t>avance au moins deux (2) soumissions détaillées des frais à encourir.</w:t>
      </w:r>
    </w:p>
    <w:p w14:paraId="55DFCE49" w14:textId="77777777" w:rsidR="009A1CC5" w:rsidRDefault="009A1CC5">
      <w:pPr>
        <w:keepNext w:val="0"/>
        <w:suppressAutoHyphens w:val="0"/>
        <w:jc w:val="left"/>
      </w:pPr>
      <w:r>
        <w:br w:type="page"/>
      </w:r>
    </w:p>
    <w:p w14:paraId="200BC851" w14:textId="2F5AF77F" w:rsidR="00F0799A" w:rsidRPr="00026EC1" w:rsidRDefault="00F0799A" w:rsidP="007F120F">
      <w:pPr>
        <w:pStyle w:val="NUMRODECLAUSE"/>
        <w:keepNext w:val="0"/>
      </w:pPr>
      <w:r w:rsidRPr="00026EC1">
        <w:t>1.05</w:t>
      </w:r>
    </w:p>
    <w:p w14:paraId="7F1096E0" w14:textId="77777777" w:rsidR="00F0799A" w:rsidRPr="00026EC1" w:rsidRDefault="00F0799A" w:rsidP="007F120F">
      <w:pPr>
        <w:keepNext w:val="0"/>
      </w:pPr>
      <w:r w:rsidRPr="00026EC1">
        <w:t>Le Collège paie le coût du transport du véhicule personnel de l</w:t>
      </w:r>
      <w:r w:rsidR="00BC3319" w:rsidRPr="00026EC1">
        <w:t>’</w:t>
      </w:r>
      <w:r w:rsidRPr="00026EC1">
        <w:t>enseignante ou de l</w:t>
      </w:r>
      <w:r w:rsidR="00BC3319" w:rsidRPr="00026EC1">
        <w:t>’</w:t>
      </w:r>
      <w:r w:rsidRPr="00026EC1">
        <w:t>enseignant quand l</w:t>
      </w:r>
      <w:r w:rsidR="00BC3319" w:rsidRPr="00026EC1">
        <w:t>’</w:t>
      </w:r>
      <w:r w:rsidRPr="00026EC1">
        <w:t>endroit de sa nouvelle résidence n</w:t>
      </w:r>
      <w:r w:rsidR="00BC3319" w:rsidRPr="00026EC1">
        <w:t>’</w:t>
      </w:r>
      <w:r w:rsidRPr="00026EC1">
        <w:t>est pas accessible par la route. Cependant, les frais de transport d</w:t>
      </w:r>
      <w:r w:rsidR="00BC3319" w:rsidRPr="00026EC1">
        <w:t>’</w:t>
      </w:r>
      <w:r w:rsidRPr="00026EC1">
        <w:t>une embarcation, canot, etc., ne sont pas remboursés.</w:t>
      </w:r>
    </w:p>
    <w:p w14:paraId="3A790C35" w14:textId="77777777" w:rsidR="006B5B8C" w:rsidRPr="00026EC1" w:rsidRDefault="006B5B8C" w:rsidP="007F120F">
      <w:pPr>
        <w:keepNext w:val="0"/>
      </w:pPr>
    </w:p>
    <w:p w14:paraId="50D61868" w14:textId="77777777" w:rsidR="00F0799A" w:rsidRPr="00026EC1" w:rsidRDefault="00F0799A" w:rsidP="007F120F">
      <w:pPr>
        <w:pStyle w:val="NUMRODECLAUSE"/>
        <w:keepNext w:val="0"/>
      </w:pPr>
      <w:r w:rsidRPr="00026EC1">
        <w:t>1.06</w:t>
      </w:r>
    </w:p>
    <w:p w14:paraId="40732EBD" w14:textId="6EF465E9" w:rsidR="00F0799A" w:rsidRPr="00026EC1" w:rsidRDefault="00F0799A" w:rsidP="007F120F">
      <w:pPr>
        <w:keepNext w:val="0"/>
      </w:pPr>
      <w:r w:rsidRPr="00026EC1">
        <w:t>Lorsqu</w:t>
      </w:r>
      <w:r w:rsidR="00BC3319" w:rsidRPr="00026EC1">
        <w:t>’</w:t>
      </w:r>
      <w:r w:rsidRPr="00026EC1">
        <w:t>un déménagement d</w:t>
      </w:r>
      <w:r w:rsidR="00BC3319" w:rsidRPr="00026EC1">
        <w:t>’</w:t>
      </w:r>
      <w:r w:rsidRPr="00026EC1">
        <w:t>un domicile à un autre ne peut s</w:t>
      </w:r>
      <w:r w:rsidR="00BC3319" w:rsidRPr="00026EC1">
        <w:t>’</w:t>
      </w:r>
      <w:r w:rsidRPr="00026EC1">
        <w:t>effectuer directement pour des raisons de force majeure autres que la construction d</w:t>
      </w:r>
      <w:r w:rsidR="00BC3319" w:rsidRPr="00026EC1">
        <w:t>’</w:t>
      </w:r>
      <w:r w:rsidRPr="00026EC1">
        <w:t>une nouvelle résidence, le Collège paie les frais d</w:t>
      </w:r>
      <w:r w:rsidR="00BC3319" w:rsidRPr="00026EC1">
        <w:t>’</w:t>
      </w:r>
      <w:r w:rsidRPr="00026EC1">
        <w:t>entreposage des meubles meublants et effets personnels de l</w:t>
      </w:r>
      <w:r w:rsidR="00BC3319" w:rsidRPr="00026EC1">
        <w:t>’</w:t>
      </w:r>
      <w:r w:rsidRPr="00026EC1">
        <w:t>enseignante ou de l</w:t>
      </w:r>
      <w:r w:rsidR="00BC3319" w:rsidRPr="00026EC1">
        <w:t>’</w:t>
      </w:r>
      <w:r w:rsidRPr="00026EC1">
        <w:t>enseignant et de ses personnes à charge pour une période ne dépassant pas deux</w:t>
      </w:r>
      <w:r w:rsidR="00693C43">
        <w:t> </w:t>
      </w:r>
      <w:r w:rsidRPr="00026EC1">
        <w:t>(2) mois.</w:t>
      </w:r>
    </w:p>
    <w:p w14:paraId="1DD4E426" w14:textId="77777777" w:rsidR="00F0799A" w:rsidRPr="00026EC1" w:rsidRDefault="00F0799A" w:rsidP="007F120F">
      <w:pPr>
        <w:keepNext w:val="0"/>
      </w:pPr>
    </w:p>
    <w:p w14:paraId="0B415755" w14:textId="77777777" w:rsidR="00F0799A" w:rsidRPr="00026EC1" w:rsidRDefault="00F0799A" w:rsidP="007F120F">
      <w:pPr>
        <w:pStyle w:val="NUMRODECLAUSE"/>
        <w:keepNext w:val="0"/>
      </w:pPr>
      <w:r w:rsidRPr="00026EC1">
        <w:t>1.07</w:t>
      </w:r>
    </w:p>
    <w:p w14:paraId="64BFFCF7" w14:textId="796F5656" w:rsidR="00F0799A" w:rsidRPr="00026EC1" w:rsidRDefault="00F0799A" w:rsidP="007F120F">
      <w:pPr>
        <w:keepNext w:val="0"/>
      </w:pPr>
      <w:r w:rsidRPr="00026EC1">
        <w:t>Le Collège paie une allocation de déplacement de sept cent cinquante dollars (750</w:t>
      </w:r>
      <w:r w:rsidR="00D8581B">
        <w:t> $</w:t>
      </w:r>
      <w:r w:rsidRPr="00026EC1">
        <w:t>) à l</w:t>
      </w:r>
      <w:r w:rsidR="00BC3319" w:rsidRPr="00026EC1">
        <w:t>’</w:t>
      </w:r>
      <w:r w:rsidRPr="00026EC1">
        <w:t>enseignante ou l</w:t>
      </w:r>
      <w:r w:rsidR="00BC3319" w:rsidRPr="00026EC1">
        <w:t>’</w:t>
      </w:r>
      <w:r w:rsidRPr="00026EC1">
        <w:t>enseignant déplacé en compensation des dépenses concomitantes de déplacement (tapis, draperies, débranchement et raccordement d</w:t>
      </w:r>
      <w:r w:rsidR="00BC3319" w:rsidRPr="00026EC1">
        <w:t>’</w:t>
      </w:r>
      <w:r w:rsidRPr="00026EC1">
        <w:t>appareils électriques, nettoyage, frais de gardiennage, etc.) à moins que cette enseignante ou cet enseignant n</w:t>
      </w:r>
      <w:r w:rsidR="00BC3319" w:rsidRPr="00026EC1">
        <w:t>’</w:t>
      </w:r>
      <w:r w:rsidRPr="00026EC1">
        <w:t>emménage dans un lieu où des équipements complets sont mis à sa disposition par le nouveau Collège.</w:t>
      </w:r>
    </w:p>
    <w:p w14:paraId="34588C90" w14:textId="77777777" w:rsidR="00F0799A" w:rsidRPr="00026EC1" w:rsidRDefault="00F0799A" w:rsidP="007F120F">
      <w:pPr>
        <w:keepNext w:val="0"/>
      </w:pPr>
    </w:p>
    <w:p w14:paraId="44153B51" w14:textId="77777777" w:rsidR="00F0799A" w:rsidRPr="00026EC1" w:rsidRDefault="00F0799A" w:rsidP="007F120F">
      <w:pPr>
        <w:pStyle w:val="NUMRODECLAUSE"/>
        <w:keepNext w:val="0"/>
      </w:pPr>
      <w:r w:rsidRPr="00026EC1">
        <w:t>1.08</w:t>
      </w:r>
    </w:p>
    <w:p w14:paraId="7D916571" w14:textId="7162CCFD" w:rsidR="00F0799A" w:rsidRPr="00026EC1" w:rsidRDefault="00F0799A" w:rsidP="007F120F">
      <w:pPr>
        <w:keepNext w:val="0"/>
      </w:pPr>
      <w:r w:rsidRPr="00026EC1">
        <w:t>Le Collège paie à l</w:t>
      </w:r>
      <w:r w:rsidR="00BC3319" w:rsidRPr="00026EC1">
        <w:t>’</w:t>
      </w:r>
      <w:r w:rsidRPr="00026EC1">
        <w:t>enseignante ou l</w:t>
      </w:r>
      <w:r w:rsidR="00BC3319" w:rsidRPr="00026EC1">
        <w:t>’</w:t>
      </w:r>
      <w:r w:rsidRPr="00026EC1">
        <w:t>enseignant qui abandonne un logis sans bail écrit la valeur d</w:t>
      </w:r>
      <w:r w:rsidR="00BC3319" w:rsidRPr="00026EC1">
        <w:t>’</w:t>
      </w:r>
      <w:r w:rsidRPr="00026EC1">
        <w:t>un</w:t>
      </w:r>
      <w:r w:rsidR="00693C43">
        <w:t> </w:t>
      </w:r>
      <w:r w:rsidRPr="00026EC1">
        <w:t>(1) mois de loyer. S</w:t>
      </w:r>
      <w:r w:rsidR="00BC3319" w:rsidRPr="00026EC1">
        <w:t>’</w:t>
      </w:r>
      <w:r w:rsidRPr="00026EC1">
        <w:t>il y a un bail, le Collège dédommage, pour une période maximale de trois</w:t>
      </w:r>
      <w:r w:rsidR="00693C43">
        <w:t> </w:t>
      </w:r>
      <w:r w:rsidRPr="00026EC1">
        <w:t>(3) mois de loyer, l</w:t>
      </w:r>
      <w:r w:rsidR="00BC3319" w:rsidRPr="00026EC1">
        <w:t>’</w:t>
      </w:r>
      <w:r w:rsidRPr="00026EC1">
        <w:t>enseignante ou l</w:t>
      </w:r>
      <w:r w:rsidR="00BC3319" w:rsidRPr="00026EC1">
        <w:t>’</w:t>
      </w:r>
      <w:r w:rsidRPr="00026EC1">
        <w:t>enseignant qui résilie son bail et dont la ou le propriétaire exige une compensation. Dans les deux</w:t>
      </w:r>
      <w:r w:rsidR="00693C43">
        <w:t> </w:t>
      </w:r>
      <w:r w:rsidR="00451769" w:rsidRPr="00026EC1">
        <w:t>(2)</w:t>
      </w:r>
      <w:r w:rsidRPr="00026EC1">
        <w:t xml:space="preserve"> cas, l</w:t>
      </w:r>
      <w:r w:rsidR="00BC3319" w:rsidRPr="00026EC1">
        <w:t>’</w:t>
      </w:r>
      <w:r w:rsidRPr="00026EC1">
        <w:t>enseignante ou l</w:t>
      </w:r>
      <w:r w:rsidR="00BC3319" w:rsidRPr="00026EC1">
        <w:t>’</w:t>
      </w:r>
      <w:r w:rsidRPr="00026EC1">
        <w:t>enseignant atteste le bien</w:t>
      </w:r>
      <w:r w:rsidR="00984A6F">
        <w:noBreakHyphen/>
      </w:r>
      <w:r w:rsidRPr="00026EC1">
        <w:t>fondé de la requête de la ou du propriétaire et produit les pièces justificatives.</w:t>
      </w:r>
    </w:p>
    <w:p w14:paraId="4DEDAA25" w14:textId="77777777" w:rsidR="00F0799A" w:rsidRPr="00026EC1" w:rsidRDefault="00F0799A" w:rsidP="007F120F">
      <w:pPr>
        <w:keepNext w:val="0"/>
      </w:pPr>
    </w:p>
    <w:p w14:paraId="31A51E4A" w14:textId="77777777" w:rsidR="00F0799A" w:rsidRPr="00026EC1" w:rsidRDefault="00F0799A" w:rsidP="007F120F">
      <w:pPr>
        <w:pStyle w:val="NUMRODECLAUSE"/>
        <w:keepNext w:val="0"/>
      </w:pPr>
      <w:r w:rsidRPr="00026EC1">
        <w:t>1.09</w:t>
      </w:r>
    </w:p>
    <w:p w14:paraId="2687D659" w14:textId="294AD989" w:rsidR="00F0799A" w:rsidRPr="00026EC1" w:rsidRDefault="00F0799A" w:rsidP="007F120F">
      <w:pPr>
        <w:keepNext w:val="0"/>
      </w:pPr>
      <w:r w:rsidRPr="00026EC1">
        <w:t>Si l</w:t>
      </w:r>
      <w:r w:rsidR="00BC3319" w:rsidRPr="00026EC1">
        <w:t>’</w:t>
      </w:r>
      <w:r w:rsidRPr="00026EC1">
        <w:t>enseignante ou l</w:t>
      </w:r>
      <w:r w:rsidR="00BC3319" w:rsidRPr="00026EC1">
        <w:t>’</w:t>
      </w:r>
      <w:r w:rsidRPr="00026EC1">
        <w:t>enseignant choisit de sous</w:t>
      </w:r>
      <w:r w:rsidR="00984A6F">
        <w:noBreakHyphen/>
      </w:r>
      <w:r w:rsidRPr="00026EC1">
        <w:t>louer elle</w:t>
      </w:r>
      <w:r w:rsidR="00984A6F">
        <w:noBreakHyphen/>
      </w:r>
      <w:r w:rsidRPr="00026EC1">
        <w:t>même ou lui</w:t>
      </w:r>
      <w:r w:rsidR="00984A6F">
        <w:noBreakHyphen/>
      </w:r>
      <w:r w:rsidRPr="00026EC1">
        <w:t>même son logement, les frais normaux d</w:t>
      </w:r>
      <w:r w:rsidR="00BC3319" w:rsidRPr="00026EC1">
        <w:t>’</w:t>
      </w:r>
      <w:r w:rsidRPr="00026EC1">
        <w:t>annonce pour la sous</w:t>
      </w:r>
      <w:r w:rsidR="00984A6F">
        <w:noBreakHyphen/>
      </w:r>
      <w:r w:rsidRPr="00026EC1">
        <w:t>location sont à la charge du Collège.</w:t>
      </w:r>
    </w:p>
    <w:p w14:paraId="4436E987" w14:textId="77777777" w:rsidR="00F0799A" w:rsidRPr="00026EC1" w:rsidRDefault="00F0799A" w:rsidP="007F120F">
      <w:pPr>
        <w:keepNext w:val="0"/>
      </w:pPr>
    </w:p>
    <w:p w14:paraId="09A9A7AE" w14:textId="77777777" w:rsidR="00F0799A" w:rsidRPr="00026EC1" w:rsidRDefault="00F0799A" w:rsidP="007F120F">
      <w:pPr>
        <w:pStyle w:val="NUMRODECLAUSE"/>
        <w:keepNext w:val="0"/>
      </w:pPr>
      <w:r w:rsidRPr="00026EC1">
        <w:t>1.10</w:t>
      </w:r>
    </w:p>
    <w:p w14:paraId="4C926433" w14:textId="4C2809CE" w:rsidR="00F0799A" w:rsidRPr="00026EC1" w:rsidRDefault="00275751" w:rsidP="007F120F">
      <w:pPr>
        <w:keepNext w:val="0"/>
        <w:tabs>
          <w:tab w:val="left" w:pos="567"/>
        </w:tabs>
        <w:ind w:left="567" w:hanging="567"/>
      </w:pPr>
      <w:r w:rsidRPr="00026EC1">
        <w:t>a)</w:t>
      </w:r>
      <w:r w:rsidRPr="00026EC1">
        <w:tab/>
      </w:r>
      <w:r w:rsidR="00F0799A" w:rsidRPr="00026EC1">
        <w:t>Le Collège paie à l</w:t>
      </w:r>
      <w:r w:rsidR="00BC3319" w:rsidRPr="00026EC1">
        <w:t>’</w:t>
      </w:r>
      <w:r w:rsidR="00F0799A" w:rsidRPr="00026EC1">
        <w:t>enseignante ou l</w:t>
      </w:r>
      <w:r w:rsidR="00BC3319" w:rsidRPr="00026EC1">
        <w:t>’</w:t>
      </w:r>
      <w:r w:rsidR="00F0799A" w:rsidRPr="00026EC1">
        <w:t>enseignant qui vend sa maison (résidence principale) les honoraires d</w:t>
      </w:r>
      <w:r w:rsidR="00BC3319" w:rsidRPr="00026EC1">
        <w:t>’</w:t>
      </w:r>
      <w:r w:rsidR="00F0799A" w:rsidRPr="00026EC1">
        <w:t>une agente ou d</w:t>
      </w:r>
      <w:r w:rsidR="00BC3319" w:rsidRPr="00026EC1">
        <w:t>’</w:t>
      </w:r>
      <w:r w:rsidR="00F0799A" w:rsidRPr="00026EC1">
        <w:t>un agent immobilier sur production des documents suivants</w:t>
      </w:r>
      <w:r w:rsidR="00D8581B">
        <w:t> :</w:t>
      </w:r>
    </w:p>
    <w:p w14:paraId="271AD5E4" w14:textId="77777777" w:rsidR="00F0799A" w:rsidRPr="00026EC1" w:rsidRDefault="00F0799A" w:rsidP="007F120F">
      <w:pPr>
        <w:keepNext w:val="0"/>
      </w:pPr>
    </w:p>
    <w:p w14:paraId="4B8C4BBE" w14:textId="77777777" w:rsidR="00F0799A" w:rsidRPr="00026EC1" w:rsidRDefault="00275751" w:rsidP="007F120F">
      <w:pPr>
        <w:keepNext w:val="0"/>
        <w:tabs>
          <w:tab w:val="left" w:pos="1134"/>
        </w:tabs>
        <w:ind w:left="1134" w:hanging="567"/>
      </w:pPr>
      <w:r w:rsidRPr="00026EC1">
        <w:rPr>
          <w:rFonts w:ascii="Symbol" w:hAnsi="Symbol"/>
        </w:rPr>
        <w:t></w:t>
      </w:r>
      <w:r w:rsidRPr="00026EC1">
        <w:rPr>
          <w:rFonts w:ascii="Symbol" w:hAnsi="Symbol"/>
        </w:rPr>
        <w:tab/>
      </w:r>
      <w:r w:rsidR="00F0799A" w:rsidRPr="00026EC1">
        <w:t>le contrat avec l</w:t>
      </w:r>
      <w:r w:rsidR="00BC3319" w:rsidRPr="00026EC1">
        <w:t>’</w:t>
      </w:r>
      <w:r w:rsidR="00F0799A" w:rsidRPr="00026EC1">
        <w:t>agente ou l</w:t>
      </w:r>
      <w:r w:rsidR="00BC3319" w:rsidRPr="00026EC1">
        <w:t>’</w:t>
      </w:r>
      <w:r w:rsidR="00F0799A" w:rsidRPr="00026EC1">
        <w:t>agent immobilier, immédiatement après sa passation;</w:t>
      </w:r>
    </w:p>
    <w:p w14:paraId="60428F8A" w14:textId="77777777" w:rsidR="00F0799A" w:rsidRPr="00026EC1" w:rsidRDefault="00275751" w:rsidP="007F120F">
      <w:pPr>
        <w:keepNext w:val="0"/>
        <w:tabs>
          <w:tab w:val="left" w:pos="1134"/>
        </w:tabs>
        <w:ind w:left="1134" w:hanging="567"/>
      </w:pPr>
      <w:r w:rsidRPr="00026EC1">
        <w:rPr>
          <w:rFonts w:ascii="Symbol" w:hAnsi="Symbol"/>
        </w:rPr>
        <w:t></w:t>
      </w:r>
      <w:r w:rsidRPr="00026EC1">
        <w:rPr>
          <w:rFonts w:ascii="Symbol" w:hAnsi="Symbol"/>
        </w:rPr>
        <w:tab/>
      </w:r>
      <w:r w:rsidR="00F0799A" w:rsidRPr="00026EC1">
        <w:t>le contrat de vente;</w:t>
      </w:r>
    </w:p>
    <w:p w14:paraId="748980F7" w14:textId="77777777" w:rsidR="00F0799A" w:rsidRPr="00026EC1" w:rsidRDefault="00275751" w:rsidP="007F120F">
      <w:pPr>
        <w:keepNext w:val="0"/>
        <w:tabs>
          <w:tab w:val="left" w:pos="1134"/>
        </w:tabs>
        <w:ind w:left="1134" w:hanging="567"/>
      </w:pPr>
      <w:r w:rsidRPr="00026EC1">
        <w:rPr>
          <w:rFonts w:ascii="Symbol" w:hAnsi="Symbol"/>
        </w:rPr>
        <w:t></w:t>
      </w:r>
      <w:r w:rsidRPr="00026EC1">
        <w:rPr>
          <w:rFonts w:ascii="Symbol" w:hAnsi="Symbol"/>
        </w:rPr>
        <w:tab/>
      </w:r>
      <w:r w:rsidR="00F0799A" w:rsidRPr="00026EC1">
        <w:t>le compte d</w:t>
      </w:r>
      <w:r w:rsidR="00BC3319" w:rsidRPr="00026EC1">
        <w:t>’</w:t>
      </w:r>
      <w:r w:rsidR="00F0799A" w:rsidRPr="00026EC1">
        <w:t>honoraires de l</w:t>
      </w:r>
      <w:r w:rsidR="00BC3319" w:rsidRPr="00026EC1">
        <w:t>’</w:t>
      </w:r>
      <w:r w:rsidR="00F0799A" w:rsidRPr="00026EC1">
        <w:t>agente ou de l</w:t>
      </w:r>
      <w:r w:rsidR="00BC3319" w:rsidRPr="00026EC1">
        <w:t>’</w:t>
      </w:r>
      <w:r w:rsidR="00F0799A" w:rsidRPr="00026EC1">
        <w:t>agent immobilier.</w:t>
      </w:r>
    </w:p>
    <w:p w14:paraId="5A2569C8" w14:textId="77777777" w:rsidR="00F0799A" w:rsidRPr="00026EC1" w:rsidRDefault="00F0799A" w:rsidP="007F120F">
      <w:pPr>
        <w:keepNext w:val="0"/>
      </w:pPr>
    </w:p>
    <w:p w14:paraId="685806C7" w14:textId="77777777" w:rsidR="00F0799A" w:rsidRPr="00026EC1" w:rsidRDefault="00275751" w:rsidP="007F120F">
      <w:pPr>
        <w:keepNext w:val="0"/>
        <w:tabs>
          <w:tab w:val="left" w:pos="567"/>
        </w:tabs>
        <w:ind w:left="567" w:hanging="567"/>
      </w:pPr>
      <w:r w:rsidRPr="00026EC1">
        <w:t>b)</w:t>
      </w:r>
      <w:r w:rsidRPr="00026EC1">
        <w:tab/>
      </w:r>
      <w:r w:rsidR="00F0799A" w:rsidRPr="00026EC1">
        <w:t>Le Collège paie les frais d</w:t>
      </w:r>
      <w:r w:rsidR="00BC3319" w:rsidRPr="00026EC1">
        <w:t>’</w:t>
      </w:r>
      <w:r w:rsidR="00F0799A" w:rsidRPr="00026EC1">
        <w:t>actes notariés à l</w:t>
      </w:r>
      <w:r w:rsidR="00BC3319" w:rsidRPr="00026EC1">
        <w:t>’</w:t>
      </w:r>
      <w:r w:rsidR="00F0799A" w:rsidRPr="00026EC1">
        <w:t>enseignante ou l</w:t>
      </w:r>
      <w:r w:rsidR="00BC3319" w:rsidRPr="00026EC1">
        <w:t>’</w:t>
      </w:r>
      <w:r w:rsidR="00F0799A" w:rsidRPr="00026EC1">
        <w:t>enseignant qui a vendu sa maison à cause de son déplacement et qui en achète une autre aux fins de résidence à l</w:t>
      </w:r>
      <w:r w:rsidR="00BC3319" w:rsidRPr="00026EC1">
        <w:t>’</w:t>
      </w:r>
      <w:r w:rsidR="00F0799A" w:rsidRPr="00026EC1">
        <w:t>endroit de son affectation.</w:t>
      </w:r>
    </w:p>
    <w:p w14:paraId="1408FA6E" w14:textId="77777777" w:rsidR="00F0799A" w:rsidRDefault="00F0799A" w:rsidP="007F120F">
      <w:pPr>
        <w:keepNext w:val="0"/>
      </w:pPr>
    </w:p>
    <w:p w14:paraId="377C0449" w14:textId="134FB78D" w:rsidR="00F0799A" w:rsidRPr="00026EC1" w:rsidRDefault="00F0799A" w:rsidP="007F120F">
      <w:pPr>
        <w:pStyle w:val="NUMRODECLAUSE"/>
        <w:keepNext w:val="0"/>
      </w:pPr>
      <w:r w:rsidRPr="00026EC1">
        <w:t>1.11</w:t>
      </w:r>
    </w:p>
    <w:p w14:paraId="2BBD3272" w14:textId="08194B46" w:rsidR="00F0799A" w:rsidRPr="00026EC1" w:rsidRDefault="00F0799A" w:rsidP="007F120F">
      <w:pPr>
        <w:keepNext w:val="0"/>
      </w:pPr>
      <w:r w:rsidRPr="00026EC1">
        <w:t>Lorsque la maison de l</w:t>
      </w:r>
      <w:r w:rsidR="00BC3319" w:rsidRPr="00026EC1">
        <w:t>’</w:t>
      </w:r>
      <w:r w:rsidRPr="00026EC1">
        <w:t>enseignante ou de l</w:t>
      </w:r>
      <w:r w:rsidR="00BC3319" w:rsidRPr="00026EC1">
        <w:t>’</w:t>
      </w:r>
      <w:r w:rsidRPr="00026EC1">
        <w:t>enseignant, quoique mise en vente à un prix raisonnable, n</w:t>
      </w:r>
      <w:r w:rsidR="00BC3319" w:rsidRPr="00026EC1">
        <w:t>’</w:t>
      </w:r>
      <w:r w:rsidRPr="00026EC1">
        <w:t>est pas vendue au moment où l</w:t>
      </w:r>
      <w:r w:rsidR="00BC3319" w:rsidRPr="00026EC1">
        <w:t>’</w:t>
      </w:r>
      <w:r w:rsidRPr="00026EC1">
        <w:t>enseignante ou l</w:t>
      </w:r>
      <w:r w:rsidR="00BC3319" w:rsidRPr="00026EC1">
        <w:t>’</w:t>
      </w:r>
      <w:r w:rsidRPr="00026EC1">
        <w:t>enseignant assume les obligations relatives à son nouveau lieu de résidence, les frais relatifs à la garde de la maison non vendue ne sont pas remboursés</w:t>
      </w:r>
      <w:r w:rsidR="00EA6192" w:rsidRPr="00026EC1">
        <w:t>,</w:t>
      </w:r>
      <w:r w:rsidRPr="00026EC1">
        <w:t xml:space="preserve"> mais, le cas échéant, pour une période allant jusqu</w:t>
      </w:r>
      <w:r w:rsidR="00BC3319" w:rsidRPr="00026EC1">
        <w:t>’</w:t>
      </w:r>
      <w:r w:rsidRPr="00026EC1">
        <w:t>à trois (3) mois, le Collège rembourse à l</w:t>
      </w:r>
      <w:r w:rsidR="00BC3319" w:rsidRPr="00026EC1">
        <w:t>’</w:t>
      </w:r>
      <w:r w:rsidRPr="00026EC1">
        <w:t>enseignante ou l</w:t>
      </w:r>
      <w:r w:rsidR="00BC3319" w:rsidRPr="00026EC1">
        <w:t>’</w:t>
      </w:r>
      <w:r w:rsidRPr="00026EC1">
        <w:t>enseignant les dépenses suivantes à condition qu</w:t>
      </w:r>
      <w:r w:rsidR="00BC3319" w:rsidRPr="00026EC1">
        <w:t>’</w:t>
      </w:r>
      <w:r w:rsidRPr="00026EC1">
        <w:t>elle ou il produise les pièces justificatives relatives</w:t>
      </w:r>
      <w:r w:rsidR="00D8581B">
        <w:t> :</w:t>
      </w:r>
    </w:p>
    <w:p w14:paraId="144515A9" w14:textId="77777777" w:rsidR="00F0799A" w:rsidRPr="00026EC1" w:rsidRDefault="00F0799A" w:rsidP="007F120F">
      <w:pPr>
        <w:keepNext w:val="0"/>
      </w:pPr>
    </w:p>
    <w:p w14:paraId="395CAA7E" w14:textId="77777777" w:rsidR="00F0799A" w:rsidRPr="00026EC1" w:rsidRDefault="00275751" w:rsidP="007F120F">
      <w:pPr>
        <w:keepNext w:val="0"/>
        <w:tabs>
          <w:tab w:val="left" w:pos="567"/>
        </w:tabs>
        <w:ind w:left="567" w:hanging="567"/>
      </w:pPr>
      <w:r w:rsidRPr="00026EC1">
        <w:t>a)</w:t>
      </w:r>
      <w:r w:rsidRPr="00026EC1">
        <w:tab/>
      </w:r>
      <w:r w:rsidR="00F0799A" w:rsidRPr="00026EC1">
        <w:t>aux taxes municipales et scolaires;</w:t>
      </w:r>
    </w:p>
    <w:p w14:paraId="33058329" w14:textId="77777777" w:rsidR="00F0799A" w:rsidRPr="00026EC1" w:rsidRDefault="00275751" w:rsidP="007F120F">
      <w:pPr>
        <w:keepNext w:val="0"/>
        <w:tabs>
          <w:tab w:val="left" w:pos="567"/>
        </w:tabs>
        <w:ind w:left="567" w:hanging="567"/>
      </w:pPr>
      <w:r w:rsidRPr="00026EC1">
        <w:t>b)</w:t>
      </w:r>
      <w:r w:rsidRPr="00026EC1">
        <w:tab/>
      </w:r>
      <w:r w:rsidR="00F0799A" w:rsidRPr="00026EC1">
        <w:t>à l</w:t>
      </w:r>
      <w:r w:rsidR="00BC3319" w:rsidRPr="00026EC1">
        <w:t>’</w:t>
      </w:r>
      <w:r w:rsidR="00F0799A" w:rsidRPr="00026EC1">
        <w:t>intérêt sur l</w:t>
      </w:r>
      <w:r w:rsidR="00BC3319" w:rsidRPr="00026EC1">
        <w:t>’</w:t>
      </w:r>
      <w:r w:rsidR="00F0799A" w:rsidRPr="00026EC1">
        <w:t>hypothèque;</w:t>
      </w:r>
    </w:p>
    <w:p w14:paraId="75857822" w14:textId="77777777" w:rsidR="00F0799A" w:rsidRPr="00026EC1" w:rsidRDefault="00275751" w:rsidP="007F120F">
      <w:pPr>
        <w:keepNext w:val="0"/>
        <w:tabs>
          <w:tab w:val="left" w:pos="567"/>
        </w:tabs>
        <w:ind w:left="567" w:hanging="567"/>
      </w:pPr>
      <w:r w:rsidRPr="00026EC1">
        <w:t>c)</w:t>
      </w:r>
      <w:r w:rsidRPr="00026EC1">
        <w:tab/>
      </w:r>
      <w:r w:rsidR="00F0799A" w:rsidRPr="00026EC1">
        <w:t>au coût de la prime d</w:t>
      </w:r>
      <w:r w:rsidR="00BC3319" w:rsidRPr="00026EC1">
        <w:t>’</w:t>
      </w:r>
      <w:r w:rsidR="00F0799A" w:rsidRPr="00026EC1">
        <w:t>assurance.</w:t>
      </w:r>
    </w:p>
    <w:p w14:paraId="1C5EB20E" w14:textId="77777777" w:rsidR="00F0799A" w:rsidRPr="00026EC1" w:rsidRDefault="00F0799A" w:rsidP="007F120F">
      <w:pPr>
        <w:keepNext w:val="0"/>
      </w:pPr>
    </w:p>
    <w:p w14:paraId="77E186BE" w14:textId="77777777" w:rsidR="00F0799A" w:rsidRPr="00026EC1" w:rsidRDefault="00F0799A" w:rsidP="007F120F">
      <w:pPr>
        <w:pStyle w:val="NUMRODECLAUSE"/>
        <w:keepNext w:val="0"/>
      </w:pPr>
      <w:r w:rsidRPr="00026EC1">
        <w:t>1.12</w:t>
      </w:r>
    </w:p>
    <w:p w14:paraId="21FB280D" w14:textId="4716B910" w:rsidR="00F0799A" w:rsidRPr="00026EC1" w:rsidRDefault="00F0799A" w:rsidP="007F120F">
      <w:pPr>
        <w:keepNext w:val="0"/>
      </w:pPr>
      <w:r w:rsidRPr="00026EC1">
        <w:t>Lorsqu</w:t>
      </w:r>
      <w:r w:rsidR="00BC3319" w:rsidRPr="00026EC1">
        <w:t>’</w:t>
      </w:r>
      <w:r w:rsidRPr="00026EC1">
        <w:t>un déménagement d</w:t>
      </w:r>
      <w:r w:rsidR="00BC3319" w:rsidRPr="00026EC1">
        <w:t>’</w:t>
      </w:r>
      <w:r w:rsidRPr="00026EC1">
        <w:t>un domicile à un autre ne peut s</w:t>
      </w:r>
      <w:r w:rsidR="00BC3319" w:rsidRPr="00026EC1">
        <w:t>’</w:t>
      </w:r>
      <w:r w:rsidRPr="00026EC1">
        <w:t>effectuer directement pour des raisons de force majeure autres que la construction d</w:t>
      </w:r>
      <w:r w:rsidR="00BC3319" w:rsidRPr="00026EC1">
        <w:t>’</w:t>
      </w:r>
      <w:r w:rsidRPr="00026EC1">
        <w:t>une nouvelle résidence, le Collège paie les frais de séjour pour l</w:t>
      </w:r>
      <w:r w:rsidR="00BC3319" w:rsidRPr="00026EC1">
        <w:t>’</w:t>
      </w:r>
      <w:r w:rsidRPr="00026EC1">
        <w:t>enseignante ou l</w:t>
      </w:r>
      <w:r w:rsidR="00BC3319" w:rsidRPr="00026EC1">
        <w:t>’</w:t>
      </w:r>
      <w:r w:rsidRPr="00026EC1">
        <w:t xml:space="preserve">enseignant et sa famille, conformément au régime de frais de déplacement du </w:t>
      </w:r>
      <w:r w:rsidR="00451769" w:rsidRPr="00026EC1">
        <w:t>C</w:t>
      </w:r>
      <w:r w:rsidRPr="00026EC1">
        <w:t>ollège, normalement pour une période n</w:t>
      </w:r>
      <w:r w:rsidR="00BC3319" w:rsidRPr="00026EC1">
        <w:t>’</w:t>
      </w:r>
      <w:r w:rsidRPr="00026EC1">
        <w:t>excédant pas deux</w:t>
      </w:r>
      <w:r w:rsidR="00693C43">
        <w:t> </w:t>
      </w:r>
      <w:r w:rsidRPr="00026EC1">
        <w:t>(2) semaines.</w:t>
      </w:r>
    </w:p>
    <w:p w14:paraId="3B3C4C78" w14:textId="77777777" w:rsidR="00F0799A" w:rsidRPr="00026EC1" w:rsidRDefault="00F0799A" w:rsidP="007F120F">
      <w:pPr>
        <w:keepNext w:val="0"/>
      </w:pPr>
    </w:p>
    <w:p w14:paraId="134E77F4" w14:textId="77777777" w:rsidR="00F0799A" w:rsidRPr="00026EC1" w:rsidRDefault="00F0799A" w:rsidP="007F120F">
      <w:pPr>
        <w:pStyle w:val="NUMRODECLAUSE"/>
        <w:keepNext w:val="0"/>
      </w:pPr>
      <w:r w:rsidRPr="00026EC1">
        <w:t>1.13</w:t>
      </w:r>
    </w:p>
    <w:p w14:paraId="445C95BF" w14:textId="0BB02BF1" w:rsidR="00F0799A" w:rsidRPr="00026EC1" w:rsidRDefault="00F0799A" w:rsidP="007F120F">
      <w:pPr>
        <w:keepNext w:val="0"/>
      </w:pPr>
      <w:r w:rsidRPr="00026EC1">
        <w:t>Lorsque le déménagement est retardé avec l</w:t>
      </w:r>
      <w:r w:rsidR="00BC3319" w:rsidRPr="00026EC1">
        <w:t>’</w:t>
      </w:r>
      <w:r w:rsidRPr="00026EC1">
        <w:t>autorisation du Collège et que la famille de l</w:t>
      </w:r>
      <w:r w:rsidR="00BC3319" w:rsidRPr="00026EC1">
        <w:t>’</w:t>
      </w:r>
      <w:r w:rsidRPr="00026EC1">
        <w:t>enseignante ou de l</w:t>
      </w:r>
      <w:r w:rsidR="00BC3319" w:rsidRPr="00026EC1">
        <w:t>’</w:t>
      </w:r>
      <w:r w:rsidRPr="00026EC1">
        <w:t>enseignant n</w:t>
      </w:r>
      <w:r w:rsidR="00BC3319" w:rsidRPr="00026EC1">
        <w:t>’</w:t>
      </w:r>
      <w:r w:rsidRPr="00026EC1">
        <w:t>est pas relogée immédiatement, le Collège assume les frais de transport de l</w:t>
      </w:r>
      <w:r w:rsidR="00BC3319" w:rsidRPr="00026EC1">
        <w:t>’</w:t>
      </w:r>
      <w:r w:rsidRPr="00026EC1">
        <w:t>enseignante ou de l</w:t>
      </w:r>
      <w:r w:rsidR="00BC3319" w:rsidRPr="00026EC1">
        <w:t>’</w:t>
      </w:r>
      <w:r w:rsidRPr="00026EC1">
        <w:t>enseignant pour visiter sa famille à toutes les deu</w:t>
      </w:r>
      <w:r w:rsidR="00693C43">
        <w:t>x </w:t>
      </w:r>
      <w:r w:rsidRPr="00026EC1">
        <w:t>(2) semaines si la distance à parcourir est égale ou inférieure à cinq cents</w:t>
      </w:r>
      <w:r w:rsidR="00693C43">
        <w:t> </w:t>
      </w:r>
      <w:r w:rsidRPr="00026EC1">
        <w:t>(500) kilomètres aller</w:t>
      </w:r>
      <w:r w:rsidR="00984A6F">
        <w:noBreakHyphen/>
      </w:r>
      <w:r w:rsidRPr="00026EC1">
        <w:t>retour; si la distance à parcourir est supérieure à cinq cents</w:t>
      </w:r>
      <w:r w:rsidR="00693C43">
        <w:t> </w:t>
      </w:r>
      <w:r w:rsidRPr="00026EC1">
        <w:t>(500) kilomètres aller</w:t>
      </w:r>
      <w:r w:rsidR="00984A6F">
        <w:noBreakHyphen/>
      </w:r>
      <w:r w:rsidRPr="00026EC1">
        <w:t>retour, ses frais de transport ne sont assumés qu</w:t>
      </w:r>
      <w:r w:rsidR="00451769" w:rsidRPr="00026EC1">
        <w:t>’</w:t>
      </w:r>
      <w:r w:rsidRPr="00026EC1">
        <w:t>une</w:t>
      </w:r>
      <w:r w:rsidR="00693C43">
        <w:t> </w:t>
      </w:r>
      <w:r w:rsidRPr="00026EC1">
        <w:t>(1) fois par mois, jusqu</w:t>
      </w:r>
      <w:r w:rsidR="00BC3319" w:rsidRPr="00026EC1">
        <w:t>’</w:t>
      </w:r>
      <w:r w:rsidRPr="00026EC1">
        <w:t>à un maximum de mille six cents</w:t>
      </w:r>
      <w:r w:rsidR="00693C43">
        <w:t> </w:t>
      </w:r>
      <w:r w:rsidRPr="00026EC1">
        <w:t>(1 600) kilomètres aller</w:t>
      </w:r>
      <w:r w:rsidR="00984A6F">
        <w:noBreakHyphen/>
      </w:r>
      <w:r w:rsidRPr="00026EC1">
        <w:t>retour.</w:t>
      </w:r>
    </w:p>
    <w:p w14:paraId="2EE98C84" w14:textId="77777777" w:rsidR="00F0799A" w:rsidRPr="00026EC1" w:rsidRDefault="00F0799A" w:rsidP="007F120F">
      <w:pPr>
        <w:keepNext w:val="0"/>
      </w:pPr>
    </w:p>
    <w:p w14:paraId="50C06C68" w14:textId="77777777" w:rsidR="00F0799A" w:rsidRPr="00026EC1" w:rsidRDefault="00F0799A" w:rsidP="007F120F">
      <w:pPr>
        <w:pStyle w:val="NUMRODECLAUSE"/>
        <w:keepNext w:val="0"/>
      </w:pPr>
      <w:r w:rsidRPr="00026EC1">
        <w:t>1.14</w:t>
      </w:r>
    </w:p>
    <w:p w14:paraId="010BC46D" w14:textId="34B7F556" w:rsidR="00F0799A" w:rsidRPr="00026EC1" w:rsidRDefault="00F0799A" w:rsidP="007F120F">
      <w:pPr>
        <w:keepNext w:val="0"/>
      </w:pPr>
      <w:r w:rsidRPr="00026EC1">
        <w:t>Lorsque l</w:t>
      </w:r>
      <w:r w:rsidR="00BC3319" w:rsidRPr="00026EC1">
        <w:t>’</w:t>
      </w:r>
      <w:r w:rsidRPr="00026EC1">
        <w:t>enseignante ou l</w:t>
      </w:r>
      <w:r w:rsidR="00BC3319" w:rsidRPr="00026EC1">
        <w:t>’</w:t>
      </w:r>
      <w:r w:rsidRPr="00026EC1">
        <w:t>enseignant déplacé choisit de ne pas vendre sa maison (résidence principale), elle ou il peut bénéficier des dispositions de la présente clause. Afin d</w:t>
      </w:r>
      <w:r w:rsidR="00BC3319" w:rsidRPr="00026EC1">
        <w:t>’</w:t>
      </w:r>
      <w:r w:rsidRPr="00026EC1">
        <w:t>éviter à l</w:t>
      </w:r>
      <w:r w:rsidR="00BC3319" w:rsidRPr="00026EC1">
        <w:t>’</w:t>
      </w:r>
      <w:r w:rsidRPr="00026EC1">
        <w:t>enseignante ou l</w:t>
      </w:r>
      <w:r w:rsidR="00BC3319" w:rsidRPr="00026EC1">
        <w:t>’</w:t>
      </w:r>
      <w:r w:rsidRPr="00026EC1">
        <w:t>enseignant propriétaire une double charge financière due au fait que sa résidence principale n</w:t>
      </w:r>
      <w:r w:rsidR="00BC3319" w:rsidRPr="00026EC1">
        <w:t>’</w:t>
      </w:r>
      <w:r w:rsidRPr="00026EC1">
        <w:t>est pas louée au moment où elle ou il assume de nouvelles obligations pour se loger dans la localité où elle ou il est déplacé, le Collège lui paie, pour la période pendant laquelle sa maison n</w:t>
      </w:r>
      <w:r w:rsidR="00BC3319" w:rsidRPr="00026EC1">
        <w:t>’</w:t>
      </w:r>
      <w:r w:rsidRPr="00026EC1">
        <w:t>est pas louée, le montant de son nouveau loyer jusqu</w:t>
      </w:r>
      <w:r w:rsidR="00BC3319" w:rsidRPr="00026EC1">
        <w:t>’</w:t>
      </w:r>
      <w:r w:rsidRPr="00026EC1">
        <w:t>à concurrence d</w:t>
      </w:r>
      <w:r w:rsidR="00BC3319" w:rsidRPr="00026EC1">
        <w:t>’</w:t>
      </w:r>
      <w:r w:rsidRPr="00026EC1">
        <w:t>une période de trois</w:t>
      </w:r>
      <w:r w:rsidR="00693C43">
        <w:t> </w:t>
      </w:r>
      <w:r w:rsidRPr="00026EC1">
        <w:t>(3) mois, sur présentation de pièces justificatives. De plus, le Collège rembourse les frais raisonnables d</w:t>
      </w:r>
      <w:r w:rsidR="00BC3319" w:rsidRPr="00026EC1">
        <w:t>’</w:t>
      </w:r>
      <w:r w:rsidRPr="00026EC1">
        <w:t>annonce et les frais d</w:t>
      </w:r>
      <w:r w:rsidR="00BC3319" w:rsidRPr="00026EC1">
        <w:t>’</w:t>
      </w:r>
      <w:r w:rsidRPr="00026EC1">
        <w:t>au plus deux</w:t>
      </w:r>
      <w:r w:rsidR="00693C43">
        <w:t> </w:t>
      </w:r>
      <w:r w:rsidRPr="00026EC1">
        <w:t>(2) voyages encourus pour la location de sa maison, sur présentation de pièces justificatives et conformément au régime de frais de déplacement en vigueur au Collège.</w:t>
      </w:r>
    </w:p>
    <w:p w14:paraId="015E9987" w14:textId="647B6DBD" w:rsidR="00404F34" w:rsidRPr="004365C2" w:rsidRDefault="00404F34" w:rsidP="007F120F">
      <w:pPr>
        <w:pStyle w:val="Heading3"/>
        <w:keepNext w:val="0"/>
      </w:pPr>
      <w:r w:rsidRPr="00026EC1">
        <w:br w:type="page"/>
      </w:r>
      <w:bookmarkStart w:id="1190" w:name="_Toc535046672"/>
      <w:bookmarkStart w:id="1191" w:name="_Toc133760839"/>
      <w:bookmarkStart w:id="1192" w:name="_Toc133916987"/>
      <w:bookmarkStart w:id="1193" w:name="_Toc134437262"/>
      <w:bookmarkStart w:id="1194" w:name="_Toc393449058"/>
      <w:bookmarkStart w:id="1195" w:name="_Toc393449427"/>
      <w:bookmarkStart w:id="1196" w:name="_Toc462751553"/>
      <w:bookmarkStart w:id="1197" w:name="_Toc484082570"/>
      <w:bookmarkStart w:id="1198" w:name="_Toc168479590"/>
      <w:r w:rsidR="00597012" w:rsidRPr="004365C2">
        <w:t>Annexe II</w:t>
      </w:r>
      <w:r w:rsidR="002F5A0C">
        <w:t>-</w:t>
      </w:r>
      <w:r w:rsidR="00597012" w:rsidRPr="004365C2">
        <w:t>4</w:t>
      </w:r>
      <w:bookmarkEnd w:id="1190"/>
      <w:bookmarkEnd w:id="1191"/>
      <w:bookmarkEnd w:id="1192"/>
      <w:bookmarkEnd w:id="1193"/>
      <w:r w:rsidR="00597012" w:rsidRPr="004365C2">
        <w:br/>
      </w:r>
      <w:r w:rsidR="00597012" w:rsidRPr="004365C2">
        <w:br/>
      </w:r>
      <w:bookmarkStart w:id="1199" w:name="_Toc535046673"/>
      <w:bookmarkStart w:id="1200" w:name="_Toc133760840"/>
      <w:r w:rsidR="00597012" w:rsidRPr="004365C2">
        <w:t>Formulaire à l’usage de l’enseignante ou de l’enseignant non permanent à temps complet prévu</w:t>
      </w:r>
      <w:r w:rsidR="00D8581B" w:rsidRPr="004365C2">
        <w:t> :</w:t>
      </w:r>
      <w:bookmarkEnd w:id="1194"/>
      <w:bookmarkEnd w:id="1195"/>
      <w:bookmarkEnd w:id="1196"/>
      <w:bookmarkEnd w:id="1197"/>
      <w:bookmarkEnd w:id="1198"/>
      <w:bookmarkEnd w:id="1199"/>
      <w:bookmarkEnd w:id="1200"/>
      <w:r w:rsidR="00597012" w:rsidRPr="004365C2">
        <w:t xml:space="preserve"> </w:t>
      </w:r>
    </w:p>
    <w:p w14:paraId="25348C4A" w14:textId="77A622C5" w:rsidR="003A1A22" w:rsidRPr="00026EC1" w:rsidRDefault="00275751" w:rsidP="007F120F">
      <w:pPr>
        <w:keepNext w:val="0"/>
        <w:tabs>
          <w:tab w:val="left" w:pos="567"/>
        </w:tabs>
        <w:ind w:left="567" w:hanging="567"/>
        <w:rPr>
          <w:b/>
        </w:rPr>
      </w:pPr>
      <w:r w:rsidRPr="00026EC1">
        <w:rPr>
          <w:rFonts w:ascii="Symbol" w:hAnsi="Symbol"/>
          <w:b/>
        </w:rPr>
        <w:t></w:t>
      </w:r>
      <w:r w:rsidRPr="00026EC1">
        <w:rPr>
          <w:rFonts w:ascii="Symbol" w:hAnsi="Symbol"/>
          <w:b/>
        </w:rPr>
        <w:tab/>
      </w:r>
      <w:r w:rsidR="003A1A22" w:rsidRPr="00026EC1">
        <w:rPr>
          <w:b/>
        </w:rPr>
        <w:t>à l</w:t>
      </w:r>
      <w:r w:rsidR="00BC3319" w:rsidRPr="00026EC1">
        <w:rPr>
          <w:b/>
        </w:rPr>
        <w:t>’</w:t>
      </w:r>
      <w:r w:rsidR="003A1A22" w:rsidRPr="00026EC1">
        <w:rPr>
          <w:b/>
        </w:rPr>
        <w:t>alinéa </w:t>
      </w:r>
      <w:r w:rsidR="00851127" w:rsidRPr="00316277">
        <w:rPr>
          <w:b/>
        </w:rPr>
        <w:t>c</w:t>
      </w:r>
      <w:r w:rsidR="003A1A22" w:rsidRPr="00026EC1">
        <w:rPr>
          <w:b/>
        </w:rPr>
        <w:t>) de la clause 5</w:t>
      </w:r>
      <w:r w:rsidR="00984A6F">
        <w:rPr>
          <w:b/>
        </w:rPr>
        <w:noBreakHyphen/>
      </w:r>
      <w:r w:rsidR="003A1A22" w:rsidRPr="00026EC1">
        <w:rPr>
          <w:b/>
        </w:rPr>
        <w:t>4.08</w:t>
      </w:r>
    </w:p>
    <w:p w14:paraId="6BF6A7DB" w14:textId="77777777" w:rsidR="003A1A22" w:rsidRPr="00026EC1" w:rsidRDefault="003A1A22" w:rsidP="007F120F">
      <w:pPr>
        <w:pStyle w:val="Texte3cm"/>
        <w:keepNext w:val="0"/>
        <w:ind w:left="567"/>
        <w:rPr>
          <w:b/>
        </w:rPr>
      </w:pPr>
      <w:r w:rsidRPr="00026EC1">
        <w:rPr>
          <w:b/>
        </w:rPr>
        <w:t>et</w:t>
      </w:r>
    </w:p>
    <w:p w14:paraId="70927202" w14:textId="085BA4D1" w:rsidR="003A1A22" w:rsidRPr="00026EC1" w:rsidRDefault="00275751" w:rsidP="007F120F">
      <w:pPr>
        <w:keepNext w:val="0"/>
        <w:tabs>
          <w:tab w:val="left" w:pos="567"/>
        </w:tabs>
        <w:ind w:left="567" w:hanging="567"/>
        <w:rPr>
          <w:b/>
          <w:bCs/>
        </w:rPr>
      </w:pPr>
      <w:r w:rsidRPr="00026EC1">
        <w:rPr>
          <w:rFonts w:ascii="Symbol" w:hAnsi="Symbol"/>
          <w:b/>
          <w:bCs/>
        </w:rPr>
        <w:t></w:t>
      </w:r>
      <w:r w:rsidRPr="00026EC1">
        <w:rPr>
          <w:rFonts w:ascii="Symbol" w:hAnsi="Symbol"/>
          <w:b/>
          <w:bCs/>
        </w:rPr>
        <w:tab/>
      </w:r>
      <w:r w:rsidR="003A1A22" w:rsidRPr="00026EC1">
        <w:rPr>
          <w:b/>
        </w:rPr>
        <w:t>aux priorités 9 et 14 prévues à l</w:t>
      </w:r>
      <w:r w:rsidR="00BC3319" w:rsidRPr="00026EC1">
        <w:rPr>
          <w:b/>
        </w:rPr>
        <w:t>’</w:t>
      </w:r>
      <w:r w:rsidR="003A1A22" w:rsidRPr="00026EC1">
        <w:rPr>
          <w:b/>
        </w:rPr>
        <w:t>alinéa a) de la clause 5</w:t>
      </w:r>
      <w:r w:rsidR="00984A6F">
        <w:rPr>
          <w:b/>
        </w:rPr>
        <w:noBreakHyphen/>
      </w:r>
      <w:r w:rsidR="003A1A22" w:rsidRPr="00026EC1">
        <w:rPr>
          <w:b/>
        </w:rPr>
        <w:t>4.17</w:t>
      </w:r>
    </w:p>
    <w:p w14:paraId="3D2C991C" w14:textId="77777777" w:rsidR="003A1A22" w:rsidRPr="00026EC1" w:rsidRDefault="003A1A22" w:rsidP="007F120F">
      <w:pPr>
        <w:keepNext w:val="0"/>
      </w:pPr>
    </w:p>
    <w:p w14:paraId="72FA8DAD" w14:textId="77777777" w:rsidR="008666F4" w:rsidRPr="00026EC1" w:rsidRDefault="008666F4" w:rsidP="007F120F">
      <w:pPr>
        <w:keepNext w:val="0"/>
      </w:pPr>
    </w:p>
    <w:tbl>
      <w:tblPr>
        <w:tblW w:w="9568" w:type="dxa"/>
        <w:tblCellMar>
          <w:left w:w="70" w:type="dxa"/>
          <w:right w:w="70" w:type="dxa"/>
        </w:tblCellMar>
        <w:tblLook w:val="0000" w:firstRow="0" w:lastRow="0" w:firstColumn="0" w:lastColumn="0" w:noHBand="0" w:noVBand="0"/>
      </w:tblPr>
      <w:tblGrid>
        <w:gridCol w:w="1861"/>
        <w:gridCol w:w="1269"/>
        <w:gridCol w:w="720"/>
        <w:gridCol w:w="1080"/>
        <w:gridCol w:w="4638"/>
      </w:tblGrid>
      <w:tr w:rsidR="003A1A22" w:rsidRPr="00026EC1" w14:paraId="696CE458" w14:textId="77777777" w:rsidTr="000A1998">
        <w:tc>
          <w:tcPr>
            <w:tcW w:w="1861" w:type="dxa"/>
          </w:tcPr>
          <w:p w14:paraId="111A2322" w14:textId="5688674C" w:rsidR="003A1A22" w:rsidRPr="00026EC1" w:rsidRDefault="003A1A22" w:rsidP="007F120F">
            <w:pPr>
              <w:keepNext w:val="0"/>
            </w:pPr>
            <w:r w:rsidRPr="00026EC1">
              <w:t>NOM</w:t>
            </w:r>
            <w:r w:rsidR="00D8581B">
              <w:t> :</w:t>
            </w:r>
          </w:p>
        </w:tc>
        <w:tc>
          <w:tcPr>
            <w:tcW w:w="7707" w:type="dxa"/>
            <w:gridSpan w:val="4"/>
            <w:tcBorders>
              <w:bottom w:val="single" w:sz="4" w:space="0" w:color="auto"/>
            </w:tcBorders>
          </w:tcPr>
          <w:p w14:paraId="32C27770" w14:textId="77777777" w:rsidR="003A1A22" w:rsidRPr="00026EC1" w:rsidRDefault="003A1A22" w:rsidP="007F120F">
            <w:pPr>
              <w:keepNext w:val="0"/>
            </w:pPr>
          </w:p>
        </w:tc>
      </w:tr>
      <w:tr w:rsidR="003A1A22" w:rsidRPr="00026EC1" w14:paraId="08C489B1" w14:textId="77777777" w:rsidTr="000A1998">
        <w:tc>
          <w:tcPr>
            <w:tcW w:w="1861" w:type="dxa"/>
          </w:tcPr>
          <w:p w14:paraId="1180E9F3" w14:textId="77777777" w:rsidR="003A1A22" w:rsidRPr="00026EC1" w:rsidRDefault="003A1A22" w:rsidP="007F120F">
            <w:pPr>
              <w:keepNext w:val="0"/>
            </w:pPr>
          </w:p>
        </w:tc>
        <w:tc>
          <w:tcPr>
            <w:tcW w:w="7707" w:type="dxa"/>
            <w:gridSpan w:val="4"/>
            <w:tcBorders>
              <w:top w:val="single" w:sz="4" w:space="0" w:color="auto"/>
            </w:tcBorders>
          </w:tcPr>
          <w:p w14:paraId="199BCAEC" w14:textId="77777777" w:rsidR="003A1A22" w:rsidRPr="00026EC1" w:rsidRDefault="003A1A22" w:rsidP="007F120F">
            <w:pPr>
              <w:keepNext w:val="0"/>
            </w:pPr>
          </w:p>
        </w:tc>
      </w:tr>
      <w:tr w:rsidR="003A1A22" w:rsidRPr="00026EC1" w14:paraId="56F5A88F" w14:textId="77777777" w:rsidTr="000A1998">
        <w:tc>
          <w:tcPr>
            <w:tcW w:w="1861" w:type="dxa"/>
          </w:tcPr>
          <w:p w14:paraId="76E3097D" w14:textId="77777777" w:rsidR="003A1A22" w:rsidRPr="00026EC1" w:rsidRDefault="003A1A22" w:rsidP="007F120F">
            <w:pPr>
              <w:keepNext w:val="0"/>
            </w:pPr>
          </w:p>
        </w:tc>
        <w:tc>
          <w:tcPr>
            <w:tcW w:w="7707" w:type="dxa"/>
            <w:gridSpan w:val="4"/>
          </w:tcPr>
          <w:p w14:paraId="7EEFF778" w14:textId="77777777" w:rsidR="003A1A22" w:rsidRPr="00026EC1" w:rsidRDefault="003A1A22" w:rsidP="007F120F">
            <w:pPr>
              <w:keepNext w:val="0"/>
            </w:pPr>
          </w:p>
        </w:tc>
      </w:tr>
      <w:tr w:rsidR="003A1A22" w:rsidRPr="00026EC1" w14:paraId="359010F3" w14:textId="77777777" w:rsidTr="000A1998">
        <w:tc>
          <w:tcPr>
            <w:tcW w:w="1861" w:type="dxa"/>
          </w:tcPr>
          <w:p w14:paraId="29505A6E" w14:textId="0E14C7CD" w:rsidR="003A1A22" w:rsidRPr="00026EC1" w:rsidRDefault="003A1A22" w:rsidP="007F120F">
            <w:pPr>
              <w:keepNext w:val="0"/>
            </w:pPr>
            <w:r w:rsidRPr="00026EC1">
              <w:t>PRÉNOM</w:t>
            </w:r>
            <w:r w:rsidR="00D8581B">
              <w:t> :</w:t>
            </w:r>
          </w:p>
        </w:tc>
        <w:tc>
          <w:tcPr>
            <w:tcW w:w="7707" w:type="dxa"/>
            <w:gridSpan w:val="4"/>
            <w:tcBorders>
              <w:bottom w:val="single" w:sz="4" w:space="0" w:color="auto"/>
            </w:tcBorders>
          </w:tcPr>
          <w:p w14:paraId="0AA9F7B2" w14:textId="77777777" w:rsidR="003A1A22" w:rsidRPr="00026EC1" w:rsidRDefault="003A1A22" w:rsidP="007F120F">
            <w:pPr>
              <w:keepNext w:val="0"/>
            </w:pPr>
          </w:p>
        </w:tc>
      </w:tr>
      <w:tr w:rsidR="003A1A22" w:rsidRPr="00026EC1" w14:paraId="455347CD" w14:textId="77777777" w:rsidTr="000A1998">
        <w:tc>
          <w:tcPr>
            <w:tcW w:w="1861" w:type="dxa"/>
          </w:tcPr>
          <w:p w14:paraId="72E71756" w14:textId="77777777" w:rsidR="003A1A22" w:rsidRPr="00026EC1" w:rsidRDefault="003A1A22" w:rsidP="007F120F">
            <w:pPr>
              <w:keepNext w:val="0"/>
            </w:pPr>
          </w:p>
        </w:tc>
        <w:tc>
          <w:tcPr>
            <w:tcW w:w="7707" w:type="dxa"/>
            <w:gridSpan w:val="4"/>
            <w:tcBorders>
              <w:top w:val="single" w:sz="4" w:space="0" w:color="auto"/>
            </w:tcBorders>
          </w:tcPr>
          <w:p w14:paraId="26772F03" w14:textId="77777777" w:rsidR="003A1A22" w:rsidRPr="00026EC1" w:rsidRDefault="003A1A22" w:rsidP="007F120F">
            <w:pPr>
              <w:keepNext w:val="0"/>
            </w:pPr>
          </w:p>
        </w:tc>
      </w:tr>
      <w:tr w:rsidR="003A1A22" w:rsidRPr="00026EC1" w14:paraId="66ED29F5" w14:textId="77777777" w:rsidTr="000A1998">
        <w:tc>
          <w:tcPr>
            <w:tcW w:w="1861" w:type="dxa"/>
          </w:tcPr>
          <w:p w14:paraId="26F668C7" w14:textId="77777777" w:rsidR="003A1A22" w:rsidRPr="00026EC1" w:rsidRDefault="003A1A22" w:rsidP="007F120F">
            <w:pPr>
              <w:keepNext w:val="0"/>
            </w:pPr>
          </w:p>
        </w:tc>
        <w:tc>
          <w:tcPr>
            <w:tcW w:w="7707" w:type="dxa"/>
            <w:gridSpan w:val="4"/>
          </w:tcPr>
          <w:p w14:paraId="561E63F2" w14:textId="77777777" w:rsidR="003A1A22" w:rsidRPr="00026EC1" w:rsidRDefault="003A1A22" w:rsidP="007F120F">
            <w:pPr>
              <w:keepNext w:val="0"/>
            </w:pPr>
          </w:p>
        </w:tc>
      </w:tr>
      <w:tr w:rsidR="003A1A22" w:rsidRPr="00026EC1" w14:paraId="57226477" w14:textId="77777777" w:rsidTr="000A1998">
        <w:trPr>
          <w:cantSplit/>
        </w:trPr>
        <w:tc>
          <w:tcPr>
            <w:tcW w:w="9568" w:type="dxa"/>
            <w:gridSpan w:val="5"/>
          </w:tcPr>
          <w:p w14:paraId="336F7D30" w14:textId="4A78F56C" w:rsidR="003A1A22" w:rsidRPr="00026EC1" w:rsidRDefault="003A1A22" w:rsidP="007F120F">
            <w:pPr>
              <w:keepNext w:val="0"/>
            </w:pPr>
            <w:r w:rsidRPr="00026EC1">
              <w:t>ENSEIGNANTE OU ENSEIGNANT À TEMPS COMPLET</w:t>
            </w:r>
            <w:r w:rsidR="00D8581B">
              <w:t> :</w:t>
            </w:r>
          </w:p>
        </w:tc>
      </w:tr>
      <w:tr w:rsidR="003A1A22" w:rsidRPr="00026EC1" w14:paraId="6FA9FCB0" w14:textId="77777777" w:rsidTr="000A1998">
        <w:trPr>
          <w:cantSplit/>
        </w:trPr>
        <w:tc>
          <w:tcPr>
            <w:tcW w:w="9568" w:type="dxa"/>
            <w:gridSpan w:val="5"/>
          </w:tcPr>
          <w:p w14:paraId="5D7514C0" w14:textId="77777777" w:rsidR="003A1A22" w:rsidRPr="00026EC1" w:rsidRDefault="003A1A22" w:rsidP="007F120F">
            <w:pPr>
              <w:keepNext w:val="0"/>
            </w:pPr>
          </w:p>
        </w:tc>
      </w:tr>
      <w:tr w:rsidR="003A1A22" w:rsidRPr="00026EC1" w14:paraId="38A17959" w14:textId="77777777" w:rsidTr="000A1998">
        <w:trPr>
          <w:cantSplit/>
        </w:trPr>
        <w:tc>
          <w:tcPr>
            <w:tcW w:w="1861" w:type="dxa"/>
          </w:tcPr>
          <w:p w14:paraId="674FDE33" w14:textId="77777777" w:rsidR="003A1A22" w:rsidRPr="00026EC1" w:rsidRDefault="003A1A22" w:rsidP="007F120F">
            <w:pPr>
              <w:keepNext w:val="0"/>
            </w:pPr>
          </w:p>
        </w:tc>
        <w:tc>
          <w:tcPr>
            <w:tcW w:w="7707" w:type="dxa"/>
            <w:gridSpan w:val="4"/>
          </w:tcPr>
          <w:p w14:paraId="7E0C4AE0" w14:textId="77777777" w:rsidR="003A1A22" w:rsidRPr="00026EC1" w:rsidRDefault="003A1A22" w:rsidP="007F120F">
            <w:pPr>
              <w:keepNext w:val="0"/>
            </w:pPr>
          </w:p>
        </w:tc>
      </w:tr>
      <w:tr w:rsidR="003A1A22" w:rsidRPr="00026EC1" w14:paraId="44903D1B" w14:textId="77777777" w:rsidTr="000A1998">
        <w:trPr>
          <w:cantSplit/>
        </w:trPr>
        <w:tc>
          <w:tcPr>
            <w:tcW w:w="3130" w:type="dxa"/>
            <w:gridSpan w:val="2"/>
          </w:tcPr>
          <w:p w14:paraId="25B91C7B" w14:textId="561B9D71" w:rsidR="003A1A22" w:rsidRPr="00026EC1" w:rsidRDefault="003A1A22" w:rsidP="007F120F">
            <w:pPr>
              <w:keepNext w:val="0"/>
            </w:pPr>
            <w:r w:rsidRPr="00026EC1">
              <w:t>COLLÈGE D</w:t>
            </w:r>
            <w:r w:rsidR="00BC3319" w:rsidRPr="00026EC1">
              <w:t>’</w:t>
            </w:r>
            <w:r w:rsidRPr="00026EC1">
              <w:t>ORIGINE</w:t>
            </w:r>
            <w:r w:rsidR="00D8581B">
              <w:t> :</w:t>
            </w:r>
          </w:p>
        </w:tc>
        <w:tc>
          <w:tcPr>
            <w:tcW w:w="6438" w:type="dxa"/>
            <w:gridSpan w:val="3"/>
            <w:tcBorders>
              <w:bottom w:val="single" w:sz="4" w:space="0" w:color="auto"/>
            </w:tcBorders>
          </w:tcPr>
          <w:p w14:paraId="498669A8" w14:textId="77777777" w:rsidR="003A1A22" w:rsidRPr="00026EC1" w:rsidRDefault="003A1A22" w:rsidP="007F120F">
            <w:pPr>
              <w:keepNext w:val="0"/>
            </w:pPr>
          </w:p>
        </w:tc>
      </w:tr>
      <w:tr w:rsidR="003A1A22" w:rsidRPr="00026EC1" w14:paraId="62A15DAA" w14:textId="77777777" w:rsidTr="000A1998">
        <w:trPr>
          <w:cantSplit/>
        </w:trPr>
        <w:tc>
          <w:tcPr>
            <w:tcW w:w="1861" w:type="dxa"/>
          </w:tcPr>
          <w:p w14:paraId="6C84FDF0" w14:textId="77777777" w:rsidR="003A1A22" w:rsidRPr="00026EC1" w:rsidRDefault="003A1A22" w:rsidP="007F120F">
            <w:pPr>
              <w:keepNext w:val="0"/>
            </w:pPr>
          </w:p>
        </w:tc>
        <w:tc>
          <w:tcPr>
            <w:tcW w:w="7707" w:type="dxa"/>
            <w:gridSpan w:val="4"/>
          </w:tcPr>
          <w:p w14:paraId="450EC4D1" w14:textId="77777777" w:rsidR="003A1A22" w:rsidRPr="00026EC1" w:rsidRDefault="003A1A22" w:rsidP="007F120F">
            <w:pPr>
              <w:keepNext w:val="0"/>
            </w:pPr>
          </w:p>
        </w:tc>
      </w:tr>
      <w:tr w:rsidR="003A1A22" w:rsidRPr="00026EC1" w14:paraId="185874C1" w14:textId="77777777" w:rsidTr="000A1998">
        <w:trPr>
          <w:cantSplit/>
        </w:trPr>
        <w:tc>
          <w:tcPr>
            <w:tcW w:w="1861" w:type="dxa"/>
          </w:tcPr>
          <w:p w14:paraId="6393377F" w14:textId="77777777" w:rsidR="003A1A22" w:rsidRPr="00026EC1" w:rsidRDefault="003A1A22" w:rsidP="007F120F">
            <w:pPr>
              <w:keepNext w:val="0"/>
            </w:pPr>
          </w:p>
        </w:tc>
        <w:tc>
          <w:tcPr>
            <w:tcW w:w="7707" w:type="dxa"/>
            <w:gridSpan w:val="4"/>
          </w:tcPr>
          <w:p w14:paraId="21C4DCD4" w14:textId="77777777" w:rsidR="003A1A22" w:rsidRPr="00026EC1" w:rsidRDefault="003A1A22" w:rsidP="007F120F">
            <w:pPr>
              <w:keepNext w:val="0"/>
            </w:pPr>
          </w:p>
        </w:tc>
      </w:tr>
      <w:tr w:rsidR="003A1A22" w:rsidRPr="00026EC1" w14:paraId="65F39E0F" w14:textId="77777777" w:rsidTr="000A1998">
        <w:trPr>
          <w:cantSplit/>
        </w:trPr>
        <w:tc>
          <w:tcPr>
            <w:tcW w:w="3130" w:type="dxa"/>
            <w:gridSpan w:val="2"/>
          </w:tcPr>
          <w:p w14:paraId="1483CB62" w14:textId="04B1EDB3" w:rsidR="003A1A22" w:rsidRPr="00026EC1" w:rsidRDefault="003A1A22" w:rsidP="007F120F">
            <w:pPr>
              <w:keepNext w:val="0"/>
            </w:pPr>
            <w:r w:rsidRPr="00026EC1">
              <w:t>ANNÉE D</w:t>
            </w:r>
            <w:r w:rsidR="00BC3319" w:rsidRPr="00026EC1">
              <w:t>’</w:t>
            </w:r>
            <w:r w:rsidRPr="00026EC1">
              <w:t>ENGAGEMENT</w:t>
            </w:r>
            <w:r w:rsidR="00D8581B">
              <w:t> :</w:t>
            </w:r>
          </w:p>
        </w:tc>
        <w:tc>
          <w:tcPr>
            <w:tcW w:w="6438" w:type="dxa"/>
            <w:gridSpan w:val="3"/>
            <w:tcBorders>
              <w:bottom w:val="single" w:sz="4" w:space="0" w:color="auto"/>
            </w:tcBorders>
          </w:tcPr>
          <w:p w14:paraId="1F1E3C14" w14:textId="77777777" w:rsidR="003A1A22" w:rsidRPr="00026EC1" w:rsidRDefault="003A1A22" w:rsidP="007F120F">
            <w:pPr>
              <w:keepNext w:val="0"/>
            </w:pPr>
          </w:p>
        </w:tc>
      </w:tr>
      <w:tr w:rsidR="003A1A22" w:rsidRPr="00026EC1" w14:paraId="50281A11" w14:textId="77777777" w:rsidTr="000A1998">
        <w:trPr>
          <w:cantSplit/>
        </w:trPr>
        <w:tc>
          <w:tcPr>
            <w:tcW w:w="1861" w:type="dxa"/>
          </w:tcPr>
          <w:p w14:paraId="4E039AA3" w14:textId="77777777" w:rsidR="003A1A22" w:rsidRPr="00026EC1" w:rsidRDefault="003A1A22" w:rsidP="007F120F">
            <w:pPr>
              <w:keepNext w:val="0"/>
            </w:pPr>
          </w:p>
        </w:tc>
        <w:tc>
          <w:tcPr>
            <w:tcW w:w="7707" w:type="dxa"/>
            <w:gridSpan w:val="4"/>
          </w:tcPr>
          <w:p w14:paraId="7B503C59" w14:textId="77777777" w:rsidR="003A1A22" w:rsidRPr="00026EC1" w:rsidRDefault="003A1A22" w:rsidP="007F120F">
            <w:pPr>
              <w:keepNext w:val="0"/>
            </w:pPr>
          </w:p>
        </w:tc>
      </w:tr>
      <w:tr w:rsidR="003A1A22" w:rsidRPr="00026EC1" w14:paraId="0CB95D26" w14:textId="77777777" w:rsidTr="000A1998">
        <w:trPr>
          <w:cantSplit/>
        </w:trPr>
        <w:tc>
          <w:tcPr>
            <w:tcW w:w="1861" w:type="dxa"/>
          </w:tcPr>
          <w:p w14:paraId="2D7CE235" w14:textId="77777777" w:rsidR="003A1A22" w:rsidRPr="00026EC1" w:rsidRDefault="003A1A22" w:rsidP="007F120F">
            <w:pPr>
              <w:keepNext w:val="0"/>
            </w:pPr>
          </w:p>
        </w:tc>
        <w:tc>
          <w:tcPr>
            <w:tcW w:w="7707" w:type="dxa"/>
            <w:gridSpan w:val="4"/>
          </w:tcPr>
          <w:p w14:paraId="2AFED18A" w14:textId="77777777" w:rsidR="003A1A22" w:rsidRPr="00026EC1" w:rsidRDefault="003A1A22" w:rsidP="007F120F">
            <w:pPr>
              <w:keepNext w:val="0"/>
            </w:pPr>
          </w:p>
        </w:tc>
      </w:tr>
      <w:tr w:rsidR="003A1A22" w:rsidRPr="00026EC1" w14:paraId="759E6BFB" w14:textId="77777777" w:rsidTr="000A1998">
        <w:trPr>
          <w:cantSplit/>
        </w:trPr>
        <w:tc>
          <w:tcPr>
            <w:tcW w:w="1861" w:type="dxa"/>
          </w:tcPr>
          <w:p w14:paraId="3E372F41" w14:textId="3470B085" w:rsidR="003A1A22" w:rsidRPr="00026EC1" w:rsidRDefault="003A1A22" w:rsidP="007F120F">
            <w:pPr>
              <w:keepNext w:val="0"/>
            </w:pPr>
            <w:r w:rsidRPr="00026EC1">
              <w:t>DISCIPLINE</w:t>
            </w:r>
            <w:r w:rsidR="00D8581B">
              <w:t> :</w:t>
            </w:r>
          </w:p>
        </w:tc>
        <w:tc>
          <w:tcPr>
            <w:tcW w:w="7707" w:type="dxa"/>
            <w:gridSpan w:val="4"/>
            <w:tcBorders>
              <w:bottom w:val="single" w:sz="4" w:space="0" w:color="auto"/>
            </w:tcBorders>
          </w:tcPr>
          <w:p w14:paraId="661CB025" w14:textId="77777777" w:rsidR="003A1A22" w:rsidRPr="00026EC1" w:rsidRDefault="003A1A22" w:rsidP="007F120F">
            <w:pPr>
              <w:keepNext w:val="0"/>
            </w:pPr>
          </w:p>
        </w:tc>
      </w:tr>
      <w:tr w:rsidR="003A1A22" w:rsidRPr="00026EC1" w14:paraId="6692F350" w14:textId="77777777" w:rsidTr="000A1998">
        <w:trPr>
          <w:cantSplit/>
        </w:trPr>
        <w:tc>
          <w:tcPr>
            <w:tcW w:w="1861" w:type="dxa"/>
          </w:tcPr>
          <w:p w14:paraId="59A175A4" w14:textId="77777777" w:rsidR="003A1A22" w:rsidRPr="00026EC1" w:rsidRDefault="003A1A22" w:rsidP="007F120F">
            <w:pPr>
              <w:keepNext w:val="0"/>
            </w:pPr>
          </w:p>
        </w:tc>
        <w:tc>
          <w:tcPr>
            <w:tcW w:w="7707" w:type="dxa"/>
            <w:gridSpan w:val="4"/>
            <w:tcBorders>
              <w:top w:val="single" w:sz="4" w:space="0" w:color="auto"/>
            </w:tcBorders>
          </w:tcPr>
          <w:p w14:paraId="222AFF5A" w14:textId="77777777" w:rsidR="003A1A22" w:rsidRPr="00026EC1" w:rsidRDefault="003A1A22" w:rsidP="007F120F">
            <w:pPr>
              <w:keepNext w:val="0"/>
            </w:pPr>
          </w:p>
        </w:tc>
      </w:tr>
      <w:tr w:rsidR="003A1A22" w:rsidRPr="00026EC1" w14:paraId="302C2273" w14:textId="77777777" w:rsidTr="000A1998">
        <w:trPr>
          <w:cantSplit/>
        </w:trPr>
        <w:tc>
          <w:tcPr>
            <w:tcW w:w="1861" w:type="dxa"/>
          </w:tcPr>
          <w:p w14:paraId="2E8D392D" w14:textId="77777777" w:rsidR="003A1A22" w:rsidRPr="00026EC1" w:rsidRDefault="003A1A22" w:rsidP="007F120F">
            <w:pPr>
              <w:keepNext w:val="0"/>
            </w:pPr>
          </w:p>
        </w:tc>
        <w:tc>
          <w:tcPr>
            <w:tcW w:w="7707" w:type="dxa"/>
            <w:gridSpan w:val="4"/>
          </w:tcPr>
          <w:p w14:paraId="7AD74983" w14:textId="77777777" w:rsidR="003A1A22" w:rsidRPr="00026EC1" w:rsidRDefault="003A1A22" w:rsidP="007F120F">
            <w:pPr>
              <w:keepNext w:val="0"/>
            </w:pPr>
          </w:p>
        </w:tc>
      </w:tr>
      <w:tr w:rsidR="003A1A22" w:rsidRPr="00026EC1" w14:paraId="71A5D3B1" w14:textId="77777777" w:rsidTr="000A1998">
        <w:trPr>
          <w:cantSplit/>
        </w:trPr>
        <w:tc>
          <w:tcPr>
            <w:tcW w:w="3130" w:type="dxa"/>
            <w:gridSpan w:val="2"/>
          </w:tcPr>
          <w:p w14:paraId="283252FF" w14:textId="00DF362D" w:rsidR="003A1A22" w:rsidRPr="00026EC1" w:rsidRDefault="003A1A22" w:rsidP="007F120F">
            <w:pPr>
              <w:keepNext w:val="0"/>
            </w:pPr>
            <w:r w:rsidRPr="00026EC1">
              <w:t>POSTE POSTULÉ</w:t>
            </w:r>
            <w:r w:rsidR="00D8581B">
              <w:t> :</w:t>
            </w:r>
          </w:p>
        </w:tc>
        <w:tc>
          <w:tcPr>
            <w:tcW w:w="6438" w:type="dxa"/>
            <w:gridSpan w:val="3"/>
            <w:tcBorders>
              <w:bottom w:val="single" w:sz="4" w:space="0" w:color="auto"/>
            </w:tcBorders>
          </w:tcPr>
          <w:p w14:paraId="2DA6C379" w14:textId="77777777" w:rsidR="003A1A22" w:rsidRPr="00026EC1" w:rsidRDefault="003A1A22" w:rsidP="007F120F">
            <w:pPr>
              <w:keepNext w:val="0"/>
            </w:pPr>
          </w:p>
        </w:tc>
      </w:tr>
      <w:tr w:rsidR="003A1A22" w:rsidRPr="00026EC1" w14:paraId="10D73BC4" w14:textId="77777777" w:rsidTr="000A1998">
        <w:trPr>
          <w:cantSplit/>
        </w:trPr>
        <w:tc>
          <w:tcPr>
            <w:tcW w:w="3130" w:type="dxa"/>
            <w:gridSpan w:val="2"/>
          </w:tcPr>
          <w:p w14:paraId="01B72C3C" w14:textId="77777777" w:rsidR="003A1A22" w:rsidRPr="00026EC1" w:rsidRDefault="003A1A22" w:rsidP="007F120F">
            <w:pPr>
              <w:keepNext w:val="0"/>
            </w:pPr>
          </w:p>
        </w:tc>
        <w:tc>
          <w:tcPr>
            <w:tcW w:w="6438" w:type="dxa"/>
            <w:gridSpan w:val="3"/>
          </w:tcPr>
          <w:p w14:paraId="6B28A1E2" w14:textId="77777777" w:rsidR="003A1A22" w:rsidRPr="00026EC1" w:rsidRDefault="003A1A22" w:rsidP="007F120F">
            <w:pPr>
              <w:keepNext w:val="0"/>
            </w:pPr>
          </w:p>
        </w:tc>
      </w:tr>
      <w:tr w:rsidR="003A1A22" w:rsidRPr="00026EC1" w14:paraId="13387516" w14:textId="77777777" w:rsidTr="000A1998">
        <w:trPr>
          <w:cantSplit/>
        </w:trPr>
        <w:tc>
          <w:tcPr>
            <w:tcW w:w="3130" w:type="dxa"/>
            <w:gridSpan w:val="2"/>
          </w:tcPr>
          <w:p w14:paraId="2C1C7E89" w14:textId="77777777" w:rsidR="003A1A22" w:rsidRPr="00026EC1" w:rsidRDefault="003A1A22" w:rsidP="007F120F">
            <w:pPr>
              <w:keepNext w:val="0"/>
            </w:pPr>
          </w:p>
        </w:tc>
        <w:tc>
          <w:tcPr>
            <w:tcW w:w="6438" w:type="dxa"/>
            <w:gridSpan w:val="3"/>
          </w:tcPr>
          <w:p w14:paraId="5C2F0750" w14:textId="77777777" w:rsidR="003A1A22" w:rsidRPr="00026EC1" w:rsidRDefault="003A1A22" w:rsidP="007F120F">
            <w:pPr>
              <w:keepNext w:val="0"/>
            </w:pPr>
          </w:p>
        </w:tc>
      </w:tr>
      <w:tr w:rsidR="003A1A22" w:rsidRPr="00026EC1" w14:paraId="1478D119" w14:textId="77777777" w:rsidTr="000A1998">
        <w:trPr>
          <w:cantSplit/>
        </w:trPr>
        <w:tc>
          <w:tcPr>
            <w:tcW w:w="3130" w:type="dxa"/>
            <w:gridSpan w:val="2"/>
          </w:tcPr>
          <w:p w14:paraId="77F08B7B" w14:textId="77777777" w:rsidR="003A1A22" w:rsidRPr="00026EC1" w:rsidRDefault="003A1A22" w:rsidP="007F120F">
            <w:pPr>
              <w:keepNext w:val="0"/>
            </w:pPr>
          </w:p>
        </w:tc>
        <w:tc>
          <w:tcPr>
            <w:tcW w:w="6438" w:type="dxa"/>
            <w:gridSpan w:val="3"/>
          </w:tcPr>
          <w:p w14:paraId="6223DA41" w14:textId="77777777" w:rsidR="003A1A22" w:rsidRPr="00026EC1" w:rsidRDefault="003A1A22" w:rsidP="007F120F">
            <w:pPr>
              <w:keepNext w:val="0"/>
            </w:pPr>
          </w:p>
        </w:tc>
      </w:tr>
      <w:tr w:rsidR="003A1A22" w:rsidRPr="00026EC1" w14:paraId="64EFBF9F" w14:textId="77777777" w:rsidTr="000A1998">
        <w:trPr>
          <w:cantSplit/>
        </w:trPr>
        <w:tc>
          <w:tcPr>
            <w:tcW w:w="3130" w:type="dxa"/>
            <w:gridSpan w:val="2"/>
          </w:tcPr>
          <w:p w14:paraId="79FA6B9E" w14:textId="77777777" w:rsidR="003A1A22" w:rsidRPr="00026EC1" w:rsidRDefault="003A1A22" w:rsidP="007F120F">
            <w:pPr>
              <w:keepNext w:val="0"/>
            </w:pPr>
          </w:p>
        </w:tc>
        <w:tc>
          <w:tcPr>
            <w:tcW w:w="6438" w:type="dxa"/>
            <w:gridSpan w:val="3"/>
          </w:tcPr>
          <w:p w14:paraId="16FF8DCD" w14:textId="77777777" w:rsidR="003A1A22" w:rsidRPr="00026EC1" w:rsidRDefault="003A1A22" w:rsidP="007F120F">
            <w:pPr>
              <w:keepNext w:val="0"/>
            </w:pPr>
          </w:p>
        </w:tc>
      </w:tr>
      <w:tr w:rsidR="003A1A22" w:rsidRPr="00026EC1" w14:paraId="0AE33D73" w14:textId="77777777" w:rsidTr="000A1998">
        <w:trPr>
          <w:cantSplit/>
        </w:trPr>
        <w:tc>
          <w:tcPr>
            <w:tcW w:w="3850" w:type="dxa"/>
            <w:gridSpan w:val="3"/>
            <w:tcBorders>
              <w:bottom w:val="single" w:sz="4" w:space="0" w:color="auto"/>
            </w:tcBorders>
          </w:tcPr>
          <w:p w14:paraId="5C9721E8" w14:textId="77777777" w:rsidR="003A1A22" w:rsidRPr="00026EC1" w:rsidRDefault="003A1A22" w:rsidP="007F120F">
            <w:pPr>
              <w:keepNext w:val="0"/>
            </w:pPr>
          </w:p>
        </w:tc>
        <w:tc>
          <w:tcPr>
            <w:tcW w:w="1080" w:type="dxa"/>
          </w:tcPr>
          <w:p w14:paraId="2CFCB7BF" w14:textId="77777777" w:rsidR="003A1A22" w:rsidRPr="00026EC1" w:rsidRDefault="003A1A22" w:rsidP="007F120F">
            <w:pPr>
              <w:keepNext w:val="0"/>
            </w:pPr>
          </w:p>
        </w:tc>
        <w:tc>
          <w:tcPr>
            <w:tcW w:w="4638" w:type="dxa"/>
            <w:tcBorders>
              <w:bottom w:val="single" w:sz="4" w:space="0" w:color="auto"/>
            </w:tcBorders>
          </w:tcPr>
          <w:p w14:paraId="7621D487" w14:textId="77777777" w:rsidR="003A1A22" w:rsidRPr="00026EC1" w:rsidRDefault="003A1A22" w:rsidP="007F120F">
            <w:pPr>
              <w:keepNext w:val="0"/>
            </w:pPr>
          </w:p>
        </w:tc>
      </w:tr>
      <w:tr w:rsidR="003A1A22" w:rsidRPr="00026EC1" w14:paraId="4A1294DB" w14:textId="77777777" w:rsidTr="000A1998">
        <w:trPr>
          <w:cantSplit/>
        </w:trPr>
        <w:tc>
          <w:tcPr>
            <w:tcW w:w="4930" w:type="dxa"/>
            <w:gridSpan w:val="4"/>
          </w:tcPr>
          <w:p w14:paraId="4AB928BD" w14:textId="77777777" w:rsidR="003A1A22" w:rsidRPr="00026EC1" w:rsidRDefault="003A1A22" w:rsidP="007F120F">
            <w:pPr>
              <w:keepNext w:val="0"/>
            </w:pPr>
            <w:r w:rsidRPr="00026EC1">
              <w:t>DATE</w:t>
            </w:r>
          </w:p>
        </w:tc>
        <w:tc>
          <w:tcPr>
            <w:tcW w:w="4638" w:type="dxa"/>
          </w:tcPr>
          <w:p w14:paraId="3C5CAAD5" w14:textId="77777777" w:rsidR="003A1A22" w:rsidRPr="00026EC1" w:rsidRDefault="003A1A22" w:rsidP="007F120F">
            <w:pPr>
              <w:keepNext w:val="0"/>
            </w:pPr>
            <w:r w:rsidRPr="00026EC1">
              <w:t>SIGNATURE</w:t>
            </w:r>
          </w:p>
        </w:tc>
      </w:tr>
    </w:tbl>
    <w:p w14:paraId="45E5697A" w14:textId="77777777" w:rsidR="003A1A22" w:rsidRPr="00026EC1" w:rsidRDefault="003A1A22" w:rsidP="007F120F">
      <w:pPr>
        <w:keepNext w:val="0"/>
      </w:pPr>
    </w:p>
    <w:p w14:paraId="0D0C57F2" w14:textId="77777777" w:rsidR="003A1A22" w:rsidRPr="00026EC1" w:rsidRDefault="003A1A22" w:rsidP="007F120F">
      <w:pPr>
        <w:keepNext w:val="0"/>
      </w:pPr>
    </w:p>
    <w:p w14:paraId="2D96A499" w14:textId="77777777" w:rsidR="003A1A22" w:rsidRPr="00026EC1" w:rsidRDefault="003A1A22" w:rsidP="007F120F">
      <w:pPr>
        <w:keepNext w:val="0"/>
      </w:pPr>
    </w:p>
    <w:p w14:paraId="07355894" w14:textId="15C63E7D" w:rsidR="003A1A22" w:rsidRPr="00026EC1" w:rsidRDefault="003A1A22" w:rsidP="007F120F">
      <w:pPr>
        <w:keepNext w:val="0"/>
        <w:tabs>
          <w:tab w:val="left" w:pos="1620"/>
        </w:tabs>
        <w:ind w:left="1620" w:hanging="1620"/>
      </w:pPr>
      <w:r w:rsidRPr="00026EC1">
        <w:t>Note</w:t>
      </w:r>
      <w:r w:rsidR="00D8581B">
        <w:t> :</w:t>
      </w:r>
      <w:r w:rsidRPr="00026EC1">
        <w:tab/>
        <w:t>IL EST RECOMMANDÉ DE JOINDRE À CE FORMULAIRE LE CURRICULUM VITAE ET LES AUTRES PIÈCES ET RENSEIGNEMENTS PERTINENTS.</w:t>
      </w:r>
    </w:p>
    <w:p w14:paraId="2493D4D3" w14:textId="77777777" w:rsidR="00404F34" w:rsidRPr="00026EC1" w:rsidRDefault="00404F34" w:rsidP="007F120F">
      <w:pPr>
        <w:keepNext w:val="0"/>
        <w:tabs>
          <w:tab w:val="left" w:pos="1620"/>
        </w:tabs>
        <w:ind w:left="1620" w:hanging="1620"/>
      </w:pPr>
    </w:p>
    <w:p w14:paraId="565858D3" w14:textId="77777777" w:rsidR="00404F34" w:rsidRPr="00026EC1" w:rsidRDefault="00404F34" w:rsidP="007F120F">
      <w:pPr>
        <w:keepNext w:val="0"/>
      </w:pPr>
    </w:p>
    <w:p w14:paraId="16547D02" w14:textId="71CFB9B0" w:rsidR="00404F34" w:rsidRPr="004365C2" w:rsidRDefault="00404F34" w:rsidP="007F120F">
      <w:pPr>
        <w:pStyle w:val="Heading3"/>
        <w:keepNext w:val="0"/>
      </w:pPr>
      <w:r w:rsidRPr="00026EC1">
        <w:br w:type="page"/>
      </w:r>
      <w:bookmarkStart w:id="1201" w:name="_Toc535046674"/>
      <w:bookmarkStart w:id="1202" w:name="_Toc133760841"/>
      <w:bookmarkStart w:id="1203" w:name="_Toc133916989"/>
      <w:bookmarkStart w:id="1204" w:name="_Toc134437264"/>
      <w:bookmarkStart w:id="1205" w:name="_Toc393449060"/>
      <w:bookmarkStart w:id="1206" w:name="_Toc393449429"/>
      <w:bookmarkStart w:id="1207" w:name="_Toc462751555"/>
      <w:bookmarkStart w:id="1208" w:name="_Toc484082572"/>
      <w:bookmarkStart w:id="1209" w:name="_Toc168479591"/>
      <w:r w:rsidR="001C64B5" w:rsidRPr="004365C2">
        <w:t>Annexe II</w:t>
      </w:r>
      <w:r w:rsidR="002F5A0C">
        <w:t>-</w:t>
      </w:r>
      <w:r w:rsidR="001C64B5" w:rsidRPr="004365C2">
        <w:t>5</w:t>
      </w:r>
      <w:bookmarkEnd w:id="1201"/>
      <w:bookmarkEnd w:id="1202"/>
      <w:bookmarkEnd w:id="1203"/>
      <w:bookmarkEnd w:id="1204"/>
      <w:r w:rsidR="001C64B5" w:rsidRPr="004365C2">
        <w:br/>
      </w:r>
      <w:r w:rsidR="001C64B5" w:rsidRPr="004365C2">
        <w:br/>
      </w:r>
      <w:bookmarkStart w:id="1210" w:name="_Toc535046675"/>
      <w:bookmarkStart w:id="1211" w:name="_Toc133760842"/>
      <w:r w:rsidR="001C64B5" w:rsidRPr="004365C2">
        <w:t>Calcul de l’ancienneté aux fins de replacement</w:t>
      </w:r>
      <w:bookmarkEnd w:id="1205"/>
      <w:bookmarkEnd w:id="1206"/>
      <w:bookmarkEnd w:id="1207"/>
      <w:bookmarkEnd w:id="1208"/>
      <w:bookmarkEnd w:id="1209"/>
      <w:bookmarkEnd w:id="1210"/>
      <w:bookmarkEnd w:id="1211"/>
    </w:p>
    <w:p w14:paraId="424C6DD9" w14:textId="5578D44A" w:rsidR="00E37E68" w:rsidRPr="00026EC1" w:rsidRDefault="00E37E68" w:rsidP="007F120F">
      <w:pPr>
        <w:keepNext w:val="0"/>
      </w:pPr>
      <w:r w:rsidRPr="00026EC1">
        <w:t>Afin d</w:t>
      </w:r>
      <w:r w:rsidR="00BC3319" w:rsidRPr="00026EC1">
        <w:t>’</w:t>
      </w:r>
      <w:r w:rsidRPr="00026EC1">
        <w:t>assurer aux enseignantes et enseignants des cégeps une ancienneté calculée sur la même base aux fins de replacement, il est convenu que</w:t>
      </w:r>
      <w:r w:rsidR="00D8581B">
        <w:t> :</w:t>
      </w:r>
    </w:p>
    <w:p w14:paraId="091EF98C" w14:textId="77777777" w:rsidR="00E37E68" w:rsidRPr="00026EC1" w:rsidRDefault="00E37E68" w:rsidP="007F120F">
      <w:pPr>
        <w:keepNext w:val="0"/>
      </w:pPr>
    </w:p>
    <w:p w14:paraId="04582FED" w14:textId="6C93C720" w:rsidR="00E37E68" w:rsidRPr="00026EC1" w:rsidRDefault="00275751" w:rsidP="007F120F">
      <w:pPr>
        <w:keepNext w:val="0"/>
        <w:tabs>
          <w:tab w:val="left" w:pos="567"/>
        </w:tabs>
        <w:ind w:left="567" w:hanging="567"/>
      </w:pPr>
      <w:r w:rsidRPr="00026EC1">
        <w:t>1.</w:t>
      </w:r>
      <w:r w:rsidRPr="00026EC1">
        <w:tab/>
      </w:r>
      <w:r w:rsidR="00E37E68" w:rsidRPr="00026EC1">
        <w:t>aux fins de transformation, s</w:t>
      </w:r>
      <w:r w:rsidR="00BC3319" w:rsidRPr="00026EC1">
        <w:t>’</w:t>
      </w:r>
      <w:r w:rsidR="00E37E68" w:rsidRPr="00026EC1">
        <w:t>il y a lieu, des heures en années d</w:t>
      </w:r>
      <w:r w:rsidR="00BC3319" w:rsidRPr="00026EC1">
        <w:t>’</w:t>
      </w:r>
      <w:r w:rsidR="00E37E68" w:rsidRPr="00026EC1">
        <w:t>ancienneté, aux fins de l</w:t>
      </w:r>
      <w:r w:rsidR="00BC3319" w:rsidRPr="00026EC1">
        <w:t>’</w:t>
      </w:r>
      <w:r w:rsidR="00E37E68" w:rsidRPr="00026EC1">
        <w:t>article 5</w:t>
      </w:r>
      <w:r w:rsidR="00984A6F">
        <w:noBreakHyphen/>
      </w:r>
      <w:r w:rsidR="00E37E68" w:rsidRPr="00026EC1">
        <w:t>4.00, le Bureau de placement utilise la règle suivante</w:t>
      </w:r>
      <w:r w:rsidR="00D8581B">
        <w:t> :</w:t>
      </w:r>
      <w:r w:rsidR="00E37E68" w:rsidRPr="00026EC1">
        <w:t xml:space="preserve"> </w:t>
      </w:r>
      <w:r w:rsidR="00E37E68" w:rsidRPr="00026EC1">
        <w:rPr>
          <w:bCs/>
        </w:rPr>
        <w:t>quatre cent cinquante</w:t>
      </w:r>
      <w:r w:rsidR="00693C43">
        <w:rPr>
          <w:bCs/>
        </w:rPr>
        <w:t> </w:t>
      </w:r>
      <w:r w:rsidR="00E37E68" w:rsidRPr="00026EC1">
        <w:rPr>
          <w:bCs/>
        </w:rPr>
        <w:t xml:space="preserve">(450) </w:t>
      </w:r>
      <w:r w:rsidR="00E37E68" w:rsidRPr="00026EC1">
        <w:t>périodes d</w:t>
      </w:r>
      <w:r w:rsidR="00BC3319" w:rsidRPr="00026EC1">
        <w:t>’</w:t>
      </w:r>
      <w:r w:rsidR="00E37E68" w:rsidRPr="00026EC1">
        <w:t>enseignement valent une</w:t>
      </w:r>
      <w:r w:rsidR="00693C43">
        <w:t> </w:t>
      </w:r>
      <w:r w:rsidR="00E37E68" w:rsidRPr="00026EC1">
        <w:t>(1) année d</w:t>
      </w:r>
      <w:r w:rsidR="00BC3319" w:rsidRPr="00026EC1">
        <w:t>’</w:t>
      </w:r>
      <w:r w:rsidR="00E37E68" w:rsidRPr="00026EC1">
        <w:t>ancienneté;</w:t>
      </w:r>
    </w:p>
    <w:p w14:paraId="46335630" w14:textId="77777777" w:rsidR="00E37E68" w:rsidRPr="00026EC1" w:rsidRDefault="00E37E68" w:rsidP="007F120F">
      <w:pPr>
        <w:keepNext w:val="0"/>
      </w:pPr>
    </w:p>
    <w:p w14:paraId="3A7E4708" w14:textId="633F883B" w:rsidR="00E37E68" w:rsidRPr="00026EC1" w:rsidRDefault="00275751" w:rsidP="007F120F">
      <w:pPr>
        <w:keepNext w:val="0"/>
        <w:tabs>
          <w:tab w:val="left" w:pos="567"/>
        </w:tabs>
        <w:ind w:left="567" w:hanging="567"/>
      </w:pPr>
      <w:r w:rsidRPr="00026EC1">
        <w:t>2.</w:t>
      </w:r>
      <w:r w:rsidRPr="00026EC1">
        <w:tab/>
      </w:r>
      <w:r w:rsidR="00E37E68" w:rsidRPr="00026EC1">
        <w:t>quand il est nécessaire de déterminer laquelle ou lequel d</w:t>
      </w:r>
      <w:r w:rsidR="00BC3319" w:rsidRPr="00026EC1">
        <w:t>’</w:t>
      </w:r>
      <w:r w:rsidR="00E37E68" w:rsidRPr="00026EC1">
        <w:t>une enseignante ou d</w:t>
      </w:r>
      <w:r w:rsidR="00BC3319" w:rsidRPr="00026EC1">
        <w:t>’</w:t>
      </w:r>
      <w:r w:rsidR="00E37E68" w:rsidRPr="00026EC1">
        <w:t>un enseignant couvert par la convention collective FEC (CSQ) ou par la convention collective FNEEQ (CSN) a le plus d</w:t>
      </w:r>
      <w:r w:rsidR="00BC3319" w:rsidRPr="00026EC1">
        <w:t>’</w:t>
      </w:r>
      <w:r w:rsidR="00E37E68" w:rsidRPr="00026EC1">
        <w:t>ancienneté aux fins de replacement selon l</w:t>
      </w:r>
      <w:r w:rsidR="00BC3319" w:rsidRPr="00026EC1">
        <w:t>’</w:t>
      </w:r>
      <w:r w:rsidR="00E37E68" w:rsidRPr="00026EC1">
        <w:t>article 5</w:t>
      </w:r>
      <w:r w:rsidR="00984A6F">
        <w:noBreakHyphen/>
      </w:r>
      <w:r w:rsidR="00E37E68" w:rsidRPr="00026EC1">
        <w:t>4.00, le Bureau de placement recalcule alors l</w:t>
      </w:r>
      <w:r w:rsidR="00BC3319" w:rsidRPr="00026EC1">
        <w:t>’</w:t>
      </w:r>
      <w:r w:rsidR="00E37E68" w:rsidRPr="00026EC1">
        <w:t>ancienneté de ces enseignantes et enseignants de façon à s</w:t>
      </w:r>
      <w:r w:rsidR="00BC3319" w:rsidRPr="00026EC1">
        <w:t>’</w:t>
      </w:r>
      <w:r w:rsidR="00E37E68" w:rsidRPr="00026EC1">
        <w:t>assurer que seule l</w:t>
      </w:r>
      <w:r w:rsidR="00BC3319" w:rsidRPr="00026EC1">
        <w:t>’</w:t>
      </w:r>
      <w:r w:rsidR="00E37E68" w:rsidRPr="00026EC1">
        <w:t>ancienneté comptabilisable à la fois en vertu des conventions collectives FAC, FEC (CSQ) et FNEEQ (CSN) est retenue;</w:t>
      </w:r>
    </w:p>
    <w:p w14:paraId="1977BE59" w14:textId="77777777" w:rsidR="00E37E68" w:rsidRPr="00026EC1" w:rsidRDefault="00E37E68" w:rsidP="007F120F">
      <w:pPr>
        <w:keepNext w:val="0"/>
        <w:ind w:left="567"/>
      </w:pPr>
    </w:p>
    <w:p w14:paraId="21CE17E7" w14:textId="77777777" w:rsidR="00E37E68" w:rsidRPr="00026EC1" w:rsidRDefault="00275751" w:rsidP="007F120F">
      <w:pPr>
        <w:keepNext w:val="0"/>
        <w:tabs>
          <w:tab w:val="left" w:pos="567"/>
        </w:tabs>
        <w:ind w:left="567" w:hanging="567"/>
      </w:pPr>
      <w:r w:rsidRPr="00026EC1">
        <w:t>3.</w:t>
      </w:r>
      <w:r w:rsidRPr="00026EC1">
        <w:tab/>
      </w:r>
      <w:r w:rsidR="00E37E68" w:rsidRPr="00026EC1">
        <w:t>une fois qu</w:t>
      </w:r>
      <w:r w:rsidR="00BC3319" w:rsidRPr="00026EC1">
        <w:t>’</w:t>
      </w:r>
      <w:r w:rsidR="00E37E68" w:rsidRPr="00026EC1">
        <w:t>une enseignante ou un enseignant est replacé dans un Collège, son ancienneté est recalculée par le nouveau Collège conformément aux règles en vigueur dans ce Collège.</w:t>
      </w:r>
    </w:p>
    <w:p w14:paraId="5700A31F" w14:textId="77777777" w:rsidR="001811C9" w:rsidRDefault="001811C9" w:rsidP="007F120F">
      <w:pPr>
        <w:keepNext w:val="0"/>
        <w:sectPr w:rsidR="001811C9" w:rsidSect="002B176A">
          <w:headerReference w:type="default" r:id="rId45"/>
          <w:footnotePr>
            <w:numRestart w:val="eachPage"/>
          </w:footnotePr>
          <w:pgSz w:w="12240" w:h="15840" w:code="1"/>
          <w:pgMar w:top="720" w:right="1077" w:bottom="1242" w:left="1684" w:header="709" w:footer="709" w:gutter="0"/>
          <w:cols w:space="708"/>
          <w:docGrid w:linePitch="360"/>
        </w:sectPr>
      </w:pPr>
    </w:p>
    <w:p w14:paraId="1B5C189F" w14:textId="0EC35E09" w:rsidR="00404F34" w:rsidRPr="004365C2" w:rsidRDefault="001C64B5" w:rsidP="007F120F">
      <w:pPr>
        <w:pStyle w:val="Heading3"/>
        <w:keepNext w:val="0"/>
      </w:pPr>
      <w:bookmarkStart w:id="1212" w:name="_Toc535046676"/>
      <w:bookmarkStart w:id="1213" w:name="_Toc133760843"/>
      <w:bookmarkStart w:id="1214" w:name="_Toc133916991"/>
      <w:bookmarkStart w:id="1215" w:name="_Toc134437266"/>
      <w:bookmarkStart w:id="1216" w:name="_Toc393449062"/>
      <w:bookmarkStart w:id="1217" w:name="_Toc393449431"/>
      <w:bookmarkStart w:id="1218" w:name="_Toc462751557"/>
      <w:bookmarkStart w:id="1219" w:name="_Toc484082574"/>
      <w:bookmarkStart w:id="1220" w:name="_Toc168479592"/>
      <w:r w:rsidRPr="004365C2">
        <w:t>Annexe II</w:t>
      </w:r>
      <w:r w:rsidR="002F5A0C">
        <w:t>-</w:t>
      </w:r>
      <w:r w:rsidRPr="004365C2">
        <w:t>6</w:t>
      </w:r>
      <w:bookmarkEnd w:id="1212"/>
      <w:bookmarkEnd w:id="1213"/>
      <w:bookmarkEnd w:id="1214"/>
      <w:bookmarkEnd w:id="1215"/>
      <w:r w:rsidRPr="004365C2">
        <w:br/>
      </w:r>
      <w:r w:rsidRPr="004365C2">
        <w:br/>
      </w:r>
      <w:bookmarkStart w:id="1221" w:name="_Toc535046677"/>
      <w:bookmarkStart w:id="1222" w:name="_Toc133760844"/>
      <w:r w:rsidRPr="004365C2">
        <w:t>Formulaire de déclaration d’emploi</w:t>
      </w:r>
      <w:bookmarkEnd w:id="1216"/>
      <w:bookmarkEnd w:id="1217"/>
      <w:bookmarkEnd w:id="1218"/>
      <w:bookmarkEnd w:id="1219"/>
      <w:bookmarkEnd w:id="1220"/>
      <w:bookmarkEnd w:id="1221"/>
      <w:bookmarkEnd w:id="1222"/>
    </w:p>
    <w:p w14:paraId="37293B6B" w14:textId="77777777" w:rsidR="00404F34" w:rsidRPr="00026EC1" w:rsidRDefault="00404F34" w:rsidP="007F120F">
      <w:pPr>
        <w:keepNext w:val="0"/>
      </w:pPr>
      <w:r w:rsidRPr="00026EC1">
        <w:t>Ce formulaire doit être complété et remis au Collège au moment où l</w:t>
      </w:r>
      <w:r w:rsidR="00BC3319" w:rsidRPr="00026EC1">
        <w:t>’</w:t>
      </w:r>
      <w:r w:rsidRPr="00026EC1">
        <w:t>enseignante ou l</w:t>
      </w:r>
      <w:r w:rsidR="00BC3319" w:rsidRPr="00026EC1">
        <w:t>’</w:t>
      </w:r>
      <w:r w:rsidRPr="00026EC1">
        <w:t>enseignant pose sa candidature.</w:t>
      </w:r>
    </w:p>
    <w:p w14:paraId="43D93F6D" w14:textId="77777777" w:rsidR="00404F34" w:rsidRPr="00026EC1" w:rsidRDefault="00404F34" w:rsidP="007F120F">
      <w:pPr>
        <w:keepNext w:val="0"/>
      </w:pPr>
    </w:p>
    <w:p w14:paraId="76762573" w14:textId="77777777" w:rsidR="00404F34" w:rsidRPr="00026EC1" w:rsidRDefault="00275751" w:rsidP="007F120F">
      <w:pPr>
        <w:pStyle w:val="MGSTexte0cm"/>
        <w:keepNext w:val="0"/>
        <w:tabs>
          <w:tab w:val="left" w:pos="567"/>
        </w:tabs>
        <w:ind w:left="567" w:hanging="567"/>
      </w:pPr>
      <w:r w:rsidRPr="00026EC1">
        <w:rPr>
          <w:u w:val="none"/>
        </w:rPr>
        <w:t>A.</w:t>
      </w:r>
      <w:r w:rsidRPr="00026EC1">
        <w:rPr>
          <w:u w:val="none"/>
        </w:rPr>
        <w:tab/>
      </w:r>
      <w:r w:rsidR="00404F34" w:rsidRPr="00026EC1">
        <w:t>EXPLICATIONS</w:t>
      </w:r>
    </w:p>
    <w:p w14:paraId="2D8792AF" w14:textId="77777777" w:rsidR="00404F34" w:rsidRPr="00026EC1" w:rsidRDefault="00404F34" w:rsidP="007F120F">
      <w:pPr>
        <w:keepNext w:val="0"/>
      </w:pPr>
    </w:p>
    <w:p w14:paraId="451306A3" w14:textId="77777777" w:rsidR="00404F34" w:rsidRPr="00026EC1" w:rsidRDefault="00275751" w:rsidP="007F120F">
      <w:pPr>
        <w:keepNext w:val="0"/>
        <w:tabs>
          <w:tab w:val="left" w:pos="1134"/>
        </w:tabs>
        <w:ind w:left="1134" w:hanging="567"/>
      </w:pPr>
      <w:r w:rsidRPr="00026EC1">
        <w:t>1.</w:t>
      </w:r>
      <w:r w:rsidRPr="00026EC1">
        <w:tab/>
      </w:r>
      <w:r w:rsidR="00404F34" w:rsidRPr="00026EC1">
        <w:t>ACTIVITÉ PROFESSIONNELLE</w:t>
      </w:r>
    </w:p>
    <w:p w14:paraId="05F26480" w14:textId="77777777" w:rsidR="00404F34" w:rsidRPr="00026EC1" w:rsidRDefault="00404F34" w:rsidP="007F120F">
      <w:pPr>
        <w:keepNext w:val="0"/>
      </w:pPr>
    </w:p>
    <w:p w14:paraId="3F062857" w14:textId="0735032E" w:rsidR="00404F34" w:rsidRPr="00026EC1" w:rsidRDefault="00404F34" w:rsidP="007F120F">
      <w:pPr>
        <w:pStyle w:val="Texte2cm"/>
        <w:keepNext w:val="0"/>
      </w:pPr>
      <w:r w:rsidRPr="00026EC1">
        <w:t>Par cette expression, il faut entendre</w:t>
      </w:r>
      <w:r w:rsidR="00D8581B">
        <w:t> :</w:t>
      </w:r>
      <w:r w:rsidRPr="00026EC1">
        <w:t xml:space="preserve"> une activité professionnelle rémunérée, exercée pour le compte d</w:t>
      </w:r>
      <w:r w:rsidR="00BC3319" w:rsidRPr="00026EC1">
        <w:t>’</w:t>
      </w:r>
      <w:r w:rsidRPr="00026EC1">
        <w:t>un employeur ou à titre de travailleuse ou travailleur autonome, contractuelle ou contractuel ou autre.</w:t>
      </w:r>
    </w:p>
    <w:p w14:paraId="6A466107" w14:textId="77777777" w:rsidR="00404F34" w:rsidRPr="00026EC1" w:rsidRDefault="00404F34" w:rsidP="007F120F">
      <w:pPr>
        <w:keepNext w:val="0"/>
      </w:pPr>
    </w:p>
    <w:p w14:paraId="29053810" w14:textId="77777777" w:rsidR="00404F34" w:rsidRPr="00026EC1" w:rsidRDefault="00275751" w:rsidP="007F120F">
      <w:pPr>
        <w:keepNext w:val="0"/>
        <w:tabs>
          <w:tab w:val="left" w:pos="1134"/>
        </w:tabs>
        <w:ind w:left="1134" w:hanging="567"/>
      </w:pPr>
      <w:r w:rsidRPr="00026EC1">
        <w:t>2.</w:t>
      </w:r>
      <w:r w:rsidRPr="00026EC1">
        <w:tab/>
      </w:r>
      <w:r w:rsidR="00404F34" w:rsidRPr="00026EC1">
        <w:t>NOMBRE D</w:t>
      </w:r>
      <w:r w:rsidR="00BC3319" w:rsidRPr="00026EC1">
        <w:t>’</w:t>
      </w:r>
      <w:r w:rsidR="00404F34" w:rsidRPr="00026EC1">
        <w:t>HEURES MOYEN PAR SEMAINE</w:t>
      </w:r>
    </w:p>
    <w:p w14:paraId="48449494" w14:textId="77777777" w:rsidR="00404F34" w:rsidRPr="00026EC1" w:rsidRDefault="00404F34" w:rsidP="007F120F">
      <w:pPr>
        <w:keepNext w:val="0"/>
      </w:pPr>
    </w:p>
    <w:p w14:paraId="0A04D8A5" w14:textId="77777777" w:rsidR="00404F34" w:rsidRPr="00026EC1" w:rsidRDefault="00404F34" w:rsidP="007F120F">
      <w:pPr>
        <w:pStyle w:val="Texte2cm"/>
        <w:keepNext w:val="0"/>
      </w:pPr>
      <w:r w:rsidRPr="00026EC1">
        <w:t>Le nombre d</w:t>
      </w:r>
      <w:r w:rsidR="00BC3319" w:rsidRPr="00026EC1">
        <w:t>’</w:t>
      </w:r>
      <w:r w:rsidRPr="00026EC1">
        <w:t>heures moyen par semaine n</w:t>
      </w:r>
      <w:r w:rsidR="00BC3319" w:rsidRPr="00026EC1">
        <w:t>’</w:t>
      </w:r>
      <w:r w:rsidRPr="00026EC1">
        <w:t>est pas déterminant de votre statut d</w:t>
      </w:r>
      <w:r w:rsidR="00BC3319" w:rsidRPr="00026EC1">
        <w:t>’</w:t>
      </w:r>
      <w:r w:rsidRPr="00026EC1">
        <w:t>emploi. Pour déterminer si vous détenez un emploi à temps complet, vous devez vous référer au point B.</w:t>
      </w:r>
    </w:p>
    <w:p w14:paraId="76F7F47A" w14:textId="77777777" w:rsidR="00404F34" w:rsidRPr="00026EC1" w:rsidRDefault="00404F34" w:rsidP="007F120F">
      <w:pPr>
        <w:keepNext w:val="0"/>
      </w:pPr>
    </w:p>
    <w:p w14:paraId="216AD18D" w14:textId="77777777" w:rsidR="00404F34" w:rsidRPr="00026EC1" w:rsidRDefault="00275751" w:rsidP="007F120F">
      <w:pPr>
        <w:keepNext w:val="0"/>
        <w:tabs>
          <w:tab w:val="left" w:pos="1134"/>
        </w:tabs>
        <w:ind w:left="1134" w:hanging="567"/>
      </w:pPr>
      <w:r w:rsidRPr="00026EC1">
        <w:t>3.</w:t>
      </w:r>
      <w:r w:rsidRPr="00026EC1">
        <w:tab/>
      </w:r>
      <w:r w:rsidR="00404F34" w:rsidRPr="00026EC1">
        <w:t>CUMUL D</w:t>
      </w:r>
      <w:r w:rsidR="00BC3319" w:rsidRPr="00026EC1">
        <w:t>’</w:t>
      </w:r>
      <w:r w:rsidR="00404F34" w:rsidRPr="00026EC1">
        <w:t>EMPLOIS</w:t>
      </w:r>
    </w:p>
    <w:p w14:paraId="19F5D0FD" w14:textId="77777777" w:rsidR="00404F34" w:rsidRPr="00026EC1" w:rsidRDefault="00404F34" w:rsidP="007F120F">
      <w:pPr>
        <w:keepNext w:val="0"/>
      </w:pPr>
    </w:p>
    <w:p w14:paraId="065F2752" w14:textId="77777777" w:rsidR="00404F34" w:rsidRPr="00026EC1" w:rsidRDefault="00404F34" w:rsidP="007F120F">
      <w:pPr>
        <w:pStyle w:val="Texte2cm"/>
        <w:keepNext w:val="0"/>
      </w:pPr>
      <w:r w:rsidRPr="00026EC1">
        <w:t>L</w:t>
      </w:r>
      <w:r w:rsidR="00BC3319" w:rsidRPr="00026EC1">
        <w:t>’</w:t>
      </w:r>
      <w:r w:rsidRPr="00026EC1">
        <w:t>ensemble de vos activités professionnelles doivent être incluses dans votre déclaration d</w:t>
      </w:r>
      <w:r w:rsidR="00BC3319" w:rsidRPr="00026EC1">
        <w:t>’</w:t>
      </w:r>
      <w:r w:rsidRPr="00026EC1">
        <w:t>emploi. Toutefois, le cumul d</w:t>
      </w:r>
      <w:r w:rsidR="00BC3319" w:rsidRPr="00026EC1">
        <w:t>’</w:t>
      </w:r>
      <w:r w:rsidRPr="00026EC1">
        <w:t>activités professionnelles ne peut faire en sorte qu</w:t>
      </w:r>
      <w:r w:rsidR="00BC3319" w:rsidRPr="00026EC1">
        <w:t>’</w:t>
      </w:r>
      <w:r w:rsidRPr="00026EC1">
        <w:t>une personne soit considérée comme détenant un emploi à temps complet.</w:t>
      </w:r>
    </w:p>
    <w:p w14:paraId="0B742B1E" w14:textId="77777777" w:rsidR="00404F34" w:rsidRPr="00026EC1" w:rsidRDefault="00404F34" w:rsidP="007F120F">
      <w:pPr>
        <w:keepNext w:val="0"/>
      </w:pPr>
    </w:p>
    <w:p w14:paraId="02A6C577" w14:textId="77777777" w:rsidR="00404F34" w:rsidRPr="00026EC1" w:rsidRDefault="00404F34" w:rsidP="007F120F">
      <w:pPr>
        <w:keepNext w:val="0"/>
      </w:pPr>
    </w:p>
    <w:p w14:paraId="52F2161C" w14:textId="77777777" w:rsidR="00404F34" w:rsidRPr="00026EC1" w:rsidRDefault="00275751" w:rsidP="007F120F">
      <w:pPr>
        <w:pStyle w:val="MGSTexte0cm"/>
        <w:keepNext w:val="0"/>
        <w:tabs>
          <w:tab w:val="left" w:pos="567"/>
        </w:tabs>
        <w:ind w:left="567" w:hanging="567"/>
      </w:pPr>
      <w:r w:rsidRPr="00026EC1">
        <w:rPr>
          <w:u w:val="none"/>
        </w:rPr>
        <w:t>B.</w:t>
      </w:r>
      <w:r w:rsidRPr="00026EC1">
        <w:rPr>
          <w:u w:val="none"/>
        </w:rPr>
        <w:tab/>
      </w:r>
      <w:r w:rsidR="00404F34" w:rsidRPr="00026EC1">
        <w:t>DÉFINITION D</w:t>
      </w:r>
      <w:r w:rsidR="00BC3319" w:rsidRPr="00026EC1">
        <w:t>’</w:t>
      </w:r>
      <w:r w:rsidR="00404F34" w:rsidRPr="00026EC1">
        <w:t>UN EMPLOI À TEMPS COMPLET</w:t>
      </w:r>
    </w:p>
    <w:p w14:paraId="2C470CA3" w14:textId="77777777" w:rsidR="00404F34" w:rsidRPr="00026EC1" w:rsidRDefault="00404F34" w:rsidP="007F120F">
      <w:pPr>
        <w:keepNext w:val="0"/>
      </w:pPr>
    </w:p>
    <w:p w14:paraId="3CBC993D" w14:textId="656455E8" w:rsidR="00404F34" w:rsidRPr="00026EC1" w:rsidRDefault="00404F34" w:rsidP="007F120F">
      <w:pPr>
        <w:pStyle w:val="Texte1cm"/>
        <w:keepNext w:val="0"/>
      </w:pPr>
      <w:r w:rsidRPr="00026EC1">
        <w:t>Est considérée comme occupant un emploi à temps complet</w:t>
      </w:r>
      <w:r w:rsidR="00D8581B">
        <w:t> :</w:t>
      </w:r>
    </w:p>
    <w:p w14:paraId="2A4F92B3" w14:textId="77777777" w:rsidR="00404F34" w:rsidRPr="00026EC1" w:rsidRDefault="00404F34" w:rsidP="007F120F">
      <w:pPr>
        <w:keepNext w:val="0"/>
      </w:pPr>
    </w:p>
    <w:p w14:paraId="49BBB930" w14:textId="77777777" w:rsidR="00404F34" w:rsidRPr="00026EC1" w:rsidRDefault="00275751" w:rsidP="007F120F">
      <w:pPr>
        <w:keepNext w:val="0"/>
        <w:tabs>
          <w:tab w:val="left" w:pos="1134"/>
        </w:tabs>
        <w:ind w:left="1134" w:hanging="567"/>
      </w:pPr>
      <w:r w:rsidRPr="00026EC1">
        <w:t>1.</w:t>
      </w:r>
      <w:r w:rsidRPr="00026EC1">
        <w:tab/>
      </w:r>
      <w:r w:rsidR="00404F34" w:rsidRPr="00026EC1">
        <w:t>toute personne qui, en fonction d</w:t>
      </w:r>
      <w:r w:rsidR="00BC3319" w:rsidRPr="00026EC1">
        <w:t>’</w:t>
      </w:r>
      <w:r w:rsidR="00404F34" w:rsidRPr="00026EC1">
        <w:t>une activité professionnelle déclarée, effectue un travail rémunéré dont l</w:t>
      </w:r>
      <w:r w:rsidR="00BC3319" w:rsidRPr="00026EC1">
        <w:t>’</w:t>
      </w:r>
      <w:r w:rsidR="00404F34" w:rsidRPr="00026EC1">
        <w:t>emploi du temps correspond au nombre d</w:t>
      </w:r>
      <w:r w:rsidR="00BC3319" w:rsidRPr="00026EC1">
        <w:t>’</w:t>
      </w:r>
      <w:r w:rsidR="00404F34" w:rsidRPr="00026EC1">
        <w:t>heures hebdomadaires ou mensuelles des personnes effectuant des tâches similaires à temps complet</w:t>
      </w:r>
      <w:r w:rsidR="00312F20" w:rsidRPr="00026EC1">
        <w:t>,</w:t>
      </w:r>
      <w:r w:rsidR="00404F34" w:rsidRPr="00026EC1">
        <w:t xml:space="preserve"> et ce, en fonction de ce qui est généralement reconnu dans leur secteur de travail;</w:t>
      </w:r>
    </w:p>
    <w:p w14:paraId="41BC5050" w14:textId="77777777" w:rsidR="00404F34" w:rsidRPr="00026EC1" w:rsidRDefault="00404F34" w:rsidP="007F120F">
      <w:pPr>
        <w:keepNext w:val="0"/>
      </w:pPr>
    </w:p>
    <w:p w14:paraId="7061D9C9" w14:textId="77777777" w:rsidR="00404F34" w:rsidRPr="00026EC1" w:rsidRDefault="00275751" w:rsidP="007F120F">
      <w:pPr>
        <w:keepNext w:val="0"/>
        <w:tabs>
          <w:tab w:val="left" w:pos="1134"/>
        </w:tabs>
        <w:ind w:left="1134" w:hanging="567"/>
      </w:pPr>
      <w:r w:rsidRPr="00026EC1">
        <w:t>2.</w:t>
      </w:r>
      <w:r w:rsidRPr="00026EC1">
        <w:tab/>
      </w:r>
      <w:r w:rsidR="00404F34" w:rsidRPr="00026EC1">
        <w:t>toute personne qui, tout en ayant un emploi à temps complet, est en congé avec solde;</w:t>
      </w:r>
    </w:p>
    <w:p w14:paraId="74ECF438" w14:textId="77777777" w:rsidR="00404F34" w:rsidRPr="00026EC1" w:rsidRDefault="00404F34" w:rsidP="007F120F">
      <w:pPr>
        <w:keepNext w:val="0"/>
      </w:pPr>
    </w:p>
    <w:p w14:paraId="41620074" w14:textId="77777777" w:rsidR="00404F34" w:rsidRPr="00026EC1" w:rsidRDefault="00275751" w:rsidP="007F120F">
      <w:pPr>
        <w:keepNext w:val="0"/>
        <w:tabs>
          <w:tab w:val="left" w:pos="1134"/>
        </w:tabs>
        <w:ind w:left="1134" w:hanging="567"/>
      </w:pPr>
      <w:r w:rsidRPr="00026EC1">
        <w:t>3.</w:t>
      </w:r>
      <w:r w:rsidRPr="00026EC1">
        <w:tab/>
      </w:r>
      <w:r w:rsidR="00404F34" w:rsidRPr="00026EC1">
        <w:t>toute personne qui, tout en ayant un emploi à temps complet, est en disponibilité avec solde.</w:t>
      </w:r>
    </w:p>
    <w:p w14:paraId="67B84292" w14:textId="77777777" w:rsidR="00404F34" w:rsidRPr="00026EC1" w:rsidRDefault="00404F34" w:rsidP="007F120F">
      <w:pPr>
        <w:keepNext w:val="0"/>
      </w:pPr>
    </w:p>
    <w:p w14:paraId="22DED27A" w14:textId="77777777" w:rsidR="00404F34" w:rsidRPr="00026EC1" w:rsidRDefault="00404F34" w:rsidP="007F120F">
      <w:pPr>
        <w:keepNext w:val="0"/>
      </w:pPr>
      <w:r w:rsidRPr="00026EC1">
        <w:t>Toute personne répondant à un ou plusieurs de ces critères doit se déclarer comme occupant un emploi à temps complet et sera considérée comme étant en situation de double emploi.</w:t>
      </w:r>
    </w:p>
    <w:p w14:paraId="593D5A53" w14:textId="77777777" w:rsidR="006B5B8C" w:rsidRPr="00026EC1" w:rsidRDefault="006B5B8C" w:rsidP="007F120F">
      <w:pPr>
        <w:keepNext w:val="0"/>
      </w:pPr>
    </w:p>
    <w:p w14:paraId="3A094C17" w14:textId="5BC6E9E6" w:rsidR="00404F34" w:rsidRPr="00026EC1" w:rsidRDefault="00404F34" w:rsidP="007F120F">
      <w:pPr>
        <w:keepNext w:val="0"/>
      </w:pPr>
      <w:r w:rsidRPr="00026EC1">
        <w:t>Seule la personne occupant un emploi à temps complet ou qui prévoit occuper un emploi à temps complet pour la totalité de la session pour laquelle elle pose sa candidature est tenue de se déclarer comme étant en situation de double emploi.</w:t>
      </w:r>
    </w:p>
    <w:p w14:paraId="11B8D025" w14:textId="77777777" w:rsidR="00404F34" w:rsidRPr="00026EC1" w:rsidRDefault="00404F34" w:rsidP="007F120F">
      <w:pPr>
        <w:keepNext w:val="0"/>
        <w:jc w:val="center"/>
        <w:rPr>
          <w:b/>
          <w:bCs/>
          <w:u w:val="double"/>
        </w:rPr>
      </w:pPr>
      <w:r w:rsidRPr="00026EC1">
        <w:rPr>
          <w:b/>
          <w:bCs/>
          <w:u w:val="double"/>
        </w:rPr>
        <w:br w:type="page"/>
        <w:t>DÉCLARATION D</w:t>
      </w:r>
      <w:r w:rsidR="00BC3319" w:rsidRPr="00026EC1">
        <w:rPr>
          <w:b/>
          <w:bCs/>
          <w:u w:val="double"/>
        </w:rPr>
        <w:t>’</w:t>
      </w:r>
      <w:r w:rsidRPr="00026EC1">
        <w:rPr>
          <w:b/>
          <w:bCs/>
          <w:u w:val="double"/>
        </w:rPr>
        <w:t>EMPLOI</w:t>
      </w:r>
    </w:p>
    <w:p w14:paraId="7A15E159" w14:textId="77777777" w:rsidR="00404F34" w:rsidRPr="00026EC1" w:rsidRDefault="00404F34" w:rsidP="007F120F">
      <w:pPr>
        <w:keepNext w:val="0"/>
      </w:pPr>
    </w:p>
    <w:tbl>
      <w:tblPr>
        <w:tblW w:w="10163" w:type="dxa"/>
        <w:tblInd w:w="-14" w:type="dxa"/>
        <w:tblCellMar>
          <w:left w:w="70" w:type="dxa"/>
          <w:right w:w="70" w:type="dxa"/>
        </w:tblCellMar>
        <w:tblLook w:val="0000" w:firstRow="0" w:lastRow="0" w:firstColumn="0" w:lastColumn="0" w:noHBand="0" w:noVBand="0"/>
      </w:tblPr>
      <w:tblGrid>
        <w:gridCol w:w="1884"/>
        <w:gridCol w:w="660"/>
        <w:gridCol w:w="2785"/>
        <w:gridCol w:w="284"/>
        <w:gridCol w:w="1851"/>
        <w:gridCol w:w="2699"/>
      </w:tblGrid>
      <w:tr w:rsidR="00404F34" w:rsidRPr="00026EC1" w14:paraId="7D47F011" w14:textId="77777777" w:rsidTr="00B44413">
        <w:tc>
          <w:tcPr>
            <w:tcW w:w="2544" w:type="dxa"/>
            <w:gridSpan w:val="2"/>
          </w:tcPr>
          <w:p w14:paraId="3472FF3B" w14:textId="77777777" w:rsidR="00404F34" w:rsidRPr="00026EC1" w:rsidRDefault="00404F34" w:rsidP="007F120F">
            <w:pPr>
              <w:keepNext w:val="0"/>
            </w:pPr>
            <w:r w:rsidRPr="00026EC1">
              <w:t>NOM DU COLLÈGE</w:t>
            </w:r>
          </w:p>
        </w:tc>
        <w:tc>
          <w:tcPr>
            <w:tcW w:w="7619" w:type="dxa"/>
            <w:gridSpan w:val="4"/>
            <w:tcBorders>
              <w:bottom w:val="single" w:sz="2" w:space="0" w:color="auto"/>
            </w:tcBorders>
          </w:tcPr>
          <w:p w14:paraId="3AB6437D" w14:textId="77777777" w:rsidR="00404F34" w:rsidRPr="00026EC1" w:rsidRDefault="00404F34" w:rsidP="007F120F">
            <w:pPr>
              <w:keepNext w:val="0"/>
            </w:pPr>
          </w:p>
        </w:tc>
      </w:tr>
      <w:tr w:rsidR="00404F34" w:rsidRPr="00026EC1" w14:paraId="5A1DB310" w14:textId="77777777" w:rsidTr="00B44413">
        <w:tc>
          <w:tcPr>
            <w:tcW w:w="2544" w:type="dxa"/>
            <w:gridSpan w:val="2"/>
          </w:tcPr>
          <w:p w14:paraId="4BD1BE53" w14:textId="77777777" w:rsidR="00404F34" w:rsidRPr="00026EC1" w:rsidRDefault="00404F34" w:rsidP="007F120F">
            <w:pPr>
              <w:keepNext w:val="0"/>
            </w:pPr>
          </w:p>
        </w:tc>
        <w:tc>
          <w:tcPr>
            <w:tcW w:w="7619" w:type="dxa"/>
            <w:gridSpan w:val="4"/>
            <w:tcBorders>
              <w:top w:val="single" w:sz="2" w:space="0" w:color="auto"/>
            </w:tcBorders>
          </w:tcPr>
          <w:p w14:paraId="487F639F" w14:textId="77777777" w:rsidR="00404F34" w:rsidRPr="00026EC1" w:rsidRDefault="00404F34" w:rsidP="007F120F">
            <w:pPr>
              <w:keepNext w:val="0"/>
            </w:pPr>
          </w:p>
        </w:tc>
      </w:tr>
      <w:tr w:rsidR="00404F34" w:rsidRPr="00026EC1" w14:paraId="20D039BE" w14:textId="77777777" w:rsidTr="00B44413">
        <w:tc>
          <w:tcPr>
            <w:tcW w:w="2544" w:type="dxa"/>
            <w:gridSpan w:val="2"/>
          </w:tcPr>
          <w:p w14:paraId="406B40A8" w14:textId="77777777" w:rsidR="00404F34" w:rsidRPr="00026EC1" w:rsidRDefault="00404F34" w:rsidP="007F120F">
            <w:pPr>
              <w:keepNext w:val="0"/>
            </w:pPr>
          </w:p>
        </w:tc>
        <w:tc>
          <w:tcPr>
            <w:tcW w:w="7619" w:type="dxa"/>
            <w:gridSpan w:val="4"/>
          </w:tcPr>
          <w:p w14:paraId="6D9C50AF" w14:textId="77777777" w:rsidR="00404F34" w:rsidRPr="00026EC1" w:rsidRDefault="00404F34" w:rsidP="007F120F">
            <w:pPr>
              <w:keepNext w:val="0"/>
            </w:pPr>
          </w:p>
        </w:tc>
      </w:tr>
      <w:tr w:rsidR="00404F34" w:rsidRPr="00026EC1" w14:paraId="698C8E9B" w14:textId="77777777" w:rsidTr="00B44413">
        <w:tc>
          <w:tcPr>
            <w:tcW w:w="1884" w:type="dxa"/>
          </w:tcPr>
          <w:p w14:paraId="6F4404B7" w14:textId="77777777" w:rsidR="00404F34" w:rsidRPr="00026EC1" w:rsidRDefault="00404F34" w:rsidP="007F120F">
            <w:pPr>
              <w:keepNext w:val="0"/>
            </w:pPr>
            <w:r w:rsidRPr="00026EC1">
              <w:t>DISCIPLINE</w:t>
            </w:r>
          </w:p>
        </w:tc>
        <w:tc>
          <w:tcPr>
            <w:tcW w:w="3445" w:type="dxa"/>
            <w:gridSpan w:val="2"/>
            <w:tcBorders>
              <w:bottom w:val="single" w:sz="2" w:space="0" w:color="auto"/>
            </w:tcBorders>
          </w:tcPr>
          <w:p w14:paraId="1F75C064" w14:textId="77777777" w:rsidR="00404F34" w:rsidRPr="00026EC1" w:rsidRDefault="00404F34" w:rsidP="007F120F">
            <w:pPr>
              <w:keepNext w:val="0"/>
            </w:pPr>
          </w:p>
        </w:tc>
        <w:tc>
          <w:tcPr>
            <w:tcW w:w="284" w:type="dxa"/>
          </w:tcPr>
          <w:p w14:paraId="036282FD" w14:textId="77777777" w:rsidR="00404F34" w:rsidRPr="00026EC1" w:rsidRDefault="00404F34" w:rsidP="007F120F">
            <w:pPr>
              <w:keepNext w:val="0"/>
            </w:pPr>
          </w:p>
        </w:tc>
        <w:tc>
          <w:tcPr>
            <w:tcW w:w="1851" w:type="dxa"/>
          </w:tcPr>
          <w:p w14:paraId="7547E266" w14:textId="77777777" w:rsidR="00404F34" w:rsidRPr="00026EC1" w:rsidRDefault="00404F34" w:rsidP="007F120F">
            <w:pPr>
              <w:keepNext w:val="0"/>
            </w:pPr>
            <w:r w:rsidRPr="00026EC1">
              <w:t>SESSION</w:t>
            </w:r>
          </w:p>
        </w:tc>
        <w:tc>
          <w:tcPr>
            <w:tcW w:w="2699" w:type="dxa"/>
            <w:tcBorders>
              <w:bottom w:val="single" w:sz="2" w:space="0" w:color="auto"/>
            </w:tcBorders>
          </w:tcPr>
          <w:p w14:paraId="61C54FA0" w14:textId="77777777" w:rsidR="00404F34" w:rsidRPr="00026EC1" w:rsidRDefault="00404F34" w:rsidP="007F120F">
            <w:pPr>
              <w:keepNext w:val="0"/>
            </w:pPr>
          </w:p>
        </w:tc>
      </w:tr>
      <w:tr w:rsidR="00404F34" w:rsidRPr="00026EC1" w14:paraId="24CC7620" w14:textId="77777777" w:rsidTr="00B44413">
        <w:tc>
          <w:tcPr>
            <w:tcW w:w="1884" w:type="dxa"/>
          </w:tcPr>
          <w:p w14:paraId="5047B636" w14:textId="77777777" w:rsidR="00404F34" w:rsidRPr="00026EC1" w:rsidRDefault="00404F34" w:rsidP="007F120F">
            <w:pPr>
              <w:keepNext w:val="0"/>
            </w:pPr>
          </w:p>
        </w:tc>
        <w:tc>
          <w:tcPr>
            <w:tcW w:w="3445" w:type="dxa"/>
            <w:gridSpan w:val="2"/>
          </w:tcPr>
          <w:p w14:paraId="6A2610A7" w14:textId="77777777" w:rsidR="00404F34" w:rsidRPr="00026EC1" w:rsidRDefault="00404F34" w:rsidP="007F120F">
            <w:pPr>
              <w:keepNext w:val="0"/>
            </w:pPr>
          </w:p>
        </w:tc>
        <w:tc>
          <w:tcPr>
            <w:tcW w:w="284" w:type="dxa"/>
          </w:tcPr>
          <w:p w14:paraId="5159CB1B" w14:textId="77777777" w:rsidR="00404F34" w:rsidRPr="00026EC1" w:rsidRDefault="00404F34" w:rsidP="007F120F">
            <w:pPr>
              <w:keepNext w:val="0"/>
            </w:pPr>
          </w:p>
        </w:tc>
        <w:tc>
          <w:tcPr>
            <w:tcW w:w="1851" w:type="dxa"/>
          </w:tcPr>
          <w:p w14:paraId="7CD1AEFC" w14:textId="77777777" w:rsidR="00404F34" w:rsidRPr="00026EC1" w:rsidRDefault="00404F34" w:rsidP="007F120F">
            <w:pPr>
              <w:keepNext w:val="0"/>
            </w:pPr>
          </w:p>
        </w:tc>
        <w:tc>
          <w:tcPr>
            <w:tcW w:w="2699" w:type="dxa"/>
          </w:tcPr>
          <w:p w14:paraId="1332F422" w14:textId="77777777" w:rsidR="00404F34" w:rsidRPr="00026EC1" w:rsidRDefault="00404F34" w:rsidP="007F120F">
            <w:pPr>
              <w:keepNext w:val="0"/>
            </w:pPr>
          </w:p>
        </w:tc>
      </w:tr>
    </w:tbl>
    <w:p w14:paraId="52DC5ED3" w14:textId="77777777" w:rsidR="00404F34" w:rsidRPr="00026EC1" w:rsidRDefault="00404F34" w:rsidP="007F120F">
      <w:pPr>
        <w:keepNext w:val="0"/>
      </w:pPr>
    </w:p>
    <w:p w14:paraId="6B2E9D24" w14:textId="77777777" w:rsidR="00404F34" w:rsidRPr="00026EC1" w:rsidRDefault="00404F34" w:rsidP="007F120F">
      <w:pPr>
        <w:pStyle w:val="MGSTexte0cm"/>
        <w:keepNext w:val="0"/>
      </w:pPr>
      <w:r w:rsidRPr="00026EC1">
        <w:t>IDENTIFICATION</w:t>
      </w:r>
    </w:p>
    <w:p w14:paraId="764F5BC5" w14:textId="77777777" w:rsidR="00404F34" w:rsidRPr="00026EC1" w:rsidRDefault="00404F34" w:rsidP="007F120F">
      <w:pPr>
        <w:keepNext w:val="0"/>
      </w:pPr>
    </w:p>
    <w:tbl>
      <w:tblPr>
        <w:tblW w:w="10121" w:type="dxa"/>
        <w:tblInd w:w="14" w:type="dxa"/>
        <w:tblCellMar>
          <w:left w:w="70" w:type="dxa"/>
          <w:right w:w="70" w:type="dxa"/>
        </w:tblCellMar>
        <w:tblLook w:val="0000" w:firstRow="0" w:lastRow="0" w:firstColumn="0" w:lastColumn="0" w:noHBand="0" w:noVBand="0"/>
      </w:tblPr>
      <w:tblGrid>
        <w:gridCol w:w="1316"/>
        <w:gridCol w:w="180"/>
        <w:gridCol w:w="360"/>
        <w:gridCol w:w="1260"/>
        <w:gridCol w:w="2160"/>
        <w:gridCol w:w="360"/>
        <w:gridCol w:w="1800"/>
        <w:gridCol w:w="93"/>
        <w:gridCol w:w="267"/>
        <w:gridCol w:w="2325"/>
      </w:tblGrid>
      <w:tr w:rsidR="00404F34" w:rsidRPr="00026EC1" w14:paraId="3432BE7F" w14:textId="77777777" w:rsidTr="00B44413">
        <w:tc>
          <w:tcPr>
            <w:tcW w:w="1316" w:type="dxa"/>
          </w:tcPr>
          <w:p w14:paraId="5D8091C5" w14:textId="77777777" w:rsidR="00404F34" w:rsidRPr="00026EC1" w:rsidRDefault="00404F34" w:rsidP="007F120F">
            <w:pPr>
              <w:keepNext w:val="0"/>
            </w:pPr>
            <w:r w:rsidRPr="00026EC1">
              <w:t>NOM</w:t>
            </w:r>
          </w:p>
        </w:tc>
        <w:tc>
          <w:tcPr>
            <w:tcW w:w="3960" w:type="dxa"/>
            <w:gridSpan w:val="4"/>
            <w:tcBorders>
              <w:bottom w:val="single" w:sz="2" w:space="0" w:color="auto"/>
            </w:tcBorders>
          </w:tcPr>
          <w:p w14:paraId="2865207D" w14:textId="77777777" w:rsidR="00404F34" w:rsidRPr="00026EC1" w:rsidRDefault="00404F34" w:rsidP="007F120F">
            <w:pPr>
              <w:pStyle w:val="CommentText"/>
              <w:keepNext w:val="0"/>
              <w:tabs>
                <w:tab w:val="clear" w:pos="3969"/>
              </w:tabs>
            </w:pPr>
          </w:p>
        </w:tc>
        <w:tc>
          <w:tcPr>
            <w:tcW w:w="360" w:type="dxa"/>
          </w:tcPr>
          <w:p w14:paraId="4A9C20CB" w14:textId="77777777" w:rsidR="00404F34" w:rsidRPr="00026EC1" w:rsidRDefault="00404F34" w:rsidP="007F120F">
            <w:pPr>
              <w:keepNext w:val="0"/>
            </w:pPr>
          </w:p>
        </w:tc>
        <w:tc>
          <w:tcPr>
            <w:tcW w:w="1800" w:type="dxa"/>
          </w:tcPr>
          <w:p w14:paraId="62A2ED3A" w14:textId="77777777" w:rsidR="00404F34" w:rsidRPr="00026EC1" w:rsidRDefault="00404F34" w:rsidP="007F120F">
            <w:pPr>
              <w:keepNext w:val="0"/>
            </w:pPr>
            <w:r w:rsidRPr="00026EC1">
              <w:t>PRÉNOM</w:t>
            </w:r>
          </w:p>
        </w:tc>
        <w:tc>
          <w:tcPr>
            <w:tcW w:w="2685" w:type="dxa"/>
            <w:gridSpan w:val="3"/>
            <w:tcBorders>
              <w:bottom w:val="single" w:sz="2" w:space="0" w:color="auto"/>
            </w:tcBorders>
          </w:tcPr>
          <w:p w14:paraId="1F73AFFA" w14:textId="77777777" w:rsidR="00404F34" w:rsidRPr="00026EC1" w:rsidRDefault="00404F34" w:rsidP="007F120F">
            <w:pPr>
              <w:keepNext w:val="0"/>
            </w:pPr>
          </w:p>
        </w:tc>
      </w:tr>
      <w:tr w:rsidR="00404F34" w:rsidRPr="00026EC1" w14:paraId="185D4725" w14:textId="77777777" w:rsidTr="00B44413">
        <w:tc>
          <w:tcPr>
            <w:tcW w:w="1856" w:type="dxa"/>
            <w:gridSpan w:val="3"/>
          </w:tcPr>
          <w:p w14:paraId="19C2DC37" w14:textId="77777777" w:rsidR="00404F34" w:rsidRPr="00026EC1" w:rsidRDefault="00404F34" w:rsidP="007F120F">
            <w:pPr>
              <w:keepNext w:val="0"/>
            </w:pPr>
          </w:p>
        </w:tc>
        <w:tc>
          <w:tcPr>
            <w:tcW w:w="3420" w:type="dxa"/>
            <w:gridSpan w:val="2"/>
            <w:tcBorders>
              <w:top w:val="single" w:sz="2" w:space="0" w:color="auto"/>
            </w:tcBorders>
          </w:tcPr>
          <w:p w14:paraId="6386E7CB" w14:textId="77777777" w:rsidR="00404F34" w:rsidRPr="00026EC1" w:rsidRDefault="00404F34" w:rsidP="007F120F">
            <w:pPr>
              <w:keepNext w:val="0"/>
            </w:pPr>
          </w:p>
        </w:tc>
        <w:tc>
          <w:tcPr>
            <w:tcW w:w="360" w:type="dxa"/>
          </w:tcPr>
          <w:p w14:paraId="49775154" w14:textId="77777777" w:rsidR="00404F34" w:rsidRPr="00026EC1" w:rsidRDefault="00404F34" w:rsidP="007F120F">
            <w:pPr>
              <w:keepNext w:val="0"/>
            </w:pPr>
          </w:p>
        </w:tc>
        <w:tc>
          <w:tcPr>
            <w:tcW w:w="1800" w:type="dxa"/>
          </w:tcPr>
          <w:p w14:paraId="0177E3A7" w14:textId="77777777" w:rsidR="00404F34" w:rsidRPr="00026EC1" w:rsidRDefault="00404F34" w:rsidP="007F120F">
            <w:pPr>
              <w:keepNext w:val="0"/>
            </w:pPr>
          </w:p>
        </w:tc>
        <w:tc>
          <w:tcPr>
            <w:tcW w:w="2685" w:type="dxa"/>
            <w:gridSpan w:val="3"/>
            <w:tcBorders>
              <w:top w:val="single" w:sz="2" w:space="0" w:color="auto"/>
            </w:tcBorders>
          </w:tcPr>
          <w:p w14:paraId="6F6532DD" w14:textId="77777777" w:rsidR="00404F34" w:rsidRPr="00026EC1" w:rsidRDefault="00404F34" w:rsidP="007F120F">
            <w:pPr>
              <w:keepNext w:val="0"/>
            </w:pPr>
          </w:p>
        </w:tc>
      </w:tr>
      <w:tr w:rsidR="00404F34" w:rsidRPr="00026EC1" w14:paraId="4B3AAC2C" w14:textId="77777777" w:rsidTr="00B44413">
        <w:tc>
          <w:tcPr>
            <w:tcW w:w="1856" w:type="dxa"/>
            <w:gridSpan w:val="3"/>
          </w:tcPr>
          <w:p w14:paraId="4D7F0306" w14:textId="77777777" w:rsidR="00404F34" w:rsidRPr="00026EC1" w:rsidRDefault="00404F34" w:rsidP="007F120F">
            <w:pPr>
              <w:keepNext w:val="0"/>
            </w:pPr>
          </w:p>
        </w:tc>
        <w:tc>
          <w:tcPr>
            <w:tcW w:w="3420" w:type="dxa"/>
            <w:gridSpan w:val="2"/>
          </w:tcPr>
          <w:p w14:paraId="1CA3D9F2" w14:textId="77777777" w:rsidR="00404F34" w:rsidRPr="00026EC1" w:rsidRDefault="00404F34" w:rsidP="007F120F">
            <w:pPr>
              <w:keepNext w:val="0"/>
            </w:pPr>
          </w:p>
        </w:tc>
        <w:tc>
          <w:tcPr>
            <w:tcW w:w="360" w:type="dxa"/>
          </w:tcPr>
          <w:p w14:paraId="54ECC772" w14:textId="77777777" w:rsidR="00404F34" w:rsidRPr="00026EC1" w:rsidRDefault="00404F34" w:rsidP="007F120F">
            <w:pPr>
              <w:keepNext w:val="0"/>
            </w:pPr>
          </w:p>
        </w:tc>
        <w:tc>
          <w:tcPr>
            <w:tcW w:w="1800" w:type="dxa"/>
          </w:tcPr>
          <w:p w14:paraId="1AAC328A" w14:textId="77777777" w:rsidR="00404F34" w:rsidRPr="00026EC1" w:rsidRDefault="00404F34" w:rsidP="007F120F">
            <w:pPr>
              <w:keepNext w:val="0"/>
            </w:pPr>
          </w:p>
        </w:tc>
        <w:tc>
          <w:tcPr>
            <w:tcW w:w="2685" w:type="dxa"/>
            <w:gridSpan w:val="3"/>
          </w:tcPr>
          <w:p w14:paraId="5B1B8E9B" w14:textId="77777777" w:rsidR="00404F34" w:rsidRPr="00026EC1" w:rsidRDefault="00404F34" w:rsidP="007F120F">
            <w:pPr>
              <w:keepNext w:val="0"/>
            </w:pPr>
          </w:p>
        </w:tc>
      </w:tr>
      <w:tr w:rsidR="00404F34" w:rsidRPr="00026EC1" w14:paraId="57BAD597" w14:textId="77777777" w:rsidTr="00B44413">
        <w:tc>
          <w:tcPr>
            <w:tcW w:w="1496" w:type="dxa"/>
            <w:gridSpan w:val="2"/>
          </w:tcPr>
          <w:p w14:paraId="24EBE1FD" w14:textId="77777777" w:rsidR="00404F34" w:rsidRPr="00026EC1" w:rsidRDefault="00404F34" w:rsidP="007F120F">
            <w:pPr>
              <w:keepNext w:val="0"/>
            </w:pPr>
            <w:r w:rsidRPr="00026EC1">
              <w:t>ADRESSE</w:t>
            </w:r>
          </w:p>
        </w:tc>
        <w:tc>
          <w:tcPr>
            <w:tcW w:w="3780" w:type="dxa"/>
            <w:gridSpan w:val="3"/>
            <w:tcBorders>
              <w:bottom w:val="single" w:sz="2" w:space="0" w:color="auto"/>
            </w:tcBorders>
          </w:tcPr>
          <w:p w14:paraId="08495DC3" w14:textId="77777777" w:rsidR="00404F34" w:rsidRPr="00026EC1" w:rsidRDefault="00404F34" w:rsidP="007F120F">
            <w:pPr>
              <w:keepNext w:val="0"/>
            </w:pPr>
          </w:p>
        </w:tc>
        <w:tc>
          <w:tcPr>
            <w:tcW w:w="360" w:type="dxa"/>
          </w:tcPr>
          <w:p w14:paraId="019EB3D2" w14:textId="77777777" w:rsidR="00404F34" w:rsidRPr="00026EC1" w:rsidRDefault="00404F34" w:rsidP="007F120F">
            <w:pPr>
              <w:keepNext w:val="0"/>
            </w:pPr>
          </w:p>
        </w:tc>
        <w:tc>
          <w:tcPr>
            <w:tcW w:w="2160" w:type="dxa"/>
            <w:gridSpan w:val="3"/>
          </w:tcPr>
          <w:p w14:paraId="406538AF" w14:textId="77777777" w:rsidR="00404F34" w:rsidRPr="00026EC1" w:rsidRDefault="00404F34" w:rsidP="007F120F">
            <w:pPr>
              <w:keepNext w:val="0"/>
            </w:pPr>
            <w:r w:rsidRPr="00026EC1">
              <w:t>CODE POSTAL</w:t>
            </w:r>
          </w:p>
        </w:tc>
        <w:tc>
          <w:tcPr>
            <w:tcW w:w="2325" w:type="dxa"/>
            <w:tcBorders>
              <w:bottom w:val="single" w:sz="2" w:space="0" w:color="auto"/>
            </w:tcBorders>
          </w:tcPr>
          <w:p w14:paraId="063C70AA" w14:textId="77777777" w:rsidR="00404F34" w:rsidRPr="00026EC1" w:rsidRDefault="00404F34" w:rsidP="007F120F">
            <w:pPr>
              <w:keepNext w:val="0"/>
            </w:pPr>
          </w:p>
        </w:tc>
      </w:tr>
      <w:tr w:rsidR="00404F34" w:rsidRPr="00026EC1" w14:paraId="2347A722" w14:textId="77777777" w:rsidTr="00B44413">
        <w:tc>
          <w:tcPr>
            <w:tcW w:w="1856" w:type="dxa"/>
            <w:gridSpan w:val="3"/>
          </w:tcPr>
          <w:p w14:paraId="35A0E5A9" w14:textId="77777777" w:rsidR="00404F34" w:rsidRPr="00026EC1" w:rsidRDefault="00404F34" w:rsidP="007F120F">
            <w:pPr>
              <w:keepNext w:val="0"/>
            </w:pPr>
          </w:p>
        </w:tc>
        <w:tc>
          <w:tcPr>
            <w:tcW w:w="3420" w:type="dxa"/>
            <w:gridSpan w:val="2"/>
            <w:tcBorders>
              <w:top w:val="single" w:sz="2" w:space="0" w:color="auto"/>
            </w:tcBorders>
          </w:tcPr>
          <w:p w14:paraId="78975C22" w14:textId="77777777" w:rsidR="00404F34" w:rsidRPr="00026EC1" w:rsidRDefault="00404F34" w:rsidP="007F120F">
            <w:pPr>
              <w:keepNext w:val="0"/>
            </w:pPr>
          </w:p>
        </w:tc>
        <w:tc>
          <w:tcPr>
            <w:tcW w:w="360" w:type="dxa"/>
          </w:tcPr>
          <w:p w14:paraId="61B67917" w14:textId="77777777" w:rsidR="00404F34" w:rsidRPr="00026EC1" w:rsidRDefault="00404F34" w:rsidP="007F120F">
            <w:pPr>
              <w:keepNext w:val="0"/>
            </w:pPr>
          </w:p>
        </w:tc>
        <w:tc>
          <w:tcPr>
            <w:tcW w:w="1800" w:type="dxa"/>
          </w:tcPr>
          <w:p w14:paraId="30504132" w14:textId="77777777" w:rsidR="00404F34" w:rsidRPr="00026EC1" w:rsidRDefault="00404F34" w:rsidP="007F120F">
            <w:pPr>
              <w:keepNext w:val="0"/>
            </w:pPr>
          </w:p>
        </w:tc>
        <w:tc>
          <w:tcPr>
            <w:tcW w:w="2685" w:type="dxa"/>
            <w:gridSpan w:val="3"/>
          </w:tcPr>
          <w:p w14:paraId="11E1ECD7" w14:textId="77777777" w:rsidR="00404F34" w:rsidRPr="00026EC1" w:rsidRDefault="00404F34" w:rsidP="007F120F">
            <w:pPr>
              <w:keepNext w:val="0"/>
            </w:pPr>
          </w:p>
        </w:tc>
      </w:tr>
      <w:tr w:rsidR="00404F34" w:rsidRPr="00026EC1" w14:paraId="3FE7F4DF" w14:textId="77777777" w:rsidTr="00B44413">
        <w:tc>
          <w:tcPr>
            <w:tcW w:w="1856" w:type="dxa"/>
            <w:gridSpan w:val="3"/>
          </w:tcPr>
          <w:p w14:paraId="0EE39194" w14:textId="77777777" w:rsidR="00404F34" w:rsidRPr="00026EC1" w:rsidRDefault="00404F34" w:rsidP="007F120F">
            <w:pPr>
              <w:keepNext w:val="0"/>
            </w:pPr>
          </w:p>
        </w:tc>
        <w:tc>
          <w:tcPr>
            <w:tcW w:w="3420" w:type="dxa"/>
            <w:gridSpan w:val="2"/>
          </w:tcPr>
          <w:p w14:paraId="4B54A685" w14:textId="77777777" w:rsidR="00404F34" w:rsidRPr="00026EC1" w:rsidRDefault="00404F34" w:rsidP="007F120F">
            <w:pPr>
              <w:keepNext w:val="0"/>
            </w:pPr>
          </w:p>
        </w:tc>
        <w:tc>
          <w:tcPr>
            <w:tcW w:w="360" w:type="dxa"/>
          </w:tcPr>
          <w:p w14:paraId="0985084C" w14:textId="77777777" w:rsidR="00404F34" w:rsidRPr="00026EC1" w:rsidRDefault="00404F34" w:rsidP="007F120F">
            <w:pPr>
              <w:keepNext w:val="0"/>
            </w:pPr>
          </w:p>
        </w:tc>
        <w:tc>
          <w:tcPr>
            <w:tcW w:w="1800" w:type="dxa"/>
          </w:tcPr>
          <w:p w14:paraId="4F9C0621" w14:textId="77777777" w:rsidR="00404F34" w:rsidRPr="00026EC1" w:rsidRDefault="00404F34" w:rsidP="007F120F">
            <w:pPr>
              <w:keepNext w:val="0"/>
            </w:pPr>
          </w:p>
        </w:tc>
        <w:tc>
          <w:tcPr>
            <w:tcW w:w="2685" w:type="dxa"/>
            <w:gridSpan w:val="3"/>
          </w:tcPr>
          <w:p w14:paraId="2FA3F482" w14:textId="77777777" w:rsidR="00404F34" w:rsidRPr="00026EC1" w:rsidRDefault="00404F34" w:rsidP="007F120F">
            <w:pPr>
              <w:keepNext w:val="0"/>
            </w:pPr>
          </w:p>
        </w:tc>
      </w:tr>
      <w:tr w:rsidR="00404F34" w:rsidRPr="00026EC1" w14:paraId="69232267" w14:textId="77777777" w:rsidTr="00B44413">
        <w:tc>
          <w:tcPr>
            <w:tcW w:w="3116" w:type="dxa"/>
            <w:gridSpan w:val="4"/>
          </w:tcPr>
          <w:p w14:paraId="40A9DA17" w14:textId="77777777" w:rsidR="00404F34" w:rsidRPr="00026EC1" w:rsidRDefault="00404F34" w:rsidP="007F120F">
            <w:pPr>
              <w:keepNext w:val="0"/>
            </w:pPr>
            <w:r w:rsidRPr="00026EC1">
              <w:t>TÉLÉPHONE (</w:t>
            </w:r>
            <w:r w:rsidRPr="00026EC1">
              <w:rPr>
                <w:i/>
                <w:iCs/>
              </w:rPr>
              <w:t>résidence</w:t>
            </w:r>
            <w:r w:rsidRPr="00026EC1">
              <w:t>)</w:t>
            </w:r>
          </w:p>
        </w:tc>
        <w:tc>
          <w:tcPr>
            <w:tcW w:w="2160" w:type="dxa"/>
            <w:tcBorders>
              <w:bottom w:val="single" w:sz="2" w:space="0" w:color="auto"/>
            </w:tcBorders>
          </w:tcPr>
          <w:p w14:paraId="4F207E58" w14:textId="77777777" w:rsidR="00404F34" w:rsidRPr="00026EC1" w:rsidRDefault="00404F34" w:rsidP="007F120F">
            <w:pPr>
              <w:keepNext w:val="0"/>
            </w:pPr>
          </w:p>
        </w:tc>
        <w:tc>
          <w:tcPr>
            <w:tcW w:w="360" w:type="dxa"/>
          </w:tcPr>
          <w:p w14:paraId="2C9BD594" w14:textId="77777777" w:rsidR="00404F34" w:rsidRPr="00026EC1" w:rsidRDefault="00404F34" w:rsidP="007F120F">
            <w:pPr>
              <w:keepNext w:val="0"/>
            </w:pPr>
          </w:p>
        </w:tc>
        <w:tc>
          <w:tcPr>
            <w:tcW w:w="1893" w:type="dxa"/>
            <w:gridSpan w:val="2"/>
          </w:tcPr>
          <w:p w14:paraId="715D5FE9" w14:textId="77777777" w:rsidR="00404F34" w:rsidRPr="00026EC1" w:rsidRDefault="00404F34" w:rsidP="007F120F">
            <w:pPr>
              <w:keepNext w:val="0"/>
            </w:pPr>
            <w:r w:rsidRPr="00026EC1">
              <w:t>(</w:t>
            </w:r>
            <w:r w:rsidRPr="00026EC1">
              <w:rPr>
                <w:i/>
                <w:iCs/>
              </w:rPr>
              <w:t>bureau</w:t>
            </w:r>
            <w:r w:rsidRPr="00026EC1">
              <w:t>)</w:t>
            </w:r>
          </w:p>
        </w:tc>
        <w:tc>
          <w:tcPr>
            <w:tcW w:w="2592" w:type="dxa"/>
            <w:gridSpan w:val="2"/>
            <w:tcBorders>
              <w:bottom w:val="single" w:sz="2" w:space="0" w:color="auto"/>
            </w:tcBorders>
          </w:tcPr>
          <w:p w14:paraId="263562FC" w14:textId="77777777" w:rsidR="00404F34" w:rsidRPr="00026EC1" w:rsidRDefault="00404F34" w:rsidP="007F120F">
            <w:pPr>
              <w:keepNext w:val="0"/>
            </w:pPr>
          </w:p>
        </w:tc>
      </w:tr>
      <w:tr w:rsidR="00404F34" w:rsidRPr="00026EC1" w14:paraId="1900B5AB" w14:textId="77777777" w:rsidTr="00B44413">
        <w:tc>
          <w:tcPr>
            <w:tcW w:w="3116" w:type="dxa"/>
            <w:gridSpan w:val="4"/>
          </w:tcPr>
          <w:p w14:paraId="03EBC6DA" w14:textId="77777777" w:rsidR="00404F34" w:rsidRPr="00026EC1" w:rsidRDefault="00404F34" w:rsidP="007F120F">
            <w:pPr>
              <w:keepNext w:val="0"/>
            </w:pPr>
          </w:p>
        </w:tc>
        <w:tc>
          <w:tcPr>
            <w:tcW w:w="2160" w:type="dxa"/>
          </w:tcPr>
          <w:p w14:paraId="07384F39" w14:textId="77777777" w:rsidR="00404F34" w:rsidRPr="00026EC1" w:rsidRDefault="00404F34" w:rsidP="007F120F">
            <w:pPr>
              <w:keepNext w:val="0"/>
            </w:pPr>
          </w:p>
        </w:tc>
        <w:tc>
          <w:tcPr>
            <w:tcW w:w="360" w:type="dxa"/>
          </w:tcPr>
          <w:p w14:paraId="1643EFC3" w14:textId="77777777" w:rsidR="00404F34" w:rsidRPr="00026EC1" w:rsidRDefault="00404F34" w:rsidP="007F120F">
            <w:pPr>
              <w:keepNext w:val="0"/>
            </w:pPr>
          </w:p>
        </w:tc>
        <w:tc>
          <w:tcPr>
            <w:tcW w:w="1893" w:type="dxa"/>
            <w:gridSpan w:val="2"/>
          </w:tcPr>
          <w:p w14:paraId="4751CC34" w14:textId="77777777" w:rsidR="00404F34" w:rsidRPr="00026EC1" w:rsidRDefault="00404F34" w:rsidP="007F120F">
            <w:pPr>
              <w:keepNext w:val="0"/>
            </w:pPr>
          </w:p>
        </w:tc>
        <w:tc>
          <w:tcPr>
            <w:tcW w:w="2592" w:type="dxa"/>
            <w:gridSpan w:val="2"/>
          </w:tcPr>
          <w:p w14:paraId="2813C1DB" w14:textId="77777777" w:rsidR="00404F34" w:rsidRPr="00026EC1" w:rsidRDefault="00404F34" w:rsidP="007F120F">
            <w:pPr>
              <w:keepNext w:val="0"/>
            </w:pPr>
          </w:p>
        </w:tc>
      </w:tr>
      <w:tr w:rsidR="00404F34" w:rsidRPr="00026EC1" w14:paraId="7273D397" w14:textId="77777777" w:rsidTr="00B44413">
        <w:tc>
          <w:tcPr>
            <w:tcW w:w="3116" w:type="dxa"/>
            <w:gridSpan w:val="4"/>
          </w:tcPr>
          <w:p w14:paraId="4B46230F" w14:textId="77777777" w:rsidR="00404F34" w:rsidRPr="00026EC1" w:rsidRDefault="00404F34" w:rsidP="007F120F">
            <w:pPr>
              <w:keepNext w:val="0"/>
            </w:pPr>
          </w:p>
        </w:tc>
        <w:tc>
          <w:tcPr>
            <w:tcW w:w="2160" w:type="dxa"/>
          </w:tcPr>
          <w:p w14:paraId="5CBBCA4B" w14:textId="77777777" w:rsidR="00404F34" w:rsidRPr="00026EC1" w:rsidRDefault="00404F34" w:rsidP="007F120F">
            <w:pPr>
              <w:keepNext w:val="0"/>
            </w:pPr>
          </w:p>
        </w:tc>
        <w:tc>
          <w:tcPr>
            <w:tcW w:w="360" w:type="dxa"/>
          </w:tcPr>
          <w:p w14:paraId="2B4C82E7" w14:textId="77777777" w:rsidR="00404F34" w:rsidRPr="00026EC1" w:rsidRDefault="00404F34" w:rsidP="007F120F">
            <w:pPr>
              <w:keepNext w:val="0"/>
            </w:pPr>
          </w:p>
        </w:tc>
        <w:tc>
          <w:tcPr>
            <w:tcW w:w="1893" w:type="dxa"/>
            <w:gridSpan w:val="2"/>
          </w:tcPr>
          <w:p w14:paraId="3146A1B9" w14:textId="77777777" w:rsidR="00404F34" w:rsidRPr="00026EC1" w:rsidRDefault="00404F34" w:rsidP="007F120F">
            <w:pPr>
              <w:keepNext w:val="0"/>
            </w:pPr>
          </w:p>
        </w:tc>
        <w:tc>
          <w:tcPr>
            <w:tcW w:w="2592" w:type="dxa"/>
            <w:gridSpan w:val="2"/>
          </w:tcPr>
          <w:p w14:paraId="7DB70CD2" w14:textId="77777777" w:rsidR="00404F34" w:rsidRPr="00026EC1" w:rsidRDefault="00404F34" w:rsidP="007F120F">
            <w:pPr>
              <w:keepNext w:val="0"/>
            </w:pPr>
          </w:p>
        </w:tc>
      </w:tr>
    </w:tbl>
    <w:p w14:paraId="736A3A58" w14:textId="77777777" w:rsidR="00404F34" w:rsidRPr="00026EC1" w:rsidRDefault="00404F34" w:rsidP="007F120F">
      <w:pPr>
        <w:keepNext w:val="0"/>
      </w:pPr>
    </w:p>
    <w:p w14:paraId="4D4D40F9" w14:textId="77777777" w:rsidR="00404F34" w:rsidRPr="00026EC1" w:rsidRDefault="00404F34" w:rsidP="007F120F">
      <w:pPr>
        <w:pStyle w:val="MGSTexte0cm"/>
        <w:keepNext w:val="0"/>
      </w:pPr>
      <w:r w:rsidRPr="00026EC1">
        <w:t>ACTIVITÉS PROFESSIONNELLES</w:t>
      </w:r>
    </w:p>
    <w:p w14:paraId="27C265CD" w14:textId="77777777" w:rsidR="00404F34" w:rsidRPr="00026EC1" w:rsidRDefault="00404F34" w:rsidP="007F120F">
      <w:pPr>
        <w:keepNext w:val="0"/>
      </w:pPr>
    </w:p>
    <w:p w14:paraId="67C83F0A" w14:textId="27BB2A07" w:rsidR="00404F34" w:rsidRPr="00026EC1" w:rsidRDefault="00404F34" w:rsidP="007F120F">
      <w:pPr>
        <w:keepNext w:val="0"/>
      </w:pPr>
      <w:r w:rsidRPr="00026EC1">
        <w:t>Donnez, pour chacune des activités professionnelles occupées pendant la session, les informations suivantes</w:t>
      </w:r>
      <w:r w:rsidR="00D8581B">
        <w:t> :</w:t>
      </w:r>
    </w:p>
    <w:p w14:paraId="08274D1C" w14:textId="77777777" w:rsidR="00404F34" w:rsidRPr="00026EC1" w:rsidRDefault="00404F34" w:rsidP="007F120F">
      <w:pPr>
        <w:keepNext w:val="0"/>
      </w:pPr>
    </w:p>
    <w:tbl>
      <w:tblPr>
        <w:tblW w:w="0" w:type="auto"/>
        <w:tblInd w:w="3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3260"/>
        <w:gridCol w:w="3119"/>
        <w:gridCol w:w="3119"/>
      </w:tblGrid>
      <w:tr w:rsidR="00404F34" w:rsidRPr="00026EC1" w14:paraId="74CC2066" w14:textId="77777777">
        <w:tc>
          <w:tcPr>
            <w:tcW w:w="3260" w:type="dxa"/>
            <w:tcBorders>
              <w:bottom w:val="single" w:sz="18" w:space="0" w:color="auto"/>
            </w:tcBorders>
            <w:vAlign w:val="center"/>
          </w:tcPr>
          <w:p w14:paraId="66C5E2EB" w14:textId="77777777" w:rsidR="00404F34" w:rsidRPr="00026EC1" w:rsidRDefault="00404F34" w:rsidP="007F120F">
            <w:pPr>
              <w:keepNext w:val="0"/>
              <w:jc w:val="center"/>
              <w:rPr>
                <w:b/>
              </w:rPr>
            </w:pPr>
            <w:r w:rsidRPr="00026EC1">
              <w:rPr>
                <w:b/>
              </w:rPr>
              <w:t>NOM(S) DE L</w:t>
            </w:r>
            <w:r w:rsidR="00BC3319" w:rsidRPr="00026EC1">
              <w:rPr>
                <w:b/>
              </w:rPr>
              <w:t>’</w:t>
            </w:r>
            <w:r w:rsidRPr="00026EC1">
              <w:rPr>
                <w:b/>
              </w:rPr>
              <w:t>EMPLOYEUR</w:t>
            </w:r>
          </w:p>
        </w:tc>
        <w:tc>
          <w:tcPr>
            <w:tcW w:w="3119" w:type="dxa"/>
            <w:tcBorders>
              <w:bottom w:val="nil"/>
            </w:tcBorders>
            <w:vAlign w:val="center"/>
          </w:tcPr>
          <w:p w14:paraId="509F309B" w14:textId="77777777" w:rsidR="00404F34" w:rsidRPr="00026EC1" w:rsidRDefault="00404F34" w:rsidP="007F120F">
            <w:pPr>
              <w:keepNext w:val="0"/>
              <w:jc w:val="center"/>
            </w:pPr>
            <w:r w:rsidRPr="00026EC1">
              <w:rPr>
                <w:b/>
              </w:rPr>
              <w:t>TITRE OU FONCTION</w:t>
            </w:r>
          </w:p>
        </w:tc>
        <w:tc>
          <w:tcPr>
            <w:tcW w:w="3119" w:type="dxa"/>
            <w:tcBorders>
              <w:bottom w:val="nil"/>
            </w:tcBorders>
          </w:tcPr>
          <w:p w14:paraId="06187EFB" w14:textId="77777777" w:rsidR="00404F34" w:rsidRPr="00026EC1" w:rsidRDefault="00404F34" w:rsidP="007F120F">
            <w:pPr>
              <w:keepNext w:val="0"/>
              <w:jc w:val="center"/>
              <w:rPr>
                <w:b/>
              </w:rPr>
            </w:pPr>
            <w:r w:rsidRPr="00026EC1">
              <w:rPr>
                <w:b/>
              </w:rPr>
              <w:t xml:space="preserve">NOMBRE </w:t>
            </w:r>
            <w:r w:rsidRPr="00026EC1">
              <w:rPr>
                <w:b/>
              </w:rPr>
              <w:br/>
              <w:t>D</w:t>
            </w:r>
            <w:r w:rsidR="00BC3319" w:rsidRPr="00026EC1">
              <w:rPr>
                <w:b/>
              </w:rPr>
              <w:t>’</w:t>
            </w:r>
            <w:r w:rsidRPr="00026EC1">
              <w:rPr>
                <w:b/>
              </w:rPr>
              <w:t xml:space="preserve">HEURES </w:t>
            </w:r>
            <w:r w:rsidRPr="00026EC1">
              <w:rPr>
                <w:b/>
              </w:rPr>
              <w:br/>
              <w:t>MOYEN PAR SEMAINE</w:t>
            </w:r>
          </w:p>
        </w:tc>
      </w:tr>
      <w:tr w:rsidR="00404F34" w:rsidRPr="00026EC1" w14:paraId="775E2BC9" w14:textId="77777777">
        <w:tc>
          <w:tcPr>
            <w:tcW w:w="3260" w:type="dxa"/>
            <w:tcBorders>
              <w:left w:val="single" w:sz="18" w:space="0" w:color="auto"/>
              <w:bottom w:val="single" w:sz="4" w:space="0" w:color="auto"/>
            </w:tcBorders>
          </w:tcPr>
          <w:p w14:paraId="5603D241" w14:textId="77777777" w:rsidR="00404F34" w:rsidRPr="00026EC1" w:rsidRDefault="00404F34" w:rsidP="007F120F">
            <w:pPr>
              <w:keepNext w:val="0"/>
            </w:pPr>
          </w:p>
        </w:tc>
        <w:tc>
          <w:tcPr>
            <w:tcW w:w="3119" w:type="dxa"/>
            <w:tcBorders>
              <w:bottom w:val="single" w:sz="4" w:space="0" w:color="auto"/>
            </w:tcBorders>
          </w:tcPr>
          <w:p w14:paraId="6BA5E259" w14:textId="77777777" w:rsidR="00404F34" w:rsidRPr="00026EC1" w:rsidRDefault="00404F34" w:rsidP="007F120F">
            <w:pPr>
              <w:keepNext w:val="0"/>
            </w:pPr>
          </w:p>
        </w:tc>
        <w:tc>
          <w:tcPr>
            <w:tcW w:w="3119" w:type="dxa"/>
            <w:tcBorders>
              <w:bottom w:val="single" w:sz="4" w:space="0" w:color="auto"/>
            </w:tcBorders>
          </w:tcPr>
          <w:p w14:paraId="55E96F42" w14:textId="77777777" w:rsidR="00404F34" w:rsidRPr="00026EC1" w:rsidRDefault="00404F34" w:rsidP="007F120F">
            <w:pPr>
              <w:keepNext w:val="0"/>
            </w:pPr>
          </w:p>
        </w:tc>
      </w:tr>
      <w:tr w:rsidR="00404F34" w:rsidRPr="00026EC1" w14:paraId="3642B0D1" w14:textId="77777777">
        <w:tc>
          <w:tcPr>
            <w:tcW w:w="3260" w:type="dxa"/>
            <w:tcBorders>
              <w:top w:val="single" w:sz="4" w:space="0" w:color="auto"/>
              <w:left w:val="single" w:sz="18" w:space="0" w:color="auto"/>
              <w:bottom w:val="single" w:sz="2" w:space="0" w:color="auto"/>
            </w:tcBorders>
          </w:tcPr>
          <w:p w14:paraId="72C2C50A" w14:textId="77777777" w:rsidR="00404F34" w:rsidRPr="00026EC1" w:rsidRDefault="00404F34" w:rsidP="007F120F">
            <w:pPr>
              <w:keepNext w:val="0"/>
            </w:pPr>
          </w:p>
        </w:tc>
        <w:tc>
          <w:tcPr>
            <w:tcW w:w="3119" w:type="dxa"/>
            <w:tcBorders>
              <w:top w:val="single" w:sz="4" w:space="0" w:color="auto"/>
              <w:bottom w:val="single" w:sz="4" w:space="0" w:color="auto"/>
            </w:tcBorders>
          </w:tcPr>
          <w:p w14:paraId="350DF6C3" w14:textId="77777777" w:rsidR="00404F34" w:rsidRPr="00026EC1" w:rsidRDefault="00404F34" w:rsidP="007F120F">
            <w:pPr>
              <w:keepNext w:val="0"/>
            </w:pPr>
          </w:p>
        </w:tc>
        <w:tc>
          <w:tcPr>
            <w:tcW w:w="3119" w:type="dxa"/>
            <w:tcBorders>
              <w:top w:val="single" w:sz="4" w:space="0" w:color="auto"/>
              <w:bottom w:val="single" w:sz="4" w:space="0" w:color="auto"/>
            </w:tcBorders>
          </w:tcPr>
          <w:p w14:paraId="73C0607E" w14:textId="77777777" w:rsidR="00404F34" w:rsidRPr="00026EC1" w:rsidRDefault="00404F34" w:rsidP="007F120F">
            <w:pPr>
              <w:keepNext w:val="0"/>
            </w:pPr>
          </w:p>
        </w:tc>
      </w:tr>
      <w:tr w:rsidR="00404F34" w:rsidRPr="00026EC1" w14:paraId="0DD83AB5" w14:textId="77777777">
        <w:tc>
          <w:tcPr>
            <w:tcW w:w="3260" w:type="dxa"/>
            <w:tcBorders>
              <w:top w:val="single" w:sz="2" w:space="0" w:color="auto"/>
              <w:bottom w:val="single" w:sz="4" w:space="0" w:color="auto"/>
            </w:tcBorders>
          </w:tcPr>
          <w:p w14:paraId="37862342" w14:textId="77777777" w:rsidR="00404F34" w:rsidRPr="00026EC1" w:rsidRDefault="00404F34" w:rsidP="007F120F">
            <w:pPr>
              <w:keepNext w:val="0"/>
            </w:pPr>
          </w:p>
        </w:tc>
        <w:tc>
          <w:tcPr>
            <w:tcW w:w="3119" w:type="dxa"/>
            <w:tcBorders>
              <w:top w:val="single" w:sz="4" w:space="0" w:color="auto"/>
              <w:bottom w:val="single" w:sz="4" w:space="0" w:color="auto"/>
            </w:tcBorders>
          </w:tcPr>
          <w:p w14:paraId="300372F2" w14:textId="77777777" w:rsidR="00404F34" w:rsidRPr="00026EC1" w:rsidRDefault="00404F34" w:rsidP="007F120F">
            <w:pPr>
              <w:keepNext w:val="0"/>
            </w:pPr>
          </w:p>
        </w:tc>
        <w:tc>
          <w:tcPr>
            <w:tcW w:w="3119" w:type="dxa"/>
            <w:tcBorders>
              <w:top w:val="single" w:sz="4" w:space="0" w:color="auto"/>
              <w:bottom w:val="single" w:sz="4" w:space="0" w:color="auto"/>
            </w:tcBorders>
          </w:tcPr>
          <w:p w14:paraId="0F5D6AD6" w14:textId="77777777" w:rsidR="00404F34" w:rsidRPr="00026EC1" w:rsidRDefault="00404F34" w:rsidP="007F120F">
            <w:pPr>
              <w:keepNext w:val="0"/>
            </w:pPr>
          </w:p>
        </w:tc>
      </w:tr>
      <w:tr w:rsidR="00404F34" w:rsidRPr="00026EC1" w14:paraId="62A17CCB" w14:textId="77777777">
        <w:tc>
          <w:tcPr>
            <w:tcW w:w="3260" w:type="dxa"/>
            <w:tcBorders>
              <w:top w:val="single" w:sz="4" w:space="0" w:color="auto"/>
            </w:tcBorders>
          </w:tcPr>
          <w:p w14:paraId="3B50F69D" w14:textId="77777777" w:rsidR="00404F34" w:rsidRPr="00026EC1" w:rsidRDefault="00404F34" w:rsidP="007F120F">
            <w:pPr>
              <w:keepNext w:val="0"/>
            </w:pPr>
          </w:p>
        </w:tc>
        <w:tc>
          <w:tcPr>
            <w:tcW w:w="3119" w:type="dxa"/>
            <w:tcBorders>
              <w:top w:val="single" w:sz="4" w:space="0" w:color="auto"/>
            </w:tcBorders>
          </w:tcPr>
          <w:p w14:paraId="2C11BC1A" w14:textId="77777777" w:rsidR="00404F34" w:rsidRPr="00026EC1" w:rsidRDefault="00404F34" w:rsidP="007F120F">
            <w:pPr>
              <w:keepNext w:val="0"/>
            </w:pPr>
          </w:p>
        </w:tc>
        <w:tc>
          <w:tcPr>
            <w:tcW w:w="3119" w:type="dxa"/>
            <w:tcBorders>
              <w:top w:val="single" w:sz="4" w:space="0" w:color="auto"/>
            </w:tcBorders>
          </w:tcPr>
          <w:p w14:paraId="3F6A0DD5" w14:textId="77777777" w:rsidR="00404F34" w:rsidRPr="00026EC1" w:rsidRDefault="00404F34" w:rsidP="007F120F">
            <w:pPr>
              <w:keepNext w:val="0"/>
            </w:pPr>
          </w:p>
        </w:tc>
      </w:tr>
    </w:tbl>
    <w:p w14:paraId="683D5E78" w14:textId="77777777" w:rsidR="00404F34" w:rsidRPr="00026EC1" w:rsidRDefault="00404F34" w:rsidP="007F120F">
      <w:pPr>
        <w:keepNext w:val="0"/>
      </w:pPr>
    </w:p>
    <w:p w14:paraId="155E22EC" w14:textId="77777777" w:rsidR="00404F34" w:rsidRPr="00026EC1" w:rsidRDefault="00404F34" w:rsidP="007F120F">
      <w:pPr>
        <w:pStyle w:val="MGSTexte0cm"/>
        <w:keepNext w:val="0"/>
      </w:pPr>
      <w:r w:rsidRPr="00026EC1">
        <w:t>SITUATION D</w:t>
      </w:r>
      <w:r w:rsidR="00BC3319" w:rsidRPr="00026EC1">
        <w:t>’</w:t>
      </w:r>
      <w:r w:rsidRPr="00026EC1">
        <w:t>EMPLOI</w:t>
      </w:r>
    </w:p>
    <w:p w14:paraId="576E7ED7" w14:textId="77777777" w:rsidR="00404F34" w:rsidRPr="00026EC1" w:rsidRDefault="00404F34" w:rsidP="007F120F">
      <w:pPr>
        <w:keepNext w:val="0"/>
      </w:pPr>
    </w:p>
    <w:p w14:paraId="4504E668" w14:textId="33F77826" w:rsidR="00404F34" w:rsidRPr="00026EC1" w:rsidRDefault="00404F34" w:rsidP="007F120F">
      <w:pPr>
        <w:keepNext w:val="0"/>
      </w:pPr>
      <w:r w:rsidRPr="00026EC1">
        <w:t>En regard de la définition d</w:t>
      </w:r>
      <w:r w:rsidR="00BC3319" w:rsidRPr="00026EC1">
        <w:t>’</w:t>
      </w:r>
      <w:r w:rsidRPr="00026EC1">
        <w:t>un emploi à temps complet (voir point B), cochez l</w:t>
      </w:r>
      <w:r w:rsidR="00BC3319" w:rsidRPr="00026EC1">
        <w:t>’</w:t>
      </w:r>
      <w:r w:rsidRPr="00026EC1">
        <w:t>une ou l</w:t>
      </w:r>
      <w:r w:rsidR="00BC3319" w:rsidRPr="00026EC1">
        <w:t>’</w:t>
      </w:r>
      <w:r w:rsidRPr="00026EC1">
        <w:t>autre des déclarations suivantes</w:t>
      </w:r>
      <w:r w:rsidR="00D8581B">
        <w:t> :</w:t>
      </w:r>
    </w:p>
    <w:p w14:paraId="6807F7A0" w14:textId="77777777" w:rsidR="00404F34" w:rsidRPr="00026EC1" w:rsidRDefault="00404F34" w:rsidP="007F120F">
      <w:pPr>
        <w:keepNext w:val="0"/>
        <w:tabs>
          <w:tab w:val="left" w:pos="360"/>
        </w:tabs>
        <w:ind w:left="1080" w:hanging="1080"/>
      </w:pPr>
    </w:p>
    <w:p w14:paraId="14B398C8" w14:textId="6547570D" w:rsidR="00404F34" w:rsidRPr="00026EC1" w:rsidRDefault="009E1428" w:rsidP="007F120F">
      <w:pPr>
        <w:keepNext w:val="0"/>
        <w:tabs>
          <w:tab w:val="left" w:pos="360"/>
        </w:tabs>
        <w:ind w:left="1080" w:hanging="1080"/>
      </w:pPr>
      <w:r w:rsidRPr="00026EC1">
        <w:rPr>
          <w:noProof/>
          <w:snapToGrid/>
          <w:sz w:val="20"/>
          <w:lang w:val="fr-FR"/>
        </w:rPr>
        <mc:AlternateContent>
          <mc:Choice Requires="wps">
            <w:drawing>
              <wp:anchor distT="0" distB="0" distL="114300" distR="114300" simplePos="0" relativeHeight="251658241" behindDoc="0" locked="0" layoutInCell="1" allowOverlap="1" wp14:anchorId="55A3103B" wp14:editId="53CFC863">
                <wp:simplePos x="0" y="0"/>
                <wp:positionH relativeFrom="column">
                  <wp:posOffset>114300</wp:posOffset>
                </wp:positionH>
                <wp:positionV relativeFrom="paragraph">
                  <wp:posOffset>107315</wp:posOffset>
                </wp:positionV>
                <wp:extent cx="228600" cy="228600"/>
                <wp:effectExtent l="9525" t="12065" r="9525"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45B2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9pt;margin-top:8.45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" filled="f" fillcolor="yellow"/>
            </w:pict>
          </mc:Fallback>
        </mc:AlternateContent>
      </w:r>
    </w:p>
    <w:p w14:paraId="48F8FA76" w14:textId="77777777" w:rsidR="00404F34" w:rsidRPr="00026EC1" w:rsidRDefault="00404F34" w:rsidP="007F120F">
      <w:pPr>
        <w:keepNext w:val="0"/>
        <w:tabs>
          <w:tab w:val="left" w:pos="360"/>
        </w:tabs>
        <w:ind w:left="1080" w:hanging="1080"/>
      </w:pPr>
      <w:r w:rsidRPr="00026EC1">
        <w:tab/>
      </w:r>
      <w:r w:rsidRPr="00026EC1">
        <w:tab/>
        <w:t>J</w:t>
      </w:r>
      <w:r w:rsidR="00BC3319" w:rsidRPr="00026EC1">
        <w:t>’</w:t>
      </w:r>
      <w:r w:rsidRPr="00026EC1">
        <w:t>occupe un emploi à temps complet et, en conséquence</w:t>
      </w:r>
      <w:r w:rsidR="00312F20" w:rsidRPr="00026EC1">
        <w:t>,</w:t>
      </w:r>
      <w:r w:rsidRPr="00026EC1">
        <w:t xml:space="preserve"> je serai en situation de double emploi.</w:t>
      </w:r>
    </w:p>
    <w:p w14:paraId="12AD577D" w14:textId="797E1E8A" w:rsidR="00404F34" w:rsidRPr="00026EC1" w:rsidRDefault="009E1428" w:rsidP="007F120F">
      <w:pPr>
        <w:keepNext w:val="0"/>
        <w:tabs>
          <w:tab w:val="left" w:pos="360"/>
        </w:tabs>
        <w:ind w:left="1080" w:hanging="1080"/>
      </w:pPr>
      <w:r w:rsidRPr="00026EC1">
        <w:rPr>
          <w:noProof/>
          <w:snapToGrid/>
          <w:sz w:val="20"/>
          <w:lang w:val="fr-FR"/>
        </w:rPr>
        <mc:AlternateContent>
          <mc:Choice Requires="wps">
            <w:drawing>
              <wp:anchor distT="0" distB="0" distL="114300" distR="114300" simplePos="0" relativeHeight="251658240" behindDoc="0" locked="0" layoutInCell="1" allowOverlap="1" wp14:anchorId="6BB291FB" wp14:editId="785F4244">
                <wp:simplePos x="0" y="0"/>
                <wp:positionH relativeFrom="column">
                  <wp:posOffset>114300</wp:posOffset>
                </wp:positionH>
                <wp:positionV relativeFrom="paragraph">
                  <wp:posOffset>151130</wp:posOffset>
                </wp:positionV>
                <wp:extent cx="228600" cy="228600"/>
                <wp:effectExtent l="9525" t="8255"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BD554" id="AutoShape 3" o:spid="_x0000_s1026" type="#_x0000_t84" style="position:absolute;margin-left:9pt;margin-top:11.9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" filled="f" fillcolor="yellow"/>
            </w:pict>
          </mc:Fallback>
        </mc:AlternateContent>
      </w:r>
    </w:p>
    <w:p w14:paraId="1F0208FD" w14:textId="77777777" w:rsidR="00404F34" w:rsidRPr="00026EC1" w:rsidRDefault="00404F34" w:rsidP="007F120F">
      <w:pPr>
        <w:keepNext w:val="0"/>
        <w:tabs>
          <w:tab w:val="left" w:pos="360"/>
        </w:tabs>
        <w:ind w:left="1080" w:hanging="1080"/>
      </w:pPr>
      <w:r w:rsidRPr="00026EC1">
        <w:tab/>
      </w:r>
      <w:r w:rsidRPr="00026EC1">
        <w:tab/>
        <w:t>Je n</w:t>
      </w:r>
      <w:r w:rsidR="00BC3319" w:rsidRPr="00026EC1">
        <w:t>’</w:t>
      </w:r>
      <w:r w:rsidRPr="00026EC1">
        <w:t>occupe pas un emploi à temps complet et, en conséquence</w:t>
      </w:r>
      <w:r w:rsidR="00312F20" w:rsidRPr="00026EC1">
        <w:t>,</w:t>
      </w:r>
      <w:r w:rsidRPr="00026EC1">
        <w:t xml:space="preserve"> je ne serai pas en situation de double emploi.</w:t>
      </w:r>
    </w:p>
    <w:p w14:paraId="2C1F9CB1" w14:textId="77777777" w:rsidR="00404F34" w:rsidRPr="00026EC1" w:rsidRDefault="00404F34" w:rsidP="007F120F">
      <w:pPr>
        <w:keepNext w:val="0"/>
      </w:pPr>
    </w:p>
    <w:tbl>
      <w:tblPr>
        <w:tblW w:w="10051" w:type="dxa"/>
        <w:tblInd w:w="84" w:type="dxa"/>
        <w:tblCellMar>
          <w:left w:w="70" w:type="dxa"/>
          <w:right w:w="70" w:type="dxa"/>
        </w:tblCellMar>
        <w:tblLook w:val="0000" w:firstRow="0" w:lastRow="0" w:firstColumn="0" w:lastColumn="0" w:noHBand="0" w:noVBand="0"/>
      </w:tblPr>
      <w:tblGrid>
        <w:gridCol w:w="1066"/>
        <w:gridCol w:w="3420"/>
        <w:gridCol w:w="360"/>
        <w:gridCol w:w="1800"/>
        <w:gridCol w:w="3405"/>
      </w:tblGrid>
      <w:tr w:rsidR="00404F34" w:rsidRPr="00026EC1" w14:paraId="4DEBEEF3" w14:textId="77777777" w:rsidTr="00B44413">
        <w:tc>
          <w:tcPr>
            <w:tcW w:w="1066" w:type="dxa"/>
          </w:tcPr>
          <w:p w14:paraId="53CAF06A" w14:textId="77777777" w:rsidR="00404F34" w:rsidRPr="00026EC1" w:rsidRDefault="00404F34" w:rsidP="007F120F">
            <w:pPr>
              <w:keepNext w:val="0"/>
            </w:pPr>
            <w:r w:rsidRPr="00026EC1">
              <w:t>DATE</w:t>
            </w:r>
          </w:p>
        </w:tc>
        <w:tc>
          <w:tcPr>
            <w:tcW w:w="3420" w:type="dxa"/>
            <w:tcBorders>
              <w:bottom w:val="single" w:sz="2" w:space="0" w:color="auto"/>
            </w:tcBorders>
          </w:tcPr>
          <w:p w14:paraId="2B76029A" w14:textId="77777777" w:rsidR="00404F34" w:rsidRPr="00026EC1" w:rsidRDefault="00404F34" w:rsidP="007F120F">
            <w:pPr>
              <w:keepNext w:val="0"/>
            </w:pPr>
          </w:p>
        </w:tc>
        <w:tc>
          <w:tcPr>
            <w:tcW w:w="360" w:type="dxa"/>
          </w:tcPr>
          <w:p w14:paraId="694E9D98" w14:textId="77777777" w:rsidR="00404F34" w:rsidRPr="00026EC1" w:rsidRDefault="00404F34" w:rsidP="007F120F">
            <w:pPr>
              <w:keepNext w:val="0"/>
            </w:pPr>
          </w:p>
        </w:tc>
        <w:tc>
          <w:tcPr>
            <w:tcW w:w="1800" w:type="dxa"/>
          </w:tcPr>
          <w:p w14:paraId="0800AD49" w14:textId="77777777" w:rsidR="00404F34" w:rsidRPr="00026EC1" w:rsidRDefault="00404F34" w:rsidP="007F120F">
            <w:pPr>
              <w:keepNext w:val="0"/>
            </w:pPr>
            <w:r w:rsidRPr="00026EC1">
              <w:t>SIGNATURE</w:t>
            </w:r>
          </w:p>
        </w:tc>
        <w:tc>
          <w:tcPr>
            <w:tcW w:w="3405" w:type="dxa"/>
            <w:tcBorders>
              <w:bottom w:val="single" w:sz="2" w:space="0" w:color="auto"/>
            </w:tcBorders>
          </w:tcPr>
          <w:p w14:paraId="1D046D90" w14:textId="77777777" w:rsidR="00404F34" w:rsidRPr="00026EC1" w:rsidRDefault="00404F34" w:rsidP="007F120F">
            <w:pPr>
              <w:keepNext w:val="0"/>
            </w:pPr>
          </w:p>
        </w:tc>
      </w:tr>
    </w:tbl>
    <w:p w14:paraId="6D08E188" w14:textId="77777777" w:rsidR="001811C9" w:rsidRDefault="001811C9" w:rsidP="007F120F">
      <w:pPr>
        <w:pStyle w:val="Heading1"/>
        <w:keepNext w:val="0"/>
        <w:tabs>
          <w:tab w:val="left" w:pos="1701"/>
          <w:tab w:val="left" w:pos="1985"/>
        </w:tabs>
        <w:sectPr w:rsidR="001811C9" w:rsidSect="002B176A">
          <w:footnotePr>
            <w:numRestart w:val="eachPage"/>
          </w:footnotePr>
          <w:pgSz w:w="12240" w:h="15840" w:code="1"/>
          <w:pgMar w:top="720" w:right="1077" w:bottom="1242" w:left="1684" w:header="709" w:footer="709" w:gutter="0"/>
          <w:cols w:space="708"/>
          <w:docGrid w:linePitch="360"/>
        </w:sectPr>
      </w:pPr>
    </w:p>
    <w:p w14:paraId="6F3ABE9C" w14:textId="1348934D" w:rsidR="00404F34" w:rsidRPr="00026EC1" w:rsidRDefault="00BC4A82" w:rsidP="00230955">
      <w:pPr>
        <w:pStyle w:val="Heading1"/>
        <w:keepNext w:val="0"/>
        <w:tabs>
          <w:tab w:val="left" w:pos="1701"/>
          <w:tab w:val="left" w:pos="1985"/>
        </w:tabs>
        <w:spacing w:after="0"/>
      </w:pPr>
      <w:bookmarkStart w:id="1223" w:name="_Toc535046678"/>
      <w:bookmarkStart w:id="1224" w:name="_Toc133760847"/>
      <w:bookmarkStart w:id="1225" w:name="_Toc133916995"/>
      <w:bookmarkStart w:id="1226" w:name="_Toc134437270"/>
      <w:bookmarkStart w:id="1227" w:name="_Toc393449064"/>
      <w:bookmarkStart w:id="1228" w:name="_Toc393449433"/>
      <w:r w:rsidRPr="00026EC1">
        <w:t>SECTION III</w:t>
      </w:r>
      <w:r w:rsidR="0084152D">
        <w:t xml:space="preserve"> </w:t>
      </w:r>
      <w:r w:rsidR="002F5A0C">
        <w:t>-</w:t>
      </w:r>
      <w:r w:rsidR="0084152D">
        <w:t xml:space="preserve"> </w:t>
      </w:r>
      <w:r w:rsidR="00404F34" w:rsidRPr="00026EC1">
        <w:t>ANNEXES PARTICULIÈRES À CERTAINS COLLÈGES</w:t>
      </w:r>
      <w:bookmarkEnd w:id="1223"/>
      <w:bookmarkEnd w:id="1224"/>
      <w:bookmarkEnd w:id="1225"/>
      <w:bookmarkEnd w:id="1226"/>
      <w:bookmarkEnd w:id="1227"/>
      <w:bookmarkEnd w:id="1228"/>
      <w:r w:rsidR="0084152D" w:rsidRPr="0035151D">
        <w:fldChar w:fldCharType="begin"/>
      </w:r>
      <w:r w:rsidR="0084152D" w:rsidRPr="0035151D">
        <w:instrText xml:space="preserve"> TC " </w:instrText>
      </w:r>
      <w:bookmarkStart w:id="1229" w:name="_Toc94954702"/>
      <w:bookmarkStart w:id="1230" w:name="_Toc94966379"/>
      <w:bookmarkStart w:id="1231" w:name="_Toc95035257"/>
      <w:bookmarkStart w:id="1232" w:name="_Toc95035400"/>
      <w:bookmarkStart w:id="1233" w:name="_Toc95035543"/>
      <w:bookmarkStart w:id="1234" w:name="_Toc95035688"/>
      <w:bookmarkStart w:id="1235" w:name="_Toc157589313"/>
      <w:bookmarkStart w:id="1236" w:name="_Toc161323766"/>
      <w:bookmarkStart w:id="1237" w:name="_Toc163483106"/>
      <w:bookmarkStart w:id="1238" w:name="_Toc163483705"/>
      <w:bookmarkStart w:id="1239" w:name="_Toc163483895"/>
      <w:bookmarkStart w:id="1240" w:name="_Toc167870865"/>
      <w:bookmarkStart w:id="1241" w:name="_Toc167871029"/>
      <w:bookmarkStart w:id="1242" w:name="_Toc167871185"/>
      <w:bookmarkStart w:id="1243" w:name="_Toc167871361"/>
      <w:bookmarkStart w:id="1244" w:name="_Toc168049430"/>
      <w:bookmarkStart w:id="1245" w:name="_Toc168401594"/>
      <w:bookmarkStart w:id="1246" w:name="_Toc168402210"/>
      <w:bookmarkStart w:id="1247" w:name="_Toc168409646"/>
      <w:bookmarkStart w:id="1248" w:name="_Toc168410400"/>
      <w:bookmarkStart w:id="1249" w:name="_Toc168410646"/>
      <w:bookmarkStart w:id="1250" w:name="_Toc168410887"/>
      <w:bookmarkStart w:id="1251" w:name="_Toc168479593"/>
      <w:r w:rsidR="0084152D">
        <w:instrText>section iiI</w:instrText>
      </w:r>
      <w:r w:rsidR="0084152D" w:rsidRPr="0035151D">
        <w:instrText xml:space="preserve">  </w:instrText>
      </w:r>
      <w:r w:rsidR="002F5A0C">
        <w:instrText>-</w:instrText>
      </w:r>
      <w:r w:rsidR="0084152D" w:rsidRPr="0035151D">
        <w:instrText xml:space="preserve">  </w:instrText>
      </w:r>
      <w:r w:rsidR="0084152D">
        <w:instrText>annexes particulières à certains collèges</w:instrTex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0084152D" w:rsidRPr="0035151D">
        <w:instrText>"\N</w:instrText>
      </w:r>
      <w:r w:rsidR="0084152D" w:rsidRPr="0035151D">
        <w:fldChar w:fldCharType="end"/>
      </w:r>
    </w:p>
    <w:p w14:paraId="3BAF5AD0" w14:textId="29390247" w:rsidR="00404F34" w:rsidRPr="004365C2" w:rsidRDefault="001C64B5" w:rsidP="007F120F">
      <w:pPr>
        <w:pStyle w:val="Heading3"/>
        <w:keepNext w:val="0"/>
      </w:pPr>
      <w:bookmarkStart w:id="1252" w:name="_Toc535046679"/>
      <w:bookmarkStart w:id="1253" w:name="_Toc133760848"/>
      <w:bookmarkStart w:id="1254" w:name="_Toc133916996"/>
      <w:bookmarkStart w:id="1255" w:name="_Toc134437271"/>
      <w:bookmarkStart w:id="1256" w:name="_Toc393449066"/>
      <w:bookmarkStart w:id="1257" w:name="_Toc393449435"/>
      <w:bookmarkStart w:id="1258" w:name="_Toc462751560"/>
      <w:bookmarkStart w:id="1259" w:name="_Toc484082577"/>
      <w:bookmarkStart w:id="1260" w:name="_Toc168479594"/>
      <w:r w:rsidRPr="004365C2">
        <w:t>Annexe III</w:t>
      </w:r>
      <w:r w:rsidR="002F5A0C">
        <w:t>-</w:t>
      </w:r>
      <w:r w:rsidRPr="004365C2">
        <w:t>1</w:t>
      </w:r>
      <w:bookmarkEnd w:id="1252"/>
      <w:bookmarkEnd w:id="1253"/>
      <w:bookmarkEnd w:id="1254"/>
      <w:bookmarkEnd w:id="1255"/>
      <w:r w:rsidRPr="004365C2">
        <w:br/>
      </w:r>
      <w:r w:rsidRPr="004365C2">
        <w:br/>
      </w:r>
      <w:bookmarkStart w:id="1261" w:name="_Toc535046680"/>
      <w:bookmarkStart w:id="1262" w:name="_Toc133760849"/>
      <w:r w:rsidRPr="004365C2">
        <w:t>Annexe relative aux conditions de travail applicables aux enseignantes et enseignants de l’enseignement aéronautique du Collège de Chicoutimi</w:t>
      </w:r>
      <w:bookmarkEnd w:id="1256"/>
      <w:bookmarkEnd w:id="1257"/>
      <w:bookmarkEnd w:id="1258"/>
      <w:bookmarkEnd w:id="1259"/>
      <w:bookmarkEnd w:id="1261"/>
      <w:bookmarkEnd w:id="1262"/>
      <w:r w:rsidR="00851127">
        <w:t> </w:t>
      </w:r>
      <w:r w:rsidR="00851127" w:rsidRPr="00316277">
        <w:t>(CQFA)</w:t>
      </w:r>
      <w:bookmarkEnd w:id="1260"/>
    </w:p>
    <w:p w14:paraId="513BA604" w14:textId="3B90E52A" w:rsidR="00AA36ED" w:rsidRPr="00026EC1" w:rsidRDefault="00275751" w:rsidP="007F120F">
      <w:pPr>
        <w:keepNext w:val="0"/>
        <w:tabs>
          <w:tab w:val="left" w:pos="567"/>
        </w:tabs>
        <w:ind w:left="567" w:hanging="567"/>
      </w:pPr>
      <w:r w:rsidRPr="00026EC1">
        <w:t>01.</w:t>
      </w:r>
      <w:r w:rsidRPr="00026EC1">
        <w:tab/>
      </w:r>
      <w:r w:rsidR="00AA36ED" w:rsidRPr="00026EC1">
        <w:t>La présente annexe</w:t>
      </w:r>
      <w:r w:rsidR="00656A1E" w:rsidRPr="00026EC1">
        <w:t xml:space="preserve"> </w:t>
      </w:r>
      <w:r w:rsidR="00AA36ED" w:rsidRPr="00026EC1">
        <w:t>modifie les stipulations prévues dans la convention collective lorsqu</w:t>
      </w:r>
      <w:r w:rsidR="00BC3319" w:rsidRPr="00026EC1">
        <w:t>’</w:t>
      </w:r>
      <w:r w:rsidR="00AA36ED" w:rsidRPr="00026EC1">
        <w:t>elles s</w:t>
      </w:r>
      <w:r w:rsidR="00BC3319" w:rsidRPr="00026EC1">
        <w:t>’</w:t>
      </w:r>
      <w:r w:rsidR="00AA36ED" w:rsidRPr="00026EC1">
        <w:t>appliquent aux enseignantes et enseignants visés par l</w:t>
      </w:r>
      <w:r w:rsidR="00BC3319" w:rsidRPr="00026EC1">
        <w:t>’</w:t>
      </w:r>
      <w:r w:rsidR="00AA36ED" w:rsidRPr="00026EC1">
        <w:t>accréditation émise en faveur du Syndicat des professeurs et répartiteurs du</w:t>
      </w:r>
      <w:r w:rsidR="00851127">
        <w:rPr>
          <w:bCs/>
        </w:rPr>
        <w:t xml:space="preserve"> </w:t>
      </w:r>
      <w:r w:rsidR="00851127" w:rsidRPr="00316277">
        <w:rPr>
          <w:bCs/>
        </w:rPr>
        <w:t>CQFA</w:t>
      </w:r>
      <w:r w:rsidR="00AA36ED" w:rsidRPr="00026EC1">
        <w:rPr>
          <w:bCs/>
        </w:rPr>
        <w:t>.</w:t>
      </w:r>
    </w:p>
    <w:p w14:paraId="785CDA17" w14:textId="77777777" w:rsidR="00AA36ED" w:rsidRPr="00026EC1" w:rsidRDefault="00AA36ED" w:rsidP="007F120F">
      <w:pPr>
        <w:keepNext w:val="0"/>
      </w:pPr>
    </w:p>
    <w:p w14:paraId="1D27A11D" w14:textId="77777777" w:rsidR="00AA36ED" w:rsidRPr="00026EC1" w:rsidRDefault="00275751" w:rsidP="007F120F">
      <w:pPr>
        <w:keepNext w:val="0"/>
        <w:tabs>
          <w:tab w:val="left" w:pos="567"/>
        </w:tabs>
        <w:ind w:left="567" w:hanging="567"/>
      </w:pPr>
      <w:r w:rsidRPr="00026EC1">
        <w:t>02.</w:t>
      </w:r>
      <w:r w:rsidRPr="00026EC1">
        <w:tab/>
      </w:r>
      <w:r w:rsidR="00AA36ED" w:rsidRPr="00026EC1">
        <w:t>Le mot « enseignante », le mot « enseignant » et l</w:t>
      </w:r>
      <w:r w:rsidR="00BC3319" w:rsidRPr="00026EC1">
        <w:t>’</w:t>
      </w:r>
      <w:r w:rsidR="00AA36ED" w:rsidRPr="00026EC1">
        <w:t>expression « enseignante ou enseignant » utilisés dans une disposition de la convention collective signifient « enseignante et répartitrice », « enseignant et répartiteur », « enseignante ou enseignant et répartitrice ou répartiteur » lorsque cette disposition s</w:t>
      </w:r>
      <w:r w:rsidR="00BC3319" w:rsidRPr="00026EC1">
        <w:t>’</w:t>
      </w:r>
      <w:r w:rsidR="00AA36ED" w:rsidRPr="00026EC1">
        <w:t>applique spécifiquement aux parties visées par la présente annexe.</w:t>
      </w:r>
    </w:p>
    <w:p w14:paraId="145C99A6" w14:textId="77777777" w:rsidR="00AA36ED" w:rsidRPr="00026EC1" w:rsidRDefault="00AA36ED" w:rsidP="007F120F">
      <w:pPr>
        <w:keepNext w:val="0"/>
      </w:pPr>
    </w:p>
    <w:p w14:paraId="3F7F2D0D" w14:textId="172A89E0" w:rsidR="00AA36ED" w:rsidRPr="00026EC1" w:rsidRDefault="00275751" w:rsidP="007F120F">
      <w:pPr>
        <w:keepNext w:val="0"/>
        <w:tabs>
          <w:tab w:val="left" w:pos="567"/>
        </w:tabs>
        <w:ind w:left="567" w:hanging="567"/>
      </w:pPr>
      <w:r w:rsidRPr="00026EC1">
        <w:t>03.</w:t>
      </w:r>
      <w:r w:rsidRPr="00026EC1">
        <w:tab/>
      </w:r>
      <w:r w:rsidR="00AA36ED" w:rsidRPr="00026EC1">
        <w:t>L</w:t>
      </w:r>
      <w:r w:rsidR="00BC3319" w:rsidRPr="00026EC1">
        <w:t>’</w:t>
      </w:r>
      <w:r w:rsidR="00AA36ED" w:rsidRPr="00026EC1">
        <w:t>article 1</w:t>
      </w:r>
      <w:r w:rsidR="00984A6F">
        <w:noBreakHyphen/>
      </w:r>
      <w:r w:rsidR="00AA36ED" w:rsidRPr="00026EC1">
        <w:t>2.00 est modifié de la façon suivante</w:t>
      </w:r>
      <w:r w:rsidR="00D8581B">
        <w:t> :</w:t>
      </w:r>
    </w:p>
    <w:p w14:paraId="0CF02AF6" w14:textId="77777777" w:rsidR="00AA36ED" w:rsidRPr="00026EC1" w:rsidRDefault="00AA36ED" w:rsidP="007F120F">
      <w:pPr>
        <w:keepNext w:val="0"/>
      </w:pPr>
    </w:p>
    <w:p w14:paraId="74ACCDAC" w14:textId="26AA6CDD" w:rsidR="00AA36ED" w:rsidRPr="00026EC1" w:rsidRDefault="00275751" w:rsidP="007F120F">
      <w:pPr>
        <w:keepNext w:val="0"/>
        <w:tabs>
          <w:tab w:val="left" w:pos="1134"/>
        </w:tabs>
        <w:ind w:left="1134" w:hanging="567"/>
      </w:pPr>
      <w:r w:rsidRPr="00026EC1">
        <w:t>a)</w:t>
      </w:r>
      <w:r w:rsidRPr="00026EC1">
        <w:tab/>
      </w:r>
      <w:r w:rsidR="00AA36ED" w:rsidRPr="00026EC1">
        <w:t>la clause 1</w:t>
      </w:r>
      <w:r w:rsidR="00984A6F">
        <w:noBreakHyphen/>
      </w:r>
      <w:r w:rsidR="00AA36ED" w:rsidRPr="00026EC1">
        <w:t>2.02 est remplacée par</w:t>
      </w:r>
      <w:r w:rsidR="00D8581B">
        <w:t> :</w:t>
      </w:r>
    </w:p>
    <w:p w14:paraId="245B2311" w14:textId="77777777" w:rsidR="00AA36ED" w:rsidRPr="00026EC1" w:rsidRDefault="00AA36ED" w:rsidP="007F120F">
      <w:pPr>
        <w:keepNext w:val="0"/>
      </w:pPr>
    </w:p>
    <w:p w14:paraId="575D0616" w14:textId="0A0F1BA0" w:rsidR="00AA36ED" w:rsidRPr="00026EC1" w:rsidRDefault="00AA36ED" w:rsidP="007F120F">
      <w:pPr>
        <w:pStyle w:val="Texte1cm"/>
        <w:keepNext w:val="0"/>
        <w:rPr>
          <w:b/>
          <w:bCs/>
        </w:rPr>
      </w:pPr>
      <w:r w:rsidRPr="00026EC1">
        <w:rPr>
          <w:b/>
          <w:bCs/>
        </w:rPr>
        <w:t>1</w:t>
      </w:r>
      <w:r w:rsidR="00984A6F">
        <w:rPr>
          <w:b/>
          <w:bCs/>
        </w:rPr>
        <w:noBreakHyphen/>
      </w:r>
      <w:r w:rsidRPr="00026EC1">
        <w:rPr>
          <w:b/>
          <w:bCs/>
        </w:rPr>
        <w:t>2.02</w:t>
      </w:r>
      <w:r w:rsidRPr="00026EC1">
        <w:rPr>
          <w:b/>
          <w:bCs/>
        </w:rPr>
        <w:tab/>
      </w:r>
      <w:r w:rsidRPr="00026EC1">
        <w:rPr>
          <w:b/>
          <w:bCs/>
          <w:u w:val="single"/>
        </w:rPr>
        <w:t>Année d</w:t>
      </w:r>
      <w:r w:rsidR="00BC3319" w:rsidRPr="00026EC1">
        <w:rPr>
          <w:b/>
          <w:bCs/>
          <w:u w:val="single"/>
        </w:rPr>
        <w:t>’</w:t>
      </w:r>
      <w:r w:rsidRPr="00026EC1">
        <w:rPr>
          <w:b/>
          <w:bCs/>
          <w:u w:val="single"/>
        </w:rPr>
        <w:t>engagement</w:t>
      </w:r>
      <w:r w:rsidR="00D8581B">
        <w:rPr>
          <w:b/>
          <w:bCs/>
        </w:rPr>
        <w:t> :</w:t>
      </w:r>
    </w:p>
    <w:p w14:paraId="26BF5BB3" w14:textId="21A4C97A" w:rsidR="00AA36ED" w:rsidRPr="00026EC1" w:rsidRDefault="00AA36ED" w:rsidP="007F120F">
      <w:pPr>
        <w:pStyle w:val="Texte1cm"/>
        <w:keepNext w:val="0"/>
      </w:pPr>
      <w:r w:rsidRPr="00026EC1">
        <w:t>Période de douze</w:t>
      </w:r>
      <w:r w:rsidR="00693C43">
        <w:t> </w:t>
      </w:r>
      <w:r w:rsidRPr="00026EC1">
        <w:t>(12) mois prévue au contrat individuel de travail durant laquelle l</w:t>
      </w:r>
      <w:r w:rsidR="00BC3319" w:rsidRPr="00026EC1">
        <w:t>’</w:t>
      </w:r>
      <w:r w:rsidRPr="00026EC1">
        <w:t>enseignante ou l</w:t>
      </w:r>
      <w:r w:rsidR="00BC3319" w:rsidRPr="00026EC1">
        <w:t>’</w:t>
      </w:r>
      <w:r w:rsidRPr="00026EC1">
        <w:t>enseignant est à l</w:t>
      </w:r>
      <w:r w:rsidR="00BC3319" w:rsidRPr="00026EC1">
        <w:t>’</w:t>
      </w:r>
      <w:r w:rsidRPr="00026EC1">
        <w:t>emploi du Collège et comprenant dix (10) mois de disponibilité au sens de la convention collective, compte tenu de l</w:t>
      </w:r>
      <w:r w:rsidR="00BC3319" w:rsidRPr="00026EC1">
        <w:t>’</w:t>
      </w:r>
      <w:r w:rsidRPr="00026EC1">
        <w:t>application du régime de vacances prévu à la convention collective.</w:t>
      </w:r>
    </w:p>
    <w:p w14:paraId="162DB679" w14:textId="77777777" w:rsidR="00AA36ED" w:rsidRPr="00026EC1" w:rsidRDefault="00AA36ED" w:rsidP="007F120F">
      <w:pPr>
        <w:keepNext w:val="0"/>
      </w:pPr>
    </w:p>
    <w:p w14:paraId="72BE0EA1" w14:textId="1D73D4A7" w:rsidR="00AA36ED" w:rsidRPr="00026EC1" w:rsidRDefault="00275751" w:rsidP="007F120F">
      <w:pPr>
        <w:keepNext w:val="0"/>
        <w:tabs>
          <w:tab w:val="left" w:pos="1134"/>
        </w:tabs>
        <w:ind w:left="1134" w:hanging="567"/>
      </w:pPr>
      <w:r w:rsidRPr="00026EC1">
        <w:t>b)</w:t>
      </w:r>
      <w:r w:rsidRPr="00026EC1">
        <w:tab/>
      </w:r>
      <w:r w:rsidR="00AA36ED" w:rsidRPr="00026EC1">
        <w:t>la clause 1</w:t>
      </w:r>
      <w:r w:rsidR="00984A6F">
        <w:noBreakHyphen/>
      </w:r>
      <w:r w:rsidR="00AA36ED" w:rsidRPr="00026EC1">
        <w:t>2.10 est remplacée par</w:t>
      </w:r>
      <w:r w:rsidR="00D8581B">
        <w:t> :</w:t>
      </w:r>
    </w:p>
    <w:p w14:paraId="00442C0E" w14:textId="77777777" w:rsidR="00AA36ED" w:rsidRPr="00026EC1" w:rsidRDefault="00AA36ED" w:rsidP="007F120F">
      <w:pPr>
        <w:keepNext w:val="0"/>
      </w:pPr>
    </w:p>
    <w:p w14:paraId="525AC869" w14:textId="606B3387" w:rsidR="00AA36ED" w:rsidRPr="00026EC1" w:rsidRDefault="00AA36ED" w:rsidP="007F120F">
      <w:pPr>
        <w:pStyle w:val="Texte1cm"/>
        <w:keepNext w:val="0"/>
        <w:rPr>
          <w:b/>
          <w:bCs/>
        </w:rPr>
      </w:pPr>
      <w:r w:rsidRPr="00026EC1">
        <w:rPr>
          <w:b/>
          <w:bCs/>
        </w:rPr>
        <w:t>1</w:t>
      </w:r>
      <w:r w:rsidR="00984A6F">
        <w:rPr>
          <w:b/>
          <w:bCs/>
        </w:rPr>
        <w:noBreakHyphen/>
      </w:r>
      <w:r w:rsidRPr="00026EC1">
        <w:rPr>
          <w:b/>
          <w:bCs/>
        </w:rPr>
        <w:t>2.10</w:t>
      </w:r>
      <w:r w:rsidRPr="00026EC1">
        <w:rPr>
          <w:b/>
          <w:bCs/>
        </w:rPr>
        <w:tab/>
      </w:r>
      <w:r w:rsidRPr="00026EC1">
        <w:rPr>
          <w:b/>
          <w:bCs/>
          <w:u w:val="single"/>
        </w:rPr>
        <w:t>Enseignante ou enseignant</w:t>
      </w:r>
      <w:r w:rsidR="00D8581B">
        <w:rPr>
          <w:b/>
          <w:bCs/>
        </w:rPr>
        <w:t> :</w:t>
      </w:r>
    </w:p>
    <w:p w14:paraId="7FC74E3E" w14:textId="77777777" w:rsidR="00AA36ED" w:rsidRPr="00026EC1" w:rsidRDefault="00AA36ED" w:rsidP="007F120F">
      <w:pPr>
        <w:pStyle w:val="Texte1cm"/>
        <w:keepNext w:val="0"/>
      </w:pPr>
      <w:r w:rsidRPr="00026EC1">
        <w:t>Personne engagée par le Collège pour assumer une charge telle qu</w:t>
      </w:r>
      <w:r w:rsidR="00BC3319" w:rsidRPr="00026EC1">
        <w:t>’</w:t>
      </w:r>
      <w:r w:rsidRPr="00026EC1">
        <w:t>elle est décrite à la présente annexe.</w:t>
      </w:r>
    </w:p>
    <w:p w14:paraId="1C11908B" w14:textId="77777777" w:rsidR="00AA36ED" w:rsidRPr="00026EC1" w:rsidRDefault="00AA36ED" w:rsidP="007F120F">
      <w:pPr>
        <w:keepNext w:val="0"/>
      </w:pPr>
    </w:p>
    <w:p w14:paraId="68E2ED40" w14:textId="4797E0C5" w:rsidR="00AA36ED" w:rsidRPr="00026EC1" w:rsidRDefault="00275751" w:rsidP="007F120F">
      <w:pPr>
        <w:keepNext w:val="0"/>
        <w:tabs>
          <w:tab w:val="left" w:pos="1134"/>
        </w:tabs>
        <w:ind w:left="1134" w:hanging="567"/>
      </w:pPr>
      <w:r w:rsidRPr="00026EC1">
        <w:t>c)</w:t>
      </w:r>
      <w:r w:rsidRPr="00026EC1">
        <w:tab/>
      </w:r>
      <w:r w:rsidR="00AA36ED" w:rsidRPr="00026EC1">
        <w:t>la clause</w:t>
      </w:r>
      <w:r w:rsidR="00500B67" w:rsidRPr="00026EC1">
        <w:t> </w:t>
      </w:r>
      <w:r w:rsidR="00AA36ED" w:rsidRPr="00026EC1">
        <w:t>1</w:t>
      </w:r>
      <w:r w:rsidR="00984A6F">
        <w:noBreakHyphen/>
      </w:r>
      <w:r w:rsidR="00AA36ED" w:rsidRPr="00026EC1">
        <w:t>2.15 est remplacée par</w:t>
      </w:r>
      <w:r w:rsidR="00D8581B">
        <w:t> :</w:t>
      </w:r>
    </w:p>
    <w:p w14:paraId="64B49866" w14:textId="77777777" w:rsidR="00AA36ED" w:rsidRPr="00026EC1" w:rsidRDefault="00AA36ED" w:rsidP="007F120F">
      <w:pPr>
        <w:keepNext w:val="0"/>
      </w:pPr>
    </w:p>
    <w:p w14:paraId="7F476D53" w14:textId="3A9B860F" w:rsidR="00AA36ED" w:rsidRPr="00026EC1" w:rsidRDefault="00AA36ED" w:rsidP="007F120F">
      <w:pPr>
        <w:pStyle w:val="Texte1cm"/>
        <w:keepNext w:val="0"/>
        <w:rPr>
          <w:b/>
          <w:bCs/>
        </w:rPr>
      </w:pPr>
      <w:r w:rsidRPr="00026EC1">
        <w:rPr>
          <w:b/>
          <w:bCs/>
        </w:rPr>
        <w:t>1</w:t>
      </w:r>
      <w:r w:rsidR="00984A6F">
        <w:rPr>
          <w:b/>
          <w:bCs/>
        </w:rPr>
        <w:noBreakHyphen/>
      </w:r>
      <w:r w:rsidRPr="00026EC1">
        <w:rPr>
          <w:b/>
          <w:bCs/>
        </w:rPr>
        <w:t>2.15</w:t>
      </w:r>
      <w:r w:rsidRPr="00026EC1">
        <w:rPr>
          <w:b/>
          <w:bCs/>
        </w:rPr>
        <w:tab/>
      </w:r>
      <w:r w:rsidRPr="00026EC1">
        <w:rPr>
          <w:b/>
          <w:bCs/>
          <w:u w:val="single"/>
        </w:rPr>
        <w:t>Enseignante ou enseignant à temps complet</w:t>
      </w:r>
      <w:r w:rsidR="00D8581B">
        <w:rPr>
          <w:b/>
          <w:bCs/>
        </w:rPr>
        <w:t> :</w:t>
      </w:r>
    </w:p>
    <w:p w14:paraId="500A5299" w14:textId="77777777" w:rsidR="00230955" w:rsidRDefault="00AA36ED" w:rsidP="007F120F">
      <w:pPr>
        <w:pStyle w:val="Texte1cm"/>
        <w:keepNext w:val="0"/>
        <w:sectPr w:rsidR="00230955" w:rsidSect="002B176A">
          <w:headerReference w:type="default" r:id="rId46"/>
          <w:footnotePr>
            <w:numRestart w:val="eachPage"/>
          </w:footnotePr>
          <w:pgSz w:w="12240" w:h="15840" w:code="1"/>
          <w:pgMar w:top="720" w:right="1077" w:bottom="1242" w:left="1684" w:header="709" w:footer="709" w:gutter="0"/>
          <w:cols w:space="708"/>
          <w:docGrid w:linePitch="360"/>
        </w:sectPr>
      </w:pPr>
      <w:r w:rsidRPr="00026EC1">
        <w:t>Enseignante ou enseignant engagé à ce titre par le Collège par un contrat d</w:t>
      </w:r>
      <w:r w:rsidR="00BC3319" w:rsidRPr="00026EC1">
        <w:t>’</w:t>
      </w:r>
      <w:r w:rsidRPr="00026EC1">
        <w:t>engagement de douze (12) mois pour assumer une charge complète à l</w:t>
      </w:r>
      <w:r w:rsidR="00BC3319" w:rsidRPr="00026EC1">
        <w:t>’</w:t>
      </w:r>
      <w:r w:rsidRPr="00026EC1">
        <w:t xml:space="preserve">enseignement régulier ou pour combler une charge à temps complet à la formation continue, conformément à la présente annexe. </w:t>
      </w:r>
    </w:p>
    <w:p w14:paraId="7239F50C" w14:textId="7982DF86" w:rsidR="00AA36ED" w:rsidRPr="00026EC1" w:rsidRDefault="00AA36ED" w:rsidP="007F120F">
      <w:pPr>
        <w:pStyle w:val="Texte1cm"/>
        <w:keepNext w:val="0"/>
      </w:pPr>
      <w:r w:rsidRPr="00026EC1">
        <w:t>Toutefois, l</w:t>
      </w:r>
      <w:r w:rsidR="00BC3319" w:rsidRPr="00026EC1">
        <w:t>’</w:t>
      </w:r>
      <w:r w:rsidRPr="00026EC1">
        <w:t>enseignante ou l</w:t>
      </w:r>
      <w:r w:rsidR="00BC3319" w:rsidRPr="00026EC1">
        <w:t>’</w:t>
      </w:r>
      <w:r w:rsidRPr="00026EC1">
        <w:t>enseignant engagé avant le 1</w:t>
      </w:r>
      <w:r w:rsidRPr="00026EC1">
        <w:rPr>
          <w:vertAlign w:val="superscript"/>
        </w:rPr>
        <w:t>er</w:t>
      </w:r>
      <w:r w:rsidRPr="00026EC1">
        <w:t> septembre pour assumer une charge complète d</w:t>
      </w:r>
      <w:r w:rsidR="00BC3319" w:rsidRPr="00026EC1">
        <w:t>’</w:t>
      </w:r>
      <w:r w:rsidRPr="00026EC1">
        <w:t>enseignement à l</w:t>
      </w:r>
      <w:r w:rsidR="00BC3319" w:rsidRPr="00026EC1">
        <w:t>’</w:t>
      </w:r>
      <w:r w:rsidRPr="00026EC1">
        <w:t>enseignement régulier détient un contrat à temps complet</w:t>
      </w:r>
      <w:r w:rsidR="00312F20" w:rsidRPr="00026EC1">
        <w:t>,</w:t>
      </w:r>
      <w:r w:rsidRPr="00026EC1">
        <w:t xml:space="preserve"> sauf pour le salaire. De plus, l</w:t>
      </w:r>
      <w:r w:rsidR="00BC3319" w:rsidRPr="00026EC1">
        <w:t>’</w:t>
      </w:r>
      <w:r w:rsidRPr="00026EC1">
        <w:t>enseignante ou l</w:t>
      </w:r>
      <w:r w:rsidR="00BC3319" w:rsidRPr="00026EC1">
        <w:t>’</w:t>
      </w:r>
      <w:r w:rsidRPr="00026EC1">
        <w:t>enseignant visé par les alinéas</w:t>
      </w:r>
      <w:r w:rsidR="00BC3319" w:rsidRPr="00026EC1">
        <w:t> </w:t>
      </w:r>
      <w:r w:rsidRPr="00026EC1">
        <w:t>b), c) ou d) de la clause 5</w:t>
      </w:r>
      <w:r w:rsidR="00984A6F">
        <w:noBreakHyphen/>
      </w:r>
      <w:r w:rsidRPr="00026EC1">
        <w:t>1.03 détient un contrat à temps complet.</w:t>
      </w:r>
    </w:p>
    <w:p w14:paraId="347ABCC7" w14:textId="77777777" w:rsidR="006B5B8C" w:rsidRPr="00026EC1" w:rsidRDefault="006B5B8C" w:rsidP="007F120F">
      <w:pPr>
        <w:pStyle w:val="Texte1cm"/>
        <w:keepNext w:val="0"/>
      </w:pPr>
    </w:p>
    <w:p w14:paraId="63A8FC07" w14:textId="28BC863D" w:rsidR="00AA36ED" w:rsidRPr="00026EC1" w:rsidRDefault="00275751" w:rsidP="007F120F">
      <w:pPr>
        <w:keepNext w:val="0"/>
        <w:tabs>
          <w:tab w:val="left" w:pos="1134"/>
        </w:tabs>
        <w:ind w:left="1134" w:hanging="567"/>
      </w:pPr>
      <w:r w:rsidRPr="00026EC1">
        <w:t>d)</w:t>
      </w:r>
      <w:r w:rsidRPr="00026EC1">
        <w:tab/>
      </w:r>
      <w:r w:rsidR="00AA36ED" w:rsidRPr="00026EC1">
        <w:t>la clause</w:t>
      </w:r>
      <w:r w:rsidR="00BC3319" w:rsidRPr="00026EC1">
        <w:t xml:space="preserve"> </w:t>
      </w:r>
      <w:r w:rsidR="00AA36ED" w:rsidRPr="00026EC1">
        <w:t>suivante est ajoutée</w:t>
      </w:r>
      <w:r w:rsidR="00D8581B">
        <w:t> :</w:t>
      </w:r>
    </w:p>
    <w:p w14:paraId="64D97B4C" w14:textId="77777777" w:rsidR="00AA36ED" w:rsidRPr="00026EC1" w:rsidRDefault="00AA36ED" w:rsidP="007F120F">
      <w:pPr>
        <w:keepNext w:val="0"/>
      </w:pPr>
    </w:p>
    <w:p w14:paraId="065BFBE3" w14:textId="43C62AEC" w:rsidR="00AA36ED" w:rsidRPr="00026EC1" w:rsidRDefault="00AA36ED" w:rsidP="007F120F">
      <w:pPr>
        <w:pStyle w:val="Texte1cm"/>
        <w:keepNext w:val="0"/>
        <w:rPr>
          <w:b/>
          <w:bCs/>
        </w:rPr>
      </w:pPr>
      <w:r w:rsidRPr="00026EC1">
        <w:rPr>
          <w:b/>
          <w:bCs/>
        </w:rPr>
        <w:t>1</w:t>
      </w:r>
      <w:r w:rsidR="00984A6F">
        <w:rPr>
          <w:b/>
          <w:bCs/>
        </w:rPr>
        <w:noBreakHyphen/>
      </w:r>
      <w:r w:rsidRPr="00026EC1">
        <w:rPr>
          <w:b/>
          <w:bCs/>
        </w:rPr>
        <w:t>2.31</w:t>
      </w:r>
      <w:r w:rsidRPr="00026EC1">
        <w:rPr>
          <w:b/>
          <w:bCs/>
        </w:rPr>
        <w:tab/>
      </w:r>
      <w:r w:rsidRPr="00026EC1">
        <w:rPr>
          <w:b/>
          <w:bCs/>
          <w:u w:val="single"/>
        </w:rPr>
        <w:t>Qualification</w:t>
      </w:r>
      <w:r w:rsidR="00D8581B">
        <w:rPr>
          <w:b/>
          <w:bCs/>
        </w:rPr>
        <w:t> :</w:t>
      </w:r>
    </w:p>
    <w:p w14:paraId="11DAEED0" w14:textId="77777777" w:rsidR="00AA36ED" w:rsidRPr="00026EC1" w:rsidRDefault="00AA36ED" w:rsidP="007F120F">
      <w:pPr>
        <w:pStyle w:val="Texte1cm"/>
        <w:keepNext w:val="0"/>
      </w:pPr>
      <w:r w:rsidRPr="00026EC1">
        <w:t>Document légal délivré par Transports Canada permettant d</w:t>
      </w:r>
      <w:r w:rsidR="00BC3319" w:rsidRPr="00026EC1">
        <w:t>’</w:t>
      </w:r>
      <w:r w:rsidRPr="00026EC1">
        <w:t>élargir les privilèges de la licence délivrée par Transport</w:t>
      </w:r>
      <w:r w:rsidRPr="00026EC1">
        <w:rPr>
          <w:bCs/>
        </w:rPr>
        <w:t>s</w:t>
      </w:r>
      <w:r w:rsidRPr="00026EC1">
        <w:t xml:space="preserve"> Canada, tel que cela est stipulé dans le </w:t>
      </w:r>
      <w:r w:rsidRPr="00026EC1">
        <w:rPr>
          <w:bCs/>
          <w:iCs/>
        </w:rPr>
        <w:t>Règlement de l</w:t>
      </w:r>
      <w:r w:rsidR="00BC3319" w:rsidRPr="00026EC1">
        <w:rPr>
          <w:bCs/>
          <w:iCs/>
        </w:rPr>
        <w:t>’</w:t>
      </w:r>
      <w:r w:rsidRPr="00026EC1">
        <w:rPr>
          <w:bCs/>
          <w:iCs/>
        </w:rPr>
        <w:t>aviation canadien</w:t>
      </w:r>
      <w:r w:rsidRPr="00026EC1">
        <w:t>.</w:t>
      </w:r>
    </w:p>
    <w:p w14:paraId="17084FA5" w14:textId="77777777" w:rsidR="00AA36ED" w:rsidRPr="00026EC1" w:rsidRDefault="00AA36ED" w:rsidP="007F120F">
      <w:pPr>
        <w:keepNext w:val="0"/>
      </w:pPr>
    </w:p>
    <w:p w14:paraId="34E43B9E" w14:textId="30770819" w:rsidR="00AA36ED" w:rsidRPr="00026EC1" w:rsidRDefault="00275751" w:rsidP="007F120F">
      <w:pPr>
        <w:keepNext w:val="0"/>
        <w:tabs>
          <w:tab w:val="left" w:pos="1134"/>
        </w:tabs>
        <w:ind w:left="1134" w:hanging="567"/>
      </w:pPr>
      <w:r w:rsidRPr="00026EC1">
        <w:t>e)</w:t>
      </w:r>
      <w:r w:rsidRPr="00026EC1">
        <w:tab/>
      </w:r>
      <w:r w:rsidR="00AA36ED" w:rsidRPr="00026EC1">
        <w:t>la clause</w:t>
      </w:r>
      <w:r w:rsidR="00BC3319" w:rsidRPr="00026EC1">
        <w:t xml:space="preserve"> </w:t>
      </w:r>
      <w:r w:rsidR="00AA36ED" w:rsidRPr="00026EC1">
        <w:t>suivante est ajoutée</w:t>
      </w:r>
      <w:r w:rsidR="00D8581B">
        <w:t> :</w:t>
      </w:r>
    </w:p>
    <w:p w14:paraId="32CFEB99" w14:textId="77777777" w:rsidR="00AA36ED" w:rsidRPr="00026EC1" w:rsidRDefault="00AA36ED" w:rsidP="007F120F">
      <w:pPr>
        <w:keepNext w:val="0"/>
      </w:pPr>
    </w:p>
    <w:p w14:paraId="6D8E2632" w14:textId="7C52FA9E" w:rsidR="00AA36ED" w:rsidRPr="00026EC1" w:rsidRDefault="00AA36ED" w:rsidP="007F120F">
      <w:pPr>
        <w:pStyle w:val="Texte1cm"/>
        <w:keepNext w:val="0"/>
        <w:rPr>
          <w:b/>
          <w:bCs/>
        </w:rPr>
      </w:pPr>
      <w:r w:rsidRPr="00026EC1">
        <w:rPr>
          <w:b/>
          <w:bCs/>
        </w:rPr>
        <w:t>1</w:t>
      </w:r>
      <w:r w:rsidR="00984A6F">
        <w:rPr>
          <w:b/>
          <w:bCs/>
        </w:rPr>
        <w:noBreakHyphen/>
      </w:r>
      <w:r w:rsidRPr="00026EC1">
        <w:rPr>
          <w:b/>
          <w:bCs/>
        </w:rPr>
        <w:t>2.32</w:t>
      </w:r>
      <w:r w:rsidRPr="00026EC1">
        <w:rPr>
          <w:b/>
          <w:bCs/>
        </w:rPr>
        <w:tab/>
      </w:r>
      <w:r w:rsidRPr="00026EC1">
        <w:rPr>
          <w:b/>
          <w:bCs/>
          <w:u w:val="single"/>
        </w:rPr>
        <w:t>Licence</w:t>
      </w:r>
      <w:r w:rsidR="00D8581B">
        <w:rPr>
          <w:b/>
          <w:bCs/>
        </w:rPr>
        <w:t> :</w:t>
      </w:r>
    </w:p>
    <w:p w14:paraId="015C2F4C" w14:textId="77777777" w:rsidR="00AA36ED" w:rsidRPr="00026EC1" w:rsidRDefault="00AA36ED" w:rsidP="007F120F">
      <w:pPr>
        <w:pStyle w:val="Texte1cm"/>
        <w:keepNext w:val="0"/>
        <w:rPr>
          <w:strike/>
        </w:rPr>
      </w:pPr>
      <w:r w:rsidRPr="00026EC1">
        <w:t>Document légal délivré par Transport</w:t>
      </w:r>
      <w:r w:rsidRPr="00026EC1">
        <w:rPr>
          <w:bCs/>
        </w:rPr>
        <w:t>s</w:t>
      </w:r>
      <w:r w:rsidRPr="00026EC1">
        <w:t xml:space="preserve"> Canada, validé par un certificat médical, auquel s</w:t>
      </w:r>
      <w:r w:rsidR="00BC3319" w:rsidRPr="00026EC1">
        <w:t>’</w:t>
      </w:r>
      <w:r w:rsidRPr="00026EC1">
        <w:t xml:space="preserve">ajoutent des </w:t>
      </w:r>
      <w:r w:rsidRPr="00026EC1">
        <w:rPr>
          <w:bCs/>
        </w:rPr>
        <w:t xml:space="preserve">qualifications </w:t>
      </w:r>
      <w:r w:rsidRPr="00026EC1">
        <w:t xml:space="preserve">pour agir en tant que pilote conformément au </w:t>
      </w:r>
      <w:r w:rsidRPr="00026EC1">
        <w:rPr>
          <w:bCs/>
          <w:iCs/>
        </w:rPr>
        <w:t>Règlement de l</w:t>
      </w:r>
      <w:r w:rsidR="00BC3319" w:rsidRPr="00026EC1">
        <w:rPr>
          <w:bCs/>
          <w:iCs/>
        </w:rPr>
        <w:t>’</w:t>
      </w:r>
      <w:r w:rsidRPr="00026EC1">
        <w:rPr>
          <w:bCs/>
          <w:iCs/>
        </w:rPr>
        <w:t>aviation canadien</w:t>
      </w:r>
      <w:r w:rsidRPr="00026EC1">
        <w:rPr>
          <w:bCs/>
        </w:rPr>
        <w:t>.</w:t>
      </w:r>
    </w:p>
    <w:p w14:paraId="488F3613" w14:textId="77777777" w:rsidR="00AA36ED" w:rsidRPr="00026EC1" w:rsidRDefault="00AA36ED" w:rsidP="007F120F">
      <w:pPr>
        <w:keepNext w:val="0"/>
      </w:pPr>
    </w:p>
    <w:p w14:paraId="391A4AF9" w14:textId="4B760FCD" w:rsidR="00AA36ED" w:rsidRPr="00026EC1" w:rsidRDefault="00275751" w:rsidP="007F120F">
      <w:pPr>
        <w:keepNext w:val="0"/>
        <w:tabs>
          <w:tab w:val="left" w:pos="567"/>
        </w:tabs>
        <w:ind w:left="567" w:hanging="567"/>
      </w:pPr>
      <w:r w:rsidRPr="00026EC1">
        <w:t>04.</w:t>
      </w:r>
      <w:r w:rsidRPr="00026EC1">
        <w:tab/>
      </w:r>
      <w:r w:rsidR="00AA36ED" w:rsidRPr="00026EC1">
        <w:t>L</w:t>
      </w:r>
      <w:r w:rsidR="00BC3319" w:rsidRPr="00026EC1">
        <w:t>’</w:t>
      </w:r>
      <w:r w:rsidR="00AA36ED" w:rsidRPr="00026EC1">
        <w:t>article 5</w:t>
      </w:r>
      <w:r w:rsidR="00984A6F">
        <w:noBreakHyphen/>
      </w:r>
      <w:r w:rsidR="00AA36ED" w:rsidRPr="00026EC1">
        <w:t>1.00 est modifié en ajoutant la clause</w:t>
      </w:r>
      <w:r w:rsidR="00BC3319" w:rsidRPr="00026EC1">
        <w:t xml:space="preserve"> </w:t>
      </w:r>
      <w:r w:rsidR="00AA36ED" w:rsidRPr="00026EC1">
        <w:t>suivante</w:t>
      </w:r>
      <w:r w:rsidR="00D8581B">
        <w:t> :</w:t>
      </w:r>
    </w:p>
    <w:p w14:paraId="40BB101E" w14:textId="77777777" w:rsidR="00AA36ED" w:rsidRPr="00026EC1" w:rsidRDefault="00AA36ED" w:rsidP="007F120F">
      <w:pPr>
        <w:keepNext w:val="0"/>
      </w:pPr>
    </w:p>
    <w:p w14:paraId="63662AAF" w14:textId="0E741C2C" w:rsidR="00AA36ED" w:rsidRPr="00026EC1" w:rsidRDefault="00AA36ED" w:rsidP="007F120F">
      <w:pPr>
        <w:pStyle w:val="Texte1cm"/>
        <w:keepNext w:val="0"/>
        <w:tabs>
          <w:tab w:val="left" w:pos="1440"/>
        </w:tabs>
        <w:rPr>
          <w:b/>
          <w:bCs/>
        </w:rPr>
      </w:pPr>
      <w:r w:rsidRPr="00026EC1">
        <w:rPr>
          <w:b/>
          <w:bCs/>
        </w:rPr>
        <w:t>5</w:t>
      </w:r>
      <w:r w:rsidR="00984A6F">
        <w:rPr>
          <w:b/>
          <w:bCs/>
        </w:rPr>
        <w:noBreakHyphen/>
      </w:r>
      <w:r w:rsidRPr="00026EC1">
        <w:rPr>
          <w:b/>
          <w:bCs/>
        </w:rPr>
        <w:t>1.14</w:t>
      </w:r>
    </w:p>
    <w:p w14:paraId="618068F8" w14:textId="77777777" w:rsidR="00AA36ED" w:rsidRPr="00026EC1" w:rsidRDefault="00AA36ED" w:rsidP="007F120F">
      <w:pPr>
        <w:pStyle w:val="Texte1cm"/>
        <w:keepNext w:val="0"/>
        <w:tabs>
          <w:tab w:val="left" w:pos="1440"/>
        </w:tabs>
        <w:rPr>
          <w:b/>
          <w:bCs/>
        </w:rPr>
      </w:pPr>
      <w:r w:rsidRPr="00026EC1">
        <w:rPr>
          <w:b/>
          <w:bCs/>
        </w:rPr>
        <w:t xml:space="preserve">a) </w:t>
      </w:r>
      <w:r w:rsidRPr="00026EC1">
        <w:rPr>
          <w:b/>
          <w:bCs/>
          <w:u w:val="single"/>
        </w:rPr>
        <w:t>Certificat médical non valide</w:t>
      </w:r>
    </w:p>
    <w:p w14:paraId="1647D36E" w14:textId="22167F57" w:rsidR="00AA36ED" w:rsidRPr="00026EC1" w:rsidRDefault="00AA36ED" w:rsidP="007F120F">
      <w:pPr>
        <w:pStyle w:val="Texte1cm"/>
        <w:keepNext w:val="0"/>
      </w:pPr>
      <w:r w:rsidRPr="00026EC1">
        <w:t>Les dispositions relatives à l</w:t>
      </w:r>
      <w:r w:rsidR="00BC3319" w:rsidRPr="00026EC1">
        <w:t>’</w:t>
      </w:r>
      <w:r w:rsidRPr="00026EC1">
        <w:t>invalidité prévue à l</w:t>
      </w:r>
      <w:r w:rsidR="00BC3319" w:rsidRPr="00026EC1">
        <w:t>’</w:t>
      </w:r>
      <w:r w:rsidRPr="00026EC1">
        <w:t>article 5</w:t>
      </w:r>
      <w:r w:rsidR="00984A6F">
        <w:noBreakHyphen/>
      </w:r>
      <w:r w:rsidRPr="00026EC1">
        <w:t>5.00 s</w:t>
      </w:r>
      <w:r w:rsidR="00BC3319" w:rsidRPr="00026EC1">
        <w:t>’</w:t>
      </w:r>
      <w:r w:rsidRPr="00026EC1">
        <w:t>appliquent à l</w:t>
      </w:r>
      <w:r w:rsidR="00BC3319" w:rsidRPr="00026EC1">
        <w:t>’</w:t>
      </w:r>
      <w:r w:rsidRPr="00026EC1">
        <w:t>enseignante ou l</w:t>
      </w:r>
      <w:r w:rsidR="00BC3319" w:rsidRPr="00026EC1">
        <w:t>’</w:t>
      </w:r>
      <w:r w:rsidRPr="00026EC1">
        <w:t xml:space="preserve">enseignant au vol </w:t>
      </w:r>
      <w:r w:rsidRPr="00026EC1">
        <w:rPr>
          <w:bCs/>
        </w:rPr>
        <w:t>et au simulateur</w:t>
      </w:r>
      <w:r w:rsidRPr="00026EC1">
        <w:t xml:space="preserve"> </w:t>
      </w:r>
      <w:r w:rsidRPr="00026EC1">
        <w:rPr>
          <w:bCs/>
        </w:rPr>
        <w:t xml:space="preserve">qui ne détient pas un certificat médical valide au sens du </w:t>
      </w:r>
      <w:r w:rsidRPr="00026EC1">
        <w:rPr>
          <w:bCs/>
          <w:iCs/>
        </w:rPr>
        <w:t>Règlement de l</w:t>
      </w:r>
      <w:r w:rsidR="00BC3319" w:rsidRPr="00026EC1">
        <w:rPr>
          <w:bCs/>
          <w:iCs/>
        </w:rPr>
        <w:t>’</w:t>
      </w:r>
      <w:r w:rsidRPr="00026EC1">
        <w:rPr>
          <w:bCs/>
          <w:iCs/>
        </w:rPr>
        <w:t>aviation canadien</w:t>
      </w:r>
      <w:r w:rsidRPr="00026EC1">
        <w:t xml:space="preserve"> en raison d</w:t>
      </w:r>
      <w:r w:rsidR="00BC3319" w:rsidRPr="00026EC1">
        <w:t>’</w:t>
      </w:r>
      <w:r w:rsidRPr="00026EC1">
        <w:t>invalidité telle qu</w:t>
      </w:r>
      <w:r w:rsidR="00BC3319" w:rsidRPr="00026EC1">
        <w:t>’</w:t>
      </w:r>
      <w:r w:rsidRPr="00026EC1">
        <w:t>elle est définie à la clause 5</w:t>
      </w:r>
      <w:r w:rsidR="00984A6F">
        <w:noBreakHyphen/>
      </w:r>
      <w:r w:rsidRPr="00026EC1">
        <w:t>5.03.</w:t>
      </w:r>
    </w:p>
    <w:p w14:paraId="5C86D490" w14:textId="77777777" w:rsidR="00AA36ED" w:rsidRPr="00026EC1" w:rsidRDefault="00AA36ED" w:rsidP="007F120F">
      <w:pPr>
        <w:pStyle w:val="Texte1cm"/>
        <w:keepNext w:val="0"/>
      </w:pPr>
    </w:p>
    <w:p w14:paraId="3B957B98" w14:textId="77777777" w:rsidR="00AA36ED" w:rsidRPr="00026EC1" w:rsidRDefault="00AA36ED" w:rsidP="007F120F">
      <w:pPr>
        <w:pStyle w:val="Texte1cm"/>
        <w:keepNext w:val="0"/>
      </w:pPr>
      <w:r w:rsidRPr="00026EC1">
        <w:t>Lorsqu</w:t>
      </w:r>
      <w:r w:rsidR="00BC3319" w:rsidRPr="00026EC1">
        <w:t>’</w:t>
      </w:r>
      <w:r w:rsidRPr="00026EC1">
        <w:t>il est possible pour le Collège d</w:t>
      </w:r>
      <w:r w:rsidR="00BC3319" w:rsidRPr="00026EC1">
        <w:t>’</w:t>
      </w:r>
      <w:r w:rsidRPr="00026EC1">
        <w:t xml:space="preserve">offrir un poste </w:t>
      </w:r>
      <w:r w:rsidRPr="00026EC1">
        <w:rPr>
          <w:bCs/>
        </w:rPr>
        <w:t>d</w:t>
      </w:r>
      <w:r w:rsidR="00BC3319" w:rsidRPr="00026EC1">
        <w:rPr>
          <w:bCs/>
        </w:rPr>
        <w:t>’</w:t>
      </w:r>
      <w:r w:rsidRPr="00026EC1">
        <w:rPr>
          <w:bCs/>
        </w:rPr>
        <w:t>enseignante ou d</w:t>
      </w:r>
      <w:r w:rsidR="00BC3319" w:rsidRPr="00026EC1">
        <w:rPr>
          <w:bCs/>
        </w:rPr>
        <w:t>’</w:t>
      </w:r>
      <w:r w:rsidRPr="00026EC1">
        <w:rPr>
          <w:bCs/>
        </w:rPr>
        <w:t>enseignant</w:t>
      </w:r>
      <w:r w:rsidRPr="00026EC1">
        <w:t xml:space="preserve"> au sol </w:t>
      </w:r>
      <w:r w:rsidRPr="00026EC1">
        <w:rPr>
          <w:bCs/>
        </w:rPr>
        <w:t>ou de répartitrice ou de répartiteur</w:t>
      </w:r>
      <w:r w:rsidRPr="00026EC1">
        <w:t xml:space="preserve"> à une enseignante ou un enseignant qui </w:t>
      </w:r>
      <w:r w:rsidRPr="00026EC1">
        <w:rPr>
          <w:bCs/>
        </w:rPr>
        <w:t>ne détient pas un certificat médical</w:t>
      </w:r>
      <w:r w:rsidR="0017763F" w:rsidRPr="00026EC1">
        <w:rPr>
          <w:bCs/>
        </w:rPr>
        <w:t xml:space="preserve"> </w:t>
      </w:r>
      <w:r w:rsidRPr="00026EC1">
        <w:rPr>
          <w:bCs/>
        </w:rPr>
        <w:t xml:space="preserve">valide au sens du </w:t>
      </w:r>
      <w:r w:rsidRPr="00026EC1">
        <w:rPr>
          <w:bCs/>
          <w:iCs/>
        </w:rPr>
        <w:t>Règlement de l</w:t>
      </w:r>
      <w:r w:rsidR="00BC3319" w:rsidRPr="00026EC1">
        <w:rPr>
          <w:bCs/>
          <w:iCs/>
        </w:rPr>
        <w:t>’</w:t>
      </w:r>
      <w:r w:rsidRPr="00026EC1">
        <w:rPr>
          <w:bCs/>
          <w:iCs/>
        </w:rPr>
        <w:t>aviation canadien</w:t>
      </w:r>
      <w:r w:rsidRPr="00026EC1">
        <w:rPr>
          <w:bCs/>
        </w:rPr>
        <w:t xml:space="preserve"> </w:t>
      </w:r>
      <w:r w:rsidRPr="00026EC1">
        <w:t>en raison d</w:t>
      </w:r>
      <w:r w:rsidR="00BC3319" w:rsidRPr="00026EC1">
        <w:t>’</w:t>
      </w:r>
      <w:r w:rsidRPr="00026EC1">
        <w:t>invalidité, le salaire de cette enseignante ou de cet enseignant est alors maintenu constant jusqu</w:t>
      </w:r>
      <w:r w:rsidR="00BC3319" w:rsidRPr="00026EC1">
        <w:t>’</w:t>
      </w:r>
      <w:r w:rsidRPr="00026EC1">
        <w:t>au moment où la catégorie qui lui est applicable lui permet d</w:t>
      </w:r>
      <w:r w:rsidR="00BC3319" w:rsidRPr="00026EC1">
        <w:t>’</w:t>
      </w:r>
      <w:r w:rsidRPr="00026EC1">
        <w:t>obtenir un salaire supérieur.</w:t>
      </w:r>
    </w:p>
    <w:p w14:paraId="70B3438B" w14:textId="77777777" w:rsidR="00AA36ED" w:rsidRPr="00026EC1" w:rsidRDefault="00AA36ED" w:rsidP="007F120F">
      <w:pPr>
        <w:pStyle w:val="Texte1cm"/>
        <w:keepNext w:val="0"/>
      </w:pPr>
    </w:p>
    <w:p w14:paraId="283316B8" w14:textId="77777777" w:rsidR="00AA36ED" w:rsidRPr="00026EC1" w:rsidRDefault="00AA36ED" w:rsidP="007F120F">
      <w:pPr>
        <w:pStyle w:val="Texte1cm"/>
        <w:keepNext w:val="0"/>
      </w:pPr>
      <w:r w:rsidRPr="00026EC1">
        <w:rPr>
          <w:b/>
          <w:bCs/>
        </w:rPr>
        <w:t xml:space="preserve">b) </w:t>
      </w:r>
      <w:r w:rsidRPr="00026EC1">
        <w:rPr>
          <w:b/>
          <w:bCs/>
          <w:u w:val="single"/>
        </w:rPr>
        <w:t>Perte de licence</w:t>
      </w:r>
      <w:r w:rsidRPr="00026EC1">
        <w:rPr>
          <w:b/>
          <w:bCs/>
        </w:rPr>
        <w:t> </w:t>
      </w:r>
    </w:p>
    <w:p w14:paraId="4AFB67FC" w14:textId="77777777" w:rsidR="00AA36ED" w:rsidRPr="00026EC1" w:rsidRDefault="00AA36ED" w:rsidP="007F120F">
      <w:pPr>
        <w:pStyle w:val="Texte1cm"/>
        <w:keepNext w:val="0"/>
      </w:pPr>
      <w:r w:rsidRPr="00026EC1">
        <w:t xml:space="preserve">Pour tous les autres motifs non prévus </w:t>
      </w:r>
      <w:r w:rsidRPr="00026EC1">
        <w:rPr>
          <w:bCs/>
        </w:rPr>
        <w:t>à l</w:t>
      </w:r>
      <w:r w:rsidR="00BC3319" w:rsidRPr="00026EC1">
        <w:rPr>
          <w:bCs/>
        </w:rPr>
        <w:t>’</w:t>
      </w:r>
      <w:r w:rsidRPr="00026EC1">
        <w:rPr>
          <w:bCs/>
        </w:rPr>
        <w:t>alinéa</w:t>
      </w:r>
      <w:r w:rsidR="00BC3319" w:rsidRPr="00026EC1">
        <w:rPr>
          <w:bCs/>
        </w:rPr>
        <w:t> </w:t>
      </w:r>
      <w:r w:rsidRPr="00026EC1">
        <w:rPr>
          <w:bCs/>
        </w:rPr>
        <w:t>a)</w:t>
      </w:r>
      <w:r w:rsidRPr="00026EC1">
        <w:t>, l</w:t>
      </w:r>
      <w:r w:rsidR="00BC3319" w:rsidRPr="00026EC1">
        <w:t>’</w:t>
      </w:r>
      <w:r w:rsidRPr="00026EC1">
        <w:t>enseignante ou l</w:t>
      </w:r>
      <w:r w:rsidR="00BC3319" w:rsidRPr="00026EC1">
        <w:t>’</w:t>
      </w:r>
      <w:r w:rsidRPr="00026EC1">
        <w:t>enseignant dont la licence est suspendue est automatiquement l</w:t>
      </w:r>
      <w:r w:rsidR="00BC3319" w:rsidRPr="00026EC1">
        <w:t>’</w:t>
      </w:r>
      <w:r w:rsidRPr="00026EC1">
        <w:t>objet d</w:t>
      </w:r>
      <w:r w:rsidR="00BC3319" w:rsidRPr="00026EC1">
        <w:t>’</w:t>
      </w:r>
      <w:r w:rsidRPr="00026EC1">
        <w:t>une suspension sans salaire et l</w:t>
      </w:r>
      <w:r w:rsidR="00BC3319" w:rsidRPr="00026EC1">
        <w:t>’</w:t>
      </w:r>
      <w:r w:rsidRPr="00026EC1">
        <w:t>enseignante ou l</w:t>
      </w:r>
      <w:r w:rsidR="00BC3319" w:rsidRPr="00026EC1">
        <w:t>’</w:t>
      </w:r>
      <w:r w:rsidRPr="00026EC1">
        <w:t>enseignant qui subit la perte de sa licence est l</w:t>
      </w:r>
      <w:r w:rsidR="00BC3319" w:rsidRPr="00026EC1">
        <w:t>’</w:t>
      </w:r>
      <w:r w:rsidRPr="00026EC1">
        <w:t>objet d</w:t>
      </w:r>
      <w:r w:rsidR="00BC3319" w:rsidRPr="00026EC1">
        <w:t>’</w:t>
      </w:r>
      <w:r w:rsidRPr="00026EC1">
        <w:t>un congédiement administratif, à moins d</w:t>
      </w:r>
      <w:r w:rsidR="00BC3319" w:rsidRPr="00026EC1">
        <w:t>’</w:t>
      </w:r>
      <w:r w:rsidRPr="00026EC1">
        <w:t>entente contraire entre les parties.</w:t>
      </w:r>
    </w:p>
    <w:p w14:paraId="29D111E7" w14:textId="77777777" w:rsidR="00AA36ED" w:rsidRPr="00026EC1" w:rsidRDefault="00AA36ED" w:rsidP="007F120F">
      <w:pPr>
        <w:pStyle w:val="Texte1cm"/>
        <w:keepNext w:val="0"/>
      </w:pPr>
    </w:p>
    <w:p w14:paraId="54A89F36" w14:textId="69680ED2" w:rsidR="00AA36ED" w:rsidRPr="00026EC1" w:rsidRDefault="00275751" w:rsidP="007F120F">
      <w:pPr>
        <w:keepNext w:val="0"/>
        <w:tabs>
          <w:tab w:val="left" w:pos="567"/>
        </w:tabs>
        <w:ind w:left="567" w:hanging="567"/>
      </w:pPr>
      <w:r w:rsidRPr="00026EC1">
        <w:t>05.</w:t>
      </w:r>
      <w:r w:rsidRPr="00026EC1">
        <w:tab/>
      </w:r>
      <w:r w:rsidR="00AA36ED" w:rsidRPr="00026EC1">
        <w:t>L</w:t>
      </w:r>
      <w:r w:rsidR="00BC3319" w:rsidRPr="00026EC1">
        <w:t>’</w:t>
      </w:r>
      <w:r w:rsidR="00AA36ED" w:rsidRPr="00026EC1">
        <w:t>article 5</w:t>
      </w:r>
      <w:r w:rsidR="00984A6F">
        <w:noBreakHyphen/>
      </w:r>
      <w:r w:rsidR="00AA36ED" w:rsidRPr="00026EC1">
        <w:t>6.00 est modifié de la façon suivante</w:t>
      </w:r>
      <w:r w:rsidR="00D8581B">
        <w:t> :</w:t>
      </w:r>
    </w:p>
    <w:p w14:paraId="63F0C1B7" w14:textId="77777777" w:rsidR="00AA36ED" w:rsidRPr="00026EC1" w:rsidRDefault="00AA36ED" w:rsidP="007F120F">
      <w:pPr>
        <w:keepNext w:val="0"/>
      </w:pPr>
    </w:p>
    <w:p w14:paraId="26448749" w14:textId="77777777" w:rsidR="008D367B" w:rsidRPr="00026EC1" w:rsidRDefault="00AA36ED" w:rsidP="007F120F">
      <w:pPr>
        <w:pStyle w:val="Texte1cm"/>
        <w:keepNext w:val="0"/>
      </w:pPr>
      <w:r w:rsidRPr="00026EC1">
        <w:t>les dates du 1</w:t>
      </w:r>
      <w:r w:rsidRPr="00026EC1">
        <w:rPr>
          <w:vertAlign w:val="superscript"/>
        </w:rPr>
        <w:t>er</w:t>
      </w:r>
      <w:r w:rsidRPr="00026EC1">
        <w:t> novembre, 1</w:t>
      </w:r>
      <w:r w:rsidRPr="00026EC1">
        <w:rPr>
          <w:vertAlign w:val="superscript"/>
        </w:rPr>
        <w:t>er</w:t>
      </w:r>
      <w:r w:rsidRPr="00026EC1">
        <w:t> mars et 1</w:t>
      </w:r>
      <w:r w:rsidRPr="00026EC1">
        <w:rPr>
          <w:vertAlign w:val="superscript"/>
        </w:rPr>
        <w:t>er</w:t>
      </w:r>
      <w:r w:rsidRPr="00026EC1">
        <w:t> juin qui figurent à cet article sont remplacées par soixante (60) jours avant le début de la session.</w:t>
      </w:r>
    </w:p>
    <w:p w14:paraId="2E06D463" w14:textId="77777777" w:rsidR="00AA36ED" w:rsidRPr="00026EC1" w:rsidRDefault="008D367B" w:rsidP="007F120F">
      <w:pPr>
        <w:pStyle w:val="Texte1cm"/>
        <w:keepNext w:val="0"/>
      </w:pPr>
      <w:r w:rsidRPr="00026EC1">
        <w:br w:type="page"/>
      </w:r>
    </w:p>
    <w:p w14:paraId="570E9DC6" w14:textId="177A137B" w:rsidR="00203332" w:rsidRPr="00026EC1" w:rsidRDefault="00275751" w:rsidP="007F120F">
      <w:pPr>
        <w:keepNext w:val="0"/>
        <w:tabs>
          <w:tab w:val="left" w:pos="567"/>
        </w:tabs>
        <w:ind w:left="567" w:hanging="567"/>
      </w:pPr>
      <w:r w:rsidRPr="00026EC1">
        <w:t>06.</w:t>
      </w:r>
      <w:r w:rsidRPr="00026EC1">
        <w:tab/>
      </w:r>
      <w:r w:rsidR="00AA36ED" w:rsidRPr="00026EC1">
        <w:t>L</w:t>
      </w:r>
      <w:r w:rsidR="00BC3319" w:rsidRPr="00026EC1">
        <w:t>’</w:t>
      </w:r>
      <w:r w:rsidR="00AA36ED" w:rsidRPr="00026EC1">
        <w:t>article 5</w:t>
      </w:r>
      <w:r w:rsidR="00984A6F">
        <w:noBreakHyphen/>
      </w:r>
      <w:r w:rsidR="00AA36ED" w:rsidRPr="00026EC1">
        <w:t>8.00 est remplacé par le texte suivant</w:t>
      </w:r>
      <w:r w:rsidR="00D8581B">
        <w:t> :</w:t>
      </w:r>
    </w:p>
    <w:p w14:paraId="66C79D87" w14:textId="77777777" w:rsidR="008D367B" w:rsidRPr="00026EC1" w:rsidRDefault="008D367B" w:rsidP="007F120F">
      <w:pPr>
        <w:keepNext w:val="0"/>
        <w:tabs>
          <w:tab w:val="left" w:pos="567"/>
        </w:tabs>
        <w:ind w:left="567" w:hanging="567"/>
      </w:pPr>
    </w:p>
    <w:p w14:paraId="12F333C4" w14:textId="445E770F" w:rsidR="00AA36ED" w:rsidRPr="00026EC1" w:rsidRDefault="00AA36ED" w:rsidP="007F120F">
      <w:pPr>
        <w:keepNext w:val="0"/>
        <w:ind w:firstLine="540"/>
      </w:pPr>
      <w:r w:rsidRPr="00026EC1">
        <w:rPr>
          <w:b/>
          <w:bCs/>
          <w:u w:val="single"/>
        </w:rPr>
        <w:t>Article 5</w:t>
      </w:r>
      <w:r w:rsidR="00984A6F">
        <w:rPr>
          <w:b/>
          <w:bCs/>
          <w:u w:val="single"/>
        </w:rPr>
        <w:noBreakHyphen/>
      </w:r>
      <w:r w:rsidRPr="00026EC1">
        <w:rPr>
          <w:b/>
          <w:bCs/>
          <w:u w:val="single"/>
        </w:rPr>
        <w:t xml:space="preserve">8.00 </w:t>
      </w:r>
      <w:r w:rsidR="00984A6F">
        <w:rPr>
          <w:b/>
          <w:bCs/>
          <w:u w:val="single"/>
        </w:rPr>
        <w:noBreakHyphen/>
      </w:r>
      <w:r w:rsidRPr="00026EC1">
        <w:rPr>
          <w:b/>
          <w:bCs/>
          <w:u w:val="single"/>
        </w:rPr>
        <w:t xml:space="preserve"> Jours fériés et chômés</w:t>
      </w:r>
    </w:p>
    <w:p w14:paraId="17159303" w14:textId="77777777" w:rsidR="00AA36ED" w:rsidRPr="00026EC1" w:rsidRDefault="00AA36ED" w:rsidP="007F120F">
      <w:pPr>
        <w:pStyle w:val="Texte1cm"/>
        <w:keepNext w:val="0"/>
      </w:pPr>
    </w:p>
    <w:p w14:paraId="31B5A565" w14:textId="6422179A" w:rsidR="00AA36ED" w:rsidRPr="00026EC1" w:rsidRDefault="00AA36ED" w:rsidP="007F120F">
      <w:pPr>
        <w:pStyle w:val="Texte1cm"/>
        <w:keepNext w:val="0"/>
        <w:rPr>
          <w:b/>
          <w:bCs/>
        </w:rPr>
      </w:pPr>
      <w:r w:rsidRPr="00026EC1">
        <w:rPr>
          <w:b/>
          <w:bCs/>
        </w:rPr>
        <w:t>5</w:t>
      </w:r>
      <w:r w:rsidR="00984A6F">
        <w:rPr>
          <w:b/>
          <w:bCs/>
        </w:rPr>
        <w:noBreakHyphen/>
      </w:r>
      <w:r w:rsidRPr="00026EC1">
        <w:rPr>
          <w:b/>
          <w:bCs/>
        </w:rPr>
        <w:t>8.01</w:t>
      </w:r>
    </w:p>
    <w:p w14:paraId="2096DC39" w14:textId="77777777" w:rsidR="00AA36ED" w:rsidRPr="00026EC1" w:rsidRDefault="00AA36ED" w:rsidP="007F120F">
      <w:pPr>
        <w:pStyle w:val="Texte1cm"/>
        <w:keepNext w:val="0"/>
      </w:pPr>
      <w:r w:rsidRPr="00026EC1">
        <w:t>Toute enseignante ou tout enseignant bénéficie de treize (13) jours fériés et chômés. Le choix de ces treize (13) jours de congé est fait au début de chaque année scolaire après entente entre le Collège et le Syndicat. Ce choix tient compte des exigences du calendrier des opérations.</w:t>
      </w:r>
    </w:p>
    <w:p w14:paraId="568B49F4" w14:textId="77777777" w:rsidR="00AA36ED" w:rsidRPr="00026EC1" w:rsidRDefault="00AA36ED" w:rsidP="007F120F">
      <w:pPr>
        <w:keepNext w:val="0"/>
      </w:pPr>
    </w:p>
    <w:p w14:paraId="38A0E7EA" w14:textId="428371E5" w:rsidR="00AA36ED" w:rsidRPr="00026EC1" w:rsidRDefault="00AA36ED" w:rsidP="007F120F">
      <w:pPr>
        <w:pStyle w:val="Texte1cm"/>
        <w:keepNext w:val="0"/>
        <w:rPr>
          <w:b/>
          <w:bCs/>
        </w:rPr>
      </w:pPr>
      <w:r w:rsidRPr="00026EC1">
        <w:rPr>
          <w:b/>
          <w:bCs/>
        </w:rPr>
        <w:t>5</w:t>
      </w:r>
      <w:r w:rsidR="00984A6F">
        <w:rPr>
          <w:b/>
          <w:bCs/>
        </w:rPr>
        <w:noBreakHyphen/>
      </w:r>
      <w:r w:rsidRPr="00026EC1">
        <w:rPr>
          <w:b/>
          <w:bCs/>
        </w:rPr>
        <w:t>8.02</w:t>
      </w:r>
    </w:p>
    <w:p w14:paraId="0FEDC06C" w14:textId="0CD4AC5C" w:rsidR="00AA36ED" w:rsidRPr="00026EC1" w:rsidRDefault="00AA36ED" w:rsidP="007F120F">
      <w:pPr>
        <w:pStyle w:val="Texte1cm"/>
        <w:keepNext w:val="0"/>
      </w:pPr>
      <w:r w:rsidRPr="00026EC1">
        <w:t>Les enseignantes et enseignants dont les fonctions régulières les obligent à travailler à l</w:t>
      </w:r>
      <w:r w:rsidR="00BC3319" w:rsidRPr="00026EC1">
        <w:t>’</w:t>
      </w:r>
      <w:r w:rsidRPr="00026EC1">
        <w:t>occasion de l</w:t>
      </w:r>
      <w:r w:rsidR="00BC3319" w:rsidRPr="00026EC1">
        <w:t>’</w:t>
      </w:r>
      <w:r w:rsidRPr="00026EC1">
        <w:t>un des jours fixés par entente selon la clause 5</w:t>
      </w:r>
      <w:r w:rsidR="00984A6F">
        <w:noBreakHyphen/>
      </w:r>
      <w:r w:rsidRPr="00026EC1">
        <w:t>8.01 sont rémunérés selon les modalités prévues à l</w:t>
      </w:r>
      <w:r w:rsidR="00BC3319" w:rsidRPr="00026EC1">
        <w:t>’</w:t>
      </w:r>
      <w:r w:rsidRPr="00026EC1">
        <w:t>article traitant de la rémunération pour les heures supplémentaires.</w:t>
      </w:r>
    </w:p>
    <w:p w14:paraId="2EFB9C7E" w14:textId="77777777" w:rsidR="00AA36ED" w:rsidRPr="00026EC1" w:rsidRDefault="00AA36ED" w:rsidP="007F120F">
      <w:pPr>
        <w:keepNext w:val="0"/>
      </w:pPr>
    </w:p>
    <w:p w14:paraId="05AF5C87" w14:textId="6DE8B088" w:rsidR="00AA36ED" w:rsidRDefault="00275751" w:rsidP="007F120F">
      <w:pPr>
        <w:keepNext w:val="0"/>
        <w:tabs>
          <w:tab w:val="left" w:pos="567"/>
        </w:tabs>
        <w:ind w:left="567" w:hanging="567"/>
      </w:pPr>
      <w:r w:rsidRPr="00026EC1">
        <w:t>07.</w:t>
      </w:r>
      <w:r w:rsidRPr="00026EC1">
        <w:tab/>
      </w:r>
      <w:r w:rsidR="00AA36ED" w:rsidRPr="00026EC1">
        <w:t>Le chapitre</w:t>
      </w:r>
      <w:r w:rsidR="00500B67" w:rsidRPr="00026EC1">
        <w:t> </w:t>
      </w:r>
      <w:r w:rsidR="00AA36ED" w:rsidRPr="00026EC1">
        <w:t>6 est modifié de la façon suivante</w:t>
      </w:r>
      <w:r w:rsidR="00D8581B">
        <w:t> :</w:t>
      </w:r>
    </w:p>
    <w:p w14:paraId="69A80E20" w14:textId="77777777" w:rsidR="00254356" w:rsidRPr="00026EC1" w:rsidRDefault="00254356" w:rsidP="007F120F">
      <w:pPr>
        <w:keepNext w:val="0"/>
        <w:tabs>
          <w:tab w:val="left" w:pos="567"/>
        </w:tabs>
        <w:ind w:left="567" w:hanging="567"/>
      </w:pPr>
    </w:p>
    <w:p w14:paraId="337D56D9" w14:textId="38BC8393" w:rsidR="00AA36ED" w:rsidRDefault="004847D4" w:rsidP="007F120F">
      <w:pPr>
        <w:keepNext w:val="0"/>
        <w:ind w:firstLine="540"/>
        <w:rPr>
          <w:b/>
          <w:bCs/>
          <w:u w:val="single"/>
        </w:rPr>
      </w:pPr>
      <w:r w:rsidRPr="001170D2">
        <w:rPr>
          <w:b/>
          <w:bCs/>
          <w:u w:val="single"/>
        </w:rPr>
        <w:t>C</w:t>
      </w:r>
      <w:r w:rsidR="00254356" w:rsidRPr="001170D2">
        <w:rPr>
          <w:b/>
          <w:bCs/>
          <w:u w:val="single"/>
        </w:rPr>
        <w:t>hapitre</w:t>
      </w:r>
      <w:r w:rsidRPr="001170D2">
        <w:rPr>
          <w:b/>
          <w:bCs/>
          <w:u w:val="single"/>
        </w:rPr>
        <w:t xml:space="preserve"> 6</w:t>
      </w:r>
      <w:r w:rsidRPr="001170D2">
        <w:rPr>
          <w:b/>
          <w:bCs/>
          <w:u w:val="single"/>
        </w:rPr>
        <w:tab/>
      </w:r>
      <w:r w:rsidR="00254356" w:rsidRPr="001170D2">
        <w:rPr>
          <w:b/>
          <w:bCs/>
          <w:u w:val="single"/>
        </w:rPr>
        <w:t>Rémunération</w:t>
      </w:r>
    </w:p>
    <w:p w14:paraId="192F7C37" w14:textId="6A0E983D" w:rsidR="00C43A9E" w:rsidRPr="004847D4" w:rsidRDefault="00C43A9E" w:rsidP="007F120F">
      <w:pPr>
        <w:keepNext w:val="0"/>
        <w:ind w:firstLine="540"/>
        <w:rPr>
          <w:b/>
          <w:bCs/>
          <w:u w:val="single"/>
        </w:rPr>
      </w:pPr>
    </w:p>
    <w:p w14:paraId="6A799853" w14:textId="31097DFA" w:rsidR="00AA36ED" w:rsidRPr="001170D2" w:rsidRDefault="00275751" w:rsidP="007F120F">
      <w:pPr>
        <w:keepNext w:val="0"/>
        <w:tabs>
          <w:tab w:val="left" w:pos="1134"/>
        </w:tabs>
        <w:ind w:left="1134" w:hanging="567"/>
      </w:pPr>
      <w:r w:rsidRPr="00026EC1">
        <w:t>a)</w:t>
      </w:r>
      <w:r w:rsidRPr="00026EC1">
        <w:tab/>
      </w:r>
      <w:r w:rsidR="00AA36ED" w:rsidRPr="00026EC1">
        <w:t>les articles</w:t>
      </w:r>
      <w:r w:rsidR="00500B67" w:rsidRPr="00026EC1">
        <w:t> </w:t>
      </w:r>
      <w:r w:rsidR="00AA36ED" w:rsidRPr="00026EC1">
        <w:t>6</w:t>
      </w:r>
      <w:r w:rsidR="00984A6F">
        <w:noBreakHyphen/>
      </w:r>
      <w:r w:rsidR="00AA36ED" w:rsidRPr="00026EC1">
        <w:t xml:space="preserve">1.00 (sauf les </w:t>
      </w:r>
      <w:r w:rsidR="00AA36ED" w:rsidRPr="00085326">
        <w:t>clauses</w:t>
      </w:r>
      <w:r w:rsidR="00500B67" w:rsidRPr="00085326">
        <w:t> </w:t>
      </w:r>
      <w:r w:rsidR="00AA36ED" w:rsidRPr="00085326">
        <w:t>6</w:t>
      </w:r>
      <w:r w:rsidR="00984A6F">
        <w:noBreakHyphen/>
      </w:r>
      <w:r w:rsidR="00AA36ED" w:rsidRPr="00085326">
        <w:t>1</w:t>
      </w:r>
      <w:r w:rsidR="00AA36ED" w:rsidRPr="001170D2">
        <w:t>.0</w:t>
      </w:r>
      <w:r w:rsidR="009E60BA" w:rsidRPr="001170D2">
        <w:t>6</w:t>
      </w:r>
      <w:r w:rsidR="00AA36ED" w:rsidRPr="001170D2">
        <w:t>, 6</w:t>
      </w:r>
      <w:r w:rsidR="00984A6F">
        <w:noBreakHyphen/>
      </w:r>
      <w:r w:rsidR="00AA36ED" w:rsidRPr="001170D2">
        <w:t>1.0</w:t>
      </w:r>
      <w:r w:rsidR="00695C4E" w:rsidRPr="001170D2">
        <w:t>7</w:t>
      </w:r>
      <w:r w:rsidR="00AA36ED" w:rsidRPr="001170D2">
        <w:t xml:space="preserve"> et 6</w:t>
      </w:r>
      <w:r w:rsidR="00984A6F">
        <w:noBreakHyphen/>
      </w:r>
      <w:r w:rsidR="00AA36ED" w:rsidRPr="001170D2">
        <w:t>1.0</w:t>
      </w:r>
      <w:r w:rsidR="00695C4E" w:rsidRPr="001170D2">
        <w:t>8</w:t>
      </w:r>
      <w:r w:rsidR="00AA36ED" w:rsidRPr="001170D2">
        <w:t>), 6</w:t>
      </w:r>
      <w:r w:rsidR="00984A6F">
        <w:noBreakHyphen/>
      </w:r>
      <w:r w:rsidR="00AA36ED" w:rsidRPr="001170D2">
        <w:t>2.00 et 6</w:t>
      </w:r>
      <w:r w:rsidR="00984A6F">
        <w:noBreakHyphen/>
      </w:r>
      <w:r w:rsidR="00AA36ED" w:rsidRPr="001170D2">
        <w:t>3.00 ne sont pas compris dans la convention collective</w:t>
      </w:r>
      <w:r w:rsidR="00451769" w:rsidRPr="001170D2">
        <w:t>;</w:t>
      </w:r>
    </w:p>
    <w:p w14:paraId="55D58BA8" w14:textId="77777777" w:rsidR="00AA36ED" w:rsidRPr="001170D2" w:rsidRDefault="00AA36ED" w:rsidP="007F120F">
      <w:pPr>
        <w:keepNext w:val="0"/>
      </w:pPr>
    </w:p>
    <w:p w14:paraId="7C5B8E42" w14:textId="4D3EC298" w:rsidR="00AA36ED" w:rsidRPr="001170D2" w:rsidRDefault="00275751" w:rsidP="007F120F">
      <w:pPr>
        <w:keepNext w:val="0"/>
        <w:tabs>
          <w:tab w:val="left" w:pos="1134"/>
        </w:tabs>
        <w:ind w:left="1134" w:hanging="567"/>
      </w:pPr>
      <w:r w:rsidRPr="001170D2">
        <w:t>b)</w:t>
      </w:r>
      <w:r w:rsidRPr="001170D2">
        <w:tab/>
      </w:r>
      <w:r w:rsidR="00AA36ED" w:rsidRPr="001170D2">
        <w:t>le classement des enseignantes et enseignants est établi selon les dispositions suivantes</w:t>
      </w:r>
      <w:r w:rsidR="00D8581B" w:rsidRPr="001170D2">
        <w:t> :</w:t>
      </w:r>
    </w:p>
    <w:p w14:paraId="5F6D7F33" w14:textId="77777777" w:rsidR="00AA36ED" w:rsidRPr="001170D2" w:rsidRDefault="00AA36ED" w:rsidP="007F120F">
      <w:pPr>
        <w:keepNext w:val="0"/>
      </w:pPr>
    </w:p>
    <w:p w14:paraId="06B59FDF" w14:textId="77777777" w:rsidR="00AA36ED" w:rsidRPr="001170D2" w:rsidRDefault="00275751" w:rsidP="007F120F">
      <w:pPr>
        <w:keepNext w:val="0"/>
        <w:tabs>
          <w:tab w:val="left" w:pos="1701"/>
        </w:tabs>
        <w:ind w:left="1701" w:hanging="567"/>
      </w:pPr>
      <w:r w:rsidRPr="001170D2">
        <w:t>1.</w:t>
      </w:r>
      <w:r w:rsidRPr="001170D2">
        <w:tab/>
      </w:r>
      <w:r w:rsidR="00AA36ED" w:rsidRPr="001170D2">
        <w:t>le Collège établit le classement de l</w:t>
      </w:r>
      <w:r w:rsidR="00BC3319" w:rsidRPr="001170D2">
        <w:t>’</w:t>
      </w:r>
      <w:r w:rsidR="00AA36ED" w:rsidRPr="001170D2">
        <w:t>enseignante ou de l</w:t>
      </w:r>
      <w:r w:rsidR="00BC3319" w:rsidRPr="001170D2">
        <w:t>’</w:t>
      </w:r>
      <w:r w:rsidR="00AA36ED" w:rsidRPr="001170D2">
        <w:t>enseignant d</w:t>
      </w:r>
      <w:r w:rsidR="00BC3319" w:rsidRPr="001170D2">
        <w:t>’</w:t>
      </w:r>
      <w:r w:rsidR="00AA36ED" w:rsidRPr="001170D2">
        <w:t>après les tableaux B et C de la présente annexe;</w:t>
      </w:r>
    </w:p>
    <w:p w14:paraId="00C2E769" w14:textId="77777777" w:rsidR="00AA36ED" w:rsidRPr="001170D2" w:rsidRDefault="00AA36ED" w:rsidP="007F120F">
      <w:pPr>
        <w:keepNext w:val="0"/>
      </w:pPr>
    </w:p>
    <w:p w14:paraId="50345FDD" w14:textId="77777777" w:rsidR="00AA36ED" w:rsidRPr="001170D2" w:rsidRDefault="00275751" w:rsidP="007F120F">
      <w:pPr>
        <w:keepNext w:val="0"/>
        <w:tabs>
          <w:tab w:val="left" w:pos="1701"/>
        </w:tabs>
        <w:ind w:left="1701" w:hanging="567"/>
      </w:pPr>
      <w:r w:rsidRPr="001170D2">
        <w:t>2.</w:t>
      </w:r>
      <w:r w:rsidRPr="001170D2">
        <w:tab/>
      </w:r>
      <w:r w:rsidR="00AA36ED" w:rsidRPr="001170D2">
        <w:t>si l</w:t>
      </w:r>
      <w:r w:rsidR="00BC3319" w:rsidRPr="001170D2">
        <w:t>’</w:t>
      </w:r>
      <w:r w:rsidR="00AA36ED" w:rsidRPr="001170D2">
        <w:t>enseignante ou l</w:t>
      </w:r>
      <w:r w:rsidR="00BC3319" w:rsidRPr="001170D2">
        <w:t>’</w:t>
      </w:r>
      <w:r w:rsidR="00AA36ED" w:rsidRPr="001170D2">
        <w:t>enseignant n</w:t>
      </w:r>
      <w:r w:rsidR="00BC3319" w:rsidRPr="001170D2">
        <w:t>’</w:t>
      </w:r>
      <w:r w:rsidR="00AA36ED" w:rsidRPr="001170D2">
        <w:t>est pas satisfait de son classement, elle ou il peut recourir aux mécanismes prévus à l</w:t>
      </w:r>
      <w:r w:rsidR="00BC3319" w:rsidRPr="001170D2">
        <w:t>’</w:t>
      </w:r>
      <w:r w:rsidR="00AA36ED" w:rsidRPr="001170D2">
        <w:t>article concernant le CRT</w:t>
      </w:r>
      <w:r w:rsidR="00451769" w:rsidRPr="001170D2">
        <w:t>;</w:t>
      </w:r>
    </w:p>
    <w:p w14:paraId="044E8E63" w14:textId="77777777" w:rsidR="00AA36ED" w:rsidRPr="001170D2" w:rsidRDefault="00AA36ED" w:rsidP="007F120F">
      <w:pPr>
        <w:keepNext w:val="0"/>
      </w:pPr>
    </w:p>
    <w:p w14:paraId="54B91686" w14:textId="7CA2E662" w:rsidR="00AA36ED" w:rsidRPr="001170D2" w:rsidRDefault="00275751" w:rsidP="007F120F">
      <w:pPr>
        <w:keepNext w:val="0"/>
        <w:tabs>
          <w:tab w:val="left" w:pos="1134"/>
        </w:tabs>
        <w:ind w:left="1134" w:hanging="567"/>
      </w:pPr>
      <w:r w:rsidRPr="001170D2">
        <w:t>c)</w:t>
      </w:r>
      <w:r w:rsidRPr="001170D2">
        <w:tab/>
      </w:r>
      <w:r w:rsidR="00AA36ED" w:rsidRPr="001170D2">
        <w:t xml:space="preserve">le </w:t>
      </w:r>
      <w:r w:rsidR="00AA36ED" w:rsidRPr="001170D2">
        <w:rPr>
          <w:bCs/>
        </w:rPr>
        <w:t xml:space="preserve">traitement </w:t>
      </w:r>
      <w:r w:rsidR="00AA36ED" w:rsidRPr="001170D2">
        <w:t>des enseignantes et enseignants est établi de la façon suivante</w:t>
      </w:r>
      <w:r w:rsidR="00D8581B" w:rsidRPr="001170D2">
        <w:t> :</w:t>
      </w:r>
    </w:p>
    <w:p w14:paraId="5BA1F31C" w14:textId="77777777" w:rsidR="00AA36ED" w:rsidRPr="001170D2" w:rsidRDefault="00AA36ED" w:rsidP="007F120F">
      <w:pPr>
        <w:keepNext w:val="0"/>
      </w:pPr>
    </w:p>
    <w:p w14:paraId="6EF8709B" w14:textId="40B45101" w:rsidR="00AA36ED" w:rsidRPr="001170D2" w:rsidRDefault="00275751" w:rsidP="007F120F">
      <w:pPr>
        <w:keepNext w:val="0"/>
        <w:tabs>
          <w:tab w:val="left" w:pos="1701"/>
        </w:tabs>
        <w:ind w:left="1701" w:hanging="567"/>
      </w:pPr>
      <w:r w:rsidRPr="001170D2">
        <w:t>1.</w:t>
      </w:r>
      <w:r w:rsidRPr="001170D2">
        <w:tab/>
      </w:r>
      <w:r w:rsidR="00AA36ED" w:rsidRPr="001170D2">
        <w:t xml:space="preserve">les échelles de </w:t>
      </w:r>
      <w:r w:rsidR="00AA36ED" w:rsidRPr="001170D2">
        <w:rPr>
          <w:bCs/>
        </w:rPr>
        <w:t xml:space="preserve">traitement </w:t>
      </w:r>
      <w:r w:rsidR="00AA36ED" w:rsidRPr="001170D2">
        <w:t>prévues au tableau D de la présente annexe</w:t>
      </w:r>
      <w:r w:rsidR="00665807" w:rsidRPr="001170D2">
        <w:t xml:space="preserve"> </w:t>
      </w:r>
      <w:r w:rsidR="00AA36ED" w:rsidRPr="001170D2">
        <w:t>s</w:t>
      </w:r>
      <w:r w:rsidR="00BC3319" w:rsidRPr="001170D2">
        <w:t>’</w:t>
      </w:r>
      <w:r w:rsidR="00AA36ED" w:rsidRPr="001170D2">
        <w:t>appliquent.</w:t>
      </w:r>
      <w:r w:rsidR="00851127">
        <w:rPr>
          <w:bCs/>
        </w:rPr>
        <w:t xml:space="preserve"> </w:t>
      </w:r>
      <w:r w:rsidR="00851127" w:rsidRPr="00316277">
        <w:rPr>
          <w:bCs/>
        </w:rPr>
        <w:t>Elles sont déterminées selon la méthodologie prévue à l’Annexe VI</w:t>
      </w:r>
      <w:r w:rsidR="00851127" w:rsidRPr="00316277">
        <w:rPr>
          <w:bCs/>
        </w:rPr>
        <w:noBreakHyphen/>
        <w:t>4.</w:t>
      </w:r>
    </w:p>
    <w:p w14:paraId="4C04D8AD" w14:textId="77777777" w:rsidR="00AA36ED" w:rsidRPr="001170D2" w:rsidRDefault="00AA36ED" w:rsidP="007F120F">
      <w:pPr>
        <w:keepNext w:val="0"/>
      </w:pPr>
    </w:p>
    <w:p w14:paraId="70F9541D" w14:textId="4FA2AD72" w:rsidR="00AA36ED" w:rsidRPr="00026EC1" w:rsidRDefault="00275751" w:rsidP="007F120F">
      <w:pPr>
        <w:keepNext w:val="0"/>
        <w:tabs>
          <w:tab w:val="left" w:pos="1701"/>
        </w:tabs>
        <w:ind w:left="1701" w:hanging="567"/>
      </w:pPr>
      <w:r w:rsidRPr="001170D2">
        <w:t>2.</w:t>
      </w:r>
      <w:r w:rsidRPr="001170D2">
        <w:tab/>
      </w:r>
      <w:r w:rsidR="00AA36ED" w:rsidRPr="001170D2">
        <w:t>l</w:t>
      </w:r>
      <w:r w:rsidR="00BC3319" w:rsidRPr="001170D2">
        <w:t>’</w:t>
      </w:r>
      <w:r w:rsidR="00AA36ED" w:rsidRPr="001170D2">
        <w:t>avancement d</w:t>
      </w:r>
      <w:r w:rsidR="00BC3319" w:rsidRPr="001170D2">
        <w:t>’</w:t>
      </w:r>
      <w:r w:rsidR="00AA36ED" w:rsidRPr="001170D2">
        <w:t>échelon est annuel et se fait au 1</w:t>
      </w:r>
      <w:r w:rsidR="00AA36ED" w:rsidRPr="001170D2">
        <w:rPr>
          <w:vertAlign w:val="superscript"/>
        </w:rPr>
        <w:t>er</w:t>
      </w:r>
      <w:r w:rsidR="00AA36ED" w:rsidRPr="001170D2">
        <w:t> juillet</w:t>
      </w:r>
      <w:r w:rsidR="00AA36ED" w:rsidRPr="00026EC1">
        <w:t xml:space="preserve"> de chaque année pour les enseignantes et enseignants qui n</w:t>
      </w:r>
      <w:r w:rsidR="00BC3319" w:rsidRPr="00026EC1">
        <w:t>’</w:t>
      </w:r>
      <w:r w:rsidR="00AA36ED" w:rsidRPr="00026EC1">
        <w:t>ont pas atteint l</w:t>
      </w:r>
      <w:r w:rsidR="00BC3319" w:rsidRPr="00026EC1">
        <w:t>’</w:t>
      </w:r>
      <w:r w:rsidR="00AA36ED" w:rsidRPr="00026EC1">
        <w:t>échelon maximum auquel elles ou ils ont droit. Cependant, une nouvelle enseignante ou un nouvel enseignant doit avoir six</w:t>
      </w:r>
      <w:r w:rsidR="00693C43">
        <w:t> </w:t>
      </w:r>
      <w:r w:rsidR="00AA36ED" w:rsidRPr="00026EC1">
        <w:t>(6) mois ou plus d</w:t>
      </w:r>
      <w:r w:rsidR="00BC3319" w:rsidRPr="00026EC1">
        <w:t>’</w:t>
      </w:r>
      <w:r w:rsidR="00AA36ED" w:rsidRPr="00026EC1">
        <w:t>expérience avant le 1</w:t>
      </w:r>
      <w:r w:rsidR="00AA36ED" w:rsidRPr="00026EC1">
        <w:rPr>
          <w:vertAlign w:val="superscript"/>
        </w:rPr>
        <w:t>er</w:t>
      </w:r>
      <w:r w:rsidR="00AA36ED" w:rsidRPr="00026EC1">
        <w:t> juillet pour avancer d</w:t>
      </w:r>
      <w:r w:rsidR="00BC3319" w:rsidRPr="00026EC1">
        <w:t>’</w:t>
      </w:r>
      <w:r w:rsidR="00AA36ED" w:rsidRPr="00026EC1">
        <w:t>un échelon</w:t>
      </w:r>
      <w:r w:rsidR="009805F3" w:rsidRPr="00026EC1">
        <w:t>.</w:t>
      </w:r>
    </w:p>
    <w:p w14:paraId="281CD2A0" w14:textId="3894862F" w:rsidR="00EC10CD" w:rsidRDefault="00EC10CD">
      <w:pPr>
        <w:keepNext w:val="0"/>
        <w:suppressAutoHyphens w:val="0"/>
        <w:jc w:val="left"/>
      </w:pPr>
      <w:r>
        <w:br w:type="page"/>
      </w:r>
    </w:p>
    <w:p w14:paraId="74C901CA" w14:textId="7F871B70" w:rsidR="009805F3" w:rsidRDefault="009805F3" w:rsidP="007F120F">
      <w:pPr>
        <w:keepNext w:val="0"/>
        <w:ind w:left="1701"/>
      </w:pPr>
      <w:r w:rsidRPr="00026EC1">
        <w:t>À compter de l’année d’engagement 2010</w:t>
      </w:r>
      <w:r w:rsidR="00984A6F">
        <w:noBreakHyphen/>
      </w:r>
      <w:r w:rsidRPr="00026EC1">
        <w:t>2011, l’enseignante ou l’enseignant engagé par le Collège dans la classe</w:t>
      </w:r>
      <w:r w:rsidR="00693C43">
        <w:t> </w:t>
      </w:r>
      <w:r w:rsidRPr="00026EC1">
        <w:t>I et dont le traitement est fixé à l’un ou l’autre des quatre (4) premiers échelons bénéficie pour les contrats subséquents</w:t>
      </w:r>
      <w:r w:rsidR="00D8581B">
        <w:t> :</w:t>
      </w:r>
      <w:r w:rsidRPr="00026EC1">
        <w:t xml:space="preserve"> d’un avancement d’échelon semi</w:t>
      </w:r>
      <w:r w:rsidR="00984A6F">
        <w:noBreakHyphen/>
      </w:r>
      <w:r w:rsidRPr="00026EC1">
        <w:t>annuel, le 1</w:t>
      </w:r>
      <w:r w:rsidRPr="00026EC1">
        <w:rPr>
          <w:vertAlign w:val="superscript"/>
        </w:rPr>
        <w:t>er</w:t>
      </w:r>
      <w:r w:rsidRPr="00026EC1">
        <w:t xml:space="preserve"> janvier et le 1</w:t>
      </w:r>
      <w:r w:rsidRPr="00026EC1">
        <w:rPr>
          <w:vertAlign w:val="superscript"/>
        </w:rPr>
        <w:t>er</w:t>
      </w:r>
      <w:r w:rsidRPr="00026EC1">
        <w:t> juillet de chaque année, jusqu’à l’atteinte du 5</w:t>
      </w:r>
      <w:r w:rsidRPr="00026EC1">
        <w:rPr>
          <w:vertAlign w:val="superscript"/>
        </w:rPr>
        <w:t>e</w:t>
      </w:r>
      <w:r w:rsidRPr="00026EC1">
        <w:t> échelon.</w:t>
      </w:r>
    </w:p>
    <w:p w14:paraId="7D349F9B" w14:textId="6D60A2F9" w:rsidR="00832105" w:rsidRDefault="00832105" w:rsidP="007F120F">
      <w:pPr>
        <w:keepNext w:val="0"/>
        <w:ind w:left="1701"/>
      </w:pPr>
    </w:p>
    <w:p w14:paraId="5C85EC96" w14:textId="18AF7EA4" w:rsidR="00DB02FC" w:rsidRPr="00316277" w:rsidRDefault="00DB02FC" w:rsidP="00DB02FC">
      <w:pPr>
        <w:keepNext w:val="0"/>
        <w:ind w:left="1701"/>
      </w:pPr>
      <w:r w:rsidRPr="00316277">
        <w:t>À compter d</w:t>
      </w:r>
      <w:r w:rsidR="00B33E42" w:rsidRPr="00316277">
        <w:t>u 1</w:t>
      </w:r>
      <w:r w:rsidR="00B33E42" w:rsidRPr="00316277">
        <w:rPr>
          <w:vertAlign w:val="superscript"/>
        </w:rPr>
        <w:t>er</w:t>
      </w:r>
      <w:r w:rsidR="00B33E42" w:rsidRPr="00316277">
        <w:t xml:space="preserve"> juillet 2024,</w:t>
      </w:r>
      <w:r w:rsidRPr="00316277">
        <w:t xml:space="preserve"> l’enseignante ou l’enseignant engagé par le Collège dans la classe I et dont le traitement est fixé à l’un ou l’autre des six (6) premiers échelons, bénéficie pour les contrats subséquents : d’un avancement d’échelon semi</w:t>
      </w:r>
      <w:r w:rsidRPr="00316277">
        <w:noBreakHyphen/>
        <w:t>annuel, le 1</w:t>
      </w:r>
      <w:r w:rsidRPr="00316277">
        <w:rPr>
          <w:vertAlign w:val="superscript"/>
        </w:rPr>
        <w:t>er</w:t>
      </w:r>
      <w:r w:rsidRPr="00316277">
        <w:t> janvier et le 1</w:t>
      </w:r>
      <w:r w:rsidRPr="00316277">
        <w:rPr>
          <w:vertAlign w:val="superscript"/>
        </w:rPr>
        <w:t>er</w:t>
      </w:r>
      <w:r w:rsidRPr="00316277">
        <w:t> juillet de chaque année, jusqu’à l’atteinte du 7</w:t>
      </w:r>
      <w:r w:rsidRPr="00316277">
        <w:rPr>
          <w:vertAlign w:val="superscript"/>
        </w:rPr>
        <w:t>e</w:t>
      </w:r>
      <w:r w:rsidRPr="00316277">
        <w:t> échelon.</w:t>
      </w:r>
    </w:p>
    <w:p w14:paraId="71EEA763" w14:textId="77777777" w:rsidR="00F25CC8" w:rsidRPr="00E07794" w:rsidRDefault="00F25CC8" w:rsidP="00F25CC8">
      <w:pPr>
        <w:pStyle w:val="NUMRODECLAUSE"/>
        <w:keepNext w:val="0"/>
        <w:tabs>
          <w:tab w:val="clear" w:pos="868"/>
          <w:tab w:val="left" w:pos="1701"/>
        </w:tabs>
        <w:ind w:left="1701" w:hanging="567"/>
        <w:rPr>
          <w:rStyle w:val="ui-provider"/>
          <w:b w:val="0"/>
        </w:rPr>
      </w:pPr>
    </w:p>
    <w:p w14:paraId="39B9E812" w14:textId="12ED1F94" w:rsidR="00AA36ED" w:rsidRPr="00026EC1" w:rsidRDefault="00275751" w:rsidP="007F120F">
      <w:pPr>
        <w:keepNext w:val="0"/>
        <w:tabs>
          <w:tab w:val="left" w:pos="1701"/>
        </w:tabs>
        <w:ind w:left="1701" w:hanging="567"/>
      </w:pPr>
      <w:r w:rsidRPr="00DB02FC">
        <w:t>3.</w:t>
      </w:r>
      <w:r w:rsidRPr="00026EC1">
        <w:tab/>
      </w:r>
      <w:r w:rsidR="00AA36ED" w:rsidRPr="00026EC1">
        <w:t>la nouvelle enseignante ou le nouvel enseignant dont la majorité de l</w:t>
      </w:r>
      <w:r w:rsidR="00BC3319" w:rsidRPr="00026EC1">
        <w:t>’</w:t>
      </w:r>
      <w:r w:rsidR="00AA36ED" w:rsidRPr="00026EC1">
        <w:t>expérience d</w:t>
      </w:r>
      <w:r w:rsidR="00BC3319" w:rsidRPr="00026EC1">
        <w:t>’</w:t>
      </w:r>
      <w:r w:rsidR="00AA36ED" w:rsidRPr="00026EC1">
        <w:t xml:space="preserve">enseignement a été acquise au niveau des commissions scolaires, </w:t>
      </w:r>
      <w:r w:rsidR="00B33E42" w:rsidRPr="00316277">
        <w:t>centres de services scolaires,</w:t>
      </w:r>
      <w:r w:rsidR="00B33E42">
        <w:t xml:space="preserve"> </w:t>
      </w:r>
      <w:r w:rsidR="00AA36ED" w:rsidRPr="00026EC1">
        <w:t xml:space="preserve">cégeps ou universités et qui ne </w:t>
      </w:r>
      <w:r w:rsidR="00312F20" w:rsidRPr="00026EC1">
        <w:t>satisfait</w:t>
      </w:r>
      <w:r w:rsidR="00AA36ED" w:rsidRPr="00026EC1">
        <w:t xml:space="preserve"> pas </w:t>
      </w:r>
      <w:r w:rsidR="00312F20" w:rsidRPr="00026EC1">
        <w:t>aux</w:t>
      </w:r>
      <w:r w:rsidR="00AA36ED" w:rsidRPr="00026EC1">
        <w:t xml:space="preserve"> exigences des tableaux</w:t>
      </w:r>
      <w:r w:rsidR="00E330F5">
        <w:t> </w:t>
      </w:r>
      <w:r w:rsidR="00AA36ED" w:rsidRPr="00026EC1">
        <w:t>B ou C voit son salaire initial porté à la classe et à l</w:t>
      </w:r>
      <w:r w:rsidR="00BC3319" w:rsidRPr="00026EC1">
        <w:t>’</w:t>
      </w:r>
      <w:r w:rsidR="00AA36ED" w:rsidRPr="00026EC1">
        <w:t>échelon le plus près de celui qu</w:t>
      </w:r>
      <w:r w:rsidR="00BC3319" w:rsidRPr="00026EC1">
        <w:t>’</w:t>
      </w:r>
      <w:r w:rsidR="00AA36ED" w:rsidRPr="00026EC1">
        <w:t>elle ou il recevrait selon la convention collective;</w:t>
      </w:r>
    </w:p>
    <w:p w14:paraId="2C08BCED" w14:textId="77777777" w:rsidR="00AA36ED" w:rsidRPr="00026EC1" w:rsidRDefault="00AA36ED" w:rsidP="007F120F">
      <w:pPr>
        <w:keepNext w:val="0"/>
        <w:rPr>
          <w:sz w:val="20"/>
        </w:rPr>
      </w:pPr>
    </w:p>
    <w:p w14:paraId="6644A763" w14:textId="77777777" w:rsidR="00AA36ED" w:rsidRPr="00026EC1" w:rsidRDefault="00275751" w:rsidP="007F120F">
      <w:pPr>
        <w:keepNext w:val="0"/>
        <w:tabs>
          <w:tab w:val="left" w:pos="1701"/>
        </w:tabs>
        <w:ind w:left="1701" w:hanging="567"/>
      </w:pPr>
      <w:r w:rsidRPr="00026EC1">
        <w:t>4.</w:t>
      </w:r>
      <w:r w:rsidRPr="00026EC1">
        <w:tab/>
      </w:r>
      <w:r w:rsidR="00AA36ED" w:rsidRPr="00026EC1">
        <w:t>l</w:t>
      </w:r>
      <w:r w:rsidR="00BC3319" w:rsidRPr="00026EC1">
        <w:t>’</w:t>
      </w:r>
      <w:r w:rsidR="00AA36ED" w:rsidRPr="00026EC1">
        <w:t>enseignante ou l</w:t>
      </w:r>
      <w:r w:rsidR="00BC3319" w:rsidRPr="00026EC1">
        <w:t>’</w:t>
      </w:r>
      <w:r w:rsidR="00AA36ED" w:rsidRPr="00026EC1">
        <w:t>enseignant à temps partiel est rémunéré suivant son classement au prorata de sa disponibilité au sens de la convention collective et de sa charge;</w:t>
      </w:r>
    </w:p>
    <w:p w14:paraId="72D67241" w14:textId="77777777" w:rsidR="00AA36ED" w:rsidRPr="00026EC1" w:rsidRDefault="00AA36ED" w:rsidP="007F120F">
      <w:pPr>
        <w:keepNext w:val="0"/>
        <w:ind w:left="1134"/>
        <w:rPr>
          <w:sz w:val="20"/>
        </w:rPr>
      </w:pPr>
    </w:p>
    <w:p w14:paraId="27EA1A08" w14:textId="7AA2C25D" w:rsidR="00AA36ED" w:rsidRPr="00026EC1" w:rsidRDefault="00275751" w:rsidP="007F120F">
      <w:pPr>
        <w:keepNext w:val="0"/>
        <w:tabs>
          <w:tab w:val="left" w:pos="1701"/>
        </w:tabs>
        <w:ind w:left="1701" w:hanging="567"/>
        <w:rPr>
          <w:rFonts w:cs="Arial"/>
        </w:rPr>
      </w:pPr>
      <w:r w:rsidRPr="00026EC1">
        <w:rPr>
          <w:rFonts w:cs="Arial"/>
        </w:rPr>
        <w:t>5.</w:t>
      </w:r>
      <w:r w:rsidRPr="00026EC1">
        <w:rPr>
          <w:rFonts w:cs="Arial"/>
        </w:rPr>
        <w:tab/>
      </w:r>
      <w:r w:rsidR="00AA36ED" w:rsidRPr="00026EC1">
        <w:rPr>
          <w:rFonts w:cs="Arial"/>
        </w:rPr>
        <w:t>lorsqu</w:t>
      </w:r>
      <w:r w:rsidR="00BC3319" w:rsidRPr="00026EC1">
        <w:rPr>
          <w:rFonts w:cs="Arial"/>
        </w:rPr>
        <w:t>’</w:t>
      </w:r>
      <w:r w:rsidR="00AA36ED" w:rsidRPr="00026EC1">
        <w:rPr>
          <w:rFonts w:cs="Arial"/>
        </w:rPr>
        <w:t>une enseignante ou un enseignant est tenu d</w:t>
      </w:r>
      <w:r w:rsidR="00BC3319" w:rsidRPr="00026EC1">
        <w:rPr>
          <w:rFonts w:cs="Arial"/>
        </w:rPr>
        <w:t>’</w:t>
      </w:r>
      <w:r w:rsidR="00AA36ED" w:rsidRPr="00026EC1">
        <w:rPr>
          <w:rFonts w:cs="Arial"/>
        </w:rPr>
        <w:t>effectuer des heures supplémentaires ou de la suppléance sur demande du Collège, elle ou il est rémunéré de la façon suivante au choix de l</w:t>
      </w:r>
      <w:r w:rsidR="00BC3319" w:rsidRPr="00026EC1">
        <w:rPr>
          <w:rFonts w:cs="Arial"/>
        </w:rPr>
        <w:t>’</w:t>
      </w:r>
      <w:r w:rsidR="00AA36ED" w:rsidRPr="00026EC1">
        <w:rPr>
          <w:rFonts w:cs="Arial"/>
        </w:rPr>
        <w:t>enseignante ou de l</w:t>
      </w:r>
      <w:r w:rsidR="00BC3319" w:rsidRPr="00026EC1">
        <w:rPr>
          <w:rFonts w:cs="Arial"/>
        </w:rPr>
        <w:t>’</w:t>
      </w:r>
      <w:r w:rsidR="00AA36ED" w:rsidRPr="00026EC1">
        <w:rPr>
          <w:rFonts w:cs="Arial"/>
        </w:rPr>
        <w:t>enseignant</w:t>
      </w:r>
      <w:r w:rsidR="00D8581B">
        <w:rPr>
          <w:rFonts w:cs="Arial"/>
        </w:rPr>
        <w:t> :</w:t>
      </w:r>
    </w:p>
    <w:p w14:paraId="53D7D9A9" w14:textId="05F99FD7" w:rsidR="00A20972" w:rsidRDefault="00A20972">
      <w:pPr>
        <w:keepNext w:val="0"/>
        <w:suppressAutoHyphens w:val="0"/>
        <w:jc w:val="left"/>
        <w:rPr>
          <w:sz w:val="14"/>
          <w:szCs w:val="14"/>
        </w:rPr>
      </w:pPr>
    </w:p>
    <w:tbl>
      <w:tblPr>
        <w:tblW w:w="8364" w:type="dxa"/>
        <w:tblInd w:w="1134" w:type="dxa"/>
        <w:tblLayout w:type="fixed"/>
        <w:tblCellMar>
          <w:left w:w="0" w:type="dxa"/>
          <w:right w:w="0" w:type="dxa"/>
        </w:tblCellMar>
        <w:tblLook w:val="0000" w:firstRow="0" w:lastRow="0" w:firstColumn="0" w:lastColumn="0" w:noHBand="0" w:noVBand="0"/>
      </w:tblPr>
      <w:tblGrid>
        <w:gridCol w:w="1276"/>
        <w:gridCol w:w="1276"/>
        <w:gridCol w:w="1559"/>
        <w:gridCol w:w="1276"/>
        <w:gridCol w:w="1559"/>
        <w:gridCol w:w="1418"/>
      </w:tblGrid>
      <w:tr w:rsidR="00A20972" w:rsidRPr="00A20972" w14:paraId="15006A4D" w14:textId="77777777" w:rsidTr="009A1CC5">
        <w:trPr>
          <w:cantSplit/>
        </w:trPr>
        <w:tc>
          <w:tcPr>
            <w:tcW w:w="1276" w:type="dxa"/>
            <w:shd w:val="clear" w:color="auto" w:fill="FFFFFF"/>
            <w:vAlign w:val="center"/>
          </w:tcPr>
          <w:p w14:paraId="2F106F29"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Classe</w:t>
            </w:r>
          </w:p>
        </w:tc>
        <w:tc>
          <w:tcPr>
            <w:tcW w:w="1276" w:type="dxa"/>
            <w:shd w:val="clear" w:color="auto" w:fill="FFFFFF"/>
            <w:vAlign w:val="center"/>
          </w:tcPr>
          <w:p w14:paraId="24854FF0"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Taux du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2023-04-01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au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2024-03-31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 xml:space="preserve">( $ ) </w:t>
            </w:r>
          </w:p>
        </w:tc>
        <w:tc>
          <w:tcPr>
            <w:tcW w:w="1559" w:type="dxa"/>
            <w:shd w:val="clear" w:color="auto" w:fill="FFFFFF"/>
            <w:vAlign w:val="center"/>
          </w:tcPr>
          <w:p w14:paraId="29586E13"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Taux du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2024-04-01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au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2025-03-31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 xml:space="preserve">( $ ) </w:t>
            </w:r>
          </w:p>
        </w:tc>
        <w:tc>
          <w:tcPr>
            <w:tcW w:w="1276" w:type="dxa"/>
            <w:shd w:val="clear" w:color="auto" w:fill="FFFFFF"/>
            <w:vAlign w:val="center"/>
          </w:tcPr>
          <w:p w14:paraId="4083981C"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Taux du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2025-04-01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au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2026-03-31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 xml:space="preserve">( $ ) </w:t>
            </w:r>
          </w:p>
        </w:tc>
        <w:tc>
          <w:tcPr>
            <w:tcW w:w="1559" w:type="dxa"/>
            <w:shd w:val="clear" w:color="auto" w:fill="FFFFFF"/>
            <w:vAlign w:val="center"/>
          </w:tcPr>
          <w:p w14:paraId="136F2F69"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Taux du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2026-04-01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au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2027-03-31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 xml:space="preserve">( $ ) </w:t>
            </w:r>
          </w:p>
        </w:tc>
        <w:tc>
          <w:tcPr>
            <w:tcW w:w="1418" w:type="dxa"/>
            <w:shd w:val="clear" w:color="auto" w:fill="FFFFFF"/>
            <w:vAlign w:val="center"/>
          </w:tcPr>
          <w:p w14:paraId="2B7A7C54" w14:textId="77777777" w:rsidR="00A20972" w:rsidRPr="00316277"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lang w:eastAsia="fr-CA"/>
              </w:rPr>
            </w:pPr>
            <w:r w:rsidRPr="00316277">
              <w:rPr>
                <w:rFonts w:eastAsiaTheme="minorEastAsia" w:cs="Arial"/>
                <w:b/>
                <w:bCs/>
                <w:snapToGrid/>
                <w:color w:val="000000"/>
                <w:sz w:val="22"/>
                <w:szCs w:val="22"/>
                <w:lang w:eastAsia="fr-CA"/>
              </w:rPr>
              <w:t>Taux à</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compter</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du</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2027-04-01</w:t>
            </w:r>
            <w:r w:rsidRPr="00316277">
              <w:rPr>
                <w:rFonts w:eastAsiaTheme="minorEastAsia" w:cs="Arial"/>
                <w:snapToGrid/>
                <w:color w:val="000000"/>
                <w:sz w:val="22"/>
                <w:szCs w:val="22"/>
                <w:lang w:eastAsia="fr-CA"/>
              </w:rPr>
              <w:br/>
            </w:r>
            <w:r w:rsidRPr="00316277">
              <w:rPr>
                <w:rFonts w:eastAsiaTheme="minorEastAsia" w:cs="Arial"/>
                <w:b/>
                <w:bCs/>
                <w:snapToGrid/>
                <w:color w:val="000000"/>
                <w:sz w:val="22"/>
                <w:szCs w:val="22"/>
                <w:lang w:eastAsia="fr-CA"/>
              </w:rPr>
              <w:t xml:space="preserve">( $ ) </w:t>
            </w:r>
          </w:p>
        </w:tc>
      </w:tr>
      <w:tr w:rsidR="00A20972" w:rsidRPr="00A20972" w14:paraId="536ABB59" w14:textId="77777777" w:rsidTr="009A1CC5">
        <w:trPr>
          <w:cantSplit/>
        </w:trPr>
        <w:tc>
          <w:tcPr>
            <w:tcW w:w="1276" w:type="dxa"/>
            <w:shd w:val="clear" w:color="auto" w:fill="FFFFFF"/>
          </w:tcPr>
          <w:p w14:paraId="4BFABFE6"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w:t>
            </w:r>
          </w:p>
        </w:tc>
        <w:tc>
          <w:tcPr>
            <w:tcW w:w="1276" w:type="dxa"/>
            <w:shd w:val="clear" w:color="auto" w:fill="FFFFFF"/>
          </w:tcPr>
          <w:p w14:paraId="6DA0AFAC"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w:t>
            </w:r>
          </w:p>
        </w:tc>
        <w:tc>
          <w:tcPr>
            <w:tcW w:w="1559" w:type="dxa"/>
            <w:shd w:val="clear" w:color="auto" w:fill="FFFFFF"/>
          </w:tcPr>
          <w:p w14:paraId="48804083"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w:t>
            </w:r>
          </w:p>
        </w:tc>
        <w:tc>
          <w:tcPr>
            <w:tcW w:w="1276" w:type="dxa"/>
            <w:shd w:val="clear" w:color="auto" w:fill="FFFFFF"/>
          </w:tcPr>
          <w:p w14:paraId="7B37B222"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w:t>
            </w:r>
          </w:p>
        </w:tc>
        <w:tc>
          <w:tcPr>
            <w:tcW w:w="1559" w:type="dxa"/>
            <w:shd w:val="clear" w:color="auto" w:fill="FFFFFF"/>
          </w:tcPr>
          <w:p w14:paraId="22B9CCAC"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highlight w:val="lightGray"/>
                <w:lang w:eastAsia="fr-CA"/>
              </w:rPr>
            </w:pPr>
            <w:r w:rsidRPr="00316277">
              <w:rPr>
                <w:rFonts w:eastAsiaTheme="minorEastAsia" w:cs="Arial"/>
                <w:b/>
                <w:bCs/>
                <w:snapToGrid/>
                <w:color w:val="000000"/>
                <w:sz w:val="22"/>
                <w:szCs w:val="22"/>
                <w:lang w:eastAsia="fr-CA"/>
              </w:rPr>
              <w:t>¯¯¯¯¯¯¯¯¯</w:t>
            </w:r>
          </w:p>
        </w:tc>
        <w:tc>
          <w:tcPr>
            <w:tcW w:w="1418" w:type="dxa"/>
            <w:shd w:val="clear" w:color="auto" w:fill="FFFFFF"/>
          </w:tcPr>
          <w:p w14:paraId="4CEDA1F3" w14:textId="77777777" w:rsidR="00A20972" w:rsidRPr="00316277" w:rsidRDefault="00A20972" w:rsidP="00940BD8">
            <w:pPr>
              <w:keepNext w:val="0"/>
              <w:keepLines/>
              <w:widowControl w:val="0"/>
              <w:suppressAutoHyphens w:val="0"/>
              <w:autoSpaceDE w:val="0"/>
              <w:autoSpaceDN w:val="0"/>
              <w:adjustRightInd w:val="0"/>
              <w:ind w:left="57" w:right="57"/>
              <w:jc w:val="center"/>
              <w:rPr>
                <w:rFonts w:eastAsiaTheme="minorEastAsia" w:cs="Arial"/>
                <w:b/>
                <w:bCs/>
                <w:snapToGrid/>
                <w:color w:val="000000"/>
                <w:sz w:val="22"/>
                <w:szCs w:val="22"/>
                <w:lang w:eastAsia="fr-CA"/>
              </w:rPr>
            </w:pPr>
            <w:r w:rsidRPr="00316277">
              <w:rPr>
                <w:rFonts w:eastAsiaTheme="minorEastAsia" w:cs="Arial"/>
                <w:b/>
                <w:bCs/>
                <w:snapToGrid/>
                <w:color w:val="000000"/>
                <w:sz w:val="22"/>
                <w:szCs w:val="22"/>
                <w:lang w:eastAsia="fr-CA"/>
              </w:rPr>
              <w:t>¯¯¯¯¯¯¯¯¯</w:t>
            </w:r>
          </w:p>
        </w:tc>
      </w:tr>
      <w:tr w:rsidR="00A20972" w:rsidRPr="00A20972" w14:paraId="49201792" w14:textId="77777777" w:rsidTr="009A1CC5">
        <w:trPr>
          <w:cantSplit/>
        </w:trPr>
        <w:tc>
          <w:tcPr>
            <w:tcW w:w="1276" w:type="dxa"/>
            <w:shd w:val="clear" w:color="auto" w:fill="FFFFFF"/>
          </w:tcPr>
          <w:p w14:paraId="40A21787"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I</w:t>
            </w:r>
          </w:p>
        </w:tc>
        <w:tc>
          <w:tcPr>
            <w:tcW w:w="1276" w:type="dxa"/>
            <w:shd w:val="clear" w:color="auto" w:fill="FFFFFF"/>
            <w:vAlign w:val="center"/>
          </w:tcPr>
          <w:p w14:paraId="256D79D9"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56,87</w:t>
            </w:r>
          </w:p>
        </w:tc>
        <w:tc>
          <w:tcPr>
            <w:tcW w:w="1559" w:type="dxa"/>
            <w:shd w:val="clear" w:color="auto" w:fill="FFFFFF"/>
            <w:vAlign w:val="center"/>
          </w:tcPr>
          <w:p w14:paraId="73E85192"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58,46</w:t>
            </w:r>
          </w:p>
        </w:tc>
        <w:tc>
          <w:tcPr>
            <w:tcW w:w="1276" w:type="dxa"/>
            <w:shd w:val="clear" w:color="auto" w:fill="FFFFFF"/>
            <w:vAlign w:val="center"/>
          </w:tcPr>
          <w:p w14:paraId="328E42C7"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59,98</w:t>
            </w:r>
          </w:p>
        </w:tc>
        <w:tc>
          <w:tcPr>
            <w:tcW w:w="1559" w:type="dxa"/>
            <w:shd w:val="clear" w:color="auto" w:fill="FFFFFF"/>
            <w:vAlign w:val="center"/>
          </w:tcPr>
          <w:p w14:paraId="16A4A623"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61,48</w:t>
            </w:r>
          </w:p>
        </w:tc>
        <w:tc>
          <w:tcPr>
            <w:tcW w:w="1418" w:type="dxa"/>
            <w:shd w:val="clear" w:color="auto" w:fill="FFFFFF"/>
            <w:vAlign w:val="center"/>
          </w:tcPr>
          <w:p w14:paraId="45863806" w14:textId="77777777" w:rsidR="00A20972" w:rsidRPr="00316277"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lang w:eastAsia="fr-CA"/>
              </w:rPr>
            </w:pPr>
            <w:r w:rsidRPr="00316277">
              <w:rPr>
                <w:rFonts w:eastAsiaTheme="minorEastAsia" w:cs="Arial"/>
                <w:snapToGrid/>
                <w:color w:val="000000"/>
                <w:sz w:val="22"/>
                <w:szCs w:val="22"/>
                <w:lang w:eastAsia="fr-CA"/>
              </w:rPr>
              <w:t>63,63</w:t>
            </w:r>
          </w:p>
        </w:tc>
      </w:tr>
      <w:tr w:rsidR="00A20972" w:rsidRPr="00A20972" w14:paraId="54BE7AA5" w14:textId="77777777" w:rsidTr="009A1CC5">
        <w:trPr>
          <w:cantSplit/>
        </w:trPr>
        <w:tc>
          <w:tcPr>
            <w:tcW w:w="1276" w:type="dxa"/>
            <w:shd w:val="clear" w:color="auto" w:fill="FFFFFF"/>
          </w:tcPr>
          <w:p w14:paraId="6F350A43"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II</w:t>
            </w:r>
          </w:p>
        </w:tc>
        <w:tc>
          <w:tcPr>
            <w:tcW w:w="1276" w:type="dxa"/>
            <w:shd w:val="clear" w:color="auto" w:fill="FFFFFF"/>
            <w:vAlign w:val="center"/>
          </w:tcPr>
          <w:p w14:paraId="60D79E74"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66,44</w:t>
            </w:r>
          </w:p>
        </w:tc>
        <w:tc>
          <w:tcPr>
            <w:tcW w:w="1559" w:type="dxa"/>
            <w:shd w:val="clear" w:color="auto" w:fill="FFFFFF"/>
            <w:vAlign w:val="center"/>
          </w:tcPr>
          <w:p w14:paraId="4AE6BA8E"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68,30</w:t>
            </w:r>
          </w:p>
        </w:tc>
        <w:tc>
          <w:tcPr>
            <w:tcW w:w="1276" w:type="dxa"/>
            <w:shd w:val="clear" w:color="auto" w:fill="FFFFFF"/>
            <w:vAlign w:val="center"/>
          </w:tcPr>
          <w:p w14:paraId="108FC171"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70,08</w:t>
            </w:r>
          </w:p>
        </w:tc>
        <w:tc>
          <w:tcPr>
            <w:tcW w:w="1559" w:type="dxa"/>
            <w:shd w:val="clear" w:color="auto" w:fill="FFFFFF"/>
            <w:vAlign w:val="center"/>
          </w:tcPr>
          <w:p w14:paraId="75FCB615"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71,83</w:t>
            </w:r>
          </w:p>
        </w:tc>
        <w:tc>
          <w:tcPr>
            <w:tcW w:w="1418" w:type="dxa"/>
            <w:shd w:val="clear" w:color="auto" w:fill="FFFFFF"/>
            <w:vAlign w:val="center"/>
          </w:tcPr>
          <w:p w14:paraId="7AE24002" w14:textId="77777777" w:rsidR="00A20972" w:rsidRPr="00316277"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lang w:eastAsia="fr-CA"/>
              </w:rPr>
            </w:pPr>
            <w:r w:rsidRPr="00316277">
              <w:rPr>
                <w:rFonts w:eastAsiaTheme="minorEastAsia" w:cs="Arial"/>
                <w:snapToGrid/>
                <w:color w:val="000000"/>
                <w:sz w:val="22"/>
                <w:szCs w:val="22"/>
                <w:lang w:eastAsia="fr-CA"/>
              </w:rPr>
              <w:t>74,34</w:t>
            </w:r>
          </w:p>
        </w:tc>
      </w:tr>
      <w:tr w:rsidR="00A20972" w:rsidRPr="00A20972" w14:paraId="20331E00" w14:textId="77777777" w:rsidTr="009A1CC5">
        <w:trPr>
          <w:cantSplit/>
        </w:trPr>
        <w:tc>
          <w:tcPr>
            <w:tcW w:w="1276" w:type="dxa"/>
            <w:shd w:val="clear" w:color="auto" w:fill="FFFFFF"/>
          </w:tcPr>
          <w:p w14:paraId="2A73F7C4"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III</w:t>
            </w:r>
          </w:p>
        </w:tc>
        <w:tc>
          <w:tcPr>
            <w:tcW w:w="1276" w:type="dxa"/>
            <w:shd w:val="clear" w:color="auto" w:fill="FFFFFF"/>
            <w:vAlign w:val="center"/>
          </w:tcPr>
          <w:p w14:paraId="3DF4DC4A"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77,40</w:t>
            </w:r>
          </w:p>
        </w:tc>
        <w:tc>
          <w:tcPr>
            <w:tcW w:w="1559" w:type="dxa"/>
            <w:shd w:val="clear" w:color="auto" w:fill="FFFFFF"/>
            <w:vAlign w:val="center"/>
          </w:tcPr>
          <w:p w14:paraId="75B3E4A9"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79,57</w:t>
            </w:r>
          </w:p>
        </w:tc>
        <w:tc>
          <w:tcPr>
            <w:tcW w:w="1276" w:type="dxa"/>
            <w:shd w:val="clear" w:color="auto" w:fill="FFFFFF"/>
            <w:vAlign w:val="center"/>
          </w:tcPr>
          <w:p w14:paraId="1158292C"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81,64</w:t>
            </w:r>
          </w:p>
        </w:tc>
        <w:tc>
          <w:tcPr>
            <w:tcW w:w="1559" w:type="dxa"/>
            <w:shd w:val="clear" w:color="auto" w:fill="FFFFFF"/>
            <w:vAlign w:val="center"/>
          </w:tcPr>
          <w:p w14:paraId="7E304789"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83,68</w:t>
            </w:r>
          </w:p>
        </w:tc>
        <w:tc>
          <w:tcPr>
            <w:tcW w:w="1418" w:type="dxa"/>
            <w:shd w:val="clear" w:color="auto" w:fill="FFFFFF"/>
            <w:vAlign w:val="center"/>
          </w:tcPr>
          <w:p w14:paraId="1D3548B6" w14:textId="77777777" w:rsidR="00A20972" w:rsidRPr="00316277"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lang w:eastAsia="fr-CA"/>
              </w:rPr>
            </w:pPr>
            <w:r w:rsidRPr="00316277">
              <w:rPr>
                <w:rFonts w:eastAsiaTheme="minorEastAsia" w:cs="Arial"/>
                <w:snapToGrid/>
                <w:color w:val="000000"/>
                <w:sz w:val="22"/>
                <w:szCs w:val="22"/>
                <w:lang w:eastAsia="fr-CA"/>
              </w:rPr>
              <w:t>86,61</w:t>
            </w:r>
          </w:p>
        </w:tc>
      </w:tr>
      <w:tr w:rsidR="00A20972" w:rsidRPr="00C737B6" w14:paraId="56952A4E" w14:textId="77777777" w:rsidTr="009A1CC5">
        <w:trPr>
          <w:cantSplit/>
        </w:trPr>
        <w:tc>
          <w:tcPr>
            <w:tcW w:w="1276" w:type="dxa"/>
            <w:shd w:val="clear" w:color="auto" w:fill="FFFFFF"/>
          </w:tcPr>
          <w:p w14:paraId="64129C19" w14:textId="77777777" w:rsidR="00A20972" w:rsidRPr="00A20972" w:rsidRDefault="00A20972" w:rsidP="00940BD8">
            <w:pPr>
              <w:keepNext w:val="0"/>
              <w:keepLines/>
              <w:widowControl w:val="0"/>
              <w:suppressAutoHyphens w:val="0"/>
              <w:autoSpaceDE w:val="0"/>
              <w:autoSpaceDN w:val="0"/>
              <w:adjustRightInd w:val="0"/>
              <w:ind w:left="57" w:right="57"/>
              <w:jc w:val="center"/>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IV</w:t>
            </w:r>
          </w:p>
        </w:tc>
        <w:tc>
          <w:tcPr>
            <w:tcW w:w="1276" w:type="dxa"/>
            <w:shd w:val="clear" w:color="auto" w:fill="FFFFFF"/>
            <w:vAlign w:val="center"/>
          </w:tcPr>
          <w:p w14:paraId="38FB4A77"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84,72</w:t>
            </w:r>
          </w:p>
        </w:tc>
        <w:tc>
          <w:tcPr>
            <w:tcW w:w="1559" w:type="dxa"/>
            <w:shd w:val="clear" w:color="auto" w:fill="FFFFFF"/>
            <w:vAlign w:val="center"/>
          </w:tcPr>
          <w:p w14:paraId="1B6499D7"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87,09</w:t>
            </w:r>
          </w:p>
        </w:tc>
        <w:tc>
          <w:tcPr>
            <w:tcW w:w="1276" w:type="dxa"/>
            <w:shd w:val="clear" w:color="auto" w:fill="FFFFFF"/>
            <w:vAlign w:val="center"/>
          </w:tcPr>
          <w:p w14:paraId="7D6E8214"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89,35</w:t>
            </w:r>
          </w:p>
        </w:tc>
        <w:tc>
          <w:tcPr>
            <w:tcW w:w="1559" w:type="dxa"/>
            <w:shd w:val="clear" w:color="auto" w:fill="FFFFFF"/>
            <w:vAlign w:val="center"/>
          </w:tcPr>
          <w:p w14:paraId="13812338" w14:textId="77777777" w:rsidR="00A20972" w:rsidRPr="00A20972"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highlight w:val="lightGray"/>
                <w:lang w:eastAsia="fr-CA"/>
              </w:rPr>
            </w:pPr>
            <w:r w:rsidRPr="00316277">
              <w:rPr>
                <w:rFonts w:eastAsiaTheme="minorEastAsia" w:cs="Arial"/>
                <w:snapToGrid/>
                <w:color w:val="000000"/>
                <w:sz w:val="22"/>
                <w:szCs w:val="22"/>
                <w:lang w:eastAsia="fr-CA"/>
              </w:rPr>
              <w:t>91,58</w:t>
            </w:r>
          </w:p>
        </w:tc>
        <w:tc>
          <w:tcPr>
            <w:tcW w:w="1418" w:type="dxa"/>
            <w:shd w:val="clear" w:color="auto" w:fill="FFFFFF"/>
            <w:vAlign w:val="center"/>
          </w:tcPr>
          <w:p w14:paraId="5C30C8D3" w14:textId="77777777" w:rsidR="00A20972" w:rsidRPr="00316277" w:rsidRDefault="00A20972" w:rsidP="00940BD8">
            <w:pPr>
              <w:keepNext w:val="0"/>
              <w:keepLines/>
              <w:widowControl w:val="0"/>
              <w:suppressAutoHyphens w:val="0"/>
              <w:autoSpaceDE w:val="0"/>
              <w:autoSpaceDN w:val="0"/>
              <w:adjustRightInd w:val="0"/>
              <w:ind w:left="28" w:right="311"/>
              <w:jc w:val="right"/>
              <w:rPr>
                <w:rFonts w:eastAsiaTheme="minorEastAsia" w:cs="Arial"/>
                <w:snapToGrid/>
                <w:color w:val="000000"/>
                <w:sz w:val="22"/>
                <w:szCs w:val="22"/>
                <w:lang w:eastAsia="fr-CA"/>
              </w:rPr>
            </w:pPr>
            <w:r w:rsidRPr="00316277">
              <w:rPr>
                <w:rFonts w:eastAsiaTheme="minorEastAsia" w:cs="Arial"/>
                <w:snapToGrid/>
                <w:color w:val="000000"/>
                <w:sz w:val="22"/>
                <w:szCs w:val="22"/>
                <w:lang w:eastAsia="fr-CA"/>
              </w:rPr>
              <w:t>94,79</w:t>
            </w:r>
          </w:p>
        </w:tc>
      </w:tr>
    </w:tbl>
    <w:p w14:paraId="6A3F593E" w14:textId="77777777" w:rsidR="00A20972" w:rsidRDefault="00A20972" w:rsidP="007F120F">
      <w:pPr>
        <w:pStyle w:val="Texte3cm"/>
        <w:keepNext w:val="0"/>
      </w:pPr>
    </w:p>
    <w:p w14:paraId="1DBEEF7C" w14:textId="45B9214D" w:rsidR="00AA36ED" w:rsidRPr="001170D2" w:rsidRDefault="00AA36ED" w:rsidP="007F120F">
      <w:pPr>
        <w:pStyle w:val="Texte3cm"/>
        <w:keepNext w:val="0"/>
      </w:pPr>
      <w:r w:rsidRPr="001170D2">
        <w:t>ou</w:t>
      </w:r>
    </w:p>
    <w:p w14:paraId="40F62138" w14:textId="77777777" w:rsidR="008D367B" w:rsidRPr="001170D2" w:rsidRDefault="008D367B" w:rsidP="007F120F">
      <w:pPr>
        <w:keepNext w:val="0"/>
        <w:rPr>
          <w:sz w:val="14"/>
          <w:szCs w:val="14"/>
        </w:rPr>
      </w:pPr>
    </w:p>
    <w:p w14:paraId="3D652B86" w14:textId="51A8D5CE" w:rsidR="00AA36ED" w:rsidRPr="00026EC1" w:rsidRDefault="00AA36ED" w:rsidP="007F120F">
      <w:pPr>
        <w:pStyle w:val="Texte3cm"/>
        <w:keepNext w:val="0"/>
      </w:pPr>
      <w:r w:rsidRPr="001170D2">
        <w:t>l</w:t>
      </w:r>
      <w:r w:rsidR="00BC3319" w:rsidRPr="001170D2">
        <w:t>’</w:t>
      </w:r>
      <w:r w:rsidRPr="001170D2">
        <w:t>équivalent en temps après entente entre le Collège et l</w:t>
      </w:r>
      <w:r w:rsidR="00BC3319" w:rsidRPr="001170D2">
        <w:t>’</w:t>
      </w:r>
      <w:r w:rsidRPr="001170D2">
        <w:t>enseignante ou l</w:t>
      </w:r>
      <w:r w:rsidR="00BC3319" w:rsidRPr="001170D2">
        <w:t>’</w:t>
      </w:r>
      <w:r w:rsidRPr="001170D2">
        <w:t>enseignant.</w:t>
      </w:r>
    </w:p>
    <w:p w14:paraId="410FA1C5" w14:textId="77777777" w:rsidR="00BB1507" w:rsidRDefault="00BB1507" w:rsidP="009A1CC5">
      <w:pPr>
        <w:keepNext w:val="0"/>
        <w:tabs>
          <w:tab w:val="left" w:pos="1701"/>
        </w:tabs>
      </w:pPr>
    </w:p>
    <w:p w14:paraId="5B284AC1" w14:textId="4ED27E93" w:rsidR="009A1CC5" w:rsidRDefault="00A20972" w:rsidP="007F120F">
      <w:pPr>
        <w:keepNext w:val="0"/>
        <w:tabs>
          <w:tab w:val="left" w:pos="1701"/>
        </w:tabs>
        <w:ind w:left="1701" w:hanging="567"/>
        <w:rPr>
          <w:bCs/>
        </w:rPr>
      </w:pPr>
      <w:r w:rsidRPr="00316277">
        <w:t>6</w:t>
      </w:r>
      <w:r w:rsidR="00275751" w:rsidRPr="00417A52">
        <w:t>.</w:t>
      </w:r>
      <w:r w:rsidR="00275751" w:rsidRPr="00417A52">
        <w:tab/>
      </w:r>
      <w:r w:rsidR="00AA36ED" w:rsidRPr="00E219C0">
        <w:t>les taux horaires prévus au sous</w:t>
      </w:r>
      <w:r w:rsidR="00984A6F">
        <w:noBreakHyphen/>
      </w:r>
      <w:r w:rsidR="00AA36ED" w:rsidRPr="00E219C0">
        <w:t>alinéa</w:t>
      </w:r>
      <w:r w:rsidR="00BC3319" w:rsidRPr="00E219C0">
        <w:t> </w:t>
      </w:r>
      <w:r w:rsidR="00AA36ED" w:rsidRPr="00E219C0">
        <w:t>5</w:t>
      </w:r>
      <w:r>
        <w:rPr>
          <w:bCs/>
        </w:rPr>
        <w:t xml:space="preserve"> </w:t>
      </w:r>
      <w:r w:rsidR="00F25CC8" w:rsidRPr="00316277">
        <w:rPr>
          <w:bCs/>
        </w:rPr>
        <w:t xml:space="preserve">sont </w:t>
      </w:r>
      <w:r w:rsidRPr="00316277">
        <w:rPr>
          <w:bCs/>
        </w:rPr>
        <w:t>déterminés selon la méthodologie prévue à l’Annexe</w:t>
      </w:r>
      <w:r w:rsidR="00A3067D" w:rsidRPr="00316277">
        <w:t> </w:t>
      </w:r>
      <w:r w:rsidRPr="00316277">
        <w:rPr>
          <w:bCs/>
        </w:rPr>
        <w:t>VI</w:t>
      </w:r>
      <w:r w:rsidRPr="00316277">
        <w:rPr>
          <w:bCs/>
        </w:rPr>
        <w:noBreakHyphen/>
        <w:t>4</w:t>
      </w:r>
      <w:r w:rsidR="00AA36ED" w:rsidRPr="00316277">
        <w:rPr>
          <w:bCs/>
        </w:rPr>
        <w:t>.</w:t>
      </w:r>
    </w:p>
    <w:p w14:paraId="7C4EBCE4" w14:textId="77777777" w:rsidR="009A1CC5" w:rsidRDefault="009A1CC5">
      <w:pPr>
        <w:keepNext w:val="0"/>
        <w:suppressAutoHyphens w:val="0"/>
        <w:jc w:val="left"/>
        <w:rPr>
          <w:bCs/>
        </w:rPr>
      </w:pPr>
      <w:r>
        <w:rPr>
          <w:bCs/>
        </w:rPr>
        <w:br w:type="page"/>
      </w:r>
    </w:p>
    <w:p w14:paraId="24DA3D83" w14:textId="7E5DCE71" w:rsidR="00B33E42" w:rsidRDefault="00B33E42" w:rsidP="00B33E42">
      <w:pPr>
        <w:pStyle w:val="NUMRODECLAUSE"/>
        <w:keepNext w:val="0"/>
        <w:tabs>
          <w:tab w:val="clear" w:pos="868"/>
          <w:tab w:val="left" w:pos="1701"/>
        </w:tabs>
        <w:ind w:left="1701" w:hanging="567"/>
        <w:rPr>
          <w:rStyle w:val="ui-provider"/>
          <w:b w:val="0"/>
        </w:rPr>
      </w:pPr>
      <w:r w:rsidRPr="00316277">
        <w:rPr>
          <w:b w:val="0"/>
        </w:rPr>
        <w:t>7.</w:t>
      </w:r>
      <w:r w:rsidRPr="00316277">
        <w:rPr>
          <w:b w:val="0"/>
        </w:rPr>
        <w:tab/>
      </w:r>
      <w:r w:rsidRPr="00316277">
        <w:rPr>
          <w:rStyle w:val="ui-provider"/>
          <w:b w:val="0"/>
        </w:rPr>
        <w:t>L'avancement d'un</w:t>
      </w:r>
      <w:r w:rsidR="00A3067D" w:rsidRPr="00316277">
        <w:rPr>
          <w:rStyle w:val="ui-provider"/>
          <w:b w:val="0"/>
        </w:rPr>
        <w:t> </w:t>
      </w:r>
      <w:r w:rsidR="0090172B" w:rsidRPr="00316277">
        <w:rPr>
          <w:rStyle w:val="ui-provider"/>
          <w:b w:val="0"/>
        </w:rPr>
        <w:t xml:space="preserve">(1) </w:t>
      </w:r>
      <w:r w:rsidR="00A3067D" w:rsidRPr="00316277">
        <w:rPr>
          <w:rStyle w:val="ui-provider"/>
          <w:b w:val="0"/>
        </w:rPr>
        <w:t>échelon </w:t>
      </w:r>
      <w:r w:rsidRPr="00316277">
        <w:rPr>
          <w:rStyle w:val="ui-provider"/>
          <w:b w:val="0"/>
        </w:rPr>
        <w:t>accordé au 1</w:t>
      </w:r>
      <w:r w:rsidRPr="00316277">
        <w:rPr>
          <w:rStyle w:val="ui-provider"/>
          <w:b w:val="0"/>
          <w:vertAlign w:val="superscript"/>
        </w:rPr>
        <w:t>er</w:t>
      </w:r>
      <w:r w:rsidR="00A3067D" w:rsidRPr="00316277">
        <w:rPr>
          <w:rStyle w:val="ui-provider"/>
          <w:b w:val="0"/>
          <w:vertAlign w:val="superscript"/>
        </w:rPr>
        <w:t> </w:t>
      </w:r>
      <w:r w:rsidRPr="00316277">
        <w:rPr>
          <w:rStyle w:val="ui-provider"/>
          <w:b w:val="0"/>
        </w:rPr>
        <w:t xml:space="preserve">juillet 2024 à l’enseignante ou l’enseignant </w:t>
      </w:r>
      <w:r w:rsidRPr="00316277">
        <w:rPr>
          <w:b w:val="0"/>
          <w:szCs w:val="24"/>
        </w:rPr>
        <w:t>à temps complet ou à temps partiel</w:t>
      </w:r>
      <w:r w:rsidRPr="00316277">
        <w:rPr>
          <w:rStyle w:val="ui-provider"/>
          <w:b w:val="0"/>
        </w:rPr>
        <w:t xml:space="preserve"> en vertu du point</w:t>
      </w:r>
      <w:r w:rsidR="00A3067D" w:rsidRPr="00316277">
        <w:rPr>
          <w:rStyle w:val="ui-provider"/>
          <w:b w:val="0"/>
        </w:rPr>
        <w:t> </w:t>
      </w:r>
      <w:r w:rsidRPr="00316277">
        <w:rPr>
          <w:rStyle w:val="ui-provider"/>
          <w:b w:val="0"/>
        </w:rPr>
        <w:t>3.2 de l'</w:t>
      </w:r>
      <w:r w:rsidR="0090172B" w:rsidRPr="00316277">
        <w:rPr>
          <w:rStyle w:val="ui-provider"/>
          <w:b w:val="0"/>
        </w:rPr>
        <w:t>A</w:t>
      </w:r>
      <w:r w:rsidRPr="00316277">
        <w:rPr>
          <w:rStyle w:val="ui-provider"/>
          <w:b w:val="0"/>
        </w:rPr>
        <w:t>nnexe VI-4 doit être maintenu lors de son réengagement dans son collège d'origine ou dans un autre collège.</w:t>
      </w:r>
    </w:p>
    <w:p w14:paraId="33C8B7D7" w14:textId="77777777" w:rsidR="004C7735" w:rsidRPr="00E219C0" w:rsidRDefault="004C7735" w:rsidP="007F120F">
      <w:pPr>
        <w:keepNext w:val="0"/>
        <w:tabs>
          <w:tab w:val="left" w:pos="1701"/>
        </w:tabs>
        <w:ind w:left="1701" w:hanging="567"/>
        <w:rPr>
          <w:bCs/>
        </w:rPr>
      </w:pPr>
    </w:p>
    <w:p w14:paraId="364171E5" w14:textId="5019EAF3" w:rsidR="004C7735" w:rsidRPr="00E219C0" w:rsidRDefault="00275751" w:rsidP="007F120F">
      <w:pPr>
        <w:keepNext w:val="0"/>
        <w:tabs>
          <w:tab w:val="left" w:pos="567"/>
        </w:tabs>
        <w:ind w:left="567" w:hanging="567"/>
      </w:pPr>
      <w:r w:rsidRPr="00E219C0">
        <w:t>08.</w:t>
      </w:r>
      <w:r w:rsidRPr="00E219C0">
        <w:tab/>
      </w:r>
      <w:r w:rsidR="00AA36ED" w:rsidRPr="00E219C0">
        <w:t>L</w:t>
      </w:r>
      <w:r w:rsidR="00BC3319" w:rsidRPr="00E219C0">
        <w:t>’</w:t>
      </w:r>
      <w:r w:rsidR="00AA36ED" w:rsidRPr="00E219C0">
        <w:t>article 8</w:t>
      </w:r>
      <w:r w:rsidR="00984A6F">
        <w:noBreakHyphen/>
      </w:r>
      <w:r w:rsidR="00AA36ED" w:rsidRPr="00E219C0">
        <w:t>2.00 est modifié de la façon suivante</w:t>
      </w:r>
      <w:r w:rsidR="00D8581B" w:rsidRPr="00E219C0">
        <w:t> :</w:t>
      </w:r>
    </w:p>
    <w:p w14:paraId="07BB4047" w14:textId="6EA99310" w:rsidR="004C7735" w:rsidRPr="00E219C0" w:rsidRDefault="004C7735" w:rsidP="007F120F">
      <w:pPr>
        <w:keepNext w:val="0"/>
        <w:tabs>
          <w:tab w:val="left" w:pos="1701"/>
        </w:tabs>
        <w:ind w:left="1701" w:hanging="567"/>
      </w:pPr>
    </w:p>
    <w:p w14:paraId="67516304" w14:textId="50232F75" w:rsidR="00E62156" w:rsidRPr="00E219C0" w:rsidRDefault="00E62156" w:rsidP="007F120F">
      <w:pPr>
        <w:keepNext w:val="0"/>
        <w:ind w:firstLine="540"/>
        <w:rPr>
          <w:b/>
          <w:bCs/>
          <w:u w:val="single"/>
        </w:rPr>
      </w:pPr>
      <w:r w:rsidRPr="00E219C0">
        <w:rPr>
          <w:b/>
          <w:bCs/>
          <w:u w:val="single"/>
        </w:rPr>
        <w:t>Article 8</w:t>
      </w:r>
      <w:r w:rsidR="00984A6F">
        <w:rPr>
          <w:b/>
          <w:bCs/>
          <w:u w:val="single"/>
        </w:rPr>
        <w:noBreakHyphen/>
      </w:r>
      <w:r w:rsidRPr="00E219C0">
        <w:rPr>
          <w:b/>
          <w:bCs/>
          <w:u w:val="single"/>
        </w:rPr>
        <w:t>2.00</w:t>
      </w:r>
      <w:r w:rsidR="004365C2" w:rsidRPr="00E219C0">
        <w:rPr>
          <w:b/>
          <w:bCs/>
          <w:u w:val="single"/>
        </w:rPr>
        <w:t xml:space="preserve"> </w:t>
      </w:r>
      <w:r w:rsidR="00984A6F">
        <w:rPr>
          <w:b/>
          <w:bCs/>
          <w:u w:val="single"/>
        </w:rPr>
        <w:noBreakHyphen/>
      </w:r>
      <w:r w:rsidRPr="00E219C0">
        <w:rPr>
          <w:b/>
          <w:bCs/>
          <w:u w:val="single"/>
        </w:rPr>
        <w:t xml:space="preserve"> Dispositions relatives aux vacances</w:t>
      </w:r>
    </w:p>
    <w:p w14:paraId="619C295D" w14:textId="77777777" w:rsidR="00E10825" w:rsidRPr="00E219C0" w:rsidRDefault="00E10825" w:rsidP="007F120F">
      <w:pPr>
        <w:keepNext w:val="0"/>
        <w:tabs>
          <w:tab w:val="left" w:pos="1701"/>
          <w:tab w:val="left" w:pos="2268"/>
        </w:tabs>
        <w:ind w:left="2835" w:hanging="567"/>
      </w:pPr>
    </w:p>
    <w:p w14:paraId="359D8E5A" w14:textId="6F6CB258" w:rsidR="004C7735" w:rsidRPr="00173160" w:rsidRDefault="00E959AE" w:rsidP="007F120F">
      <w:pPr>
        <w:keepNext w:val="0"/>
        <w:tabs>
          <w:tab w:val="left" w:pos="1701"/>
          <w:tab w:val="left" w:pos="2268"/>
        </w:tabs>
        <w:ind w:left="2268" w:hanging="567"/>
      </w:pPr>
      <w:r w:rsidRPr="00E219C0">
        <w:t>a)</w:t>
      </w:r>
      <w:r w:rsidR="00E10825" w:rsidRPr="00E219C0">
        <w:tab/>
      </w:r>
      <w:r w:rsidR="00AA36ED" w:rsidRPr="00E219C0">
        <w:t>l</w:t>
      </w:r>
      <w:r w:rsidR="00BC3319" w:rsidRPr="00E219C0">
        <w:t>’</w:t>
      </w:r>
      <w:r w:rsidR="00AA36ED" w:rsidRPr="00E219C0">
        <w:t>alinéa a) de la clause 8</w:t>
      </w:r>
      <w:r w:rsidR="00984A6F">
        <w:noBreakHyphen/>
      </w:r>
      <w:r w:rsidR="00AA36ED" w:rsidRPr="00E219C0">
        <w:t>2.01 est remplacé</w:t>
      </w:r>
      <w:r w:rsidR="00AA36ED" w:rsidRPr="00173160">
        <w:t xml:space="preserve"> par l</w:t>
      </w:r>
      <w:r w:rsidR="00BC3319" w:rsidRPr="00173160">
        <w:t>’</w:t>
      </w:r>
      <w:r w:rsidR="00AA36ED" w:rsidRPr="00173160">
        <w:t>alinéa a) suivant</w:t>
      </w:r>
      <w:r w:rsidR="00D8581B">
        <w:t> :</w:t>
      </w:r>
    </w:p>
    <w:p w14:paraId="786AF320" w14:textId="77777777" w:rsidR="004C7735" w:rsidRPr="00173160" w:rsidRDefault="004C7735" w:rsidP="007F120F">
      <w:pPr>
        <w:keepNext w:val="0"/>
        <w:tabs>
          <w:tab w:val="left" w:pos="1701"/>
        </w:tabs>
        <w:ind w:left="1701" w:hanging="567"/>
      </w:pPr>
    </w:p>
    <w:p w14:paraId="39FE0A10" w14:textId="6353B8F0" w:rsidR="004C7735" w:rsidRPr="00026EC1" w:rsidRDefault="00F67F72" w:rsidP="007F120F">
      <w:pPr>
        <w:keepNext w:val="0"/>
        <w:tabs>
          <w:tab w:val="left" w:pos="2835"/>
        </w:tabs>
        <w:ind w:left="2835" w:hanging="567"/>
      </w:pPr>
      <w:r w:rsidRPr="00173160">
        <w:t>a</w:t>
      </w:r>
      <w:r w:rsidR="00275751" w:rsidRPr="00173160">
        <w:t>)</w:t>
      </w:r>
      <w:r w:rsidR="00275751" w:rsidRPr="00173160">
        <w:tab/>
      </w:r>
      <w:r w:rsidR="008C32E9" w:rsidRPr="00173160">
        <w:tab/>
      </w:r>
      <w:r w:rsidR="00AA36ED" w:rsidRPr="00173160">
        <w:t>l</w:t>
      </w:r>
      <w:r w:rsidR="00BC3319" w:rsidRPr="00173160">
        <w:t>’</w:t>
      </w:r>
      <w:r w:rsidR="00AA36ED" w:rsidRPr="00173160">
        <w:t>enseignante ou l</w:t>
      </w:r>
      <w:r w:rsidR="00BC3319" w:rsidRPr="00173160">
        <w:t>’</w:t>
      </w:r>
      <w:r w:rsidR="00AA36ED" w:rsidRPr="00173160">
        <w:t>enseignant à temps complet a droit, au cours de chaque année d</w:t>
      </w:r>
      <w:r w:rsidR="00BC3319" w:rsidRPr="00173160">
        <w:t>’</w:t>
      </w:r>
      <w:r w:rsidR="00AA36ED" w:rsidRPr="00173160">
        <w:t xml:space="preserve">engagement, à deux (2) mois de vacances </w:t>
      </w:r>
      <w:r w:rsidR="00AA36ED" w:rsidRPr="00026EC1">
        <w:t>rémunérées à la condition qu</w:t>
      </w:r>
      <w:r w:rsidR="00BC3319" w:rsidRPr="00026EC1">
        <w:t>’</w:t>
      </w:r>
      <w:r w:rsidR="00AA36ED" w:rsidRPr="00026EC1">
        <w:t>elle ou il ait ou aura complété une (1) année de service au 30 juin suivant</w:t>
      </w:r>
      <w:r w:rsidR="00451769" w:rsidRPr="00026EC1">
        <w:t>;</w:t>
      </w:r>
    </w:p>
    <w:p w14:paraId="61D4CFF7" w14:textId="77777777" w:rsidR="004C7735" w:rsidRPr="00026EC1" w:rsidRDefault="004C7735" w:rsidP="007F120F">
      <w:pPr>
        <w:keepNext w:val="0"/>
        <w:ind w:left="2127" w:hanging="426"/>
      </w:pPr>
    </w:p>
    <w:p w14:paraId="3C3B33DC" w14:textId="5D53BFF1" w:rsidR="004C7735" w:rsidRPr="00026EC1" w:rsidRDefault="00AA36ED" w:rsidP="004F71C1">
      <w:pPr>
        <w:keepNext w:val="0"/>
        <w:numPr>
          <w:ilvl w:val="0"/>
          <w:numId w:val="15"/>
        </w:numPr>
        <w:tabs>
          <w:tab w:val="left" w:pos="2268"/>
        </w:tabs>
        <w:ind w:firstLine="1134"/>
      </w:pPr>
      <w:r w:rsidRPr="00026EC1">
        <w:t>la clause 8</w:t>
      </w:r>
      <w:r w:rsidR="00984A6F">
        <w:noBreakHyphen/>
      </w:r>
      <w:r w:rsidRPr="00026EC1">
        <w:t>2.04 est modifiée en y ajoutant la phrase suivante</w:t>
      </w:r>
      <w:r w:rsidR="00D8581B">
        <w:t> :</w:t>
      </w:r>
    </w:p>
    <w:p w14:paraId="464165CC" w14:textId="77777777" w:rsidR="004C7735" w:rsidRPr="00026EC1" w:rsidRDefault="004C7735" w:rsidP="007F120F">
      <w:pPr>
        <w:keepNext w:val="0"/>
        <w:ind w:left="1701"/>
      </w:pPr>
    </w:p>
    <w:p w14:paraId="55EB2C02" w14:textId="77777777" w:rsidR="00AA36ED" w:rsidRDefault="00AA36ED" w:rsidP="007F120F">
      <w:pPr>
        <w:keepNext w:val="0"/>
        <w:ind w:left="2268"/>
      </w:pPr>
      <w:r w:rsidRPr="00026EC1">
        <w:t>Toutefois, toute période de vacances prise par l</w:t>
      </w:r>
      <w:r w:rsidR="00BC3319" w:rsidRPr="00026EC1">
        <w:t>’</w:t>
      </w:r>
      <w:r w:rsidRPr="00026EC1">
        <w:t>enseignante ou l</w:t>
      </w:r>
      <w:r w:rsidR="00BC3319" w:rsidRPr="00026EC1">
        <w:t>’</w:t>
      </w:r>
      <w:r w:rsidRPr="00026EC1">
        <w:t>enseignant réduit d</w:t>
      </w:r>
      <w:r w:rsidR="00BC3319" w:rsidRPr="00026EC1">
        <w:t>’</w:t>
      </w:r>
      <w:r w:rsidRPr="00026EC1">
        <w:t>autant ce montant.</w:t>
      </w:r>
    </w:p>
    <w:p w14:paraId="3A042DF5" w14:textId="77777777" w:rsidR="00CA3354" w:rsidRPr="00026EC1" w:rsidRDefault="00CA3354" w:rsidP="007F120F">
      <w:pPr>
        <w:keepNext w:val="0"/>
        <w:ind w:left="2268"/>
      </w:pPr>
    </w:p>
    <w:p w14:paraId="16260BEF" w14:textId="51BF250E" w:rsidR="004365C2" w:rsidRDefault="004365C2" w:rsidP="007F120F">
      <w:pPr>
        <w:keepNext w:val="0"/>
        <w:jc w:val="left"/>
      </w:pPr>
    </w:p>
    <w:p w14:paraId="4D63D2B1" w14:textId="5DC08F93" w:rsidR="00AA36ED" w:rsidRPr="00026EC1" w:rsidRDefault="00275751" w:rsidP="007F120F">
      <w:pPr>
        <w:keepNext w:val="0"/>
        <w:tabs>
          <w:tab w:val="left" w:pos="567"/>
        </w:tabs>
        <w:ind w:left="567" w:hanging="567"/>
      </w:pPr>
      <w:r w:rsidRPr="00026EC1">
        <w:t>09.</w:t>
      </w:r>
      <w:r w:rsidRPr="00026EC1">
        <w:tab/>
      </w:r>
      <w:r w:rsidR="00AA36ED" w:rsidRPr="00026EC1">
        <w:t>L</w:t>
      </w:r>
      <w:r w:rsidR="00BC3319" w:rsidRPr="00026EC1">
        <w:t>’</w:t>
      </w:r>
      <w:r w:rsidR="00AA36ED" w:rsidRPr="00026EC1">
        <w:t>article 8</w:t>
      </w:r>
      <w:r w:rsidR="00984A6F">
        <w:noBreakHyphen/>
      </w:r>
      <w:r w:rsidR="00AA36ED" w:rsidRPr="00026EC1">
        <w:t>3.00 est modifié de la façon suivante</w:t>
      </w:r>
      <w:r w:rsidR="00D8581B">
        <w:t> :</w:t>
      </w:r>
    </w:p>
    <w:p w14:paraId="09969D1B" w14:textId="6EA99310" w:rsidR="00AA36ED" w:rsidRDefault="00AA36ED" w:rsidP="007F120F">
      <w:pPr>
        <w:keepNext w:val="0"/>
      </w:pPr>
    </w:p>
    <w:p w14:paraId="7A9D4778" w14:textId="5ABB94E7" w:rsidR="00E62156" w:rsidRPr="00E219C0" w:rsidRDefault="00E62156" w:rsidP="007F120F">
      <w:pPr>
        <w:keepNext w:val="0"/>
        <w:ind w:firstLine="540"/>
        <w:rPr>
          <w:b/>
          <w:bCs/>
          <w:u w:val="single"/>
        </w:rPr>
      </w:pPr>
      <w:r w:rsidRPr="00E219C0">
        <w:rPr>
          <w:b/>
          <w:bCs/>
          <w:u w:val="single"/>
        </w:rPr>
        <w:t>Article 8</w:t>
      </w:r>
      <w:r w:rsidR="00984A6F">
        <w:rPr>
          <w:b/>
          <w:bCs/>
          <w:u w:val="single"/>
        </w:rPr>
        <w:noBreakHyphen/>
      </w:r>
      <w:r w:rsidRPr="00E219C0">
        <w:rPr>
          <w:b/>
          <w:bCs/>
          <w:u w:val="single"/>
        </w:rPr>
        <w:t>3.00</w:t>
      </w:r>
      <w:r w:rsidR="004365C2" w:rsidRPr="00E219C0">
        <w:rPr>
          <w:b/>
          <w:bCs/>
          <w:u w:val="single"/>
        </w:rPr>
        <w:t xml:space="preserve"> </w:t>
      </w:r>
      <w:r w:rsidR="00984A6F">
        <w:rPr>
          <w:b/>
          <w:bCs/>
          <w:u w:val="single"/>
        </w:rPr>
        <w:noBreakHyphen/>
      </w:r>
      <w:r w:rsidRPr="00E219C0">
        <w:rPr>
          <w:b/>
          <w:bCs/>
          <w:u w:val="single"/>
        </w:rPr>
        <w:t xml:space="preserve"> Dispositions relatives à la disponibilité</w:t>
      </w:r>
    </w:p>
    <w:p w14:paraId="45CA3D45" w14:textId="6EA99310" w:rsidR="00E62156" w:rsidRPr="00026EC1" w:rsidRDefault="00E62156" w:rsidP="007F120F">
      <w:pPr>
        <w:keepNext w:val="0"/>
      </w:pPr>
    </w:p>
    <w:p w14:paraId="7215CF40" w14:textId="2E523F7E" w:rsidR="00AA36ED" w:rsidRPr="00026EC1" w:rsidRDefault="00275751" w:rsidP="007F120F">
      <w:pPr>
        <w:keepNext w:val="0"/>
        <w:tabs>
          <w:tab w:val="left" w:pos="1134"/>
        </w:tabs>
        <w:ind w:left="1134" w:hanging="567"/>
      </w:pPr>
      <w:r w:rsidRPr="00026EC1">
        <w:t>a)</w:t>
      </w:r>
      <w:r w:rsidRPr="00026EC1">
        <w:tab/>
      </w:r>
      <w:r w:rsidR="00AA36ED" w:rsidRPr="00026EC1">
        <w:t>l</w:t>
      </w:r>
      <w:r w:rsidR="00BC3319" w:rsidRPr="00026EC1">
        <w:t>’</w:t>
      </w:r>
      <w:r w:rsidR="00AA36ED" w:rsidRPr="00026EC1">
        <w:t>alinéa a) de la clause 8</w:t>
      </w:r>
      <w:r w:rsidR="00984A6F">
        <w:noBreakHyphen/>
      </w:r>
      <w:r w:rsidR="00AA36ED" w:rsidRPr="00026EC1">
        <w:t>3.01 est remplacé par l</w:t>
      </w:r>
      <w:r w:rsidR="00BC3319" w:rsidRPr="00026EC1">
        <w:t>’</w:t>
      </w:r>
      <w:r w:rsidR="00AA36ED" w:rsidRPr="00026EC1">
        <w:t>alinéa a) suivant</w:t>
      </w:r>
      <w:r w:rsidR="00D8581B">
        <w:t> :</w:t>
      </w:r>
    </w:p>
    <w:p w14:paraId="49BCBE2A" w14:textId="77777777" w:rsidR="00AA36ED" w:rsidRPr="00026EC1" w:rsidRDefault="00AA36ED" w:rsidP="007F120F">
      <w:pPr>
        <w:keepNext w:val="0"/>
      </w:pPr>
    </w:p>
    <w:p w14:paraId="68D82B18" w14:textId="418F9536" w:rsidR="00AA36ED" w:rsidRPr="00026EC1" w:rsidRDefault="00275751" w:rsidP="007F120F">
      <w:pPr>
        <w:keepNext w:val="0"/>
        <w:tabs>
          <w:tab w:val="left" w:pos="1701"/>
        </w:tabs>
        <w:ind w:left="1701" w:hanging="567"/>
      </w:pPr>
      <w:r w:rsidRPr="00026EC1">
        <w:t>a)</w:t>
      </w:r>
      <w:r w:rsidRPr="00026EC1">
        <w:tab/>
      </w:r>
      <w:r w:rsidR="00AA36ED" w:rsidRPr="00026EC1">
        <w:t>L</w:t>
      </w:r>
      <w:r w:rsidR="00BC3319" w:rsidRPr="00026EC1">
        <w:t>’</w:t>
      </w:r>
      <w:r w:rsidR="00AA36ED" w:rsidRPr="00026EC1">
        <w:t>enseignante ou l</w:t>
      </w:r>
      <w:r w:rsidR="00BC3319" w:rsidRPr="00026EC1">
        <w:t>’</w:t>
      </w:r>
      <w:r w:rsidR="00AA36ED" w:rsidRPr="00026EC1">
        <w:t>enseignant à temps complet est à la disposition du Collège trente</w:t>
      </w:r>
      <w:r w:rsidR="00984A6F">
        <w:noBreakHyphen/>
      </w:r>
      <w:r w:rsidR="00AA36ED" w:rsidRPr="00026EC1">
        <w:t>cinq</w:t>
      </w:r>
      <w:r w:rsidR="008468C2">
        <w:t> </w:t>
      </w:r>
      <w:r w:rsidR="00AA36ED" w:rsidRPr="00026EC1">
        <w:t>(35) heures par semaine. Cette disponibilité est normalement établie à raison de sept</w:t>
      </w:r>
      <w:r w:rsidR="008468C2">
        <w:t> </w:t>
      </w:r>
      <w:r w:rsidR="00AA36ED" w:rsidRPr="00026EC1">
        <w:t>(7) heures par jour.</w:t>
      </w:r>
    </w:p>
    <w:p w14:paraId="47FA2FC1" w14:textId="77777777" w:rsidR="00AA36ED" w:rsidRPr="00026EC1" w:rsidRDefault="00AA36ED" w:rsidP="007F120F">
      <w:pPr>
        <w:keepNext w:val="0"/>
      </w:pPr>
    </w:p>
    <w:p w14:paraId="6406D880" w14:textId="31657963" w:rsidR="00AA36ED" w:rsidRPr="00026EC1" w:rsidRDefault="00275751" w:rsidP="007F120F">
      <w:pPr>
        <w:keepNext w:val="0"/>
        <w:tabs>
          <w:tab w:val="left" w:pos="1134"/>
        </w:tabs>
        <w:ind w:left="1134" w:hanging="567"/>
      </w:pPr>
      <w:r w:rsidRPr="00026EC1">
        <w:t>b)</w:t>
      </w:r>
      <w:r w:rsidRPr="00026EC1">
        <w:tab/>
      </w:r>
      <w:r w:rsidR="00AA36ED" w:rsidRPr="00026EC1">
        <w:t>l</w:t>
      </w:r>
      <w:r w:rsidR="00BC3319" w:rsidRPr="00026EC1">
        <w:t>’</w:t>
      </w:r>
      <w:r w:rsidR="00AA36ED" w:rsidRPr="00026EC1">
        <w:t>alinéa d) suivant est ajouté à la clause 8</w:t>
      </w:r>
      <w:r w:rsidR="00984A6F">
        <w:noBreakHyphen/>
      </w:r>
      <w:r w:rsidR="00AA36ED" w:rsidRPr="00026EC1">
        <w:t>3.01</w:t>
      </w:r>
      <w:r w:rsidR="00D8581B">
        <w:t> :</w:t>
      </w:r>
    </w:p>
    <w:p w14:paraId="75AC9B16" w14:textId="77777777" w:rsidR="00AA36ED" w:rsidRPr="00026EC1" w:rsidRDefault="00AA36ED" w:rsidP="007F120F">
      <w:pPr>
        <w:keepNext w:val="0"/>
      </w:pPr>
    </w:p>
    <w:p w14:paraId="79C68D1B" w14:textId="77777777" w:rsidR="00AA36ED" w:rsidRPr="00026EC1" w:rsidRDefault="00275751" w:rsidP="007F120F">
      <w:pPr>
        <w:keepNext w:val="0"/>
        <w:tabs>
          <w:tab w:val="left" w:pos="1701"/>
        </w:tabs>
        <w:ind w:left="1701" w:hanging="567"/>
      </w:pPr>
      <w:r w:rsidRPr="00026EC1">
        <w:t>d)</w:t>
      </w:r>
      <w:r w:rsidRPr="00026EC1">
        <w:tab/>
      </w:r>
      <w:r w:rsidR="00AA36ED" w:rsidRPr="00026EC1">
        <w:t>Le travail à effectuer en heures supplémentaires est facultatif. Si aucune enseignante ou aucun enseignant n</w:t>
      </w:r>
      <w:r w:rsidR="00BC3319" w:rsidRPr="00026EC1">
        <w:t>’</w:t>
      </w:r>
      <w:r w:rsidR="00AA36ED" w:rsidRPr="00026EC1">
        <w:t>accepte d</w:t>
      </w:r>
      <w:r w:rsidR="00BC3319" w:rsidRPr="00026EC1">
        <w:t>’</w:t>
      </w:r>
      <w:r w:rsidR="00AA36ED" w:rsidRPr="00026EC1">
        <w:t>effectuer le travail en heures supplémentaires, le Collège peut obliger l</w:t>
      </w:r>
      <w:r w:rsidR="00BC3319" w:rsidRPr="00026EC1">
        <w:t>’</w:t>
      </w:r>
      <w:r w:rsidR="00AA36ED" w:rsidRPr="00026EC1">
        <w:t>enseignante ou l</w:t>
      </w:r>
      <w:r w:rsidR="00BC3319" w:rsidRPr="00026EC1">
        <w:t>’</w:t>
      </w:r>
      <w:r w:rsidR="00AA36ED" w:rsidRPr="00026EC1">
        <w:t>enseignant en mesure de faire le travail ayant le moins d</w:t>
      </w:r>
      <w:r w:rsidR="00BC3319" w:rsidRPr="00026EC1">
        <w:t>’</w:t>
      </w:r>
      <w:r w:rsidR="00AA36ED" w:rsidRPr="00026EC1">
        <w:t>ancienneté à exécuter ce travail.</w:t>
      </w:r>
    </w:p>
    <w:p w14:paraId="51203739" w14:textId="77777777" w:rsidR="00AA36ED" w:rsidRPr="00026EC1" w:rsidRDefault="00AA36ED" w:rsidP="007F120F">
      <w:pPr>
        <w:keepNext w:val="0"/>
      </w:pPr>
    </w:p>
    <w:p w14:paraId="5BF36DA2" w14:textId="2FA25A5C" w:rsidR="009A1CC5" w:rsidRDefault="00275751" w:rsidP="007F120F">
      <w:pPr>
        <w:keepNext w:val="0"/>
        <w:tabs>
          <w:tab w:val="left" w:pos="567"/>
        </w:tabs>
        <w:ind w:left="567" w:hanging="567"/>
      </w:pPr>
      <w:r w:rsidRPr="00026EC1">
        <w:t>10.</w:t>
      </w:r>
      <w:r w:rsidRPr="00026EC1">
        <w:tab/>
      </w:r>
      <w:r w:rsidR="00AA36ED" w:rsidRPr="00026EC1">
        <w:t>L</w:t>
      </w:r>
      <w:r w:rsidR="00BC3319" w:rsidRPr="00026EC1">
        <w:t>’</w:t>
      </w:r>
      <w:r w:rsidR="00AA36ED" w:rsidRPr="00026EC1">
        <w:t>article 8</w:t>
      </w:r>
      <w:r w:rsidR="00984A6F">
        <w:noBreakHyphen/>
      </w:r>
      <w:r w:rsidR="00AA36ED" w:rsidRPr="00026EC1">
        <w:t>4.00 est modifié en remplaçant l</w:t>
      </w:r>
      <w:r w:rsidR="00BC3319" w:rsidRPr="00026EC1">
        <w:t>’</w:t>
      </w:r>
      <w:r w:rsidR="00AA36ED" w:rsidRPr="00026EC1">
        <w:t>alinéa a) de la clause 8</w:t>
      </w:r>
      <w:r w:rsidR="00984A6F">
        <w:noBreakHyphen/>
      </w:r>
      <w:r w:rsidR="00AA36ED" w:rsidRPr="00026EC1">
        <w:t xml:space="preserve">4.01 par </w:t>
      </w:r>
      <w:r w:rsidR="00AA36ED" w:rsidRPr="00026EC1">
        <w:rPr>
          <w:bCs/>
        </w:rPr>
        <w:t>l</w:t>
      </w:r>
      <w:r w:rsidR="00BC3319" w:rsidRPr="00026EC1">
        <w:rPr>
          <w:bCs/>
        </w:rPr>
        <w:t>’</w:t>
      </w:r>
      <w:r w:rsidR="00AA36ED" w:rsidRPr="00026EC1">
        <w:rPr>
          <w:bCs/>
        </w:rPr>
        <w:t xml:space="preserve">alinéa </w:t>
      </w:r>
      <w:r w:rsidR="00AA36ED" w:rsidRPr="00026EC1">
        <w:t>suivant</w:t>
      </w:r>
      <w:r w:rsidR="00D8581B">
        <w:t> :</w:t>
      </w:r>
    </w:p>
    <w:p w14:paraId="027135CC" w14:textId="77777777" w:rsidR="009A1CC5" w:rsidRDefault="009A1CC5">
      <w:pPr>
        <w:keepNext w:val="0"/>
        <w:suppressAutoHyphens w:val="0"/>
        <w:jc w:val="left"/>
      </w:pPr>
      <w:r>
        <w:br w:type="page"/>
      </w:r>
    </w:p>
    <w:p w14:paraId="5BB92311" w14:textId="0900D1D7" w:rsidR="00E62156" w:rsidRPr="00E219C0" w:rsidRDefault="00E62156" w:rsidP="007F120F">
      <w:pPr>
        <w:keepNext w:val="0"/>
        <w:ind w:firstLine="540"/>
        <w:rPr>
          <w:b/>
          <w:bCs/>
          <w:u w:val="single"/>
        </w:rPr>
      </w:pPr>
      <w:r w:rsidRPr="00E219C0">
        <w:rPr>
          <w:b/>
          <w:bCs/>
          <w:u w:val="single"/>
        </w:rPr>
        <w:t>Article 8</w:t>
      </w:r>
      <w:r w:rsidR="00984A6F">
        <w:rPr>
          <w:b/>
          <w:bCs/>
          <w:u w:val="single"/>
        </w:rPr>
        <w:noBreakHyphen/>
      </w:r>
      <w:r w:rsidRPr="00E219C0">
        <w:rPr>
          <w:b/>
          <w:bCs/>
          <w:u w:val="single"/>
        </w:rPr>
        <w:t>4.00</w:t>
      </w:r>
      <w:r w:rsidR="004365C2" w:rsidRPr="00E219C0">
        <w:rPr>
          <w:b/>
          <w:bCs/>
          <w:u w:val="single"/>
        </w:rPr>
        <w:t xml:space="preserve"> </w:t>
      </w:r>
      <w:r w:rsidR="00984A6F">
        <w:rPr>
          <w:b/>
          <w:bCs/>
          <w:u w:val="single"/>
        </w:rPr>
        <w:noBreakHyphen/>
      </w:r>
      <w:r w:rsidRPr="00E219C0">
        <w:rPr>
          <w:b/>
          <w:bCs/>
          <w:u w:val="single"/>
        </w:rPr>
        <w:t xml:space="preserve"> Tâches d’enseignement</w:t>
      </w:r>
    </w:p>
    <w:p w14:paraId="799ECA05" w14:textId="6EA99310" w:rsidR="00E62156" w:rsidRPr="00026EC1" w:rsidRDefault="00E62156" w:rsidP="007F120F">
      <w:pPr>
        <w:keepNext w:val="0"/>
      </w:pPr>
    </w:p>
    <w:p w14:paraId="369EB13E" w14:textId="4269C53B" w:rsidR="00AA36ED" w:rsidRPr="00026EC1" w:rsidRDefault="00AA36ED" w:rsidP="007F120F">
      <w:pPr>
        <w:pStyle w:val="Texte1cm"/>
        <w:keepNext w:val="0"/>
        <w:rPr>
          <w:b/>
          <w:bCs/>
        </w:rPr>
      </w:pPr>
      <w:r w:rsidRPr="00026EC1">
        <w:rPr>
          <w:b/>
          <w:bCs/>
        </w:rPr>
        <w:t>8</w:t>
      </w:r>
      <w:r w:rsidR="00984A6F">
        <w:rPr>
          <w:b/>
          <w:bCs/>
        </w:rPr>
        <w:noBreakHyphen/>
      </w:r>
      <w:r w:rsidRPr="00026EC1">
        <w:rPr>
          <w:b/>
          <w:bCs/>
        </w:rPr>
        <w:t>4.01</w:t>
      </w:r>
      <w:r w:rsidRPr="00026EC1">
        <w:rPr>
          <w:b/>
          <w:bCs/>
        </w:rPr>
        <w:tab/>
      </w:r>
      <w:r w:rsidRPr="00026EC1">
        <w:rPr>
          <w:b/>
          <w:bCs/>
          <w:u w:val="single"/>
        </w:rPr>
        <w:t>La charge de travail</w:t>
      </w:r>
    </w:p>
    <w:p w14:paraId="01025F75" w14:textId="77777777" w:rsidR="00AA36ED" w:rsidRPr="00026EC1" w:rsidRDefault="00AA36ED" w:rsidP="007F120F">
      <w:pPr>
        <w:keepNext w:val="0"/>
      </w:pPr>
    </w:p>
    <w:p w14:paraId="5314CD5D" w14:textId="77777777" w:rsidR="00AA36ED" w:rsidRPr="00026EC1" w:rsidRDefault="00275751" w:rsidP="007F120F">
      <w:pPr>
        <w:keepNext w:val="0"/>
        <w:tabs>
          <w:tab w:val="left" w:pos="1134"/>
        </w:tabs>
        <w:ind w:left="1134" w:hanging="567"/>
      </w:pPr>
      <w:r w:rsidRPr="00026EC1">
        <w:t>a)</w:t>
      </w:r>
      <w:r w:rsidRPr="00026EC1">
        <w:tab/>
      </w:r>
      <w:r w:rsidR="00AA36ED" w:rsidRPr="00026EC1">
        <w:t>Volet 1</w:t>
      </w:r>
    </w:p>
    <w:p w14:paraId="60175C06" w14:textId="1BE318EF" w:rsidR="00AA36ED" w:rsidRPr="00026EC1" w:rsidRDefault="00275751" w:rsidP="007F120F">
      <w:pPr>
        <w:keepNext w:val="0"/>
        <w:tabs>
          <w:tab w:val="left" w:pos="1134"/>
        </w:tabs>
        <w:ind w:left="1134" w:hanging="567"/>
      </w:pPr>
      <w:r w:rsidRPr="00026EC1">
        <w:t>A)</w:t>
      </w:r>
      <w:r w:rsidRPr="00026EC1">
        <w:tab/>
      </w:r>
      <w:r w:rsidR="00AA36ED" w:rsidRPr="00026EC1">
        <w:rPr>
          <w:u w:val="single"/>
        </w:rPr>
        <w:t>Enseignante ou enseignant au sol</w:t>
      </w:r>
      <w:r w:rsidR="00D8581B">
        <w:t> :</w:t>
      </w:r>
      <w:r w:rsidR="00AA36ED" w:rsidRPr="00026EC1">
        <w:t xml:space="preserve"> la </w:t>
      </w:r>
      <w:r w:rsidR="00AA36ED" w:rsidRPr="00026EC1">
        <w:rPr>
          <w:bCs/>
        </w:rPr>
        <w:t>tâche d</w:t>
      </w:r>
      <w:r w:rsidR="00BC3319" w:rsidRPr="00026EC1">
        <w:rPr>
          <w:bCs/>
        </w:rPr>
        <w:t>’</w:t>
      </w:r>
      <w:r w:rsidR="00AA36ED" w:rsidRPr="00026EC1">
        <w:rPr>
          <w:bCs/>
        </w:rPr>
        <w:t>enseignement</w:t>
      </w:r>
      <w:r w:rsidR="00B33E42" w:rsidRPr="00316277">
        <w:rPr>
          <w:rStyle w:val="FootnoteReference"/>
          <w:bCs/>
        </w:rPr>
        <w:footnoteReference w:id="56"/>
      </w:r>
      <w:r w:rsidR="00AA36ED" w:rsidRPr="00026EC1">
        <w:rPr>
          <w:bCs/>
        </w:rPr>
        <w:t xml:space="preserve"> </w:t>
      </w:r>
      <w:r w:rsidR="00AA36ED" w:rsidRPr="00026EC1">
        <w:t>comprend toutes les activités inhérentes à l</w:t>
      </w:r>
      <w:r w:rsidR="00BC3319" w:rsidRPr="00026EC1">
        <w:t>’</w:t>
      </w:r>
      <w:r w:rsidR="00AA36ED" w:rsidRPr="00026EC1">
        <w:t>enseignement au sol, notamment</w:t>
      </w:r>
      <w:r w:rsidR="00D8581B">
        <w:t> :</w:t>
      </w:r>
    </w:p>
    <w:p w14:paraId="7B32456B"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du plan d</w:t>
      </w:r>
      <w:r w:rsidR="00BC3319" w:rsidRPr="00026EC1">
        <w:t>’</w:t>
      </w:r>
      <w:r w:rsidR="00AA36ED" w:rsidRPr="00026EC1">
        <w:t>études;</w:t>
      </w:r>
    </w:p>
    <w:p w14:paraId="529E01A5"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de cours</w:t>
      </w:r>
      <w:r w:rsidR="00AA36ED" w:rsidRPr="00026EC1">
        <w:rPr>
          <w:bCs/>
        </w:rPr>
        <w:t>,</w:t>
      </w:r>
      <w:r w:rsidR="00AA36ED" w:rsidRPr="00026EC1">
        <w:t xml:space="preserve"> de laboratoire</w:t>
      </w:r>
      <w:r w:rsidR="00312F20" w:rsidRPr="00026EC1">
        <w:t>s</w:t>
      </w:r>
      <w:r w:rsidR="00AA36ED" w:rsidRPr="00026EC1">
        <w:rPr>
          <w:bCs/>
        </w:rPr>
        <w:t xml:space="preserve"> ou de stages</w:t>
      </w:r>
      <w:r w:rsidR="00AA36ED" w:rsidRPr="00026EC1">
        <w:t>;</w:t>
      </w:r>
    </w:p>
    <w:p w14:paraId="12B206D0"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prestation de cours</w:t>
      </w:r>
      <w:r w:rsidR="00AA36ED" w:rsidRPr="00026EC1">
        <w:rPr>
          <w:bCs/>
        </w:rPr>
        <w:t>,</w:t>
      </w:r>
      <w:r w:rsidR="00AA36ED" w:rsidRPr="00026EC1">
        <w:t xml:space="preserve"> de laboratoires </w:t>
      </w:r>
      <w:r w:rsidR="00AA36ED" w:rsidRPr="00026EC1">
        <w:rPr>
          <w:bCs/>
        </w:rPr>
        <w:t>ou de stages</w:t>
      </w:r>
      <w:r w:rsidR="00AA36ED" w:rsidRPr="00026EC1">
        <w:t xml:space="preserve"> avec la collaboration </w:t>
      </w:r>
      <w:r w:rsidR="00AA36ED" w:rsidRPr="00026EC1">
        <w:rPr>
          <w:bCs/>
        </w:rPr>
        <w:t xml:space="preserve">et la concertation </w:t>
      </w:r>
      <w:r w:rsidR="00AA36ED" w:rsidRPr="00026EC1">
        <w:t>des enseignantes et enseignants concernés;</w:t>
      </w:r>
    </w:p>
    <w:p w14:paraId="52BC144E"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adaptation;</w:t>
      </w:r>
    </w:p>
    <w:p w14:paraId="1463DDC3"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encadrement de ses étudiantes et étudiants;</w:t>
      </w:r>
    </w:p>
    <w:p w14:paraId="563F4B1E"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la surveillance et la correction d</w:t>
      </w:r>
      <w:r w:rsidR="00BC3319" w:rsidRPr="00026EC1">
        <w:t>’</w:t>
      </w:r>
      <w:r w:rsidR="00AA36ED" w:rsidRPr="00026EC1">
        <w:t>examens;</w:t>
      </w:r>
    </w:p>
    <w:p w14:paraId="5531B076"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révision de corrections demandée par les étudiantes et les étudiants;</w:t>
      </w:r>
    </w:p>
    <w:p w14:paraId="6E4B94A7"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journées pédagogiques organisées par le Collège;</w:t>
      </w:r>
    </w:p>
    <w:p w14:paraId="6492B92F" w14:textId="77777777" w:rsidR="00AA36ED" w:rsidRPr="00026EC1" w:rsidRDefault="00275751" w:rsidP="007F120F">
      <w:pPr>
        <w:keepNext w:val="0"/>
        <w:tabs>
          <w:tab w:val="left" w:pos="1701"/>
        </w:tabs>
        <w:ind w:left="1701" w:hanging="567"/>
        <w:rPr>
          <w:rFonts w:cs="Arial"/>
        </w:rPr>
      </w:pPr>
      <w:r w:rsidRPr="00026EC1">
        <w:rPr>
          <w:rFonts w:ascii="Symbol" w:hAnsi="Symbol" w:cs="Arial"/>
        </w:rPr>
        <w:t></w:t>
      </w:r>
      <w:r w:rsidRPr="00026EC1">
        <w:rPr>
          <w:rFonts w:ascii="Symbol" w:hAnsi="Symbol" w:cs="Arial"/>
        </w:rPr>
        <w:tab/>
      </w:r>
      <w:r w:rsidR="00AA36ED" w:rsidRPr="00026EC1">
        <w:t xml:space="preserve">la participation aux rencontres départementales </w:t>
      </w:r>
      <w:r w:rsidR="00AA36ED" w:rsidRPr="00026EC1">
        <w:rPr>
          <w:rFonts w:cs="Arial"/>
        </w:rPr>
        <w:t>et aux activités requises pour la réalisation des fonctions du département.</w:t>
      </w:r>
    </w:p>
    <w:p w14:paraId="6BD73D47" w14:textId="77777777" w:rsidR="006B5B8C" w:rsidRPr="00026EC1" w:rsidRDefault="006B5B8C" w:rsidP="007F120F">
      <w:pPr>
        <w:keepNext w:val="0"/>
        <w:ind w:left="1134"/>
        <w:rPr>
          <w:rFonts w:cs="Arial"/>
        </w:rPr>
      </w:pPr>
    </w:p>
    <w:p w14:paraId="3B56BAA3" w14:textId="1CF1410A" w:rsidR="00AA36ED" w:rsidRPr="00026EC1" w:rsidRDefault="00275751" w:rsidP="007F120F">
      <w:pPr>
        <w:keepNext w:val="0"/>
        <w:tabs>
          <w:tab w:val="left" w:pos="1080"/>
        </w:tabs>
        <w:ind w:left="1080" w:right="180" w:hanging="540"/>
        <w:rPr>
          <w:rFonts w:cs="Arial"/>
          <w:u w:val="single"/>
        </w:rPr>
      </w:pPr>
      <w:r w:rsidRPr="00026EC1">
        <w:rPr>
          <w:rFonts w:cs="Arial"/>
        </w:rPr>
        <w:t>B)</w:t>
      </w:r>
      <w:r w:rsidRPr="00026EC1">
        <w:rPr>
          <w:rFonts w:cs="Arial"/>
        </w:rPr>
        <w:tab/>
      </w:r>
      <w:r w:rsidR="00AA36ED" w:rsidRPr="00026EC1">
        <w:rPr>
          <w:rFonts w:cs="Arial"/>
          <w:u w:val="single"/>
        </w:rPr>
        <w:t>Enseignante ou enseignant au vol</w:t>
      </w:r>
      <w:r w:rsidR="00D8581B">
        <w:rPr>
          <w:rFonts w:cs="Arial"/>
        </w:rPr>
        <w:t> :</w:t>
      </w:r>
      <w:r w:rsidR="00AA36ED" w:rsidRPr="00026EC1">
        <w:rPr>
          <w:rFonts w:cs="Arial"/>
        </w:rPr>
        <w:t xml:space="preserve"> la tâche d</w:t>
      </w:r>
      <w:r w:rsidR="00BC3319" w:rsidRPr="00026EC1">
        <w:rPr>
          <w:rFonts w:cs="Arial"/>
        </w:rPr>
        <w:t>’</w:t>
      </w:r>
      <w:r w:rsidR="00AA36ED" w:rsidRPr="00026EC1">
        <w:rPr>
          <w:rFonts w:cs="Arial"/>
        </w:rPr>
        <w:t>enseignement</w:t>
      </w:r>
      <w:r w:rsidR="00087C44" w:rsidRPr="00087C44">
        <w:rPr>
          <w:rFonts w:cs="Arial"/>
          <w:vertAlign w:val="superscript"/>
        </w:rPr>
        <w:t>1</w:t>
      </w:r>
      <w:r w:rsidR="00AA36ED" w:rsidRPr="00026EC1">
        <w:rPr>
          <w:rFonts w:cs="Arial"/>
        </w:rPr>
        <w:t xml:space="preserve"> comprend toutes les activités inhérentes à l</w:t>
      </w:r>
      <w:r w:rsidR="00BC3319" w:rsidRPr="00026EC1">
        <w:rPr>
          <w:rFonts w:cs="Arial"/>
        </w:rPr>
        <w:t>’</w:t>
      </w:r>
      <w:r w:rsidR="00AA36ED" w:rsidRPr="00026EC1">
        <w:rPr>
          <w:rFonts w:cs="Arial"/>
        </w:rPr>
        <w:t>enseignement au vol, notamment</w:t>
      </w:r>
      <w:r w:rsidR="00D8581B">
        <w:rPr>
          <w:rFonts w:cs="Arial"/>
        </w:rPr>
        <w:t> :</w:t>
      </w:r>
    </w:p>
    <w:p w14:paraId="0942E426"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du plan d</w:t>
      </w:r>
      <w:r w:rsidR="00BC3319" w:rsidRPr="00026EC1">
        <w:t>’</w:t>
      </w:r>
      <w:r w:rsidR="00AA36ED" w:rsidRPr="00026EC1">
        <w:t>études;</w:t>
      </w:r>
    </w:p>
    <w:p w14:paraId="66372C9E"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de cours, de laboratoire</w:t>
      </w:r>
      <w:r w:rsidR="00312F20" w:rsidRPr="00026EC1">
        <w:t>s</w:t>
      </w:r>
      <w:r w:rsidR="00AA36ED" w:rsidRPr="00026EC1">
        <w:t xml:space="preserve"> ou de stages;</w:t>
      </w:r>
    </w:p>
    <w:p w14:paraId="6DB786AF"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au sol des exercices avec l</w:t>
      </w:r>
      <w:r w:rsidR="00BC3319" w:rsidRPr="00026EC1">
        <w:t>’</w:t>
      </w:r>
      <w:r w:rsidR="00AA36ED" w:rsidRPr="00026EC1">
        <w:t>étudiante ou l</w:t>
      </w:r>
      <w:r w:rsidR="00BC3319" w:rsidRPr="00026EC1">
        <w:t>’</w:t>
      </w:r>
      <w:r w:rsidR="00AA36ED" w:rsidRPr="00026EC1">
        <w:t>étudiant (cours préparatoire et briefing);</w:t>
      </w:r>
    </w:p>
    <w:p w14:paraId="34B6C6E2"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prestation des cours de vol, de laboratoire</w:t>
      </w:r>
      <w:r w:rsidR="00312F20" w:rsidRPr="00026EC1">
        <w:t>s</w:t>
      </w:r>
      <w:r w:rsidR="00AA36ED" w:rsidRPr="00026EC1">
        <w:t xml:space="preserve"> ou de stages avec la collaboration et la concertation des enseignantes et enseignants concernés;</w:t>
      </w:r>
    </w:p>
    <w:p w14:paraId="62F8A7BD"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adaptation;</w:t>
      </w:r>
    </w:p>
    <w:p w14:paraId="7847DD1E"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encadrement et la supervision des étudiantes et étudiants en solo;</w:t>
      </w:r>
    </w:p>
    <w:p w14:paraId="77FAB178"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encadrement de ses étudiantes et étudiants;</w:t>
      </w:r>
    </w:p>
    <w:p w14:paraId="6777463F"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évaluation, notamment par les échanges après chaque leçon de vol duo ou solo avec l</w:t>
      </w:r>
      <w:r w:rsidR="00BC3319" w:rsidRPr="00026EC1">
        <w:t>’</w:t>
      </w:r>
      <w:r w:rsidR="00AA36ED" w:rsidRPr="00026EC1">
        <w:t>étudiante ou l</w:t>
      </w:r>
      <w:r w:rsidR="00BC3319" w:rsidRPr="00026EC1">
        <w:t>’</w:t>
      </w:r>
      <w:r w:rsidR="00AA36ED" w:rsidRPr="00026EC1">
        <w:t>étudiant afin de vérifier ses progrès et ses difficultés (debriefing) et l</w:t>
      </w:r>
      <w:r w:rsidR="00BC3319" w:rsidRPr="00026EC1">
        <w:t>’</w:t>
      </w:r>
      <w:r w:rsidR="00AA36ED" w:rsidRPr="00026EC1">
        <w:t>obligation pour l</w:t>
      </w:r>
      <w:r w:rsidR="00BC3319" w:rsidRPr="00026EC1">
        <w:t>’</w:t>
      </w:r>
      <w:r w:rsidR="00AA36ED" w:rsidRPr="00026EC1">
        <w:t>enseignante ou l</w:t>
      </w:r>
      <w:r w:rsidR="00BC3319" w:rsidRPr="00026EC1">
        <w:t>’</w:t>
      </w:r>
      <w:r w:rsidR="00AA36ED" w:rsidRPr="00026EC1">
        <w:t>enseignant au vol de noter dans les cahiers d</w:t>
      </w:r>
      <w:r w:rsidR="00BC3319" w:rsidRPr="00026EC1">
        <w:t>’</w:t>
      </w:r>
      <w:r w:rsidR="00AA36ED" w:rsidRPr="00026EC1">
        <w:t>évaluation tout renseignement pouvant permettre l</w:t>
      </w:r>
      <w:r w:rsidR="00BC3319" w:rsidRPr="00026EC1">
        <w:t>’</w:t>
      </w:r>
      <w:r w:rsidR="00AA36ED" w:rsidRPr="00026EC1">
        <w:t>évaluation des compétences (incluant les attitudes) de chaque étudiante ou étudiant sous sa responsabilité;</w:t>
      </w:r>
    </w:p>
    <w:p w14:paraId="65CED040"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révision de corrections demandée par les étudiantes et étudiants;</w:t>
      </w:r>
    </w:p>
    <w:p w14:paraId="4A1820A2"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journées pédagogiques organisées par le Collège;</w:t>
      </w:r>
    </w:p>
    <w:p w14:paraId="1AA8CA95"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rencontres départementales et aux activités requises pour la réalisation des fonctions du département;</w:t>
      </w:r>
    </w:p>
    <w:p w14:paraId="587086E7"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enseignement aux autres enseignantes et enseignants, si elle ou il est appelé à le faire</w:t>
      </w:r>
      <w:r w:rsidR="00451769" w:rsidRPr="00026EC1">
        <w:t>.</w:t>
      </w:r>
    </w:p>
    <w:p w14:paraId="6FF41E69" w14:textId="77777777" w:rsidR="00AA36ED" w:rsidRPr="00026EC1" w:rsidRDefault="00AA36ED" w:rsidP="007F120F">
      <w:pPr>
        <w:keepNext w:val="0"/>
        <w:tabs>
          <w:tab w:val="left" w:pos="360"/>
        </w:tabs>
        <w:ind w:right="180"/>
        <w:rPr>
          <w:rFonts w:cs="Arial"/>
        </w:rPr>
      </w:pPr>
    </w:p>
    <w:p w14:paraId="033FA1D4" w14:textId="754974C9" w:rsidR="00AA36ED" w:rsidRPr="00026EC1" w:rsidRDefault="00275751" w:rsidP="007F120F">
      <w:pPr>
        <w:keepNext w:val="0"/>
        <w:tabs>
          <w:tab w:val="left" w:pos="1080"/>
        </w:tabs>
        <w:ind w:left="1080" w:right="180" w:hanging="540"/>
        <w:rPr>
          <w:rFonts w:cs="Arial"/>
          <w:u w:val="single"/>
        </w:rPr>
      </w:pPr>
      <w:r w:rsidRPr="00026EC1">
        <w:rPr>
          <w:rFonts w:cs="Arial"/>
        </w:rPr>
        <w:t>C)</w:t>
      </w:r>
      <w:r w:rsidRPr="00026EC1">
        <w:rPr>
          <w:rFonts w:cs="Arial"/>
        </w:rPr>
        <w:tab/>
      </w:r>
      <w:r w:rsidR="00AA36ED" w:rsidRPr="00026EC1">
        <w:rPr>
          <w:rFonts w:cs="Arial"/>
          <w:u w:val="single"/>
        </w:rPr>
        <w:t>Enseignante ou enseignant au simulateur</w:t>
      </w:r>
      <w:r w:rsidR="00D8581B">
        <w:rPr>
          <w:rFonts w:cs="Arial"/>
        </w:rPr>
        <w:t> :</w:t>
      </w:r>
      <w:r w:rsidR="00AA36ED" w:rsidRPr="00026EC1">
        <w:rPr>
          <w:rFonts w:cs="Arial"/>
        </w:rPr>
        <w:t xml:space="preserve"> la tâche d</w:t>
      </w:r>
      <w:r w:rsidR="00BC3319" w:rsidRPr="00026EC1">
        <w:rPr>
          <w:rFonts w:cs="Arial"/>
        </w:rPr>
        <w:t>’</w:t>
      </w:r>
      <w:r w:rsidR="00AA36ED" w:rsidRPr="00026EC1">
        <w:rPr>
          <w:rFonts w:cs="Arial"/>
        </w:rPr>
        <w:t>enseignement</w:t>
      </w:r>
      <w:r w:rsidR="00AB4D26">
        <w:rPr>
          <w:rStyle w:val="FootnoteReference"/>
          <w:rFonts w:cs="Arial"/>
        </w:rPr>
        <w:footnoteReference w:id="57"/>
      </w:r>
      <w:r w:rsidR="00AA36ED" w:rsidRPr="00026EC1">
        <w:rPr>
          <w:rFonts w:cs="Arial"/>
        </w:rPr>
        <w:t xml:space="preserve"> comprend toutes les activités inhérentes à l</w:t>
      </w:r>
      <w:r w:rsidR="00BC3319" w:rsidRPr="00026EC1">
        <w:rPr>
          <w:rFonts w:cs="Arial"/>
        </w:rPr>
        <w:t>’</w:t>
      </w:r>
      <w:r w:rsidR="00AA36ED" w:rsidRPr="00026EC1">
        <w:rPr>
          <w:rFonts w:cs="Arial"/>
        </w:rPr>
        <w:t>enseignement au simulateur, notamment</w:t>
      </w:r>
      <w:r w:rsidR="00D8581B">
        <w:rPr>
          <w:rFonts w:cs="Arial"/>
        </w:rPr>
        <w:t> :</w:t>
      </w:r>
    </w:p>
    <w:p w14:paraId="3B2FE2E9"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du plan d</w:t>
      </w:r>
      <w:r w:rsidR="00BC3319" w:rsidRPr="00026EC1">
        <w:t>’</w:t>
      </w:r>
      <w:r w:rsidR="00AA36ED" w:rsidRPr="00026EC1">
        <w:t>études;</w:t>
      </w:r>
    </w:p>
    <w:p w14:paraId="3720D485"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de cours;</w:t>
      </w:r>
    </w:p>
    <w:p w14:paraId="0185D4ED"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préparation au sol des exercices avec l</w:t>
      </w:r>
      <w:r w:rsidR="00BC3319" w:rsidRPr="00026EC1">
        <w:t>’</w:t>
      </w:r>
      <w:r w:rsidR="00AA36ED" w:rsidRPr="00026EC1">
        <w:t>étudiante ou l</w:t>
      </w:r>
      <w:r w:rsidR="00BC3319" w:rsidRPr="00026EC1">
        <w:t>’</w:t>
      </w:r>
      <w:r w:rsidR="00AA36ED" w:rsidRPr="00026EC1">
        <w:t>étudiant (cours préparatoire et briefing);</w:t>
      </w:r>
    </w:p>
    <w:p w14:paraId="06463D13"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prestation des cours de simulateur avec la collaboration et la concertation des enseignantes et enseignants concernés;</w:t>
      </w:r>
    </w:p>
    <w:p w14:paraId="4FA1C57D"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adaptation;</w:t>
      </w:r>
    </w:p>
    <w:p w14:paraId="0C222B9B"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encadrement de ses étudiantes et étudiants;</w:t>
      </w:r>
    </w:p>
    <w:p w14:paraId="15EF8FB6"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évaluation, notamment par les échanges après chaque leçon de vol sur simulateur avec l</w:t>
      </w:r>
      <w:r w:rsidR="00BC3319" w:rsidRPr="00026EC1">
        <w:t>’</w:t>
      </w:r>
      <w:r w:rsidR="00AA36ED" w:rsidRPr="00026EC1">
        <w:t>étudiante ou l</w:t>
      </w:r>
      <w:r w:rsidR="00BC3319" w:rsidRPr="00026EC1">
        <w:t>’</w:t>
      </w:r>
      <w:r w:rsidR="00AA36ED" w:rsidRPr="00026EC1">
        <w:t>étudiant afin de vérifier ses progrès et ses difficultés (debriefing) et l</w:t>
      </w:r>
      <w:r w:rsidR="00BC3319" w:rsidRPr="00026EC1">
        <w:t>’</w:t>
      </w:r>
      <w:r w:rsidR="00AA36ED" w:rsidRPr="00026EC1">
        <w:t>obligation pour l</w:t>
      </w:r>
      <w:r w:rsidR="00BC3319" w:rsidRPr="00026EC1">
        <w:t>’</w:t>
      </w:r>
      <w:r w:rsidR="00AA36ED" w:rsidRPr="00026EC1">
        <w:t>enseignante ou l</w:t>
      </w:r>
      <w:r w:rsidR="00BC3319" w:rsidRPr="00026EC1">
        <w:t>’</w:t>
      </w:r>
      <w:r w:rsidR="00AA36ED" w:rsidRPr="00026EC1">
        <w:t>enseignant au simulateur de noter dans les cahiers d</w:t>
      </w:r>
      <w:r w:rsidR="00BC3319" w:rsidRPr="00026EC1">
        <w:t>’</w:t>
      </w:r>
      <w:r w:rsidR="00AA36ED" w:rsidRPr="00026EC1">
        <w:t>évaluation tout renseignement pouvant permettre l</w:t>
      </w:r>
      <w:r w:rsidR="00BC3319" w:rsidRPr="00026EC1">
        <w:t>’</w:t>
      </w:r>
      <w:r w:rsidR="00AA36ED" w:rsidRPr="00026EC1">
        <w:t>évaluation des compétences (incluant les attitudes) de chaque étudiante ou étudiant sous sa responsabilité;</w:t>
      </w:r>
    </w:p>
    <w:p w14:paraId="2268E7A6"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révision de corrections demandée par les étudiantes et étudiants;</w:t>
      </w:r>
    </w:p>
    <w:p w14:paraId="2D8B9D6D"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journées pédagogiques organisées par le Collège;</w:t>
      </w:r>
    </w:p>
    <w:p w14:paraId="60233B6F"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rencontres départementales et aux activités requises pour la réalisation des fonctions du département;</w:t>
      </w:r>
    </w:p>
    <w:p w14:paraId="42ABED30"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enseignement aux autres enseignantes et enseignants, si elle ou il est appelé à le faire.</w:t>
      </w:r>
    </w:p>
    <w:p w14:paraId="58B71870" w14:textId="77777777" w:rsidR="006B5B8C" w:rsidRPr="00026EC1" w:rsidRDefault="006B5B8C" w:rsidP="007F120F">
      <w:pPr>
        <w:keepNext w:val="0"/>
        <w:tabs>
          <w:tab w:val="left" w:pos="180"/>
        </w:tabs>
        <w:ind w:left="1080" w:hanging="540"/>
        <w:rPr>
          <w:rFonts w:cs="Arial"/>
        </w:rPr>
      </w:pPr>
    </w:p>
    <w:p w14:paraId="03315DE7" w14:textId="35882E95" w:rsidR="00AA36ED" w:rsidRPr="00026EC1" w:rsidRDefault="00AA36ED" w:rsidP="007F120F">
      <w:pPr>
        <w:keepNext w:val="0"/>
        <w:tabs>
          <w:tab w:val="left" w:pos="180"/>
        </w:tabs>
        <w:ind w:left="1080" w:hanging="540"/>
        <w:rPr>
          <w:rFonts w:cs="Arial"/>
        </w:rPr>
      </w:pPr>
      <w:r w:rsidRPr="00026EC1">
        <w:rPr>
          <w:rFonts w:cs="Arial"/>
        </w:rPr>
        <w:t>D)</w:t>
      </w:r>
      <w:r w:rsidRPr="00026EC1">
        <w:rPr>
          <w:rFonts w:cs="Arial"/>
        </w:rPr>
        <w:tab/>
      </w:r>
      <w:r w:rsidRPr="00026EC1">
        <w:rPr>
          <w:rFonts w:cs="Arial"/>
          <w:u w:val="single"/>
        </w:rPr>
        <w:t>Répartitrice ou répartiteur</w:t>
      </w:r>
      <w:r w:rsidR="00D8581B">
        <w:rPr>
          <w:rFonts w:cs="Arial"/>
        </w:rPr>
        <w:t> :</w:t>
      </w:r>
      <w:r w:rsidRPr="00026EC1">
        <w:rPr>
          <w:rFonts w:cs="Arial"/>
        </w:rPr>
        <w:t xml:space="preserve"> les tâches de la répartitrice ou du répartiteur comprennent toutes les activités inhérentes à sa fonction, notamment</w:t>
      </w:r>
      <w:r w:rsidR="00D8581B">
        <w:rPr>
          <w:rFonts w:cs="Arial"/>
        </w:rPr>
        <w:t> :</w:t>
      </w:r>
    </w:p>
    <w:p w14:paraId="17EC18E6"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contribution à l</w:t>
      </w:r>
      <w:r w:rsidR="00BC3319" w:rsidRPr="00026EC1">
        <w:t>’</w:t>
      </w:r>
      <w:r w:rsidR="00AA36ED" w:rsidRPr="00026EC1">
        <w:t>utilisation optimale des aéronefs pour la réalisation des différents cours de vol et de l</w:t>
      </w:r>
      <w:r w:rsidR="00BC3319" w:rsidRPr="00026EC1">
        <w:t>’</w:t>
      </w:r>
      <w:r w:rsidR="00AA36ED" w:rsidRPr="00026EC1">
        <w:t>entraînement des personnels;</w:t>
      </w:r>
    </w:p>
    <w:p w14:paraId="5783E8F3"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le maintien du journal de vol quotidien;</w:t>
      </w:r>
    </w:p>
    <w:p w14:paraId="7A8CA85C"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compilation des rapports journaliers, mensuels, de session et annuels;</w:t>
      </w:r>
    </w:p>
    <w:p w14:paraId="0123DBD2"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inscription des entrées nécessaires dans les carnets de route des aéronefs;</w:t>
      </w:r>
    </w:p>
    <w:p w14:paraId="57B4A748"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mise à jour de la documentation, telle qu</w:t>
      </w:r>
      <w:r w:rsidR="00BC3319" w:rsidRPr="00026EC1">
        <w:t>’</w:t>
      </w:r>
      <w:r w:rsidR="00AA36ED" w:rsidRPr="00026EC1">
        <w:t>elle est exigée par le Collège et le Règlement de l</w:t>
      </w:r>
      <w:r w:rsidR="00BC3319" w:rsidRPr="00026EC1">
        <w:t>’</w:t>
      </w:r>
      <w:r w:rsidR="00AA36ED" w:rsidRPr="00026EC1">
        <w:t>aviation canadien;</w:t>
      </w:r>
    </w:p>
    <w:p w14:paraId="48826480"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mise à jour de tous les rapports servant notamment au suivi et au contrôle des étudiantes et étudiants, des aéronefs, des personnels et des différentes opérations de vol exigés par le Collège et le Règlement de l</w:t>
      </w:r>
      <w:r w:rsidR="00BC3319" w:rsidRPr="00026EC1">
        <w:t>’</w:t>
      </w:r>
      <w:r w:rsidR="00AA36ED" w:rsidRPr="00026EC1">
        <w:t>aviation canadien;</w:t>
      </w:r>
    </w:p>
    <w:p w14:paraId="4D5664A8"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communication radio avec les différents aéronefs en vol ainsi que la répartition et la vérification du nombre d</w:t>
      </w:r>
      <w:r w:rsidR="00BC3319" w:rsidRPr="00026EC1">
        <w:t>’</w:t>
      </w:r>
      <w:r w:rsidR="00AA36ED" w:rsidRPr="00026EC1">
        <w:t>aéronefs dans les zones d</w:t>
      </w:r>
      <w:r w:rsidR="00BC3319" w:rsidRPr="00026EC1">
        <w:t>’</w:t>
      </w:r>
      <w:r w:rsidR="00AA36ED" w:rsidRPr="00026EC1">
        <w:t>entraînement;</w:t>
      </w:r>
    </w:p>
    <w:p w14:paraId="066058ED"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information à donner aux usagers des différents aéronefs, tels la météorologie, les notams et la plage horaire;</w:t>
      </w:r>
    </w:p>
    <w:p w14:paraId="3940320C"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certification des heures de vol dans les carnets personnels des étudiantes et étudiants;</w:t>
      </w:r>
    </w:p>
    <w:p w14:paraId="6ECCC7CE"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vérification des documents légaux devant être complétés avant le vol conformément aux directives du Collège et au Règlement de l</w:t>
      </w:r>
      <w:r w:rsidR="00BC3319" w:rsidRPr="00026EC1">
        <w:t>’</w:t>
      </w:r>
      <w:r w:rsidR="00AA36ED" w:rsidRPr="00026EC1">
        <w:t>aviation canadien;</w:t>
      </w:r>
    </w:p>
    <w:p w14:paraId="411A14AF"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w:t>
      </w:r>
      <w:r w:rsidR="00BC3319" w:rsidRPr="00026EC1">
        <w:t>’</w:t>
      </w:r>
      <w:r w:rsidR="00AA36ED" w:rsidRPr="00026EC1">
        <w:t>obligation d</w:t>
      </w:r>
      <w:r w:rsidR="00BC3319" w:rsidRPr="00026EC1">
        <w:t>’</w:t>
      </w:r>
      <w:r w:rsidR="00AA36ED" w:rsidRPr="00026EC1">
        <w:t>aviser les enseignantes et enseignants responsables des étudiantes et étudiants en solo et de rappeler ces derniers, le cas échéant, conformément aux directives du Collège;</w:t>
      </w:r>
    </w:p>
    <w:p w14:paraId="20985851"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transmission à l</w:t>
      </w:r>
      <w:r w:rsidR="00BC3319" w:rsidRPr="00026EC1">
        <w:t>’</w:t>
      </w:r>
      <w:r w:rsidR="00AA36ED" w:rsidRPr="00026EC1">
        <w:t>enseignante ou l</w:t>
      </w:r>
      <w:r w:rsidR="00BC3319" w:rsidRPr="00026EC1">
        <w:t>’</w:t>
      </w:r>
      <w:r w:rsidR="00AA36ED" w:rsidRPr="00026EC1">
        <w:t>enseignant d</w:t>
      </w:r>
      <w:r w:rsidR="00BC3319" w:rsidRPr="00026EC1">
        <w:t>’</w:t>
      </w:r>
      <w:r w:rsidR="00AA36ED" w:rsidRPr="00026EC1">
        <w:t>observations pertinentes à l</w:t>
      </w:r>
      <w:r w:rsidR="00BC3319" w:rsidRPr="00026EC1">
        <w:t>’</w:t>
      </w:r>
      <w:r w:rsidR="00AA36ED" w:rsidRPr="00026EC1">
        <w:t>évaluation des étudiantes ou étudiants;</w:t>
      </w:r>
    </w:p>
    <w:p w14:paraId="0F80CDA2"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transmission aux usagers des différents aéronefs des directives opérationnelles demandées par le Collège;</w:t>
      </w:r>
    </w:p>
    <w:p w14:paraId="5B5D67C9"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journées pédagogiques organisées par le Collège;</w:t>
      </w:r>
    </w:p>
    <w:p w14:paraId="2963831B"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participation aux rencontres départementales et aux activités requises pour la réalisation des fonctions du département;</w:t>
      </w:r>
    </w:p>
    <w:p w14:paraId="69A96AAA" w14:textId="77777777" w:rsidR="00AA36ED" w:rsidRPr="00026EC1" w:rsidRDefault="00275751" w:rsidP="007F120F">
      <w:pPr>
        <w:keepNext w:val="0"/>
        <w:tabs>
          <w:tab w:val="left" w:pos="1701"/>
        </w:tabs>
        <w:ind w:left="1701" w:hanging="567"/>
      </w:pPr>
      <w:r w:rsidRPr="00026EC1">
        <w:rPr>
          <w:rFonts w:ascii="Symbol" w:hAnsi="Symbol"/>
        </w:rPr>
        <w:t></w:t>
      </w:r>
      <w:r w:rsidRPr="00026EC1">
        <w:rPr>
          <w:rFonts w:ascii="Symbol" w:hAnsi="Symbol"/>
        </w:rPr>
        <w:tab/>
      </w:r>
      <w:r w:rsidR="00AA36ED" w:rsidRPr="00026EC1">
        <w:t>la collaboration avec les autres répartitrices et répartiteurs et leur initiation au besoin.</w:t>
      </w:r>
    </w:p>
    <w:p w14:paraId="236DDD04" w14:textId="77777777" w:rsidR="00A51A7A" w:rsidRPr="00026EC1" w:rsidRDefault="00A51A7A" w:rsidP="007F120F">
      <w:pPr>
        <w:keepNext w:val="0"/>
        <w:ind w:left="567"/>
        <w:rPr>
          <w:bCs/>
        </w:rPr>
      </w:pPr>
    </w:p>
    <w:p w14:paraId="48C4B373" w14:textId="53094AE9" w:rsidR="00AA36ED" w:rsidRPr="00026EC1" w:rsidRDefault="00AA36ED" w:rsidP="007F120F">
      <w:pPr>
        <w:keepNext w:val="0"/>
        <w:ind w:left="567"/>
        <w:rPr>
          <w:bCs/>
        </w:rPr>
      </w:pPr>
      <w:r w:rsidRPr="00026EC1">
        <w:rPr>
          <w:bCs/>
        </w:rPr>
        <w:t>L</w:t>
      </w:r>
      <w:r w:rsidR="00BC3319" w:rsidRPr="00026EC1">
        <w:rPr>
          <w:bCs/>
        </w:rPr>
        <w:t>’</w:t>
      </w:r>
      <w:r w:rsidRPr="00026EC1">
        <w:rPr>
          <w:bCs/>
        </w:rPr>
        <w:t>article</w:t>
      </w:r>
      <w:r w:rsidR="00500B67" w:rsidRPr="00026EC1">
        <w:rPr>
          <w:bCs/>
        </w:rPr>
        <w:t> </w:t>
      </w:r>
      <w:r w:rsidRPr="00026EC1">
        <w:rPr>
          <w:bCs/>
        </w:rPr>
        <w:t>8</w:t>
      </w:r>
      <w:r w:rsidR="00984A6F">
        <w:rPr>
          <w:bCs/>
        </w:rPr>
        <w:noBreakHyphen/>
      </w:r>
      <w:r w:rsidRPr="00026EC1">
        <w:rPr>
          <w:bCs/>
        </w:rPr>
        <w:t>4.00 est également modifié en ajoutant à l</w:t>
      </w:r>
      <w:r w:rsidR="00BC3319" w:rsidRPr="00026EC1">
        <w:rPr>
          <w:bCs/>
        </w:rPr>
        <w:t>’</w:t>
      </w:r>
      <w:r w:rsidRPr="00026EC1">
        <w:rPr>
          <w:bCs/>
        </w:rPr>
        <w:t>alinéa</w:t>
      </w:r>
      <w:r w:rsidR="00500B67" w:rsidRPr="00026EC1">
        <w:rPr>
          <w:bCs/>
        </w:rPr>
        <w:t> </w:t>
      </w:r>
      <w:r w:rsidRPr="00026EC1">
        <w:rPr>
          <w:bCs/>
        </w:rPr>
        <w:t>b) de la clause</w:t>
      </w:r>
      <w:r w:rsidR="00500B67" w:rsidRPr="00026EC1">
        <w:rPr>
          <w:bCs/>
        </w:rPr>
        <w:t> </w:t>
      </w:r>
      <w:r w:rsidRPr="00026EC1">
        <w:rPr>
          <w:bCs/>
        </w:rPr>
        <w:t>8</w:t>
      </w:r>
      <w:r w:rsidR="00984A6F">
        <w:rPr>
          <w:bCs/>
        </w:rPr>
        <w:noBreakHyphen/>
      </w:r>
      <w:r w:rsidRPr="00026EC1">
        <w:rPr>
          <w:bCs/>
        </w:rPr>
        <w:t>4.01 le point suivant</w:t>
      </w:r>
      <w:r w:rsidR="00D8581B">
        <w:rPr>
          <w:bCs/>
        </w:rPr>
        <w:t> :</w:t>
      </w:r>
    </w:p>
    <w:p w14:paraId="3D252A2E" w14:textId="77777777" w:rsidR="00AA36ED" w:rsidRPr="00026EC1" w:rsidRDefault="00AA36ED" w:rsidP="007F120F">
      <w:pPr>
        <w:keepNext w:val="0"/>
      </w:pPr>
    </w:p>
    <w:p w14:paraId="55CFF3A9" w14:textId="5E2CE354" w:rsidR="00AA36ED" w:rsidRDefault="00275751" w:rsidP="007F120F">
      <w:pPr>
        <w:keepNext w:val="0"/>
        <w:tabs>
          <w:tab w:val="left" w:pos="1701"/>
        </w:tabs>
        <w:ind w:left="1701" w:hanging="567"/>
        <w:rPr>
          <w:bCs/>
        </w:rPr>
      </w:pPr>
      <w:r w:rsidRPr="00026EC1">
        <w:rPr>
          <w:rFonts w:ascii="Symbol" w:hAnsi="Symbol"/>
          <w:bCs/>
        </w:rPr>
        <w:t></w:t>
      </w:r>
      <w:r w:rsidRPr="00026EC1">
        <w:rPr>
          <w:rFonts w:ascii="Symbol" w:hAnsi="Symbol"/>
          <w:bCs/>
        </w:rPr>
        <w:tab/>
      </w:r>
      <w:r w:rsidR="00AA36ED" w:rsidRPr="00026EC1">
        <w:rPr>
          <w:bCs/>
        </w:rPr>
        <w:t>la participation à la sélection des étudiantes et étudiants devant être admis dans le programme 280.A0.</w:t>
      </w:r>
    </w:p>
    <w:p w14:paraId="7B19F98F" w14:textId="77777777" w:rsidR="00F25CC8" w:rsidRPr="00026EC1" w:rsidRDefault="00F25CC8" w:rsidP="007F120F">
      <w:pPr>
        <w:keepNext w:val="0"/>
        <w:tabs>
          <w:tab w:val="left" w:pos="1701"/>
        </w:tabs>
        <w:ind w:left="1701" w:hanging="567"/>
        <w:rPr>
          <w:bCs/>
        </w:rPr>
      </w:pPr>
    </w:p>
    <w:p w14:paraId="25C38924" w14:textId="55C524C0" w:rsidR="00AA36ED" w:rsidRDefault="00AA36ED" w:rsidP="007F120F">
      <w:pPr>
        <w:keepNext w:val="0"/>
      </w:pPr>
    </w:p>
    <w:p w14:paraId="567ADE81" w14:textId="40D11ED8" w:rsidR="00E63DF4" w:rsidRPr="00E219C0" w:rsidRDefault="00E63DF4" w:rsidP="007F120F">
      <w:pPr>
        <w:keepNext w:val="0"/>
        <w:tabs>
          <w:tab w:val="left" w:pos="2410"/>
        </w:tabs>
        <w:ind w:left="2410" w:hanging="1870"/>
        <w:rPr>
          <w:b/>
          <w:bCs/>
          <w:u w:val="single"/>
        </w:rPr>
      </w:pPr>
      <w:r w:rsidRPr="00E219C0">
        <w:rPr>
          <w:b/>
          <w:bCs/>
          <w:u w:val="single"/>
        </w:rPr>
        <w:t>Article 8</w:t>
      </w:r>
      <w:r w:rsidR="00984A6F">
        <w:rPr>
          <w:b/>
          <w:bCs/>
          <w:u w:val="single"/>
        </w:rPr>
        <w:noBreakHyphen/>
      </w:r>
      <w:r w:rsidRPr="00E219C0">
        <w:rPr>
          <w:b/>
          <w:bCs/>
          <w:u w:val="single"/>
        </w:rPr>
        <w:t>6.00</w:t>
      </w:r>
      <w:r w:rsidR="00AB44DE" w:rsidRPr="00E219C0">
        <w:rPr>
          <w:b/>
          <w:bCs/>
          <w:u w:val="single"/>
        </w:rPr>
        <w:t xml:space="preserve"> </w:t>
      </w:r>
      <w:r w:rsidR="00984A6F">
        <w:rPr>
          <w:b/>
          <w:bCs/>
          <w:u w:val="single"/>
        </w:rPr>
        <w:noBreakHyphen/>
      </w:r>
      <w:r w:rsidR="00891842" w:rsidRPr="00E219C0">
        <w:rPr>
          <w:b/>
          <w:bCs/>
          <w:u w:val="single"/>
        </w:rPr>
        <w:t xml:space="preserve"> </w:t>
      </w:r>
      <w:r w:rsidRPr="00E219C0">
        <w:rPr>
          <w:b/>
          <w:bCs/>
          <w:u w:val="single"/>
        </w:rPr>
        <w:t xml:space="preserve">Calcul de la charge de travail d’une enseignante </w:t>
      </w:r>
      <w:r w:rsidR="00BD4637" w:rsidRPr="00E219C0">
        <w:rPr>
          <w:b/>
          <w:bCs/>
          <w:u w:val="single"/>
        </w:rPr>
        <w:t xml:space="preserve">ou d’un enseignant </w:t>
      </w:r>
    </w:p>
    <w:p w14:paraId="7DD7AFA9" w14:textId="55C524C0" w:rsidR="00E63DF4" w:rsidRPr="00026EC1" w:rsidRDefault="00E63DF4" w:rsidP="007F120F">
      <w:pPr>
        <w:keepNext w:val="0"/>
        <w:ind w:left="2410" w:hanging="2410"/>
      </w:pPr>
    </w:p>
    <w:p w14:paraId="5970EF63" w14:textId="57A5CB78" w:rsidR="00AA36ED" w:rsidRPr="00026EC1" w:rsidRDefault="00275751" w:rsidP="007F120F">
      <w:pPr>
        <w:keepNext w:val="0"/>
        <w:tabs>
          <w:tab w:val="left" w:pos="567"/>
          <w:tab w:val="left" w:pos="1080"/>
        </w:tabs>
        <w:ind w:left="567" w:hanging="567"/>
      </w:pPr>
      <w:r w:rsidRPr="00026EC1">
        <w:t>11.</w:t>
      </w:r>
      <w:r w:rsidRPr="00026EC1">
        <w:tab/>
      </w:r>
      <w:r w:rsidR="00AA36ED" w:rsidRPr="00026EC1">
        <w:t>a)</w:t>
      </w:r>
      <w:r w:rsidR="00AA36ED" w:rsidRPr="00026EC1">
        <w:tab/>
        <w:t>L</w:t>
      </w:r>
      <w:r w:rsidR="00BC3319" w:rsidRPr="00026EC1">
        <w:t>’</w:t>
      </w:r>
      <w:r w:rsidR="00AA36ED" w:rsidRPr="00026EC1">
        <w:t>article 8</w:t>
      </w:r>
      <w:r w:rsidR="00984A6F">
        <w:noBreakHyphen/>
      </w:r>
      <w:r w:rsidR="00AA36ED" w:rsidRPr="00026EC1">
        <w:t>6.00 ne s</w:t>
      </w:r>
      <w:r w:rsidR="00BC3319" w:rsidRPr="00026EC1">
        <w:t>’</w:t>
      </w:r>
      <w:r w:rsidR="00AA36ED" w:rsidRPr="00026EC1">
        <w:t>applique qu</w:t>
      </w:r>
      <w:r w:rsidR="00BC3319" w:rsidRPr="00026EC1">
        <w:t>’</w:t>
      </w:r>
      <w:r w:rsidR="00AA36ED" w:rsidRPr="00026EC1">
        <w:t>aux enseignantes et enseignants au sol.</w:t>
      </w:r>
    </w:p>
    <w:p w14:paraId="5C9C837A" w14:textId="77777777" w:rsidR="00AA36ED" w:rsidRPr="00026EC1" w:rsidRDefault="00AA36ED" w:rsidP="007F120F">
      <w:pPr>
        <w:keepNext w:val="0"/>
      </w:pPr>
    </w:p>
    <w:p w14:paraId="7B6CC957" w14:textId="01930F31" w:rsidR="00AA36ED" w:rsidRPr="00026EC1" w:rsidRDefault="00275751" w:rsidP="007F120F">
      <w:pPr>
        <w:keepNext w:val="0"/>
        <w:tabs>
          <w:tab w:val="left" w:pos="1134"/>
        </w:tabs>
        <w:ind w:left="1134" w:hanging="567"/>
      </w:pPr>
      <w:r w:rsidRPr="00026EC1">
        <w:t>b)</w:t>
      </w:r>
      <w:r w:rsidRPr="00026EC1">
        <w:tab/>
      </w:r>
      <w:r w:rsidR="00AA36ED" w:rsidRPr="00026EC1">
        <w:t>Dans le cas des enseignantes et enseignants au vol et des enseignantes et enseignants au simulateur,</w:t>
      </w:r>
      <w:r w:rsidR="00AA36ED" w:rsidRPr="00026EC1">
        <w:rPr>
          <w:bCs/>
        </w:rPr>
        <w:t xml:space="preserve"> les clauses</w:t>
      </w:r>
      <w:r w:rsidR="00500B67" w:rsidRPr="00026EC1">
        <w:rPr>
          <w:bCs/>
        </w:rPr>
        <w:t> </w:t>
      </w:r>
      <w:r w:rsidR="00AA36ED" w:rsidRPr="00026EC1">
        <w:rPr>
          <w:bCs/>
        </w:rPr>
        <w:t>8</w:t>
      </w:r>
      <w:r w:rsidR="00984A6F">
        <w:rPr>
          <w:bCs/>
        </w:rPr>
        <w:noBreakHyphen/>
      </w:r>
      <w:r w:rsidR="00AA36ED" w:rsidRPr="00026EC1">
        <w:rPr>
          <w:bCs/>
        </w:rPr>
        <w:t>6.01 et 8</w:t>
      </w:r>
      <w:r w:rsidR="00984A6F">
        <w:rPr>
          <w:bCs/>
        </w:rPr>
        <w:noBreakHyphen/>
      </w:r>
      <w:r w:rsidR="00AA36ED" w:rsidRPr="00026EC1">
        <w:rPr>
          <w:bCs/>
        </w:rPr>
        <w:t>6.02 sont remplacées par les dispositions suivantes, à l</w:t>
      </w:r>
      <w:r w:rsidR="00BC3319" w:rsidRPr="00026EC1">
        <w:rPr>
          <w:bCs/>
        </w:rPr>
        <w:t>’</w:t>
      </w:r>
      <w:r w:rsidR="00AA36ED" w:rsidRPr="00026EC1">
        <w:rPr>
          <w:bCs/>
        </w:rPr>
        <w:t>exception du dernier paragraphe de la clause</w:t>
      </w:r>
      <w:r w:rsidR="00500B67" w:rsidRPr="00026EC1">
        <w:rPr>
          <w:bCs/>
        </w:rPr>
        <w:t> </w:t>
      </w:r>
      <w:r w:rsidR="00AA36ED" w:rsidRPr="00026EC1">
        <w:rPr>
          <w:bCs/>
        </w:rPr>
        <w:t>8</w:t>
      </w:r>
      <w:r w:rsidR="00984A6F">
        <w:rPr>
          <w:bCs/>
        </w:rPr>
        <w:noBreakHyphen/>
      </w:r>
      <w:r w:rsidR="00AA36ED" w:rsidRPr="00026EC1">
        <w:rPr>
          <w:bCs/>
        </w:rPr>
        <w:t>6.01</w:t>
      </w:r>
      <w:r w:rsidR="00D8581B">
        <w:rPr>
          <w:bCs/>
        </w:rPr>
        <w:t> :</w:t>
      </w:r>
      <w:r w:rsidR="00AA36ED" w:rsidRPr="00026EC1">
        <w:t xml:space="preserve"> </w:t>
      </w:r>
    </w:p>
    <w:p w14:paraId="17750FA3" w14:textId="77777777" w:rsidR="00905596" w:rsidRPr="00026EC1" w:rsidRDefault="00905596" w:rsidP="007F120F">
      <w:pPr>
        <w:keepNext w:val="0"/>
      </w:pPr>
    </w:p>
    <w:p w14:paraId="287983A8" w14:textId="6B5A3227" w:rsidR="00AA36ED" w:rsidRPr="00026EC1" w:rsidRDefault="00AA36ED" w:rsidP="007F120F">
      <w:pPr>
        <w:pStyle w:val="Texte1cm"/>
        <w:keepNext w:val="0"/>
        <w:rPr>
          <w:b/>
        </w:rPr>
      </w:pPr>
      <w:r w:rsidRPr="00026EC1">
        <w:rPr>
          <w:b/>
          <w:bCs/>
        </w:rPr>
        <w:t>8</w:t>
      </w:r>
      <w:r w:rsidR="00984A6F">
        <w:rPr>
          <w:b/>
          <w:bCs/>
        </w:rPr>
        <w:noBreakHyphen/>
      </w:r>
      <w:r w:rsidRPr="00026EC1">
        <w:rPr>
          <w:b/>
          <w:bCs/>
        </w:rPr>
        <w:t>6.01</w:t>
      </w:r>
      <w:r w:rsidRPr="00026EC1">
        <w:rPr>
          <w:b/>
          <w:bCs/>
        </w:rPr>
        <w:tab/>
      </w:r>
      <w:r w:rsidRPr="00DA6DCA">
        <w:rPr>
          <w:b/>
          <w:bCs/>
          <w:u w:val="single"/>
        </w:rPr>
        <w:t>Enseignante</w:t>
      </w:r>
      <w:r w:rsidRPr="00026EC1">
        <w:rPr>
          <w:b/>
          <w:bCs/>
          <w:u w:val="single"/>
        </w:rPr>
        <w:t xml:space="preserve"> ou enseignant au vol</w:t>
      </w:r>
      <w:r w:rsidR="00D8581B">
        <w:rPr>
          <w:b/>
        </w:rPr>
        <w:t> :</w:t>
      </w:r>
    </w:p>
    <w:p w14:paraId="58BC9BA8" w14:textId="6E05BFBF" w:rsidR="009A1CC5" w:rsidRDefault="00AA36ED" w:rsidP="007F120F">
      <w:pPr>
        <w:pStyle w:val="Texte2cm"/>
        <w:keepNext w:val="0"/>
        <w:ind w:left="567"/>
      </w:pPr>
      <w:r w:rsidRPr="00026EC1">
        <w:t>L</w:t>
      </w:r>
      <w:r w:rsidR="00BC3319" w:rsidRPr="00026EC1">
        <w:t>’</w:t>
      </w:r>
      <w:r w:rsidRPr="00026EC1">
        <w:t>enseignante ou l</w:t>
      </w:r>
      <w:r w:rsidR="00BC3319" w:rsidRPr="00026EC1">
        <w:t>’</w:t>
      </w:r>
      <w:r w:rsidRPr="00026EC1">
        <w:t>enseignant doit accomplir trois cent trente</w:t>
      </w:r>
      <w:r w:rsidR="00984A6F">
        <w:noBreakHyphen/>
      </w:r>
      <w:r w:rsidRPr="00026EC1">
        <w:t>neuf</w:t>
      </w:r>
      <w:r w:rsidR="008468C2">
        <w:t> </w:t>
      </w:r>
      <w:r w:rsidRPr="00026EC1">
        <w:t>(339) heures de vol par année et est tenu de récupérer toute heure perdue de manière à atteindre ce nombre.</w:t>
      </w:r>
    </w:p>
    <w:p w14:paraId="6D9A00CA" w14:textId="77777777" w:rsidR="009A1CC5" w:rsidRDefault="009A1CC5">
      <w:pPr>
        <w:keepNext w:val="0"/>
        <w:suppressAutoHyphens w:val="0"/>
        <w:jc w:val="left"/>
      </w:pPr>
      <w:r>
        <w:br w:type="page"/>
      </w:r>
    </w:p>
    <w:p w14:paraId="2E4B77DB" w14:textId="56BB0181" w:rsidR="00AA36ED" w:rsidRPr="00026EC1" w:rsidRDefault="00AA36ED" w:rsidP="007F120F">
      <w:pPr>
        <w:pStyle w:val="Texte1cm"/>
        <w:keepNext w:val="0"/>
        <w:rPr>
          <w:b/>
          <w:bCs/>
        </w:rPr>
      </w:pPr>
      <w:r w:rsidRPr="00026EC1">
        <w:rPr>
          <w:b/>
          <w:bCs/>
        </w:rPr>
        <w:t>8</w:t>
      </w:r>
      <w:r w:rsidR="00984A6F">
        <w:rPr>
          <w:b/>
          <w:bCs/>
        </w:rPr>
        <w:noBreakHyphen/>
      </w:r>
      <w:r w:rsidRPr="00026EC1">
        <w:rPr>
          <w:b/>
          <w:bCs/>
        </w:rPr>
        <w:t>6.02</w:t>
      </w:r>
      <w:r w:rsidRPr="00026EC1">
        <w:rPr>
          <w:b/>
          <w:bCs/>
        </w:rPr>
        <w:tab/>
      </w:r>
      <w:r w:rsidRPr="00026EC1">
        <w:rPr>
          <w:b/>
          <w:bCs/>
          <w:u w:val="single"/>
        </w:rPr>
        <w:t xml:space="preserve">Enseignante ou enseignant au </w:t>
      </w:r>
      <w:r w:rsidRPr="00DA6DCA">
        <w:rPr>
          <w:b/>
          <w:bCs/>
          <w:u w:val="single"/>
        </w:rPr>
        <w:t>simulateur</w:t>
      </w:r>
      <w:r w:rsidR="00D8581B">
        <w:rPr>
          <w:b/>
          <w:bCs/>
        </w:rPr>
        <w:t> :</w:t>
      </w:r>
    </w:p>
    <w:p w14:paraId="2041DE9B" w14:textId="1095CE42" w:rsidR="00AA36ED" w:rsidRPr="00026EC1" w:rsidRDefault="00AA36ED" w:rsidP="007F120F">
      <w:pPr>
        <w:pStyle w:val="Texte2cm"/>
        <w:keepNext w:val="0"/>
        <w:ind w:left="567"/>
      </w:pPr>
      <w:r w:rsidRPr="00026EC1">
        <w:t>L</w:t>
      </w:r>
      <w:r w:rsidR="00BC3319" w:rsidRPr="00026EC1">
        <w:t>’</w:t>
      </w:r>
      <w:r w:rsidRPr="00026EC1">
        <w:t>enseignante ou l</w:t>
      </w:r>
      <w:r w:rsidR="00BC3319" w:rsidRPr="00026EC1">
        <w:t>’</w:t>
      </w:r>
      <w:r w:rsidRPr="00026EC1">
        <w:t>enseignant doit accomplir cinq cent cinquante</w:t>
      </w:r>
      <w:r w:rsidR="008468C2">
        <w:t> </w:t>
      </w:r>
      <w:r w:rsidRPr="00026EC1">
        <w:t xml:space="preserve">(550) heures </w:t>
      </w:r>
      <w:r w:rsidRPr="00026EC1">
        <w:rPr>
          <w:bCs/>
        </w:rPr>
        <w:t>de vol sur simulateur</w:t>
      </w:r>
      <w:r w:rsidRPr="00026EC1">
        <w:t xml:space="preserve"> par année.</w:t>
      </w:r>
    </w:p>
    <w:p w14:paraId="1A05B62E" w14:textId="77777777" w:rsidR="00AA36ED" w:rsidRPr="00026EC1" w:rsidRDefault="00AA36ED" w:rsidP="007F120F">
      <w:pPr>
        <w:pStyle w:val="Texte2cm"/>
        <w:keepNext w:val="0"/>
      </w:pPr>
    </w:p>
    <w:p w14:paraId="682ABC54" w14:textId="0E54DF07" w:rsidR="00AA36ED" w:rsidRPr="00026EC1" w:rsidRDefault="00AA36ED" w:rsidP="007F120F">
      <w:pPr>
        <w:pStyle w:val="Texte1cm"/>
        <w:keepNext w:val="0"/>
      </w:pPr>
      <w:r w:rsidRPr="00026EC1">
        <w:t>Les dispositions</w:t>
      </w:r>
      <w:r w:rsidRPr="00026EC1">
        <w:rPr>
          <w:bCs/>
        </w:rPr>
        <w:t xml:space="preserve"> </w:t>
      </w:r>
      <w:r w:rsidRPr="00026EC1">
        <w:t>des alinéas</w:t>
      </w:r>
      <w:r w:rsidR="00BC3319" w:rsidRPr="00026EC1">
        <w:t> </w:t>
      </w:r>
      <w:r w:rsidRPr="00026EC1">
        <w:t>a) et b) s</w:t>
      </w:r>
      <w:r w:rsidR="00BC3319" w:rsidRPr="00026EC1">
        <w:t>’</w:t>
      </w:r>
      <w:r w:rsidRPr="00026EC1">
        <w:t>appliquent au prorata pour l</w:t>
      </w:r>
      <w:r w:rsidR="00BC3319" w:rsidRPr="00026EC1">
        <w:t>’</w:t>
      </w:r>
      <w:r w:rsidRPr="00026EC1">
        <w:t>enseignante ou l</w:t>
      </w:r>
      <w:r w:rsidR="00BC3319" w:rsidRPr="00026EC1">
        <w:t>’</w:t>
      </w:r>
      <w:r w:rsidRPr="00026EC1">
        <w:t>enseignant qui assume partiellement une ou plusieurs de ces trois</w:t>
      </w:r>
      <w:r w:rsidR="008468C2">
        <w:t> </w:t>
      </w:r>
      <w:r w:rsidRPr="00026EC1">
        <w:t>(3) fonctions.</w:t>
      </w:r>
    </w:p>
    <w:p w14:paraId="4A87D681" w14:textId="77777777" w:rsidR="00AA36ED" w:rsidRPr="00026EC1" w:rsidRDefault="00AA36ED" w:rsidP="007F120F">
      <w:pPr>
        <w:keepNext w:val="0"/>
      </w:pPr>
    </w:p>
    <w:p w14:paraId="4104E7AE" w14:textId="233729B0" w:rsidR="002D6833" w:rsidRDefault="00275751" w:rsidP="007F120F">
      <w:pPr>
        <w:keepNext w:val="0"/>
        <w:tabs>
          <w:tab w:val="left" w:pos="567"/>
        </w:tabs>
        <w:ind w:left="567" w:hanging="567"/>
      </w:pPr>
      <w:r w:rsidRPr="00026EC1">
        <w:t>12.</w:t>
      </w:r>
      <w:r w:rsidRPr="00026EC1">
        <w:tab/>
      </w:r>
      <w:r w:rsidR="00AA36ED" w:rsidRPr="00026EC1">
        <w:t>L</w:t>
      </w:r>
      <w:r w:rsidR="00BC3319" w:rsidRPr="00026EC1">
        <w:t>’</w:t>
      </w:r>
      <w:r w:rsidR="00665807" w:rsidRPr="00026EC1">
        <w:t>A</w:t>
      </w:r>
      <w:r w:rsidR="00AA36ED" w:rsidRPr="00026EC1">
        <w:t>nnexe VI</w:t>
      </w:r>
      <w:r w:rsidR="00984A6F">
        <w:noBreakHyphen/>
      </w:r>
      <w:r w:rsidR="00AA36ED" w:rsidRPr="00026EC1">
        <w:t>1 de la convention collective est remplacée par le tableau D de la présente annexe</w:t>
      </w:r>
      <w:r w:rsidR="001971D0">
        <w:t>.</w:t>
      </w:r>
    </w:p>
    <w:p w14:paraId="1647151D" w14:textId="77777777" w:rsidR="00F25CC8" w:rsidRPr="00026EC1" w:rsidRDefault="00F25CC8" w:rsidP="007F120F">
      <w:pPr>
        <w:keepNext w:val="0"/>
        <w:tabs>
          <w:tab w:val="left" w:pos="567"/>
        </w:tabs>
        <w:ind w:left="567" w:hanging="567"/>
      </w:pPr>
    </w:p>
    <w:p w14:paraId="0FFD8527" w14:textId="69F5EFD8" w:rsidR="0030204C" w:rsidRPr="00E219C0" w:rsidRDefault="0030204C" w:rsidP="007F120F">
      <w:pPr>
        <w:keepNext w:val="0"/>
        <w:tabs>
          <w:tab w:val="left" w:pos="567"/>
        </w:tabs>
        <w:ind w:left="567" w:hanging="567"/>
      </w:pPr>
      <w:r w:rsidRPr="00E219C0">
        <w:t>13.</w:t>
      </w:r>
      <w:r w:rsidRPr="00E219C0">
        <w:tab/>
      </w:r>
      <w:r w:rsidR="00653BAD" w:rsidRPr="00E219C0">
        <w:t>L</w:t>
      </w:r>
      <w:r w:rsidR="00B45BBF" w:rsidRPr="00E219C0">
        <w:t>’</w:t>
      </w:r>
      <w:r w:rsidR="00360D28" w:rsidRPr="00E219C0">
        <w:t>e</w:t>
      </w:r>
      <w:r w:rsidRPr="00E219C0">
        <w:t xml:space="preserve">nseignante ou </w:t>
      </w:r>
      <w:r w:rsidR="00653BAD" w:rsidRPr="00E219C0">
        <w:t>l</w:t>
      </w:r>
      <w:r w:rsidR="00360D28" w:rsidRPr="00E219C0">
        <w:t>’</w:t>
      </w:r>
      <w:r w:rsidRPr="00E219C0">
        <w:t xml:space="preserve">enseignant au vol </w:t>
      </w:r>
      <w:r w:rsidRPr="00E219C0">
        <w:rPr>
          <w:rFonts w:eastAsia="MS Mincho"/>
          <w:szCs w:val="22"/>
        </w:rPr>
        <w:t>(avion ou hélicoptère) et l’enseignante ou l’enseignant au simulateur</w:t>
      </w:r>
      <w:r w:rsidR="0058088F" w:rsidRPr="00E219C0">
        <w:rPr>
          <w:rFonts w:eastAsia="MS Mincho"/>
          <w:szCs w:val="22"/>
        </w:rPr>
        <w:t xml:space="preserve"> </w:t>
      </w:r>
      <w:r w:rsidR="00D933A9" w:rsidRPr="00E219C0">
        <w:rPr>
          <w:rFonts w:eastAsia="MS Mincho"/>
          <w:szCs w:val="22"/>
        </w:rPr>
        <w:t xml:space="preserve">reçoit, à titre de compensation, </w:t>
      </w:r>
      <w:r w:rsidR="000C0CD8" w:rsidRPr="00E219C0">
        <w:rPr>
          <w:rFonts w:eastAsia="MS Mincho"/>
          <w:szCs w:val="22"/>
        </w:rPr>
        <w:t>la</w:t>
      </w:r>
      <w:r w:rsidR="0058088F" w:rsidRPr="00E219C0">
        <w:rPr>
          <w:rFonts w:eastAsia="MS Mincho"/>
          <w:szCs w:val="22"/>
        </w:rPr>
        <w:t xml:space="preserve"> </w:t>
      </w:r>
      <w:r w:rsidRPr="00E219C0">
        <w:t>majoration de traitement</w:t>
      </w:r>
      <w:r w:rsidR="000C0CD8" w:rsidRPr="00E219C0">
        <w:t xml:space="preserve"> prévue</w:t>
      </w:r>
      <w:r w:rsidR="002F3473" w:rsidRPr="00E219C0">
        <w:t xml:space="preserve"> </w:t>
      </w:r>
      <w:r w:rsidRPr="00E219C0">
        <w:t>au tableau E</w:t>
      </w:r>
      <w:r w:rsidR="00303B70" w:rsidRPr="00E219C0">
        <w:t xml:space="preserve"> de la présente annexe</w:t>
      </w:r>
      <w:r w:rsidR="002F3473" w:rsidRPr="00E219C0">
        <w:t>.</w:t>
      </w:r>
    </w:p>
    <w:p w14:paraId="29714D32" w14:textId="77777777" w:rsidR="0030204C" w:rsidRPr="00E219C0" w:rsidRDefault="0030204C" w:rsidP="007F120F">
      <w:pPr>
        <w:keepNext w:val="0"/>
        <w:tabs>
          <w:tab w:val="left" w:pos="567"/>
        </w:tabs>
        <w:ind w:left="567" w:hanging="567"/>
      </w:pPr>
    </w:p>
    <w:p w14:paraId="58055824" w14:textId="3BB6D6FC" w:rsidR="00AA36ED" w:rsidRPr="00026EC1" w:rsidRDefault="00B45BBF" w:rsidP="007F120F">
      <w:pPr>
        <w:keepNext w:val="0"/>
        <w:tabs>
          <w:tab w:val="left" w:pos="567"/>
        </w:tabs>
        <w:ind w:left="567" w:hanging="567"/>
      </w:pPr>
      <w:r w:rsidRPr="00E219C0">
        <w:t>14</w:t>
      </w:r>
      <w:r w:rsidR="00275751" w:rsidRPr="00E219C0">
        <w:t>.</w:t>
      </w:r>
      <w:r w:rsidR="00275751" w:rsidRPr="00E219C0">
        <w:tab/>
      </w:r>
      <w:r w:rsidR="00AA36ED" w:rsidRPr="00E219C0">
        <w:t>Pour la durée de la convention collective, le nombre de répartitrices et de répartiteurs à temps complet est maintenu au nombre de deux (2).</w:t>
      </w:r>
    </w:p>
    <w:p w14:paraId="60134DC5" w14:textId="77777777" w:rsidR="00AA36ED" w:rsidRPr="00026EC1" w:rsidRDefault="00AA36ED" w:rsidP="007F120F">
      <w:pPr>
        <w:keepNext w:val="0"/>
      </w:pPr>
    </w:p>
    <w:p w14:paraId="5F9B5F99" w14:textId="77777777" w:rsidR="00AA36ED" w:rsidRPr="00026EC1" w:rsidRDefault="00AA36ED" w:rsidP="007F120F">
      <w:pPr>
        <w:keepNext w:val="0"/>
        <w:jc w:val="center"/>
        <w:rPr>
          <w:b/>
          <w:bCs/>
          <w:u w:val="single"/>
        </w:rPr>
      </w:pPr>
      <w:r w:rsidRPr="00026EC1">
        <w:br w:type="page"/>
      </w:r>
      <w:r w:rsidRPr="00026EC1">
        <w:rPr>
          <w:b/>
          <w:bCs/>
          <w:u w:val="single"/>
        </w:rPr>
        <w:t>TABLEAU B</w:t>
      </w:r>
    </w:p>
    <w:p w14:paraId="66AF5309" w14:textId="77777777" w:rsidR="005C444D" w:rsidRPr="00026EC1" w:rsidRDefault="005C444D" w:rsidP="007F120F">
      <w:pPr>
        <w:keepNext w:val="0"/>
        <w:jc w:val="center"/>
        <w:rPr>
          <w:b/>
          <w:bCs/>
          <w:u w:val="single"/>
        </w:rPr>
      </w:pPr>
    </w:p>
    <w:p w14:paraId="6F117408" w14:textId="77777777" w:rsidR="00AA36ED" w:rsidRPr="00026EC1" w:rsidRDefault="00AA36ED" w:rsidP="007F120F">
      <w:pPr>
        <w:keepNext w:val="0"/>
        <w:jc w:val="center"/>
        <w:rPr>
          <w:b/>
          <w:bCs/>
          <w:u w:val="single"/>
        </w:rPr>
      </w:pPr>
      <w:r w:rsidRPr="00026EC1">
        <w:rPr>
          <w:b/>
          <w:bCs/>
          <w:u w:val="single"/>
        </w:rPr>
        <w:t>CLASSEMENT</w:t>
      </w:r>
    </w:p>
    <w:p w14:paraId="0B9D491A" w14:textId="77777777" w:rsidR="00AA36ED" w:rsidRPr="00026EC1" w:rsidRDefault="00AA36ED" w:rsidP="007F120F">
      <w:pPr>
        <w:keepNext w:val="0"/>
        <w:jc w:val="center"/>
        <w:rPr>
          <w:b/>
          <w:bCs/>
          <w:u w:val="single"/>
        </w:rPr>
      </w:pPr>
    </w:p>
    <w:p w14:paraId="2C0A1707" w14:textId="77777777" w:rsidR="00AA36ED" w:rsidRPr="00026EC1" w:rsidRDefault="00AA36ED" w:rsidP="007F120F">
      <w:pPr>
        <w:pStyle w:val="MGSTexte0cm"/>
        <w:keepNext w:val="0"/>
      </w:pPr>
      <w:r w:rsidRPr="00026EC1">
        <w:t>CLASSE I</w:t>
      </w:r>
    </w:p>
    <w:p w14:paraId="1A22444F" w14:textId="77777777" w:rsidR="00AA36ED" w:rsidRPr="00026EC1" w:rsidRDefault="00AA36ED" w:rsidP="007F120F">
      <w:pPr>
        <w:keepNext w:val="0"/>
      </w:pPr>
    </w:p>
    <w:p w14:paraId="2FA3393B" w14:textId="644678B9" w:rsidR="00AA36ED" w:rsidRPr="00026EC1" w:rsidRDefault="00AA36ED" w:rsidP="007F120F">
      <w:pPr>
        <w:keepNext w:val="0"/>
        <w:rPr>
          <w:u w:val="single"/>
        </w:rPr>
      </w:pPr>
      <w:r w:rsidRPr="00026EC1">
        <w:rPr>
          <w:u w:val="single"/>
        </w:rPr>
        <w:t>Minimum requis</w:t>
      </w:r>
      <w:r w:rsidR="00D8581B">
        <w:t> :</w:t>
      </w:r>
    </w:p>
    <w:p w14:paraId="5E5E50D7" w14:textId="77777777" w:rsidR="00AA36ED" w:rsidRPr="00026EC1" w:rsidRDefault="00AA36ED" w:rsidP="007F120F">
      <w:pPr>
        <w:keepNext w:val="0"/>
      </w:pPr>
    </w:p>
    <w:p w14:paraId="63502072" w14:textId="0FAE5A04" w:rsidR="00AA36ED" w:rsidRPr="00316277" w:rsidRDefault="001F1698" w:rsidP="00864798">
      <w:pPr>
        <w:pStyle w:val="Texte1cm"/>
        <w:keepNext w:val="0"/>
        <w:numPr>
          <w:ilvl w:val="0"/>
          <w:numId w:val="47"/>
        </w:numPr>
      </w:pPr>
      <w:r w:rsidRPr="00316277">
        <w:t>Détenir une</w:t>
      </w:r>
      <w:r>
        <w:t xml:space="preserve"> </w:t>
      </w:r>
      <w:r w:rsidRPr="00316277">
        <w:t>l</w:t>
      </w:r>
      <w:r w:rsidR="00AA36ED" w:rsidRPr="00026EC1">
        <w:t>icence de pilote professionnel</w:t>
      </w:r>
      <w:r>
        <w:t xml:space="preserve"> </w:t>
      </w:r>
      <w:r w:rsidRPr="00316277">
        <w:t>avec qualification d’instructeur sur avion, en plus de l’expérience pertinente;</w:t>
      </w:r>
    </w:p>
    <w:p w14:paraId="06098BB1" w14:textId="1D8314E7" w:rsidR="00AA36ED" w:rsidRPr="00026EC1" w:rsidRDefault="001F1698" w:rsidP="00AB4D26">
      <w:pPr>
        <w:pStyle w:val="Texte1cm"/>
        <w:keepNext w:val="0"/>
        <w:numPr>
          <w:ilvl w:val="0"/>
          <w:numId w:val="47"/>
        </w:numPr>
      </w:pPr>
      <w:r w:rsidRPr="00316277">
        <w:t>12 années de scolarité ou l’équivalent;</w:t>
      </w:r>
    </w:p>
    <w:p w14:paraId="3740A9DE" w14:textId="77777777" w:rsidR="00AA36ED" w:rsidRPr="00026EC1" w:rsidRDefault="00AA36ED" w:rsidP="00864798">
      <w:pPr>
        <w:pStyle w:val="Texte1cm"/>
        <w:keepNext w:val="0"/>
        <w:numPr>
          <w:ilvl w:val="0"/>
          <w:numId w:val="50"/>
        </w:numPr>
        <w:ind w:left="709" w:hanging="425"/>
      </w:pPr>
      <w:r w:rsidRPr="00026EC1">
        <w:t>Facilité d</w:t>
      </w:r>
      <w:r w:rsidR="00BC3319" w:rsidRPr="00026EC1">
        <w:t>’</w:t>
      </w:r>
      <w:r w:rsidRPr="00026EC1">
        <w:t>expression orale et écrite en français et en anglais.</w:t>
      </w:r>
    </w:p>
    <w:p w14:paraId="46C175B3" w14:textId="77777777" w:rsidR="00AA36ED" w:rsidRPr="00026EC1" w:rsidRDefault="00AA36ED" w:rsidP="007F120F">
      <w:pPr>
        <w:keepNext w:val="0"/>
      </w:pPr>
    </w:p>
    <w:p w14:paraId="06CD3BE2" w14:textId="1BDBA6BE" w:rsidR="00AA36ED" w:rsidRDefault="00AA36ED" w:rsidP="007F120F">
      <w:pPr>
        <w:pStyle w:val="MGSTexte0cm"/>
        <w:keepNext w:val="0"/>
      </w:pPr>
      <w:r w:rsidRPr="00026EC1">
        <w:t>CLASSE II</w:t>
      </w:r>
    </w:p>
    <w:p w14:paraId="54988C8E" w14:textId="77777777" w:rsidR="001F1698" w:rsidRPr="00026EC1" w:rsidRDefault="001F1698" w:rsidP="007F120F">
      <w:pPr>
        <w:pStyle w:val="MGSTexte0cm"/>
        <w:keepNext w:val="0"/>
      </w:pPr>
    </w:p>
    <w:p w14:paraId="0A7EF724" w14:textId="7ED9BD93" w:rsidR="00AA36ED" w:rsidRPr="00026EC1" w:rsidRDefault="001F1698" w:rsidP="007F120F">
      <w:pPr>
        <w:keepNext w:val="0"/>
      </w:pPr>
      <w:r w:rsidRPr="00316277">
        <w:t>Minimum requis pour la classe I, plus un des éléments suivants :</w:t>
      </w:r>
    </w:p>
    <w:p w14:paraId="62BD26DA" w14:textId="77777777" w:rsidR="00AA36ED" w:rsidRPr="00026EC1" w:rsidRDefault="00AA36ED" w:rsidP="007F120F">
      <w:pPr>
        <w:keepNext w:val="0"/>
      </w:pPr>
    </w:p>
    <w:p w14:paraId="0D8864F2" w14:textId="14E2B713" w:rsidR="00AA36ED" w:rsidRPr="00026EC1" w:rsidRDefault="00AA36ED" w:rsidP="009E1A22">
      <w:pPr>
        <w:pStyle w:val="Texte1cm"/>
        <w:keepNext w:val="0"/>
        <w:numPr>
          <w:ilvl w:val="0"/>
          <w:numId w:val="85"/>
        </w:numPr>
      </w:pPr>
      <w:r w:rsidRPr="00026EC1">
        <w:t>Qualification d</w:t>
      </w:r>
      <w:r w:rsidR="00BC3319" w:rsidRPr="00026EC1">
        <w:t>’</w:t>
      </w:r>
      <w:r w:rsidRPr="00026EC1">
        <w:t>instructeur, classe</w:t>
      </w:r>
      <w:r w:rsidR="001F1698">
        <w:t> </w:t>
      </w:r>
      <w:r w:rsidRPr="00026EC1">
        <w:t>II</w:t>
      </w:r>
      <w:r w:rsidR="001F1698">
        <w:t xml:space="preserve"> </w:t>
      </w:r>
      <w:r w:rsidR="001F1698" w:rsidRPr="00316277">
        <w:t>et qualification de vol aux instruments valide</w:t>
      </w:r>
    </w:p>
    <w:p w14:paraId="5221E6FA" w14:textId="77777777" w:rsidR="00AA36ED" w:rsidRPr="00026EC1" w:rsidRDefault="00AA36ED" w:rsidP="007F120F">
      <w:pPr>
        <w:pStyle w:val="Texte1cm"/>
        <w:keepNext w:val="0"/>
      </w:pPr>
    </w:p>
    <w:p w14:paraId="79A6D91D" w14:textId="77777777" w:rsidR="00AA36ED" w:rsidRPr="00026EC1" w:rsidRDefault="00AA36ED" w:rsidP="007F120F">
      <w:pPr>
        <w:pStyle w:val="Texte1cm"/>
        <w:keepNext w:val="0"/>
      </w:pPr>
      <w:r w:rsidRPr="00026EC1">
        <w:t>ou</w:t>
      </w:r>
    </w:p>
    <w:p w14:paraId="10E414A4" w14:textId="77777777" w:rsidR="00AA36ED" w:rsidRPr="00026EC1" w:rsidRDefault="00AA36ED" w:rsidP="007F120F">
      <w:pPr>
        <w:keepNext w:val="0"/>
      </w:pPr>
    </w:p>
    <w:p w14:paraId="18F888A9" w14:textId="77777777" w:rsidR="00AA36ED" w:rsidRPr="00026EC1" w:rsidRDefault="00275751" w:rsidP="007F120F">
      <w:pPr>
        <w:keepNext w:val="0"/>
        <w:tabs>
          <w:tab w:val="left" w:pos="567"/>
        </w:tabs>
        <w:ind w:left="567" w:hanging="567"/>
      </w:pPr>
      <w:r w:rsidRPr="00026EC1">
        <w:t>B)</w:t>
      </w:r>
      <w:r w:rsidRPr="00026EC1">
        <w:tab/>
      </w:r>
      <w:r w:rsidR="00AA36ED" w:rsidRPr="00026EC1">
        <w:t>quatorze (14) années de scolarité plus trois (3) années d</w:t>
      </w:r>
      <w:r w:rsidR="00BC3319" w:rsidRPr="00026EC1">
        <w:t>’</w:t>
      </w:r>
      <w:r w:rsidR="00AA36ED" w:rsidRPr="00026EC1">
        <w:t>expérience dans l</w:t>
      </w:r>
      <w:r w:rsidR="00BC3319" w:rsidRPr="00026EC1">
        <w:t>’</w:t>
      </w:r>
      <w:r w:rsidR="00AA36ED" w:rsidRPr="00026EC1">
        <w:t>aviation</w:t>
      </w:r>
    </w:p>
    <w:p w14:paraId="119F6DE6" w14:textId="77777777" w:rsidR="00AA36ED" w:rsidRPr="00026EC1" w:rsidRDefault="00AA36ED" w:rsidP="007F120F">
      <w:pPr>
        <w:keepNext w:val="0"/>
      </w:pPr>
    </w:p>
    <w:p w14:paraId="2C47D45E" w14:textId="77777777" w:rsidR="00AA36ED" w:rsidRPr="00026EC1" w:rsidRDefault="00AA36ED" w:rsidP="007F120F">
      <w:pPr>
        <w:pStyle w:val="Texte1cm"/>
        <w:keepNext w:val="0"/>
      </w:pPr>
      <w:r w:rsidRPr="00026EC1">
        <w:t>ou</w:t>
      </w:r>
    </w:p>
    <w:p w14:paraId="5AAADC62" w14:textId="77777777" w:rsidR="00AA36ED" w:rsidRPr="00026EC1" w:rsidRDefault="00AA36ED" w:rsidP="007F120F">
      <w:pPr>
        <w:keepNext w:val="0"/>
      </w:pPr>
    </w:p>
    <w:p w14:paraId="67D58B51" w14:textId="77777777" w:rsidR="00AA36ED" w:rsidRPr="00026EC1" w:rsidRDefault="00275751" w:rsidP="007F120F">
      <w:pPr>
        <w:keepNext w:val="0"/>
        <w:tabs>
          <w:tab w:val="left" w:pos="567"/>
        </w:tabs>
        <w:ind w:left="567" w:hanging="567"/>
      </w:pPr>
      <w:r w:rsidRPr="00026EC1">
        <w:t>C)</w:t>
      </w:r>
      <w:r w:rsidRPr="00026EC1">
        <w:tab/>
      </w:r>
      <w:r w:rsidR="00AA36ED" w:rsidRPr="00026EC1">
        <w:t>dix (10) années d</w:t>
      </w:r>
      <w:r w:rsidR="00BC3319" w:rsidRPr="00026EC1">
        <w:t>’</w:t>
      </w:r>
      <w:r w:rsidR="00AA36ED" w:rsidRPr="00026EC1">
        <w:t>expérience dans l</w:t>
      </w:r>
      <w:r w:rsidR="00BC3319" w:rsidRPr="00026EC1">
        <w:t>’</w:t>
      </w:r>
      <w:r w:rsidR="00AA36ED" w:rsidRPr="00026EC1">
        <w:t>aviation</w:t>
      </w:r>
    </w:p>
    <w:p w14:paraId="064E9BF7" w14:textId="77777777" w:rsidR="00AA36ED" w:rsidRPr="00026EC1" w:rsidRDefault="00AA36ED" w:rsidP="007F120F">
      <w:pPr>
        <w:keepNext w:val="0"/>
      </w:pPr>
    </w:p>
    <w:p w14:paraId="10C1F7AC" w14:textId="77777777" w:rsidR="00AA36ED" w:rsidRPr="00026EC1" w:rsidRDefault="00AA36ED" w:rsidP="007F120F">
      <w:pPr>
        <w:pStyle w:val="Texte1cm"/>
        <w:keepNext w:val="0"/>
      </w:pPr>
      <w:r w:rsidRPr="00026EC1">
        <w:t>ou</w:t>
      </w:r>
    </w:p>
    <w:p w14:paraId="7C474A03" w14:textId="77777777" w:rsidR="00AA36ED" w:rsidRPr="00026EC1" w:rsidRDefault="00AA36ED" w:rsidP="007F120F">
      <w:pPr>
        <w:keepNext w:val="0"/>
      </w:pPr>
    </w:p>
    <w:p w14:paraId="416243C0" w14:textId="58960E45" w:rsidR="001F1698" w:rsidRDefault="00275751" w:rsidP="007F120F">
      <w:pPr>
        <w:keepNext w:val="0"/>
        <w:tabs>
          <w:tab w:val="left" w:pos="567"/>
        </w:tabs>
        <w:ind w:left="567" w:hanging="567"/>
      </w:pPr>
      <w:r w:rsidRPr="00316277">
        <w:t>D)</w:t>
      </w:r>
      <w:r w:rsidRPr="00316277">
        <w:tab/>
      </w:r>
      <w:r w:rsidR="00CE4A86" w:rsidRPr="00316277">
        <w:t>s</w:t>
      </w:r>
      <w:r w:rsidR="001F1698" w:rsidRPr="00316277">
        <w:t>eize (16) années de scolarité</w:t>
      </w:r>
    </w:p>
    <w:p w14:paraId="37293307" w14:textId="77777777" w:rsidR="00381DCD" w:rsidRPr="00026EC1" w:rsidRDefault="00381DCD" w:rsidP="00381DCD">
      <w:pPr>
        <w:pStyle w:val="Texte1cm"/>
        <w:keepNext w:val="0"/>
      </w:pPr>
      <w:r w:rsidRPr="00026EC1">
        <w:t>ou</w:t>
      </w:r>
    </w:p>
    <w:p w14:paraId="429774BA" w14:textId="77777777" w:rsidR="00381DCD" w:rsidRPr="00026EC1" w:rsidRDefault="00381DCD" w:rsidP="00381DCD">
      <w:pPr>
        <w:keepNext w:val="0"/>
      </w:pPr>
    </w:p>
    <w:p w14:paraId="55EF4EB3" w14:textId="521C7218" w:rsidR="00AA36ED" w:rsidRPr="00026EC1" w:rsidRDefault="00381DCD" w:rsidP="00381DCD">
      <w:pPr>
        <w:keepNext w:val="0"/>
        <w:tabs>
          <w:tab w:val="left" w:pos="567"/>
        </w:tabs>
        <w:ind w:left="567" w:hanging="567"/>
      </w:pPr>
      <w:r w:rsidRPr="00316277">
        <w:t>E)</w:t>
      </w:r>
      <w:r w:rsidRPr="00026EC1">
        <w:tab/>
      </w:r>
      <w:r w:rsidR="00AA36ED" w:rsidRPr="00026EC1">
        <w:t>toute compétence supérieure à celle</w:t>
      </w:r>
      <w:r w:rsidR="00A17B10" w:rsidRPr="00026EC1">
        <w:t>s</w:t>
      </w:r>
      <w:r w:rsidR="00AA36ED" w:rsidRPr="00026EC1">
        <w:t xml:space="preserve"> déjà mentionnée</w:t>
      </w:r>
      <w:r w:rsidR="00A17B10" w:rsidRPr="00026EC1">
        <w:t>s</w:t>
      </w:r>
      <w:r w:rsidR="00AA36ED" w:rsidRPr="00026EC1">
        <w:t xml:space="preserve"> dans la présente annexe</w:t>
      </w:r>
      <w:r w:rsidR="00656A1E" w:rsidRPr="00026EC1">
        <w:t xml:space="preserve"> </w:t>
      </w:r>
      <w:r w:rsidR="00AA36ED" w:rsidRPr="00026EC1">
        <w:t>et acquise soit par une vaste expérience</w:t>
      </w:r>
      <w:r>
        <w:t xml:space="preserve"> </w:t>
      </w:r>
      <w:r w:rsidRPr="00316277">
        <w:t>d’enseignement ou</w:t>
      </w:r>
      <w:r w:rsidR="00AA36ED" w:rsidRPr="00026EC1">
        <w:t xml:space="preserve"> à titre de commandante ou de commandant</w:t>
      </w:r>
      <w:r w:rsidR="00A17B10" w:rsidRPr="00026EC1">
        <w:t>, soit par</w:t>
      </w:r>
      <w:r w:rsidR="00AA36ED" w:rsidRPr="00026EC1">
        <w:t xml:space="preserve"> la possession de qualifications diverses supplémentaires pertinentes à la fonction exercée.</w:t>
      </w:r>
    </w:p>
    <w:p w14:paraId="05652532" w14:textId="77777777" w:rsidR="00611FB3" w:rsidRDefault="00611FB3" w:rsidP="007F120F">
      <w:pPr>
        <w:pStyle w:val="MGSTexte0cm"/>
        <w:keepNext w:val="0"/>
      </w:pPr>
    </w:p>
    <w:p w14:paraId="58AAFB5F" w14:textId="49D18196" w:rsidR="00AA36ED" w:rsidRPr="00026EC1" w:rsidRDefault="00AA36ED" w:rsidP="007F120F">
      <w:pPr>
        <w:pStyle w:val="MGSTexte0cm"/>
        <w:keepNext w:val="0"/>
      </w:pPr>
      <w:r w:rsidRPr="00026EC1">
        <w:t>CLASSE III</w:t>
      </w:r>
    </w:p>
    <w:p w14:paraId="327A5D41" w14:textId="77777777" w:rsidR="00AA36ED" w:rsidRPr="00026EC1" w:rsidRDefault="00AA36ED" w:rsidP="007F120F">
      <w:pPr>
        <w:keepNext w:val="0"/>
      </w:pPr>
    </w:p>
    <w:p w14:paraId="1B58561D" w14:textId="07705FAC" w:rsidR="00AB4D26" w:rsidRDefault="00AA36ED" w:rsidP="00864798">
      <w:pPr>
        <w:pStyle w:val="TableofAuthorities"/>
        <w:keepNext w:val="0"/>
        <w:numPr>
          <w:ilvl w:val="0"/>
          <w:numId w:val="51"/>
        </w:numPr>
        <w:tabs>
          <w:tab w:val="clear" w:pos="3119"/>
          <w:tab w:val="left" w:pos="567"/>
        </w:tabs>
        <w:ind w:left="567" w:hanging="567"/>
      </w:pPr>
      <w:r w:rsidRPr="00026EC1">
        <w:t>L</w:t>
      </w:r>
      <w:r w:rsidR="00BC3319" w:rsidRPr="00026EC1">
        <w:t>’</w:t>
      </w:r>
      <w:r w:rsidRPr="00026EC1">
        <w:t>enseignante ou l</w:t>
      </w:r>
      <w:r w:rsidR="00BC3319" w:rsidRPr="00026EC1">
        <w:t>’</w:t>
      </w:r>
      <w:r w:rsidRPr="00026EC1">
        <w:t>enseignant qui passe à cette catégorie doit posséder un minimum de six (6) points plus quatre (4) années d</w:t>
      </w:r>
      <w:r w:rsidR="00BC3319" w:rsidRPr="00026EC1">
        <w:t>’</w:t>
      </w:r>
      <w:r w:rsidRPr="00026EC1">
        <w:t>expérience à l</w:t>
      </w:r>
      <w:r w:rsidR="00BC3319" w:rsidRPr="00026EC1">
        <w:t>’</w:t>
      </w:r>
      <w:r w:rsidRPr="00026EC1">
        <w:t>option pilotage du Collège</w:t>
      </w:r>
    </w:p>
    <w:p w14:paraId="7D12EE0C" w14:textId="77777777" w:rsidR="00AB4D26" w:rsidRDefault="00AB4D26">
      <w:pPr>
        <w:keepNext w:val="0"/>
        <w:suppressAutoHyphens w:val="0"/>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237"/>
      </w:tblGrid>
      <w:tr w:rsidR="00381DCD" w:rsidRPr="00AD44AC" w14:paraId="33729EEC" w14:textId="77777777" w:rsidTr="00AD44AC">
        <w:tc>
          <w:tcPr>
            <w:tcW w:w="6232" w:type="dxa"/>
          </w:tcPr>
          <w:p w14:paraId="648368AA" w14:textId="03892D8E" w:rsidR="00381DCD" w:rsidRPr="00AD44AC" w:rsidRDefault="00AD44AC" w:rsidP="007F120F">
            <w:pPr>
              <w:keepNext w:val="0"/>
              <w:rPr>
                <w:b/>
                <w:bCs/>
                <w:u w:val="single"/>
              </w:rPr>
            </w:pPr>
            <w:r w:rsidRPr="00AD44AC">
              <w:rPr>
                <w:b/>
                <w:bCs/>
                <w:u w:val="single"/>
              </w:rPr>
              <w:t>DÉFINITIONS</w:t>
            </w:r>
            <w:r w:rsidRPr="00AD44AC">
              <w:rPr>
                <w:b/>
                <w:bCs/>
              </w:rPr>
              <w:t> :</w:t>
            </w:r>
          </w:p>
        </w:tc>
        <w:tc>
          <w:tcPr>
            <w:tcW w:w="3237" w:type="dxa"/>
          </w:tcPr>
          <w:p w14:paraId="20533706" w14:textId="69073948" w:rsidR="00381DCD" w:rsidRPr="00AD44AC" w:rsidRDefault="00AD44AC" w:rsidP="007F120F">
            <w:pPr>
              <w:keepNext w:val="0"/>
              <w:rPr>
                <w:b/>
                <w:bCs/>
                <w:u w:val="single"/>
              </w:rPr>
            </w:pPr>
            <w:r w:rsidRPr="00AD44AC">
              <w:rPr>
                <w:b/>
                <w:bCs/>
                <w:u w:val="single"/>
              </w:rPr>
              <w:t>POINTS</w:t>
            </w:r>
          </w:p>
        </w:tc>
      </w:tr>
      <w:tr w:rsidR="00381DCD" w14:paraId="05DC4EAA" w14:textId="77777777" w:rsidTr="00AD44AC">
        <w:tc>
          <w:tcPr>
            <w:tcW w:w="6232" w:type="dxa"/>
          </w:tcPr>
          <w:p w14:paraId="4F4790FC" w14:textId="2EC002FA" w:rsidR="00381DCD" w:rsidRDefault="00AD44AC" w:rsidP="00864798">
            <w:pPr>
              <w:pStyle w:val="ListParagraph"/>
              <w:numPr>
                <w:ilvl w:val="0"/>
                <w:numId w:val="50"/>
              </w:numPr>
              <w:ind w:left="309" w:hanging="426"/>
            </w:pPr>
            <w:r>
              <w:t>licence de pilote de ligne</w:t>
            </w:r>
          </w:p>
        </w:tc>
        <w:tc>
          <w:tcPr>
            <w:tcW w:w="3237" w:type="dxa"/>
          </w:tcPr>
          <w:p w14:paraId="0791F7CE" w14:textId="7C2E67F4" w:rsidR="00381DCD" w:rsidRDefault="00AD44AC" w:rsidP="007F120F">
            <w:pPr>
              <w:keepNext w:val="0"/>
            </w:pPr>
            <w:r>
              <w:t>2</w:t>
            </w:r>
          </w:p>
        </w:tc>
      </w:tr>
      <w:tr w:rsidR="00381DCD" w:rsidRPr="00B96771" w14:paraId="442EE1E3" w14:textId="77777777" w:rsidTr="00AD44AC">
        <w:tc>
          <w:tcPr>
            <w:tcW w:w="6232" w:type="dxa"/>
          </w:tcPr>
          <w:p w14:paraId="6FC28567" w14:textId="5E2CCDCA" w:rsidR="00381DCD" w:rsidRPr="00B96771" w:rsidRDefault="00AD44AC" w:rsidP="00864798">
            <w:pPr>
              <w:pStyle w:val="ListParagraph"/>
              <w:numPr>
                <w:ilvl w:val="0"/>
                <w:numId w:val="50"/>
              </w:numPr>
              <w:ind w:left="309" w:hanging="426"/>
            </w:pPr>
            <w:r w:rsidRPr="00B96771">
              <w:rPr>
                <w:rFonts w:cs="Arial"/>
                <w:snapToGrid w:val="0"/>
              </w:rPr>
              <w:t>licence de pilote professionnel avion</w:t>
            </w:r>
          </w:p>
        </w:tc>
        <w:tc>
          <w:tcPr>
            <w:tcW w:w="3237" w:type="dxa"/>
          </w:tcPr>
          <w:p w14:paraId="1484C2B9" w14:textId="1B570849" w:rsidR="00381DCD" w:rsidRPr="00B96771" w:rsidRDefault="00AD44AC" w:rsidP="007F120F">
            <w:pPr>
              <w:keepNext w:val="0"/>
            </w:pPr>
            <w:r w:rsidRPr="00B96771">
              <w:t>1</w:t>
            </w:r>
          </w:p>
        </w:tc>
      </w:tr>
      <w:tr w:rsidR="00AD44AC" w:rsidRPr="00B96771" w14:paraId="5279680A" w14:textId="77777777" w:rsidTr="00AD44AC">
        <w:tc>
          <w:tcPr>
            <w:tcW w:w="6232" w:type="dxa"/>
          </w:tcPr>
          <w:p w14:paraId="559CA186" w14:textId="67246F99" w:rsidR="00AD44AC" w:rsidRPr="00B96771" w:rsidRDefault="00AD44AC" w:rsidP="00864798">
            <w:pPr>
              <w:pStyle w:val="ListParagraph"/>
              <w:numPr>
                <w:ilvl w:val="0"/>
                <w:numId w:val="52"/>
              </w:numPr>
              <w:ind w:left="309" w:hanging="426"/>
            </w:pPr>
            <w:r w:rsidRPr="00B96771">
              <w:rPr>
                <w:rFonts w:cs="Arial"/>
                <w:snapToGrid w:val="0"/>
              </w:rPr>
              <w:t>licence de pilote professionnel hélicoptère</w:t>
            </w:r>
          </w:p>
        </w:tc>
        <w:tc>
          <w:tcPr>
            <w:tcW w:w="3237" w:type="dxa"/>
          </w:tcPr>
          <w:p w14:paraId="74ED6645" w14:textId="7E3036C1" w:rsidR="00AD44AC" w:rsidRPr="00B96771" w:rsidRDefault="00AD44AC" w:rsidP="00AD44AC">
            <w:pPr>
              <w:keepNext w:val="0"/>
            </w:pPr>
            <w:r w:rsidRPr="00B96771">
              <w:t>1</w:t>
            </w:r>
          </w:p>
        </w:tc>
      </w:tr>
      <w:tr w:rsidR="00AD44AC" w:rsidRPr="00B96771" w14:paraId="7790B572" w14:textId="77777777" w:rsidTr="00AD44AC">
        <w:tc>
          <w:tcPr>
            <w:tcW w:w="6232" w:type="dxa"/>
          </w:tcPr>
          <w:p w14:paraId="169934F5" w14:textId="53EDB379" w:rsidR="00AD44AC" w:rsidRPr="00B96771" w:rsidRDefault="00AD44AC" w:rsidP="00864798">
            <w:pPr>
              <w:pStyle w:val="ListParagraph"/>
              <w:numPr>
                <w:ilvl w:val="0"/>
                <w:numId w:val="52"/>
              </w:numPr>
              <w:ind w:left="309" w:hanging="426"/>
            </w:pPr>
            <w:r w:rsidRPr="00B96771">
              <w:rPr>
                <w:rFonts w:cs="Arial"/>
                <w:snapToGrid w:val="0"/>
              </w:rPr>
              <w:t>qualification hélicoptère (pilote militaire)</w:t>
            </w:r>
          </w:p>
        </w:tc>
        <w:tc>
          <w:tcPr>
            <w:tcW w:w="3237" w:type="dxa"/>
          </w:tcPr>
          <w:p w14:paraId="0E914F02" w14:textId="1AB19781" w:rsidR="00AD44AC" w:rsidRPr="00B96771" w:rsidRDefault="00AD44AC" w:rsidP="00AD44AC">
            <w:pPr>
              <w:keepNext w:val="0"/>
            </w:pPr>
            <w:r w:rsidRPr="00B96771">
              <w:t>1</w:t>
            </w:r>
          </w:p>
        </w:tc>
      </w:tr>
      <w:tr w:rsidR="00AD44AC" w14:paraId="3ECEC1B3" w14:textId="77777777" w:rsidTr="00AD44AC">
        <w:tc>
          <w:tcPr>
            <w:tcW w:w="6232" w:type="dxa"/>
          </w:tcPr>
          <w:p w14:paraId="058DDFB0" w14:textId="766D330B" w:rsidR="00AD44AC" w:rsidRPr="00B96771" w:rsidRDefault="00AD44AC" w:rsidP="00864798">
            <w:pPr>
              <w:pStyle w:val="ListParagraph"/>
              <w:numPr>
                <w:ilvl w:val="0"/>
                <w:numId w:val="52"/>
              </w:numPr>
              <w:ind w:left="309" w:hanging="426"/>
            </w:pPr>
            <w:r w:rsidRPr="00B96771">
              <w:rPr>
                <w:rFonts w:cs="Arial"/>
                <w:snapToGrid w:val="0"/>
              </w:rPr>
              <w:t>qualification avion (pilote militaire)</w:t>
            </w:r>
          </w:p>
        </w:tc>
        <w:tc>
          <w:tcPr>
            <w:tcW w:w="3237" w:type="dxa"/>
          </w:tcPr>
          <w:p w14:paraId="2ECB0D6C" w14:textId="2A0E006A" w:rsidR="00AD44AC" w:rsidRPr="00316277" w:rsidRDefault="00AD44AC" w:rsidP="00AD44AC">
            <w:pPr>
              <w:keepNext w:val="0"/>
            </w:pPr>
            <w:r w:rsidRPr="00B96771">
              <w:t>1</w:t>
            </w:r>
          </w:p>
        </w:tc>
      </w:tr>
      <w:tr w:rsidR="00AD44AC" w14:paraId="61014CF5" w14:textId="77777777" w:rsidTr="00AD44AC">
        <w:tc>
          <w:tcPr>
            <w:tcW w:w="6232" w:type="dxa"/>
          </w:tcPr>
          <w:p w14:paraId="1CE9C539" w14:textId="0B031128" w:rsidR="00AD44AC" w:rsidRDefault="00AD44AC" w:rsidP="00864798">
            <w:pPr>
              <w:pStyle w:val="ListParagraph"/>
              <w:numPr>
                <w:ilvl w:val="0"/>
                <w:numId w:val="52"/>
              </w:numPr>
              <w:ind w:left="309" w:hanging="426"/>
            </w:pPr>
            <w:r>
              <w:rPr>
                <w:rFonts w:cs="Arial"/>
                <w:snapToGrid w:val="0"/>
              </w:rPr>
              <w:t>qualification d’instructeur, classe I</w:t>
            </w:r>
          </w:p>
        </w:tc>
        <w:tc>
          <w:tcPr>
            <w:tcW w:w="3237" w:type="dxa"/>
          </w:tcPr>
          <w:p w14:paraId="4F3FE356" w14:textId="4C6A2ED7" w:rsidR="00AD44AC" w:rsidRDefault="00AD44AC" w:rsidP="00AD44AC">
            <w:pPr>
              <w:keepNext w:val="0"/>
            </w:pPr>
            <w:r>
              <w:t>3</w:t>
            </w:r>
          </w:p>
        </w:tc>
      </w:tr>
      <w:tr w:rsidR="00AD44AC" w14:paraId="5C2AAB54" w14:textId="77777777" w:rsidTr="00AD44AC">
        <w:tc>
          <w:tcPr>
            <w:tcW w:w="6232" w:type="dxa"/>
          </w:tcPr>
          <w:p w14:paraId="09F2305E" w14:textId="3B4E30BC" w:rsidR="00AD44AC" w:rsidRDefault="00AD44AC" w:rsidP="00864798">
            <w:pPr>
              <w:pStyle w:val="ListParagraph"/>
              <w:numPr>
                <w:ilvl w:val="0"/>
                <w:numId w:val="52"/>
              </w:numPr>
              <w:ind w:left="309" w:hanging="426"/>
            </w:pPr>
            <w:r w:rsidRPr="00316277">
              <w:rPr>
                <w:rFonts w:cs="Arial"/>
                <w:snapToGrid w:val="0"/>
              </w:rPr>
              <w:t>qualification d’instructeur, classe II</w:t>
            </w:r>
          </w:p>
        </w:tc>
        <w:tc>
          <w:tcPr>
            <w:tcW w:w="3237" w:type="dxa"/>
          </w:tcPr>
          <w:p w14:paraId="2B364610" w14:textId="10D16707" w:rsidR="00AD44AC" w:rsidRDefault="00AD44AC" w:rsidP="00AD44AC">
            <w:pPr>
              <w:keepNext w:val="0"/>
            </w:pPr>
            <w:r>
              <w:t>2</w:t>
            </w:r>
          </w:p>
        </w:tc>
      </w:tr>
      <w:tr w:rsidR="00AD44AC" w14:paraId="3D1A5092" w14:textId="77777777" w:rsidTr="00AD44AC">
        <w:tc>
          <w:tcPr>
            <w:tcW w:w="6232" w:type="dxa"/>
          </w:tcPr>
          <w:p w14:paraId="479179F6" w14:textId="69BA9245" w:rsidR="00AD44AC" w:rsidRPr="00AD44AC" w:rsidRDefault="00AD44AC" w:rsidP="00864798">
            <w:pPr>
              <w:pStyle w:val="ListParagraph"/>
              <w:numPr>
                <w:ilvl w:val="0"/>
                <w:numId w:val="52"/>
              </w:numPr>
              <w:ind w:left="309" w:hanging="426"/>
              <w:rPr>
                <w:rFonts w:cs="Arial"/>
                <w:snapToGrid w:val="0"/>
              </w:rPr>
            </w:pPr>
            <w:r>
              <w:rPr>
                <w:rFonts w:cs="Arial"/>
                <w:snapToGrid w:val="0"/>
              </w:rPr>
              <w:t>qualification pour vol aux instruments</w:t>
            </w:r>
          </w:p>
        </w:tc>
        <w:tc>
          <w:tcPr>
            <w:tcW w:w="3237" w:type="dxa"/>
          </w:tcPr>
          <w:p w14:paraId="3300B486" w14:textId="30824658" w:rsidR="00AD44AC" w:rsidRDefault="00AD44AC" w:rsidP="00AD44AC">
            <w:pPr>
              <w:keepNext w:val="0"/>
            </w:pPr>
            <w:r>
              <w:t>2</w:t>
            </w:r>
          </w:p>
        </w:tc>
      </w:tr>
      <w:tr w:rsidR="00AD44AC" w14:paraId="0780C81A" w14:textId="77777777" w:rsidTr="00AD44AC">
        <w:tc>
          <w:tcPr>
            <w:tcW w:w="6232" w:type="dxa"/>
          </w:tcPr>
          <w:p w14:paraId="5402343A" w14:textId="677B5899" w:rsidR="00AD44AC" w:rsidRPr="00AD44AC" w:rsidRDefault="00AD44AC" w:rsidP="00864798">
            <w:pPr>
              <w:pStyle w:val="ListParagraph"/>
              <w:numPr>
                <w:ilvl w:val="0"/>
                <w:numId w:val="52"/>
              </w:numPr>
              <w:ind w:left="309" w:hanging="426"/>
              <w:rPr>
                <w:rFonts w:cs="Arial"/>
                <w:snapToGrid w:val="0"/>
              </w:rPr>
            </w:pPr>
            <w:r>
              <w:rPr>
                <w:rFonts w:cs="Arial"/>
                <w:snapToGrid w:val="0"/>
              </w:rPr>
              <w:t>qualification multimoteurs</w:t>
            </w:r>
          </w:p>
        </w:tc>
        <w:tc>
          <w:tcPr>
            <w:tcW w:w="3237" w:type="dxa"/>
          </w:tcPr>
          <w:p w14:paraId="739A74D3" w14:textId="4C95F91A" w:rsidR="00AD44AC" w:rsidRDefault="00AD44AC" w:rsidP="00AD44AC">
            <w:pPr>
              <w:keepNext w:val="0"/>
            </w:pPr>
            <w:r>
              <w:t>1</w:t>
            </w:r>
          </w:p>
        </w:tc>
      </w:tr>
      <w:tr w:rsidR="00AD44AC" w14:paraId="49E1E441" w14:textId="77777777" w:rsidTr="00AD44AC">
        <w:tc>
          <w:tcPr>
            <w:tcW w:w="6232" w:type="dxa"/>
          </w:tcPr>
          <w:p w14:paraId="248B1077" w14:textId="3FE0939D" w:rsidR="00AD44AC" w:rsidRPr="00AD44AC" w:rsidRDefault="00AD44AC" w:rsidP="00864798">
            <w:pPr>
              <w:pStyle w:val="ListParagraph"/>
              <w:numPr>
                <w:ilvl w:val="0"/>
                <w:numId w:val="52"/>
              </w:numPr>
              <w:ind w:left="309" w:hanging="426"/>
              <w:rPr>
                <w:rFonts w:cs="Arial"/>
                <w:snapToGrid w:val="0"/>
              </w:rPr>
            </w:pPr>
            <w:r>
              <w:rPr>
                <w:rFonts w:cs="Arial"/>
                <w:snapToGrid w:val="0"/>
              </w:rPr>
              <w:t>qualification sur hydravion</w:t>
            </w:r>
          </w:p>
        </w:tc>
        <w:tc>
          <w:tcPr>
            <w:tcW w:w="3237" w:type="dxa"/>
          </w:tcPr>
          <w:p w14:paraId="06035BB5" w14:textId="0E7228DA" w:rsidR="00AD44AC" w:rsidRDefault="00AD44AC" w:rsidP="00AD44AC">
            <w:pPr>
              <w:keepNext w:val="0"/>
            </w:pPr>
            <w:r>
              <w:t>1</w:t>
            </w:r>
          </w:p>
        </w:tc>
      </w:tr>
      <w:tr w:rsidR="00AD44AC" w14:paraId="5E1F0CEC" w14:textId="77777777" w:rsidTr="00AD44AC">
        <w:tc>
          <w:tcPr>
            <w:tcW w:w="6232" w:type="dxa"/>
          </w:tcPr>
          <w:p w14:paraId="10E9E09B" w14:textId="7B5AE942" w:rsidR="00AD44AC" w:rsidRPr="00316277" w:rsidRDefault="00AD44AC" w:rsidP="00864798">
            <w:pPr>
              <w:pStyle w:val="ListParagraph"/>
              <w:numPr>
                <w:ilvl w:val="0"/>
                <w:numId w:val="52"/>
              </w:numPr>
              <w:ind w:left="309" w:hanging="426"/>
              <w:rPr>
                <w:rFonts w:cs="Arial"/>
                <w:snapToGrid w:val="0"/>
              </w:rPr>
            </w:pPr>
            <w:r w:rsidRPr="00316277">
              <w:rPr>
                <w:rFonts w:cs="Arial"/>
                <w:snapToGrid w:val="0"/>
              </w:rPr>
              <w:t>quatorze (14) années de scolarité ou plus</w:t>
            </w:r>
          </w:p>
        </w:tc>
        <w:tc>
          <w:tcPr>
            <w:tcW w:w="3237" w:type="dxa"/>
          </w:tcPr>
          <w:p w14:paraId="775A4BE8" w14:textId="3F14724F" w:rsidR="00AD44AC" w:rsidRDefault="00AD44AC" w:rsidP="00AD44AC">
            <w:pPr>
              <w:keepNext w:val="0"/>
            </w:pPr>
            <w:r>
              <w:t>2</w:t>
            </w:r>
          </w:p>
        </w:tc>
      </w:tr>
      <w:tr w:rsidR="00AD44AC" w14:paraId="5FB4B62E" w14:textId="77777777" w:rsidTr="00AD44AC">
        <w:tc>
          <w:tcPr>
            <w:tcW w:w="6232" w:type="dxa"/>
          </w:tcPr>
          <w:p w14:paraId="63ABA7DC" w14:textId="2AD77CA3" w:rsidR="00AD44AC" w:rsidRDefault="00CE4A86" w:rsidP="00864798">
            <w:pPr>
              <w:pStyle w:val="ListParagraph"/>
              <w:numPr>
                <w:ilvl w:val="0"/>
                <w:numId w:val="52"/>
              </w:numPr>
              <w:ind w:left="309" w:hanging="426"/>
              <w:rPr>
                <w:rFonts w:cs="Arial"/>
                <w:snapToGrid w:val="0"/>
              </w:rPr>
            </w:pPr>
            <w:r w:rsidRPr="00316277">
              <w:rPr>
                <w:rFonts w:cs="Arial"/>
                <w:snapToGrid w:val="0"/>
              </w:rPr>
              <w:t>s</w:t>
            </w:r>
            <w:r w:rsidR="00AD44AC" w:rsidRPr="00316277">
              <w:rPr>
                <w:rFonts w:cs="Arial"/>
                <w:snapToGrid w:val="0"/>
              </w:rPr>
              <w:t>eize (16) années</w:t>
            </w:r>
            <w:r w:rsidR="00AD44AC">
              <w:rPr>
                <w:rFonts w:cs="Arial"/>
                <w:snapToGrid w:val="0"/>
              </w:rPr>
              <w:t xml:space="preserve"> de scolarité ou plus</w:t>
            </w:r>
          </w:p>
        </w:tc>
        <w:tc>
          <w:tcPr>
            <w:tcW w:w="3237" w:type="dxa"/>
          </w:tcPr>
          <w:p w14:paraId="4B538F7E" w14:textId="2882DAE6" w:rsidR="00AD44AC" w:rsidRDefault="00AD44AC" w:rsidP="00AD44AC">
            <w:pPr>
              <w:keepNext w:val="0"/>
            </w:pPr>
            <w:r>
              <w:t>3</w:t>
            </w:r>
          </w:p>
        </w:tc>
      </w:tr>
    </w:tbl>
    <w:p w14:paraId="0D5CB50E" w14:textId="77777777" w:rsidR="00381DCD" w:rsidRPr="00026EC1" w:rsidRDefault="00381DCD" w:rsidP="007F120F">
      <w:pPr>
        <w:keepNext w:val="0"/>
      </w:pPr>
    </w:p>
    <w:p w14:paraId="5604D70A" w14:textId="77777777" w:rsidR="00AA36ED" w:rsidRPr="00026EC1" w:rsidRDefault="00AA36ED" w:rsidP="007F120F">
      <w:pPr>
        <w:pStyle w:val="Texte1cm"/>
        <w:keepNext w:val="0"/>
      </w:pPr>
      <w:r w:rsidRPr="00026EC1">
        <w:t>ou</w:t>
      </w:r>
    </w:p>
    <w:p w14:paraId="12BA81E3" w14:textId="77777777" w:rsidR="00AA36ED" w:rsidRPr="00026EC1" w:rsidRDefault="00AA36ED" w:rsidP="007F120F">
      <w:pPr>
        <w:keepNext w:val="0"/>
      </w:pPr>
    </w:p>
    <w:p w14:paraId="1815A07B" w14:textId="763B0AD5" w:rsidR="00AA36ED" w:rsidRPr="00026EC1" w:rsidRDefault="00275751" w:rsidP="007F120F">
      <w:pPr>
        <w:keepNext w:val="0"/>
        <w:tabs>
          <w:tab w:val="left" w:pos="567"/>
        </w:tabs>
        <w:ind w:left="567" w:hanging="567"/>
      </w:pPr>
      <w:r w:rsidRPr="00026EC1">
        <w:t>B)</w:t>
      </w:r>
      <w:r w:rsidRPr="00026EC1">
        <w:tab/>
      </w:r>
      <w:r w:rsidR="00AA36ED" w:rsidRPr="00026EC1">
        <w:t>dix</w:t>
      </w:r>
      <w:r w:rsidR="00984A6F">
        <w:noBreakHyphen/>
      </w:r>
      <w:r w:rsidR="00AA36ED" w:rsidRPr="00026EC1">
        <w:t>sept (17) années de scolarité plus cinq (5) années d</w:t>
      </w:r>
      <w:r w:rsidR="00BC3319" w:rsidRPr="00026EC1">
        <w:t>’</w:t>
      </w:r>
      <w:r w:rsidR="00AA36ED" w:rsidRPr="00026EC1">
        <w:t>expérience pertinente dans l</w:t>
      </w:r>
      <w:r w:rsidR="00BC3319" w:rsidRPr="00026EC1">
        <w:t>’</w:t>
      </w:r>
      <w:r w:rsidR="00AA36ED" w:rsidRPr="00026EC1">
        <w:t>aviation</w:t>
      </w:r>
    </w:p>
    <w:p w14:paraId="10BA5F4F" w14:textId="77777777" w:rsidR="00AA36ED" w:rsidRPr="00026EC1" w:rsidRDefault="00AA36ED" w:rsidP="007F120F">
      <w:pPr>
        <w:keepNext w:val="0"/>
      </w:pPr>
    </w:p>
    <w:p w14:paraId="58E71E42" w14:textId="77777777" w:rsidR="00AA36ED" w:rsidRPr="00026EC1" w:rsidRDefault="00AA36ED" w:rsidP="007F120F">
      <w:pPr>
        <w:pStyle w:val="Texte1cm"/>
        <w:keepNext w:val="0"/>
      </w:pPr>
      <w:r w:rsidRPr="00026EC1">
        <w:t>ou</w:t>
      </w:r>
    </w:p>
    <w:p w14:paraId="3580AB89" w14:textId="77777777" w:rsidR="00AA36ED" w:rsidRPr="00026EC1" w:rsidRDefault="00AA36ED" w:rsidP="007F120F">
      <w:pPr>
        <w:pStyle w:val="Texte1cm"/>
        <w:keepNext w:val="0"/>
      </w:pPr>
    </w:p>
    <w:p w14:paraId="24416D47" w14:textId="77777777" w:rsidR="00AA36ED" w:rsidRPr="00026EC1" w:rsidRDefault="00275751" w:rsidP="007F120F">
      <w:pPr>
        <w:keepNext w:val="0"/>
        <w:tabs>
          <w:tab w:val="left" w:pos="567"/>
        </w:tabs>
        <w:ind w:left="567" w:hanging="567"/>
      </w:pPr>
      <w:r w:rsidRPr="00026EC1">
        <w:t>C)</w:t>
      </w:r>
      <w:r w:rsidRPr="00026EC1">
        <w:tab/>
      </w:r>
      <w:r w:rsidR="00AA36ED" w:rsidRPr="00026EC1">
        <w:t>quinze (15) années d</w:t>
      </w:r>
      <w:r w:rsidR="00BC3319" w:rsidRPr="00026EC1">
        <w:t>’</w:t>
      </w:r>
      <w:r w:rsidR="00AA36ED" w:rsidRPr="00026EC1">
        <w:t>expérience pertinente dans l</w:t>
      </w:r>
      <w:r w:rsidR="00BC3319" w:rsidRPr="00026EC1">
        <w:t>’</w:t>
      </w:r>
      <w:r w:rsidR="00AA36ED" w:rsidRPr="00026EC1">
        <w:t>aviation</w:t>
      </w:r>
    </w:p>
    <w:p w14:paraId="7D0A13B5" w14:textId="77777777" w:rsidR="00AA36ED" w:rsidRPr="00026EC1" w:rsidRDefault="00AA36ED" w:rsidP="007F120F">
      <w:pPr>
        <w:keepNext w:val="0"/>
      </w:pPr>
    </w:p>
    <w:p w14:paraId="06A2FB92" w14:textId="77777777" w:rsidR="00AA36ED" w:rsidRPr="00026EC1" w:rsidRDefault="00AA36ED" w:rsidP="007F120F">
      <w:pPr>
        <w:pStyle w:val="Texte1cm"/>
        <w:keepNext w:val="0"/>
      </w:pPr>
      <w:r w:rsidRPr="00026EC1">
        <w:t>ou</w:t>
      </w:r>
    </w:p>
    <w:p w14:paraId="3599CA69" w14:textId="77777777" w:rsidR="00AA36ED" w:rsidRPr="00026EC1" w:rsidRDefault="00AA36ED" w:rsidP="007F120F">
      <w:pPr>
        <w:keepNext w:val="0"/>
      </w:pPr>
    </w:p>
    <w:p w14:paraId="67F6E4BA" w14:textId="358A5EB9" w:rsidR="00AA36ED" w:rsidRPr="00026EC1" w:rsidRDefault="00275751" w:rsidP="007F120F">
      <w:pPr>
        <w:keepNext w:val="0"/>
        <w:tabs>
          <w:tab w:val="left" w:pos="567"/>
        </w:tabs>
        <w:ind w:left="567" w:hanging="567"/>
      </w:pPr>
      <w:r w:rsidRPr="00026EC1">
        <w:t>D)</w:t>
      </w:r>
      <w:r w:rsidRPr="00026EC1">
        <w:tab/>
      </w:r>
      <w:r w:rsidR="00AA36ED" w:rsidRPr="00026EC1">
        <w:t>toute compétence supérieure à celle</w:t>
      </w:r>
      <w:r w:rsidR="00A17B10" w:rsidRPr="00026EC1">
        <w:t>s</w:t>
      </w:r>
      <w:r w:rsidR="00AA36ED" w:rsidRPr="00026EC1">
        <w:t xml:space="preserve"> déjà mentionnée</w:t>
      </w:r>
      <w:r w:rsidR="00A17B10" w:rsidRPr="00026EC1">
        <w:t>s</w:t>
      </w:r>
      <w:r w:rsidR="00AA36ED" w:rsidRPr="00026EC1">
        <w:t xml:space="preserve"> à la présente annexe</w:t>
      </w:r>
      <w:r w:rsidR="00656A1E" w:rsidRPr="00026EC1">
        <w:t xml:space="preserve"> </w:t>
      </w:r>
      <w:r w:rsidR="00AA36ED" w:rsidRPr="00026EC1">
        <w:t>et acquise soit par une vaste expérience</w:t>
      </w:r>
      <w:r w:rsidR="005D13E6">
        <w:t xml:space="preserve"> </w:t>
      </w:r>
      <w:r w:rsidR="005D13E6" w:rsidRPr="00316277">
        <w:t>d’enseignement ou par une vaste expérience</w:t>
      </w:r>
      <w:r w:rsidR="00AA36ED" w:rsidRPr="00026EC1">
        <w:t xml:space="preserve"> à titre de commandante ou de commandant</w:t>
      </w:r>
      <w:r w:rsidR="00A17B10" w:rsidRPr="00026EC1">
        <w:t>, soit par</w:t>
      </w:r>
      <w:r w:rsidR="00AA36ED" w:rsidRPr="00026EC1">
        <w:t xml:space="preserve"> la possession de qualifications diverses supplémentaires pertinentes à la fonction exercée.</w:t>
      </w:r>
    </w:p>
    <w:p w14:paraId="32DCD353" w14:textId="77777777" w:rsidR="00AA36ED" w:rsidRPr="00026EC1" w:rsidRDefault="00AA36ED" w:rsidP="007F120F">
      <w:pPr>
        <w:keepNext w:val="0"/>
      </w:pPr>
    </w:p>
    <w:p w14:paraId="5CA3D484" w14:textId="6FE491AD" w:rsidR="00AA36ED" w:rsidRPr="00026EC1" w:rsidRDefault="00AA36ED" w:rsidP="007F120F">
      <w:pPr>
        <w:keepNext w:val="0"/>
        <w:tabs>
          <w:tab w:val="left" w:pos="1620"/>
        </w:tabs>
        <w:ind w:left="1620" w:hanging="1620"/>
      </w:pPr>
      <w:r w:rsidRPr="00026EC1">
        <w:rPr>
          <w:u w:val="single"/>
        </w:rPr>
        <w:t>Remarque</w:t>
      </w:r>
      <w:r w:rsidR="00D8581B">
        <w:t> :</w:t>
      </w:r>
      <w:r w:rsidRPr="00026EC1">
        <w:tab/>
        <w:t>Sauf pour certains cas exceptionnels, on exige de l</w:t>
      </w:r>
      <w:r w:rsidR="00BC3319" w:rsidRPr="00026EC1">
        <w:t>’</w:t>
      </w:r>
      <w:r w:rsidRPr="00026EC1">
        <w:t>enseignante ou de l</w:t>
      </w:r>
      <w:r w:rsidR="00BC3319" w:rsidRPr="00026EC1">
        <w:t>’</w:t>
      </w:r>
      <w:r w:rsidRPr="00026EC1">
        <w:t>enseignant au sol et au simulateur qu</w:t>
      </w:r>
      <w:r w:rsidR="00BC3319" w:rsidRPr="00026EC1">
        <w:t>’</w:t>
      </w:r>
      <w:r w:rsidRPr="00026EC1">
        <w:t>elle ou il détienne ou ait détenu les qualifications mentionnées à la présente annexe.</w:t>
      </w:r>
    </w:p>
    <w:p w14:paraId="141CC318" w14:textId="77777777" w:rsidR="00AA36ED" w:rsidRPr="00026EC1" w:rsidRDefault="00AA36ED" w:rsidP="007F120F">
      <w:pPr>
        <w:keepNext w:val="0"/>
      </w:pPr>
    </w:p>
    <w:p w14:paraId="2E751BDA" w14:textId="77777777" w:rsidR="00AA36ED" w:rsidRPr="00026EC1" w:rsidRDefault="00AA36ED" w:rsidP="007F120F">
      <w:pPr>
        <w:keepNext w:val="0"/>
        <w:jc w:val="center"/>
        <w:rPr>
          <w:b/>
          <w:bCs/>
          <w:u w:val="single"/>
        </w:rPr>
      </w:pPr>
      <w:r w:rsidRPr="00026EC1">
        <w:br w:type="page"/>
      </w:r>
      <w:r w:rsidRPr="00026EC1">
        <w:rPr>
          <w:b/>
          <w:bCs/>
          <w:u w:val="single"/>
        </w:rPr>
        <w:t>TABLEAU C</w:t>
      </w:r>
    </w:p>
    <w:p w14:paraId="5DBA5382" w14:textId="77777777" w:rsidR="00AA36ED" w:rsidRPr="00026EC1" w:rsidRDefault="00AA36ED" w:rsidP="007F120F">
      <w:pPr>
        <w:keepNext w:val="0"/>
        <w:jc w:val="center"/>
        <w:rPr>
          <w:b/>
          <w:bCs/>
          <w:u w:val="single"/>
        </w:rPr>
      </w:pPr>
    </w:p>
    <w:p w14:paraId="50228FD9" w14:textId="77777777" w:rsidR="00AA36ED" w:rsidRPr="00026EC1" w:rsidRDefault="00AA36ED" w:rsidP="007F120F">
      <w:pPr>
        <w:keepNext w:val="0"/>
        <w:jc w:val="center"/>
        <w:rPr>
          <w:b/>
          <w:bCs/>
          <w:u w:val="single"/>
        </w:rPr>
      </w:pPr>
      <w:r w:rsidRPr="00026EC1">
        <w:rPr>
          <w:b/>
          <w:bCs/>
          <w:u w:val="single"/>
        </w:rPr>
        <w:t>DÉFINITION DES CLASSES APPLICABLES</w:t>
      </w:r>
    </w:p>
    <w:p w14:paraId="58F547B4" w14:textId="77777777" w:rsidR="00AA36ED" w:rsidRPr="00026EC1" w:rsidRDefault="00AA36ED" w:rsidP="007F120F">
      <w:pPr>
        <w:keepNext w:val="0"/>
        <w:jc w:val="center"/>
        <w:rPr>
          <w:b/>
          <w:bCs/>
          <w:u w:val="single"/>
        </w:rPr>
      </w:pPr>
      <w:r w:rsidRPr="00026EC1">
        <w:rPr>
          <w:b/>
          <w:bCs/>
          <w:u w:val="single"/>
        </w:rPr>
        <w:t>AUX ENSEIGNANTES ET ENSEIGNANTS AU VOL SUR HÉLICOPTÈRE</w:t>
      </w:r>
    </w:p>
    <w:p w14:paraId="64E488FD" w14:textId="77777777" w:rsidR="00AA36ED" w:rsidRPr="00026EC1" w:rsidRDefault="00AA36ED" w:rsidP="007F120F">
      <w:pPr>
        <w:keepNext w:val="0"/>
      </w:pPr>
    </w:p>
    <w:p w14:paraId="2E684C0B" w14:textId="77777777" w:rsidR="00AA36ED" w:rsidRPr="00026EC1" w:rsidRDefault="00AA36ED" w:rsidP="007F120F">
      <w:pPr>
        <w:pStyle w:val="MGSTexte0cm"/>
        <w:keepNext w:val="0"/>
      </w:pPr>
      <w:r w:rsidRPr="00026EC1">
        <w:t>CLASSE II</w:t>
      </w:r>
    </w:p>
    <w:p w14:paraId="723A1EAE" w14:textId="77777777" w:rsidR="00AA36ED" w:rsidRPr="00026EC1" w:rsidRDefault="00AA36ED" w:rsidP="007F120F">
      <w:pPr>
        <w:keepNext w:val="0"/>
      </w:pPr>
    </w:p>
    <w:p w14:paraId="7FD6C93C" w14:textId="3652408F" w:rsidR="007644EC" w:rsidRDefault="00962C48" w:rsidP="007F120F">
      <w:pPr>
        <w:keepNext w:val="0"/>
      </w:pPr>
      <w:r>
        <w:t>M</w:t>
      </w:r>
      <w:r w:rsidR="00AA36ED" w:rsidRPr="00026EC1">
        <w:t>inimum requis</w:t>
      </w:r>
      <w:r w:rsidR="00D8581B">
        <w:t> :</w:t>
      </w:r>
    </w:p>
    <w:p w14:paraId="3AB7ED80" w14:textId="5919E08F" w:rsidR="00AA36ED" w:rsidRDefault="007644EC" w:rsidP="00864798">
      <w:pPr>
        <w:pStyle w:val="ListParagraph"/>
        <w:numPr>
          <w:ilvl w:val="0"/>
          <w:numId w:val="52"/>
        </w:numPr>
      </w:pPr>
      <w:r w:rsidRPr="00316277">
        <w:t>D</w:t>
      </w:r>
      <w:r w:rsidR="00CE5B4C" w:rsidRPr="00026EC1">
        <w:t>étenir une</w:t>
      </w:r>
      <w:r w:rsidR="00AA36ED" w:rsidRPr="00026EC1">
        <w:t xml:space="preserve"> licence de pilote professionnel avec qualification d</w:t>
      </w:r>
      <w:r w:rsidR="00BC3319" w:rsidRPr="00026EC1">
        <w:t>’</w:t>
      </w:r>
      <w:r w:rsidR="00AA36ED" w:rsidRPr="00026EC1">
        <w:t>instructeur sur hélicoptère</w:t>
      </w:r>
      <w:r>
        <w:t xml:space="preserve"> </w:t>
      </w:r>
      <w:r w:rsidRPr="00316277">
        <w:t>et qualification aux instruments groupe 4</w:t>
      </w:r>
      <w:r w:rsidR="00CE5B4C" w:rsidRPr="00026EC1">
        <w:t>,</w:t>
      </w:r>
      <w:r w:rsidR="00AA36ED" w:rsidRPr="00026EC1">
        <w:t xml:space="preserve"> en plus de l</w:t>
      </w:r>
      <w:r w:rsidR="00BC3319" w:rsidRPr="00026EC1">
        <w:t>’</w:t>
      </w:r>
      <w:r w:rsidR="00AA36ED" w:rsidRPr="00026EC1">
        <w:t>expérience pertinente.</w:t>
      </w:r>
    </w:p>
    <w:p w14:paraId="58277B5F" w14:textId="33AFFCBF" w:rsidR="007644EC" w:rsidRPr="00316277" w:rsidRDefault="007644EC" w:rsidP="00864798">
      <w:pPr>
        <w:pStyle w:val="ListParagraph"/>
        <w:numPr>
          <w:ilvl w:val="0"/>
          <w:numId w:val="52"/>
        </w:numPr>
      </w:pPr>
      <w:r w:rsidRPr="00316277">
        <w:t>Facilité d’expression orale et écrite en français</w:t>
      </w:r>
      <w:r w:rsidR="006A7F7B" w:rsidRPr="00316277">
        <w:t xml:space="preserve"> et en anglais.</w:t>
      </w:r>
    </w:p>
    <w:p w14:paraId="6DC4DE7C" w14:textId="77777777" w:rsidR="00AA36ED" w:rsidRPr="00026EC1" w:rsidRDefault="00AA36ED" w:rsidP="007F120F">
      <w:pPr>
        <w:keepNext w:val="0"/>
      </w:pPr>
    </w:p>
    <w:p w14:paraId="34981A6E" w14:textId="77777777" w:rsidR="00AA36ED" w:rsidRPr="00026EC1" w:rsidRDefault="00AA36ED" w:rsidP="007F120F">
      <w:pPr>
        <w:pStyle w:val="MGSTexte0cm"/>
        <w:keepNext w:val="0"/>
      </w:pPr>
      <w:r w:rsidRPr="00026EC1">
        <w:t>CLASSE III</w:t>
      </w:r>
    </w:p>
    <w:p w14:paraId="4A3AD0A4" w14:textId="77777777" w:rsidR="00AA36ED" w:rsidRPr="00026EC1" w:rsidRDefault="00AA36ED" w:rsidP="006A7F7B">
      <w:pPr>
        <w:keepNext w:val="0"/>
      </w:pPr>
    </w:p>
    <w:p w14:paraId="0F14B5BC" w14:textId="5B608498" w:rsidR="006A7F7B" w:rsidRDefault="00AA36ED" w:rsidP="006A7F7B">
      <w:pPr>
        <w:keepNext w:val="0"/>
      </w:pPr>
      <w:r w:rsidRPr="00026EC1">
        <w:t>Le minimum requis plus</w:t>
      </w:r>
      <w:r w:rsidR="006A7F7B">
        <w:t xml:space="preserve"> </w:t>
      </w:r>
      <w:r w:rsidR="006A7F7B" w:rsidRPr="00316277">
        <w:t>un des éléments suivants :</w:t>
      </w:r>
    </w:p>
    <w:p w14:paraId="20CBAF5C" w14:textId="77777777" w:rsidR="006A7F7B" w:rsidRDefault="006A7F7B" w:rsidP="006A7F7B">
      <w:pPr>
        <w:keepNext w:val="0"/>
      </w:pPr>
    </w:p>
    <w:p w14:paraId="4D6305E2" w14:textId="23FB9961" w:rsidR="00AA36ED" w:rsidRPr="00026EC1" w:rsidRDefault="00AA36ED" w:rsidP="00864798">
      <w:pPr>
        <w:pStyle w:val="ListParagraph"/>
        <w:numPr>
          <w:ilvl w:val="0"/>
          <w:numId w:val="53"/>
        </w:numPr>
        <w:suppressAutoHyphens/>
      </w:pPr>
      <w:r w:rsidRPr="00026EC1">
        <w:t>mille cinq cents</w:t>
      </w:r>
      <w:r w:rsidR="008468C2">
        <w:t> </w:t>
      </w:r>
      <w:r w:rsidRPr="00026EC1">
        <w:t>(1 500) heures de vol sur hélicoptère</w:t>
      </w:r>
      <w:r w:rsidR="00A17B10" w:rsidRPr="00026EC1">
        <w:t>,</w:t>
      </w:r>
      <w:r w:rsidRPr="00026EC1">
        <w:t xml:space="preserve"> dont cent cinquante (150) heures d</w:t>
      </w:r>
      <w:r w:rsidR="00BC3319" w:rsidRPr="00026EC1">
        <w:t>’</w:t>
      </w:r>
      <w:r w:rsidRPr="00026EC1">
        <w:t>instruction.</w:t>
      </w:r>
    </w:p>
    <w:p w14:paraId="71418550" w14:textId="2E503406" w:rsidR="006A7F7B" w:rsidRPr="00316277" w:rsidRDefault="00507DAF" w:rsidP="006A7F7B">
      <w:pPr>
        <w:pStyle w:val="ListParagraph"/>
        <w:tabs>
          <w:tab w:val="left" w:pos="0"/>
        </w:tabs>
        <w:suppressAutoHyphens/>
        <w:spacing w:before="120" w:after="120"/>
        <w:ind w:left="426"/>
        <w:rPr>
          <w:rFonts w:eastAsia="Times New Roman" w:cs="Arial"/>
          <w:snapToGrid w:val="0"/>
          <w:lang w:eastAsia="fr-FR"/>
        </w:rPr>
      </w:pPr>
      <w:r w:rsidRPr="00316277">
        <w:rPr>
          <w:rFonts w:eastAsia="Times New Roman" w:cs="Arial"/>
          <w:snapToGrid w:val="0"/>
          <w:lang w:eastAsia="fr-FR"/>
        </w:rPr>
        <w:t>o</w:t>
      </w:r>
      <w:r w:rsidR="006A7F7B" w:rsidRPr="00316277">
        <w:rPr>
          <w:rFonts w:eastAsia="Times New Roman" w:cs="Arial"/>
          <w:snapToGrid w:val="0"/>
          <w:lang w:eastAsia="fr-FR"/>
        </w:rPr>
        <w:t>u</w:t>
      </w:r>
    </w:p>
    <w:p w14:paraId="1674D847" w14:textId="77777777" w:rsidR="006A7F7B" w:rsidRPr="00316277" w:rsidRDefault="006A7F7B" w:rsidP="006A7F7B">
      <w:pPr>
        <w:pStyle w:val="ListParagraph"/>
        <w:tabs>
          <w:tab w:val="left" w:pos="0"/>
        </w:tabs>
        <w:suppressAutoHyphens/>
        <w:spacing w:before="120" w:after="120"/>
        <w:ind w:left="426"/>
        <w:rPr>
          <w:rFonts w:eastAsia="Times New Roman" w:cs="Arial"/>
          <w:snapToGrid w:val="0"/>
          <w:lang w:eastAsia="fr-FR"/>
        </w:rPr>
      </w:pPr>
    </w:p>
    <w:p w14:paraId="79A43FBA" w14:textId="3E63E648" w:rsidR="006A7F7B" w:rsidRPr="00316277" w:rsidRDefault="006A7F7B" w:rsidP="00864798">
      <w:pPr>
        <w:pStyle w:val="ListParagraph"/>
        <w:numPr>
          <w:ilvl w:val="0"/>
          <w:numId w:val="53"/>
        </w:numPr>
        <w:tabs>
          <w:tab w:val="left" w:pos="0"/>
          <w:tab w:val="left" w:pos="426"/>
        </w:tabs>
        <w:suppressAutoHyphens/>
        <w:spacing w:before="120" w:after="120"/>
        <w:rPr>
          <w:rFonts w:cs="Arial"/>
          <w:snapToGrid w:val="0"/>
        </w:rPr>
      </w:pPr>
      <w:r w:rsidRPr="00316277">
        <w:rPr>
          <w:rFonts w:cs="Arial"/>
          <w:snapToGrid w:val="0"/>
        </w:rPr>
        <w:t>quatorze</w:t>
      </w:r>
      <w:r w:rsidR="00507DAF" w:rsidRPr="00316277">
        <w:rPr>
          <w:rFonts w:cs="Arial"/>
          <w:snapToGrid w:val="0"/>
        </w:rPr>
        <w:t> </w:t>
      </w:r>
      <w:r w:rsidRPr="00316277">
        <w:rPr>
          <w:rFonts w:cs="Arial"/>
          <w:snapToGrid w:val="0"/>
        </w:rPr>
        <w:t>(14) années de scolarité plus cinq (5) années d’expérience pertinente dans l’aviation.</w:t>
      </w:r>
    </w:p>
    <w:p w14:paraId="2D2DB18A" w14:textId="54A1F6C3" w:rsidR="006A7F7B" w:rsidRDefault="00507DAF" w:rsidP="006A7F7B">
      <w:pPr>
        <w:pStyle w:val="ListParagraph"/>
        <w:tabs>
          <w:tab w:val="left" w:pos="0"/>
          <w:tab w:val="left" w:pos="426"/>
        </w:tabs>
        <w:suppressAutoHyphens/>
        <w:spacing w:before="120" w:after="120"/>
        <w:ind w:left="426"/>
        <w:rPr>
          <w:rFonts w:eastAsia="Times New Roman" w:cs="Arial"/>
          <w:snapToGrid w:val="0"/>
          <w:lang w:eastAsia="fr-FR"/>
        </w:rPr>
      </w:pPr>
      <w:r w:rsidRPr="00316277">
        <w:rPr>
          <w:rFonts w:eastAsia="Times New Roman" w:cs="Arial"/>
          <w:snapToGrid w:val="0"/>
          <w:lang w:eastAsia="fr-FR"/>
        </w:rPr>
        <w:t>o</w:t>
      </w:r>
      <w:r w:rsidR="006A7F7B" w:rsidRPr="00316277">
        <w:rPr>
          <w:rFonts w:eastAsia="Times New Roman" w:cs="Arial"/>
          <w:snapToGrid w:val="0"/>
          <w:lang w:eastAsia="fr-FR"/>
        </w:rPr>
        <w:t>u</w:t>
      </w:r>
    </w:p>
    <w:p w14:paraId="6F0F3CFF" w14:textId="77777777" w:rsidR="006A7F7B" w:rsidRPr="00C76E07" w:rsidRDefault="006A7F7B" w:rsidP="006A7F7B">
      <w:pPr>
        <w:pStyle w:val="ListParagraph"/>
        <w:tabs>
          <w:tab w:val="left" w:pos="0"/>
          <w:tab w:val="left" w:pos="426"/>
        </w:tabs>
        <w:suppressAutoHyphens/>
        <w:spacing w:before="120" w:after="120"/>
        <w:ind w:left="426"/>
        <w:rPr>
          <w:rFonts w:eastAsia="Times New Roman" w:cs="Arial"/>
          <w:snapToGrid w:val="0"/>
          <w:lang w:eastAsia="fr-FR"/>
        </w:rPr>
      </w:pPr>
    </w:p>
    <w:p w14:paraId="4D00D56C" w14:textId="77777777" w:rsidR="006A7F7B" w:rsidRPr="00C76E07" w:rsidRDefault="006A7F7B" w:rsidP="00B96771">
      <w:pPr>
        <w:keepNext w:val="0"/>
        <w:tabs>
          <w:tab w:val="left" w:pos="993"/>
        </w:tabs>
        <w:spacing w:before="120" w:after="120"/>
        <w:ind w:left="567" w:hanging="141"/>
        <w:rPr>
          <w:rFonts w:cs="Arial"/>
        </w:rPr>
      </w:pPr>
      <w:r w:rsidRPr="00316277">
        <w:rPr>
          <w:rFonts w:cs="Arial"/>
        </w:rPr>
        <w:t>C)</w:t>
      </w:r>
      <w:r w:rsidRPr="00316277">
        <w:rPr>
          <w:rFonts w:cs="Arial"/>
        </w:rPr>
        <w:tab/>
        <w:t>dix (10) années d’expérience pertinente dans l’aviation.</w:t>
      </w:r>
    </w:p>
    <w:p w14:paraId="3408655B" w14:textId="4767FA72" w:rsidR="006A7F7B" w:rsidRPr="00316277" w:rsidRDefault="00507DAF" w:rsidP="00B96771">
      <w:pPr>
        <w:keepNext w:val="0"/>
        <w:tabs>
          <w:tab w:val="left" w:pos="993"/>
        </w:tabs>
        <w:spacing w:before="120" w:after="120"/>
        <w:ind w:left="567" w:hanging="141"/>
        <w:rPr>
          <w:rFonts w:cs="Arial"/>
        </w:rPr>
      </w:pPr>
      <w:r w:rsidRPr="00316277">
        <w:rPr>
          <w:rFonts w:cs="Arial"/>
        </w:rPr>
        <w:t>o</w:t>
      </w:r>
      <w:r w:rsidR="006A7F7B" w:rsidRPr="00316277">
        <w:rPr>
          <w:rFonts w:cs="Arial"/>
        </w:rPr>
        <w:t>u</w:t>
      </w:r>
    </w:p>
    <w:p w14:paraId="0E908B84" w14:textId="77777777" w:rsidR="006A7F7B" w:rsidRPr="00316277" w:rsidRDefault="006A7F7B" w:rsidP="00B96771">
      <w:pPr>
        <w:keepNext w:val="0"/>
        <w:tabs>
          <w:tab w:val="left" w:pos="993"/>
        </w:tabs>
        <w:spacing w:before="120" w:after="120"/>
        <w:ind w:left="567" w:hanging="141"/>
        <w:rPr>
          <w:rFonts w:cs="Arial"/>
        </w:rPr>
      </w:pPr>
    </w:p>
    <w:p w14:paraId="6AE594ED" w14:textId="68507FF9" w:rsidR="00AA36ED" w:rsidRPr="006A7F7B" w:rsidRDefault="006A7F7B" w:rsidP="00B96771">
      <w:pPr>
        <w:keepNext w:val="0"/>
        <w:tabs>
          <w:tab w:val="left" w:pos="993"/>
        </w:tabs>
        <w:spacing w:before="120" w:after="120"/>
        <w:ind w:left="993" w:hanging="567"/>
        <w:rPr>
          <w:rFonts w:cstheme="minorHAnsi"/>
          <w:caps/>
        </w:rPr>
      </w:pPr>
      <w:r w:rsidRPr="00316277">
        <w:rPr>
          <w:rFonts w:cs="Arial"/>
        </w:rPr>
        <w:t>D)</w:t>
      </w:r>
      <w:r w:rsidRPr="00316277">
        <w:rPr>
          <w:rFonts w:cs="Arial"/>
        </w:rPr>
        <w:tab/>
        <w:t>toute compétence supérieure à celles déjà mentionnées dans la présente annexe et acquise soit par une vaste expérience d’enseignement ou par une vaste expérience à titre de commandante ou de commandant, soit par la possession de qualifications diverses supplémentaires pertinentes à la fonction exercée.</w:t>
      </w:r>
    </w:p>
    <w:p w14:paraId="048F4289" w14:textId="77777777" w:rsidR="00AA36ED" w:rsidRPr="00026EC1" w:rsidRDefault="00AA36ED" w:rsidP="007F120F">
      <w:pPr>
        <w:keepNext w:val="0"/>
      </w:pPr>
    </w:p>
    <w:p w14:paraId="06F82DC2" w14:textId="77777777" w:rsidR="00AA36ED" w:rsidRPr="00026EC1" w:rsidRDefault="00AA36ED" w:rsidP="007F120F">
      <w:pPr>
        <w:pStyle w:val="MGSTexte0cm"/>
        <w:keepNext w:val="0"/>
      </w:pPr>
      <w:r w:rsidRPr="00026EC1">
        <w:t>CLASSE IV</w:t>
      </w:r>
    </w:p>
    <w:p w14:paraId="7A00107D" w14:textId="77777777" w:rsidR="00AA36ED" w:rsidRPr="00026EC1" w:rsidRDefault="00AA36ED" w:rsidP="007F120F">
      <w:pPr>
        <w:keepNext w:val="0"/>
      </w:pPr>
    </w:p>
    <w:p w14:paraId="6C52A794" w14:textId="0FE1D986" w:rsidR="006A7F7B" w:rsidRDefault="00AA36ED" w:rsidP="007F120F">
      <w:pPr>
        <w:keepNext w:val="0"/>
      </w:pPr>
      <w:r w:rsidRPr="00026EC1">
        <w:t xml:space="preserve">Le minimum requis plus </w:t>
      </w:r>
      <w:r w:rsidR="006A7F7B" w:rsidRPr="00316277">
        <w:t>un des éléments suivants :</w:t>
      </w:r>
    </w:p>
    <w:p w14:paraId="6662A58C" w14:textId="77777777" w:rsidR="00F25CC8" w:rsidRDefault="00F25CC8" w:rsidP="007F120F">
      <w:pPr>
        <w:keepNext w:val="0"/>
      </w:pPr>
    </w:p>
    <w:p w14:paraId="6F858145" w14:textId="00A56A71" w:rsidR="00AA36ED" w:rsidRDefault="00AA36ED" w:rsidP="00864798">
      <w:pPr>
        <w:pStyle w:val="ListParagraph"/>
        <w:numPr>
          <w:ilvl w:val="0"/>
          <w:numId w:val="54"/>
        </w:numPr>
        <w:suppressAutoHyphens/>
        <w:ind w:left="993" w:hanging="567"/>
      </w:pPr>
      <w:r w:rsidRPr="00026EC1">
        <w:t>trois mille</w:t>
      </w:r>
      <w:r w:rsidR="008468C2">
        <w:t> </w:t>
      </w:r>
      <w:r w:rsidRPr="00026EC1">
        <w:t>(3 000) heures de vol sur hélicoptère</w:t>
      </w:r>
      <w:r w:rsidR="00A17B10" w:rsidRPr="00026EC1">
        <w:t>,</w:t>
      </w:r>
      <w:r w:rsidRPr="00026EC1">
        <w:t xml:space="preserve"> dont trois cent cinquante (350) heures d</w:t>
      </w:r>
      <w:r w:rsidR="00BC3319" w:rsidRPr="00026EC1">
        <w:t>’</w:t>
      </w:r>
      <w:r w:rsidRPr="00026EC1">
        <w:t>instruction.</w:t>
      </w:r>
    </w:p>
    <w:p w14:paraId="64F128F2" w14:textId="77777777" w:rsidR="00244F14" w:rsidRPr="00026EC1" w:rsidRDefault="00244F14" w:rsidP="00244F14">
      <w:pPr>
        <w:pStyle w:val="ListParagraph"/>
        <w:suppressAutoHyphens/>
        <w:ind w:left="993"/>
      </w:pPr>
    </w:p>
    <w:p w14:paraId="5AFB994A" w14:textId="635C5590" w:rsidR="006A7F7B" w:rsidRPr="00316277" w:rsidRDefault="00244F14" w:rsidP="00244F14">
      <w:pPr>
        <w:pStyle w:val="ListParagraph"/>
        <w:tabs>
          <w:tab w:val="left" w:pos="426"/>
        </w:tabs>
        <w:suppressAutoHyphens/>
        <w:spacing w:before="120" w:after="120"/>
        <w:ind w:left="425"/>
        <w:rPr>
          <w:rFonts w:eastAsia="Times New Roman" w:cs="Arial"/>
          <w:snapToGrid w:val="0"/>
          <w:lang w:eastAsia="fr-FR"/>
        </w:rPr>
      </w:pPr>
      <w:r w:rsidRPr="00316277">
        <w:rPr>
          <w:rFonts w:eastAsia="Times New Roman" w:cs="Arial"/>
          <w:snapToGrid w:val="0"/>
          <w:lang w:eastAsia="fr-FR"/>
        </w:rPr>
        <w:t>o</w:t>
      </w:r>
      <w:r w:rsidR="006A7F7B" w:rsidRPr="00316277">
        <w:rPr>
          <w:rFonts w:eastAsia="Times New Roman" w:cs="Arial"/>
          <w:snapToGrid w:val="0"/>
          <w:lang w:eastAsia="fr-FR"/>
        </w:rPr>
        <w:t>u</w:t>
      </w:r>
    </w:p>
    <w:p w14:paraId="01348CC5" w14:textId="347A8E2A" w:rsidR="006A7F7B" w:rsidRPr="00316277" w:rsidRDefault="006A7F7B" w:rsidP="00864798">
      <w:pPr>
        <w:pStyle w:val="ListParagraph"/>
        <w:numPr>
          <w:ilvl w:val="0"/>
          <w:numId w:val="54"/>
        </w:numPr>
        <w:tabs>
          <w:tab w:val="left" w:pos="426"/>
        </w:tabs>
        <w:spacing w:before="120" w:after="120"/>
        <w:ind w:left="993" w:hanging="633"/>
        <w:jc w:val="left"/>
        <w:rPr>
          <w:rFonts w:cs="Arial"/>
          <w:snapToGrid w:val="0"/>
        </w:rPr>
      </w:pPr>
      <w:r w:rsidRPr="00316277">
        <w:rPr>
          <w:rFonts w:cs="Arial"/>
          <w:snapToGrid w:val="0"/>
        </w:rPr>
        <w:t>seize (16) années de scolarité plus dix (10) années d’expérience pertinente dans l’aviation.</w:t>
      </w:r>
    </w:p>
    <w:p w14:paraId="58090FB9" w14:textId="2F3ED947" w:rsidR="006A7F7B" w:rsidRDefault="00244F14" w:rsidP="00244F14">
      <w:pPr>
        <w:keepNext w:val="0"/>
        <w:tabs>
          <w:tab w:val="left" w:pos="426"/>
        </w:tabs>
        <w:spacing w:before="120" w:after="120"/>
        <w:ind w:left="426"/>
        <w:rPr>
          <w:rFonts w:cs="Arial"/>
        </w:rPr>
      </w:pPr>
      <w:r w:rsidRPr="00316277">
        <w:rPr>
          <w:rFonts w:cs="Arial"/>
        </w:rPr>
        <w:t>o</w:t>
      </w:r>
      <w:r w:rsidR="006A7F7B" w:rsidRPr="00316277">
        <w:rPr>
          <w:rFonts w:cs="Arial"/>
        </w:rPr>
        <w:t>u</w:t>
      </w:r>
    </w:p>
    <w:p w14:paraId="53465A85" w14:textId="77777777" w:rsidR="00244F14" w:rsidRPr="003E4D45" w:rsidRDefault="00244F14" w:rsidP="00244F14">
      <w:pPr>
        <w:keepNext w:val="0"/>
        <w:tabs>
          <w:tab w:val="left" w:pos="426"/>
        </w:tabs>
        <w:spacing w:before="120" w:after="120"/>
        <w:ind w:left="426"/>
        <w:rPr>
          <w:rFonts w:cs="Arial"/>
        </w:rPr>
      </w:pPr>
    </w:p>
    <w:p w14:paraId="6EAD01D9" w14:textId="3FE64642" w:rsidR="006A7F7B" w:rsidRPr="00316277" w:rsidRDefault="006A7F7B" w:rsidP="00864798">
      <w:pPr>
        <w:pStyle w:val="ListParagraph"/>
        <w:numPr>
          <w:ilvl w:val="0"/>
          <w:numId w:val="54"/>
        </w:numPr>
        <w:tabs>
          <w:tab w:val="left" w:pos="426"/>
        </w:tabs>
        <w:spacing w:before="120" w:after="120"/>
        <w:ind w:left="993" w:hanging="633"/>
        <w:jc w:val="left"/>
        <w:rPr>
          <w:rFonts w:cs="Arial"/>
          <w:snapToGrid w:val="0"/>
        </w:rPr>
      </w:pPr>
      <w:r w:rsidRPr="00316277">
        <w:rPr>
          <w:rFonts w:cs="Arial"/>
          <w:snapToGrid w:val="0"/>
        </w:rPr>
        <w:t>quinze (15) années d’expérience pertinente dans l’aviation.</w:t>
      </w:r>
    </w:p>
    <w:p w14:paraId="00223303" w14:textId="77777777" w:rsidR="00244F14" w:rsidRPr="00316277" w:rsidRDefault="00244F14" w:rsidP="00244F14">
      <w:pPr>
        <w:pStyle w:val="ListParagraph"/>
        <w:tabs>
          <w:tab w:val="left" w:pos="426"/>
        </w:tabs>
        <w:spacing w:before="120" w:after="120"/>
        <w:ind w:left="720"/>
        <w:jc w:val="left"/>
        <w:rPr>
          <w:rFonts w:cs="Arial"/>
          <w:snapToGrid w:val="0"/>
        </w:rPr>
      </w:pPr>
    </w:p>
    <w:p w14:paraId="7E2CDEBC" w14:textId="519B671F" w:rsidR="006A7F7B" w:rsidRPr="00316277" w:rsidRDefault="00244F14" w:rsidP="00244F14">
      <w:pPr>
        <w:pStyle w:val="ListParagraph"/>
        <w:tabs>
          <w:tab w:val="left" w:pos="426"/>
        </w:tabs>
        <w:suppressAutoHyphens/>
        <w:spacing w:before="120" w:after="120"/>
        <w:ind w:left="426"/>
        <w:rPr>
          <w:rFonts w:eastAsia="Times New Roman" w:cs="Arial"/>
          <w:snapToGrid w:val="0"/>
          <w:lang w:eastAsia="fr-FR"/>
        </w:rPr>
      </w:pPr>
      <w:r w:rsidRPr="00316277">
        <w:rPr>
          <w:rFonts w:eastAsia="Times New Roman" w:cs="Arial"/>
          <w:snapToGrid w:val="0"/>
          <w:lang w:eastAsia="fr-FR"/>
        </w:rPr>
        <w:t>o</w:t>
      </w:r>
      <w:r w:rsidR="006A7F7B" w:rsidRPr="00316277">
        <w:rPr>
          <w:rFonts w:eastAsia="Times New Roman" w:cs="Arial"/>
          <w:snapToGrid w:val="0"/>
          <w:lang w:eastAsia="fr-FR"/>
        </w:rPr>
        <w:t>u</w:t>
      </w:r>
    </w:p>
    <w:p w14:paraId="4B58F67A" w14:textId="77777777" w:rsidR="00244F14" w:rsidRPr="00316277" w:rsidRDefault="00244F14" w:rsidP="00244F14">
      <w:pPr>
        <w:pStyle w:val="ListParagraph"/>
        <w:tabs>
          <w:tab w:val="left" w:pos="426"/>
        </w:tabs>
        <w:suppressAutoHyphens/>
        <w:spacing w:before="120" w:after="120"/>
        <w:ind w:left="426"/>
        <w:rPr>
          <w:rFonts w:eastAsia="Times New Roman" w:cs="Arial"/>
          <w:snapToGrid w:val="0"/>
          <w:lang w:eastAsia="fr-FR"/>
        </w:rPr>
      </w:pPr>
    </w:p>
    <w:p w14:paraId="6FBD29A0" w14:textId="27D53469" w:rsidR="00AA36ED" w:rsidRPr="00316277" w:rsidRDefault="006A7F7B" w:rsidP="00244F14">
      <w:pPr>
        <w:keepNext w:val="0"/>
        <w:ind w:left="993" w:hanging="567"/>
        <w:rPr>
          <w:rFonts w:cs="Arial"/>
        </w:rPr>
      </w:pPr>
      <w:r w:rsidRPr="00316277">
        <w:rPr>
          <w:rFonts w:cs="Arial"/>
        </w:rPr>
        <w:t>D)</w:t>
      </w:r>
      <w:r w:rsidRPr="00316277">
        <w:rPr>
          <w:rFonts w:cs="Arial"/>
        </w:rPr>
        <w:tab/>
        <w:t>toute compétence supérieure à celles déjà mentionnées dans la présente annexe acquise soit par une vaste expérience d’enseignement ou par une vaste expérience à titre de commandante ou de commandant, soit par la possession de qualifications diverses supplémentaires pertinentes à la fonction exercée.</w:t>
      </w:r>
    </w:p>
    <w:p w14:paraId="08746F3A" w14:textId="50C8C1A3" w:rsidR="00BC5626" w:rsidRPr="00490A30" w:rsidRDefault="00AA36ED" w:rsidP="007F120F">
      <w:pPr>
        <w:pStyle w:val="Article59delaloi37"/>
        <w:keepNext w:val="0"/>
        <w:spacing w:before="0"/>
        <w:ind w:firstLine="284"/>
        <w:rPr>
          <w:dstrike/>
        </w:rPr>
      </w:pPr>
      <w:r w:rsidRPr="00026EC1">
        <w:br w:type="page"/>
      </w:r>
    </w:p>
    <w:p w14:paraId="42ED8A7F" w14:textId="77777777" w:rsidR="00490A30" w:rsidRPr="00026EC1" w:rsidRDefault="00490A30" w:rsidP="00490A30">
      <w:pPr>
        <w:keepNext w:val="0"/>
        <w:jc w:val="center"/>
        <w:rPr>
          <w:b/>
          <w:bCs/>
          <w:caps/>
          <w:u w:val="single"/>
        </w:rPr>
      </w:pPr>
      <w:r w:rsidRPr="00026EC1">
        <w:rPr>
          <w:b/>
          <w:bCs/>
          <w:caps/>
          <w:u w:val="single"/>
        </w:rPr>
        <w:t>TABLEAU D</w:t>
      </w:r>
    </w:p>
    <w:p w14:paraId="2DE6F657" w14:textId="77777777" w:rsidR="00490A30" w:rsidRPr="00026EC1" w:rsidRDefault="00490A30" w:rsidP="00490A30">
      <w:pPr>
        <w:keepNext w:val="0"/>
        <w:jc w:val="center"/>
        <w:rPr>
          <w:b/>
          <w:bCs/>
          <w:caps/>
        </w:rPr>
      </w:pPr>
    </w:p>
    <w:p w14:paraId="10853708" w14:textId="77777777" w:rsidR="00490A30" w:rsidRPr="00026EC1" w:rsidRDefault="00490A30" w:rsidP="00490A30">
      <w:pPr>
        <w:pStyle w:val="Selonlesdisp"/>
        <w:keepNext w:val="0"/>
        <w:rPr>
          <w:bCs/>
          <w:caps w:val="0"/>
          <w:u w:val="single"/>
        </w:rPr>
      </w:pPr>
      <w:r w:rsidRPr="00026EC1">
        <w:rPr>
          <w:bCs/>
          <w:caps w:val="0"/>
          <w:u w:val="single"/>
        </w:rPr>
        <w:t>ÉCHELLES DE SALAIRE SUR BASE ANNUELLE DES ENSEIGNANTES</w:t>
      </w:r>
      <w:r w:rsidRPr="00026EC1">
        <w:rPr>
          <w:bCs/>
          <w:caps w:val="0"/>
          <w:u w:val="single"/>
        </w:rPr>
        <w:br/>
        <w:t>ET ENSEIGNANTS EN AÉRONAUTIQUE</w:t>
      </w:r>
      <w:r w:rsidRPr="00026EC1">
        <w:rPr>
          <w:bCs/>
          <w:caps w:val="0"/>
          <w:u w:val="single"/>
          <w:vertAlign w:val="superscript"/>
        </w:rPr>
        <w:t>(</w:t>
      </w:r>
      <w:r>
        <w:rPr>
          <w:rStyle w:val="FootnoteReference"/>
          <w:bCs/>
          <w:caps w:val="0"/>
          <w:u w:val="single"/>
        </w:rPr>
        <w:footnoteReference w:id="58"/>
      </w:r>
      <w:r>
        <w:rPr>
          <w:bCs/>
          <w:caps w:val="0"/>
          <w:vertAlign w:val="superscript"/>
        </w:rPr>
        <w:noBreakHyphen/>
      </w:r>
      <w:r>
        <w:rPr>
          <w:rStyle w:val="FootnoteReference"/>
          <w:bCs/>
          <w:caps w:val="0"/>
        </w:rPr>
        <w:footnoteReference w:id="59"/>
      </w:r>
      <w:r>
        <w:rPr>
          <w:bCs/>
          <w:caps w:val="0"/>
          <w:vertAlign w:val="superscript"/>
        </w:rPr>
        <w:noBreakHyphen/>
      </w:r>
      <w:r>
        <w:rPr>
          <w:rStyle w:val="FootnoteReference"/>
          <w:bCs/>
          <w:caps w:val="0"/>
        </w:rPr>
        <w:footnoteReference w:id="60"/>
      </w:r>
      <w:r w:rsidRPr="00026EC1">
        <w:rPr>
          <w:rStyle w:val="FootnoteReference"/>
          <w:sz w:val="20"/>
        </w:rPr>
        <w:t>)</w:t>
      </w:r>
    </w:p>
    <w:p w14:paraId="573C64A2" w14:textId="77777777" w:rsidR="00490A30" w:rsidRDefault="00490A30">
      <w:pPr>
        <w:keepNext w:val="0"/>
        <w:suppressAutoHyphens w:val="0"/>
        <w:jc w:val="left"/>
        <w:rPr>
          <w:b/>
          <w:bCs/>
          <w:caps/>
          <w:u w:val="single"/>
        </w:rPr>
      </w:pPr>
    </w:p>
    <w:tbl>
      <w:tblPr>
        <w:tblW w:w="0" w:type="auto"/>
        <w:tblInd w:w="125" w:type="dxa"/>
        <w:tblLayout w:type="fixed"/>
        <w:tblCellMar>
          <w:left w:w="0" w:type="dxa"/>
          <w:right w:w="0" w:type="dxa"/>
        </w:tblCellMar>
        <w:tblLook w:val="0000" w:firstRow="0" w:lastRow="0" w:firstColumn="0" w:lastColumn="0" w:noHBand="0" w:noVBand="0"/>
      </w:tblPr>
      <w:tblGrid>
        <w:gridCol w:w="9093"/>
      </w:tblGrid>
      <w:tr w:rsidR="002215D7" w:rsidRPr="009C2F12" w14:paraId="6C0F29EB" w14:textId="77777777" w:rsidTr="00940BD8">
        <w:tc>
          <w:tcPr>
            <w:tcW w:w="9093" w:type="dxa"/>
            <w:tcBorders>
              <w:top w:val="nil"/>
              <w:left w:val="nil"/>
              <w:bottom w:val="nil"/>
              <w:right w:val="nil"/>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9923"/>
            </w:tblGrid>
            <w:tr w:rsidR="002215D7" w:rsidRPr="00490A30" w14:paraId="70276DCB" w14:textId="77777777" w:rsidTr="00940BD8">
              <w:trPr>
                <w:cantSplit/>
              </w:trPr>
              <w:tc>
                <w:tcPr>
                  <w:tcW w:w="9923" w:type="dxa"/>
                  <w:shd w:val="clear" w:color="auto" w:fill="FFFFFF"/>
                </w:tcPr>
                <w:tbl>
                  <w:tblPr>
                    <w:tblW w:w="0" w:type="auto"/>
                    <w:tblInd w:w="306" w:type="dxa"/>
                    <w:tblLayout w:type="fixed"/>
                    <w:tblCellMar>
                      <w:left w:w="0" w:type="dxa"/>
                      <w:right w:w="0" w:type="dxa"/>
                    </w:tblCellMar>
                    <w:tblLook w:val="0000" w:firstRow="0" w:lastRow="0" w:firstColumn="0" w:lastColumn="0" w:noHBand="0" w:noVBand="0"/>
                  </w:tblPr>
                  <w:tblGrid>
                    <w:gridCol w:w="1276"/>
                    <w:gridCol w:w="992"/>
                    <w:gridCol w:w="1267"/>
                    <w:gridCol w:w="1285"/>
                    <w:gridCol w:w="1276"/>
                    <w:gridCol w:w="1276"/>
                    <w:gridCol w:w="1276"/>
                  </w:tblGrid>
                  <w:tr w:rsidR="002215D7" w:rsidRPr="00490A30" w14:paraId="764B46EB" w14:textId="77777777" w:rsidTr="00940BD8">
                    <w:trPr>
                      <w:cantSplit/>
                    </w:trPr>
                    <w:tc>
                      <w:tcPr>
                        <w:tcW w:w="1276" w:type="dxa"/>
                        <w:shd w:val="clear" w:color="auto" w:fill="FFFFFF"/>
                        <w:vAlign w:val="center"/>
                      </w:tcPr>
                      <w:p w14:paraId="6B4C3ECC"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Classe</w:t>
                        </w:r>
                      </w:p>
                    </w:tc>
                    <w:tc>
                      <w:tcPr>
                        <w:tcW w:w="992" w:type="dxa"/>
                        <w:shd w:val="clear" w:color="auto" w:fill="FFFFFF"/>
                        <w:vAlign w:val="center"/>
                      </w:tcPr>
                      <w:p w14:paraId="6711FC83"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Échelon</w:t>
                        </w:r>
                      </w:p>
                    </w:tc>
                    <w:tc>
                      <w:tcPr>
                        <w:tcW w:w="1267" w:type="dxa"/>
                        <w:shd w:val="clear" w:color="auto" w:fill="FFFFFF"/>
                        <w:vAlign w:val="center"/>
                      </w:tcPr>
                      <w:p w14:paraId="381116B7"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Taux du</w:t>
                        </w:r>
                        <w:r w:rsidRPr="00316277">
                          <w:rPr>
                            <w:rFonts w:cs="Arial"/>
                            <w:color w:val="000000"/>
                            <w:sz w:val="20"/>
                          </w:rPr>
                          <w:br/>
                        </w:r>
                        <w:r w:rsidRPr="00316277">
                          <w:rPr>
                            <w:rFonts w:cs="Arial"/>
                            <w:b/>
                            <w:bCs/>
                            <w:color w:val="000000"/>
                            <w:sz w:val="20"/>
                          </w:rPr>
                          <w:t>2023-04-01</w:t>
                        </w:r>
                        <w:r w:rsidRPr="00316277">
                          <w:rPr>
                            <w:rFonts w:cs="Arial"/>
                            <w:color w:val="000000"/>
                            <w:sz w:val="20"/>
                          </w:rPr>
                          <w:br/>
                        </w:r>
                        <w:r w:rsidRPr="00316277">
                          <w:rPr>
                            <w:rFonts w:cs="Arial"/>
                            <w:b/>
                            <w:bCs/>
                            <w:color w:val="000000"/>
                            <w:sz w:val="20"/>
                          </w:rPr>
                          <w:t>au</w:t>
                        </w:r>
                        <w:r w:rsidRPr="00316277">
                          <w:rPr>
                            <w:rFonts w:cs="Arial"/>
                            <w:color w:val="000000"/>
                            <w:sz w:val="20"/>
                          </w:rPr>
                          <w:br/>
                        </w:r>
                        <w:r w:rsidRPr="00316277">
                          <w:rPr>
                            <w:rFonts w:cs="Arial"/>
                            <w:b/>
                            <w:bCs/>
                            <w:color w:val="000000"/>
                            <w:sz w:val="20"/>
                          </w:rPr>
                          <w:t>2024-03-31</w:t>
                        </w:r>
                        <w:r w:rsidRPr="00316277">
                          <w:rPr>
                            <w:rFonts w:cs="Arial"/>
                            <w:color w:val="000000"/>
                            <w:sz w:val="20"/>
                          </w:rPr>
                          <w:br/>
                        </w:r>
                        <w:r w:rsidRPr="00316277">
                          <w:rPr>
                            <w:rFonts w:cs="Arial"/>
                            <w:b/>
                            <w:bCs/>
                            <w:color w:val="000000"/>
                            <w:sz w:val="20"/>
                          </w:rPr>
                          <w:t xml:space="preserve">( $ ) </w:t>
                        </w:r>
                      </w:p>
                    </w:tc>
                    <w:tc>
                      <w:tcPr>
                        <w:tcW w:w="1285" w:type="dxa"/>
                        <w:shd w:val="clear" w:color="auto" w:fill="FFFFFF"/>
                        <w:vAlign w:val="center"/>
                      </w:tcPr>
                      <w:p w14:paraId="02A13E41"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Taux du</w:t>
                        </w:r>
                        <w:r w:rsidRPr="00316277">
                          <w:rPr>
                            <w:rFonts w:cs="Arial"/>
                            <w:color w:val="000000"/>
                            <w:sz w:val="20"/>
                          </w:rPr>
                          <w:br/>
                        </w:r>
                        <w:r w:rsidRPr="00316277">
                          <w:rPr>
                            <w:rFonts w:cs="Arial"/>
                            <w:b/>
                            <w:bCs/>
                            <w:color w:val="000000"/>
                            <w:sz w:val="20"/>
                          </w:rPr>
                          <w:t>2024-04-01</w:t>
                        </w:r>
                        <w:r w:rsidRPr="00316277">
                          <w:rPr>
                            <w:rFonts w:cs="Arial"/>
                            <w:color w:val="000000"/>
                            <w:sz w:val="20"/>
                          </w:rPr>
                          <w:br/>
                        </w:r>
                        <w:r w:rsidRPr="00316277">
                          <w:rPr>
                            <w:rFonts w:cs="Arial"/>
                            <w:b/>
                            <w:bCs/>
                            <w:color w:val="000000"/>
                            <w:sz w:val="20"/>
                          </w:rPr>
                          <w:t>au</w:t>
                        </w:r>
                        <w:r w:rsidRPr="00316277">
                          <w:rPr>
                            <w:rFonts w:cs="Arial"/>
                            <w:color w:val="000000"/>
                            <w:sz w:val="20"/>
                          </w:rPr>
                          <w:br/>
                        </w:r>
                        <w:r w:rsidRPr="00316277">
                          <w:rPr>
                            <w:rFonts w:cs="Arial"/>
                            <w:b/>
                            <w:bCs/>
                            <w:color w:val="000000"/>
                            <w:sz w:val="20"/>
                          </w:rPr>
                          <w:t>2025-03-31</w:t>
                        </w:r>
                        <w:r w:rsidRPr="00316277">
                          <w:rPr>
                            <w:rFonts w:cs="Arial"/>
                            <w:color w:val="000000"/>
                            <w:sz w:val="20"/>
                          </w:rPr>
                          <w:br/>
                        </w:r>
                        <w:r w:rsidRPr="00316277">
                          <w:rPr>
                            <w:rFonts w:cs="Arial"/>
                            <w:b/>
                            <w:bCs/>
                            <w:color w:val="000000"/>
                            <w:sz w:val="20"/>
                          </w:rPr>
                          <w:t xml:space="preserve">( $ ) </w:t>
                        </w:r>
                      </w:p>
                    </w:tc>
                    <w:tc>
                      <w:tcPr>
                        <w:tcW w:w="1276" w:type="dxa"/>
                        <w:shd w:val="clear" w:color="auto" w:fill="FFFFFF"/>
                        <w:vAlign w:val="center"/>
                      </w:tcPr>
                      <w:p w14:paraId="7EDDF9EF"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Taux du</w:t>
                        </w:r>
                        <w:r w:rsidRPr="00316277">
                          <w:rPr>
                            <w:rFonts w:cs="Arial"/>
                            <w:color w:val="000000"/>
                            <w:sz w:val="20"/>
                          </w:rPr>
                          <w:br/>
                        </w:r>
                        <w:r w:rsidRPr="00316277">
                          <w:rPr>
                            <w:rFonts w:cs="Arial"/>
                            <w:b/>
                            <w:bCs/>
                            <w:color w:val="000000"/>
                            <w:sz w:val="20"/>
                          </w:rPr>
                          <w:t>2025-04-01</w:t>
                        </w:r>
                        <w:r w:rsidRPr="00316277">
                          <w:rPr>
                            <w:rFonts w:cs="Arial"/>
                            <w:color w:val="000000"/>
                            <w:sz w:val="20"/>
                          </w:rPr>
                          <w:br/>
                        </w:r>
                        <w:r w:rsidRPr="00316277">
                          <w:rPr>
                            <w:rFonts w:cs="Arial"/>
                            <w:b/>
                            <w:bCs/>
                            <w:color w:val="000000"/>
                            <w:sz w:val="20"/>
                          </w:rPr>
                          <w:t>au</w:t>
                        </w:r>
                        <w:r w:rsidRPr="00316277">
                          <w:rPr>
                            <w:rFonts w:cs="Arial"/>
                            <w:color w:val="000000"/>
                            <w:sz w:val="20"/>
                          </w:rPr>
                          <w:br/>
                        </w:r>
                        <w:r w:rsidRPr="00316277">
                          <w:rPr>
                            <w:rFonts w:cs="Arial"/>
                            <w:b/>
                            <w:bCs/>
                            <w:color w:val="000000"/>
                            <w:sz w:val="20"/>
                          </w:rPr>
                          <w:t>2026-03-31</w:t>
                        </w:r>
                        <w:r w:rsidRPr="00316277">
                          <w:rPr>
                            <w:rFonts w:cs="Arial"/>
                            <w:color w:val="000000"/>
                            <w:sz w:val="20"/>
                          </w:rPr>
                          <w:br/>
                        </w:r>
                        <w:r w:rsidRPr="00316277">
                          <w:rPr>
                            <w:rFonts w:cs="Arial"/>
                            <w:b/>
                            <w:bCs/>
                            <w:color w:val="000000"/>
                            <w:sz w:val="20"/>
                          </w:rPr>
                          <w:t xml:space="preserve">( $ ) </w:t>
                        </w:r>
                      </w:p>
                    </w:tc>
                    <w:tc>
                      <w:tcPr>
                        <w:tcW w:w="1276" w:type="dxa"/>
                        <w:shd w:val="clear" w:color="auto" w:fill="FFFFFF"/>
                        <w:vAlign w:val="center"/>
                      </w:tcPr>
                      <w:p w14:paraId="24CA3A1E"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Taux du</w:t>
                        </w:r>
                        <w:r w:rsidRPr="00316277">
                          <w:rPr>
                            <w:rFonts w:cs="Arial"/>
                            <w:color w:val="000000"/>
                            <w:sz w:val="20"/>
                          </w:rPr>
                          <w:br/>
                        </w:r>
                        <w:r w:rsidRPr="00316277">
                          <w:rPr>
                            <w:rFonts w:cs="Arial"/>
                            <w:b/>
                            <w:bCs/>
                            <w:color w:val="000000"/>
                            <w:sz w:val="20"/>
                          </w:rPr>
                          <w:t>2026-04-01</w:t>
                        </w:r>
                        <w:r w:rsidRPr="00316277">
                          <w:rPr>
                            <w:rFonts w:cs="Arial"/>
                            <w:color w:val="000000"/>
                            <w:sz w:val="20"/>
                          </w:rPr>
                          <w:br/>
                        </w:r>
                        <w:r w:rsidRPr="00316277">
                          <w:rPr>
                            <w:rFonts w:cs="Arial"/>
                            <w:b/>
                            <w:bCs/>
                            <w:color w:val="000000"/>
                            <w:sz w:val="20"/>
                          </w:rPr>
                          <w:t>au</w:t>
                        </w:r>
                        <w:r w:rsidRPr="00316277">
                          <w:rPr>
                            <w:rFonts w:cs="Arial"/>
                            <w:color w:val="000000"/>
                            <w:sz w:val="20"/>
                          </w:rPr>
                          <w:br/>
                        </w:r>
                        <w:r w:rsidRPr="00316277">
                          <w:rPr>
                            <w:rFonts w:cs="Arial"/>
                            <w:b/>
                            <w:bCs/>
                            <w:color w:val="000000"/>
                            <w:sz w:val="20"/>
                          </w:rPr>
                          <w:t>2027-03-31</w:t>
                        </w:r>
                        <w:r w:rsidRPr="00316277">
                          <w:rPr>
                            <w:rFonts w:cs="Arial"/>
                            <w:color w:val="000000"/>
                            <w:sz w:val="20"/>
                          </w:rPr>
                          <w:br/>
                        </w:r>
                        <w:r w:rsidRPr="00316277">
                          <w:rPr>
                            <w:rFonts w:cs="Arial"/>
                            <w:b/>
                            <w:bCs/>
                            <w:color w:val="000000"/>
                            <w:sz w:val="20"/>
                          </w:rPr>
                          <w:t xml:space="preserve">( $ ) </w:t>
                        </w:r>
                      </w:p>
                    </w:tc>
                    <w:tc>
                      <w:tcPr>
                        <w:tcW w:w="1276" w:type="dxa"/>
                        <w:shd w:val="clear" w:color="auto" w:fill="FFFFFF"/>
                        <w:vAlign w:val="center"/>
                      </w:tcPr>
                      <w:p w14:paraId="7D2457DA" w14:textId="77777777" w:rsidR="002215D7" w:rsidRPr="00316277" w:rsidRDefault="002215D7" w:rsidP="00940BD8">
                        <w:pPr>
                          <w:keepLines/>
                          <w:widowControl w:val="0"/>
                          <w:autoSpaceDE w:val="0"/>
                          <w:autoSpaceDN w:val="0"/>
                          <w:adjustRightInd w:val="0"/>
                          <w:ind w:left="57" w:right="57"/>
                          <w:jc w:val="center"/>
                          <w:rPr>
                            <w:rFonts w:cs="Arial"/>
                            <w:b/>
                            <w:bCs/>
                            <w:color w:val="000000"/>
                            <w:sz w:val="20"/>
                          </w:rPr>
                        </w:pPr>
                        <w:r w:rsidRPr="00316277">
                          <w:rPr>
                            <w:rFonts w:cs="Arial"/>
                            <w:b/>
                            <w:bCs/>
                            <w:color w:val="000000"/>
                            <w:sz w:val="20"/>
                          </w:rPr>
                          <w:t>Taux à</w:t>
                        </w:r>
                        <w:r w:rsidRPr="00316277">
                          <w:rPr>
                            <w:rFonts w:cs="Arial"/>
                            <w:color w:val="000000"/>
                            <w:sz w:val="20"/>
                          </w:rPr>
                          <w:br/>
                        </w:r>
                        <w:r w:rsidRPr="00316277">
                          <w:rPr>
                            <w:rFonts w:cs="Arial"/>
                            <w:b/>
                            <w:bCs/>
                            <w:color w:val="000000"/>
                            <w:sz w:val="20"/>
                          </w:rPr>
                          <w:t>compter</w:t>
                        </w:r>
                        <w:r w:rsidRPr="00316277">
                          <w:rPr>
                            <w:rFonts w:cs="Arial"/>
                            <w:color w:val="000000"/>
                            <w:sz w:val="20"/>
                          </w:rPr>
                          <w:br/>
                        </w:r>
                        <w:r w:rsidRPr="00316277">
                          <w:rPr>
                            <w:rFonts w:cs="Arial"/>
                            <w:b/>
                            <w:bCs/>
                            <w:color w:val="000000"/>
                            <w:sz w:val="20"/>
                          </w:rPr>
                          <w:t>du</w:t>
                        </w:r>
                        <w:r w:rsidRPr="00316277">
                          <w:rPr>
                            <w:rFonts w:cs="Arial"/>
                            <w:color w:val="000000"/>
                            <w:sz w:val="20"/>
                          </w:rPr>
                          <w:br/>
                        </w:r>
                        <w:r w:rsidRPr="00316277">
                          <w:rPr>
                            <w:rFonts w:cs="Arial"/>
                            <w:b/>
                            <w:bCs/>
                            <w:color w:val="000000"/>
                            <w:sz w:val="20"/>
                          </w:rPr>
                          <w:t>2027-04-01</w:t>
                        </w:r>
                        <w:r w:rsidRPr="00316277">
                          <w:rPr>
                            <w:rFonts w:cs="Arial"/>
                            <w:color w:val="000000"/>
                            <w:sz w:val="20"/>
                          </w:rPr>
                          <w:br/>
                        </w:r>
                        <w:r w:rsidRPr="00316277">
                          <w:rPr>
                            <w:rFonts w:cs="Arial"/>
                            <w:b/>
                            <w:bCs/>
                            <w:color w:val="000000"/>
                            <w:sz w:val="20"/>
                          </w:rPr>
                          <w:t xml:space="preserve">( $ ) </w:t>
                        </w:r>
                      </w:p>
                    </w:tc>
                  </w:tr>
                  <w:tr w:rsidR="002215D7" w:rsidRPr="00490A30" w14:paraId="65FF5D07" w14:textId="77777777" w:rsidTr="00940BD8">
                    <w:trPr>
                      <w:cantSplit/>
                    </w:trPr>
                    <w:tc>
                      <w:tcPr>
                        <w:tcW w:w="1276" w:type="dxa"/>
                        <w:shd w:val="clear" w:color="auto" w:fill="FFFFFF"/>
                      </w:tcPr>
                      <w:p w14:paraId="40ECA7F9"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992" w:type="dxa"/>
                        <w:shd w:val="clear" w:color="auto" w:fill="FFFFFF"/>
                      </w:tcPr>
                      <w:p w14:paraId="51F4C603"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1267" w:type="dxa"/>
                        <w:shd w:val="clear" w:color="auto" w:fill="FFFFFF"/>
                      </w:tcPr>
                      <w:p w14:paraId="365D30AA"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1285" w:type="dxa"/>
                        <w:shd w:val="clear" w:color="auto" w:fill="FFFFFF"/>
                      </w:tcPr>
                      <w:p w14:paraId="3020BFDA"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1276" w:type="dxa"/>
                        <w:shd w:val="clear" w:color="auto" w:fill="FFFFFF"/>
                      </w:tcPr>
                      <w:p w14:paraId="736CDCB8"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1276" w:type="dxa"/>
                        <w:shd w:val="clear" w:color="auto" w:fill="FFFFFF"/>
                      </w:tcPr>
                      <w:p w14:paraId="325C6679"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w:t>
                        </w:r>
                      </w:p>
                    </w:tc>
                    <w:tc>
                      <w:tcPr>
                        <w:tcW w:w="1276" w:type="dxa"/>
                        <w:shd w:val="clear" w:color="auto" w:fill="FFFFFF"/>
                      </w:tcPr>
                      <w:p w14:paraId="1DD3EB87" w14:textId="77777777" w:rsidR="002215D7" w:rsidRPr="00316277" w:rsidRDefault="002215D7" w:rsidP="00940BD8">
                        <w:pPr>
                          <w:keepLines/>
                          <w:widowControl w:val="0"/>
                          <w:autoSpaceDE w:val="0"/>
                          <w:autoSpaceDN w:val="0"/>
                          <w:adjustRightInd w:val="0"/>
                          <w:ind w:left="57" w:right="57"/>
                          <w:jc w:val="center"/>
                          <w:rPr>
                            <w:rFonts w:cs="Arial"/>
                            <w:b/>
                            <w:bCs/>
                            <w:color w:val="000000"/>
                            <w:sz w:val="20"/>
                          </w:rPr>
                        </w:pPr>
                        <w:r w:rsidRPr="00316277">
                          <w:rPr>
                            <w:rFonts w:cs="Arial"/>
                            <w:b/>
                            <w:bCs/>
                            <w:color w:val="000000"/>
                            <w:sz w:val="20"/>
                          </w:rPr>
                          <w:t>¯¯¯¯¯¯¯¯¯¯</w:t>
                        </w:r>
                      </w:p>
                    </w:tc>
                  </w:tr>
                  <w:tr w:rsidR="002215D7" w:rsidRPr="00490A30" w14:paraId="32E1BB78" w14:textId="77777777" w:rsidTr="00940BD8">
                    <w:trPr>
                      <w:cantSplit/>
                    </w:trPr>
                    <w:tc>
                      <w:tcPr>
                        <w:tcW w:w="1276" w:type="dxa"/>
                        <w:shd w:val="clear" w:color="auto" w:fill="FFFFFF"/>
                      </w:tcPr>
                      <w:p w14:paraId="10A0BE39"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IV</w:t>
                        </w:r>
                      </w:p>
                    </w:tc>
                    <w:tc>
                      <w:tcPr>
                        <w:tcW w:w="992" w:type="dxa"/>
                        <w:shd w:val="clear" w:color="auto" w:fill="FFFFFF"/>
                      </w:tcPr>
                      <w:p w14:paraId="01AE3AAC"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1</w:t>
                        </w:r>
                      </w:p>
                    </w:tc>
                    <w:tc>
                      <w:tcPr>
                        <w:tcW w:w="1267" w:type="dxa"/>
                        <w:shd w:val="clear" w:color="auto" w:fill="FFFFFF"/>
                        <w:vAlign w:val="center"/>
                      </w:tcPr>
                      <w:p w14:paraId="140D812C"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105 080</w:t>
                        </w:r>
                      </w:p>
                    </w:tc>
                    <w:tc>
                      <w:tcPr>
                        <w:tcW w:w="1285" w:type="dxa"/>
                        <w:shd w:val="clear" w:color="auto" w:fill="FFFFFF"/>
                        <w:vAlign w:val="center"/>
                      </w:tcPr>
                      <w:p w14:paraId="652140A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108 022</w:t>
                        </w:r>
                      </w:p>
                    </w:tc>
                    <w:tc>
                      <w:tcPr>
                        <w:tcW w:w="1276" w:type="dxa"/>
                        <w:shd w:val="clear" w:color="auto" w:fill="FFFFFF"/>
                        <w:vAlign w:val="center"/>
                      </w:tcPr>
                      <w:p w14:paraId="47BA95C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110 831</w:t>
                        </w:r>
                      </w:p>
                    </w:tc>
                    <w:tc>
                      <w:tcPr>
                        <w:tcW w:w="1276" w:type="dxa"/>
                        <w:shd w:val="clear" w:color="auto" w:fill="FFFFFF"/>
                        <w:vAlign w:val="center"/>
                      </w:tcPr>
                      <w:p w14:paraId="5C10828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113 602</w:t>
                        </w:r>
                      </w:p>
                    </w:tc>
                    <w:tc>
                      <w:tcPr>
                        <w:tcW w:w="1276" w:type="dxa"/>
                        <w:shd w:val="clear" w:color="auto" w:fill="FFFFFF"/>
                        <w:vAlign w:val="center"/>
                      </w:tcPr>
                      <w:p w14:paraId="006B63D6"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117 578</w:t>
                        </w:r>
                      </w:p>
                    </w:tc>
                  </w:tr>
                  <w:tr w:rsidR="002215D7" w:rsidRPr="00490A30" w14:paraId="373FC97A" w14:textId="77777777" w:rsidTr="00940BD8">
                    <w:trPr>
                      <w:cantSplit/>
                    </w:trPr>
                    <w:tc>
                      <w:tcPr>
                        <w:tcW w:w="1276" w:type="dxa"/>
                        <w:shd w:val="clear" w:color="auto" w:fill="FFFFFF"/>
                      </w:tcPr>
                      <w:p w14:paraId="18E1C350"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IV</w:t>
                        </w:r>
                      </w:p>
                    </w:tc>
                    <w:tc>
                      <w:tcPr>
                        <w:tcW w:w="992" w:type="dxa"/>
                        <w:shd w:val="clear" w:color="auto" w:fill="FFFFFF"/>
                      </w:tcPr>
                      <w:p w14:paraId="280E9570"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2</w:t>
                        </w:r>
                      </w:p>
                    </w:tc>
                    <w:tc>
                      <w:tcPr>
                        <w:tcW w:w="1267" w:type="dxa"/>
                        <w:shd w:val="clear" w:color="auto" w:fill="FFFFFF"/>
                        <w:vAlign w:val="center"/>
                      </w:tcPr>
                      <w:p w14:paraId="5287C2D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105 859</w:t>
                        </w:r>
                      </w:p>
                    </w:tc>
                    <w:tc>
                      <w:tcPr>
                        <w:tcW w:w="1285" w:type="dxa"/>
                        <w:shd w:val="clear" w:color="auto" w:fill="FFFFFF"/>
                        <w:vAlign w:val="center"/>
                      </w:tcPr>
                      <w:p w14:paraId="3D4994F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108 823</w:t>
                        </w:r>
                      </w:p>
                    </w:tc>
                    <w:tc>
                      <w:tcPr>
                        <w:tcW w:w="1276" w:type="dxa"/>
                        <w:shd w:val="clear" w:color="auto" w:fill="FFFFFF"/>
                        <w:vAlign w:val="center"/>
                      </w:tcPr>
                      <w:p w14:paraId="4AE3CEF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111 652</w:t>
                        </w:r>
                      </w:p>
                    </w:tc>
                    <w:tc>
                      <w:tcPr>
                        <w:tcW w:w="1276" w:type="dxa"/>
                        <w:shd w:val="clear" w:color="auto" w:fill="FFFFFF"/>
                        <w:vAlign w:val="center"/>
                      </w:tcPr>
                      <w:p w14:paraId="2086FB4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114 443</w:t>
                        </w:r>
                      </w:p>
                    </w:tc>
                    <w:tc>
                      <w:tcPr>
                        <w:tcW w:w="1276" w:type="dxa"/>
                        <w:shd w:val="clear" w:color="auto" w:fill="FFFFFF"/>
                        <w:vAlign w:val="center"/>
                      </w:tcPr>
                      <w:p w14:paraId="756177D9"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118 449</w:t>
                        </w:r>
                      </w:p>
                    </w:tc>
                  </w:tr>
                  <w:tr w:rsidR="002215D7" w:rsidRPr="00490A30" w14:paraId="11E467FD" w14:textId="77777777" w:rsidTr="00940BD8">
                    <w:trPr>
                      <w:cantSplit/>
                    </w:trPr>
                    <w:tc>
                      <w:tcPr>
                        <w:tcW w:w="1276" w:type="dxa"/>
                        <w:shd w:val="clear" w:color="auto" w:fill="FFFFFF"/>
                      </w:tcPr>
                      <w:p w14:paraId="25211AB9"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IV</w:t>
                        </w:r>
                      </w:p>
                    </w:tc>
                    <w:tc>
                      <w:tcPr>
                        <w:tcW w:w="992" w:type="dxa"/>
                        <w:shd w:val="clear" w:color="auto" w:fill="FFFFFF"/>
                      </w:tcPr>
                      <w:p w14:paraId="020AF70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3</w:t>
                        </w:r>
                      </w:p>
                    </w:tc>
                    <w:tc>
                      <w:tcPr>
                        <w:tcW w:w="1267" w:type="dxa"/>
                        <w:shd w:val="clear" w:color="auto" w:fill="FFFFFF"/>
                        <w:vAlign w:val="center"/>
                      </w:tcPr>
                      <w:p w14:paraId="79B3E73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106 619</w:t>
                        </w:r>
                      </w:p>
                    </w:tc>
                    <w:tc>
                      <w:tcPr>
                        <w:tcW w:w="1285" w:type="dxa"/>
                        <w:shd w:val="clear" w:color="auto" w:fill="FFFFFF"/>
                        <w:vAlign w:val="center"/>
                      </w:tcPr>
                      <w:p w14:paraId="05BA05B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109 604</w:t>
                        </w:r>
                      </w:p>
                    </w:tc>
                    <w:tc>
                      <w:tcPr>
                        <w:tcW w:w="1276" w:type="dxa"/>
                        <w:shd w:val="clear" w:color="auto" w:fill="FFFFFF"/>
                        <w:vAlign w:val="center"/>
                      </w:tcPr>
                      <w:p w14:paraId="4C7B35F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112 454</w:t>
                        </w:r>
                      </w:p>
                    </w:tc>
                    <w:tc>
                      <w:tcPr>
                        <w:tcW w:w="1276" w:type="dxa"/>
                        <w:shd w:val="clear" w:color="auto" w:fill="FFFFFF"/>
                        <w:vAlign w:val="center"/>
                      </w:tcPr>
                      <w:p w14:paraId="2DD347A9"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115 265</w:t>
                        </w:r>
                      </w:p>
                    </w:tc>
                    <w:tc>
                      <w:tcPr>
                        <w:tcW w:w="1276" w:type="dxa"/>
                        <w:shd w:val="clear" w:color="auto" w:fill="FFFFFF"/>
                        <w:vAlign w:val="center"/>
                      </w:tcPr>
                      <w:p w14:paraId="1D70F7F0"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119 299</w:t>
                        </w:r>
                      </w:p>
                    </w:tc>
                  </w:tr>
                  <w:tr w:rsidR="002215D7" w:rsidRPr="00490A30" w14:paraId="66A1855B" w14:textId="77777777" w:rsidTr="00940BD8">
                    <w:trPr>
                      <w:cantSplit/>
                    </w:trPr>
                    <w:tc>
                      <w:tcPr>
                        <w:tcW w:w="1276" w:type="dxa"/>
                        <w:shd w:val="clear" w:color="auto" w:fill="FFFFFF"/>
                      </w:tcPr>
                      <w:p w14:paraId="0276186D"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IV</w:t>
                        </w:r>
                      </w:p>
                    </w:tc>
                    <w:tc>
                      <w:tcPr>
                        <w:tcW w:w="992" w:type="dxa"/>
                        <w:shd w:val="clear" w:color="auto" w:fill="FFFFFF"/>
                      </w:tcPr>
                      <w:p w14:paraId="0793B3F7"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4</w:t>
                        </w:r>
                      </w:p>
                    </w:tc>
                    <w:tc>
                      <w:tcPr>
                        <w:tcW w:w="1267" w:type="dxa"/>
                        <w:shd w:val="clear" w:color="auto" w:fill="FFFFFF"/>
                        <w:vAlign w:val="center"/>
                      </w:tcPr>
                      <w:p w14:paraId="486BBE3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107 535</w:t>
                        </w:r>
                      </w:p>
                    </w:tc>
                    <w:tc>
                      <w:tcPr>
                        <w:tcW w:w="1285" w:type="dxa"/>
                        <w:shd w:val="clear" w:color="auto" w:fill="FFFFFF"/>
                        <w:vAlign w:val="center"/>
                      </w:tcPr>
                      <w:p w14:paraId="686CDFE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110 546</w:t>
                        </w:r>
                      </w:p>
                    </w:tc>
                    <w:tc>
                      <w:tcPr>
                        <w:tcW w:w="1276" w:type="dxa"/>
                        <w:shd w:val="clear" w:color="auto" w:fill="FFFFFF"/>
                        <w:vAlign w:val="center"/>
                      </w:tcPr>
                      <w:p w14:paraId="33D721C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113 420</w:t>
                        </w:r>
                      </w:p>
                    </w:tc>
                    <w:tc>
                      <w:tcPr>
                        <w:tcW w:w="1276" w:type="dxa"/>
                        <w:shd w:val="clear" w:color="auto" w:fill="FFFFFF"/>
                        <w:vAlign w:val="center"/>
                      </w:tcPr>
                      <w:p w14:paraId="5F3775E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116 256</w:t>
                        </w:r>
                      </w:p>
                    </w:tc>
                    <w:tc>
                      <w:tcPr>
                        <w:tcW w:w="1276" w:type="dxa"/>
                        <w:shd w:val="clear" w:color="auto" w:fill="FFFFFF"/>
                        <w:vAlign w:val="center"/>
                      </w:tcPr>
                      <w:p w14:paraId="6DB2277B"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120 325</w:t>
                        </w:r>
                      </w:p>
                    </w:tc>
                  </w:tr>
                  <w:tr w:rsidR="002215D7" w:rsidRPr="00490A30" w14:paraId="11FDF414" w14:textId="77777777" w:rsidTr="00940BD8">
                    <w:trPr>
                      <w:cantSplit/>
                    </w:trPr>
                    <w:tc>
                      <w:tcPr>
                        <w:tcW w:w="1276" w:type="dxa"/>
                        <w:shd w:val="clear" w:color="auto" w:fill="FFFFFF"/>
                      </w:tcPr>
                      <w:p w14:paraId="5D85CEA5"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IV</w:t>
                        </w:r>
                      </w:p>
                    </w:tc>
                    <w:tc>
                      <w:tcPr>
                        <w:tcW w:w="992" w:type="dxa"/>
                        <w:shd w:val="clear" w:color="auto" w:fill="FFFFFF"/>
                      </w:tcPr>
                      <w:p w14:paraId="715580EE"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5</w:t>
                        </w:r>
                      </w:p>
                    </w:tc>
                    <w:tc>
                      <w:tcPr>
                        <w:tcW w:w="1267" w:type="dxa"/>
                        <w:shd w:val="clear" w:color="auto" w:fill="FFFFFF"/>
                        <w:vAlign w:val="center"/>
                      </w:tcPr>
                      <w:p w14:paraId="7840275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108 544</w:t>
                        </w:r>
                      </w:p>
                    </w:tc>
                    <w:tc>
                      <w:tcPr>
                        <w:tcW w:w="1285" w:type="dxa"/>
                        <w:shd w:val="clear" w:color="auto" w:fill="FFFFFF"/>
                        <w:vAlign w:val="center"/>
                      </w:tcPr>
                      <w:p w14:paraId="5033133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111 583</w:t>
                        </w:r>
                      </w:p>
                    </w:tc>
                    <w:tc>
                      <w:tcPr>
                        <w:tcW w:w="1276" w:type="dxa"/>
                        <w:shd w:val="clear" w:color="auto" w:fill="FFFFFF"/>
                        <w:vAlign w:val="center"/>
                      </w:tcPr>
                      <w:p w14:paraId="52743B1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114 484</w:t>
                        </w:r>
                      </w:p>
                    </w:tc>
                    <w:tc>
                      <w:tcPr>
                        <w:tcW w:w="1276" w:type="dxa"/>
                        <w:shd w:val="clear" w:color="auto" w:fill="FFFFFF"/>
                        <w:vAlign w:val="center"/>
                      </w:tcPr>
                      <w:p w14:paraId="500C61C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117 346</w:t>
                        </w:r>
                      </w:p>
                    </w:tc>
                    <w:tc>
                      <w:tcPr>
                        <w:tcW w:w="1276" w:type="dxa"/>
                        <w:shd w:val="clear" w:color="auto" w:fill="FFFFFF"/>
                        <w:vAlign w:val="center"/>
                      </w:tcPr>
                      <w:p w14:paraId="060F3F59"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121 453</w:t>
                        </w:r>
                      </w:p>
                    </w:tc>
                  </w:tr>
                </w:tbl>
                <w:p w14:paraId="56896653" w14:textId="77777777" w:rsidR="002215D7" w:rsidRPr="00316277" w:rsidRDefault="002215D7" w:rsidP="00940BD8">
                  <w:pPr>
                    <w:keepLines/>
                    <w:widowControl w:val="0"/>
                    <w:autoSpaceDE w:val="0"/>
                    <w:autoSpaceDN w:val="0"/>
                    <w:adjustRightInd w:val="0"/>
                    <w:ind w:left="57"/>
                    <w:rPr>
                      <w:rFonts w:cs="Arial"/>
                      <w:color w:val="000000"/>
                      <w:sz w:val="20"/>
                    </w:rPr>
                  </w:pPr>
                </w:p>
              </w:tc>
            </w:tr>
            <w:tr w:rsidR="002215D7" w:rsidRPr="00490A30" w14:paraId="160F5ACD" w14:textId="77777777" w:rsidTr="00940BD8">
              <w:trPr>
                <w:cantSplit/>
              </w:trPr>
              <w:tc>
                <w:tcPr>
                  <w:tcW w:w="9923" w:type="dxa"/>
                  <w:shd w:val="clear" w:color="auto" w:fill="FFFFFF"/>
                </w:tcPr>
                <w:tbl>
                  <w:tblPr>
                    <w:tblW w:w="0" w:type="auto"/>
                    <w:tblInd w:w="306" w:type="dxa"/>
                    <w:tblLayout w:type="fixed"/>
                    <w:tblCellMar>
                      <w:left w:w="0" w:type="dxa"/>
                      <w:right w:w="0" w:type="dxa"/>
                    </w:tblCellMar>
                    <w:tblLook w:val="0000" w:firstRow="0" w:lastRow="0" w:firstColumn="0" w:lastColumn="0" w:noHBand="0" w:noVBand="0"/>
                  </w:tblPr>
                  <w:tblGrid>
                    <w:gridCol w:w="1276"/>
                    <w:gridCol w:w="992"/>
                    <w:gridCol w:w="1276"/>
                    <w:gridCol w:w="1276"/>
                    <w:gridCol w:w="1276"/>
                    <w:gridCol w:w="1276"/>
                    <w:gridCol w:w="1276"/>
                  </w:tblGrid>
                  <w:tr w:rsidR="002215D7" w:rsidRPr="00490A30" w14:paraId="67D004A9" w14:textId="77777777" w:rsidTr="00940BD8">
                    <w:trPr>
                      <w:gridAfter w:val="2"/>
                      <w:wAfter w:w="2552" w:type="dxa"/>
                      <w:cantSplit/>
                      <w:trHeight w:val="235"/>
                    </w:trPr>
                    <w:tc>
                      <w:tcPr>
                        <w:tcW w:w="1276" w:type="dxa"/>
                        <w:shd w:val="clear" w:color="auto" w:fill="FFFFFF"/>
                        <w:vAlign w:val="center"/>
                      </w:tcPr>
                      <w:p w14:paraId="33ABF750" w14:textId="77777777" w:rsidR="002215D7" w:rsidRPr="00316277" w:rsidRDefault="002215D7" w:rsidP="00940BD8">
                        <w:pPr>
                          <w:keepLines/>
                          <w:widowControl w:val="0"/>
                          <w:autoSpaceDE w:val="0"/>
                          <w:autoSpaceDN w:val="0"/>
                          <w:adjustRightInd w:val="0"/>
                          <w:ind w:left="57" w:right="57"/>
                          <w:jc w:val="center"/>
                          <w:rPr>
                            <w:rFonts w:cs="Arial"/>
                            <w:b/>
                            <w:bCs/>
                            <w:color w:val="000000"/>
                            <w:sz w:val="20"/>
                          </w:rPr>
                        </w:pPr>
                        <w:r w:rsidRPr="00316277">
                          <w:rPr>
                            <w:rFonts w:cs="Arial"/>
                            <w:b/>
                            <w:bCs/>
                            <w:color w:val="000000"/>
                            <w:sz w:val="20"/>
                          </w:rPr>
                          <w:t xml:space="preserve"> </w:t>
                        </w:r>
                      </w:p>
                      <w:p w14:paraId="673B878F"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 xml:space="preserve"> </w:t>
                        </w:r>
                      </w:p>
                    </w:tc>
                    <w:tc>
                      <w:tcPr>
                        <w:tcW w:w="992" w:type="dxa"/>
                        <w:shd w:val="clear" w:color="auto" w:fill="FFFFFF"/>
                        <w:vAlign w:val="center"/>
                      </w:tcPr>
                      <w:p w14:paraId="71CC6E6F"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vAlign w:val="center"/>
                      </w:tcPr>
                      <w:p w14:paraId="4AB59155"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32955135"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2559243D" w14:textId="77777777" w:rsidR="002215D7" w:rsidRPr="00316277" w:rsidRDefault="002215D7" w:rsidP="00940BD8">
                        <w:pPr>
                          <w:keepLines/>
                          <w:widowControl w:val="0"/>
                          <w:autoSpaceDE w:val="0"/>
                          <w:autoSpaceDN w:val="0"/>
                          <w:adjustRightInd w:val="0"/>
                          <w:ind w:left="57" w:right="57"/>
                          <w:rPr>
                            <w:rFonts w:cs="Arial"/>
                            <w:color w:val="000000"/>
                            <w:sz w:val="20"/>
                          </w:rPr>
                        </w:pPr>
                      </w:p>
                    </w:tc>
                  </w:tr>
                  <w:tr w:rsidR="002215D7" w:rsidRPr="00490A30" w14:paraId="1BCA9E9E" w14:textId="77777777" w:rsidTr="00940BD8">
                    <w:trPr>
                      <w:cantSplit/>
                    </w:trPr>
                    <w:tc>
                      <w:tcPr>
                        <w:tcW w:w="1276" w:type="dxa"/>
                        <w:shd w:val="clear" w:color="auto" w:fill="FFFFFF"/>
                      </w:tcPr>
                      <w:p w14:paraId="324FB2B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36870E56"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1</w:t>
                        </w:r>
                      </w:p>
                    </w:tc>
                    <w:tc>
                      <w:tcPr>
                        <w:tcW w:w="1276" w:type="dxa"/>
                        <w:shd w:val="clear" w:color="auto" w:fill="FFFFFF"/>
                        <w:vAlign w:val="center"/>
                      </w:tcPr>
                      <w:p w14:paraId="763DD18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92 613</w:t>
                        </w:r>
                      </w:p>
                    </w:tc>
                    <w:tc>
                      <w:tcPr>
                        <w:tcW w:w="1276" w:type="dxa"/>
                        <w:shd w:val="clear" w:color="auto" w:fill="FFFFFF"/>
                        <w:vAlign w:val="center"/>
                      </w:tcPr>
                      <w:p w14:paraId="3C9B4104"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95 206</w:t>
                        </w:r>
                      </w:p>
                    </w:tc>
                    <w:tc>
                      <w:tcPr>
                        <w:tcW w:w="1276" w:type="dxa"/>
                        <w:shd w:val="clear" w:color="auto" w:fill="FFFFFF"/>
                        <w:vAlign w:val="center"/>
                      </w:tcPr>
                      <w:p w14:paraId="2B1A19BC"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97 681</w:t>
                        </w:r>
                      </w:p>
                    </w:tc>
                    <w:tc>
                      <w:tcPr>
                        <w:tcW w:w="1276" w:type="dxa"/>
                        <w:shd w:val="clear" w:color="auto" w:fill="FFFFFF"/>
                        <w:vAlign w:val="center"/>
                      </w:tcPr>
                      <w:p w14:paraId="235A0EA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100 123</w:t>
                        </w:r>
                      </w:p>
                    </w:tc>
                    <w:tc>
                      <w:tcPr>
                        <w:tcW w:w="1276" w:type="dxa"/>
                        <w:shd w:val="clear" w:color="auto" w:fill="FFFFFF"/>
                        <w:vAlign w:val="center"/>
                      </w:tcPr>
                      <w:p w14:paraId="50EFD4FC"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103 627</w:t>
                        </w:r>
                      </w:p>
                    </w:tc>
                  </w:tr>
                  <w:tr w:rsidR="002215D7" w:rsidRPr="00490A30" w14:paraId="73A3953D" w14:textId="77777777" w:rsidTr="00940BD8">
                    <w:trPr>
                      <w:cantSplit/>
                    </w:trPr>
                    <w:tc>
                      <w:tcPr>
                        <w:tcW w:w="1276" w:type="dxa"/>
                        <w:shd w:val="clear" w:color="auto" w:fill="FFFFFF"/>
                      </w:tcPr>
                      <w:p w14:paraId="4733C96C"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28C30CA7"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2</w:t>
                        </w:r>
                      </w:p>
                    </w:tc>
                    <w:tc>
                      <w:tcPr>
                        <w:tcW w:w="1276" w:type="dxa"/>
                        <w:shd w:val="clear" w:color="auto" w:fill="FFFFFF"/>
                        <w:vAlign w:val="center"/>
                      </w:tcPr>
                      <w:p w14:paraId="5DC9230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94 273</w:t>
                        </w:r>
                      </w:p>
                    </w:tc>
                    <w:tc>
                      <w:tcPr>
                        <w:tcW w:w="1276" w:type="dxa"/>
                        <w:shd w:val="clear" w:color="auto" w:fill="FFFFFF"/>
                        <w:vAlign w:val="center"/>
                      </w:tcPr>
                      <w:p w14:paraId="0851C4D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96 913</w:t>
                        </w:r>
                      </w:p>
                    </w:tc>
                    <w:tc>
                      <w:tcPr>
                        <w:tcW w:w="1276" w:type="dxa"/>
                        <w:shd w:val="clear" w:color="auto" w:fill="FFFFFF"/>
                        <w:vAlign w:val="center"/>
                      </w:tcPr>
                      <w:p w14:paraId="43FA661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99 433</w:t>
                        </w:r>
                      </w:p>
                    </w:tc>
                    <w:tc>
                      <w:tcPr>
                        <w:tcW w:w="1276" w:type="dxa"/>
                        <w:shd w:val="clear" w:color="auto" w:fill="FFFFFF"/>
                        <w:vAlign w:val="center"/>
                      </w:tcPr>
                      <w:p w14:paraId="782C753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101 919</w:t>
                        </w:r>
                      </w:p>
                    </w:tc>
                    <w:tc>
                      <w:tcPr>
                        <w:tcW w:w="1276" w:type="dxa"/>
                        <w:shd w:val="clear" w:color="auto" w:fill="FFFFFF"/>
                        <w:vAlign w:val="center"/>
                      </w:tcPr>
                      <w:p w14:paraId="5C98F95F"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105 486</w:t>
                        </w:r>
                      </w:p>
                    </w:tc>
                  </w:tr>
                  <w:tr w:rsidR="002215D7" w:rsidRPr="00490A30" w14:paraId="1117E443" w14:textId="77777777" w:rsidTr="00940BD8">
                    <w:trPr>
                      <w:cantSplit/>
                    </w:trPr>
                    <w:tc>
                      <w:tcPr>
                        <w:tcW w:w="1276" w:type="dxa"/>
                        <w:shd w:val="clear" w:color="auto" w:fill="FFFFFF"/>
                      </w:tcPr>
                      <w:p w14:paraId="65A13C4B"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7593024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3</w:t>
                        </w:r>
                      </w:p>
                    </w:tc>
                    <w:tc>
                      <w:tcPr>
                        <w:tcW w:w="1276" w:type="dxa"/>
                        <w:shd w:val="clear" w:color="auto" w:fill="FFFFFF"/>
                        <w:vAlign w:val="center"/>
                      </w:tcPr>
                      <w:p w14:paraId="23CA5ED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95 976</w:t>
                        </w:r>
                      </w:p>
                    </w:tc>
                    <w:tc>
                      <w:tcPr>
                        <w:tcW w:w="1276" w:type="dxa"/>
                        <w:shd w:val="clear" w:color="auto" w:fill="FFFFFF"/>
                        <w:vAlign w:val="center"/>
                      </w:tcPr>
                      <w:p w14:paraId="25A629D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98 663</w:t>
                        </w:r>
                      </w:p>
                    </w:tc>
                    <w:tc>
                      <w:tcPr>
                        <w:tcW w:w="1276" w:type="dxa"/>
                        <w:shd w:val="clear" w:color="auto" w:fill="FFFFFF"/>
                        <w:vAlign w:val="center"/>
                      </w:tcPr>
                      <w:p w14:paraId="729EEF1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101 228</w:t>
                        </w:r>
                      </w:p>
                    </w:tc>
                    <w:tc>
                      <w:tcPr>
                        <w:tcW w:w="1276" w:type="dxa"/>
                        <w:shd w:val="clear" w:color="auto" w:fill="FFFFFF"/>
                        <w:vAlign w:val="center"/>
                      </w:tcPr>
                      <w:p w14:paraId="56485AF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103 759</w:t>
                        </w:r>
                      </w:p>
                    </w:tc>
                    <w:tc>
                      <w:tcPr>
                        <w:tcW w:w="1276" w:type="dxa"/>
                        <w:shd w:val="clear" w:color="auto" w:fill="FFFFFF"/>
                        <w:vAlign w:val="center"/>
                      </w:tcPr>
                      <w:p w14:paraId="30D5B1EF"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107 391</w:t>
                        </w:r>
                      </w:p>
                    </w:tc>
                  </w:tr>
                  <w:tr w:rsidR="002215D7" w:rsidRPr="00490A30" w14:paraId="77D35011" w14:textId="77777777" w:rsidTr="00940BD8">
                    <w:trPr>
                      <w:cantSplit/>
                    </w:trPr>
                    <w:tc>
                      <w:tcPr>
                        <w:tcW w:w="1276" w:type="dxa"/>
                        <w:shd w:val="clear" w:color="auto" w:fill="FFFFFF"/>
                      </w:tcPr>
                      <w:p w14:paraId="5C9C87EC"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7C1761A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4</w:t>
                        </w:r>
                      </w:p>
                    </w:tc>
                    <w:tc>
                      <w:tcPr>
                        <w:tcW w:w="1276" w:type="dxa"/>
                        <w:shd w:val="clear" w:color="auto" w:fill="FFFFFF"/>
                        <w:vAlign w:val="center"/>
                      </w:tcPr>
                      <w:p w14:paraId="280ABD6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97 830</w:t>
                        </w:r>
                      </w:p>
                    </w:tc>
                    <w:tc>
                      <w:tcPr>
                        <w:tcW w:w="1276" w:type="dxa"/>
                        <w:shd w:val="clear" w:color="auto" w:fill="FFFFFF"/>
                        <w:vAlign w:val="center"/>
                      </w:tcPr>
                      <w:p w14:paraId="3F1101F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100 569</w:t>
                        </w:r>
                      </w:p>
                    </w:tc>
                    <w:tc>
                      <w:tcPr>
                        <w:tcW w:w="1276" w:type="dxa"/>
                        <w:shd w:val="clear" w:color="auto" w:fill="FFFFFF"/>
                        <w:vAlign w:val="center"/>
                      </w:tcPr>
                      <w:p w14:paraId="0A86447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103 184</w:t>
                        </w:r>
                      </w:p>
                    </w:tc>
                    <w:tc>
                      <w:tcPr>
                        <w:tcW w:w="1276" w:type="dxa"/>
                        <w:shd w:val="clear" w:color="auto" w:fill="FFFFFF"/>
                        <w:vAlign w:val="center"/>
                      </w:tcPr>
                      <w:p w14:paraId="5BFE59B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105 764</w:t>
                        </w:r>
                      </w:p>
                    </w:tc>
                    <w:tc>
                      <w:tcPr>
                        <w:tcW w:w="1276" w:type="dxa"/>
                        <w:shd w:val="clear" w:color="auto" w:fill="FFFFFF"/>
                        <w:vAlign w:val="center"/>
                      </w:tcPr>
                      <w:p w14:paraId="47C55178"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109 466</w:t>
                        </w:r>
                      </w:p>
                    </w:tc>
                  </w:tr>
                  <w:tr w:rsidR="002215D7" w:rsidRPr="00490A30" w14:paraId="16D4261A" w14:textId="77777777" w:rsidTr="00940BD8">
                    <w:trPr>
                      <w:cantSplit/>
                    </w:trPr>
                    <w:tc>
                      <w:tcPr>
                        <w:tcW w:w="1276" w:type="dxa"/>
                        <w:shd w:val="clear" w:color="auto" w:fill="FFFFFF"/>
                      </w:tcPr>
                      <w:p w14:paraId="00B39677"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049FF12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5</w:t>
                        </w:r>
                      </w:p>
                    </w:tc>
                    <w:tc>
                      <w:tcPr>
                        <w:tcW w:w="1276" w:type="dxa"/>
                        <w:shd w:val="clear" w:color="auto" w:fill="FFFFFF"/>
                        <w:vAlign w:val="center"/>
                      </w:tcPr>
                      <w:p w14:paraId="06F244A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99 701</w:t>
                        </w:r>
                      </w:p>
                    </w:tc>
                    <w:tc>
                      <w:tcPr>
                        <w:tcW w:w="1276" w:type="dxa"/>
                        <w:shd w:val="clear" w:color="auto" w:fill="FFFFFF"/>
                        <w:vAlign w:val="center"/>
                      </w:tcPr>
                      <w:p w14:paraId="17415CF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102 493</w:t>
                        </w:r>
                      </w:p>
                    </w:tc>
                    <w:tc>
                      <w:tcPr>
                        <w:tcW w:w="1276" w:type="dxa"/>
                        <w:shd w:val="clear" w:color="auto" w:fill="FFFFFF"/>
                        <w:vAlign w:val="center"/>
                      </w:tcPr>
                      <w:p w14:paraId="419898E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105 158</w:t>
                        </w:r>
                      </w:p>
                    </w:tc>
                    <w:tc>
                      <w:tcPr>
                        <w:tcW w:w="1276" w:type="dxa"/>
                        <w:shd w:val="clear" w:color="auto" w:fill="FFFFFF"/>
                        <w:vAlign w:val="center"/>
                      </w:tcPr>
                      <w:p w14:paraId="162E96C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107 787</w:t>
                        </w:r>
                      </w:p>
                    </w:tc>
                    <w:tc>
                      <w:tcPr>
                        <w:tcW w:w="1276" w:type="dxa"/>
                        <w:shd w:val="clear" w:color="auto" w:fill="FFFFFF"/>
                        <w:vAlign w:val="center"/>
                      </w:tcPr>
                      <w:p w14:paraId="145B8A45"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111 560</w:t>
                        </w:r>
                      </w:p>
                    </w:tc>
                  </w:tr>
                  <w:tr w:rsidR="002215D7" w:rsidRPr="00490A30" w14:paraId="712DDD3A" w14:textId="77777777" w:rsidTr="00940BD8">
                    <w:trPr>
                      <w:cantSplit/>
                    </w:trPr>
                    <w:tc>
                      <w:tcPr>
                        <w:tcW w:w="1276" w:type="dxa"/>
                        <w:shd w:val="clear" w:color="auto" w:fill="FFFFFF"/>
                      </w:tcPr>
                      <w:p w14:paraId="63C66D4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4E5B926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6</w:t>
                        </w:r>
                      </w:p>
                    </w:tc>
                    <w:tc>
                      <w:tcPr>
                        <w:tcW w:w="1276" w:type="dxa"/>
                        <w:shd w:val="clear" w:color="auto" w:fill="FFFFFF"/>
                        <w:vAlign w:val="center"/>
                      </w:tcPr>
                      <w:p w14:paraId="2A0CC0E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101 719</w:t>
                        </w:r>
                      </w:p>
                    </w:tc>
                    <w:tc>
                      <w:tcPr>
                        <w:tcW w:w="1276" w:type="dxa"/>
                        <w:shd w:val="clear" w:color="auto" w:fill="FFFFFF"/>
                        <w:vAlign w:val="center"/>
                      </w:tcPr>
                      <w:p w14:paraId="46503F7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104 567</w:t>
                        </w:r>
                      </w:p>
                    </w:tc>
                    <w:tc>
                      <w:tcPr>
                        <w:tcW w:w="1276" w:type="dxa"/>
                        <w:shd w:val="clear" w:color="auto" w:fill="FFFFFF"/>
                        <w:vAlign w:val="center"/>
                      </w:tcPr>
                      <w:p w14:paraId="0F9ECBB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107 286</w:t>
                        </w:r>
                      </w:p>
                    </w:tc>
                    <w:tc>
                      <w:tcPr>
                        <w:tcW w:w="1276" w:type="dxa"/>
                        <w:shd w:val="clear" w:color="auto" w:fill="FFFFFF"/>
                        <w:vAlign w:val="center"/>
                      </w:tcPr>
                      <w:p w14:paraId="59FAC489"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109 968</w:t>
                        </w:r>
                      </w:p>
                    </w:tc>
                    <w:tc>
                      <w:tcPr>
                        <w:tcW w:w="1276" w:type="dxa"/>
                        <w:shd w:val="clear" w:color="auto" w:fill="FFFFFF"/>
                        <w:vAlign w:val="center"/>
                      </w:tcPr>
                      <w:p w14:paraId="0452A26D"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113 817</w:t>
                        </w:r>
                      </w:p>
                    </w:tc>
                  </w:tr>
                  <w:tr w:rsidR="002215D7" w:rsidRPr="00490A30" w14:paraId="2917E759" w14:textId="77777777" w:rsidTr="00940BD8">
                    <w:trPr>
                      <w:cantSplit/>
                    </w:trPr>
                    <w:tc>
                      <w:tcPr>
                        <w:tcW w:w="1276" w:type="dxa"/>
                        <w:shd w:val="clear" w:color="auto" w:fill="FFFFFF"/>
                      </w:tcPr>
                      <w:p w14:paraId="078CEBA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III</w:t>
                        </w:r>
                      </w:p>
                    </w:tc>
                    <w:tc>
                      <w:tcPr>
                        <w:tcW w:w="992" w:type="dxa"/>
                        <w:shd w:val="clear" w:color="auto" w:fill="FFFFFF"/>
                      </w:tcPr>
                      <w:p w14:paraId="44399A52"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7</w:t>
                        </w:r>
                      </w:p>
                    </w:tc>
                    <w:tc>
                      <w:tcPr>
                        <w:tcW w:w="1276" w:type="dxa"/>
                        <w:shd w:val="clear" w:color="auto" w:fill="FFFFFF"/>
                        <w:vAlign w:val="center"/>
                      </w:tcPr>
                      <w:p w14:paraId="70E21327"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104 322</w:t>
                        </w:r>
                      </w:p>
                    </w:tc>
                    <w:tc>
                      <w:tcPr>
                        <w:tcW w:w="1276" w:type="dxa"/>
                        <w:shd w:val="clear" w:color="auto" w:fill="FFFFFF"/>
                        <w:vAlign w:val="center"/>
                      </w:tcPr>
                      <w:p w14:paraId="2C05B76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107 243</w:t>
                        </w:r>
                      </w:p>
                    </w:tc>
                    <w:tc>
                      <w:tcPr>
                        <w:tcW w:w="1276" w:type="dxa"/>
                        <w:shd w:val="clear" w:color="auto" w:fill="FFFFFF"/>
                        <w:vAlign w:val="center"/>
                      </w:tcPr>
                      <w:p w14:paraId="725ABEF7"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110 031</w:t>
                        </w:r>
                      </w:p>
                    </w:tc>
                    <w:tc>
                      <w:tcPr>
                        <w:tcW w:w="1276" w:type="dxa"/>
                        <w:shd w:val="clear" w:color="auto" w:fill="FFFFFF"/>
                        <w:vAlign w:val="center"/>
                      </w:tcPr>
                      <w:p w14:paraId="1E5CF8E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112 782</w:t>
                        </w:r>
                      </w:p>
                    </w:tc>
                    <w:tc>
                      <w:tcPr>
                        <w:tcW w:w="1276" w:type="dxa"/>
                        <w:shd w:val="clear" w:color="auto" w:fill="FFFFFF"/>
                        <w:vAlign w:val="center"/>
                      </w:tcPr>
                      <w:p w14:paraId="6FC664DA"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116 729</w:t>
                        </w:r>
                      </w:p>
                    </w:tc>
                  </w:tr>
                </w:tbl>
                <w:p w14:paraId="15130765" w14:textId="77777777" w:rsidR="002215D7" w:rsidRPr="00316277" w:rsidRDefault="002215D7" w:rsidP="00940BD8">
                  <w:pPr>
                    <w:keepLines/>
                    <w:widowControl w:val="0"/>
                    <w:autoSpaceDE w:val="0"/>
                    <w:autoSpaceDN w:val="0"/>
                    <w:adjustRightInd w:val="0"/>
                    <w:ind w:left="57"/>
                    <w:rPr>
                      <w:rFonts w:cs="Arial"/>
                      <w:color w:val="000000"/>
                      <w:sz w:val="20"/>
                    </w:rPr>
                  </w:pPr>
                </w:p>
              </w:tc>
            </w:tr>
            <w:tr w:rsidR="002215D7" w:rsidRPr="00490A30" w14:paraId="48A03DC8" w14:textId="77777777" w:rsidTr="00940BD8">
              <w:trPr>
                <w:cantSplit/>
              </w:trPr>
              <w:tc>
                <w:tcPr>
                  <w:tcW w:w="9923" w:type="dxa"/>
                  <w:shd w:val="clear" w:color="auto" w:fill="FFFFFF"/>
                </w:tcPr>
                <w:tbl>
                  <w:tblPr>
                    <w:tblW w:w="0" w:type="auto"/>
                    <w:tblInd w:w="306" w:type="dxa"/>
                    <w:tblLayout w:type="fixed"/>
                    <w:tblCellMar>
                      <w:left w:w="0" w:type="dxa"/>
                      <w:right w:w="0" w:type="dxa"/>
                    </w:tblCellMar>
                    <w:tblLook w:val="0000" w:firstRow="0" w:lastRow="0" w:firstColumn="0" w:lastColumn="0" w:noHBand="0" w:noVBand="0"/>
                  </w:tblPr>
                  <w:tblGrid>
                    <w:gridCol w:w="1276"/>
                    <w:gridCol w:w="992"/>
                    <w:gridCol w:w="1276"/>
                    <w:gridCol w:w="1276"/>
                    <w:gridCol w:w="1276"/>
                    <w:gridCol w:w="1276"/>
                    <w:gridCol w:w="1276"/>
                  </w:tblGrid>
                  <w:tr w:rsidR="002215D7" w:rsidRPr="00490A30" w14:paraId="747B0078" w14:textId="77777777" w:rsidTr="00940BD8">
                    <w:trPr>
                      <w:gridAfter w:val="2"/>
                      <w:wAfter w:w="2552" w:type="dxa"/>
                      <w:cantSplit/>
                    </w:trPr>
                    <w:tc>
                      <w:tcPr>
                        <w:tcW w:w="1276" w:type="dxa"/>
                        <w:shd w:val="clear" w:color="auto" w:fill="FFFFFF"/>
                        <w:vAlign w:val="center"/>
                      </w:tcPr>
                      <w:p w14:paraId="661B2B49" w14:textId="77777777" w:rsidR="002215D7" w:rsidRPr="00316277" w:rsidRDefault="002215D7" w:rsidP="00940BD8">
                        <w:pPr>
                          <w:keepLines/>
                          <w:widowControl w:val="0"/>
                          <w:autoSpaceDE w:val="0"/>
                          <w:autoSpaceDN w:val="0"/>
                          <w:adjustRightInd w:val="0"/>
                          <w:ind w:left="57" w:right="57"/>
                          <w:jc w:val="center"/>
                          <w:rPr>
                            <w:rFonts w:cs="Arial"/>
                            <w:b/>
                            <w:bCs/>
                            <w:color w:val="000000"/>
                            <w:sz w:val="20"/>
                          </w:rPr>
                        </w:pPr>
                        <w:r w:rsidRPr="00316277">
                          <w:rPr>
                            <w:rFonts w:cs="Arial"/>
                            <w:b/>
                            <w:bCs/>
                            <w:color w:val="000000"/>
                            <w:sz w:val="20"/>
                          </w:rPr>
                          <w:t xml:space="preserve"> </w:t>
                        </w:r>
                      </w:p>
                      <w:p w14:paraId="3B586DEE"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 xml:space="preserve"> </w:t>
                        </w:r>
                      </w:p>
                    </w:tc>
                    <w:tc>
                      <w:tcPr>
                        <w:tcW w:w="992" w:type="dxa"/>
                        <w:shd w:val="clear" w:color="auto" w:fill="FFFFFF"/>
                        <w:vAlign w:val="center"/>
                      </w:tcPr>
                      <w:p w14:paraId="4A7E1834"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vAlign w:val="center"/>
                      </w:tcPr>
                      <w:p w14:paraId="62736D70"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013A46C5"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33B9A851" w14:textId="77777777" w:rsidR="002215D7" w:rsidRPr="00316277" w:rsidRDefault="002215D7" w:rsidP="00940BD8">
                        <w:pPr>
                          <w:keepLines/>
                          <w:widowControl w:val="0"/>
                          <w:autoSpaceDE w:val="0"/>
                          <w:autoSpaceDN w:val="0"/>
                          <w:adjustRightInd w:val="0"/>
                          <w:ind w:left="57" w:right="57"/>
                          <w:rPr>
                            <w:rFonts w:cs="Arial"/>
                            <w:color w:val="000000"/>
                            <w:sz w:val="20"/>
                          </w:rPr>
                        </w:pPr>
                      </w:p>
                    </w:tc>
                  </w:tr>
                  <w:tr w:rsidR="002215D7" w:rsidRPr="00490A30" w14:paraId="74B590E6" w14:textId="77777777" w:rsidTr="00940BD8">
                    <w:trPr>
                      <w:cantSplit/>
                    </w:trPr>
                    <w:tc>
                      <w:tcPr>
                        <w:tcW w:w="1276" w:type="dxa"/>
                        <w:shd w:val="clear" w:color="auto" w:fill="FFFFFF"/>
                      </w:tcPr>
                      <w:p w14:paraId="2DCDE728"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4F29A673"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1</w:t>
                        </w:r>
                      </w:p>
                    </w:tc>
                    <w:tc>
                      <w:tcPr>
                        <w:tcW w:w="1276" w:type="dxa"/>
                        <w:shd w:val="clear" w:color="auto" w:fill="FFFFFF"/>
                        <w:vAlign w:val="center"/>
                      </w:tcPr>
                      <w:p w14:paraId="0BE3571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80 921</w:t>
                        </w:r>
                      </w:p>
                    </w:tc>
                    <w:tc>
                      <w:tcPr>
                        <w:tcW w:w="1276" w:type="dxa"/>
                        <w:shd w:val="clear" w:color="auto" w:fill="FFFFFF"/>
                        <w:vAlign w:val="center"/>
                      </w:tcPr>
                      <w:p w14:paraId="2B916BA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83 187</w:t>
                        </w:r>
                      </w:p>
                    </w:tc>
                    <w:tc>
                      <w:tcPr>
                        <w:tcW w:w="1276" w:type="dxa"/>
                        <w:shd w:val="clear" w:color="auto" w:fill="FFFFFF"/>
                        <w:vAlign w:val="center"/>
                      </w:tcPr>
                      <w:p w14:paraId="04DC563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85 350</w:t>
                        </w:r>
                      </w:p>
                    </w:tc>
                    <w:tc>
                      <w:tcPr>
                        <w:tcW w:w="1276" w:type="dxa"/>
                        <w:shd w:val="clear" w:color="auto" w:fill="FFFFFF"/>
                        <w:vAlign w:val="center"/>
                      </w:tcPr>
                      <w:p w14:paraId="13E34BD4"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87 484</w:t>
                        </w:r>
                      </w:p>
                    </w:tc>
                    <w:tc>
                      <w:tcPr>
                        <w:tcW w:w="1276" w:type="dxa"/>
                        <w:shd w:val="clear" w:color="auto" w:fill="FFFFFF"/>
                        <w:vAlign w:val="center"/>
                      </w:tcPr>
                      <w:p w14:paraId="11E0B612"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90 546</w:t>
                        </w:r>
                      </w:p>
                    </w:tc>
                  </w:tr>
                  <w:tr w:rsidR="002215D7" w:rsidRPr="00490A30" w14:paraId="79F45361" w14:textId="77777777" w:rsidTr="00940BD8">
                    <w:trPr>
                      <w:cantSplit/>
                    </w:trPr>
                    <w:tc>
                      <w:tcPr>
                        <w:tcW w:w="1276" w:type="dxa"/>
                        <w:shd w:val="clear" w:color="auto" w:fill="FFFFFF"/>
                      </w:tcPr>
                      <w:p w14:paraId="7484C8E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251B4D5C"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2</w:t>
                        </w:r>
                      </w:p>
                    </w:tc>
                    <w:tc>
                      <w:tcPr>
                        <w:tcW w:w="1276" w:type="dxa"/>
                        <w:shd w:val="clear" w:color="auto" w:fill="FFFFFF"/>
                        <w:vAlign w:val="center"/>
                      </w:tcPr>
                      <w:p w14:paraId="2373925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82 484</w:t>
                        </w:r>
                      </w:p>
                    </w:tc>
                    <w:tc>
                      <w:tcPr>
                        <w:tcW w:w="1276" w:type="dxa"/>
                        <w:shd w:val="clear" w:color="auto" w:fill="FFFFFF"/>
                        <w:vAlign w:val="center"/>
                      </w:tcPr>
                      <w:p w14:paraId="23C3191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84 794</w:t>
                        </w:r>
                      </w:p>
                    </w:tc>
                    <w:tc>
                      <w:tcPr>
                        <w:tcW w:w="1276" w:type="dxa"/>
                        <w:shd w:val="clear" w:color="auto" w:fill="FFFFFF"/>
                        <w:vAlign w:val="center"/>
                      </w:tcPr>
                      <w:p w14:paraId="0EA61AE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86 999</w:t>
                        </w:r>
                      </w:p>
                    </w:tc>
                    <w:tc>
                      <w:tcPr>
                        <w:tcW w:w="1276" w:type="dxa"/>
                        <w:shd w:val="clear" w:color="auto" w:fill="FFFFFF"/>
                        <w:vAlign w:val="center"/>
                      </w:tcPr>
                      <w:p w14:paraId="1563462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89 174</w:t>
                        </w:r>
                      </w:p>
                    </w:tc>
                    <w:tc>
                      <w:tcPr>
                        <w:tcW w:w="1276" w:type="dxa"/>
                        <w:shd w:val="clear" w:color="auto" w:fill="FFFFFF"/>
                        <w:vAlign w:val="center"/>
                      </w:tcPr>
                      <w:p w14:paraId="1C86C9B1"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92 295</w:t>
                        </w:r>
                      </w:p>
                    </w:tc>
                  </w:tr>
                  <w:tr w:rsidR="002215D7" w:rsidRPr="00490A30" w14:paraId="48ACC222" w14:textId="77777777" w:rsidTr="00940BD8">
                    <w:trPr>
                      <w:cantSplit/>
                    </w:trPr>
                    <w:tc>
                      <w:tcPr>
                        <w:tcW w:w="1276" w:type="dxa"/>
                        <w:shd w:val="clear" w:color="auto" w:fill="FFFFFF"/>
                      </w:tcPr>
                      <w:p w14:paraId="2D2FA667"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180F822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3</w:t>
                        </w:r>
                      </w:p>
                    </w:tc>
                    <w:tc>
                      <w:tcPr>
                        <w:tcW w:w="1276" w:type="dxa"/>
                        <w:shd w:val="clear" w:color="auto" w:fill="FFFFFF"/>
                        <w:vAlign w:val="center"/>
                      </w:tcPr>
                      <w:p w14:paraId="25FFF51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84 221</w:t>
                        </w:r>
                      </w:p>
                    </w:tc>
                    <w:tc>
                      <w:tcPr>
                        <w:tcW w:w="1276" w:type="dxa"/>
                        <w:shd w:val="clear" w:color="auto" w:fill="FFFFFF"/>
                        <w:vAlign w:val="center"/>
                      </w:tcPr>
                      <w:p w14:paraId="676B648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86 579</w:t>
                        </w:r>
                      </w:p>
                    </w:tc>
                    <w:tc>
                      <w:tcPr>
                        <w:tcW w:w="1276" w:type="dxa"/>
                        <w:shd w:val="clear" w:color="auto" w:fill="FFFFFF"/>
                        <w:vAlign w:val="center"/>
                      </w:tcPr>
                      <w:p w14:paraId="1DFC66B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88 830</w:t>
                        </w:r>
                      </w:p>
                    </w:tc>
                    <w:tc>
                      <w:tcPr>
                        <w:tcW w:w="1276" w:type="dxa"/>
                        <w:shd w:val="clear" w:color="auto" w:fill="FFFFFF"/>
                        <w:vAlign w:val="center"/>
                      </w:tcPr>
                      <w:p w14:paraId="76FD1B8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91 051</w:t>
                        </w:r>
                      </w:p>
                    </w:tc>
                    <w:tc>
                      <w:tcPr>
                        <w:tcW w:w="1276" w:type="dxa"/>
                        <w:shd w:val="clear" w:color="auto" w:fill="FFFFFF"/>
                        <w:vAlign w:val="center"/>
                      </w:tcPr>
                      <w:p w14:paraId="6715C17D"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94 238</w:t>
                        </w:r>
                      </w:p>
                    </w:tc>
                  </w:tr>
                  <w:tr w:rsidR="002215D7" w:rsidRPr="00490A30" w14:paraId="3E3B2BD0" w14:textId="77777777" w:rsidTr="00940BD8">
                    <w:trPr>
                      <w:cantSplit/>
                    </w:trPr>
                    <w:tc>
                      <w:tcPr>
                        <w:tcW w:w="1276" w:type="dxa"/>
                        <w:shd w:val="clear" w:color="auto" w:fill="FFFFFF"/>
                      </w:tcPr>
                      <w:p w14:paraId="26A07782"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751571F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4</w:t>
                        </w:r>
                      </w:p>
                    </w:tc>
                    <w:tc>
                      <w:tcPr>
                        <w:tcW w:w="1276" w:type="dxa"/>
                        <w:shd w:val="clear" w:color="auto" w:fill="FFFFFF"/>
                        <w:vAlign w:val="center"/>
                      </w:tcPr>
                      <w:p w14:paraId="52C121D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86 005</w:t>
                        </w:r>
                      </w:p>
                    </w:tc>
                    <w:tc>
                      <w:tcPr>
                        <w:tcW w:w="1276" w:type="dxa"/>
                        <w:shd w:val="clear" w:color="auto" w:fill="FFFFFF"/>
                        <w:vAlign w:val="center"/>
                      </w:tcPr>
                      <w:p w14:paraId="563BEF2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88 413</w:t>
                        </w:r>
                      </w:p>
                    </w:tc>
                    <w:tc>
                      <w:tcPr>
                        <w:tcW w:w="1276" w:type="dxa"/>
                        <w:shd w:val="clear" w:color="auto" w:fill="FFFFFF"/>
                        <w:vAlign w:val="center"/>
                      </w:tcPr>
                      <w:p w14:paraId="5453626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90 712</w:t>
                        </w:r>
                      </w:p>
                    </w:tc>
                    <w:tc>
                      <w:tcPr>
                        <w:tcW w:w="1276" w:type="dxa"/>
                        <w:shd w:val="clear" w:color="auto" w:fill="FFFFFF"/>
                        <w:vAlign w:val="center"/>
                      </w:tcPr>
                      <w:p w14:paraId="1DF3913E"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92 980</w:t>
                        </w:r>
                      </w:p>
                    </w:tc>
                    <w:tc>
                      <w:tcPr>
                        <w:tcW w:w="1276" w:type="dxa"/>
                        <w:shd w:val="clear" w:color="auto" w:fill="FFFFFF"/>
                        <w:vAlign w:val="center"/>
                      </w:tcPr>
                      <w:p w14:paraId="2417C05B"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96 234</w:t>
                        </w:r>
                      </w:p>
                    </w:tc>
                  </w:tr>
                  <w:tr w:rsidR="002215D7" w:rsidRPr="00490A30" w14:paraId="169423F8" w14:textId="77777777" w:rsidTr="00940BD8">
                    <w:trPr>
                      <w:cantSplit/>
                    </w:trPr>
                    <w:tc>
                      <w:tcPr>
                        <w:tcW w:w="1276" w:type="dxa"/>
                        <w:shd w:val="clear" w:color="auto" w:fill="FFFFFF"/>
                      </w:tcPr>
                      <w:p w14:paraId="7F0CB2B6"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2530DC64"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5</w:t>
                        </w:r>
                      </w:p>
                    </w:tc>
                    <w:tc>
                      <w:tcPr>
                        <w:tcW w:w="1276" w:type="dxa"/>
                        <w:shd w:val="clear" w:color="auto" w:fill="FFFFFF"/>
                        <w:vAlign w:val="center"/>
                      </w:tcPr>
                      <w:p w14:paraId="5E83ADE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87 853</w:t>
                        </w:r>
                      </w:p>
                    </w:tc>
                    <w:tc>
                      <w:tcPr>
                        <w:tcW w:w="1276" w:type="dxa"/>
                        <w:shd w:val="clear" w:color="auto" w:fill="FFFFFF"/>
                        <w:vAlign w:val="center"/>
                      </w:tcPr>
                      <w:p w14:paraId="7CB4A03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90 313</w:t>
                        </w:r>
                      </w:p>
                    </w:tc>
                    <w:tc>
                      <w:tcPr>
                        <w:tcW w:w="1276" w:type="dxa"/>
                        <w:shd w:val="clear" w:color="auto" w:fill="FFFFFF"/>
                        <w:vAlign w:val="center"/>
                      </w:tcPr>
                      <w:p w14:paraId="3873112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92 661</w:t>
                        </w:r>
                      </w:p>
                    </w:tc>
                    <w:tc>
                      <w:tcPr>
                        <w:tcW w:w="1276" w:type="dxa"/>
                        <w:shd w:val="clear" w:color="auto" w:fill="FFFFFF"/>
                        <w:vAlign w:val="center"/>
                      </w:tcPr>
                      <w:p w14:paraId="316607C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94 978</w:t>
                        </w:r>
                      </w:p>
                    </w:tc>
                    <w:tc>
                      <w:tcPr>
                        <w:tcW w:w="1276" w:type="dxa"/>
                        <w:shd w:val="clear" w:color="auto" w:fill="FFFFFF"/>
                        <w:vAlign w:val="center"/>
                      </w:tcPr>
                      <w:p w14:paraId="3244DB0C"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98 302</w:t>
                        </w:r>
                      </w:p>
                    </w:tc>
                  </w:tr>
                  <w:tr w:rsidR="002215D7" w:rsidRPr="00490A30" w14:paraId="7667CC25" w14:textId="77777777" w:rsidTr="00940BD8">
                    <w:trPr>
                      <w:cantSplit/>
                    </w:trPr>
                    <w:tc>
                      <w:tcPr>
                        <w:tcW w:w="1276" w:type="dxa"/>
                        <w:shd w:val="clear" w:color="auto" w:fill="FFFFFF"/>
                      </w:tcPr>
                      <w:p w14:paraId="4C3494F2"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1842D61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6</w:t>
                        </w:r>
                      </w:p>
                    </w:tc>
                    <w:tc>
                      <w:tcPr>
                        <w:tcW w:w="1276" w:type="dxa"/>
                        <w:shd w:val="clear" w:color="auto" w:fill="FFFFFF"/>
                        <w:vAlign w:val="center"/>
                      </w:tcPr>
                      <w:p w14:paraId="571B0EF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89 809</w:t>
                        </w:r>
                      </w:p>
                    </w:tc>
                    <w:tc>
                      <w:tcPr>
                        <w:tcW w:w="1276" w:type="dxa"/>
                        <w:shd w:val="clear" w:color="auto" w:fill="FFFFFF"/>
                        <w:vAlign w:val="center"/>
                      </w:tcPr>
                      <w:p w14:paraId="4419C377"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92 324</w:t>
                        </w:r>
                      </w:p>
                    </w:tc>
                    <w:tc>
                      <w:tcPr>
                        <w:tcW w:w="1276" w:type="dxa"/>
                        <w:shd w:val="clear" w:color="auto" w:fill="FFFFFF"/>
                        <w:vAlign w:val="center"/>
                      </w:tcPr>
                      <w:p w14:paraId="2B6C8CB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94 724</w:t>
                        </w:r>
                      </w:p>
                    </w:tc>
                    <w:tc>
                      <w:tcPr>
                        <w:tcW w:w="1276" w:type="dxa"/>
                        <w:shd w:val="clear" w:color="auto" w:fill="FFFFFF"/>
                        <w:vAlign w:val="center"/>
                      </w:tcPr>
                      <w:p w14:paraId="7E6006B3"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97 092</w:t>
                        </w:r>
                      </w:p>
                    </w:tc>
                    <w:tc>
                      <w:tcPr>
                        <w:tcW w:w="1276" w:type="dxa"/>
                        <w:shd w:val="clear" w:color="auto" w:fill="FFFFFF"/>
                        <w:vAlign w:val="center"/>
                      </w:tcPr>
                      <w:p w14:paraId="44EDEB47"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100 490</w:t>
                        </w:r>
                      </w:p>
                    </w:tc>
                  </w:tr>
                  <w:tr w:rsidR="002215D7" w:rsidRPr="00490A30" w14:paraId="6D6CE9D4" w14:textId="77777777" w:rsidTr="00940BD8">
                    <w:trPr>
                      <w:cantSplit/>
                    </w:trPr>
                    <w:tc>
                      <w:tcPr>
                        <w:tcW w:w="1276" w:type="dxa"/>
                        <w:shd w:val="clear" w:color="auto" w:fill="FFFFFF"/>
                      </w:tcPr>
                      <w:p w14:paraId="070FA0FB"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II</w:t>
                        </w:r>
                      </w:p>
                    </w:tc>
                    <w:tc>
                      <w:tcPr>
                        <w:tcW w:w="992" w:type="dxa"/>
                        <w:shd w:val="clear" w:color="auto" w:fill="FFFFFF"/>
                      </w:tcPr>
                      <w:p w14:paraId="7D9F6245"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7</w:t>
                        </w:r>
                      </w:p>
                    </w:tc>
                    <w:tc>
                      <w:tcPr>
                        <w:tcW w:w="1276" w:type="dxa"/>
                        <w:shd w:val="clear" w:color="auto" w:fill="FFFFFF"/>
                        <w:vAlign w:val="center"/>
                      </w:tcPr>
                      <w:p w14:paraId="6689EDE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91 862</w:t>
                        </w:r>
                      </w:p>
                    </w:tc>
                    <w:tc>
                      <w:tcPr>
                        <w:tcW w:w="1276" w:type="dxa"/>
                        <w:shd w:val="clear" w:color="auto" w:fill="FFFFFF"/>
                        <w:vAlign w:val="center"/>
                      </w:tcPr>
                      <w:p w14:paraId="54785BB5"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94 434</w:t>
                        </w:r>
                      </w:p>
                    </w:tc>
                    <w:tc>
                      <w:tcPr>
                        <w:tcW w:w="1276" w:type="dxa"/>
                        <w:shd w:val="clear" w:color="auto" w:fill="FFFFFF"/>
                        <w:vAlign w:val="center"/>
                      </w:tcPr>
                      <w:p w14:paraId="28630FB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96 889</w:t>
                        </w:r>
                      </w:p>
                    </w:tc>
                    <w:tc>
                      <w:tcPr>
                        <w:tcW w:w="1276" w:type="dxa"/>
                        <w:shd w:val="clear" w:color="auto" w:fill="FFFFFF"/>
                        <w:vAlign w:val="center"/>
                      </w:tcPr>
                      <w:p w14:paraId="7B5E949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99 311</w:t>
                        </w:r>
                      </w:p>
                    </w:tc>
                    <w:tc>
                      <w:tcPr>
                        <w:tcW w:w="1276" w:type="dxa"/>
                        <w:shd w:val="clear" w:color="auto" w:fill="FFFFFF"/>
                        <w:vAlign w:val="center"/>
                      </w:tcPr>
                      <w:p w14:paraId="7677CFD4"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102 787</w:t>
                        </w:r>
                      </w:p>
                    </w:tc>
                  </w:tr>
                </w:tbl>
                <w:p w14:paraId="065366ED" w14:textId="77777777" w:rsidR="002215D7" w:rsidRPr="00316277" w:rsidRDefault="002215D7" w:rsidP="00940BD8">
                  <w:pPr>
                    <w:keepLines/>
                    <w:widowControl w:val="0"/>
                    <w:autoSpaceDE w:val="0"/>
                    <w:autoSpaceDN w:val="0"/>
                    <w:adjustRightInd w:val="0"/>
                    <w:ind w:left="57"/>
                    <w:rPr>
                      <w:rFonts w:cs="Arial"/>
                      <w:color w:val="000000"/>
                      <w:sz w:val="20"/>
                    </w:rPr>
                  </w:pPr>
                </w:p>
              </w:tc>
            </w:tr>
            <w:tr w:rsidR="002215D7" w:rsidRPr="009C2F12" w14:paraId="00A5BFE9" w14:textId="77777777" w:rsidTr="00940BD8">
              <w:trPr>
                <w:cantSplit/>
              </w:trPr>
              <w:tc>
                <w:tcPr>
                  <w:tcW w:w="9923" w:type="dxa"/>
                  <w:shd w:val="clear" w:color="auto" w:fill="FFFFFF"/>
                </w:tcPr>
                <w:tbl>
                  <w:tblPr>
                    <w:tblW w:w="0" w:type="auto"/>
                    <w:tblInd w:w="306" w:type="dxa"/>
                    <w:tblLayout w:type="fixed"/>
                    <w:tblCellMar>
                      <w:left w:w="0" w:type="dxa"/>
                      <w:right w:w="0" w:type="dxa"/>
                    </w:tblCellMar>
                    <w:tblLook w:val="0000" w:firstRow="0" w:lastRow="0" w:firstColumn="0" w:lastColumn="0" w:noHBand="0" w:noVBand="0"/>
                  </w:tblPr>
                  <w:tblGrid>
                    <w:gridCol w:w="1276"/>
                    <w:gridCol w:w="992"/>
                    <w:gridCol w:w="1276"/>
                    <w:gridCol w:w="1276"/>
                    <w:gridCol w:w="1276"/>
                    <w:gridCol w:w="1276"/>
                    <w:gridCol w:w="1276"/>
                  </w:tblGrid>
                  <w:tr w:rsidR="002215D7" w:rsidRPr="00490A30" w14:paraId="1AB5BF35" w14:textId="77777777" w:rsidTr="00940BD8">
                    <w:trPr>
                      <w:gridAfter w:val="2"/>
                      <w:wAfter w:w="2552" w:type="dxa"/>
                      <w:cantSplit/>
                    </w:trPr>
                    <w:tc>
                      <w:tcPr>
                        <w:tcW w:w="1276" w:type="dxa"/>
                        <w:shd w:val="clear" w:color="auto" w:fill="FFFFFF"/>
                        <w:vAlign w:val="center"/>
                      </w:tcPr>
                      <w:p w14:paraId="466EF786" w14:textId="77777777" w:rsidR="002215D7" w:rsidRPr="00316277" w:rsidRDefault="002215D7" w:rsidP="00940BD8">
                        <w:pPr>
                          <w:keepLines/>
                          <w:widowControl w:val="0"/>
                          <w:autoSpaceDE w:val="0"/>
                          <w:autoSpaceDN w:val="0"/>
                          <w:adjustRightInd w:val="0"/>
                          <w:ind w:left="57" w:right="57"/>
                          <w:jc w:val="center"/>
                          <w:rPr>
                            <w:rFonts w:cs="Arial"/>
                            <w:b/>
                            <w:bCs/>
                            <w:color w:val="000000"/>
                            <w:sz w:val="20"/>
                          </w:rPr>
                        </w:pPr>
                      </w:p>
                      <w:p w14:paraId="2A1AAFAA" w14:textId="77777777" w:rsidR="002215D7" w:rsidRPr="00490A30" w:rsidRDefault="002215D7" w:rsidP="00940BD8">
                        <w:pPr>
                          <w:keepLines/>
                          <w:widowControl w:val="0"/>
                          <w:autoSpaceDE w:val="0"/>
                          <w:autoSpaceDN w:val="0"/>
                          <w:adjustRightInd w:val="0"/>
                          <w:ind w:left="57" w:right="57"/>
                          <w:jc w:val="center"/>
                          <w:rPr>
                            <w:rFonts w:cs="Arial"/>
                            <w:b/>
                            <w:bCs/>
                            <w:color w:val="000000"/>
                            <w:sz w:val="20"/>
                            <w:highlight w:val="lightGray"/>
                          </w:rPr>
                        </w:pPr>
                        <w:r w:rsidRPr="00316277">
                          <w:rPr>
                            <w:rFonts w:cs="Arial"/>
                            <w:b/>
                            <w:bCs/>
                            <w:color w:val="000000"/>
                            <w:sz w:val="20"/>
                          </w:rPr>
                          <w:t xml:space="preserve"> </w:t>
                        </w:r>
                      </w:p>
                    </w:tc>
                    <w:tc>
                      <w:tcPr>
                        <w:tcW w:w="992" w:type="dxa"/>
                        <w:shd w:val="clear" w:color="auto" w:fill="FFFFFF"/>
                        <w:vAlign w:val="center"/>
                      </w:tcPr>
                      <w:p w14:paraId="5CD1DA62"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vAlign w:val="center"/>
                      </w:tcPr>
                      <w:p w14:paraId="79B3C255"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003323D4" w14:textId="77777777" w:rsidR="002215D7" w:rsidRPr="00490A30" w:rsidRDefault="002215D7" w:rsidP="00940BD8">
                        <w:pPr>
                          <w:keepLines/>
                          <w:widowControl w:val="0"/>
                          <w:autoSpaceDE w:val="0"/>
                          <w:autoSpaceDN w:val="0"/>
                          <w:adjustRightInd w:val="0"/>
                          <w:ind w:left="57" w:right="57"/>
                          <w:rPr>
                            <w:rFonts w:cs="Arial"/>
                            <w:color w:val="000000"/>
                            <w:sz w:val="20"/>
                            <w:highlight w:val="lightGray"/>
                          </w:rPr>
                        </w:pPr>
                      </w:p>
                    </w:tc>
                    <w:tc>
                      <w:tcPr>
                        <w:tcW w:w="1276" w:type="dxa"/>
                        <w:shd w:val="clear" w:color="auto" w:fill="FFFFFF"/>
                      </w:tcPr>
                      <w:p w14:paraId="44F233B0" w14:textId="77777777" w:rsidR="002215D7" w:rsidRPr="00316277" w:rsidRDefault="002215D7" w:rsidP="00940BD8">
                        <w:pPr>
                          <w:keepLines/>
                          <w:widowControl w:val="0"/>
                          <w:autoSpaceDE w:val="0"/>
                          <w:autoSpaceDN w:val="0"/>
                          <w:adjustRightInd w:val="0"/>
                          <w:ind w:left="57" w:right="57"/>
                          <w:rPr>
                            <w:rFonts w:cs="Arial"/>
                            <w:color w:val="000000"/>
                            <w:sz w:val="20"/>
                          </w:rPr>
                        </w:pPr>
                      </w:p>
                    </w:tc>
                  </w:tr>
                  <w:tr w:rsidR="002215D7" w:rsidRPr="00490A30" w14:paraId="3DC3BD7E" w14:textId="77777777" w:rsidTr="00940BD8">
                    <w:trPr>
                      <w:cantSplit/>
                    </w:trPr>
                    <w:tc>
                      <w:tcPr>
                        <w:tcW w:w="1276" w:type="dxa"/>
                        <w:shd w:val="clear" w:color="auto" w:fill="FFFFFF"/>
                      </w:tcPr>
                      <w:p w14:paraId="4975151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2BB60B96"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1</w:t>
                        </w:r>
                      </w:p>
                    </w:tc>
                    <w:tc>
                      <w:tcPr>
                        <w:tcW w:w="1276" w:type="dxa"/>
                        <w:shd w:val="clear" w:color="auto" w:fill="FFFFFF"/>
                        <w:vAlign w:val="center"/>
                      </w:tcPr>
                      <w:p w14:paraId="01E74E3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69 205</w:t>
                        </w:r>
                      </w:p>
                    </w:tc>
                    <w:tc>
                      <w:tcPr>
                        <w:tcW w:w="1276" w:type="dxa"/>
                        <w:shd w:val="clear" w:color="auto" w:fill="FFFFFF"/>
                        <w:vAlign w:val="center"/>
                      </w:tcPr>
                      <w:p w14:paraId="21B13E59"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71 143</w:t>
                        </w:r>
                      </w:p>
                    </w:tc>
                    <w:tc>
                      <w:tcPr>
                        <w:tcW w:w="1276" w:type="dxa"/>
                        <w:shd w:val="clear" w:color="auto" w:fill="FFFFFF"/>
                        <w:vAlign w:val="center"/>
                      </w:tcPr>
                      <w:p w14:paraId="27B19B0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72 993</w:t>
                        </w:r>
                      </w:p>
                    </w:tc>
                    <w:tc>
                      <w:tcPr>
                        <w:tcW w:w="1276" w:type="dxa"/>
                        <w:shd w:val="clear" w:color="auto" w:fill="FFFFFF"/>
                        <w:vAlign w:val="center"/>
                      </w:tcPr>
                      <w:p w14:paraId="63960D79"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74 818</w:t>
                        </w:r>
                      </w:p>
                    </w:tc>
                    <w:tc>
                      <w:tcPr>
                        <w:tcW w:w="1276" w:type="dxa"/>
                        <w:shd w:val="clear" w:color="auto" w:fill="FFFFFF"/>
                        <w:vAlign w:val="center"/>
                      </w:tcPr>
                      <w:p w14:paraId="0E8FCD4D"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77 437</w:t>
                        </w:r>
                      </w:p>
                    </w:tc>
                  </w:tr>
                  <w:tr w:rsidR="002215D7" w:rsidRPr="00490A30" w14:paraId="38753BF3" w14:textId="77777777" w:rsidTr="00940BD8">
                    <w:trPr>
                      <w:cantSplit/>
                    </w:trPr>
                    <w:tc>
                      <w:tcPr>
                        <w:tcW w:w="1276" w:type="dxa"/>
                        <w:shd w:val="clear" w:color="auto" w:fill="FFFFFF"/>
                      </w:tcPr>
                      <w:p w14:paraId="19495F4C"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2ED995E4"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2</w:t>
                        </w:r>
                      </w:p>
                    </w:tc>
                    <w:tc>
                      <w:tcPr>
                        <w:tcW w:w="1276" w:type="dxa"/>
                        <w:shd w:val="clear" w:color="auto" w:fill="FFFFFF"/>
                        <w:vAlign w:val="center"/>
                      </w:tcPr>
                      <w:p w14:paraId="6C5816E7"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70 738</w:t>
                        </w:r>
                      </w:p>
                    </w:tc>
                    <w:tc>
                      <w:tcPr>
                        <w:tcW w:w="1276" w:type="dxa"/>
                        <w:shd w:val="clear" w:color="auto" w:fill="FFFFFF"/>
                        <w:vAlign w:val="center"/>
                      </w:tcPr>
                      <w:p w14:paraId="0A739C4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72 719</w:t>
                        </w:r>
                      </w:p>
                    </w:tc>
                    <w:tc>
                      <w:tcPr>
                        <w:tcW w:w="1276" w:type="dxa"/>
                        <w:shd w:val="clear" w:color="auto" w:fill="FFFFFF"/>
                        <w:vAlign w:val="center"/>
                      </w:tcPr>
                      <w:p w14:paraId="103EE2C1"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74 610</w:t>
                        </w:r>
                      </w:p>
                    </w:tc>
                    <w:tc>
                      <w:tcPr>
                        <w:tcW w:w="1276" w:type="dxa"/>
                        <w:shd w:val="clear" w:color="auto" w:fill="FFFFFF"/>
                        <w:vAlign w:val="center"/>
                      </w:tcPr>
                      <w:p w14:paraId="578DB7D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76 475</w:t>
                        </w:r>
                      </w:p>
                    </w:tc>
                    <w:tc>
                      <w:tcPr>
                        <w:tcW w:w="1276" w:type="dxa"/>
                        <w:shd w:val="clear" w:color="auto" w:fill="FFFFFF"/>
                        <w:vAlign w:val="center"/>
                      </w:tcPr>
                      <w:p w14:paraId="72D38A80"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79 152</w:t>
                        </w:r>
                      </w:p>
                    </w:tc>
                  </w:tr>
                  <w:tr w:rsidR="002215D7" w:rsidRPr="00490A30" w14:paraId="0019197B" w14:textId="77777777" w:rsidTr="00940BD8">
                    <w:trPr>
                      <w:cantSplit/>
                    </w:trPr>
                    <w:tc>
                      <w:tcPr>
                        <w:tcW w:w="1276" w:type="dxa"/>
                        <w:shd w:val="clear" w:color="auto" w:fill="FFFFFF"/>
                      </w:tcPr>
                      <w:p w14:paraId="04899F0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2EA6FA3B"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3</w:t>
                        </w:r>
                      </w:p>
                    </w:tc>
                    <w:tc>
                      <w:tcPr>
                        <w:tcW w:w="1276" w:type="dxa"/>
                        <w:shd w:val="clear" w:color="auto" w:fill="FFFFFF"/>
                        <w:vAlign w:val="center"/>
                      </w:tcPr>
                      <w:p w14:paraId="56DA7AB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72 469</w:t>
                        </w:r>
                      </w:p>
                    </w:tc>
                    <w:tc>
                      <w:tcPr>
                        <w:tcW w:w="1276" w:type="dxa"/>
                        <w:shd w:val="clear" w:color="auto" w:fill="FFFFFF"/>
                        <w:vAlign w:val="center"/>
                      </w:tcPr>
                      <w:p w14:paraId="16A334D9"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74 498</w:t>
                        </w:r>
                      </w:p>
                    </w:tc>
                    <w:tc>
                      <w:tcPr>
                        <w:tcW w:w="1276" w:type="dxa"/>
                        <w:shd w:val="clear" w:color="auto" w:fill="FFFFFF"/>
                        <w:vAlign w:val="center"/>
                      </w:tcPr>
                      <w:p w14:paraId="0E2F254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76 435</w:t>
                        </w:r>
                      </w:p>
                    </w:tc>
                    <w:tc>
                      <w:tcPr>
                        <w:tcW w:w="1276" w:type="dxa"/>
                        <w:shd w:val="clear" w:color="auto" w:fill="FFFFFF"/>
                        <w:vAlign w:val="center"/>
                      </w:tcPr>
                      <w:p w14:paraId="41B6C4D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78 346</w:t>
                        </w:r>
                      </w:p>
                    </w:tc>
                    <w:tc>
                      <w:tcPr>
                        <w:tcW w:w="1276" w:type="dxa"/>
                        <w:shd w:val="clear" w:color="auto" w:fill="FFFFFF"/>
                        <w:vAlign w:val="center"/>
                      </w:tcPr>
                      <w:p w14:paraId="1BAABCC9"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81 088</w:t>
                        </w:r>
                      </w:p>
                    </w:tc>
                  </w:tr>
                  <w:tr w:rsidR="002215D7" w:rsidRPr="00490A30" w14:paraId="431C86D0" w14:textId="77777777" w:rsidTr="00940BD8">
                    <w:trPr>
                      <w:cantSplit/>
                    </w:trPr>
                    <w:tc>
                      <w:tcPr>
                        <w:tcW w:w="1276" w:type="dxa"/>
                        <w:shd w:val="clear" w:color="auto" w:fill="FFFFFF"/>
                      </w:tcPr>
                      <w:p w14:paraId="5DF32879"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54648AEA"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4</w:t>
                        </w:r>
                      </w:p>
                    </w:tc>
                    <w:tc>
                      <w:tcPr>
                        <w:tcW w:w="1276" w:type="dxa"/>
                        <w:shd w:val="clear" w:color="auto" w:fill="FFFFFF"/>
                        <w:vAlign w:val="center"/>
                      </w:tcPr>
                      <w:p w14:paraId="30321C2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74 223</w:t>
                        </w:r>
                      </w:p>
                    </w:tc>
                    <w:tc>
                      <w:tcPr>
                        <w:tcW w:w="1276" w:type="dxa"/>
                        <w:shd w:val="clear" w:color="auto" w:fill="FFFFFF"/>
                        <w:vAlign w:val="center"/>
                      </w:tcPr>
                      <w:p w14:paraId="0D6E182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76 301</w:t>
                        </w:r>
                      </w:p>
                    </w:tc>
                    <w:tc>
                      <w:tcPr>
                        <w:tcW w:w="1276" w:type="dxa"/>
                        <w:shd w:val="clear" w:color="auto" w:fill="FFFFFF"/>
                        <w:vAlign w:val="center"/>
                      </w:tcPr>
                      <w:p w14:paraId="53A039F2"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78 285</w:t>
                        </w:r>
                      </w:p>
                    </w:tc>
                    <w:tc>
                      <w:tcPr>
                        <w:tcW w:w="1276" w:type="dxa"/>
                        <w:shd w:val="clear" w:color="auto" w:fill="FFFFFF"/>
                        <w:vAlign w:val="center"/>
                      </w:tcPr>
                      <w:p w14:paraId="44DBED34"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80 242</w:t>
                        </w:r>
                      </w:p>
                    </w:tc>
                    <w:tc>
                      <w:tcPr>
                        <w:tcW w:w="1276" w:type="dxa"/>
                        <w:shd w:val="clear" w:color="auto" w:fill="FFFFFF"/>
                        <w:vAlign w:val="center"/>
                      </w:tcPr>
                      <w:p w14:paraId="4427BA22"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83 050</w:t>
                        </w:r>
                      </w:p>
                    </w:tc>
                  </w:tr>
                  <w:tr w:rsidR="002215D7" w:rsidRPr="00490A30" w14:paraId="6EB2229C" w14:textId="77777777" w:rsidTr="00940BD8">
                    <w:trPr>
                      <w:cantSplit/>
                    </w:trPr>
                    <w:tc>
                      <w:tcPr>
                        <w:tcW w:w="1276" w:type="dxa"/>
                        <w:shd w:val="clear" w:color="auto" w:fill="FFFFFF"/>
                      </w:tcPr>
                      <w:p w14:paraId="386CB8F2"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3DFFFE85"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5</w:t>
                        </w:r>
                      </w:p>
                    </w:tc>
                    <w:tc>
                      <w:tcPr>
                        <w:tcW w:w="1276" w:type="dxa"/>
                        <w:shd w:val="clear" w:color="auto" w:fill="FFFFFF"/>
                        <w:vAlign w:val="center"/>
                      </w:tcPr>
                      <w:p w14:paraId="20D40FA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76 097</w:t>
                        </w:r>
                      </w:p>
                    </w:tc>
                    <w:tc>
                      <w:tcPr>
                        <w:tcW w:w="1276" w:type="dxa"/>
                        <w:shd w:val="clear" w:color="auto" w:fill="FFFFFF"/>
                        <w:vAlign w:val="center"/>
                      </w:tcPr>
                      <w:p w14:paraId="0269639F"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78 228</w:t>
                        </w:r>
                      </w:p>
                    </w:tc>
                    <w:tc>
                      <w:tcPr>
                        <w:tcW w:w="1276" w:type="dxa"/>
                        <w:shd w:val="clear" w:color="auto" w:fill="FFFFFF"/>
                        <w:vAlign w:val="center"/>
                      </w:tcPr>
                      <w:p w14:paraId="201F781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80 262</w:t>
                        </w:r>
                      </w:p>
                    </w:tc>
                    <w:tc>
                      <w:tcPr>
                        <w:tcW w:w="1276" w:type="dxa"/>
                        <w:shd w:val="clear" w:color="auto" w:fill="FFFFFF"/>
                        <w:vAlign w:val="center"/>
                      </w:tcPr>
                      <w:p w14:paraId="724F067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82 269</w:t>
                        </w:r>
                      </w:p>
                    </w:tc>
                    <w:tc>
                      <w:tcPr>
                        <w:tcW w:w="1276" w:type="dxa"/>
                        <w:shd w:val="clear" w:color="auto" w:fill="FFFFFF"/>
                        <w:vAlign w:val="center"/>
                      </w:tcPr>
                      <w:p w14:paraId="5CB6DFBC"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85 148</w:t>
                        </w:r>
                      </w:p>
                    </w:tc>
                  </w:tr>
                  <w:tr w:rsidR="002215D7" w:rsidRPr="00490A30" w14:paraId="7F6DBF01" w14:textId="77777777" w:rsidTr="00940BD8">
                    <w:trPr>
                      <w:cantSplit/>
                      <w:trHeight w:val="175"/>
                    </w:trPr>
                    <w:tc>
                      <w:tcPr>
                        <w:tcW w:w="1276" w:type="dxa"/>
                        <w:shd w:val="clear" w:color="auto" w:fill="FFFFFF"/>
                      </w:tcPr>
                      <w:p w14:paraId="42E6A96B"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25FE3355"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6</w:t>
                        </w:r>
                      </w:p>
                    </w:tc>
                    <w:tc>
                      <w:tcPr>
                        <w:tcW w:w="1276" w:type="dxa"/>
                        <w:shd w:val="clear" w:color="auto" w:fill="FFFFFF"/>
                        <w:vAlign w:val="center"/>
                      </w:tcPr>
                      <w:p w14:paraId="240405F8"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78 058</w:t>
                        </w:r>
                      </w:p>
                    </w:tc>
                    <w:tc>
                      <w:tcPr>
                        <w:tcW w:w="1276" w:type="dxa"/>
                        <w:shd w:val="clear" w:color="auto" w:fill="FFFFFF"/>
                        <w:vAlign w:val="center"/>
                      </w:tcPr>
                      <w:p w14:paraId="4965B683"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80 244</w:t>
                        </w:r>
                      </w:p>
                    </w:tc>
                    <w:tc>
                      <w:tcPr>
                        <w:tcW w:w="1276" w:type="dxa"/>
                        <w:shd w:val="clear" w:color="auto" w:fill="FFFFFF"/>
                        <w:vAlign w:val="center"/>
                      </w:tcPr>
                      <w:p w14:paraId="5E179B00"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82 330</w:t>
                        </w:r>
                      </w:p>
                    </w:tc>
                    <w:tc>
                      <w:tcPr>
                        <w:tcW w:w="1276" w:type="dxa"/>
                        <w:shd w:val="clear" w:color="auto" w:fill="FFFFFF"/>
                        <w:vAlign w:val="center"/>
                      </w:tcPr>
                      <w:p w14:paraId="4AA23FEB"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84 388</w:t>
                        </w:r>
                      </w:p>
                    </w:tc>
                    <w:tc>
                      <w:tcPr>
                        <w:tcW w:w="1276" w:type="dxa"/>
                        <w:shd w:val="clear" w:color="auto" w:fill="FFFFFF"/>
                        <w:vAlign w:val="center"/>
                      </w:tcPr>
                      <w:p w14:paraId="4D7AE9F2"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87 342</w:t>
                        </w:r>
                      </w:p>
                    </w:tc>
                  </w:tr>
                  <w:tr w:rsidR="002215D7" w:rsidRPr="00490A30" w14:paraId="10E734DB" w14:textId="77777777" w:rsidTr="00940BD8">
                    <w:trPr>
                      <w:cantSplit/>
                      <w:trHeight w:val="95"/>
                    </w:trPr>
                    <w:tc>
                      <w:tcPr>
                        <w:tcW w:w="1276" w:type="dxa"/>
                        <w:shd w:val="clear" w:color="auto" w:fill="FFFFFF"/>
                      </w:tcPr>
                      <w:p w14:paraId="30457E41"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I</w:t>
                        </w:r>
                      </w:p>
                    </w:tc>
                    <w:tc>
                      <w:tcPr>
                        <w:tcW w:w="992" w:type="dxa"/>
                        <w:shd w:val="clear" w:color="auto" w:fill="FFFFFF"/>
                      </w:tcPr>
                      <w:p w14:paraId="750944DF" w14:textId="77777777" w:rsidR="002215D7" w:rsidRPr="00490A30" w:rsidRDefault="002215D7" w:rsidP="00940BD8">
                        <w:pPr>
                          <w:keepLines/>
                          <w:widowControl w:val="0"/>
                          <w:autoSpaceDE w:val="0"/>
                          <w:autoSpaceDN w:val="0"/>
                          <w:adjustRightInd w:val="0"/>
                          <w:ind w:left="57" w:right="57"/>
                          <w:jc w:val="center"/>
                          <w:rPr>
                            <w:rFonts w:cs="Arial"/>
                            <w:color w:val="000000"/>
                            <w:sz w:val="20"/>
                            <w:highlight w:val="lightGray"/>
                          </w:rPr>
                        </w:pPr>
                        <w:r w:rsidRPr="00316277">
                          <w:rPr>
                            <w:rFonts w:cs="Arial"/>
                            <w:color w:val="000000"/>
                            <w:sz w:val="20"/>
                          </w:rPr>
                          <w:t>7</w:t>
                        </w:r>
                      </w:p>
                    </w:tc>
                    <w:tc>
                      <w:tcPr>
                        <w:tcW w:w="1276" w:type="dxa"/>
                        <w:shd w:val="clear" w:color="auto" w:fill="FFFFFF"/>
                        <w:vAlign w:val="center"/>
                      </w:tcPr>
                      <w:p w14:paraId="7FA4273A"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80 050</w:t>
                        </w:r>
                      </w:p>
                    </w:tc>
                    <w:tc>
                      <w:tcPr>
                        <w:tcW w:w="1276" w:type="dxa"/>
                        <w:shd w:val="clear" w:color="auto" w:fill="FFFFFF"/>
                        <w:vAlign w:val="center"/>
                      </w:tcPr>
                      <w:p w14:paraId="5781E4F7"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82 291</w:t>
                        </w:r>
                      </w:p>
                    </w:tc>
                    <w:tc>
                      <w:tcPr>
                        <w:tcW w:w="1276" w:type="dxa"/>
                        <w:shd w:val="clear" w:color="auto" w:fill="FFFFFF"/>
                        <w:vAlign w:val="center"/>
                      </w:tcPr>
                      <w:p w14:paraId="2D39AC2D"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84 431</w:t>
                        </w:r>
                      </w:p>
                    </w:tc>
                    <w:tc>
                      <w:tcPr>
                        <w:tcW w:w="1276" w:type="dxa"/>
                        <w:shd w:val="clear" w:color="auto" w:fill="FFFFFF"/>
                        <w:vAlign w:val="center"/>
                      </w:tcPr>
                      <w:p w14:paraId="188F0906" w14:textId="77777777" w:rsidR="002215D7" w:rsidRPr="00490A30" w:rsidRDefault="002215D7" w:rsidP="00940BD8">
                        <w:pPr>
                          <w:keepLines/>
                          <w:widowControl w:val="0"/>
                          <w:autoSpaceDE w:val="0"/>
                          <w:autoSpaceDN w:val="0"/>
                          <w:adjustRightInd w:val="0"/>
                          <w:ind w:left="57" w:right="311"/>
                          <w:jc w:val="right"/>
                          <w:rPr>
                            <w:rFonts w:cs="Arial"/>
                            <w:color w:val="000000"/>
                            <w:sz w:val="20"/>
                            <w:highlight w:val="lightGray"/>
                          </w:rPr>
                        </w:pPr>
                        <w:r w:rsidRPr="00316277">
                          <w:rPr>
                            <w:rFonts w:cs="Arial"/>
                            <w:color w:val="000000"/>
                            <w:sz w:val="20"/>
                          </w:rPr>
                          <w:t>86 542</w:t>
                        </w:r>
                      </w:p>
                    </w:tc>
                    <w:tc>
                      <w:tcPr>
                        <w:tcW w:w="1276" w:type="dxa"/>
                        <w:shd w:val="clear" w:color="auto" w:fill="FFFFFF"/>
                        <w:vAlign w:val="center"/>
                      </w:tcPr>
                      <w:p w14:paraId="4259FA61" w14:textId="77777777" w:rsidR="002215D7" w:rsidRPr="00316277" w:rsidRDefault="002215D7" w:rsidP="00940BD8">
                        <w:pPr>
                          <w:keepLines/>
                          <w:widowControl w:val="0"/>
                          <w:autoSpaceDE w:val="0"/>
                          <w:autoSpaceDN w:val="0"/>
                          <w:adjustRightInd w:val="0"/>
                          <w:ind w:left="57" w:right="311"/>
                          <w:jc w:val="right"/>
                          <w:rPr>
                            <w:rFonts w:cs="Arial"/>
                            <w:color w:val="000000"/>
                            <w:sz w:val="20"/>
                          </w:rPr>
                        </w:pPr>
                        <w:r w:rsidRPr="00316277">
                          <w:rPr>
                            <w:rFonts w:cs="Arial"/>
                            <w:color w:val="000000"/>
                            <w:sz w:val="20"/>
                          </w:rPr>
                          <w:t>89 571</w:t>
                        </w:r>
                      </w:p>
                    </w:tc>
                  </w:tr>
                </w:tbl>
                <w:p w14:paraId="10E37254" w14:textId="77777777" w:rsidR="002215D7" w:rsidRPr="00316277" w:rsidRDefault="002215D7" w:rsidP="00940BD8">
                  <w:pPr>
                    <w:keepLines/>
                    <w:widowControl w:val="0"/>
                    <w:autoSpaceDE w:val="0"/>
                    <w:autoSpaceDN w:val="0"/>
                    <w:adjustRightInd w:val="0"/>
                    <w:ind w:left="57"/>
                    <w:rPr>
                      <w:rFonts w:cs="Arial"/>
                      <w:color w:val="000000"/>
                      <w:sz w:val="20"/>
                    </w:rPr>
                  </w:pPr>
                </w:p>
              </w:tc>
            </w:tr>
          </w:tbl>
          <w:p w14:paraId="71BFF461" w14:textId="77777777" w:rsidR="002215D7" w:rsidRPr="009C2F12" w:rsidRDefault="002215D7" w:rsidP="00940BD8">
            <w:pPr>
              <w:widowControl w:val="0"/>
              <w:autoSpaceDE w:val="0"/>
              <w:autoSpaceDN w:val="0"/>
              <w:adjustRightInd w:val="0"/>
              <w:ind w:left="57"/>
              <w:rPr>
                <w:rFonts w:cs="Arial"/>
                <w:color w:val="000000"/>
                <w:sz w:val="20"/>
              </w:rPr>
            </w:pPr>
          </w:p>
        </w:tc>
      </w:tr>
    </w:tbl>
    <w:p w14:paraId="081D68DB" w14:textId="77777777" w:rsidR="002215D7" w:rsidRDefault="002215D7">
      <w:pPr>
        <w:keepNext w:val="0"/>
        <w:suppressAutoHyphens w:val="0"/>
        <w:jc w:val="left"/>
        <w:rPr>
          <w:b/>
          <w:bCs/>
          <w:caps/>
          <w:u w:val="single"/>
        </w:rPr>
      </w:pPr>
    </w:p>
    <w:p w14:paraId="359C5D4D" w14:textId="4352D95E" w:rsidR="00EB4CE0" w:rsidRDefault="00EB4CE0">
      <w:pPr>
        <w:keepNext w:val="0"/>
        <w:suppressAutoHyphens w:val="0"/>
        <w:jc w:val="left"/>
        <w:rPr>
          <w:b/>
          <w:bCs/>
          <w:caps/>
          <w:u w:val="single"/>
        </w:rPr>
      </w:pPr>
      <w:r>
        <w:rPr>
          <w:b/>
          <w:bCs/>
          <w:caps/>
          <w:u w:val="single"/>
        </w:rPr>
        <w:br w:type="page"/>
      </w:r>
    </w:p>
    <w:p w14:paraId="685BED78" w14:textId="290FE3F8" w:rsidR="000B1CC7" w:rsidRDefault="000B1CC7" w:rsidP="007F120F">
      <w:pPr>
        <w:keepNext w:val="0"/>
        <w:jc w:val="center"/>
        <w:rPr>
          <w:b/>
          <w:bCs/>
          <w:caps/>
          <w:u w:val="single"/>
        </w:rPr>
      </w:pPr>
      <w:r w:rsidRPr="00BC5626">
        <w:rPr>
          <w:b/>
          <w:bCs/>
          <w:caps/>
          <w:u w:val="single"/>
        </w:rPr>
        <w:t>TABLEAU E</w:t>
      </w:r>
    </w:p>
    <w:p w14:paraId="61A97BC1" w14:textId="77777777" w:rsidR="005D2237" w:rsidRPr="00BC5626" w:rsidRDefault="005D2237" w:rsidP="007F120F">
      <w:pPr>
        <w:keepNext w:val="0"/>
        <w:jc w:val="center"/>
        <w:rPr>
          <w:b/>
          <w:bCs/>
          <w:caps/>
          <w:u w:val="single"/>
        </w:rPr>
      </w:pPr>
    </w:p>
    <w:p w14:paraId="2C9BACE6" w14:textId="38FDB4A0" w:rsidR="000B1CC7" w:rsidRPr="00BC5626" w:rsidRDefault="001B2418" w:rsidP="007F120F">
      <w:pPr>
        <w:pStyle w:val="Selonlesdisp"/>
        <w:keepNext w:val="0"/>
        <w:rPr>
          <w:bCs/>
          <w:caps w:val="0"/>
          <w:u w:val="single"/>
        </w:rPr>
      </w:pPr>
      <w:r w:rsidRPr="00BC5626">
        <w:rPr>
          <w:bCs/>
          <w:caps w:val="0"/>
          <w:u w:val="single"/>
        </w:rPr>
        <w:t xml:space="preserve">MAJORATION DE TRAITEMENT </w:t>
      </w:r>
      <w:r w:rsidR="005D49EA" w:rsidRPr="00BC5626">
        <w:rPr>
          <w:bCs/>
          <w:caps w:val="0"/>
          <w:u w:val="single"/>
        </w:rPr>
        <w:t>POUR LES</w:t>
      </w:r>
      <w:r w:rsidR="000B1CC7" w:rsidRPr="00BC5626">
        <w:rPr>
          <w:bCs/>
          <w:caps w:val="0"/>
          <w:u w:val="single"/>
        </w:rPr>
        <w:t xml:space="preserve"> ENSEIGNANTES</w:t>
      </w:r>
      <w:r w:rsidR="000B1CC7" w:rsidRPr="00BC5626">
        <w:rPr>
          <w:bCs/>
          <w:caps w:val="0"/>
          <w:u w:val="single"/>
        </w:rPr>
        <w:br/>
        <w:t>ET ENSEIGNANTS EN AÉRONAUTIQUE</w:t>
      </w:r>
    </w:p>
    <w:p w14:paraId="1DD2AFEC" w14:textId="77777777" w:rsidR="001B2418" w:rsidRPr="00BC5626" w:rsidRDefault="001B2418" w:rsidP="007F120F">
      <w:pPr>
        <w:pStyle w:val="ListParagraph"/>
        <w:suppressAutoHyphens/>
        <w:spacing w:after="120"/>
        <w:rPr>
          <w:rFonts w:eastAsia="MS Mincho" w:cs="Arial"/>
          <w:szCs w:val="24"/>
        </w:rPr>
      </w:pPr>
    </w:p>
    <w:p w14:paraId="714D892F" w14:textId="680799F4" w:rsidR="007F47B0" w:rsidRPr="00BC5626" w:rsidRDefault="007F47B0" w:rsidP="007F120F">
      <w:pPr>
        <w:pStyle w:val="ListParagraph"/>
        <w:suppressAutoHyphens/>
        <w:ind w:left="0"/>
        <w:rPr>
          <w:rFonts w:cs="Arial"/>
          <w:szCs w:val="24"/>
        </w:rPr>
      </w:pPr>
      <w:r w:rsidRPr="00BC5626">
        <w:rPr>
          <w:rFonts w:eastAsia="MS Mincho" w:cs="Arial"/>
          <w:szCs w:val="24"/>
        </w:rPr>
        <w:t>À compter du 1</w:t>
      </w:r>
      <w:r w:rsidRPr="00BC5626">
        <w:rPr>
          <w:rFonts w:eastAsia="MS Mincho" w:cs="Arial"/>
          <w:szCs w:val="24"/>
          <w:vertAlign w:val="superscript"/>
        </w:rPr>
        <w:t>er</w:t>
      </w:r>
      <w:r w:rsidR="00490A30">
        <w:rPr>
          <w:rFonts w:eastAsia="MS Mincho" w:cs="Arial"/>
          <w:szCs w:val="24"/>
        </w:rPr>
        <w:t> </w:t>
      </w:r>
      <w:r w:rsidRPr="00BC5626">
        <w:rPr>
          <w:rFonts w:eastAsia="MS Mincho" w:cs="Arial"/>
          <w:szCs w:val="24"/>
        </w:rPr>
        <w:t>avril</w:t>
      </w:r>
      <w:r w:rsidR="00490A30">
        <w:rPr>
          <w:rFonts w:eastAsia="MS Mincho" w:cs="Arial"/>
          <w:szCs w:val="24"/>
        </w:rPr>
        <w:t> </w:t>
      </w:r>
      <w:r w:rsidR="00490A30" w:rsidRPr="00316277">
        <w:rPr>
          <w:rFonts w:eastAsia="MS Mincho" w:cs="Arial"/>
          <w:szCs w:val="24"/>
        </w:rPr>
        <w:t>2023</w:t>
      </w:r>
      <w:r w:rsidRPr="00BC5626">
        <w:rPr>
          <w:rFonts w:eastAsia="MS Mincho" w:cs="Arial"/>
          <w:szCs w:val="24"/>
        </w:rPr>
        <w:t xml:space="preserve">, l’enseignante ou l’enseignant au vol (avion ou hélicoptère) et l’enseignante ou l’enseignant au simulateur reçoit, à titre de compensation, une majoration de traitement </w:t>
      </w:r>
      <w:r w:rsidR="009476F4" w:rsidRPr="00BC5626">
        <w:rPr>
          <w:rFonts w:eastAsia="MS Mincho" w:cs="Arial"/>
          <w:szCs w:val="24"/>
        </w:rPr>
        <w:t xml:space="preserve">correspondant </w:t>
      </w:r>
      <w:r w:rsidR="002A5B50" w:rsidRPr="00BC5626">
        <w:rPr>
          <w:rFonts w:eastAsia="MS Mincho" w:cs="Arial"/>
          <w:szCs w:val="24"/>
        </w:rPr>
        <w:t>au tableau ci</w:t>
      </w:r>
      <w:r w:rsidR="00984A6F">
        <w:rPr>
          <w:rFonts w:eastAsia="MS Mincho" w:cs="Arial"/>
          <w:szCs w:val="24"/>
        </w:rPr>
        <w:noBreakHyphen/>
      </w:r>
      <w:r w:rsidR="002A5B50" w:rsidRPr="00BC5626">
        <w:rPr>
          <w:rFonts w:eastAsia="MS Mincho" w:cs="Arial"/>
          <w:szCs w:val="24"/>
        </w:rPr>
        <w:t>dessous</w:t>
      </w:r>
      <w:r w:rsidRPr="00BC5626">
        <w:rPr>
          <w:rFonts w:eastAsia="MS Mincho" w:cs="Arial"/>
          <w:szCs w:val="24"/>
        </w:rPr>
        <w:t>.</w:t>
      </w:r>
      <w:r w:rsidR="00C15347" w:rsidRPr="00BC5626">
        <w:rPr>
          <w:rFonts w:cs="Arial"/>
          <w:color w:val="000000"/>
          <w:szCs w:val="24"/>
        </w:rPr>
        <w:t xml:space="preserve"> </w:t>
      </w:r>
      <w:r w:rsidR="00490A30" w:rsidRPr="00316277">
        <w:rPr>
          <w:rFonts w:cs="Arial"/>
          <w:color w:val="000000"/>
          <w:szCs w:val="24"/>
        </w:rPr>
        <w:t>Elle comprend les majorations prévues aux clauses 6</w:t>
      </w:r>
      <w:r w:rsidR="00490A30" w:rsidRPr="00316277">
        <w:rPr>
          <w:rFonts w:cs="Arial"/>
          <w:color w:val="000000"/>
          <w:szCs w:val="24"/>
        </w:rPr>
        <w:noBreakHyphen/>
        <w:t>4.02 à 6</w:t>
      </w:r>
      <w:r w:rsidR="00490A30" w:rsidRPr="00316277">
        <w:rPr>
          <w:rFonts w:cs="Arial"/>
          <w:color w:val="000000"/>
          <w:szCs w:val="24"/>
        </w:rPr>
        <w:noBreakHyphen/>
        <w:t>4.06 et</w:t>
      </w:r>
      <w:r w:rsidR="00CE4A86" w:rsidRPr="00316277">
        <w:rPr>
          <w:rFonts w:cs="Arial"/>
          <w:color w:val="000000"/>
          <w:szCs w:val="24"/>
        </w:rPr>
        <w:t xml:space="preserve"> sera ajusté</w:t>
      </w:r>
      <w:r w:rsidR="00253005" w:rsidRPr="00316277">
        <w:rPr>
          <w:rFonts w:cs="Arial"/>
          <w:color w:val="000000"/>
          <w:szCs w:val="24"/>
        </w:rPr>
        <w:t>e</w:t>
      </w:r>
      <w:r w:rsidR="00CE4A86" w:rsidRPr="00316277">
        <w:rPr>
          <w:rFonts w:cs="Arial"/>
          <w:color w:val="000000"/>
          <w:szCs w:val="24"/>
        </w:rPr>
        <w:t xml:space="preserve"> selon</w:t>
      </w:r>
      <w:r w:rsidR="00490A30" w:rsidRPr="00316277">
        <w:rPr>
          <w:rFonts w:cs="Arial"/>
          <w:color w:val="000000"/>
          <w:szCs w:val="24"/>
        </w:rPr>
        <w:t xml:space="preserve"> </w:t>
      </w:r>
      <w:r w:rsidR="00B96771">
        <w:rPr>
          <w:rFonts w:cs="Arial"/>
          <w:color w:val="000000"/>
          <w:szCs w:val="24"/>
        </w:rPr>
        <w:t xml:space="preserve">la clause </w:t>
      </w:r>
      <w:r w:rsidR="00F25CC8" w:rsidRPr="00316277">
        <w:rPr>
          <w:rFonts w:cs="Arial"/>
          <w:color w:val="000000"/>
          <w:szCs w:val="24"/>
        </w:rPr>
        <w:t>6-4.07</w:t>
      </w:r>
      <w:r w:rsidR="00490A30" w:rsidRPr="00316277">
        <w:rPr>
          <w:rFonts w:cs="Arial"/>
          <w:color w:val="000000"/>
          <w:szCs w:val="24"/>
        </w:rPr>
        <w:t>, le cas échéant.</w:t>
      </w:r>
    </w:p>
    <w:p w14:paraId="4694CBC8" w14:textId="77777777" w:rsidR="007F47B0" w:rsidRPr="00BC5626" w:rsidRDefault="007F47B0" w:rsidP="007F120F">
      <w:pPr>
        <w:keepNext w:val="0"/>
      </w:pPr>
    </w:p>
    <w:p w14:paraId="555A8D4C" w14:textId="77777777" w:rsidR="007F47B0" w:rsidRPr="00BC5626" w:rsidRDefault="007F47B0" w:rsidP="007F120F">
      <w:pPr>
        <w:pStyle w:val="ListParagraph"/>
        <w:suppressAutoHyphens/>
        <w:ind w:left="0"/>
        <w:rPr>
          <w:rFonts w:eastAsia="MS Mincho" w:cs="Arial"/>
          <w:szCs w:val="24"/>
        </w:rPr>
      </w:pPr>
      <w:r w:rsidRPr="00BC5626">
        <w:rPr>
          <w:rFonts w:eastAsia="MS Mincho" w:cs="Arial"/>
          <w:szCs w:val="24"/>
        </w:rPr>
        <w:t>Cette majoration de traitement est admissible au régime de retraite.</w:t>
      </w:r>
    </w:p>
    <w:p w14:paraId="06E8F35F" w14:textId="6A6B1D3A" w:rsidR="00D15CC0" w:rsidRDefault="00D15CC0" w:rsidP="00490A30">
      <w:pPr>
        <w:pStyle w:val="Article59delaloi37"/>
        <w:keepNext w:val="0"/>
        <w:spacing w:before="0"/>
      </w:pPr>
    </w:p>
    <w:tbl>
      <w:tblPr>
        <w:tblStyle w:val="Grilledutableau1"/>
        <w:tblW w:w="8136" w:type="dxa"/>
        <w:jc w:val="center"/>
        <w:tblLook w:val="04A0" w:firstRow="1" w:lastRow="0" w:firstColumn="1" w:lastColumn="0" w:noHBand="0" w:noVBand="1"/>
      </w:tblPr>
      <w:tblGrid>
        <w:gridCol w:w="1560"/>
        <w:gridCol w:w="1887"/>
        <w:gridCol w:w="1563"/>
        <w:gridCol w:w="1563"/>
        <w:gridCol w:w="1563"/>
      </w:tblGrid>
      <w:tr w:rsidR="00490A30" w:rsidRPr="00490A30" w14:paraId="083304F7" w14:textId="77777777" w:rsidTr="00940BD8">
        <w:trPr>
          <w:jc w:val="center"/>
        </w:trPr>
        <w:tc>
          <w:tcPr>
            <w:tcW w:w="1560" w:type="dxa"/>
            <w:tcBorders>
              <w:top w:val="single" w:sz="12" w:space="0" w:color="auto"/>
              <w:left w:val="nil"/>
              <w:bottom w:val="single" w:sz="8" w:space="0" w:color="auto"/>
              <w:right w:val="nil"/>
            </w:tcBorders>
            <w:shd w:val="clear" w:color="auto" w:fill="auto"/>
            <w:vAlign w:val="center"/>
          </w:tcPr>
          <w:p w14:paraId="767DE4F4" w14:textId="77777777" w:rsidR="00490A30" w:rsidRPr="00316277" w:rsidRDefault="00490A30" w:rsidP="00940BD8">
            <w:pPr>
              <w:keepNext w:val="0"/>
              <w:jc w:val="center"/>
              <w:rPr>
                <w:rFonts w:cs="Arial"/>
                <w:b/>
                <w:szCs w:val="24"/>
              </w:rPr>
            </w:pPr>
            <w:r w:rsidRPr="00316277">
              <w:rPr>
                <w:rFonts w:cs="Arial"/>
                <w:b/>
                <w:szCs w:val="24"/>
              </w:rPr>
              <w:t xml:space="preserve">Taux du </w:t>
            </w:r>
          </w:p>
          <w:p w14:paraId="56C55482" w14:textId="77777777" w:rsidR="00490A30" w:rsidRPr="00316277" w:rsidRDefault="00490A30" w:rsidP="00940BD8">
            <w:pPr>
              <w:keepNext w:val="0"/>
              <w:jc w:val="center"/>
              <w:rPr>
                <w:rFonts w:cs="Arial"/>
                <w:b/>
                <w:szCs w:val="24"/>
              </w:rPr>
            </w:pPr>
            <w:r w:rsidRPr="00316277">
              <w:rPr>
                <w:rFonts w:cs="Arial"/>
                <w:b/>
                <w:szCs w:val="24"/>
              </w:rPr>
              <w:t>2023</w:t>
            </w:r>
            <w:r w:rsidRPr="00316277">
              <w:rPr>
                <w:rFonts w:cs="Arial"/>
                <w:b/>
                <w:szCs w:val="24"/>
              </w:rPr>
              <w:noBreakHyphen/>
              <w:t>04</w:t>
            </w:r>
            <w:r w:rsidRPr="00316277">
              <w:rPr>
                <w:rFonts w:cs="Arial"/>
                <w:b/>
                <w:szCs w:val="24"/>
              </w:rPr>
              <w:noBreakHyphen/>
              <w:t xml:space="preserve">01 </w:t>
            </w:r>
          </w:p>
          <w:p w14:paraId="6B47E068" w14:textId="77777777" w:rsidR="00490A30" w:rsidRPr="00316277" w:rsidRDefault="00490A30" w:rsidP="00940BD8">
            <w:pPr>
              <w:keepNext w:val="0"/>
              <w:jc w:val="center"/>
              <w:rPr>
                <w:rFonts w:cs="Arial"/>
                <w:b/>
                <w:szCs w:val="24"/>
              </w:rPr>
            </w:pPr>
            <w:r w:rsidRPr="00316277">
              <w:rPr>
                <w:rFonts w:cs="Arial"/>
                <w:b/>
                <w:szCs w:val="24"/>
              </w:rPr>
              <w:t xml:space="preserve">au </w:t>
            </w:r>
          </w:p>
          <w:p w14:paraId="3F78E62D" w14:textId="77777777" w:rsidR="00490A30" w:rsidRPr="00316277" w:rsidRDefault="00490A30" w:rsidP="00940BD8">
            <w:pPr>
              <w:keepNext w:val="0"/>
              <w:jc w:val="center"/>
              <w:rPr>
                <w:rFonts w:cs="Arial"/>
                <w:b/>
                <w:szCs w:val="24"/>
              </w:rPr>
            </w:pPr>
            <w:r w:rsidRPr="00316277">
              <w:rPr>
                <w:rFonts w:cs="Arial"/>
                <w:b/>
                <w:szCs w:val="24"/>
              </w:rPr>
              <w:t>2024</w:t>
            </w:r>
            <w:r w:rsidRPr="00316277">
              <w:rPr>
                <w:rFonts w:cs="Arial"/>
                <w:b/>
                <w:szCs w:val="24"/>
              </w:rPr>
              <w:noBreakHyphen/>
              <w:t>03</w:t>
            </w:r>
            <w:r w:rsidRPr="00316277">
              <w:rPr>
                <w:rFonts w:cs="Arial"/>
                <w:b/>
                <w:szCs w:val="24"/>
              </w:rPr>
              <w:noBreakHyphen/>
              <w:t>31</w:t>
            </w:r>
          </w:p>
          <w:p w14:paraId="1C231182" w14:textId="77777777" w:rsidR="00490A30" w:rsidRPr="00490A30" w:rsidRDefault="00490A30" w:rsidP="00940BD8">
            <w:pPr>
              <w:keepNext w:val="0"/>
              <w:jc w:val="center"/>
              <w:rPr>
                <w:rFonts w:cs="Arial"/>
                <w:b/>
                <w:szCs w:val="24"/>
                <w:highlight w:val="lightGray"/>
              </w:rPr>
            </w:pPr>
            <w:r w:rsidRPr="00316277">
              <w:rPr>
                <w:rFonts w:cs="Arial"/>
                <w:b/>
                <w:szCs w:val="24"/>
              </w:rPr>
              <w:t>($)</w:t>
            </w:r>
          </w:p>
        </w:tc>
        <w:tc>
          <w:tcPr>
            <w:tcW w:w="1887" w:type="dxa"/>
            <w:tcBorders>
              <w:top w:val="single" w:sz="12" w:space="0" w:color="auto"/>
              <w:left w:val="nil"/>
              <w:bottom w:val="single" w:sz="8" w:space="0" w:color="auto"/>
              <w:right w:val="nil"/>
            </w:tcBorders>
            <w:shd w:val="clear" w:color="auto" w:fill="auto"/>
          </w:tcPr>
          <w:p w14:paraId="086374CF" w14:textId="77777777" w:rsidR="00490A30" w:rsidRPr="00316277" w:rsidRDefault="00490A30" w:rsidP="00940BD8">
            <w:pPr>
              <w:keepNext w:val="0"/>
              <w:jc w:val="center"/>
              <w:rPr>
                <w:rFonts w:cs="Arial"/>
                <w:b/>
                <w:szCs w:val="24"/>
              </w:rPr>
            </w:pPr>
            <w:r w:rsidRPr="00316277">
              <w:rPr>
                <w:rFonts w:cs="Arial"/>
                <w:b/>
                <w:szCs w:val="24"/>
              </w:rPr>
              <w:t xml:space="preserve">Taux du </w:t>
            </w:r>
            <w:r w:rsidRPr="00316277">
              <w:rPr>
                <w:rFonts w:cs="Arial"/>
                <w:b/>
                <w:szCs w:val="24"/>
              </w:rPr>
              <w:br/>
              <w:t>2024</w:t>
            </w:r>
            <w:r w:rsidRPr="00316277">
              <w:rPr>
                <w:rFonts w:cs="Arial"/>
                <w:b/>
                <w:szCs w:val="24"/>
              </w:rPr>
              <w:noBreakHyphen/>
              <w:t>04</w:t>
            </w:r>
            <w:r w:rsidRPr="00316277">
              <w:rPr>
                <w:rFonts w:cs="Arial"/>
                <w:b/>
                <w:szCs w:val="24"/>
              </w:rPr>
              <w:noBreakHyphen/>
              <w:t>01</w:t>
            </w:r>
          </w:p>
          <w:p w14:paraId="6A84CEBC" w14:textId="77777777" w:rsidR="00490A30" w:rsidRPr="00316277" w:rsidRDefault="00490A30" w:rsidP="00940BD8">
            <w:pPr>
              <w:keepNext w:val="0"/>
              <w:jc w:val="center"/>
              <w:rPr>
                <w:rFonts w:cs="Arial"/>
                <w:b/>
                <w:szCs w:val="24"/>
              </w:rPr>
            </w:pPr>
            <w:r w:rsidRPr="00316277">
              <w:rPr>
                <w:rFonts w:cs="Arial"/>
                <w:b/>
                <w:szCs w:val="24"/>
              </w:rPr>
              <w:t>au</w:t>
            </w:r>
          </w:p>
          <w:p w14:paraId="03FC0294" w14:textId="77777777" w:rsidR="00490A30" w:rsidRPr="00316277" w:rsidRDefault="00490A30" w:rsidP="00940BD8">
            <w:pPr>
              <w:keepNext w:val="0"/>
              <w:jc w:val="center"/>
              <w:rPr>
                <w:rFonts w:cs="Arial"/>
                <w:b/>
                <w:szCs w:val="24"/>
              </w:rPr>
            </w:pPr>
            <w:r w:rsidRPr="00316277">
              <w:rPr>
                <w:rFonts w:cs="Arial"/>
                <w:b/>
                <w:szCs w:val="24"/>
              </w:rPr>
              <w:t>2025</w:t>
            </w:r>
            <w:r w:rsidRPr="00316277">
              <w:rPr>
                <w:rFonts w:cs="Arial"/>
                <w:b/>
                <w:szCs w:val="24"/>
              </w:rPr>
              <w:noBreakHyphen/>
              <w:t>03</w:t>
            </w:r>
            <w:r w:rsidRPr="00316277">
              <w:rPr>
                <w:rFonts w:cs="Arial"/>
                <w:b/>
                <w:szCs w:val="24"/>
              </w:rPr>
              <w:noBreakHyphen/>
              <w:t>31</w:t>
            </w:r>
          </w:p>
          <w:p w14:paraId="75FB9A0A" w14:textId="77777777" w:rsidR="00490A30" w:rsidRPr="00490A30" w:rsidRDefault="00490A30" w:rsidP="00940BD8">
            <w:pPr>
              <w:keepNext w:val="0"/>
              <w:jc w:val="center"/>
              <w:rPr>
                <w:rFonts w:cs="Arial"/>
                <w:b/>
                <w:szCs w:val="24"/>
                <w:highlight w:val="lightGray"/>
              </w:rPr>
            </w:pPr>
            <w:r w:rsidRPr="00316277">
              <w:rPr>
                <w:rFonts w:cs="Arial"/>
                <w:b/>
                <w:szCs w:val="24"/>
              </w:rPr>
              <w:t>($)</w:t>
            </w:r>
          </w:p>
        </w:tc>
        <w:tc>
          <w:tcPr>
            <w:tcW w:w="1563" w:type="dxa"/>
            <w:tcBorders>
              <w:top w:val="single" w:sz="12" w:space="0" w:color="auto"/>
              <w:left w:val="nil"/>
              <w:bottom w:val="single" w:sz="8" w:space="0" w:color="auto"/>
              <w:right w:val="nil"/>
            </w:tcBorders>
            <w:vAlign w:val="center"/>
          </w:tcPr>
          <w:p w14:paraId="50516D44" w14:textId="77777777" w:rsidR="00490A30" w:rsidRPr="00316277" w:rsidRDefault="00490A30" w:rsidP="00940BD8">
            <w:pPr>
              <w:keepNext w:val="0"/>
              <w:jc w:val="center"/>
              <w:rPr>
                <w:rFonts w:cs="Arial"/>
                <w:b/>
                <w:szCs w:val="24"/>
              </w:rPr>
            </w:pPr>
            <w:r w:rsidRPr="00316277">
              <w:rPr>
                <w:rFonts w:cs="Arial"/>
                <w:b/>
                <w:szCs w:val="24"/>
              </w:rPr>
              <w:t xml:space="preserve">Taux du </w:t>
            </w:r>
          </w:p>
          <w:p w14:paraId="5ED99874" w14:textId="77777777" w:rsidR="00490A30" w:rsidRPr="00316277" w:rsidRDefault="00490A30" w:rsidP="00940BD8">
            <w:pPr>
              <w:keepNext w:val="0"/>
              <w:jc w:val="center"/>
              <w:rPr>
                <w:rFonts w:cs="Arial"/>
                <w:b/>
                <w:szCs w:val="24"/>
              </w:rPr>
            </w:pPr>
            <w:r w:rsidRPr="00316277">
              <w:rPr>
                <w:rFonts w:cs="Arial"/>
                <w:b/>
                <w:szCs w:val="24"/>
              </w:rPr>
              <w:t>2025</w:t>
            </w:r>
            <w:r w:rsidRPr="00316277">
              <w:rPr>
                <w:rFonts w:cs="Arial"/>
                <w:b/>
                <w:szCs w:val="24"/>
              </w:rPr>
              <w:noBreakHyphen/>
              <w:t>04</w:t>
            </w:r>
            <w:r w:rsidRPr="00316277">
              <w:rPr>
                <w:rFonts w:cs="Arial"/>
                <w:b/>
                <w:szCs w:val="24"/>
              </w:rPr>
              <w:noBreakHyphen/>
              <w:t xml:space="preserve">01 </w:t>
            </w:r>
          </w:p>
          <w:p w14:paraId="5CBA704F" w14:textId="77777777" w:rsidR="00490A30" w:rsidRPr="00316277" w:rsidRDefault="00490A30" w:rsidP="00940BD8">
            <w:pPr>
              <w:keepNext w:val="0"/>
              <w:jc w:val="center"/>
              <w:rPr>
                <w:rFonts w:cs="Arial"/>
                <w:b/>
                <w:szCs w:val="24"/>
              </w:rPr>
            </w:pPr>
            <w:r w:rsidRPr="00316277">
              <w:rPr>
                <w:rFonts w:cs="Arial"/>
                <w:b/>
                <w:szCs w:val="24"/>
              </w:rPr>
              <w:t xml:space="preserve">au </w:t>
            </w:r>
          </w:p>
          <w:p w14:paraId="77735C30" w14:textId="77777777" w:rsidR="00490A30" w:rsidRPr="00316277" w:rsidRDefault="00490A30" w:rsidP="00940BD8">
            <w:pPr>
              <w:keepNext w:val="0"/>
              <w:jc w:val="center"/>
              <w:rPr>
                <w:rFonts w:cs="Arial"/>
                <w:b/>
                <w:szCs w:val="24"/>
              </w:rPr>
            </w:pPr>
            <w:r w:rsidRPr="00316277">
              <w:rPr>
                <w:rFonts w:cs="Arial"/>
                <w:b/>
                <w:szCs w:val="24"/>
              </w:rPr>
              <w:t>2026</w:t>
            </w:r>
            <w:r w:rsidRPr="00316277">
              <w:rPr>
                <w:rFonts w:cs="Arial"/>
                <w:b/>
                <w:szCs w:val="24"/>
              </w:rPr>
              <w:noBreakHyphen/>
              <w:t>03</w:t>
            </w:r>
            <w:r w:rsidRPr="00316277">
              <w:rPr>
                <w:rFonts w:cs="Arial"/>
                <w:b/>
                <w:szCs w:val="24"/>
              </w:rPr>
              <w:noBreakHyphen/>
              <w:t>31</w:t>
            </w:r>
          </w:p>
          <w:p w14:paraId="1FA4A74F" w14:textId="77777777" w:rsidR="00490A30" w:rsidRPr="00490A30" w:rsidRDefault="00490A30" w:rsidP="00940BD8">
            <w:pPr>
              <w:keepNext w:val="0"/>
              <w:jc w:val="center"/>
              <w:rPr>
                <w:rFonts w:cs="Arial"/>
                <w:b/>
                <w:szCs w:val="24"/>
                <w:highlight w:val="lightGray"/>
              </w:rPr>
            </w:pPr>
            <w:r w:rsidRPr="00316277">
              <w:rPr>
                <w:rFonts w:cs="Arial"/>
                <w:b/>
                <w:szCs w:val="24"/>
              </w:rPr>
              <w:t>($)</w:t>
            </w:r>
          </w:p>
        </w:tc>
        <w:tc>
          <w:tcPr>
            <w:tcW w:w="1563" w:type="dxa"/>
            <w:tcBorders>
              <w:top w:val="single" w:sz="12" w:space="0" w:color="auto"/>
              <w:left w:val="nil"/>
              <w:bottom w:val="single" w:sz="8" w:space="0" w:color="auto"/>
              <w:right w:val="nil"/>
            </w:tcBorders>
            <w:vAlign w:val="center"/>
          </w:tcPr>
          <w:p w14:paraId="0AB33D92" w14:textId="77777777" w:rsidR="00490A30" w:rsidRPr="00316277" w:rsidRDefault="00490A30" w:rsidP="00940BD8">
            <w:pPr>
              <w:keepNext w:val="0"/>
              <w:jc w:val="center"/>
              <w:rPr>
                <w:rFonts w:cs="Arial"/>
                <w:b/>
                <w:szCs w:val="24"/>
              </w:rPr>
            </w:pPr>
            <w:r w:rsidRPr="00316277">
              <w:rPr>
                <w:rFonts w:cs="Arial"/>
                <w:b/>
                <w:szCs w:val="24"/>
              </w:rPr>
              <w:t xml:space="preserve">Taux du </w:t>
            </w:r>
          </w:p>
          <w:p w14:paraId="194DC28A" w14:textId="77777777" w:rsidR="00490A30" w:rsidRPr="00316277" w:rsidRDefault="00490A30" w:rsidP="00940BD8">
            <w:pPr>
              <w:keepNext w:val="0"/>
              <w:jc w:val="center"/>
              <w:rPr>
                <w:rFonts w:cs="Arial"/>
                <w:b/>
                <w:szCs w:val="24"/>
              </w:rPr>
            </w:pPr>
            <w:r w:rsidRPr="00316277">
              <w:rPr>
                <w:rFonts w:cs="Arial"/>
                <w:b/>
                <w:szCs w:val="24"/>
              </w:rPr>
              <w:t>2026</w:t>
            </w:r>
            <w:r w:rsidRPr="00316277">
              <w:rPr>
                <w:rFonts w:cs="Arial"/>
                <w:b/>
                <w:szCs w:val="24"/>
              </w:rPr>
              <w:noBreakHyphen/>
              <w:t>04</w:t>
            </w:r>
            <w:r w:rsidRPr="00316277">
              <w:rPr>
                <w:rFonts w:cs="Arial"/>
                <w:b/>
                <w:szCs w:val="24"/>
              </w:rPr>
              <w:noBreakHyphen/>
              <w:t xml:space="preserve">01 </w:t>
            </w:r>
          </w:p>
          <w:p w14:paraId="572CD9F6" w14:textId="77777777" w:rsidR="00490A30" w:rsidRPr="00316277" w:rsidRDefault="00490A30" w:rsidP="00940BD8">
            <w:pPr>
              <w:keepNext w:val="0"/>
              <w:jc w:val="center"/>
              <w:rPr>
                <w:rFonts w:cs="Arial"/>
                <w:b/>
                <w:szCs w:val="24"/>
              </w:rPr>
            </w:pPr>
            <w:r w:rsidRPr="00316277">
              <w:rPr>
                <w:rFonts w:cs="Arial"/>
                <w:b/>
                <w:szCs w:val="24"/>
              </w:rPr>
              <w:t xml:space="preserve">au </w:t>
            </w:r>
          </w:p>
          <w:p w14:paraId="6EB28430" w14:textId="77777777" w:rsidR="00490A30" w:rsidRPr="00316277" w:rsidRDefault="00490A30" w:rsidP="00940BD8">
            <w:pPr>
              <w:keepNext w:val="0"/>
              <w:jc w:val="center"/>
              <w:rPr>
                <w:rFonts w:cs="Arial"/>
                <w:b/>
                <w:szCs w:val="24"/>
              </w:rPr>
            </w:pPr>
            <w:r w:rsidRPr="00316277">
              <w:rPr>
                <w:rFonts w:cs="Arial"/>
                <w:b/>
                <w:szCs w:val="24"/>
              </w:rPr>
              <w:t>2027</w:t>
            </w:r>
            <w:r w:rsidRPr="00316277">
              <w:rPr>
                <w:rFonts w:cs="Arial"/>
                <w:b/>
                <w:szCs w:val="24"/>
              </w:rPr>
              <w:noBreakHyphen/>
              <w:t>03</w:t>
            </w:r>
            <w:r w:rsidRPr="00316277">
              <w:rPr>
                <w:rFonts w:cs="Arial"/>
                <w:b/>
                <w:szCs w:val="24"/>
              </w:rPr>
              <w:noBreakHyphen/>
              <w:t>31</w:t>
            </w:r>
          </w:p>
          <w:p w14:paraId="51860CC3" w14:textId="77777777" w:rsidR="00490A30" w:rsidRPr="00490A30" w:rsidRDefault="00490A30" w:rsidP="00940BD8">
            <w:pPr>
              <w:keepNext w:val="0"/>
              <w:jc w:val="center"/>
              <w:rPr>
                <w:rFonts w:cs="Arial"/>
                <w:b/>
                <w:szCs w:val="24"/>
                <w:highlight w:val="lightGray"/>
              </w:rPr>
            </w:pPr>
            <w:r w:rsidRPr="00316277">
              <w:rPr>
                <w:rFonts w:cs="Arial"/>
                <w:b/>
                <w:szCs w:val="24"/>
              </w:rPr>
              <w:t>($)</w:t>
            </w:r>
          </w:p>
        </w:tc>
        <w:tc>
          <w:tcPr>
            <w:tcW w:w="1563" w:type="dxa"/>
            <w:tcBorders>
              <w:top w:val="single" w:sz="12" w:space="0" w:color="auto"/>
              <w:left w:val="nil"/>
              <w:bottom w:val="single" w:sz="8" w:space="0" w:color="auto"/>
              <w:right w:val="nil"/>
            </w:tcBorders>
          </w:tcPr>
          <w:p w14:paraId="1EA48143" w14:textId="77777777" w:rsidR="00490A30" w:rsidRPr="00316277" w:rsidRDefault="00490A30" w:rsidP="00940BD8">
            <w:pPr>
              <w:keepNext w:val="0"/>
              <w:jc w:val="center"/>
              <w:rPr>
                <w:rFonts w:cs="Arial"/>
                <w:b/>
                <w:szCs w:val="24"/>
              </w:rPr>
            </w:pPr>
            <w:r w:rsidRPr="00316277">
              <w:rPr>
                <w:rFonts w:cs="Arial"/>
                <w:b/>
                <w:szCs w:val="24"/>
              </w:rPr>
              <w:t xml:space="preserve">Taux </w:t>
            </w:r>
          </w:p>
          <w:p w14:paraId="27FFBAD0" w14:textId="77777777" w:rsidR="00490A30" w:rsidRPr="00316277" w:rsidRDefault="00490A30" w:rsidP="00940BD8">
            <w:pPr>
              <w:keepNext w:val="0"/>
              <w:jc w:val="center"/>
              <w:rPr>
                <w:rFonts w:cs="Arial"/>
                <w:b/>
                <w:szCs w:val="24"/>
              </w:rPr>
            </w:pPr>
            <w:r w:rsidRPr="00316277">
              <w:rPr>
                <w:rFonts w:cs="Arial"/>
                <w:b/>
                <w:szCs w:val="24"/>
              </w:rPr>
              <w:t>à compter</w:t>
            </w:r>
          </w:p>
          <w:p w14:paraId="18AE7E61" w14:textId="77777777" w:rsidR="00490A30" w:rsidRPr="00316277" w:rsidRDefault="00490A30" w:rsidP="00940BD8">
            <w:pPr>
              <w:keepNext w:val="0"/>
              <w:jc w:val="center"/>
              <w:rPr>
                <w:rFonts w:cs="Arial"/>
                <w:b/>
                <w:szCs w:val="24"/>
              </w:rPr>
            </w:pPr>
            <w:r w:rsidRPr="00316277">
              <w:rPr>
                <w:rFonts w:cs="Arial"/>
                <w:b/>
                <w:szCs w:val="24"/>
              </w:rPr>
              <w:t xml:space="preserve">du </w:t>
            </w:r>
          </w:p>
          <w:p w14:paraId="79330748" w14:textId="77777777" w:rsidR="00490A30" w:rsidRPr="00316277" w:rsidRDefault="00490A30" w:rsidP="00940BD8">
            <w:pPr>
              <w:keepNext w:val="0"/>
              <w:jc w:val="center"/>
              <w:rPr>
                <w:rFonts w:cs="Arial"/>
                <w:b/>
                <w:szCs w:val="24"/>
              </w:rPr>
            </w:pPr>
            <w:r w:rsidRPr="00316277">
              <w:rPr>
                <w:rFonts w:cs="Arial"/>
                <w:b/>
                <w:szCs w:val="24"/>
              </w:rPr>
              <w:t>2027</w:t>
            </w:r>
            <w:r w:rsidRPr="00316277">
              <w:rPr>
                <w:rFonts w:cs="Arial"/>
                <w:b/>
                <w:szCs w:val="24"/>
              </w:rPr>
              <w:noBreakHyphen/>
              <w:t>04</w:t>
            </w:r>
            <w:r w:rsidRPr="00316277">
              <w:rPr>
                <w:rFonts w:cs="Arial"/>
                <w:b/>
                <w:szCs w:val="24"/>
              </w:rPr>
              <w:noBreakHyphen/>
              <w:t>01</w:t>
            </w:r>
          </w:p>
          <w:p w14:paraId="35AB5044" w14:textId="77777777" w:rsidR="00490A30" w:rsidRPr="00316277" w:rsidRDefault="00490A30" w:rsidP="00940BD8">
            <w:pPr>
              <w:keepNext w:val="0"/>
              <w:jc w:val="center"/>
              <w:rPr>
                <w:rFonts w:cs="Arial"/>
                <w:b/>
                <w:szCs w:val="24"/>
              </w:rPr>
            </w:pPr>
            <w:r w:rsidRPr="00316277">
              <w:rPr>
                <w:rFonts w:cs="Arial"/>
                <w:b/>
                <w:szCs w:val="24"/>
              </w:rPr>
              <w:t>($)</w:t>
            </w:r>
          </w:p>
        </w:tc>
      </w:tr>
      <w:tr w:rsidR="00490A30" w:rsidRPr="000E5527" w14:paraId="15406357" w14:textId="77777777" w:rsidTr="00940BD8">
        <w:trPr>
          <w:jc w:val="center"/>
        </w:trPr>
        <w:tc>
          <w:tcPr>
            <w:tcW w:w="1560" w:type="dxa"/>
            <w:tcBorders>
              <w:top w:val="nil"/>
              <w:left w:val="nil"/>
              <w:bottom w:val="single" w:sz="12" w:space="0" w:color="auto"/>
              <w:right w:val="nil"/>
            </w:tcBorders>
            <w:shd w:val="clear" w:color="auto" w:fill="auto"/>
            <w:vAlign w:val="bottom"/>
          </w:tcPr>
          <w:p w14:paraId="28523D6A" w14:textId="77777777" w:rsidR="00490A30" w:rsidRPr="00490A30" w:rsidRDefault="00490A30" w:rsidP="00940BD8">
            <w:pPr>
              <w:keepNext w:val="0"/>
              <w:jc w:val="center"/>
              <w:rPr>
                <w:rFonts w:cs="Arial"/>
                <w:szCs w:val="24"/>
                <w:highlight w:val="lightGray"/>
              </w:rPr>
            </w:pPr>
            <w:r w:rsidRPr="00316277">
              <w:rPr>
                <w:rFonts w:cs="Arial"/>
                <w:szCs w:val="24"/>
              </w:rPr>
              <w:t>4 555 $/an</w:t>
            </w:r>
          </w:p>
        </w:tc>
        <w:tc>
          <w:tcPr>
            <w:tcW w:w="1887" w:type="dxa"/>
            <w:tcBorders>
              <w:top w:val="nil"/>
              <w:left w:val="nil"/>
              <w:bottom w:val="single" w:sz="12" w:space="0" w:color="auto"/>
              <w:right w:val="nil"/>
            </w:tcBorders>
            <w:shd w:val="clear" w:color="auto" w:fill="auto"/>
            <w:vAlign w:val="bottom"/>
          </w:tcPr>
          <w:p w14:paraId="760AE27F" w14:textId="77777777" w:rsidR="00490A30" w:rsidRPr="00490A30" w:rsidRDefault="00490A30" w:rsidP="00940BD8">
            <w:pPr>
              <w:keepNext w:val="0"/>
              <w:jc w:val="center"/>
              <w:rPr>
                <w:rFonts w:cs="Arial"/>
                <w:bCs/>
                <w:szCs w:val="24"/>
                <w:highlight w:val="lightGray"/>
              </w:rPr>
            </w:pPr>
            <w:r w:rsidRPr="00316277">
              <w:rPr>
                <w:rFonts w:cs="Arial"/>
                <w:szCs w:val="24"/>
              </w:rPr>
              <w:t>4 683 $/an</w:t>
            </w:r>
          </w:p>
        </w:tc>
        <w:tc>
          <w:tcPr>
            <w:tcW w:w="1563" w:type="dxa"/>
            <w:tcBorders>
              <w:top w:val="nil"/>
              <w:left w:val="nil"/>
              <w:bottom w:val="single" w:sz="12" w:space="0" w:color="auto"/>
              <w:right w:val="nil"/>
            </w:tcBorders>
            <w:vAlign w:val="bottom"/>
          </w:tcPr>
          <w:p w14:paraId="1AA01DEC" w14:textId="77777777" w:rsidR="00490A30" w:rsidRPr="00490A30" w:rsidRDefault="00490A30" w:rsidP="00940BD8">
            <w:pPr>
              <w:keepNext w:val="0"/>
              <w:jc w:val="center"/>
              <w:rPr>
                <w:rFonts w:cs="Arial"/>
                <w:szCs w:val="24"/>
                <w:highlight w:val="lightGray"/>
              </w:rPr>
            </w:pPr>
            <w:r w:rsidRPr="00316277">
              <w:rPr>
                <w:rFonts w:cs="Arial"/>
                <w:szCs w:val="24"/>
              </w:rPr>
              <w:t>4 805 $/an</w:t>
            </w:r>
          </w:p>
        </w:tc>
        <w:tc>
          <w:tcPr>
            <w:tcW w:w="1563" w:type="dxa"/>
            <w:tcBorders>
              <w:top w:val="nil"/>
              <w:left w:val="nil"/>
              <w:bottom w:val="single" w:sz="12" w:space="0" w:color="auto"/>
              <w:right w:val="nil"/>
            </w:tcBorders>
            <w:vAlign w:val="bottom"/>
          </w:tcPr>
          <w:p w14:paraId="0BA89CE9" w14:textId="77777777" w:rsidR="00490A30" w:rsidRPr="00490A30" w:rsidRDefault="00490A30" w:rsidP="00940BD8">
            <w:pPr>
              <w:keepNext w:val="0"/>
              <w:jc w:val="center"/>
              <w:rPr>
                <w:rFonts w:cs="Arial"/>
                <w:szCs w:val="24"/>
                <w:highlight w:val="lightGray"/>
              </w:rPr>
            </w:pPr>
            <w:r w:rsidRPr="00316277">
              <w:rPr>
                <w:rFonts w:cs="Arial"/>
                <w:szCs w:val="24"/>
              </w:rPr>
              <w:t>4 925 $/an</w:t>
            </w:r>
          </w:p>
        </w:tc>
        <w:tc>
          <w:tcPr>
            <w:tcW w:w="1563" w:type="dxa"/>
            <w:tcBorders>
              <w:top w:val="nil"/>
              <w:left w:val="nil"/>
              <w:bottom w:val="single" w:sz="12" w:space="0" w:color="auto"/>
              <w:right w:val="nil"/>
            </w:tcBorders>
            <w:vAlign w:val="bottom"/>
          </w:tcPr>
          <w:p w14:paraId="5E9856A2" w14:textId="77777777" w:rsidR="00490A30" w:rsidRPr="00316277" w:rsidRDefault="00490A30" w:rsidP="00940BD8">
            <w:pPr>
              <w:keepNext w:val="0"/>
              <w:jc w:val="center"/>
              <w:rPr>
                <w:rFonts w:cs="Arial"/>
                <w:szCs w:val="24"/>
              </w:rPr>
            </w:pPr>
            <w:r w:rsidRPr="00316277">
              <w:rPr>
                <w:rFonts w:cs="Arial"/>
                <w:szCs w:val="24"/>
              </w:rPr>
              <w:t>5 097 $/an</w:t>
            </w:r>
          </w:p>
        </w:tc>
      </w:tr>
    </w:tbl>
    <w:p w14:paraId="2A4D248C" w14:textId="77777777" w:rsidR="00490A30" w:rsidRDefault="00490A30" w:rsidP="00490A30">
      <w:pPr>
        <w:pStyle w:val="Article59delaloi37"/>
        <w:keepNext w:val="0"/>
        <w:spacing w:before="0"/>
      </w:pPr>
    </w:p>
    <w:p w14:paraId="13FDB3EA" w14:textId="0AFF8048" w:rsidR="00656A1E" w:rsidRPr="00026EC1" w:rsidRDefault="00656A1E" w:rsidP="007F120F">
      <w:pPr>
        <w:pStyle w:val="Article59delaloi37"/>
        <w:keepNext w:val="0"/>
      </w:pPr>
      <w:r w:rsidRPr="00026EC1">
        <w:t>L</w:t>
      </w:r>
      <w:r w:rsidR="00CB50ED">
        <w:t>es</w:t>
      </w:r>
      <w:r w:rsidRPr="00026EC1">
        <w:t xml:space="preserve"> dispositions suivantes sont l</w:t>
      </w:r>
      <w:r w:rsidR="00BC3319" w:rsidRPr="00026EC1">
        <w:t>’</w:t>
      </w:r>
      <w:r w:rsidRPr="00026EC1">
        <w:t>objet d</w:t>
      </w:r>
      <w:r w:rsidR="00BC3319" w:rsidRPr="00026EC1">
        <w:t>’</w:t>
      </w:r>
      <w:r w:rsidRPr="00026EC1">
        <w:t>une recommandation des parties nationales et sont soumises à l</w:t>
      </w:r>
      <w:r w:rsidR="00BC3319" w:rsidRPr="00026EC1">
        <w:t>’</w:t>
      </w:r>
      <w:r w:rsidRPr="00026EC1">
        <w:t>application de l</w:t>
      </w:r>
      <w:r w:rsidR="00BC3319" w:rsidRPr="00026EC1">
        <w:t>’</w:t>
      </w:r>
      <w:r w:rsidRPr="00026EC1">
        <w:t>article 59 de la Loi sur le régime de négociation des conventions collectives dans les secteurs public et parapublic, si elles sont agréées et signées par les parties locales.</w:t>
      </w:r>
    </w:p>
    <w:p w14:paraId="781F342A" w14:textId="77777777" w:rsidR="00451174" w:rsidRPr="00026EC1" w:rsidRDefault="00451174" w:rsidP="007F120F">
      <w:pPr>
        <w:keepNext w:val="0"/>
      </w:pPr>
    </w:p>
    <w:p w14:paraId="20995252" w14:textId="46D6B320"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4</w:t>
      </w:r>
      <w:r w:rsidR="00984A6F">
        <w:rPr>
          <w:b/>
          <w:bCs/>
          <w:u w:val="single"/>
        </w:rPr>
        <w:noBreakHyphen/>
      </w:r>
      <w:r w:rsidRPr="00026EC1">
        <w:rPr>
          <w:b/>
          <w:bCs/>
          <w:u w:val="single"/>
        </w:rPr>
        <w:t xml:space="preserve">1.00  </w:t>
      </w:r>
      <w:r w:rsidR="00984A6F">
        <w:rPr>
          <w:b/>
          <w:bCs/>
          <w:u w:val="single"/>
        </w:rPr>
        <w:noBreakHyphen/>
      </w:r>
      <w:r w:rsidRPr="00026EC1">
        <w:rPr>
          <w:b/>
          <w:bCs/>
          <w:u w:val="single"/>
        </w:rPr>
        <w:t xml:space="preserve">  Fonctionnement départemental et comité de programme</w:t>
      </w:r>
    </w:p>
    <w:p w14:paraId="34F7E8D5" w14:textId="77777777" w:rsidR="00AA36ED" w:rsidRPr="00026EC1" w:rsidRDefault="00AA36ED" w:rsidP="007F120F">
      <w:pPr>
        <w:keepNext w:val="0"/>
      </w:pPr>
    </w:p>
    <w:p w14:paraId="25AC1370" w14:textId="3C85A57D" w:rsidR="00AA36ED" w:rsidRPr="00026EC1" w:rsidRDefault="00275751" w:rsidP="007F120F">
      <w:pPr>
        <w:keepNext w:val="0"/>
        <w:tabs>
          <w:tab w:val="left" w:pos="567"/>
        </w:tabs>
        <w:ind w:left="567" w:hanging="567"/>
      </w:pPr>
      <w:r w:rsidRPr="00026EC1">
        <w:t>01.</w:t>
      </w:r>
      <w:r w:rsidRPr="00026EC1">
        <w:tab/>
      </w:r>
      <w:r w:rsidR="00AA36ED" w:rsidRPr="00026EC1">
        <w:t>L</w:t>
      </w:r>
      <w:r w:rsidR="00BC3319" w:rsidRPr="00026EC1">
        <w:t>’</w:t>
      </w:r>
      <w:r w:rsidR="00AA36ED" w:rsidRPr="00026EC1">
        <w:t>article</w:t>
      </w:r>
      <w:r w:rsidR="00665807" w:rsidRPr="00026EC1">
        <w:t> </w:t>
      </w:r>
      <w:r w:rsidR="00AA36ED" w:rsidRPr="00026EC1">
        <w:t>4</w:t>
      </w:r>
      <w:r w:rsidR="00984A6F">
        <w:noBreakHyphen/>
      </w:r>
      <w:r w:rsidR="00AA36ED" w:rsidRPr="00026EC1">
        <w:t>1.00 est modifié de la façon suivante</w:t>
      </w:r>
      <w:r w:rsidR="00D8581B">
        <w:t> :</w:t>
      </w:r>
    </w:p>
    <w:p w14:paraId="55728448" w14:textId="77777777" w:rsidR="00AA36ED" w:rsidRPr="00026EC1" w:rsidRDefault="00AA36ED" w:rsidP="007F120F">
      <w:pPr>
        <w:keepNext w:val="0"/>
      </w:pPr>
    </w:p>
    <w:p w14:paraId="25499AC5" w14:textId="71364DDE" w:rsidR="00AA36ED" w:rsidRPr="00026EC1" w:rsidRDefault="00275751" w:rsidP="007F120F">
      <w:pPr>
        <w:keepNext w:val="0"/>
        <w:ind w:left="1134" w:hanging="567"/>
      </w:pPr>
      <w:r w:rsidRPr="00026EC1">
        <w:t>a)</w:t>
      </w:r>
      <w:r w:rsidRPr="00026EC1">
        <w:tab/>
      </w:r>
      <w:r w:rsidR="00AA36ED" w:rsidRPr="00026EC1">
        <w:t>la clause</w:t>
      </w:r>
      <w:r w:rsidR="001A73C0" w:rsidRPr="00026EC1">
        <w:t> </w:t>
      </w:r>
      <w:r w:rsidR="00AA36ED" w:rsidRPr="00026EC1">
        <w:t>4</w:t>
      </w:r>
      <w:r w:rsidR="00984A6F">
        <w:noBreakHyphen/>
      </w:r>
      <w:r w:rsidR="00AA36ED" w:rsidRPr="00026EC1">
        <w:t>1.10 est modifiée en ajoutant au point 2</w:t>
      </w:r>
      <w:r w:rsidR="00A30EF6" w:rsidRPr="00026EC1">
        <w:t>,</w:t>
      </w:r>
      <w:r w:rsidR="00AA36ED" w:rsidRPr="00026EC1">
        <w:t xml:space="preserve"> dans la section des activités liées aux relations avec le </w:t>
      </w:r>
      <w:r w:rsidR="00934CD8" w:rsidRPr="00026EC1">
        <w:t>C</w:t>
      </w:r>
      <w:r w:rsidR="00AA36ED" w:rsidRPr="00026EC1">
        <w:t>ollège, l</w:t>
      </w:r>
      <w:r w:rsidR="00BC3319" w:rsidRPr="00026EC1">
        <w:t>’</w:t>
      </w:r>
      <w:r w:rsidR="00AA36ED" w:rsidRPr="00026EC1">
        <w:t>alinéa</w:t>
      </w:r>
      <w:r w:rsidR="00BC3319" w:rsidRPr="00026EC1">
        <w:t> </w:t>
      </w:r>
      <w:r w:rsidR="00AA36ED" w:rsidRPr="00026EC1">
        <w:t>h) qui suit</w:t>
      </w:r>
      <w:r w:rsidR="00D8581B">
        <w:t> :</w:t>
      </w:r>
    </w:p>
    <w:p w14:paraId="13C33E87" w14:textId="77777777" w:rsidR="00AA36ED" w:rsidRPr="00026EC1" w:rsidRDefault="00AA36ED" w:rsidP="007F120F">
      <w:pPr>
        <w:keepNext w:val="0"/>
      </w:pPr>
    </w:p>
    <w:p w14:paraId="4442750B" w14:textId="064907ED" w:rsidR="00490A30" w:rsidRDefault="00AA36ED" w:rsidP="007F120F">
      <w:pPr>
        <w:keepNext w:val="0"/>
        <w:ind w:left="1701" w:hanging="567"/>
      </w:pPr>
      <w:r w:rsidRPr="00026EC1">
        <w:rPr>
          <w:bCs/>
        </w:rPr>
        <w:t>h)</w:t>
      </w:r>
      <w:r w:rsidRPr="00026EC1">
        <w:tab/>
        <w:t>selon le cas, voir à l</w:t>
      </w:r>
      <w:r w:rsidR="00BC3319" w:rsidRPr="00026EC1">
        <w:t>’</w:t>
      </w:r>
      <w:r w:rsidRPr="00026EC1">
        <w:t>entraînement, à la standardisation et au recyclage des instructrices et instructeurs de vol, en tenant compte de leur qualification.</w:t>
      </w:r>
    </w:p>
    <w:p w14:paraId="3AC1D4EE" w14:textId="0437C8B6" w:rsidR="00490A30" w:rsidRDefault="00490A30">
      <w:pPr>
        <w:keepNext w:val="0"/>
        <w:suppressAutoHyphens w:val="0"/>
        <w:jc w:val="left"/>
      </w:pPr>
    </w:p>
    <w:p w14:paraId="0A301F8A" w14:textId="4F0DF398"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4</w:t>
      </w:r>
      <w:r w:rsidR="00984A6F">
        <w:rPr>
          <w:b/>
          <w:bCs/>
          <w:u w:val="single"/>
        </w:rPr>
        <w:noBreakHyphen/>
      </w:r>
      <w:r w:rsidRPr="00026EC1">
        <w:rPr>
          <w:b/>
          <w:bCs/>
          <w:u w:val="single"/>
        </w:rPr>
        <w:t xml:space="preserve">3.00  </w:t>
      </w:r>
      <w:r w:rsidR="00984A6F">
        <w:rPr>
          <w:b/>
          <w:bCs/>
          <w:u w:val="single"/>
        </w:rPr>
        <w:noBreakHyphen/>
      </w:r>
      <w:r w:rsidRPr="00026EC1">
        <w:rPr>
          <w:b/>
          <w:bCs/>
          <w:u w:val="single"/>
        </w:rPr>
        <w:t xml:space="preserve">  Comité des relations du travail</w:t>
      </w:r>
    </w:p>
    <w:p w14:paraId="73369B9D" w14:textId="77777777" w:rsidR="00AA36ED" w:rsidRPr="00026EC1" w:rsidRDefault="00AA36ED" w:rsidP="007F120F">
      <w:pPr>
        <w:keepNext w:val="0"/>
      </w:pPr>
    </w:p>
    <w:p w14:paraId="10FCD5DE" w14:textId="6FC510A4" w:rsidR="00AA36ED" w:rsidRPr="00026EC1" w:rsidRDefault="00275751" w:rsidP="007F120F">
      <w:pPr>
        <w:keepNext w:val="0"/>
        <w:tabs>
          <w:tab w:val="left" w:pos="567"/>
        </w:tabs>
        <w:ind w:left="567" w:hanging="567"/>
      </w:pPr>
      <w:r w:rsidRPr="00026EC1">
        <w:t>02.</w:t>
      </w:r>
      <w:r w:rsidRPr="00026EC1">
        <w:tab/>
      </w:r>
      <w:r w:rsidR="00AA36ED" w:rsidRPr="00026EC1">
        <w:t>L</w:t>
      </w:r>
      <w:r w:rsidR="00BC3319" w:rsidRPr="00026EC1">
        <w:t>’</w:t>
      </w:r>
      <w:r w:rsidR="00AA36ED" w:rsidRPr="00026EC1">
        <w:t>article</w:t>
      </w:r>
      <w:r w:rsidR="001A73C0" w:rsidRPr="00026EC1">
        <w:t> </w:t>
      </w:r>
      <w:r w:rsidR="00AA36ED" w:rsidRPr="00026EC1">
        <w:t>4</w:t>
      </w:r>
      <w:r w:rsidR="00984A6F">
        <w:noBreakHyphen/>
      </w:r>
      <w:r w:rsidR="00AA36ED" w:rsidRPr="00026EC1">
        <w:t>3.00 est modifié de la façon suivante</w:t>
      </w:r>
      <w:r w:rsidR="00D8581B">
        <w:t> :</w:t>
      </w:r>
    </w:p>
    <w:p w14:paraId="4EA554A1" w14:textId="77777777" w:rsidR="00AA36ED" w:rsidRPr="00026EC1" w:rsidRDefault="00AA36ED" w:rsidP="007F120F">
      <w:pPr>
        <w:keepNext w:val="0"/>
      </w:pPr>
    </w:p>
    <w:p w14:paraId="37AC7A0F" w14:textId="36868B82" w:rsidR="00AA36ED" w:rsidRPr="00026EC1" w:rsidRDefault="00275751" w:rsidP="007F120F">
      <w:pPr>
        <w:keepNext w:val="0"/>
        <w:tabs>
          <w:tab w:val="left" w:pos="1134"/>
        </w:tabs>
        <w:ind w:left="1134" w:hanging="567"/>
      </w:pPr>
      <w:r w:rsidRPr="00026EC1">
        <w:t>a)</w:t>
      </w:r>
      <w:r w:rsidRPr="00026EC1">
        <w:tab/>
      </w:r>
      <w:r w:rsidR="00AA36ED" w:rsidRPr="00026EC1">
        <w:t>La clause</w:t>
      </w:r>
      <w:r w:rsidR="001A73C0" w:rsidRPr="00026EC1">
        <w:t> </w:t>
      </w:r>
      <w:r w:rsidR="00AA36ED" w:rsidRPr="00026EC1">
        <w:t>4</w:t>
      </w:r>
      <w:r w:rsidR="00984A6F">
        <w:noBreakHyphen/>
      </w:r>
      <w:r w:rsidR="00AA36ED" w:rsidRPr="00026EC1">
        <w:t>3.02 est remplacé par</w:t>
      </w:r>
      <w:r w:rsidR="00D8581B">
        <w:t> :</w:t>
      </w:r>
    </w:p>
    <w:p w14:paraId="6ED3558E" w14:textId="77777777" w:rsidR="00AA36ED" w:rsidRPr="00026EC1" w:rsidRDefault="00AA36ED" w:rsidP="007F120F">
      <w:pPr>
        <w:keepNext w:val="0"/>
      </w:pPr>
    </w:p>
    <w:p w14:paraId="3C862D0F" w14:textId="1D355043" w:rsidR="00AA36ED" w:rsidRPr="00026EC1" w:rsidRDefault="00AA36ED" w:rsidP="007F120F">
      <w:pPr>
        <w:pStyle w:val="Texte2cm"/>
        <w:keepNext w:val="0"/>
        <w:rPr>
          <w:b/>
          <w:bCs/>
        </w:rPr>
      </w:pPr>
      <w:r w:rsidRPr="00026EC1">
        <w:rPr>
          <w:b/>
          <w:bCs/>
        </w:rPr>
        <w:t>4</w:t>
      </w:r>
      <w:r w:rsidR="00984A6F">
        <w:rPr>
          <w:b/>
          <w:bCs/>
        </w:rPr>
        <w:noBreakHyphen/>
      </w:r>
      <w:r w:rsidRPr="00026EC1">
        <w:rPr>
          <w:b/>
          <w:bCs/>
        </w:rPr>
        <w:t>3.02</w:t>
      </w:r>
    </w:p>
    <w:p w14:paraId="3B9C1EA1" w14:textId="77777777" w:rsidR="00E45F03" w:rsidRDefault="00AA36ED" w:rsidP="007F120F">
      <w:pPr>
        <w:pStyle w:val="Texte2cm"/>
        <w:keepNext w:val="0"/>
      </w:pPr>
      <w:r w:rsidRPr="00026EC1">
        <w:t>Dans les trente (30) jours ouvrables qui suivent la date d</w:t>
      </w:r>
      <w:r w:rsidR="00BC3319" w:rsidRPr="00026EC1">
        <w:t>’</w:t>
      </w:r>
      <w:r w:rsidRPr="00026EC1">
        <w:t>entrée en vigueur des présentes dispositions, chaque partie nomme deux (2) représentantes et représentants et en informe l</w:t>
      </w:r>
      <w:r w:rsidR="00BC3319" w:rsidRPr="00026EC1">
        <w:t>’</w:t>
      </w:r>
      <w:r w:rsidRPr="00026EC1">
        <w:t>autre par écrit. De plus, le Syndicat nomme deux (2) substituts qui agissent en cas d</w:t>
      </w:r>
      <w:r w:rsidR="00BC3319" w:rsidRPr="00026EC1">
        <w:t>’</w:t>
      </w:r>
      <w:r w:rsidRPr="00026EC1">
        <w:t>absence ou d</w:t>
      </w:r>
      <w:r w:rsidR="00BC3319" w:rsidRPr="00026EC1">
        <w:t>’</w:t>
      </w:r>
      <w:r w:rsidRPr="00026EC1">
        <w:t>incapacité des représentantes ou représentants.</w:t>
      </w:r>
    </w:p>
    <w:p w14:paraId="5F72543B" w14:textId="77777777" w:rsidR="00FD74E9" w:rsidRDefault="00FD74E9" w:rsidP="007F120F">
      <w:pPr>
        <w:pStyle w:val="Texte2cm"/>
        <w:keepNext w:val="0"/>
      </w:pPr>
    </w:p>
    <w:p w14:paraId="55AB493E" w14:textId="4F964382" w:rsidR="00AA36ED" w:rsidRPr="00026EC1" w:rsidRDefault="00275751" w:rsidP="007F120F">
      <w:pPr>
        <w:keepNext w:val="0"/>
        <w:tabs>
          <w:tab w:val="left" w:pos="1134"/>
        </w:tabs>
        <w:ind w:left="1134" w:hanging="567"/>
      </w:pPr>
      <w:r w:rsidRPr="00026EC1">
        <w:t>b)</w:t>
      </w:r>
      <w:r w:rsidRPr="00026EC1">
        <w:tab/>
      </w:r>
      <w:r w:rsidR="00AA36ED" w:rsidRPr="00026EC1">
        <w:t>L</w:t>
      </w:r>
      <w:r w:rsidR="00BC3319" w:rsidRPr="00026EC1">
        <w:t>’</w:t>
      </w:r>
      <w:r w:rsidR="00AA36ED" w:rsidRPr="00026EC1">
        <w:t>alinéa</w:t>
      </w:r>
      <w:r w:rsidR="00BC3319" w:rsidRPr="00026EC1">
        <w:t> </w:t>
      </w:r>
      <w:r w:rsidR="00AA36ED" w:rsidRPr="00026EC1">
        <w:t>d) de la clause</w:t>
      </w:r>
      <w:r w:rsidR="001A73C0" w:rsidRPr="00026EC1">
        <w:t> </w:t>
      </w:r>
      <w:r w:rsidR="00AA36ED" w:rsidRPr="00026EC1">
        <w:t>4</w:t>
      </w:r>
      <w:r w:rsidR="00984A6F">
        <w:noBreakHyphen/>
      </w:r>
      <w:r w:rsidR="00AA36ED" w:rsidRPr="00026EC1">
        <w:t>3.15 est remplacé par</w:t>
      </w:r>
      <w:r w:rsidR="00D8581B">
        <w:t> :</w:t>
      </w:r>
    </w:p>
    <w:p w14:paraId="2725B31B" w14:textId="77777777" w:rsidR="00AA36ED" w:rsidRPr="00026EC1" w:rsidRDefault="00AA36ED" w:rsidP="007F120F">
      <w:pPr>
        <w:keepNext w:val="0"/>
      </w:pPr>
    </w:p>
    <w:p w14:paraId="6C54ECA5" w14:textId="77777777" w:rsidR="00AA36ED" w:rsidRPr="00026EC1" w:rsidRDefault="00275751" w:rsidP="007F120F">
      <w:pPr>
        <w:keepNext w:val="0"/>
        <w:tabs>
          <w:tab w:val="left" w:pos="1701"/>
        </w:tabs>
        <w:ind w:left="1701" w:hanging="567"/>
      </w:pPr>
      <w:r w:rsidRPr="00026EC1">
        <w:t>d)</w:t>
      </w:r>
      <w:r w:rsidRPr="00026EC1">
        <w:tab/>
      </w:r>
      <w:r w:rsidR="00AA36ED" w:rsidRPr="00026EC1">
        <w:t>au classement;</w:t>
      </w:r>
    </w:p>
    <w:p w14:paraId="11076DFB" w14:textId="77777777" w:rsidR="00AA36ED" w:rsidRPr="00026EC1" w:rsidRDefault="00AA36ED" w:rsidP="007F120F">
      <w:pPr>
        <w:keepNext w:val="0"/>
      </w:pPr>
    </w:p>
    <w:p w14:paraId="218F4A96" w14:textId="5290AF57"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4</w:t>
      </w:r>
      <w:r w:rsidR="00984A6F">
        <w:rPr>
          <w:b/>
          <w:bCs/>
          <w:u w:val="single"/>
        </w:rPr>
        <w:noBreakHyphen/>
      </w:r>
      <w:r w:rsidRPr="00026EC1">
        <w:rPr>
          <w:b/>
          <w:bCs/>
          <w:u w:val="single"/>
        </w:rPr>
        <w:t xml:space="preserve">5.00  </w:t>
      </w:r>
      <w:r w:rsidR="00984A6F">
        <w:rPr>
          <w:b/>
          <w:bCs/>
          <w:u w:val="single"/>
        </w:rPr>
        <w:noBreakHyphen/>
      </w:r>
      <w:r w:rsidRPr="00026EC1">
        <w:rPr>
          <w:b/>
          <w:bCs/>
          <w:u w:val="single"/>
        </w:rPr>
        <w:t xml:space="preserve">  Comité pédagogique</w:t>
      </w:r>
    </w:p>
    <w:p w14:paraId="112D2001" w14:textId="77777777" w:rsidR="00AA36ED" w:rsidRPr="00026EC1" w:rsidRDefault="00AA36ED" w:rsidP="007F120F">
      <w:pPr>
        <w:keepNext w:val="0"/>
      </w:pPr>
    </w:p>
    <w:p w14:paraId="0B319318" w14:textId="04C999A3" w:rsidR="00AA36ED" w:rsidRPr="00026EC1" w:rsidRDefault="00AA36ED" w:rsidP="007F120F">
      <w:pPr>
        <w:keepNext w:val="0"/>
        <w:tabs>
          <w:tab w:val="left" w:pos="540"/>
        </w:tabs>
      </w:pPr>
      <w:r w:rsidRPr="00026EC1">
        <w:t>03.</w:t>
      </w:r>
      <w:r w:rsidRPr="00026EC1">
        <w:tab/>
        <w:t>L</w:t>
      </w:r>
      <w:r w:rsidR="00BC3319" w:rsidRPr="00026EC1">
        <w:t>’</w:t>
      </w:r>
      <w:r w:rsidRPr="00026EC1">
        <w:t>article</w:t>
      </w:r>
      <w:r w:rsidR="00665807" w:rsidRPr="00026EC1">
        <w:t> </w:t>
      </w:r>
      <w:r w:rsidRPr="00026EC1">
        <w:t>4</w:t>
      </w:r>
      <w:r w:rsidR="00984A6F">
        <w:noBreakHyphen/>
      </w:r>
      <w:r w:rsidRPr="00026EC1">
        <w:t>5.00 est remplacé par le texte suivant</w:t>
      </w:r>
      <w:r w:rsidR="00D8581B">
        <w:t> :</w:t>
      </w:r>
    </w:p>
    <w:p w14:paraId="07E4B333" w14:textId="77777777" w:rsidR="00AA36ED" w:rsidRPr="00026EC1" w:rsidRDefault="00AA36ED" w:rsidP="007F120F">
      <w:pPr>
        <w:keepNext w:val="0"/>
        <w:rPr>
          <w:bCs/>
        </w:rPr>
      </w:pPr>
    </w:p>
    <w:p w14:paraId="6BBB56D5" w14:textId="3906DFF5" w:rsidR="00AA36ED" w:rsidRPr="00026EC1" w:rsidRDefault="00AA36ED" w:rsidP="007F120F">
      <w:pPr>
        <w:keepNext w:val="0"/>
        <w:rPr>
          <w:b/>
          <w:bCs/>
        </w:rPr>
      </w:pPr>
      <w:r w:rsidRPr="00026EC1">
        <w:rPr>
          <w:b/>
          <w:bCs/>
        </w:rPr>
        <w:t>4</w:t>
      </w:r>
      <w:r w:rsidR="00984A6F">
        <w:rPr>
          <w:b/>
          <w:bCs/>
        </w:rPr>
        <w:noBreakHyphen/>
      </w:r>
      <w:r w:rsidRPr="00026EC1">
        <w:rPr>
          <w:b/>
          <w:bCs/>
        </w:rPr>
        <w:t>5.01</w:t>
      </w:r>
    </w:p>
    <w:p w14:paraId="0CFF2923" w14:textId="00470D3D" w:rsidR="00AA36ED" w:rsidRPr="00026EC1" w:rsidRDefault="00AA36ED" w:rsidP="007F120F">
      <w:pPr>
        <w:keepNext w:val="0"/>
      </w:pPr>
      <w:r w:rsidRPr="00026EC1">
        <w:t>L</w:t>
      </w:r>
      <w:r w:rsidR="00BC3319" w:rsidRPr="00026EC1">
        <w:t>’</w:t>
      </w:r>
      <w:r w:rsidRPr="00026EC1">
        <w:t>arrangement local, daté du 14 mai 1997 et renouvelé le 20 octobre 2000 au sens de la clause</w:t>
      </w:r>
      <w:r w:rsidR="00500B67" w:rsidRPr="00026EC1">
        <w:t> </w:t>
      </w:r>
      <w:r w:rsidRPr="00026EC1">
        <w:t>4</w:t>
      </w:r>
      <w:r w:rsidR="00984A6F">
        <w:noBreakHyphen/>
      </w:r>
      <w:r w:rsidRPr="00026EC1">
        <w:t>5.17 de la convention collective échue le 30 juin 2002, lequel constitue une entente sur une matière locale au sens de l</w:t>
      </w:r>
      <w:r w:rsidR="00BC3319" w:rsidRPr="00026EC1">
        <w:t>’</w:t>
      </w:r>
      <w:r w:rsidRPr="00026EC1">
        <w:t>article</w:t>
      </w:r>
      <w:r w:rsidR="00665807" w:rsidRPr="00026EC1">
        <w:t> </w:t>
      </w:r>
      <w:r w:rsidRPr="00026EC1">
        <w:t xml:space="preserve">58 de la </w:t>
      </w:r>
      <w:r w:rsidRPr="00026EC1">
        <w:rPr>
          <w:iCs/>
        </w:rPr>
        <w:t>Loi sur le régime de négociation des conventions collectives des secteurs public et parapublic</w:t>
      </w:r>
      <w:r w:rsidRPr="00026EC1">
        <w:t xml:space="preserve"> (</w:t>
      </w:r>
      <w:r w:rsidR="009F799E" w:rsidRPr="00026EC1">
        <w:rPr>
          <w:rFonts w:cs="Arial"/>
          <w:szCs w:val="24"/>
        </w:rPr>
        <w:t xml:space="preserve">RLRQ, chapitre </w:t>
      </w:r>
      <w:r w:rsidRPr="00026EC1">
        <w:t>R</w:t>
      </w:r>
      <w:r w:rsidR="00984A6F">
        <w:noBreakHyphen/>
      </w:r>
      <w:r w:rsidRPr="00026EC1">
        <w:t>8.2) est reconduit et fait partie intégrante de la convention collective. Cette entente peut être modifiée selon les dispositions des articles</w:t>
      </w:r>
      <w:r w:rsidR="00665807" w:rsidRPr="00026EC1">
        <w:t> </w:t>
      </w:r>
      <w:r w:rsidRPr="00026EC1">
        <w:t>59 et suivants de ladite loi.</w:t>
      </w:r>
    </w:p>
    <w:p w14:paraId="33D9CBA7" w14:textId="77777777" w:rsidR="00A51A7A" w:rsidRPr="00026EC1" w:rsidRDefault="00A51A7A" w:rsidP="007F120F">
      <w:pPr>
        <w:keepNext w:val="0"/>
      </w:pPr>
    </w:p>
    <w:p w14:paraId="45669864" w14:textId="77777777" w:rsidR="00656A1E" w:rsidRPr="00026EC1" w:rsidRDefault="00AA36ED" w:rsidP="007F120F">
      <w:pPr>
        <w:keepNext w:val="0"/>
      </w:pPr>
      <w:r w:rsidRPr="00026EC1">
        <w:t>Il en est de même pour toute entente portant sur la Commission pédagogique.</w:t>
      </w:r>
    </w:p>
    <w:p w14:paraId="0BF0FC30" w14:textId="77777777" w:rsidR="00D67A9B" w:rsidRPr="00026EC1" w:rsidRDefault="00D67A9B" w:rsidP="007F120F">
      <w:pPr>
        <w:keepNext w:val="0"/>
      </w:pPr>
    </w:p>
    <w:p w14:paraId="34A025E1" w14:textId="6A91026D"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5</w:t>
      </w:r>
      <w:r w:rsidR="00984A6F">
        <w:rPr>
          <w:b/>
          <w:bCs/>
          <w:u w:val="single"/>
        </w:rPr>
        <w:noBreakHyphen/>
      </w:r>
      <w:r w:rsidRPr="00026EC1">
        <w:rPr>
          <w:b/>
          <w:bCs/>
          <w:u w:val="single"/>
        </w:rPr>
        <w:t xml:space="preserve">20.00 </w:t>
      </w:r>
      <w:r w:rsidR="00984A6F">
        <w:rPr>
          <w:b/>
          <w:bCs/>
          <w:u w:val="single"/>
        </w:rPr>
        <w:noBreakHyphen/>
      </w:r>
      <w:r w:rsidRPr="00026EC1">
        <w:rPr>
          <w:b/>
          <w:bCs/>
          <w:u w:val="single"/>
        </w:rPr>
        <w:t xml:space="preserve"> Santé et sécurité au travail</w:t>
      </w:r>
    </w:p>
    <w:p w14:paraId="7ED9E9C6" w14:textId="77777777" w:rsidR="00AA36ED" w:rsidRPr="00026EC1" w:rsidRDefault="00AA36ED" w:rsidP="007F120F">
      <w:pPr>
        <w:keepNext w:val="0"/>
      </w:pPr>
    </w:p>
    <w:p w14:paraId="08EA443F" w14:textId="075E81CE" w:rsidR="00AA36ED" w:rsidRPr="00026EC1" w:rsidRDefault="00AA36ED" w:rsidP="007F120F">
      <w:pPr>
        <w:keepNext w:val="0"/>
        <w:tabs>
          <w:tab w:val="left" w:pos="540"/>
        </w:tabs>
      </w:pPr>
      <w:r w:rsidRPr="00026EC1">
        <w:t>04.</w:t>
      </w:r>
      <w:r w:rsidRPr="00026EC1">
        <w:tab/>
        <w:t>L</w:t>
      </w:r>
      <w:r w:rsidR="00BC3319" w:rsidRPr="00026EC1">
        <w:t>’</w:t>
      </w:r>
      <w:r w:rsidRPr="00026EC1">
        <w:t>article</w:t>
      </w:r>
      <w:r w:rsidR="00665807" w:rsidRPr="00026EC1">
        <w:t> </w:t>
      </w:r>
      <w:r w:rsidRPr="00026EC1">
        <w:t>5</w:t>
      </w:r>
      <w:r w:rsidR="00984A6F">
        <w:noBreakHyphen/>
      </w:r>
      <w:r w:rsidRPr="00026EC1">
        <w:t>20.00 est modifié de la façon suivante</w:t>
      </w:r>
      <w:r w:rsidR="00D8581B">
        <w:t> :</w:t>
      </w:r>
    </w:p>
    <w:p w14:paraId="1E48ED58" w14:textId="77777777" w:rsidR="00AA36ED" w:rsidRPr="00026EC1" w:rsidRDefault="00AA36ED" w:rsidP="007F120F">
      <w:pPr>
        <w:keepNext w:val="0"/>
      </w:pPr>
    </w:p>
    <w:p w14:paraId="6EC6153E" w14:textId="7644B928" w:rsidR="00AA36ED" w:rsidRPr="00026EC1" w:rsidRDefault="00AA36ED" w:rsidP="007F120F">
      <w:pPr>
        <w:pStyle w:val="Texte1cm"/>
        <w:keepNext w:val="0"/>
        <w:ind w:left="0"/>
      </w:pPr>
      <w:r w:rsidRPr="00026EC1">
        <w:t>Les clauses</w:t>
      </w:r>
      <w:r w:rsidR="001A73C0" w:rsidRPr="00026EC1">
        <w:t> </w:t>
      </w:r>
      <w:r w:rsidRPr="00026EC1">
        <w:t>5</w:t>
      </w:r>
      <w:r w:rsidR="00984A6F">
        <w:noBreakHyphen/>
      </w:r>
      <w:r w:rsidRPr="00026EC1">
        <w:t>20.11 et 5</w:t>
      </w:r>
      <w:r w:rsidR="00984A6F">
        <w:noBreakHyphen/>
      </w:r>
      <w:r w:rsidRPr="00026EC1">
        <w:t>20.12 sont ajoutées</w:t>
      </w:r>
      <w:r w:rsidR="00D8581B">
        <w:t> :</w:t>
      </w:r>
    </w:p>
    <w:p w14:paraId="4029E848" w14:textId="77777777" w:rsidR="00AA36ED" w:rsidRPr="00026EC1" w:rsidRDefault="00AA36ED" w:rsidP="007F120F">
      <w:pPr>
        <w:keepNext w:val="0"/>
      </w:pPr>
    </w:p>
    <w:p w14:paraId="22C0D645" w14:textId="5F062ACE" w:rsidR="00AA36ED" w:rsidRPr="00026EC1" w:rsidRDefault="00AA36ED" w:rsidP="007F120F">
      <w:pPr>
        <w:pStyle w:val="Texte1cm"/>
        <w:keepNext w:val="0"/>
        <w:ind w:left="0"/>
        <w:rPr>
          <w:b/>
          <w:bCs/>
        </w:rPr>
      </w:pPr>
      <w:r w:rsidRPr="00026EC1">
        <w:rPr>
          <w:b/>
          <w:bCs/>
        </w:rPr>
        <w:t>5</w:t>
      </w:r>
      <w:r w:rsidR="00984A6F">
        <w:rPr>
          <w:b/>
          <w:bCs/>
        </w:rPr>
        <w:noBreakHyphen/>
      </w:r>
      <w:r w:rsidRPr="00026EC1">
        <w:rPr>
          <w:b/>
          <w:bCs/>
        </w:rPr>
        <w:t>20.11</w:t>
      </w:r>
    </w:p>
    <w:p w14:paraId="5AE8CCD0" w14:textId="77777777" w:rsidR="00AA36ED" w:rsidRPr="00026EC1" w:rsidRDefault="00275751" w:rsidP="007F120F">
      <w:pPr>
        <w:keepNext w:val="0"/>
        <w:tabs>
          <w:tab w:val="left" w:pos="567"/>
        </w:tabs>
        <w:ind w:left="567" w:hanging="567"/>
      </w:pPr>
      <w:r w:rsidRPr="00026EC1">
        <w:t>a)</w:t>
      </w:r>
      <w:r w:rsidRPr="00026EC1">
        <w:tab/>
      </w:r>
      <w:r w:rsidR="00AA36ED" w:rsidRPr="00026EC1">
        <w:t>Le Collège rembourse à l</w:t>
      </w:r>
      <w:r w:rsidR="00BC3319" w:rsidRPr="00026EC1">
        <w:t>’</w:t>
      </w:r>
      <w:r w:rsidR="00AA36ED" w:rsidRPr="00026EC1">
        <w:t>enseignante ou à l</w:t>
      </w:r>
      <w:r w:rsidR="00BC3319" w:rsidRPr="00026EC1">
        <w:t>’</w:t>
      </w:r>
      <w:r w:rsidR="00AA36ED" w:rsidRPr="00026EC1">
        <w:t>enseignant les frais et les droits qu</w:t>
      </w:r>
      <w:r w:rsidR="00BC3319" w:rsidRPr="00026EC1">
        <w:t>’</w:t>
      </w:r>
      <w:r w:rsidR="00AA36ED" w:rsidRPr="00026EC1">
        <w:t>elle ou il supporte pour les examens médicaux, les électrocardiogrammes, les rapports des spécialistes, les rayons X et les épreuves de vols et prolongation d</w:t>
      </w:r>
      <w:r w:rsidR="00BC3319" w:rsidRPr="00026EC1">
        <w:t>’</w:t>
      </w:r>
      <w:r w:rsidR="00AA36ED" w:rsidRPr="00026EC1">
        <w:t>annotation sur demande du service de délivrance des permis aux fins de maintenir sa licence de membres d</w:t>
      </w:r>
      <w:r w:rsidR="00BC3319" w:rsidRPr="00026EC1">
        <w:t>’</w:t>
      </w:r>
      <w:r w:rsidR="00AA36ED" w:rsidRPr="00026EC1">
        <w:t>équipage de conduite.</w:t>
      </w:r>
    </w:p>
    <w:p w14:paraId="300626CC" w14:textId="77777777" w:rsidR="00AA36ED" w:rsidRPr="00026EC1" w:rsidRDefault="00AA36ED" w:rsidP="007F120F">
      <w:pPr>
        <w:keepNext w:val="0"/>
      </w:pPr>
    </w:p>
    <w:p w14:paraId="770B34C6" w14:textId="79480CF4" w:rsidR="00AA36ED" w:rsidRPr="00026EC1" w:rsidRDefault="00275751" w:rsidP="007F120F">
      <w:pPr>
        <w:keepNext w:val="0"/>
        <w:tabs>
          <w:tab w:val="left" w:pos="567"/>
        </w:tabs>
        <w:ind w:left="567" w:hanging="567"/>
      </w:pPr>
      <w:r w:rsidRPr="00026EC1">
        <w:t>b)</w:t>
      </w:r>
      <w:r w:rsidRPr="00026EC1">
        <w:tab/>
      </w:r>
      <w:r w:rsidR="00AA36ED" w:rsidRPr="00026EC1">
        <w:t>Le Collège s</w:t>
      </w:r>
      <w:r w:rsidR="00BC3319" w:rsidRPr="00026EC1">
        <w:t>’</w:t>
      </w:r>
      <w:r w:rsidR="00AA36ED" w:rsidRPr="00026EC1">
        <w:t>engage à fournir l</w:t>
      </w:r>
      <w:r w:rsidR="00BC3319" w:rsidRPr="00026EC1">
        <w:t>’</w:t>
      </w:r>
      <w:r w:rsidR="00AA36ED" w:rsidRPr="00026EC1">
        <w:t>équipement nécessaire à chaque enseignante ou enseignant pour le maintien des qualifications et des annotations se rattachant à sa licence lorsque celles</w:t>
      </w:r>
      <w:r w:rsidR="00984A6F">
        <w:noBreakHyphen/>
      </w:r>
      <w:r w:rsidR="00AA36ED" w:rsidRPr="00026EC1">
        <w:t>ci sont obligatoires dans l</w:t>
      </w:r>
      <w:r w:rsidR="00BC3319" w:rsidRPr="00026EC1">
        <w:t>’</w:t>
      </w:r>
      <w:r w:rsidR="00AA36ED" w:rsidRPr="00026EC1">
        <w:t>exercice de ses fonctions selon le procédurier établi par le Collège.</w:t>
      </w:r>
    </w:p>
    <w:p w14:paraId="03F499E0" w14:textId="77777777" w:rsidR="00AA36ED" w:rsidRPr="00026EC1" w:rsidRDefault="00AA36ED" w:rsidP="007F120F">
      <w:pPr>
        <w:keepNext w:val="0"/>
      </w:pPr>
    </w:p>
    <w:p w14:paraId="59BFE949" w14:textId="32CE70BE" w:rsidR="00AA36ED" w:rsidRPr="00026EC1" w:rsidRDefault="00AA36ED" w:rsidP="007F120F">
      <w:pPr>
        <w:pStyle w:val="Texte1cm"/>
        <w:keepNext w:val="0"/>
        <w:ind w:left="0"/>
        <w:rPr>
          <w:b/>
          <w:bCs/>
        </w:rPr>
      </w:pPr>
      <w:r w:rsidRPr="00026EC1">
        <w:rPr>
          <w:b/>
          <w:bCs/>
        </w:rPr>
        <w:t>5</w:t>
      </w:r>
      <w:r w:rsidR="00984A6F">
        <w:rPr>
          <w:b/>
          <w:bCs/>
        </w:rPr>
        <w:noBreakHyphen/>
      </w:r>
      <w:r w:rsidRPr="00026EC1">
        <w:rPr>
          <w:b/>
          <w:bCs/>
        </w:rPr>
        <w:t>20.12</w:t>
      </w:r>
    </w:p>
    <w:p w14:paraId="3265773A" w14:textId="178C8F1D" w:rsidR="00AA36ED" w:rsidRPr="00026EC1" w:rsidRDefault="00AA36ED" w:rsidP="007F120F">
      <w:pPr>
        <w:pStyle w:val="Texte1cm"/>
        <w:keepNext w:val="0"/>
        <w:ind w:left="0"/>
      </w:pPr>
      <w:r w:rsidRPr="00026EC1">
        <w:t>Une somme totale de dix mille dollars (10</w:t>
      </w:r>
      <w:r w:rsidR="001A73C0" w:rsidRPr="00026EC1">
        <w:t> </w:t>
      </w:r>
      <w:r w:rsidRPr="00026EC1">
        <w:t>000</w:t>
      </w:r>
      <w:r w:rsidR="00D8581B">
        <w:t> $</w:t>
      </w:r>
      <w:r w:rsidRPr="00026EC1">
        <w:t>) pour la durée de la convention collective est octroyée pour l</w:t>
      </w:r>
      <w:r w:rsidR="00BC3319" w:rsidRPr="00026EC1">
        <w:t>’</w:t>
      </w:r>
      <w:r w:rsidRPr="00026EC1">
        <w:t>achat d</w:t>
      </w:r>
      <w:r w:rsidR="00BC3319" w:rsidRPr="00026EC1">
        <w:t>’</w:t>
      </w:r>
      <w:r w:rsidRPr="00026EC1">
        <w:t>équipement de sécurité sur les aéronefs.</w:t>
      </w:r>
    </w:p>
    <w:p w14:paraId="799BC083" w14:textId="77777777" w:rsidR="00AA36ED" w:rsidRPr="00026EC1" w:rsidRDefault="00AA36ED" w:rsidP="007F120F">
      <w:pPr>
        <w:keepNext w:val="0"/>
      </w:pPr>
    </w:p>
    <w:p w14:paraId="722B348F" w14:textId="5F22896E" w:rsidR="00F70C2B" w:rsidRDefault="00AA36ED" w:rsidP="007F120F">
      <w:pPr>
        <w:pStyle w:val="Texte1cm"/>
        <w:keepNext w:val="0"/>
        <w:ind w:left="0"/>
      </w:pPr>
      <w:r w:rsidRPr="00026EC1">
        <w:t>Cette somme est utilisée selon l</w:t>
      </w:r>
      <w:r w:rsidR="00BC3319" w:rsidRPr="00026EC1">
        <w:t>’</w:t>
      </w:r>
      <w:r w:rsidRPr="00026EC1">
        <w:t>entente à intervenir entre le Collège et le Syndicat.</w:t>
      </w:r>
    </w:p>
    <w:p w14:paraId="4AFF2A9C" w14:textId="77777777" w:rsidR="00F70C2B" w:rsidRDefault="00F70C2B">
      <w:pPr>
        <w:keepNext w:val="0"/>
        <w:suppressAutoHyphens w:val="0"/>
        <w:jc w:val="left"/>
      </w:pPr>
      <w:r>
        <w:br w:type="page"/>
      </w:r>
    </w:p>
    <w:p w14:paraId="04492DD7" w14:textId="502AE273"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8</w:t>
      </w:r>
      <w:r w:rsidR="00984A6F">
        <w:rPr>
          <w:b/>
          <w:bCs/>
          <w:u w:val="single"/>
        </w:rPr>
        <w:noBreakHyphen/>
      </w:r>
      <w:r w:rsidRPr="00026EC1">
        <w:rPr>
          <w:b/>
          <w:bCs/>
          <w:u w:val="single"/>
        </w:rPr>
        <w:t xml:space="preserve">2.00 </w:t>
      </w:r>
      <w:r w:rsidR="00984A6F">
        <w:rPr>
          <w:b/>
          <w:bCs/>
          <w:u w:val="single"/>
        </w:rPr>
        <w:noBreakHyphen/>
      </w:r>
      <w:r w:rsidRPr="00026EC1">
        <w:rPr>
          <w:b/>
          <w:bCs/>
          <w:u w:val="single"/>
        </w:rPr>
        <w:t xml:space="preserve"> Dispositions relatives aux vacances</w:t>
      </w:r>
    </w:p>
    <w:p w14:paraId="0670524C" w14:textId="77777777" w:rsidR="00AA36ED" w:rsidRPr="00026EC1" w:rsidRDefault="00AA36ED" w:rsidP="007F120F">
      <w:pPr>
        <w:keepNext w:val="0"/>
      </w:pPr>
    </w:p>
    <w:p w14:paraId="1E11E223" w14:textId="26CF19E3" w:rsidR="00AA36ED" w:rsidRPr="00026EC1" w:rsidRDefault="00AA36ED" w:rsidP="007F120F">
      <w:pPr>
        <w:keepNext w:val="0"/>
        <w:tabs>
          <w:tab w:val="left" w:pos="540"/>
        </w:tabs>
      </w:pPr>
      <w:r w:rsidRPr="00026EC1">
        <w:t>05.</w:t>
      </w:r>
      <w:r w:rsidRPr="00026EC1">
        <w:tab/>
        <w:t>L</w:t>
      </w:r>
      <w:r w:rsidR="00BC3319" w:rsidRPr="00026EC1">
        <w:t>’</w:t>
      </w:r>
      <w:r w:rsidRPr="00026EC1">
        <w:t>article</w:t>
      </w:r>
      <w:r w:rsidR="00665807" w:rsidRPr="00026EC1">
        <w:t> </w:t>
      </w:r>
      <w:r w:rsidRPr="00026EC1">
        <w:t>8</w:t>
      </w:r>
      <w:r w:rsidR="00984A6F">
        <w:noBreakHyphen/>
      </w:r>
      <w:r w:rsidRPr="00026EC1">
        <w:t>2.00 est modifié de la façon suivante</w:t>
      </w:r>
      <w:r w:rsidR="00D8581B">
        <w:t> :</w:t>
      </w:r>
    </w:p>
    <w:p w14:paraId="2F1D18DB" w14:textId="77777777" w:rsidR="00AA36ED" w:rsidRPr="00026EC1" w:rsidRDefault="00AA36ED" w:rsidP="007F120F">
      <w:pPr>
        <w:keepNext w:val="0"/>
      </w:pPr>
    </w:p>
    <w:p w14:paraId="0A4F4F9F" w14:textId="74902F9A" w:rsidR="00AA36ED" w:rsidRPr="00026EC1" w:rsidRDefault="00AA36ED" w:rsidP="007F120F">
      <w:pPr>
        <w:pStyle w:val="Texte1cm"/>
        <w:keepNext w:val="0"/>
      </w:pPr>
      <w:r w:rsidRPr="00026EC1">
        <w:t>La clause</w:t>
      </w:r>
      <w:r w:rsidR="001A73C0" w:rsidRPr="00026EC1">
        <w:t> </w:t>
      </w:r>
      <w:r w:rsidRPr="00026EC1">
        <w:t>8</w:t>
      </w:r>
      <w:r w:rsidR="00984A6F">
        <w:noBreakHyphen/>
      </w:r>
      <w:r w:rsidRPr="00026EC1">
        <w:t>2.05 est remplacée par le texte suivant</w:t>
      </w:r>
      <w:r w:rsidR="00D8581B">
        <w:t> :</w:t>
      </w:r>
    </w:p>
    <w:p w14:paraId="1FAE33DF" w14:textId="77777777" w:rsidR="00AA36ED" w:rsidRPr="00026EC1" w:rsidRDefault="00AA36ED" w:rsidP="007F120F">
      <w:pPr>
        <w:keepNext w:val="0"/>
      </w:pPr>
    </w:p>
    <w:p w14:paraId="7908B2D2" w14:textId="57FFD1BA" w:rsidR="00AA36ED" w:rsidRPr="00026EC1" w:rsidRDefault="00AA36ED" w:rsidP="007F120F">
      <w:pPr>
        <w:pStyle w:val="Texte1cm"/>
        <w:keepNext w:val="0"/>
        <w:ind w:left="0"/>
        <w:rPr>
          <w:b/>
          <w:bCs/>
        </w:rPr>
      </w:pPr>
      <w:r w:rsidRPr="00026EC1">
        <w:rPr>
          <w:b/>
          <w:bCs/>
        </w:rPr>
        <w:t>8</w:t>
      </w:r>
      <w:r w:rsidR="00984A6F">
        <w:rPr>
          <w:b/>
          <w:bCs/>
        </w:rPr>
        <w:noBreakHyphen/>
      </w:r>
      <w:r w:rsidRPr="00026EC1">
        <w:rPr>
          <w:b/>
          <w:bCs/>
        </w:rPr>
        <w:t>2.05</w:t>
      </w:r>
    </w:p>
    <w:p w14:paraId="5DC1270F" w14:textId="441668F2" w:rsidR="00AA36ED" w:rsidRPr="00026EC1" w:rsidRDefault="00AA36ED" w:rsidP="007F120F">
      <w:pPr>
        <w:pStyle w:val="Texte1cm"/>
        <w:keepNext w:val="0"/>
        <w:ind w:left="0"/>
      </w:pPr>
      <w:r w:rsidRPr="00026EC1">
        <w:t>Les vacances d</w:t>
      </w:r>
      <w:r w:rsidR="00BC3319" w:rsidRPr="00026EC1">
        <w:t>’</w:t>
      </w:r>
      <w:r w:rsidRPr="00026EC1">
        <w:t>une enseignante ou d</w:t>
      </w:r>
      <w:r w:rsidR="00BC3319" w:rsidRPr="00026EC1">
        <w:t>’</w:t>
      </w:r>
      <w:r w:rsidRPr="00026EC1">
        <w:t>un enseignant doivent se prendre selon les modalités suivantes</w:t>
      </w:r>
      <w:r w:rsidR="00D8581B">
        <w:t> :</w:t>
      </w:r>
    </w:p>
    <w:p w14:paraId="5604658E" w14:textId="77777777" w:rsidR="00AA36ED" w:rsidRPr="00026EC1" w:rsidRDefault="00AA36ED" w:rsidP="007F120F">
      <w:pPr>
        <w:keepNext w:val="0"/>
      </w:pPr>
    </w:p>
    <w:p w14:paraId="01B8E323" w14:textId="5EF2CD03" w:rsidR="00AA36ED" w:rsidRPr="00026EC1" w:rsidRDefault="00275751" w:rsidP="007F120F">
      <w:pPr>
        <w:keepNext w:val="0"/>
        <w:tabs>
          <w:tab w:val="left" w:pos="1134"/>
        </w:tabs>
        <w:ind w:left="1134" w:hanging="567"/>
      </w:pPr>
      <w:r w:rsidRPr="00026EC1">
        <w:t>a)</w:t>
      </w:r>
      <w:r w:rsidRPr="00026EC1">
        <w:tab/>
      </w:r>
      <w:r w:rsidR="00AA36ED" w:rsidRPr="00026EC1">
        <w:t>les enseignantes et enseignants sont répartis en trois</w:t>
      </w:r>
      <w:r w:rsidR="008468C2">
        <w:t> </w:t>
      </w:r>
      <w:r w:rsidR="00AA36ED" w:rsidRPr="00026EC1">
        <w:t>(3) groupes aux fins de l</w:t>
      </w:r>
      <w:r w:rsidR="00BC3319" w:rsidRPr="00026EC1">
        <w:t>’</w:t>
      </w:r>
      <w:r w:rsidR="00AA36ED" w:rsidRPr="00026EC1">
        <w:t>application des dispositions relatives aux vacances.</w:t>
      </w:r>
    </w:p>
    <w:p w14:paraId="2CEE746E" w14:textId="77777777" w:rsidR="00AA36ED" w:rsidRPr="00026EC1" w:rsidRDefault="00AA36ED" w:rsidP="007F120F">
      <w:pPr>
        <w:keepNext w:val="0"/>
        <w:ind w:left="1190" w:hanging="14"/>
      </w:pPr>
    </w:p>
    <w:p w14:paraId="52F57B13" w14:textId="1BEAD82B" w:rsidR="00AA36ED" w:rsidRPr="00026EC1" w:rsidRDefault="00AA36ED" w:rsidP="007F120F">
      <w:pPr>
        <w:pStyle w:val="Texte2cm"/>
        <w:keepNext w:val="0"/>
        <w:ind w:left="1190" w:hanging="14"/>
      </w:pPr>
      <w:r w:rsidRPr="00026EC1">
        <w:t>Les enseignantes et enseignants du premier groupe, composé des instructrices et instructeurs au vol, peuvent prendre un</w:t>
      </w:r>
      <w:r w:rsidR="008468C2">
        <w:t> </w:t>
      </w:r>
      <w:r w:rsidRPr="00026EC1">
        <w:t>(1) mois de vacances en juin, juillet ou août et un</w:t>
      </w:r>
      <w:r w:rsidR="008468C2">
        <w:t> </w:t>
      </w:r>
      <w:r w:rsidRPr="00026EC1">
        <w:t>(1) mois en décembre, janvier ou février.</w:t>
      </w:r>
    </w:p>
    <w:p w14:paraId="2E7F73F3" w14:textId="77777777" w:rsidR="00AA36ED" w:rsidRPr="00026EC1" w:rsidRDefault="00AA36ED" w:rsidP="007F120F">
      <w:pPr>
        <w:pStyle w:val="Texte2cm"/>
        <w:keepNext w:val="0"/>
        <w:ind w:left="1190" w:hanging="14"/>
      </w:pPr>
    </w:p>
    <w:p w14:paraId="6A900844" w14:textId="77777777" w:rsidR="00AA36ED" w:rsidRPr="00026EC1" w:rsidRDefault="00AA36ED" w:rsidP="007F120F">
      <w:pPr>
        <w:pStyle w:val="Texte2cm"/>
        <w:keepNext w:val="0"/>
        <w:ind w:left="1190" w:hanging="14"/>
      </w:pPr>
      <w:r w:rsidRPr="00026EC1">
        <w:t>Les enseignantes et enseignants du deuxième groupe, composé des répartitrices et répartiteurs, sont soumis aux mêmes dispositions.</w:t>
      </w:r>
    </w:p>
    <w:p w14:paraId="329A147C" w14:textId="77777777" w:rsidR="00452E69" w:rsidRPr="00026EC1" w:rsidRDefault="00452E69" w:rsidP="007F120F">
      <w:pPr>
        <w:pStyle w:val="Texte2cm"/>
        <w:keepNext w:val="0"/>
        <w:ind w:left="1190" w:hanging="14"/>
      </w:pPr>
    </w:p>
    <w:p w14:paraId="5C10B595" w14:textId="3EB1CA7E" w:rsidR="00AA36ED" w:rsidRPr="00026EC1" w:rsidRDefault="00AA36ED" w:rsidP="007F120F">
      <w:pPr>
        <w:pStyle w:val="Texte2cm"/>
        <w:keepNext w:val="0"/>
        <w:ind w:left="1190" w:hanging="14"/>
      </w:pPr>
      <w:r w:rsidRPr="00026EC1">
        <w:t>Les enseignantes et enseignants du troisième groupe, composé des instructrices et instructeurs au sol et des instructrices et instructeurs sur simulateurs, peuvent prendre deux</w:t>
      </w:r>
      <w:r w:rsidR="008468C2">
        <w:t> </w:t>
      </w:r>
      <w:r w:rsidRPr="00026EC1">
        <w:t>(2) mois de vacances en juin et juillet ou en juillet et août;</w:t>
      </w:r>
    </w:p>
    <w:p w14:paraId="0812FB7C" w14:textId="77777777" w:rsidR="00AA36ED" w:rsidRPr="00026EC1" w:rsidRDefault="00AA36ED" w:rsidP="007F120F">
      <w:pPr>
        <w:pStyle w:val="Texte2cm"/>
        <w:keepNext w:val="0"/>
        <w:ind w:left="0"/>
      </w:pPr>
    </w:p>
    <w:p w14:paraId="5B467C2B" w14:textId="77777777" w:rsidR="00AA36ED" w:rsidRPr="00026EC1" w:rsidRDefault="00275751" w:rsidP="007F120F">
      <w:pPr>
        <w:keepNext w:val="0"/>
        <w:tabs>
          <w:tab w:val="left" w:pos="1134"/>
        </w:tabs>
        <w:ind w:left="1134" w:hanging="567"/>
      </w:pPr>
      <w:r w:rsidRPr="00026EC1">
        <w:t>b)</w:t>
      </w:r>
      <w:r w:rsidRPr="00026EC1">
        <w:tab/>
      </w:r>
      <w:r w:rsidR="00AA36ED" w:rsidRPr="00026EC1">
        <w:t>avant le 15 avril de chaque année, le Collège établit un programme de vacances pour chacun des groupes après consultation des enseignantes et enseignants concernés;</w:t>
      </w:r>
    </w:p>
    <w:p w14:paraId="3A165956" w14:textId="77777777" w:rsidR="00AA36ED" w:rsidRPr="00026EC1" w:rsidRDefault="00AA36ED" w:rsidP="007F120F">
      <w:pPr>
        <w:keepNext w:val="0"/>
      </w:pPr>
    </w:p>
    <w:p w14:paraId="066DF84F" w14:textId="77777777" w:rsidR="00AA36ED" w:rsidRPr="00026EC1" w:rsidRDefault="00275751" w:rsidP="007F120F">
      <w:pPr>
        <w:keepNext w:val="0"/>
        <w:tabs>
          <w:tab w:val="left" w:pos="1134"/>
        </w:tabs>
        <w:ind w:left="1134" w:hanging="567"/>
      </w:pPr>
      <w:r w:rsidRPr="00026EC1">
        <w:t>c)</w:t>
      </w:r>
      <w:r w:rsidRPr="00026EC1">
        <w:tab/>
      </w:r>
      <w:r w:rsidR="00AA36ED" w:rsidRPr="00026EC1">
        <w:t>les enseignantes et enseignants choisissent ensuite leurs dates de vacances avant le 1</w:t>
      </w:r>
      <w:r w:rsidR="00AA36ED" w:rsidRPr="00026EC1">
        <w:rPr>
          <w:vertAlign w:val="superscript"/>
        </w:rPr>
        <w:t>er</w:t>
      </w:r>
      <w:r w:rsidR="00AA36ED" w:rsidRPr="00026EC1">
        <w:t xml:space="preserve"> mai. Lorsque nécessaire, l</w:t>
      </w:r>
      <w:r w:rsidR="00BC3319" w:rsidRPr="00026EC1">
        <w:t>’</w:t>
      </w:r>
      <w:r w:rsidR="00AA36ED" w:rsidRPr="00026EC1">
        <w:t>enseignante ou l</w:t>
      </w:r>
      <w:r w:rsidR="00BC3319" w:rsidRPr="00026EC1">
        <w:t>’</w:t>
      </w:r>
      <w:r w:rsidR="00AA36ED" w:rsidRPr="00026EC1">
        <w:t>enseignant ayant le plus d</w:t>
      </w:r>
      <w:r w:rsidR="00BC3319" w:rsidRPr="00026EC1">
        <w:t>’</w:t>
      </w:r>
      <w:r w:rsidR="00AA36ED" w:rsidRPr="00026EC1">
        <w:t>ancienneté a le premier choix et ainsi de suite. Une fois approuvées, ces dates de vacances ne peuvent être modifiées que par accord entre le Collège et l</w:t>
      </w:r>
      <w:r w:rsidR="00BC3319" w:rsidRPr="00026EC1">
        <w:t>’</w:t>
      </w:r>
      <w:r w:rsidR="00AA36ED" w:rsidRPr="00026EC1">
        <w:t>enseignante ou l</w:t>
      </w:r>
      <w:r w:rsidR="00BC3319" w:rsidRPr="00026EC1">
        <w:t>’</w:t>
      </w:r>
      <w:r w:rsidR="00AA36ED" w:rsidRPr="00026EC1">
        <w:t>enseignant concerné;</w:t>
      </w:r>
    </w:p>
    <w:p w14:paraId="43DBADCA" w14:textId="77777777" w:rsidR="00AA36ED" w:rsidRPr="00026EC1" w:rsidRDefault="00AA36ED" w:rsidP="007F120F">
      <w:pPr>
        <w:keepNext w:val="0"/>
        <w:ind w:left="567"/>
      </w:pPr>
    </w:p>
    <w:p w14:paraId="5DA6F5F9" w14:textId="77777777" w:rsidR="00AA36ED" w:rsidRPr="00026EC1" w:rsidRDefault="00275751" w:rsidP="007F120F">
      <w:pPr>
        <w:keepNext w:val="0"/>
        <w:tabs>
          <w:tab w:val="left" w:pos="1134"/>
        </w:tabs>
        <w:ind w:left="1134" w:hanging="567"/>
      </w:pPr>
      <w:r w:rsidRPr="00026EC1">
        <w:t>d)</w:t>
      </w:r>
      <w:r w:rsidRPr="00026EC1">
        <w:tab/>
      </w:r>
      <w:r w:rsidR="00AA36ED" w:rsidRPr="00026EC1">
        <w:t>sous réserve des dispositions de la présente clause, les vacances ne peuvent être remises à une autre année, sauf après autorisation du Collège.</w:t>
      </w:r>
    </w:p>
    <w:p w14:paraId="69373842" w14:textId="77777777" w:rsidR="00AA36ED" w:rsidRPr="00026EC1" w:rsidRDefault="00AA36ED" w:rsidP="007F120F">
      <w:pPr>
        <w:keepNext w:val="0"/>
      </w:pPr>
    </w:p>
    <w:p w14:paraId="7C6636A1" w14:textId="61A0DC00" w:rsidR="00AA36ED" w:rsidRPr="00026EC1" w:rsidRDefault="00AA36ED" w:rsidP="007F120F">
      <w:pPr>
        <w:keepNext w:val="0"/>
        <w:rPr>
          <w:b/>
          <w:bCs/>
          <w:u w:val="single"/>
        </w:rPr>
      </w:pPr>
      <w:r w:rsidRPr="00026EC1">
        <w:rPr>
          <w:b/>
          <w:bCs/>
          <w:u w:val="single"/>
        </w:rPr>
        <w:t>Article</w:t>
      </w:r>
      <w:r w:rsidR="00665807" w:rsidRPr="00026EC1">
        <w:rPr>
          <w:b/>
          <w:bCs/>
          <w:u w:val="single"/>
        </w:rPr>
        <w:t> </w:t>
      </w:r>
      <w:r w:rsidRPr="00026EC1">
        <w:rPr>
          <w:b/>
          <w:bCs/>
          <w:u w:val="single"/>
        </w:rPr>
        <w:t>8</w:t>
      </w:r>
      <w:r w:rsidR="00984A6F">
        <w:rPr>
          <w:b/>
          <w:bCs/>
          <w:u w:val="single"/>
        </w:rPr>
        <w:noBreakHyphen/>
      </w:r>
      <w:r w:rsidRPr="00026EC1">
        <w:rPr>
          <w:b/>
          <w:bCs/>
          <w:u w:val="single"/>
        </w:rPr>
        <w:t xml:space="preserve">3.00 </w:t>
      </w:r>
      <w:r w:rsidR="00984A6F">
        <w:rPr>
          <w:b/>
          <w:bCs/>
          <w:u w:val="single"/>
        </w:rPr>
        <w:noBreakHyphen/>
      </w:r>
      <w:r w:rsidRPr="00026EC1">
        <w:rPr>
          <w:b/>
          <w:bCs/>
          <w:u w:val="single"/>
        </w:rPr>
        <w:t xml:space="preserve"> Dispositions relatives à la disponibilité</w:t>
      </w:r>
    </w:p>
    <w:p w14:paraId="784AA729" w14:textId="77777777" w:rsidR="00AA36ED" w:rsidRPr="00026EC1" w:rsidRDefault="00AA36ED" w:rsidP="007F120F">
      <w:pPr>
        <w:keepNext w:val="0"/>
      </w:pPr>
    </w:p>
    <w:p w14:paraId="62FBC6A7" w14:textId="66E02297" w:rsidR="00AA36ED" w:rsidRPr="00026EC1" w:rsidRDefault="00AA36ED" w:rsidP="007F120F">
      <w:pPr>
        <w:keepNext w:val="0"/>
        <w:tabs>
          <w:tab w:val="left" w:pos="540"/>
        </w:tabs>
      </w:pPr>
      <w:r w:rsidRPr="00026EC1">
        <w:t>06.</w:t>
      </w:r>
      <w:r w:rsidRPr="00026EC1">
        <w:tab/>
        <w:t>L</w:t>
      </w:r>
      <w:r w:rsidR="00BC3319" w:rsidRPr="00026EC1">
        <w:t>’</w:t>
      </w:r>
      <w:r w:rsidRPr="00026EC1">
        <w:t>article</w:t>
      </w:r>
      <w:r w:rsidR="001A73C0" w:rsidRPr="00026EC1">
        <w:t> </w:t>
      </w:r>
      <w:r w:rsidRPr="00026EC1">
        <w:t>8</w:t>
      </w:r>
      <w:r w:rsidR="00984A6F">
        <w:noBreakHyphen/>
      </w:r>
      <w:r w:rsidRPr="00026EC1">
        <w:t>3.00 est modifié de la façon suivante</w:t>
      </w:r>
      <w:r w:rsidR="00D8581B">
        <w:t> :</w:t>
      </w:r>
    </w:p>
    <w:p w14:paraId="7000F11F" w14:textId="77777777" w:rsidR="00AA36ED" w:rsidRPr="00026EC1" w:rsidRDefault="00AA36ED" w:rsidP="007F120F">
      <w:pPr>
        <w:keepNext w:val="0"/>
      </w:pPr>
    </w:p>
    <w:p w14:paraId="6F2F2726" w14:textId="5D6B8696" w:rsidR="00AA36ED" w:rsidRPr="00026EC1" w:rsidRDefault="00275751" w:rsidP="007F120F">
      <w:pPr>
        <w:keepNext w:val="0"/>
        <w:tabs>
          <w:tab w:val="left" w:pos="1134"/>
        </w:tabs>
        <w:ind w:left="1134" w:hanging="567"/>
      </w:pPr>
      <w:r w:rsidRPr="00026EC1">
        <w:t>a)</w:t>
      </w:r>
      <w:r w:rsidRPr="00026EC1">
        <w:tab/>
      </w:r>
      <w:r w:rsidR="00AA36ED" w:rsidRPr="00026EC1">
        <w:t>La clause</w:t>
      </w:r>
      <w:r w:rsidR="001A73C0" w:rsidRPr="00026EC1">
        <w:t> </w:t>
      </w:r>
      <w:r w:rsidR="00AA36ED" w:rsidRPr="00026EC1">
        <w:t>8</w:t>
      </w:r>
      <w:r w:rsidR="00984A6F">
        <w:noBreakHyphen/>
      </w:r>
      <w:r w:rsidR="00AA36ED" w:rsidRPr="00026EC1">
        <w:t>3.02 est remplacée par</w:t>
      </w:r>
      <w:r w:rsidR="00D8581B">
        <w:t> :</w:t>
      </w:r>
    </w:p>
    <w:p w14:paraId="7EFDC46D" w14:textId="3A1280DC" w:rsidR="00F70C2B" w:rsidRDefault="00F70C2B">
      <w:pPr>
        <w:keepNext w:val="0"/>
        <w:suppressAutoHyphens w:val="0"/>
        <w:jc w:val="left"/>
      </w:pPr>
      <w:r>
        <w:br w:type="page"/>
      </w:r>
    </w:p>
    <w:p w14:paraId="686591E4" w14:textId="6CD230C1" w:rsidR="00AA36ED" w:rsidRPr="00026EC1" w:rsidRDefault="00AA36ED" w:rsidP="007F120F">
      <w:pPr>
        <w:pStyle w:val="Texte2cm"/>
        <w:keepNext w:val="0"/>
        <w:rPr>
          <w:b/>
          <w:bCs/>
        </w:rPr>
      </w:pPr>
      <w:r w:rsidRPr="00026EC1">
        <w:rPr>
          <w:b/>
          <w:bCs/>
        </w:rPr>
        <w:t>8</w:t>
      </w:r>
      <w:r w:rsidR="00984A6F">
        <w:rPr>
          <w:b/>
          <w:bCs/>
        </w:rPr>
        <w:noBreakHyphen/>
      </w:r>
      <w:r w:rsidRPr="00026EC1">
        <w:rPr>
          <w:b/>
          <w:bCs/>
        </w:rPr>
        <w:t>3.02</w:t>
      </w:r>
    </w:p>
    <w:p w14:paraId="1B9AC141" w14:textId="1C5B6030" w:rsidR="00AA36ED" w:rsidRPr="00026EC1" w:rsidRDefault="00275751" w:rsidP="007F120F">
      <w:pPr>
        <w:keepNext w:val="0"/>
        <w:tabs>
          <w:tab w:val="left" w:pos="1701"/>
        </w:tabs>
        <w:ind w:left="1701" w:hanging="567"/>
      </w:pPr>
      <w:r w:rsidRPr="00026EC1">
        <w:t>a)</w:t>
      </w:r>
      <w:r w:rsidRPr="00026EC1">
        <w:tab/>
      </w:r>
      <w:r w:rsidR="00AA36ED" w:rsidRPr="00026EC1">
        <w:t>À moins d</w:t>
      </w:r>
      <w:r w:rsidR="00BC3319" w:rsidRPr="00026EC1">
        <w:t>’</w:t>
      </w:r>
      <w:r w:rsidR="00AA36ED" w:rsidRPr="00026EC1">
        <w:t>entente entre les parties, l</w:t>
      </w:r>
      <w:r w:rsidR="00BC3319" w:rsidRPr="00026EC1">
        <w:t>’</w:t>
      </w:r>
      <w:r w:rsidR="00AA36ED" w:rsidRPr="00026EC1">
        <w:t>enseignante ou l</w:t>
      </w:r>
      <w:r w:rsidR="00BC3319" w:rsidRPr="00026EC1">
        <w:t>’</w:t>
      </w:r>
      <w:r w:rsidR="00AA36ED" w:rsidRPr="00026EC1">
        <w:t>enseignant à temps complet doit être à la disposition du Collège du lundi au vendredi, et cette disponibilité est établie entre la huitième</w:t>
      </w:r>
      <w:r w:rsidR="008468C2">
        <w:t> </w:t>
      </w:r>
      <w:r w:rsidR="00AA36ED" w:rsidRPr="00026EC1">
        <w:t>(8</w:t>
      </w:r>
      <w:r w:rsidR="00AA36ED" w:rsidRPr="00026EC1">
        <w:rPr>
          <w:vertAlign w:val="superscript"/>
        </w:rPr>
        <w:t>e</w:t>
      </w:r>
      <w:r w:rsidR="00AA36ED" w:rsidRPr="00026EC1">
        <w:t>) et la vingt</w:t>
      </w:r>
      <w:r w:rsidR="00984A6F">
        <w:noBreakHyphen/>
      </w:r>
      <w:r w:rsidR="00AA36ED" w:rsidRPr="00026EC1">
        <w:t>troisième</w:t>
      </w:r>
      <w:r w:rsidR="008468C2">
        <w:t> </w:t>
      </w:r>
      <w:r w:rsidR="00AA36ED" w:rsidRPr="00026EC1">
        <w:t>(23</w:t>
      </w:r>
      <w:r w:rsidR="00AA36ED" w:rsidRPr="00026EC1">
        <w:rPr>
          <w:vertAlign w:val="superscript"/>
        </w:rPr>
        <w:t>e</w:t>
      </w:r>
      <w:r w:rsidR="00AA36ED" w:rsidRPr="00026EC1">
        <w:t>) heure.</w:t>
      </w:r>
    </w:p>
    <w:p w14:paraId="1AF4A3E5" w14:textId="77777777" w:rsidR="00AA36ED" w:rsidRPr="00026EC1" w:rsidRDefault="00AA36ED" w:rsidP="007F120F">
      <w:pPr>
        <w:keepNext w:val="0"/>
      </w:pPr>
    </w:p>
    <w:p w14:paraId="36405465" w14:textId="3E47BD89" w:rsidR="00AA36ED" w:rsidRPr="00026EC1" w:rsidRDefault="00275751" w:rsidP="007F120F">
      <w:pPr>
        <w:keepNext w:val="0"/>
        <w:tabs>
          <w:tab w:val="left" w:pos="1701"/>
        </w:tabs>
        <w:ind w:left="1701" w:hanging="567"/>
      </w:pPr>
      <w:r w:rsidRPr="00026EC1">
        <w:t>b)</w:t>
      </w:r>
      <w:r w:rsidRPr="00026EC1">
        <w:tab/>
      </w:r>
      <w:r w:rsidR="00AA36ED" w:rsidRPr="00026EC1">
        <w:t>Lorsqu</w:t>
      </w:r>
      <w:r w:rsidR="00BC3319" w:rsidRPr="00026EC1">
        <w:t>’</w:t>
      </w:r>
      <w:r w:rsidR="00AA36ED" w:rsidRPr="00026EC1">
        <w:t>il y a vol de nuit ou lorsque l</w:t>
      </w:r>
      <w:r w:rsidR="00BC3319" w:rsidRPr="00026EC1">
        <w:t>’</w:t>
      </w:r>
      <w:r w:rsidR="00AA36ED" w:rsidRPr="00026EC1">
        <w:t>instruction aux instruments est donnée à partir d</w:t>
      </w:r>
      <w:r w:rsidR="00BC3319" w:rsidRPr="00026EC1">
        <w:t>’</w:t>
      </w:r>
      <w:r w:rsidR="00AA36ED" w:rsidRPr="00026EC1">
        <w:t>une base autre que celle de Saint</w:t>
      </w:r>
      <w:r w:rsidR="00984A6F">
        <w:noBreakHyphen/>
      </w:r>
      <w:r w:rsidR="00AA36ED" w:rsidRPr="00026EC1">
        <w:t>Honoré, le Collège pourra réaménager la disponibilité de l</w:t>
      </w:r>
      <w:r w:rsidR="00BC3319" w:rsidRPr="00026EC1">
        <w:t>’</w:t>
      </w:r>
      <w:r w:rsidR="00AA36ED" w:rsidRPr="00026EC1">
        <w:t>enseignante ou de l</w:t>
      </w:r>
      <w:r w:rsidR="00BC3319" w:rsidRPr="00026EC1">
        <w:t>’</w:t>
      </w:r>
      <w:r w:rsidR="00AA36ED" w:rsidRPr="00026EC1">
        <w:t>enseignant; il devra cependant aviser par écrit l</w:t>
      </w:r>
      <w:r w:rsidR="00BC3319" w:rsidRPr="00026EC1">
        <w:t>’</w:t>
      </w:r>
      <w:r w:rsidR="00AA36ED" w:rsidRPr="00026EC1">
        <w:t>enseignante ou l</w:t>
      </w:r>
      <w:r w:rsidR="00BC3319" w:rsidRPr="00026EC1">
        <w:t>’</w:t>
      </w:r>
      <w:r w:rsidR="00AA36ED" w:rsidRPr="00026EC1">
        <w:t>enseignant de son horaire modifié au moins sept</w:t>
      </w:r>
      <w:r w:rsidR="008468C2">
        <w:t> </w:t>
      </w:r>
      <w:r w:rsidR="00AA36ED" w:rsidRPr="00026EC1">
        <w:t>(7) jours à l</w:t>
      </w:r>
      <w:r w:rsidR="00BC3319" w:rsidRPr="00026EC1">
        <w:t>’</w:t>
      </w:r>
      <w:r w:rsidR="00AA36ED" w:rsidRPr="00026EC1">
        <w:t>avance.</w:t>
      </w:r>
    </w:p>
    <w:p w14:paraId="5CF2761D" w14:textId="77777777" w:rsidR="00AA36ED" w:rsidRPr="00026EC1" w:rsidRDefault="00AA36ED" w:rsidP="007F120F">
      <w:pPr>
        <w:keepNext w:val="0"/>
      </w:pPr>
    </w:p>
    <w:p w14:paraId="5CAA250E" w14:textId="48B5294B" w:rsidR="00AA36ED" w:rsidRPr="00026EC1" w:rsidRDefault="00275751" w:rsidP="007F120F">
      <w:pPr>
        <w:keepNext w:val="0"/>
        <w:tabs>
          <w:tab w:val="left" w:pos="1134"/>
        </w:tabs>
        <w:ind w:left="1134" w:hanging="567"/>
      </w:pPr>
      <w:r w:rsidRPr="00026EC1">
        <w:t>b)</w:t>
      </w:r>
      <w:r w:rsidRPr="00026EC1">
        <w:tab/>
      </w:r>
      <w:r w:rsidR="00AA36ED" w:rsidRPr="00026EC1">
        <w:t>La clause</w:t>
      </w:r>
      <w:r w:rsidR="001A73C0" w:rsidRPr="00026EC1">
        <w:t> </w:t>
      </w:r>
      <w:r w:rsidR="00AA36ED" w:rsidRPr="00026EC1">
        <w:t>8</w:t>
      </w:r>
      <w:r w:rsidR="00984A6F">
        <w:noBreakHyphen/>
      </w:r>
      <w:r w:rsidR="00AA36ED" w:rsidRPr="00026EC1">
        <w:t>3.03 est remplacée par</w:t>
      </w:r>
      <w:r w:rsidR="00D8581B">
        <w:t> :</w:t>
      </w:r>
    </w:p>
    <w:p w14:paraId="065C60DB" w14:textId="77777777" w:rsidR="00AA36ED" w:rsidRPr="00026EC1" w:rsidRDefault="00AA36ED" w:rsidP="007F120F">
      <w:pPr>
        <w:keepNext w:val="0"/>
      </w:pPr>
    </w:p>
    <w:p w14:paraId="20FC7213" w14:textId="74FB8FCC" w:rsidR="00AA36ED" w:rsidRPr="00026EC1" w:rsidRDefault="00AA36ED" w:rsidP="007F120F">
      <w:pPr>
        <w:pStyle w:val="Texte2cm"/>
        <w:keepNext w:val="0"/>
        <w:rPr>
          <w:b/>
          <w:bCs/>
        </w:rPr>
      </w:pPr>
      <w:r w:rsidRPr="00026EC1">
        <w:rPr>
          <w:b/>
          <w:bCs/>
        </w:rPr>
        <w:t>8</w:t>
      </w:r>
      <w:r w:rsidR="00984A6F">
        <w:rPr>
          <w:b/>
          <w:bCs/>
        </w:rPr>
        <w:noBreakHyphen/>
      </w:r>
      <w:r w:rsidRPr="00026EC1">
        <w:rPr>
          <w:b/>
          <w:bCs/>
        </w:rPr>
        <w:t>3.03</w:t>
      </w:r>
    </w:p>
    <w:p w14:paraId="0FB10571" w14:textId="00C00C6D" w:rsidR="00AA36ED" w:rsidRPr="00026EC1" w:rsidRDefault="00AA36ED" w:rsidP="007F120F">
      <w:pPr>
        <w:pStyle w:val="Texte2cm"/>
        <w:keepNext w:val="0"/>
      </w:pPr>
      <w:r w:rsidRPr="00026EC1">
        <w:t>Quand la prestation de l</w:t>
      </w:r>
      <w:r w:rsidR="00BC3319" w:rsidRPr="00026EC1">
        <w:t>’</w:t>
      </w:r>
      <w:r w:rsidRPr="00026EC1">
        <w:t>enseignante ou de l</w:t>
      </w:r>
      <w:r w:rsidR="00BC3319" w:rsidRPr="00026EC1">
        <w:t>’</w:t>
      </w:r>
      <w:r w:rsidRPr="00026EC1">
        <w:t>enseignant exige une disponibilité excédant sept</w:t>
      </w:r>
      <w:r w:rsidR="008468C2">
        <w:t> </w:t>
      </w:r>
      <w:r w:rsidRPr="00026EC1">
        <w:t>(7) heures par jour, le Collège reconnaît à l</w:t>
      </w:r>
      <w:r w:rsidR="00BC3319" w:rsidRPr="00026EC1">
        <w:t>’</w:t>
      </w:r>
      <w:r w:rsidRPr="00026EC1">
        <w:t>enseignante ou à l</w:t>
      </w:r>
      <w:r w:rsidR="00BC3319" w:rsidRPr="00026EC1">
        <w:t>’</w:t>
      </w:r>
      <w:r w:rsidRPr="00026EC1">
        <w:t>enseignant une période de non</w:t>
      </w:r>
      <w:r w:rsidR="00984A6F">
        <w:noBreakHyphen/>
      </w:r>
      <w:r w:rsidRPr="00026EC1">
        <w:t>disponibilité à un autre moment de la semaine, de sorte que la disponibilité hebdomadaire n</w:t>
      </w:r>
      <w:r w:rsidR="00BC3319" w:rsidRPr="00026EC1">
        <w:t>’</w:t>
      </w:r>
      <w:r w:rsidRPr="00026EC1">
        <w:t>excède pas trente</w:t>
      </w:r>
      <w:r w:rsidR="00984A6F">
        <w:noBreakHyphen/>
      </w:r>
      <w:r w:rsidRPr="00026EC1">
        <w:t>cinq</w:t>
      </w:r>
      <w:r w:rsidR="008468C2">
        <w:t> </w:t>
      </w:r>
      <w:r w:rsidRPr="00026EC1">
        <w:t>(35) heures. Cette période est fixée après entente avec le Collège et l</w:t>
      </w:r>
      <w:r w:rsidR="00BC3319" w:rsidRPr="00026EC1">
        <w:t>’</w:t>
      </w:r>
      <w:r w:rsidRPr="00026EC1">
        <w:t>enseignante ou l</w:t>
      </w:r>
      <w:r w:rsidR="00BC3319" w:rsidRPr="00026EC1">
        <w:t>’</w:t>
      </w:r>
      <w:r w:rsidRPr="00026EC1">
        <w:t>enseignant.</w:t>
      </w:r>
    </w:p>
    <w:p w14:paraId="152A7EEB" w14:textId="77777777" w:rsidR="00AA36ED" w:rsidRPr="00026EC1" w:rsidRDefault="00AA36ED" w:rsidP="007F120F">
      <w:pPr>
        <w:keepNext w:val="0"/>
      </w:pPr>
    </w:p>
    <w:p w14:paraId="1A53C00F" w14:textId="16BCE568" w:rsidR="00AA36ED" w:rsidRPr="00026EC1" w:rsidRDefault="00275751" w:rsidP="007F120F">
      <w:pPr>
        <w:keepNext w:val="0"/>
        <w:tabs>
          <w:tab w:val="left" w:pos="1134"/>
        </w:tabs>
        <w:ind w:left="1134" w:hanging="567"/>
      </w:pPr>
      <w:r w:rsidRPr="00026EC1">
        <w:t>c)</w:t>
      </w:r>
      <w:r w:rsidRPr="00026EC1">
        <w:tab/>
      </w:r>
      <w:r w:rsidR="00AA36ED" w:rsidRPr="00026EC1">
        <w:t>La clause</w:t>
      </w:r>
      <w:r w:rsidR="001A73C0" w:rsidRPr="00026EC1">
        <w:t> </w:t>
      </w:r>
      <w:r w:rsidR="00AA36ED" w:rsidRPr="00026EC1">
        <w:t>8</w:t>
      </w:r>
      <w:r w:rsidR="00984A6F">
        <w:noBreakHyphen/>
      </w:r>
      <w:r w:rsidR="00AA36ED" w:rsidRPr="00026EC1">
        <w:t>3.06 est remplacée par</w:t>
      </w:r>
      <w:r w:rsidR="00D8581B">
        <w:t> :</w:t>
      </w:r>
    </w:p>
    <w:p w14:paraId="19FBCC41" w14:textId="77777777" w:rsidR="00AA36ED" w:rsidRPr="00026EC1" w:rsidRDefault="00AA36ED" w:rsidP="007F120F">
      <w:pPr>
        <w:keepNext w:val="0"/>
      </w:pPr>
    </w:p>
    <w:p w14:paraId="6BD7940E" w14:textId="542C09C6" w:rsidR="00AA36ED" w:rsidRPr="00026EC1" w:rsidRDefault="00AA36ED" w:rsidP="007F120F">
      <w:pPr>
        <w:pStyle w:val="Texte2cm"/>
        <w:keepNext w:val="0"/>
        <w:rPr>
          <w:b/>
          <w:bCs/>
        </w:rPr>
      </w:pPr>
      <w:r w:rsidRPr="00026EC1">
        <w:rPr>
          <w:b/>
          <w:bCs/>
        </w:rPr>
        <w:t>8</w:t>
      </w:r>
      <w:r w:rsidR="00984A6F">
        <w:rPr>
          <w:b/>
          <w:bCs/>
        </w:rPr>
        <w:noBreakHyphen/>
      </w:r>
      <w:r w:rsidRPr="00026EC1">
        <w:rPr>
          <w:b/>
          <w:bCs/>
        </w:rPr>
        <w:t>3.06</w:t>
      </w:r>
    </w:p>
    <w:p w14:paraId="4857D100" w14:textId="77777777" w:rsidR="00AA36ED" w:rsidRPr="00026EC1" w:rsidRDefault="00AA36ED" w:rsidP="007F120F">
      <w:pPr>
        <w:pStyle w:val="Texte2cm"/>
        <w:keepNext w:val="0"/>
      </w:pPr>
      <w:r w:rsidRPr="00026EC1">
        <w:t>L</w:t>
      </w:r>
      <w:r w:rsidR="00BC3319" w:rsidRPr="00026EC1">
        <w:t>’</w:t>
      </w:r>
      <w:r w:rsidRPr="00026EC1">
        <w:t>enseignante ou l</w:t>
      </w:r>
      <w:r w:rsidR="00BC3319" w:rsidRPr="00026EC1">
        <w:t>’</w:t>
      </w:r>
      <w:r w:rsidRPr="00026EC1">
        <w:t>enseignant remplit sa charge dans les locaux du Centre ou du Collège ou dans les lieux inhérents à sa charge.</w:t>
      </w:r>
    </w:p>
    <w:p w14:paraId="6BF9C6D6" w14:textId="77777777" w:rsidR="00AA36ED" w:rsidRPr="00026EC1" w:rsidRDefault="00AA36ED" w:rsidP="007F120F">
      <w:pPr>
        <w:keepNext w:val="0"/>
      </w:pPr>
    </w:p>
    <w:p w14:paraId="684DF7C6" w14:textId="530E0FBD" w:rsidR="00404F34" w:rsidRPr="00343D0E" w:rsidRDefault="001A73C0" w:rsidP="007F120F">
      <w:pPr>
        <w:pStyle w:val="Heading3"/>
        <w:keepNext w:val="0"/>
      </w:pPr>
      <w:bookmarkStart w:id="1263" w:name="_Toc535046684"/>
      <w:bookmarkStart w:id="1264" w:name="_Toc133760851"/>
      <w:bookmarkStart w:id="1265" w:name="_Toc133916999"/>
      <w:bookmarkStart w:id="1266" w:name="_Toc134437273"/>
      <w:r w:rsidRPr="00026EC1">
        <w:br w:type="page"/>
      </w:r>
      <w:bookmarkStart w:id="1267" w:name="_Toc393449068"/>
      <w:bookmarkStart w:id="1268" w:name="_Toc393449437"/>
      <w:bookmarkStart w:id="1269" w:name="_Toc462751562"/>
      <w:bookmarkStart w:id="1270" w:name="_Toc484082579"/>
      <w:bookmarkStart w:id="1271" w:name="_Toc168479595"/>
      <w:r w:rsidR="00AB3CBC" w:rsidRPr="00343D0E">
        <w:t>Annexe III</w:t>
      </w:r>
      <w:r w:rsidR="002F5A0C">
        <w:t>-</w:t>
      </w:r>
      <w:r w:rsidR="00AB3CBC" w:rsidRPr="00343D0E">
        <w:t>2</w:t>
      </w:r>
      <w:bookmarkEnd w:id="1263"/>
      <w:bookmarkEnd w:id="1264"/>
      <w:bookmarkEnd w:id="1265"/>
      <w:bookmarkEnd w:id="1266"/>
      <w:r w:rsidR="00AB3CBC" w:rsidRPr="00343D0E">
        <w:br/>
      </w:r>
      <w:r w:rsidR="00AB3CBC" w:rsidRPr="00343D0E">
        <w:br/>
      </w:r>
      <w:bookmarkStart w:id="1272" w:name="_Toc535046685"/>
      <w:bookmarkStart w:id="1273" w:name="_Toc133760852"/>
      <w:r w:rsidR="00AB3CBC" w:rsidRPr="00343D0E">
        <w:t>Annexe relative au Collège Marie</w:t>
      </w:r>
      <w:r w:rsidR="00253005">
        <w:t>-</w:t>
      </w:r>
      <w:r w:rsidR="00AB3CBC" w:rsidRPr="00343D0E">
        <w:t>Victorin</w:t>
      </w:r>
      <w:bookmarkEnd w:id="1267"/>
      <w:bookmarkEnd w:id="1268"/>
      <w:bookmarkEnd w:id="1269"/>
      <w:bookmarkEnd w:id="1270"/>
      <w:bookmarkEnd w:id="1271"/>
      <w:bookmarkEnd w:id="1272"/>
      <w:bookmarkEnd w:id="1273"/>
    </w:p>
    <w:p w14:paraId="122766D6" w14:textId="1F9D7E2F" w:rsidR="00404F34" w:rsidRPr="00026EC1" w:rsidRDefault="00275751" w:rsidP="007F120F">
      <w:pPr>
        <w:keepNext w:val="0"/>
        <w:tabs>
          <w:tab w:val="left" w:pos="567"/>
        </w:tabs>
        <w:ind w:left="567" w:hanging="567"/>
      </w:pPr>
      <w:r w:rsidRPr="00026EC1">
        <w:t>01.</w:t>
      </w:r>
      <w:r w:rsidRPr="00026EC1">
        <w:tab/>
      </w:r>
      <w:r w:rsidR="00404F34" w:rsidRPr="00026EC1">
        <w:t>La clause 2</w:t>
      </w:r>
      <w:r w:rsidR="00984A6F">
        <w:noBreakHyphen/>
      </w:r>
      <w:r w:rsidR="00404F34" w:rsidRPr="00026EC1">
        <w:t>1.04 suivante est ajoutée à la présente convention collective</w:t>
      </w:r>
      <w:r w:rsidR="00D8581B">
        <w:t> :</w:t>
      </w:r>
    </w:p>
    <w:p w14:paraId="0CA0D58B" w14:textId="77777777" w:rsidR="00404F34" w:rsidRPr="00026EC1" w:rsidRDefault="00404F34" w:rsidP="007F120F">
      <w:pPr>
        <w:keepNext w:val="0"/>
      </w:pPr>
    </w:p>
    <w:p w14:paraId="112CF902" w14:textId="79CB4B6B" w:rsidR="00404F34" w:rsidRPr="00026EC1" w:rsidRDefault="00404F34" w:rsidP="007F120F">
      <w:pPr>
        <w:pStyle w:val="Texte1cm"/>
        <w:keepNext w:val="0"/>
        <w:rPr>
          <w:b/>
          <w:bCs/>
        </w:rPr>
      </w:pPr>
      <w:r w:rsidRPr="00026EC1">
        <w:rPr>
          <w:b/>
          <w:bCs/>
        </w:rPr>
        <w:t>2</w:t>
      </w:r>
      <w:r w:rsidR="00984A6F">
        <w:rPr>
          <w:b/>
          <w:bCs/>
        </w:rPr>
        <w:noBreakHyphen/>
      </w:r>
      <w:r w:rsidRPr="00026EC1">
        <w:rPr>
          <w:b/>
          <w:bCs/>
        </w:rPr>
        <w:t>1.04</w:t>
      </w:r>
    </w:p>
    <w:p w14:paraId="05598E75" w14:textId="0BAE931C" w:rsidR="00404F34" w:rsidRPr="00026EC1" w:rsidRDefault="00404F34" w:rsidP="007F120F">
      <w:pPr>
        <w:pStyle w:val="Texte1cm"/>
        <w:keepNext w:val="0"/>
      </w:pPr>
      <w:r w:rsidRPr="00026EC1">
        <w:t>L</w:t>
      </w:r>
      <w:r w:rsidR="00BC3319" w:rsidRPr="00026EC1">
        <w:t>’</w:t>
      </w:r>
      <w:r w:rsidRPr="00026EC1">
        <w:t>enseignante ou l</w:t>
      </w:r>
      <w:r w:rsidR="00BC3319" w:rsidRPr="00026EC1">
        <w:t>’</w:t>
      </w:r>
      <w:r w:rsidRPr="00026EC1">
        <w:t>enseignant qui donne des cours dans le cadre des activités « École</w:t>
      </w:r>
      <w:r w:rsidR="00984A6F">
        <w:noBreakHyphen/>
      </w:r>
      <w:r w:rsidRPr="00026EC1">
        <w:t>en</w:t>
      </w:r>
      <w:r w:rsidR="00984A6F">
        <w:noBreakHyphen/>
      </w:r>
      <w:r w:rsidRPr="00026EC1">
        <w:t>mer » n</w:t>
      </w:r>
      <w:r w:rsidR="00BC3319" w:rsidRPr="00026EC1">
        <w:t>’</w:t>
      </w:r>
      <w:r w:rsidRPr="00026EC1">
        <w:t>est pas assujetti à la convention collective.</w:t>
      </w:r>
    </w:p>
    <w:p w14:paraId="57BAD1FB" w14:textId="77777777" w:rsidR="00404F34" w:rsidRPr="00026EC1" w:rsidRDefault="00404F34" w:rsidP="007F120F">
      <w:pPr>
        <w:keepNext w:val="0"/>
        <w:rPr>
          <w:strike/>
        </w:rPr>
      </w:pPr>
    </w:p>
    <w:p w14:paraId="35165BDB" w14:textId="76900752" w:rsidR="00404F34" w:rsidRPr="00026EC1" w:rsidRDefault="00275751" w:rsidP="007F120F">
      <w:pPr>
        <w:keepNext w:val="0"/>
        <w:tabs>
          <w:tab w:val="left" w:pos="567"/>
        </w:tabs>
        <w:ind w:left="567" w:hanging="567"/>
      </w:pPr>
      <w:r w:rsidRPr="00026EC1">
        <w:t>02.</w:t>
      </w:r>
      <w:r w:rsidRPr="00026EC1">
        <w:tab/>
      </w:r>
      <w:r w:rsidR="00404F34" w:rsidRPr="00026EC1">
        <w:t>L</w:t>
      </w:r>
      <w:r w:rsidR="00BC3319" w:rsidRPr="00026EC1">
        <w:t>’</w:t>
      </w:r>
      <w:r w:rsidR="00404F34" w:rsidRPr="00026EC1">
        <w:t>ancienneté des enseignantes et enseignants désignés à titre de « chargée ou chargé de cours à la retraite » est fixe à compter du 1</w:t>
      </w:r>
      <w:r w:rsidR="00404F34" w:rsidRPr="00026EC1">
        <w:rPr>
          <w:vertAlign w:val="superscript"/>
        </w:rPr>
        <w:t>er</w:t>
      </w:r>
      <w:r w:rsidR="00404F34" w:rsidRPr="00026EC1">
        <w:t> juillet</w:t>
      </w:r>
      <w:r w:rsidR="00611FB3">
        <w:t> </w:t>
      </w:r>
      <w:r w:rsidR="00404F34" w:rsidRPr="00026EC1">
        <w:t>1993.</w:t>
      </w:r>
    </w:p>
    <w:p w14:paraId="35CEB9F3" w14:textId="77777777" w:rsidR="00404F34" w:rsidRPr="00026EC1" w:rsidRDefault="00404F34" w:rsidP="007F120F">
      <w:pPr>
        <w:keepNext w:val="0"/>
      </w:pPr>
    </w:p>
    <w:p w14:paraId="56C06D80" w14:textId="5A227E77" w:rsidR="00404F34" w:rsidRPr="00026EC1" w:rsidRDefault="00275751" w:rsidP="007F120F">
      <w:pPr>
        <w:keepNext w:val="0"/>
        <w:tabs>
          <w:tab w:val="left" w:pos="567"/>
        </w:tabs>
        <w:ind w:left="567" w:hanging="567"/>
      </w:pPr>
      <w:r w:rsidRPr="00026EC1">
        <w:t>03.</w:t>
      </w:r>
      <w:r w:rsidRPr="00026EC1">
        <w:tab/>
      </w:r>
      <w:r w:rsidR="00404F34" w:rsidRPr="00026EC1">
        <w:t>Les charges d</w:t>
      </w:r>
      <w:r w:rsidR="00BC3319" w:rsidRPr="00026EC1">
        <w:t>’</w:t>
      </w:r>
      <w:r w:rsidR="00404F34" w:rsidRPr="00026EC1">
        <w:t>enseignement disponibles dans le milieu carcéral sont exclues de l</w:t>
      </w:r>
      <w:r w:rsidR="00BC3319" w:rsidRPr="00026EC1">
        <w:t>’</w:t>
      </w:r>
      <w:r w:rsidR="00404F34" w:rsidRPr="00026EC1">
        <w:t>application du troisième</w:t>
      </w:r>
      <w:r w:rsidR="008468C2">
        <w:t> </w:t>
      </w:r>
      <w:r w:rsidR="00404F34" w:rsidRPr="00026EC1">
        <w:t>(3e) paragraphe de l</w:t>
      </w:r>
      <w:r w:rsidR="00BC3319" w:rsidRPr="00026EC1">
        <w:t>’</w:t>
      </w:r>
      <w:r w:rsidR="00404F34" w:rsidRPr="00026EC1">
        <w:t>alinéa I) de</w:t>
      </w:r>
      <w:r w:rsidR="00A17B10" w:rsidRPr="00026EC1">
        <w:t xml:space="preserve"> la clause</w:t>
      </w:r>
      <w:r w:rsidR="00611FB3">
        <w:t> </w:t>
      </w:r>
      <w:r w:rsidR="00404F34" w:rsidRPr="00026EC1">
        <w:t>5</w:t>
      </w:r>
      <w:r w:rsidR="00984A6F">
        <w:noBreakHyphen/>
      </w:r>
      <w:r w:rsidR="00404F34" w:rsidRPr="00026EC1">
        <w:t>4.07 et de l</w:t>
      </w:r>
      <w:r w:rsidR="00BC3319" w:rsidRPr="00026EC1">
        <w:t>’</w:t>
      </w:r>
      <w:r w:rsidR="00404F34" w:rsidRPr="00026EC1">
        <w:t>alinéa d) de la clause 5</w:t>
      </w:r>
      <w:r w:rsidR="00984A6F">
        <w:noBreakHyphen/>
      </w:r>
      <w:r w:rsidR="00404F34" w:rsidRPr="00026EC1">
        <w:t>4.17.</w:t>
      </w:r>
    </w:p>
    <w:p w14:paraId="2F35B99E" w14:textId="77777777" w:rsidR="00404F34" w:rsidRPr="00026EC1" w:rsidRDefault="00404F34" w:rsidP="007F120F">
      <w:pPr>
        <w:keepNext w:val="0"/>
      </w:pPr>
    </w:p>
    <w:p w14:paraId="3B1EAE60" w14:textId="393AC99F" w:rsidR="00404F34" w:rsidRPr="00026EC1" w:rsidRDefault="00275751" w:rsidP="007F120F">
      <w:pPr>
        <w:keepNext w:val="0"/>
        <w:tabs>
          <w:tab w:val="left" w:pos="567"/>
        </w:tabs>
        <w:ind w:left="567" w:hanging="567"/>
      </w:pPr>
      <w:r w:rsidRPr="00026EC1">
        <w:t>04.</w:t>
      </w:r>
      <w:r w:rsidRPr="00026EC1">
        <w:tab/>
      </w:r>
      <w:r w:rsidR="00404F34" w:rsidRPr="00026EC1">
        <w:t>L</w:t>
      </w:r>
      <w:r w:rsidR="00BC3319" w:rsidRPr="00026EC1">
        <w:t>’</w:t>
      </w:r>
      <w:r w:rsidR="00404F34" w:rsidRPr="00026EC1">
        <w:t>alinéa b) de la clause 5</w:t>
      </w:r>
      <w:r w:rsidR="00984A6F">
        <w:noBreakHyphen/>
      </w:r>
      <w:r w:rsidR="00404F34" w:rsidRPr="00026EC1">
        <w:t>4.17 est modifié en ajoutant</w:t>
      </w:r>
      <w:r w:rsidR="00A17B10" w:rsidRPr="00026EC1">
        <w:t>,</w:t>
      </w:r>
      <w:r w:rsidR="00404F34" w:rsidRPr="00026EC1">
        <w:t xml:space="preserve"> avant le sous</w:t>
      </w:r>
      <w:r w:rsidR="00984A6F">
        <w:noBreakHyphen/>
      </w:r>
      <w:r w:rsidR="00404F34" w:rsidRPr="00026EC1">
        <w:t>alinéa 3, le sous</w:t>
      </w:r>
      <w:r w:rsidR="00984A6F">
        <w:noBreakHyphen/>
      </w:r>
      <w:r w:rsidR="00404F34" w:rsidRPr="00026EC1">
        <w:t>alinéa 2.B suivant</w:t>
      </w:r>
      <w:r w:rsidR="00D8581B">
        <w:t> :</w:t>
      </w:r>
    </w:p>
    <w:p w14:paraId="231479C2" w14:textId="77777777" w:rsidR="00404F34" w:rsidRPr="00026EC1" w:rsidRDefault="00404F34" w:rsidP="007F120F">
      <w:pPr>
        <w:keepNext w:val="0"/>
      </w:pPr>
    </w:p>
    <w:p w14:paraId="638FDBFE" w14:textId="77777777" w:rsidR="00404F34" w:rsidRPr="00026EC1" w:rsidRDefault="00404F34" w:rsidP="007F120F">
      <w:pPr>
        <w:pStyle w:val="Texte1cm"/>
        <w:keepNext w:val="0"/>
        <w:rPr>
          <w:b/>
          <w:bCs/>
        </w:rPr>
      </w:pPr>
      <w:r w:rsidRPr="00026EC1">
        <w:rPr>
          <w:b/>
          <w:bCs/>
        </w:rPr>
        <w:t>2.B</w:t>
      </w:r>
    </w:p>
    <w:p w14:paraId="20F79B48" w14:textId="37667BF6" w:rsidR="00404F34" w:rsidRPr="00026EC1" w:rsidRDefault="00404F34" w:rsidP="007F120F">
      <w:pPr>
        <w:pStyle w:val="Texte1cm"/>
        <w:keepNext w:val="0"/>
      </w:pPr>
      <w:r w:rsidRPr="00026EC1">
        <w:t>l</w:t>
      </w:r>
      <w:r w:rsidR="00BC3319" w:rsidRPr="00026EC1">
        <w:t>’</w:t>
      </w:r>
      <w:r w:rsidRPr="00026EC1">
        <w:t>enseignante ou l</w:t>
      </w:r>
      <w:r w:rsidR="00BC3319" w:rsidRPr="00026EC1">
        <w:t>’</w:t>
      </w:r>
      <w:r w:rsidRPr="00026EC1">
        <w:t>enseignant désigné à titre de « chargée ou chargé de cours à la retraite », pour une charge partielle dans sa discipline, si elle ou il pose sa candidature par écrit dans les délais prévus à la convention collective, jusqu</w:t>
      </w:r>
      <w:r w:rsidR="00BC3319" w:rsidRPr="00026EC1">
        <w:t>’</w:t>
      </w:r>
      <w:r w:rsidRPr="00026EC1">
        <w:t>à la session pendant laquelle elle ou il atteint l</w:t>
      </w:r>
      <w:r w:rsidR="00BC3319" w:rsidRPr="00026EC1">
        <w:t>’</w:t>
      </w:r>
      <w:r w:rsidRPr="00026EC1">
        <w:t>âge de soixante</w:t>
      </w:r>
      <w:r w:rsidR="00984A6F">
        <w:noBreakHyphen/>
      </w:r>
      <w:r w:rsidRPr="00026EC1">
        <w:t>cinq (65) ans;</w:t>
      </w:r>
    </w:p>
    <w:p w14:paraId="560CE43C" w14:textId="77777777" w:rsidR="00404F34" w:rsidRPr="00026EC1" w:rsidRDefault="00404F34" w:rsidP="007F120F">
      <w:pPr>
        <w:keepNext w:val="0"/>
      </w:pPr>
    </w:p>
    <w:p w14:paraId="479CABC9" w14:textId="66640659" w:rsidR="00404F34" w:rsidRPr="00026EC1" w:rsidRDefault="00275751" w:rsidP="007F120F">
      <w:pPr>
        <w:keepNext w:val="0"/>
        <w:tabs>
          <w:tab w:val="left" w:pos="567"/>
        </w:tabs>
        <w:ind w:left="567" w:hanging="567"/>
      </w:pPr>
      <w:r w:rsidRPr="00026EC1">
        <w:t>05.</w:t>
      </w:r>
      <w:r w:rsidRPr="00026EC1">
        <w:tab/>
      </w:r>
      <w:r w:rsidR="00404F34" w:rsidRPr="00026EC1">
        <w:t>L</w:t>
      </w:r>
      <w:r w:rsidR="00BC3319" w:rsidRPr="00026EC1">
        <w:t>’</w:t>
      </w:r>
      <w:r w:rsidR="00404F34" w:rsidRPr="00026EC1">
        <w:t>alinéa d) de la clause 5</w:t>
      </w:r>
      <w:r w:rsidR="00984A6F">
        <w:noBreakHyphen/>
      </w:r>
      <w:r w:rsidR="00404F34" w:rsidRPr="00026EC1">
        <w:t>4.17 est modifié en ajoutant</w:t>
      </w:r>
      <w:r w:rsidR="00A17B10" w:rsidRPr="00026EC1">
        <w:t>,</w:t>
      </w:r>
      <w:r w:rsidR="00404F34" w:rsidRPr="00026EC1">
        <w:t xml:space="preserve"> après le sous</w:t>
      </w:r>
      <w:r w:rsidR="00984A6F">
        <w:noBreakHyphen/>
      </w:r>
      <w:r w:rsidR="00404F34" w:rsidRPr="00026EC1">
        <w:t>alinéa 1 le sous</w:t>
      </w:r>
      <w:r w:rsidR="00984A6F">
        <w:noBreakHyphen/>
      </w:r>
      <w:r w:rsidR="00404F34" w:rsidRPr="00026EC1">
        <w:t>alinéa 1.A suivant</w:t>
      </w:r>
      <w:r w:rsidR="00D8581B">
        <w:t> :</w:t>
      </w:r>
    </w:p>
    <w:p w14:paraId="60771DA0" w14:textId="77777777" w:rsidR="00404F34" w:rsidRPr="00026EC1" w:rsidRDefault="00404F34" w:rsidP="007F120F">
      <w:pPr>
        <w:keepNext w:val="0"/>
      </w:pPr>
    </w:p>
    <w:p w14:paraId="54B87AA2" w14:textId="77777777" w:rsidR="00404F34" w:rsidRPr="00026EC1" w:rsidRDefault="00404F34" w:rsidP="007F120F">
      <w:pPr>
        <w:pStyle w:val="Texte1cm"/>
        <w:keepNext w:val="0"/>
        <w:rPr>
          <w:b/>
          <w:bCs/>
        </w:rPr>
      </w:pPr>
      <w:r w:rsidRPr="00026EC1">
        <w:rPr>
          <w:b/>
          <w:bCs/>
        </w:rPr>
        <w:t>1.A</w:t>
      </w:r>
    </w:p>
    <w:p w14:paraId="44458E30" w14:textId="11A16223" w:rsidR="00404F34" w:rsidRPr="00026EC1" w:rsidRDefault="00404F34" w:rsidP="007F120F">
      <w:pPr>
        <w:pStyle w:val="Texte1cm"/>
        <w:keepNext w:val="0"/>
      </w:pPr>
      <w:r w:rsidRPr="00026EC1">
        <w:t>l</w:t>
      </w:r>
      <w:r w:rsidR="00BC3319" w:rsidRPr="00026EC1">
        <w:t>’</w:t>
      </w:r>
      <w:r w:rsidRPr="00026EC1">
        <w:t>enseignante ou l</w:t>
      </w:r>
      <w:r w:rsidR="00BC3319" w:rsidRPr="00026EC1">
        <w:t>’</w:t>
      </w:r>
      <w:r w:rsidRPr="00026EC1">
        <w:t>enseignant désigné à titre de « chargée</w:t>
      </w:r>
      <w:r w:rsidR="005C444D" w:rsidRPr="00026EC1">
        <w:t xml:space="preserve"> ou chargé</w:t>
      </w:r>
      <w:r w:rsidRPr="00026EC1">
        <w:t xml:space="preserve"> de cours à la retraite », dans la ou les disciplines qui lui sont reconnues par le Collège, jusqu</w:t>
      </w:r>
      <w:r w:rsidR="00BC3319" w:rsidRPr="00026EC1">
        <w:t>’</w:t>
      </w:r>
      <w:r w:rsidRPr="00026EC1">
        <w:t>à la session où elle ou il atteint l</w:t>
      </w:r>
      <w:r w:rsidR="00BC3319" w:rsidRPr="00026EC1">
        <w:t>’</w:t>
      </w:r>
      <w:r w:rsidRPr="00026EC1">
        <w:t>âge de</w:t>
      </w:r>
      <w:r w:rsidR="005C444D" w:rsidRPr="00026EC1">
        <w:t xml:space="preserve"> soixante</w:t>
      </w:r>
      <w:r w:rsidR="00984A6F">
        <w:noBreakHyphen/>
      </w:r>
      <w:r w:rsidR="005C444D" w:rsidRPr="00026EC1">
        <w:t>cinq</w:t>
      </w:r>
      <w:r w:rsidR="008468C2">
        <w:t> </w:t>
      </w:r>
      <w:r w:rsidR="005C444D" w:rsidRPr="00026EC1">
        <w:t>(</w:t>
      </w:r>
      <w:r w:rsidRPr="00026EC1">
        <w:t>65</w:t>
      </w:r>
      <w:r w:rsidR="005C444D" w:rsidRPr="00026EC1">
        <w:t>)</w:t>
      </w:r>
      <w:r w:rsidRPr="00026EC1">
        <w:t xml:space="preserve"> ans;</w:t>
      </w:r>
    </w:p>
    <w:p w14:paraId="3B6CB283" w14:textId="77777777" w:rsidR="00404F34" w:rsidRPr="00026EC1" w:rsidRDefault="00404F34" w:rsidP="007F120F">
      <w:pPr>
        <w:keepNext w:val="0"/>
      </w:pPr>
    </w:p>
    <w:p w14:paraId="540914B8" w14:textId="64E4F809" w:rsidR="00404F34" w:rsidRPr="00026EC1" w:rsidRDefault="00275751" w:rsidP="007F120F">
      <w:pPr>
        <w:keepNext w:val="0"/>
        <w:tabs>
          <w:tab w:val="left" w:pos="567"/>
        </w:tabs>
        <w:ind w:left="567" w:hanging="567"/>
      </w:pPr>
      <w:r w:rsidRPr="00026EC1">
        <w:t>06.</w:t>
      </w:r>
      <w:r w:rsidRPr="00026EC1">
        <w:tab/>
      </w:r>
      <w:r w:rsidR="00404F34" w:rsidRPr="00026EC1">
        <w:t>L</w:t>
      </w:r>
      <w:r w:rsidR="00BC3319" w:rsidRPr="00026EC1">
        <w:t>’</w:t>
      </w:r>
      <w:r w:rsidR="00404F34" w:rsidRPr="00026EC1">
        <w:t>enseignante ou l</w:t>
      </w:r>
      <w:r w:rsidR="00BC3319" w:rsidRPr="00026EC1">
        <w:t>’</w:t>
      </w:r>
      <w:r w:rsidR="00404F34" w:rsidRPr="00026EC1">
        <w:t>enseignant désigné à titre de « chargée ou chargé de cours à la retraite » a droit aux mêmes avantages sociaux que les autres enseignantes et enseignants à temps partiel sous réserve de la particularité suivante</w:t>
      </w:r>
      <w:r w:rsidR="00D8581B">
        <w:t> :</w:t>
      </w:r>
    </w:p>
    <w:p w14:paraId="7B6CBB78" w14:textId="77777777" w:rsidR="00404F34" w:rsidRPr="00026EC1" w:rsidRDefault="00404F34" w:rsidP="007F120F">
      <w:pPr>
        <w:keepNext w:val="0"/>
      </w:pPr>
    </w:p>
    <w:p w14:paraId="1560E8A0" w14:textId="77777777" w:rsidR="00404F34" w:rsidRPr="00026EC1" w:rsidRDefault="00275751" w:rsidP="007F120F">
      <w:pPr>
        <w:keepNext w:val="0"/>
        <w:tabs>
          <w:tab w:val="left" w:pos="1134"/>
        </w:tabs>
        <w:ind w:left="1134" w:hanging="567"/>
      </w:pPr>
      <w:r w:rsidRPr="00026EC1">
        <w:rPr>
          <w:sz w:val="22"/>
        </w:rPr>
        <w:t>1)</w:t>
      </w:r>
      <w:r w:rsidRPr="00026EC1">
        <w:rPr>
          <w:sz w:val="22"/>
        </w:rPr>
        <w:tab/>
      </w:r>
      <w:r w:rsidR="00404F34" w:rsidRPr="00026EC1">
        <w:t>elle ou il ne peut utiliser ses priorités d</w:t>
      </w:r>
      <w:r w:rsidR="00BC3319" w:rsidRPr="00026EC1">
        <w:t>’</w:t>
      </w:r>
      <w:r w:rsidR="00404F34" w:rsidRPr="00026EC1">
        <w:t>engagement si cela a pour effet d</w:t>
      </w:r>
      <w:r w:rsidR="00BC3319" w:rsidRPr="00026EC1">
        <w:t>’</w:t>
      </w:r>
      <w:r w:rsidR="00404F34" w:rsidRPr="00026EC1">
        <w:t>obliger le Collège à lui attribuer une charge d</w:t>
      </w:r>
      <w:r w:rsidR="00BC3319" w:rsidRPr="00026EC1">
        <w:t>’</w:t>
      </w:r>
      <w:r w:rsidR="00404F34" w:rsidRPr="00026EC1">
        <w:t>enseignement lui permettant d</w:t>
      </w:r>
      <w:r w:rsidR="00BC3319" w:rsidRPr="00026EC1">
        <w:t>’</w:t>
      </w:r>
      <w:r w:rsidR="00404F34" w:rsidRPr="00026EC1">
        <w:t>obtenir un revenu (incluant ses prestations de retraite) supérieur au traitement qu</w:t>
      </w:r>
      <w:r w:rsidR="00BC3319" w:rsidRPr="00026EC1">
        <w:t>’</w:t>
      </w:r>
      <w:r w:rsidR="00404F34" w:rsidRPr="00026EC1">
        <w:t>elle ou il recevrait si elle ou il était à temps complet.</w:t>
      </w:r>
    </w:p>
    <w:p w14:paraId="41C909AF" w14:textId="7BF1E436" w:rsidR="00404F34" w:rsidRPr="000B6027" w:rsidRDefault="00404F34" w:rsidP="007F120F">
      <w:pPr>
        <w:pStyle w:val="Heading3"/>
        <w:keepNext w:val="0"/>
      </w:pPr>
      <w:r w:rsidRPr="00026EC1">
        <w:br w:type="page"/>
      </w:r>
      <w:bookmarkStart w:id="1274" w:name="_Toc535046686"/>
      <w:bookmarkStart w:id="1275" w:name="_Toc133760853"/>
      <w:bookmarkStart w:id="1276" w:name="_Toc133917001"/>
      <w:bookmarkStart w:id="1277" w:name="_Toc134437275"/>
      <w:bookmarkStart w:id="1278" w:name="_Toc393449070"/>
      <w:bookmarkStart w:id="1279" w:name="_Toc393449439"/>
      <w:bookmarkStart w:id="1280" w:name="_Toc462751564"/>
      <w:bookmarkStart w:id="1281" w:name="_Toc484082581"/>
      <w:bookmarkStart w:id="1282" w:name="_Toc168479596"/>
      <w:r w:rsidR="00707D2E" w:rsidRPr="000B6027">
        <w:t>Annexe III</w:t>
      </w:r>
      <w:r w:rsidR="002F5A0C">
        <w:t>-</w:t>
      </w:r>
      <w:r w:rsidR="00707D2E" w:rsidRPr="000B6027">
        <w:t>3</w:t>
      </w:r>
      <w:bookmarkEnd w:id="1274"/>
      <w:bookmarkEnd w:id="1275"/>
      <w:bookmarkEnd w:id="1276"/>
      <w:bookmarkEnd w:id="1277"/>
      <w:r w:rsidR="00707D2E" w:rsidRPr="000B6027">
        <w:br/>
      </w:r>
      <w:r w:rsidR="00707D2E" w:rsidRPr="000B6027">
        <w:br/>
      </w:r>
      <w:bookmarkStart w:id="1283" w:name="_Toc535046687"/>
      <w:bookmarkStart w:id="1284" w:name="_Toc133760854"/>
      <w:r w:rsidR="00707D2E" w:rsidRPr="000B6027">
        <w:t>Annexe relative au Cégep régional de Lanaudiè</w:t>
      </w:r>
      <w:bookmarkEnd w:id="1283"/>
      <w:r w:rsidR="00707D2E" w:rsidRPr="000B6027">
        <w:t>re</w:t>
      </w:r>
      <w:bookmarkEnd w:id="1278"/>
      <w:bookmarkEnd w:id="1279"/>
      <w:bookmarkEnd w:id="1280"/>
      <w:bookmarkEnd w:id="1281"/>
      <w:bookmarkEnd w:id="1282"/>
      <w:bookmarkEnd w:id="1284"/>
    </w:p>
    <w:p w14:paraId="588543F5" w14:textId="540D494A" w:rsidR="00404F34" w:rsidRPr="00026EC1" w:rsidRDefault="00275751" w:rsidP="007F120F">
      <w:pPr>
        <w:keepNext w:val="0"/>
        <w:tabs>
          <w:tab w:val="left" w:pos="567"/>
        </w:tabs>
        <w:ind w:left="567" w:hanging="567"/>
      </w:pPr>
      <w:r w:rsidRPr="00026EC1">
        <w:t>01.</w:t>
      </w:r>
      <w:r w:rsidRPr="00026EC1">
        <w:tab/>
      </w:r>
      <w:r w:rsidR="00404F34" w:rsidRPr="00026EC1">
        <w:t>Aux fins de l</w:t>
      </w:r>
      <w:r w:rsidR="00BC3319" w:rsidRPr="00026EC1">
        <w:t>’</w:t>
      </w:r>
      <w:r w:rsidR="00404F34" w:rsidRPr="00026EC1">
        <w:t>application de la clause 5</w:t>
      </w:r>
      <w:r w:rsidR="00984A6F">
        <w:noBreakHyphen/>
      </w:r>
      <w:r w:rsidR="00404F34" w:rsidRPr="00026EC1">
        <w:t>3.03 de la convention collective</w:t>
      </w:r>
      <w:r w:rsidR="00D8581B">
        <w:t> :</w:t>
      </w:r>
    </w:p>
    <w:p w14:paraId="0B8CEF7D" w14:textId="77777777" w:rsidR="00404F34" w:rsidRPr="00026EC1" w:rsidRDefault="00404F34" w:rsidP="007F120F">
      <w:pPr>
        <w:keepNext w:val="0"/>
      </w:pPr>
    </w:p>
    <w:p w14:paraId="38CC4DF3" w14:textId="77777777" w:rsidR="00404F34" w:rsidRPr="00026EC1" w:rsidRDefault="00275751" w:rsidP="007F120F">
      <w:pPr>
        <w:keepNext w:val="0"/>
        <w:tabs>
          <w:tab w:val="left" w:pos="1120"/>
        </w:tabs>
        <w:ind w:left="1134" w:hanging="567"/>
      </w:pPr>
      <w:r w:rsidRPr="00026EC1">
        <w:t>i)</w:t>
      </w:r>
      <w:r w:rsidRPr="00026EC1">
        <w:tab/>
      </w:r>
      <w:r w:rsidR="00404F34" w:rsidRPr="00026EC1">
        <w:t>l</w:t>
      </w:r>
      <w:r w:rsidR="00BC3319" w:rsidRPr="00026EC1">
        <w:t>’</w:t>
      </w:r>
      <w:r w:rsidR="00404F34" w:rsidRPr="00026EC1">
        <w:t>ancienneté se calcule distinctement pour chacun des Collèges constituants du Cégep régional;</w:t>
      </w:r>
    </w:p>
    <w:p w14:paraId="10D73E52" w14:textId="77777777" w:rsidR="00404F34" w:rsidRPr="00026EC1" w:rsidRDefault="00404F34" w:rsidP="007F120F">
      <w:pPr>
        <w:keepNext w:val="0"/>
        <w:tabs>
          <w:tab w:val="num" w:pos="1120"/>
        </w:tabs>
      </w:pPr>
    </w:p>
    <w:p w14:paraId="2C7E7781" w14:textId="77777777" w:rsidR="00404F34" w:rsidRPr="00026EC1" w:rsidRDefault="00275751" w:rsidP="007F120F">
      <w:pPr>
        <w:keepNext w:val="0"/>
        <w:tabs>
          <w:tab w:val="left" w:pos="1120"/>
        </w:tabs>
        <w:ind w:left="1134" w:hanging="567"/>
      </w:pPr>
      <w:r w:rsidRPr="00026EC1">
        <w:t>ii)</w:t>
      </w:r>
      <w:r w:rsidRPr="00026EC1">
        <w:tab/>
      </w:r>
      <w:r w:rsidR="00404F34" w:rsidRPr="00026EC1">
        <w:t>pour l</w:t>
      </w:r>
      <w:r w:rsidR="00BC3319" w:rsidRPr="00026EC1">
        <w:t>’</w:t>
      </w:r>
      <w:r w:rsidR="00404F34" w:rsidRPr="00026EC1">
        <w:t>enseignante ou l</w:t>
      </w:r>
      <w:r w:rsidR="00BC3319" w:rsidRPr="00026EC1">
        <w:t>’</w:t>
      </w:r>
      <w:r w:rsidR="00404F34" w:rsidRPr="00026EC1">
        <w:t>enseignant qui obtient un poste dans un autre Collège constituant du Cégep régional, l</w:t>
      </w:r>
      <w:r w:rsidR="00BC3319" w:rsidRPr="00026EC1">
        <w:t>’</w:t>
      </w:r>
      <w:r w:rsidR="00404F34" w:rsidRPr="00026EC1">
        <w:t>ancienneté est recalculée en totalité pour l</w:t>
      </w:r>
      <w:r w:rsidR="00BC3319" w:rsidRPr="00026EC1">
        <w:t>’</w:t>
      </w:r>
      <w:r w:rsidR="00404F34" w:rsidRPr="00026EC1">
        <w:t>ensemble des Collèges constituants du Cégep régional.</w:t>
      </w:r>
    </w:p>
    <w:p w14:paraId="0ABB4DAF" w14:textId="1315A4C5" w:rsidR="00404F34" w:rsidRPr="000B6027" w:rsidRDefault="00404F34" w:rsidP="007F120F">
      <w:pPr>
        <w:pStyle w:val="Heading3"/>
        <w:keepNext w:val="0"/>
      </w:pPr>
      <w:r w:rsidRPr="00026EC1">
        <w:rPr>
          <w:strike/>
        </w:rPr>
        <w:br w:type="page"/>
      </w:r>
      <w:bookmarkStart w:id="1285" w:name="_Toc535046690"/>
      <w:bookmarkStart w:id="1286" w:name="_Toc133760855"/>
      <w:bookmarkStart w:id="1287" w:name="_Toc133917003"/>
      <w:bookmarkStart w:id="1288" w:name="_Toc134437277"/>
      <w:bookmarkStart w:id="1289" w:name="_Toc393449072"/>
      <w:bookmarkStart w:id="1290" w:name="_Toc393449441"/>
      <w:bookmarkStart w:id="1291" w:name="_Toc462751566"/>
      <w:bookmarkStart w:id="1292" w:name="_Toc484082583"/>
      <w:bookmarkStart w:id="1293" w:name="_Toc168479597"/>
      <w:r w:rsidR="00707D2E" w:rsidRPr="000B6027">
        <w:t>Annexe III</w:t>
      </w:r>
      <w:r w:rsidR="002F5A0C">
        <w:t>-</w:t>
      </w:r>
      <w:r w:rsidR="00707D2E" w:rsidRPr="000B6027">
        <w:t>4</w:t>
      </w:r>
      <w:bookmarkEnd w:id="1285"/>
      <w:bookmarkEnd w:id="1286"/>
      <w:bookmarkEnd w:id="1287"/>
      <w:bookmarkEnd w:id="1288"/>
      <w:r w:rsidR="00707D2E" w:rsidRPr="000B6027">
        <w:br/>
      </w:r>
      <w:r w:rsidR="00707D2E" w:rsidRPr="000B6027">
        <w:br/>
      </w:r>
      <w:bookmarkStart w:id="1294" w:name="_Toc535046691"/>
      <w:bookmarkStart w:id="1295" w:name="_Toc133760856"/>
      <w:r w:rsidR="00707D2E" w:rsidRPr="000B6027">
        <w:t>Annexe relative au Cégep régional de Lanaudière à Joliette et au Cégep régional de Lanaudière à Terrebonne</w:t>
      </w:r>
      <w:bookmarkEnd w:id="1289"/>
      <w:bookmarkEnd w:id="1290"/>
      <w:bookmarkEnd w:id="1291"/>
      <w:bookmarkEnd w:id="1292"/>
      <w:bookmarkEnd w:id="1293"/>
      <w:bookmarkEnd w:id="1294"/>
      <w:bookmarkEnd w:id="1295"/>
    </w:p>
    <w:p w14:paraId="4E9FE06E" w14:textId="6B52065F" w:rsidR="00404F34" w:rsidRPr="00026EC1" w:rsidRDefault="00404F34" w:rsidP="007F120F">
      <w:pPr>
        <w:keepNext w:val="0"/>
      </w:pPr>
      <w:r w:rsidRPr="00026EC1">
        <w:t>Les dispositions de la convention collective s</w:t>
      </w:r>
      <w:r w:rsidR="00BC3319" w:rsidRPr="00026EC1">
        <w:t>’</w:t>
      </w:r>
      <w:r w:rsidRPr="00026EC1">
        <w:t>appliquent pour ces Collèges en respectant les dispositions de l</w:t>
      </w:r>
      <w:r w:rsidR="00BC3319" w:rsidRPr="00026EC1">
        <w:t>’</w:t>
      </w:r>
      <w:r w:rsidRPr="00026EC1">
        <w:rPr>
          <w:i/>
          <w:iCs/>
        </w:rPr>
        <w:t>Entente visant le transfert du personnel enseignant du Cégep Joliette</w:t>
      </w:r>
      <w:r w:rsidR="00984A6F">
        <w:rPr>
          <w:i/>
          <w:iCs/>
        </w:rPr>
        <w:noBreakHyphen/>
      </w:r>
      <w:r w:rsidRPr="00026EC1">
        <w:rPr>
          <w:i/>
          <w:iCs/>
        </w:rPr>
        <w:t>De Lanaudière au Cégep régional de Lanaudière</w:t>
      </w:r>
      <w:r w:rsidRPr="00026EC1">
        <w:t>, intervenue entre le Syndicat des enseignantes et enseignants du Cégep Joliette</w:t>
      </w:r>
      <w:r w:rsidR="00984A6F">
        <w:noBreakHyphen/>
      </w:r>
      <w:r w:rsidRPr="00026EC1">
        <w:t>De Lanaudière et le Cégep Joliette</w:t>
      </w:r>
      <w:r w:rsidR="00984A6F">
        <w:noBreakHyphen/>
      </w:r>
      <w:r w:rsidR="00CE5B4C" w:rsidRPr="00026EC1">
        <w:t>D</w:t>
      </w:r>
      <w:r w:rsidRPr="00026EC1">
        <w:t>e Lanaudière et signée le 22 juin 1998.</w:t>
      </w:r>
    </w:p>
    <w:p w14:paraId="0C6262A6" w14:textId="10688B1C" w:rsidR="00404F34" w:rsidRPr="005569A9" w:rsidRDefault="00404F34" w:rsidP="007F120F">
      <w:pPr>
        <w:pStyle w:val="Heading3"/>
        <w:keepNext w:val="0"/>
      </w:pPr>
      <w:r w:rsidRPr="00026EC1">
        <w:br w:type="page"/>
      </w:r>
      <w:bookmarkStart w:id="1296" w:name="_Toc535046692"/>
      <w:bookmarkStart w:id="1297" w:name="_Toc133760857"/>
      <w:bookmarkStart w:id="1298" w:name="_Toc133917005"/>
      <w:bookmarkStart w:id="1299" w:name="_Toc134437279"/>
      <w:bookmarkStart w:id="1300" w:name="_Toc393449074"/>
      <w:bookmarkStart w:id="1301" w:name="_Toc393449443"/>
      <w:bookmarkStart w:id="1302" w:name="_Toc462751568"/>
      <w:bookmarkStart w:id="1303" w:name="_Toc484082585"/>
      <w:bookmarkStart w:id="1304" w:name="_Toc168479598"/>
      <w:r w:rsidR="00A82632" w:rsidRPr="005569A9">
        <w:t>Annexe III</w:t>
      </w:r>
      <w:r w:rsidR="002F5A0C">
        <w:t>-</w:t>
      </w:r>
      <w:r w:rsidR="00A82632" w:rsidRPr="005569A9">
        <w:t>5</w:t>
      </w:r>
      <w:bookmarkEnd w:id="1296"/>
      <w:bookmarkEnd w:id="1297"/>
      <w:bookmarkEnd w:id="1298"/>
      <w:bookmarkEnd w:id="1299"/>
      <w:r w:rsidR="00A82632" w:rsidRPr="005569A9">
        <w:br/>
      </w:r>
      <w:r w:rsidR="00A82632" w:rsidRPr="005569A9">
        <w:br/>
      </w:r>
      <w:bookmarkStart w:id="1305" w:name="_Toc535046693"/>
      <w:bookmarkStart w:id="1306" w:name="_Toc133760858"/>
      <w:r w:rsidR="00A82632" w:rsidRPr="005569A9">
        <w:t>Annexe relative au Cégep régional de Lanaudière à Joliette et au Cégep régional de Lanaudière à l’Assomption</w:t>
      </w:r>
      <w:bookmarkEnd w:id="1300"/>
      <w:bookmarkEnd w:id="1301"/>
      <w:bookmarkEnd w:id="1302"/>
      <w:bookmarkEnd w:id="1303"/>
      <w:bookmarkEnd w:id="1304"/>
      <w:bookmarkEnd w:id="1305"/>
      <w:bookmarkEnd w:id="1306"/>
    </w:p>
    <w:p w14:paraId="356F41A3" w14:textId="4D4717CB" w:rsidR="00404F34" w:rsidRPr="00026EC1" w:rsidRDefault="00404F34" w:rsidP="007F120F">
      <w:pPr>
        <w:keepNext w:val="0"/>
      </w:pPr>
      <w:r w:rsidRPr="00026EC1">
        <w:t>Les dispositions de la convention collective s</w:t>
      </w:r>
      <w:r w:rsidR="00BC3319" w:rsidRPr="00026EC1">
        <w:t>’</w:t>
      </w:r>
      <w:r w:rsidRPr="00026EC1">
        <w:t>appliquent pour ces Collèges en respectant les dispositions de l</w:t>
      </w:r>
      <w:r w:rsidR="00BC3319" w:rsidRPr="00026EC1">
        <w:t>’</w:t>
      </w:r>
      <w:r w:rsidRPr="00026EC1">
        <w:rPr>
          <w:i/>
          <w:iCs/>
        </w:rPr>
        <w:t>Entente visant la fusion des listes d</w:t>
      </w:r>
      <w:r w:rsidR="00BC3319" w:rsidRPr="00026EC1">
        <w:rPr>
          <w:i/>
          <w:iCs/>
        </w:rPr>
        <w:t>’</w:t>
      </w:r>
      <w:r w:rsidRPr="00026EC1">
        <w:rPr>
          <w:i/>
          <w:iCs/>
        </w:rPr>
        <w:t>ancienneté des deux Collèges constituants dans les disciplines 322 et 412</w:t>
      </w:r>
      <w:r w:rsidRPr="00026EC1">
        <w:t xml:space="preserve">, intervenue entre le Syndicat des enseignantes et enseignants du Cégep régional de Lanaudière à </w:t>
      </w:r>
      <w:r w:rsidR="004F6CDD" w:rsidRPr="00026EC1">
        <w:t>L</w:t>
      </w:r>
      <w:r w:rsidR="00BC3319" w:rsidRPr="00026EC1">
        <w:t>’</w:t>
      </w:r>
      <w:r w:rsidRPr="00026EC1">
        <w:t>Assomption, le Syndicat des enseignantes et enseignants du Cégep Joliette</w:t>
      </w:r>
      <w:r w:rsidR="00984A6F">
        <w:noBreakHyphen/>
      </w:r>
      <w:r w:rsidRPr="00026EC1">
        <w:t>De Lanaudière et le Cégep régional de Lanaudière et signée le 10 février 2000.</w:t>
      </w:r>
    </w:p>
    <w:p w14:paraId="1607C3EF" w14:textId="77777777" w:rsidR="00404F34" w:rsidRPr="00026EC1" w:rsidRDefault="00404F34" w:rsidP="007F120F">
      <w:pPr>
        <w:keepNext w:val="0"/>
      </w:pPr>
    </w:p>
    <w:p w14:paraId="42F4663D" w14:textId="3A1A4D89" w:rsidR="00404F34" w:rsidRPr="005569A9" w:rsidRDefault="00404F34" w:rsidP="007F120F">
      <w:pPr>
        <w:pStyle w:val="Heading3"/>
        <w:keepNext w:val="0"/>
      </w:pPr>
      <w:r w:rsidRPr="00026EC1">
        <w:br w:type="page"/>
      </w:r>
      <w:bookmarkStart w:id="1307" w:name="_Toc535046694"/>
      <w:bookmarkStart w:id="1308" w:name="_Toc133760859"/>
      <w:bookmarkStart w:id="1309" w:name="_Toc133917007"/>
      <w:bookmarkStart w:id="1310" w:name="_Toc134437281"/>
      <w:bookmarkStart w:id="1311" w:name="_Toc393449076"/>
      <w:bookmarkStart w:id="1312" w:name="_Toc393449445"/>
      <w:bookmarkStart w:id="1313" w:name="_Toc462751570"/>
      <w:bookmarkStart w:id="1314" w:name="_Toc484082587"/>
      <w:bookmarkStart w:id="1315" w:name="_Toc168479599"/>
      <w:r w:rsidR="00A82632" w:rsidRPr="005569A9">
        <w:t>Annexe III</w:t>
      </w:r>
      <w:r w:rsidR="002F5A0C">
        <w:t>-</w:t>
      </w:r>
      <w:r w:rsidR="00A82632" w:rsidRPr="005569A9">
        <w:t>6</w:t>
      </w:r>
      <w:bookmarkEnd w:id="1307"/>
      <w:bookmarkEnd w:id="1308"/>
      <w:bookmarkEnd w:id="1309"/>
      <w:bookmarkEnd w:id="1310"/>
      <w:r w:rsidR="00A82632" w:rsidRPr="005569A9">
        <w:br/>
      </w:r>
      <w:r w:rsidR="00A82632" w:rsidRPr="005569A9">
        <w:br/>
      </w:r>
      <w:bookmarkStart w:id="1316" w:name="_Toc535046695"/>
      <w:bookmarkStart w:id="1317" w:name="_Toc133760860"/>
      <w:r w:rsidR="00A82632" w:rsidRPr="005569A9">
        <w:t>Annexe relative au Cégep régional de Lanaudière à l’Assomption</w:t>
      </w:r>
      <w:bookmarkEnd w:id="1311"/>
      <w:bookmarkEnd w:id="1312"/>
      <w:bookmarkEnd w:id="1313"/>
      <w:bookmarkEnd w:id="1314"/>
      <w:bookmarkEnd w:id="1315"/>
      <w:bookmarkEnd w:id="1316"/>
      <w:bookmarkEnd w:id="1317"/>
    </w:p>
    <w:p w14:paraId="350317C4" w14:textId="77777777" w:rsidR="00404F34" w:rsidRPr="00026EC1" w:rsidRDefault="00404F34" w:rsidP="007F120F">
      <w:pPr>
        <w:keepNext w:val="0"/>
      </w:pPr>
      <w:r w:rsidRPr="00026EC1">
        <w:t>Les dispositions de la convention collective s</w:t>
      </w:r>
      <w:r w:rsidR="00BC3319" w:rsidRPr="00026EC1">
        <w:t>’</w:t>
      </w:r>
      <w:r w:rsidRPr="00026EC1">
        <w:t>appliquent pour ce Collège en respectant les dispositions de l</w:t>
      </w:r>
      <w:r w:rsidR="00BC3319" w:rsidRPr="00026EC1">
        <w:t>’</w:t>
      </w:r>
      <w:r w:rsidRPr="00026EC1">
        <w:rPr>
          <w:i/>
          <w:iCs/>
        </w:rPr>
        <w:t xml:space="preserve">Entente visant le transfert du personnel enseignant du secteur collégial de la Corporation du Collège de </w:t>
      </w:r>
      <w:r w:rsidR="004F6CDD" w:rsidRPr="00026EC1">
        <w:rPr>
          <w:i/>
          <w:iCs/>
        </w:rPr>
        <w:t>L</w:t>
      </w:r>
      <w:r w:rsidR="00BC3319" w:rsidRPr="00026EC1">
        <w:rPr>
          <w:i/>
          <w:iCs/>
        </w:rPr>
        <w:t>’</w:t>
      </w:r>
      <w:r w:rsidRPr="00026EC1">
        <w:rPr>
          <w:i/>
          <w:iCs/>
        </w:rPr>
        <w:t xml:space="preserve">Assomption au Cégep régional de Lanaudière à </w:t>
      </w:r>
      <w:r w:rsidR="004F6CDD" w:rsidRPr="00026EC1">
        <w:rPr>
          <w:i/>
          <w:iCs/>
        </w:rPr>
        <w:t>L</w:t>
      </w:r>
      <w:r w:rsidR="00BC3319" w:rsidRPr="00026EC1">
        <w:rPr>
          <w:i/>
          <w:iCs/>
        </w:rPr>
        <w:t>’</w:t>
      </w:r>
      <w:r w:rsidRPr="00026EC1">
        <w:rPr>
          <w:i/>
          <w:iCs/>
        </w:rPr>
        <w:t>Assomption</w:t>
      </w:r>
      <w:r w:rsidRPr="00026EC1">
        <w:t xml:space="preserve">, intervenue entre le Syndicat des enseignantes et des enseignants du Collège de </w:t>
      </w:r>
      <w:r w:rsidR="004F6CDD" w:rsidRPr="00026EC1">
        <w:t>L</w:t>
      </w:r>
      <w:r w:rsidR="00BC3319" w:rsidRPr="00026EC1">
        <w:t>’</w:t>
      </w:r>
      <w:r w:rsidRPr="00026EC1">
        <w:t xml:space="preserve">Assomption, la Corporation du Collège de </w:t>
      </w:r>
      <w:r w:rsidR="004F6CDD" w:rsidRPr="00026EC1">
        <w:t>L</w:t>
      </w:r>
      <w:r w:rsidR="00BC3319" w:rsidRPr="00026EC1">
        <w:t>’</w:t>
      </w:r>
      <w:r w:rsidRPr="00026EC1">
        <w:t>Assomption et le Cégep régional de Lanaudière et signée le 22 juin 1998.</w:t>
      </w:r>
    </w:p>
    <w:p w14:paraId="4A43E9B5" w14:textId="77777777" w:rsidR="00404F34" w:rsidRPr="00026EC1" w:rsidRDefault="00404F34" w:rsidP="007F120F">
      <w:pPr>
        <w:keepNext w:val="0"/>
      </w:pPr>
    </w:p>
    <w:p w14:paraId="6D132DFE" w14:textId="77777777" w:rsidR="00F70C2B" w:rsidRDefault="00404F34" w:rsidP="00F70C2B">
      <w:pPr>
        <w:pStyle w:val="Heading3"/>
      </w:pPr>
      <w:r w:rsidRPr="00026EC1">
        <w:br w:type="page"/>
      </w:r>
      <w:bookmarkStart w:id="1318" w:name="_Toc535046696"/>
      <w:bookmarkStart w:id="1319" w:name="_Toc133760861"/>
      <w:bookmarkStart w:id="1320" w:name="_Toc133917009"/>
      <w:bookmarkStart w:id="1321" w:name="_Toc134437283"/>
      <w:bookmarkStart w:id="1322" w:name="_Toc393449078"/>
      <w:bookmarkStart w:id="1323" w:name="_Toc393449447"/>
      <w:bookmarkStart w:id="1324" w:name="_Toc462751572"/>
      <w:bookmarkStart w:id="1325" w:name="_Toc484082589"/>
      <w:bookmarkStart w:id="1326" w:name="_Toc168479600"/>
      <w:r w:rsidR="007B5C65" w:rsidRPr="005569A9">
        <w:t>Annexe III</w:t>
      </w:r>
      <w:r w:rsidR="002F5A0C">
        <w:t>-</w:t>
      </w:r>
      <w:r w:rsidR="007B5C65" w:rsidRPr="005569A9">
        <w:t>7</w:t>
      </w:r>
      <w:bookmarkEnd w:id="1318"/>
      <w:bookmarkEnd w:id="1319"/>
      <w:bookmarkEnd w:id="1320"/>
      <w:bookmarkEnd w:id="1321"/>
      <w:r w:rsidR="007B5C65" w:rsidRPr="005569A9">
        <w:br/>
      </w:r>
      <w:r w:rsidR="007B5C65" w:rsidRPr="005569A9">
        <w:br/>
      </w:r>
      <w:bookmarkStart w:id="1327" w:name="_Toc535046697"/>
      <w:bookmarkStart w:id="1328" w:name="_Toc133760862"/>
      <w:r w:rsidR="007B5C65" w:rsidRPr="005569A9">
        <w:t>Enseignantes et enseignants en aéronautique de l’école nationale d’aérotechnique du Collège Édouard</w:t>
      </w:r>
      <w:r w:rsidR="00401E97">
        <w:t>-</w:t>
      </w:r>
      <w:r w:rsidR="007B5C65" w:rsidRPr="005569A9">
        <w:t>Montpetit</w:t>
      </w:r>
      <w:bookmarkEnd w:id="1322"/>
      <w:bookmarkEnd w:id="1323"/>
      <w:bookmarkEnd w:id="1324"/>
      <w:bookmarkEnd w:id="1325"/>
      <w:bookmarkEnd w:id="1326"/>
      <w:bookmarkEnd w:id="1327"/>
      <w:bookmarkEnd w:id="1328"/>
    </w:p>
    <w:p w14:paraId="42469B77" w14:textId="7483DB18" w:rsidR="007F154E" w:rsidRPr="00C45B0C" w:rsidRDefault="007F154E" w:rsidP="007F120F">
      <w:pPr>
        <w:keepNext w:val="0"/>
        <w:autoSpaceDE w:val="0"/>
        <w:autoSpaceDN w:val="0"/>
        <w:adjustRightInd w:val="0"/>
        <w:ind w:left="28"/>
        <w:rPr>
          <w:rFonts w:cs="Arial"/>
          <w:szCs w:val="24"/>
        </w:rPr>
      </w:pPr>
      <w:r w:rsidRPr="00C45B0C">
        <w:rPr>
          <w:rFonts w:cs="Arial"/>
          <w:szCs w:val="24"/>
        </w:rPr>
        <w:t>L’enseignante</w:t>
      </w:r>
      <w:r w:rsidRPr="00C45B0C">
        <w:rPr>
          <w:rFonts w:eastAsia="Calibri" w:cs="Arial"/>
          <w:color w:val="000000"/>
          <w:szCs w:val="24"/>
          <w:lang w:eastAsia="en-US"/>
        </w:rPr>
        <w:t xml:space="preserve"> ou l’enseignant dont la tâche consiste majoritairement à l’enseignement des matières dans les champs de spécialisation de techniques de construction aéronautique, de techniques d’entretien des aéronefs et de techniques d’avionique, et qui détient une licence de technicien d’entretien d’aéronefs (TEA) émise par Transports Canada reçoit, à titre de compensation, une majoration de </w:t>
      </w:r>
      <w:r w:rsidRPr="00F92BE4">
        <w:rPr>
          <w:rFonts w:eastAsia="Calibri" w:cs="Arial"/>
          <w:color w:val="000000"/>
          <w:szCs w:val="24"/>
          <w:lang w:eastAsia="en-US"/>
        </w:rPr>
        <w:t xml:space="preserve">traitement </w:t>
      </w:r>
      <w:r w:rsidR="001E3962" w:rsidRPr="00F92BE4">
        <w:rPr>
          <w:rFonts w:eastAsia="Calibri" w:cs="Arial"/>
          <w:color w:val="000000"/>
          <w:szCs w:val="24"/>
          <w:lang w:eastAsia="en-US"/>
        </w:rPr>
        <w:t>correspondant au tableau ci</w:t>
      </w:r>
      <w:r w:rsidR="00984A6F">
        <w:rPr>
          <w:rFonts w:eastAsia="Calibri" w:cs="Arial"/>
          <w:color w:val="000000"/>
          <w:szCs w:val="24"/>
          <w:lang w:eastAsia="en-US"/>
        </w:rPr>
        <w:noBreakHyphen/>
      </w:r>
      <w:r w:rsidR="001E3962" w:rsidRPr="00F92BE4">
        <w:rPr>
          <w:rFonts w:eastAsia="Calibri" w:cs="Arial"/>
          <w:color w:val="000000"/>
          <w:szCs w:val="24"/>
          <w:lang w:eastAsia="en-US"/>
        </w:rPr>
        <w:t>dessous</w:t>
      </w:r>
      <w:r w:rsidR="00F92BE4" w:rsidRPr="00F92BE4">
        <w:rPr>
          <w:rFonts w:eastAsia="Calibri" w:cs="Arial"/>
          <w:color w:val="000000"/>
          <w:szCs w:val="24"/>
          <w:lang w:eastAsia="en-US"/>
        </w:rPr>
        <w:t xml:space="preserve">. </w:t>
      </w:r>
      <w:r w:rsidR="003A61B5" w:rsidRPr="00316277">
        <w:rPr>
          <w:rFonts w:eastAsia="Calibri" w:cs="Arial"/>
          <w:color w:val="000000"/>
          <w:szCs w:val="24"/>
          <w:lang w:eastAsia="en-US"/>
        </w:rPr>
        <w:t>Elle comprend les majorations prévues aux clauses 6</w:t>
      </w:r>
      <w:r w:rsidR="003A61B5" w:rsidRPr="00316277">
        <w:rPr>
          <w:rFonts w:eastAsia="Calibri" w:cs="Arial"/>
          <w:color w:val="000000"/>
          <w:szCs w:val="24"/>
          <w:lang w:eastAsia="en-US"/>
        </w:rPr>
        <w:noBreakHyphen/>
        <w:t>4.02 à 6</w:t>
      </w:r>
      <w:r w:rsidR="003A61B5" w:rsidRPr="00316277">
        <w:rPr>
          <w:rFonts w:eastAsia="Calibri" w:cs="Arial"/>
          <w:color w:val="000000"/>
          <w:szCs w:val="24"/>
          <w:lang w:eastAsia="en-US"/>
        </w:rPr>
        <w:noBreakHyphen/>
        <w:t xml:space="preserve">4.06 et </w:t>
      </w:r>
      <w:r w:rsidR="00010924" w:rsidRPr="00316277">
        <w:rPr>
          <w:rFonts w:eastAsia="Calibri" w:cs="Arial"/>
          <w:color w:val="000000"/>
          <w:szCs w:val="24"/>
          <w:lang w:eastAsia="en-US"/>
        </w:rPr>
        <w:t xml:space="preserve">sera ajustée selon </w:t>
      </w:r>
      <w:r w:rsidR="00B96771">
        <w:rPr>
          <w:rFonts w:eastAsia="Calibri" w:cs="Arial"/>
          <w:color w:val="000000"/>
          <w:szCs w:val="24"/>
          <w:lang w:eastAsia="en-US"/>
        </w:rPr>
        <w:t xml:space="preserve">la clause </w:t>
      </w:r>
      <w:r w:rsidR="00F25CC8" w:rsidRPr="00316277">
        <w:rPr>
          <w:rFonts w:eastAsia="Calibri" w:cs="Arial"/>
          <w:color w:val="000000"/>
          <w:szCs w:val="24"/>
          <w:lang w:eastAsia="en-US"/>
        </w:rPr>
        <w:t>6</w:t>
      </w:r>
      <w:r w:rsidR="003A61B5" w:rsidRPr="00316277">
        <w:rPr>
          <w:rFonts w:eastAsia="Calibri" w:cs="Arial"/>
          <w:color w:val="000000"/>
          <w:szCs w:val="24"/>
          <w:lang w:eastAsia="en-US"/>
        </w:rPr>
        <w:noBreakHyphen/>
        <w:t>4.07, le cas échéant.</w:t>
      </w:r>
    </w:p>
    <w:p w14:paraId="2FAB65B1" w14:textId="3C2F2037" w:rsidR="00E37E68" w:rsidRPr="00026EC1" w:rsidRDefault="00E37E68" w:rsidP="007F120F">
      <w:pPr>
        <w:keepNext w:val="0"/>
      </w:pPr>
    </w:p>
    <w:tbl>
      <w:tblPr>
        <w:tblStyle w:val="Grilledutableau1"/>
        <w:tblW w:w="0" w:type="auto"/>
        <w:jc w:val="center"/>
        <w:tblLook w:val="04A0" w:firstRow="1" w:lastRow="0" w:firstColumn="1" w:lastColumn="0" w:noHBand="0" w:noVBand="1"/>
      </w:tblPr>
      <w:tblGrid>
        <w:gridCol w:w="1560"/>
        <w:gridCol w:w="1887"/>
        <w:gridCol w:w="1563"/>
        <w:gridCol w:w="1563"/>
        <w:gridCol w:w="1563"/>
      </w:tblGrid>
      <w:tr w:rsidR="003A61B5" w:rsidRPr="003A61B5" w14:paraId="1E2E642D" w14:textId="77777777" w:rsidTr="00940BD8">
        <w:trPr>
          <w:jc w:val="center"/>
        </w:trPr>
        <w:tc>
          <w:tcPr>
            <w:tcW w:w="1560" w:type="dxa"/>
            <w:tcBorders>
              <w:top w:val="single" w:sz="12" w:space="0" w:color="auto"/>
              <w:left w:val="nil"/>
              <w:bottom w:val="single" w:sz="12" w:space="0" w:color="auto"/>
              <w:right w:val="nil"/>
            </w:tcBorders>
            <w:shd w:val="clear" w:color="auto" w:fill="auto"/>
            <w:vAlign w:val="center"/>
          </w:tcPr>
          <w:p w14:paraId="53E6E698" w14:textId="77777777" w:rsidR="003A61B5" w:rsidRPr="00316277" w:rsidRDefault="003A61B5" w:rsidP="00940BD8">
            <w:pPr>
              <w:keepNext w:val="0"/>
              <w:jc w:val="center"/>
              <w:rPr>
                <w:rFonts w:cs="Arial"/>
                <w:b/>
                <w:szCs w:val="24"/>
              </w:rPr>
            </w:pPr>
            <w:r w:rsidRPr="00316277">
              <w:rPr>
                <w:rFonts w:cs="Arial"/>
                <w:b/>
                <w:szCs w:val="24"/>
              </w:rPr>
              <w:t xml:space="preserve">Taux du </w:t>
            </w:r>
          </w:p>
          <w:p w14:paraId="5C293F51" w14:textId="77777777" w:rsidR="003A61B5" w:rsidRPr="00316277" w:rsidRDefault="003A61B5" w:rsidP="00940BD8">
            <w:pPr>
              <w:keepNext w:val="0"/>
              <w:jc w:val="center"/>
              <w:rPr>
                <w:rFonts w:cs="Arial"/>
                <w:b/>
                <w:szCs w:val="24"/>
              </w:rPr>
            </w:pPr>
            <w:r w:rsidRPr="00316277">
              <w:rPr>
                <w:rFonts w:cs="Arial"/>
                <w:b/>
                <w:szCs w:val="24"/>
              </w:rPr>
              <w:t>2023</w:t>
            </w:r>
            <w:r w:rsidRPr="00316277">
              <w:rPr>
                <w:rFonts w:cs="Arial"/>
                <w:b/>
                <w:szCs w:val="24"/>
              </w:rPr>
              <w:noBreakHyphen/>
              <w:t>04</w:t>
            </w:r>
            <w:r w:rsidRPr="00316277">
              <w:rPr>
                <w:rFonts w:cs="Arial"/>
                <w:b/>
                <w:szCs w:val="24"/>
              </w:rPr>
              <w:noBreakHyphen/>
              <w:t xml:space="preserve">01 </w:t>
            </w:r>
          </w:p>
          <w:p w14:paraId="356EE80F" w14:textId="77777777" w:rsidR="003A61B5" w:rsidRPr="00316277" w:rsidRDefault="003A61B5" w:rsidP="00940BD8">
            <w:pPr>
              <w:keepNext w:val="0"/>
              <w:jc w:val="center"/>
              <w:rPr>
                <w:rFonts w:cs="Arial"/>
                <w:b/>
                <w:szCs w:val="24"/>
              </w:rPr>
            </w:pPr>
            <w:r w:rsidRPr="00316277">
              <w:rPr>
                <w:rFonts w:cs="Arial"/>
                <w:b/>
                <w:szCs w:val="24"/>
              </w:rPr>
              <w:t xml:space="preserve">au </w:t>
            </w:r>
          </w:p>
          <w:p w14:paraId="7AC954EC" w14:textId="77777777" w:rsidR="003A61B5" w:rsidRPr="003A61B5" w:rsidRDefault="003A61B5" w:rsidP="00940BD8">
            <w:pPr>
              <w:keepNext w:val="0"/>
              <w:jc w:val="center"/>
              <w:rPr>
                <w:rFonts w:cs="Arial"/>
                <w:b/>
                <w:szCs w:val="24"/>
                <w:highlight w:val="lightGray"/>
              </w:rPr>
            </w:pPr>
            <w:r w:rsidRPr="00316277">
              <w:rPr>
                <w:rFonts w:cs="Arial"/>
                <w:b/>
                <w:szCs w:val="24"/>
              </w:rPr>
              <w:t>2024</w:t>
            </w:r>
            <w:r w:rsidRPr="00316277">
              <w:rPr>
                <w:rFonts w:cs="Arial"/>
                <w:b/>
                <w:szCs w:val="24"/>
              </w:rPr>
              <w:noBreakHyphen/>
              <w:t>03</w:t>
            </w:r>
            <w:r w:rsidRPr="00316277">
              <w:rPr>
                <w:rFonts w:cs="Arial"/>
                <w:b/>
                <w:szCs w:val="24"/>
              </w:rPr>
              <w:noBreakHyphen/>
              <w:t>31</w:t>
            </w:r>
          </w:p>
        </w:tc>
        <w:tc>
          <w:tcPr>
            <w:tcW w:w="1887" w:type="dxa"/>
            <w:tcBorders>
              <w:top w:val="single" w:sz="12" w:space="0" w:color="auto"/>
              <w:left w:val="nil"/>
              <w:bottom w:val="single" w:sz="12" w:space="0" w:color="auto"/>
              <w:right w:val="nil"/>
            </w:tcBorders>
            <w:shd w:val="clear" w:color="auto" w:fill="auto"/>
          </w:tcPr>
          <w:p w14:paraId="18CBDAE5" w14:textId="77777777" w:rsidR="003A61B5" w:rsidRPr="00316277" w:rsidRDefault="003A61B5" w:rsidP="00940BD8">
            <w:pPr>
              <w:keepNext w:val="0"/>
              <w:jc w:val="center"/>
              <w:rPr>
                <w:rFonts w:cs="Arial"/>
                <w:b/>
                <w:szCs w:val="24"/>
              </w:rPr>
            </w:pPr>
            <w:r w:rsidRPr="00316277">
              <w:rPr>
                <w:rFonts w:cs="Arial"/>
                <w:b/>
                <w:szCs w:val="24"/>
              </w:rPr>
              <w:t xml:space="preserve">Taux du </w:t>
            </w:r>
            <w:r w:rsidRPr="00316277">
              <w:rPr>
                <w:rFonts w:cs="Arial"/>
                <w:b/>
                <w:szCs w:val="24"/>
              </w:rPr>
              <w:br/>
              <w:t>2024</w:t>
            </w:r>
            <w:r w:rsidRPr="00316277">
              <w:rPr>
                <w:rFonts w:cs="Arial"/>
                <w:b/>
                <w:szCs w:val="24"/>
              </w:rPr>
              <w:noBreakHyphen/>
              <w:t>04</w:t>
            </w:r>
            <w:r w:rsidRPr="00316277">
              <w:rPr>
                <w:rFonts w:cs="Arial"/>
                <w:b/>
                <w:szCs w:val="24"/>
              </w:rPr>
              <w:noBreakHyphen/>
              <w:t>01</w:t>
            </w:r>
          </w:p>
          <w:p w14:paraId="5F995217" w14:textId="77777777" w:rsidR="003A61B5" w:rsidRPr="00316277" w:rsidRDefault="003A61B5" w:rsidP="00940BD8">
            <w:pPr>
              <w:keepNext w:val="0"/>
              <w:jc w:val="center"/>
              <w:rPr>
                <w:rFonts w:cs="Arial"/>
                <w:b/>
                <w:szCs w:val="24"/>
              </w:rPr>
            </w:pPr>
            <w:r w:rsidRPr="00316277">
              <w:rPr>
                <w:rFonts w:cs="Arial"/>
                <w:b/>
                <w:szCs w:val="24"/>
              </w:rPr>
              <w:t>au</w:t>
            </w:r>
          </w:p>
          <w:p w14:paraId="17EF2076" w14:textId="77777777" w:rsidR="003A61B5" w:rsidRPr="003A61B5" w:rsidRDefault="003A61B5" w:rsidP="00940BD8">
            <w:pPr>
              <w:keepNext w:val="0"/>
              <w:jc w:val="center"/>
              <w:rPr>
                <w:rFonts w:cs="Arial"/>
                <w:b/>
                <w:szCs w:val="24"/>
                <w:highlight w:val="lightGray"/>
              </w:rPr>
            </w:pPr>
            <w:r w:rsidRPr="00316277">
              <w:rPr>
                <w:rFonts w:cs="Arial"/>
                <w:b/>
                <w:szCs w:val="24"/>
              </w:rPr>
              <w:t>2025</w:t>
            </w:r>
            <w:r w:rsidRPr="00316277">
              <w:rPr>
                <w:rFonts w:cs="Arial"/>
                <w:b/>
                <w:szCs w:val="24"/>
              </w:rPr>
              <w:noBreakHyphen/>
              <w:t>03</w:t>
            </w:r>
            <w:r w:rsidRPr="00316277">
              <w:rPr>
                <w:rFonts w:cs="Arial"/>
                <w:b/>
                <w:szCs w:val="24"/>
              </w:rPr>
              <w:noBreakHyphen/>
              <w:t>31</w:t>
            </w:r>
          </w:p>
        </w:tc>
        <w:tc>
          <w:tcPr>
            <w:tcW w:w="1563" w:type="dxa"/>
            <w:tcBorders>
              <w:top w:val="single" w:sz="12" w:space="0" w:color="auto"/>
              <w:left w:val="nil"/>
              <w:bottom w:val="single" w:sz="12" w:space="0" w:color="auto"/>
              <w:right w:val="nil"/>
            </w:tcBorders>
            <w:shd w:val="clear" w:color="auto" w:fill="auto"/>
          </w:tcPr>
          <w:p w14:paraId="4BBD1C1E" w14:textId="77777777" w:rsidR="003A61B5" w:rsidRPr="00316277" w:rsidRDefault="003A61B5" w:rsidP="00940BD8">
            <w:pPr>
              <w:keepNext w:val="0"/>
              <w:jc w:val="center"/>
              <w:rPr>
                <w:rFonts w:cs="Arial"/>
                <w:b/>
                <w:szCs w:val="24"/>
              </w:rPr>
            </w:pPr>
            <w:r w:rsidRPr="00316277">
              <w:rPr>
                <w:rFonts w:cs="Arial"/>
                <w:b/>
                <w:szCs w:val="24"/>
              </w:rPr>
              <w:t xml:space="preserve">Taux </w:t>
            </w:r>
          </w:p>
          <w:p w14:paraId="30EC8F27" w14:textId="77777777" w:rsidR="003A61B5" w:rsidRPr="00316277" w:rsidRDefault="003A61B5" w:rsidP="00940BD8">
            <w:pPr>
              <w:keepNext w:val="0"/>
              <w:jc w:val="center"/>
              <w:rPr>
                <w:rFonts w:cs="Arial"/>
                <w:b/>
                <w:szCs w:val="24"/>
              </w:rPr>
            </w:pPr>
            <w:r w:rsidRPr="00316277">
              <w:rPr>
                <w:rFonts w:cs="Arial"/>
                <w:b/>
                <w:szCs w:val="24"/>
              </w:rPr>
              <w:t>2025</w:t>
            </w:r>
            <w:r w:rsidRPr="00316277">
              <w:rPr>
                <w:rFonts w:cs="Arial"/>
                <w:b/>
                <w:szCs w:val="24"/>
              </w:rPr>
              <w:noBreakHyphen/>
              <w:t>04</w:t>
            </w:r>
            <w:r w:rsidRPr="00316277">
              <w:rPr>
                <w:rFonts w:cs="Arial"/>
                <w:b/>
                <w:szCs w:val="24"/>
              </w:rPr>
              <w:noBreakHyphen/>
              <w:t>01</w:t>
            </w:r>
          </w:p>
          <w:p w14:paraId="7E3CA65A" w14:textId="77777777" w:rsidR="003A61B5" w:rsidRPr="00316277" w:rsidRDefault="003A61B5" w:rsidP="00940BD8">
            <w:pPr>
              <w:keepNext w:val="0"/>
              <w:jc w:val="center"/>
              <w:rPr>
                <w:rFonts w:cs="Arial"/>
                <w:b/>
                <w:szCs w:val="24"/>
              </w:rPr>
            </w:pPr>
            <w:r w:rsidRPr="00316277">
              <w:rPr>
                <w:rFonts w:cs="Arial"/>
                <w:b/>
                <w:szCs w:val="24"/>
              </w:rPr>
              <w:t>au</w:t>
            </w:r>
          </w:p>
          <w:p w14:paraId="77C6CD11" w14:textId="77777777" w:rsidR="003A61B5" w:rsidRPr="003A61B5" w:rsidRDefault="003A61B5" w:rsidP="00940BD8">
            <w:pPr>
              <w:keepNext w:val="0"/>
              <w:jc w:val="center"/>
              <w:rPr>
                <w:rFonts w:cs="Arial"/>
                <w:b/>
                <w:szCs w:val="24"/>
                <w:highlight w:val="lightGray"/>
              </w:rPr>
            </w:pPr>
            <w:r w:rsidRPr="00316277">
              <w:rPr>
                <w:rFonts w:cs="Arial"/>
                <w:b/>
                <w:szCs w:val="24"/>
              </w:rPr>
              <w:t>2026</w:t>
            </w:r>
            <w:r w:rsidRPr="00316277">
              <w:rPr>
                <w:rFonts w:cs="Arial"/>
                <w:b/>
                <w:szCs w:val="24"/>
              </w:rPr>
              <w:noBreakHyphen/>
              <w:t>03</w:t>
            </w:r>
            <w:r w:rsidRPr="00316277">
              <w:rPr>
                <w:rFonts w:cs="Arial"/>
                <w:b/>
                <w:szCs w:val="24"/>
              </w:rPr>
              <w:noBreakHyphen/>
              <w:t>31</w:t>
            </w:r>
          </w:p>
        </w:tc>
        <w:tc>
          <w:tcPr>
            <w:tcW w:w="1563" w:type="dxa"/>
            <w:tcBorders>
              <w:top w:val="single" w:sz="12" w:space="0" w:color="auto"/>
              <w:left w:val="nil"/>
              <w:bottom w:val="single" w:sz="12" w:space="0" w:color="auto"/>
              <w:right w:val="nil"/>
            </w:tcBorders>
          </w:tcPr>
          <w:p w14:paraId="20B6077A" w14:textId="77777777" w:rsidR="003A61B5" w:rsidRPr="00316277" w:rsidRDefault="003A61B5" w:rsidP="00940BD8">
            <w:pPr>
              <w:keepNext w:val="0"/>
              <w:jc w:val="center"/>
              <w:rPr>
                <w:rFonts w:cs="Arial"/>
                <w:b/>
                <w:szCs w:val="24"/>
              </w:rPr>
            </w:pPr>
            <w:r w:rsidRPr="00316277">
              <w:rPr>
                <w:rFonts w:cs="Arial"/>
                <w:b/>
                <w:szCs w:val="24"/>
              </w:rPr>
              <w:t xml:space="preserve">Taux </w:t>
            </w:r>
          </w:p>
          <w:p w14:paraId="0249A85E" w14:textId="77777777" w:rsidR="003A61B5" w:rsidRPr="00316277" w:rsidRDefault="003A61B5" w:rsidP="00940BD8">
            <w:pPr>
              <w:keepNext w:val="0"/>
              <w:jc w:val="center"/>
              <w:rPr>
                <w:rFonts w:cs="Arial"/>
                <w:b/>
                <w:szCs w:val="24"/>
              </w:rPr>
            </w:pPr>
            <w:r w:rsidRPr="00316277">
              <w:rPr>
                <w:rFonts w:cs="Arial"/>
                <w:b/>
                <w:szCs w:val="24"/>
              </w:rPr>
              <w:t>2026</w:t>
            </w:r>
            <w:r w:rsidRPr="00316277">
              <w:rPr>
                <w:rFonts w:cs="Arial"/>
                <w:b/>
                <w:szCs w:val="24"/>
              </w:rPr>
              <w:noBreakHyphen/>
              <w:t>04</w:t>
            </w:r>
            <w:r w:rsidRPr="00316277">
              <w:rPr>
                <w:rFonts w:cs="Arial"/>
                <w:b/>
                <w:szCs w:val="24"/>
              </w:rPr>
              <w:noBreakHyphen/>
              <w:t>01</w:t>
            </w:r>
          </w:p>
          <w:p w14:paraId="5ECCD7D7" w14:textId="77777777" w:rsidR="003A61B5" w:rsidRPr="00316277" w:rsidRDefault="003A61B5" w:rsidP="00940BD8">
            <w:pPr>
              <w:keepNext w:val="0"/>
              <w:jc w:val="center"/>
              <w:rPr>
                <w:rFonts w:cs="Arial"/>
                <w:b/>
                <w:szCs w:val="24"/>
              </w:rPr>
            </w:pPr>
            <w:r w:rsidRPr="00316277">
              <w:rPr>
                <w:rFonts w:cs="Arial"/>
                <w:b/>
                <w:szCs w:val="24"/>
              </w:rPr>
              <w:t>au</w:t>
            </w:r>
          </w:p>
          <w:p w14:paraId="73814E10" w14:textId="77777777" w:rsidR="003A61B5" w:rsidRPr="003A61B5" w:rsidRDefault="003A61B5" w:rsidP="00940BD8">
            <w:pPr>
              <w:keepNext w:val="0"/>
              <w:jc w:val="center"/>
              <w:rPr>
                <w:rFonts w:cs="Arial"/>
                <w:b/>
                <w:szCs w:val="24"/>
                <w:highlight w:val="lightGray"/>
              </w:rPr>
            </w:pPr>
            <w:r w:rsidRPr="00316277">
              <w:rPr>
                <w:rFonts w:cs="Arial"/>
                <w:b/>
                <w:szCs w:val="24"/>
              </w:rPr>
              <w:t>2027</w:t>
            </w:r>
            <w:r w:rsidRPr="00316277">
              <w:rPr>
                <w:rFonts w:cs="Arial"/>
                <w:b/>
                <w:szCs w:val="24"/>
              </w:rPr>
              <w:noBreakHyphen/>
              <w:t>03</w:t>
            </w:r>
            <w:r w:rsidRPr="00316277">
              <w:rPr>
                <w:rFonts w:cs="Arial"/>
                <w:b/>
                <w:szCs w:val="24"/>
              </w:rPr>
              <w:noBreakHyphen/>
              <w:t>31</w:t>
            </w:r>
          </w:p>
        </w:tc>
        <w:tc>
          <w:tcPr>
            <w:tcW w:w="1563" w:type="dxa"/>
            <w:tcBorders>
              <w:top w:val="single" w:sz="12" w:space="0" w:color="auto"/>
              <w:left w:val="nil"/>
              <w:bottom w:val="single" w:sz="12" w:space="0" w:color="auto"/>
              <w:right w:val="nil"/>
            </w:tcBorders>
          </w:tcPr>
          <w:p w14:paraId="429CAF6D" w14:textId="77777777" w:rsidR="003A61B5" w:rsidRPr="00316277" w:rsidRDefault="003A61B5" w:rsidP="00940BD8">
            <w:pPr>
              <w:keepNext w:val="0"/>
              <w:jc w:val="center"/>
              <w:rPr>
                <w:rFonts w:cs="Arial"/>
                <w:b/>
                <w:szCs w:val="24"/>
              </w:rPr>
            </w:pPr>
            <w:r w:rsidRPr="00316277">
              <w:rPr>
                <w:rFonts w:cs="Arial"/>
                <w:b/>
                <w:szCs w:val="24"/>
              </w:rPr>
              <w:t xml:space="preserve">Taux </w:t>
            </w:r>
          </w:p>
          <w:p w14:paraId="1002CCEE" w14:textId="77777777" w:rsidR="003A61B5" w:rsidRPr="00316277" w:rsidRDefault="003A61B5" w:rsidP="00940BD8">
            <w:pPr>
              <w:keepNext w:val="0"/>
              <w:jc w:val="center"/>
              <w:rPr>
                <w:rFonts w:cs="Arial"/>
                <w:b/>
                <w:szCs w:val="24"/>
              </w:rPr>
            </w:pPr>
            <w:r w:rsidRPr="00316277">
              <w:rPr>
                <w:rFonts w:cs="Arial"/>
                <w:b/>
                <w:szCs w:val="24"/>
              </w:rPr>
              <w:t>à compter</w:t>
            </w:r>
          </w:p>
          <w:p w14:paraId="567C8241" w14:textId="77777777" w:rsidR="003A61B5" w:rsidRPr="00316277" w:rsidRDefault="003A61B5" w:rsidP="00940BD8">
            <w:pPr>
              <w:keepNext w:val="0"/>
              <w:jc w:val="center"/>
              <w:rPr>
                <w:rFonts w:cs="Arial"/>
                <w:b/>
                <w:szCs w:val="24"/>
              </w:rPr>
            </w:pPr>
            <w:r w:rsidRPr="00316277">
              <w:rPr>
                <w:rFonts w:cs="Arial"/>
                <w:b/>
                <w:szCs w:val="24"/>
              </w:rPr>
              <w:t xml:space="preserve">du </w:t>
            </w:r>
          </w:p>
          <w:p w14:paraId="019DCF82" w14:textId="77777777" w:rsidR="003A61B5" w:rsidRPr="00316277" w:rsidRDefault="003A61B5" w:rsidP="00940BD8">
            <w:pPr>
              <w:keepNext w:val="0"/>
              <w:jc w:val="center"/>
              <w:rPr>
                <w:rFonts w:cs="Arial"/>
                <w:b/>
                <w:szCs w:val="24"/>
              </w:rPr>
            </w:pPr>
            <w:r w:rsidRPr="00316277">
              <w:rPr>
                <w:rFonts w:cs="Arial"/>
                <w:b/>
                <w:szCs w:val="24"/>
              </w:rPr>
              <w:t>2027</w:t>
            </w:r>
            <w:r w:rsidRPr="00316277">
              <w:rPr>
                <w:rFonts w:cs="Arial"/>
                <w:b/>
                <w:szCs w:val="24"/>
              </w:rPr>
              <w:noBreakHyphen/>
              <w:t>04</w:t>
            </w:r>
            <w:r w:rsidRPr="00316277">
              <w:rPr>
                <w:rFonts w:cs="Arial"/>
                <w:b/>
                <w:szCs w:val="24"/>
              </w:rPr>
              <w:noBreakHyphen/>
              <w:t>01</w:t>
            </w:r>
          </w:p>
        </w:tc>
      </w:tr>
      <w:tr w:rsidR="003A61B5" w:rsidRPr="003A61B5" w14:paraId="1904E32A" w14:textId="77777777" w:rsidTr="00940BD8">
        <w:trPr>
          <w:jc w:val="center"/>
        </w:trPr>
        <w:tc>
          <w:tcPr>
            <w:tcW w:w="1560" w:type="dxa"/>
            <w:tcBorders>
              <w:top w:val="single" w:sz="12" w:space="0" w:color="auto"/>
              <w:left w:val="nil"/>
              <w:bottom w:val="nil"/>
              <w:right w:val="nil"/>
            </w:tcBorders>
            <w:shd w:val="clear" w:color="auto" w:fill="auto"/>
            <w:vAlign w:val="center"/>
          </w:tcPr>
          <w:p w14:paraId="74C5E3CB" w14:textId="77777777" w:rsidR="003A61B5" w:rsidRPr="003A61B5" w:rsidRDefault="003A61B5" w:rsidP="00940BD8">
            <w:pPr>
              <w:keepNext w:val="0"/>
              <w:jc w:val="center"/>
              <w:rPr>
                <w:rFonts w:cs="Arial"/>
                <w:b/>
                <w:szCs w:val="24"/>
                <w:highlight w:val="lightGray"/>
              </w:rPr>
            </w:pPr>
          </w:p>
        </w:tc>
        <w:tc>
          <w:tcPr>
            <w:tcW w:w="1887" w:type="dxa"/>
            <w:tcBorders>
              <w:top w:val="single" w:sz="12" w:space="0" w:color="auto"/>
              <w:left w:val="nil"/>
              <w:bottom w:val="nil"/>
              <w:right w:val="nil"/>
            </w:tcBorders>
            <w:shd w:val="clear" w:color="auto" w:fill="auto"/>
          </w:tcPr>
          <w:p w14:paraId="66C0D918" w14:textId="77777777" w:rsidR="003A61B5" w:rsidRPr="003A61B5" w:rsidRDefault="003A61B5" w:rsidP="00940BD8">
            <w:pPr>
              <w:keepNext w:val="0"/>
              <w:jc w:val="center"/>
              <w:rPr>
                <w:rFonts w:cs="Arial"/>
                <w:b/>
                <w:szCs w:val="24"/>
                <w:highlight w:val="lightGray"/>
              </w:rPr>
            </w:pPr>
          </w:p>
        </w:tc>
        <w:tc>
          <w:tcPr>
            <w:tcW w:w="1563" w:type="dxa"/>
            <w:tcBorders>
              <w:top w:val="single" w:sz="12" w:space="0" w:color="auto"/>
              <w:left w:val="nil"/>
              <w:bottom w:val="nil"/>
              <w:right w:val="nil"/>
            </w:tcBorders>
            <w:shd w:val="clear" w:color="auto" w:fill="auto"/>
          </w:tcPr>
          <w:p w14:paraId="0F5556FF" w14:textId="77777777" w:rsidR="003A61B5" w:rsidRPr="003A61B5" w:rsidRDefault="003A61B5" w:rsidP="00940BD8">
            <w:pPr>
              <w:keepNext w:val="0"/>
              <w:jc w:val="center"/>
              <w:rPr>
                <w:rFonts w:cs="Arial"/>
                <w:b/>
                <w:szCs w:val="24"/>
                <w:highlight w:val="lightGray"/>
              </w:rPr>
            </w:pPr>
          </w:p>
        </w:tc>
        <w:tc>
          <w:tcPr>
            <w:tcW w:w="1563" w:type="dxa"/>
            <w:tcBorders>
              <w:top w:val="single" w:sz="12" w:space="0" w:color="auto"/>
              <w:left w:val="nil"/>
              <w:bottom w:val="nil"/>
              <w:right w:val="nil"/>
            </w:tcBorders>
          </w:tcPr>
          <w:p w14:paraId="57F72FFB" w14:textId="77777777" w:rsidR="003A61B5" w:rsidRPr="003A61B5" w:rsidRDefault="003A61B5" w:rsidP="00940BD8">
            <w:pPr>
              <w:keepNext w:val="0"/>
              <w:jc w:val="center"/>
              <w:rPr>
                <w:rFonts w:cs="Arial"/>
                <w:b/>
                <w:szCs w:val="24"/>
                <w:highlight w:val="lightGray"/>
              </w:rPr>
            </w:pPr>
          </w:p>
        </w:tc>
        <w:tc>
          <w:tcPr>
            <w:tcW w:w="1563" w:type="dxa"/>
            <w:tcBorders>
              <w:top w:val="single" w:sz="12" w:space="0" w:color="auto"/>
              <w:left w:val="nil"/>
              <w:bottom w:val="nil"/>
              <w:right w:val="nil"/>
            </w:tcBorders>
          </w:tcPr>
          <w:p w14:paraId="40F884A1" w14:textId="77777777" w:rsidR="003A61B5" w:rsidRPr="00316277" w:rsidRDefault="003A61B5" w:rsidP="00940BD8">
            <w:pPr>
              <w:keepNext w:val="0"/>
              <w:jc w:val="center"/>
              <w:rPr>
                <w:rFonts w:cs="Arial"/>
                <w:b/>
                <w:szCs w:val="24"/>
              </w:rPr>
            </w:pPr>
          </w:p>
        </w:tc>
      </w:tr>
      <w:tr w:rsidR="003A61B5" w:rsidRPr="00544CEA" w14:paraId="3D82B770" w14:textId="77777777" w:rsidTr="00940BD8">
        <w:trPr>
          <w:jc w:val="center"/>
        </w:trPr>
        <w:tc>
          <w:tcPr>
            <w:tcW w:w="1560" w:type="dxa"/>
            <w:tcBorders>
              <w:top w:val="nil"/>
              <w:left w:val="nil"/>
              <w:bottom w:val="single" w:sz="12" w:space="0" w:color="auto"/>
              <w:right w:val="nil"/>
            </w:tcBorders>
            <w:shd w:val="clear" w:color="auto" w:fill="auto"/>
            <w:vAlign w:val="bottom"/>
          </w:tcPr>
          <w:p w14:paraId="6B8B9174" w14:textId="77777777" w:rsidR="003A61B5" w:rsidRPr="003A61B5" w:rsidRDefault="003A61B5" w:rsidP="00940BD8">
            <w:pPr>
              <w:keepNext w:val="0"/>
              <w:jc w:val="center"/>
              <w:rPr>
                <w:rFonts w:cs="Arial"/>
                <w:szCs w:val="24"/>
                <w:highlight w:val="lightGray"/>
              </w:rPr>
            </w:pPr>
            <w:r w:rsidRPr="00316277">
              <w:rPr>
                <w:rFonts w:cs="Arial"/>
                <w:szCs w:val="24"/>
              </w:rPr>
              <w:t>4 555 $/an</w:t>
            </w:r>
          </w:p>
        </w:tc>
        <w:tc>
          <w:tcPr>
            <w:tcW w:w="1887" w:type="dxa"/>
            <w:tcBorders>
              <w:top w:val="nil"/>
              <w:left w:val="nil"/>
              <w:bottom w:val="single" w:sz="12" w:space="0" w:color="auto"/>
              <w:right w:val="nil"/>
            </w:tcBorders>
            <w:shd w:val="clear" w:color="auto" w:fill="auto"/>
            <w:vAlign w:val="bottom"/>
          </w:tcPr>
          <w:p w14:paraId="64580F1E" w14:textId="77777777" w:rsidR="003A61B5" w:rsidRPr="003A61B5" w:rsidRDefault="003A61B5" w:rsidP="00940BD8">
            <w:pPr>
              <w:keepNext w:val="0"/>
              <w:jc w:val="center"/>
              <w:rPr>
                <w:rFonts w:cs="Arial"/>
                <w:bCs/>
                <w:szCs w:val="24"/>
                <w:highlight w:val="lightGray"/>
              </w:rPr>
            </w:pPr>
            <w:r w:rsidRPr="00316277">
              <w:rPr>
                <w:rFonts w:cs="Arial"/>
                <w:szCs w:val="24"/>
              </w:rPr>
              <w:t>4 683 $/an</w:t>
            </w:r>
          </w:p>
        </w:tc>
        <w:tc>
          <w:tcPr>
            <w:tcW w:w="1563" w:type="dxa"/>
            <w:tcBorders>
              <w:top w:val="nil"/>
              <w:left w:val="nil"/>
              <w:bottom w:val="single" w:sz="12" w:space="0" w:color="auto"/>
              <w:right w:val="nil"/>
            </w:tcBorders>
            <w:shd w:val="clear" w:color="auto" w:fill="auto"/>
            <w:vAlign w:val="bottom"/>
          </w:tcPr>
          <w:p w14:paraId="2148D508" w14:textId="77777777" w:rsidR="003A61B5" w:rsidRPr="003A61B5" w:rsidRDefault="003A61B5" w:rsidP="00940BD8">
            <w:pPr>
              <w:keepNext w:val="0"/>
              <w:jc w:val="center"/>
              <w:rPr>
                <w:rFonts w:cs="Arial"/>
                <w:bCs/>
                <w:szCs w:val="24"/>
                <w:highlight w:val="lightGray"/>
              </w:rPr>
            </w:pPr>
            <w:r w:rsidRPr="00316277">
              <w:rPr>
                <w:rFonts w:cs="Arial"/>
                <w:szCs w:val="24"/>
              </w:rPr>
              <w:t>4 805 $/an</w:t>
            </w:r>
          </w:p>
        </w:tc>
        <w:tc>
          <w:tcPr>
            <w:tcW w:w="1563" w:type="dxa"/>
            <w:tcBorders>
              <w:top w:val="nil"/>
              <w:left w:val="nil"/>
              <w:bottom w:val="single" w:sz="12" w:space="0" w:color="auto"/>
              <w:right w:val="nil"/>
            </w:tcBorders>
          </w:tcPr>
          <w:p w14:paraId="0221534D" w14:textId="77777777" w:rsidR="003A61B5" w:rsidRPr="003A61B5" w:rsidRDefault="003A61B5" w:rsidP="00940BD8">
            <w:pPr>
              <w:keepNext w:val="0"/>
              <w:jc w:val="center"/>
              <w:rPr>
                <w:rFonts w:cs="Arial"/>
                <w:szCs w:val="24"/>
                <w:highlight w:val="lightGray"/>
              </w:rPr>
            </w:pPr>
            <w:r w:rsidRPr="00316277">
              <w:rPr>
                <w:rFonts w:cs="Arial"/>
                <w:szCs w:val="24"/>
              </w:rPr>
              <w:t>4 925 $/an</w:t>
            </w:r>
          </w:p>
        </w:tc>
        <w:tc>
          <w:tcPr>
            <w:tcW w:w="1563" w:type="dxa"/>
            <w:tcBorders>
              <w:top w:val="nil"/>
              <w:left w:val="nil"/>
              <w:bottom w:val="single" w:sz="12" w:space="0" w:color="auto"/>
              <w:right w:val="nil"/>
            </w:tcBorders>
          </w:tcPr>
          <w:p w14:paraId="538557B6" w14:textId="77777777" w:rsidR="003A61B5" w:rsidRPr="00316277" w:rsidRDefault="003A61B5" w:rsidP="00940BD8">
            <w:pPr>
              <w:keepNext w:val="0"/>
              <w:jc w:val="center"/>
              <w:rPr>
                <w:rFonts w:cs="Arial"/>
                <w:szCs w:val="24"/>
              </w:rPr>
            </w:pPr>
            <w:r w:rsidRPr="00316277">
              <w:rPr>
                <w:rFonts w:cs="Arial"/>
                <w:szCs w:val="24"/>
              </w:rPr>
              <w:t>5 097 $/an</w:t>
            </w:r>
          </w:p>
        </w:tc>
      </w:tr>
    </w:tbl>
    <w:p w14:paraId="3FAADFA7" w14:textId="62CF8985" w:rsidR="00370B80" w:rsidRPr="00845718" w:rsidRDefault="00404F34" w:rsidP="007F120F">
      <w:pPr>
        <w:pStyle w:val="Heading3"/>
        <w:keepNext w:val="0"/>
      </w:pPr>
      <w:r w:rsidRPr="00026EC1">
        <w:br w:type="page"/>
      </w:r>
      <w:bookmarkStart w:id="1329" w:name="_Toc133760865"/>
      <w:bookmarkStart w:id="1330" w:name="_Toc133917013"/>
      <w:bookmarkStart w:id="1331" w:name="_Toc134437287"/>
      <w:bookmarkStart w:id="1332" w:name="_Toc393449451"/>
      <w:bookmarkStart w:id="1333" w:name="_Toc462751576"/>
      <w:bookmarkStart w:id="1334" w:name="_Toc484082593"/>
      <w:bookmarkStart w:id="1335" w:name="_Toc168479601"/>
      <w:r w:rsidR="00D26644" w:rsidRPr="00845718">
        <w:t>Annexe III</w:t>
      </w:r>
      <w:r w:rsidR="002F5A0C">
        <w:t>-</w:t>
      </w:r>
      <w:bookmarkEnd w:id="1329"/>
      <w:bookmarkEnd w:id="1330"/>
      <w:bookmarkEnd w:id="1331"/>
      <w:r w:rsidR="00010924" w:rsidRPr="00316277">
        <w:t>8</w:t>
      </w:r>
      <w:r w:rsidR="00D26644" w:rsidRPr="00845718">
        <w:br/>
      </w:r>
      <w:r w:rsidR="00D26644" w:rsidRPr="00845718">
        <w:br/>
        <w:t xml:space="preserve">Annexe relative au Centre d’études collégiales </w:t>
      </w:r>
      <w:r w:rsidR="00855136" w:rsidRPr="00845718">
        <w:t>de</w:t>
      </w:r>
      <w:r w:rsidR="00D26644" w:rsidRPr="00845718">
        <w:t xml:space="preserve"> Lac</w:t>
      </w:r>
      <w:r w:rsidR="00AB4D26">
        <w:t>-</w:t>
      </w:r>
      <w:r w:rsidR="00D26644" w:rsidRPr="00845718">
        <w:t>Mégantic</w:t>
      </w:r>
      <w:r w:rsidR="00D26644" w:rsidRPr="00845718">
        <w:br/>
        <w:t>du Cégep Beauce</w:t>
      </w:r>
      <w:r w:rsidR="002F5A0C">
        <w:t>-</w:t>
      </w:r>
      <w:r w:rsidR="00D26644" w:rsidRPr="00845718">
        <w:t>Appalaches</w:t>
      </w:r>
      <w:bookmarkEnd w:id="1332"/>
      <w:bookmarkEnd w:id="1333"/>
      <w:bookmarkEnd w:id="1334"/>
      <w:bookmarkEnd w:id="1335"/>
    </w:p>
    <w:p w14:paraId="19624142" w14:textId="63F750C1" w:rsidR="00A73F98" w:rsidRPr="00026EC1" w:rsidRDefault="00275751" w:rsidP="007F120F">
      <w:pPr>
        <w:keepNext w:val="0"/>
        <w:tabs>
          <w:tab w:val="left" w:pos="567"/>
        </w:tabs>
        <w:ind w:left="567" w:hanging="567"/>
      </w:pPr>
      <w:r w:rsidRPr="00026EC1">
        <w:t>1.</w:t>
      </w:r>
      <w:r w:rsidRPr="00026EC1">
        <w:tab/>
      </w:r>
      <w:r w:rsidR="00A73F98" w:rsidRPr="00026EC1">
        <w:t>Les dispositions du mode de financement pour l</w:t>
      </w:r>
      <w:r w:rsidR="00BC3319" w:rsidRPr="00026EC1">
        <w:t>’</w:t>
      </w:r>
      <w:r w:rsidR="00A73F98" w:rsidRPr="00026EC1">
        <w:t xml:space="preserve">enseignement </w:t>
      </w:r>
      <w:r w:rsidR="00A73F98" w:rsidRPr="00F92BE4">
        <w:t>régulier (</w:t>
      </w:r>
      <w:r w:rsidR="007F66AA" w:rsidRPr="00F92BE4">
        <w:t xml:space="preserve">Annexe </w:t>
      </w:r>
      <w:r w:rsidR="00AC630F" w:rsidRPr="00F92BE4">
        <w:t xml:space="preserve">E102 </w:t>
      </w:r>
      <w:r w:rsidR="00A73F98" w:rsidRPr="00F92BE4">
        <w:t xml:space="preserve">du </w:t>
      </w:r>
      <w:r w:rsidR="00A73F98" w:rsidRPr="00F92BE4">
        <w:rPr>
          <w:i/>
          <w:iCs/>
        </w:rPr>
        <w:t>Régime budgétaire et financier des cégeps</w:t>
      </w:r>
      <w:r w:rsidR="00A73F98" w:rsidRPr="00F92BE4">
        <w:t xml:space="preserve"> et clause 8</w:t>
      </w:r>
      <w:r w:rsidR="00984A6F">
        <w:noBreakHyphen/>
      </w:r>
      <w:r w:rsidR="00A73F98" w:rsidRPr="00F92BE4">
        <w:t>5.01</w:t>
      </w:r>
      <w:r w:rsidR="00A73F98" w:rsidRPr="00026EC1">
        <w:t xml:space="preserve"> de la convention collective) s</w:t>
      </w:r>
      <w:r w:rsidR="00BC3319" w:rsidRPr="00026EC1">
        <w:t>’</w:t>
      </w:r>
      <w:r w:rsidR="00A73F98" w:rsidRPr="00026EC1">
        <w:t>appliquent aux activités d</w:t>
      </w:r>
      <w:r w:rsidR="00BC3319" w:rsidRPr="00026EC1">
        <w:t>’</w:t>
      </w:r>
      <w:r w:rsidR="00A73F98" w:rsidRPr="00026EC1">
        <w:t>enseignement collégial réalisées par le Centre d</w:t>
      </w:r>
      <w:r w:rsidR="00BC3319" w:rsidRPr="00026EC1">
        <w:t>’</w:t>
      </w:r>
      <w:r w:rsidR="00A73F98" w:rsidRPr="00026EC1">
        <w:t xml:space="preserve">études collégiales </w:t>
      </w:r>
      <w:r w:rsidR="002A25BE" w:rsidRPr="00026EC1">
        <w:t>de</w:t>
      </w:r>
      <w:r w:rsidR="00A73F98" w:rsidRPr="00026EC1">
        <w:t> Lac</w:t>
      </w:r>
      <w:r w:rsidR="00984A6F">
        <w:noBreakHyphen/>
      </w:r>
      <w:r w:rsidR="00A73F98" w:rsidRPr="00026EC1">
        <w:t>Mégantic du Cégep Beauce</w:t>
      </w:r>
      <w:r w:rsidR="00984A6F">
        <w:noBreakHyphen/>
      </w:r>
      <w:r w:rsidR="00A73F98" w:rsidRPr="00026EC1">
        <w:t>Appalaches.</w:t>
      </w:r>
    </w:p>
    <w:p w14:paraId="696E42C3" w14:textId="77777777" w:rsidR="00A73F98" w:rsidRPr="00026EC1" w:rsidRDefault="00A73F98" w:rsidP="007F120F">
      <w:pPr>
        <w:keepNext w:val="0"/>
      </w:pPr>
    </w:p>
    <w:p w14:paraId="46041F1C" w14:textId="451F8167" w:rsidR="00A73F98" w:rsidRPr="00026EC1" w:rsidRDefault="00275751" w:rsidP="007F120F">
      <w:pPr>
        <w:keepNext w:val="0"/>
        <w:tabs>
          <w:tab w:val="left" w:pos="567"/>
        </w:tabs>
        <w:ind w:left="567" w:hanging="567"/>
      </w:pPr>
      <w:r w:rsidRPr="00026EC1">
        <w:t>2.</w:t>
      </w:r>
      <w:r w:rsidRPr="00026EC1">
        <w:tab/>
      </w:r>
      <w:r w:rsidR="00A73F98" w:rsidRPr="00026EC1">
        <w:t>De plus, le Cégep Beauce</w:t>
      </w:r>
      <w:r w:rsidR="00984A6F">
        <w:noBreakHyphen/>
      </w:r>
      <w:r w:rsidR="00A73F98" w:rsidRPr="00026EC1">
        <w:t>Appalaches bénéficie d</w:t>
      </w:r>
      <w:r w:rsidR="00BC3319" w:rsidRPr="00026EC1">
        <w:t>’</w:t>
      </w:r>
      <w:r w:rsidR="00A73F98" w:rsidRPr="00026EC1">
        <w:t>une allocation annuelle additionnelle de 0,5 </w:t>
      </w:r>
      <w:r w:rsidR="00A77285" w:rsidRPr="00026EC1">
        <w:t>E</w:t>
      </w:r>
      <w:r w:rsidR="00A73F98" w:rsidRPr="00026EC1">
        <w:t>TC (A</w:t>
      </w:r>
      <w:r w:rsidR="00A73F98" w:rsidRPr="00026EC1">
        <w:rPr>
          <w:vertAlign w:val="subscript"/>
        </w:rPr>
        <w:t>s</w:t>
      </w:r>
      <w:r w:rsidR="00A73F98" w:rsidRPr="00026EC1">
        <w:t>) pour ses activités d</w:t>
      </w:r>
      <w:r w:rsidR="00BC3319" w:rsidRPr="00026EC1">
        <w:t>’</w:t>
      </w:r>
      <w:r w:rsidR="00A73F98" w:rsidRPr="00026EC1">
        <w:t>enseignement collégial réalisées par le Centre d</w:t>
      </w:r>
      <w:r w:rsidR="00BC3319" w:rsidRPr="00026EC1">
        <w:t>’</w:t>
      </w:r>
      <w:r w:rsidR="00A73F98" w:rsidRPr="00026EC1">
        <w:t xml:space="preserve">études collégiales </w:t>
      </w:r>
      <w:r w:rsidR="002A25BE" w:rsidRPr="00026EC1">
        <w:t>de</w:t>
      </w:r>
      <w:r w:rsidR="00A73F98" w:rsidRPr="00026EC1">
        <w:t xml:space="preserve"> Lac</w:t>
      </w:r>
      <w:r w:rsidR="00984A6F">
        <w:noBreakHyphen/>
      </w:r>
      <w:r w:rsidR="00A73F98" w:rsidRPr="00026EC1">
        <w:t>Mégantic.</w:t>
      </w:r>
    </w:p>
    <w:p w14:paraId="272A6112" w14:textId="77777777" w:rsidR="00A73F98" w:rsidRPr="00026EC1" w:rsidRDefault="00A73F98" w:rsidP="007F120F">
      <w:pPr>
        <w:keepNext w:val="0"/>
      </w:pPr>
    </w:p>
    <w:p w14:paraId="1FDAB899" w14:textId="70EFA3D5" w:rsidR="00A73F98" w:rsidRPr="00026EC1" w:rsidRDefault="00275751" w:rsidP="007F120F">
      <w:pPr>
        <w:keepNext w:val="0"/>
        <w:tabs>
          <w:tab w:val="left" w:pos="567"/>
        </w:tabs>
        <w:ind w:left="567" w:hanging="567"/>
      </w:pPr>
      <w:r w:rsidRPr="00026EC1">
        <w:t>3.</w:t>
      </w:r>
      <w:r w:rsidRPr="00026EC1">
        <w:tab/>
      </w:r>
      <w:r w:rsidR="00A73F98" w:rsidRPr="00026EC1">
        <w:t>Les programmes techniques seront offerts en alternance au Centre d</w:t>
      </w:r>
      <w:r w:rsidR="00BC3319" w:rsidRPr="00026EC1">
        <w:t>’</w:t>
      </w:r>
      <w:r w:rsidR="00A73F98" w:rsidRPr="00026EC1">
        <w:t xml:space="preserve">études collégiales </w:t>
      </w:r>
      <w:r w:rsidR="002A25BE" w:rsidRPr="00026EC1">
        <w:t>de</w:t>
      </w:r>
      <w:r w:rsidR="00A73F98" w:rsidRPr="00026EC1">
        <w:t> Lac</w:t>
      </w:r>
      <w:r w:rsidR="00984A6F">
        <w:noBreakHyphen/>
      </w:r>
      <w:r w:rsidR="00A73F98" w:rsidRPr="00026EC1">
        <w:t>Mégantic. Ainsi, un programme ne pourra pas faire l</w:t>
      </w:r>
      <w:r w:rsidR="00BC3319" w:rsidRPr="00026EC1">
        <w:t>’</w:t>
      </w:r>
      <w:r w:rsidR="00A73F98" w:rsidRPr="00026EC1">
        <w:t>objet de deux cohortes pour deux années consécutives.</w:t>
      </w:r>
    </w:p>
    <w:p w14:paraId="24E87CE2" w14:textId="77777777" w:rsidR="00A73F98" w:rsidRPr="00026EC1" w:rsidRDefault="00A73F98" w:rsidP="007F120F">
      <w:pPr>
        <w:keepNext w:val="0"/>
      </w:pPr>
    </w:p>
    <w:p w14:paraId="060B9F88" w14:textId="2996C3D3" w:rsidR="00A73F98" w:rsidRPr="00026EC1" w:rsidRDefault="00275751" w:rsidP="007F120F">
      <w:pPr>
        <w:keepNext w:val="0"/>
        <w:tabs>
          <w:tab w:val="left" w:pos="567"/>
        </w:tabs>
        <w:ind w:left="567" w:hanging="567"/>
      </w:pPr>
      <w:r w:rsidRPr="00026EC1">
        <w:t>4.</w:t>
      </w:r>
      <w:r w:rsidRPr="00026EC1">
        <w:tab/>
      </w:r>
      <w:r w:rsidR="00A73F98" w:rsidRPr="00026EC1">
        <w:t>De plus, pour chaque programme technique, le Centre d</w:t>
      </w:r>
      <w:r w:rsidR="00BC3319" w:rsidRPr="00026EC1">
        <w:t>’</w:t>
      </w:r>
      <w:r w:rsidR="00A73F98" w:rsidRPr="00026EC1">
        <w:t xml:space="preserve">études collégiales </w:t>
      </w:r>
      <w:r w:rsidR="002A25BE" w:rsidRPr="00026EC1">
        <w:t>de</w:t>
      </w:r>
      <w:r w:rsidR="00A73F98" w:rsidRPr="00026EC1">
        <w:t xml:space="preserve"> Lac</w:t>
      </w:r>
      <w:r w:rsidR="00984A6F">
        <w:noBreakHyphen/>
      </w:r>
      <w:r w:rsidR="00A73F98" w:rsidRPr="00026EC1">
        <w:t>Mégantic bénéficie, pour chacune des années du programme, du niveau de ressources enseignantes que génère la norme de financement pour la formation spécifique du programme (norme1 ou norme2) appliquée aux périodes</w:t>
      </w:r>
      <w:r w:rsidR="00984A6F">
        <w:noBreakHyphen/>
      </w:r>
      <w:r w:rsidR="00A73F98" w:rsidRPr="00026EC1">
        <w:t>élèves</w:t>
      </w:r>
      <w:r w:rsidR="00984A6F">
        <w:noBreakHyphen/>
      </w:r>
      <w:r w:rsidR="00A73F98" w:rsidRPr="00026EC1">
        <w:t xml:space="preserve">semaine (PES) réalisées </w:t>
      </w:r>
      <w:r w:rsidR="00A32678" w:rsidRPr="00026EC1">
        <w:t>à</w:t>
      </w:r>
      <w:r w:rsidR="00A73F98" w:rsidRPr="00026EC1">
        <w:t xml:space="preserve"> Lac</w:t>
      </w:r>
      <w:r w:rsidR="00984A6F">
        <w:noBreakHyphen/>
      </w:r>
      <w:r w:rsidR="00A73F98" w:rsidRPr="00026EC1">
        <w:t>Mégantic, la constante</w:t>
      </w:r>
      <w:r w:rsidR="00984A6F">
        <w:noBreakHyphen/>
      </w:r>
      <w:r w:rsidR="00A73F98" w:rsidRPr="00026EC1">
        <w:t>programme (constante1 ou constante2) ne s</w:t>
      </w:r>
      <w:r w:rsidR="00BC3319" w:rsidRPr="00026EC1">
        <w:t>’</w:t>
      </w:r>
      <w:r w:rsidR="00A73F98" w:rsidRPr="00026EC1">
        <w:t>appliquant qu</w:t>
      </w:r>
      <w:r w:rsidR="00BC3319" w:rsidRPr="00026EC1">
        <w:t>’</w:t>
      </w:r>
      <w:r w:rsidR="00A73F98" w:rsidRPr="00026EC1">
        <w:t>une seule fois pour l</w:t>
      </w:r>
      <w:r w:rsidR="00BC3319" w:rsidRPr="00026EC1">
        <w:t>’</w:t>
      </w:r>
      <w:r w:rsidR="00A73F98" w:rsidRPr="00026EC1">
        <w:t>ensemble des trois années d</w:t>
      </w:r>
      <w:r w:rsidR="00BC3319" w:rsidRPr="00026EC1">
        <w:t>’</w:t>
      </w:r>
      <w:r w:rsidR="00A73F98" w:rsidRPr="00026EC1">
        <w:t>une cohorte. La présente disposition est sans effet sur l</w:t>
      </w:r>
      <w:r w:rsidR="00BC3319" w:rsidRPr="00026EC1">
        <w:t>’</w:t>
      </w:r>
      <w:r w:rsidR="00A73F98" w:rsidRPr="00026EC1">
        <w:t xml:space="preserve">application des normes aux autres enseignements offerts </w:t>
      </w:r>
      <w:r w:rsidR="00A32678" w:rsidRPr="00026EC1">
        <w:t>à</w:t>
      </w:r>
      <w:r w:rsidR="00A73F98" w:rsidRPr="00026EC1">
        <w:t xml:space="preserve"> Lac</w:t>
      </w:r>
      <w:r w:rsidR="00984A6F">
        <w:noBreakHyphen/>
      </w:r>
      <w:r w:rsidR="00A73F98" w:rsidRPr="00026EC1">
        <w:t>Mégantic.</w:t>
      </w:r>
    </w:p>
    <w:p w14:paraId="06F3C514" w14:textId="77777777" w:rsidR="00A73F98" w:rsidRPr="00026EC1" w:rsidRDefault="00A73F98" w:rsidP="007F120F">
      <w:pPr>
        <w:keepNext w:val="0"/>
      </w:pPr>
    </w:p>
    <w:p w14:paraId="50DC4B3C" w14:textId="358F7F88" w:rsidR="00A73F98" w:rsidRPr="00026EC1" w:rsidRDefault="00275751" w:rsidP="007F120F">
      <w:pPr>
        <w:keepNext w:val="0"/>
        <w:tabs>
          <w:tab w:val="left" w:pos="567"/>
        </w:tabs>
        <w:ind w:left="567" w:hanging="567"/>
      </w:pPr>
      <w:r w:rsidRPr="00026EC1">
        <w:t>5.</w:t>
      </w:r>
      <w:r w:rsidRPr="00026EC1">
        <w:tab/>
      </w:r>
      <w:r w:rsidR="00A73F98" w:rsidRPr="00026EC1">
        <w:t>Malgré la clause</w:t>
      </w:r>
      <w:r w:rsidR="00625962" w:rsidRPr="00026EC1">
        <w:t> </w:t>
      </w:r>
      <w:r w:rsidR="00A73F98" w:rsidRPr="00026EC1">
        <w:t>8</w:t>
      </w:r>
      <w:r w:rsidR="00984A6F">
        <w:noBreakHyphen/>
      </w:r>
      <w:r w:rsidR="00A73F98" w:rsidRPr="00026EC1">
        <w:t>5.09, les ressources allouées à la formation spécifique d</w:t>
      </w:r>
      <w:r w:rsidR="00BC3319" w:rsidRPr="00026EC1">
        <w:t>’</w:t>
      </w:r>
      <w:r w:rsidR="00A73F98" w:rsidRPr="00026EC1">
        <w:t>un programme technique ne sont pas considérées dans la détermination du nombre de postes au Centre d</w:t>
      </w:r>
      <w:r w:rsidR="00BC3319" w:rsidRPr="00026EC1">
        <w:t>’</w:t>
      </w:r>
      <w:r w:rsidR="00A73F98" w:rsidRPr="00026EC1">
        <w:t xml:space="preserve">études collégiales </w:t>
      </w:r>
      <w:r w:rsidR="002A25BE" w:rsidRPr="00026EC1">
        <w:t>de</w:t>
      </w:r>
      <w:r w:rsidR="00A73F98" w:rsidRPr="00026EC1">
        <w:t xml:space="preserve"> Lac</w:t>
      </w:r>
      <w:r w:rsidR="00984A6F">
        <w:noBreakHyphen/>
      </w:r>
      <w:r w:rsidR="00A73F98" w:rsidRPr="00026EC1">
        <w:t>Mégantic.</w:t>
      </w:r>
      <w:r w:rsidR="00625962" w:rsidRPr="00026EC1">
        <w:t xml:space="preserve"> </w:t>
      </w:r>
      <w:r w:rsidR="00A73F98" w:rsidRPr="00026EC1">
        <w:t>Tout poste qui aurait pu résulter de ces allocations est, de ce fait, réputé être une charge d</w:t>
      </w:r>
      <w:r w:rsidR="00BC3319" w:rsidRPr="00026EC1">
        <w:t>’</w:t>
      </w:r>
      <w:r w:rsidR="00A73F98" w:rsidRPr="00026EC1">
        <w:t>enseignement à temps complet.</w:t>
      </w:r>
    </w:p>
    <w:p w14:paraId="2E3F14C4" w14:textId="77777777" w:rsidR="00A73F98" w:rsidRPr="00026EC1" w:rsidRDefault="00A73F98" w:rsidP="007F120F">
      <w:pPr>
        <w:keepNext w:val="0"/>
      </w:pPr>
    </w:p>
    <w:p w14:paraId="450C601F" w14:textId="10FD176D" w:rsidR="00A73F98" w:rsidRPr="00026EC1" w:rsidRDefault="00A73F98" w:rsidP="007F120F">
      <w:pPr>
        <w:pStyle w:val="Texte1cm00000"/>
        <w:keepNext w:val="0"/>
      </w:pPr>
      <w:r w:rsidRPr="00026EC1">
        <w:t>Toutefois, si pour une discipline de la formation spécifique autre que la discipline porteuse d</w:t>
      </w:r>
      <w:r w:rsidR="00BC3319" w:rsidRPr="00026EC1">
        <w:t>’</w:t>
      </w:r>
      <w:r w:rsidRPr="00026EC1">
        <w:t>un programme technique, l</w:t>
      </w:r>
      <w:r w:rsidR="00BC3319" w:rsidRPr="00026EC1">
        <w:t>’</w:t>
      </w:r>
      <w:r w:rsidRPr="00026EC1">
        <w:t>allocation associée constitue</w:t>
      </w:r>
      <w:r w:rsidR="00D8581B">
        <w:t> :</w:t>
      </w:r>
    </w:p>
    <w:p w14:paraId="06D05297" w14:textId="240DABEC" w:rsidR="00A73F98" w:rsidRPr="00026EC1" w:rsidRDefault="00275751" w:rsidP="007F120F">
      <w:pPr>
        <w:keepNext w:val="0"/>
        <w:tabs>
          <w:tab w:val="left" w:pos="1134"/>
        </w:tabs>
        <w:ind w:left="1134" w:hanging="566"/>
      </w:pPr>
      <w:r w:rsidRPr="00026EC1">
        <w:t>i.</w:t>
      </w:r>
      <w:r w:rsidRPr="00026EC1">
        <w:tab/>
      </w:r>
      <w:r w:rsidR="00A73F98" w:rsidRPr="00026EC1">
        <w:t>plus de</w:t>
      </w:r>
      <w:r w:rsidR="00A77285" w:rsidRPr="00026EC1">
        <w:t xml:space="preserve"> zéro virgule vingt</w:t>
      </w:r>
      <w:r w:rsidR="00984A6F">
        <w:noBreakHyphen/>
      </w:r>
      <w:r w:rsidR="00A77285" w:rsidRPr="00026EC1">
        <w:t>cinq</w:t>
      </w:r>
      <w:r w:rsidR="001167BD">
        <w:t> </w:t>
      </w:r>
      <w:r w:rsidR="00A77285" w:rsidRPr="00026EC1">
        <w:t>(</w:t>
      </w:r>
      <w:r w:rsidR="00A73F98" w:rsidRPr="00026EC1">
        <w:t>0,25</w:t>
      </w:r>
      <w:r w:rsidR="00A77285" w:rsidRPr="00026EC1">
        <w:t>)</w:t>
      </w:r>
      <w:r w:rsidR="00A73F98" w:rsidRPr="00026EC1">
        <w:t xml:space="preserve"> </w:t>
      </w:r>
      <w:r w:rsidR="00A77285" w:rsidRPr="00026EC1">
        <w:t>E</w:t>
      </w:r>
      <w:r w:rsidR="00A73F98" w:rsidRPr="00026EC1">
        <w:t>TC de l</w:t>
      </w:r>
      <w:r w:rsidR="00BC3319" w:rsidRPr="00026EC1">
        <w:t>’</w:t>
      </w:r>
      <w:r w:rsidR="00A73F98" w:rsidRPr="00026EC1">
        <w:t>allocation d</w:t>
      </w:r>
      <w:r w:rsidR="00BC3319" w:rsidRPr="00026EC1">
        <w:t>’</w:t>
      </w:r>
      <w:r w:rsidR="00A73F98" w:rsidRPr="00026EC1">
        <w:t>un poste impliqué, le poste est comblé en tant que charge à temps complet;</w:t>
      </w:r>
    </w:p>
    <w:p w14:paraId="00FD2FB8" w14:textId="1D892590" w:rsidR="00A73F98" w:rsidRPr="00026EC1" w:rsidRDefault="00275751" w:rsidP="007F120F">
      <w:pPr>
        <w:keepNext w:val="0"/>
        <w:tabs>
          <w:tab w:val="left" w:pos="1134"/>
        </w:tabs>
        <w:ind w:left="1134" w:hanging="566"/>
      </w:pPr>
      <w:r w:rsidRPr="00026EC1">
        <w:t>ii.</w:t>
      </w:r>
      <w:r w:rsidRPr="00026EC1">
        <w:tab/>
      </w:r>
      <w:r w:rsidR="00A77285" w:rsidRPr="00026EC1">
        <w:t>zéro virgule vingt</w:t>
      </w:r>
      <w:r w:rsidR="00984A6F">
        <w:noBreakHyphen/>
      </w:r>
      <w:r w:rsidR="00A77285" w:rsidRPr="00026EC1">
        <w:t>cinq</w:t>
      </w:r>
      <w:r w:rsidR="001167BD">
        <w:t> </w:t>
      </w:r>
      <w:r w:rsidR="00A77285" w:rsidRPr="00026EC1">
        <w:t>(</w:t>
      </w:r>
      <w:r w:rsidR="00A73F98" w:rsidRPr="00026EC1">
        <w:t>0,25</w:t>
      </w:r>
      <w:r w:rsidR="00A77285" w:rsidRPr="00026EC1">
        <w:t>)</w:t>
      </w:r>
      <w:r w:rsidR="00A73F98" w:rsidRPr="00026EC1">
        <w:t xml:space="preserve"> </w:t>
      </w:r>
      <w:r w:rsidR="00A77285" w:rsidRPr="00026EC1">
        <w:t>E</w:t>
      </w:r>
      <w:r w:rsidR="00A73F98" w:rsidRPr="00026EC1">
        <w:t>TC ou moins de l</w:t>
      </w:r>
      <w:r w:rsidR="00BC3319" w:rsidRPr="00026EC1">
        <w:t>’</w:t>
      </w:r>
      <w:r w:rsidR="00A73F98" w:rsidRPr="00026EC1">
        <w:t>allocation d</w:t>
      </w:r>
      <w:r w:rsidR="00BC3319" w:rsidRPr="00026EC1">
        <w:t>’</w:t>
      </w:r>
      <w:r w:rsidR="00A73F98" w:rsidRPr="00026EC1">
        <w:t>un poste impliqué, le poste est comblé en tant que poste.</w:t>
      </w:r>
    </w:p>
    <w:p w14:paraId="0C1C568D" w14:textId="77777777" w:rsidR="00A73F98" w:rsidRPr="00026EC1" w:rsidRDefault="00A73F98" w:rsidP="007F120F">
      <w:pPr>
        <w:keepNext w:val="0"/>
      </w:pPr>
    </w:p>
    <w:p w14:paraId="36311540" w14:textId="5541C992" w:rsidR="00A73F98" w:rsidRPr="00026EC1" w:rsidRDefault="00275751" w:rsidP="007F120F">
      <w:pPr>
        <w:keepNext w:val="0"/>
        <w:tabs>
          <w:tab w:val="left" w:pos="567"/>
        </w:tabs>
        <w:ind w:left="567" w:hanging="567"/>
      </w:pPr>
      <w:r w:rsidRPr="00026EC1">
        <w:t>6.</w:t>
      </w:r>
      <w:r w:rsidRPr="00026EC1">
        <w:tab/>
      </w:r>
      <w:r w:rsidR="00A73F98" w:rsidRPr="00026EC1">
        <w:t>Sous réserve d</w:t>
      </w:r>
      <w:r w:rsidR="00BC3319" w:rsidRPr="00026EC1">
        <w:t>’</w:t>
      </w:r>
      <w:r w:rsidR="00A73F98" w:rsidRPr="00026EC1">
        <w:t>une situation d</w:t>
      </w:r>
      <w:r w:rsidR="00BC3319" w:rsidRPr="00026EC1">
        <w:t>’</w:t>
      </w:r>
      <w:r w:rsidR="00A73F98" w:rsidRPr="00026EC1">
        <w:t>annulation ou d</w:t>
      </w:r>
      <w:r w:rsidR="00BC3319" w:rsidRPr="00026EC1">
        <w:t>’</w:t>
      </w:r>
      <w:r w:rsidR="00A73F98" w:rsidRPr="00026EC1">
        <w:t>évitement d</w:t>
      </w:r>
      <w:r w:rsidR="00BC3319" w:rsidRPr="00026EC1">
        <w:t>’</w:t>
      </w:r>
      <w:r w:rsidR="00A73F98" w:rsidRPr="00026EC1">
        <w:t>une mise en disponibilité, les charges à pourvoir sont comblées distinctement au Centre d</w:t>
      </w:r>
      <w:r w:rsidR="00BC3319" w:rsidRPr="00026EC1">
        <w:t>’</w:t>
      </w:r>
      <w:r w:rsidR="00A73F98" w:rsidRPr="00026EC1">
        <w:t xml:space="preserve">études collégiales </w:t>
      </w:r>
      <w:r w:rsidR="002A25BE" w:rsidRPr="00026EC1">
        <w:t>de</w:t>
      </w:r>
      <w:r w:rsidR="00A73F98" w:rsidRPr="00026EC1">
        <w:t xml:space="preserve"> Lac</w:t>
      </w:r>
      <w:r w:rsidR="00984A6F">
        <w:noBreakHyphen/>
      </w:r>
      <w:r w:rsidR="00A73F98" w:rsidRPr="00026EC1">
        <w:t>Mégantic et au Cégep Beauce</w:t>
      </w:r>
      <w:r w:rsidR="00984A6F">
        <w:noBreakHyphen/>
      </w:r>
      <w:r w:rsidR="00A73F98" w:rsidRPr="00026EC1">
        <w:t>Appalaches.</w:t>
      </w:r>
    </w:p>
    <w:p w14:paraId="36CAAED0" w14:textId="77777777" w:rsidR="00032839" w:rsidRPr="00026EC1" w:rsidRDefault="00032839" w:rsidP="007F120F">
      <w:pPr>
        <w:keepNext w:val="0"/>
        <w:ind w:left="567" w:hanging="567"/>
      </w:pPr>
    </w:p>
    <w:p w14:paraId="18A12646" w14:textId="2C74ED91" w:rsidR="00CA3C02" w:rsidRPr="00026EC1" w:rsidRDefault="00275751" w:rsidP="007F120F">
      <w:pPr>
        <w:keepNext w:val="0"/>
        <w:tabs>
          <w:tab w:val="left" w:pos="567"/>
        </w:tabs>
        <w:ind w:left="567" w:hanging="567"/>
      </w:pPr>
      <w:r w:rsidRPr="00026EC1">
        <w:t>7.</w:t>
      </w:r>
      <w:r w:rsidRPr="00026EC1">
        <w:tab/>
      </w:r>
      <w:r w:rsidR="00A73F98" w:rsidRPr="00026EC1">
        <w:t>Conformément à la lettre d</w:t>
      </w:r>
      <w:r w:rsidR="00BC3319" w:rsidRPr="00026EC1">
        <w:t>’</w:t>
      </w:r>
      <w:r w:rsidR="00A73F98" w:rsidRPr="00026EC1">
        <w:t>entente 2005</w:t>
      </w:r>
      <w:r w:rsidR="00984A6F">
        <w:noBreakHyphen/>
      </w:r>
      <w:r w:rsidR="00A73F98" w:rsidRPr="00026EC1">
        <w:t>2010 numéro</w:t>
      </w:r>
      <w:r w:rsidR="00C6718B">
        <w:t> </w:t>
      </w:r>
      <w:r w:rsidR="00A73F98" w:rsidRPr="00026EC1">
        <w:t>11, aux fins d</w:t>
      </w:r>
      <w:r w:rsidR="00BC3319" w:rsidRPr="00026EC1">
        <w:t>’</w:t>
      </w:r>
      <w:r w:rsidR="00A73F98" w:rsidRPr="00026EC1">
        <w:t>application et d</w:t>
      </w:r>
      <w:r w:rsidR="00BC3319" w:rsidRPr="00026EC1">
        <w:t>’</w:t>
      </w:r>
      <w:r w:rsidR="00A73F98" w:rsidRPr="00026EC1">
        <w:t>interprétation de l</w:t>
      </w:r>
      <w:r w:rsidR="00BC3319" w:rsidRPr="00026EC1">
        <w:t>’</w:t>
      </w:r>
      <w:r w:rsidR="00A73F98" w:rsidRPr="00026EC1">
        <w:t>article</w:t>
      </w:r>
      <w:r w:rsidR="00625962" w:rsidRPr="00026EC1">
        <w:t> </w:t>
      </w:r>
      <w:r w:rsidR="00A73F98" w:rsidRPr="00026EC1">
        <w:t>5</w:t>
      </w:r>
      <w:r w:rsidR="00984A6F">
        <w:noBreakHyphen/>
      </w:r>
      <w:r w:rsidR="00A73F98" w:rsidRPr="00026EC1">
        <w:t>4.00, l</w:t>
      </w:r>
      <w:r w:rsidR="00BC3319" w:rsidRPr="00026EC1">
        <w:t>’</w:t>
      </w:r>
      <w:r w:rsidR="00A73F98" w:rsidRPr="00026EC1">
        <w:t>ancienneté se cumule de façon distincte au Centre d</w:t>
      </w:r>
      <w:r w:rsidR="00BC3319" w:rsidRPr="00026EC1">
        <w:t>’</w:t>
      </w:r>
      <w:r w:rsidR="00A73F98" w:rsidRPr="00026EC1">
        <w:t xml:space="preserve">études collégiales </w:t>
      </w:r>
      <w:r w:rsidR="002A25BE" w:rsidRPr="00026EC1">
        <w:t>de</w:t>
      </w:r>
      <w:r w:rsidR="00A73F98" w:rsidRPr="00026EC1">
        <w:t xml:space="preserve"> Lac</w:t>
      </w:r>
      <w:r w:rsidR="00984A6F">
        <w:noBreakHyphen/>
      </w:r>
      <w:r w:rsidR="00A73F98" w:rsidRPr="00026EC1">
        <w:t>Mégantic et au Cégep Beauce</w:t>
      </w:r>
      <w:r w:rsidR="00984A6F">
        <w:noBreakHyphen/>
      </w:r>
      <w:r w:rsidR="00A73F98" w:rsidRPr="00026EC1">
        <w:t>Appalaches.</w:t>
      </w:r>
    </w:p>
    <w:p w14:paraId="7946148E" w14:textId="77777777" w:rsidR="00CC6E40" w:rsidRPr="00026EC1" w:rsidRDefault="00CC6E40" w:rsidP="007F120F">
      <w:pPr>
        <w:pStyle w:val="Texte1cm00000"/>
        <w:keepNext w:val="0"/>
      </w:pPr>
    </w:p>
    <w:p w14:paraId="108F9695" w14:textId="0C0FAF0D" w:rsidR="00A73F98" w:rsidRPr="00026EC1" w:rsidRDefault="00A73F98" w:rsidP="007F120F">
      <w:pPr>
        <w:pStyle w:val="Texte1cm00000"/>
        <w:keepNext w:val="0"/>
      </w:pPr>
      <w:r w:rsidRPr="00026EC1">
        <w:t>Une enseignante ou un enseignant qui détenait, à la signature de la lettre d</w:t>
      </w:r>
      <w:r w:rsidR="00BC3319" w:rsidRPr="00026EC1">
        <w:t>’</w:t>
      </w:r>
      <w:r w:rsidRPr="00026EC1">
        <w:t>entente 2005</w:t>
      </w:r>
      <w:r w:rsidR="00984A6F">
        <w:noBreakHyphen/>
      </w:r>
      <w:r w:rsidRPr="00026EC1">
        <w:t>2010 numéro</w:t>
      </w:r>
      <w:r w:rsidR="00C6718B">
        <w:t> </w:t>
      </w:r>
      <w:r w:rsidRPr="00026EC1">
        <w:t>11, une priorité selon la clause</w:t>
      </w:r>
      <w:r w:rsidR="00625962" w:rsidRPr="00026EC1">
        <w:t> </w:t>
      </w:r>
      <w:r w:rsidRPr="00026EC1">
        <w:t>5</w:t>
      </w:r>
      <w:r w:rsidR="00984A6F">
        <w:noBreakHyphen/>
      </w:r>
      <w:r w:rsidRPr="00026EC1">
        <w:t>4.17, peut exercer cette priorité d</w:t>
      </w:r>
      <w:r w:rsidR="00BC3319" w:rsidRPr="00026EC1">
        <w:t>’</w:t>
      </w:r>
      <w:r w:rsidRPr="00026EC1">
        <w:t>engagement, à son choix, soit au Cégep Beauce</w:t>
      </w:r>
      <w:r w:rsidR="00984A6F">
        <w:noBreakHyphen/>
      </w:r>
      <w:r w:rsidRPr="00026EC1">
        <w:t>Appalaches, soit au Centre d</w:t>
      </w:r>
      <w:r w:rsidR="00BC3319" w:rsidRPr="00026EC1">
        <w:t>’</w:t>
      </w:r>
      <w:r w:rsidRPr="00026EC1">
        <w:t xml:space="preserve">études collégiales </w:t>
      </w:r>
      <w:r w:rsidR="002A25BE" w:rsidRPr="00026EC1">
        <w:t>de</w:t>
      </w:r>
      <w:r w:rsidRPr="00026EC1">
        <w:t xml:space="preserve"> Lac</w:t>
      </w:r>
      <w:r w:rsidR="00984A6F">
        <w:noBreakHyphen/>
      </w:r>
      <w:r w:rsidRPr="00026EC1">
        <w:t>Mégantic</w:t>
      </w:r>
      <w:r w:rsidR="004F6CDD" w:rsidRPr="00026EC1">
        <w:t>,</w:t>
      </w:r>
      <w:r w:rsidRPr="00026EC1">
        <w:t xml:space="preserve"> et ce, jusqu</w:t>
      </w:r>
      <w:r w:rsidR="00BC3319" w:rsidRPr="00026EC1">
        <w:t>’</w:t>
      </w:r>
      <w:r w:rsidRPr="00026EC1">
        <w:t>à l</w:t>
      </w:r>
      <w:r w:rsidR="00BC3319" w:rsidRPr="00026EC1">
        <w:t>’</w:t>
      </w:r>
      <w:r w:rsidRPr="00026EC1">
        <w:t>expiration de cette priorité selon les conditions prévues à la clause</w:t>
      </w:r>
      <w:r w:rsidR="00625962" w:rsidRPr="00026EC1">
        <w:t> </w:t>
      </w:r>
      <w:r w:rsidRPr="00026EC1">
        <w:t>5</w:t>
      </w:r>
      <w:r w:rsidR="00984A6F">
        <w:noBreakHyphen/>
      </w:r>
      <w:r w:rsidRPr="00026EC1">
        <w:t>4.17.</w:t>
      </w:r>
    </w:p>
    <w:p w14:paraId="6F908381" w14:textId="77777777" w:rsidR="00A73F98" w:rsidRPr="00026EC1" w:rsidRDefault="00A73F98" w:rsidP="007F120F">
      <w:pPr>
        <w:pStyle w:val="Texte1cm00000"/>
        <w:keepNext w:val="0"/>
      </w:pPr>
    </w:p>
    <w:p w14:paraId="1611E09B" w14:textId="0020B12E" w:rsidR="00A73F98" w:rsidRPr="00026EC1" w:rsidRDefault="00A73F98" w:rsidP="007F120F">
      <w:pPr>
        <w:pStyle w:val="Texte2cm"/>
        <w:keepNext w:val="0"/>
        <w:ind w:left="567" w:hanging="567"/>
      </w:pPr>
      <w:r w:rsidRPr="00026EC1">
        <w:t>8.</w:t>
      </w:r>
      <w:r w:rsidRPr="00026EC1">
        <w:tab/>
        <w:t>Attendu la reconnaissance officielle du statut de centre d</w:t>
      </w:r>
      <w:r w:rsidR="00BC3319" w:rsidRPr="00026EC1">
        <w:t>’</w:t>
      </w:r>
      <w:r w:rsidRPr="00026EC1">
        <w:t>études collégiales à compter du 1</w:t>
      </w:r>
      <w:r w:rsidRPr="00026EC1">
        <w:rPr>
          <w:vertAlign w:val="superscript"/>
        </w:rPr>
        <w:t>er</w:t>
      </w:r>
      <w:r w:rsidR="00C6718B">
        <w:t> </w:t>
      </w:r>
      <w:r w:rsidRPr="00026EC1">
        <w:t>juillet</w:t>
      </w:r>
      <w:r w:rsidR="00C6718B">
        <w:t> </w:t>
      </w:r>
      <w:r w:rsidRPr="00026EC1">
        <w:t>2008;</w:t>
      </w:r>
    </w:p>
    <w:p w14:paraId="46E24DC9" w14:textId="77777777" w:rsidR="00A73F98" w:rsidRPr="00026EC1" w:rsidRDefault="00A73F98" w:rsidP="007F120F">
      <w:pPr>
        <w:pStyle w:val="Texte2cm"/>
        <w:keepNext w:val="0"/>
        <w:ind w:hanging="567"/>
      </w:pPr>
    </w:p>
    <w:p w14:paraId="06E804B2" w14:textId="26944D44" w:rsidR="00A73F98" w:rsidRPr="00026EC1" w:rsidRDefault="00A73F98" w:rsidP="00D430AC">
      <w:pPr>
        <w:pStyle w:val="Texte1cm00000"/>
        <w:keepNext w:val="0"/>
      </w:pPr>
      <w:r w:rsidRPr="00026EC1">
        <w:t>en application du point</w:t>
      </w:r>
      <w:r w:rsidR="00C6718B">
        <w:t> </w:t>
      </w:r>
      <w:r w:rsidRPr="00026EC1">
        <w:t>6. des lettres d</w:t>
      </w:r>
      <w:r w:rsidR="00BC3319" w:rsidRPr="00026EC1">
        <w:t>’</w:t>
      </w:r>
      <w:r w:rsidRPr="00026EC1">
        <w:t>entente 2000</w:t>
      </w:r>
      <w:r w:rsidR="00984A6F">
        <w:noBreakHyphen/>
      </w:r>
      <w:r w:rsidRPr="00026EC1">
        <w:t>2002 numéro</w:t>
      </w:r>
      <w:r w:rsidR="00C6718B">
        <w:t> </w:t>
      </w:r>
      <w:r w:rsidRPr="00026EC1">
        <w:t>12, 2000</w:t>
      </w:r>
      <w:r w:rsidR="00984A6F">
        <w:noBreakHyphen/>
      </w:r>
      <w:r w:rsidRPr="00026EC1">
        <w:t>2002 numéro</w:t>
      </w:r>
      <w:r w:rsidR="00A50397" w:rsidRPr="00026EC1">
        <w:t> </w:t>
      </w:r>
      <w:r w:rsidRPr="00026EC1">
        <w:t>21, 2005</w:t>
      </w:r>
      <w:r w:rsidR="00984A6F">
        <w:noBreakHyphen/>
      </w:r>
      <w:r w:rsidRPr="00026EC1">
        <w:t>2010 numéro 05 ainsi que de l</w:t>
      </w:r>
      <w:r w:rsidR="00BC3319" w:rsidRPr="00026EC1">
        <w:t>’</w:t>
      </w:r>
      <w:r w:rsidR="00A50397" w:rsidRPr="00026EC1">
        <w:t>A</w:t>
      </w:r>
      <w:r w:rsidRPr="00026EC1">
        <w:t>nnexe</w:t>
      </w:r>
      <w:r w:rsidR="00BE5AC1" w:rsidRPr="00026EC1">
        <w:t> </w:t>
      </w:r>
      <w:r w:rsidRPr="00026EC1">
        <w:t>III</w:t>
      </w:r>
      <w:r w:rsidR="00984A6F">
        <w:noBreakHyphen/>
      </w:r>
      <w:r w:rsidRPr="00026EC1">
        <w:t>9 de la convention collective</w:t>
      </w:r>
      <w:r w:rsidR="00747056">
        <w:t> </w:t>
      </w:r>
      <w:r w:rsidRPr="00026EC1">
        <w:t>2005</w:t>
      </w:r>
      <w:r w:rsidR="00984A6F">
        <w:noBreakHyphen/>
      </w:r>
      <w:r w:rsidRPr="00026EC1">
        <w:t>2010, les parties reconnaissent que les personnes</w:t>
      </w:r>
      <w:r w:rsidR="00CA3C02" w:rsidRPr="00026EC1">
        <w:t>,</w:t>
      </w:r>
      <w:r w:rsidRPr="00026EC1">
        <w:t xml:space="preserve"> dont le nom figure au point</w:t>
      </w:r>
      <w:r w:rsidR="00747056">
        <w:t> </w:t>
      </w:r>
      <w:r w:rsidRPr="00026EC1">
        <w:t>8. de la lettre d</w:t>
      </w:r>
      <w:r w:rsidR="00BC3319" w:rsidRPr="00026EC1">
        <w:t>’</w:t>
      </w:r>
      <w:r w:rsidRPr="00026EC1">
        <w:t>entente 2005</w:t>
      </w:r>
      <w:r w:rsidR="00984A6F">
        <w:noBreakHyphen/>
      </w:r>
      <w:r w:rsidRPr="00026EC1">
        <w:t>2010 numéro 11, ont occupé un poste lors des années qui y sont spécifiées.</w:t>
      </w:r>
    </w:p>
    <w:p w14:paraId="31B8D515" w14:textId="69AEDB1D" w:rsidR="00404F34" w:rsidRPr="00026EC1" w:rsidRDefault="00C60B50" w:rsidP="00A25029">
      <w:pPr>
        <w:pStyle w:val="Heading3"/>
      </w:pPr>
      <w:bookmarkStart w:id="1336" w:name="_Toc133760869"/>
      <w:bookmarkStart w:id="1337" w:name="_Toc133917017"/>
      <w:bookmarkStart w:id="1338" w:name="_Toc134437291"/>
      <w:bookmarkStart w:id="1339" w:name="_Toc393449455"/>
      <w:bookmarkStart w:id="1340" w:name="_Toc535046698"/>
      <w:r w:rsidRPr="00026EC1">
        <w:br w:type="page"/>
      </w:r>
      <w:bookmarkEnd w:id="1336"/>
      <w:bookmarkEnd w:id="1337"/>
      <w:bookmarkEnd w:id="1338"/>
      <w:bookmarkEnd w:id="1339"/>
    </w:p>
    <w:p w14:paraId="1AD3609F" w14:textId="07B0D3FA" w:rsidR="007957AC" w:rsidRPr="00A25029" w:rsidRDefault="00FE34AD" w:rsidP="007F120F">
      <w:pPr>
        <w:pStyle w:val="Heading3"/>
        <w:keepNext w:val="0"/>
      </w:pPr>
      <w:bookmarkStart w:id="1341" w:name="_Toc393449459"/>
      <w:bookmarkStart w:id="1342" w:name="_Toc462751584"/>
      <w:bookmarkStart w:id="1343" w:name="_Toc484082601"/>
      <w:bookmarkStart w:id="1344" w:name="_Toc168479602"/>
      <w:r w:rsidRPr="00026EC1">
        <w:t>Annexe III</w:t>
      </w:r>
      <w:r w:rsidR="00747056">
        <w:t>-</w:t>
      </w:r>
      <w:r w:rsidR="00010924" w:rsidRPr="00316277">
        <w:t>9</w:t>
      </w:r>
      <w:r w:rsidRPr="00A25029">
        <w:br/>
      </w:r>
      <w:r w:rsidRPr="00A25029">
        <w:br/>
      </w:r>
      <w:bookmarkStart w:id="1345" w:name="_Toc531486722"/>
      <w:bookmarkStart w:id="1346" w:name="_Toc133833427"/>
      <w:bookmarkStart w:id="1347" w:name="_Toc133902584"/>
      <w:bookmarkStart w:id="1348" w:name="_Toc203292824"/>
      <w:r w:rsidRPr="00A25029">
        <w:t>Annexe relative au Collège de l’Abitibi</w:t>
      </w:r>
      <w:r w:rsidR="002F5A0C">
        <w:t>-</w:t>
      </w:r>
      <w:r w:rsidRPr="00A25029">
        <w:t>Témiscamingue</w:t>
      </w:r>
      <w:bookmarkEnd w:id="1341"/>
      <w:bookmarkEnd w:id="1342"/>
      <w:bookmarkEnd w:id="1343"/>
      <w:bookmarkEnd w:id="1344"/>
      <w:bookmarkEnd w:id="1345"/>
      <w:bookmarkEnd w:id="1346"/>
      <w:bookmarkEnd w:id="1347"/>
      <w:bookmarkEnd w:id="1348"/>
    </w:p>
    <w:p w14:paraId="3E6C4E17" w14:textId="28ED8DF1" w:rsidR="0097428C" w:rsidRDefault="00275751" w:rsidP="007F120F">
      <w:pPr>
        <w:keepNext w:val="0"/>
        <w:tabs>
          <w:tab w:val="left" w:pos="567"/>
        </w:tabs>
        <w:ind w:left="567" w:hanging="567"/>
        <w:rPr>
          <w:szCs w:val="22"/>
        </w:rPr>
      </w:pPr>
      <w:r w:rsidRPr="00A25029">
        <w:t>01.</w:t>
      </w:r>
      <w:r w:rsidRPr="00A25029">
        <w:tab/>
      </w:r>
      <w:r w:rsidR="00340CDA" w:rsidRPr="00A25029">
        <w:t xml:space="preserve">Le Ministère </w:t>
      </w:r>
      <w:r w:rsidR="00E46024" w:rsidRPr="00A25029">
        <w:t xml:space="preserve">s’engage à </w:t>
      </w:r>
      <w:r w:rsidR="00340CDA" w:rsidRPr="00A25029">
        <w:t>alloue</w:t>
      </w:r>
      <w:r w:rsidR="00BE243F" w:rsidRPr="00A25029">
        <w:t>r</w:t>
      </w:r>
      <w:r w:rsidR="00340CDA" w:rsidRPr="00A25029">
        <w:t xml:space="preserve"> </w:t>
      </w:r>
      <w:r w:rsidR="006271B0" w:rsidRPr="00A25029">
        <w:t>annuellement au Collège de l</w:t>
      </w:r>
      <w:r w:rsidR="00BC3319" w:rsidRPr="00A25029">
        <w:t>’</w:t>
      </w:r>
      <w:r w:rsidR="006271B0" w:rsidRPr="00A25029">
        <w:t>Abitibi</w:t>
      </w:r>
      <w:r w:rsidR="00984A6F">
        <w:noBreakHyphen/>
      </w:r>
      <w:r w:rsidR="006271B0" w:rsidRPr="00A25029">
        <w:t>Témiscamingue</w:t>
      </w:r>
      <w:r w:rsidR="00B56242" w:rsidRPr="00A25029">
        <w:t xml:space="preserve"> le montant prévu à l’annexe budgétaire E103 </w:t>
      </w:r>
      <w:r w:rsidR="009A12B5" w:rsidRPr="00A25029">
        <w:t>« </w:t>
      </w:r>
      <w:r w:rsidR="00B56242" w:rsidRPr="00A25029">
        <w:rPr>
          <w:color w:val="000000"/>
        </w:rPr>
        <w:t>Financement des coûts de convention des enseignantes ou des enseignants</w:t>
      </w:r>
      <w:r w:rsidR="009A12B5" w:rsidRPr="00A25029">
        <w:rPr>
          <w:color w:val="000000"/>
        </w:rPr>
        <w:t> »</w:t>
      </w:r>
      <w:r w:rsidR="00B56242" w:rsidRPr="00A25029">
        <w:rPr>
          <w:color w:val="000000"/>
        </w:rPr>
        <w:t xml:space="preserve"> </w:t>
      </w:r>
      <w:r w:rsidR="00B56242" w:rsidRPr="00A25029">
        <w:t xml:space="preserve">aux fins d’application de l’entente locale sur l’organisation de </w:t>
      </w:r>
      <w:r w:rsidR="00B56242" w:rsidRPr="00A25029">
        <w:rPr>
          <w:szCs w:val="22"/>
        </w:rPr>
        <w:t xml:space="preserve">l’enseignement régulier en contexte de régionalisation. </w:t>
      </w:r>
      <w:r w:rsidR="0097428C" w:rsidRPr="00A25029">
        <w:rPr>
          <w:szCs w:val="22"/>
        </w:rPr>
        <w:t>Cet engagement prévoit que ce montant est indexé annuellement par le Ministère selon le taux d’indexation des autres coûts prévu dans le Régime budgétaire et financier en vigueur.</w:t>
      </w:r>
    </w:p>
    <w:p w14:paraId="46EBCF71" w14:textId="77777777" w:rsidR="002C0DFA" w:rsidRDefault="002C0DFA" w:rsidP="007F120F">
      <w:pPr>
        <w:keepNext w:val="0"/>
        <w:tabs>
          <w:tab w:val="left" w:pos="567"/>
        </w:tabs>
        <w:ind w:left="567" w:hanging="567"/>
      </w:pPr>
    </w:p>
    <w:p w14:paraId="0840E9EA" w14:textId="771150CC" w:rsidR="006271B0" w:rsidRPr="00026EC1" w:rsidRDefault="00275751" w:rsidP="007F120F">
      <w:pPr>
        <w:keepNext w:val="0"/>
        <w:tabs>
          <w:tab w:val="left" w:pos="567"/>
        </w:tabs>
        <w:ind w:left="567" w:hanging="567"/>
      </w:pPr>
      <w:r w:rsidRPr="00026EC1">
        <w:t>02.</w:t>
      </w:r>
      <w:r w:rsidRPr="00026EC1">
        <w:tab/>
      </w:r>
      <w:r w:rsidR="006271B0" w:rsidRPr="00026EC1">
        <w:t>Ce montant peut, par entente entre les parties, être transformé en</w:t>
      </w:r>
      <w:r w:rsidR="00CE5B4C" w:rsidRPr="00026EC1">
        <w:t xml:space="preserve"> nombre d’</w:t>
      </w:r>
      <w:r w:rsidR="006271B0" w:rsidRPr="00026EC1">
        <w:t>enseignante</w:t>
      </w:r>
      <w:r w:rsidR="00CE5B4C" w:rsidRPr="00026EC1">
        <w:t>s</w:t>
      </w:r>
      <w:r w:rsidR="006271B0" w:rsidRPr="00026EC1">
        <w:t xml:space="preserve"> ou enseignant</w:t>
      </w:r>
      <w:r w:rsidR="00CE5B4C" w:rsidRPr="00026EC1">
        <w:t>s</w:t>
      </w:r>
      <w:r w:rsidR="006271B0" w:rsidRPr="00026EC1">
        <w:t xml:space="preserve"> à temps complet ou </w:t>
      </w:r>
      <w:r w:rsidR="00CE5B4C" w:rsidRPr="00026EC1">
        <w:t>l’</w:t>
      </w:r>
      <w:r w:rsidR="006271B0" w:rsidRPr="00026EC1">
        <w:t>équivalent (ETC). À cette fin, la valeur d</w:t>
      </w:r>
      <w:r w:rsidR="00BC3319" w:rsidRPr="00026EC1">
        <w:t>’</w:t>
      </w:r>
      <w:r w:rsidR="006271B0" w:rsidRPr="00026EC1">
        <w:t>un (1) ETC est de cinquante</w:t>
      </w:r>
      <w:r w:rsidR="00984A6F">
        <w:noBreakHyphen/>
      </w:r>
      <w:r w:rsidR="006271B0" w:rsidRPr="00026EC1">
        <w:t>cinq mille cinq cent</w:t>
      </w:r>
      <w:r w:rsidR="00BC5A44" w:rsidRPr="00026EC1">
        <w:t>s</w:t>
      </w:r>
      <w:r w:rsidR="006271B0" w:rsidRPr="00026EC1">
        <w:t xml:space="preserve"> dollars (55 500</w:t>
      </w:r>
      <w:r w:rsidR="00D8581B">
        <w:t> $</w:t>
      </w:r>
      <w:r w:rsidR="006271B0" w:rsidRPr="00026EC1">
        <w:t>). Ce montant est majoré selon les mêmes paramètres et aux mêmes dates que les augmentations apportées aux échelles de traitement de l</w:t>
      </w:r>
      <w:r w:rsidR="00BC3319" w:rsidRPr="00026EC1">
        <w:t>’</w:t>
      </w:r>
      <w:r w:rsidR="00A50397" w:rsidRPr="00026EC1">
        <w:t>A</w:t>
      </w:r>
      <w:r w:rsidR="006271B0" w:rsidRPr="00026EC1">
        <w:t>nnexe VI</w:t>
      </w:r>
      <w:r w:rsidR="00984A6F">
        <w:noBreakHyphen/>
      </w:r>
      <w:r w:rsidR="006271B0" w:rsidRPr="00026EC1">
        <w:t>1.</w:t>
      </w:r>
    </w:p>
    <w:p w14:paraId="3D5A7446" w14:textId="77777777" w:rsidR="006271B0" w:rsidRPr="00026EC1" w:rsidRDefault="006271B0" w:rsidP="007F120F">
      <w:pPr>
        <w:keepNext w:val="0"/>
      </w:pPr>
    </w:p>
    <w:p w14:paraId="522B7918" w14:textId="072EDB68" w:rsidR="007957AC" w:rsidRPr="00026EC1" w:rsidRDefault="00275751" w:rsidP="007F120F">
      <w:pPr>
        <w:keepNext w:val="0"/>
        <w:tabs>
          <w:tab w:val="left" w:pos="567"/>
        </w:tabs>
        <w:ind w:left="567" w:hanging="567"/>
      </w:pPr>
      <w:r w:rsidRPr="00026EC1">
        <w:t>03.</w:t>
      </w:r>
      <w:r w:rsidRPr="00026EC1">
        <w:tab/>
      </w:r>
      <w:r w:rsidR="006271B0" w:rsidRPr="00026EC1">
        <w:t>Aux fins d</w:t>
      </w:r>
      <w:r w:rsidR="00BC3319" w:rsidRPr="00026EC1">
        <w:t>’</w:t>
      </w:r>
      <w:r w:rsidR="006271B0" w:rsidRPr="00026EC1">
        <w:t>application de l</w:t>
      </w:r>
      <w:r w:rsidR="00BC3319" w:rsidRPr="00026EC1">
        <w:t>’</w:t>
      </w:r>
      <w:r w:rsidR="006271B0" w:rsidRPr="00026EC1">
        <w:t>entente locale sur l</w:t>
      </w:r>
      <w:r w:rsidR="00BC3319" w:rsidRPr="00026EC1">
        <w:t>’</w:t>
      </w:r>
      <w:r w:rsidR="006271B0" w:rsidRPr="00026EC1">
        <w:t>organisation de l</w:t>
      </w:r>
      <w:r w:rsidR="00BC3319" w:rsidRPr="00026EC1">
        <w:t>’</w:t>
      </w:r>
      <w:r w:rsidR="006271B0" w:rsidRPr="00026EC1">
        <w:t>enseignement régulier en contexte de régionalisation, une allocation de deux virgule quatre</w:t>
      </w:r>
      <w:r w:rsidR="00984A6F">
        <w:noBreakHyphen/>
      </w:r>
      <w:r w:rsidR="006271B0" w:rsidRPr="00026EC1">
        <w:t>vingt</w:t>
      </w:r>
      <w:r w:rsidR="00984A6F">
        <w:noBreakHyphen/>
      </w:r>
      <w:r w:rsidR="006271B0" w:rsidRPr="00026EC1">
        <w:t>cinq (2,85) ETC est accordée au Collège de l</w:t>
      </w:r>
      <w:r w:rsidR="00BC3319" w:rsidRPr="00026EC1">
        <w:t>’</w:t>
      </w:r>
      <w:r w:rsidR="006271B0" w:rsidRPr="00026EC1">
        <w:t>Abitibi</w:t>
      </w:r>
      <w:r w:rsidR="00984A6F">
        <w:noBreakHyphen/>
      </w:r>
      <w:r w:rsidR="006271B0" w:rsidRPr="00026EC1">
        <w:t xml:space="preserve">Témiscamingue aux fins des temps de déplacement. Cette allocation est prise en compte dans </w:t>
      </w:r>
      <w:r w:rsidR="006271B0" w:rsidRPr="00A25029">
        <w:t>l</w:t>
      </w:r>
      <w:r w:rsidR="00BC3319" w:rsidRPr="00A25029">
        <w:t>’</w:t>
      </w:r>
      <w:r w:rsidR="006271B0" w:rsidRPr="00A25029">
        <w:t xml:space="preserve">application du </w:t>
      </w:r>
      <w:r w:rsidR="00E1739A" w:rsidRPr="00A25029">
        <w:t>premier</w:t>
      </w:r>
      <w:r w:rsidR="006271B0" w:rsidRPr="00A25029">
        <w:t> (</w:t>
      </w:r>
      <w:r w:rsidR="00CA1F98" w:rsidRPr="00A25029">
        <w:t>1</w:t>
      </w:r>
      <w:r w:rsidR="00CA1F98" w:rsidRPr="00A25029">
        <w:rPr>
          <w:vertAlign w:val="superscript"/>
        </w:rPr>
        <w:t>er</w:t>
      </w:r>
      <w:r w:rsidR="006271B0" w:rsidRPr="00A25029">
        <w:t xml:space="preserve">) paragraphe de </w:t>
      </w:r>
      <w:r w:rsidR="00806FBC" w:rsidRPr="00A25029">
        <w:t xml:space="preserve">l’alinéa a) de </w:t>
      </w:r>
      <w:r w:rsidR="006271B0" w:rsidRPr="00A25029">
        <w:t>la clause 8</w:t>
      </w:r>
      <w:r w:rsidR="00984A6F">
        <w:noBreakHyphen/>
      </w:r>
      <w:r w:rsidR="00515C2F" w:rsidRPr="00A25029">
        <w:t>5.04.</w:t>
      </w:r>
    </w:p>
    <w:p w14:paraId="68D17B7D" w14:textId="25C0D771" w:rsidR="005663FB" w:rsidRPr="00026EC1" w:rsidRDefault="00404F34" w:rsidP="007F120F">
      <w:pPr>
        <w:pStyle w:val="Heading3"/>
        <w:keepNext w:val="0"/>
        <w:rPr>
          <w:bCs/>
        </w:rPr>
      </w:pPr>
      <w:r w:rsidRPr="00026EC1">
        <w:rPr>
          <w:bCs/>
        </w:rPr>
        <w:br w:type="page"/>
      </w:r>
      <w:bookmarkStart w:id="1349" w:name="_Toc393449461"/>
      <w:bookmarkStart w:id="1350" w:name="_Toc462751586"/>
      <w:bookmarkStart w:id="1351" w:name="_Toc484082603"/>
      <w:bookmarkStart w:id="1352" w:name="_Toc168479603"/>
      <w:bookmarkStart w:id="1353" w:name="_Toc393449463"/>
      <w:r w:rsidR="005663FB" w:rsidRPr="00026EC1">
        <w:t>Annexe III</w:t>
      </w:r>
      <w:r w:rsidR="002F5A0C">
        <w:t>-</w:t>
      </w:r>
      <w:r w:rsidR="00F738A5" w:rsidRPr="00A25029">
        <w:t>1</w:t>
      </w:r>
      <w:r w:rsidR="00D0725F" w:rsidRPr="00316277">
        <w:t>0</w:t>
      </w:r>
      <w:r w:rsidR="005663FB" w:rsidRPr="00026EC1">
        <w:br/>
      </w:r>
      <w:r w:rsidR="005663FB" w:rsidRPr="00026EC1">
        <w:br/>
      </w:r>
      <w:r w:rsidR="005663FB" w:rsidRPr="00003DA6">
        <w:t>Annexe relative au centre linguistique du collège de Jonquière</w:t>
      </w:r>
      <w:bookmarkEnd w:id="1349"/>
      <w:bookmarkEnd w:id="1350"/>
      <w:bookmarkEnd w:id="1351"/>
      <w:bookmarkEnd w:id="1352"/>
    </w:p>
    <w:p w14:paraId="477B4838" w14:textId="77777777" w:rsidR="005663FB" w:rsidRPr="00026EC1" w:rsidRDefault="005663FB" w:rsidP="007F120F">
      <w:pPr>
        <w:keepNext w:val="0"/>
        <w:tabs>
          <w:tab w:val="left" w:pos="567"/>
        </w:tabs>
        <w:ind w:left="567" w:hanging="567"/>
      </w:pPr>
      <w:r w:rsidRPr="00026EC1">
        <w:t>01.</w:t>
      </w:r>
      <w:r w:rsidRPr="00026EC1">
        <w:tab/>
        <w:t>La présente annexe définit certaines conditions particulières de travail des enseignantes et enseignants à temps complet engagés pour enseigner au centre linguistique du Collège de Jonquière.</w:t>
      </w:r>
    </w:p>
    <w:p w14:paraId="5F8E7611" w14:textId="77777777" w:rsidR="005663FB" w:rsidRPr="00026EC1" w:rsidRDefault="005663FB" w:rsidP="007F120F">
      <w:pPr>
        <w:keepNext w:val="0"/>
      </w:pPr>
    </w:p>
    <w:p w14:paraId="77544F53" w14:textId="77777777" w:rsidR="005663FB" w:rsidRPr="00026EC1" w:rsidRDefault="005663FB" w:rsidP="007F120F">
      <w:pPr>
        <w:keepNext w:val="0"/>
        <w:tabs>
          <w:tab w:val="left" w:pos="567"/>
        </w:tabs>
        <w:ind w:left="567" w:hanging="567"/>
      </w:pPr>
      <w:r w:rsidRPr="00026EC1">
        <w:t>02.</w:t>
      </w:r>
      <w:r w:rsidRPr="00026EC1">
        <w:tab/>
        <w:t>La convention collective est modifiée de la façon suivante.</w:t>
      </w:r>
    </w:p>
    <w:p w14:paraId="78742B98" w14:textId="77777777" w:rsidR="005663FB" w:rsidRPr="00026EC1" w:rsidRDefault="005663FB" w:rsidP="007F120F">
      <w:pPr>
        <w:keepNext w:val="0"/>
      </w:pPr>
    </w:p>
    <w:p w14:paraId="1BB95D95" w14:textId="49B048F2" w:rsidR="005663FB" w:rsidRPr="00026EC1" w:rsidRDefault="005663FB" w:rsidP="007F120F">
      <w:pPr>
        <w:pStyle w:val="Texte1cm"/>
        <w:keepNext w:val="0"/>
        <w:tabs>
          <w:tab w:val="left" w:pos="1134"/>
        </w:tabs>
        <w:ind w:left="1134" w:hanging="567"/>
      </w:pPr>
      <w:r w:rsidRPr="00026EC1">
        <w:t>A)</w:t>
      </w:r>
      <w:r w:rsidRPr="00026EC1">
        <w:tab/>
        <w:t>L’article 5</w:t>
      </w:r>
      <w:r w:rsidR="00984A6F">
        <w:noBreakHyphen/>
      </w:r>
      <w:r w:rsidRPr="00026EC1">
        <w:t>8.00 est remplacé par la disposition suivante</w:t>
      </w:r>
      <w:r w:rsidR="00D8581B">
        <w:t> :</w:t>
      </w:r>
    </w:p>
    <w:p w14:paraId="3147DE3E" w14:textId="77777777" w:rsidR="005663FB" w:rsidRPr="00026EC1" w:rsidRDefault="005663FB" w:rsidP="007F120F">
      <w:pPr>
        <w:keepNext w:val="0"/>
      </w:pPr>
    </w:p>
    <w:p w14:paraId="2D25C472" w14:textId="7DB4DC3B" w:rsidR="005663FB" w:rsidRPr="00026EC1" w:rsidRDefault="005663FB" w:rsidP="007F120F">
      <w:pPr>
        <w:pStyle w:val="Texte2cm"/>
        <w:keepNext w:val="0"/>
        <w:rPr>
          <w:b/>
          <w:bCs/>
        </w:rPr>
      </w:pPr>
      <w:r w:rsidRPr="00026EC1">
        <w:rPr>
          <w:b/>
          <w:bCs/>
        </w:rPr>
        <w:t>5</w:t>
      </w:r>
      <w:r w:rsidR="00984A6F">
        <w:rPr>
          <w:b/>
          <w:bCs/>
        </w:rPr>
        <w:noBreakHyphen/>
      </w:r>
      <w:r w:rsidRPr="00026EC1">
        <w:rPr>
          <w:b/>
          <w:bCs/>
        </w:rPr>
        <w:t>8.01</w:t>
      </w:r>
    </w:p>
    <w:p w14:paraId="1CEE0DAD" w14:textId="77777777" w:rsidR="005663FB" w:rsidRPr="00026EC1" w:rsidRDefault="005663FB" w:rsidP="007F120F">
      <w:pPr>
        <w:pStyle w:val="Texte2cm"/>
        <w:keepNext w:val="0"/>
      </w:pPr>
      <w:r w:rsidRPr="00026EC1">
        <w:t>L’enseignante ou l’enseignant bénéficie de treize (13) jours fériés. Le choix de ces treize (13) jours fériés est déterminé après entente entre les parties.</w:t>
      </w:r>
    </w:p>
    <w:p w14:paraId="738F6B87" w14:textId="77777777" w:rsidR="005663FB" w:rsidRPr="00026EC1" w:rsidRDefault="005663FB" w:rsidP="007F120F">
      <w:pPr>
        <w:keepNext w:val="0"/>
      </w:pPr>
    </w:p>
    <w:p w14:paraId="601D1765" w14:textId="0E56CB5C" w:rsidR="005663FB" w:rsidRPr="00026EC1" w:rsidRDefault="005663FB" w:rsidP="007F120F">
      <w:pPr>
        <w:pStyle w:val="Texte1cm"/>
        <w:keepNext w:val="0"/>
        <w:tabs>
          <w:tab w:val="left" w:pos="1134"/>
        </w:tabs>
        <w:ind w:left="1134" w:hanging="567"/>
      </w:pPr>
      <w:r w:rsidRPr="00026EC1">
        <w:t>B)</w:t>
      </w:r>
      <w:r w:rsidRPr="00026EC1">
        <w:tab/>
        <w:t>La clause 8</w:t>
      </w:r>
      <w:r w:rsidR="00984A6F">
        <w:noBreakHyphen/>
      </w:r>
      <w:r w:rsidRPr="00026EC1">
        <w:t>2.01 est remplacée par les dispositions suivantes</w:t>
      </w:r>
      <w:r w:rsidR="00D8581B">
        <w:t> :</w:t>
      </w:r>
    </w:p>
    <w:p w14:paraId="5717798C" w14:textId="77777777" w:rsidR="005663FB" w:rsidRPr="00026EC1" w:rsidRDefault="005663FB" w:rsidP="007F120F">
      <w:pPr>
        <w:keepNext w:val="0"/>
      </w:pPr>
    </w:p>
    <w:p w14:paraId="3A9ED35D" w14:textId="2F4E804D" w:rsidR="005663FB" w:rsidRPr="00026EC1" w:rsidRDefault="005663FB" w:rsidP="007F120F">
      <w:pPr>
        <w:pStyle w:val="Texte2cm"/>
        <w:keepNext w:val="0"/>
        <w:rPr>
          <w:b/>
          <w:bCs/>
        </w:rPr>
      </w:pPr>
      <w:r w:rsidRPr="00026EC1">
        <w:rPr>
          <w:b/>
          <w:bCs/>
        </w:rPr>
        <w:t>8</w:t>
      </w:r>
      <w:r w:rsidR="00984A6F">
        <w:rPr>
          <w:b/>
          <w:bCs/>
        </w:rPr>
        <w:noBreakHyphen/>
      </w:r>
      <w:r w:rsidRPr="00026EC1">
        <w:rPr>
          <w:b/>
          <w:bCs/>
        </w:rPr>
        <w:t>2.01</w:t>
      </w:r>
    </w:p>
    <w:p w14:paraId="7A1F7903" w14:textId="1FE92FEE" w:rsidR="005663FB" w:rsidRPr="00026EC1" w:rsidRDefault="005663FB" w:rsidP="007F120F">
      <w:pPr>
        <w:pStyle w:val="Texte2cm"/>
        <w:keepNext w:val="0"/>
      </w:pPr>
      <w:r w:rsidRPr="00026EC1">
        <w:t>L’enseignante ou l’enseignant à temps complet a droit, au cours de chaque année d’engagement, à deux (2) mois de vacances rémunérées à la condition qu’elle ou il ait complété une</w:t>
      </w:r>
      <w:r w:rsidR="001167BD">
        <w:t> </w:t>
      </w:r>
      <w:r w:rsidRPr="00026EC1">
        <w:t>(1) année de service au 30 juin suivant.</w:t>
      </w:r>
    </w:p>
    <w:p w14:paraId="24726D50" w14:textId="77777777" w:rsidR="005663FB" w:rsidRPr="00026EC1" w:rsidRDefault="005663FB" w:rsidP="007F120F">
      <w:pPr>
        <w:keepNext w:val="0"/>
      </w:pPr>
    </w:p>
    <w:p w14:paraId="54D86E67" w14:textId="77777777" w:rsidR="005663FB" w:rsidRPr="00026EC1" w:rsidRDefault="005663FB" w:rsidP="007F120F">
      <w:pPr>
        <w:pStyle w:val="Texte2cm"/>
        <w:keepNext w:val="0"/>
      </w:pPr>
      <w:r w:rsidRPr="00026EC1">
        <w:t>Cependant, l’enseignante ou l’enseignant à temps complet qui n’a pas fourni la disponibilité prévue au contrat n’a droit, à titre de vacances rémunérées, qu’à un nombre de jours établi au prorata de la disponibilité fournie.</w:t>
      </w:r>
    </w:p>
    <w:p w14:paraId="0E10452E" w14:textId="77777777" w:rsidR="005663FB" w:rsidRPr="00026EC1" w:rsidRDefault="005663FB" w:rsidP="007F120F">
      <w:pPr>
        <w:keepNext w:val="0"/>
      </w:pPr>
    </w:p>
    <w:p w14:paraId="213AAE6F" w14:textId="2B860C9B" w:rsidR="005663FB" w:rsidRPr="00026EC1" w:rsidRDefault="005663FB" w:rsidP="007F120F">
      <w:pPr>
        <w:pStyle w:val="Texte1cm"/>
        <w:keepNext w:val="0"/>
        <w:tabs>
          <w:tab w:val="left" w:pos="1134"/>
        </w:tabs>
        <w:ind w:left="1134" w:hanging="567"/>
      </w:pPr>
      <w:r w:rsidRPr="00026EC1">
        <w:t>C)</w:t>
      </w:r>
      <w:r w:rsidRPr="00026EC1">
        <w:tab/>
        <w:t>La clause 8</w:t>
      </w:r>
      <w:r w:rsidR="00984A6F">
        <w:noBreakHyphen/>
      </w:r>
      <w:r w:rsidRPr="00026EC1">
        <w:t>3.01 est modifiée en y ajoutant l’alinéa suivant</w:t>
      </w:r>
      <w:r w:rsidR="00D8581B">
        <w:t> :</w:t>
      </w:r>
    </w:p>
    <w:p w14:paraId="63429F0E" w14:textId="77777777" w:rsidR="005663FB" w:rsidRPr="00026EC1" w:rsidRDefault="005663FB" w:rsidP="007F120F">
      <w:pPr>
        <w:keepNext w:val="0"/>
      </w:pPr>
    </w:p>
    <w:p w14:paraId="0DDCC7E9" w14:textId="67418A7F" w:rsidR="005663FB" w:rsidRPr="00026EC1" w:rsidRDefault="005663FB" w:rsidP="007F120F">
      <w:pPr>
        <w:pStyle w:val="Texte2cm"/>
        <w:keepNext w:val="0"/>
        <w:rPr>
          <w:b/>
          <w:bCs/>
        </w:rPr>
      </w:pPr>
      <w:r w:rsidRPr="00026EC1">
        <w:rPr>
          <w:b/>
          <w:bCs/>
        </w:rPr>
        <w:t>8</w:t>
      </w:r>
      <w:r w:rsidR="00984A6F">
        <w:rPr>
          <w:b/>
          <w:bCs/>
        </w:rPr>
        <w:noBreakHyphen/>
      </w:r>
      <w:r w:rsidRPr="00026EC1">
        <w:rPr>
          <w:b/>
          <w:bCs/>
        </w:rPr>
        <w:t>3.01</w:t>
      </w:r>
    </w:p>
    <w:p w14:paraId="69EDF7BB" w14:textId="77777777" w:rsidR="005663FB" w:rsidRPr="00026EC1" w:rsidRDefault="005663FB" w:rsidP="007F120F">
      <w:pPr>
        <w:pStyle w:val="Texte2cm"/>
        <w:keepNext w:val="0"/>
      </w:pPr>
      <w:r w:rsidRPr="00026EC1">
        <w:t>Entre le 1</w:t>
      </w:r>
      <w:r w:rsidRPr="00026EC1">
        <w:rPr>
          <w:vertAlign w:val="superscript"/>
        </w:rPr>
        <w:t>er</w:t>
      </w:r>
      <w:r w:rsidRPr="00026EC1">
        <w:t> septembre et le 30 août d’une année d’enseignement, une enseignante ou un enseignant à temps complet fournit six cents (600) heures de prestation ainsi que six cents (600) heures de disponibilité aux étudiantes et étudiants, incluant le temps prévu pour les repas avec les étudiantes et étudiants.</w:t>
      </w:r>
    </w:p>
    <w:p w14:paraId="6945A2B6" w14:textId="77777777" w:rsidR="005663FB" w:rsidRPr="00026EC1" w:rsidRDefault="005663FB" w:rsidP="007F120F">
      <w:pPr>
        <w:keepNext w:val="0"/>
      </w:pPr>
    </w:p>
    <w:p w14:paraId="2F8021E5" w14:textId="631F2AD6" w:rsidR="005663FB" w:rsidRPr="00026EC1" w:rsidRDefault="005663FB" w:rsidP="007F120F">
      <w:pPr>
        <w:pStyle w:val="Texte1cm"/>
        <w:keepNext w:val="0"/>
        <w:tabs>
          <w:tab w:val="left" w:pos="1134"/>
        </w:tabs>
        <w:ind w:left="1134" w:hanging="567"/>
      </w:pPr>
      <w:r w:rsidRPr="00026EC1">
        <w:t>D)</w:t>
      </w:r>
      <w:r w:rsidRPr="00026EC1">
        <w:tab/>
        <w:t>Les articles 8</w:t>
      </w:r>
      <w:r w:rsidR="00984A6F">
        <w:noBreakHyphen/>
      </w:r>
      <w:r w:rsidRPr="00026EC1">
        <w:t>5.00 et 8</w:t>
      </w:r>
      <w:r w:rsidR="00984A6F">
        <w:noBreakHyphen/>
      </w:r>
      <w:r w:rsidRPr="00026EC1">
        <w:t>6.00 ne s’appliquent pas.</w:t>
      </w:r>
    </w:p>
    <w:p w14:paraId="61A118BE" w14:textId="77777777" w:rsidR="005663FB" w:rsidRPr="00026EC1" w:rsidRDefault="005663FB" w:rsidP="007F120F">
      <w:pPr>
        <w:keepNext w:val="0"/>
      </w:pPr>
    </w:p>
    <w:p w14:paraId="7C3F26F5" w14:textId="53A4DE36" w:rsidR="005663FB" w:rsidRPr="00026EC1" w:rsidRDefault="005663FB" w:rsidP="007F120F">
      <w:pPr>
        <w:pStyle w:val="Texte1cm"/>
        <w:keepNext w:val="0"/>
        <w:tabs>
          <w:tab w:val="left" w:pos="1134"/>
        </w:tabs>
        <w:ind w:left="1134" w:hanging="567"/>
      </w:pPr>
      <w:r w:rsidRPr="00026EC1">
        <w:t>E)</w:t>
      </w:r>
      <w:r w:rsidRPr="00026EC1">
        <w:tab/>
        <w:t>L’Annexe I</w:t>
      </w:r>
      <w:r w:rsidR="00984A6F">
        <w:noBreakHyphen/>
      </w:r>
      <w:r w:rsidRPr="00026EC1">
        <w:t>1 ne s’applique pas.</w:t>
      </w:r>
    </w:p>
    <w:p w14:paraId="1DC68176" w14:textId="77777777" w:rsidR="005663FB" w:rsidRPr="00026EC1" w:rsidRDefault="005663FB" w:rsidP="007F120F">
      <w:pPr>
        <w:pStyle w:val="Texte1cm"/>
        <w:keepNext w:val="0"/>
        <w:ind w:left="0"/>
      </w:pPr>
    </w:p>
    <w:p w14:paraId="63615A77" w14:textId="77777777" w:rsidR="005663FB" w:rsidRPr="00026EC1" w:rsidRDefault="005663FB" w:rsidP="007F120F">
      <w:pPr>
        <w:pStyle w:val="Article59delaloi37"/>
        <w:keepNext w:val="0"/>
      </w:pPr>
      <w:r w:rsidRPr="00026EC1">
        <w:br w:type="page"/>
        <w:t>Les dispositions suivantes sont l’objet d’une recommandation des parties nationales et sont soumises à l’application de l’article 59 de la Loi sur le régime de négociation des conventions collectives dans les secteurs public et parapublic, si elles sont agréées et signées par les parties locales.</w:t>
      </w:r>
    </w:p>
    <w:p w14:paraId="28D875D4" w14:textId="77777777" w:rsidR="005663FB" w:rsidRPr="00026EC1" w:rsidRDefault="005663FB" w:rsidP="007F120F">
      <w:pPr>
        <w:keepNext w:val="0"/>
      </w:pPr>
    </w:p>
    <w:p w14:paraId="132CFD64" w14:textId="135F7A9C" w:rsidR="005663FB" w:rsidRPr="00026EC1" w:rsidRDefault="005663FB" w:rsidP="007F120F">
      <w:pPr>
        <w:pStyle w:val="Texte1cm"/>
        <w:keepNext w:val="0"/>
        <w:tabs>
          <w:tab w:val="left" w:pos="1134"/>
        </w:tabs>
        <w:ind w:left="1134" w:hanging="567"/>
      </w:pPr>
      <w:r w:rsidRPr="00026EC1">
        <w:t>F)</w:t>
      </w:r>
      <w:r w:rsidRPr="00026EC1">
        <w:tab/>
        <w:t>La clause 8</w:t>
      </w:r>
      <w:r w:rsidR="00984A6F">
        <w:noBreakHyphen/>
      </w:r>
      <w:r w:rsidRPr="00026EC1">
        <w:t>2.05 est remplacée par les dispositions suivantes</w:t>
      </w:r>
      <w:r w:rsidR="00D8581B">
        <w:t> :</w:t>
      </w:r>
    </w:p>
    <w:p w14:paraId="4001A1B8" w14:textId="77777777" w:rsidR="005663FB" w:rsidRPr="00026EC1" w:rsidRDefault="005663FB" w:rsidP="007F120F">
      <w:pPr>
        <w:keepNext w:val="0"/>
      </w:pPr>
    </w:p>
    <w:p w14:paraId="19A5F91F" w14:textId="0E0E705F" w:rsidR="005663FB" w:rsidRPr="00026EC1" w:rsidRDefault="005663FB" w:rsidP="007F120F">
      <w:pPr>
        <w:pStyle w:val="Texte2cm"/>
        <w:keepNext w:val="0"/>
        <w:rPr>
          <w:b/>
          <w:bCs/>
        </w:rPr>
      </w:pPr>
      <w:r w:rsidRPr="00026EC1">
        <w:rPr>
          <w:b/>
          <w:bCs/>
        </w:rPr>
        <w:t>8</w:t>
      </w:r>
      <w:r w:rsidR="00984A6F">
        <w:rPr>
          <w:b/>
          <w:bCs/>
        </w:rPr>
        <w:noBreakHyphen/>
      </w:r>
      <w:r w:rsidRPr="00026EC1">
        <w:rPr>
          <w:b/>
          <w:bCs/>
        </w:rPr>
        <w:t>2.05</w:t>
      </w:r>
    </w:p>
    <w:p w14:paraId="0F52D59C" w14:textId="6EB0544D" w:rsidR="005663FB" w:rsidRPr="00026EC1" w:rsidRDefault="005663FB" w:rsidP="007F120F">
      <w:pPr>
        <w:pStyle w:val="Texte2cm"/>
        <w:keepNext w:val="0"/>
      </w:pPr>
      <w:r w:rsidRPr="00026EC1">
        <w:t>Les vacances d’une enseignante ou d’un enseignant doivent se prendre selon les modalités suivantes</w:t>
      </w:r>
      <w:r w:rsidR="00D8581B">
        <w:t> :</w:t>
      </w:r>
    </w:p>
    <w:p w14:paraId="77D96FC0" w14:textId="77777777" w:rsidR="005663FB" w:rsidRPr="00026EC1" w:rsidRDefault="005663FB" w:rsidP="007F120F">
      <w:pPr>
        <w:keepNext w:val="0"/>
      </w:pPr>
    </w:p>
    <w:p w14:paraId="6BA10DC9" w14:textId="579F80BC" w:rsidR="005663FB" w:rsidRPr="00026EC1" w:rsidRDefault="005663FB" w:rsidP="007F120F">
      <w:pPr>
        <w:pStyle w:val="Texte2cm"/>
        <w:keepNext w:val="0"/>
        <w:tabs>
          <w:tab w:val="left" w:pos="1701"/>
        </w:tabs>
        <w:ind w:left="1701" w:hanging="567"/>
      </w:pPr>
      <w:r w:rsidRPr="00026EC1">
        <w:t>a)</w:t>
      </w:r>
      <w:r w:rsidRPr="00026EC1">
        <w:tab/>
        <w:t>les enseignantes et enseignants sont répartis en deux (2) groupes aux fins d’application des dispositions relatives aux vacances</w:t>
      </w:r>
      <w:r w:rsidR="00D8581B">
        <w:t> :</w:t>
      </w:r>
    </w:p>
    <w:p w14:paraId="1C9ACDBC" w14:textId="77777777" w:rsidR="005663FB" w:rsidRPr="00026EC1" w:rsidRDefault="005663FB" w:rsidP="007F120F">
      <w:pPr>
        <w:keepNext w:val="0"/>
      </w:pPr>
    </w:p>
    <w:p w14:paraId="79D3668E" w14:textId="77777777" w:rsidR="005663FB" w:rsidRPr="00026EC1" w:rsidRDefault="005663FB" w:rsidP="007F120F">
      <w:pPr>
        <w:pStyle w:val="Texte3cm"/>
        <w:keepNext w:val="0"/>
        <w:tabs>
          <w:tab w:val="left" w:pos="2282"/>
        </w:tabs>
        <w:ind w:left="2268" w:hanging="567"/>
      </w:pPr>
      <w:r w:rsidRPr="00026EC1">
        <w:t>i)</w:t>
      </w:r>
      <w:r w:rsidRPr="00026EC1">
        <w:tab/>
        <w:t>un maximum de deux (2) enseignantes et enseignants peuvent prendre leurs deux (2) mois de vacances entre le 15 juin et le 1</w:t>
      </w:r>
      <w:r w:rsidRPr="00026EC1">
        <w:rPr>
          <w:vertAlign w:val="superscript"/>
        </w:rPr>
        <w:t>er</w:t>
      </w:r>
      <w:r w:rsidRPr="00026EC1">
        <w:t> septembre, à l’exclusion du 24 juin (Fête nationale);</w:t>
      </w:r>
    </w:p>
    <w:p w14:paraId="3E125DCE" w14:textId="77777777" w:rsidR="005663FB" w:rsidRPr="00026EC1" w:rsidRDefault="005663FB" w:rsidP="007F120F">
      <w:pPr>
        <w:keepNext w:val="0"/>
      </w:pPr>
    </w:p>
    <w:p w14:paraId="61A58A5D" w14:textId="77777777" w:rsidR="005663FB" w:rsidRPr="00026EC1" w:rsidRDefault="005663FB" w:rsidP="007F120F">
      <w:pPr>
        <w:pStyle w:val="Texte3cm"/>
        <w:keepNext w:val="0"/>
        <w:tabs>
          <w:tab w:val="left" w:pos="2282"/>
        </w:tabs>
        <w:ind w:left="2268" w:hanging="567"/>
      </w:pPr>
      <w:r w:rsidRPr="00026EC1">
        <w:t>ii)</w:t>
      </w:r>
      <w:r w:rsidRPr="00026EC1">
        <w:tab/>
        <w:t>les autres enseignantes et enseignants peuvent prendre un (1) mois de vacances en juillet ou en août et un (1) mois en décembre, ou en janvier ou en février;</w:t>
      </w:r>
    </w:p>
    <w:p w14:paraId="26BA0C85" w14:textId="77777777" w:rsidR="005663FB" w:rsidRPr="00026EC1" w:rsidRDefault="005663FB" w:rsidP="007F120F">
      <w:pPr>
        <w:keepNext w:val="0"/>
      </w:pPr>
    </w:p>
    <w:p w14:paraId="4A7F1206" w14:textId="77777777" w:rsidR="005663FB" w:rsidRPr="00026EC1" w:rsidRDefault="005663FB" w:rsidP="007F120F">
      <w:pPr>
        <w:pStyle w:val="Texte2cm"/>
        <w:keepNext w:val="0"/>
        <w:tabs>
          <w:tab w:val="left" w:pos="1701"/>
        </w:tabs>
        <w:ind w:left="1701" w:hanging="567"/>
      </w:pPr>
      <w:r w:rsidRPr="00026EC1">
        <w:t>b)</w:t>
      </w:r>
      <w:r w:rsidRPr="00026EC1">
        <w:tab/>
        <w:t>les enseignantes et enseignants choisissent leurs dates de vacances le 1</w:t>
      </w:r>
      <w:r w:rsidRPr="00026EC1">
        <w:rPr>
          <w:vertAlign w:val="superscript"/>
        </w:rPr>
        <w:t>er</w:t>
      </w:r>
      <w:r w:rsidRPr="00026EC1">
        <w:t> mai. Lorsque nécessaire, l’enseignante ou l’enseignant ayant le plus d’ancienneté a le premier choix et ainsi de suite. Une fois approuvées, ces dates de vacances ne peuvent être modifiées que par un accord entre le Collège et l’enseignante ou l’enseignant visé.</w:t>
      </w:r>
    </w:p>
    <w:p w14:paraId="07E34381" w14:textId="77777777" w:rsidR="005663FB" w:rsidRPr="00026EC1" w:rsidRDefault="005663FB" w:rsidP="007F120F">
      <w:pPr>
        <w:pStyle w:val="Texte1cm"/>
        <w:keepNext w:val="0"/>
        <w:ind w:left="0"/>
      </w:pPr>
    </w:p>
    <w:p w14:paraId="34A15EBE" w14:textId="7215D7AC" w:rsidR="00256FCE" w:rsidRDefault="005663FB" w:rsidP="007F120F">
      <w:pPr>
        <w:pStyle w:val="Heading3"/>
        <w:keepNext w:val="0"/>
        <w:spacing w:after="0"/>
      </w:pPr>
      <w:r w:rsidRPr="00026EC1">
        <w:rPr>
          <w:bCs/>
        </w:rPr>
        <w:br w:type="page"/>
      </w:r>
      <w:bookmarkStart w:id="1354" w:name="_Toc462751588"/>
      <w:bookmarkStart w:id="1355" w:name="_Toc484082605"/>
      <w:bookmarkStart w:id="1356" w:name="_Toc168479604"/>
      <w:r w:rsidR="009E0FC4" w:rsidRPr="00026EC1">
        <w:t>Annexe III</w:t>
      </w:r>
      <w:r w:rsidR="002F5A0C">
        <w:t>-</w:t>
      </w:r>
      <w:r w:rsidR="00F738A5" w:rsidRPr="00A25029">
        <w:t>1</w:t>
      </w:r>
      <w:r w:rsidR="00D0725F" w:rsidRPr="00316277">
        <w:t>1</w:t>
      </w:r>
      <w:r w:rsidR="00567732">
        <w:br/>
      </w:r>
      <w:r w:rsidR="00567732">
        <w:br/>
      </w:r>
      <w:r w:rsidR="00567732" w:rsidRPr="00003DA6">
        <w:t>Annexe relative au C</w:t>
      </w:r>
      <w:r w:rsidR="009E0FC4" w:rsidRPr="00003DA6">
        <w:t xml:space="preserve">entre </w:t>
      </w:r>
      <w:r w:rsidR="002356D4" w:rsidRPr="00003DA6">
        <w:t xml:space="preserve">d’études </w:t>
      </w:r>
      <w:r w:rsidR="009E0FC4" w:rsidRPr="00003DA6">
        <w:t>collégial</w:t>
      </w:r>
      <w:r w:rsidR="002356D4" w:rsidRPr="00003DA6">
        <w:t xml:space="preserve">es </w:t>
      </w:r>
      <w:r w:rsidR="00567732" w:rsidRPr="00003DA6">
        <w:br/>
      </w:r>
      <w:r w:rsidR="009E0FC4" w:rsidRPr="00003DA6">
        <w:t>de M</w:t>
      </w:r>
      <w:r w:rsidR="00661FEE" w:rsidRPr="00003DA6">
        <w:t>ont</w:t>
      </w:r>
      <w:r w:rsidR="000D6B69">
        <w:t>-</w:t>
      </w:r>
      <w:r w:rsidR="009E0FC4" w:rsidRPr="00003DA6">
        <w:t>Tremblant</w:t>
      </w:r>
      <w:r w:rsidR="002356D4" w:rsidRPr="00003DA6">
        <w:t xml:space="preserve"> </w:t>
      </w:r>
      <w:r w:rsidR="00567732" w:rsidRPr="00003DA6">
        <w:t>du C</w:t>
      </w:r>
      <w:r w:rsidR="009E0FC4" w:rsidRPr="00003DA6">
        <w:t>égep de S</w:t>
      </w:r>
      <w:r w:rsidR="00661FEE" w:rsidRPr="00003DA6">
        <w:t>aint</w:t>
      </w:r>
      <w:r w:rsidR="000D6B69">
        <w:t>-</w:t>
      </w:r>
      <w:r w:rsidR="009E0FC4" w:rsidRPr="00003DA6">
        <w:t>Jérôme</w:t>
      </w:r>
      <w:bookmarkEnd w:id="1353"/>
      <w:bookmarkEnd w:id="1354"/>
      <w:bookmarkEnd w:id="1355"/>
      <w:bookmarkEnd w:id="1356"/>
    </w:p>
    <w:p w14:paraId="2EA1540F" w14:textId="77777777" w:rsidR="00567732" w:rsidRPr="00567732" w:rsidRDefault="00567732" w:rsidP="007F120F">
      <w:pPr>
        <w:keepNext w:val="0"/>
      </w:pPr>
    </w:p>
    <w:p w14:paraId="7E228EAC" w14:textId="7973E782" w:rsidR="002356D4" w:rsidRPr="005F593E" w:rsidRDefault="000B066F" w:rsidP="007F120F">
      <w:pPr>
        <w:keepNext w:val="0"/>
        <w:ind w:left="567" w:hanging="567"/>
        <w:rPr>
          <w:rFonts w:cs="Arial"/>
          <w:szCs w:val="24"/>
        </w:rPr>
      </w:pPr>
      <w:r>
        <w:rPr>
          <w:rFonts w:cs="Arial"/>
          <w:szCs w:val="24"/>
        </w:rPr>
        <w:t>0</w:t>
      </w:r>
      <w:r w:rsidR="00275751" w:rsidRPr="00026EC1">
        <w:rPr>
          <w:rFonts w:cs="Arial"/>
          <w:szCs w:val="24"/>
        </w:rPr>
        <w:t>1.</w:t>
      </w:r>
      <w:r w:rsidR="00275751" w:rsidRPr="00026EC1">
        <w:rPr>
          <w:rFonts w:cs="Arial"/>
          <w:szCs w:val="24"/>
        </w:rPr>
        <w:tab/>
      </w:r>
      <w:r w:rsidR="002356D4" w:rsidRPr="005F593E">
        <w:t>À compter de l’année d’engagement 2017</w:t>
      </w:r>
      <w:r w:rsidR="00984A6F">
        <w:noBreakHyphen/>
      </w:r>
      <w:r w:rsidR="002356D4" w:rsidRPr="005F593E">
        <w:t>2018, pour le Centre d’études collégiales</w:t>
      </w:r>
      <w:r w:rsidR="002356D4" w:rsidRPr="005F593E">
        <w:rPr>
          <w:rFonts w:cs="Arial"/>
        </w:rPr>
        <w:t xml:space="preserve"> de Mont</w:t>
      </w:r>
      <w:r w:rsidR="00984A6F">
        <w:rPr>
          <w:rFonts w:cs="Arial"/>
        </w:rPr>
        <w:noBreakHyphen/>
      </w:r>
      <w:r w:rsidR="002356D4" w:rsidRPr="005F593E">
        <w:t>Tremblant</w:t>
      </w:r>
      <w:r w:rsidR="002356D4" w:rsidRPr="005F593E">
        <w:rPr>
          <w:rFonts w:cs="Arial"/>
        </w:rPr>
        <w:t>, l’alinéa a) de la clause</w:t>
      </w:r>
      <w:r w:rsidR="001167BD">
        <w:rPr>
          <w:rFonts w:cs="Arial"/>
        </w:rPr>
        <w:t> </w:t>
      </w:r>
      <w:r w:rsidR="002356D4" w:rsidRPr="005F593E">
        <w:rPr>
          <w:rFonts w:cs="Arial"/>
        </w:rPr>
        <w:t>5</w:t>
      </w:r>
      <w:r w:rsidR="00984A6F">
        <w:rPr>
          <w:rFonts w:cs="Arial"/>
        </w:rPr>
        <w:noBreakHyphen/>
      </w:r>
      <w:r w:rsidR="002356D4" w:rsidRPr="005F593E">
        <w:rPr>
          <w:rFonts w:cs="Arial"/>
        </w:rPr>
        <w:t>4.17 est modifié en insérant les deux sous</w:t>
      </w:r>
      <w:r w:rsidR="00984A6F">
        <w:rPr>
          <w:rFonts w:cs="Arial"/>
        </w:rPr>
        <w:noBreakHyphen/>
      </w:r>
      <w:r w:rsidR="002356D4" w:rsidRPr="005F593E">
        <w:rPr>
          <w:rFonts w:cs="Arial"/>
        </w:rPr>
        <w:t>alinéas</w:t>
      </w:r>
      <w:r w:rsidR="00D14291">
        <w:rPr>
          <w:rFonts w:cs="Arial"/>
        </w:rPr>
        <w:t> </w:t>
      </w:r>
      <w:r w:rsidR="002356D4" w:rsidRPr="005F593E">
        <w:rPr>
          <w:rFonts w:cs="Arial"/>
        </w:rPr>
        <w:t>14 et 15 et en numérotant les sous</w:t>
      </w:r>
      <w:r w:rsidR="00984A6F">
        <w:rPr>
          <w:rFonts w:cs="Arial"/>
        </w:rPr>
        <w:noBreakHyphen/>
      </w:r>
      <w:r w:rsidR="002356D4" w:rsidRPr="005F593E">
        <w:rPr>
          <w:rFonts w:cs="Arial"/>
        </w:rPr>
        <w:t>alinéas</w:t>
      </w:r>
      <w:r w:rsidR="00D14291">
        <w:rPr>
          <w:rFonts w:cs="Arial"/>
        </w:rPr>
        <w:t> </w:t>
      </w:r>
      <w:r w:rsidR="002356D4" w:rsidRPr="005F593E">
        <w:rPr>
          <w:rFonts w:cs="Arial"/>
        </w:rPr>
        <w:t>14 et les suivants, en conséquence</w:t>
      </w:r>
      <w:r w:rsidR="00D8581B">
        <w:rPr>
          <w:rFonts w:cs="Arial"/>
        </w:rPr>
        <w:t> :</w:t>
      </w:r>
    </w:p>
    <w:p w14:paraId="0EC86AC7" w14:textId="77777777" w:rsidR="002356D4" w:rsidRPr="005F593E" w:rsidRDefault="002356D4" w:rsidP="007F120F">
      <w:pPr>
        <w:keepNext w:val="0"/>
        <w:autoSpaceDE w:val="0"/>
        <w:autoSpaceDN w:val="0"/>
        <w:adjustRightInd w:val="0"/>
        <w:ind w:left="426" w:hanging="66"/>
        <w:rPr>
          <w:rFonts w:cs="Arial"/>
        </w:rPr>
      </w:pPr>
    </w:p>
    <w:p w14:paraId="39B5055F" w14:textId="615537F1" w:rsidR="002356D4" w:rsidRPr="005F593E" w:rsidRDefault="002356D4" w:rsidP="004F71C1">
      <w:pPr>
        <w:pStyle w:val="ListParagraph"/>
        <w:numPr>
          <w:ilvl w:val="0"/>
          <w:numId w:val="25"/>
        </w:numPr>
        <w:suppressAutoHyphens/>
        <w:ind w:left="1134" w:hanging="567"/>
        <w:rPr>
          <w:rFonts w:cs="Arial"/>
        </w:rPr>
      </w:pPr>
      <w:r w:rsidRPr="005F593E">
        <w:rPr>
          <w:rFonts w:cs="Arial"/>
        </w:rPr>
        <w:t>l’enseignante ou l’enseignant non permanent du Centre d’études collégiales de Mont</w:t>
      </w:r>
      <w:r w:rsidR="00984A6F">
        <w:rPr>
          <w:rFonts w:cs="Arial"/>
        </w:rPr>
        <w:noBreakHyphen/>
      </w:r>
      <w:r w:rsidRPr="005F593E">
        <w:t>Laurier</w:t>
      </w:r>
      <w:r w:rsidRPr="005F593E">
        <w:rPr>
          <w:rFonts w:cs="Arial"/>
        </w:rPr>
        <w:t xml:space="preserve"> qui n’a pas d’ancienneté au Centre d’études collégiales de Mont</w:t>
      </w:r>
      <w:r w:rsidR="00984A6F">
        <w:rPr>
          <w:rFonts w:cs="Arial"/>
        </w:rPr>
        <w:noBreakHyphen/>
      </w:r>
      <w:r w:rsidRPr="005F593E">
        <w:rPr>
          <w:rFonts w:cs="Arial"/>
        </w:rPr>
        <w:t xml:space="preserve">Tremblant, sous </w:t>
      </w:r>
      <w:r w:rsidRPr="005F593E">
        <w:t>réserve</w:t>
      </w:r>
      <w:r w:rsidRPr="005F593E">
        <w:rPr>
          <w:rFonts w:cs="Arial"/>
        </w:rPr>
        <w:t xml:space="preserve"> de difficultés d’ordre pédagogique, jusqu’à la fin de l’année d’engagement suivant l’échéance de son dernier contrat dans la discipline de la charge d’enseignement, si elle ou il pose sa candidature selon les modalités prévues à la convention collective;</w:t>
      </w:r>
    </w:p>
    <w:p w14:paraId="709BE660" w14:textId="77777777" w:rsidR="002356D4" w:rsidRPr="005F593E" w:rsidRDefault="002356D4" w:rsidP="007F120F">
      <w:pPr>
        <w:keepNext w:val="0"/>
        <w:autoSpaceDE w:val="0"/>
        <w:autoSpaceDN w:val="0"/>
        <w:adjustRightInd w:val="0"/>
        <w:ind w:left="1134" w:hanging="567"/>
        <w:rPr>
          <w:rFonts w:cs="Arial"/>
        </w:rPr>
      </w:pPr>
    </w:p>
    <w:p w14:paraId="27E1DB0D" w14:textId="32B4A492" w:rsidR="002356D4" w:rsidRPr="005F593E" w:rsidRDefault="002356D4" w:rsidP="004F71C1">
      <w:pPr>
        <w:pStyle w:val="ListParagraph"/>
        <w:numPr>
          <w:ilvl w:val="0"/>
          <w:numId w:val="25"/>
        </w:numPr>
        <w:suppressAutoHyphens/>
        <w:ind w:left="1134" w:hanging="567"/>
        <w:rPr>
          <w:rFonts w:cs="Arial"/>
        </w:rPr>
      </w:pPr>
      <w:r w:rsidRPr="005F593E">
        <w:rPr>
          <w:rFonts w:cs="Arial"/>
        </w:rPr>
        <w:t>l’enseignante ou l’enseignant non permanent du Cégep de Saint</w:t>
      </w:r>
      <w:r w:rsidR="00984A6F">
        <w:rPr>
          <w:rFonts w:cs="Arial"/>
        </w:rPr>
        <w:noBreakHyphen/>
      </w:r>
      <w:r w:rsidRPr="005F593E">
        <w:rPr>
          <w:rFonts w:cs="Arial"/>
        </w:rPr>
        <w:t>Jérôme qui n’a pas d’ancienneté au Centre d’études collégiales de Mont</w:t>
      </w:r>
      <w:r w:rsidR="00984A6F">
        <w:rPr>
          <w:rFonts w:cs="Arial"/>
        </w:rPr>
        <w:noBreakHyphen/>
      </w:r>
      <w:r w:rsidRPr="005F593E">
        <w:rPr>
          <w:rFonts w:cs="Arial"/>
        </w:rPr>
        <w:t>Tremblant, sous réserve de difficultés d’ordre pédagogique, jusqu’à la fin de l’année d’engagement suivant l’échéance de son dernier contrat dans la discipline de la charge d’enseignement, si elle ou il pose sa candidature selon les modalités prévues à la convention collective.</w:t>
      </w:r>
    </w:p>
    <w:p w14:paraId="1E9D4409" w14:textId="77777777" w:rsidR="002356D4" w:rsidRPr="005F593E" w:rsidRDefault="002356D4" w:rsidP="007F120F">
      <w:pPr>
        <w:keepNext w:val="0"/>
        <w:autoSpaceDE w:val="0"/>
        <w:autoSpaceDN w:val="0"/>
        <w:adjustRightInd w:val="0"/>
        <w:ind w:left="720"/>
        <w:rPr>
          <w:rFonts w:cs="Arial"/>
          <w:u w:val="single"/>
        </w:rPr>
      </w:pPr>
    </w:p>
    <w:p w14:paraId="1247DD99" w14:textId="783C52EE" w:rsidR="002356D4" w:rsidRPr="005F593E" w:rsidRDefault="002356D4" w:rsidP="007F120F">
      <w:pPr>
        <w:keepNext w:val="0"/>
        <w:ind w:left="567" w:hanging="567"/>
        <w:rPr>
          <w:rFonts w:cs="Arial"/>
          <w:szCs w:val="24"/>
        </w:rPr>
      </w:pPr>
      <w:r w:rsidRPr="005F593E">
        <w:t>02.</w:t>
      </w:r>
      <w:r w:rsidRPr="005F593E">
        <w:tab/>
        <w:t>À compter de l’année d’engagement 2017</w:t>
      </w:r>
      <w:r w:rsidR="00984A6F">
        <w:noBreakHyphen/>
      </w:r>
      <w:r w:rsidRPr="005F593E">
        <w:t>2018, pour le Centre d’études collégiales de Mont</w:t>
      </w:r>
      <w:r w:rsidR="00984A6F">
        <w:noBreakHyphen/>
      </w:r>
      <w:r w:rsidRPr="005F593E">
        <w:t>Tremblant, l’alinéa b) de la clause</w:t>
      </w:r>
      <w:r w:rsidR="001167BD">
        <w:t> </w:t>
      </w:r>
      <w:r w:rsidRPr="005F593E">
        <w:t>5</w:t>
      </w:r>
      <w:r w:rsidR="00984A6F">
        <w:noBreakHyphen/>
      </w:r>
      <w:r w:rsidRPr="005F593E">
        <w:t>4.17 est modifié en insérant les deux sous</w:t>
      </w:r>
      <w:r w:rsidR="00984A6F">
        <w:noBreakHyphen/>
      </w:r>
      <w:r w:rsidRPr="005F593E">
        <w:t>alinéas</w:t>
      </w:r>
      <w:r w:rsidR="001167BD">
        <w:t> </w:t>
      </w:r>
      <w:r w:rsidRPr="005F593E">
        <w:t xml:space="preserve">6 et 7 </w:t>
      </w:r>
      <w:r w:rsidRPr="005F593E">
        <w:rPr>
          <w:rFonts w:cs="Arial"/>
        </w:rPr>
        <w:t>et en numérotant les sous</w:t>
      </w:r>
      <w:r w:rsidR="00984A6F">
        <w:rPr>
          <w:rFonts w:cs="Arial"/>
        </w:rPr>
        <w:noBreakHyphen/>
      </w:r>
      <w:r w:rsidRPr="005F593E">
        <w:rPr>
          <w:rFonts w:cs="Arial"/>
        </w:rPr>
        <w:t>alinéas</w:t>
      </w:r>
      <w:r w:rsidR="001167BD">
        <w:rPr>
          <w:rFonts w:cs="Arial"/>
        </w:rPr>
        <w:t> </w:t>
      </w:r>
      <w:r w:rsidRPr="005F593E">
        <w:rPr>
          <w:rFonts w:cs="Arial"/>
        </w:rPr>
        <w:t>6 et les suivants, en conséquence</w:t>
      </w:r>
      <w:r w:rsidR="00D8581B">
        <w:rPr>
          <w:rFonts w:cs="Arial"/>
        </w:rPr>
        <w:t> :</w:t>
      </w:r>
    </w:p>
    <w:p w14:paraId="6A0CDF44" w14:textId="77777777" w:rsidR="002356D4" w:rsidRPr="005F593E" w:rsidRDefault="002356D4" w:rsidP="007F120F">
      <w:pPr>
        <w:keepNext w:val="0"/>
        <w:autoSpaceDE w:val="0"/>
        <w:autoSpaceDN w:val="0"/>
        <w:adjustRightInd w:val="0"/>
        <w:ind w:left="1276" w:hanging="425"/>
        <w:rPr>
          <w:rFonts w:cs="Arial"/>
        </w:rPr>
      </w:pPr>
    </w:p>
    <w:p w14:paraId="0ADE25BF" w14:textId="6AD0D9EF" w:rsidR="002356D4" w:rsidRPr="005F593E" w:rsidRDefault="002356D4" w:rsidP="004F71C1">
      <w:pPr>
        <w:pStyle w:val="ListParagraph"/>
        <w:numPr>
          <w:ilvl w:val="0"/>
          <w:numId w:val="26"/>
        </w:numPr>
        <w:suppressAutoHyphens/>
        <w:ind w:left="1134" w:hanging="567"/>
        <w:rPr>
          <w:rFonts w:cs="Arial"/>
        </w:rPr>
      </w:pPr>
      <w:r w:rsidRPr="005F593E">
        <w:rPr>
          <w:rFonts w:cs="Arial"/>
        </w:rPr>
        <w:t>l’enseignante ou l’enseignant non permanent du Centre d’études collégiales de Mont</w:t>
      </w:r>
      <w:r w:rsidR="00984A6F">
        <w:rPr>
          <w:rFonts w:cs="Arial"/>
        </w:rPr>
        <w:noBreakHyphen/>
      </w:r>
      <w:r w:rsidRPr="005F593E">
        <w:rPr>
          <w:rFonts w:cs="Arial"/>
        </w:rPr>
        <w:t>Laurier qui n’a pas d’ancienneté au Centre d’études collégiales de Mont</w:t>
      </w:r>
      <w:r w:rsidR="00984A6F">
        <w:rPr>
          <w:rFonts w:cs="Arial"/>
        </w:rPr>
        <w:noBreakHyphen/>
      </w:r>
      <w:r w:rsidRPr="005F593E">
        <w:rPr>
          <w:rFonts w:cs="Arial"/>
        </w:rPr>
        <w:t>Tremblant, sous réserve de difficultés d’ordre pédagogique, jusqu’à la fin de l’année d’engagement suivant l’échéance de son dernier contrat dans la discipline de la charge d’enseignement, si elle ou il pose sa candidature selon les modalités prévues à la convention collective;</w:t>
      </w:r>
    </w:p>
    <w:p w14:paraId="075AD566" w14:textId="77777777" w:rsidR="002356D4" w:rsidRPr="005F593E" w:rsidRDefault="002356D4" w:rsidP="007F120F">
      <w:pPr>
        <w:keepNext w:val="0"/>
        <w:autoSpaceDE w:val="0"/>
        <w:autoSpaceDN w:val="0"/>
        <w:adjustRightInd w:val="0"/>
        <w:ind w:left="1134" w:hanging="567"/>
        <w:rPr>
          <w:rFonts w:cs="Arial"/>
        </w:rPr>
      </w:pPr>
    </w:p>
    <w:p w14:paraId="42B968B2" w14:textId="24B8F06D" w:rsidR="002356D4" w:rsidRDefault="002356D4" w:rsidP="004F71C1">
      <w:pPr>
        <w:pStyle w:val="ListParagraph"/>
        <w:numPr>
          <w:ilvl w:val="0"/>
          <w:numId w:val="26"/>
        </w:numPr>
        <w:suppressAutoHyphens/>
        <w:ind w:left="1134" w:hanging="567"/>
        <w:rPr>
          <w:rFonts w:cs="Arial"/>
        </w:rPr>
      </w:pPr>
      <w:r w:rsidRPr="005F593E">
        <w:rPr>
          <w:rFonts w:cs="Arial"/>
        </w:rPr>
        <w:t>l’enseignante ou l’enseignant non permanent du Cégep de Saint</w:t>
      </w:r>
      <w:r w:rsidR="00984A6F">
        <w:rPr>
          <w:rFonts w:cs="Arial"/>
        </w:rPr>
        <w:noBreakHyphen/>
      </w:r>
      <w:r w:rsidRPr="005F593E">
        <w:rPr>
          <w:rFonts w:cs="Arial"/>
        </w:rPr>
        <w:t>Jérôme qui n’a pas d’ancienneté au Centre d’études collégiales de Mont</w:t>
      </w:r>
      <w:r w:rsidR="00984A6F">
        <w:rPr>
          <w:rFonts w:cs="Arial"/>
        </w:rPr>
        <w:noBreakHyphen/>
      </w:r>
      <w:r w:rsidRPr="005F593E">
        <w:rPr>
          <w:rFonts w:cs="Arial"/>
        </w:rPr>
        <w:t>Tremblant, sous réserve de difficultés d’ordre pédagogique, jusqu’à la fin de l’année d’engagement suivant l’échéance de son dernier contrat dans la discipline de la charge d’enseignement, si elle ou il pose sa candidature selon les modalités prévues par écrit dans les délais prévus à la convention collective.</w:t>
      </w:r>
    </w:p>
    <w:p w14:paraId="4CFE5095" w14:textId="77777777" w:rsidR="0027059E" w:rsidRPr="0027059E" w:rsidRDefault="0027059E" w:rsidP="0027059E">
      <w:pPr>
        <w:pStyle w:val="ListParagraph"/>
        <w:rPr>
          <w:rFonts w:cs="Arial"/>
        </w:rPr>
      </w:pPr>
    </w:p>
    <w:p w14:paraId="32E0065D" w14:textId="22EEF13E" w:rsidR="002356D4" w:rsidRPr="005F593E" w:rsidRDefault="002356D4" w:rsidP="007F120F">
      <w:pPr>
        <w:keepNext w:val="0"/>
        <w:ind w:left="567" w:hanging="567"/>
        <w:rPr>
          <w:rFonts w:cs="Arial"/>
          <w:szCs w:val="24"/>
        </w:rPr>
      </w:pPr>
      <w:r w:rsidRPr="005F593E">
        <w:t>03.</w:t>
      </w:r>
      <w:r w:rsidRPr="005F593E">
        <w:tab/>
        <w:t>À compter de l’année d’engagement 2017</w:t>
      </w:r>
      <w:r w:rsidR="00984A6F">
        <w:noBreakHyphen/>
      </w:r>
      <w:r w:rsidRPr="005F593E">
        <w:t>2018, pour le Cégep de Saint</w:t>
      </w:r>
      <w:r w:rsidR="00984A6F">
        <w:noBreakHyphen/>
      </w:r>
      <w:r w:rsidRPr="005F593E">
        <w:t>Jérôme, l’alinéa</w:t>
      </w:r>
      <w:r w:rsidR="00D14291">
        <w:t> </w:t>
      </w:r>
      <w:r w:rsidRPr="005F593E">
        <w:t>a) de la clause</w:t>
      </w:r>
      <w:r w:rsidR="001167BD">
        <w:t> </w:t>
      </w:r>
      <w:r w:rsidRPr="005F593E">
        <w:t>5</w:t>
      </w:r>
      <w:r w:rsidR="00984A6F">
        <w:noBreakHyphen/>
      </w:r>
      <w:r w:rsidRPr="005F593E">
        <w:t>4.17 est modifié en insérant le sous</w:t>
      </w:r>
      <w:r w:rsidR="00984A6F">
        <w:noBreakHyphen/>
      </w:r>
      <w:r w:rsidRPr="005F593E">
        <w:t>alinéa</w:t>
      </w:r>
      <w:r w:rsidR="001167BD">
        <w:t> </w:t>
      </w:r>
      <w:r w:rsidRPr="005F593E">
        <w:t xml:space="preserve">14 </w:t>
      </w:r>
      <w:r w:rsidRPr="005F593E">
        <w:rPr>
          <w:rFonts w:cs="Arial"/>
        </w:rPr>
        <w:t xml:space="preserve">et en numérotant </w:t>
      </w:r>
      <w:r w:rsidRPr="005F593E">
        <w:t>les</w:t>
      </w:r>
      <w:r w:rsidRPr="005F593E">
        <w:rPr>
          <w:rFonts w:cs="Arial"/>
        </w:rPr>
        <w:t xml:space="preserve"> sous</w:t>
      </w:r>
      <w:r w:rsidR="00984A6F">
        <w:rPr>
          <w:rFonts w:cs="Arial"/>
        </w:rPr>
        <w:noBreakHyphen/>
      </w:r>
      <w:r w:rsidRPr="005F593E">
        <w:rPr>
          <w:rFonts w:cs="Arial"/>
        </w:rPr>
        <w:t>alinéas 14 et les suivants, en conséquence</w:t>
      </w:r>
      <w:r w:rsidR="00D8581B">
        <w:rPr>
          <w:rFonts w:cs="Arial"/>
        </w:rPr>
        <w:t> :</w:t>
      </w:r>
    </w:p>
    <w:p w14:paraId="5760FD78" w14:textId="77777777" w:rsidR="002356D4" w:rsidRPr="005F593E" w:rsidRDefault="002356D4" w:rsidP="007F120F">
      <w:pPr>
        <w:keepNext w:val="0"/>
        <w:autoSpaceDE w:val="0"/>
        <w:autoSpaceDN w:val="0"/>
        <w:adjustRightInd w:val="0"/>
        <w:ind w:left="360"/>
        <w:rPr>
          <w:rFonts w:cs="Arial"/>
        </w:rPr>
      </w:pPr>
    </w:p>
    <w:p w14:paraId="3EE8BCB6" w14:textId="14C7A822" w:rsidR="002356D4" w:rsidRPr="005F593E" w:rsidRDefault="002356D4" w:rsidP="004F71C1">
      <w:pPr>
        <w:pStyle w:val="ListParagraph"/>
        <w:numPr>
          <w:ilvl w:val="0"/>
          <w:numId w:val="27"/>
        </w:numPr>
        <w:suppressAutoHyphens/>
        <w:ind w:left="993" w:hanging="426"/>
        <w:rPr>
          <w:rFonts w:cs="Arial"/>
        </w:rPr>
      </w:pPr>
      <w:r w:rsidRPr="005F593E">
        <w:rPr>
          <w:rFonts w:cs="Arial"/>
        </w:rPr>
        <w:t>l’enseignante ou l’enseignant non permanent du Centre d’études collégiales de Mont</w:t>
      </w:r>
      <w:r w:rsidR="00984A6F">
        <w:rPr>
          <w:rFonts w:cs="Arial"/>
        </w:rPr>
        <w:noBreakHyphen/>
      </w:r>
      <w:r w:rsidRPr="005F593E">
        <w:rPr>
          <w:rFonts w:cs="Arial"/>
        </w:rPr>
        <w:t>Tremblant qui n’a pas d’ancienneté au Cégep de Saint</w:t>
      </w:r>
      <w:r w:rsidR="00984A6F">
        <w:rPr>
          <w:rFonts w:cs="Arial"/>
        </w:rPr>
        <w:noBreakHyphen/>
      </w:r>
      <w:r w:rsidRPr="005F593E">
        <w:rPr>
          <w:rFonts w:cs="Arial"/>
        </w:rPr>
        <w:t>Jérôme, sous réserve de difficultés d’ordre pédagogique, jusqu’à la fin de l’année d’engagement suivant l’échéance de son dernier contrat dans la discipline du poste, si elle ou il pose sa candidature selon les modalités prévues à la convention collective.</w:t>
      </w:r>
    </w:p>
    <w:p w14:paraId="019C5CFA" w14:textId="77777777" w:rsidR="002356D4" w:rsidRPr="005F593E" w:rsidRDefault="002356D4" w:rsidP="007F120F">
      <w:pPr>
        <w:pStyle w:val="ListParagraph"/>
        <w:suppressAutoHyphens/>
        <w:autoSpaceDE w:val="0"/>
        <w:autoSpaceDN w:val="0"/>
        <w:adjustRightInd w:val="0"/>
        <w:ind w:left="0"/>
        <w:contextualSpacing/>
        <w:rPr>
          <w:rFonts w:cs="Arial"/>
        </w:rPr>
      </w:pPr>
    </w:p>
    <w:p w14:paraId="66A7818A" w14:textId="300C4015" w:rsidR="002356D4" w:rsidRPr="005F593E" w:rsidRDefault="002356D4" w:rsidP="007F120F">
      <w:pPr>
        <w:keepNext w:val="0"/>
        <w:ind w:left="567" w:hanging="567"/>
      </w:pPr>
      <w:r w:rsidRPr="005F593E">
        <w:t>04.</w:t>
      </w:r>
      <w:r w:rsidRPr="005F593E">
        <w:tab/>
        <w:t xml:space="preserve">À </w:t>
      </w:r>
      <w:r w:rsidRPr="005F593E">
        <w:rPr>
          <w:rFonts w:cs="Arial"/>
        </w:rPr>
        <w:t>compter</w:t>
      </w:r>
      <w:r w:rsidRPr="005F593E">
        <w:t xml:space="preserve"> de l’année d’engagement 2017</w:t>
      </w:r>
      <w:r w:rsidR="00984A6F">
        <w:noBreakHyphen/>
      </w:r>
      <w:r w:rsidRPr="005F593E">
        <w:t>2018, pour le Cégep de Saint</w:t>
      </w:r>
      <w:r w:rsidR="00984A6F">
        <w:noBreakHyphen/>
      </w:r>
      <w:r w:rsidRPr="005F593E">
        <w:t>Jérôme, l’alinéa</w:t>
      </w:r>
      <w:r w:rsidR="001167BD">
        <w:t> </w:t>
      </w:r>
      <w:r w:rsidRPr="005F593E">
        <w:t>b) de la clause</w:t>
      </w:r>
      <w:r w:rsidR="001167BD">
        <w:t> </w:t>
      </w:r>
      <w:r w:rsidRPr="005F593E">
        <w:t>5</w:t>
      </w:r>
      <w:r w:rsidR="00984A6F">
        <w:noBreakHyphen/>
      </w:r>
      <w:r w:rsidRPr="005F593E">
        <w:t>4.17 est modifié en insérant le sous</w:t>
      </w:r>
      <w:r w:rsidR="00984A6F">
        <w:noBreakHyphen/>
      </w:r>
      <w:r w:rsidRPr="005F593E">
        <w:t>alinéa</w:t>
      </w:r>
      <w:r w:rsidR="001167BD">
        <w:t> </w:t>
      </w:r>
      <w:r w:rsidRPr="005F593E">
        <w:t xml:space="preserve">6 </w:t>
      </w:r>
      <w:r w:rsidRPr="005F593E">
        <w:rPr>
          <w:rFonts w:cs="Arial"/>
        </w:rPr>
        <w:t>et en numérotant les sous</w:t>
      </w:r>
      <w:r w:rsidR="00984A6F">
        <w:rPr>
          <w:rFonts w:cs="Arial"/>
        </w:rPr>
        <w:noBreakHyphen/>
      </w:r>
      <w:r w:rsidRPr="005F593E">
        <w:rPr>
          <w:rFonts w:cs="Arial"/>
        </w:rPr>
        <w:t>alinéas</w:t>
      </w:r>
      <w:r w:rsidR="001167BD">
        <w:rPr>
          <w:rFonts w:cs="Arial"/>
        </w:rPr>
        <w:t> </w:t>
      </w:r>
      <w:r w:rsidRPr="005F593E">
        <w:rPr>
          <w:rFonts w:cs="Arial"/>
        </w:rPr>
        <w:t>6 et les suivants, en conséquence</w:t>
      </w:r>
      <w:r w:rsidR="00D8581B">
        <w:rPr>
          <w:rFonts w:cs="Arial"/>
        </w:rPr>
        <w:t> :</w:t>
      </w:r>
    </w:p>
    <w:p w14:paraId="4321771B" w14:textId="77777777" w:rsidR="002356D4" w:rsidRPr="005F593E" w:rsidRDefault="002356D4" w:rsidP="007F120F">
      <w:pPr>
        <w:pStyle w:val="ListParagraph"/>
        <w:suppressAutoHyphens/>
        <w:autoSpaceDE w:val="0"/>
        <w:autoSpaceDN w:val="0"/>
        <w:adjustRightInd w:val="0"/>
        <w:rPr>
          <w:rFonts w:cs="Arial"/>
        </w:rPr>
      </w:pPr>
    </w:p>
    <w:p w14:paraId="75E3224B" w14:textId="3509E4F7" w:rsidR="002356D4" w:rsidRPr="005F593E" w:rsidRDefault="002356D4" w:rsidP="004F71C1">
      <w:pPr>
        <w:pStyle w:val="ListParagraph"/>
        <w:numPr>
          <w:ilvl w:val="0"/>
          <w:numId w:val="28"/>
        </w:numPr>
        <w:suppressAutoHyphens/>
        <w:ind w:left="993" w:hanging="426"/>
        <w:rPr>
          <w:rFonts w:cs="Arial"/>
        </w:rPr>
      </w:pPr>
      <w:r w:rsidRPr="005F593E">
        <w:rPr>
          <w:rFonts w:cs="Arial"/>
        </w:rPr>
        <w:t>l’enseignante ou l’enseignant non permanent du Centre d’études collégiales de Mont</w:t>
      </w:r>
      <w:r w:rsidR="00984A6F">
        <w:rPr>
          <w:rFonts w:cs="Arial"/>
        </w:rPr>
        <w:noBreakHyphen/>
      </w:r>
      <w:r w:rsidRPr="005F593E">
        <w:rPr>
          <w:rFonts w:cs="Arial"/>
        </w:rPr>
        <w:t>Tremblant qui n’a pas d’ancienneté au Cégep de Saint</w:t>
      </w:r>
      <w:r w:rsidR="00984A6F">
        <w:rPr>
          <w:rFonts w:cs="Arial"/>
        </w:rPr>
        <w:noBreakHyphen/>
      </w:r>
      <w:r w:rsidRPr="005F593E">
        <w:rPr>
          <w:rFonts w:cs="Arial"/>
        </w:rPr>
        <w:t>Jérôme, sous réserve de difficultés d’ordre pédagogique, jusqu’à la fin de l’année d’engagement suivant l’échéance de son dernier contrat dans la discipline de la charge d’enseignement, si elle ou il pose sa candidature selon les modalités prévues à la convention collective.</w:t>
      </w:r>
    </w:p>
    <w:p w14:paraId="25A78F22" w14:textId="77777777" w:rsidR="002356D4" w:rsidRPr="005F593E" w:rsidRDefault="002356D4" w:rsidP="007F120F">
      <w:pPr>
        <w:pStyle w:val="ListParagraph"/>
        <w:suppressAutoHyphens/>
        <w:autoSpaceDE w:val="0"/>
        <w:autoSpaceDN w:val="0"/>
        <w:adjustRightInd w:val="0"/>
        <w:ind w:left="0"/>
        <w:contextualSpacing/>
        <w:rPr>
          <w:rFonts w:cs="Arial"/>
        </w:rPr>
      </w:pPr>
    </w:p>
    <w:p w14:paraId="282AD6CE" w14:textId="47A8231E" w:rsidR="002356D4" w:rsidRPr="005F593E" w:rsidRDefault="002356D4" w:rsidP="007F120F">
      <w:pPr>
        <w:keepNext w:val="0"/>
        <w:ind w:left="567" w:hanging="567"/>
        <w:rPr>
          <w:rFonts w:cs="Arial"/>
          <w:szCs w:val="24"/>
        </w:rPr>
      </w:pPr>
      <w:r w:rsidRPr="005F593E">
        <w:t>05.</w:t>
      </w:r>
      <w:r w:rsidRPr="005F593E">
        <w:tab/>
        <w:t>À compter de l’année d’engagement 2017</w:t>
      </w:r>
      <w:r w:rsidR="00984A6F">
        <w:noBreakHyphen/>
      </w:r>
      <w:r w:rsidRPr="005F593E">
        <w:t>2018, pour le Centre d’études collégiales de Mont</w:t>
      </w:r>
      <w:r w:rsidR="00984A6F">
        <w:noBreakHyphen/>
      </w:r>
      <w:r w:rsidRPr="005F593E">
        <w:t>Laurier, l’alinéa a) de la clause</w:t>
      </w:r>
      <w:r w:rsidR="001167BD">
        <w:t> </w:t>
      </w:r>
      <w:r w:rsidRPr="005F593E">
        <w:t>5</w:t>
      </w:r>
      <w:r w:rsidR="00984A6F">
        <w:noBreakHyphen/>
      </w:r>
      <w:r w:rsidRPr="005F593E">
        <w:t>4.17 est modifié en ajoutant le sous</w:t>
      </w:r>
      <w:r w:rsidR="00984A6F">
        <w:noBreakHyphen/>
      </w:r>
      <w:r w:rsidRPr="005F593E">
        <w:t>alinéa</w:t>
      </w:r>
      <w:r w:rsidR="00D14291">
        <w:t> </w:t>
      </w:r>
      <w:r w:rsidRPr="005F593E">
        <w:t xml:space="preserve">14 </w:t>
      </w:r>
      <w:r w:rsidRPr="005F593E">
        <w:rPr>
          <w:rFonts w:cs="Arial"/>
        </w:rPr>
        <w:t>et en numérotant les sous</w:t>
      </w:r>
      <w:r w:rsidR="00984A6F">
        <w:rPr>
          <w:rFonts w:cs="Arial"/>
        </w:rPr>
        <w:noBreakHyphen/>
      </w:r>
      <w:r w:rsidRPr="005F593E">
        <w:rPr>
          <w:rFonts w:cs="Arial"/>
        </w:rPr>
        <w:t>alinéas</w:t>
      </w:r>
      <w:r w:rsidR="001167BD">
        <w:rPr>
          <w:rFonts w:cs="Arial"/>
        </w:rPr>
        <w:t> </w:t>
      </w:r>
      <w:r w:rsidRPr="005F593E">
        <w:rPr>
          <w:rFonts w:cs="Arial"/>
        </w:rPr>
        <w:t>14 et les suivants, en conséquence</w:t>
      </w:r>
      <w:r w:rsidR="00D8581B">
        <w:rPr>
          <w:rFonts w:cs="Arial"/>
        </w:rPr>
        <w:t> :</w:t>
      </w:r>
    </w:p>
    <w:p w14:paraId="0E7F734E" w14:textId="77777777" w:rsidR="002356D4" w:rsidRPr="005F593E" w:rsidRDefault="002356D4" w:rsidP="007F120F">
      <w:pPr>
        <w:keepNext w:val="0"/>
        <w:autoSpaceDE w:val="0"/>
        <w:autoSpaceDN w:val="0"/>
        <w:adjustRightInd w:val="0"/>
        <w:ind w:left="360"/>
        <w:rPr>
          <w:rFonts w:cs="Arial"/>
          <w:u w:val="single"/>
        </w:rPr>
      </w:pPr>
    </w:p>
    <w:p w14:paraId="4A774257" w14:textId="4C108827" w:rsidR="002356D4" w:rsidRPr="005F593E" w:rsidRDefault="002356D4" w:rsidP="004F71C1">
      <w:pPr>
        <w:pStyle w:val="ListParagraph"/>
        <w:numPr>
          <w:ilvl w:val="0"/>
          <w:numId w:val="29"/>
        </w:numPr>
        <w:suppressAutoHyphens/>
        <w:ind w:left="993" w:hanging="426"/>
        <w:rPr>
          <w:rFonts w:cs="Arial"/>
        </w:rPr>
      </w:pPr>
      <w:r w:rsidRPr="005F593E">
        <w:rPr>
          <w:rFonts w:cs="Arial"/>
        </w:rPr>
        <w:t>l’enseignante ou l’enseignant non permanent du Centre d’études collégiales de Mont</w:t>
      </w:r>
      <w:r w:rsidR="00984A6F">
        <w:rPr>
          <w:rFonts w:cs="Arial"/>
        </w:rPr>
        <w:noBreakHyphen/>
      </w:r>
      <w:r w:rsidRPr="005F593E">
        <w:rPr>
          <w:rFonts w:cs="Arial"/>
        </w:rPr>
        <w:t>Tremblant qui n’a pas d’ancienneté au Centre d’études collégiales de Mont</w:t>
      </w:r>
      <w:r w:rsidR="00984A6F">
        <w:rPr>
          <w:rFonts w:cs="Arial"/>
        </w:rPr>
        <w:noBreakHyphen/>
      </w:r>
      <w:r w:rsidRPr="005F593E">
        <w:rPr>
          <w:rFonts w:cs="Arial"/>
        </w:rPr>
        <w:t>Laurier, sous réserve de difficultés d’ordre pédagogique, jusqu’à la fin de l’année d’engagement suivant l’échéance de son dernier contrat dans la discipline du poste, si elle ou il pose sa candidature selon les modalités prévues à la convention collective.</w:t>
      </w:r>
    </w:p>
    <w:p w14:paraId="5C38D6A0" w14:textId="77777777" w:rsidR="002356D4" w:rsidRPr="00316277" w:rsidRDefault="002356D4" w:rsidP="007F120F">
      <w:pPr>
        <w:keepNext w:val="0"/>
        <w:autoSpaceDE w:val="0"/>
        <w:autoSpaceDN w:val="0"/>
        <w:adjustRightInd w:val="0"/>
        <w:rPr>
          <w:rFonts w:cs="Arial"/>
          <w:u w:val="single"/>
        </w:rPr>
      </w:pPr>
    </w:p>
    <w:p w14:paraId="0B8E9BDC" w14:textId="26AC91EC" w:rsidR="002356D4" w:rsidRPr="005F593E" w:rsidRDefault="002356D4" w:rsidP="007F120F">
      <w:pPr>
        <w:keepNext w:val="0"/>
        <w:ind w:left="567" w:hanging="567"/>
        <w:rPr>
          <w:rFonts w:cs="Arial"/>
          <w:szCs w:val="24"/>
        </w:rPr>
      </w:pPr>
      <w:r w:rsidRPr="005F593E">
        <w:t>06.</w:t>
      </w:r>
      <w:r w:rsidRPr="005F593E">
        <w:tab/>
        <w:t>À compter de l’année d’engagement 2017</w:t>
      </w:r>
      <w:r w:rsidR="00984A6F">
        <w:noBreakHyphen/>
      </w:r>
      <w:r w:rsidRPr="005F593E">
        <w:t>2018, pour le Centre d’études collégiales de Mont</w:t>
      </w:r>
      <w:r w:rsidR="00984A6F">
        <w:noBreakHyphen/>
      </w:r>
      <w:r w:rsidRPr="005F593E">
        <w:t>Laurier, l’alinéa</w:t>
      </w:r>
      <w:r w:rsidR="00D14291">
        <w:t> </w:t>
      </w:r>
      <w:r w:rsidRPr="005F593E">
        <w:t>b) de la clause</w:t>
      </w:r>
      <w:r w:rsidR="001167BD">
        <w:t> </w:t>
      </w:r>
      <w:r w:rsidRPr="005F593E">
        <w:t>5</w:t>
      </w:r>
      <w:r w:rsidR="00984A6F">
        <w:noBreakHyphen/>
      </w:r>
      <w:r w:rsidRPr="005F593E">
        <w:t>4.17 est modifié en insérant le sous</w:t>
      </w:r>
      <w:r w:rsidR="00984A6F">
        <w:noBreakHyphen/>
      </w:r>
      <w:r w:rsidRPr="005F593E">
        <w:t>alinéa</w:t>
      </w:r>
      <w:r w:rsidR="001167BD">
        <w:t> </w:t>
      </w:r>
      <w:r w:rsidRPr="005F593E">
        <w:t xml:space="preserve">6 </w:t>
      </w:r>
      <w:r w:rsidRPr="005F593E">
        <w:rPr>
          <w:rFonts w:cs="Arial"/>
        </w:rPr>
        <w:t>et en numérotant les sous</w:t>
      </w:r>
      <w:r w:rsidR="00984A6F">
        <w:rPr>
          <w:rFonts w:cs="Arial"/>
        </w:rPr>
        <w:noBreakHyphen/>
      </w:r>
      <w:r w:rsidRPr="005F593E">
        <w:rPr>
          <w:rFonts w:cs="Arial"/>
        </w:rPr>
        <w:t>alinéas</w:t>
      </w:r>
      <w:r w:rsidR="001167BD">
        <w:rPr>
          <w:rFonts w:cs="Arial"/>
        </w:rPr>
        <w:t> </w:t>
      </w:r>
      <w:r w:rsidRPr="005F593E">
        <w:rPr>
          <w:rFonts w:cs="Arial"/>
        </w:rPr>
        <w:t>6 et les suivants, en conséquence</w:t>
      </w:r>
      <w:r w:rsidR="00D8581B">
        <w:rPr>
          <w:rFonts w:cs="Arial"/>
        </w:rPr>
        <w:t> :</w:t>
      </w:r>
    </w:p>
    <w:p w14:paraId="78FDF154" w14:textId="77777777" w:rsidR="002356D4" w:rsidRPr="005F593E" w:rsidRDefault="002356D4" w:rsidP="007F120F">
      <w:pPr>
        <w:pStyle w:val="ListParagraph"/>
        <w:suppressAutoHyphens/>
        <w:autoSpaceDE w:val="0"/>
        <w:autoSpaceDN w:val="0"/>
        <w:adjustRightInd w:val="0"/>
        <w:rPr>
          <w:rFonts w:cs="Arial"/>
          <w:u w:val="single"/>
        </w:rPr>
      </w:pPr>
    </w:p>
    <w:p w14:paraId="41201C60" w14:textId="399AC17A" w:rsidR="002356D4" w:rsidRPr="005F593E" w:rsidRDefault="002356D4" w:rsidP="004F71C1">
      <w:pPr>
        <w:pStyle w:val="ListParagraph"/>
        <w:numPr>
          <w:ilvl w:val="0"/>
          <w:numId w:val="30"/>
        </w:numPr>
        <w:suppressAutoHyphens/>
        <w:ind w:left="993" w:hanging="426"/>
        <w:rPr>
          <w:rFonts w:cs="Arial"/>
        </w:rPr>
      </w:pPr>
      <w:r w:rsidRPr="005F593E">
        <w:rPr>
          <w:rFonts w:cs="Arial"/>
        </w:rPr>
        <w:t>l’enseignante ou l’enseignant non permanent du Centre d’études collégiales de Mont</w:t>
      </w:r>
      <w:r w:rsidR="00984A6F">
        <w:rPr>
          <w:rFonts w:cs="Arial"/>
        </w:rPr>
        <w:noBreakHyphen/>
      </w:r>
      <w:r w:rsidRPr="005F593E">
        <w:rPr>
          <w:rFonts w:cs="Arial"/>
        </w:rPr>
        <w:t>Tremblant qui n’a pas d’ancienneté au Centre d’études collégiales de Mont</w:t>
      </w:r>
      <w:r w:rsidR="00984A6F">
        <w:rPr>
          <w:rFonts w:cs="Arial"/>
        </w:rPr>
        <w:noBreakHyphen/>
      </w:r>
      <w:r w:rsidRPr="005F593E">
        <w:rPr>
          <w:rFonts w:cs="Arial"/>
        </w:rPr>
        <w:t>Laurier, sous réserve de difficultés d’ordre pédagogique, jusqu’à la fin de l’année d’engagement suivant l’échéance de son dernier contrat dans la discipline de la charge d’enseignement, si elle ou il pose sa candidature selon les modalités prévues à la convention collective.</w:t>
      </w:r>
    </w:p>
    <w:p w14:paraId="07ED6845" w14:textId="77777777" w:rsidR="002356D4" w:rsidRPr="00316277" w:rsidRDefault="000B066F" w:rsidP="007F120F">
      <w:pPr>
        <w:keepNext w:val="0"/>
        <w:autoSpaceDE w:val="0"/>
        <w:autoSpaceDN w:val="0"/>
        <w:adjustRightInd w:val="0"/>
        <w:ind w:left="708"/>
        <w:rPr>
          <w:rFonts w:cs="Arial"/>
          <w:u w:val="single"/>
        </w:rPr>
      </w:pPr>
      <w:r w:rsidRPr="00316277">
        <w:rPr>
          <w:rFonts w:cs="Arial"/>
          <w:u w:val="single"/>
        </w:rPr>
        <w:br w:type="page"/>
      </w:r>
    </w:p>
    <w:p w14:paraId="39C5C6EE" w14:textId="5C74366B" w:rsidR="002356D4" w:rsidRPr="005F593E" w:rsidRDefault="002356D4" w:rsidP="007F120F">
      <w:pPr>
        <w:keepNext w:val="0"/>
        <w:ind w:left="567" w:hanging="567"/>
      </w:pPr>
      <w:r w:rsidRPr="005F593E">
        <w:t>07.</w:t>
      </w:r>
      <w:r w:rsidRPr="005F593E">
        <w:tab/>
        <w:t>Depuis l’année d’engagement 2011</w:t>
      </w:r>
      <w:r w:rsidR="00984A6F">
        <w:noBreakHyphen/>
      </w:r>
      <w:r w:rsidRPr="005F593E">
        <w:t>2012, pour une année d’engagement donnée, l’enseignante ou l’enseignant du Cégep de Saint</w:t>
      </w:r>
      <w:r w:rsidR="00984A6F">
        <w:noBreakHyphen/>
      </w:r>
      <w:r w:rsidRPr="005F593E">
        <w:t>Jérôme qui est assuré d’une charge d’enseignement à temps complet peut obtenir une libération (CI</w:t>
      </w:r>
      <w:r w:rsidRPr="005F593E">
        <w:rPr>
          <w:bCs/>
          <w:vertAlign w:val="subscript"/>
        </w:rPr>
        <w:t>L</w:t>
      </w:r>
      <w:r w:rsidRPr="005F593E">
        <w:t>) afin d’occuper une charge d’enseignement à temps partiel au Centre d’études collégiales de Mont</w:t>
      </w:r>
      <w:r w:rsidR="00984A6F">
        <w:noBreakHyphen/>
      </w:r>
      <w:r w:rsidRPr="005F593E">
        <w:t>Tremblant; dans ce cas, la CI</w:t>
      </w:r>
      <w:r w:rsidRPr="005F593E">
        <w:rPr>
          <w:bCs/>
          <w:vertAlign w:val="subscript"/>
        </w:rPr>
        <w:t>L</w:t>
      </w:r>
      <w:r w:rsidRPr="005F593E">
        <w:t xml:space="preserve"> correspond à la charge assumée au Centre d’études collégiales de Mont</w:t>
      </w:r>
      <w:r w:rsidR="00984A6F">
        <w:noBreakHyphen/>
      </w:r>
      <w:r w:rsidRPr="005F593E">
        <w:t>Tremblant. Toutefois, avant de prendre une décision relative à l’octroi de la libération, le Collège doit convoquer le Comité des relations du travail (CRT).</w:t>
      </w:r>
    </w:p>
    <w:p w14:paraId="736D6436" w14:textId="77777777" w:rsidR="002356D4" w:rsidRPr="005F593E" w:rsidRDefault="002356D4" w:rsidP="007F120F">
      <w:pPr>
        <w:keepNext w:val="0"/>
      </w:pPr>
    </w:p>
    <w:p w14:paraId="46AA5DF5" w14:textId="501C3B14" w:rsidR="002356D4" w:rsidRDefault="002356D4" w:rsidP="007F120F">
      <w:pPr>
        <w:keepNext w:val="0"/>
        <w:ind w:left="567" w:hanging="567"/>
      </w:pPr>
      <w:r w:rsidRPr="005F593E">
        <w:t>08.</w:t>
      </w:r>
      <w:r w:rsidRPr="005F593E">
        <w:tab/>
        <w:t>À compter de l’année d’engagement 2017</w:t>
      </w:r>
      <w:r w:rsidR="00984A6F">
        <w:noBreakHyphen/>
      </w:r>
      <w:r w:rsidRPr="005F593E">
        <w:t>2018, pour une année d’engagement donnée, l’enseignante ou l’enseignant du Centre d’études collégiales de Mont</w:t>
      </w:r>
      <w:r w:rsidR="00984A6F">
        <w:noBreakHyphen/>
      </w:r>
      <w:r w:rsidRPr="005F593E">
        <w:t>Tremblant qui est assuré d’une charge d’enseignement à temps complet peut obtenir une libération (CI</w:t>
      </w:r>
      <w:r w:rsidRPr="005F593E">
        <w:rPr>
          <w:bCs/>
          <w:vertAlign w:val="subscript"/>
        </w:rPr>
        <w:t>L</w:t>
      </w:r>
      <w:r w:rsidRPr="005F593E">
        <w:t>) afin d’occuper une charge d’enseignement à temps partiel au Cégep de Saint</w:t>
      </w:r>
      <w:r w:rsidR="00984A6F">
        <w:noBreakHyphen/>
      </w:r>
      <w:r w:rsidRPr="005F593E">
        <w:t>Jérôme; dans ce cas, la CI</w:t>
      </w:r>
      <w:r w:rsidRPr="005F593E">
        <w:rPr>
          <w:bCs/>
          <w:vertAlign w:val="subscript"/>
        </w:rPr>
        <w:t>L</w:t>
      </w:r>
      <w:r w:rsidRPr="005F593E">
        <w:t xml:space="preserve"> correspond à la charge assumée au Cégep de Saint</w:t>
      </w:r>
      <w:r w:rsidR="00984A6F">
        <w:noBreakHyphen/>
      </w:r>
      <w:r w:rsidRPr="005F593E">
        <w:t>Jérôme. Toutefois, avant de prendre une décision relative à l’octroi de la libération, le Collège doit convoquer le CRT.</w:t>
      </w:r>
    </w:p>
    <w:p w14:paraId="7E0E78B9" w14:textId="4AFFE894" w:rsidR="00894348" w:rsidRPr="00A25029" w:rsidRDefault="0070101F" w:rsidP="007F120F">
      <w:pPr>
        <w:pStyle w:val="Heading3"/>
        <w:keepNext w:val="0"/>
      </w:pPr>
      <w:r w:rsidRPr="00026EC1">
        <w:rPr>
          <w:bCs/>
        </w:rPr>
        <w:br w:type="page"/>
      </w:r>
      <w:bookmarkStart w:id="1357" w:name="_Toc462751590"/>
      <w:bookmarkStart w:id="1358" w:name="_Toc484082607"/>
      <w:bookmarkStart w:id="1359" w:name="_Toc168479605"/>
      <w:bookmarkStart w:id="1360" w:name="_Toc393449465"/>
      <w:r w:rsidR="00894348" w:rsidRPr="00026EC1">
        <w:t>Annexe III</w:t>
      </w:r>
      <w:r w:rsidR="002F5A0C">
        <w:t>-</w:t>
      </w:r>
      <w:r w:rsidR="00F738A5" w:rsidRPr="00A25029">
        <w:t>1</w:t>
      </w:r>
      <w:r w:rsidR="00D0725F" w:rsidRPr="00316277">
        <w:t>2</w:t>
      </w:r>
      <w:r w:rsidR="00894348" w:rsidRPr="00A25029">
        <w:br/>
      </w:r>
      <w:r w:rsidR="00894348" w:rsidRPr="00A25029">
        <w:br/>
        <w:t xml:space="preserve">Annexe relative au Centre d’études collégiales (CEC) </w:t>
      </w:r>
      <w:r w:rsidR="00894348" w:rsidRPr="00A25029">
        <w:br/>
        <w:t>de la Tuque du Collège Shawinigan</w:t>
      </w:r>
      <w:bookmarkEnd w:id="1357"/>
      <w:bookmarkEnd w:id="1358"/>
      <w:bookmarkEnd w:id="1359"/>
    </w:p>
    <w:p w14:paraId="0C3A44FA" w14:textId="77777777" w:rsidR="00894348" w:rsidRPr="00A25029" w:rsidRDefault="00894348" w:rsidP="007F120F">
      <w:pPr>
        <w:keepNext w:val="0"/>
        <w:tabs>
          <w:tab w:val="left" w:pos="567"/>
        </w:tabs>
        <w:ind w:left="567" w:hanging="567"/>
        <w:rPr>
          <w:rFonts w:cs="Arial"/>
        </w:rPr>
      </w:pPr>
      <w:r w:rsidRPr="00A25029">
        <w:rPr>
          <w:rFonts w:cs="Arial"/>
        </w:rPr>
        <w:t>1.</w:t>
      </w:r>
      <w:r w:rsidRPr="00A25029">
        <w:rPr>
          <w:rFonts w:cs="Arial"/>
        </w:rPr>
        <w:tab/>
        <w:t>Le Collège Shawinigan et le CEC de La Tuque sont considérés comme un seul et même collège aux fins de l’application des dispositions de la convention collective.</w:t>
      </w:r>
    </w:p>
    <w:p w14:paraId="3274D05C" w14:textId="77777777" w:rsidR="00894348" w:rsidRPr="00A25029" w:rsidRDefault="00894348" w:rsidP="007F120F">
      <w:pPr>
        <w:keepNext w:val="0"/>
        <w:tabs>
          <w:tab w:val="num" w:pos="360"/>
        </w:tabs>
        <w:rPr>
          <w:rFonts w:cs="Arial"/>
        </w:rPr>
      </w:pPr>
    </w:p>
    <w:p w14:paraId="466A3356" w14:textId="2AED9D58" w:rsidR="00894348" w:rsidRPr="00026EC1" w:rsidRDefault="00894348" w:rsidP="007F120F">
      <w:pPr>
        <w:keepNext w:val="0"/>
        <w:tabs>
          <w:tab w:val="left" w:pos="567"/>
        </w:tabs>
        <w:ind w:left="567" w:hanging="567"/>
        <w:rPr>
          <w:rFonts w:cs="Arial"/>
        </w:rPr>
      </w:pPr>
      <w:r w:rsidRPr="00A25029">
        <w:rPr>
          <w:rFonts w:cs="Arial"/>
        </w:rPr>
        <w:t>2.</w:t>
      </w:r>
      <w:r w:rsidRPr="00A25029">
        <w:rPr>
          <w:rFonts w:cs="Arial"/>
        </w:rPr>
        <w:tab/>
        <w:t>Les dispositions du mode de financement pour l’enseignement régulier (Annexe</w:t>
      </w:r>
      <w:r w:rsidR="00E51A9E" w:rsidRPr="00A25029">
        <w:rPr>
          <w:rFonts w:cs="Arial"/>
        </w:rPr>
        <w:t> </w:t>
      </w:r>
      <w:r w:rsidR="001A5029" w:rsidRPr="00A25029">
        <w:rPr>
          <w:rFonts w:cs="Arial"/>
        </w:rPr>
        <w:t xml:space="preserve">E102 </w:t>
      </w:r>
      <w:r w:rsidRPr="00A25029">
        <w:rPr>
          <w:rFonts w:cs="Arial"/>
        </w:rPr>
        <w:t xml:space="preserve">du </w:t>
      </w:r>
      <w:r w:rsidRPr="00A25029">
        <w:rPr>
          <w:rFonts w:cs="Arial"/>
          <w:i/>
        </w:rPr>
        <w:t>Régime budgétaire et financier</w:t>
      </w:r>
      <w:r w:rsidRPr="00026EC1">
        <w:rPr>
          <w:rFonts w:cs="Arial"/>
          <w:i/>
        </w:rPr>
        <w:t xml:space="preserve"> des cégeps</w:t>
      </w:r>
      <w:r w:rsidRPr="00026EC1">
        <w:rPr>
          <w:rFonts w:cs="Arial"/>
        </w:rPr>
        <w:t xml:space="preserve"> et clause 8</w:t>
      </w:r>
      <w:r w:rsidR="00984A6F">
        <w:rPr>
          <w:rFonts w:cs="Arial"/>
        </w:rPr>
        <w:noBreakHyphen/>
      </w:r>
      <w:r w:rsidRPr="00026EC1">
        <w:rPr>
          <w:rFonts w:cs="Arial"/>
        </w:rPr>
        <w:t>5.01 de la convention collective) s’appliquent aux activités d’enseignement collégial réalisées par le CEC de La Tuque du Collège Shawinigan.</w:t>
      </w:r>
    </w:p>
    <w:p w14:paraId="734042E1" w14:textId="77777777" w:rsidR="00894348" w:rsidRPr="00026EC1" w:rsidRDefault="00894348" w:rsidP="007F120F">
      <w:pPr>
        <w:keepNext w:val="0"/>
        <w:tabs>
          <w:tab w:val="num" w:pos="360"/>
        </w:tabs>
        <w:rPr>
          <w:rFonts w:cs="Arial"/>
        </w:rPr>
      </w:pPr>
    </w:p>
    <w:p w14:paraId="0352AD60" w14:textId="15E91B71" w:rsidR="00894348" w:rsidRPr="00026EC1" w:rsidRDefault="00894348" w:rsidP="007F120F">
      <w:pPr>
        <w:keepNext w:val="0"/>
        <w:tabs>
          <w:tab w:val="left" w:pos="567"/>
        </w:tabs>
        <w:ind w:left="567" w:hanging="567"/>
        <w:rPr>
          <w:rFonts w:cs="Arial"/>
        </w:rPr>
      </w:pPr>
      <w:r w:rsidRPr="00026EC1">
        <w:rPr>
          <w:rFonts w:cs="Arial"/>
        </w:rPr>
        <w:t>3.</w:t>
      </w:r>
      <w:r w:rsidRPr="00026EC1">
        <w:rPr>
          <w:rFonts w:cs="Arial"/>
        </w:rPr>
        <w:tab/>
        <w:t>Aux fins de la détermination du nombre de postes dans chaque discipline (clause</w:t>
      </w:r>
      <w:r w:rsidR="00D14291">
        <w:rPr>
          <w:rFonts w:cs="Arial"/>
        </w:rPr>
        <w:t> </w:t>
      </w:r>
      <w:r w:rsidRPr="00026EC1">
        <w:rPr>
          <w:rFonts w:cs="Arial"/>
        </w:rPr>
        <w:t>8</w:t>
      </w:r>
      <w:r w:rsidR="00984A6F">
        <w:rPr>
          <w:rFonts w:cs="Arial"/>
        </w:rPr>
        <w:noBreakHyphen/>
      </w:r>
      <w:r w:rsidRPr="00026EC1">
        <w:rPr>
          <w:rFonts w:cs="Arial"/>
        </w:rPr>
        <w:t>5.09 de la convention collective), le nombre d’enseignantes et d’enseignants alloué à une discipline pour de la formation donnée au CEC de La Tuque n’est pas considéré. Tout poste additionnel qui résulterait de la prise en compte du nombre d’enseignantes et d’enseignants alloué à une discipline pour de la formation donnée seulement au CEC de La Tuque est alors comblé en tant que charge à temps complet.</w:t>
      </w:r>
    </w:p>
    <w:p w14:paraId="15D1E444" w14:textId="77777777" w:rsidR="00894348" w:rsidRPr="00026EC1" w:rsidRDefault="00894348" w:rsidP="007F120F">
      <w:pPr>
        <w:pStyle w:val="ListParagraph"/>
        <w:suppressAutoHyphens/>
        <w:ind w:left="0"/>
        <w:rPr>
          <w:rFonts w:cs="Arial"/>
        </w:rPr>
      </w:pPr>
    </w:p>
    <w:p w14:paraId="302EB483" w14:textId="4FA37A29" w:rsidR="00894348" w:rsidRPr="00026EC1" w:rsidRDefault="00894348" w:rsidP="007F120F">
      <w:pPr>
        <w:keepNext w:val="0"/>
        <w:tabs>
          <w:tab w:val="left" w:pos="567"/>
        </w:tabs>
        <w:ind w:left="567" w:hanging="567"/>
        <w:rPr>
          <w:rFonts w:cs="Arial"/>
        </w:rPr>
      </w:pPr>
      <w:r w:rsidRPr="00026EC1">
        <w:rPr>
          <w:rFonts w:cs="Arial"/>
        </w:rPr>
        <w:t>4.</w:t>
      </w:r>
      <w:r w:rsidRPr="00026EC1">
        <w:rPr>
          <w:rFonts w:cs="Arial"/>
        </w:rPr>
        <w:tab/>
        <w:t>Les dispositions de la présente annexe s’appliquent à compter de l’année d’engagement 2010</w:t>
      </w:r>
      <w:r w:rsidR="00984A6F">
        <w:rPr>
          <w:rFonts w:cs="Arial"/>
        </w:rPr>
        <w:noBreakHyphen/>
      </w:r>
      <w:r w:rsidRPr="00026EC1">
        <w:rPr>
          <w:rFonts w:cs="Arial"/>
        </w:rPr>
        <w:t>2011.</w:t>
      </w:r>
    </w:p>
    <w:p w14:paraId="0ACFCBBA" w14:textId="77777777" w:rsidR="00894348" w:rsidRPr="00026EC1" w:rsidRDefault="00894348" w:rsidP="007F120F">
      <w:pPr>
        <w:pStyle w:val="ListParagraph"/>
        <w:suppressAutoHyphens/>
        <w:ind w:left="0"/>
        <w:rPr>
          <w:rFonts w:cs="Arial"/>
        </w:rPr>
      </w:pPr>
    </w:p>
    <w:p w14:paraId="60C752A5" w14:textId="318304DD" w:rsidR="00894348" w:rsidRPr="00026EC1" w:rsidRDefault="00894348" w:rsidP="007F120F">
      <w:pPr>
        <w:keepNext w:val="0"/>
        <w:tabs>
          <w:tab w:val="left" w:pos="567"/>
        </w:tabs>
        <w:ind w:left="567" w:hanging="567"/>
        <w:rPr>
          <w:rFonts w:cs="Arial"/>
        </w:rPr>
      </w:pPr>
      <w:r w:rsidRPr="00026EC1">
        <w:rPr>
          <w:rFonts w:cs="Arial"/>
        </w:rPr>
        <w:t>5.</w:t>
      </w:r>
      <w:r w:rsidRPr="00026EC1">
        <w:rPr>
          <w:rFonts w:cs="Arial"/>
        </w:rPr>
        <w:tab/>
        <w:t>Advenant un changement concernant le statut du CEC de La Tuque, entre autres dans le cas où, pendant cinq</w:t>
      </w:r>
      <w:r w:rsidR="001167BD">
        <w:rPr>
          <w:rFonts w:cs="Arial"/>
        </w:rPr>
        <w:t> </w:t>
      </w:r>
      <w:r w:rsidRPr="00026EC1">
        <w:rPr>
          <w:rFonts w:cs="Arial"/>
        </w:rPr>
        <w:t>(5) ans, le nombre d’étudiantes et d’étudiants atteindrait cent cinquante</w:t>
      </w:r>
      <w:r w:rsidR="001167BD">
        <w:rPr>
          <w:rFonts w:cs="Arial"/>
        </w:rPr>
        <w:t> </w:t>
      </w:r>
      <w:r w:rsidRPr="00026EC1">
        <w:rPr>
          <w:rFonts w:cs="Arial"/>
        </w:rPr>
        <w:t>(150), les parties conviennent de rediscuter les dispositions de la présente.</w:t>
      </w:r>
    </w:p>
    <w:p w14:paraId="59BA66FF" w14:textId="568A62C9" w:rsidR="001F1806" w:rsidRPr="00026EC1" w:rsidRDefault="00894348" w:rsidP="007F120F">
      <w:pPr>
        <w:pStyle w:val="Heading3"/>
        <w:keepNext w:val="0"/>
        <w:rPr>
          <w:bCs/>
        </w:rPr>
      </w:pPr>
      <w:r>
        <w:rPr>
          <w:bCs/>
        </w:rPr>
        <w:br w:type="page"/>
      </w:r>
      <w:bookmarkStart w:id="1361" w:name="_Toc462751592"/>
      <w:bookmarkStart w:id="1362" w:name="_Toc484082609"/>
      <w:bookmarkStart w:id="1363" w:name="_Toc168479606"/>
      <w:r>
        <w:t>Annexe </w:t>
      </w:r>
      <w:r w:rsidRPr="00A25029">
        <w:t>III</w:t>
      </w:r>
      <w:r w:rsidR="002F5A0C">
        <w:t>-</w:t>
      </w:r>
      <w:r w:rsidR="00C60383" w:rsidRPr="00A25029">
        <w:t>1</w:t>
      </w:r>
      <w:r w:rsidR="00D0725F" w:rsidRPr="00316277">
        <w:t>3</w:t>
      </w:r>
      <w:r w:rsidR="00661FEE" w:rsidRPr="00A25029">
        <w:br/>
      </w:r>
      <w:r w:rsidR="00661FEE" w:rsidRPr="00A25029">
        <w:br/>
        <w:t>Anne</w:t>
      </w:r>
      <w:bookmarkEnd w:id="1360"/>
      <w:r w:rsidRPr="00A25029">
        <w:t>xe relative à l’École des pêches et</w:t>
      </w:r>
      <w:r w:rsidRPr="00603CD7">
        <w:t xml:space="preserve"> de l’aquaculture </w:t>
      </w:r>
      <w:r w:rsidR="00965754" w:rsidRPr="00603CD7">
        <w:br/>
      </w:r>
      <w:r w:rsidRPr="00603CD7">
        <w:t>du Québec du Cégep de la Gaspésie et des îles</w:t>
      </w:r>
      <w:bookmarkEnd w:id="1361"/>
      <w:bookmarkEnd w:id="1362"/>
      <w:bookmarkEnd w:id="1363"/>
    </w:p>
    <w:p w14:paraId="3C71B775" w14:textId="4ED92FBB" w:rsidR="003163C7" w:rsidRPr="00FC44D2" w:rsidRDefault="003163C7" w:rsidP="004F71C1">
      <w:pPr>
        <w:pStyle w:val="ListParagraph"/>
        <w:numPr>
          <w:ilvl w:val="0"/>
          <w:numId w:val="20"/>
        </w:numPr>
        <w:spacing w:line="259" w:lineRule="auto"/>
        <w:ind w:left="567" w:right="-19" w:hanging="567"/>
        <w:contextualSpacing/>
        <w:rPr>
          <w:rFonts w:cs="Arial"/>
        </w:rPr>
      </w:pPr>
      <w:r w:rsidRPr="00FC44D2">
        <w:rPr>
          <w:rFonts w:cs="Arial"/>
        </w:rPr>
        <w:t>La charge d’enseignement d’une enseignante ou d’un enseignant engagé par l’École des pêches et de l’a</w:t>
      </w:r>
      <w:r>
        <w:rPr>
          <w:rFonts w:cs="Arial"/>
        </w:rPr>
        <w:t xml:space="preserve">quaculture </w:t>
      </w:r>
      <w:r w:rsidRPr="00FC44D2">
        <w:rPr>
          <w:rFonts w:cs="Arial"/>
        </w:rPr>
        <w:t>du Québec</w:t>
      </w:r>
      <w:r>
        <w:rPr>
          <w:rFonts w:cs="Arial"/>
        </w:rPr>
        <w:t xml:space="preserve"> (E</w:t>
      </w:r>
      <w:r w:rsidRPr="00FC44D2">
        <w:rPr>
          <w:rFonts w:cs="Arial"/>
        </w:rPr>
        <w:t xml:space="preserve">PAQ) dans la discipline </w:t>
      </w:r>
      <w:r w:rsidRPr="00FC44D2">
        <w:rPr>
          <w:rFonts w:cs="Arial"/>
          <w:i/>
        </w:rPr>
        <w:t xml:space="preserve">231 – Techniques de </w:t>
      </w:r>
      <w:r>
        <w:rPr>
          <w:rFonts w:cs="Arial"/>
          <w:i/>
        </w:rPr>
        <w:t xml:space="preserve">la </w:t>
      </w:r>
      <w:r w:rsidRPr="00FC44D2">
        <w:rPr>
          <w:rFonts w:cs="Arial"/>
          <w:i/>
        </w:rPr>
        <w:t>pêche</w:t>
      </w:r>
      <w:r w:rsidRPr="00FC44D2">
        <w:rPr>
          <w:rFonts w:cs="Arial"/>
        </w:rPr>
        <w:t xml:space="preserve"> peut être constituée</w:t>
      </w:r>
      <w:r w:rsidR="00D8581B">
        <w:rPr>
          <w:rFonts w:cs="Arial"/>
        </w:rPr>
        <w:t> :</w:t>
      </w:r>
    </w:p>
    <w:p w14:paraId="7197D972" w14:textId="77777777" w:rsidR="003163C7" w:rsidRPr="00FC44D2" w:rsidRDefault="003163C7" w:rsidP="007F120F">
      <w:pPr>
        <w:keepNext w:val="0"/>
        <w:ind w:right="-19" w:hanging="993"/>
        <w:rPr>
          <w:szCs w:val="24"/>
        </w:rPr>
      </w:pPr>
    </w:p>
    <w:p w14:paraId="697DD15D" w14:textId="77777777" w:rsidR="003163C7" w:rsidRPr="00FC44D2" w:rsidRDefault="003163C7" w:rsidP="004F71C1">
      <w:pPr>
        <w:pStyle w:val="ListParagraph"/>
        <w:numPr>
          <w:ilvl w:val="0"/>
          <w:numId w:val="22"/>
        </w:numPr>
        <w:tabs>
          <w:tab w:val="left" w:pos="993"/>
        </w:tabs>
        <w:spacing w:line="259" w:lineRule="auto"/>
        <w:ind w:left="1560" w:right="-19" w:hanging="993"/>
        <w:contextualSpacing/>
        <w:rPr>
          <w:rFonts w:cs="Arial"/>
        </w:rPr>
      </w:pPr>
      <w:r w:rsidRPr="00FC44D2">
        <w:rPr>
          <w:rFonts w:cs="Arial"/>
        </w:rPr>
        <w:t xml:space="preserve">de cours uniquement de l’enseignement collégial; </w:t>
      </w:r>
    </w:p>
    <w:p w14:paraId="1AD5CCCE" w14:textId="77777777" w:rsidR="003163C7" w:rsidRPr="00FC44D2" w:rsidRDefault="003163C7" w:rsidP="004F71C1">
      <w:pPr>
        <w:pStyle w:val="ListParagraph"/>
        <w:numPr>
          <w:ilvl w:val="0"/>
          <w:numId w:val="22"/>
        </w:numPr>
        <w:tabs>
          <w:tab w:val="left" w:pos="993"/>
        </w:tabs>
        <w:spacing w:line="259" w:lineRule="auto"/>
        <w:ind w:left="1560" w:right="-19" w:hanging="993"/>
        <w:contextualSpacing/>
        <w:rPr>
          <w:rFonts w:cs="Arial"/>
        </w:rPr>
      </w:pPr>
      <w:r w:rsidRPr="00FC44D2">
        <w:rPr>
          <w:rFonts w:cs="Arial"/>
        </w:rPr>
        <w:t>de cours uniquement de l’enseignement de l’ordre secondaire</w:t>
      </w:r>
      <w:r>
        <w:rPr>
          <w:rFonts w:cs="Arial"/>
        </w:rPr>
        <w:t>;</w:t>
      </w:r>
    </w:p>
    <w:p w14:paraId="171EC385" w14:textId="77777777" w:rsidR="003163C7" w:rsidRPr="00FC44D2" w:rsidRDefault="003163C7" w:rsidP="004F71C1">
      <w:pPr>
        <w:pStyle w:val="ListParagraph"/>
        <w:numPr>
          <w:ilvl w:val="1"/>
          <w:numId w:val="22"/>
        </w:numPr>
        <w:tabs>
          <w:tab w:val="left" w:pos="993"/>
        </w:tabs>
        <w:spacing w:line="259" w:lineRule="auto"/>
        <w:ind w:left="993" w:right="-19" w:hanging="426"/>
        <w:contextualSpacing/>
        <w:rPr>
          <w:rFonts w:cs="Arial"/>
        </w:rPr>
      </w:pPr>
      <w:r w:rsidRPr="00FC44D2">
        <w:rPr>
          <w:rFonts w:cs="Arial"/>
        </w:rPr>
        <w:t>pour une partie, de cours de l’enseigneme</w:t>
      </w:r>
      <w:r w:rsidR="007F0388">
        <w:rPr>
          <w:rFonts w:cs="Arial"/>
        </w:rPr>
        <w:t xml:space="preserve">nt collégial et, pour une autre </w:t>
      </w:r>
      <w:r w:rsidRPr="00FC44D2">
        <w:rPr>
          <w:rFonts w:cs="Arial"/>
        </w:rPr>
        <w:t>partie, de cours de l’enseignement de l’ordre secondaire.</w:t>
      </w:r>
    </w:p>
    <w:p w14:paraId="292388BF" w14:textId="77777777" w:rsidR="003163C7" w:rsidRPr="00FC44D2" w:rsidRDefault="003163C7" w:rsidP="007F120F">
      <w:pPr>
        <w:keepNext w:val="0"/>
        <w:ind w:left="360" w:right="-19" w:hanging="993"/>
        <w:rPr>
          <w:szCs w:val="24"/>
        </w:rPr>
      </w:pPr>
    </w:p>
    <w:p w14:paraId="5341CC8B" w14:textId="5BE06164" w:rsidR="003163C7" w:rsidRPr="00FC44D2" w:rsidRDefault="003163C7" w:rsidP="004F71C1">
      <w:pPr>
        <w:pStyle w:val="ListParagraph"/>
        <w:numPr>
          <w:ilvl w:val="0"/>
          <w:numId w:val="20"/>
        </w:numPr>
        <w:spacing w:line="259" w:lineRule="auto"/>
        <w:ind w:left="567" w:right="-19" w:hanging="567"/>
        <w:contextualSpacing/>
        <w:rPr>
          <w:rFonts w:cs="Arial"/>
        </w:rPr>
      </w:pPr>
      <w:r w:rsidRPr="00FC44D2">
        <w:rPr>
          <w:rFonts w:cs="Arial"/>
        </w:rPr>
        <w:t xml:space="preserve">L’enseignante ou l’enseignant qui donne des cours à l’École des pêches et de l’aquaculture du Québec (EPAQ) du Cégep de la Gaspésie et des </w:t>
      </w:r>
      <w:r>
        <w:rPr>
          <w:rFonts w:cs="Arial"/>
        </w:rPr>
        <w:t>Î</w:t>
      </w:r>
      <w:r w:rsidRPr="00FC44D2">
        <w:rPr>
          <w:rFonts w:cs="Arial"/>
        </w:rPr>
        <w:t>les est assujetti à la convention collective à l’exception de l’échelle de traitement prévue à l’Annexe</w:t>
      </w:r>
      <w:r w:rsidR="00E51A9E">
        <w:rPr>
          <w:rFonts w:cs="Arial"/>
        </w:rPr>
        <w:t> </w:t>
      </w:r>
      <w:r w:rsidRPr="00FC44D2">
        <w:rPr>
          <w:rFonts w:cs="Arial"/>
        </w:rPr>
        <w:t>VI</w:t>
      </w:r>
      <w:r w:rsidR="00E51A9E">
        <w:rPr>
          <w:rFonts w:ascii="Cambria Math" w:hAnsi="Cambria Math" w:cs="Arial"/>
        </w:rPr>
        <w:t>‑</w:t>
      </w:r>
      <w:r w:rsidRPr="00FC44D2">
        <w:rPr>
          <w:rFonts w:cs="Arial"/>
        </w:rPr>
        <w:t>1 qui s’applique selon les conditions suivantes</w:t>
      </w:r>
      <w:r w:rsidR="00D8581B">
        <w:rPr>
          <w:rFonts w:cs="Arial"/>
        </w:rPr>
        <w:t> :</w:t>
      </w:r>
    </w:p>
    <w:p w14:paraId="1E50E370" w14:textId="77777777" w:rsidR="003163C7" w:rsidRPr="00FC44D2" w:rsidRDefault="003163C7" w:rsidP="007F120F">
      <w:pPr>
        <w:pStyle w:val="ListParagraph"/>
        <w:ind w:right="-19" w:hanging="993"/>
        <w:rPr>
          <w:rFonts w:cs="Arial"/>
        </w:rPr>
      </w:pPr>
    </w:p>
    <w:p w14:paraId="20320B98" w14:textId="29B3B394" w:rsidR="003163C7" w:rsidRPr="00FC44D2" w:rsidRDefault="003163C7" w:rsidP="004F71C1">
      <w:pPr>
        <w:pStyle w:val="ListParagraph"/>
        <w:numPr>
          <w:ilvl w:val="0"/>
          <w:numId w:val="21"/>
        </w:numPr>
        <w:spacing w:line="259" w:lineRule="auto"/>
        <w:ind w:left="993" w:right="-19" w:hanging="426"/>
        <w:contextualSpacing/>
        <w:rPr>
          <w:rFonts w:cs="Arial"/>
        </w:rPr>
      </w:pPr>
      <w:r w:rsidRPr="00FC44D2">
        <w:rPr>
          <w:rFonts w:cs="Arial"/>
        </w:rPr>
        <w:t xml:space="preserve">Au cours d’une même année d’engagement, lorsque la charge d’enseignement d’une enseignante ou d’un enseignant à temps complet ou à temps partiel est composée uniquement de cours de l’enseignement collégial, l’échelle de traitement est celle prévue à </w:t>
      </w:r>
      <w:r w:rsidR="00E51A9E" w:rsidRPr="00FC44D2">
        <w:rPr>
          <w:rFonts w:cs="Arial"/>
        </w:rPr>
        <w:t>l’Annexe</w:t>
      </w:r>
      <w:r w:rsidR="00E51A9E">
        <w:rPr>
          <w:rFonts w:cs="Arial"/>
        </w:rPr>
        <w:t> </w:t>
      </w:r>
      <w:r w:rsidR="00E51A9E" w:rsidRPr="00FC44D2">
        <w:rPr>
          <w:rFonts w:cs="Arial"/>
        </w:rPr>
        <w:t>VI</w:t>
      </w:r>
      <w:r w:rsidR="00E51A9E">
        <w:rPr>
          <w:rFonts w:ascii="Cambria Math" w:hAnsi="Cambria Math" w:cs="Arial"/>
        </w:rPr>
        <w:t>‑</w:t>
      </w:r>
      <w:r w:rsidR="00E51A9E" w:rsidRPr="00FC44D2">
        <w:rPr>
          <w:rFonts w:cs="Arial"/>
        </w:rPr>
        <w:t>1</w:t>
      </w:r>
      <w:r w:rsidRPr="00FC44D2">
        <w:rPr>
          <w:rFonts w:cs="Arial"/>
        </w:rPr>
        <w:t xml:space="preserve">. </w:t>
      </w:r>
    </w:p>
    <w:p w14:paraId="3AF379C5" w14:textId="77777777" w:rsidR="003163C7" w:rsidRDefault="003163C7" w:rsidP="007F120F">
      <w:pPr>
        <w:pStyle w:val="ListParagraph"/>
        <w:ind w:left="1418" w:right="-19" w:hanging="993"/>
        <w:rPr>
          <w:rFonts w:cs="Arial"/>
        </w:rPr>
      </w:pPr>
    </w:p>
    <w:p w14:paraId="29935335" w14:textId="5C9AEFC4" w:rsidR="003163C7" w:rsidRPr="00FC44D2" w:rsidRDefault="003163C7" w:rsidP="004F71C1">
      <w:pPr>
        <w:pStyle w:val="ListParagraph"/>
        <w:numPr>
          <w:ilvl w:val="0"/>
          <w:numId w:val="21"/>
        </w:numPr>
        <w:spacing w:line="259" w:lineRule="auto"/>
        <w:ind w:left="993" w:right="-19" w:hanging="426"/>
        <w:contextualSpacing/>
        <w:rPr>
          <w:rFonts w:cs="Arial"/>
        </w:rPr>
      </w:pPr>
      <w:r w:rsidRPr="00FC44D2">
        <w:rPr>
          <w:rFonts w:cs="Arial"/>
        </w:rPr>
        <w:t>Au cours d’une même année d’engagement, lorsque la charge d’enseignement d’une enseignante ou d’un enseignant à temps complet ou à temps partiel est composée de moins de 25</w:t>
      </w:r>
      <w:r w:rsidR="00714A15">
        <w:rPr>
          <w:rFonts w:cs="Arial"/>
        </w:rPr>
        <w:t> %</w:t>
      </w:r>
      <w:r w:rsidRPr="00FC44D2">
        <w:rPr>
          <w:rFonts w:cs="Arial"/>
        </w:rPr>
        <w:t xml:space="preserve"> de cours de l’enseignement de l’ordre secondaire, l’échelle salariale applicable est celle prévue à </w:t>
      </w:r>
      <w:r w:rsidR="00E51A9E" w:rsidRPr="00FC44D2">
        <w:rPr>
          <w:rFonts w:cs="Arial"/>
        </w:rPr>
        <w:t>l’Annexe</w:t>
      </w:r>
      <w:r w:rsidR="00E51A9E">
        <w:rPr>
          <w:rFonts w:cs="Arial"/>
        </w:rPr>
        <w:t> </w:t>
      </w:r>
      <w:r w:rsidR="00E51A9E" w:rsidRPr="00FC44D2">
        <w:rPr>
          <w:rFonts w:cs="Arial"/>
        </w:rPr>
        <w:t>VI</w:t>
      </w:r>
      <w:r w:rsidR="00E51A9E">
        <w:rPr>
          <w:rFonts w:ascii="Cambria Math" w:hAnsi="Cambria Math" w:cs="Arial"/>
        </w:rPr>
        <w:t>‑</w:t>
      </w:r>
      <w:r w:rsidR="00E51A9E" w:rsidRPr="00FC44D2">
        <w:rPr>
          <w:rFonts w:cs="Arial"/>
        </w:rPr>
        <w:t>1</w:t>
      </w:r>
      <w:r w:rsidRPr="00FC44D2">
        <w:rPr>
          <w:rFonts w:cs="Arial"/>
        </w:rPr>
        <w:t>.</w:t>
      </w:r>
    </w:p>
    <w:p w14:paraId="13EBED86" w14:textId="77777777" w:rsidR="003163C7" w:rsidRPr="00FC44D2" w:rsidRDefault="003163C7" w:rsidP="007F120F">
      <w:pPr>
        <w:keepNext w:val="0"/>
        <w:ind w:left="1418" w:right="-19" w:hanging="993"/>
        <w:rPr>
          <w:szCs w:val="24"/>
          <w:lang w:eastAsia="fr-CA"/>
        </w:rPr>
      </w:pPr>
    </w:p>
    <w:p w14:paraId="5D03FC47" w14:textId="0C13F83C" w:rsidR="003163C7" w:rsidRPr="00FC44D2" w:rsidRDefault="003163C7" w:rsidP="004F71C1">
      <w:pPr>
        <w:pStyle w:val="ListParagraph"/>
        <w:numPr>
          <w:ilvl w:val="0"/>
          <w:numId w:val="21"/>
        </w:numPr>
        <w:spacing w:line="259" w:lineRule="auto"/>
        <w:ind w:left="993" w:right="-19" w:hanging="426"/>
        <w:contextualSpacing/>
        <w:rPr>
          <w:rFonts w:cs="Arial"/>
        </w:rPr>
      </w:pPr>
      <w:r w:rsidRPr="00FC44D2">
        <w:rPr>
          <w:rFonts w:cs="Arial"/>
        </w:rPr>
        <w:t>Au cours d’une même année d’engagement, lorsque la charge d’enseignement d’une enseignante ou d’un enseignant à temps complet ou à temps partiel est composée de vingt</w:t>
      </w:r>
      <w:r w:rsidR="00984A6F">
        <w:rPr>
          <w:rFonts w:cs="Arial"/>
        </w:rPr>
        <w:noBreakHyphen/>
      </w:r>
      <w:r w:rsidRPr="00FC44D2">
        <w:rPr>
          <w:rFonts w:cs="Arial"/>
        </w:rPr>
        <w:t>cinq pour cent</w:t>
      </w:r>
      <w:r w:rsidR="00D14291">
        <w:rPr>
          <w:rFonts w:cs="Arial"/>
        </w:rPr>
        <w:t> </w:t>
      </w:r>
      <w:r w:rsidRPr="00FC44D2">
        <w:rPr>
          <w:rFonts w:cs="Arial"/>
        </w:rPr>
        <w:t>(25</w:t>
      </w:r>
      <w:r w:rsidR="00714A15">
        <w:rPr>
          <w:rFonts w:cs="Arial"/>
        </w:rPr>
        <w:t> %</w:t>
      </w:r>
      <w:r w:rsidRPr="00FC44D2">
        <w:rPr>
          <w:rFonts w:cs="Arial"/>
        </w:rPr>
        <w:t xml:space="preserve">) et plus de cours de l’enseignement de l’ordre secondaire, l’échelle de traitement est celle prévue à </w:t>
      </w:r>
      <w:r w:rsidR="00E51A9E" w:rsidRPr="00FC44D2">
        <w:rPr>
          <w:rFonts w:cs="Arial"/>
        </w:rPr>
        <w:t>l’Annexe</w:t>
      </w:r>
      <w:r w:rsidR="00E51A9E">
        <w:rPr>
          <w:rFonts w:cs="Arial"/>
        </w:rPr>
        <w:t> </w:t>
      </w:r>
      <w:r w:rsidR="00E51A9E" w:rsidRPr="00FC44D2">
        <w:rPr>
          <w:rFonts w:cs="Arial"/>
        </w:rPr>
        <w:t>VI</w:t>
      </w:r>
      <w:r w:rsidR="00E51A9E">
        <w:rPr>
          <w:rFonts w:ascii="Cambria Math" w:hAnsi="Cambria Math" w:cs="Arial"/>
        </w:rPr>
        <w:t>‑</w:t>
      </w:r>
      <w:r w:rsidR="00E51A9E" w:rsidRPr="00FC44D2">
        <w:rPr>
          <w:rFonts w:cs="Arial"/>
        </w:rPr>
        <w:t>1</w:t>
      </w:r>
      <w:r w:rsidRPr="00FC44D2">
        <w:rPr>
          <w:rFonts w:cs="Arial"/>
        </w:rPr>
        <w:t>, à l’exception des dispositions relatives aux échelons</w:t>
      </w:r>
      <w:r w:rsidR="00D14291">
        <w:rPr>
          <w:rFonts w:cs="Arial"/>
        </w:rPr>
        <w:t> </w:t>
      </w:r>
      <w:r w:rsidRPr="00FC44D2">
        <w:rPr>
          <w:rFonts w:cs="Arial"/>
        </w:rPr>
        <w:t>18, 19 et 20.</w:t>
      </w:r>
    </w:p>
    <w:p w14:paraId="7CF21E62" w14:textId="77777777" w:rsidR="003163C7" w:rsidRPr="00FC44D2" w:rsidRDefault="003163C7" w:rsidP="007F120F">
      <w:pPr>
        <w:keepNext w:val="0"/>
        <w:ind w:left="360" w:right="-19" w:hanging="993"/>
        <w:rPr>
          <w:szCs w:val="24"/>
          <w:lang w:eastAsia="fr-CA"/>
        </w:rPr>
      </w:pPr>
    </w:p>
    <w:p w14:paraId="564C24A9" w14:textId="77777777" w:rsidR="006921C3" w:rsidRDefault="003163C7" w:rsidP="004F71C1">
      <w:pPr>
        <w:pStyle w:val="ListParagraph"/>
        <w:numPr>
          <w:ilvl w:val="0"/>
          <w:numId w:val="20"/>
        </w:numPr>
        <w:spacing w:line="259" w:lineRule="auto"/>
        <w:ind w:left="567" w:right="-19" w:hanging="567"/>
        <w:contextualSpacing/>
        <w:rPr>
          <w:rFonts w:cs="Arial"/>
        </w:rPr>
        <w:sectPr w:rsidR="006921C3" w:rsidSect="002B176A">
          <w:headerReference w:type="default" r:id="rId47"/>
          <w:footnotePr>
            <w:numRestart w:val="eachPage"/>
          </w:footnotePr>
          <w:pgSz w:w="12240" w:h="15840" w:code="1"/>
          <w:pgMar w:top="720" w:right="1077" w:bottom="1242" w:left="1684" w:header="709" w:footer="709" w:gutter="0"/>
          <w:cols w:space="708"/>
          <w:docGrid w:linePitch="360"/>
        </w:sectPr>
      </w:pPr>
      <w:r w:rsidRPr="00610580">
        <w:rPr>
          <w:rFonts w:cs="Arial"/>
        </w:rPr>
        <w:t>Les enseignantes et les enseignants de l’École des pêches et de l’aquaculture du Québec</w:t>
      </w:r>
      <w:r w:rsidR="00D14291">
        <w:rPr>
          <w:rFonts w:cs="Arial"/>
        </w:rPr>
        <w:t> </w:t>
      </w:r>
      <w:r w:rsidRPr="00610580">
        <w:rPr>
          <w:rFonts w:cs="Arial"/>
        </w:rPr>
        <w:t>(EPAQ) cumulent leur ancienneté selon les dispositions de l’article</w:t>
      </w:r>
      <w:r w:rsidR="00D14291">
        <w:rPr>
          <w:rFonts w:cs="Arial"/>
        </w:rPr>
        <w:t> </w:t>
      </w:r>
      <w:r w:rsidRPr="00610580">
        <w:rPr>
          <w:rFonts w:cs="Arial"/>
        </w:rPr>
        <w:t>5</w:t>
      </w:r>
      <w:r w:rsidR="00984A6F">
        <w:rPr>
          <w:rFonts w:cs="Arial"/>
        </w:rPr>
        <w:noBreakHyphen/>
      </w:r>
      <w:r w:rsidRPr="00610580">
        <w:rPr>
          <w:rFonts w:cs="Arial"/>
        </w:rPr>
        <w:t xml:space="preserve">3.00, et ce, incluant toutes les années d’engagement au cours desquelles elles ou ils ont donné des cours de l’enseignement de l’ordre secondaire. </w:t>
      </w:r>
    </w:p>
    <w:p w14:paraId="17F1F12B" w14:textId="6A86AB74" w:rsidR="00404F34" w:rsidRPr="00026EC1" w:rsidRDefault="00BC4A82" w:rsidP="00BE26AA">
      <w:pPr>
        <w:pStyle w:val="Heading1"/>
        <w:keepNext w:val="0"/>
        <w:tabs>
          <w:tab w:val="left" w:pos="1701"/>
          <w:tab w:val="left" w:pos="1985"/>
        </w:tabs>
        <w:spacing w:after="120"/>
      </w:pPr>
      <w:bookmarkStart w:id="1364" w:name="_Toc133760873"/>
      <w:bookmarkStart w:id="1365" w:name="_Toc133917021"/>
      <w:bookmarkStart w:id="1366" w:name="_Toc134437295"/>
      <w:bookmarkStart w:id="1367" w:name="_Toc393449467"/>
      <w:r w:rsidRPr="00026EC1">
        <w:t>SECTION IV</w:t>
      </w:r>
      <w:r w:rsidR="002F28D4">
        <w:t xml:space="preserve"> </w:t>
      </w:r>
      <w:r w:rsidR="002F5A0C">
        <w:t>-</w:t>
      </w:r>
      <w:r w:rsidR="002F28D4">
        <w:t xml:space="preserve"> </w:t>
      </w:r>
      <w:r w:rsidR="00404F34" w:rsidRPr="00026EC1">
        <w:t>GRIEFS ET ARBITRAGE</w:t>
      </w:r>
      <w:bookmarkEnd w:id="1340"/>
      <w:bookmarkEnd w:id="1364"/>
      <w:bookmarkEnd w:id="1365"/>
      <w:bookmarkEnd w:id="1366"/>
      <w:bookmarkEnd w:id="1367"/>
      <w:r w:rsidR="00D75E48" w:rsidRPr="0035151D">
        <w:fldChar w:fldCharType="begin"/>
      </w:r>
      <w:r w:rsidR="00D75E48" w:rsidRPr="0035151D">
        <w:instrText xml:space="preserve"> TC " </w:instrText>
      </w:r>
      <w:bookmarkStart w:id="1368" w:name="_Toc94954721"/>
      <w:bookmarkStart w:id="1369" w:name="_Toc94966398"/>
      <w:bookmarkStart w:id="1370" w:name="_Toc95035273"/>
      <w:bookmarkStart w:id="1371" w:name="_Toc95035416"/>
      <w:bookmarkStart w:id="1372" w:name="_Toc95035559"/>
      <w:bookmarkStart w:id="1373" w:name="_Toc95035704"/>
      <w:bookmarkStart w:id="1374" w:name="_Toc157589329"/>
      <w:bookmarkStart w:id="1375" w:name="_Toc161323782"/>
      <w:bookmarkStart w:id="1376" w:name="_Toc163483122"/>
      <w:bookmarkStart w:id="1377" w:name="_Toc163483721"/>
      <w:bookmarkStart w:id="1378" w:name="_Toc163483911"/>
      <w:bookmarkStart w:id="1379" w:name="_Toc167870881"/>
      <w:bookmarkStart w:id="1380" w:name="_Toc167871045"/>
      <w:bookmarkStart w:id="1381" w:name="_Toc167871201"/>
      <w:bookmarkStart w:id="1382" w:name="_Toc167871377"/>
      <w:bookmarkStart w:id="1383" w:name="_Toc168049446"/>
      <w:bookmarkStart w:id="1384" w:name="_Toc168401610"/>
      <w:bookmarkStart w:id="1385" w:name="_Toc168402226"/>
      <w:bookmarkStart w:id="1386" w:name="_Toc168409662"/>
      <w:bookmarkStart w:id="1387" w:name="_Toc168410416"/>
      <w:bookmarkStart w:id="1388" w:name="_Toc168410662"/>
      <w:bookmarkStart w:id="1389" w:name="_Toc168410903"/>
      <w:bookmarkStart w:id="1390" w:name="_Toc168479608"/>
      <w:r w:rsidR="00D75E48">
        <w:instrText>section iV</w:instrText>
      </w:r>
      <w:r w:rsidR="00D75E48" w:rsidRPr="0035151D">
        <w:instrText xml:space="preserve">  </w:instrText>
      </w:r>
      <w:r w:rsidR="00984A6F">
        <w:noBreakHyphen/>
      </w:r>
      <w:r w:rsidR="00D75E48" w:rsidRPr="0035151D">
        <w:instrText xml:space="preserve">  </w:instrText>
      </w:r>
      <w:r w:rsidR="00D75E48">
        <w:instrText>griefs et arbitrages</w:instrTex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rsidR="00D75E48" w:rsidRPr="0035151D">
        <w:instrText>"\N</w:instrText>
      </w:r>
      <w:r w:rsidR="00D75E48" w:rsidRPr="0035151D">
        <w:fldChar w:fldCharType="end"/>
      </w:r>
    </w:p>
    <w:p w14:paraId="37BDAC67" w14:textId="198EA277" w:rsidR="00404F34" w:rsidRPr="00026EC1" w:rsidRDefault="00972456" w:rsidP="00A77073">
      <w:pPr>
        <w:pStyle w:val="Heading3"/>
        <w:keepNext w:val="0"/>
        <w:spacing w:after="120"/>
      </w:pPr>
      <w:bookmarkStart w:id="1391" w:name="_Toc535046699"/>
      <w:bookmarkStart w:id="1392" w:name="_Toc133760874"/>
      <w:bookmarkStart w:id="1393" w:name="_Toc133917022"/>
      <w:bookmarkStart w:id="1394" w:name="_Toc134437296"/>
      <w:bookmarkStart w:id="1395" w:name="_Toc393449469"/>
      <w:bookmarkStart w:id="1396" w:name="_Toc462751595"/>
      <w:bookmarkStart w:id="1397" w:name="_Toc484082614"/>
      <w:bookmarkStart w:id="1398" w:name="_Toc168479609"/>
      <w:r w:rsidRPr="00026EC1">
        <w:t>Annexe IV</w:t>
      </w:r>
      <w:r w:rsidR="002F5A0C">
        <w:t>-</w:t>
      </w:r>
      <w:r w:rsidRPr="00026EC1">
        <w:t>1</w:t>
      </w:r>
      <w:bookmarkEnd w:id="1391"/>
      <w:bookmarkEnd w:id="1392"/>
      <w:bookmarkEnd w:id="1393"/>
      <w:bookmarkEnd w:id="1394"/>
      <w:r w:rsidRPr="00026EC1">
        <w:br/>
      </w:r>
      <w:r w:rsidRPr="00026EC1">
        <w:br/>
      </w:r>
      <w:bookmarkStart w:id="1399" w:name="_Toc535046700"/>
      <w:bookmarkStart w:id="1400" w:name="_Toc133760875"/>
      <w:r w:rsidRPr="00026EC1">
        <w:t>Formulaire de grief</w:t>
      </w:r>
      <w:bookmarkEnd w:id="1395"/>
      <w:bookmarkEnd w:id="1396"/>
      <w:bookmarkEnd w:id="1397"/>
      <w:bookmarkEnd w:id="1398"/>
      <w:bookmarkEnd w:id="1399"/>
      <w:bookmarkEnd w:id="1400"/>
    </w:p>
    <w:tbl>
      <w:tblPr>
        <w:tblW w:w="0" w:type="auto"/>
        <w:tblCellMar>
          <w:left w:w="70" w:type="dxa"/>
          <w:right w:w="70" w:type="dxa"/>
        </w:tblCellMar>
        <w:tblLook w:val="0000" w:firstRow="0" w:lastRow="0" w:firstColumn="0" w:lastColumn="0" w:noHBand="0" w:noVBand="0"/>
      </w:tblPr>
      <w:tblGrid>
        <w:gridCol w:w="1140"/>
        <w:gridCol w:w="997"/>
        <w:gridCol w:w="1036"/>
        <w:gridCol w:w="104"/>
        <w:gridCol w:w="1027"/>
        <w:gridCol w:w="357"/>
        <w:gridCol w:w="656"/>
        <w:gridCol w:w="1076"/>
        <w:gridCol w:w="82"/>
        <w:gridCol w:w="705"/>
        <w:gridCol w:w="2299"/>
      </w:tblGrid>
      <w:tr w:rsidR="00743E8A" w:rsidRPr="00026EC1" w14:paraId="31D8CD8F" w14:textId="77777777" w:rsidTr="00820C3C">
        <w:tc>
          <w:tcPr>
            <w:tcW w:w="3277" w:type="dxa"/>
            <w:gridSpan w:val="4"/>
          </w:tcPr>
          <w:p w14:paraId="470167D0" w14:textId="77777777" w:rsidR="00743E8A" w:rsidRPr="00026EC1" w:rsidRDefault="00743E8A" w:rsidP="007F120F">
            <w:pPr>
              <w:keepNext w:val="0"/>
              <w:rPr>
                <w:smallCaps/>
                <w:sz w:val="23"/>
                <w:szCs w:val="23"/>
              </w:rPr>
            </w:pPr>
            <w:bookmarkStart w:id="1401" w:name="_Toc535046701"/>
          </w:p>
        </w:tc>
        <w:tc>
          <w:tcPr>
            <w:tcW w:w="3116" w:type="dxa"/>
            <w:gridSpan w:val="4"/>
          </w:tcPr>
          <w:p w14:paraId="1BF86EAF" w14:textId="77777777" w:rsidR="00743E8A" w:rsidRPr="00026EC1" w:rsidRDefault="00743E8A" w:rsidP="007F120F">
            <w:pPr>
              <w:keepNext w:val="0"/>
              <w:jc w:val="right"/>
              <w:rPr>
                <w:smallCaps/>
                <w:sz w:val="23"/>
                <w:szCs w:val="23"/>
              </w:rPr>
            </w:pPr>
            <w:r w:rsidRPr="00026EC1">
              <w:rPr>
                <w:smallCaps/>
                <w:sz w:val="23"/>
                <w:szCs w:val="23"/>
              </w:rPr>
              <w:t>Grief n</w:t>
            </w:r>
            <w:r w:rsidRPr="00026EC1">
              <w:rPr>
                <w:smallCaps/>
                <w:sz w:val="23"/>
                <w:szCs w:val="23"/>
                <w:vertAlign w:val="superscript"/>
              </w:rPr>
              <w:t>o</w:t>
            </w:r>
          </w:p>
        </w:tc>
        <w:tc>
          <w:tcPr>
            <w:tcW w:w="3086" w:type="dxa"/>
            <w:gridSpan w:val="3"/>
            <w:tcBorders>
              <w:bottom w:val="single" w:sz="4" w:space="0" w:color="auto"/>
            </w:tcBorders>
          </w:tcPr>
          <w:p w14:paraId="24BAEB12" w14:textId="77777777" w:rsidR="00743E8A" w:rsidRPr="00026EC1" w:rsidRDefault="00743E8A" w:rsidP="007F120F">
            <w:pPr>
              <w:keepNext w:val="0"/>
              <w:rPr>
                <w:smallCaps/>
                <w:sz w:val="23"/>
                <w:szCs w:val="23"/>
              </w:rPr>
            </w:pPr>
          </w:p>
        </w:tc>
      </w:tr>
      <w:tr w:rsidR="00743E8A" w:rsidRPr="00026EC1" w14:paraId="2FD2588D" w14:textId="77777777" w:rsidTr="00820C3C">
        <w:trPr>
          <w:cantSplit/>
        </w:trPr>
        <w:tc>
          <w:tcPr>
            <w:tcW w:w="9479" w:type="dxa"/>
            <w:gridSpan w:val="11"/>
          </w:tcPr>
          <w:p w14:paraId="6552AD61" w14:textId="77777777" w:rsidR="00743E8A" w:rsidRPr="00026EC1" w:rsidRDefault="00743E8A" w:rsidP="007F120F">
            <w:pPr>
              <w:keepNext w:val="0"/>
              <w:rPr>
                <w:bCs/>
                <w:smallCaps/>
                <w:sz w:val="23"/>
                <w:szCs w:val="23"/>
              </w:rPr>
            </w:pPr>
          </w:p>
        </w:tc>
      </w:tr>
      <w:tr w:rsidR="00743E8A" w:rsidRPr="00026EC1" w14:paraId="7FB1AB06" w14:textId="77777777" w:rsidTr="00820C3C">
        <w:trPr>
          <w:cantSplit/>
        </w:trPr>
        <w:tc>
          <w:tcPr>
            <w:tcW w:w="9479" w:type="dxa"/>
            <w:gridSpan w:val="11"/>
          </w:tcPr>
          <w:p w14:paraId="339BEBCB" w14:textId="77777777" w:rsidR="00743E8A" w:rsidRPr="00026EC1" w:rsidRDefault="00743E8A" w:rsidP="007F120F">
            <w:pPr>
              <w:keepNext w:val="0"/>
              <w:jc w:val="center"/>
              <w:rPr>
                <w:b/>
                <w:bCs/>
                <w:smallCaps/>
                <w:sz w:val="23"/>
                <w:szCs w:val="23"/>
              </w:rPr>
            </w:pPr>
            <w:r w:rsidRPr="00026EC1">
              <w:rPr>
                <w:b/>
                <w:bCs/>
                <w:smallCaps/>
                <w:sz w:val="23"/>
                <w:szCs w:val="23"/>
              </w:rPr>
              <w:t>Fédération nationale des enseignantes et des enseignants du québec ( fneeq</w:t>
            </w:r>
            <w:r w:rsidR="00AA4AD7" w:rsidRPr="00026EC1">
              <w:rPr>
                <w:b/>
                <w:bCs/>
                <w:smallCaps/>
                <w:sz w:val="23"/>
                <w:szCs w:val="23"/>
              </w:rPr>
              <w:t> </w:t>
            </w:r>
            <w:r w:rsidRPr="00026EC1">
              <w:rPr>
                <w:b/>
                <w:bCs/>
                <w:smallCaps/>
                <w:sz w:val="23"/>
                <w:szCs w:val="23"/>
              </w:rPr>
              <w:t>(csn) )</w:t>
            </w:r>
          </w:p>
        </w:tc>
      </w:tr>
      <w:tr w:rsidR="00743E8A" w:rsidRPr="00026EC1" w14:paraId="015C60E6" w14:textId="77777777" w:rsidTr="00820C3C">
        <w:tc>
          <w:tcPr>
            <w:tcW w:w="3277" w:type="dxa"/>
            <w:gridSpan w:val="4"/>
          </w:tcPr>
          <w:p w14:paraId="5DFB150A" w14:textId="77777777" w:rsidR="00743E8A" w:rsidRPr="00026EC1" w:rsidRDefault="00743E8A" w:rsidP="007F120F">
            <w:pPr>
              <w:keepNext w:val="0"/>
              <w:rPr>
                <w:sz w:val="23"/>
                <w:szCs w:val="23"/>
              </w:rPr>
            </w:pPr>
          </w:p>
        </w:tc>
        <w:tc>
          <w:tcPr>
            <w:tcW w:w="2040" w:type="dxa"/>
            <w:gridSpan w:val="3"/>
          </w:tcPr>
          <w:p w14:paraId="04631740" w14:textId="77777777" w:rsidR="00743E8A" w:rsidRPr="00026EC1" w:rsidRDefault="00743E8A" w:rsidP="007F120F">
            <w:pPr>
              <w:keepNext w:val="0"/>
              <w:rPr>
                <w:sz w:val="23"/>
                <w:szCs w:val="23"/>
              </w:rPr>
            </w:pPr>
          </w:p>
        </w:tc>
        <w:tc>
          <w:tcPr>
            <w:tcW w:w="4162" w:type="dxa"/>
            <w:gridSpan w:val="4"/>
          </w:tcPr>
          <w:p w14:paraId="687F93F7" w14:textId="77777777" w:rsidR="00743E8A" w:rsidRPr="00026EC1" w:rsidRDefault="00743E8A" w:rsidP="007F120F">
            <w:pPr>
              <w:keepNext w:val="0"/>
              <w:rPr>
                <w:sz w:val="23"/>
                <w:szCs w:val="23"/>
              </w:rPr>
            </w:pPr>
          </w:p>
        </w:tc>
      </w:tr>
      <w:tr w:rsidR="00743E8A" w:rsidRPr="00026EC1" w14:paraId="32B4D596" w14:textId="77777777" w:rsidTr="00820C3C">
        <w:tc>
          <w:tcPr>
            <w:tcW w:w="3277" w:type="dxa"/>
            <w:gridSpan w:val="4"/>
          </w:tcPr>
          <w:p w14:paraId="4FFDF5D3" w14:textId="323EBFF1" w:rsidR="00743E8A" w:rsidRPr="00026EC1" w:rsidRDefault="00743E8A" w:rsidP="007F120F">
            <w:pPr>
              <w:keepNext w:val="0"/>
              <w:rPr>
                <w:sz w:val="23"/>
                <w:szCs w:val="23"/>
              </w:rPr>
            </w:pPr>
            <w:r w:rsidRPr="00026EC1">
              <w:rPr>
                <w:sz w:val="23"/>
                <w:szCs w:val="23"/>
              </w:rPr>
              <w:t>Nom du syndicat</w:t>
            </w:r>
            <w:r w:rsidR="00D8581B">
              <w:rPr>
                <w:sz w:val="23"/>
                <w:szCs w:val="23"/>
              </w:rPr>
              <w:t> :</w:t>
            </w:r>
          </w:p>
        </w:tc>
        <w:tc>
          <w:tcPr>
            <w:tcW w:w="2040" w:type="dxa"/>
            <w:gridSpan w:val="3"/>
          </w:tcPr>
          <w:p w14:paraId="5CCC882D" w14:textId="77777777" w:rsidR="00743E8A" w:rsidRPr="00026EC1" w:rsidRDefault="00743E8A" w:rsidP="007F120F">
            <w:pPr>
              <w:pStyle w:val="CommentText"/>
              <w:keepNext w:val="0"/>
              <w:tabs>
                <w:tab w:val="clear" w:pos="3969"/>
              </w:tabs>
              <w:rPr>
                <w:sz w:val="23"/>
                <w:szCs w:val="23"/>
              </w:rPr>
            </w:pPr>
          </w:p>
        </w:tc>
        <w:tc>
          <w:tcPr>
            <w:tcW w:w="4162" w:type="dxa"/>
            <w:gridSpan w:val="4"/>
          </w:tcPr>
          <w:p w14:paraId="2D911A90" w14:textId="03EE2D02" w:rsidR="00743E8A" w:rsidRPr="00026EC1" w:rsidRDefault="00743E8A" w:rsidP="007F120F">
            <w:pPr>
              <w:keepNext w:val="0"/>
              <w:rPr>
                <w:sz w:val="23"/>
                <w:szCs w:val="23"/>
              </w:rPr>
            </w:pPr>
            <w:r w:rsidRPr="00026EC1">
              <w:rPr>
                <w:sz w:val="23"/>
                <w:szCs w:val="23"/>
              </w:rPr>
              <w:t>Date de soumission du grief</w:t>
            </w:r>
            <w:r w:rsidR="00D8581B">
              <w:rPr>
                <w:sz w:val="23"/>
                <w:szCs w:val="23"/>
              </w:rPr>
              <w:t> :</w:t>
            </w:r>
          </w:p>
        </w:tc>
      </w:tr>
      <w:tr w:rsidR="00743E8A" w:rsidRPr="00026EC1" w14:paraId="65F86095" w14:textId="77777777" w:rsidTr="00820C3C">
        <w:tc>
          <w:tcPr>
            <w:tcW w:w="4661" w:type="dxa"/>
            <w:gridSpan w:val="6"/>
            <w:tcBorders>
              <w:bottom w:val="single" w:sz="4" w:space="0" w:color="auto"/>
            </w:tcBorders>
          </w:tcPr>
          <w:p w14:paraId="5E72BC13" w14:textId="77777777" w:rsidR="00743E8A" w:rsidRPr="00026EC1" w:rsidRDefault="00743E8A" w:rsidP="007F120F">
            <w:pPr>
              <w:keepNext w:val="0"/>
              <w:rPr>
                <w:sz w:val="23"/>
                <w:szCs w:val="23"/>
              </w:rPr>
            </w:pPr>
          </w:p>
        </w:tc>
        <w:tc>
          <w:tcPr>
            <w:tcW w:w="656" w:type="dxa"/>
          </w:tcPr>
          <w:p w14:paraId="72A603E9"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65F0E7C5" w14:textId="77777777" w:rsidR="00743E8A" w:rsidRPr="00026EC1" w:rsidRDefault="00743E8A" w:rsidP="007F120F">
            <w:pPr>
              <w:keepNext w:val="0"/>
              <w:rPr>
                <w:sz w:val="23"/>
                <w:szCs w:val="23"/>
              </w:rPr>
            </w:pPr>
          </w:p>
        </w:tc>
      </w:tr>
      <w:tr w:rsidR="00743E8A" w:rsidRPr="00026EC1" w14:paraId="30F1EAD4" w14:textId="77777777" w:rsidTr="00820C3C">
        <w:trPr>
          <w:trHeight w:val="129"/>
        </w:trPr>
        <w:tc>
          <w:tcPr>
            <w:tcW w:w="3277" w:type="dxa"/>
            <w:gridSpan w:val="4"/>
            <w:tcBorders>
              <w:top w:val="single" w:sz="4" w:space="0" w:color="auto"/>
            </w:tcBorders>
          </w:tcPr>
          <w:p w14:paraId="049E232D" w14:textId="77777777" w:rsidR="00743E8A" w:rsidRPr="00026EC1" w:rsidRDefault="00743E8A" w:rsidP="007F120F">
            <w:pPr>
              <w:keepNext w:val="0"/>
              <w:rPr>
                <w:sz w:val="23"/>
                <w:szCs w:val="23"/>
              </w:rPr>
            </w:pPr>
          </w:p>
        </w:tc>
        <w:tc>
          <w:tcPr>
            <w:tcW w:w="2040" w:type="dxa"/>
            <w:gridSpan w:val="3"/>
          </w:tcPr>
          <w:p w14:paraId="41B8302B" w14:textId="77777777" w:rsidR="00743E8A" w:rsidRPr="00026EC1" w:rsidRDefault="00743E8A" w:rsidP="007F120F">
            <w:pPr>
              <w:keepNext w:val="0"/>
              <w:rPr>
                <w:sz w:val="23"/>
                <w:szCs w:val="23"/>
              </w:rPr>
            </w:pPr>
          </w:p>
        </w:tc>
        <w:tc>
          <w:tcPr>
            <w:tcW w:w="4162" w:type="dxa"/>
            <w:gridSpan w:val="4"/>
            <w:tcBorders>
              <w:top w:val="single" w:sz="4" w:space="0" w:color="auto"/>
            </w:tcBorders>
          </w:tcPr>
          <w:p w14:paraId="521CABA6" w14:textId="77777777" w:rsidR="00743E8A" w:rsidRPr="00026EC1" w:rsidRDefault="00743E8A" w:rsidP="007F120F">
            <w:pPr>
              <w:keepNext w:val="0"/>
              <w:rPr>
                <w:sz w:val="23"/>
                <w:szCs w:val="23"/>
              </w:rPr>
            </w:pPr>
          </w:p>
        </w:tc>
      </w:tr>
      <w:tr w:rsidR="00743E8A" w:rsidRPr="00026EC1" w14:paraId="2F8B03FD" w14:textId="77777777" w:rsidTr="00820C3C">
        <w:trPr>
          <w:cantSplit/>
        </w:trPr>
        <w:tc>
          <w:tcPr>
            <w:tcW w:w="5317" w:type="dxa"/>
            <w:gridSpan w:val="7"/>
          </w:tcPr>
          <w:p w14:paraId="4BCA9398" w14:textId="77777777" w:rsidR="00743E8A" w:rsidRPr="00026EC1" w:rsidRDefault="00743E8A" w:rsidP="007F120F">
            <w:pPr>
              <w:keepNext w:val="0"/>
              <w:rPr>
                <w:sz w:val="23"/>
                <w:szCs w:val="23"/>
              </w:rPr>
            </w:pPr>
            <w:r w:rsidRPr="00026EC1">
              <w:rPr>
                <w:sz w:val="23"/>
                <w:szCs w:val="23"/>
              </w:rPr>
              <w:t>Nom et prénom de l</w:t>
            </w:r>
            <w:r w:rsidR="00BC3319" w:rsidRPr="00026EC1">
              <w:rPr>
                <w:sz w:val="23"/>
                <w:szCs w:val="23"/>
              </w:rPr>
              <w:t>’</w:t>
            </w:r>
            <w:r w:rsidRPr="00026EC1">
              <w:rPr>
                <w:sz w:val="23"/>
                <w:szCs w:val="23"/>
              </w:rPr>
              <w:t>enseignante</w:t>
            </w:r>
          </w:p>
          <w:p w14:paraId="358CFA1F" w14:textId="5F2A18FD" w:rsidR="00743E8A" w:rsidRPr="00026EC1" w:rsidRDefault="00743E8A" w:rsidP="007F120F">
            <w:pPr>
              <w:keepNext w:val="0"/>
              <w:rPr>
                <w:sz w:val="23"/>
                <w:szCs w:val="23"/>
              </w:rPr>
            </w:pPr>
            <w:r w:rsidRPr="00026EC1">
              <w:rPr>
                <w:sz w:val="23"/>
                <w:szCs w:val="23"/>
              </w:rPr>
              <w:t>ou de l</w:t>
            </w:r>
            <w:r w:rsidR="00BC3319" w:rsidRPr="00026EC1">
              <w:rPr>
                <w:sz w:val="23"/>
                <w:szCs w:val="23"/>
              </w:rPr>
              <w:t>’</w:t>
            </w:r>
            <w:r w:rsidRPr="00026EC1">
              <w:rPr>
                <w:sz w:val="23"/>
                <w:szCs w:val="23"/>
              </w:rPr>
              <w:t>enseignant réclamant</w:t>
            </w:r>
            <w:r w:rsidR="00D8581B">
              <w:rPr>
                <w:sz w:val="23"/>
                <w:szCs w:val="23"/>
              </w:rPr>
              <w:t> :</w:t>
            </w:r>
          </w:p>
        </w:tc>
        <w:tc>
          <w:tcPr>
            <w:tcW w:w="4162" w:type="dxa"/>
            <w:gridSpan w:val="4"/>
          </w:tcPr>
          <w:p w14:paraId="7C64512C" w14:textId="3CA42024" w:rsidR="00743E8A" w:rsidRPr="00026EC1" w:rsidRDefault="00743E8A" w:rsidP="007F120F">
            <w:pPr>
              <w:keepNext w:val="0"/>
              <w:rPr>
                <w:sz w:val="23"/>
                <w:szCs w:val="23"/>
              </w:rPr>
            </w:pPr>
            <w:r w:rsidRPr="00026EC1">
              <w:rPr>
                <w:sz w:val="23"/>
                <w:szCs w:val="23"/>
              </w:rPr>
              <w:t>Nom du collège</w:t>
            </w:r>
            <w:r w:rsidR="00D8581B">
              <w:rPr>
                <w:sz w:val="23"/>
                <w:szCs w:val="23"/>
              </w:rPr>
              <w:t> :</w:t>
            </w:r>
          </w:p>
        </w:tc>
      </w:tr>
      <w:tr w:rsidR="00743E8A" w:rsidRPr="00026EC1" w14:paraId="3728CC30" w14:textId="77777777" w:rsidTr="00820C3C">
        <w:trPr>
          <w:cantSplit/>
        </w:trPr>
        <w:tc>
          <w:tcPr>
            <w:tcW w:w="4661" w:type="dxa"/>
            <w:gridSpan w:val="6"/>
            <w:tcBorders>
              <w:bottom w:val="single" w:sz="4" w:space="0" w:color="auto"/>
            </w:tcBorders>
          </w:tcPr>
          <w:p w14:paraId="0324D642" w14:textId="77777777" w:rsidR="00743E8A" w:rsidRPr="00026EC1" w:rsidRDefault="00743E8A" w:rsidP="007F120F">
            <w:pPr>
              <w:keepNext w:val="0"/>
              <w:rPr>
                <w:sz w:val="23"/>
                <w:szCs w:val="23"/>
              </w:rPr>
            </w:pPr>
          </w:p>
        </w:tc>
        <w:tc>
          <w:tcPr>
            <w:tcW w:w="656" w:type="dxa"/>
          </w:tcPr>
          <w:p w14:paraId="373C512F"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20033C30" w14:textId="77777777" w:rsidR="00743E8A" w:rsidRPr="00026EC1" w:rsidRDefault="00743E8A" w:rsidP="007F120F">
            <w:pPr>
              <w:keepNext w:val="0"/>
              <w:rPr>
                <w:sz w:val="23"/>
                <w:szCs w:val="23"/>
              </w:rPr>
            </w:pPr>
          </w:p>
        </w:tc>
      </w:tr>
      <w:tr w:rsidR="00743E8A" w:rsidRPr="00026EC1" w14:paraId="2D8F89FB" w14:textId="77777777" w:rsidTr="00820C3C">
        <w:trPr>
          <w:cantSplit/>
        </w:trPr>
        <w:tc>
          <w:tcPr>
            <w:tcW w:w="5317" w:type="dxa"/>
            <w:gridSpan w:val="7"/>
          </w:tcPr>
          <w:p w14:paraId="332E239B" w14:textId="77777777" w:rsidR="00743E8A" w:rsidRPr="00026EC1" w:rsidRDefault="00743E8A" w:rsidP="007F120F">
            <w:pPr>
              <w:keepNext w:val="0"/>
              <w:rPr>
                <w:sz w:val="23"/>
                <w:szCs w:val="23"/>
              </w:rPr>
            </w:pPr>
          </w:p>
        </w:tc>
        <w:tc>
          <w:tcPr>
            <w:tcW w:w="4162" w:type="dxa"/>
            <w:gridSpan w:val="4"/>
          </w:tcPr>
          <w:p w14:paraId="0C18C6CE" w14:textId="77777777" w:rsidR="00743E8A" w:rsidRPr="00026EC1" w:rsidRDefault="00743E8A" w:rsidP="007F120F">
            <w:pPr>
              <w:keepNext w:val="0"/>
              <w:rPr>
                <w:sz w:val="23"/>
                <w:szCs w:val="23"/>
              </w:rPr>
            </w:pPr>
          </w:p>
        </w:tc>
      </w:tr>
      <w:tr w:rsidR="00743E8A" w:rsidRPr="00026EC1" w14:paraId="019DA779" w14:textId="77777777" w:rsidTr="00820C3C">
        <w:trPr>
          <w:cantSplit/>
        </w:trPr>
        <w:tc>
          <w:tcPr>
            <w:tcW w:w="5317" w:type="dxa"/>
            <w:gridSpan w:val="7"/>
          </w:tcPr>
          <w:p w14:paraId="76AD1E0C" w14:textId="4FA1221C" w:rsidR="00743E8A" w:rsidRPr="00026EC1" w:rsidRDefault="00743E8A" w:rsidP="007F120F">
            <w:pPr>
              <w:keepNext w:val="0"/>
              <w:rPr>
                <w:sz w:val="23"/>
                <w:szCs w:val="23"/>
              </w:rPr>
            </w:pPr>
            <w:r w:rsidRPr="00026EC1">
              <w:rPr>
                <w:sz w:val="23"/>
                <w:szCs w:val="23"/>
              </w:rPr>
              <w:t>Adresse personnelle</w:t>
            </w:r>
            <w:r w:rsidR="00D8581B">
              <w:rPr>
                <w:sz w:val="23"/>
                <w:szCs w:val="23"/>
              </w:rPr>
              <w:t> :</w:t>
            </w:r>
          </w:p>
        </w:tc>
        <w:tc>
          <w:tcPr>
            <w:tcW w:w="4162" w:type="dxa"/>
            <w:gridSpan w:val="4"/>
          </w:tcPr>
          <w:p w14:paraId="6A66B794" w14:textId="53144235" w:rsidR="00743E8A" w:rsidRPr="00026EC1" w:rsidRDefault="00743E8A" w:rsidP="007F120F">
            <w:pPr>
              <w:keepNext w:val="0"/>
              <w:rPr>
                <w:sz w:val="23"/>
                <w:szCs w:val="23"/>
              </w:rPr>
            </w:pPr>
            <w:r w:rsidRPr="00026EC1">
              <w:rPr>
                <w:sz w:val="23"/>
                <w:szCs w:val="23"/>
              </w:rPr>
              <w:t>Adresse</w:t>
            </w:r>
            <w:r w:rsidR="00D8581B">
              <w:rPr>
                <w:sz w:val="23"/>
                <w:szCs w:val="23"/>
              </w:rPr>
              <w:t> :</w:t>
            </w:r>
          </w:p>
        </w:tc>
      </w:tr>
      <w:tr w:rsidR="00743E8A" w:rsidRPr="00026EC1" w14:paraId="392F71E6" w14:textId="77777777" w:rsidTr="00820C3C">
        <w:trPr>
          <w:cantSplit/>
        </w:trPr>
        <w:tc>
          <w:tcPr>
            <w:tcW w:w="4661" w:type="dxa"/>
            <w:gridSpan w:val="6"/>
            <w:tcBorders>
              <w:bottom w:val="single" w:sz="4" w:space="0" w:color="auto"/>
            </w:tcBorders>
          </w:tcPr>
          <w:p w14:paraId="182E865B" w14:textId="77777777" w:rsidR="00743E8A" w:rsidRPr="00026EC1" w:rsidRDefault="00743E8A" w:rsidP="007F120F">
            <w:pPr>
              <w:keepNext w:val="0"/>
              <w:rPr>
                <w:sz w:val="23"/>
                <w:szCs w:val="23"/>
              </w:rPr>
            </w:pPr>
          </w:p>
        </w:tc>
        <w:tc>
          <w:tcPr>
            <w:tcW w:w="656" w:type="dxa"/>
          </w:tcPr>
          <w:p w14:paraId="4BE509C8"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2CB50FE4" w14:textId="77777777" w:rsidR="00743E8A" w:rsidRPr="00026EC1" w:rsidRDefault="00743E8A" w:rsidP="007F120F">
            <w:pPr>
              <w:keepNext w:val="0"/>
              <w:rPr>
                <w:sz w:val="23"/>
                <w:szCs w:val="23"/>
              </w:rPr>
            </w:pPr>
          </w:p>
        </w:tc>
      </w:tr>
      <w:tr w:rsidR="00743E8A" w:rsidRPr="00026EC1" w14:paraId="3DBA06E4" w14:textId="77777777" w:rsidTr="00820C3C">
        <w:trPr>
          <w:cantSplit/>
        </w:trPr>
        <w:tc>
          <w:tcPr>
            <w:tcW w:w="3277" w:type="dxa"/>
            <w:gridSpan w:val="4"/>
          </w:tcPr>
          <w:p w14:paraId="6C3156C0" w14:textId="77777777" w:rsidR="00743E8A" w:rsidRPr="00026EC1" w:rsidRDefault="00743E8A" w:rsidP="007F120F">
            <w:pPr>
              <w:keepNext w:val="0"/>
              <w:rPr>
                <w:sz w:val="23"/>
                <w:szCs w:val="23"/>
              </w:rPr>
            </w:pPr>
          </w:p>
        </w:tc>
        <w:tc>
          <w:tcPr>
            <w:tcW w:w="2040" w:type="dxa"/>
            <w:gridSpan w:val="3"/>
          </w:tcPr>
          <w:p w14:paraId="3BD9E78E" w14:textId="77777777" w:rsidR="00743E8A" w:rsidRPr="00026EC1" w:rsidRDefault="00743E8A" w:rsidP="007F120F">
            <w:pPr>
              <w:keepNext w:val="0"/>
              <w:rPr>
                <w:sz w:val="23"/>
                <w:szCs w:val="23"/>
              </w:rPr>
            </w:pPr>
          </w:p>
        </w:tc>
        <w:tc>
          <w:tcPr>
            <w:tcW w:w="4162" w:type="dxa"/>
            <w:gridSpan w:val="4"/>
          </w:tcPr>
          <w:p w14:paraId="31950A54" w14:textId="77777777" w:rsidR="00743E8A" w:rsidRPr="00026EC1" w:rsidRDefault="00743E8A" w:rsidP="007F120F">
            <w:pPr>
              <w:keepNext w:val="0"/>
              <w:rPr>
                <w:sz w:val="23"/>
                <w:szCs w:val="23"/>
              </w:rPr>
            </w:pPr>
          </w:p>
        </w:tc>
      </w:tr>
      <w:tr w:rsidR="00743E8A" w:rsidRPr="00026EC1" w14:paraId="558BC05A" w14:textId="77777777" w:rsidTr="00820C3C">
        <w:trPr>
          <w:cantSplit/>
        </w:trPr>
        <w:tc>
          <w:tcPr>
            <w:tcW w:w="5317" w:type="dxa"/>
            <w:gridSpan w:val="7"/>
          </w:tcPr>
          <w:p w14:paraId="24A73285" w14:textId="76C66B5A" w:rsidR="00743E8A" w:rsidRPr="00026EC1" w:rsidRDefault="00743E8A" w:rsidP="007F120F">
            <w:pPr>
              <w:keepNext w:val="0"/>
              <w:rPr>
                <w:sz w:val="23"/>
                <w:szCs w:val="23"/>
              </w:rPr>
            </w:pPr>
            <w:r w:rsidRPr="00026EC1">
              <w:rPr>
                <w:sz w:val="23"/>
                <w:szCs w:val="23"/>
              </w:rPr>
              <w:t>N</w:t>
            </w:r>
            <w:r w:rsidRPr="00026EC1">
              <w:rPr>
                <w:sz w:val="23"/>
                <w:szCs w:val="23"/>
                <w:vertAlign w:val="superscript"/>
              </w:rPr>
              <w:t>o</w:t>
            </w:r>
            <w:r w:rsidRPr="00026EC1">
              <w:rPr>
                <w:sz w:val="23"/>
                <w:szCs w:val="23"/>
              </w:rPr>
              <w:t xml:space="preserve"> de téléphone</w:t>
            </w:r>
            <w:r w:rsidR="00D8581B">
              <w:rPr>
                <w:sz w:val="23"/>
                <w:szCs w:val="23"/>
              </w:rPr>
              <w:t> :</w:t>
            </w:r>
          </w:p>
        </w:tc>
        <w:tc>
          <w:tcPr>
            <w:tcW w:w="4162" w:type="dxa"/>
            <w:gridSpan w:val="4"/>
          </w:tcPr>
          <w:p w14:paraId="3D49DC0D" w14:textId="77777777" w:rsidR="00743E8A" w:rsidRPr="00026EC1" w:rsidRDefault="00743E8A" w:rsidP="007F120F">
            <w:pPr>
              <w:keepNext w:val="0"/>
              <w:rPr>
                <w:sz w:val="23"/>
                <w:szCs w:val="23"/>
              </w:rPr>
            </w:pPr>
          </w:p>
        </w:tc>
      </w:tr>
      <w:tr w:rsidR="00743E8A" w:rsidRPr="00026EC1" w14:paraId="3A024A95" w14:textId="77777777" w:rsidTr="00820C3C">
        <w:trPr>
          <w:cantSplit/>
        </w:trPr>
        <w:tc>
          <w:tcPr>
            <w:tcW w:w="4661" w:type="dxa"/>
            <w:gridSpan w:val="6"/>
            <w:tcBorders>
              <w:bottom w:val="single" w:sz="4" w:space="0" w:color="auto"/>
            </w:tcBorders>
          </w:tcPr>
          <w:p w14:paraId="6D5F3088" w14:textId="77777777" w:rsidR="00743E8A" w:rsidRPr="00026EC1" w:rsidRDefault="00743E8A" w:rsidP="007F120F">
            <w:pPr>
              <w:keepNext w:val="0"/>
              <w:rPr>
                <w:sz w:val="23"/>
                <w:szCs w:val="23"/>
              </w:rPr>
            </w:pPr>
          </w:p>
        </w:tc>
        <w:tc>
          <w:tcPr>
            <w:tcW w:w="656" w:type="dxa"/>
          </w:tcPr>
          <w:p w14:paraId="77D5CA90"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5FC8EB93" w14:textId="77777777" w:rsidR="00743E8A" w:rsidRPr="00026EC1" w:rsidRDefault="00743E8A" w:rsidP="007F120F">
            <w:pPr>
              <w:keepNext w:val="0"/>
              <w:rPr>
                <w:sz w:val="23"/>
                <w:szCs w:val="23"/>
              </w:rPr>
            </w:pPr>
          </w:p>
        </w:tc>
      </w:tr>
      <w:tr w:rsidR="00743E8A" w:rsidRPr="00026EC1" w14:paraId="5CA628CB" w14:textId="77777777" w:rsidTr="00820C3C">
        <w:trPr>
          <w:cantSplit/>
        </w:trPr>
        <w:tc>
          <w:tcPr>
            <w:tcW w:w="5317" w:type="dxa"/>
            <w:gridSpan w:val="7"/>
          </w:tcPr>
          <w:p w14:paraId="04F40A5A" w14:textId="77777777" w:rsidR="00743E8A" w:rsidRPr="00026EC1" w:rsidRDefault="00743E8A" w:rsidP="007F120F">
            <w:pPr>
              <w:keepNext w:val="0"/>
              <w:rPr>
                <w:sz w:val="23"/>
                <w:szCs w:val="23"/>
              </w:rPr>
            </w:pPr>
            <w:r w:rsidRPr="00026EC1">
              <w:rPr>
                <w:sz w:val="23"/>
                <w:szCs w:val="23"/>
              </w:rPr>
              <w:t>Collège</w:t>
            </w:r>
          </w:p>
        </w:tc>
        <w:tc>
          <w:tcPr>
            <w:tcW w:w="4162" w:type="dxa"/>
            <w:gridSpan w:val="4"/>
          </w:tcPr>
          <w:p w14:paraId="213DD878" w14:textId="77777777" w:rsidR="00743E8A" w:rsidRPr="00026EC1" w:rsidRDefault="00743E8A" w:rsidP="007F120F">
            <w:pPr>
              <w:keepNext w:val="0"/>
              <w:rPr>
                <w:sz w:val="23"/>
                <w:szCs w:val="23"/>
              </w:rPr>
            </w:pPr>
            <w:r w:rsidRPr="00026EC1">
              <w:rPr>
                <w:sz w:val="23"/>
                <w:szCs w:val="23"/>
              </w:rPr>
              <w:t>Domicile</w:t>
            </w:r>
          </w:p>
        </w:tc>
      </w:tr>
      <w:tr w:rsidR="00743E8A" w:rsidRPr="00026EC1" w14:paraId="4BA3439D" w14:textId="77777777" w:rsidTr="00820C3C">
        <w:trPr>
          <w:cantSplit/>
        </w:trPr>
        <w:tc>
          <w:tcPr>
            <w:tcW w:w="5317" w:type="dxa"/>
            <w:gridSpan w:val="7"/>
          </w:tcPr>
          <w:p w14:paraId="6D77CC3C" w14:textId="77777777" w:rsidR="00743E8A" w:rsidRPr="00026EC1" w:rsidRDefault="00743E8A" w:rsidP="007F120F">
            <w:pPr>
              <w:keepNext w:val="0"/>
              <w:rPr>
                <w:sz w:val="23"/>
                <w:szCs w:val="23"/>
              </w:rPr>
            </w:pPr>
          </w:p>
        </w:tc>
        <w:tc>
          <w:tcPr>
            <w:tcW w:w="4162" w:type="dxa"/>
            <w:gridSpan w:val="4"/>
          </w:tcPr>
          <w:p w14:paraId="27E3077E" w14:textId="77777777" w:rsidR="00743E8A" w:rsidRPr="00026EC1" w:rsidRDefault="00743E8A" w:rsidP="007F120F">
            <w:pPr>
              <w:keepNext w:val="0"/>
              <w:rPr>
                <w:sz w:val="23"/>
                <w:szCs w:val="23"/>
              </w:rPr>
            </w:pPr>
          </w:p>
        </w:tc>
      </w:tr>
      <w:tr w:rsidR="00743E8A" w:rsidRPr="00026EC1" w14:paraId="487A5745" w14:textId="77777777" w:rsidTr="00820C3C">
        <w:trPr>
          <w:cantSplit/>
        </w:trPr>
        <w:tc>
          <w:tcPr>
            <w:tcW w:w="5317" w:type="dxa"/>
            <w:gridSpan w:val="7"/>
          </w:tcPr>
          <w:p w14:paraId="5165CBE1" w14:textId="77777777" w:rsidR="00743E8A" w:rsidRPr="00026EC1" w:rsidRDefault="00743E8A" w:rsidP="007F120F">
            <w:pPr>
              <w:keepNext w:val="0"/>
              <w:rPr>
                <w:sz w:val="23"/>
                <w:szCs w:val="23"/>
              </w:rPr>
            </w:pPr>
            <w:r w:rsidRPr="00026EC1">
              <w:rPr>
                <w:sz w:val="23"/>
                <w:szCs w:val="23"/>
              </w:rPr>
              <w:t>Grief soumis à la directrice générale, au</w:t>
            </w:r>
          </w:p>
          <w:p w14:paraId="494B5B84" w14:textId="77777777" w:rsidR="00743E8A" w:rsidRPr="00026EC1" w:rsidRDefault="00743E8A" w:rsidP="007F120F">
            <w:pPr>
              <w:keepNext w:val="0"/>
              <w:rPr>
                <w:sz w:val="23"/>
                <w:szCs w:val="23"/>
              </w:rPr>
            </w:pPr>
            <w:r w:rsidRPr="00026EC1">
              <w:rPr>
                <w:sz w:val="23"/>
                <w:szCs w:val="23"/>
              </w:rPr>
              <w:t>directeur général ou à sa représentante</w:t>
            </w:r>
          </w:p>
          <w:p w14:paraId="6B02BC8E" w14:textId="7416AE49" w:rsidR="00743E8A" w:rsidRPr="00026EC1" w:rsidRDefault="00743E8A" w:rsidP="007F120F">
            <w:pPr>
              <w:keepNext w:val="0"/>
              <w:rPr>
                <w:sz w:val="23"/>
                <w:szCs w:val="23"/>
              </w:rPr>
            </w:pPr>
            <w:r w:rsidRPr="00026EC1">
              <w:rPr>
                <w:sz w:val="23"/>
                <w:szCs w:val="23"/>
              </w:rPr>
              <w:t>ou à son représentant (nom)</w:t>
            </w:r>
            <w:r w:rsidR="00D8581B">
              <w:rPr>
                <w:sz w:val="23"/>
                <w:szCs w:val="23"/>
              </w:rPr>
              <w:t> :</w:t>
            </w:r>
          </w:p>
        </w:tc>
        <w:tc>
          <w:tcPr>
            <w:tcW w:w="4162" w:type="dxa"/>
            <w:gridSpan w:val="4"/>
          </w:tcPr>
          <w:p w14:paraId="6308791D" w14:textId="77777777" w:rsidR="00743E8A" w:rsidRPr="00026EC1" w:rsidRDefault="00743E8A" w:rsidP="007F120F">
            <w:pPr>
              <w:keepNext w:val="0"/>
              <w:rPr>
                <w:sz w:val="23"/>
                <w:szCs w:val="23"/>
              </w:rPr>
            </w:pPr>
            <w:r w:rsidRPr="00026EC1">
              <w:rPr>
                <w:sz w:val="23"/>
                <w:szCs w:val="23"/>
              </w:rPr>
              <w:t>Article(s) visé(s)</w:t>
            </w:r>
          </w:p>
          <w:p w14:paraId="571B2C2B" w14:textId="77777777" w:rsidR="00743E8A" w:rsidRPr="00026EC1" w:rsidRDefault="00743E8A" w:rsidP="007F120F">
            <w:pPr>
              <w:keepNext w:val="0"/>
              <w:rPr>
                <w:sz w:val="23"/>
                <w:szCs w:val="23"/>
              </w:rPr>
            </w:pPr>
            <w:r w:rsidRPr="00026EC1">
              <w:rPr>
                <w:sz w:val="23"/>
                <w:szCs w:val="23"/>
              </w:rPr>
              <w:t>Date de la cause du grief</w:t>
            </w:r>
          </w:p>
        </w:tc>
      </w:tr>
      <w:tr w:rsidR="00743E8A" w:rsidRPr="00026EC1" w14:paraId="2F3AA2E5" w14:textId="77777777" w:rsidTr="00820C3C">
        <w:trPr>
          <w:cantSplit/>
          <w:trHeight w:val="173"/>
        </w:trPr>
        <w:tc>
          <w:tcPr>
            <w:tcW w:w="4661" w:type="dxa"/>
            <w:gridSpan w:val="6"/>
            <w:tcBorders>
              <w:bottom w:val="single" w:sz="4" w:space="0" w:color="auto"/>
            </w:tcBorders>
          </w:tcPr>
          <w:p w14:paraId="1872D041" w14:textId="77777777" w:rsidR="00743E8A" w:rsidRPr="00026EC1" w:rsidRDefault="00743E8A" w:rsidP="007F120F">
            <w:pPr>
              <w:keepNext w:val="0"/>
              <w:rPr>
                <w:sz w:val="23"/>
                <w:szCs w:val="23"/>
              </w:rPr>
            </w:pPr>
          </w:p>
        </w:tc>
        <w:tc>
          <w:tcPr>
            <w:tcW w:w="656" w:type="dxa"/>
          </w:tcPr>
          <w:p w14:paraId="07AC0D75" w14:textId="77777777" w:rsidR="00743E8A" w:rsidRPr="00026EC1" w:rsidRDefault="00743E8A" w:rsidP="007F120F">
            <w:pPr>
              <w:keepNext w:val="0"/>
              <w:rPr>
                <w:sz w:val="23"/>
                <w:szCs w:val="23"/>
              </w:rPr>
            </w:pPr>
          </w:p>
        </w:tc>
        <w:tc>
          <w:tcPr>
            <w:tcW w:w="4162" w:type="dxa"/>
            <w:gridSpan w:val="4"/>
          </w:tcPr>
          <w:p w14:paraId="6E8CEBB0" w14:textId="77777777" w:rsidR="00743E8A" w:rsidRPr="00026EC1" w:rsidRDefault="00743E8A" w:rsidP="007F120F">
            <w:pPr>
              <w:keepNext w:val="0"/>
              <w:pBdr>
                <w:bottom w:val="single" w:sz="4" w:space="1" w:color="auto"/>
              </w:pBdr>
              <w:rPr>
                <w:sz w:val="23"/>
                <w:szCs w:val="23"/>
              </w:rPr>
            </w:pPr>
          </w:p>
        </w:tc>
      </w:tr>
      <w:tr w:rsidR="00743E8A" w:rsidRPr="00026EC1" w14:paraId="637DCECA" w14:textId="77777777" w:rsidTr="00820C3C">
        <w:trPr>
          <w:cantSplit/>
          <w:trHeight w:val="214"/>
        </w:trPr>
        <w:tc>
          <w:tcPr>
            <w:tcW w:w="5317" w:type="dxa"/>
            <w:gridSpan w:val="7"/>
          </w:tcPr>
          <w:p w14:paraId="7787EAA7" w14:textId="77777777" w:rsidR="00743E8A" w:rsidRPr="00026EC1" w:rsidRDefault="00743E8A" w:rsidP="007F120F">
            <w:pPr>
              <w:keepNext w:val="0"/>
              <w:spacing w:line="216" w:lineRule="auto"/>
              <w:rPr>
                <w:sz w:val="23"/>
                <w:szCs w:val="23"/>
              </w:rPr>
            </w:pPr>
          </w:p>
        </w:tc>
        <w:tc>
          <w:tcPr>
            <w:tcW w:w="4162" w:type="dxa"/>
            <w:gridSpan w:val="4"/>
          </w:tcPr>
          <w:p w14:paraId="3442031A" w14:textId="77777777" w:rsidR="00743E8A" w:rsidRPr="00026EC1" w:rsidRDefault="00743E8A" w:rsidP="007F120F">
            <w:pPr>
              <w:keepNext w:val="0"/>
              <w:spacing w:line="216" w:lineRule="auto"/>
              <w:rPr>
                <w:sz w:val="23"/>
                <w:szCs w:val="23"/>
              </w:rPr>
            </w:pPr>
          </w:p>
        </w:tc>
      </w:tr>
      <w:tr w:rsidR="00743E8A" w:rsidRPr="00026EC1" w14:paraId="372B39D6" w14:textId="77777777" w:rsidTr="00820C3C">
        <w:trPr>
          <w:cantSplit/>
        </w:trPr>
        <w:tc>
          <w:tcPr>
            <w:tcW w:w="2137" w:type="dxa"/>
            <w:gridSpan w:val="2"/>
          </w:tcPr>
          <w:p w14:paraId="6C730D1F" w14:textId="337ADE84" w:rsidR="00743E8A" w:rsidRPr="00026EC1" w:rsidRDefault="00743E8A" w:rsidP="007F120F">
            <w:pPr>
              <w:keepNext w:val="0"/>
              <w:rPr>
                <w:sz w:val="23"/>
                <w:szCs w:val="23"/>
              </w:rPr>
            </w:pPr>
            <w:r w:rsidRPr="00026EC1">
              <w:rPr>
                <w:sz w:val="23"/>
                <w:szCs w:val="23"/>
              </w:rPr>
              <w:t>Nature du grief</w:t>
            </w:r>
            <w:r w:rsidR="00D8581B">
              <w:rPr>
                <w:sz w:val="23"/>
                <w:szCs w:val="23"/>
              </w:rPr>
              <w:t> :</w:t>
            </w:r>
          </w:p>
        </w:tc>
        <w:tc>
          <w:tcPr>
            <w:tcW w:w="2167" w:type="dxa"/>
            <w:gridSpan w:val="3"/>
          </w:tcPr>
          <w:p w14:paraId="14CB5420" w14:textId="77777777" w:rsidR="00743E8A" w:rsidRPr="00026EC1" w:rsidRDefault="00743E8A" w:rsidP="007F120F">
            <w:pPr>
              <w:keepNext w:val="0"/>
              <w:rPr>
                <w:sz w:val="23"/>
                <w:szCs w:val="23"/>
              </w:rPr>
            </w:pPr>
            <w:r w:rsidRPr="00026EC1">
              <w:rPr>
                <w:sz w:val="23"/>
                <w:szCs w:val="23"/>
              </w:rPr>
              <w:fldChar w:fldCharType="begin">
                <w:ffData>
                  <w:name w:val="CaseACocher3"/>
                  <w:enabled/>
                  <w:calcOnExit w:val="0"/>
                  <w:checkBox>
                    <w:sizeAuto/>
                    <w:default w:val="0"/>
                  </w:checkBox>
                </w:ffData>
              </w:fldChar>
            </w:r>
            <w:bookmarkStart w:id="1402" w:name="CaseACocher3"/>
            <w:r w:rsidRPr="00026EC1">
              <w:rPr>
                <w:sz w:val="23"/>
                <w:szCs w:val="23"/>
              </w:rPr>
              <w:instrText xml:space="preserve"> FORMCHECKBOX </w:instrText>
            </w:r>
            <w:r w:rsidR="00CD1EA2">
              <w:rPr>
                <w:sz w:val="23"/>
                <w:szCs w:val="23"/>
              </w:rPr>
            </w:r>
            <w:r w:rsidR="00CD1EA2">
              <w:rPr>
                <w:sz w:val="23"/>
                <w:szCs w:val="23"/>
              </w:rPr>
              <w:fldChar w:fldCharType="separate"/>
            </w:r>
            <w:r w:rsidRPr="00026EC1">
              <w:rPr>
                <w:sz w:val="23"/>
                <w:szCs w:val="23"/>
              </w:rPr>
              <w:fldChar w:fldCharType="end"/>
            </w:r>
            <w:bookmarkEnd w:id="1402"/>
            <w:r w:rsidRPr="00026EC1">
              <w:rPr>
                <w:sz w:val="23"/>
                <w:szCs w:val="23"/>
              </w:rPr>
              <w:t xml:space="preserve"> du syndicat</w:t>
            </w:r>
          </w:p>
        </w:tc>
        <w:tc>
          <w:tcPr>
            <w:tcW w:w="2171" w:type="dxa"/>
            <w:gridSpan w:val="4"/>
          </w:tcPr>
          <w:p w14:paraId="57671ED3" w14:textId="77777777" w:rsidR="00743E8A" w:rsidRPr="00026EC1" w:rsidRDefault="00743E8A" w:rsidP="007F120F">
            <w:pPr>
              <w:keepNext w:val="0"/>
              <w:rPr>
                <w:sz w:val="23"/>
                <w:szCs w:val="23"/>
              </w:rPr>
            </w:pPr>
            <w:r w:rsidRPr="00026EC1">
              <w:rPr>
                <w:sz w:val="23"/>
                <w:szCs w:val="23"/>
              </w:rPr>
              <w:fldChar w:fldCharType="begin">
                <w:ffData>
                  <w:name w:val="CaseACocher4"/>
                  <w:enabled/>
                  <w:calcOnExit w:val="0"/>
                  <w:checkBox>
                    <w:sizeAuto/>
                    <w:default w:val="0"/>
                  </w:checkBox>
                </w:ffData>
              </w:fldChar>
            </w:r>
            <w:bookmarkStart w:id="1403" w:name="CaseACocher4"/>
            <w:r w:rsidRPr="00026EC1">
              <w:rPr>
                <w:sz w:val="23"/>
                <w:szCs w:val="23"/>
              </w:rPr>
              <w:instrText xml:space="preserve"> FORMCHECKBOX </w:instrText>
            </w:r>
            <w:r w:rsidR="00CD1EA2">
              <w:rPr>
                <w:sz w:val="23"/>
                <w:szCs w:val="23"/>
              </w:rPr>
            </w:r>
            <w:r w:rsidR="00CD1EA2">
              <w:rPr>
                <w:sz w:val="23"/>
                <w:szCs w:val="23"/>
              </w:rPr>
              <w:fldChar w:fldCharType="separate"/>
            </w:r>
            <w:r w:rsidRPr="00026EC1">
              <w:rPr>
                <w:sz w:val="23"/>
                <w:szCs w:val="23"/>
              </w:rPr>
              <w:fldChar w:fldCharType="end"/>
            </w:r>
            <w:bookmarkEnd w:id="1403"/>
            <w:r w:rsidRPr="00026EC1">
              <w:rPr>
                <w:sz w:val="23"/>
                <w:szCs w:val="23"/>
              </w:rPr>
              <w:t xml:space="preserve"> de groupe</w:t>
            </w:r>
          </w:p>
        </w:tc>
        <w:tc>
          <w:tcPr>
            <w:tcW w:w="3004" w:type="dxa"/>
            <w:gridSpan w:val="2"/>
          </w:tcPr>
          <w:p w14:paraId="2A165E45" w14:textId="77777777" w:rsidR="00743E8A" w:rsidRPr="00026EC1" w:rsidRDefault="00743E8A" w:rsidP="007F120F">
            <w:pPr>
              <w:keepNext w:val="0"/>
              <w:rPr>
                <w:sz w:val="23"/>
                <w:szCs w:val="23"/>
              </w:rPr>
            </w:pPr>
            <w:r w:rsidRPr="00026EC1">
              <w:rPr>
                <w:sz w:val="23"/>
                <w:szCs w:val="23"/>
              </w:rPr>
              <w:fldChar w:fldCharType="begin">
                <w:ffData>
                  <w:name w:val="CaseACocher5"/>
                  <w:enabled/>
                  <w:calcOnExit w:val="0"/>
                  <w:checkBox>
                    <w:sizeAuto/>
                    <w:default w:val="0"/>
                  </w:checkBox>
                </w:ffData>
              </w:fldChar>
            </w:r>
            <w:bookmarkStart w:id="1404" w:name="CaseACocher5"/>
            <w:r w:rsidRPr="00026EC1">
              <w:rPr>
                <w:sz w:val="23"/>
                <w:szCs w:val="23"/>
              </w:rPr>
              <w:instrText xml:space="preserve"> FORMCHECKBOX </w:instrText>
            </w:r>
            <w:r w:rsidR="00CD1EA2">
              <w:rPr>
                <w:sz w:val="23"/>
                <w:szCs w:val="23"/>
              </w:rPr>
            </w:r>
            <w:r w:rsidR="00CD1EA2">
              <w:rPr>
                <w:sz w:val="23"/>
                <w:szCs w:val="23"/>
              </w:rPr>
              <w:fldChar w:fldCharType="separate"/>
            </w:r>
            <w:r w:rsidRPr="00026EC1">
              <w:rPr>
                <w:sz w:val="23"/>
                <w:szCs w:val="23"/>
              </w:rPr>
              <w:fldChar w:fldCharType="end"/>
            </w:r>
            <w:bookmarkEnd w:id="1404"/>
            <w:r w:rsidRPr="00026EC1">
              <w:rPr>
                <w:sz w:val="23"/>
                <w:szCs w:val="23"/>
              </w:rPr>
              <w:t xml:space="preserve"> individuel</w:t>
            </w:r>
          </w:p>
        </w:tc>
      </w:tr>
      <w:tr w:rsidR="00743E8A" w:rsidRPr="00026EC1" w14:paraId="03006217" w14:textId="77777777" w:rsidTr="00820C3C">
        <w:trPr>
          <w:cantSplit/>
        </w:trPr>
        <w:tc>
          <w:tcPr>
            <w:tcW w:w="2137" w:type="dxa"/>
            <w:gridSpan w:val="2"/>
          </w:tcPr>
          <w:p w14:paraId="10568622" w14:textId="77777777" w:rsidR="00743E8A" w:rsidRPr="00026EC1" w:rsidRDefault="00743E8A" w:rsidP="007F120F">
            <w:pPr>
              <w:keepNext w:val="0"/>
              <w:rPr>
                <w:sz w:val="23"/>
                <w:szCs w:val="23"/>
              </w:rPr>
            </w:pPr>
          </w:p>
        </w:tc>
        <w:tc>
          <w:tcPr>
            <w:tcW w:w="2167" w:type="dxa"/>
            <w:gridSpan w:val="3"/>
          </w:tcPr>
          <w:p w14:paraId="62649373" w14:textId="77777777" w:rsidR="00743E8A" w:rsidRPr="00026EC1" w:rsidRDefault="00743E8A" w:rsidP="007F120F">
            <w:pPr>
              <w:keepNext w:val="0"/>
              <w:rPr>
                <w:sz w:val="23"/>
                <w:szCs w:val="23"/>
              </w:rPr>
            </w:pPr>
          </w:p>
        </w:tc>
        <w:tc>
          <w:tcPr>
            <w:tcW w:w="1013" w:type="dxa"/>
            <w:gridSpan w:val="2"/>
          </w:tcPr>
          <w:p w14:paraId="47799F75" w14:textId="77777777" w:rsidR="00743E8A" w:rsidRPr="00026EC1" w:rsidRDefault="00743E8A" w:rsidP="007F120F">
            <w:pPr>
              <w:keepNext w:val="0"/>
              <w:rPr>
                <w:sz w:val="23"/>
                <w:szCs w:val="23"/>
              </w:rPr>
            </w:pPr>
          </w:p>
        </w:tc>
        <w:tc>
          <w:tcPr>
            <w:tcW w:w="4162" w:type="dxa"/>
            <w:gridSpan w:val="4"/>
          </w:tcPr>
          <w:p w14:paraId="1FE72EF0" w14:textId="77777777" w:rsidR="00743E8A" w:rsidRPr="00026EC1" w:rsidRDefault="00743E8A" w:rsidP="007F120F">
            <w:pPr>
              <w:keepNext w:val="0"/>
              <w:rPr>
                <w:sz w:val="23"/>
                <w:szCs w:val="23"/>
              </w:rPr>
            </w:pPr>
          </w:p>
        </w:tc>
      </w:tr>
      <w:tr w:rsidR="00743E8A" w:rsidRPr="00026EC1" w14:paraId="67463E0B" w14:textId="77777777" w:rsidTr="00820C3C">
        <w:trPr>
          <w:cantSplit/>
        </w:trPr>
        <w:tc>
          <w:tcPr>
            <w:tcW w:w="2137" w:type="dxa"/>
            <w:gridSpan w:val="2"/>
          </w:tcPr>
          <w:p w14:paraId="40BFC8F9" w14:textId="0CF75A36" w:rsidR="00743E8A" w:rsidRPr="00026EC1" w:rsidRDefault="00743E8A" w:rsidP="007F120F">
            <w:pPr>
              <w:keepNext w:val="0"/>
              <w:rPr>
                <w:sz w:val="23"/>
                <w:szCs w:val="23"/>
              </w:rPr>
            </w:pPr>
            <w:r w:rsidRPr="00026EC1">
              <w:rPr>
                <w:sz w:val="23"/>
                <w:szCs w:val="23"/>
              </w:rPr>
              <w:t>Exposé du grief</w:t>
            </w:r>
            <w:r w:rsidR="00D8581B">
              <w:rPr>
                <w:sz w:val="23"/>
                <w:szCs w:val="23"/>
              </w:rPr>
              <w:t> :</w:t>
            </w:r>
          </w:p>
        </w:tc>
        <w:tc>
          <w:tcPr>
            <w:tcW w:w="2167" w:type="dxa"/>
            <w:gridSpan w:val="3"/>
          </w:tcPr>
          <w:p w14:paraId="188DD047" w14:textId="77777777" w:rsidR="00743E8A" w:rsidRPr="00026EC1" w:rsidRDefault="00743E8A" w:rsidP="007F120F">
            <w:pPr>
              <w:keepNext w:val="0"/>
              <w:rPr>
                <w:sz w:val="23"/>
                <w:szCs w:val="23"/>
              </w:rPr>
            </w:pPr>
          </w:p>
        </w:tc>
        <w:tc>
          <w:tcPr>
            <w:tcW w:w="1013" w:type="dxa"/>
            <w:gridSpan w:val="2"/>
          </w:tcPr>
          <w:p w14:paraId="137BF9C7" w14:textId="77777777" w:rsidR="00743E8A" w:rsidRPr="00026EC1" w:rsidRDefault="00743E8A" w:rsidP="007F120F">
            <w:pPr>
              <w:keepNext w:val="0"/>
              <w:rPr>
                <w:sz w:val="23"/>
                <w:szCs w:val="23"/>
              </w:rPr>
            </w:pPr>
          </w:p>
        </w:tc>
        <w:tc>
          <w:tcPr>
            <w:tcW w:w="4162" w:type="dxa"/>
            <w:gridSpan w:val="4"/>
          </w:tcPr>
          <w:p w14:paraId="162A13CC" w14:textId="77777777" w:rsidR="00743E8A" w:rsidRPr="00026EC1" w:rsidRDefault="00743E8A" w:rsidP="007F120F">
            <w:pPr>
              <w:keepNext w:val="0"/>
              <w:rPr>
                <w:sz w:val="23"/>
                <w:szCs w:val="23"/>
              </w:rPr>
            </w:pPr>
          </w:p>
        </w:tc>
      </w:tr>
      <w:tr w:rsidR="00743E8A" w:rsidRPr="00026EC1" w14:paraId="4B184912" w14:textId="77777777" w:rsidTr="00820C3C">
        <w:trPr>
          <w:cantSplit/>
        </w:trPr>
        <w:tc>
          <w:tcPr>
            <w:tcW w:w="2137" w:type="dxa"/>
            <w:gridSpan w:val="2"/>
            <w:tcBorders>
              <w:bottom w:val="single" w:sz="4" w:space="0" w:color="auto"/>
            </w:tcBorders>
          </w:tcPr>
          <w:p w14:paraId="0CC70A09" w14:textId="77777777" w:rsidR="00743E8A" w:rsidRPr="00026EC1" w:rsidRDefault="00743E8A" w:rsidP="007F120F">
            <w:pPr>
              <w:keepNext w:val="0"/>
              <w:rPr>
                <w:sz w:val="23"/>
                <w:szCs w:val="23"/>
              </w:rPr>
            </w:pPr>
          </w:p>
        </w:tc>
        <w:tc>
          <w:tcPr>
            <w:tcW w:w="2167" w:type="dxa"/>
            <w:gridSpan w:val="3"/>
            <w:tcBorders>
              <w:bottom w:val="single" w:sz="4" w:space="0" w:color="auto"/>
            </w:tcBorders>
          </w:tcPr>
          <w:p w14:paraId="4AD8AD2C" w14:textId="77777777" w:rsidR="00743E8A" w:rsidRPr="00026EC1" w:rsidRDefault="00743E8A" w:rsidP="007F120F">
            <w:pPr>
              <w:keepNext w:val="0"/>
              <w:rPr>
                <w:sz w:val="23"/>
                <w:szCs w:val="23"/>
              </w:rPr>
            </w:pPr>
          </w:p>
        </w:tc>
        <w:tc>
          <w:tcPr>
            <w:tcW w:w="1013" w:type="dxa"/>
            <w:gridSpan w:val="2"/>
            <w:tcBorders>
              <w:bottom w:val="single" w:sz="4" w:space="0" w:color="auto"/>
            </w:tcBorders>
          </w:tcPr>
          <w:p w14:paraId="757849C5"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22B31423" w14:textId="77777777" w:rsidR="00743E8A" w:rsidRPr="00026EC1" w:rsidRDefault="00743E8A" w:rsidP="007F120F">
            <w:pPr>
              <w:keepNext w:val="0"/>
              <w:rPr>
                <w:sz w:val="23"/>
                <w:szCs w:val="23"/>
              </w:rPr>
            </w:pPr>
          </w:p>
        </w:tc>
      </w:tr>
      <w:tr w:rsidR="00743E8A" w:rsidRPr="00026EC1" w14:paraId="23D062AF" w14:textId="77777777" w:rsidTr="00820C3C">
        <w:trPr>
          <w:cantSplit/>
        </w:trPr>
        <w:tc>
          <w:tcPr>
            <w:tcW w:w="2137" w:type="dxa"/>
            <w:gridSpan w:val="2"/>
            <w:tcBorders>
              <w:top w:val="single" w:sz="4" w:space="0" w:color="auto"/>
            </w:tcBorders>
          </w:tcPr>
          <w:p w14:paraId="7DB826E1" w14:textId="77777777" w:rsidR="00743E8A" w:rsidRPr="00026EC1" w:rsidRDefault="00743E8A" w:rsidP="007F120F">
            <w:pPr>
              <w:keepNext w:val="0"/>
              <w:rPr>
                <w:sz w:val="23"/>
                <w:szCs w:val="23"/>
              </w:rPr>
            </w:pPr>
          </w:p>
        </w:tc>
        <w:tc>
          <w:tcPr>
            <w:tcW w:w="2167" w:type="dxa"/>
            <w:gridSpan w:val="3"/>
            <w:tcBorders>
              <w:top w:val="single" w:sz="4" w:space="0" w:color="auto"/>
            </w:tcBorders>
          </w:tcPr>
          <w:p w14:paraId="1CB882CC" w14:textId="77777777" w:rsidR="00743E8A" w:rsidRPr="00026EC1" w:rsidRDefault="00743E8A" w:rsidP="007F120F">
            <w:pPr>
              <w:keepNext w:val="0"/>
              <w:rPr>
                <w:sz w:val="23"/>
                <w:szCs w:val="23"/>
              </w:rPr>
            </w:pPr>
          </w:p>
        </w:tc>
        <w:tc>
          <w:tcPr>
            <w:tcW w:w="1013" w:type="dxa"/>
            <w:gridSpan w:val="2"/>
            <w:tcBorders>
              <w:top w:val="single" w:sz="4" w:space="0" w:color="auto"/>
            </w:tcBorders>
          </w:tcPr>
          <w:p w14:paraId="6D7E85BA" w14:textId="77777777" w:rsidR="00743E8A" w:rsidRPr="00026EC1" w:rsidRDefault="00743E8A" w:rsidP="007F120F">
            <w:pPr>
              <w:keepNext w:val="0"/>
              <w:rPr>
                <w:sz w:val="23"/>
                <w:szCs w:val="23"/>
              </w:rPr>
            </w:pPr>
          </w:p>
        </w:tc>
        <w:tc>
          <w:tcPr>
            <w:tcW w:w="4162" w:type="dxa"/>
            <w:gridSpan w:val="4"/>
            <w:tcBorders>
              <w:top w:val="single" w:sz="4" w:space="0" w:color="auto"/>
            </w:tcBorders>
          </w:tcPr>
          <w:p w14:paraId="29DD2490" w14:textId="77777777" w:rsidR="00743E8A" w:rsidRPr="00026EC1" w:rsidRDefault="00743E8A" w:rsidP="007F120F">
            <w:pPr>
              <w:keepNext w:val="0"/>
              <w:rPr>
                <w:sz w:val="23"/>
                <w:szCs w:val="23"/>
              </w:rPr>
            </w:pPr>
          </w:p>
        </w:tc>
      </w:tr>
      <w:tr w:rsidR="00743E8A" w:rsidRPr="00026EC1" w14:paraId="3AB55268" w14:textId="77777777" w:rsidTr="00820C3C">
        <w:trPr>
          <w:cantSplit/>
        </w:trPr>
        <w:tc>
          <w:tcPr>
            <w:tcW w:w="2137" w:type="dxa"/>
            <w:gridSpan w:val="2"/>
            <w:tcBorders>
              <w:top w:val="single" w:sz="4" w:space="0" w:color="auto"/>
            </w:tcBorders>
          </w:tcPr>
          <w:p w14:paraId="0C669A29" w14:textId="77777777" w:rsidR="00743E8A" w:rsidRPr="00026EC1" w:rsidRDefault="00743E8A" w:rsidP="007F120F">
            <w:pPr>
              <w:keepNext w:val="0"/>
              <w:rPr>
                <w:sz w:val="23"/>
                <w:szCs w:val="23"/>
              </w:rPr>
            </w:pPr>
          </w:p>
        </w:tc>
        <w:tc>
          <w:tcPr>
            <w:tcW w:w="2167" w:type="dxa"/>
            <w:gridSpan w:val="3"/>
            <w:tcBorders>
              <w:top w:val="single" w:sz="4" w:space="0" w:color="auto"/>
            </w:tcBorders>
          </w:tcPr>
          <w:p w14:paraId="5734CE6A" w14:textId="77777777" w:rsidR="00743E8A" w:rsidRPr="00026EC1" w:rsidRDefault="00743E8A" w:rsidP="007F120F">
            <w:pPr>
              <w:keepNext w:val="0"/>
              <w:rPr>
                <w:sz w:val="23"/>
                <w:szCs w:val="23"/>
              </w:rPr>
            </w:pPr>
          </w:p>
        </w:tc>
        <w:tc>
          <w:tcPr>
            <w:tcW w:w="1013" w:type="dxa"/>
            <w:gridSpan w:val="2"/>
            <w:tcBorders>
              <w:top w:val="single" w:sz="4" w:space="0" w:color="auto"/>
            </w:tcBorders>
          </w:tcPr>
          <w:p w14:paraId="1FDFA934" w14:textId="77777777" w:rsidR="00743E8A" w:rsidRPr="00026EC1" w:rsidRDefault="00743E8A" w:rsidP="007F120F">
            <w:pPr>
              <w:keepNext w:val="0"/>
              <w:rPr>
                <w:sz w:val="23"/>
                <w:szCs w:val="23"/>
              </w:rPr>
            </w:pPr>
          </w:p>
        </w:tc>
        <w:tc>
          <w:tcPr>
            <w:tcW w:w="4162" w:type="dxa"/>
            <w:gridSpan w:val="4"/>
            <w:tcBorders>
              <w:top w:val="single" w:sz="4" w:space="0" w:color="auto"/>
            </w:tcBorders>
          </w:tcPr>
          <w:p w14:paraId="626AEA8F" w14:textId="77777777" w:rsidR="00743E8A" w:rsidRPr="00026EC1" w:rsidRDefault="00743E8A" w:rsidP="007F120F">
            <w:pPr>
              <w:keepNext w:val="0"/>
              <w:rPr>
                <w:sz w:val="23"/>
                <w:szCs w:val="23"/>
              </w:rPr>
            </w:pPr>
          </w:p>
        </w:tc>
      </w:tr>
      <w:tr w:rsidR="00743E8A" w:rsidRPr="00026EC1" w14:paraId="509DAB41" w14:textId="77777777" w:rsidTr="00820C3C">
        <w:trPr>
          <w:cantSplit/>
        </w:trPr>
        <w:tc>
          <w:tcPr>
            <w:tcW w:w="2137" w:type="dxa"/>
            <w:gridSpan w:val="2"/>
          </w:tcPr>
          <w:p w14:paraId="59272D2E" w14:textId="7B649C7F" w:rsidR="00743E8A" w:rsidRPr="00026EC1" w:rsidRDefault="00743E8A" w:rsidP="007F120F">
            <w:pPr>
              <w:keepNext w:val="0"/>
              <w:rPr>
                <w:sz w:val="23"/>
                <w:szCs w:val="23"/>
              </w:rPr>
            </w:pPr>
            <w:r w:rsidRPr="00026EC1">
              <w:rPr>
                <w:sz w:val="23"/>
                <w:szCs w:val="23"/>
              </w:rPr>
              <w:t>Correctifs requis</w:t>
            </w:r>
            <w:r w:rsidR="00D8581B">
              <w:rPr>
                <w:sz w:val="23"/>
                <w:szCs w:val="23"/>
              </w:rPr>
              <w:t> :</w:t>
            </w:r>
          </w:p>
        </w:tc>
        <w:tc>
          <w:tcPr>
            <w:tcW w:w="2167" w:type="dxa"/>
            <w:gridSpan w:val="3"/>
          </w:tcPr>
          <w:p w14:paraId="4EFD2FE7" w14:textId="77777777" w:rsidR="00743E8A" w:rsidRPr="00026EC1" w:rsidRDefault="00743E8A" w:rsidP="007F120F">
            <w:pPr>
              <w:keepNext w:val="0"/>
              <w:rPr>
                <w:sz w:val="23"/>
                <w:szCs w:val="23"/>
              </w:rPr>
            </w:pPr>
          </w:p>
        </w:tc>
        <w:tc>
          <w:tcPr>
            <w:tcW w:w="1013" w:type="dxa"/>
            <w:gridSpan w:val="2"/>
          </w:tcPr>
          <w:p w14:paraId="622383DD" w14:textId="77777777" w:rsidR="00743E8A" w:rsidRPr="00026EC1" w:rsidRDefault="00743E8A" w:rsidP="007F120F">
            <w:pPr>
              <w:keepNext w:val="0"/>
              <w:rPr>
                <w:sz w:val="23"/>
                <w:szCs w:val="23"/>
              </w:rPr>
            </w:pPr>
          </w:p>
        </w:tc>
        <w:tc>
          <w:tcPr>
            <w:tcW w:w="4162" w:type="dxa"/>
            <w:gridSpan w:val="4"/>
          </w:tcPr>
          <w:p w14:paraId="0786920D" w14:textId="77777777" w:rsidR="00743E8A" w:rsidRPr="00026EC1" w:rsidRDefault="00743E8A" w:rsidP="007F120F">
            <w:pPr>
              <w:keepNext w:val="0"/>
              <w:rPr>
                <w:sz w:val="23"/>
                <w:szCs w:val="23"/>
              </w:rPr>
            </w:pPr>
          </w:p>
        </w:tc>
      </w:tr>
      <w:tr w:rsidR="00743E8A" w:rsidRPr="00026EC1" w14:paraId="580A4865" w14:textId="77777777" w:rsidTr="00820C3C">
        <w:trPr>
          <w:cantSplit/>
        </w:trPr>
        <w:tc>
          <w:tcPr>
            <w:tcW w:w="2137" w:type="dxa"/>
            <w:gridSpan w:val="2"/>
            <w:tcBorders>
              <w:bottom w:val="single" w:sz="4" w:space="0" w:color="auto"/>
            </w:tcBorders>
          </w:tcPr>
          <w:p w14:paraId="4BBFAEBC" w14:textId="77777777" w:rsidR="00743E8A" w:rsidRPr="00026EC1" w:rsidRDefault="00743E8A" w:rsidP="007F120F">
            <w:pPr>
              <w:keepNext w:val="0"/>
              <w:rPr>
                <w:sz w:val="23"/>
                <w:szCs w:val="23"/>
              </w:rPr>
            </w:pPr>
          </w:p>
        </w:tc>
        <w:tc>
          <w:tcPr>
            <w:tcW w:w="2167" w:type="dxa"/>
            <w:gridSpan w:val="3"/>
            <w:tcBorders>
              <w:bottom w:val="single" w:sz="4" w:space="0" w:color="auto"/>
            </w:tcBorders>
          </w:tcPr>
          <w:p w14:paraId="139F3F23" w14:textId="77777777" w:rsidR="00743E8A" w:rsidRPr="00026EC1" w:rsidRDefault="00743E8A" w:rsidP="007F120F">
            <w:pPr>
              <w:keepNext w:val="0"/>
              <w:rPr>
                <w:sz w:val="23"/>
                <w:szCs w:val="23"/>
              </w:rPr>
            </w:pPr>
          </w:p>
        </w:tc>
        <w:tc>
          <w:tcPr>
            <w:tcW w:w="1013" w:type="dxa"/>
            <w:gridSpan w:val="2"/>
            <w:tcBorders>
              <w:bottom w:val="single" w:sz="4" w:space="0" w:color="auto"/>
            </w:tcBorders>
          </w:tcPr>
          <w:p w14:paraId="5F45D736" w14:textId="77777777" w:rsidR="00743E8A" w:rsidRPr="00026EC1" w:rsidRDefault="00743E8A" w:rsidP="007F120F">
            <w:pPr>
              <w:keepNext w:val="0"/>
              <w:rPr>
                <w:sz w:val="23"/>
                <w:szCs w:val="23"/>
              </w:rPr>
            </w:pPr>
          </w:p>
        </w:tc>
        <w:tc>
          <w:tcPr>
            <w:tcW w:w="4162" w:type="dxa"/>
            <w:gridSpan w:val="4"/>
            <w:tcBorders>
              <w:bottom w:val="single" w:sz="4" w:space="0" w:color="auto"/>
            </w:tcBorders>
          </w:tcPr>
          <w:p w14:paraId="155E26FC" w14:textId="77777777" w:rsidR="00743E8A" w:rsidRPr="00026EC1" w:rsidRDefault="00743E8A" w:rsidP="007F120F">
            <w:pPr>
              <w:keepNext w:val="0"/>
              <w:rPr>
                <w:sz w:val="23"/>
                <w:szCs w:val="23"/>
              </w:rPr>
            </w:pPr>
          </w:p>
        </w:tc>
      </w:tr>
      <w:tr w:rsidR="00743E8A" w:rsidRPr="00026EC1" w14:paraId="139C065A" w14:textId="77777777" w:rsidTr="00820C3C">
        <w:trPr>
          <w:cantSplit/>
        </w:trPr>
        <w:tc>
          <w:tcPr>
            <w:tcW w:w="2137" w:type="dxa"/>
            <w:gridSpan w:val="2"/>
            <w:tcBorders>
              <w:top w:val="single" w:sz="4" w:space="0" w:color="auto"/>
              <w:bottom w:val="single" w:sz="4" w:space="0" w:color="auto"/>
            </w:tcBorders>
          </w:tcPr>
          <w:p w14:paraId="1D882309" w14:textId="77777777" w:rsidR="00743E8A" w:rsidRPr="00026EC1" w:rsidRDefault="00743E8A" w:rsidP="007F120F">
            <w:pPr>
              <w:keepNext w:val="0"/>
              <w:rPr>
                <w:sz w:val="23"/>
                <w:szCs w:val="23"/>
              </w:rPr>
            </w:pPr>
          </w:p>
        </w:tc>
        <w:tc>
          <w:tcPr>
            <w:tcW w:w="2167" w:type="dxa"/>
            <w:gridSpan w:val="3"/>
            <w:tcBorders>
              <w:top w:val="single" w:sz="4" w:space="0" w:color="auto"/>
              <w:bottom w:val="single" w:sz="4" w:space="0" w:color="auto"/>
            </w:tcBorders>
          </w:tcPr>
          <w:p w14:paraId="0AB4C9AB" w14:textId="77777777" w:rsidR="00743E8A" w:rsidRPr="00026EC1" w:rsidRDefault="00743E8A" w:rsidP="007F120F">
            <w:pPr>
              <w:keepNext w:val="0"/>
              <w:rPr>
                <w:sz w:val="23"/>
                <w:szCs w:val="23"/>
              </w:rPr>
            </w:pPr>
          </w:p>
        </w:tc>
        <w:tc>
          <w:tcPr>
            <w:tcW w:w="1013" w:type="dxa"/>
            <w:gridSpan w:val="2"/>
            <w:tcBorders>
              <w:top w:val="single" w:sz="4" w:space="0" w:color="auto"/>
              <w:bottom w:val="single" w:sz="4" w:space="0" w:color="auto"/>
            </w:tcBorders>
          </w:tcPr>
          <w:p w14:paraId="54A95DD7" w14:textId="77777777" w:rsidR="00743E8A" w:rsidRPr="00026EC1" w:rsidRDefault="00743E8A" w:rsidP="007F120F">
            <w:pPr>
              <w:keepNext w:val="0"/>
              <w:rPr>
                <w:sz w:val="23"/>
                <w:szCs w:val="23"/>
              </w:rPr>
            </w:pPr>
          </w:p>
        </w:tc>
        <w:tc>
          <w:tcPr>
            <w:tcW w:w="4162" w:type="dxa"/>
            <w:gridSpan w:val="4"/>
            <w:tcBorders>
              <w:top w:val="single" w:sz="4" w:space="0" w:color="auto"/>
              <w:bottom w:val="single" w:sz="4" w:space="0" w:color="auto"/>
            </w:tcBorders>
          </w:tcPr>
          <w:p w14:paraId="0081EE35" w14:textId="77777777" w:rsidR="00743E8A" w:rsidRPr="00026EC1" w:rsidRDefault="00743E8A" w:rsidP="007F120F">
            <w:pPr>
              <w:keepNext w:val="0"/>
              <w:rPr>
                <w:sz w:val="23"/>
                <w:szCs w:val="23"/>
              </w:rPr>
            </w:pPr>
          </w:p>
        </w:tc>
      </w:tr>
      <w:tr w:rsidR="00743E8A" w:rsidRPr="00026EC1" w14:paraId="535A3DB8" w14:textId="77777777" w:rsidTr="00820C3C">
        <w:trPr>
          <w:cantSplit/>
        </w:trPr>
        <w:tc>
          <w:tcPr>
            <w:tcW w:w="2137" w:type="dxa"/>
            <w:gridSpan w:val="2"/>
            <w:tcBorders>
              <w:top w:val="single" w:sz="4" w:space="0" w:color="auto"/>
            </w:tcBorders>
          </w:tcPr>
          <w:p w14:paraId="63AC6CC8" w14:textId="77777777" w:rsidR="00743E8A" w:rsidRPr="00026EC1" w:rsidRDefault="00743E8A" w:rsidP="007F120F">
            <w:pPr>
              <w:keepNext w:val="0"/>
              <w:spacing w:before="120"/>
              <w:rPr>
                <w:sz w:val="23"/>
                <w:szCs w:val="23"/>
              </w:rPr>
            </w:pPr>
          </w:p>
        </w:tc>
        <w:tc>
          <w:tcPr>
            <w:tcW w:w="2167" w:type="dxa"/>
            <w:gridSpan w:val="3"/>
            <w:tcBorders>
              <w:top w:val="single" w:sz="4" w:space="0" w:color="auto"/>
            </w:tcBorders>
          </w:tcPr>
          <w:p w14:paraId="68D621F0" w14:textId="77777777" w:rsidR="00743E8A" w:rsidRPr="00026EC1" w:rsidRDefault="00743E8A" w:rsidP="007F120F">
            <w:pPr>
              <w:keepNext w:val="0"/>
              <w:spacing w:before="120"/>
              <w:rPr>
                <w:sz w:val="23"/>
                <w:szCs w:val="23"/>
              </w:rPr>
            </w:pPr>
          </w:p>
        </w:tc>
        <w:tc>
          <w:tcPr>
            <w:tcW w:w="1013" w:type="dxa"/>
            <w:gridSpan w:val="2"/>
            <w:tcBorders>
              <w:top w:val="single" w:sz="4" w:space="0" w:color="auto"/>
            </w:tcBorders>
          </w:tcPr>
          <w:p w14:paraId="79E0DE48" w14:textId="77777777" w:rsidR="00743E8A" w:rsidRPr="00026EC1" w:rsidRDefault="00743E8A" w:rsidP="007F120F">
            <w:pPr>
              <w:keepNext w:val="0"/>
              <w:spacing w:before="120"/>
              <w:rPr>
                <w:sz w:val="23"/>
                <w:szCs w:val="23"/>
              </w:rPr>
            </w:pPr>
          </w:p>
        </w:tc>
        <w:tc>
          <w:tcPr>
            <w:tcW w:w="4162" w:type="dxa"/>
            <w:gridSpan w:val="4"/>
            <w:tcBorders>
              <w:top w:val="single" w:sz="4" w:space="0" w:color="auto"/>
            </w:tcBorders>
          </w:tcPr>
          <w:p w14:paraId="42BC7827" w14:textId="77777777" w:rsidR="00743E8A" w:rsidRPr="00026EC1" w:rsidRDefault="00743E8A" w:rsidP="007F120F">
            <w:pPr>
              <w:keepNext w:val="0"/>
              <w:spacing w:before="120"/>
              <w:rPr>
                <w:sz w:val="23"/>
                <w:szCs w:val="23"/>
              </w:rPr>
            </w:pPr>
          </w:p>
        </w:tc>
      </w:tr>
      <w:tr w:rsidR="00743E8A" w:rsidRPr="00026EC1" w14:paraId="7B84DC62" w14:textId="77777777" w:rsidTr="00820C3C">
        <w:trPr>
          <w:cantSplit/>
        </w:trPr>
        <w:tc>
          <w:tcPr>
            <w:tcW w:w="9479" w:type="dxa"/>
            <w:gridSpan w:val="11"/>
          </w:tcPr>
          <w:p w14:paraId="47FE959C" w14:textId="77777777" w:rsidR="00743E8A" w:rsidRPr="00026EC1" w:rsidRDefault="00743E8A" w:rsidP="007F120F">
            <w:pPr>
              <w:keepNext w:val="0"/>
              <w:rPr>
                <w:sz w:val="23"/>
                <w:szCs w:val="23"/>
              </w:rPr>
            </w:pPr>
            <w:r w:rsidRPr="00026EC1">
              <w:rPr>
                <w:sz w:val="23"/>
                <w:szCs w:val="23"/>
              </w:rPr>
              <w:t>Signature de l</w:t>
            </w:r>
            <w:r w:rsidR="00BC3319" w:rsidRPr="00026EC1">
              <w:rPr>
                <w:sz w:val="23"/>
                <w:szCs w:val="23"/>
              </w:rPr>
              <w:t>’</w:t>
            </w:r>
            <w:r w:rsidRPr="00026EC1">
              <w:rPr>
                <w:sz w:val="23"/>
                <w:szCs w:val="23"/>
              </w:rPr>
              <w:t>enseignante ou de l</w:t>
            </w:r>
            <w:r w:rsidR="00BC3319" w:rsidRPr="00026EC1">
              <w:rPr>
                <w:sz w:val="23"/>
                <w:szCs w:val="23"/>
              </w:rPr>
              <w:t>’</w:t>
            </w:r>
            <w:r w:rsidRPr="00026EC1">
              <w:rPr>
                <w:sz w:val="23"/>
                <w:szCs w:val="23"/>
              </w:rPr>
              <w:t xml:space="preserve">enseignant réclamant </w:t>
            </w:r>
          </w:p>
          <w:p w14:paraId="0CBE4C61" w14:textId="43F1E11C" w:rsidR="00743E8A" w:rsidRPr="00026EC1" w:rsidRDefault="00743E8A" w:rsidP="007F120F">
            <w:pPr>
              <w:keepNext w:val="0"/>
              <w:rPr>
                <w:sz w:val="23"/>
                <w:szCs w:val="23"/>
              </w:rPr>
            </w:pPr>
            <w:r w:rsidRPr="00026EC1">
              <w:rPr>
                <w:sz w:val="23"/>
                <w:szCs w:val="23"/>
              </w:rPr>
              <w:t>ou de la déléguée ou du délégué syndical</w:t>
            </w:r>
            <w:r w:rsidR="00D8581B">
              <w:rPr>
                <w:sz w:val="23"/>
                <w:szCs w:val="23"/>
              </w:rPr>
              <w:t> :</w:t>
            </w:r>
          </w:p>
        </w:tc>
      </w:tr>
      <w:tr w:rsidR="00743E8A" w:rsidRPr="00026EC1" w14:paraId="44251446" w14:textId="77777777" w:rsidTr="00820C3C">
        <w:trPr>
          <w:cantSplit/>
          <w:trHeight w:val="87"/>
        </w:trPr>
        <w:tc>
          <w:tcPr>
            <w:tcW w:w="9479" w:type="dxa"/>
            <w:gridSpan w:val="11"/>
            <w:tcBorders>
              <w:bottom w:val="single" w:sz="4" w:space="0" w:color="auto"/>
            </w:tcBorders>
          </w:tcPr>
          <w:p w14:paraId="33078FD1" w14:textId="77777777" w:rsidR="00743E8A" w:rsidRPr="00026EC1" w:rsidRDefault="00743E8A" w:rsidP="00A77073">
            <w:pPr>
              <w:pStyle w:val="CommentText"/>
              <w:keepNext w:val="0"/>
              <w:tabs>
                <w:tab w:val="clear" w:pos="3969"/>
              </w:tabs>
              <w:rPr>
                <w:sz w:val="23"/>
                <w:szCs w:val="23"/>
              </w:rPr>
            </w:pPr>
          </w:p>
        </w:tc>
      </w:tr>
      <w:tr w:rsidR="00743E8A" w:rsidRPr="00026EC1" w14:paraId="4B9CC98E" w14:textId="77777777" w:rsidTr="00820C3C">
        <w:tc>
          <w:tcPr>
            <w:tcW w:w="1140" w:type="dxa"/>
          </w:tcPr>
          <w:p w14:paraId="5D87A8FB" w14:textId="419A7A72" w:rsidR="00743E8A" w:rsidRPr="00026EC1" w:rsidRDefault="00743E8A" w:rsidP="007F120F">
            <w:pPr>
              <w:keepNext w:val="0"/>
              <w:spacing w:before="120"/>
              <w:rPr>
                <w:sz w:val="23"/>
                <w:szCs w:val="23"/>
              </w:rPr>
            </w:pPr>
            <w:r w:rsidRPr="00026EC1">
              <w:rPr>
                <w:sz w:val="23"/>
                <w:szCs w:val="23"/>
              </w:rPr>
              <w:t>Copies</w:t>
            </w:r>
            <w:r w:rsidR="00D8581B">
              <w:rPr>
                <w:sz w:val="23"/>
                <w:szCs w:val="23"/>
              </w:rPr>
              <w:t> :</w:t>
            </w:r>
          </w:p>
        </w:tc>
        <w:tc>
          <w:tcPr>
            <w:tcW w:w="2033" w:type="dxa"/>
            <w:gridSpan w:val="2"/>
          </w:tcPr>
          <w:p w14:paraId="386A8013" w14:textId="77777777" w:rsidR="00743E8A" w:rsidRPr="00026EC1" w:rsidRDefault="00743E8A" w:rsidP="007F120F">
            <w:pPr>
              <w:pStyle w:val="CommentText"/>
              <w:keepNext w:val="0"/>
              <w:tabs>
                <w:tab w:val="clear" w:pos="3969"/>
                <w:tab w:val="left" w:pos="470"/>
              </w:tabs>
              <w:spacing w:before="120"/>
              <w:rPr>
                <w:sz w:val="23"/>
                <w:szCs w:val="23"/>
              </w:rPr>
            </w:pPr>
            <w:r w:rsidRPr="00026EC1">
              <w:rPr>
                <w:sz w:val="23"/>
                <w:szCs w:val="23"/>
              </w:rPr>
              <w:t>1</w:t>
            </w:r>
            <w:r w:rsidR="00BC5A44" w:rsidRPr="00026EC1">
              <w:rPr>
                <w:sz w:val="23"/>
                <w:szCs w:val="23"/>
              </w:rPr>
              <w:t>.</w:t>
            </w:r>
            <w:r w:rsidRPr="00026EC1">
              <w:rPr>
                <w:sz w:val="23"/>
                <w:szCs w:val="23"/>
              </w:rPr>
              <w:tab/>
              <w:t>Collège</w:t>
            </w:r>
          </w:p>
        </w:tc>
        <w:tc>
          <w:tcPr>
            <w:tcW w:w="4007" w:type="dxa"/>
            <w:gridSpan w:val="7"/>
          </w:tcPr>
          <w:p w14:paraId="68C0190A" w14:textId="77777777" w:rsidR="00743E8A" w:rsidRPr="00026EC1" w:rsidRDefault="00743E8A" w:rsidP="007F120F">
            <w:pPr>
              <w:pStyle w:val="CommentText"/>
              <w:keepNext w:val="0"/>
              <w:tabs>
                <w:tab w:val="clear" w:pos="3969"/>
                <w:tab w:val="left" w:pos="470"/>
              </w:tabs>
              <w:spacing w:before="120"/>
              <w:rPr>
                <w:sz w:val="23"/>
                <w:szCs w:val="23"/>
              </w:rPr>
            </w:pPr>
            <w:r w:rsidRPr="00026EC1">
              <w:rPr>
                <w:sz w:val="23"/>
                <w:szCs w:val="23"/>
              </w:rPr>
              <w:t>3.</w:t>
            </w:r>
            <w:r w:rsidRPr="00026EC1">
              <w:rPr>
                <w:sz w:val="23"/>
                <w:szCs w:val="23"/>
              </w:rPr>
              <w:tab/>
              <w:t>FNEEQ</w:t>
            </w:r>
            <w:r w:rsidR="00AA4AD7" w:rsidRPr="00026EC1">
              <w:rPr>
                <w:sz w:val="23"/>
                <w:szCs w:val="23"/>
              </w:rPr>
              <w:t> </w:t>
            </w:r>
            <w:r w:rsidRPr="00026EC1">
              <w:rPr>
                <w:sz w:val="23"/>
                <w:szCs w:val="23"/>
              </w:rPr>
              <w:t>(CSN)</w:t>
            </w:r>
          </w:p>
        </w:tc>
        <w:tc>
          <w:tcPr>
            <w:tcW w:w="2299" w:type="dxa"/>
          </w:tcPr>
          <w:p w14:paraId="2C8D810E" w14:textId="77777777" w:rsidR="00743E8A" w:rsidRPr="00026EC1" w:rsidRDefault="00743E8A" w:rsidP="007F120F">
            <w:pPr>
              <w:keepNext w:val="0"/>
              <w:spacing w:before="120"/>
              <w:rPr>
                <w:sz w:val="23"/>
                <w:szCs w:val="23"/>
              </w:rPr>
            </w:pPr>
          </w:p>
        </w:tc>
      </w:tr>
      <w:tr w:rsidR="00743E8A" w:rsidRPr="00026EC1" w14:paraId="7C5C485D" w14:textId="77777777" w:rsidTr="00820C3C">
        <w:trPr>
          <w:trHeight w:val="441"/>
        </w:trPr>
        <w:tc>
          <w:tcPr>
            <w:tcW w:w="1140" w:type="dxa"/>
          </w:tcPr>
          <w:p w14:paraId="58ED33C3" w14:textId="77777777" w:rsidR="00743E8A" w:rsidRPr="00026EC1" w:rsidRDefault="00743E8A" w:rsidP="007F120F">
            <w:pPr>
              <w:keepNext w:val="0"/>
              <w:rPr>
                <w:sz w:val="23"/>
                <w:szCs w:val="23"/>
              </w:rPr>
            </w:pPr>
          </w:p>
        </w:tc>
        <w:tc>
          <w:tcPr>
            <w:tcW w:w="2033" w:type="dxa"/>
            <w:gridSpan w:val="2"/>
          </w:tcPr>
          <w:p w14:paraId="1EE79E40" w14:textId="77777777" w:rsidR="00743E8A" w:rsidRPr="00026EC1" w:rsidRDefault="00743E8A" w:rsidP="007F120F">
            <w:pPr>
              <w:pStyle w:val="CommentText"/>
              <w:keepNext w:val="0"/>
              <w:tabs>
                <w:tab w:val="clear" w:pos="3969"/>
                <w:tab w:val="left" w:pos="470"/>
              </w:tabs>
              <w:rPr>
                <w:sz w:val="23"/>
                <w:szCs w:val="23"/>
              </w:rPr>
            </w:pPr>
            <w:r w:rsidRPr="00026EC1">
              <w:rPr>
                <w:sz w:val="23"/>
                <w:szCs w:val="23"/>
              </w:rPr>
              <w:t>2.</w:t>
            </w:r>
            <w:r w:rsidRPr="00026EC1">
              <w:rPr>
                <w:sz w:val="23"/>
                <w:szCs w:val="23"/>
              </w:rPr>
              <w:tab/>
              <w:t>Syndicat</w:t>
            </w:r>
          </w:p>
        </w:tc>
        <w:tc>
          <w:tcPr>
            <w:tcW w:w="4007" w:type="dxa"/>
            <w:gridSpan w:val="7"/>
          </w:tcPr>
          <w:p w14:paraId="36AED1FF" w14:textId="77777777" w:rsidR="00743E8A" w:rsidRPr="00026EC1" w:rsidRDefault="00743E8A" w:rsidP="007F120F">
            <w:pPr>
              <w:pStyle w:val="CommentText"/>
              <w:keepNext w:val="0"/>
              <w:tabs>
                <w:tab w:val="clear" w:pos="3969"/>
                <w:tab w:val="left" w:pos="470"/>
              </w:tabs>
              <w:rPr>
                <w:sz w:val="23"/>
                <w:szCs w:val="23"/>
              </w:rPr>
            </w:pPr>
            <w:r w:rsidRPr="00026EC1">
              <w:rPr>
                <w:sz w:val="23"/>
                <w:szCs w:val="23"/>
              </w:rPr>
              <w:t>4.</w:t>
            </w:r>
            <w:r w:rsidRPr="00026EC1">
              <w:rPr>
                <w:sz w:val="23"/>
                <w:szCs w:val="23"/>
              </w:rPr>
              <w:tab/>
              <w:t>Enseignante ou enseignant</w:t>
            </w:r>
          </w:p>
        </w:tc>
        <w:tc>
          <w:tcPr>
            <w:tcW w:w="2299" w:type="dxa"/>
          </w:tcPr>
          <w:p w14:paraId="6BBAE7D2" w14:textId="77777777" w:rsidR="00743E8A" w:rsidRPr="00026EC1" w:rsidRDefault="00743E8A" w:rsidP="007F120F">
            <w:pPr>
              <w:keepNext w:val="0"/>
              <w:rPr>
                <w:sz w:val="23"/>
                <w:szCs w:val="23"/>
              </w:rPr>
            </w:pPr>
          </w:p>
        </w:tc>
      </w:tr>
    </w:tbl>
    <w:p w14:paraId="59CD37C8" w14:textId="77777777" w:rsidR="00BE26AA" w:rsidRDefault="00BE26AA" w:rsidP="007F120F">
      <w:pPr>
        <w:pStyle w:val="Heading3"/>
        <w:keepNext w:val="0"/>
        <w:sectPr w:rsidR="00BE26AA" w:rsidSect="002B176A">
          <w:headerReference w:type="default" r:id="rId48"/>
          <w:footnotePr>
            <w:numRestart w:val="eachPage"/>
          </w:footnotePr>
          <w:pgSz w:w="12240" w:h="15840" w:code="1"/>
          <w:pgMar w:top="720" w:right="1077" w:bottom="1242" w:left="1684" w:header="709" w:footer="709" w:gutter="0"/>
          <w:cols w:space="708"/>
          <w:docGrid w:linePitch="360"/>
        </w:sectPr>
      </w:pPr>
      <w:bookmarkStart w:id="1405" w:name="_Toc133760876"/>
      <w:bookmarkStart w:id="1406" w:name="_Toc133917024"/>
      <w:bookmarkStart w:id="1407" w:name="_Toc134437298"/>
      <w:bookmarkStart w:id="1408" w:name="_Toc393449471"/>
      <w:bookmarkStart w:id="1409" w:name="_Toc462751597"/>
      <w:bookmarkStart w:id="1410" w:name="_Toc484082616"/>
    </w:p>
    <w:p w14:paraId="7B511955" w14:textId="3E4DBA27" w:rsidR="00743E8A" w:rsidRPr="00820C3C" w:rsidRDefault="00972456" w:rsidP="007F120F">
      <w:pPr>
        <w:pStyle w:val="Heading3"/>
        <w:keepNext w:val="0"/>
      </w:pPr>
      <w:bookmarkStart w:id="1411" w:name="_Toc168479610"/>
      <w:r w:rsidRPr="00820C3C">
        <w:t>Annexe IV</w:t>
      </w:r>
      <w:r w:rsidR="002F5A0C">
        <w:t>-</w:t>
      </w:r>
      <w:r w:rsidRPr="00820C3C">
        <w:t>2</w:t>
      </w:r>
      <w:bookmarkEnd w:id="1401"/>
      <w:bookmarkEnd w:id="1405"/>
      <w:bookmarkEnd w:id="1406"/>
      <w:bookmarkEnd w:id="1407"/>
      <w:r w:rsidRPr="00820C3C">
        <w:br/>
      </w:r>
      <w:r w:rsidRPr="00820C3C">
        <w:br/>
      </w:r>
      <w:bookmarkStart w:id="1412" w:name="_Toc133760877"/>
      <w:bookmarkStart w:id="1413" w:name="_Toc535046702"/>
      <w:r w:rsidRPr="00820C3C">
        <w:t>Formulaire de soumission d’un grief à l’arbitrage</w:t>
      </w:r>
      <w:bookmarkEnd w:id="1412"/>
      <w:r w:rsidRPr="00820C3C">
        <w:br/>
      </w:r>
      <w:bookmarkStart w:id="1414" w:name="_Toc133760878"/>
      <w:bookmarkStart w:id="1415" w:name="_Toc133917026"/>
      <w:r w:rsidRPr="00820C3C">
        <w:t>(FNEEQ (CSN))</w:t>
      </w:r>
      <w:bookmarkEnd w:id="1408"/>
      <w:bookmarkEnd w:id="1409"/>
      <w:bookmarkEnd w:id="1410"/>
      <w:bookmarkEnd w:id="1411"/>
      <w:bookmarkEnd w:id="1413"/>
      <w:bookmarkEnd w:id="1414"/>
      <w:bookmarkEnd w:id="1415"/>
    </w:p>
    <w:tbl>
      <w:tblPr>
        <w:tblW w:w="10547" w:type="dxa"/>
        <w:jc w:val="center"/>
        <w:tblCellMar>
          <w:left w:w="70" w:type="dxa"/>
          <w:right w:w="70" w:type="dxa"/>
        </w:tblCellMar>
        <w:tblLook w:val="0000" w:firstRow="0" w:lastRow="0" w:firstColumn="0" w:lastColumn="0" w:noHBand="0" w:noVBand="0"/>
      </w:tblPr>
      <w:tblGrid>
        <w:gridCol w:w="970"/>
        <w:gridCol w:w="180"/>
        <w:gridCol w:w="720"/>
        <w:gridCol w:w="180"/>
        <w:gridCol w:w="331"/>
        <w:gridCol w:w="900"/>
        <w:gridCol w:w="209"/>
        <w:gridCol w:w="180"/>
        <w:gridCol w:w="664"/>
        <w:gridCol w:w="236"/>
        <w:gridCol w:w="855"/>
        <w:gridCol w:w="585"/>
        <w:gridCol w:w="540"/>
        <w:gridCol w:w="151"/>
        <w:gridCol w:w="3449"/>
        <w:gridCol w:w="397"/>
      </w:tblGrid>
      <w:tr w:rsidR="00743E8A" w:rsidRPr="00026EC1" w14:paraId="0D346DDC" w14:textId="77777777" w:rsidTr="008B1D7E">
        <w:trPr>
          <w:jc w:val="center"/>
        </w:trPr>
        <w:tc>
          <w:tcPr>
            <w:tcW w:w="4334" w:type="dxa"/>
            <w:gridSpan w:val="9"/>
            <w:tcBorders>
              <w:top w:val="single" w:sz="8" w:space="0" w:color="auto"/>
              <w:left w:val="single" w:sz="8" w:space="0" w:color="auto"/>
            </w:tcBorders>
          </w:tcPr>
          <w:p w14:paraId="7145D454" w14:textId="64A4E283" w:rsidR="00743E8A" w:rsidRPr="00026EC1" w:rsidRDefault="00743E8A" w:rsidP="007F120F">
            <w:pPr>
              <w:keepNext w:val="0"/>
              <w:spacing w:before="240"/>
            </w:pPr>
            <w:r w:rsidRPr="00026EC1">
              <w:t xml:space="preserve">AVIS à </w:t>
            </w:r>
            <w:r w:rsidR="00117834" w:rsidRPr="00A25029">
              <w:rPr>
                <w:szCs w:val="24"/>
              </w:rPr>
              <w:t>l’arbitre en chef</w:t>
            </w:r>
          </w:p>
        </w:tc>
        <w:tc>
          <w:tcPr>
            <w:tcW w:w="5816" w:type="dxa"/>
            <w:gridSpan w:val="6"/>
            <w:tcBorders>
              <w:top w:val="single" w:sz="8" w:space="0" w:color="auto"/>
              <w:bottom w:val="single" w:sz="4" w:space="0" w:color="auto"/>
            </w:tcBorders>
          </w:tcPr>
          <w:p w14:paraId="1EEF7D80" w14:textId="77777777" w:rsidR="00743E8A" w:rsidRPr="00026EC1" w:rsidRDefault="00743E8A" w:rsidP="007F120F">
            <w:pPr>
              <w:keepNext w:val="0"/>
              <w:spacing w:before="240"/>
            </w:pPr>
          </w:p>
        </w:tc>
        <w:tc>
          <w:tcPr>
            <w:tcW w:w="397" w:type="dxa"/>
            <w:tcBorders>
              <w:top w:val="single" w:sz="8" w:space="0" w:color="auto"/>
              <w:right w:val="single" w:sz="8" w:space="0" w:color="auto"/>
            </w:tcBorders>
          </w:tcPr>
          <w:p w14:paraId="64AE4907" w14:textId="77777777" w:rsidR="00743E8A" w:rsidRPr="00026EC1" w:rsidRDefault="00743E8A" w:rsidP="007F120F">
            <w:pPr>
              <w:keepNext w:val="0"/>
              <w:spacing w:before="240"/>
            </w:pPr>
          </w:p>
        </w:tc>
      </w:tr>
      <w:tr w:rsidR="00743E8A" w:rsidRPr="00026EC1" w14:paraId="12B43B35" w14:textId="77777777" w:rsidTr="008B1D7E">
        <w:trPr>
          <w:jc w:val="center"/>
        </w:trPr>
        <w:tc>
          <w:tcPr>
            <w:tcW w:w="5425" w:type="dxa"/>
            <w:gridSpan w:val="11"/>
            <w:tcBorders>
              <w:left w:val="single" w:sz="8" w:space="0" w:color="auto"/>
            </w:tcBorders>
          </w:tcPr>
          <w:p w14:paraId="2F673C02" w14:textId="77777777" w:rsidR="00743E8A" w:rsidRPr="00026EC1" w:rsidRDefault="00743E8A" w:rsidP="007F120F">
            <w:pPr>
              <w:keepNext w:val="0"/>
            </w:pPr>
          </w:p>
        </w:tc>
        <w:tc>
          <w:tcPr>
            <w:tcW w:w="5122" w:type="dxa"/>
            <w:gridSpan w:val="5"/>
            <w:tcBorders>
              <w:right w:val="single" w:sz="8" w:space="0" w:color="auto"/>
            </w:tcBorders>
          </w:tcPr>
          <w:p w14:paraId="2675DD37" w14:textId="77777777" w:rsidR="00743E8A" w:rsidRPr="00026EC1" w:rsidRDefault="00743E8A" w:rsidP="007F120F">
            <w:pPr>
              <w:keepNext w:val="0"/>
            </w:pPr>
          </w:p>
        </w:tc>
      </w:tr>
      <w:tr w:rsidR="00743E8A" w:rsidRPr="00026EC1" w14:paraId="4989F6A5" w14:textId="77777777" w:rsidTr="008B1D7E">
        <w:trPr>
          <w:cantSplit/>
          <w:jc w:val="center"/>
        </w:trPr>
        <w:tc>
          <w:tcPr>
            <w:tcW w:w="10547" w:type="dxa"/>
            <w:gridSpan w:val="16"/>
            <w:tcBorders>
              <w:left w:val="single" w:sz="8" w:space="0" w:color="auto"/>
              <w:right w:val="single" w:sz="8" w:space="0" w:color="auto"/>
            </w:tcBorders>
          </w:tcPr>
          <w:p w14:paraId="27502AE2" w14:textId="3C5CB560" w:rsidR="00743E8A" w:rsidRPr="00026EC1" w:rsidRDefault="00743E8A" w:rsidP="007F120F">
            <w:pPr>
              <w:keepNext w:val="0"/>
              <w:tabs>
                <w:tab w:val="left" w:pos="540"/>
              </w:tabs>
            </w:pPr>
            <w:r w:rsidRPr="00026EC1">
              <w:fldChar w:fldCharType="begin">
                <w:ffData>
                  <w:name w:val="CaseACocher6"/>
                  <w:enabled/>
                  <w:calcOnExit w:val="0"/>
                  <w:checkBox>
                    <w:sizeAuto/>
                    <w:default w:val="0"/>
                  </w:checkBox>
                </w:ffData>
              </w:fldChar>
            </w:r>
            <w:bookmarkStart w:id="1416" w:name="CaseACocher6"/>
            <w:r w:rsidRPr="00026EC1">
              <w:instrText xml:space="preserve"> FORMCHECKBOX </w:instrText>
            </w:r>
            <w:r w:rsidR="00CD1EA2">
              <w:fldChar w:fldCharType="separate"/>
            </w:r>
            <w:r w:rsidRPr="00026EC1">
              <w:fldChar w:fldCharType="end"/>
            </w:r>
            <w:bookmarkEnd w:id="1416"/>
            <w:r w:rsidRPr="00026EC1">
              <w:tab/>
              <w:t>Avis est donné conformément à l</w:t>
            </w:r>
            <w:r w:rsidR="00BC3319" w:rsidRPr="00026EC1">
              <w:t>’</w:t>
            </w:r>
            <w:r w:rsidRPr="00026EC1">
              <w:t>article 9</w:t>
            </w:r>
            <w:r w:rsidR="00984A6F">
              <w:noBreakHyphen/>
            </w:r>
            <w:r w:rsidRPr="00026EC1">
              <w:t>2.00 de la convention collective de soumettre</w:t>
            </w:r>
          </w:p>
        </w:tc>
      </w:tr>
      <w:tr w:rsidR="00743E8A" w:rsidRPr="00026EC1" w14:paraId="340439FC" w14:textId="77777777" w:rsidTr="008B1D7E">
        <w:trPr>
          <w:jc w:val="center"/>
        </w:trPr>
        <w:tc>
          <w:tcPr>
            <w:tcW w:w="1870" w:type="dxa"/>
            <w:gridSpan w:val="3"/>
            <w:tcBorders>
              <w:left w:val="single" w:sz="8" w:space="0" w:color="auto"/>
            </w:tcBorders>
          </w:tcPr>
          <w:p w14:paraId="4CC7E9EA" w14:textId="77777777" w:rsidR="00743E8A" w:rsidRPr="00026EC1" w:rsidRDefault="00743E8A" w:rsidP="007F120F">
            <w:pPr>
              <w:keepNext w:val="0"/>
              <w:tabs>
                <w:tab w:val="left" w:pos="540"/>
              </w:tabs>
              <w:rPr>
                <w:lang w:val="en-CA"/>
              </w:rPr>
            </w:pPr>
            <w:r w:rsidRPr="00026EC1">
              <w:tab/>
            </w:r>
            <w:r w:rsidRPr="00026EC1">
              <w:rPr>
                <w:lang w:val="en-CA"/>
              </w:rPr>
              <w:t>le grief no</w:t>
            </w:r>
          </w:p>
        </w:tc>
        <w:tc>
          <w:tcPr>
            <w:tcW w:w="1411" w:type="dxa"/>
            <w:gridSpan w:val="3"/>
            <w:tcBorders>
              <w:bottom w:val="single" w:sz="8" w:space="0" w:color="auto"/>
            </w:tcBorders>
          </w:tcPr>
          <w:p w14:paraId="2C6584E9" w14:textId="77777777" w:rsidR="00743E8A" w:rsidRPr="00026EC1" w:rsidRDefault="00743E8A" w:rsidP="007F120F">
            <w:pPr>
              <w:keepNext w:val="0"/>
              <w:rPr>
                <w:lang w:val="en-CA"/>
              </w:rPr>
            </w:pPr>
          </w:p>
        </w:tc>
        <w:tc>
          <w:tcPr>
            <w:tcW w:w="3420" w:type="dxa"/>
            <w:gridSpan w:val="8"/>
          </w:tcPr>
          <w:p w14:paraId="4DA89C63" w14:textId="77777777" w:rsidR="00743E8A" w:rsidRPr="00026EC1" w:rsidRDefault="00743E8A" w:rsidP="007F120F">
            <w:pPr>
              <w:keepNext w:val="0"/>
            </w:pPr>
            <w:r w:rsidRPr="00026EC1">
              <w:t>, soumis en première étape le</w:t>
            </w:r>
          </w:p>
        </w:tc>
        <w:tc>
          <w:tcPr>
            <w:tcW w:w="3449" w:type="dxa"/>
            <w:tcBorders>
              <w:bottom w:val="single" w:sz="4" w:space="0" w:color="auto"/>
            </w:tcBorders>
          </w:tcPr>
          <w:p w14:paraId="58844F37" w14:textId="77777777" w:rsidR="00743E8A" w:rsidRPr="00026EC1" w:rsidRDefault="00743E8A" w:rsidP="007F120F">
            <w:pPr>
              <w:keepNext w:val="0"/>
            </w:pPr>
          </w:p>
        </w:tc>
        <w:tc>
          <w:tcPr>
            <w:tcW w:w="397" w:type="dxa"/>
            <w:tcBorders>
              <w:right w:val="single" w:sz="8" w:space="0" w:color="auto"/>
            </w:tcBorders>
          </w:tcPr>
          <w:p w14:paraId="66DFD53C" w14:textId="77777777" w:rsidR="00743E8A" w:rsidRPr="00026EC1" w:rsidRDefault="00743E8A" w:rsidP="007F120F">
            <w:pPr>
              <w:keepNext w:val="0"/>
            </w:pPr>
          </w:p>
        </w:tc>
      </w:tr>
      <w:tr w:rsidR="00743E8A" w:rsidRPr="00026EC1" w14:paraId="3438526F" w14:textId="77777777" w:rsidTr="008B1D7E">
        <w:trPr>
          <w:jc w:val="center"/>
        </w:trPr>
        <w:tc>
          <w:tcPr>
            <w:tcW w:w="5425" w:type="dxa"/>
            <w:gridSpan w:val="11"/>
            <w:tcBorders>
              <w:left w:val="single" w:sz="8" w:space="0" w:color="auto"/>
            </w:tcBorders>
          </w:tcPr>
          <w:p w14:paraId="21315490" w14:textId="77777777" w:rsidR="00743E8A" w:rsidRPr="00026EC1" w:rsidRDefault="00743E8A" w:rsidP="007F120F">
            <w:pPr>
              <w:keepNext w:val="0"/>
              <w:tabs>
                <w:tab w:val="left" w:pos="540"/>
              </w:tabs>
            </w:pPr>
            <w:r w:rsidRPr="00026EC1">
              <w:tab/>
              <w:t>____________________, à l</w:t>
            </w:r>
            <w:r w:rsidR="00BC3319" w:rsidRPr="00026EC1">
              <w:t>’</w:t>
            </w:r>
            <w:r w:rsidRPr="00026EC1">
              <w:t>arbitrage.</w:t>
            </w:r>
          </w:p>
        </w:tc>
        <w:tc>
          <w:tcPr>
            <w:tcW w:w="5122" w:type="dxa"/>
            <w:gridSpan w:val="5"/>
            <w:tcBorders>
              <w:right w:val="single" w:sz="8" w:space="0" w:color="auto"/>
            </w:tcBorders>
          </w:tcPr>
          <w:p w14:paraId="7C85CDE2" w14:textId="77777777" w:rsidR="00743E8A" w:rsidRPr="00026EC1" w:rsidRDefault="00743E8A" w:rsidP="007F120F">
            <w:pPr>
              <w:keepNext w:val="0"/>
            </w:pPr>
          </w:p>
        </w:tc>
      </w:tr>
      <w:tr w:rsidR="00743E8A" w:rsidRPr="00026EC1" w14:paraId="02F256E1" w14:textId="77777777" w:rsidTr="008B1D7E">
        <w:trPr>
          <w:jc w:val="center"/>
        </w:trPr>
        <w:tc>
          <w:tcPr>
            <w:tcW w:w="5425" w:type="dxa"/>
            <w:gridSpan w:val="11"/>
            <w:tcBorders>
              <w:left w:val="single" w:sz="8" w:space="0" w:color="auto"/>
            </w:tcBorders>
          </w:tcPr>
          <w:p w14:paraId="6FBF4590" w14:textId="77777777" w:rsidR="00743E8A" w:rsidRPr="00026EC1" w:rsidRDefault="00743E8A" w:rsidP="007F120F">
            <w:pPr>
              <w:keepNext w:val="0"/>
              <w:tabs>
                <w:tab w:val="left" w:pos="540"/>
              </w:tabs>
            </w:pPr>
          </w:p>
        </w:tc>
        <w:tc>
          <w:tcPr>
            <w:tcW w:w="5122" w:type="dxa"/>
            <w:gridSpan w:val="5"/>
            <w:tcBorders>
              <w:right w:val="single" w:sz="8" w:space="0" w:color="auto"/>
            </w:tcBorders>
          </w:tcPr>
          <w:p w14:paraId="17DC8BF8" w14:textId="77777777" w:rsidR="00743E8A" w:rsidRPr="00026EC1" w:rsidRDefault="00743E8A" w:rsidP="007F120F">
            <w:pPr>
              <w:keepNext w:val="0"/>
            </w:pPr>
          </w:p>
        </w:tc>
      </w:tr>
      <w:tr w:rsidR="00743E8A" w:rsidRPr="00026EC1" w14:paraId="22632826" w14:textId="77777777" w:rsidTr="008B1D7E">
        <w:trPr>
          <w:jc w:val="center"/>
        </w:trPr>
        <w:tc>
          <w:tcPr>
            <w:tcW w:w="2381" w:type="dxa"/>
            <w:gridSpan w:val="5"/>
            <w:tcBorders>
              <w:left w:val="single" w:sz="8" w:space="0" w:color="auto"/>
            </w:tcBorders>
          </w:tcPr>
          <w:p w14:paraId="25FBA88B" w14:textId="6F623683" w:rsidR="00743E8A" w:rsidRPr="00026EC1" w:rsidRDefault="00743E8A" w:rsidP="007F120F">
            <w:pPr>
              <w:keepNext w:val="0"/>
              <w:tabs>
                <w:tab w:val="left" w:pos="540"/>
              </w:tabs>
            </w:pPr>
            <w:r w:rsidRPr="00026EC1">
              <w:t>Collège(s) visé(s)</w:t>
            </w:r>
            <w:r w:rsidR="00D8581B">
              <w:t> :</w:t>
            </w:r>
          </w:p>
        </w:tc>
        <w:tc>
          <w:tcPr>
            <w:tcW w:w="7769" w:type="dxa"/>
            <w:gridSpan w:val="10"/>
            <w:tcBorders>
              <w:bottom w:val="single" w:sz="8" w:space="0" w:color="auto"/>
            </w:tcBorders>
          </w:tcPr>
          <w:p w14:paraId="427D95D2" w14:textId="77777777" w:rsidR="00743E8A" w:rsidRPr="00026EC1" w:rsidRDefault="00743E8A" w:rsidP="007F120F">
            <w:pPr>
              <w:keepNext w:val="0"/>
            </w:pPr>
          </w:p>
        </w:tc>
        <w:tc>
          <w:tcPr>
            <w:tcW w:w="397" w:type="dxa"/>
            <w:tcBorders>
              <w:right w:val="single" w:sz="8" w:space="0" w:color="auto"/>
            </w:tcBorders>
          </w:tcPr>
          <w:p w14:paraId="66E9620B" w14:textId="77777777" w:rsidR="00743E8A" w:rsidRPr="00026EC1" w:rsidRDefault="00743E8A" w:rsidP="007F120F">
            <w:pPr>
              <w:keepNext w:val="0"/>
            </w:pPr>
          </w:p>
        </w:tc>
      </w:tr>
      <w:tr w:rsidR="00743E8A" w:rsidRPr="00026EC1" w14:paraId="3A622FE3" w14:textId="77777777" w:rsidTr="008B1D7E">
        <w:trPr>
          <w:jc w:val="center"/>
        </w:trPr>
        <w:tc>
          <w:tcPr>
            <w:tcW w:w="2381" w:type="dxa"/>
            <w:gridSpan w:val="5"/>
            <w:tcBorders>
              <w:left w:val="single" w:sz="8" w:space="0" w:color="auto"/>
            </w:tcBorders>
          </w:tcPr>
          <w:p w14:paraId="5107FFB6" w14:textId="77777777" w:rsidR="00743E8A" w:rsidRPr="00026EC1" w:rsidRDefault="00743E8A" w:rsidP="007F120F">
            <w:pPr>
              <w:keepNext w:val="0"/>
              <w:tabs>
                <w:tab w:val="left" w:pos="540"/>
              </w:tabs>
            </w:pPr>
          </w:p>
        </w:tc>
        <w:tc>
          <w:tcPr>
            <w:tcW w:w="7769" w:type="dxa"/>
            <w:gridSpan w:val="10"/>
            <w:tcBorders>
              <w:top w:val="single" w:sz="8" w:space="0" w:color="auto"/>
              <w:bottom w:val="single" w:sz="8" w:space="0" w:color="auto"/>
            </w:tcBorders>
          </w:tcPr>
          <w:p w14:paraId="3AE9D504" w14:textId="77777777" w:rsidR="00743E8A" w:rsidRPr="00026EC1" w:rsidRDefault="00743E8A" w:rsidP="007F120F">
            <w:pPr>
              <w:keepNext w:val="0"/>
            </w:pPr>
          </w:p>
        </w:tc>
        <w:tc>
          <w:tcPr>
            <w:tcW w:w="397" w:type="dxa"/>
            <w:tcBorders>
              <w:right w:val="single" w:sz="8" w:space="0" w:color="auto"/>
            </w:tcBorders>
          </w:tcPr>
          <w:p w14:paraId="379DC382" w14:textId="77777777" w:rsidR="00743E8A" w:rsidRPr="00026EC1" w:rsidRDefault="00743E8A" w:rsidP="007F120F">
            <w:pPr>
              <w:keepNext w:val="0"/>
            </w:pPr>
          </w:p>
        </w:tc>
      </w:tr>
      <w:tr w:rsidR="00743E8A" w:rsidRPr="00026EC1" w14:paraId="3EE00765" w14:textId="77777777" w:rsidTr="008B1D7E">
        <w:trPr>
          <w:jc w:val="center"/>
        </w:trPr>
        <w:tc>
          <w:tcPr>
            <w:tcW w:w="2381" w:type="dxa"/>
            <w:gridSpan w:val="5"/>
            <w:tcBorders>
              <w:left w:val="single" w:sz="8" w:space="0" w:color="auto"/>
            </w:tcBorders>
          </w:tcPr>
          <w:p w14:paraId="63D3F340" w14:textId="77777777" w:rsidR="00743E8A" w:rsidRPr="00026EC1" w:rsidRDefault="00743E8A" w:rsidP="007F120F">
            <w:pPr>
              <w:keepNext w:val="0"/>
              <w:tabs>
                <w:tab w:val="left" w:pos="540"/>
              </w:tabs>
            </w:pPr>
          </w:p>
        </w:tc>
        <w:tc>
          <w:tcPr>
            <w:tcW w:w="7769" w:type="dxa"/>
            <w:gridSpan w:val="10"/>
            <w:tcBorders>
              <w:top w:val="single" w:sz="8" w:space="0" w:color="auto"/>
              <w:bottom w:val="single" w:sz="8" w:space="0" w:color="auto"/>
            </w:tcBorders>
          </w:tcPr>
          <w:p w14:paraId="5527CBA5" w14:textId="77777777" w:rsidR="00743E8A" w:rsidRPr="00026EC1" w:rsidRDefault="00743E8A" w:rsidP="007F120F">
            <w:pPr>
              <w:keepNext w:val="0"/>
            </w:pPr>
          </w:p>
        </w:tc>
        <w:tc>
          <w:tcPr>
            <w:tcW w:w="397" w:type="dxa"/>
            <w:tcBorders>
              <w:right w:val="single" w:sz="8" w:space="0" w:color="auto"/>
            </w:tcBorders>
          </w:tcPr>
          <w:p w14:paraId="72BC5A45" w14:textId="77777777" w:rsidR="00743E8A" w:rsidRPr="00026EC1" w:rsidRDefault="00743E8A" w:rsidP="007F120F">
            <w:pPr>
              <w:keepNext w:val="0"/>
            </w:pPr>
          </w:p>
        </w:tc>
      </w:tr>
      <w:tr w:rsidR="00743E8A" w:rsidRPr="00026EC1" w14:paraId="3CFA3B36" w14:textId="77777777" w:rsidTr="008B1D7E">
        <w:trPr>
          <w:jc w:val="center"/>
        </w:trPr>
        <w:tc>
          <w:tcPr>
            <w:tcW w:w="2381" w:type="dxa"/>
            <w:gridSpan w:val="5"/>
            <w:tcBorders>
              <w:left w:val="single" w:sz="8" w:space="0" w:color="auto"/>
            </w:tcBorders>
          </w:tcPr>
          <w:p w14:paraId="3388911F" w14:textId="77777777" w:rsidR="00743E8A" w:rsidRPr="00026EC1" w:rsidRDefault="00743E8A" w:rsidP="007F120F">
            <w:pPr>
              <w:keepNext w:val="0"/>
              <w:tabs>
                <w:tab w:val="left" w:pos="540"/>
              </w:tabs>
            </w:pPr>
          </w:p>
        </w:tc>
        <w:tc>
          <w:tcPr>
            <w:tcW w:w="7769" w:type="dxa"/>
            <w:gridSpan w:val="10"/>
            <w:tcBorders>
              <w:top w:val="single" w:sz="8" w:space="0" w:color="auto"/>
            </w:tcBorders>
          </w:tcPr>
          <w:p w14:paraId="19342D87" w14:textId="77777777" w:rsidR="00743E8A" w:rsidRPr="00026EC1" w:rsidRDefault="00743E8A" w:rsidP="007F120F">
            <w:pPr>
              <w:keepNext w:val="0"/>
            </w:pPr>
          </w:p>
        </w:tc>
        <w:tc>
          <w:tcPr>
            <w:tcW w:w="397" w:type="dxa"/>
            <w:tcBorders>
              <w:right w:val="single" w:sz="8" w:space="0" w:color="auto"/>
            </w:tcBorders>
          </w:tcPr>
          <w:p w14:paraId="01C350AA" w14:textId="77777777" w:rsidR="00743E8A" w:rsidRPr="00026EC1" w:rsidRDefault="00743E8A" w:rsidP="007F120F">
            <w:pPr>
              <w:keepNext w:val="0"/>
            </w:pPr>
          </w:p>
        </w:tc>
      </w:tr>
      <w:tr w:rsidR="00743E8A" w:rsidRPr="00026EC1" w14:paraId="79C15097" w14:textId="77777777" w:rsidTr="008B1D7E">
        <w:trPr>
          <w:jc w:val="center"/>
        </w:trPr>
        <w:tc>
          <w:tcPr>
            <w:tcW w:w="2381" w:type="dxa"/>
            <w:gridSpan w:val="5"/>
            <w:tcBorders>
              <w:left w:val="single" w:sz="8" w:space="0" w:color="auto"/>
            </w:tcBorders>
          </w:tcPr>
          <w:p w14:paraId="66BE5BF6" w14:textId="77777777" w:rsidR="00743E8A" w:rsidRPr="00026EC1" w:rsidRDefault="00743E8A" w:rsidP="007F120F">
            <w:pPr>
              <w:keepNext w:val="0"/>
              <w:tabs>
                <w:tab w:val="left" w:pos="540"/>
              </w:tabs>
            </w:pPr>
          </w:p>
        </w:tc>
        <w:tc>
          <w:tcPr>
            <w:tcW w:w="8166" w:type="dxa"/>
            <w:gridSpan w:val="11"/>
            <w:tcBorders>
              <w:right w:val="single" w:sz="8" w:space="0" w:color="auto"/>
            </w:tcBorders>
          </w:tcPr>
          <w:p w14:paraId="2FDAD8F1" w14:textId="77777777" w:rsidR="00743E8A" w:rsidRPr="00026EC1" w:rsidRDefault="00743E8A" w:rsidP="007F120F">
            <w:pPr>
              <w:keepNext w:val="0"/>
            </w:pPr>
          </w:p>
        </w:tc>
      </w:tr>
      <w:tr w:rsidR="00743E8A" w:rsidRPr="00026EC1" w14:paraId="239E2093" w14:textId="77777777" w:rsidTr="008B1D7E">
        <w:trPr>
          <w:jc w:val="center"/>
        </w:trPr>
        <w:tc>
          <w:tcPr>
            <w:tcW w:w="2381" w:type="dxa"/>
            <w:gridSpan w:val="5"/>
            <w:tcBorders>
              <w:left w:val="single" w:sz="8" w:space="0" w:color="auto"/>
            </w:tcBorders>
          </w:tcPr>
          <w:p w14:paraId="083DB628" w14:textId="0D22A94A" w:rsidR="00743E8A" w:rsidRPr="00026EC1" w:rsidRDefault="00743E8A" w:rsidP="007F120F">
            <w:pPr>
              <w:keepNext w:val="0"/>
              <w:tabs>
                <w:tab w:val="left" w:pos="540"/>
              </w:tabs>
              <w:rPr>
                <w:lang w:val="en-CA"/>
              </w:rPr>
            </w:pPr>
            <w:r w:rsidRPr="00026EC1">
              <w:rPr>
                <w:lang w:val="en-CA"/>
              </w:rPr>
              <w:t>Syndicat(s) visé(s)</w:t>
            </w:r>
            <w:r w:rsidR="00D8581B">
              <w:rPr>
                <w:lang w:val="en-CA"/>
              </w:rPr>
              <w:t> :</w:t>
            </w:r>
          </w:p>
        </w:tc>
        <w:tc>
          <w:tcPr>
            <w:tcW w:w="7769" w:type="dxa"/>
            <w:gridSpan w:val="10"/>
            <w:tcBorders>
              <w:bottom w:val="single" w:sz="8" w:space="0" w:color="auto"/>
            </w:tcBorders>
          </w:tcPr>
          <w:p w14:paraId="4281D567" w14:textId="77777777" w:rsidR="00743E8A" w:rsidRPr="00026EC1" w:rsidRDefault="00743E8A" w:rsidP="007F120F">
            <w:pPr>
              <w:keepNext w:val="0"/>
              <w:rPr>
                <w:lang w:val="en-CA"/>
              </w:rPr>
            </w:pPr>
          </w:p>
        </w:tc>
        <w:tc>
          <w:tcPr>
            <w:tcW w:w="397" w:type="dxa"/>
            <w:tcBorders>
              <w:right w:val="single" w:sz="8" w:space="0" w:color="auto"/>
            </w:tcBorders>
          </w:tcPr>
          <w:p w14:paraId="09E4A517" w14:textId="77777777" w:rsidR="00743E8A" w:rsidRPr="00026EC1" w:rsidRDefault="00743E8A" w:rsidP="007F120F">
            <w:pPr>
              <w:keepNext w:val="0"/>
              <w:rPr>
                <w:lang w:val="en-CA"/>
              </w:rPr>
            </w:pPr>
          </w:p>
        </w:tc>
      </w:tr>
      <w:tr w:rsidR="00743E8A" w:rsidRPr="00026EC1" w14:paraId="6A62038F" w14:textId="77777777" w:rsidTr="008B1D7E">
        <w:trPr>
          <w:jc w:val="center"/>
        </w:trPr>
        <w:tc>
          <w:tcPr>
            <w:tcW w:w="2381" w:type="dxa"/>
            <w:gridSpan w:val="5"/>
            <w:tcBorders>
              <w:left w:val="single" w:sz="8" w:space="0" w:color="auto"/>
            </w:tcBorders>
          </w:tcPr>
          <w:p w14:paraId="04546A3E" w14:textId="77777777" w:rsidR="00743E8A" w:rsidRPr="00026EC1" w:rsidRDefault="00743E8A" w:rsidP="007F120F">
            <w:pPr>
              <w:keepNext w:val="0"/>
              <w:tabs>
                <w:tab w:val="left" w:pos="540"/>
              </w:tabs>
              <w:rPr>
                <w:lang w:val="en-CA"/>
              </w:rPr>
            </w:pPr>
          </w:p>
        </w:tc>
        <w:tc>
          <w:tcPr>
            <w:tcW w:w="7769" w:type="dxa"/>
            <w:gridSpan w:val="10"/>
            <w:tcBorders>
              <w:top w:val="single" w:sz="8" w:space="0" w:color="auto"/>
              <w:bottom w:val="single" w:sz="8" w:space="0" w:color="auto"/>
            </w:tcBorders>
          </w:tcPr>
          <w:p w14:paraId="357C80E6" w14:textId="77777777" w:rsidR="00743E8A" w:rsidRPr="00026EC1" w:rsidRDefault="00743E8A" w:rsidP="007F120F">
            <w:pPr>
              <w:keepNext w:val="0"/>
              <w:rPr>
                <w:lang w:val="en-CA"/>
              </w:rPr>
            </w:pPr>
          </w:p>
        </w:tc>
        <w:tc>
          <w:tcPr>
            <w:tcW w:w="397" w:type="dxa"/>
            <w:tcBorders>
              <w:right w:val="single" w:sz="8" w:space="0" w:color="auto"/>
            </w:tcBorders>
          </w:tcPr>
          <w:p w14:paraId="0469D020" w14:textId="77777777" w:rsidR="00743E8A" w:rsidRPr="00026EC1" w:rsidRDefault="00743E8A" w:rsidP="007F120F">
            <w:pPr>
              <w:keepNext w:val="0"/>
              <w:rPr>
                <w:lang w:val="en-CA"/>
              </w:rPr>
            </w:pPr>
          </w:p>
        </w:tc>
      </w:tr>
      <w:tr w:rsidR="00743E8A" w:rsidRPr="00026EC1" w14:paraId="51F48A19" w14:textId="77777777" w:rsidTr="008B1D7E">
        <w:trPr>
          <w:jc w:val="center"/>
        </w:trPr>
        <w:tc>
          <w:tcPr>
            <w:tcW w:w="2381" w:type="dxa"/>
            <w:gridSpan w:val="5"/>
            <w:tcBorders>
              <w:left w:val="single" w:sz="8" w:space="0" w:color="auto"/>
            </w:tcBorders>
          </w:tcPr>
          <w:p w14:paraId="4D2F7E08" w14:textId="77777777" w:rsidR="00743E8A" w:rsidRPr="00026EC1" w:rsidRDefault="00743E8A" w:rsidP="007F120F">
            <w:pPr>
              <w:keepNext w:val="0"/>
              <w:tabs>
                <w:tab w:val="left" w:pos="540"/>
              </w:tabs>
              <w:rPr>
                <w:lang w:val="en-CA"/>
              </w:rPr>
            </w:pPr>
          </w:p>
        </w:tc>
        <w:tc>
          <w:tcPr>
            <w:tcW w:w="7769" w:type="dxa"/>
            <w:gridSpan w:val="10"/>
            <w:tcBorders>
              <w:top w:val="single" w:sz="8" w:space="0" w:color="auto"/>
              <w:bottom w:val="single" w:sz="8" w:space="0" w:color="auto"/>
            </w:tcBorders>
          </w:tcPr>
          <w:p w14:paraId="3202E720" w14:textId="77777777" w:rsidR="00743E8A" w:rsidRPr="00026EC1" w:rsidRDefault="00743E8A" w:rsidP="007F120F">
            <w:pPr>
              <w:keepNext w:val="0"/>
              <w:rPr>
                <w:lang w:val="en-CA"/>
              </w:rPr>
            </w:pPr>
          </w:p>
        </w:tc>
        <w:tc>
          <w:tcPr>
            <w:tcW w:w="397" w:type="dxa"/>
            <w:tcBorders>
              <w:right w:val="single" w:sz="8" w:space="0" w:color="auto"/>
            </w:tcBorders>
          </w:tcPr>
          <w:p w14:paraId="346997E2" w14:textId="77777777" w:rsidR="00743E8A" w:rsidRPr="00026EC1" w:rsidRDefault="00743E8A" w:rsidP="007F120F">
            <w:pPr>
              <w:keepNext w:val="0"/>
              <w:rPr>
                <w:lang w:val="en-CA"/>
              </w:rPr>
            </w:pPr>
          </w:p>
        </w:tc>
      </w:tr>
      <w:tr w:rsidR="00743E8A" w:rsidRPr="00026EC1" w14:paraId="509BF6E9" w14:textId="77777777" w:rsidTr="008B1D7E">
        <w:trPr>
          <w:jc w:val="center"/>
        </w:trPr>
        <w:tc>
          <w:tcPr>
            <w:tcW w:w="2381" w:type="dxa"/>
            <w:gridSpan w:val="5"/>
            <w:tcBorders>
              <w:left w:val="single" w:sz="8" w:space="0" w:color="auto"/>
            </w:tcBorders>
          </w:tcPr>
          <w:p w14:paraId="2D62C87C" w14:textId="77777777" w:rsidR="00743E8A" w:rsidRPr="00026EC1" w:rsidRDefault="00743E8A" w:rsidP="007F120F">
            <w:pPr>
              <w:keepNext w:val="0"/>
              <w:tabs>
                <w:tab w:val="left" w:pos="540"/>
              </w:tabs>
              <w:rPr>
                <w:lang w:val="en-CA"/>
              </w:rPr>
            </w:pPr>
          </w:p>
        </w:tc>
        <w:tc>
          <w:tcPr>
            <w:tcW w:w="7769" w:type="dxa"/>
            <w:gridSpan w:val="10"/>
            <w:tcBorders>
              <w:top w:val="single" w:sz="8" w:space="0" w:color="auto"/>
            </w:tcBorders>
          </w:tcPr>
          <w:p w14:paraId="41B20A00" w14:textId="77777777" w:rsidR="00743E8A" w:rsidRPr="00026EC1" w:rsidRDefault="00743E8A" w:rsidP="007F120F">
            <w:pPr>
              <w:keepNext w:val="0"/>
              <w:rPr>
                <w:lang w:val="en-CA"/>
              </w:rPr>
            </w:pPr>
          </w:p>
        </w:tc>
        <w:tc>
          <w:tcPr>
            <w:tcW w:w="397" w:type="dxa"/>
            <w:tcBorders>
              <w:right w:val="single" w:sz="8" w:space="0" w:color="auto"/>
            </w:tcBorders>
          </w:tcPr>
          <w:p w14:paraId="66366A61" w14:textId="77777777" w:rsidR="00743E8A" w:rsidRPr="00026EC1" w:rsidRDefault="00743E8A" w:rsidP="007F120F">
            <w:pPr>
              <w:keepNext w:val="0"/>
              <w:rPr>
                <w:lang w:val="en-CA"/>
              </w:rPr>
            </w:pPr>
          </w:p>
        </w:tc>
      </w:tr>
      <w:tr w:rsidR="00743E8A" w:rsidRPr="00026EC1" w14:paraId="1093EC42" w14:textId="77777777" w:rsidTr="008B1D7E">
        <w:trPr>
          <w:jc w:val="center"/>
        </w:trPr>
        <w:tc>
          <w:tcPr>
            <w:tcW w:w="1150" w:type="dxa"/>
            <w:gridSpan w:val="2"/>
            <w:tcBorders>
              <w:left w:val="single" w:sz="8" w:space="0" w:color="auto"/>
            </w:tcBorders>
          </w:tcPr>
          <w:p w14:paraId="0A5C2329" w14:textId="7B712EAA" w:rsidR="00743E8A" w:rsidRPr="00026EC1" w:rsidRDefault="00743E8A" w:rsidP="007F120F">
            <w:pPr>
              <w:keepNext w:val="0"/>
              <w:tabs>
                <w:tab w:val="left" w:pos="540"/>
              </w:tabs>
              <w:rPr>
                <w:lang w:val="en-CA"/>
              </w:rPr>
            </w:pPr>
            <w:r w:rsidRPr="00026EC1">
              <w:rPr>
                <w:lang w:val="en-CA"/>
              </w:rPr>
              <w:t>Grief</w:t>
            </w:r>
            <w:r w:rsidR="00D8581B">
              <w:rPr>
                <w:lang w:val="en-CA"/>
              </w:rPr>
              <w:t> :</w:t>
            </w:r>
          </w:p>
        </w:tc>
        <w:tc>
          <w:tcPr>
            <w:tcW w:w="2340" w:type="dxa"/>
            <w:gridSpan w:val="5"/>
          </w:tcPr>
          <w:p w14:paraId="0BBD9F8F" w14:textId="77777777" w:rsidR="00743E8A" w:rsidRPr="00026EC1" w:rsidRDefault="00743E8A" w:rsidP="007F120F">
            <w:pPr>
              <w:keepNext w:val="0"/>
              <w:tabs>
                <w:tab w:val="left" w:pos="470"/>
              </w:tabs>
            </w:pPr>
            <w:r w:rsidRPr="00026EC1">
              <w:fldChar w:fldCharType="begin">
                <w:ffData>
                  <w:name w:val="CaseACocher7"/>
                  <w:enabled/>
                  <w:calcOnExit w:val="0"/>
                  <w:checkBox>
                    <w:sizeAuto/>
                    <w:default w:val="0"/>
                  </w:checkBox>
                </w:ffData>
              </w:fldChar>
            </w:r>
            <w:bookmarkStart w:id="1417" w:name="CaseACocher7"/>
            <w:r w:rsidRPr="00026EC1">
              <w:instrText xml:space="preserve"> FORMCHECKBOX </w:instrText>
            </w:r>
            <w:r w:rsidR="00CD1EA2">
              <w:fldChar w:fldCharType="separate"/>
            </w:r>
            <w:r w:rsidRPr="00026EC1">
              <w:fldChar w:fldCharType="end"/>
            </w:r>
            <w:bookmarkEnd w:id="1417"/>
            <w:r w:rsidRPr="00026EC1">
              <w:tab/>
              <w:t>du syndicat</w:t>
            </w:r>
          </w:p>
        </w:tc>
        <w:tc>
          <w:tcPr>
            <w:tcW w:w="3060" w:type="dxa"/>
            <w:gridSpan w:val="6"/>
          </w:tcPr>
          <w:p w14:paraId="049EE541" w14:textId="77777777" w:rsidR="00743E8A" w:rsidRPr="00026EC1" w:rsidRDefault="00743E8A" w:rsidP="007F120F">
            <w:pPr>
              <w:keepNext w:val="0"/>
              <w:tabs>
                <w:tab w:val="left" w:pos="470"/>
              </w:tabs>
              <w:ind w:firstLine="470"/>
            </w:pPr>
            <w:r w:rsidRPr="00026EC1">
              <w:fldChar w:fldCharType="begin">
                <w:ffData>
                  <w:name w:val="CaseACocher8"/>
                  <w:enabled/>
                  <w:calcOnExit w:val="0"/>
                  <w:checkBox>
                    <w:sizeAuto/>
                    <w:default w:val="0"/>
                  </w:checkBox>
                </w:ffData>
              </w:fldChar>
            </w:r>
            <w:bookmarkStart w:id="1418" w:name="CaseACocher8"/>
            <w:r w:rsidRPr="00026EC1">
              <w:instrText xml:space="preserve"> FORMCHECKBOX </w:instrText>
            </w:r>
            <w:r w:rsidR="00CD1EA2">
              <w:fldChar w:fldCharType="separate"/>
            </w:r>
            <w:r w:rsidRPr="00026EC1">
              <w:fldChar w:fldCharType="end"/>
            </w:r>
            <w:bookmarkEnd w:id="1418"/>
            <w:r w:rsidRPr="00026EC1">
              <w:tab/>
              <w:t>de groupe</w:t>
            </w:r>
          </w:p>
        </w:tc>
        <w:tc>
          <w:tcPr>
            <w:tcW w:w="3997" w:type="dxa"/>
            <w:gridSpan w:val="3"/>
            <w:tcBorders>
              <w:right w:val="single" w:sz="8" w:space="0" w:color="auto"/>
            </w:tcBorders>
          </w:tcPr>
          <w:p w14:paraId="5ECD99D8" w14:textId="74908E12" w:rsidR="00743E8A" w:rsidRPr="00026EC1" w:rsidRDefault="00743E8A" w:rsidP="007F120F">
            <w:pPr>
              <w:keepNext w:val="0"/>
              <w:tabs>
                <w:tab w:val="left" w:pos="470"/>
              </w:tabs>
              <w:ind w:firstLine="290"/>
            </w:pPr>
            <w:r w:rsidRPr="00026EC1">
              <w:fldChar w:fldCharType="begin">
                <w:ffData>
                  <w:name w:val="CaseACocher9"/>
                  <w:enabled/>
                  <w:calcOnExit w:val="0"/>
                  <w:checkBox>
                    <w:sizeAuto/>
                    <w:default w:val="0"/>
                  </w:checkBox>
                </w:ffData>
              </w:fldChar>
            </w:r>
            <w:bookmarkStart w:id="1419" w:name="CaseACocher9"/>
            <w:r w:rsidRPr="00026EC1">
              <w:instrText xml:space="preserve"> FORMCHECKBOX </w:instrText>
            </w:r>
            <w:r w:rsidR="00CD1EA2">
              <w:fldChar w:fldCharType="separate"/>
            </w:r>
            <w:r w:rsidRPr="00026EC1">
              <w:fldChar w:fldCharType="end"/>
            </w:r>
            <w:bookmarkEnd w:id="1419"/>
            <w:r w:rsidR="008E6515">
              <w:t xml:space="preserve"> </w:t>
            </w:r>
            <w:r w:rsidRPr="00026EC1">
              <w:t>individuel</w:t>
            </w:r>
          </w:p>
        </w:tc>
      </w:tr>
      <w:tr w:rsidR="00743E8A" w:rsidRPr="00026EC1" w14:paraId="5FB059E2" w14:textId="77777777" w:rsidTr="008B1D7E">
        <w:trPr>
          <w:jc w:val="center"/>
        </w:trPr>
        <w:tc>
          <w:tcPr>
            <w:tcW w:w="1150" w:type="dxa"/>
            <w:gridSpan w:val="2"/>
            <w:tcBorders>
              <w:left w:val="single" w:sz="8" w:space="0" w:color="auto"/>
            </w:tcBorders>
          </w:tcPr>
          <w:p w14:paraId="15DB4BF6" w14:textId="77777777" w:rsidR="00743E8A" w:rsidRPr="00026EC1" w:rsidRDefault="00743E8A" w:rsidP="007F120F">
            <w:pPr>
              <w:keepNext w:val="0"/>
              <w:tabs>
                <w:tab w:val="left" w:pos="540"/>
              </w:tabs>
            </w:pPr>
          </w:p>
        </w:tc>
        <w:tc>
          <w:tcPr>
            <w:tcW w:w="9397" w:type="dxa"/>
            <w:gridSpan w:val="14"/>
            <w:tcBorders>
              <w:right w:val="single" w:sz="8" w:space="0" w:color="auto"/>
            </w:tcBorders>
          </w:tcPr>
          <w:p w14:paraId="18FDE7BF" w14:textId="77777777" w:rsidR="00743E8A" w:rsidRPr="00026EC1" w:rsidRDefault="00743E8A" w:rsidP="007F120F">
            <w:pPr>
              <w:keepNext w:val="0"/>
            </w:pPr>
          </w:p>
        </w:tc>
      </w:tr>
      <w:tr w:rsidR="00743E8A" w:rsidRPr="00026EC1" w14:paraId="0F9744C1" w14:textId="77777777" w:rsidTr="008B1D7E">
        <w:trPr>
          <w:jc w:val="center"/>
        </w:trPr>
        <w:tc>
          <w:tcPr>
            <w:tcW w:w="1150" w:type="dxa"/>
            <w:gridSpan w:val="2"/>
            <w:tcBorders>
              <w:left w:val="single" w:sz="8" w:space="0" w:color="auto"/>
            </w:tcBorders>
          </w:tcPr>
          <w:p w14:paraId="0B752898" w14:textId="77777777" w:rsidR="00743E8A" w:rsidRPr="00026EC1" w:rsidRDefault="00743E8A" w:rsidP="007F120F">
            <w:pPr>
              <w:keepNext w:val="0"/>
              <w:tabs>
                <w:tab w:val="left" w:pos="540"/>
              </w:tabs>
            </w:pPr>
          </w:p>
        </w:tc>
        <w:tc>
          <w:tcPr>
            <w:tcW w:w="9397" w:type="dxa"/>
            <w:gridSpan w:val="14"/>
            <w:tcBorders>
              <w:right w:val="single" w:sz="8" w:space="0" w:color="auto"/>
            </w:tcBorders>
          </w:tcPr>
          <w:p w14:paraId="28A2FB81" w14:textId="77777777" w:rsidR="00743E8A" w:rsidRPr="00026EC1" w:rsidRDefault="00743E8A" w:rsidP="007F120F">
            <w:pPr>
              <w:keepNext w:val="0"/>
            </w:pPr>
          </w:p>
        </w:tc>
      </w:tr>
      <w:tr w:rsidR="00743E8A" w:rsidRPr="00026EC1" w14:paraId="12E314C7" w14:textId="77777777" w:rsidTr="008B1D7E">
        <w:trPr>
          <w:jc w:val="center"/>
        </w:trPr>
        <w:tc>
          <w:tcPr>
            <w:tcW w:w="2050" w:type="dxa"/>
            <w:gridSpan w:val="4"/>
            <w:tcBorders>
              <w:left w:val="single" w:sz="8" w:space="0" w:color="auto"/>
            </w:tcBorders>
          </w:tcPr>
          <w:p w14:paraId="39355F21" w14:textId="7A4B29AB" w:rsidR="00743E8A" w:rsidRPr="00026EC1" w:rsidRDefault="00743E8A" w:rsidP="007F120F">
            <w:pPr>
              <w:keepNext w:val="0"/>
              <w:tabs>
                <w:tab w:val="left" w:pos="540"/>
              </w:tabs>
            </w:pPr>
            <w:r w:rsidRPr="00026EC1">
              <w:t>Exposé du grief</w:t>
            </w:r>
            <w:r w:rsidR="00D8581B">
              <w:t> :</w:t>
            </w:r>
          </w:p>
        </w:tc>
        <w:tc>
          <w:tcPr>
            <w:tcW w:w="8100" w:type="dxa"/>
            <w:gridSpan w:val="11"/>
            <w:tcBorders>
              <w:bottom w:val="single" w:sz="8" w:space="0" w:color="auto"/>
            </w:tcBorders>
          </w:tcPr>
          <w:p w14:paraId="4F8F459C" w14:textId="77777777" w:rsidR="00743E8A" w:rsidRPr="00026EC1" w:rsidRDefault="00743E8A" w:rsidP="007F120F">
            <w:pPr>
              <w:keepNext w:val="0"/>
            </w:pPr>
          </w:p>
        </w:tc>
        <w:tc>
          <w:tcPr>
            <w:tcW w:w="397" w:type="dxa"/>
            <w:tcBorders>
              <w:right w:val="single" w:sz="8" w:space="0" w:color="auto"/>
            </w:tcBorders>
          </w:tcPr>
          <w:p w14:paraId="466E5C98" w14:textId="77777777" w:rsidR="00743E8A" w:rsidRPr="00026EC1" w:rsidRDefault="00743E8A" w:rsidP="007F120F">
            <w:pPr>
              <w:keepNext w:val="0"/>
            </w:pPr>
          </w:p>
        </w:tc>
      </w:tr>
      <w:tr w:rsidR="00743E8A" w:rsidRPr="00026EC1" w14:paraId="61E179C7" w14:textId="77777777" w:rsidTr="008B1D7E">
        <w:trPr>
          <w:jc w:val="center"/>
        </w:trPr>
        <w:tc>
          <w:tcPr>
            <w:tcW w:w="2050" w:type="dxa"/>
            <w:gridSpan w:val="4"/>
            <w:tcBorders>
              <w:left w:val="single" w:sz="8" w:space="0" w:color="auto"/>
            </w:tcBorders>
          </w:tcPr>
          <w:p w14:paraId="2CA0DCCD" w14:textId="77777777" w:rsidR="00743E8A" w:rsidRPr="00026EC1" w:rsidRDefault="00743E8A" w:rsidP="007F120F">
            <w:pPr>
              <w:keepNext w:val="0"/>
              <w:tabs>
                <w:tab w:val="left" w:pos="540"/>
              </w:tabs>
            </w:pPr>
          </w:p>
        </w:tc>
        <w:tc>
          <w:tcPr>
            <w:tcW w:w="8497" w:type="dxa"/>
            <w:gridSpan w:val="12"/>
            <w:tcBorders>
              <w:right w:val="single" w:sz="8" w:space="0" w:color="auto"/>
            </w:tcBorders>
          </w:tcPr>
          <w:p w14:paraId="32437B64" w14:textId="77777777" w:rsidR="00743E8A" w:rsidRPr="00026EC1" w:rsidRDefault="00743E8A" w:rsidP="007F120F">
            <w:pPr>
              <w:keepNext w:val="0"/>
            </w:pPr>
          </w:p>
        </w:tc>
      </w:tr>
      <w:tr w:rsidR="00743E8A" w:rsidRPr="00026EC1" w14:paraId="40BFCE9F" w14:textId="77777777" w:rsidTr="008B1D7E">
        <w:trPr>
          <w:jc w:val="center"/>
        </w:trPr>
        <w:tc>
          <w:tcPr>
            <w:tcW w:w="2050" w:type="dxa"/>
            <w:gridSpan w:val="4"/>
            <w:tcBorders>
              <w:left w:val="single" w:sz="8" w:space="0" w:color="auto"/>
            </w:tcBorders>
          </w:tcPr>
          <w:p w14:paraId="2209A7F4" w14:textId="77777777" w:rsidR="00743E8A" w:rsidRPr="00026EC1" w:rsidRDefault="00743E8A" w:rsidP="007F120F">
            <w:pPr>
              <w:keepNext w:val="0"/>
              <w:tabs>
                <w:tab w:val="left" w:pos="540"/>
              </w:tabs>
            </w:pPr>
          </w:p>
        </w:tc>
        <w:tc>
          <w:tcPr>
            <w:tcW w:w="8497" w:type="dxa"/>
            <w:gridSpan w:val="12"/>
            <w:tcBorders>
              <w:right w:val="single" w:sz="8" w:space="0" w:color="auto"/>
            </w:tcBorders>
          </w:tcPr>
          <w:p w14:paraId="677CFB41" w14:textId="77777777" w:rsidR="00743E8A" w:rsidRPr="00026EC1" w:rsidRDefault="00743E8A" w:rsidP="007F120F">
            <w:pPr>
              <w:keepNext w:val="0"/>
            </w:pPr>
          </w:p>
        </w:tc>
      </w:tr>
      <w:tr w:rsidR="00743E8A" w:rsidRPr="00026EC1" w14:paraId="5610E1F7" w14:textId="77777777" w:rsidTr="008B1D7E">
        <w:trPr>
          <w:jc w:val="center"/>
        </w:trPr>
        <w:tc>
          <w:tcPr>
            <w:tcW w:w="1150" w:type="dxa"/>
            <w:gridSpan w:val="2"/>
            <w:tcBorders>
              <w:left w:val="single" w:sz="8" w:space="0" w:color="auto"/>
            </w:tcBorders>
          </w:tcPr>
          <w:p w14:paraId="196673B8" w14:textId="77777777" w:rsidR="00743E8A" w:rsidRPr="00026EC1" w:rsidRDefault="00743E8A" w:rsidP="007F120F">
            <w:pPr>
              <w:keepNext w:val="0"/>
              <w:tabs>
                <w:tab w:val="left" w:pos="540"/>
              </w:tabs>
            </w:pPr>
          </w:p>
        </w:tc>
        <w:tc>
          <w:tcPr>
            <w:tcW w:w="9397" w:type="dxa"/>
            <w:gridSpan w:val="14"/>
            <w:tcBorders>
              <w:right w:val="single" w:sz="8" w:space="0" w:color="auto"/>
            </w:tcBorders>
          </w:tcPr>
          <w:p w14:paraId="0A72180A" w14:textId="77777777" w:rsidR="00743E8A" w:rsidRPr="00026EC1" w:rsidRDefault="00743E8A" w:rsidP="007F120F">
            <w:pPr>
              <w:keepNext w:val="0"/>
            </w:pPr>
          </w:p>
        </w:tc>
      </w:tr>
      <w:tr w:rsidR="00743E8A" w:rsidRPr="00026EC1" w14:paraId="1B95E18B" w14:textId="77777777" w:rsidTr="008B1D7E">
        <w:trPr>
          <w:jc w:val="center"/>
        </w:trPr>
        <w:tc>
          <w:tcPr>
            <w:tcW w:w="2050" w:type="dxa"/>
            <w:gridSpan w:val="4"/>
            <w:tcBorders>
              <w:left w:val="single" w:sz="8" w:space="0" w:color="auto"/>
            </w:tcBorders>
          </w:tcPr>
          <w:p w14:paraId="60B9B29F" w14:textId="4949DF97" w:rsidR="00743E8A" w:rsidRPr="00026EC1" w:rsidRDefault="00743E8A" w:rsidP="007F120F">
            <w:pPr>
              <w:keepNext w:val="0"/>
              <w:tabs>
                <w:tab w:val="left" w:pos="540"/>
              </w:tabs>
            </w:pPr>
            <w:r w:rsidRPr="00026EC1">
              <w:t>Correctif requis</w:t>
            </w:r>
            <w:r w:rsidR="00D8581B">
              <w:t> :</w:t>
            </w:r>
          </w:p>
        </w:tc>
        <w:tc>
          <w:tcPr>
            <w:tcW w:w="8100" w:type="dxa"/>
            <w:gridSpan w:val="11"/>
            <w:tcBorders>
              <w:bottom w:val="single" w:sz="8" w:space="0" w:color="auto"/>
            </w:tcBorders>
          </w:tcPr>
          <w:p w14:paraId="4F065B32" w14:textId="77777777" w:rsidR="00743E8A" w:rsidRPr="00026EC1" w:rsidRDefault="00743E8A" w:rsidP="007F120F">
            <w:pPr>
              <w:keepNext w:val="0"/>
            </w:pPr>
          </w:p>
        </w:tc>
        <w:tc>
          <w:tcPr>
            <w:tcW w:w="397" w:type="dxa"/>
            <w:tcBorders>
              <w:right w:val="single" w:sz="8" w:space="0" w:color="auto"/>
            </w:tcBorders>
          </w:tcPr>
          <w:p w14:paraId="41E57A69" w14:textId="77777777" w:rsidR="00743E8A" w:rsidRPr="00026EC1" w:rsidRDefault="00743E8A" w:rsidP="007F120F">
            <w:pPr>
              <w:keepNext w:val="0"/>
            </w:pPr>
          </w:p>
        </w:tc>
      </w:tr>
      <w:tr w:rsidR="00743E8A" w:rsidRPr="00026EC1" w14:paraId="6668B215" w14:textId="77777777" w:rsidTr="008B1D7E">
        <w:trPr>
          <w:jc w:val="center"/>
        </w:trPr>
        <w:tc>
          <w:tcPr>
            <w:tcW w:w="2050" w:type="dxa"/>
            <w:gridSpan w:val="4"/>
            <w:tcBorders>
              <w:left w:val="single" w:sz="8" w:space="0" w:color="auto"/>
            </w:tcBorders>
          </w:tcPr>
          <w:p w14:paraId="5FFA4B57" w14:textId="77777777" w:rsidR="00743E8A" w:rsidRPr="00026EC1" w:rsidRDefault="00743E8A" w:rsidP="007F120F">
            <w:pPr>
              <w:keepNext w:val="0"/>
              <w:tabs>
                <w:tab w:val="left" w:pos="540"/>
              </w:tabs>
            </w:pPr>
          </w:p>
        </w:tc>
        <w:tc>
          <w:tcPr>
            <w:tcW w:w="8497" w:type="dxa"/>
            <w:gridSpan w:val="12"/>
            <w:tcBorders>
              <w:right w:val="single" w:sz="8" w:space="0" w:color="auto"/>
            </w:tcBorders>
          </w:tcPr>
          <w:p w14:paraId="20292B23" w14:textId="77777777" w:rsidR="00743E8A" w:rsidRPr="00026EC1" w:rsidRDefault="00743E8A" w:rsidP="007F120F">
            <w:pPr>
              <w:keepNext w:val="0"/>
            </w:pPr>
          </w:p>
        </w:tc>
      </w:tr>
      <w:tr w:rsidR="00743E8A" w:rsidRPr="00026EC1" w14:paraId="26E6E293" w14:textId="77777777" w:rsidTr="008B1D7E">
        <w:trPr>
          <w:jc w:val="center"/>
        </w:trPr>
        <w:tc>
          <w:tcPr>
            <w:tcW w:w="2050" w:type="dxa"/>
            <w:gridSpan w:val="4"/>
            <w:tcBorders>
              <w:left w:val="single" w:sz="8" w:space="0" w:color="auto"/>
            </w:tcBorders>
          </w:tcPr>
          <w:p w14:paraId="5984BDB3" w14:textId="77777777" w:rsidR="00743E8A" w:rsidRPr="00026EC1" w:rsidRDefault="00743E8A" w:rsidP="007F120F">
            <w:pPr>
              <w:keepNext w:val="0"/>
              <w:tabs>
                <w:tab w:val="left" w:pos="540"/>
              </w:tabs>
            </w:pPr>
          </w:p>
        </w:tc>
        <w:tc>
          <w:tcPr>
            <w:tcW w:w="8497" w:type="dxa"/>
            <w:gridSpan w:val="12"/>
            <w:tcBorders>
              <w:right w:val="single" w:sz="8" w:space="0" w:color="auto"/>
            </w:tcBorders>
          </w:tcPr>
          <w:p w14:paraId="546E4F59" w14:textId="77777777" w:rsidR="00743E8A" w:rsidRPr="00026EC1" w:rsidRDefault="00743E8A" w:rsidP="007F120F">
            <w:pPr>
              <w:keepNext w:val="0"/>
            </w:pPr>
          </w:p>
        </w:tc>
      </w:tr>
      <w:tr w:rsidR="00743E8A" w:rsidRPr="00026EC1" w14:paraId="2D0B89D7" w14:textId="77777777" w:rsidTr="008B1D7E">
        <w:trPr>
          <w:jc w:val="center"/>
        </w:trPr>
        <w:tc>
          <w:tcPr>
            <w:tcW w:w="2050" w:type="dxa"/>
            <w:gridSpan w:val="4"/>
            <w:tcBorders>
              <w:left w:val="single" w:sz="8" w:space="0" w:color="auto"/>
            </w:tcBorders>
          </w:tcPr>
          <w:p w14:paraId="028EE1B2" w14:textId="77777777" w:rsidR="00743E8A" w:rsidRPr="00026EC1" w:rsidRDefault="00743E8A" w:rsidP="007F120F">
            <w:pPr>
              <w:keepNext w:val="0"/>
              <w:tabs>
                <w:tab w:val="left" w:pos="540"/>
              </w:tabs>
            </w:pPr>
          </w:p>
        </w:tc>
        <w:tc>
          <w:tcPr>
            <w:tcW w:w="8497" w:type="dxa"/>
            <w:gridSpan w:val="12"/>
            <w:tcBorders>
              <w:right w:val="single" w:sz="8" w:space="0" w:color="auto"/>
            </w:tcBorders>
          </w:tcPr>
          <w:p w14:paraId="3E75174C" w14:textId="77777777" w:rsidR="00743E8A" w:rsidRPr="00026EC1" w:rsidRDefault="00743E8A" w:rsidP="007F120F">
            <w:pPr>
              <w:keepNext w:val="0"/>
            </w:pPr>
          </w:p>
        </w:tc>
      </w:tr>
      <w:tr w:rsidR="00743E8A" w:rsidRPr="00026EC1" w14:paraId="3160E341" w14:textId="77777777" w:rsidTr="008B1D7E">
        <w:trPr>
          <w:cantSplit/>
          <w:jc w:val="center"/>
        </w:trPr>
        <w:tc>
          <w:tcPr>
            <w:tcW w:w="970" w:type="dxa"/>
            <w:tcBorders>
              <w:left w:val="single" w:sz="8" w:space="0" w:color="auto"/>
            </w:tcBorders>
          </w:tcPr>
          <w:p w14:paraId="2EB3D5AC" w14:textId="33286C0D" w:rsidR="00743E8A" w:rsidRPr="00026EC1" w:rsidRDefault="00743E8A" w:rsidP="007F120F">
            <w:pPr>
              <w:keepNext w:val="0"/>
              <w:tabs>
                <w:tab w:val="left" w:pos="540"/>
              </w:tabs>
            </w:pPr>
            <w:r w:rsidRPr="00026EC1">
              <w:t>Date</w:t>
            </w:r>
            <w:r w:rsidR="00D8581B">
              <w:t> :</w:t>
            </w:r>
          </w:p>
        </w:tc>
        <w:tc>
          <w:tcPr>
            <w:tcW w:w="2700" w:type="dxa"/>
            <w:gridSpan w:val="7"/>
          </w:tcPr>
          <w:p w14:paraId="4418F5C9" w14:textId="77777777" w:rsidR="00743E8A" w:rsidRPr="00026EC1" w:rsidRDefault="00743E8A" w:rsidP="007F120F">
            <w:pPr>
              <w:keepNext w:val="0"/>
            </w:pPr>
          </w:p>
        </w:tc>
        <w:tc>
          <w:tcPr>
            <w:tcW w:w="900" w:type="dxa"/>
            <w:gridSpan w:val="2"/>
          </w:tcPr>
          <w:p w14:paraId="0C99F2BE" w14:textId="77777777" w:rsidR="00743E8A" w:rsidRPr="00026EC1" w:rsidRDefault="00743E8A" w:rsidP="007F120F">
            <w:pPr>
              <w:keepNext w:val="0"/>
            </w:pPr>
          </w:p>
        </w:tc>
        <w:tc>
          <w:tcPr>
            <w:tcW w:w="1440" w:type="dxa"/>
            <w:gridSpan w:val="2"/>
          </w:tcPr>
          <w:p w14:paraId="09022AE2" w14:textId="345DDADD" w:rsidR="00743E8A" w:rsidRPr="00026EC1" w:rsidRDefault="00743E8A" w:rsidP="007F120F">
            <w:pPr>
              <w:keepNext w:val="0"/>
            </w:pPr>
            <w:r w:rsidRPr="00026EC1">
              <w:t>Signature</w:t>
            </w:r>
            <w:r w:rsidR="00D8581B">
              <w:t> :</w:t>
            </w:r>
          </w:p>
        </w:tc>
        <w:tc>
          <w:tcPr>
            <w:tcW w:w="4140" w:type="dxa"/>
            <w:gridSpan w:val="3"/>
            <w:tcBorders>
              <w:bottom w:val="single" w:sz="4" w:space="0" w:color="auto"/>
            </w:tcBorders>
          </w:tcPr>
          <w:p w14:paraId="3333DAFF" w14:textId="77777777" w:rsidR="00743E8A" w:rsidRPr="00026EC1" w:rsidRDefault="00743E8A" w:rsidP="007F120F">
            <w:pPr>
              <w:keepNext w:val="0"/>
            </w:pPr>
          </w:p>
        </w:tc>
        <w:tc>
          <w:tcPr>
            <w:tcW w:w="397" w:type="dxa"/>
            <w:tcBorders>
              <w:right w:val="single" w:sz="8" w:space="0" w:color="auto"/>
            </w:tcBorders>
          </w:tcPr>
          <w:p w14:paraId="676539A2" w14:textId="77777777" w:rsidR="00743E8A" w:rsidRPr="00026EC1" w:rsidRDefault="00743E8A" w:rsidP="007F120F">
            <w:pPr>
              <w:keepNext w:val="0"/>
            </w:pPr>
          </w:p>
        </w:tc>
      </w:tr>
      <w:tr w:rsidR="00743E8A" w:rsidRPr="00026EC1" w14:paraId="35DB64E9" w14:textId="77777777" w:rsidTr="008B1D7E">
        <w:trPr>
          <w:jc w:val="center"/>
        </w:trPr>
        <w:tc>
          <w:tcPr>
            <w:tcW w:w="6010" w:type="dxa"/>
            <w:gridSpan w:val="12"/>
            <w:tcBorders>
              <w:left w:val="single" w:sz="8" w:space="0" w:color="auto"/>
            </w:tcBorders>
          </w:tcPr>
          <w:p w14:paraId="6CFB0190" w14:textId="77777777" w:rsidR="00743E8A" w:rsidRPr="00026EC1" w:rsidRDefault="00743E8A" w:rsidP="007F120F">
            <w:pPr>
              <w:keepNext w:val="0"/>
              <w:tabs>
                <w:tab w:val="left" w:pos="540"/>
              </w:tabs>
            </w:pPr>
          </w:p>
        </w:tc>
        <w:tc>
          <w:tcPr>
            <w:tcW w:w="4537" w:type="dxa"/>
            <w:gridSpan w:val="4"/>
            <w:tcBorders>
              <w:right w:val="single" w:sz="8" w:space="0" w:color="auto"/>
            </w:tcBorders>
          </w:tcPr>
          <w:p w14:paraId="7477E00E" w14:textId="77777777" w:rsidR="00743E8A" w:rsidRPr="00026EC1" w:rsidRDefault="00743E8A" w:rsidP="00C11271">
            <w:pPr>
              <w:pStyle w:val="TOC2"/>
            </w:pPr>
            <w:r w:rsidRPr="00026EC1">
              <w:t>Représentante ou représentant syndical</w:t>
            </w:r>
          </w:p>
        </w:tc>
      </w:tr>
      <w:tr w:rsidR="00743E8A" w:rsidRPr="00026EC1" w14:paraId="37679CC9" w14:textId="77777777" w:rsidTr="008B1D7E">
        <w:trPr>
          <w:jc w:val="center"/>
        </w:trPr>
        <w:tc>
          <w:tcPr>
            <w:tcW w:w="6010" w:type="dxa"/>
            <w:gridSpan w:val="12"/>
            <w:tcBorders>
              <w:left w:val="single" w:sz="8" w:space="0" w:color="auto"/>
              <w:bottom w:val="single" w:sz="8" w:space="0" w:color="auto"/>
            </w:tcBorders>
          </w:tcPr>
          <w:p w14:paraId="3CBB00CF" w14:textId="77777777" w:rsidR="00743E8A" w:rsidRPr="00026EC1" w:rsidRDefault="00743E8A" w:rsidP="007F120F">
            <w:pPr>
              <w:keepNext w:val="0"/>
              <w:tabs>
                <w:tab w:val="left" w:pos="540"/>
              </w:tabs>
            </w:pPr>
          </w:p>
        </w:tc>
        <w:tc>
          <w:tcPr>
            <w:tcW w:w="4537" w:type="dxa"/>
            <w:gridSpan w:val="4"/>
            <w:tcBorders>
              <w:bottom w:val="single" w:sz="8" w:space="0" w:color="auto"/>
              <w:right w:val="single" w:sz="8" w:space="0" w:color="auto"/>
            </w:tcBorders>
          </w:tcPr>
          <w:p w14:paraId="6D1AC795" w14:textId="77777777" w:rsidR="00743E8A" w:rsidRPr="00026EC1" w:rsidRDefault="00743E8A" w:rsidP="007F120F">
            <w:pPr>
              <w:keepNext w:val="0"/>
            </w:pPr>
          </w:p>
        </w:tc>
      </w:tr>
      <w:tr w:rsidR="00743E8A" w:rsidRPr="00026EC1" w14:paraId="2CE08342" w14:textId="77777777" w:rsidTr="008B1D7E">
        <w:trPr>
          <w:cantSplit/>
          <w:jc w:val="center"/>
        </w:trPr>
        <w:tc>
          <w:tcPr>
            <w:tcW w:w="1150" w:type="dxa"/>
            <w:gridSpan w:val="2"/>
          </w:tcPr>
          <w:p w14:paraId="1CF69606" w14:textId="56FB300D" w:rsidR="00743E8A" w:rsidRPr="00026EC1" w:rsidRDefault="00743E8A" w:rsidP="007F120F">
            <w:pPr>
              <w:keepNext w:val="0"/>
              <w:tabs>
                <w:tab w:val="left" w:pos="540"/>
              </w:tabs>
            </w:pPr>
            <w:r w:rsidRPr="00026EC1">
              <w:t>Copie à</w:t>
            </w:r>
            <w:r w:rsidR="00D8581B">
              <w:t> :</w:t>
            </w:r>
          </w:p>
        </w:tc>
        <w:tc>
          <w:tcPr>
            <w:tcW w:w="9397" w:type="dxa"/>
            <w:gridSpan w:val="14"/>
          </w:tcPr>
          <w:p w14:paraId="3AE63733" w14:textId="77777777" w:rsidR="00743E8A" w:rsidRPr="00026EC1" w:rsidRDefault="00743E8A" w:rsidP="007F120F">
            <w:pPr>
              <w:pStyle w:val="CommentText"/>
              <w:keepNext w:val="0"/>
              <w:tabs>
                <w:tab w:val="clear" w:pos="3969"/>
                <w:tab w:val="left" w:pos="470"/>
              </w:tabs>
            </w:pPr>
            <w:r w:rsidRPr="00026EC1">
              <w:t>1.</w:t>
            </w:r>
            <w:r w:rsidRPr="00026EC1">
              <w:tab/>
              <w:t xml:space="preserve">Greffe des </w:t>
            </w:r>
            <w:r w:rsidR="007B2497" w:rsidRPr="00026EC1">
              <w:t>t</w:t>
            </w:r>
            <w:r w:rsidRPr="00026EC1">
              <w:t>ribunaux d</w:t>
            </w:r>
            <w:r w:rsidR="00BC3319" w:rsidRPr="00026EC1">
              <w:t>’</w:t>
            </w:r>
            <w:r w:rsidRPr="00026EC1">
              <w:t>arbitrage du secteur de l</w:t>
            </w:r>
            <w:r w:rsidR="00BC3319" w:rsidRPr="00026EC1">
              <w:t>’</w:t>
            </w:r>
            <w:r w:rsidRPr="00026EC1">
              <w:t>Éducation</w:t>
            </w:r>
          </w:p>
        </w:tc>
      </w:tr>
      <w:tr w:rsidR="00743E8A" w:rsidRPr="00026EC1" w14:paraId="39346534" w14:textId="77777777" w:rsidTr="008B1D7E">
        <w:trPr>
          <w:jc w:val="center"/>
        </w:trPr>
        <w:tc>
          <w:tcPr>
            <w:tcW w:w="1150" w:type="dxa"/>
            <w:gridSpan w:val="2"/>
          </w:tcPr>
          <w:p w14:paraId="3C184BC0" w14:textId="77777777" w:rsidR="00743E8A" w:rsidRPr="00026EC1" w:rsidRDefault="00743E8A" w:rsidP="007F120F">
            <w:pPr>
              <w:keepNext w:val="0"/>
              <w:tabs>
                <w:tab w:val="left" w:pos="540"/>
              </w:tabs>
            </w:pPr>
          </w:p>
        </w:tc>
        <w:tc>
          <w:tcPr>
            <w:tcW w:w="9397" w:type="dxa"/>
            <w:gridSpan w:val="14"/>
          </w:tcPr>
          <w:p w14:paraId="0B1ED740" w14:textId="77777777" w:rsidR="00743E8A" w:rsidRPr="00026EC1" w:rsidRDefault="00743E8A" w:rsidP="007F120F">
            <w:pPr>
              <w:keepNext w:val="0"/>
              <w:tabs>
                <w:tab w:val="left" w:pos="470"/>
              </w:tabs>
            </w:pPr>
            <w:r w:rsidRPr="00026EC1">
              <w:t>2.</w:t>
            </w:r>
            <w:r w:rsidRPr="00026EC1">
              <w:tab/>
              <w:t>Collège</w:t>
            </w:r>
          </w:p>
        </w:tc>
      </w:tr>
      <w:tr w:rsidR="00743E8A" w:rsidRPr="00026EC1" w14:paraId="5CE456D0" w14:textId="77777777" w:rsidTr="008B1D7E">
        <w:trPr>
          <w:jc w:val="center"/>
        </w:trPr>
        <w:tc>
          <w:tcPr>
            <w:tcW w:w="1150" w:type="dxa"/>
            <w:gridSpan w:val="2"/>
          </w:tcPr>
          <w:p w14:paraId="2A1B4326" w14:textId="77777777" w:rsidR="00743E8A" w:rsidRPr="00026EC1" w:rsidRDefault="00743E8A" w:rsidP="007F120F">
            <w:pPr>
              <w:keepNext w:val="0"/>
              <w:tabs>
                <w:tab w:val="left" w:pos="540"/>
              </w:tabs>
            </w:pPr>
          </w:p>
        </w:tc>
        <w:tc>
          <w:tcPr>
            <w:tcW w:w="9397" w:type="dxa"/>
            <w:gridSpan w:val="14"/>
          </w:tcPr>
          <w:p w14:paraId="72EBD8AD" w14:textId="77777777" w:rsidR="00743E8A" w:rsidRPr="00026EC1" w:rsidRDefault="00743E8A" w:rsidP="007F120F">
            <w:pPr>
              <w:keepNext w:val="0"/>
              <w:tabs>
                <w:tab w:val="left" w:pos="470"/>
              </w:tabs>
            </w:pPr>
            <w:r w:rsidRPr="00026EC1">
              <w:t>3.</w:t>
            </w:r>
            <w:r w:rsidRPr="00026EC1">
              <w:tab/>
              <w:t>FNEEQ</w:t>
            </w:r>
            <w:r w:rsidR="00AA4AD7" w:rsidRPr="00026EC1">
              <w:t> </w:t>
            </w:r>
            <w:r w:rsidRPr="00026EC1">
              <w:t>(CSN)</w:t>
            </w:r>
          </w:p>
        </w:tc>
      </w:tr>
      <w:tr w:rsidR="00743E8A" w:rsidRPr="00026EC1" w14:paraId="76EF4037" w14:textId="77777777" w:rsidTr="008B1D7E">
        <w:trPr>
          <w:trHeight w:val="233"/>
          <w:jc w:val="center"/>
        </w:trPr>
        <w:tc>
          <w:tcPr>
            <w:tcW w:w="1150" w:type="dxa"/>
            <w:gridSpan w:val="2"/>
          </w:tcPr>
          <w:p w14:paraId="3EE34E0B" w14:textId="77777777" w:rsidR="00743E8A" w:rsidRPr="00026EC1" w:rsidRDefault="00743E8A" w:rsidP="007F120F">
            <w:pPr>
              <w:keepNext w:val="0"/>
              <w:tabs>
                <w:tab w:val="left" w:pos="540"/>
              </w:tabs>
            </w:pPr>
          </w:p>
        </w:tc>
        <w:tc>
          <w:tcPr>
            <w:tcW w:w="9397" w:type="dxa"/>
            <w:gridSpan w:val="14"/>
          </w:tcPr>
          <w:p w14:paraId="3135C5BA" w14:textId="77777777" w:rsidR="00743E8A" w:rsidRPr="00026EC1" w:rsidRDefault="00743E8A" w:rsidP="007F120F">
            <w:pPr>
              <w:keepNext w:val="0"/>
              <w:tabs>
                <w:tab w:val="left" w:pos="470"/>
              </w:tabs>
            </w:pPr>
            <w:r w:rsidRPr="00026EC1">
              <w:t>4.</w:t>
            </w:r>
            <w:r w:rsidRPr="00026EC1">
              <w:tab/>
              <w:t>La représentante ou le représentant syndical</w:t>
            </w:r>
          </w:p>
        </w:tc>
      </w:tr>
    </w:tbl>
    <w:p w14:paraId="537F8167" w14:textId="77777777" w:rsidR="00743E8A" w:rsidRPr="00026EC1" w:rsidRDefault="00743E8A" w:rsidP="007F120F">
      <w:pPr>
        <w:keepNext w:val="0"/>
      </w:pPr>
    </w:p>
    <w:p w14:paraId="3CD1D6F1" w14:textId="68D0600B" w:rsidR="00404F34" w:rsidRPr="00006B45" w:rsidRDefault="00404F34" w:rsidP="007F120F">
      <w:pPr>
        <w:pStyle w:val="Heading3"/>
        <w:keepNext w:val="0"/>
      </w:pPr>
      <w:r w:rsidRPr="00026EC1">
        <w:br w:type="page"/>
      </w:r>
      <w:bookmarkStart w:id="1420" w:name="_Toc133760883"/>
      <w:bookmarkStart w:id="1421" w:name="_Toc133917031"/>
      <w:bookmarkStart w:id="1422" w:name="_Toc134437304"/>
      <w:bookmarkStart w:id="1423" w:name="_Toc393449475"/>
      <w:bookmarkStart w:id="1424" w:name="_Toc462751601"/>
      <w:bookmarkStart w:id="1425" w:name="_Toc484082620"/>
      <w:bookmarkStart w:id="1426" w:name="_Toc168479611"/>
      <w:r w:rsidR="005100DE" w:rsidRPr="00006B45">
        <w:t>Annexe IV</w:t>
      </w:r>
      <w:bookmarkEnd w:id="1420"/>
      <w:bookmarkEnd w:id="1421"/>
      <w:bookmarkEnd w:id="1422"/>
      <w:r w:rsidR="0017646C">
        <w:t>-</w:t>
      </w:r>
      <w:r w:rsidR="00816D9A" w:rsidRPr="00316277">
        <w:t>3</w:t>
      </w:r>
      <w:r w:rsidR="005100DE" w:rsidRPr="00006B45">
        <w:br/>
      </w:r>
      <w:r w:rsidR="005100DE" w:rsidRPr="00006B45">
        <w:br/>
      </w:r>
      <w:bookmarkStart w:id="1427" w:name="_Toc133760884"/>
      <w:r w:rsidR="005100DE" w:rsidRPr="00006B45">
        <w:t>Lettre d’entente relative à l’arbitrage national</w:t>
      </w:r>
      <w:bookmarkEnd w:id="1423"/>
      <w:bookmarkEnd w:id="1424"/>
      <w:bookmarkEnd w:id="1425"/>
      <w:bookmarkEnd w:id="1427"/>
      <w:bookmarkEnd w:id="1426"/>
    </w:p>
    <w:p w14:paraId="1703A6DB" w14:textId="77777777" w:rsidR="00404F34" w:rsidRPr="00026EC1" w:rsidRDefault="00275751" w:rsidP="007F120F">
      <w:pPr>
        <w:keepNext w:val="0"/>
        <w:tabs>
          <w:tab w:val="left" w:pos="540"/>
        </w:tabs>
        <w:ind w:left="532" w:hanging="532"/>
      </w:pPr>
      <w:r w:rsidRPr="00026EC1">
        <w:t>01.</w:t>
      </w:r>
      <w:r w:rsidRPr="00026EC1">
        <w:tab/>
      </w:r>
      <w:r w:rsidR="00404F34" w:rsidRPr="00026EC1">
        <w:t>La FNEEQ</w:t>
      </w:r>
      <w:r w:rsidR="00AA4AD7" w:rsidRPr="00026EC1">
        <w:t> </w:t>
      </w:r>
      <w:r w:rsidR="00404F34" w:rsidRPr="00026EC1">
        <w:t>(CSN), la Fédération des cégeps et le Ministère peuvent</w:t>
      </w:r>
      <w:r w:rsidR="007B2497" w:rsidRPr="00026EC1">
        <w:t>,</w:t>
      </w:r>
      <w:r w:rsidR="00404F34" w:rsidRPr="00026EC1">
        <w:t xml:space="preserve"> par entente écrite, recourir à un arbitrage national concernant tout objet de négociation nationale.</w:t>
      </w:r>
    </w:p>
    <w:p w14:paraId="0224DB81" w14:textId="77777777" w:rsidR="00404F34" w:rsidRPr="00026EC1" w:rsidRDefault="00404F34" w:rsidP="007F120F">
      <w:pPr>
        <w:keepNext w:val="0"/>
      </w:pPr>
    </w:p>
    <w:p w14:paraId="5B05A354" w14:textId="77777777" w:rsidR="00404F34" w:rsidRPr="00026EC1" w:rsidRDefault="00275751" w:rsidP="007F120F">
      <w:pPr>
        <w:keepNext w:val="0"/>
        <w:tabs>
          <w:tab w:val="left" w:pos="540"/>
        </w:tabs>
        <w:ind w:left="532" w:hanging="532"/>
      </w:pPr>
      <w:r w:rsidRPr="00026EC1">
        <w:t>02.</w:t>
      </w:r>
      <w:r w:rsidRPr="00026EC1">
        <w:tab/>
      </w:r>
      <w:r w:rsidR="00404F34" w:rsidRPr="00026EC1">
        <w:t>La FNEEQ</w:t>
      </w:r>
      <w:r w:rsidR="00AA4AD7" w:rsidRPr="00026EC1">
        <w:t> </w:t>
      </w:r>
      <w:r w:rsidR="00404F34" w:rsidRPr="00026EC1">
        <w:t>(CSN), la Fédération des cégeps et le Ministère expédient au Greffe un avis conjoint à cet effet.</w:t>
      </w:r>
    </w:p>
    <w:p w14:paraId="0257A197" w14:textId="77777777" w:rsidR="00404F34" w:rsidRPr="00026EC1" w:rsidRDefault="00404F34" w:rsidP="007F120F">
      <w:pPr>
        <w:keepNext w:val="0"/>
      </w:pPr>
    </w:p>
    <w:p w14:paraId="76DEE0B0" w14:textId="7E466024" w:rsidR="00404F34" w:rsidRPr="00026EC1" w:rsidRDefault="00275751" w:rsidP="007F120F">
      <w:pPr>
        <w:keepNext w:val="0"/>
        <w:tabs>
          <w:tab w:val="left" w:pos="540"/>
        </w:tabs>
        <w:ind w:left="532" w:hanging="532"/>
      </w:pPr>
      <w:r w:rsidRPr="00026EC1">
        <w:t>03.</w:t>
      </w:r>
      <w:r w:rsidRPr="00026EC1">
        <w:tab/>
      </w:r>
      <w:r w:rsidR="00404F34" w:rsidRPr="00026EC1">
        <w:t>La FNEEQ</w:t>
      </w:r>
      <w:r w:rsidR="00AA4AD7" w:rsidRPr="00026EC1">
        <w:t> </w:t>
      </w:r>
      <w:r w:rsidR="00404F34" w:rsidRPr="00026EC1">
        <w:t>(CSN), la Fédération des cégeps et le Ministère choisissent trois</w:t>
      </w:r>
      <w:r w:rsidR="00DF791E">
        <w:t> </w:t>
      </w:r>
      <w:r w:rsidR="00404F34" w:rsidRPr="00026EC1">
        <w:t>(3) arbitres parmi la liste prévue à la clause</w:t>
      </w:r>
      <w:r w:rsidR="00F61E7A" w:rsidRPr="00026EC1">
        <w:t> </w:t>
      </w:r>
      <w:r w:rsidR="00404F34" w:rsidRPr="00026EC1">
        <w:t>9</w:t>
      </w:r>
      <w:r w:rsidR="00984A6F">
        <w:noBreakHyphen/>
      </w:r>
      <w:r w:rsidR="00404F34" w:rsidRPr="00026EC1">
        <w:t>2.07 et en avisent le Greffe</w:t>
      </w:r>
      <w:r w:rsidR="007B2497" w:rsidRPr="00026EC1">
        <w:t>,</w:t>
      </w:r>
      <w:r w:rsidR="00404F34" w:rsidRPr="00026EC1">
        <w:t xml:space="preserve"> qui fixe l</w:t>
      </w:r>
      <w:r w:rsidR="00BC3319" w:rsidRPr="00026EC1">
        <w:t>’</w:t>
      </w:r>
      <w:r w:rsidR="00404F34" w:rsidRPr="00026EC1">
        <w:t>arbitrage au rôle conformément aux stipulations de la convention collective.</w:t>
      </w:r>
    </w:p>
    <w:p w14:paraId="5F5EC10A" w14:textId="77777777" w:rsidR="00404F34" w:rsidRPr="00026EC1" w:rsidRDefault="00404F34" w:rsidP="007F120F">
      <w:pPr>
        <w:keepNext w:val="0"/>
      </w:pPr>
    </w:p>
    <w:p w14:paraId="51208C33" w14:textId="77777777" w:rsidR="00404F34" w:rsidRPr="00026EC1" w:rsidRDefault="00275751" w:rsidP="007F120F">
      <w:pPr>
        <w:keepNext w:val="0"/>
        <w:tabs>
          <w:tab w:val="left" w:pos="540"/>
        </w:tabs>
        <w:ind w:left="532" w:hanging="532"/>
      </w:pPr>
      <w:r w:rsidRPr="00026EC1">
        <w:t>04.</w:t>
      </w:r>
      <w:r w:rsidRPr="00026EC1">
        <w:tab/>
      </w:r>
      <w:r w:rsidR="00404F34" w:rsidRPr="00026EC1">
        <w:t>Les stipulations de la convention collective relatives au mode d</w:t>
      </w:r>
      <w:r w:rsidR="00BC3319" w:rsidRPr="00026EC1">
        <w:t>’</w:t>
      </w:r>
      <w:r w:rsidR="00404F34" w:rsidRPr="00026EC1">
        <w:t>arbitrage régulier s</w:t>
      </w:r>
      <w:r w:rsidR="00BC3319" w:rsidRPr="00026EC1">
        <w:t>’</w:t>
      </w:r>
      <w:r w:rsidR="00404F34" w:rsidRPr="00026EC1">
        <w:t>appliquent à l</w:t>
      </w:r>
      <w:r w:rsidR="00BC3319" w:rsidRPr="00026EC1">
        <w:t>’</w:t>
      </w:r>
      <w:r w:rsidR="00404F34" w:rsidRPr="00026EC1">
        <w:t>arbitrage national en y apportant les adaptations nécessaires.</w:t>
      </w:r>
    </w:p>
    <w:p w14:paraId="68AF6C1F" w14:textId="77777777" w:rsidR="00404F34" w:rsidRPr="00026EC1" w:rsidRDefault="00404F34" w:rsidP="007F120F">
      <w:pPr>
        <w:keepNext w:val="0"/>
      </w:pPr>
    </w:p>
    <w:p w14:paraId="2CD3DB2C" w14:textId="77777777" w:rsidR="00404F34" w:rsidRPr="00026EC1" w:rsidRDefault="00275751" w:rsidP="007F120F">
      <w:pPr>
        <w:keepNext w:val="0"/>
        <w:tabs>
          <w:tab w:val="left" w:pos="540"/>
        </w:tabs>
        <w:ind w:left="532" w:hanging="532"/>
      </w:pPr>
      <w:r w:rsidRPr="00026EC1">
        <w:t>05.</w:t>
      </w:r>
      <w:r w:rsidRPr="00026EC1">
        <w:tab/>
      </w:r>
      <w:r w:rsidR="00404F34" w:rsidRPr="00026EC1">
        <w:t>La FNEEQ</w:t>
      </w:r>
      <w:r w:rsidR="00AA4AD7" w:rsidRPr="00026EC1">
        <w:t> </w:t>
      </w:r>
      <w:r w:rsidR="00404F34" w:rsidRPr="00026EC1">
        <w:t xml:space="preserve">(CSN), la Fédération des cégeps et le Ministère avisent les </w:t>
      </w:r>
      <w:r w:rsidR="00BC5A44" w:rsidRPr="00026EC1">
        <w:t>C</w:t>
      </w:r>
      <w:r w:rsidR="00404F34" w:rsidRPr="00026EC1">
        <w:t xml:space="preserve">ollèges et les </w:t>
      </w:r>
      <w:r w:rsidR="00BC5A44" w:rsidRPr="00026EC1">
        <w:t>S</w:t>
      </w:r>
      <w:r w:rsidR="00404F34" w:rsidRPr="00026EC1">
        <w:t>yndicats visés de la tenue d</w:t>
      </w:r>
      <w:r w:rsidR="00BC3319" w:rsidRPr="00026EC1">
        <w:t>’</w:t>
      </w:r>
      <w:r w:rsidR="00404F34" w:rsidRPr="00026EC1">
        <w:t>un arbitrage national.</w:t>
      </w:r>
    </w:p>
    <w:p w14:paraId="568BEEC4" w14:textId="77777777" w:rsidR="00404F34" w:rsidRPr="00026EC1" w:rsidRDefault="00404F34" w:rsidP="007F120F">
      <w:pPr>
        <w:keepNext w:val="0"/>
      </w:pPr>
    </w:p>
    <w:p w14:paraId="5153AF7E" w14:textId="77777777" w:rsidR="00404F34" w:rsidRPr="00026EC1" w:rsidRDefault="00275751" w:rsidP="007F120F">
      <w:pPr>
        <w:keepNext w:val="0"/>
        <w:tabs>
          <w:tab w:val="left" w:pos="540"/>
        </w:tabs>
        <w:ind w:left="532" w:hanging="532"/>
      </w:pPr>
      <w:r w:rsidRPr="00026EC1">
        <w:t>06.</w:t>
      </w:r>
      <w:r w:rsidRPr="00026EC1">
        <w:tab/>
      </w:r>
      <w:r w:rsidR="00404F34" w:rsidRPr="00026EC1">
        <w:t xml:space="preserve">Les </w:t>
      </w:r>
      <w:r w:rsidR="00BC5A44" w:rsidRPr="00026EC1">
        <w:t>C</w:t>
      </w:r>
      <w:r w:rsidR="00404F34" w:rsidRPr="00026EC1">
        <w:t xml:space="preserve">ollèges et les </w:t>
      </w:r>
      <w:r w:rsidR="00BC5A44" w:rsidRPr="00026EC1">
        <w:t>S</w:t>
      </w:r>
      <w:r w:rsidR="00404F34" w:rsidRPr="00026EC1">
        <w:t>yndicats visés sont partie</w:t>
      </w:r>
      <w:r w:rsidR="007B2497" w:rsidRPr="00026EC1">
        <w:t>s</w:t>
      </w:r>
      <w:r w:rsidR="00404F34" w:rsidRPr="00026EC1">
        <w:t xml:space="preserve"> à l</w:t>
      </w:r>
      <w:r w:rsidR="00BC3319" w:rsidRPr="00026EC1">
        <w:t>’</w:t>
      </w:r>
      <w:r w:rsidR="00404F34" w:rsidRPr="00026EC1">
        <w:t>arbitrage national, sauf s</w:t>
      </w:r>
      <w:r w:rsidR="00BC3319" w:rsidRPr="00026EC1">
        <w:t>’</w:t>
      </w:r>
      <w:r w:rsidR="00404F34" w:rsidRPr="00026EC1">
        <w:t>ils s</w:t>
      </w:r>
      <w:r w:rsidR="00BC3319" w:rsidRPr="00026EC1">
        <w:t>’</w:t>
      </w:r>
      <w:r w:rsidR="00404F34" w:rsidRPr="00026EC1">
        <w:t>en désistent par écrit avant la tenue de la première séance d</w:t>
      </w:r>
      <w:r w:rsidR="00BC3319" w:rsidRPr="00026EC1">
        <w:t>’</w:t>
      </w:r>
      <w:r w:rsidR="00404F34" w:rsidRPr="00026EC1">
        <w:t>arbitrage.</w:t>
      </w:r>
    </w:p>
    <w:p w14:paraId="128049E5" w14:textId="77777777" w:rsidR="00404F34" w:rsidRPr="00026EC1" w:rsidRDefault="00404F34" w:rsidP="007F120F">
      <w:pPr>
        <w:keepNext w:val="0"/>
      </w:pPr>
    </w:p>
    <w:p w14:paraId="5E9F96DA" w14:textId="77777777" w:rsidR="00404F34" w:rsidRPr="00026EC1" w:rsidRDefault="00275751" w:rsidP="007F120F">
      <w:pPr>
        <w:keepNext w:val="0"/>
        <w:tabs>
          <w:tab w:val="left" w:pos="540"/>
        </w:tabs>
        <w:ind w:left="532" w:hanging="532"/>
      </w:pPr>
      <w:r w:rsidRPr="00026EC1">
        <w:t>07.</w:t>
      </w:r>
      <w:r w:rsidRPr="00026EC1">
        <w:tab/>
      </w:r>
      <w:r w:rsidR="00404F34" w:rsidRPr="00026EC1">
        <w:t>La sentence du tribunal d</w:t>
      </w:r>
      <w:r w:rsidR="00BC3319" w:rsidRPr="00026EC1">
        <w:t>’</w:t>
      </w:r>
      <w:r w:rsidR="00404F34" w:rsidRPr="00026EC1">
        <w:t xml:space="preserve">arbitrage est rendue à la majorité. Elle lie les </w:t>
      </w:r>
      <w:r w:rsidR="00BC5A44" w:rsidRPr="00026EC1">
        <w:t>C</w:t>
      </w:r>
      <w:r w:rsidR="00404F34" w:rsidRPr="00026EC1">
        <w:t xml:space="preserve">ollèges et les </w:t>
      </w:r>
      <w:r w:rsidR="00BC5A44" w:rsidRPr="00026EC1">
        <w:t>S</w:t>
      </w:r>
      <w:r w:rsidR="00404F34" w:rsidRPr="00026EC1">
        <w:t>yndicats partie</w:t>
      </w:r>
      <w:r w:rsidR="007B2497" w:rsidRPr="00026EC1">
        <w:t>s</w:t>
      </w:r>
      <w:r w:rsidR="00404F34" w:rsidRPr="00026EC1">
        <w:t xml:space="preserve"> à l</w:t>
      </w:r>
      <w:r w:rsidR="00BC3319" w:rsidRPr="00026EC1">
        <w:t>’</w:t>
      </w:r>
      <w:r w:rsidR="00404F34" w:rsidRPr="00026EC1">
        <w:t>arbitrage ainsi que les enseignantes et enseignants visés.</w:t>
      </w:r>
    </w:p>
    <w:p w14:paraId="6BF6A82A" w14:textId="77777777" w:rsidR="00BE26AA" w:rsidRDefault="00BE26AA" w:rsidP="007F120F">
      <w:pPr>
        <w:keepNext w:val="0"/>
        <w:sectPr w:rsidR="00BE26AA" w:rsidSect="002B176A">
          <w:headerReference w:type="default" r:id="rId49"/>
          <w:footnotePr>
            <w:numRestart w:val="eachPage"/>
          </w:footnotePr>
          <w:pgSz w:w="12240" w:h="15840" w:code="1"/>
          <w:pgMar w:top="720" w:right="1077" w:bottom="1242" w:left="1684" w:header="709" w:footer="709" w:gutter="0"/>
          <w:cols w:space="708"/>
          <w:docGrid w:linePitch="360"/>
        </w:sectPr>
      </w:pPr>
    </w:p>
    <w:p w14:paraId="47B8AFE4" w14:textId="625DA107" w:rsidR="00404F34" w:rsidRPr="00026EC1" w:rsidRDefault="00BC4A82" w:rsidP="007F120F">
      <w:pPr>
        <w:pStyle w:val="Heading1"/>
        <w:keepNext w:val="0"/>
        <w:tabs>
          <w:tab w:val="left" w:pos="1701"/>
          <w:tab w:val="left" w:pos="1985"/>
        </w:tabs>
      </w:pPr>
      <w:bookmarkStart w:id="1428" w:name="_Toc535046705"/>
      <w:bookmarkStart w:id="1429" w:name="_Toc133760885"/>
      <w:bookmarkStart w:id="1430" w:name="_Toc133917033"/>
      <w:bookmarkStart w:id="1431" w:name="_Toc134437306"/>
      <w:r w:rsidRPr="00026EC1">
        <w:t>SECTION V</w:t>
      </w:r>
      <w:r w:rsidR="002F28D4">
        <w:t xml:space="preserve"> </w:t>
      </w:r>
      <w:r w:rsidR="0017646C">
        <w:t>-</w:t>
      </w:r>
      <w:r w:rsidR="00D0678B">
        <w:t xml:space="preserve"> </w:t>
      </w:r>
      <w:r w:rsidR="00404F34" w:rsidRPr="00026EC1">
        <w:t>AVANTAGES SOCIAUX ET MATIÈRES CONNEXES</w:t>
      </w:r>
      <w:bookmarkEnd w:id="1428"/>
      <w:bookmarkEnd w:id="1429"/>
      <w:bookmarkEnd w:id="1430"/>
      <w:bookmarkEnd w:id="1431"/>
      <w:r w:rsidR="00006B45" w:rsidRPr="0035151D">
        <w:fldChar w:fldCharType="begin"/>
      </w:r>
      <w:r w:rsidR="00006B45" w:rsidRPr="0035151D">
        <w:instrText xml:space="preserve"> TC " </w:instrText>
      </w:r>
      <w:bookmarkStart w:id="1432" w:name="_Toc94954726"/>
      <w:bookmarkStart w:id="1433" w:name="_Toc94966403"/>
      <w:bookmarkStart w:id="1434" w:name="_Toc95035278"/>
      <w:bookmarkStart w:id="1435" w:name="_Toc95035421"/>
      <w:bookmarkStart w:id="1436" w:name="_Toc95035564"/>
      <w:bookmarkStart w:id="1437" w:name="_Toc95035709"/>
      <w:bookmarkStart w:id="1438" w:name="_Toc157589334"/>
      <w:bookmarkStart w:id="1439" w:name="_Toc161323787"/>
      <w:bookmarkStart w:id="1440" w:name="_Toc163483127"/>
      <w:bookmarkStart w:id="1441" w:name="_Toc163483726"/>
      <w:bookmarkStart w:id="1442" w:name="_Toc163483916"/>
      <w:bookmarkStart w:id="1443" w:name="_Toc167870886"/>
      <w:bookmarkStart w:id="1444" w:name="_Toc167871050"/>
      <w:bookmarkStart w:id="1445" w:name="_Toc167871206"/>
      <w:bookmarkStart w:id="1446" w:name="_Toc167871382"/>
      <w:bookmarkStart w:id="1447" w:name="_Toc168049451"/>
      <w:bookmarkStart w:id="1448" w:name="_Toc168401615"/>
      <w:bookmarkStart w:id="1449" w:name="_Toc168402231"/>
      <w:bookmarkStart w:id="1450" w:name="_Toc168409667"/>
      <w:bookmarkStart w:id="1451" w:name="_Toc168410421"/>
      <w:bookmarkStart w:id="1452" w:name="_Toc168410667"/>
      <w:bookmarkStart w:id="1453" w:name="_Toc168410908"/>
      <w:bookmarkStart w:id="1454" w:name="_Toc168479612"/>
      <w:r w:rsidR="00006B45">
        <w:instrText>section V</w:instrText>
      </w:r>
      <w:r w:rsidR="00006B45" w:rsidRPr="0035151D">
        <w:instrText xml:space="preserve">  </w:instrText>
      </w:r>
      <w:r w:rsidR="00984A6F">
        <w:noBreakHyphen/>
      </w:r>
      <w:r w:rsidR="00006B45" w:rsidRPr="0035151D">
        <w:instrText xml:space="preserve">  </w:instrText>
      </w:r>
      <w:r w:rsidR="00006B45">
        <w:instrText>avantages sociaux et matières connexes</w:instrTex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r w:rsidR="00006B45" w:rsidRPr="0035151D">
        <w:instrText>"\N</w:instrText>
      </w:r>
      <w:r w:rsidR="00006B45" w:rsidRPr="0035151D">
        <w:fldChar w:fldCharType="end"/>
      </w:r>
    </w:p>
    <w:p w14:paraId="1340A7A1" w14:textId="6C0A96E8" w:rsidR="00404F34" w:rsidRPr="002E3B8E" w:rsidRDefault="005100DE" w:rsidP="007F120F">
      <w:pPr>
        <w:pStyle w:val="Heading3"/>
        <w:keepNext w:val="0"/>
        <w:rPr>
          <w:rFonts w:ascii="Arial Gras" w:hAnsi="Arial Gras"/>
          <w:caps w:val="0"/>
        </w:rPr>
      </w:pPr>
      <w:bookmarkStart w:id="1455" w:name="_Toc535046706"/>
      <w:bookmarkStart w:id="1456" w:name="_Toc133760886"/>
      <w:bookmarkStart w:id="1457" w:name="_Toc133917034"/>
      <w:bookmarkStart w:id="1458" w:name="_Toc134437307"/>
      <w:bookmarkStart w:id="1459" w:name="_Toc393449478"/>
      <w:bookmarkStart w:id="1460" w:name="_Toc462751604"/>
      <w:bookmarkStart w:id="1461" w:name="_Toc484082623"/>
      <w:bookmarkStart w:id="1462" w:name="_Toc168479613"/>
      <w:r w:rsidRPr="0033506A">
        <w:t>Annexe </w:t>
      </w:r>
      <w:r w:rsidR="000535F1" w:rsidRPr="0033506A">
        <w:t>V</w:t>
      </w:r>
      <w:r w:rsidR="0017646C">
        <w:t>-</w:t>
      </w:r>
      <w:r w:rsidRPr="0033506A">
        <w:t>1</w:t>
      </w:r>
      <w:bookmarkEnd w:id="1455"/>
      <w:bookmarkEnd w:id="1456"/>
      <w:bookmarkEnd w:id="1457"/>
      <w:bookmarkEnd w:id="1458"/>
      <w:r w:rsidRPr="0033506A">
        <w:br/>
      </w:r>
      <w:r w:rsidRPr="002E3B8E">
        <w:rPr>
          <w:rFonts w:ascii="Arial Gras" w:hAnsi="Arial Gras"/>
          <w:caps w:val="0"/>
        </w:rPr>
        <w:br/>
      </w:r>
      <w:bookmarkStart w:id="1463" w:name="_Toc133760887"/>
      <w:bookmarkStart w:id="1464" w:name="_Toc133917035"/>
      <w:bookmarkStart w:id="1465" w:name="_Toc535046707"/>
      <w:r w:rsidRPr="00D05D16">
        <w:t>Annexe relative aux modalités d’application</w:t>
      </w:r>
      <w:bookmarkEnd w:id="1463"/>
      <w:bookmarkEnd w:id="1464"/>
      <w:r w:rsidRPr="00D05D16">
        <w:br/>
      </w:r>
      <w:bookmarkStart w:id="1466" w:name="_Toc133760888"/>
      <w:r w:rsidRPr="00D05D16">
        <w:t>du programme de retraite progressive</w:t>
      </w:r>
      <w:bookmarkEnd w:id="1459"/>
      <w:bookmarkEnd w:id="1460"/>
      <w:bookmarkEnd w:id="1461"/>
      <w:bookmarkEnd w:id="1465"/>
      <w:bookmarkEnd w:id="1466"/>
      <w:bookmarkEnd w:id="1462"/>
    </w:p>
    <w:p w14:paraId="326B913F" w14:textId="77777777" w:rsidR="003C11D3" w:rsidRPr="00B15522" w:rsidRDefault="003C11D3" w:rsidP="007F120F">
      <w:pPr>
        <w:pStyle w:val="NUMRODECLAUSE"/>
        <w:keepNext w:val="0"/>
      </w:pPr>
      <w:r w:rsidRPr="00B15522">
        <w:t>Programme de retraite progressive</w:t>
      </w:r>
    </w:p>
    <w:p w14:paraId="63AFFBD8" w14:textId="77777777" w:rsidR="003C11D3" w:rsidRPr="00026EC1" w:rsidRDefault="003C11D3" w:rsidP="007F120F">
      <w:pPr>
        <w:keepNext w:val="0"/>
      </w:pPr>
    </w:p>
    <w:p w14:paraId="715D8520" w14:textId="77777777" w:rsidR="003C11D3" w:rsidRPr="00026EC1" w:rsidRDefault="003C11D3" w:rsidP="007F120F">
      <w:pPr>
        <w:pStyle w:val="NUMRODECLAUSE"/>
        <w:keepNext w:val="0"/>
      </w:pPr>
      <w:r w:rsidRPr="00026EC1">
        <w:t>1.01</w:t>
      </w:r>
    </w:p>
    <w:p w14:paraId="2BC91FE7" w14:textId="3A12780C" w:rsidR="003C11D3" w:rsidRPr="00026EC1" w:rsidRDefault="003C11D3" w:rsidP="007F120F">
      <w:pPr>
        <w:keepNext w:val="0"/>
      </w:pPr>
      <w:r w:rsidRPr="00026EC1">
        <w:t>Le programme de retraite progressive permet à une enseignante ou un enseignant à temps complet qui participe à l</w:t>
      </w:r>
      <w:r w:rsidR="00BC3319" w:rsidRPr="00026EC1">
        <w:t>’</w:t>
      </w:r>
      <w:r w:rsidRPr="00026EC1">
        <w:t>un des régimes de retraite actuellement en vigueur (RRF, RREGOP et RRE) de réduire la disponibilité qu</w:t>
      </w:r>
      <w:r w:rsidR="00BC3319" w:rsidRPr="00026EC1">
        <w:t>’</w:t>
      </w:r>
      <w:r w:rsidRPr="00026EC1">
        <w:t>elle ou il fournit conformément à la clause 8</w:t>
      </w:r>
      <w:r w:rsidR="00984A6F">
        <w:noBreakHyphen/>
      </w:r>
      <w:r w:rsidRPr="00026EC1">
        <w:t>3.01, pour une période d</w:t>
      </w:r>
      <w:r w:rsidR="00BC3319" w:rsidRPr="00026EC1">
        <w:t>’</w:t>
      </w:r>
      <w:r w:rsidRPr="00026EC1">
        <w:t>une</w:t>
      </w:r>
      <w:r w:rsidR="00DF791E">
        <w:t> </w:t>
      </w:r>
      <w:r w:rsidRPr="00026EC1">
        <w:t>(1) à cinq</w:t>
      </w:r>
      <w:r w:rsidR="00DF791E">
        <w:t> </w:t>
      </w:r>
      <w:r w:rsidRPr="00026EC1">
        <w:t>(5) années dans une proportion qui ne peut être inférieure à quarante pour cent</w:t>
      </w:r>
      <w:r w:rsidR="00DF791E">
        <w:t> </w:t>
      </w:r>
      <w:r w:rsidRPr="00026EC1">
        <w:t>(40</w:t>
      </w:r>
      <w:r w:rsidR="00714A15">
        <w:t> %</w:t>
      </w:r>
      <w:r w:rsidRPr="00026EC1">
        <w:t>) ou supérieure à quatre</w:t>
      </w:r>
      <w:r w:rsidR="00984A6F">
        <w:noBreakHyphen/>
      </w:r>
      <w:r w:rsidRPr="00026EC1">
        <w:t>vingts pour cent</w:t>
      </w:r>
      <w:r w:rsidR="00D14291">
        <w:t> </w:t>
      </w:r>
      <w:r w:rsidRPr="00026EC1">
        <w:t>(80</w:t>
      </w:r>
      <w:r w:rsidR="00714A15">
        <w:t> %</w:t>
      </w:r>
      <w:r w:rsidRPr="00026EC1">
        <w:t>) de la disponibilité que fournit une enseignante ou un enseignant à temps complet.</w:t>
      </w:r>
    </w:p>
    <w:p w14:paraId="5DD99D62" w14:textId="77777777" w:rsidR="003C11D3" w:rsidRPr="00026EC1" w:rsidRDefault="003C11D3" w:rsidP="007F120F">
      <w:pPr>
        <w:keepNext w:val="0"/>
      </w:pPr>
    </w:p>
    <w:p w14:paraId="0077A8D9" w14:textId="5F3FBAE8" w:rsidR="003C11D3" w:rsidRPr="00026EC1" w:rsidRDefault="003C11D3" w:rsidP="007F120F">
      <w:pPr>
        <w:keepNext w:val="0"/>
      </w:pPr>
      <w:r w:rsidRPr="00026EC1">
        <w:t>L</w:t>
      </w:r>
      <w:r w:rsidR="00BC3319" w:rsidRPr="00026EC1">
        <w:t>’</w:t>
      </w:r>
      <w:r w:rsidRPr="00026EC1">
        <w:t>enseignante ou l</w:t>
      </w:r>
      <w:r w:rsidR="00BC3319" w:rsidRPr="00026EC1">
        <w:t>’</w:t>
      </w:r>
      <w:r w:rsidRPr="00026EC1">
        <w:t>enseignant dont l</w:t>
      </w:r>
      <w:r w:rsidR="00BC3319" w:rsidRPr="00026EC1">
        <w:t>’</w:t>
      </w:r>
      <w:r w:rsidRPr="00026EC1">
        <w:t>engagement prend fin automatiquement au terme d</w:t>
      </w:r>
      <w:r w:rsidR="00BC3319" w:rsidRPr="00026EC1">
        <w:t>’</w:t>
      </w:r>
      <w:r w:rsidRPr="00026EC1">
        <w:t>un contrat d</w:t>
      </w:r>
      <w:r w:rsidR="00BC3319" w:rsidRPr="00026EC1">
        <w:t>’</w:t>
      </w:r>
      <w:r w:rsidRPr="00026EC1">
        <w:t>engagement conformément à la clause 5</w:t>
      </w:r>
      <w:r w:rsidR="00984A6F">
        <w:noBreakHyphen/>
      </w:r>
      <w:r w:rsidRPr="00026EC1">
        <w:t>1.02 ne peut pas bénéficier du programme.</w:t>
      </w:r>
    </w:p>
    <w:p w14:paraId="0995440F" w14:textId="77777777" w:rsidR="003C11D3" w:rsidRPr="00026EC1" w:rsidRDefault="003C11D3" w:rsidP="007F120F">
      <w:pPr>
        <w:keepNext w:val="0"/>
      </w:pPr>
    </w:p>
    <w:p w14:paraId="3E60A1E8" w14:textId="77777777" w:rsidR="003C11D3" w:rsidRPr="00026EC1" w:rsidRDefault="003C11D3" w:rsidP="007F120F">
      <w:pPr>
        <w:pStyle w:val="NUMRODECLAUSE"/>
        <w:keepNext w:val="0"/>
      </w:pPr>
      <w:r w:rsidRPr="00026EC1">
        <w:t>1.02</w:t>
      </w:r>
    </w:p>
    <w:p w14:paraId="1C3017F0" w14:textId="27AE6CA0" w:rsidR="003C11D3" w:rsidRPr="00026EC1" w:rsidRDefault="003C11D3" w:rsidP="007F120F">
      <w:pPr>
        <w:keepNext w:val="0"/>
      </w:pPr>
      <w:r w:rsidRPr="00026EC1">
        <w:t>L</w:t>
      </w:r>
      <w:r w:rsidR="00BC3319" w:rsidRPr="00026EC1">
        <w:t>’</w:t>
      </w:r>
      <w:r w:rsidRPr="00026EC1">
        <w:t>enseignante ou l</w:t>
      </w:r>
      <w:r w:rsidR="00BC3319" w:rsidRPr="00026EC1">
        <w:t>’</w:t>
      </w:r>
      <w:r w:rsidRPr="00026EC1">
        <w:t>enseignant ne peut se prévaloir du programme qu</w:t>
      </w:r>
      <w:r w:rsidR="00BC3319" w:rsidRPr="00026EC1">
        <w:t>’</w:t>
      </w:r>
      <w:r w:rsidRPr="00026EC1">
        <w:t>une seule fois même si celui</w:t>
      </w:r>
      <w:r w:rsidR="00984A6F">
        <w:noBreakHyphen/>
      </w:r>
      <w:r w:rsidRPr="00026EC1">
        <w:t>ci est annulé avant la date d</w:t>
      </w:r>
      <w:r w:rsidR="00BC3319" w:rsidRPr="00026EC1">
        <w:t>’</w:t>
      </w:r>
      <w:r w:rsidRPr="00026EC1">
        <w:t>expiration de la période prévue à 1.04 ou qu</w:t>
      </w:r>
      <w:r w:rsidR="00BC3319" w:rsidRPr="00026EC1">
        <w:t>’</w:t>
      </w:r>
      <w:r w:rsidRPr="00026EC1">
        <w:t>elle ou il est replacé chez un nouvel employeur avant cette même date d</w:t>
      </w:r>
      <w:r w:rsidR="00BC3319" w:rsidRPr="00026EC1">
        <w:t>’</w:t>
      </w:r>
      <w:r w:rsidRPr="00026EC1">
        <w:t>expiration.</w:t>
      </w:r>
    </w:p>
    <w:p w14:paraId="7C131B77" w14:textId="77777777" w:rsidR="003C11D3" w:rsidRPr="00026EC1" w:rsidRDefault="003C11D3" w:rsidP="007F120F">
      <w:pPr>
        <w:keepNext w:val="0"/>
      </w:pPr>
    </w:p>
    <w:p w14:paraId="041196CD" w14:textId="77777777" w:rsidR="003C11D3" w:rsidRPr="00026EC1" w:rsidRDefault="003C11D3" w:rsidP="007F120F">
      <w:pPr>
        <w:pStyle w:val="NUMRODECLAUSE"/>
        <w:keepNext w:val="0"/>
      </w:pPr>
      <w:r w:rsidRPr="00026EC1">
        <w:t>1.03</w:t>
      </w:r>
    </w:p>
    <w:p w14:paraId="31D2DF9C" w14:textId="233ED422" w:rsidR="003C11D3" w:rsidRPr="00026EC1" w:rsidRDefault="003C11D3" w:rsidP="007F120F">
      <w:pPr>
        <w:keepNext w:val="0"/>
      </w:pPr>
      <w:r w:rsidRPr="00026EC1">
        <w:t>L</w:t>
      </w:r>
      <w:r w:rsidR="00BC3319" w:rsidRPr="00026EC1">
        <w:t>’</w:t>
      </w:r>
      <w:r w:rsidRPr="00026EC1">
        <w:t>enseignante ou l</w:t>
      </w:r>
      <w:r w:rsidR="00BC3319" w:rsidRPr="00026EC1">
        <w:t>’</w:t>
      </w:r>
      <w:r w:rsidRPr="00026EC1">
        <w:t>enseignant qui désire se prévaloir du programme en fait la demande par écrit au Collège au moins soixante</w:t>
      </w:r>
      <w:r w:rsidR="00DF791E">
        <w:t> </w:t>
      </w:r>
      <w:r w:rsidRPr="00026EC1">
        <w:t>(60) jours avant la date du début de la mise à la retraite progressive, laquelle coïncide avec celle du début d</w:t>
      </w:r>
      <w:r w:rsidR="00BC3319" w:rsidRPr="00026EC1">
        <w:t>’</w:t>
      </w:r>
      <w:r w:rsidRPr="00026EC1">
        <w:t>une session.</w:t>
      </w:r>
    </w:p>
    <w:p w14:paraId="01D932CD" w14:textId="77777777" w:rsidR="003C11D3" w:rsidRPr="00026EC1" w:rsidRDefault="003C11D3" w:rsidP="007F120F">
      <w:pPr>
        <w:keepNext w:val="0"/>
      </w:pPr>
    </w:p>
    <w:p w14:paraId="047E8EC2" w14:textId="77777777" w:rsidR="003C11D3" w:rsidRPr="00026EC1" w:rsidRDefault="003C11D3" w:rsidP="007F120F">
      <w:pPr>
        <w:keepNext w:val="0"/>
      </w:pPr>
      <w:r w:rsidRPr="00026EC1">
        <w:t>L</w:t>
      </w:r>
      <w:r w:rsidR="00BC3319" w:rsidRPr="00026EC1">
        <w:t>’</w:t>
      </w:r>
      <w:r w:rsidRPr="00026EC1">
        <w:t>octroi d</w:t>
      </w:r>
      <w:r w:rsidR="00BC3319" w:rsidRPr="00026EC1">
        <w:t>’</w:t>
      </w:r>
      <w:r w:rsidRPr="00026EC1">
        <w:t>une retraite progressive est assujetti à une entente préalable avec le Collège.</w:t>
      </w:r>
    </w:p>
    <w:p w14:paraId="0637695F" w14:textId="77777777" w:rsidR="003C11D3" w:rsidRPr="00026EC1" w:rsidRDefault="003C11D3" w:rsidP="007F120F">
      <w:pPr>
        <w:keepNext w:val="0"/>
      </w:pPr>
    </w:p>
    <w:p w14:paraId="16D21129" w14:textId="77777777" w:rsidR="003C11D3" w:rsidRPr="00026EC1" w:rsidRDefault="003C11D3" w:rsidP="007F120F">
      <w:pPr>
        <w:pStyle w:val="NUMRODECLAUSE"/>
        <w:keepNext w:val="0"/>
      </w:pPr>
      <w:r w:rsidRPr="00026EC1">
        <w:t>1.04</w:t>
      </w:r>
      <w:r w:rsidRPr="00026EC1">
        <w:tab/>
      </w:r>
      <w:r w:rsidRPr="00B15522">
        <w:t>Période couverte et prise de la retraite</w:t>
      </w:r>
    </w:p>
    <w:p w14:paraId="13E90A32" w14:textId="15FB00D4" w:rsidR="003C11D3" w:rsidRPr="00026EC1" w:rsidRDefault="003C11D3" w:rsidP="007F120F">
      <w:pPr>
        <w:keepNext w:val="0"/>
      </w:pPr>
      <w:r w:rsidRPr="00026EC1">
        <w:t>Le programme s</w:t>
      </w:r>
      <w:r w:rsidR="00BC3319" w:rsidRPr="00026EC1">
        <w:t>’</w:t>
      </w:r>
      <w:r w:rsidRPr="00026EC1">
        <w:t>applique à une enseignante ou un enseignant pour une période minimale de douze (12) mois et pour une période maximale de soixante</w:t>
      </w:r>
      <w:r w:rsidR="00DF791E">
        <w:t> </w:t>
      </w:r>
      <w:r w:rsidRPr="00026EC1">
        <w:t>(60) mois.</w:t>
      </w:r>
      <w:r w:rsidR="00B15522">
        <w:t xml:space="preserve"> </w:t>
      </w:r>
      <w:r w:rsidR="00B15522" w:rsidRPr="00316277">
        <w:t>Toutefois, il est possible de prolonger l’entente selon les termes et conditions prévus à la clause 1.07.</w:t>
      </w:r>
    </w:p>
    <w:p w14:paraId="6E38EADD" w14:textId="77777777" w:rsidR="003C11D3" w:rsidRPr="00026EC1" w:rsidRDefault="003C11D3" w:rsidP="007F120F">
      <w:pPr>
        <w:keepNext w:val="0"/>
      </w:pPr>
    </w:p>
    <w:p w14:paraId="18972429" w14:textId="532B0A1C" w:rsidR="003C11D3" w:rsidRPr="00026EC1" w:rsidRDefault="003C11D3" w:rsidP="007F120F">
      <w:pPr>
        <w:keepNext w:val="0"/>
      </w:pPr>
      <w:r w:rsidRPr="00026EC1">
        <w:t>À la fin de</w:t>
      </w:r>
      <w:r w:rsidR="00B15522">
        <w:t xml:space="preserve"> </w:t>
      </w:r>
      <w:r w:rsidR="00B15522" w:rsidRPr="00316277">
        <w:t>l’entente</w:t>
      </w:r>
      <w:r w:rsidRPr="00026EC1">
        <w:t>, l</w:t>
      </w:r>
      <w:r w:rsidR="00BC3319" w:rsidRPr="00026EC1">
        <w:t>’</w:t>
      </w:r>
      <w:r w:rsidRPr="00026EC1">
        <w:t>enseignante ou l</w:t>
      </w:r>
      <w:r w:rsidR="00BC3319" w:rsidRPr="00026EC1">
        <w:t>’</w:t>
      </w:r>
      <w:r w:rsidRPr="00026EC1">
        <w:t>enseignant prend sa retraite.</w:t>
      </w:r>
    </w:p>
    <w:p w14:paraId="795306BE" w14:textId="77777777" w:rsidR="003C11D3" w:rsidRPr="00026EC1" w:rsidRDefault="003C11D3" w:rsidP="007F120F">
      <w:pPr>
        <w:keepNext w:val="0"/>
      </w:pPr>
    </w:p>
    <w:p w14:paraId="6158D1AC" w14:textId="1D67C5E6" w:rsidR="00BE26AA" w:rsidRDefault="003C11D3" w:rsidP="007F120F">
      <w:pPr>
        <w:keepNext w:val="0"/>
        <w:sectPr w:rsidR="00BE26AA" w:rsidSect="002B176A">
          <w:headerReference w:type="default" r:id="rId50"/>
          <w:footnotePr>
            <w:numRestart w:val="eachPage"/>
          </w:footnotePr>
          <w:pgSz w:w="12240" w:h="15840" w:code="1"/>
          <w:pgMar w:top="720" w:right="1077" w:bottom="1242" w:left="1684" w:header="709" w:footer="709" w:gutter="0"/>
          <w:cols w:space="708"/>
          <w:docGrid w:linePitch="360"/>
        </w:sectPr>
      </w:pPr>
      <w:r w:rsidRPr="00026EC1">
        <w:t>Si, pour des circonstances indépendantes de sa volonté (ex.</w:t>
      </w:r>
      <w:r w:rsidR="00D8581B">
        <w:t> :</w:t>
      </w:r>
      <w:r w:rsidRPr="00026EC1">
        <w:t xml:space="preserve"> grève, lock</w:t>
      </w:r>
      <w:r w:rsidR="00984A6F">
        <w:noBreakHyphen/>
      </w:r>
      <w:r w:rsidRPr="00026EC1">
        <w:t>out, correction du service antérieur), l</w:t>
      </w:r>
      <w:r w:rsidR="00BC3319" w:rsidRPr="00026EC1">
        <w:t>’</w:t>
      </w:r>
      <w:r w:rsidRPr="00026EC1">
        <w:t>enseignante ou l</w:t>
      </w:r>
      <w:r w:rsidR="00BC3319" w:rsidRPr="00026EC1">
        <w:t>’</w:t>
      </w:r>
      <w:r w:rsidRPr="00026EC1">
        <w:t>enseignant n</w:t>
      </w:r>
      <w:r w:rsidR="00BC3319" w:rsidRPr="00026EC1">
        <w:t>’</w:t>
      </w:r>
      <w:r w:rsidRPr="00026EC1">
        <w:t>est pas admissible à la retraite à la fin du programme, celui</w:t>
      </w:r>
      <w:r w:rsidR="00984A6F">
        <w:noBreakHyphen/>
      </w:r>
      <w:r w:rsidRPr="00026EC1">
        <w:t>ci est prolongé jusqu</w:t>
      </w:r>
      <w:r w:rsidR="00BC3319" w:rsidRPr="00026EC1">
        <w:t>’</w:t>
      </w:r>
      <w:r w:rsidRPr="00026EC1">
        <w:t>à la date d</w:t>
      </w:r>
      <w:r w:rsidR="00BC3319" w:rsidRPr="00026EC1">
        <w:t>’</w:t>
      </w:r>
      <w:r w:rsidRPr="00026EC1">
        <w:t>admissibilité à la retraite.</w:t>
      </w:r>
    </w:p>
    <w:p w14:paraId="4CB71892" w14:textId="1EB86880" w:rsidR="003C11D3" w:rsidRPr="00B15522" w:rsidRDefault="003C11D3" w:rsidP="007F120F">
      <w:pPr>
        <w:pStyle w:val="NUMRODECLAUSE"/>
        <w:keepNext w:val="0"/>
      </w:pPr>
      <w:r w:rsidRPr="00B15522">
        <w:t>1.05</w:t>
      </w:r>
      <w:r w:rsidRPr="00B15522">
        <w:tab/>
        <w:t>Disponibilité et charge d</w:t>
      </w:r>
      <w:r w:rsidR="00BC3319" w:rsidRPr="00B15522">
        <w:t>’</w:t>
      </w:r>
      <w:r w:rsidRPr="00B15522">
        <w:t>enseignement</w:t>
      </w:r>
    </w:p>
    <w:p w14:paraId="2736826D" w14:textId="2ABF4218" w:rsidR="003C11D3" w:rsidRPr="00026EC1" w:rsidRDefault="003C11D3" w:rsidP="007F120F">
      <w:pPr>
        <w:keepNext w:val="0"/>
      </w:pPr>
      <w:r w:rsidRPr="00026EC1">
        <w:t>Le pourcentage de disponibilité est convenu entre l</w:t>
      </w:r>
      <w:r w:rsidR="00BC3319" w:rsidRPr="00026EC1">
        <w:t>’</w:t>
      </w:r>
      <w:r w:rsidRPr="00026EC1">
        <w:t>enseignante ou l</w:t>
      </w:r>
      <w:r w:rsidR="00BC3319" w:rsidRPr="00026EC1">
        <w:t>’</w:t>
      </w:r>
      <w:r w:rsidRPr="00026EC1">
        <w:t>enseignant et le Collège conformément à 1.01 et il peut varier pendant le programme. De plus, l</w:t>
      </w:r>
      <w:r w:rsidR="00BC3319" w:rsidRPr="00026EC1">
        <w:t>’</w:t>
      </w:r>
      <w:r w:rsidRPr="00026EC1">
        <w:t>enseignante ou l</w:t>
      </w:r>
      <w:r w:rsidR="00BC3319" w:rsidRPr="00026EC1">
        <w:t>’</w:t>
      </w:r>
      <w:r w:rsidRPr="00026EC1">
        <w:t>enseignant et le Collège peuvent convenir de le modifier pendant le programme, à la condition qu</w:t>
      </w:r>
      <w:r w:rsidR="00BC3319" w:rsidRPr="00026EC1">
        <w:t>’</w:t>
      </w:r>
      <w:r w:rsidRPr="00026EC1">
        <w:t>il ne soit pas inférieur à quarante pour cent</w:t>
      </w:r>
      <w:r w:rsidR="00DF791E">
        <w:t> </w:t>
      </w:r>
      <w:r w:rsidRPr="00026EC1">
        <w:t>(40</w:t>
      </w:r>
      <w:r w:rsidR="00714A15">
        <w:t> %</w:t>
      </w:r>
      <w:r w:rsidRPr="00026EC1">
        <w:t>) ou supérieur à quatre</w:t>
      </w:r>
      <w:r w:rsidR="00984A6F">
        <w:noBreakHyphen/>
      </w:r>
      <w:r w:rsidRPr="00026EC1">
        <w:t>vingts pour cent</w:t>
      </w:r>
      <w:r w:rsidR="00DF791E">
        <w:t> </w:t>
      </w:r>
      <w:r w:rsidRPr="00026EC1">
        <w:t>(80</w:t>
      </w:r>
      <w:r w:rsidR="00714A15">
        <w:t> %</w:t>
      </w:r>
      <w:r w:rsidRPr="00026EC1">
        <w:t>) de la disponibilité que fournit une enseignante ou un enseignant à temps complet.</w:t>
      </w:r>
    </w:p>
    <w:p w14:paraId="7136689C" w14:textId="77777777" w:rsidR="003C11D3" w:rsidRPr="00026EC1" w:rsidRDefault="003C11D3" w:rsidP="007F120F">
      <w:pPr>
        <w:keepNext w:val="0"/>
      </w:pPr>
    </w:p>
    <w:p w14:paraId="4F5820C8" w14:textId="77777777" w:rsidR="003C11D3" w:rsidRPr="00026EC1" w:rsidRDefault="003C11D3" w:rsidP="007F120F">
      <w:pPr>
        <w:keepNext w:val="0"/>
      </w:pPr>
      <w:r w:rsidRPr="00026EC1">
        <w:t>La charge d</w:t>
      </w:r>
      <w:r w:rsidR="00BC3319" w:rsidRPr="00026EC1">
        <w:t>’</w:t>
      </w:r>
      <w:r w:rsidRPr="00026EC1">
        <w:t>enseignement que doit accepter cette enseignante ou cet enseignant est celle d</w:t>
      </w:r>
      <w:r w:rsidR="00BC3319" w:rsidRPr="00026EC1">
        <w:t>’</w:t>
      </w:r>
      <w:r w:rsidRPr="00026EC1">
        <w:t>une enseignante ou d</w:t>
      </w:r>
      <w:r w:rsidR="00BC3319" w:rsidRPr="00026EC1">
        <w:t>’</w:t>
      </w:r>
      <w:r w:rsidRPr="00026EC1">
        <w:t>un enseignant à temps complet et elle est établie à l</w:t>
      </w:r>
      <w:r w:rsidR="00BC3319" w:rsidRPr="00026EC1">
        <w:t>’</w:t>
      </w:r>
      <w:r w:rsidRPr="00026EC1">
        <w:t>aide de la formule de la CI. Dans ce cas, le L de la CI</w:t>
      </w:r>
      <w:r w:rsidR="00AE3873" w:rsidRPr="00026EC1">
        <w:rPr>
          <w:vertAlign w:val="subscript"/>
        </w:rPr>
        <w:t>L</w:t>
      </w:r>
      <w:r w:rsidRPr="00026EC1">
        <w:t xml:space="preserve"> est égal à la fraction de disponibilité dont l</w:t>
      </w:r>
      <w:r w:rsidR="00BC3319" w:rsidRPr="00026EC1">
        <w:t>’</w:t>
      </w:r>
      <w:r w:rsidRPr="00026EC1">
        <w:t>enseignante ou l</w:t>
      </w:r>
      <w:r w:rsidR="00BC3319" w:rsidRPr="00026EC1">
        <w:t>’</w:t>
      </w:r>
      <w:r w:rsidRPr="00026EC1">
        <w:t>enseignant est dégagé.</w:t>
      </w:r>
    </w:p>
    <w:p w14:paraId="02EE7918" w14:textId="77777777" w:rsidR="003C11D3" w:rsidRPr="00026EC1" w:rsidRDefault="003C11D3" w:rsidP="007F120F">
      <w:pPr>
        <w:keepNext w:val="0"/>
      </w:pPr>
    </w:p>
    <w:p w14:paraId="11A8386E" w14:textId="77777777" w:rsidR="003C11D3" w:rsidRPr="00026EC1" w:rsidRDefault="003C11D3" w:rsidP="007F120F">
      <w:pPr>
        <w:pStyle w:val="NUMRODECLAUSE"/>
        <w:keepNext w:val="0"/>
      </w:pPr>
      <w:r w:rsidRPr="00026EC1">
        <w:t>1.06</w:t>
      </w:r>
      <w:r w:rsidRPr="00026EC1">
        <w:tab/>
      </w:r>
      <w:r w:rsidRPr="00B15522">
        <w:t>Droits et avantages</w:t>
      </w:r>
    </w:p>
    <w:p w14:paraId="7D899BF7" w14:textId="77777777" w:rsidR="003C11D3" w:rsidRPr="00026EC1" w:rsidRDefault="003C11D3" w:rsidP="007F120F">
      <w:pPr>
        <w:keepNext w:val="0"/>
      </w:pPr>
    </w:p>
    <w:p w14:paraId="233158EE"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Salaire</w:t>
      </w:r>
    </w:p>
    <w:p w14:paraId="372D623A" w14:textId="77777777" w:rsidR="003C11D3" w:rsidRPr="00026EC1" w:rsidRDefault="003C11D3" w:rsidP="007F120F">
      <w:pPr>
        <w:keepNext w:val="0"/>
      </w:pPr>
    </w:p>
    <w:p w14:paraId="631E14A6" w14:textId="77777777" w:rsidR="003C11D3" w:rsidRPr="00026EC1" w:rsidRDefault="003C11D3" w:rsidP="007F120F">
      <w:pPr>
        <w:keepNext w:val="0"/>
      </w:pPr>
      <w:r w:rsidRPr="00026EC1">
        <w:t>Pendant la durée du programme, l</w:t>
      </w:r>
      <w:r w:rsidR="00BC3319" w:rsidRPr="00026EC1">
        <w:t>’</w:t>
      </w:r>
      <w:r w:rsidRPr="00026EC1">
        <w:t>enseignante ou l</w:t>
      </w:r>
      <w:r w:rsidR="00BC3319" w:rsidRPr="00026EC1">
        <w:t>’</w:t>
      </w:r>
      <w:r w:rsidRPr="00026EC1">
        <w:t>enseignant est rémunéré en fonction du pourcentage de disponibilité prévu à 1.05 par rapport au salaire de l</w:t>
      </w:r>
      <w:r w:rsidR="00BC3319" w:rsidRPr="00026EC1">
        <w:t>’</w:t>
      </w:r>
      <w:r w:rsidRPr="00026EC1">
        <w:t>enseignante ou de l</w:t>
      </w:r>
      <w:r w:rsidR="00BC3319" w:rsidRPr="00026EC1">
        <w:t>’</w:t>
      </w:r>
      <w:r w:rsidRPr="00026EC1">
        <w:t>enseignant à temps complet.</w:t>
      </w:r>
    </w:p>
    <w:p w14:paraId="140B0C62" w14:textId="77777777" w:rsidR="003C11D3" w:rsidRPr="00026EC1" w:rsidRDefault="003C11D3" w:rsidP="007F120F">
      <w:pPr>
        <w:keepNext w:val="0"/>
      </w:pPr>
    </w:p>
    <w:p w14:paraId="06E6CA8C"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Ancienneté et expérience</w:t>
      </w:r>
    </w:p>
    <w:p w14:paraId="5EF50026" w14:textId="77777777" w:rsidR="003C11D3" w:rsidRPr="00026EC1" w:rsidRDefault="003C11D3" w:rsidP="007F120F">
      <w:pPr>
        <w:keepNext w:val="0"/>
      </w:pPr>
    </w:p>
    <w:p w14:paraId="7813A0D8" w14:textId="77777777" w:rsidR="003C11D3" w:rsidRPr="00026EC1" w:rsidRDefault="003C11D3" w:rsidP="007F120F">
      <w:pPr>
        <w:keepNext w:val="0"/>
      </w:pPr>
      <w:r w:rsidRPr="00026EC1">
        <w:t>L</w:t>
      </w:r>
      <w:r w:rsidR="00BC3319" w:rsidRPr="00026EC1">
        <w:t>’</w:t>
      </w:r>
      <w:r w:rsidRPr="00026EC1">
        <w:t>enseignante ou l</w:t>
      </w:r>
      <w:r w:rsidR="00BC3319" w:rsidRPr="00026EC1">
        <w:t>’</w:t>
      </w:r>
      <w:r w:rsidRPr="00026EC1">
        <w:t>enseignant continue d</w:t>
      </w:r>
      <w:r w:rsidR="00BC3319" w:rsidRPr="00026EC1">
        <w:t>’</w:t>
      </w:r>
      <w:r w:rsidRPr="00026EC1">
        <w:t>accumuler son ancienneté et son expérience comme si elle ou il ne participait pas au programme.</w:t>
      </w:r>
    </w:p>
    <w:p w14:paraId="240E8604" w14:textId="77777777" w:rsidR="003C11D3" w:rsidRPr="00026EC1" w:rsidRDefault="003C11D3" w:rsidP="007F120F">
      <w:pPr>
        <w:keepNext w:val="0"/>
      </w:pPr>
    </w:p>
    <w:p w14:paraId="5C38118E"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C7F2E">
        <w:t>Caisse de jours de congés de maladie</w:t>
      </w:r>
    </w:p>
    <w:p w14:paraId="6E066713" w14:textId="77777777" w:rsidR="003C11D3" w:rsidRPr="00026EC1" w:rsidRDefault="003C11D3" w:rsidP="007F120F">
      <w:pPr>
        <w:keepNext w:val="0"/>
      </w:pPr>
    </w:p>
    <w:p w14:paraId="06AD32BA" w14:textId="62AD3E77" w:rsidR="003C11D3" w:rsidRPr="00026EC1" w:rsidRDefault="003C11D3" w:rsidP="007F120F">
      <w:pPr>
        <w:keepNext w:val="0"/>
      </w:pPr>
      <w:r w:rsidRPr="00026EC1">
        <w:t>Conformément à la clause 5</w:t>
      </w:r>
      <w:r w:rsidR="00984A6F">
        <w:noBreakHyphen/>
      </w:r>
      <w:r w:rsidRPr="00026EC1">
        <w:t>5.32, l</w:t>
      </w:r>
      <w:r w:rsidR="00BC3319" w:rsidRPr="00026EC1">
        <w:t>’</w:t>
      </w:r>
      <w:r w:rsidRPr="00026EC1">
        <w:t>enseignante ou l</w:t>
      </w:r>
      <w:r w:rsidR="00BC3319" w:rsidRPr="00026EC1">
        <w:t>’</w:t>
      </w:r>
      <w:r w:rsidRPr="00026EC1">
        <w:t>enseignant qui a accumulé une caisse de jours de congés de maladie convertibles en espèces, en vertu des conventions collectives antérieures, peut utiliser dans le cadre du programme l</w:t>
      </w:r>
      <w:r w:rsidR="00BC3319" w:rsidRPr="00026EC1">
        <w:t>’</w:t>
      </w:r>
      <w:r w:rsidRPr="00026EC1">
        <w:t>équivalent des jours de congés de maladie convertibles en espèces à son crédit pour la ou le dispenser, totalement ou partiellement, de la charge d</w:t>
      </w:r>
      <w:r w:rsidR="00BC3319" w:rsidRPr="00026EC1">
        <w:t>’</w:t>
      </w:r>
      <w:r w:rsidRPr="00026EC1">
        <w:t>enseignement annuelle et de la disponibilité prévues à 1.05 lorsque les conventions collectives antérieures permettent une telle utilisation.</w:t>
      </w:r>
    </w:p>
    <w:p w14:paraId="3D7FAF8F" w14:textId="77777777" w:rsidR="003C11D3" w:rsidRPr="00026EC1" w:rsidRDefault="003C11D3" w:rsidP="007F120F">
      <w:pPr>
        <w:keepNext w:val="0"/>
      </w:pPr>
    </w:p>
    <w:p w14:paraId="667EDE4F"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1442C2">
        <w:t>A</w:t>
      </w:r>
      <w:r w:rsidR="003C11D3" w:rsidRPr="00B15522">
        <w:t>ccumulation de service au régime de retraite</w:t>
      </w:r>
    </w:p>
    <w:p w14:paraId="2C2362FA" w14:textId="77777777" w:rsidR="003C11D3" w:rsidRPr="00026EC1" w:rsidRDefault="003C11D3" w:rsidP="007F120F">
      <w:pPr>
        <w:keepNext w:val="0"/>
      </w:pPr>
    </w:p>
    <w:p w14:paraId="6498E856" w14:textId="27A89D32" w:rsidR="00CB43B2" w:rsidRDefault="003C11D3" w:rsidP="007F120F">
      <w:pPr>
        <w:keepNext w:val="0"/>
      </w:pPr>
      <w:r w:rsidRPr="00026EC1">
        <w:t>Est crédité à l</w:t>
      </w:r>
      <w:r w:rsidR="00BC3319" w:rsidRPr="00026EC1">
        <w:t>’</w:t>
      </w:r>
      <w:r w:rsidRPr="00026EC1">
        <w:t>enseignante ou l</w:t>
      </w:r>
      <w:r w:rsidR="00BC3319" w:rsidRPr="00026EC1">
        <w:t>’</w:t>
      </w:r>
      <w:r w:rsidRPr="00026EC1">
        <w:t>enseignant, aux fins d</w:t>
      </w:r>
      <w:r w:rsidR="00BC3319" w:rsidRPr="00026EC1">
        <w:t>’</w:t>
      </w:r>
      <w:r w:rsidRPr="00026EC1">
        <w:t>admissibilité à la retraite, le service auquel elle ou il aurait eu droit si elle ou il ne s</w:t>
      </w:r>
      <w:r w:rsidR="00BC3319" w:rsidRPr="00026EC1">
        <w:t>’</w:t>
      </w:r>
      <w:r w:rsidRPr="00026EC1">
        <w:t>était pas prévalu du programme. Il en est de même aux fins du calcul de sa rente de retraite ou des prestations en cas de décès.</w:t>
      </w:r>
    </w:p>
    <w:p w14:paraId="0AA34CED" w14:textId="77777777" w:rsidR="00CB43B2" w:rsidRDefault="00CB43B2">
      <w:pPr>
        <w:keepNext w:val="0"/>
        <w:suppressAutoHyphens w:val="0"/>
        <w:jc w:val="left"/>
      </w:pPr>
      <w:r>
        <w:br w:type="page"/>
      </w:r>
    </w:p>
    <w:p w14:paraId="3DB3BDF5"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Cotisation au régime de retraite</w:t>
      </w:r>
    </w:p>
    <w:p w14:paraId="338B229E" w14:textId="77777777" w:rsidR="003C11D3" w:rsidRPr="00026EC1" w:rsidRDefault="003C11D3" w:rsidP="007F120F">
      <w:pPr>
        <w:keepNext w:val="0"/>
      </w:pPr>
    </w:p>
    <w:p w14:paraId="7BBBCD3A" w14:textId="31171D0C" w:rsidR="003C11D3" w:rsidRDefault="003C11D3" w:rsidP="007F120F">
      <w:pPr>
        <w:keepNext w:val="0"/>
      </w:pPr>
      <w:r w:rsidRPr="00026EC1">
        <w:t>Durant le programme, l</w:t>
      </w:r>
      <w:r w:rsidR="00BC3319" w:rsidRPr="00026EC1">
        <w:t>’</w:t>
      </w:r>
      <w:r w:rsidRPr="00026EC1">
        <w:t>enseignante ou l</w:t>
      </w:r>
      <w:r w:rsidR="00BC3319" w:rsidRPr="00026EC1">
        <w:t>’</w:t>
      </w:r>
      <w:r w:rsidRPr="00026EC1">
        <w:t>enseignant verse les cotisations au régime de retraite sur la base du salaire admissible évolutif comme si l</w:t>
      </w:r>
      <w:r w:rsidR="00BC3319" w:rsidRPr="00026EC1">
        <w:t>’</w:t>
      </w:r>
      <w:r w:rsidRPr="00026EC1">
        <w:t>enseignante ou l</w:t>
      </w:r>
      <w:r w:rsidR="00BC3319" w:rsidRPr="00026EC1">
        <w:t>’</w:t>
      </w:r>
      <w:r w:rsidRPr="00026EC1">
        <w:t>enseignant ne s</w:t>
      </w:r>
      <w:r w:rsidR="00BC3319" w:rsidRPr="00026EC1">
        <w:t>’</w:t>
      </w:r>
      <w:r w:rsidRPr="00026EC1">
        <w:t>était pas prévalu du programme.</w:t>
      </w:r>
    </w:p>
    <w:p w14:paraId="5EC21FDF" w14:textId="77777777" w:rsidR="00BE26AA" w:rsidRPr="00026EC1" w:rsidRDefault="00BE26AA" w:rsidP="007F120F">
      <w:pPr>
        <w:keepNext w:val="0"/>
      </w:pPr>
    </w:p>
    <w:p w14:paraId="6EBD355C" w14:textId="35C7FC1E" w:rsidR="003C11D3" w:rsidRPr="00B15522"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Régime d</w:t>
      </w:r>
      <w:r w:rsidR="00BC3319" w:rsidRPr="00B15522">
        <w:t>’</w:t>
      </w:r>
      <w:r w:rsidR="003C11D3" w:rsidRPr="00B15522">
        <w:t>assurance</w:t>
      </w:r>
      <w:r w:rsidR="00984A6F" w:rsidRPr="00B15522">
        <w:noBreakHyphen/>
      </w:r>
      <w:r w:rsidR="003C11D3" w:rsidRPr="00B15522">
        <w:t>maladie</w:t>
      </w:r>
      <w:r w:rsidR="001771E2">
        <w:t xml:space="preserve"> </w:t>
      </w:r>
      <w:r w:rsidR="001771E2" w:rsidRPr="00316277">
        <w:t>et d’assurance-vie</w:t>
      </w:r>
    </w:p>
    <w:p w14:paraId="6BB4FE09" w14:textId="77777777" w:rsidR="003C11D3" w:rsidRPr="00026EC1" w:rsidRDefault="003C11D3" w:rsidP="007F120F">
      <w:pPr>
        <w:keepNext w:val="0"/>
      </w:pPr>
    </w:p>
    <w:p w14:paraId="0CE2C7DC" w14:textId="4F240FF0" w:rsidR="001771E2" w:rsidRDefault="003C11D3" w:rsidP="007F120F">
      <w:pPr>
        <w:keepNext w:val="0"/>
      </w:pPr>
      <w:r w:rsidRPr="00026EC1">
        <w:t>Sous réserve de la clause 5</w:t>
      </w:r>
      <w:r w:rsidR="00984A6F">
        <w:noBreakHyphen/>
      </w:r>
      <w:r w:rsidRPr="00026EC1">
        <w:t>5.15, l</w:t>
      </w:r>
      <w:r w:rsidR="00BC3319" w:rsidRPr="00026EC1">
        <w:t>’</w:t>
      </w:r>
      <w:r w:rsidRPr="00026EC1">
        <w:t>enseignante ou l</w:t>
      </w:r>
      <w:r w:rsidR="00BC3319" w:rsidRPr="00026EC1">
        <w:t>’</w:t>
      </w:r>
      <w:r w:rsidRPr="00026EC1">
        <w:t>enseignant maintient sa participation au régime d</w:t>
      </w:r>
      <w:r w:rsidR="00BC3319" w:rsidRPr="00026EC1">
        <w:t>’</w:t>
      </w:r>
      <w:r w:rsidRPr="00026EC1">
        <w:t>assurance</w:t>
      </w:r>
      <w:r w:rsidR="00984A6F">
        <w:noBreakHyphen/>
      </w:r>
      <w:r w:rsidRPr="00026EC1">
        <w:t>maladie</w:t>
      </w:r>
      <w:r w:rsidR="001771E2">
        <w:t xml:space="preserve"> </w:t>
      </w:r>
      <w:r w:rsidR="001771E2" w:rsidRPr="00316277">
        <w:t>en versant sa quote-part des primes. Le Collège continue de verser sa contribution au régime d’assurance</w:t>
      </w:r>
      <w:r w:rsidR="00D0725F" w:rsidRPr="00316277">
        <w:t>-</w:t>
      </w:r>
      <w:r w:rsidR="001771E2" w:rsidRPr="00316277">
        <w:t>maladie comme si l’enseignante ou l’enseignant ne s’était pas prévalu du programme</w:t>
      </w:r>
      <w:r w:rsidRPr="00316277">
        <w:t>.</w:t>
      </w:r>
    </w:p>
    <w:p w14:paraId="358438F0" w14:textId="77777777" w:rsidR="00C02F7F" w:rsidRDefault="00C02F7F" w:rsidP="007F120F">
      <w:pPr>
        <w:keepNext w:val="0"/>
      </w:pPr>
    </w:p>
    <w:p w14:paraId="1982839A" w14:textId="59EF5067" w:rsidR="003C11D3" w:rsidRPr="00026EC1" w:rsidRDefault="00747056" w:rsidP="007F120F">
      <w:pPr>
        <w:keepNext w:val="0"/>
      </w:pPr>
      <w:r>
        <w:t>L</w:t>
      </w:r>
      <w:r w:rsidR="003C11D3" w:rsidRPr="00026EC1">
        <w:t>e régime de base d</w:t>
      </w:r>
      <w:r w:rsidR="00BC3319" w:rsidRPr="00026EC1">
        <w:t>’</w:t>
      </w:r>
      <w:r w:rsidR="003C11D3" w:rsidRPr="00026EC1">
        <w:t>assurance</w:t>
      </w:r>
      <w:r w:rsidR="00984A6F">
        <w:noBreakHyphen/>
      </w:r>
      <w:r w:rsidR="003C11D3" w:rsidRPr="00026EC1">
        <w:t>vie est celui dont l</w:t>
      </w:r>
      <w:r w:rsidR="00BC3319" w:rsidRPr="00026EC1">
        <w:t>’</w:t>
      </w:r>
      <w:r w:rsidR="003C11D3" w:rsidRPr="00026EC1">
        <w:t>enseignante ou l</w:t>
      </w:r>
      <w:r w:rsidR="00BC3319" w:rsidRPr="00026EC1">
        <w:t>’</w:t>
      </w:r>
      <w:r w:rsidR="003C11D3" w:rsidRPr="00026EC1">
        <w:t>enseignant bénéficiait avant le début du programme.</w:t>
      </w:r>
    </w:p>
    <w:p w14:paraId="3EFF66D0" w14:textId="77777777" w:rsidR="003C11D3" w:rsidRPr="00026EC1" w:rsidRDefault="003C11D3" w:rsidP="007F120F">
      <w:pPr>
        <w:keepNext w:val="0"/>
      </w:pPr>
    </w:p>
    <w:p w14:paraId="6718186B"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Invalidité</w:t>
      </w:r>
    </w:p>
    <w:p w14:paraId="226DBF6D" w14:textId="77777777" w:rsidR="003C11D3" w:rsidRPr="00026EC1" w:rsidRDefault="003C11D3" w:rsidP="007F120F">
      <w:pPr>
        <w:keepNext w:val="0"/>
      </w:pPr>
    </w:p>
    <w:p w14:paraId="67558A6B" w14:textId="77777777" w:rsidR="003C11D3" w:rsidRPr="00026EC1" w:rsidRDefault="003C11D3" w:rsidP="007F120F">
      <w:pPr>
        <w:keepNext w:val="0"/>
      </w:pPr>
      <w:r w:rsidRPr="00026EC1">
        <w:t>Lorsqu</w:t>
      </w:r>
      <w:r w:rsidR="00BC3319" w:rsidRPr="00026EC1">
        <w:t>’</w:t>
      </w:r>
      <w:r w:rsidRPr="00026EC1">
        <w:t>une invalidité survient durant le programme, l</w:t>
      </w:r>
      <w:r w:rsidR="00BC3319" w:rsidRPr="00026EC1">
        <w:t>’</w:t>
      </w:r>
      <w:r w:rsidRPr="00026EC1">
        <w:t>enseignante ou l</w:t>
      </w:r>
      <w:r w:rsidR="00BC3319" w:rsidRPr="00026EC1">
        <w:t>’</w:t>
      </w:r>
      <w:r w:rsidRPr="00026EC1">
        <w:t>enseignant est exonéré de ses cotisations au régime de retraite.</w:t>
      </w:r>
    </w:p>
    <w:p w14:paraId="57AC1232" w14:textId="77777777" w:rsidR="003C11D3" w:rsidRPr="00026EC1" w:rsidRDefault="003C11D3" w:rsidP="007F120F">
      <w:pPr>
        <w:keepNext w:val="0"/>
      </w:pPr>
    </w:p>
    <w:p w14:paraId="7F42F482" w14:textId="6AC6B409" w:rsidR="003C11D3" w:rsidRPr="00026EC1" w:rsidRDefault="003C11D3" w:rsidP="007F120F">
      <w:pPr>
        <w:keepNext w:val="0"/>
      </w:pPr>
      <w:r w:rsidRPr="00026EC1">
        <w:t>Pendant une période d</w:t>
      </w:r>
      <w:r w:rsidR="00BC3319" w:rsidRPr="00026EC1">
        <w:t>’</w:t>
      </w:r>
      <w:r w:rsidRPr="00026EC1">
        <w:t>invalidité, l</w:t>
      </w:r>
      <w:r w:rsidR="00BC3319" w:rsidRPr="00026EC1">
        <w:t>’</w:t>
      </w:r>
      <w:r w:rsidRPr="00026EC1">
        <w:t>enseignante ou l</w:t>
      </w:r>
      <w:r w:rsidR="00BC3319" w:rsidRPr="00026EC1">
        <w:t>’</w:t>
      </w:r>
      <w:r w:rsidRPr="00026EC1">
        <w:t>enseignant reçoit une prestation d</w:t>
      </w:r>
      <w:r w:rsidR="00BC3319" w:rsidRPr="00026EC1">
        <w:t>’</w:t>
      </w:r>
      <w:r w:rsidRPr="00026EC1">
        <w:t>assurance</w:t>
      </w:r>
      <w:r w:rsidR="00984A6F">
        <w:noBreakHyphen/>
      </w:r>
      <w:r w:rsidRPr="00026EC1">
        <w:t>traitement calculée sur la base du salaire établi au premier</w:t>
      </w:r>
      <w:r w:rsidR="00D14291">
        <w:t> </w:t>
      </w:r>
      <w:r w:rsidRPr="00026EC1">
        <w:t>(1</w:t>
      </w:r>
      <w:r w:rsidRPr="00026EC1">
        <w:rPr>
          <w:vertAlign w:val="superscript"/>
        </w:rPr>
        <w:t>er</w:t>
      </w:r>
      <w:r w:rsidRPr="00026EC1">
        <w:t>) paragraphe de la présente clause sans dépasser la date de la prise effective de la retraite.</w:t>
      </w:r>
    </w:p>
    <w:p w14:paraId="46AB1217" w14:textId="77777777" w:rsidR="003C11D3" w:rsidRPr="00026EC1" w:rsidRDefault="003C11D3" w:rsidP="007F120F">
      <w:pPr>
        <w:keepNext w:val="0"/>
      </w:pPr>
    </w:p>
    <w:p w14:paraId="2BE1E7BB" w14:textId="77777777" w:rsidR="003C11D3" w:rsidRPr="00026EC1" w:rsidRDefault="00275751" w:rsidP="007F120F">
      <w:pPr>
        <w:keepNext w:val="0"/>
        <w:tabs>
          <w:tab w:val="left" w:pos="567"/>
        </w:tabs>
        <w:ind w:left="567" w:hanging="567"/>
      </w:pPr>
      <w:r w:rsidRPr="00026EC1">
        <w:rPr>
          <w:rFonts w:ascii="Symbol" w:hAnsi="Symbol"/>
        </w:rPr>
        <w:t></w:t>
      </w:r>
      <w:r w:rsidRPr="00026EC1">
        <w:rPr>
          <w:rFonts w:ascii="Symbol" w:hAnsi="Symbol"/>
        </w:rPr>
        <w:tab/>
      </w:r>
      <w:r w:rsidR="003C11D3" w:rsidRPr="00B15522">
        <w:t>Mise en disponibilité</w:t>
      </w:r>
    </w:p>
    <w:p w14:paraId="1483AF94" w14:textId="77777777" w:rsidR="003C11D3" w:rsidRPr="00026EC1" w:rsidRDefault="003C11D3" w:rsidP="007F120F">
      <w:pPr>
        <w:keepNext w:val="0"/>
      </w:pPr>
    </w:p>
    <w:p w14:paraId="1AF36E8D" w14:textId="43B26DDB" w:rsidR="003C11D3" w:rsidRPr="00026EC1" w:rsidRDefault="003C11D3" w:rsidP="007F120F">
      <w:pPr>
        <w:keepNext w:val="0"/>
      </w:pPr>
      <w:r w:rsidRPr="00026EC1">
        <w:t>Lorsque l</w:t>
      </w:r>
      <w:r w:rsidR="00BC3319" w:rsidRPr="00026EC1">
        <w:t>’</w:t>
      </w:r>
      <w:r w:rsidRPr="00026EC1">
        <w:t>enseignante ou l</w:t>
      </w:r>
      <w:r w:rsidR="00BC3319" w:rsidRPr="00026EC1">
        <w:t>’</w:t>
      </w:r>
      <w:r w:rsidRPr="00026EC1">
        <w:t>enseignant est mis en disponibilité, elle ou il continue à bénéficier du programme de retraite progressive. Tant qu</w:t>
      </w:r>
      <w:r w:rsidR="00BC3319" w:rsidRPr="00026EC1">
        <w:t>’</w:t>
      </w:r>
      <w:r w:rsidRPr="00026EC1">
        <w:t>elle ou il n</w:t>
      </w:r>
      <w:r w:rsidR="00BC3319" w:rsidRPr="00026EC1">
        <w:t>’</w:t>
      </w:r>
      <w:r w:rsidRPr="00026EC1">
        <w:t>est pas replacé dans un poste disponible, l</w:t>
      </w:r>
      <w:r w:rsidR="00BC3319" w:rsidRPr="00026EC1">
        <w:t>’</w:t>
      </w:r>
      <w:r w:rsidRPr="00026EC1">
        <w:t>enseignante ou l</w:t>
      </w:r>
      <w:r w:rsidR="00BC3319" w:rsidRPr="00026EC1">
        <w:t>’</w:t>
      </w:r>
      <w:r w:rsidRPr="00026EC1">
        <w:t>enseignant reçoit le salaire prévu au premier</w:t>
      </w:r>
      <w:r w:rsidR="00DF791E">
        <w:t> </w:t>
      </w:r>
      <w:r w:rsidRPr="00026EC1">
        <w:t>(1</w:t>
      </w:r>
      <w:r w:rsidRPr="00026EC1">
        <w:rPr>
          <w:vertAlign w:val="superscript"/>
        </w:rPr>
        <w:t>er</w:t>
      </w:r>
      <w:r w:rsidRPr="00026EC1">
        <w:t>) paragraphe de la présente clause.</w:t>
      </w:r>
    </w:p>
    <w:p w14:paraId="07E4CA07" w14:textId="77777777" w:rsidR="003C11D3" w:rsidRPr="00026EC1" w:rsidRDefault="003C11D3" w:rsidP="007F120F">
      <w:pPr>
        <w:keepNext w:val="0"/>
      </w:pPr>
    </w:p>
    <w:p w14:paraId="6F2727DC" w14:textId="77777777" w:rsidR="003C11D3" w:rsidRPr="00026EC1" w:rsidRDefault="003C11D3" w:rsidP="007F120F">
      <w:pPr>
        <w:keepNext w:val="0"/>
      </w:pPr>
      <w:r w:rsidRPr="00026EC1">
        <w:t>Les cotisations de l</w:t>
      </w:r>
      <w:r w:rsidR="00BC3319" w:rsidRPr="00026EC1">
        <w:t>’</w:t>
      </w:r>
      <w:r w:rsidRPr="00026EC1">
        <w:t>enseignante ou de l</w:t>
      </w:r>
      <w:r w:rsidR="00BC3319" w:rsidRPr="00026EC1">
        <w:t>’</w:t>
      </w:r>
      <w:r w:rsidRPr="00026EC1">
        <w:t>enseignant à son régime de retraite sont celles prévues à la loi pour la personne mise en disponibilité.</w:t>
      </w:r>
    </w:p>
    <w:p w14:paraId="4C312167" w14:textId="212E08A4" w:rsidR="003C11D3" w:rsidRDefault="003C11D3" w:rsidP="007F120F">
      <w:pPr>
        <w:keepNext w:val="0"/>
      </w:pPr>
    </w:p>
    <w:p w14:paraId="03778382" w14:textId="77777777" w:rsidR="003317A5" w:rsidRPr="00316277" w:rsidRDefault="003317A5" w:rsidP="000D6B69">
      <w:pPr>
        <w:pStyle w:val="Textesous-titre23et4"/>
        <w:spacing w:after="0" w:line="240" w:lineRule="auto"/>
        <w:ind w:left="0"/>
        <w:rPr>
          <w:b/>
          <w:sz w:val="24"/>
          <w:szCs w:val="24"/>
        </w:rPr>
      </w:pPr>
      <w:r w:rsidRPr="00316277">
        <w:rPr>
          <w:b/>
          <w:sz w:val="24"/>
          <w:szCs w:val="24"/>
        </w:rPr>
        <w:t xml:space="preserve">1.07 </w:t>
      </w:r>
      <w:r w:rsidRPr="00316277">
        <w:rPr>
          <w:b/>
          <w:sz w:val="24"/>
          <w:szCs w:val="24"/>
          <w:u w:val="single"/>
        </w:rPr>
        <w:t xml:space="preserve">Prolongation de l’entente </w:t>
      </w:r>
    </w:p>
    <w:p w14:paraId="646F4A96" w14:textId="22E6C21D" w:rsidR="000D6B69" w:rsidRPr="00316277" w:rsidRDefault="000D6B69" w:rsidP="000D6B69">
      <w:pPr>
        <w:pStyle w:val="pf0"/>
        <w:spacing w:before="0" w:beforeAutospacing="0" w:after="0" w:afterAutospacing="0"/>
        <w:jc w:val="both"/>
        <w:rPr>
          <w:rStyle w:val="ui-provider"/>
          <w:rFonts w:ascii="Arial" w:hAnsi="Arial" w:cs="Arial"/>
        </w:rPr>
      </w:pPr>
      <w:r w:rsidRPr="00316277">
        <w:rPr>
          <w:rStyle w:val="ui-provider"/>
          <w:rFonts w:ascii="Arial" w:hAnsi="Arial" w:cs="Arial"/>
        </w:rPr>
        <w:t>À compter de la date de la présentation du projet de loi à l’Assemblée nationale qui met en œuvre les modifications prévues à la lettre d’intention de l’Annexe V-11, ou au plus tard le 30 juin 2024, les dispositions suivantes s’appliquent</w:t>
      </w:r>
      <w:r w:rsidR="00747056" w:rsidRPr="00316277">
        <w:rPr>
          <w:rStyle w:val="ui-provider"/>
          <w:rFonts w:ascii="Arial" w:hAnsi="Arial" w:cs="Arial"/>
        </w:rPr>
        <w:t>.</w:t>
      </w:r>
    </w:p>
    <w:p w14:paraId="58A65121" w14:textId="77777777" w:rsidR="000D6B69" w:rsidRPr="00316277" w:rsidRDefault="000D6B69" w:rsidP="000D6B69">
      <w:pPr>
        <w:pStyle w:val="pf0"/>
        <w:spacing w:before="0" w:beforeAutospacing="0" w:after="0" w:afterAutospacing="0"/>
        <w:jc w:val="both"/>
        <w:rPr>
          <w:rFonts w:ascii="Arial" w:hAnsi="Arial" w:cs="Arial"/>
        </w:rPr>
      </w:pPr>
    </w:p>
    <w:p w14:paraId="6F478FE7" w14:textId="7F993745" w:rsidR="003317A5" w:rsidRPr="00316277" w:rsidRDefault="003317A5" w:rsidP="000D6B69">
      <w:pPr>
        <w:pStyle w:val="pf0"/>
        <w:spacing w:before="0" w:beforeAutospacing="0" w:after="0" w:afterAutospacing="0"/>
        <w:jc w:val="both"/>
        <w:rPr>
          <w:rFonts w:ascii="Arial" w:hAnsi="Arial" w:cs="Arial"/>
        </w:rPr>
      </w:pPr>
      <w:r w:rsidRPr="00316277">
        <w:rPr>
          <w:rFonts w:ascii="Arial" w:hAnsi="Arial" w:cs="Arial"/>
        </w:rPr>
        <w:t>L’enseignante ou l’enseignant peut convenir par écrit avec le Collège, plus de six (6) mois avant la fin de l’entente de retraite progressive, de prolonger cette entente. Toute prolongation doit être d'au minimum de douze (12) mois et d'au maximum soixante (60) mois.</w:t>
      </w:r>
    </w:p>
    <w:p w14:paraId="27688CED" w14:textId="09B1A87B" w:rsidR="003317A5" w:rsidRPr="00316277" w:rsidRDefault="003317A5" w:rsidP="003317A5">
      <w:pPr>
        <w:pStyle w:val="pf0"/>
        <w:spacing w:before="120" w:beforeAutospacing="0" w:after="120" w:afterAutospacing="0"/>
        <w:jc w:val="both"/>
        <w:rPr>
          <w:rFonts w:ascii="Arial" w:hAnsi="Arial" w:cs="Arial"/>
        </w:rPr>
      </w:pPr>
      <w:r w:rsidRPr="00316277">
        <w:rPr>
          <w:rFonts w:ascii="Arial" w:hAnsi="Arial" w:cs="Arial"/>
        </w:rPr>
        <w:t>Il est possible pour l’enseignante ou l’enseignant de prolonger l’entente plus d’une fois, mais elle ou il doit en convenir avec le Collège à chaque fois, par écrit et plus de 6 mois avant la fin de la prolongation</w:t>
      </w:r>
      <w:r w:rsidR="00747056" w:rsidRPr="00316277">
        <w:rPr>
          <w:rFonts w:ascii="Arial" w:hAnsi="Arial" w:cs="Arial"/>
        </w:rPr>
        <w:t>.</w:t>
      </w:r>
    </w:p>
    <w:p w14:paraId="70F32B40" w14:textId="4585B60F" w:rsidR="003317A5" w:rsidRPr="00316277" w:rsidRDefault="003317A5" w:rsidP="003317A5">
      <w:pPr>
        <w:pStyle w:val="pf0"/>
        <w:spacing w:before="120" w:beforeAutospacing="0" w:after="120" w:afterAutospacing="0"/>
        <w:jc w:val="both"/>
        <w:rPr>
          <w:rFonts w:ascii="Arial" w:hAnsi="Arial" w:cs="Arial"/>
        </w:rPr>
      </w:pPr>
      <w:r w:rsidRPr="00316277">
        <w:rPr>
          <w:rFonts w:ascii="Arial" w:hAnsi="Arial" w:cs="Arial"/>
        </w:rPr>
        <w:t>Malgré toute prolongation, la durée totale de l'entente ne peut pas excéder sept (7) années.</w:t>
      </w:r>
    </w:p>
    <w:p w14:paraId="3BCF1735" w14:textId="08F22C32" w:rsidR="003317A5" w:rsidRPr="00316277" w:rsidRDefault="003317A5" w:rsidP="003317A5">
      <w:pPr>
        <w:pStyle w:val="pf0"/>
        <w:spacing w:before="120" w:beforeAutospacing="0" w:after="120" w:afterAutospacing="0"/>
        <w:jc w:val="both"/>
        <w:rPr>
          <w:rFonts w:ascii="Arial" w:hAnsi="Arial" w:cs="Arial"/>
        </w:rPr>
      </w:pPr>
      <w:r w:rsidRPr="00316277">
        <w:rPr>
          <w:rFonts w:ascii="Arial" w:hAnsi="Arial" w:cs="Arial"/>
        </w:rPr>
        <w:t xml:space="preserve">Dans le cas d’une entente de retraite progressive dont l’échéance est prévue à la date d’entrée en vigueur de la présente modification et dans les </w:t>
      </w:r>
      <w:r w:rsidRPr="00316277">
        <w:rPr>
          <w:rStyle w:val="cf01"/>
          <w:rFonts w:ascii="Arial" w:hAnsi="Arial" w:cs="Arial"/>
          <w:sz w:val="24"/>
          <w:szCs w:val="24"/>
        </w:rPr>
        <w:t>neuf (9) mois qui suivent cette date</w:t>
      </w:r>
      <w:r w:rsidRPr="00316277">
        <w:rPr>
          <w:rFonts w:ascii="Arial" w:hAnsi="Arial" w:cs="Arial"/>
        </w:rPr>
        <w:t>, l’enseignante ou l’enseignant qui désire se prévaloir d’une prolongation n’est soumis à aucun délai pour convenir de la prolongation de l’entente avec le Collège.</w:t>
      </w:r>
    </w:p>
    <w:p w14:paraId="7E0E3E43" w14:textId="77777777" w:rsidR="003317A5" w:rsidRPr="00026EC1" w:rsidRDefault="003317A5" w:rsidP="007F120F">
      <w:pPr>
        <w:keepNext w:val="0"/>
      </w:pPr>
    </w:p>
    <w:p w14:paraId="13DB3746" w14:textId="2EA78D1A" w:rsidR="003C11D3" w:rsidRPr="00B15522" w:rsidRDefault="001771E2" w:rsidP="00CB43B2">
      <w:pPr>
        <w:pStyle w:val="NUMRODECLAUSE"/>
        <w:keepNext w:val="0"/>
        <w:tabs>
          <w:tab w:val="clear" w:pos="868"/>
          <w:tab w:val="clear" w:pos="4500"/>
        </w:tabs>
      </w:pPr>
      <w:r w:rsidRPr="00316277">
        <w:t>1.08</w:t>
      </w:r>
      <w:r w:rsidR="003317A5">
        <w:t xml:space="preserve"> </w:t>
      </w:r>
      <w:r w:rsidR="003C11D3" w:rsidRPr="00B15522">
        <w:t>Cessation de l</w:t>
      </w:r>
      <w:r w:rsidR="00BC3319" w:rsidRPr="00B15522">
        <w:t>’</w:t>
      </w:r>
      <w:r w:rsidR="003C11D3" w:rsidRPr="00B15522">
        <w:t>entente</w:t>
      </w:r>
    </w:p>
    <w:p w14:paraId="7D5A6B7F" w14:textId="77777777" w:rsidR="00E22008" w:rsidRPr="00026EC1" w:rsidRDefault="00E22008" w:rsidP="00E22008">
      <w:pPr>
        <w:pStyle w:val="NUMRODECLAUSE"/>
        <w:keepNext w:val="0"/>
        <w:ind w:left="1437" w:firstLine="0"/>
      </w:pPr>
    </w:p>
    <w:p w14:paraId="5BE43D83" w14:textId="77777777" w:rsidR="003C11D3" w:rsidRPr="00026EC1" w:rsidRDefault="003C11D3" w:rsidP="007F120F">
      <w:pPr>
        <w:keepNext w:val="0"/>
      </w:pPr>
      <w:r w:rsidRPr="00026EC1">
        <w:t>Advenant la retraite, la démission, le congédiement ou le décès de l</w:t>
      </w:r>
      <w:r w:rsidR="00BC3319" w:rsidRPr="00026EC1">
        <w:t>’</w:t>
      </w:r>
      <w:r w:rsidRPr="00026EC1">
        <w:t>enseignante ou de l</w:t>
      </w:r>
      <w:r w:rsidR="00BC3319" w:rsidRPr="00026EC1">
        <w:t>’</w:t>
      </w:r>
      <w:r w:rsidRPr="00026EC1">
        <w:t>enseignant, le programme prend fin à la date de l</w:t>
      </w:r>
      <w:r w:rsidR="00BC3319" w:rsidRPr="00026EC1">
        <w:t>’</w:t>
      </w:r>
      <w:r w:rsidRPr="00026EC1">
        <w:t>événement.</w:t>
      </w:r>
    </w:p>
    <w:p w14:paraId="5E18B68F" w14:textId="77777777" w:rsidR="003C11D3" w:rsidRPr="00026EC1" w:rsidRDefault="003C11D3" w:rsidP="007F120F">
      <w:pPr>
        <w:keepNext w:val="0"/>
      </w:pPr>
    </w:p>
    <w:p w14:paraId="75208255" w14:textId="77777777" w:rsidR="003C11D3" w:rsidRPr="00026EC1" w:rsidRDefault="003C11D3" w:rsidP="007F120F">
      <w:pPr>
        <w:keepNext w:val="0"/>
      </w:pPr>
      <w:r w:rsidRPr="00026EC1">
        <w:t>De même, le programme prend fin à la date du replacement d</w:t>
      </w:r>
      <w:r w:rsidR="00BC3319" w:rsidRPr="00026EC1">
        <w:t>’</w:t>
      </w:r>
      <w:r w:rsidRPr="00026EC1">
        <w:t>une enseignante ou d</w:t>
      </w:r>
      <w:r w:rsidR="00BC3319" w:rsidRPr="00026EC1">
        <w:t>’</w:t>
      </w:r>
      <w:r w:rsidRPr="00026EC1">
        <w:t>un enseignant mis en disponibilité. Toutefois, le programme peut être transféré aux mêmes conditions chez son nouvel employeur si ce dernier y consent.</w:t>
      </w:r>
    </w:p>
    <w:p w14:paraId="7B34F6C7" w14:textId="77777777" w:rsidR="003C11D3" w:rsidRPr="00026EC1" w:rsidRDefault="003C11D3" w:rsidP="007F120F">
      <w:pPr>
        <w:keepNext w:val="0"/>
      </w:pPr>
    </w:p>
    <w:p w14:paraId="39EC32E5" w14:textId="6200D7F4" w:rsidR="00BC7F2E" w:rsidRDefault="003C11D3" w:rsidP="007F120F">
      <w:pPr>
        <w:keepNext w:val="0"/>
      </w:pPr>
      <w:r w:rsidRPr="00026EC1">
        <w:t>Dans ces cas, le service crédité aux fins du régime de retraite pendant le programme est maintenu; le cas échéant, les cotisations au régime de retraite non versées, accumulées avec intérêts, demeurent au dossier de l</w:t>
      </w:r>
      <w:r w:rsidR="00BC3319" w:rsidRPr="00026EC1">
        <w:t>’</w:t>
      </w:r>
      <w:r w:rsidRPr="00026EC1">
        <w:t>enseignante ou de l</w:t>
      </w:r>
      <w:r w:rsidR="00BC3319" w:rsidRPr="00026EC1">
        <w:t>’</w:t>
      </w:r>
      <w:r w:rsidRPr="00026EC1">
        <w:t>enseignant. Il en est de même lorsque l</w:t>
      </w:r>
      <w:r w:rsidR="00BC3319" w:rsidRPr="00026EC1">
        <w:t>’</w:t>
      </w:r>
      <w:r w:rsidRPr="00026EC1">
        <w:t>enseignante ou l</w:t>
      </w:r>
      <w:r w:rsidR="00BC3319" w:rsidRPr="00026EC1">
        <w:t>’</w:t>
      </w:r>
      <w:r w:rsidRPr="00026EC1">
        <w:t>enseignant et le Collège décident conjointement de mettre fin au programme ou lorsque l</w:t>
      </w:r>
      <w:r w:rsidR="00BC3319" w:rsidRPr="00026EC1">
        <w:t>’</w:t>
      </w:r>
      <w:r w:rsidRPr="00026EC1">
        <w:t>enseignante ou l</w:t>
      </w:r>
      <w:r w:rsidR="00BC3319" w:rsidRPr="00026EC1">
        <w:t>’</w:t>
      </w:r>
      <w:r w:rsidRPr="00026EC1">
        <w:t>enseignant cesse de participer au programme plus d</w:t>
      </w:r>
      <w:r w:rsidR="00BC3319" w:rsidRPr="00026EC1">
        <w:t>’</w:t>
      </w:r>
      <w:r w:rsidRPr="00026EC1">
        <w:t>un</w:t>
      </w:r>
      <w:r w:rsidR="00DF791E">
        <w:t> </w:t>
      </w:r>
      <w:r w:rsidRPr="00026EC1">
        <w:t>(1) an après la date fixée pour le début du programme; dans ce dernier cas, la date de cessation de participation au programme coïncide avec celle de la fin d</w:t>
      </w:r>
      <w:r w:rsidR="00BC3319" w:rsidRPr="00026EC1">
        <w:t>’</w:t>
      </w:r>
      <w:r w:rsidRPr="00026EC1">
        <w:t>une session.</w:t>
      </w:r>
    </w:p>
    <w:p w14:paraId="55698D92" w14:textId="5719CED1" w:rsidR="00BC7F2E" w:rsidRDefault="00BC7F2E">
      <w:pPr>
        <w:keepNext w:val="0"/>
        <w:suppressAutoHyphens w:val="0"/>
        <w:jc w:val="left"/>
      </w:pPr>
    </w:p>
    <w:p w14:paraId="22A57FF6" w14:textId="352FAFA9" w:rsidR="003C11D3" w:rsidRPr="00026EC1" w:rsidRDefault="00B00F11" w:rsidP="007F120F">
      <w:pPr>
        <w:pStyle w:val="NUMRODECLAUSE"/>
        <w:keepNext w:val="0"/>
      </w:pPr>
      <w:r w:rsidRPr="00316277">
        <w:t>1.09</w:t>
      </w:r>
    </w:p>
    <w:p w14:paraId="10626296" w14:textId="77777777" w:rsidR="00CB43B2" w:rsidRDefault="003C11D3" w:rsidP="007F120F">
      <w:pPr>
        <w:keepNext w:val="0"/>
        <w:sectPr w:rsidR="00CB43B2" w:rsidSect="002B176A">
          <w:headerReference w:type="default" r:id="rId51"/>
          <w:footnotePr>
            <w:numRestart w:val="eachPage"/>
          </w:footnotePr>
          <w:pgSz w:w="12240" w:h="15840" w:code="1"/>
          <w:pgMar w:top="720" w:right="1077" w:bottom="1242" w:left="1684" w:header="709" w:footer="709" w:gutter="0"/>
          <w:cols w:space="708"/>
          <w:docGrid w:linePitch="360"/>
        </w:sectPr>
      </w:pPr>
      <w:r w:rsidRPr="00026EC1">
        <w:t>Sous réserve des stipulations de la présente entente, l</w:t>
      </w:r>
      <w:r w:rsidR="00BC3319" w:rsidRPr="00026EC1">
        <w:t>’</w:t>
      </w:r>
      <w:r w:rsidRPr="00026EC1">
        <w:t>enseignante ou l</w:t>
      </w:r>
      <w:r w:rsidR="00BC3319" w:rsidRPr="00026EC1">
        <w:t>’</w:t>
      </w:r>
      <w:r w:rsidRPr="00026EC1">
        <w:t>enseignant qui se prévaut du programme de retraite progressive est régi par les dispositions de la convention collective qui s</w:t>
      </w:r>
      <w:r w:rsidR="00BC3319" w:rsidRPr="00026EC1">
        <w:t>’</w:t>
      </w:r>
      <w:r w:rsidRPr="00026EC1">
        <w:t>appliquent à l</w:t>
      </w:r>
      <w:r w:rsidR="00BC3319" w:rsidRPr="00026EC1">
        <w:t>’</w:t>
      </w:r>
      <w:r w:rsidRPr="00026EC1">
        <w:t>enseignante ou l</w:t>
      </w:r>
      <w:r w:rsidR="00BC3319" w:rsidRPr="00026EC1">
        <w:t>’</w:t>
      </w:r>
      <w:r w:rsidRPr="00026EC1">
        <w:t>enseignant à temps partiel.</w:t>
      </w:r>
    </w:p>
    <w:p w14:paraId="2C5F07B0" w14:textId="0172B7EC" w:rsidR="00404F34" w:rsidRPr="00026EC1" w:rsidRDefault="005100DE" w:rsidP="007F120F">
      <w:pPr>
        <w:pStyle w:val="Heading3"/>
        <w:keepNext w:val="0"/>
      </w:pPr>
      <w:bookmarkStart w:id="1467" w:name="_Toc535046710"/>
      <w:bookmarkStart w:id="1468" w:name="_Toc133760891"/>
      <w:bookmarkStart w:id="1469" w:name="_Toc133917039"/>
      <w:bookmarkStart w:id="1470" w:name="_Toc134437311"/>
      <w:bookmarkStart w:id="1471" w:name="_Toc393449482"/>
      <w:bookmarkStart w:id="1472" w:name="_Toc462751608"/>
      <w:bookmarkStart w:id="1473" w:name="_Toc484082627"/>
      <w:bookmarkStart w:id="1474" w:name="_Toc168479614"/>
      <w:r w:rsidRPr="00026EC1">
        <w:t>A</w:t>
      </w:r>
      <w:r w:rsidR="000535F1" w:rsidRPr="00026EC1">
        <w:t>nnexe V</w:t>
      </w:r>
      <w:bookmarkEnd w:id="1467"/>
      <w:bookmarkEnd w:id="1468"/>
      <w:bookmarkEnd w:id="1469"/>
      <w:bookmarkEnd w:id="1470"/>
      <w:r w:rsidR="0017646C">
        <w:t>-</w:t>
      </w:r>
      <w:r w:rsidR="00291496" w:rsidRPr="00821BC2">
        <w:t>2</w:t>
      </w:r>
      <w:r w:rsidRPr="00026EC1">
        <w:br/>
      </w:r>
      <w:r w:rsidRPr="00026EC1">
        <w:br/>
      </w:r>
      <w:bookmarkStart w:id="1475" w:name="_Toc535046711"/>
      <w:bookmarkStart w:id="1476" w:name="_Toc133760892"/>
      <w:r w:rsidRPr="002E3B8E">
        <w:t>Calcul des heures de travail reconnues aux fins d</w:t>
      </w:r>
      <w:r w:rsidR="00482A3D" w:rsidRPr="002E3B8E">
        <w:t xml:space="preserve">e l’admissibilité à l’assurance </w:t>
      </w:r>
      <w:r w:rsidRPr="002E3B8E">
        <w:t>emp</w:t>
      </w:r>
      <w:bookmarkEnd w:id="1475"/>
      <w:r w:rsidRPr="002E3B8E">
        <w:t>loi</w:t>
      </w:r>
      <w:bookmarkEnd w:id="1471"/>
      <w:bookmarkEnd w:id="1472"/>
      <w:bookmarkEnd w:id="1473"/>
      <w:bookmarkEnd w:id="1476"/>
      <w:bookmarkEnd w:id="1474"/>
    </w:p>
    <w:p w14:paraId="704E486A" w14:textId="1335955A" w:rsidR="00404F34" w:rsidRPr="00026EC1" w:rsidRDefault="00404F34" w:rsidP="007F120F">
      <w:pPr>
        <w:keepNext w:val="0"/>
      </w:pPr>
      <w:r w:rsidRPr="00026EC1">
        <w:t>En application de l</w:t>
      </w:r>
      <w:r w:rsidR="00BC3319" w:rsidRPr="00026EC1">
        <w:t>’</w:t>
      </w:r>
      <w:r w:rsidRPr="00026EC1">
        <w:t xml:space="preserve">article 10 (2) du </w:t>
      </w:r>
      <w:r w:rsidRPr="00026EC1">
        <w:rPr>
          <w:i/>
          <w:iCs/>
        </w:rPr>
        <w:t>Règlement sur l</w:t>
      </w:r>
      <w:r w:rsidR="00BC3319" w:rsidRPr="00026EC1">
        <w:rPr>
          <w:i/>
          <w:iCs/>
        </w:rPr>
        <w:t>’</w:t>
      </w:r>
      <w:r w:rsidRPr="00026EC1">
        <w:rPr>
          <w:i/>
          <w:iCs/>
        </w:rPr>
        <w:t>assurance</w:t>
      </w:r>
      <w:r w:rsidR="00984A6F">
        <w:rPr>
          <w:i/>
          <w:iCs/>
        </w:rPr>
        <w:noBreakHyphen/>
      </w:r>
      <w:r w:rsidRPr="00026EC1">
        <w:rPr>
          <w:i/>
          <w:iCs/>
        </w:rPr>
        <w:t>emploi</w:t>
      </w:r>
      <w:r w:rsidRPr="00026EC1">
        <w:t>, les parties nationales conviennent que</w:t>
      </w:r>
      <w:r w:rsidR="00D8581B">
        <w:t> :</w:t>
      </w:r>
    </w:p>
    <w:p w14:paraId="6BE5726A" w14:textId="77777777" w:rsidR="00404F34" w:rsidRPr="00026EC1" w:rsidRDefault="00404F34" w:rsidP="007F120F">
      <w:pPr>
        <w:keepNext w:val="0"/>
      </w:pPr>
    </w:p>
    <w:p w14:paraId="5C63407F" w14:textId="75483175" w:rsidR="00404F34" w:rsidRPr="00026EC1" w:rsidRDefault="00275751" w:rsidP="007F120F">
      <w:pPr>
        <w:keepNext w:val="0"/>
        <w:tabs>
          <w:tab w:val="left" w:pos="567"/>
        </w:tabs>
        <w:ind w:left="567" w:hanging="567"/>
      </w:pPr>
      <w:r w:rsidRPr="00026EC1">
        <w:t>1.</w:t>
      </w:r>
      <w:r w:rsidRPr="00026EC1">
        <w:tab/>
      </w:r>
      <w:r w:rsidR="00404F34" w:rsidRPr="00026EC1">
        <w:t>Aux fins exclusives de l</w:t>
      </w:r>
      <w:r w:rsidR="00BC3319" w:rsidRPr="00026EC1">
        <w:t>’</w:t>
      </w:r>
      <w:r w:rsidR="00404F34" w:rsidRPr="00026EC1">
        <w:t>assurance</w:t>
      </w:r>
      <w:r w:rsidR="00984A6F">
        <w:noBreakHyphen/>
      </w:r>
      <w:r w:rsidR="00404F34" w:rsidRPr="00026EC1">
        <w:t>emploi, l</w:t>
      </w:r>
      <w:r w:rsidR="00BC3319" w:rsidRPr="00026EC1">
        <w:t>’</w:t>
      </w:r>
      <w:r w:rsidR="00404F34" w:rsidRPr="00026EC1">
        <w:t>enseignante ou l</w:t>
      </w:r>
      <w:r w:rsidR="00BC3319" w:rsidRPr="00026EC1">
        <w:t>’</w:t>
      </w:r>
      <w:r w:rsidR="00404F34" w:rsidRPr="00026EC1">
        <w:t>enseignant à temps complet pour une année est réputé accomplir trente</w:t>
      </w:r>
      <w:r w:rsidR="00984A6F">
        <w:noBreakHyphen/>
      </w:r>
      <w:r w:rsidR="00404F34" w:rsidRPr="00026EC1">
        <w:t>sept</w:t>
      </w:r>
      <w:r w:rsidR="00DF791E">
        <w:t> </w:t>
      </w:r>
      <w:r w:rsidR="00404F34" w:rsidRPr="00026EC1">
        <w:t>(37) heures de travail par semaine.</w:t>
      </w:r>
    </w:p>
    <w:p w14:paraId="4262B998" w14:textId="77777777" w:rsidR="00404F34" w:rsidRPr="00026EC1" w:rsidRDefault="00404F34" w:rsidP="007F120F">
      <w:pPr>
        <w:keepNext w:val="0"/>
      </w:pPr>
    </w:p>
    <w:p w14:paraId="6076DA1A" w14:textId="6C2E6AD0" w:rsidR="00404F34" w:rsidRPr="00026EC1" w:rsidRDefault="00275751" w:rsidP="007F120F">
      <w:pPr>
        <w:keepNext w:val="0"/>
        <w:tabs>
          <w:tab w:val="left" w:pos="567"/>
        </w:tabs>
        <w:ind w:left="567" w:hanging="567"/>
      </w:pPr>
      <w:r w:rsidRPr="00026EC1">
        <w:t>2.</w:t>
      </w:r>
      <w:r w:rsidRPr="00026EC1">
        <w:tab/>
      </w:r>
      <w:r w:rsidR="00404F34" w:rsidRPr="00026EC1">
        <w:t>Aux fins exclusives de l</w:t>
      </w:r>
      <w:r w:rsidR="00BC3319" w:rsidRPr="00026EC1">
        <w:t>’</w:t>
      </w:r>
      <w:r w:rsidR="00404F34" w:rsidRPr="00026EC1">
        <w:t>assurance</w:t>
      </w:r>
      <w:r w:rsidR="00984A6F">
        <w:noBreakHyphen/>
      </w:r>
      <w:r w:rsidR="00404F34" w:rsidRPr="00026EC1">
        <w:t>emploi, l</w:t>
      </w:r>
      <w:r w:rsidR="00BC3319" w:rsidRPr="00026EC1">
        <w:t>’</w:t>
      </w:r>
      <w:r w:rsidR="00404F34" w:rsidRPr="00026EC1">
        <w:t>enseignante ou l</w:t>
      </w:r>
      <w:r w:rsidR="00BC3319" w:rsidRPr="00026EC1">
        <w:t>’</w:t>
      </w:r>
      <w:r w:rsidR="00404F34" w:rsidRPr="00026EC1">
        <w:t>enseignant à temps partiel est réputé accomplir le nombre d</w:t>
      </w:r>
      <w:r w:rsidR="00BC3319" w:rsidRPr="00026EC1">
        <w:t>’</w:t>
      </w:r>
      <w:r w:rsidR="00404F34" w:rsidRPr="00026EC1">
        <w:t>heures de travail obtenu par l</w:t>
      </w:r>
      <w:r w:rsidR="00BC3319" w:rsidRPr="00026EC1">
        <w:t>’</w:t>
      </w:r>
      <w:r w:rsidR="00404F34" w:rsidRPr="00026EC1">
        <w:t>application de l</w:t>
      </w:r>
      <w:r w:rsidR="00BC3319" w:rsidRPr="00026EC1">
        <w:t>’</w:t>
      </w:r>
      <w:r w:rsidR="00404F34" w:rsidRPr="00026EC1">
        <w:t>alinéa 1 au prorata de son équivalent temps complet.</w:t>
      </w:r>
    </w:p>
    <w:p w14:paraId="4A9A0823" w14:textId="77777777" w:rsidR="00404F34" w:rsidRPr="00026EC1" w:rsidRDefault="00404F34" w:rsidP="007F120F">
      <w:pPr>
        <w:keepNext w:val="0"/>
      </w:pPr>
    </w:p>
    <w:p w14:paraId="64310CD7" w14:textId="77777777" w:rsidR="00404F34" w:rsidRPr="00026EC1" w:rsidRDefault="00404F34" w:rsidP="007F120F">
      <w:pPr>
        <w:pStyle w:val="Texte1cm"/>
        <w:keepNext w:val="0"/>
      </w:pPr>
      <w:r w:rsidRPr="00026EC1">
        <w:t>Toutefois, pour une enseignante ou un enseignant donné, si le résultat de l</w:t>
      </w:r>
      <w:r w:rsidR="00BC3319" w:rsidRPr="00026EC1">
        <w:t>’</w:t>
      </w:r>
      <w:r w:rsidRPr="00026EC1">
        <w:t>application du paragraphe précédent est inférieur au résultat que donnerait l</w:t>
      </w:r>
      <w:r w:rsidR="00BC3319" w:rsidRPr="00026EC1">
        <w:t>’</w:t>
      </w:r>
      <w:r w:rsidRPr="00026EC1">
        <w:t>application de l</w:t>
      </w:r>
      <w:r w:rsidR="00BC3319" w:rsidRPr="00026EC1">
        <w:t>’</w:t>
      </w:r>
      <w:r w:rsidRPr="00026EC1">
        <w:t>alinéa 3, on applique alors</w:t>
      </w:r>
      <w:r w:rsidR="007B2497" w:rsidRPr="00026EC1">
        <w:t>,</w:t>
      </w:r>
      <w:r w:rsidRPr="00026EC1">
        <w:t xml:space="preserve"> pour cette enseignante ou cet enseignant</w:t>
      </w:r>
      <w:r w:rsidR="007B2497" w:rsidRPr="00026EC1">
        <w:t>,</w:t>
      </w:r>
      <w:r w:rsidRPr="00026EC1">
        <w:t xml:space="preserve"> l</w:t>
      </w:r>
      <w:r w:rsidR="00BC3319" w:rsidRPr="00026EC1">
        <w:t>’</w:t>
      </w:r>
      <w:r w:rsidRPr="00026EC1">
        <w:t>alinéa 3.</w:t>
      </w:r>
    </w:p>
    <w:p w14:paraId="48C687DF" w14:textId="77777777" w:rsidR="00404F34" w:rsidRPr="00026EC1" w:rsidRDefault="00404F34" w:rsidP="007F120F">
      <w:pPr>
        <w:keepNext w:val="0"/>
      </w:pPr>
    </w:p>
    <w:p w14:paraId="4585A80D" w14:textId="4FA7B3DA" w:rsidR="00404F34" w:rsidRPr="00026EC1" w:rsidRDefault="00275751" w:rsidP="007F120F">
      <w:pPr>
        <w:keepNext w:val="0"/>
        <w:tabs>
          <w:tab w:val="left" w:pos="567"/>
        </w:tabs>
        <w:ind w:left="567" w:hanging="567"/>
      </w:pPr>
      <w:r w:rsidRPr="00026EC1">
        <w:t>3.</w:t>
      </w:r>
      <w:r w:rsidRPr="00026EC1">
        <w:tab/>
      </w:r>
      <w:r w:rsidR="00404F34" w:rsidRPr="00026EC1">
        <w:t>Aux fins exclusives de l</w:t>
      </w:r>
      <w:r w:rsidR="00BC3319" w:rsidRPr="00026EC1">
        <w:t>’</w:t>
      </w:r>
      <w:r w:rsidR="00404F34" w:rsidRPr="00026EC1">
        <w:t>assurance</w:t>
      </w:r>
      <w:r w:rsidR="00984A6F">
        <w:noBreakHyphen/>
      </w:r>
      <w:r w:rsidR="00404F34" w:rsidRPr="00026EC1">
        <w:t>emploi, l</w:t>
      </w:r>
      <w:r w:rsidR="00BC3319" w:rsidRPr="00026EC1">
        <w:t>’</w:t>
      </w:r>
      <w:r w:rsidR="00404F34" w:rsidRPr="00026EC1">
        <w:t>enseignante ou l</w:t>
      </w:r>
      <w:r w:rsidR="00BC3319" w:rsidRPr="00026EC1">
        <w:t>’</w:t>
      </w:r>
      <w:r w:rsidR="00404F34" w:rsidRPr="00026EC1">
        <w:t>enseignant rémunéré au taux horaire est réputé accomplir trois virgule six</w:t>
      </w:r>
      <w:r w:rsidR="00DF791E">
        <w:t> </w:t>
      </w:r>
      <w:r w:rsidR="00404F34" w:rsidRPr="00026EC1">
        <w:t>(3,6) heures de travail pour chaque heure de cours rémunérée.</w:t>
      </w:r>
    </w:p>
    <w:p w14:paraId="338CD77C" w14:textId="77777777" w:rsidR="00404F34" w:rsidRPr="00026EC1" w:rsidRDefault="00404F34" w:rsidP="007F120F">
      <w:pPr>
        <w:keepNext w:val="0"/>
      </w:pPr>
    </w:p>
    <w:p w14:paraId="7C7FE3AB" w14:textId="77777777" w:rsidR="00404F34" w:rsidRPr="00026EC1" w:rsidRDefault="00275751" w:rsidP="007F120F">
      <w:pPr>
        <w:keepNext w:val="0"/>
        <w:tabs>
          <w:tab w:val="left" w:pos="567"/>
        </w:tabs>
        <w:ind w:left="567" w:hanging="567"/>
      </w:pPr>
      <w:r w:rsidRPr="00026EC1">
        <w:t>4.</w:t>
      </w:r>
      <w:r w:rsidRPr="00026EC1">
        <w:tab/>
      </w:r>
      <w:r w:rsidR="00404F34" w:rsidRPr="00026EC1">
        <w:t>Le Collège produit le relevé d</w:t>
      </w:r>
      <w:r w:rsidR="00BC3319" w:rsidRPr="00026EC1">
        <w:t>’</w:t>
      </w:r>
      <w:r w:rsidR="00404F34" w:rsidRPr="00026EC1">
        <w:t>emploi conformément à la présente entente.</w:t>
      </w:r>
    </w:p>
    <w:p w14:paraId="144D8F8B" w14:textId="77777777" w:rsidR="00404F34" w:rsidRPr="00026EC1" w:rsidRDefault="00404F34" w:rsidP="007F120F">
      <w:pPr>
        <w:keepNext w:val="0"/>
      </w:pPr>
    </w:p>
    <w:p w14:paraId="7E887A38" w14:textId="10801162" w:rsidR="00404F34" w:rsidRPr="00026EC1" w:rsidRDefault="00404F34" w:rsidP="007F120F">
      <w:pPr>
        <w:pStyle w:val="Heading3"/>
        <w:keepNext w:val="0"/>
      </w:pPr>
      <w:r w:rsidRPr="00026EC1">
        <w:br w:type="page"/>
      </w:r>
      <w:bookmarkStart w:id="1477" w:name="_Toc535046712"/>
      <w:bookmarkStart w:id="1478" w:name="_Toc133760893"/>
      <w:bookmarkStart w:id="1479" w:name="_Toc133917041"/>
      <w:bookmarkStart w:id="1480" w:name="_Toc134437313"/>
      <w:bookmarkStart w:id="1481" w:name="_Toc393449484"/>
      <w:bookmarkStart w:id="1482" w:name="_Toc462751610"/>
      <w:bookmarkStart w:id="1483" w:name="_Toc484082629"/>
      <w:bookmarkStart w:id="1484" w:name="_Toc168479615"/>
      <w:r w:rsidR="005100DE" w:rsidRPr="00026EC1">
        <w:t>A</w:t>
      </w:r>
      <w:r w:rsidR="00635C0D" w:rsidRPr="001A71A6">
        <w:t>nnexe</w:t>
      </w:r>
      <w:r w:rsidR="00635C0D" w:rsidRPr="00026EC1">
        <w:t> V</w:t>
      </w:r>
      <w:bookmarkEnd w:id="1477"/>
      <w:bookmarkEnd w:id="1478"/>
      <w:bookmarkEnd w:id="1479"/>
      <w:bookmarkEnd w:id="1480"/>
      <w:r w:rsidR="0017646C">
        <w:t>-</w:t>
      </w:r>
      <w:r w:rsidR="00291496" w:rsidRPr="00821BC2">
        <w:t>3</w:t>
      </w:r>
      <w:r w:rsidR="005100DE" w:rsidRPr="00026EC1">
        <w:br/>
      </w:r>
      <w:r w:rsidR="005100DE" w:rsidRPr="00026EC1">
        <w:br/>
      </w:r>
      <w:bookmarkStart w:id="1485" w:name="_Toc535046713"/>
      <w:bookmarkStart w:id="1486" w:name="_Toc133760894"/>
      <w:r w:rsidR="005100DE" w:rsidRPr="001A71A6">
        <w:t>Annexe relative à l’utilisation d’une œuvre dont une enseignante ou un enseignant est soit l’auteure ou l’auteur, soit l’une ou l’un des auteures ou auteu</w:t>
      </w:r>
      <w:bookmarkEnd w:id="1485"/>
      <w:r w:rsidR="005100DE" w:rsidRPr="001A71A6">
        <w:t>rs</w:t>
      </w:r>
      <w:bookmarkEnd w:id="1481"/>
      <w:bookmarkEnd w:id="1482"/>
      <w:bookmarkEnd w:id="1483"/>
      <w:bookmarkEnd w:id="1486"/>
      <w:bookmarkEnd w:id="1484"/>
    </w:p>
    <w:p w14:paraId="552A086F" w14:textId="37325217" w:rsidR="00404F34" w:rsidRPr="00026EC1" w:rsidRDefault="00404F34" w:rsidP="007F120F">
      <w:pPr>
        <w:keepNext w:val="0"/>
      </w:pPr>
      <w:r w:rsidRPr="00026EC1">
        <w:t>Aux fins de l</w:t>
      </w:r>
      <w:r w:rsidR="00BC3319" w:rsidRPr="00026EC1">
        <w:t>’</w:t>
      </w:r>
      <w:r w:rsidRPr="00026EC1">
        <w:t>application de la clause 8</w:t>
      </w:r>
      <w:r w:rsidR="00984A6F">
        <w:noBreakHyphen/>
      </w:r>
      <w:r w:rsidRPr="00026EC1">
        <w:t>1.03, le Collège s</w:t>
      </w:r>
      <w:r w:rsidR="00BC3319" w:rsidRPr="00026EC1">
        <w:t>’</w:t>
      </w:r>
      <w:r w:rsidRPr="00026EC1">
        <w:t>engage à respecter les dispositions suivantes</w:t>
      </w:r>
      <w:r w:rsidR="00D8581B">
        <w:t> :</w:t>
      </w:r>
    </w:p>
    <w:p w14:paraId="4892794B" w14:textId="77777777" w:rsidR="00404F34" w:rsidRPr="00026EC1" w:rsidRDefault="00404F34" w:rsidP="007F120F">
      <w:pPr>
        <w:keepNext w:val="0"/>
      </w:pPr>
    </w:p>
    <w:p w14:paraId="36440C76" w14:textId="630D810C" w:rsidR="00404F34" w:rsidRPr="00026EC1" w:rsidRDefault="00275751" w:rsidP="007F120F">
      <w:pPr>
        <w:keepNext w:val="0"/>
        <w:tabs>
          <w:tab w:val="left" w:pos="567"/>
        </w:tabs>
        <w:ind w:left="567" w:hanging="567"/>
      </w:pPr>
      <w:r w:rsidRPr="00026EC1">
        <w:rPr>
          <w:b/>
        </w:rPr>
        <w:t>01.</w:t>
      </w:r>
      <w:r w:rsidRPr="00026EC1">
        <w:rPr>
          <w:b/>
        </w:rPr>
        <w:tab/>
      </w:r>
      <w:r w:rsidR="00404F34" w:rsidRPr="00026EC1">
        <w:rPr>
          <w:b/>
          <w:bCs/>
          <w:u w:val="single"/>
        </w:rPr>
        <w:t>Auteure ou auteur</w:t>
      </w:r>
      <w:r w:rsidR="00D8581B">
        <w:rPr>
          <w:b/>
          <w:bCs/>
        </w:rPr>
        <w:t> :</w:t>
      </w:r>
    </w:p>
    <w:p w14:paraId="6B9ED904" w14:textId="77777777" w:rsidR="00404F34" w:rsidRPr="00026EC1" w:rsidRDefault="00404F34" w:rsidP="007F120F">
      <w:pPr>
        <w:pStyle w:val="Texte1cm"/>
        <w:keepNext w:val="0"/>
      </w:pPr>
      <w:r w:rsidRPr="00026EC1">
        <w:t>Personne qui est la créatrice d</w:t>
      </w:r>
      <w:r w:rsidR="00BC3319" w:rsidRPr="00026EC1">
        <w:t>’</w:t>
      </w:r>
      <w:r w:rsidRPr="00026EC1">
        <w:t>une œuvre.</w:t>
      </w:r>
    </w:p>
    <w:p w14:paraId="47F8599A" w14:textId="77777777" w:rsidR="00404F34" w:rsidRPr="00026EC1" w:rsidRDefault="00404F34" w:rsidP="007F120F">
      <w:pPr>
        <w:keepNext w:val="0"/>
      </w:pPr>
    </w:p>
    <w:p w14:paraId="1D923932" w14:textId="7B779F5E" w:rsidR="00404F34" w:rsidRPr="00026EC1" w:rsidRDefault="00275751" w:rsidP="007F120F">
      <w:pPr>
        <w:keepNext w:val="0"/>
        <w:tabs>
          <w:tab w:val="left" w:pos="567"/>
        </w:tabs>
        <w:ind w:left="567" w:hanging="567"/>
        <w:rPr>
          <w:b/>
          <w:bCs/>
          <w:u w:val="single"/>
        </w:rPr>
      </w:pPr>
      <w:r w:rsidRPr="00026EC1">
        <w:rPr>
          <w:b/>
          <w:bCs/>
        </w:rPr>
        <w:t>02.</w:t>
      </w:r>
      <w:r w:rsidRPr="00026EC1">
        <w:rPr>
          <w:b/>
          <w:bCs/>
        </w:rPr>
        <w:tab/>
      </w:r>
      <w:r w:rsidR="005E4522" w:rsidRPr="00026EC1">
        <w:rPr>
          <w:b/>
          <w:bCs/>
          <w:u w:val="single"/>
        </w:rPr>
        <w:t>Œuvre</w:t>
      </w:r>
      <w:r w:rsidR="00D8581B">
        <w:rPr>
          <w:b/>
          <w:bCs/>
        </w:rPr>
        <w:t> :</w:t>
      </w:r>
    </w:p>
    <w:p w14:paraId="0DA8FB40" w14:textId="05F2923D" w:rsidR="00404F34" w:rsidRPr="00026EC1" w:rsidRDefault="00404F34" w:rsidP="007F120F">
      <w:pPr>
        <w:pStyle w:val="Texte1cm"/>
        <w:keepNext w:val="0"/>
      </w:pPr>
      <w:r w:rsidRPr="00026EC1">
        <w:t>Comprend toute production originale, littéraire, dramatique, musicale, artistique, cinématographique, photographique, chorégraphique, informatique et audiovisuelle, incluant toutes les productions originales du domaine littéraire, scientifique et artistique</w:t>
      </w:r>
      <w:r w:rsidR="007B2497" w:rsidRPr="00026EC1">
        <w:t>,</w:t>
      </w:r>
      <w:r w:rsidRPr="00026EC1">
        <w:t xml:space="preserve"> quel qu</w:t>
      </w:r>
      <w:r w:rsidR="00BC3319" w:rsidRPr="00026EC1">
        <w:t>’</w:t>
      </w:r>
      <w:r w:rsidRPr="00026EC1">
        <w:t>en soit le mode ou la forme d</w:t>
      </w:r>
      <w:r w:rsidR="00BC3319" w:rsidRPr="00026EC1">
        <w:t>’</w:t>
      </w:r>
      <w:r w:rsidRPr="00026EC1">
        <w:t>expression, telles que les livres, brochures et autres écrits, les conférences, les œuvres dramatico</w:t>
      </w:r>
      <w:r w:rsidR="00984A6F">
        <w:noBreakHyphen/>
      </w:r>
      <w:r w:rsidRPr="00026EC1">
        <w:t>musicales ou chorégraphiques, les œuvres ou compositions musicales avec ou sans paroles, les illustrations, croquis et ouvrages plastiques relatifs à la géographie, à l</w:t>
      </w:r>
      <w:r w:rsidR="00BC3319" w:rsidRPr="00026EC1">
        <w:t>’</w:t>
      </w:r>
      <w:r w:rsidRPr="00026EC1">
        <w:t>architecture, au design ou aux sciences.</w:t>
      </w:r>
    </w:p>
    <w:p w14:paraId="26BB6FB0" w14:textId="77777777" w:rsidR="00404F34" w:rsidRPr="00026EC1" w:rsidRDefault="00404F34" w:rsidP="007F120F">
      <w:pPr>
        <w:keepNext w:val="0"/>
      </w:pPr>
    </w:p>
    <w:p w14:paraId="7FB87791" w14:textId="09BB3233" w:rsidR="00404F34" w:rsidRPr="00026EC1" w:rsidRDefault="00275751" w:rsidP="007F120F">
      <w:pPr>
        <w:keepNext w:val="0"/>
        <w:tabs>
          <w:tab w:val="left" w:pos="567"/>
        </w:tabs>
        <w:ind w:left="567" w:hanging="567"/>
        <w:rPr>
          <w:b/>
          <w:bCs/>
        </w:rPr>
      </w:pPr>
      <w:r w:rsidRPr="00026EC1">
        <w:rPr>
          <w:b/>
          <w:bCs/>
        </w:rPr>
        <w:t>03.</w:t>
      </w:r>
      <w:r w:rsidRPr="00026EC1">
        <w:rPr>
          <w:b/>
          <w:bCs/>
        </w:rPr>
        <w:tab/>
      </w:r>
      <w:r w:rsidR="00404F34" w:rsidRPr="00026EC1">
        <w:rPr>
          <w:b/>
          <w:bCs/>
          <w:u w:val="single"/>
        </w:rPr>
        <w:t>Droit d</w:t>
      </w:r>
      <w:r w:rsidR="00BC3319" w:rsidRPr="00026EC1">
        <w:rPr>
          <w:b/>
          <w:bCs/>
          <w:u w:val="single"/>
        </w:rPr>
        <w:t>’</w:t>
      </w:r>
      <w:r w:rsidR="00404F34" w:rsidRPr="00026EC1">
        <w:rPr>
          <w:b/>
          <w:bCs/>
          <w:u w:val="single"/>
        </w:rPr>
        <w:t>auteure ou d</w:t>
      </w:r>
      <w:r w:rsidR="00BC3319" w:rsidRPr="00026EC1">
        <w:rPr>
          <w:b/>
          <w:bCs/>
          <w:u w:val="single"/>
        </w:rPr>
        <w:t>’</w:t>
      </w:r>
      <w:r w:rsidR="00404F34" w:rsidRPr="00026EC1">
        <w:rPr>
          <w:b/>
          <w:bCs/>
          <w:u w:val="single"/>
        </w:rPr>
        <w:t>auteur</w:t>
      </w:r>
      <w:r w:rsidR="00D8581B">
        <w:rPr>
          <w:b/>
          <w:bCs/>
        </w:rPr>
        <w:t> :</w:t>
      </w:r>
    </w:p>
    <w:p w14:paraId="62D00490" w14:textId="2258567A" w:rsidR="00404F34" w:rsidRPr="00026EC1" w:rsidRDefault="00404F34" w:rsidP="007F120F">
      <w:pPr>
        <w:pStyle w:val="Texte1cm"/>
        <w:keepNext w:val="0"/>
      </w:pPr>
      <w:r w:rsidRPr="00026EC1">
        <w:t>Droit de propriété sur une œuvre comportant</w:t>
      </w:r>
      <w:r w:rsidR="007B2497" w:rsidRPr="00026EC1">
        <w:t>,</w:t>
      </w:r>
      <w:r w:rsidRPr="00026EC1">
        <w:t xml:space="preserve"> pour l</w:t>
      </w:r>
      <w:r w:rsidR="00BC3319" w:rsidRPr="00026EC1">
        <w:t>’</w:t>
      </w:r>
      <w:r w:rsidRPr="00026EC1">
        <w:t>auteure ou l</w:t>
      </w:r>
      <w:r w:rsidR="00BC3319" w:rsidRPr="00026EC1">
        <w:t>’</w:t>
      </w:r>
      <w:r w:rsidRPr="00026EC1">
        <w:t>auteur</w:t>
      </w:r>
      <w:r w:rsidR="007B2497" w:rsidRPr="00026EC1">
        <w:t>,</w:t>
      </w:r>
      <w:r w:rsidRPr="00026EC1">
        <w:t xml:space="preserve"> le droit exclusif de reproduire l</w:t>
      </w:r>
      <w:r w:rsidR="00BC3319" w:rsidRPr="00026EC1">
        <w:t>’</w:t>
      </w:r>
      <w:r w:rsidRPr="00026EC1">
        <w:t>œuvre dont elle ou il a la paternité ou une partie importante de celle</w:t>
      </w:r>
      <w:r w:rsidR="00984A6F">
        <w:noBreakHyphen/>
      </w:r>
      <w:r w:rsidRPr="00026EC1">
        <w:t>ci, sous une forme quelconque, de la présenter en public, de la publier, de permettre l</w:t>
      </w:r>
      <w:r w:rsidR="00BC3319" w:rsidRPr="00026EC1">
        <w:t>’</w:t>
      </w:r>
      <w:r w:rsidRPr="00026EC1">
        <w:t>un des actes ci</w:t>
      </w:r>
      <w:r w:rsidR="00984A6F">
        <w:noBreakHyphen/>
      </w:r>
      <w:r w:rsidRPr="00026EC1">
        <w:t>dessus énumérés ainsi que tous les droits accessoires y afférents, le tout tel que défini par la loi fédérale sur le droit d</w:t>
      </w:r>
      <w:r w:rsidR="00BC3319" w:rsidRPr="00026EC1">
        <w:t>’</w:t>
      </w:r>
      <w:r w:rsidRPr="00026EC1">
        <w:t>auteur.</w:t>
      </w:r>
    </w:p>
    <w:p w14:paraId="614BF123" w14:textId="77777777" w:rsidR="00404F34" w:rsidRPr="00026EC1" w:rsidRDefault="00404F34" w:rsidP="007F120F">
      <w:pPr>
        <w:keepNext w:val="0"/>
      </w:pPr>
    </w:p>
    <w:p w14:paraId="396EA9FA" w14:textId="1C87B07C" w:rsidR="00404F34" w:rsidRPr="00026EC1" w:rsidRDefault="00275751" w:rsidP="007F120F">
      <w:pPr>
        <w:keepNext w:val="0"/>
        <w:tabs>
          <w:tab w:val="left" w:pos="567"/>
        </w:tabs>
        <w:ind w:left="567" w:hanging="567"/>
        <w:rPr>
          <w:b/>
          <w:bCs/>
        </w:rPr>
      </w:pPr>
      <w:r w:rsidRPr="00026EC1">
        <w:rPr>
          <w:b/>
          <w:bCs/>
        </w:rPr>
        <w:t>04.</w:t>
      </w:r>
      <w:r w:rsidRPr="00026EC1">
        <w:rPr>
          <w:b/>
          <w:bCs/>
        </w:rPr>
        <w:tab/>
      </w:r>
      <w:r w:rsidR="00404F34" w:rsidRPr="00026EC1">
        <w:rPr>
          <w:b/>
          <w:bCs/>
          <w:u w:val="single"/>
        </w:rPr>
        <w:t>Redevances</w:t>
      </w:r>
      <w:r w:rsidR="00D8581B">
        <w:rPr>
          <w:b/>
          <w:bCs/>
        </w:rPr>
        <w:t> :</w:t>
      </w:r>
    </w:p>
    <w:p w14:paraId="657BA2A0" w14:textId="6A8A761F" w:rsidR="00404F34" w:rsidRPr="00026EC1" w:rsidRDefault="00404F34" w:rsidP="007F120F">
      <w:pPr>
        <w:pStyle w:val="Texte1cm"/>
        <w:keepNext w:val="0"/>
      </w:pPr>
      <w:r w:rsidRPr="00026EC1">
        <w:t>Compensation monétaire ou autre versée en considération de l</w:t>
      </w:r>
      <w:r w:rsidR="00BC3319" w:rsidRPr="00026EC1">
        <w:t>’</w:t>
      </w:r>
      <w:r w:rsidRPr="00026EC1">
        <w:t>autorisation accordée par l</w:t>
      </w:r>
      <w:r w:rsidR="00BC3319" w:rsidRPr="00026EC1">
        <w:t>’</w:t>
      </w:r>
      <w:r w:rsidRPr="00026EC1">
        <w:t>auteure ou l</w:t>
      </w:r>
      <w:r w:rsidR="00BC3319" w:rsidRPr="00026EC1">
        <w:t>’</w:t>
      </w:r>
      <w:r w:rsidRPr="00026EC1">
        <w:t>auteur d</w:t>
      </w:r>
      <w:r w:rsidR="00BC3319" w:rsidRPr="00026EC1">
        <w:t>’</w:t>
      </w:r>
      <w:r w:rsidRPr="00026EC1">
        <w:t>utiliser son œuvre ou une partie importante de celle</w:t>
      </w:r>
      <w:r w:rsidR="00984A6F">
        <w:noBreakHyphen/>
      </w:r>
      <w:r w:rsidRPr="00026EC1">
        <w:t>ci.</w:t>
      </w:r>
    </w:p>
    <w:p w14:paraId="531AC6EA" w14:textId="77777777" w:rsidR="00404F34" w:rsidRPr="00026EC1" w:rsidRDefault="00404F34" w:rsidP="007F120F">
      <w:pPr>
        <w:keepNext w:val="0"/>
      </w:pPr>
    </w:p>
    <w:p w14:paraId="454DE356" w14:textId="59ACB8A6" w:rsidR="00404F34" w:rsidRPr="00026EC1" w:rsidRDefault="00275751" w:rsidP="007F120F">
      <w:pPr>
        <w:keepNext w:val="0"/>
        <w:tabs>
          <w:tab w:val="left" w:pos="567"/>
        </w:tabs>
        <w:ind w:left="567" w:hanging="567"/>
        <w:rPr>
          <w:b/>
          <w:bCs/>
          <w:u w:val="single"/>
        </w:rPr>
      </w:pPr>
      <w:r w:rsidRPr="00026EC1">
        <w:rPr>
          <w:b/>
          <w:bCs/>
        </w:rPr>
        <w:t>05.</w:t>
      </w:r>
      <w:r w:rsidRPr="00026EC1">
        <w:rPr>
          <w:b/>
          <w:bCs/>
        </w:rPr>
        <w:tab/>
      </w:r>
      <w:r w:rsidR="00404F34" w:rsidRPr="00026EC1">
        <w:rPr>
          <w:b/>
          <w:bCs/>
          <w:u w:val="single"/>
        </w:rPr>
        <w:t>Propriété de l</w:t>
      </w:r>
      <w:r w:rsidR="00BC3319" w:rsidRPr="00026EC1">
        <w:rPr>
          <w:b/>
          <w:bCs/>
          <w:u w:val="single"/>
        </w:rPr>
        <w:t>’</w:t>
      </w:r>
      <w:r w:rsidR="005E4522" w:rsidRPr="00026EC1">
        <w:rPr>
          <w:b/>
          <w:bCs/>
          <w:u w:val="single"/>
        </w:rPr>
        <w:t>œuvre</w:t>
      </w:r>
      <w:r w:rsidR="00D8581B">
        <w:rPr>
          <w:b/>
          <w:bCs/>
        </w:rPr>
        <w:t> :</w:t>
      </w:r>
    </w:p>
    <w:p w14:paraId="58173C66" w14:textId="77777777" w:rsidR="00404F34" w:rsidRPr="00026EC1" w:rsidRDefault="00404F34" w:rsidP="007F120F">
      <w:pPr>
        <w:pStyle w:val="Texte1cm"/>
        <w:keepNext w:val="0"/>
      </w:pPr>
      <w:r w:rsidRPr="00026EC1">
        <w:t>Le Collège reconnaît que l</w:t>
      </w:r>
      <w:r w:rsidR="00BC3319" w:rsidRPr="00026EC1">
        <w:t>’</w:t>
      </w:r>
      <w:r w:rsidRPr="00026EC1">
        <w:t>auteure ou l</w:t>
      </w:r>
      <w:r w:rsidR="00BC3319" w:rsidRPr="00026EC1">
        <w:t>’</w:t>
      </w:r>
      <w:r w:rsidRPr="00026EC1">
        <w:t>auteur d</w:t>
      </w:r>
      <w:r w:rsidR="00BC3319" w:rsidRPr="00026EC1">
        <w:t>’</w:t>
      </w:r>
      <w:r w:rsidRPr="00026EC1">
        <w:t>une œuvre est la ou le propriétaire du droit d</w:t>
      </w:r>
      <w:r w:rsidR="00BC3319" w:rsidRPr="00026EC1">
        <w:t>’</w:t>
      </w:r>
      <w:r w:rsidRPr="00026EC1">
        <w:t>auteure ou d</w:t>
      </w:r>
      <w:r w:rsidR="00BC3319" w:rsidRPr="00026EC1">
        <w:t>’</w:t>
      </w:r>
      <w:r w:rsidRPr="00026EC1">
        <w:t>auteur sur cette œuvre et que les redevances produites par l</w:t>
      </w:r>
      <w:r w:rsidR="00BC3319" w:rsidRPr="00026EC1">
        <w:t>’</w:t>
      </w:r>
      <w:r w:rsidRPr="00026EC1">
        <w:t>utilisation de l</w:t>
      </w:r>
      <w:r w:rsidR="00BC3319" w:rsidRPr="00026EC1">
        <w:t>’</w:t>
      </w:r>
      <w:r w:rsidRPr="00026EC1">
        <w:t>œuvre lui appartiennent, sauf dans la mesure où le Collège y a contribué.</w:t>
      </w:r>
    </w:p>
    <w:p w14:paraId="0E74ECF3" w14:textId="77777777" w:rsidR="00404F34" w:rsidRPr="00026EC1" w:rsidRDefault="00404F34" w:rsidP="007F120F">
      <w:pPr>
        <w:keepNext w:val="0"/>
      </w:pPr>
    </w:p>
    <w:p w14:paraId="36B2DC3A" w14:textId="62CBCF37" w:rsidR="00404F34" w:rsidRPr="00026EC1" w:rsidRDefault="00275751" w:rsidP="007F120F">
      <w:pPr>
        <w:keepNext w:val="0"/>
        <w:tabs>
          <w:tab w:val="left" w:pos="567"/>
        </w:tabs>
        <w:ind w:left="567" w:hanging="567"/>
        <w:rPr>
          <w:b/>
          <w:bCs/>
          <w:u w:val="single"/>
        </w:rPr>
      </w:pPr>
      <w:r w:rsidRPr="00026EC1">
        <w:rPr>
          <w:b/>
          <w:bCs/>
        </w:rPr>
        <w:t>06.</w:t>
      </w:r>
      <w:r w:rsidRPr="00026EC1">
        <w:rPr>
          <w:b/>
          <w:bCs/>
        </w:rPr>
        <w:tab/>
      </w:r>
      <w:r w:rsidR="00404F34" w:rsidRPr="00026EC1">
        <w:rPr>
          <w:b/>
          <w:bCs/>
          <w:u w:val="single"/>
        </w:rPr>
        <w:t>Aide du Collège</w:t>
      </w:r>
      <w:r w:rsidR="00D8581B">
        <w:rPr>
          <w:b/>
          <w:bCs/>
        </w:rPr>
        <w:t> :</w:t>
      </w:r>
    </w:p>
    <w:p w14:paraId="06B76E85" w14:textId="77777777" w:rsidR="00404F34" w:rsidRPr="00026EC1" w:rsidRDefault="00404F34" w:rsidP="007F120F">
      <w:pPr>
        <w:pStyle w:val="Texte1cm"/>
        <w:keepNext w:val="0"/>
      </w:pPr>
      <w:r w:rsidRPr="00026EC1">
        <w:t>Lorsque le Collège contribue à la production ou à l</w:t>
      </w:r>
      <w:r w:rsidR="00BC3319" w:rsidRPr="00026EC1">
        <w:t>’</w:t>
      </w:r>
      <w:r w:rsidRPr="00026EC1">
        <w:t>exploitation d</w:t>
      </w:r>
      <w:r w:rsidR="00BC3319" w:rsidRPr="00026EC1">
        <w:t>’</w:t>
      </w:r>
      <w:r w:rsidRPr="00026EC1">
        <w:t>une œuvre, un protocole d</w:t>
      </w:r>
      <w:r w:rsidR="00BC3319" w:rsidRPr="00026EC1">
        <w:t>’</w:t>
      </w:r>
      <w:r w:rsidRPr="00026EC1">
        <w:t>entente doit être signé entre l</w:t>
      </w:r>
      <w:r w:rsidR="00BC3319" w:rsidRPr="00026EC1">
        <w:t>’</w:t>
      </w:r>
      <w:r w:rsidRPr="00026EC1">
        <w:t>enseignante ou l</w:t>
      </w:r>
      <w:r w:rsidR="00BC3319" w:rsidRPr="00026EC1">
        <w:t>’</w:t>
      </w:r>
      <w:r w:rsidRPr="00026EC1">
        <w:t>enseignant concerné et le Collège précisant les droits et obligations des parties eu égard aux droits d</w:t>
      </w:r>
      <w:r w:rsidR="00BC3319" w:rsidRPr="00026EC1">
        <w:t>’</w:t>
      </w:r>
      <w:r w:rsidRPr="00026EC1">
        <w:t>auteure ou d</w:t>
      </w:r>
      <w:r w:rsidR="00BC3319" w:rsidRPr="00026EC1">
        <w:t>’</w:t>
      </w:r>
      <w:r w:rsidRPr="00026EC1">
        <w:t>auteur et aux redevances provenant de l</w:t>
      </w:r>
      <w:r w:rsidR="00BC3319" w:rsidRPr="00026EC1">
        <w:t>’</w:t>
      </w:r>
      <w:r w:rsidRPr="00026EC1">
        <w:t>utilisation et de l</w:t>
      </w:r>
      <w:r w:rsidR="00BC3319" w:rsidRPr="00026EC1">
        <w:t>’</w:t>
      </w:r>
      <w:r w:rsidRPr="00026EC1">
        <w:t>exploitation de l</w:t>
      </w:r>
      <w:r w:rsidR="00BC3319" w:rsidRPr="00026EC1">
        <w:t>’</w:t>
      </w:r>
      <w:r w:rsidRPr="00026EC1">
        <w:t>œuvre.</w:t>
      </w:r>
    </w:p>
    <w:p w14:paraId="4617A8CD" w14:textId="77777777" w:rsidR="00F15D48" w:rsidRPr="00026EC1" w:rsidRDefault="00F15D48" w:rsidP="007F120F">
      <w:pPr>
        <w:pStyle w:val="Texte1cm"/>
        <w:keepNext w:val="0"/>
        <w:ind w:right="177"/>
      </w:pPr>
    </w:p>
    <w:p w14:paraId="14B39B10" w14:textId="0F293FAE" w:rsidR="00404F34" w:rsidRPr="00026EC1" w:rsidRDefault="00275751" w:rsidP="007F120F">
      <w:pPr>
        <w:keepNext w:val="0"/>
        <w:tabs>
          <w:tab w:val="left" w:pos="567"/>
        </w:tabs>
        <w:ind w:left="567" w:hanging="567"/>
        <w:rPr>
          <w:b/>
          <w:bCs/>
          <w:u w:val="single"/>
        </w:rPr>
      </w:pPr>
      <w:r w:rsidRPr="00026EC1">
        <w:rPr>
          <w:b/>
          <w:bCs/>
        </w:rPr>
        <w:t>07.</w:t>
      </w:r>
      <w:r w:rsidRPr="00026EC1">
        <w:rPr>
          <w:b/>
          <w:bCs/>
        </w:rPr>
        <w:tab/>
      </w:r>
      <w:r w:rsidR="00404F34" w:rsidRPr="00026EC1">
        <w:rPr>
          <w:b/>
          <w:bCs/>
          <w:u w:val="single"/>
        </w:rPr>
        <w:t>Productions exclues</w:t>
      </w:r>
      <w:r w:rsidR="00D8581B">
        <w:rPr>
          <w:b/>
          <w:bCs/>
        </w:rPr>
        <w:t> :</w:t>
      </w:r>
    </w:p>
    <w:p w14:paraId="49507F71" w14:textId="743FB2EC" w:rsidR="00404F34" w:rsidRPr="00026EC1" w:rsidRDefault="00404F34" w:rsidP="007F120F">
      <w:pPr>
        <w:pStyle w:val="Texte1cm"/>
        <w:keepNext w:val="0"/>
      </w:pPr>
      <w:r w:rsidRPr="00026EC1">
        <w:t>En aucun cas, la présente annexe</w:t>
      </w:r>
      <w:r w:rsidR="00477DEF" w:rsidRPr="00026EC1">
        <w:t xml:space="preserve"> </w:t>
      </w:r>
      <w:r w:rsidRPr="00026EC1">
        <w:t>ne peut être interprétée comme permettant à une enseignante ou à un enseignant d</w:t>
      </w:r>
      <w:r w:rsidR="00BC3319" w:rsidRPr="00026EC1">
        <w:t>’</w:t>
      </w:r>
      <w:r w:rsidRPr="00026EC1">
        <w:t>exiger des redevances pour l</w:t>
      </w:r>
      <w:r w:rsidR="00BC3319" w:rsidRPr="00026EC1">
        <w:t>’</w:t>
      </w:r>
      <w:r w:rsidRPr="00026EC1">
        <w:t>utilisation d</w:t>
      </w:r>
      <w:r w:rsidR="00BC3319" w:rsidRPr="00026EC1">
        <w:t>’</w:t>
      </w:r>
      <w:r w:rsidRPr="00026EC1">
        <w:t>une œuvre produite dans le cadre de l</w:t>
      </w:r>
      <w:r w:rsidR="00BC3319" w:rsidRPr="00026EC1">
        <w:t>’</w:t>
      </w:r>
      <w:r w:rsidRPr="00026EC1">
        <w:t>alinéa a) de la clause 8</w:t>
      </w:r>
      <w:r w:rsidR="00984A6F">
        <w:noBreakHyphen/>
      </w:r>
      <w:r w:rsidRPr="00026EC1">
        <w:t>4.01 telle que les plans, les notes ou les cahiers de cours, de stages, d</w:t>
      </w:r>
      <w:r w:rsidR="00BC3319" w:rsidRPr="00026EC1">
        <w:t>’</w:t>
      </w:r>
      <w:r w:rsidRPr="00026EC1">
        <w:t>ateliers ou de laboratoires et les examens, y compris sous forme audiovisuelle ou informatisée, produite à l</w:t>
      </w:r>
      <w:r w:rsidR="00BC3319" w:rsidRPr="00026EC1">
        <w:t>’</w:t>
      </w:r>
      <w:r w:rsidRPr="00026EC1">
        <w:t>intention des étudiantes et étudiants.</w:t>
      </w:r>
    </w:p>
    <w:p w14:paraId="3035E898" w14:textId="33313390" w:rsidR="00404F34" w:rsidRPr="00655315" w:rsidRDefault="00404F34" w:rsidP="007F120F">
      <w:pPr>
        <w:pStyle w:val="Heading3"/>
        <w:keepNext w:val="0"/>
      </w:pPr>
      <w:r w:rsidRPr="00026EC1">
        <w:br w:type="page"/>
      </w:r>
      <w:bookmarkStart w:id="1487" w:name="_Toc535046714"/>
      <w:bookmarkStart w:id="1488" w:name="_Toc133760895"/>
      <w:bookmarkStart w:id="1489" w:name="_Toc133917043"/>
      <w:bookmarkStart w:id="1490" w:name="_Toc134437315"/>
      <w:bookmarkStart w:id="1491" w:name="_Toc393449486"/>
      <w:bookmarkStart w:id="1492" w:name="_Toc462751612"/>
      <w:bookmarkStart w:id="1493" w:name="_Toc484082631"/>
      <w:bookmarkStart w:id="1494" w:name="_Toc168479616"/>
      <w:r w:rsidR="005100DE" w:rsidRPr="00821BC2">
        <w:t>A</w:t>
      </w:r>
      <w:r w:rsidR="000535F1" w:rsidRPr="00821BC2">
        <w:t>nnexe V</w:t>
      </w:r>
      <w:bookmarkEnd w:id="1487"/>
      <w:bookmarkEnd w:id="1488"/>
      <w:bookmarkEnd w:id="1489"/>
      <w:bookmarkEnd w:id="1490"/>
      <w:r w:rsidR="0017646C">
        <w:t>-</w:t>
      </w:r>
      <w:r w:rsidR="00291496" w:rsidRPr="00821BC2">
        <w:t>4</w:t>
      </w:r>
      <w:r w:rsidR="005100DE" w:rsidRPr="00026EC1">
        <w:br/>
      </w:r>
      <w:r w:rsidR="005100DE" w:rsidRPr="00026EC1">
        <w:br/>
      </w:r>
      <w:bookmarkStart w:id="1495" w:name="_Toc535046715"/>
      <w:bookmarkStart w:id="1496" w:name="_Toc133760896"/>
      <w:r w:rsidR="005100DE" w:rsidRPr="00655315">
        <w:t>Annexe relative au fonds de développement pour la coopération et l’emploi (Fondaction)</w:t>
      </w:r>
      <w:bookmarkEnd w:id="1491"/>
      <w:bookmarkEnd w:id="1492"/>
      <w:bookmarkEnd w:id="1493"/>
      <w:bookmarkEnd w:id="1495"/>
      <w:bookmarkEnd w:id="1496"/>
      <w:bookmarkEnd w:id="1494"/>
    </w:p>
    <w:p w14:paraId="1F28E131" w14:textId="77777777" w:rsidR="00404F34" w:rsidRPr="00026EC1" w:rsidRDefault="00275751" w:rsidP="007F120F">
      <w:pPr>
        <w:keepNext w:val="0"/>
        <w:tabs>
          <w:tab w:val="left" w:pos="567"/>
        </w:tabs>
        <w:ind w:left="567" w:hanging="567"/>
      </w:pPr>
      <w:r w:rsidRPr="00026EC1">
        <w:t>01.</w:t>
      </w:r>
      <w:r w:rsidRPr="00026EC1">
        <w:tab/>
      </w:r>
      <w:r w:rsidR="00404F34" w:rsidRPr="00026EC1">
        <w:t>Le fiduciaire de Fondaction remet au Collège le formulaire de demande de retenue sur le salaire dûment rempli par l</w:t>
      </w:r>
      <w:r w:rsidR="00BC3319" w:rsidRPr="00026EC1">
        <w:t>’</w:t>
      </w:r>
      <w:r w:rsidR="00404F34" w:rsidRPr="00026EC1">
        <w:t>enseignante ou l</w:t>
      </w:r>
      <w:r w:rsidR="00BC3319" w:rsidRPr="00026EC1">
        <w:t>’</w:t>
      </w:r>
      <w:r w:rsidR="00404F34" w:rsidRPr="00026EC1">
        <w:t>enseignant.</w:t>
      </w:r>
    </w:p>
    <w:p w14:paraId="7E53E3B2" w14:textId="77777777" w:rsidR="00404F34" w:rsidRPr="00026EC1" w:rsidRDefault="00404F34" w:rsidP="007F120F">
      <w:pPr>
        <w:keepNext w:val="0"/>
      </w:pPr>
    </w:p>
    <w:p w14:paraId="73532E21" w14:textId="77777777" w:rsidR="00404F34" w:rsidRPr="00026EC1" w:rsidRDefault="00404F34" w:rsidP="007F120F">
      <w:pPr>
        <w:keepNext w:val="0"/>
      </w:pPr>
    </w:p>
    <w:p w14:paraId="591D9B9A" w14:textId="4934509C" w:rsidR="00404F34" w:rsidRPr="00026EC1" w:rsidRDefault="00275751" w:rsidP="007F120F">
      <w:pPr>
        <w:keepNext w:val="0"/>
        <w:tabs>
          <w:tab w:val="left" w:pos="567"/>
        </w:tabs>
        <w:ind w:left="567" w:hanging="567"/>
      </w:pPr>
      <w:r w:rsidRPr="00026EC1">
        <w:t>02.</w:t>
      </w:r>
      <w:r w:rsidRPr="00026EC1">
        <w:tab/>
      </w:r>
      <w:r w:rsidR="00404F34" w:rsidRPr="00026EC1">
        <w:t>Au plus tard trente</w:t>
      </w:r>
      <w:r w:rsidR="00DF791E">
        <w:t> </w:t>
      </w:r>
      <w:r w:rsidR="00404F34" w:rsidRPr="00026EC1">
        <w:t>(30) jours après la réception du formulaire, le Collège déduit de chaque versement de traitement de l</w:t>
      </w:r>
      <w:r w:rsidR="00BC3319" w:rsidRPr="00026EC1">
        <w:t>’</w:t>
      </w:r>
      <w:r w:rsidR="00404F34" w:rsidRPr="00026EC1">
        <w:t>enseignante ou de l</w:t>
      </w:r>
      <w:r w:rsidR="00BC3319" w:rsidRPr="00026EC1">
        <w:t>’</w:t>
      </w:r>
      <w:r w:rsidR="00404F34" w:rsidRPr="00026EC1">
        <w:t>enseignant le montant qu</w:t>
      </w:r>
      <w:r w:rsidR="00BC3319" w:rsidRPr="00026EC1">
        <w:t>’</w:t>
      </w:r>
      <w:r w:rsidR="00404F34" w:rsidRPr="00026EC1">
        <w:t>elle ou il a indiqué comme déduction à des fins de contributions à Fondaction.</w:t>
      </w:r>
    </w:p>
    <w:p w14:paraId="5FE74746" w14:textId="77777777" w:rsidR="00404F34" w:rsidRPr="00026EC1" w:rsidRDefault="00404F34" w:rsidP="007F120F">
      <w:pPr>
        <w:keepNext w:val="0"/>
      </w:pPr>
    </w:p>
    <w:p w14:paraId="46A62A96" w14:textId="77777777" w:rsidR="00404F34" w:rsidRPr="00026EC1" w:rsidRDefault="00404F34" w:rsidP="007F120F">
      <w:pPr>
        <w:pStyle w:val="Texte1cm"/>
        <w:keepNext w:val="0"/>
      </w:pPr>
      <w:r w:rsidRPr="00026EC1">
        <w:t>Le Collège procède, là où le système le permet, aux ajustements d</w:t>
      </w:r>
      <w:r w:rsidR="00BC3319" w:rsidRPr="00026EC1">
        <w:t>’</w:t>
      </w:r>
      <w:r w:rsidRPr="00026EC1">
        <w:t>impôts retenus à la source, tel que le permet la réglementation fiscale. Cependant, le Collège n</w:t>
      </w:r>
      <w:r w:rsidR="00BC3319" w:rsidRPr="00026EC1">
        <w:t>’</w:t>
      </w:r>
      <w:r w:rsidRPr="00026EC1">
        <w:t>est pas tenu responsable si le montant total d</w:t>
      </w:r>
      <w:r w:rsidR="00BC3319" w:rsidRPr="00026EC1">
        <w:t>’</w:t>
      </w:r>
      <w:r w:rsidRPr="00026EC1">
        <w:t>exemption auquel l</w:t>
      </w:r>
      <w:r w:rsidR="00BC3319" w:rsidRPr="00026EC1">
        <w:t>’</w:t>
      </w:r>
      <w:r w:rsidRPr="00026EC1">
        <w:t>enseignante ou l</w:t>
      </w:r>
      <w:r w:rsidR="00BC3319" w:rsidRPr="00026EC1">
        <w:t>’</w:t>
      </w:r>
      <w:r w:rsidRPr="00026EC1">
        <w:t>enseignant a droit, selon la réglementation fiscale, n</w:t>
      </w:r>
      <w:r w:rsidR="00BC3319" w:rsidRPr="00026EC1">
        <w:t>’</w:t>
      </w:r>
      <w:r w:rsidRPr="00026EC1">
        <w:t>a pas été respecté.</w:t>
      </w:r>
    </w:p>
    <w:p w14:paraId="6FBC9461" w14:textId="77777777" w:rsidR="00404F34" w:rsidRPr="00026EC1" w:rsidRDefault="00404F34" w:rsidP="007F120F">
      <w:pPr>
        <w:keepNext w:val="0"/>
      </w:pPr>
    </w:p>
    <w:p w14:paraId="30954FEA" w14:textId="77777777" w:rsidR="00404F34" w:rsidRPr="00026EC1" w:rsidRDefault="00404F34" w:rsidP="007F120F">
      <w:pPr>
        <w:keepNext w:val="0"/>
      </w:pPr>
    </w:p>
    <w:p w14:paraId="6B279574" w14:textId="20B6F8B0" w:rsidR="00404F34" w:rsidRPr="00026EC1" w:rsidRDefault="00275751" w:rsidP="007F120F">
      <w:pPr>
        <w:keepNext w:val="0"/>
        <w:tabs>
          <w:tab w:val="left" w:pos="567"/>
        </w:tabs>
        <w:ind w:left="567" w:hanging="567"/>
      </w:pPr>
      <w:r w:rsidRPr="00026EC1">
        <w:t>03.</w:t>
      </w:r>
      <w:r w:rsidRPr="00026EC1">
        <w:tab/>
      </w:r>
      <w:r w:rsidR="00404F34" w:rsidRPr="00026EC1">
        <w:t>Au plus tard trente</w:t>
      </w:r>
      <w:r w:rsidR="00DF791E">
        <w:t> </w:t>
      </w:r>
      <w:r w:rsidR="00404F34" w:rsidRPr="00026EC1">
        <w:t>(30) jours après la réception d</w:t>
      </w:r>
      <w:r w:rsidR="00BC3319" w:rsidRPr="00026EC1">
        <w:t>’</w:t>
      </w:r>
      <w:r w:rsidR="00404F34" w:rsidRPr="00026EC1">
        <w:t>un avis écrit de l</w:t>
      </w:r>
      <w:r w:rsidR="00BC3319" w:rsidRPr="00026EC1">
        <w:t>’</w:t>
      </w:r>
      <w:r w:rsidR="00404F34" w:rsidRPr="00026EC1">
        <w:t>enseignante ou de l</w:t>
      </w:r>
      <w:r w:rsidR="00BC3319" w:rsidRPr="00026EC1">
        <w:t>’</w:t>
      </w:r>
      <w:r w:rsidR="00404F34" w:rsidRPr="00026EC1">
        <w:t>enseignant à cet effet, le Collège cesse le prélèvement de la contribution à Fondaction ou modifie à la baisse ou à la hausse le prélèvement de la contribution à Fondaction selon la demande de l</w:t>
      </w:r>
      <w:r w:rsidR="00BC3319" w:rsidRPr="00026EC1">
        <w:t>’</w:t>
      </w:r>
      <w:r w:rsidR="00404F34" w:rsidRPr="00026EC1">
        <w:t>enseignante ou de l</w:t>
      </w:r>
      <w:r w:rsidR="00BC3319" w:rsidRPr="00026EC1">
        <w:t>’</w:t>
      </w:r>
      <w:r w:rsidR="00404F34" w:rsidRPr="00026EC1">
        <w:t>enseignant.</w:t>
      </w:r>
    </w:p>
    <w:p w14:paraId="689D6DFC" w14:textId="77777777" w:rsidR="00404F34" w:rsidRPr="00026EC1" w:rsidRDefault="00404F34" w:rsidP="007F120F">
      <w:pPr>
        <w:keepNext w:val="0"/>
      </w:pPr>
    </w:p>
    <w:p w14:paraId="7A915DA5" w14:textId="77777777" w:rsidR="00404F34" w:rsidRPr="00026EC1" w:rsidRDefault="00404F34" w:rsidP="007F120F">
      <w:pPr>
        <w:keepNext w:val="0"/>
      </w:pPr>
    </w:p>
    <w:p w14:paraId="35C281DF" w14:textId="41CAB9A0" w:rsidR="00404F34" w:rsidRPr="00026EC1" w:rsidRDefault="00275751" w:rsidP="007F120F">
      <w:pPr>
        <w:keepNext w:val="0"/>
        <w:tabs>
          <w:tab w:val="left" w:pos="567"/>
        </w:tabs>
        <w:ind w:left="567" w:hanging="567"/>
      </w:pPr>
      <w:r w:rsidRPr="00026EC1">
        <w:t>04.</w:t>
      </w:r>
      <w:r w:rsidRPr="00026EC1">
        <w:tab/>
      </w:r>
      <w:r w:rsidR="00404F34" w:rsidRPr="00026EC1">
        <w:t>Le Collège remet à Fondaction ou à son fiduciaire, au plus tard le quinzième</w:t>
      </w:r>
      <w:r w:rsidR="00DF791E">
        <w:t> </w:t>
      </w:r>
      <w:r w:rsidR="00404F34" w:rsidRPr="00026EC1">
        <w:t>(15</w:t>
      </w:r>
      <w:r w:rsidR="00404F34" w:rsidRPr="00026EC1">
        <w:rPr>
          <w:vertAlign w:val="superscript"/>
        </w:rPr>
        <w:t>e</w:t>
      </w:r>
      <w:r w:rsidR="00404F34" w:rsidRPr="00026EC1">
        <w:t>) jour du mois suivant celui pendant lequel la retenue a été effectuée, les contributions versées par les enseignantes et les enseignants de même qu</w:t>
      </w:r>
      <w:r w:rsidR="00BC3319" w:rsidRPr="00026EC1">
        <w:t>’</w:t>
      </w:r>
      <w:r w:rsidR="00404F34" w:rsidRPr="00026EC1">
        <w:t>une liste indiquant le nom, le numéro d</w:t>
      </w:r>
      <w:r w:rsidR="00BC3319" w:rsidRPr="00026EC1">
        <w:t>’</w:t>
      </w:r>
      <w:r w:rsidR="00404F34" w:rsidRPr="00026EC1">
        <w:t>assurance</w:t>
      </w:r>
      <w:r w:rsidR="00984A6F">
        <w:noBreakHyphen/>
      </w:r>
      <w:r w:rsidR="00404F34" w:rsidRPr="00026EC1">
        <w:t>sociale et le montant prélevé pour chaque enseignante ou enseignant.</w:t>
      </w:r>
    </w:p>
    <w:p w14:paraId="01FD1677" w14:textId="77777777" w:rsidR="00404F34" w:rsidRPr="00026EC1" w:rsidRDefault="00404F34" w:rsidP="007F120F">
      <w:pPr>
        <w:keepNext w:val="0"/>
      </w:pPr>
    </w:p>
    <w:p w14:paraId="65538D86" w14:textId="77777777" w:rsidR="00404F34" w:rsidRPr="00026EC1" w:rsidRDefault="00404F34" w:rsidP="007F120F">
      <w:pPr>
        <w:keepNext w:val="0"/>
      </w:pPr>
    </w:p>
    <w:p w14:paraId="516933A9" w14:textId="77777777" w:rsidR="00404F34" w:rsidRPr="00026EC1" w:rsidRDefault="00275751" w:rsidP="007F120F">
      <w:pPr>
        <w:keepNext w:val="0"/>
        <w:tabs>
          <w:tab w:val="left" w:pos="567"/>
        </w:tabs>
        <w:ind w:left="567" w:hanging="567"/>
      </w:pPr>
      <w:r w:rsidRPr="00026EC1">
        <w:t>05.</w:t>
      </w:r>
      <w:r w:rsidRPr="00026EC1">
        <w:tab/>
      </w:r>
      <w:r w:rsidR="00404F34" w:rsidRPr="00026EC1">
        <w:t>Aucun dommage ne peut être imputable au Collège en cas d</w:t>
      </w:r>
      <w:r w:rsidR="00BC3319" w:rsidRPr="00026EC1">
        <w:t>’</w:t>
      </w:r>
      <w:r w:rsidR="00404F34" w:rsidRPr="00026EC1">
        <w:t>erreur ou d</w:t>
      </w:r>
      <w:r w:rsidR="00BC3319" w:rsidRPr="00026EC1">
        <w:t>’</w:t>
      </w:r>
      <w:r w:rsidR="00404F34" w:rsidRPr="00026EC1">
        <w:t>omission relativement au prélèvement à être effectué sur le traitement d</w:t>
      </w:r>
      <w:r w:rsidR="00BC3319" w:rsidRPr="00026EC1">
        <w:t>’</w:t>
      </w:r>
      <w:r w:rsidR="00404F34" w:rsidRPr="00026EC1">
        <w:t>une enseignante ou d</w:t>
      </w:r>
      <w:r w:rsidR="00BC3319" w:rsidRPr="00026EC1">
        <w:t>’</w:t>
      </w:r>
      <w:r w:rsidR="00404F34" w:rsidRPr="00026EC1">
        <w:t>un enseignant en vertu des dispositions de la présente annexe.</w:t>
      </w:r>
    </w:p>
    <w:p w14:paraId="4BEFAD0A" w14:textId="77777777" w:rsidR="00404F34" w:rsidRPr="00026EC1" w:rsidRDefault="00404F34" w:rsidP="007F120F">
      <w:pPr>
        <w:keepNext w:val="0"/>
      </w:pPr>
    </w:p>
    <w:p w14:paraId="44CE3FE2" w14:textId="77777777" w:rsidR="00404F34" w:rsidRPr="00026EC1" w:rsidRDefault="00404F34" w:rsidP="007F120F">
      <w:pPr>
        <w:pStyle w:val="Texte1cm"/>
        <w:keepNext w:val="0"/>
      </w:pPr>
      <w:r w:rsidRPr="00026EC1">
        <w:t>Cependant, le Collège convient de rétablir la situation, dans les meilleurs délais, dès qu</w:t>
      </w:r>
      <w:r w:rsidR="00BC3319" w:rsidRPr="00026EC1">
        <w:t>’</w:t>
      </w:r>
      <w:r w:rsidRPr="00026EC1">
        <w:t>il est informé de l</w:t>
      </w:r>
      <w:r w:rsidR="00BC3319" w:rsidRPr="00026EC1">
        <w:t>’</w:t>
      </w:r>
      <w:r w:rsidRPr="00026EC1">
        <w:t>erreur ou de l</w:t>
      </w:r>
      <w:r w:rsidR="00BC3319" w:rsidRPr="00026EC1">
        <w:t>’</w:t>
      </w:r>
      <w:r w:rsidRPr="00026EC1">
        <w:t>omission dans le montant de la déduction.</w:t>
      </w:r>
    </w:p>
    <w:p w14:paraId="4A9B7F34" w14:textId="5392D5C9" w:rsidR="00F14C6A" w:rsidRPr="0033506A" w:rsidRDefault="00404F34" w:rsidP="007F120F">
      <w:pPr>
        <w:pStyle w:val="Heading3"/>
        <w:keepNext w:val="0"/>
      </w:pPr>
      <w:r w:rsidRPr="00026EC1">
        <w:br w:type="page"/>
      </w:r>
      <w:bookmarkStart w:id="1497" w:name="_Toc133760897"/>
      <w:bookmarkStart w:id="1498" w:name="_Toc133917045"/>
      <w:bookmarkStart w:id="1499" w:name="_Toc134437317"/>
      <w:bookmarkStart w:id="1500" w:name="_Toc393449488"/>
      <w:bookmarkStart w:id="1501" w:name="_Toc462751614"/>
      <w:bookmarkStart w:id="1502" w:name="_Toc484082633"/>
      <w:bookmarkStart w:id="1503" w:name="_Toc168479617"/>
      <w:r w:rsidR="009B64CA" w:rsidRPr="0033506A">
        <w:t>Annexe </w:t>
      </w:r>
      <w:r w:rsidR="00890472" w:rsidRPr="0033506A">
        <w:t>V</w:t>
      </w:r>
      <w:bookmarkEnd w:id="1497"/>
      <w:bookmarkEnd w:id="1498"/>
      <w:bookmarkEnd w:id="1499"/>
      <w:r w:rsidR="0017646C">
        <w:rPr>
          <w:rFonts w:ascii="Cambria Math" w:hAnsi="Cambria Math" w:cs="Cambria Math"/>
        </w:rPr>
        <w:t>-</w:t>
      </w:r>
      <w:r w:rsidR="00291496" w:rsidRPr="0033506A">
        <w:t>5</w:t>
      </w:r>
      <w:r w:rsidRPr="0033506A">
        <w:fldChar w:fldCharType="begin"/>
      </w:r>
      <w:r w:rsidR="009B64CA" w:rsidRPr="0033506A">
        <w:instrText xml:space="preserve"> "</w:instrText>
      </w:r>
      <w:r w:rsidRPr="0033506A">
        <w:fldChar w:fldCharType="end"/>
      </w:r>
      <w:r w:rsidR="009B64CA" w:rsidRPr="0033506A">
        <w:br/>
      </w:r>
      <w:r w:rsidR="009B64CA" w:rsidRPr="0033506A">
        <w:br/>
      </w:r>
      <w:bookmarkStart w:id="1504" w:name="_Toc86318279"/>
      <w:bookmarkStart w:id="1505" w:name="_Toc86318435"/>
      <w:bookmarkEnd w:id="1500"/>
      <w:bookmarkEnd w:id="1501"/>
      <w:bookmarkEnd w:id="1502"/>
      <w:r w:rsidR="00F14C6A" w:rsidRPr="0033506A">
        <w:t>Liste des organismes dont les conditions de travail ou les normes et barèmes de rémunération de leurs personnes salariées sont déterminés ou approuvés selon les conditions définies par le gouvernement</w:t>
      </w:r>
      <w:bookmarkEnd w:id="1504"/>
      <w:bookmarkEnd w:id="1505"/>
      <w:bookmarkEnd w:id="1503"/>
    </w:p>
    <w:p w14:paraId="33AE4ACB" w14:textId="77777777" w:rsidR="00F14C6A" w:rsidRPr="008C5D5E" w:rsidRDefault="00F14C6A" w:rsidP="007F120F">
      <w:pPr>
        <w:keepNext w:val="0"/>
        <w:rPr>
          <w:rFonts w:cs="Arial"/>
          <w:szCs w:val="24"/>
        </w:rPr>
      </w:pPr>
      <w:r w:rsidRPr="008C5D5E">
        <w:rPr>
          <w:rFonts w:cs="Arial"/>
          <w:szCs w:val="24"/>
        </w:rPr>
        <w:t>Agence du revenu du Québec</w:t>
      </w:r>
    </w:p>
    <w:p w14:paraId="4078183A" w14:textId="77777777" w:rsidR="00F14C6A" w:rsidRPr="008C5D5E" w:rsidRDefault="00F14C6A" w:rsidP="007F120F">
      <w:pPr>
        <w:keepNext w:val="0"/>
        <w:rPr>
          <w:rFonts w:cs="Arial"/>
          <w:szCs w:val="24"/>
        </w:rPr>
      </w:pPr>
      <w:r w:rsidRPr="008C5D5E">
        <w:rPr>
          <w:rFonts w:cs="Arial"/>
          <w:szCs w:val="24"/>
        </w:rPr>
        <w:t>Autorité des marchés financiers</w:t>
      </w:r>
    </w:p>
    <w:p w14:paraId="5A4631AD" w14:textId="77777777" w:rsidR="00F14C6A" w:rsidRPr="008C5D5E" w:rsidRDefault="00F14C6A" w:rsidP="007F120F">
      <w:pPr>
        <w:keepNext w:val="0"/>
        <w:rPr>
          <w:rFonts w:cs="Arial"/>
          <w:szCs w:val="24"/>
        </w:rPr>
      </w:pPr>
      <w:r w:rsidRPr="008C5D5E">
        <w:rPr>
          <w:rFonts w:cs="Arial"/>
          <w:szCs w:val="24"/>
        </w:rPr>
        <w:t>Autorité des marchés publics</w:t>
      </w:r>
    </w:p>
    <w:p w14:paraId="51EC9410" w14:textId="77777777" w:rsidR="00F14C6A" w:rsidRPr="008C5D5E" w:rsidRDefault="00F14C6A" w:rsidP="007F120F">
      <w:pPr>
        <w:keepNext w:val="0"/>
        <w:rPr>
          <w:rFonts w:cs="Arial"/>
          <w:szCs w:val="24"/>
        </w:rPr>
      </w:pPr>
      <w:r w:rsidRPr="008C5D5E">
        <w:rPr>
          <w:rFonts w:cs="Arial"/>
          <w:szCs w:val="24"/>
        </w:rPr>
        <w:t>Bibliothèque et Archives nationales du Québec</w:t>
      </w:r>
    </w:p>
    <w:p w14:paraId="7BF8F7F6" w14:textId="77777777" w:rsidR="00F14C6A" w:rsidRPr="008C5D5E" w:rsidRDefault="00F14C6A" w:rsidP="007F120F">
      <w:pPr>
        <w:keepNext w:val="0"/>
        <w:rPr>
          <w:rFonts w:cs="Arial"/>
          <w:szCs w:val="24"/>
        </w:rPr>
      </w:pPr>
      <w:r w:rsidRPr="008C5D5E">
        <w:rPr>
          <w:rFonts w:cs="Arial"/>
          <w:szCs w:val="24"/>
        </w:rPr>
        <w:t>Bureau des enquêtes indépendantes</w:t>
      </w:r>
    </w:p>
    <w:p w14:paraId="210EA5F9" w14:textId="77777777" w:rsidR="00F14C6A" w:rsidRPr="008C5D5E" w:rsidRDefault="00F14C6A" w:rsidP="007F120F">
      <w:pPr>
        <w:keepNext w:val="0"/>
        <w:rPr>
          <w:rFonts w:cs="Arial"/>
          <w:szCs w:val="24"/>
        </w:rPr>
      </w:pPr>
      <w:r w:rsidRPr="008C5D5E">
        <w:rPr>
          <w:rFonts w:cs="Arial"/>
          <w:szCs w:val="24"/>
        </w:rPr>
        <w:t>Centre de la francophonie des Amériques</w:t>
      </w:r>
    </w:p>
    <w:p w14:paraId="40400F57" w14:textId="77777777" w:rsidR="00D0725F" w:rsidRPr="00D0725F" w:rsidRDefault="00D0725F" w:rsidP="00D0725F">
      <w:pPr>
        <w:keepNext w:val="0"/>
        <w:rPr>
          <w:rFonts w:cs="Arial"/>
          <w:sz w:val="28"/>
          <w:szCs w:val="28"/>
        </w:rPr>
      </w:pPr>
      <w:r w:rsidRPr="00316277">
        <w:rPr>
          <w:rFonts w:cs="Arial"/>
          <w:szCs w:val="24"/>
          <w:shd w:val="clear" w:color="auto" w:fill="FFFFFF"/>
        </w:rPr>
        <w:t>Les centres régionaux d’aide juridique</w:t>
      </w:r>
    </w:p>
    <w:p w14:paraId="4A021141" w14:textId="77777777" w:rsidR="00F14C6A" w:rsidRPr="008C5D5E" w:rsidRDefault="00F14C6A" w:rsidP="007F120F">
      <w:pPr>
        <w:keepNext w:val="0"/>
        <w:rPr>
          <w:rFonts w:cs="Arial"/>
          <w:szCs w:val="24"/>
        </w:rPr>
      </w:pPr>
      <w:r w:rsidRPr="008C5D5E">
        <w:rPr>
          <w:rFonts w:cs="Arial"/>
          <w:szCs w:val="24"/>
        </w:rPr>
        <w:t>Commissaire à la lutte contre la corruption</w:t>
      </w:r>
    </w:p>
    <w:p w14:paraId="4C5CD59C" w14:textId="77777777" w:rsidR="00F14C6A" w:rsidRPr="008C5D5E" w:rsidRDefault="00F14C6A" w:rsidP="007F120F">
      <w:pPr>
        <w:keepNext w:val="0"/>
        <w:rPr>
          <w:rFonts w:cs="Arial"/>
          <w:szCs w:val="24"/>
        </w:rPr>
      </w:pPr>
      <w:r w:rsidRPr="008C5D5E">
        <w:rPr>
          <w:rFonts w:cs="Arial"/>
          <w:szCs w:val="24"/>
        </w:rPr>
        <w:t>Commission de la capitale nationale du Québec</w:t>
      </w:r>
    </w:p>
    <w:p w14:paraId="207BAA33" w14:textId="77777777" w:rsidR="00F14C6A" w:rsidRPr="008C5D5E" w:rsidRDefault="00F14C6A" w:rsidP="007F120F">
      <w:pPr>
        <w:keepNext w:val="0"/>
        <w:rPr>
          <w:rFonts w:cs="Arial"/>
          <w:szCs w:val="24"/>
        </w:rPr>
      </w:pPr>
      <w:r w:rsidRPr="008C5D5E">
        <w:rPr>
          <w:rFonts w:cs="Arial"/>
          <w:szCs w:val="24"/>
        </w:rPr>
        <w:t>Commission de la construction du Québec</w:t>
      </w:r>
    </w:p>
    <w:p w14:paraId="31897028" w14:textId="77777777" w:rsidR="00D0725F" w:rsidRPr="00D0725F" w:rsidRDefault="00D0725F" w:rsidP="00D0725F">
      <w:pPr>
        <w:keepNext w:val="0"/>
        <w:rPr>
          <w:rFonts w:cs="Arial"/>
          <w:sz w:val="28"/>
          <w:szCs w:val="28"/>
        </w:rPr>
      </w:pPr>
      <w:r w:rsidRPr="00316277">
        <w:rPr>
          <w:rFonts w:cs="Arial"/>
          <w:szCs w:val="24"/>
          <w:shd w:val="clear" w:color="auto" w:fill="FFFFFF"/>
        </w:rPr>
        <w:t>La Commission des droits de la personne et des droits de la jeunesse</w:t>
      </w:r>
    </w:p>
    <w:p w14:paraId="617C04E6" w14:textId="77777777" w:rsidR="00F14C6A" w:rsidRPr="008C5D5E" w:rsidRDefault="00F14C6A" w:rsidP="007F120F">
      <w:pPr>
        <w:keepNext w:val="0"/>
        <w:rPr>
          <w:rFonts w:cs="Arial"/>
          <w:szCs w:val="24"/>
        </w:rPr>
      </w:pPr>
      <w:r w:rsidRPr="008C5D5E">
        <w:rPr>
          <w:rFonts w:cs="Arial"/>
          <w:szCs w:val="24"/>
        </w:rPr>
        <w:t>Commission des services juridiques</w:t>
      </w:r>
    </w:p>
    <w:p w14:paraId="6DD4DDF8" w14:textId="77777777" w:rsidR="00F14C6A" w:rsidRPr="008C5D5E" w:rsidRDefault="00F14C6A" w:rsidP="007F120F">
      <w:pPr>
        <w:keepNext w:val="0"/>
        <w:rPr>
          <w:rFonts w:cs="Arial"/>
          <w:szCs w:val="24"/>
        </w:rPr>
      </w:pPr>
      <w:r w:rsidRPr="008C5D5E">
        <w:rPr>
          <w:rFonts w:cs="Arial"/>
          <w:szCs w:val="24"/>
        </w:rPr>
        <w:t>Conseil des arts et des lettres du Québec</w:t>
      </w:r>
    </w:p>
    <w:p w14:paraId="3131C677" w14:textId="77777777" w:rsidR="00F14C6A" w:rsidRPr="008C5D5E" w:rsidRDefault="00F14C6A" w:rsidP="007F120F">
      <w:pPr>
        <w:keepNext w:val="0"/>
        <w:rPr>
          <w:rFonts w:cs="Arial"/>
          <w:szCs w:val="24"/>
        </w:rPr>
      </w:pPr>
      <w:r w:rsidRPr="008C5D5E">
        <w:rPr>
          <w:rFonts w:cs="Arial"/>
          <w:szCs w:val="24"/>
        </w:rPr>
        <w:t>Conservatoire de musique et d’art dramatique du Québec</w:t>
      </w:r>
    </w:p>
    <w:p w14:paraId="1835DDF8" w14:textId="499072CC" w:rsidR="00F14C6A" w:rsidRPr="008C5D5E" w:rsidRDefault="00F14C6A" w:rsidP="007F120F">
      <w:pPr>
        <w:keepNext w:val="0"/>
        <w:rPr>
          <w:rFonts w:cs="Arial"/>
          <w:szCs w:val="24"/>
        </w:rPr>
      </w:pPr>
      <w:r w:rsidRPr="008C5D5E">
        <w:rPr>
          <w:rFonts w:cs="Arial"/>
          <w:szCs w:val="24"/>
        </w:rPr>
        <w:t>Corporation d’urgences</w:t>
      </w:r>
      <w:r w:rsidR="00984A6F">
        <w:rPr>
          <w:rFonts w:cs="Arial"/>
          <w:szCs w:val="24"/>
        </w:rPr>
        <w:noBreakHyphen/>
      </w:r>
      <w:r w:rsidRPr="008C5D5E">
        <w:rPr>
          <w:rFonts w:cs="Arial"/>
          <w:szCs w:val="24"/>
        </w:rPr>
        <w:t>santé de la région de Montréal Métropolitain</w:t>
      </w:r>
    </w:p>
    <w:p w14:paraId="6591393A" w14:textId="77777777" w:rsidR="00F14C6A" w:rsidRPr="008C5D5E" w:rsidRDefault="00F14C6A" w:rsidP="007F120F">
      <w:pPr>
        <w:keepNext w:val="0"/>
        <w:rPr>
          <w:rFonts w:cs="Arial"/>
          <w:szCs w:val="24"/>
        </w:rPr>
      </w:pPr>
      <w:r w:rsidRPr="008C5D5E">
        <w:rPr>
          <w:rFonts w:cs="Arial"/>
          <w:szCs w:val="24"/>
        </w:rPr>
        <w:t>École nationale de police du Québec</w:t>
      </w:r>
    </w:p>
    <w:p w14:paraId="0F4D4083" w14:textId="77777777" w:rsidR="00F14C6A" w:rsidRPr="008C5D5E" w:rsidRDefault="00F14C6A" w:rsidP="007F120F">
      <w:pPr>
        <w:keepNext w:val="0"/>
        <w:rPr>
          <w:rFonts w:cs="Arial"/>
          <w:szCs w:val="24"/>
        </w:rPr>
      </w:pPr>
      <w:r w:rsidRPr="008C5D5E">
        <w:rPr>
          <w:rFonts w:cs="Arial"/>
          <w:szCs w:val="24"/>
        </w:rPr>
        <w:t>École nationale des pompiers du Québec</w:t>
      </w:r>
    </w:p>
    <w:p w14:paraId="21B09E49" w14:textId="6175110D" w:rsidR="00F14C6A" w:rsidRPr="008C5D5E" w:rsidRDefault="00F14C6A" w:rsidP="007F120F">
      <w:pPr>
        <w:keepNext w:val="0"/>
        <w:rPr>
          <w:rFonts w:cs="Arial"/>
          <w:szCs w:val="24"/>
        </w:rPr>
      </w:pPr>
      <w:r w:rsidRPr="008C5D5E">
        <w:rPr>
          <w:rFonts w:cs="Arial"/>
          <w:szCs w:val="24"/>
        </w:rPr>
        <w:t>Financement</w:t>
      </w:r>
      <w:r w:rsidR="00984A6F">
        <w:rPr>
          <w:rFonts w:cs="Arial"/>
          <w:szCs w:val="24"/>
        </w:rPr>
        <w:noBreakHyphen/>
      </w:r>
      <w:r w:rsidRPr="008C5D5E">
        <w:rPr>
          <w:rFonts w:cs="Arial"/>
          <w:szCs w:val="24"/>
        </w:rPr>
        <w:t>Québec</w:t>
      </w:r>
    </w:p>
    <w:p w14:paraId="0FB50EF2" w14:textId="70522011" w:rsidR="00F14C6A" w:rsidRDefault="00F14C6A" w:rsidP="007F120F">
      <w:pPr>
        <w:keepNext w:val="0"/>
        <w:rPr>
          <w:rFonts w:cs="Arial"/>
          <w:szCs w:val="24"/>
        </w:rPr>
      </w:pPr>
      <w:r w:rsidRPr="008C5D5E">
        <w:rPr>
          <w:rFonts w:cs="Arial"/>
          <w:szCs w:val="24"/>
        </w:rPr>
        <w:t>Fondation de la faune du Québec</w:t>
      </w:r>
    </w:p>
    <w:p w14:paraId="7250BDBE" w14:textId="77777777" w:rsidR="00D0725F" w:rsidRPr="008C5D5E" w:rsidRDefault="00D0725F" w:rsidP="00D0725F">
      <w:pPr>
        <w:keepNext w:val="0"/>
        <w:rPr>
          <w:rFonts w:cs="Arial"/>
          <w:szCs w:val="24"/>
        </w:rPr>
      </w:pPr>
      <w:r w:rsidRPr="00316277">
        <w:rPr>
          <w:rFonts w:cs="Arial"/>
          <w:szCs w:val="24"/>
        </w:rPr>
        <w:t>Fonds de recherche du Québec–Nature et technologies</w:t>
      </w:r>
    </w:p>
    <w:p w14:paraId="300B04C6" w14:textId="3E56F90E" w:rsidR="00F14C6A" w:rsidRPr="008C5D5E" w:rsidRDefault="00F14C6A" w:rsidP="007F120F">
      <w:pPr>
        <w:keepNext w:val="0"/>
        <w:rPr>
          <w:rFonts w:cs="Arial"/>
          <w:szCs w:val="24"/>
        </w:rPr>
      </w:pPr>
      <w:r w:rsidRPr="008C5D5E">
        <w:rPr>
          <w:rFonts w:cs="Arial"/>
          <w:szCs w:val="24"/>
        </w:rPr>
        <w:t xml:space="preserve">Fonds de recherche du Québec – Santé </w:t>
      </w:r>
    </w:p>
    <w:p w14:paraId="26FE973D" w14:textId="2B9CFFBA" w:rsidR="00F14C6A" w:rsidRPr="008C5D5E" w:rsidRDefault="00F14C6A" w:rsidP="007F120F">
      <w:pPr>
        <w:keepNext w:val="0"/>
        <w:rPr>
          <w:rFonts w:cs="Arial"/>
          <w:szCs w:val="24"/>
        </w:rPr>
      </w:pPr>
      <w:r w:rsidRPr="008C5D5E">
        <w:rPr>
          <w:rFonts w:cs="Arial"/>
          <w:szCs w:val="24"/>
        </w:rPr>
        <w:t>Fonds de recherche du Québec–Société et culture</w:t>
      </w:r>
    </w:p>
    <w:p w14:paraId="0FFCB9E8" w14:textId="43DD1400" w:rsidR="00F14C6A" w:rsidRPr="008C5D5E" w:rsidRDefault="00F14C6A" w:rsidP="007F120F">
      <w:pPr>
        <w:keepNext w:val="0"/>
        <w:rPr>
          <w:rFonts w:cs="Arial"/>
          <w:szCs w:val="24"/>
        </w:rPr>
      </w:pPr>
      <w:r w:rsidRPr="008C5D5E">
        <w:rPr>
          <w:rFonts w:cs="Arial"/>
          <w:szCs w:val="24"/>
        </w:rPr>
        <w:t>Héma</w:t>
      </w:r>
      <w:r w:rsidR="00984A6F">
        <w:rPr>
          <w:rFonts w:cs="Arial"/>
          <w:szCs w:val="24"/>
        </w:rPr>
        <w:noBreakHyphen/>
      </w:r>
      <w:r w:rsidRPr="008C5D5E">
        <w:rPr>
          <w:rFonts w:cs="Arial"/>
          <w:szCs w:val="24"/>
        </w:rPr>
        <w:t>Québec</w:t>
      </w:r>
    </w:p>
    <w:p w14:paraId="7EB117EB" w14:textId="77777777" w:rsidR="00D0725F" w:rsidRPr="00A629AB" w:rsidRDefault="00D0725F" w:rsidP="00D0725F">
      <w:pPr>
        <w:keepNext w:val="0"/>
        <w:rPr>
          <w:rFonts w:cs="Arial"/>
          <w:szCs w:val="24"/>
        </w:rPr>
      </w:pPr>
      <w:r w:rsidRPr="00316277">
        <w:rPr>
          <w:rFonts w:cs="Arial"/>
          <w:szCs w:val="24"/>
        </w:rPr>
        <w:t>Hydro-Québec</w:t>
      </w:r>
    </w:p>
    <w:p w14:paraId="4B3BF6F2" w14:textId="77777777" w:rsidR="00D0725F" w:rsidRPr="008C5D5E" w:rsidRDefault="00D0725F" w:rsidP="00D0725F">
      <w:pPr>
        <w:keepNext w:val="0"/>
        <w:rPr>
          <w:rFonts w:cs="Arial"/>
          <w:szCs w:val="24"/>
        </w:rPr>
      </w:pPr>
      <w:r w:rsidRPr="00316277">
        <w:rPr>
          <w:rFonts w:cs="Arial"/>
          <w:szCs w:val="24"/>
        </w:rPr>
        <w:t>Institut de technologie agroalimentaire du Québec</w:t>
      </w:r>
    </w:p>
    <w:p w14:paraId="6D74BC57" w14:textId="77777777" w:rsidR="00F14C6A" w:rsidRPr="008C5D5E" w:rsidRDefault="00F14C6A" w:rsidP="007F120F">
      <w:pPr>
        <w:keepNext w:val="0"/>
        <w:rPr>
          <w:rFonts w:cs="Arial"/>
          <w:szCs w:val="24"/>
        </w:rPr>
      </w:pPr>
      <w:r w:rsidRPr="008C5D5E">
        <w:rPr>
          <w:rFonts w:cs="Arial"/>
          <w:szCs w:val="24"/>
        </w:rPr>
        <w:t>Institut de tourisme et d’hôtellerie du Québec </w:t>
      </w:r>
    </w:p>
    <w:p w14:paraId="31EF749A" w14:textId="77777777" w:rsidR="00F14C6A" w:rsidRPr="008C5D5E" w:rsidRDefault="00F14C6A" w:rsidP="007F120F">
      <w:pPr>
        <w:keepNext w:val="0"/>
        <w:rPr>
          <w:rFonts w:cs="Arial"/>
          <w:szCs w:val="24"/>
        </w:rPr>
      </w:pPr>
      <w:r w:rsidRPr="008C5D5E">
        <w:rPr>
          <w:rFonts w:cs="Arial"/>
          <w:szCs w:val="24"/>
        </w:rPr>
        <w:t>Institut national d’excellence en santé et en services sociaux</w:t>
      </w:r>
    </w:p>
    <w:p w14:paraId="4A59154E" w14:textId="1C51EFDA" w:rsidR="00F14C6A" w:rsidRPr="008C5D5E" w:rsidRDefault="00F14C6A" w:rsidP="007F120F">
      <w:pPr>
        <w:keepNext w:val="0"/>
        <w:rPr>
          <w:rFonts w:cs="Arial"/>
          <w:szCs w:val="24"/>
        </w:rPr>
      </w:pPr>
      <w:r w:rsidRPr="008C5D5E">
        <w:rPr>
          <w:rFonts w:cs="Arial"/>
          <w:szCs w:val="24"/>
        </w:rPr>
        <w:t>Institut national de santé publique du Québec</w:t>
      </w:r>
    </w:p>
    <w:p w14:paraId="5693379D" w14:textId="77777777" w:rsidR="00F14C6A" w:rsidRPr="008C5D5E" w:rsidRDefault="00F14C6A" w:rsidP="007F120F">
      <w:pPr>
        <w:keepNext w:val="0"/>
        <w:rPr>
          <w:rFonts w:cs="Arial"/>
          <w:szCs w:val="24"/>
        </w:rPr>
      </w:pPr>
      <w:r w:rsidRPr="008C5D5E">
        <w:rPr>
          <w:rFonts w:cs="Arial"/>
          <w:szCs w:val="24"/>
        </w:rPr>
        <w:t>Institut national des mines</w:t>
      </w:r>
    </w:p>
    <w:p w14:paraId="0F7D560F" w14:textId="77777777" w:rsidR="00F14C6A" w:rsidRPr="008C5D5E" w:rsidRDefault="00F14C6A" w:rsidP="007F120F">
      <w:pPr>
        <w:keepNext w:val="0"/>
        <w:rPr>
          <w:rFonts w:cs="Arial"/>
          <w:szCs w:val="24"/>
        </w:rPr>
      </w:pPr>
      <w:r w:rsidRPr="008C5D5E">
        <w:rPr>
          <w:rFonts w:cs="Arial"/>
          <w:szCs w:val="24"/>
        </w:rPr>
        <w:t>Musée d’art contemporain de Montréal</w:t>
      </w:r>
    </w:p>
    <w:p w14:paraId="565B3D23" w14:textId="77777777" w:rsidR="00F14C6A" w:rsidRPr="008C5D5E" w:rsidRDefault="00F14C6A" w:rsidP="007F120F">
      <w:pPr>
        <w:keepNext w:val="0"/>
        <w:rPr>
          <w:rFonts w:cs="Arial"/>
          <w:szCs w:val="24"/>
        </w:rPr>
      </w:pPr>
      <w:r w:rsidRPr="008C5D5E">
        <w:rPr>
          <w:rFonts w:cs="Arial"/>
          <w:szCs w:val="24"/>
        </w:rPr>
        <w:t>Musée de la civilisation</w:t>
      </w:r>
    </w:p>
    <w:p w14:paraId="054550B1" w14:textId="447A865D" w:rsidR="00F14C6A" w:rsidRPr="008C5D5E" w:rsidRDefault="00F14C6A" w:rsidP="007F120F">
      <w:pPr>
        <w:keepNext w:val="0"/>
        <w:rPr>
          <w:rFonts w:cs="Arial"/>
          <w:szCs w:val="24"/>
        </w:rPr>
      </w:pPr>
      <w:r w:rsidRPr="008C5D5E">
        <w:rPr>
          <w:rFonts w:cs="Arial"/>
          <w:szCs w:val="24"/>
        </w:rPr>
        <w:t>Musée national des beaux</w:t>
      </w:r>
      <w:r w:rsidR="00984A6F">
        <w:rPr>
          <w:rFonts w:cs="Arial"/>
          <w:szCs w:val="24"/>
        </w:rPr>
        <w:noBreakHyphen/>
      </w:r>
      <w:r w:rsidRPr="008C5D5E">
        <w:rPr>
          <w:rFonts w:cs="Arial"/>
          <w:szCs w:val="24"/>
        </w:rPr>
        <w:t>arts du Québec</w:t>
      </w:r>
    </w:p>
    <w:p w14:paraId="262F963A" w14:textId="40F309F1" w:rsidR="00D0725F" w:rsidRPr="00D0725F" w:rsidRDefault="00D0725F" w:rsidP="00D0725F">
      <w:pPr>
        <w:keepNext w:val="0"/>
        <w:rPr>
          <w:rFonts w:cs="Arial"/>
          <w:szCs w:val="24"/>
        </w:rPr>
      </w:pPr>
      <w:r w:rsidRPr="00D0725F">
        <w:rPr>
          <w:rFonts w:cs="Arial"/>
          <w:szCs w:val="24"/>
        </w:rPr>
        <w:t xml:space="preserve">Office de la Sécurité </w:t>
      </w:r>
      <w:r w:rsidR="00D6150C" w:rsidRPr="00316277">
        <w:rPr>
          <w:rFonts w:cs="Arial"/>
          <w:szCs w:val="24"/>
        </w:rPr>
        <w:t>économique</w:t>
      </w:r>
      <w:r w:rsidR="00D6150C">
        <w:rPr>
          <w:rFonts w:cs="Arial"/>
          <w:szCs w:val="24"/>
        </w:rPr>
        <w:t xml:space="preserve"> </w:t>
      </w:r>
      <w:r w:rsidRPr="00D0725F">
        <w:rPr>
          <w:rFonts w:cs="Arial"/>
          <w:szCs w:val="24"/>
        </w:rPr>
        <w:t>des chasseurs cris</w:t>
      </w:r>
    </w:p>
    <w:p w14:paraId="4D1C6948" w14:textId="1EF9DC44" w:rsidR="00F14C6A" w:rsidRPr="008C5D5E" w:rsidRDefault="00F14C6A" w:rsidP="007F120F">
      <w:pPr>
        <w:keepNext w:val="0"/>
        <w:rPr>
          <w:rFonts w:cs="Arial"/>
          <w:szCs w:val="24"/>
        </w:rPr>
      </w:pPr>
      <w:r w:rsidRPr="008C5D5E">
        <w:rPr>
          <w:rFonts w:cs="Arial"/>
          <w:szCs w:val="24"/>
        </w:rPr>
        <w:t>Office Québec</w:t>
      </w:r>
      <w:r w:rsidR="00984A6F">
        <w:rPr>
          <w:rFonts w:cs="Arial"/>
          <w:szCs w:val="24"/>
        </w:rPr>
        <w:noBreakHyphen/>
      </w:r>
      <w:r w:rsidR="009D3F97">
        <w:rPr>
          <w:rFonts w:cs="Arial"/>
          <w:szCs w:val="24"/>
        </w:rPr>
        <w:t xml:space="preserve">Monde </w:t>
      </w:r>
      <w:r w:rsidRPr="008C5D5E">
        <w:rPr>
          <w:rFonts w:cs="Arial"/>
          <w:szCs w:val="24"/>
        </w:rPr>
        <w:t>pour la jeunesse</w:t>
      </w:r>
    </w:p>
    <w:p w14:paraId="572ED6FB" w14:textId="77777777" w:rsidR="00D6150C" w:rsidRPr="00D6150C" w:rsidRDefault="00D6150C" w:rsidP="00D6150C">
      <w:pPr>
        <w:keepNext w:val="0"/>
        <w:rPr>
          <w:rFonts w:cs="Arial"/>
          <w:sz w:val="28"/>
          <w:szCs w:val="28"/>
        </w:rPr>
      </w:pPr>
      <w:r w:rsidRPr="00316277">
        <w:rPr>
          <w:rFonts w:cs="Arial"/>
          <w:szCs w:val="24"/>
          <w:shd w:val="clear" w:color="auto" w:fill="FFFFFF"/>
        </w:rPr>
        <w:t>La Société de développement et de mise en valeur du Parc olympique</w:t>
      </w:r>
    </w:p>
    <w:p w14:paraId="4A5DD2FF" w14:textId="77777777" w:rsidR="005E4522" w:rsidRDefault="00D6150C" w:rsidP="007F120F">
      <w:pPr>
        <w:keepNext w:val="0"/>
        <w:rPr>
          <w:rFonts w:cs="Arial"/>
          <w:szCs w:val="24"/>
          <w:shd w:val="clear" w:color="auto" w:fill="FFFFFF"/>
        </w:rPr>
      </w:pPr>
      <w:r w:rsidRPr="00316277">
        <w:rPr>
          <w:rFonts w:cs="Arial"/>
          <w:szCs w:val="24"/>
          <w:shd w:val="clear" w:color="auto" w:fill="FFFFFF"/>
        </w:rPr>
        <w:t>Le Protecteur du citoyen</w:t>
      </w:r>
    </w:p>
    <w:p w14:paraId="57D2B891" w14:textId="5234B057" w:rsidR="00F14C6A" w:rsidRPr="008C5D5E" w:rsidRDefault="00F14C6A" w:rsidP="007F120F">
      <w:pPr>
        <w:keepNext w:val="0"/>
        <w:rPr>
          <w:rFonts w:cs="Arial"/>
          <w:szCs w:val="24"/>
        </w:rPr>
      </w:pPr>
      <w:r w:rsidRPr="008C5D5E">
        <w:rPr>
          <w:rFonts w:cs="Arial"/>
          <w:szCs w:val="24"/>
        </w:rPr>
        <w:t>Régie de l’énergie</w:t>
      </w:r>
    </w:p>
    <w:p w14:paraId="6737D285" w14:textId="77777777" w:rsidR="00F14C6A" w:rsidRPr="008C5D5E" w:rsidRDefault="00F14C6A" w:rsidP="007F120F">
      <w:pPr>
        <w:keepNext w:val="0"/>
        <w:rPr>
          <w:rFonts w:cs="Arial"/>
          <w:szCs w:val="24"/>
        </w:rPr>
      </w:pPr>
      <w:r w:rsidRPr="008C5D5E">
        <w:rPr>
          <w:rFonts w:cs="Arial"/>
          <w:szCs w:val="24"/>
        </w:rPr>
        <w:t>Société de développement de la Baie James</w:t>
      </w:r>
    </w:p>
    <w:p w14:paraId="639421E3" w14:textId="77777777" w:rsidR="00F14C6A" w:rsidRPr="008C5D5E" w:rsidRDefault="00F14C6A" w:rsidP="007F120F">
      <w:pPr>
        <w:keepNext w:val="0"/>
        <w:rPr>
          <w:rFonts w:cs="Arial"/>
          <w:szCs w:val="24"/>
        </w:rPr>
      </w:pPr>
      <w:r w:rsidRPr="008C5D5E">
        <w:rPr>
          <w:rFonts w:cs="Arial"/>
          <w:szCs w:val="24"/>
        </w:rPr>
        <w:t>Société de développement des entreprises culturelles</w:t>
      </w:r>
    </w:p>
    <w:p w14:paraId="44E4FF0B" w14:textId="77777777" w:rsidR="00F14C6A" w:rsidRPr="008C5D5E" w:rsidRDefault="00F14C6A" w:rsidP="007F120F">
      <w:pPr>
        <w:keepNext w:val="0"/>
        <w:rPr>
          <w:rFonts w:cs="Arial"/>
          <w:szCs w:val="24"/>
        </w:rPr>
      </w:pPr>
      <w:r w:rsidRPr="008C5D5E">
        <w:rPr>
          <w:rFonts w:cs="Arial"/>
          <w:szCs w:val="24"/>
        </w:rPr>
        <w:t>Société de financement des infrastructures locales du Québec</w:t>
      </w:r>
    </w:p>
    <w:p w14:paraId="20193352" w14:textId="77777777" w:rsidR="00F14C6A" w:rsidRPr="008C5D5E" w:rsidRDefault="00F14C6A" w:rsidP="007F120F">
      <w:pPr>
        <w:keepNext w:val="0"/>
        <w:rPr>
          <w:rFonts w:cs="Arial"/>
          <w:szCs w:val="24"/>
        </w:rPr>
      </w:pPr>
      <w:r w:rsidRPr="008C5D5E">
        <w:rPr>
          <w:rFonts w:cs="Arial"/>
          <w:szCs w:val="24"/>
        </w:rPr>
        <w:t>Société de la Place des Arts de Montréal</w:t>
      </w:r>
    </w:p>
    <w:p w14:paraId="01D2A0F7" w14:textId="4461D4E4" w:rsidR="00F14C6A" w:rsidRPr="008C5D5E" w:rsidRDefault="00F14C6A" w:rsidP="007F120F">
      <w:pPr>
        <w:keepNext w:val="0"/>
        <w:rPr>
          <w:rFonts w:cs="Arial"/>
          <w:szCs w:val="24"/>
        </w:rPr>
      </w:pPr>
      <w:r w:rsidRPr="008C5D5E">
        <w:rPr>
          <w:rFonts w:cs="Arial"/>
          <w:szCs w:val="24"/>
        </w:rPr>
        <w:t xml:space="preserve">Société de télédiffusion du Québec </w:t>
      </w:r>
    </w:p>
    <w:p w14:paraId="0875E4D9" w14:textId="77777777" w:rsidR="00F14C6A" w:rsidRPr="008C5D5E" w:rsidRDefault="00F14C6A" w:rsidP="007F120F">
      <w:pPr>
        <w:keepNext w:val="0"/>
        <w:rPr>
          <w:rFonts w:cs="Arial"/>
          <w:szCs w:val="24"/>
        </w:rPr>
      </w:pPr>
      <w:r w:rsidRPr="008C5D5E">
        <w:rPr>
          <w:rFonts w:cs="Arial"/>
          <w:szCs w:val="24"/>
        </w:rPr>
        <w:t>Société des alcools du Québec</w:t>
      </w:r>
    </w:p>
    <w:p w14:paraId="2DD90664" w14:textId="77777777" w:rsidR="00F14C6A" w:rsidRPr="008C5D5E" w:rsidRDefault="00F14C6A" w:rsidP="007F120F">
      <w:pPr>
        <w:keepNext w:val="0"/>
        <w:rPr>
          <w:rFonts w:cs="Arial"/>
          <w:szCs w:val="24"/>
        </w:rPr>
      </w:pPr>
      <w:r w:rsidRPr="008C5D5E">
        <w:rPr>
          <w:rFonts w:cs="Arial"/>
          <w:szCs w:val="24"/>
        </w:rPr>
        <w:t>Société des établissements de plein air du Québec</w:t>
      </w:r>
    </w:p>
    <w:p w14:paraId="79D70594" w14:textId="77777777" w:rsidR="00F14C6A" w:rsidRPr="008C5D5E" w:rsidRDefault="00F14C6A" w:rsidP="007F120F">
      <w:pPr>
        <w:pStyle w:val="CommentText"/>
        <w:keepNext w:val="0"/>
        <w:tabs>
          <w:tab w:val="clear" w:pos="3969"/>
        </w:tabs>
        <w:rPr>
          <w:rFonts w:cs="Arial"/>
          <w:szCs w:val="24"/>
        </w:rPr>
      </w:pPr>
      <w:r w:rsidRPr="008C5D5E">
        <w:rPr>
          <w:rFonts w:cs="Arial"/>
          <w:szCs w:val="24"/>
        </w:rPr>
        <w:t>Société des loteries du Québec</w:t>
      </w:r>
    </w:p>
    <w:p w14:paraId="48FDF8DC" w14:textId="77777777" w:rsidR="00F14C6A" w:rsidRPr="008C5D5E" w:rsidRDefault="00F14C6A" w:rsidP="007F120F">
      <w:pPr>
        <w:keepNext w:val="0"/>
        <w:rPr>
          <w:rFonts w:cs="Arial"/>
          <w:szCs w:val="24"/>
        </w:rPr>
      </w:pPr>
      <w:r w:rsidRPr="008C5D5E">
        <w:rPr>
          <w:rFonts w:cs="Arial"/>
          <w:szCs w:val="24"/>
        </w:rPr>
        <w:t>Société des traversiers du Québec</w:t>
      </w:r>
    </w:p>
    <w:p w14:paraId="5240FC58" w14:textId="77777777" w:rsidR="00F14C6A" w:rsidRPr="008C5D5E" w:rsidRDefault="00F14C6A" w:rsidP="007F120F">
      <w:pPr>
        <w:keepNext w:val="0"/>
        <w:rPr>
          <w:rFonts w:cs="Arial"/>
          <w:szCs w:val="24"/>
        </w:rPr>
      </w:pPr>
      <w:r w:rsidRPr="008C5D5E">
        <w:rPr>
          <w:rFonts w:cs="Arial"/>
          <w:szCs w:val="24"/>
        </w:rPr>
        <w:t>Société du Centre des congrès de Québec</w:t>
      </w:r>
    </w:p>
    <w:p w14:paraId="221D8F71" w14:textId="77777777" w:rsidR="00F14C6A" w:rsidRPr="008C5D5E" w:rsidRDefault="00F14C6A" w:rsidP="007F120F">
      <w:pPr>
        <w:keepNext w:val="0"/>
        <w:rPr>
          <w:rFonts w:cs="Arial"/>
          <w:szCs w:val="24"/>
        </w:rPr>
      </w:pPr>
      <w:r w:rsidRPr="008C5D5E">
        <w:rPr>
          <w:rFonts w:cs="Arial"/>
          <w:szCs w:val="24"/>
        </w:rPr>
        <w:t>Société du Grand théâtre de Québec</w:t>
      </w:r>
    </w:p>
    <w:p w14:paraId="6314A2DD" w14:textId="77777777" w:rsidR="00F14C6A" w:rsidRPr="008C5D5E" w:rsidRDefault="00F14C6A" w:rsidP="007F120F">
      <w:pPr>
        <w:keepNext w:val="0"/>
        <w:rPr>
          <w:rFonts w:cs="Arial"/>
          <w:szCs w:val="24"/>
        </w:rPr>
      </w:pPr>
      <w:r w:rsidRPr="008C5D5E">
        <w:rPr>
          <w:rFonts w:cs="Arial"/>
          <w:szCs w:val="24"/>
        </w:rPr>
        <w:t>Société du Palais des congrès de Montréal</w:t>
      </w:r>
    </w:p>
    <w:p w14:paraId="29B8D6B2" w14:textId="77777777" w:rsidR="00F14C6A" w:rsidRPr="008C5D5E" w:rsidRDefault="00F14C6A" w:rsidP="007F120F">
      <w:pPr>
        <w:keepNext w:val="0"/>
        <w:rPr>
          <w:rFonts w:cs="Arial"/>
          <w:szCs w:val="24"/>
        </w:rPr>
      </w:pPr>
      <w:r w:rsidRPr="008C5D5E">
        <w:rPr>
          <w:rFonts w:cs="Arial"/>
          <w:szCs w:val="24"/>
        </w:rPr>
        <w:t>Société du parc industriel et portuaire de Bécancour</w:t>
      </w:r>
    </w:p>
    <w:p w14:paraId="33113F69" w14:textId="77777777" w:rsidR="00F14C6A" w:rsidRPr="008C5D5E" w:rsidRDefault="00F14C6A" w:rsidP="007F120F">
      <w:pPr>
        <w:keepNext w:val="0"/>
        <w:rPr>
          <w:rFonts w:cs="Arial"/>
          <w:szCs w:val="24"/>
        </w:rPr>
      </w:pPr>
      <w:r w:rsidRPr="008C5D5E">
        <w:rPr>
          <w:rFonts w:cs="Arial"/>
          <w:szCs w:val="24"/>
        </w:rPr>
        <w:t>Société du Plan Nord</w:t>
      </w:r>
    </w:p>
    <w:p w14:paraId="682B56DE" w14:textId="34879167" w:rsidR="00F14C6A" w:rsidRPr="008C5D5E" w:rsidRDefault="00F14C6A" w:rsidP="007F120F">
      <w:pPr>
        <w:keepNext w:val="0"/>
        <w:rPr>
          <w:rFonts w:cs="Arial"/>
          <w:szCs w:val="24"/>
        </w:rPr>
      </w:pPr>
      <w:r w:rsidRPr="008C5D5E">
        <w:rPr>
          <w:rFonts w:cs="Arial"/>
          <w:szCs w:val="24"/>
        </w:rPr>
        <w:t>Société portuaire du Bas</w:t>
      </w:r>
      <w:r w:rsidR="00984A6F">
        <w:rPr>
          <w:rFonts w:cs="Arial"/>
          <w:szCs w:val="24"/>
        </w:rPr>
        <w:noBreakHyphen/>
      </w:r>
      <w:r w:rsidRPr="008C5D5E">
        <w:rPr>
          <w:rFonts w:cs="Arial"/>
          <w:szCs w:val="24"/>
        </w:rPr>
        <w:t>Saint</w:t>
      </w:r>
      <w:r w:rsidR="00984A6F">
        <w:rPr>
          <w:rFonts w:cs="Arial"/>
          <w:szCs w:val="24"/>
        </w:rPr>
        <w:noBreakHyphen/>
      </w:r>
      <w:r w:rsidRPr="008C5D5E">
        <w:rPr>
          <w:rFonts w:cs="Arial"/>
          <w:szCs w:val="24"/>
        </w:rPr>
        <w:t>Laurent et de la Gaspésie inc.</w:t>
      </w:r>
    </w:p>
    <w:p w14:paraId="461B161C" w14:textId="77777777" w:rsidR="00F14C6A" w:rsidRPr="008C5D5E" w:rsidRDefault="00F14C6A" w:rsidP="007F120F">
      <w:pPr>
        <w:keepNext w:val="0"/>
        <w:rPr>
          <w:rFonts w:cs="Arial"/>
          <w:szCs w:val="24"/>
        </w:rPr>
      </w:pPr>
      <w:r w:rsidRPr="008C5D5E">
        <w:rPr>
          <w:rFonts w:cs="Arial"/>
          <w:szCs w:val="24"/>
        </w:rPr>
        <w:t>Société québécoise d’information juridique</w:t>
      </w:r>
    </w:p>
    <w:p w14:paraId="182BF782" w14:textId="77777777" w:rsidR="00F14C6A" w:rsidRPr="008C5D5E" w:rsidRDefault="00F14C6A" w:rsidP="007F120F">
      <w:pPr>
        <w:keepNext w:val="0"/>
        <w:rPr>
          <w:rFonts w:cs="Arial"/>
          <w:szCs w:val="24"/>
        </w:rPr>
      </w:pPr>
      <w:r w:rsidRPr="008C5D5E">
        <w:rPr>
          <w:rFonts w:cs="Arial"/>
          <w:szCs w:val="24"/>
        </w:rPr>
        <w:t>Société québécoise de récupération et de recyclage</w:t>
      </w:r>
    </w:p>
    <w:p w14:paraId="69C2E6B4" w14:textId="77777777" w:rsidR="00F14C6A" w:rsidRPr="008C5D5E" w:rsidRDefault="00F14C6A" w:rsidP="007F120F">
      <w:pPr>
        <w:keepNext w:val="0"/>
        <w:rPr>
          <w:rFonts w:cs="Arial"/>
          <w:szCs w:val="24"/>
        </w:rPr>
      </w:pPr>
      <w:r w:rsidRPr="008C5D5E">
        <w:rPr>
          <w:rFonts w:cs="Arial"/>
          <w:szCs w:val="24"/>
        </w:rPr>
        <w:t>Société québécoise des infrastructures</w:t>
      </w:r>
    </w:p>
    <w:p w14:paraId="7519753C" w14:textId="77777777" w:rsidR="00F14C6A" w:rsidRPr="00C946E3" w:rsidRDefault="00F14C6A" w:rsidP="007F120F">
      <w:pPr>
        <w:keepNext w:val="0"/>
        <w:rPr>
          <w:rFonts w:cs="Arial"/>
          <w:szCs w:val="24"/>
        </w:rPr>
      </w:pPr>
      <w:r w:rsidRPr="008C5D5E">
        <w:rPr>
          <w:rFonts w:cs="Arial"/>
          <w:szCs w:val="24"/>
        </w:rPr>
        <w:t>Société québécoise du cannabis</w:t>
      </w:r>
    </w:p>
    <w:p w14:paraId="4F851A79" w14:textId="77777777" w:rsidR="00D6150C" w:rsidRPr="00D6150C" w:rsidRDefault="00D6150C" w:rsidP="00D6150C">
      <w:pPr>
        <w:keepNext w:val="0"/>
        <w:rPr>
          <w:rFonts w:cs="Arial"/>
          <w:sz w:val="28"/>
          <w:szCs w:val="28"/>
        </w:rPr>
      </w:pPr>
      <w:r w:rsidRPr="00316277">
        <w:rPr>
          <w:rFonts w:cs="Arial"/>
          <w:szCs w:val="24"/>
          <w:shd w:val="clear" w:color="auto" w:fill="FFFFFF"/>
        </w:rPr>
        <w:t>Sûreté du Québec</w:t>
      </w:r>
    </w:p>
    <w:p w14:paraId="544A8B50" w14:textId="43DD707F" w:rsidR="00404F34" w:rsidRPr="00026EC1" w:rsidRDefault="00404F34" w:rsidP="007F120F">
      <w:pPr>
        <w:pStyle w:val="Heading3"/>
        <w:keepNext w:val="0"/>
      </w:pPr>
      <w:r w:rsidRPr="00026EC1">
        <w:br w:type="page"/>
      </w:r>
      <w:bookmarkStart w:id="1506" w:name="_Toc133760899"/>
      <w:bookmarkStart w:id="1507" w:name="_Toc133917047"/>
      <w:bookmarkStart w:id="1508" w:name="_Toc134437319"/>
      <w:bookmarkStart w:id="1509" w:name="_Toc393449490"/>
      <w:bookmarkStart w:id="1510" w:name="_Toc462751616"/>
      <w:bookmarkStart w:id="1511" w:name="_Toc484082635"/>
      <w:bookmarkStart w:id="1512" w:name="_Toc168479618"/>
      <w:r w:rsidR="009B64CA" w:rsidRPr="00026EC1">
        <w:t>A</w:t>
      </w:r>
      <w:r w:rsidR="009B64CA" w:rsidRPr="00655315">
        <w:t>nnexe</w:t>
      </w:r>
      <w:r w:rsidR="009B64CA" w:rsidRPr="00026EC1">
        <w:t> </w:t>
      </w:r>
      <w:r w:rsidR="000535F1" w:rsidRPr="00026EC1">
        <w:t>V</w:t>
      </w:r>
      <w:bookmarkEnd w:id="1506"/>
      <w:bookmarkEnd w:id="1507"/>
      <w:bookmarkEnd w:id="1508"/>
      <w:r w:rsidR="0017646C">
        <w:t>-</w:t>
      </w:r>
      <w:r w:rsidR="00291496" w:rsidRPr="008C5D5E">
        <w:t>6</w:t>
      </w:r>
      <w:r w:rsidR="009B64CA" w:rsidRPr="00026EC1">
        <w:br/>
      </w:r>
      <w:r w:rsidR="009B64CA" w:rsidRPr="00026EC1">
        <w:br/>
      </w:r>
      <w:bookmarkStart w:id="1513" w:name="_Toc133760900"/>
      <w:r w:rsidR="009B64CA" w:rsidRPr="00655315">
        <w:t>Annexe relative aux droits parentaux</w:t>
      </w:r>
      <w:bookmarkEnd w:id="1509"/>
      <w:bookmarkEnd w:id="1510"/>
      <w:bookmarkEnd w:id="1511"/>
      <w:bookmarkEnd w:id="1513"/>
      <w:bookmarkEnd w:id="1512"/>
      <w:r w:rsidR="00036A6B" w:rsidRPr="00026EC1">
        <w:t xml:space="preserve"> </w:t>
      </w:r>
    </w:p>
    <w:p w14:paraId="4ACF6AE2" w14:textId="77777777" w:rsidR="00D64D13" w:rsidRPr="00026EC1" w:rsidRDefault="00D64D13" w:rsidP="007F120F">
      <w:pPr>
        <w:keepNext w:val="0"/>
        <w:jc w:val="left"/>
      </w:pPr>
      <w:r w:rsidRPr="00026EC1">
        <w:t>Aux fins de la présente annexe relative aux droits parentaux, l</w:t>
      </w:r>
      <w:r w:rsidR="00BC3319" w:rsidRPr="00026EC1">
        <w:t>’</w:t>
      </w:r>
      <w:r w:rsidRPr="00026EC1">
        <w:t>expression «</w:t>
      </w:r>
      <w:r w:rsidR="001041C3" w:rsidRPr="00026EC1">
        <w:t> </w:t>
      </w:r>
      <w:r w:rsidRPr="00026EC1">
        <w:t>les parties</w:t>
      </w:r>
      <w:r w:rsidR="001041C3" w:rsidRPr="00026EC1">
        <w:t> </w:t>
      </w:r>
      <w:r w:rsidRPr="00026EC1">
        <w:t>» signifie le Gouvernement et la CSN.</w:t>
      </w:r>
    </w:p>
    <w:p w14:paraId="12442C62" w14:textId="77777777" w:rsidR="00D64D13" w:rsidRPr="00026EC1" w:rsidRDefault="00D64D13" w:rsidP="007F120F">
      <w:pPr>
        <w:keepNext w:val="0"/>
        <w:jc w:val="left"/>
      </w:pPr>
    </w:p>
    <w:p w14:paraId="5C675BA1" w14:textId="77777777" w:rsidR="00D64D13" w:rsidRPr="00026EC1" w:rsidRDefault="00D64D13" w:rsidP="007F120F">
      <w:pPr>
        <w:keepNext w:val="0"/>
        <w:jc w:val="center"/>
        <w:rPr>
          <w:b/>
          <w:bCs/>
          <w:caps/>
          <w:u w:val="single"/>
        </w:rPr>
      </w:pPr>
      <w:r w:rsidRPr="00026EC1">
        <w:rPr>
          <w:b/>
          <w:bCs/>
          <w:caps/>
          <w:u w:val="single"/>
        </w:rPr>
        <w:t>Appendice</w:t>
      </w:r>
    </w:p>
    <w:p w14:paraId="3774F09B" w14:textId="77777777" w:rsidR="00D64D13" w:rsidRPr="00026EC1" w:rsidRDefault="00D64D13" w:rsidP="007F120F">
      <w:pPr>
        <w:keepNext w:val="0"/>
      </w:pPr>
    </w:p>
    <w:p w14:paraId="1C3F4DAB" w14:textId="3449CCDE" w:rsidR="00D64D13" w:rsidRPr="00026EC1" w:rsidRDefault="00D64D13" w:rsidP="007F120F">
      <w:pPr>
        <w:keepNext w:val="0"/>
      </w:pPr>
      <w:r w:rsidRPr="00026EC1">
        <w:t>Advenant des modifications au Régime québécois d</w:t>
      </w:r>
      <w:r w:rsidR="00BC3319" w:rsidRPr="00026EC1">
        <w:t>’</w:t>
      </w:r>
      <w:r w:rsidRPr="00026EC1">
        <w:t xml:space="preserve">assurance parentale, à la </w:t>
      </w:r>
      <w:r w:rsidRPr="00026EC1">
        <w:rPr>
          <w:iCs/>
        </w:rPr>
        <w:t>Loi sur l</w:t>
      </w:r>
      <w:r w:rsidR="00BC3319" w:rsidRPr="00026EC1">
        <w:rPr>
          <w:iCs/>
        </w:rPr>
        <w:t>’</w:t>
      </w:r>
      <w:r w:rsidR="00D07CC8" w:rsidRPr="00026EC1">
        <w:rPr>
          <w:iCs/>
        </w:rPr>
        <w:t>assurance</w:t>
      </w:r>
      <w:r w:rsidR="00984A6F">
        <w:rPr>
          <w:iCs/>
        </w:rPr>
        <w:noBreakHyphen/>
      </w:r>
      <w:r w:rsidRPr="00026EC1">
        <w:rPr>
          <w:iCs/>
        </w:rPr>
        <w:t>emploi</w:t>
      </w:r>
      <w:r w:rsidRPr="00026EC1">
        <w:t xml:space="preserve"> ou à la </w:t>
      </w:r>
      <w:r w:rsidRPr="00026EC1">
        <w:rPr>
          <w:iCs/>
        </w:rPr>
        <w:t xml:space="preserve">Loi sur les normes du travail </w:t>
      </w:r>
      <w:r w:rsidRPr="00026EC1">
        <w:t>relatives aux droits parentaux, il est convenu que les parties se rencontrent pour discuter des implications possibles de ces modifications sur le présent régime de droits parentaux.</w:t>
      </w:r>
    </w:p>
    <w:p w14:paraId="4393470D" w14:textId="77777777" w:rsidR="00404F34" w:rsidRPr="00026EC1" w:rsidRDefault="00404F34" w:rsidP="007F120F">
      <w:pPr>
        <w:keepNext w:val="0"/>
      </w:pPr>
    </w:p>
    <w:p w14:paraId="0419A4D4" w14:textId="030AF468" w:rsidR="00404F34" w:rsidRPr="00026EC1" w:rsidRDefault="00404F34" w:rsidP="007F120F">
      <w:pPr>
        <w:pStyle w:val="Heading3"/>
        <w:keepNext w:val="0"/>
      </w:pPr>
      <w:r w:rsidRPr="00026EC1">
        <w:br w:type="page"/>
      </w:r>
      <w:bookmarkStart w:id="1514" w:name="_Toc535046722"/>
      <w:bookmarkStart w:id="1515" w:name="_Toc133760901"/>
      <w:bookmarkStart w:id="1516" w:name="_Toc133917049"/>
      <w:bookmarkStart w:id="1517" w:name="_Toc134437321"/>
      <w:bookmarkStart w:id="1518" w:name="_Toc393449492"/>
      <w:bookmarkStart w:id="1519" w:name="_Toc462751618"/>
      <w:bookmarkStart w:id="1520" w:name="_Toc484082637"/>
      <w:bookmarkStart w:id="1521" w:name="_Toc168479619"/>
      <w:r w:rsidR="009B64CA" w:rsidRPr="00026EC1">
        <w:t>Annexe </w:t>
      </w:r>
      <w:r w:rsidR="00970E4A" w:rsidRPr="008C5D5E">
        <w:t>V</w:t>
      </w:r>
      <w:bookmarkEnd w:id="1514"/>
      <w:bookmarkEnd w:id="1515"/>
      <w:bookmarkEnd w:id="1516"/>
      <w:bookmarkEnd w:id="1517"/>
      <w:r w:rsidR="0017646C">
        <w:t>-</w:t>
      </w:r>
      <w:r w:rsidR="00291496" w:rsidRPr="008C5D5E">
        <w:t>7</w:t>
      </w:r>
      <w:r w:rsidR="00A41F25" w:rsidRPr="00026EC1">
        <w:br/>
      </w:r>
      <w:r w:rsidR="009B64CA" w:rsidRPr="00026EC1">
        <w:br/>
      </w:r>
      <w:bookmarkStart w:id="1522" w:name="_Toc535046723"/>
      <w:bookmarkStart w:id="1523" w:name="_Toc133760902"/>
      <w:r w:rsidR="009B64CA" w:rsidRPr="00655315">
        <w:t>Lettre d’entente relative aux responsabilités familiale</w:t>
      </w:r>
      <w:bookmarkEnd w:id="1522"/>
      <w:r w:rsidR="009B64CA" w:rsidRPr="00655315">
        <w:t>s</w:t>
      </w:r>
      <w:bookmarkEnd w:id="1518"/>
      <w:bookmarkEnd w:id="1519"/>
      <w:bookmarkEnd w:id="1520"/>
      <w:bookmarkEnd w:id="1523"/>
      <w:bookmarkEnd w:id="1521"/>
      <w:r w:rsidR="00036A6B" w:rsidRPr="00026EC1">
        <w:t xml:space="preserve"> </w:t>
      </w:r>
    </w:p>
    <w:p w14:paraId="66D50A17" w14:textId="52A71BF5" w:rsidR="000756D9" w:rsidRPr="00026EC1" w:rsidRDefault="000756D9" w:rsidP="007F120F">
      <w:pPr>
        <w:keepNext w:val="0"/>
      </w:pPr>
      <w:r w:rsidRPr="00026EC1">
        <w:t>La partie syndicale CSN d</w:t>
      </w:r>
      <w:r w:rsidR="00BC3319" w:rsidRPr="00026EC1">
        <w:t>’</w:t>
      </w:r>
      <w:r w:rsidRPr="00026EC1">
        <w:t>une part et le Gouvernement du Québec représenté par le Conseil du trésor d</w:t>
      </w:r>
      <w:r w:rsidR="00BC3319" w:rsidRPr="00026EC1">
        <w:t>’</w:t>
      </w:r>
      <w:r w:rsidRPr="00026EC1">
        <w:t>autre part</w:t>
      </w:r>
      <w:r w:rsidR="0037223A" w:rsidRPr="00026EC1">
        <w:t>,</w:t>
      </w:r>
      <w:r w:rsidRPr="00026EC1">
        <w:t xml:space="preserve"> reconnaissent par la présente, la relation d</w:t>
      </w:r>
      <w:r w:rsidR="00BC3319" w:rsidRPr="00026EC1">
        <w:t>’</w:t>
      </w:r>
      <w:r w:rsidRPr="00026EC1">
        <w:t>interdépendance entre la famille et le travail. En ce sens, les parties favorisent la prise en compte de la dimension de la conciliation famille</w:t>
      </w:r>
      <w:r w:rsidR="00984A6F">
        <w:noBreakHyphen/>
      </w:r>
      <w:r w:rsidRPr="00026EC1">
        <w:t>travail dans l</w:t>
      </w:r>
      <w:r w:rsidR="00BC3319" w:rsidRPr="00026EC1">
        <w:t>’</w:t>
      </w:r>
      <w:r w:rsidRPr="00026EC1">
        <w:t>organisation du travail.</w:t>
      </w:r>
    </w:p>
    <w:p w14:paraId="15F11396" w14:textId="77777777" w:rsidR="000756D9" w:rsidRPr="00026EC1" w:rsidRDefault="000756D9" w:rsidP="007F120F">
      <w:pPr>
        <w:keepNext w:val="0"/>
      </w:pPr>
    </w:p>
    <w:p w14:paraId="5C89254D" w14:textId="77777777" w:rsidR="00404F34" w:rsidRPr="00026EC1" w:rsidRDefault="000756D9" w:rsidP="007F120F">
      <w:pPr>
        <w:keepNext w:val="0"/>
      </w:pPr>
      <w:r w:rsidRPr="00026EC1">
        <w:t>À cet effet, les parties à la présente encouragent les parties sectorielles, régionales ou locales, selon le cas, à une meilleure conciliation des responsabilités parentales et familiales avec celles du travail, dans la détermination des conditions de travail et leur application.</w:t>
      </w:r>
    </w:p>
    <w:p w14:paraId="1468E393" w14:textId="77777777" w:rsidR="00404F34" w:rsidRPr="00026EC1" w:rsidRDefault="00404F34" w:rsidP="007F120F">
      <w:pPr>
        <w:keepNext w:val="0"/>
      </w:pPr>
    </w:p>
    <w:p w14:paraId="16EF47C3" w14:textId="2AFF8507" w:rsidR="00404F34" w:rsidRPr="00026EC1" w:rsidRDefault="00404F34" w:rsidP="007F120F">
      <w:pPr>
        <w:pStyle w:val="Heading3"/>
        <w:keepNext w:val="0"/>
      </w:pPr>
      <w:r w:rsidRPr="00026EC1">
        <w:br w:type="page"/>
      </w:r>
      <w:bookmarkStart w:id="1524" w:name="_Toc535046724"/>
      <w:bookmarkStart w:id="1525" w:name="_Toc133760903"/>
      <w:bookmarkStart w:id="1526" w:name="_Toc133917051"/>
      <w:bookmarkStart w:id="1527" w:name="_Toc134437323"/>
      <w:bookmarkStart w:id="1528" w:name="_Toc393449494"/>
      <w:bookmarkStart w:id="1529" w:name="_Toc462751620"/>
      <w:bookmarkStart w:id="1530" w:name="_Toc484082639"/>
      <w:bookmarkStart w:id="1531" w:name="_Toc168479620"/>
      <w:r w:rsidR="00C709B5" w:rsidRPr="00026EC1">
        <w:t>A</w:t>
      </w:r>
      <w:r w:rsidR="00C709B5" w:rsidRPr="00655315">
        <w:t>nnexe</w:t>
      </w:r>
      <w:r w:rsidR="00C709B5" w:rsidRPr="00026EC1">
        <w:t> V</w:t>
      </w:r>
      <w:bookmarkEnd w:id="1524"/>
      <w:bookmarkEnd w:id="1525"/>
      <w:bookmarkEnd w:id="1526"/>
      <w:bookmarkEnd w:id="1527"/>
      <w:r w:rsidR="0017646C">
        <w:t>-</w:t>
      </w:r>
      <w:r w:rsidR="00291496" w:rsidRPr="008C5D5E">
        <w:t>8</w:t>
      </w:r>
      <w:r w:rsidR="00C709B5" w:rsidRPr="00026EC1">
        <w:br/>
      </w:r>
      <w:r w:rsidR="00C709B5" w:rsidRPr="00026EC1">
        <w:br/>
      </w:r>
      <w:bookmarkStart w:id="1532" w:name="_Toc535046725"/>
      <w:bookmarkStart w:id="1533" w:name="_Toc133760904"/>
      <w:r w:rsidR="00C709B5" w:rsidRPr="00655315">
        <w:t>Annexe relative à Bâtirente</w:t>
      </w:r>
      <w:bookmarkEnd w:id="1528"/>
      <w:bookmarkEnd w:id="1529"/>
      <w:bookmarkEnd w:id="1530"/>
      <w:bookmarkEnd w:id="1532"/>
      <w:bookmarkEnd w:id="1533"/>
      <w:bookmarkEnd w:id="1531"/>
      <w:r w:rsidR="00036A6B" w:rsidRPr="00026EC1">
        <w:t xml:space="preserve"> </w:t>
      </w:r>
    </w:p>
    <w:p w14:paraId="74A0B0A5" w14:textId="77777777" w:rsidR="00404F34" w:rsidRPr="00026EC1" w:rsidRDefault="00275751" w:rsidP="007F120F">
      <w:pPr>
        <w:keepNext w:val="0"/>
        <w:tabs>
          <w:tab w:val="left" w:pos="567"/>
        </w:tabs>
        <w:ind w:left="567" w:hanging="567"/>
      </w:pPr>
      <w:r w:rsidRPr="00026EC1">
        <w:t>01.</w:t>
      </w:r>
      <w:r w:rsidRPr="00026EC1">
        <w:tab/>
      </w:r>
      <w:r w:rsidR="00404F34" w:rsidRPr="00026EC1">
        <w:t>Le fiduciaire de Bâtirente remet au Collège le formulaire de demande de retenue sur le salaire dûment rempli par l</w:t>
      </w:r>
      <w:r w:rsidR="00BC3319" w:rsidRPr="00026EC1">
        <w:t>’</w:t>
      </w:r>
      <w:r w:rsidR="00404F34" w:rsidRPr="00026EC1">
        <w:t>enseignante ou l</w:t>
      </w:r>
      <w:r w:rsidR="00BC3319" w:rsidRPr="00026EC1">
        <w:t>’</w:t>
      </w:r>
      <w:r w:rsidR="00404F34" w:rsidRPr="00026EC1">
        <w:t>enseignant.</w:t>
      </w:r>
    </w:p>
    <w:p w14:paraId="53A59B9B" w14:textId="77777777" w:rsidR="00404F34" w:rsidRPr="00026EC1" w:rsidRDefault="00404F34" w:rsidP="007F120F">
      <w:pPr>
        <w:keepNext w:val="0"/>
      </w:pPr>
    </w:p>
    <w:p w14:paraId="134F7848" w14:textId="77777777" w:rsidR="00404F34" w:rsidRPr="00026EC1" w:rsidRDefault="00404F34" w:rsidP="007F120F">
      <w:pPr>
        <w:keepNext w:val="0"/>
      </w:pPr>
    </w:p>
    <w:p w14:paraId="6AC61601" w14:textId="4292EF6E" w:rsidR="00404F34" w:rsidRPr="00026EC1" w:rsidRDefault="00275751" w:rsidP="007F120F">
      <w:pPr>
        <w:keepNext w:val="0"/>
        <w:tabs>
          <w:tab w:val="left" w:pos="567"/>
        </w:tabs>
        <w:ind w:left="567" w:hanging="567"/>
      </w:pPr>
      <w:r w:rsidRPr="00026EC1">
        <w:t>02.</w:t>
      </w:r>
      <w:r w:rsidRPr="00026EC1">
        <w:tab/>
      </w:r>
      <w:r w:rsidR="00404F34" w:rsidRPr="00026EC1">
        <w:t>Au plus tard trente</w:t>
      </w:r>
      <w:r w:rsidR="00DF791E">
        <w:t> </w:t>
      </w:r>
      <w:r w:rsidR="00404F34" w:rsidRPr="00026EC1">
        <w:t>(30) jours après la réception du formulaire, le Collège déduit de chaque versement de traitement de l</w:t>
      </w:r>
      <w:r w:rsidR="00BC3319" w:rsidRPr="00026EC1">
        <w:t>’</w:t>
      </w:r>
      <w:r w:rsidR="00404F34" w:rsidRPr="00026EC1">
        <w:t>enseignante ou de l</w:t>
      </w:r>
      <w:r w:rsidR="00BC3319" w:rsidRPr="00026EC1">
        <w:t>’</w:t>
      </w:r>
      <w:r w:rsidR="00404F34" w:rsidRPr="00026EC1">
        <w:t>enseignant le montant qu</w:t>
      </w:r>
      <w:r w:rsidR="00BC3319" w:rsidRPr="00026EC1">
        <w:t>’</w:t>
      </w:r>
      <w:r w:rsidR="00404F34" w:rsidRPr="00026EC1">
        <w:t>elle ou il a indiqué comme déduction à des fins de contributions à Bâtirente.</w:t>
      </w:r>
    </w:p>
    <w:p w14:paraId="4C4718E0" w14:textId="77777777" w:rsidR="00404F34" w:rsidRPr="00026EC1" w:rsidRDefault="00404F34" w:rsidP="007F120F">
      <w:pPr>
        <w:keepNext w:val="0"/>
      </w:pPr>
    </w:p>
    <w:p w14:paraId="5E923499" w14:textId="77777777" w:rsidR="00404F34" w:rsidRPr="00026EC1" w:rsidRDefault="00404F34" w:rsidP="007F120F">
      <w:pPr>
        <w:pStyle w:val="Texte1cm"/>
        <w:keepNext w:val="0"/>
      </w:pPr>
      <w:r w:rsidRPr="00026EC1">
        <w:t>Le Collège procède, là où le système le permet, aux ajustements d</w:t>
      </w:r>
      <w:r w:rsidR="00BC3319" w:rsidRPr="00026EC1">
        <w:t>’</w:t>
      </w:r>
      <w:r w:rsidRPr="00026EC1">
        <w:t>impôts retenus à la source, tel que le permet la réglementation fiscale. Cependant, le Collège n</w:t>
      </w:r>
      <w:r w:rsidR="00BC3319" w:rsidRPr="00026EC1">
        <w:t>’</w:t>
      </w:r>
      <w:r w:rsidRPr="00026EC1">
        <w:t>est pas tenu responsable si le montant total d</w:t>
      </w:r>
      <w:r w:rsidR="00BC3319" w:rsidRPr="00026EC1">
        <w:t>’</w:t>
      </w:r>
      <w:r w:rsidRPr="00026EC1">
        <w:t>exemption auquel l</w:t>
      </w:r>
      <w:r w:rsidR="00BC3319" w:rsidRPr="00026EC1">
        <w:t>’</w:t>
      </w:r>
      <w:r w:rsidRPr="00026EC1">
        <w:t>enseignante ou l</w:t>
      </w:r>
      <w:r w:rsidR="00BC3319" w:rsidRPr="00026EC1">
        <w:t>’</w:t>
      </w:r>
      <w:r w:rsidRPr="00026EC1">
        <w:t>enseignant a droit, selon la réglementation fiscale, n</w:t>
      </w:r>
      <w:r w:rsidR="00BC3319" w:rsidRPr="00026EC1">
        <w:t>’</w:t>
      </w:r>
      <w:r w:rsidRPr="00026EC1">
        <w:t>a pas été respecté.</w:t>
      </w:r>
    </w:p>
    <w:p w14:paraId="29F8A8A6" w14:textId="77777777" w:rsidR="00404F34" w:rsidRPr="00026EC1" w:rsidRDefault="00404F34" w:rsidP="007F120F">
      <w:pPr>
        <w:keepNext w:val="0"/>
      </w:pPr>
    </w:p>
    <w:p w14:paraId="436AC4B1" w14:textId="77777777" w:rsidR="00404F34" w:rsidRPr="00026EC1" w:rsidRDefault="00404F34" w:rsidP="007F120F">
      <w:pPr>
        <w:keepNext w:val="0"/>
      </w:pPr>
    </w:p>
    <w:p w14:paraId="720892B7" w14:textId="069B3070" w:rsidR="00404F34" w:rsidRPr="00026EC1" w:rsidRDefault="00275751" w:rsidP="007F120F">
      <w:pPr>
        <w:keepNext w:val="0"/>
        <w:tabs>
          <w:tab w:val="left" w:pos="567"/>
        </w:tabs>
        <w:ind w:left="567" w:hanging="567"/>
      </w:pPr>
      <w:r w:rsidRPr="00026EC1">
        <w:t>03.</w:t>
      </w:r>
      <w:r w:rsidRPr="00026EC1">
        <w:tab/>
      </w:r>
      <w:r w:rsidR="00404F34" w:rsidRPr="00026EC1">
        <w:t>Au plus tard trente</w:t>
      </w:r>
      <w:r w:rsidR="00DF791E">
        <w:t> </w:t>
      </w:r>
      <w:r w:rsidR="00404F34" w:rsidRPr="00026EC1">
        <w:t>(30) jours après la réception d</w:t>
      </w:r>
      <w:r w:rsidR="00BC3319" w:rsidRPr="00026EC1">
        <w:t>’</w:t>
      </w:r>
      <w:r w:rsidR="00404F34" w:rsidRPr="00026EC1">
        <w:t>un avis écrit de l</w:t>
      </w:r>
      <w:r w:rsidR="00BC3319" w:rsidRPr="00026EC1">
        <w:t>’</w:t>
      </w:r>
      <w:r w:rsidR="00404F34" w:rsidRPr="00026EC1">
        <w:t>enseignante ou de l</w:t>
      </w:r>
      <w:r w:rsidR="00BC3319" w:rsidRPr="00026EC1">
        <w:t>’</w:t>
      </w:r>
      <w:r w:rsidR="00404F34" w:rsidRPr="00026EC1">
        <w:t>enseignant à cet effet, le Collège cesse le prélèvement de la contribution à Bâtirente ou modifie à la baisse ou à la hausse le prélèvement de la contribution à Bâtirente selon la demande de l</w:t>
      </w:r>
      <w:r w:rsidR="00BC3319" w:rsidRPr="00026EC1">
        <w:t>’</w:t>
      </w:r>
      <w:r w:rsidR="00404F34" w:rsidRPr="00026EC1">
        <w:t>enseignante ou de l</w:t>
      </w:r>
      <w:r w:rsidR="00BC3319" w:rsidRPr="00026EC1">
        <w:t>’</w:t>
      </w:r>
      <w:r w:rsidR="00404F34" w:rsidRPr="00026EC1">
        <w:t>enseignant.</w:t>
      </w:r>
    </w:p>
    <w:p w14:paraId="4DF15D35" w14:textId="77777777" w:rsidR="00404F34" w:rsidRPr="00026EC1" w:rsidRDefault="00404F34" w:rsidP="007F120F">
      <w:pPr>
        <w:keepNext w:val="0"/>
      </w:pPr>
    </w:p>
    <w:p w14:paraId="3F91954B" w14:textId="77777777" w:rsidR="00404F34" w:rsidRPr="00026EC1" w:rsidRDefault="00404F34" w:rsidP="007F120F">
      <w:pPr>
        <w:keepNext w:val="0"/>
      </w:pPr>
    </w:p>
    <w:p w14:paraId="4F192C52" w14:textId="254D2A5E" w:rsidR="00404F34" w:rsidRPr="00026EC1" w:rsidRDefault="00275751" w:rsidP="007F120F">
      <w:pPr>
        <w:keepNext w:val="0"/>
        <w:tabs>
          <w:tab w:val="left" w:pos="567"/>
        </w:tabs>
        <w:ind w:left="567" w:hanging="567"/>
      </w:pPr>
      <w:r w:rsidRPr="00026EC1">
        <w:t>04.</w:t>
      </w:r>
      <w:r w:rsidRPr="00026EC1">
        <w:tab/>
      </w:r>
      <w:r w:rsidR="00404F34" w:rsidRPr="00026EC1">
        <w:t>Le Collège remet à Bâtirente ou à son fiduciaire, au plus tard le quinzième</w:t>
      </w:r>
      <w:r w:rsidR="00DF791E">
        <w:t> </w:t>
      </w:r>
      <w:r w:rsidR="00404F34" w:rsidRPr="00026EC1">
        <w:t>(15</w:t>
      </w:r>
      <w:r w:rsidR="00404F34" w:rsidRPr="00026EC1">
        <w:rPr>
          <w:vertAlign w:val="superscript"/>
        </w:rPr>
        <w:t>e</w:t>
      </w:r>
      <w:r w:rsidR="00404F34" w:rsidRPr="00026EC1">
        <w:t>) jour du mois suivant celui pendant lequel la retenue a été effectuée, les contributions versées par les enseignantes et les enseignants de même qu</w:t>
      </w:r>
      <w:r w:rsidR="00BC3319" w:rsidRPr="00026EC1">
        <w:t>’</w:t>
      </w:r>
      <w:r w:rsidR="00404F34" w:rsidRPr="00026EC1">
        <w:t>une liste indiquant le nom, le numéro d</w:t>
      </w:r>
      <w:r w:rsidR="00BC3319" w:rsidRPr="00026EC1">
        <w:t>’</w:t>
      </w:r>
      <w:r w:rsidR="00404F34" w:rsidRPr="00026EC1">
        <w:t>assurance</w:t>
      </w:r>
      <w:r w:rsidR="00984A6F">
        <w:noBreakHyphen/>
      </w:r>
      <w:r w:rsidR="00404F34" w:rsidRPr="00026EC1">
        <w:t>sociale et le montant prélevé pour chaque enseignante ou enseignant.</w:t>
      </w:r>
    </w:p>
    <w:p w14:paraId="13C629F9" w14:textId="77777777" w:rsidR="00404F34" w:rsidRPr="00026EC1" w:rsidRDefault="00404F34" w:rsidP="007F120F">
      <w:pPr>
        <w:keepNext w:val="0"/>
      </w:pPr>
    </w:p>
    <w:p w14:paraId="3444E350" w14:textId="77777777" w:rsidR="00404F34" w:rsidRPr="00026EC1" w:rsidRDefault="00404F34" w:rsidP="007F120F">
      <w:pPr>
        <w:keepNext w:val="0"/>
      </w:pPr>
    </w:p>
    <w:p w14:paraId="51D15432" w14:textId="77777777" w:rsidR="00404F34" w:rsidRPr="00026EC1" w:rsidRDefault="00275751" w:rsidP="007F120F">
      <w:pPr>
        <w:keepNext w:val="0"/>
        <w:tabs>
          <w:tab w:val="left" w:pos="567"/>
        </w:tabs>
        <w:ind w:left="567" w:hanging="567"/>
      </w:pPr>
      <w:r w:rsidRPr="00026EC1">
        <w:t>05.</w:t>
      </w:r>
      <w:r w:rsidRPr="00026EC1">
        <w:tab/>
      </w:r>
      <w:r w:rsidR="00404F34" w:rsidRPr="00026EC1">
        <w:t>Aucun dommage ne peut être imputable au Collège en cas d</w:t>
      </w:r>
      <w:r w:rsidR="00BC3319" w:rsidRPr="00026EC1">
        <w:t>’</w:t>
      </w:r>
      <w:r w:rsidR="00404F34" w:rsidRPr="00026EC1">
        <w:t>erreur ou d</w:t>
      </w:r>
      <w:r w:rsidR="00BC3319" w:rsidRPr="00026EC1">
        <w:t>’</w:t>
      </w:r>
      <w:r w:rsidR="00404F34" w:rsidRPr="00026EC1">
        <w:t>omission relativement au prélèvement à être effectué sur le traitement d</w:t>
      </w:r>
      <w:r w:rsidR="00BC3319" w:rsidRPr="00026EC1">
        <w:t>’</w:t>
      </w:r>
      <w:r w:rsidR="00404F34" w:rsidRPr="00026EC1">
        <w:t>une enseignante ou d</w:t>
      </w:r>
      <w:r w:rsidR="00BC3319" w:rsidRPr="00026EC1">
        <w:t>’</w:t>
      </w:r>
      <w:r w:rsidR="00404F34" w:rsidRPr="00026EC1">
        <w:t>un enseignant en vertu des dispositions de la présente annexe.</w:t>
      </w:r>
    </w:p>
    <w:p w14:paraId="6697DDB9" w14:textId="77777777" w:rsidR="00404F34" w:rsidRPr="00026EC1" w:rsidRDefault="00404F34" w:rsidP="007F120F">
      <w:pPr>
        <w:keepNext w:val="0"/>
      </w:pPr>
    </w:p>
    <w:p w14:paraId="6B22010F" w14:textId="77777777" w:rsidR="00404F34" w:rsidRPr="00026EC1" w:rsidRDefault="00404F34" w:rsidP="007F120F">
      <w:pPr>
        <w:pStyle w:val="Texte1cm"/>
        <w:keepNext w:val="0"/>
      </w:pPr>
      <w:r w:rsidRPr="00026EC1">
        <w:t>Cependant, le Collège convient de rétablir la situation, dans les meilleurs délais, dès qu</w:t>
      </w:r>
      <w:r w:rsidR="00BC3319" w:rsidRPr="00026EC1">
        <w:t>’</w:t>
      </w:r>
      <w:r w:rsidRPr="00026EC1">
        <w:t>il est informé de l</w:t>
      </w:r>
      <w:r w:rsidR="00BC3319" w:rsidRPr="00026EC1">
        <w:t>’</w:t>
      </w:r>
      <w:r w:rsidRPr="00026EC1">
        <w:t>erreur ou de l</w:t>
      </w:r>
      <w:r w:rsidR="00BC3319" w:rsidRPr="00026EC1">
        <w:t>’</w:t>
      </w:r>
      <w:r w:rsidRPr="00026EC1">
        <w:t>omission dans le montant de la déduction.</w:t>
      </w:r>
    </w:p>
    <w:p w14:paraId="128F8A26" w14:textId="77777777" w:rsidR="00404F34" w:rsidRPr="00026EC1" w:rsidRDefault="00404F34" w:rsidP="007F120F">
      <w:pPr>
        <w:keepNext w:val="0"/>
      </w:pPr>
    </w:p>
    <w:p w14:paraId="026C186B" w14:textId="0C744EDE" w:rsidR="00C46B08" w:rsidRDefault="00404F34" w:rsidP="007F120F">
      <w:pPr>
        <w:pStyle w:val="BodyText"/>
        <w:keepNext w:val="0"/>
        <w:tabs>
          <w:tab w:val="left" w:pos="1560"/>
        </w:tabs>
        <w:ind w:left="284"/>
        <w:jc w:val="both"/>
      </w:pPr>
      <w:r w:rsidRPr="00026EC1">
        <w:br w:type="page"/>
      </w:r>
    </w:p>
    <w:p w14:paraId="2BA82A17" w14:textId="0F21987D" w:rsidR="00C46B08" w:rsidRPr="00327310" w:rsidRDefault="003D1EBC" w:rsidP="00977899">
      <w:pPr>
        <w:pStyle w:val="Heading3"/>
        <w:keepNext w:val="0"/>
        <w:spacing w:after="0"/>
      </w:pPr>
      <w:bookmarkStart w:id="1534" w:name="_Toc168479621"/>
      <w:r w:rsidRPr="00316277">
        <w:t>Annexe V-9</w:t>
      </w:r>
      <w:r w:rsidRPr="00316277">
        <w:br/>
      </w:r>
      <w:r w:rsidRPr="00316277">
        <w:br/>
      </w:r>
      <w:r w:rsidR="00C46B08" w:rsidRPr="00316277">
        <w:t xml:space="preserve">Lettre d’entente relative à la création d’un comité de travail sur le </w:t>
      </w:r>
      <w:r w:rsidR="003C73E5" w:rsidRPr="00316277">
        <w:t>financement de la caisse des participants du</w:t>
      </w:r>
      <w:r w:rsidR="00C46B08" w:rsidRPr="00316277">
        <w:t xml:space="preserve"> RREGOP</w:t>
      </w:r>
      <w:bookmarkEnd w:id="1534"/>
    </w:p>
    <w:p w14:paraId="1E980E3F" w14:textId="77777777" w:rsidR="00C46B08" w:rsidRDefault="00C46B08" w:rsidP="00977899">
      <w:pPr>
        <w:keepNext w:val="0"/>
      </w:pPr>
    </w:p>
    <w:p w14:paraId="717E60D8" w14:textId="77777777" w:rsidR="00C46B08" w:rsidRPr="00316277" w:rsidRDefault="00C46B08" w:rsidP="00977899">
      <w:pPr>
        <w:pStyle w:val="Default"/>
        <w:jc w:val="both"/>
        <w:rPr>
          <w:rFonts w:ascii="Arial" w:hAnsi="Arial" w:cs="Arial"/>
        </w:rPr>
      </w:pPr>
      <w:r w:rsidRPr="00316277">
        <w:rPr>
          <w:rFonts w:ascii="Arial" w:hAnsi="Arial" w:cs="Arial"/>
        </w:rPr>
        <w:t>Dans les 90 jours suivant l’entrée en vigueur des conventions collectives, les parties conviennent de former un comité de travail, sous l’égide du Bureau de la négociation gouvernementale du Secrétariat du Conseil du trésor, portant sur le financement de la caisse des participants du RREGOP.</w:t>
      </w:r>
    </w:p>
    <w:p w14:paraId="185640B2" w14:textId="77777777" w:rsidR="00C46B08" w:rsidRPr="00316277" w:rsidRDefault="00C46B08" w:rsidP="00977899">
      <w:pPr>
        <w:pStyle w:val="Default"/>
        <w:jc w:val="both"/>
        <w:rPr>
          <w:rFonts w:ascii="Arial" w:hAnsi="Arial" w:cs="Arial"/>
        </w:rPr>
      </w:pPr>
    </w:p>
    <w:p w14:paraId="3FFCBAD1" w14:textId="77777777" w:rsidR="00C46B08" w:rsidRPr="00316277" w:rsidRDefault="00C46B08" w:rsidP="00977899">
      <w:pPr>
        <w:pStyle w:val="Default"/>
        <w:jc w:val="both"/>
        <w:rPr>
          <w:rFonts w:ascii="Arial" w:hAnsi="Arial" w:cs="Arial"/>
          <w:b/>
          <w:bCs/>
        </w:rPr>
      </w:pPr>
      <w:r w:rsidRPr="00316277">
        <w:rPr>
          <w:rFonts w:ascii="Arial" w:hAnsi="Arial" w:cs="Arial"/>
          <w:b/>
          <w:bCs/>
        </w:rPr>
        <w:t>Mandats du comité</w:t>
      </w:r>
    </w:p>
    <w:p w14:paraId="5D97A8B5" w14:textId="77777777" w:rsidR="00C46B08" w:rsidRPr="00316277" w:rsidRDefault="00C46B08" w:rsidP="00977899">
      <w:pPr>
        <w:pStyle w:val="Default"/>
        <w:jc w:val="both"/>
        <w:rPr>
          <w:rFonts w:ascii="Arial" w:hAnsi="Arial" w:cs="Arial"/>
        </w:rPr>
      </w:pPr>
    </w:p>
    <w:p w14:paraId="1E301E38" w14:textId="77777777" w:rsidR="00C46B08" w:rsidRPr="00316277" w:rsidRDefault="00C46B08" w:rsidP="00977899">
      <w:pPr>
        <w:pStyle w:val="Default"/>
        <w:jc w:val="both"/>
        <w:rPr>
          <w:rFonts w:ascii="Arial" w:hAnsi="Arial" w:cs="Arial"/>
        </w:rPr>
      </w:pPr>
      <w:r w:rsidRPr="00316277">
        <w:rPr>
          <w:rFonts w:ascii="Arial" w:hAnsi="Arial" w:cs="Arial"/>
        </w:rPr>
        <w:t>Le comité a pour mandats de :</w:t>
      </w:r>
    </w:p>
    <w:p w14:paraId="3704047D" w14:textId="77777777" w:rsidR="00C46B08" w:rsidRPr="00316277" w:rsidRDefault="00C46B08" w:rsidP="00977899">
      <w:pPr>
        <w:pStyle w:val="Default"/>
        <w:jc w:val="both"/>
        <w:rPr>
          <w:rFonts w:ascii="Arial" w:hAnsi="Arial" w:cs="Arial"/>
        </w:rPr>
      </w:pPr>
    </w:p>
    <w:p w14:paraId="302D0774" w14:textId="77777777" w:rsidR="00C46B08" w:rsidRPr="00316277" w:rsidRDefault="00C46B08" w:rsidP="00864798">
      <w:pPr>
        <w:pStyle w:val="Default"/>
        <w:numPr>
          <w:ilvl w:val="0"/>
          <w:numId w:val="64"/>
        </w:numPr>
        <w:ind w:left="567" w:hanging="425"/>
        <w:jc w:val="both"/>
        <w:rPr>
          <w:rFonts w:ascii="Arial" w:hAnsi="Arial" w:cs="Arial"/>
        </w:rPr>
      </w:pPr>
      <w:r w:rsidRPr="00316277">
        <w:rPr>
          <w:rFonts w:ascii="Arial" w:hAnsi="Arial" w:cs="Arial"/>
        </w:rPr>
        <w:t>Examiner et comparer les approches de financement sur les risques liés à la maturité du RREGOP, notamment l’approche par différenciation bonifiée et l’intégration d’une marge pour écarts défavorables dynamique;</w:t>
      </w:r>
    </w:p>
    <w:p w14:paraId="4A83B106" w14:textId="77777777" w:rsidR="00C46B08" w:rsidRPr="00316277" w:rsidRDefault="00C46B08" w:rsidP="00977899">
      <w:pPr>
        <w:pStyle w:val="Default"/>
        <w:ind w:left="567"/>
        <w:jc w:val="both"/>
        <w:rPr>
          <w:rFonts w:ascii="Arial" w:hAnsi="Arial" w:cs="Arial"/>
        </w:rPr>
      </w:pPr>
    </w:p>
    <w:p w14:paraId="392B22C0" w14:textId="77777777" w:rsidR="00C46B08" w:rsidRPr="00316277" w:rsidRDefault="00C46B08" w:rsidP="00864798">
      <w:pPr>
        <w:pStyle w:val="Default"/>
        <w:numPr>
          <w:ilvl w:val="0"/>
          <w:numId w:val="64"/>
        </w:numPr>
        <w:ind w:left="567" w:hanging="425"/>
        <w:jc w:val="both"/>
        <w:rPr>
          <w:rFonts w:ascii="Arial" w:hAnsi="Arial" w:cs="Arial"/>
        </w:rPr>
      </w:pPr>
      <w:r w:rsidRPr="00316277">
        <w:rPr>
          <w:rFonts w:ascii="Arial" w:hAnsi="Arial" w:cs="Arial"/>
        </w:rPr>
        <w:t>Évaluer la pertinence de modifier la méthode de financement du RREGOP en tenant compte des analyses effectuées;</w:t>
      </w:r>
    </w:p>
    <w:p w14:paraId="46E0E4FC" w14:textId="77777777" w:rsidR="00C46B08" w:rsidRPr="00316277" w:rsidRDefault="00C46B08" w:rsidP="00977899">
      <w:pPr>
        <w:pStyle w:val="Default"/>
        <w:ind w:left="567"/>
        <w:jc w:val="both"/>
        <w:rPr>
          <w:rFonts w:ascii="Arial" w:hAnsi="Arial" w:cs="Arial"/>
        </w:rPr>
      </w:pPr>
    </w:p>
    <w:p w14:paraId="3CBD6B18" w14:textId="77777777" w:rsidR="00C46B08" w:rsidRPr="00316277" w:rsidRDefault="00C46B08" w:rsidP="00864798">
      <w:pPr>
        <w:pStyle w:val="Default"/>
        <w:numPr>
          <w:ilvl w:val="0"/>
          <w:numId w:val="64"/>
        </w:numPr>
        <w:ind w:left="567" w:hanging="425"/>
        <w:jc w:val="both"/>
        <w:rPr>
          <w:rFonts w:ascii="Arial" w:hAnsi="Arial" w:cs="Arial"/>
        </w:rPr>
      </w:pPr>
      <w:r w:rsidRPr="00316277">
        <w:rPr>
          <w:rFonts w:ascii="Arial" w:hAnsi="Arial" w:cs="Arial"/>
        </w:rPr>
        <w:t>Effectuer une révision globale de la politique de financement de la caisse des participants du RREGOP et proposer des modifications à celle-ci, le cas échéant, en vue de sa mise à jour.</w:t>
      </w:r>
    </w:p>
    <w:p w14:paraId="49C23F80" w14:textId="77777777" w:rsidR="00C46B08" w:rsidRPr="00316277" w:rsidRDefault="00C46B08" w:rsidP="00977899">
      <w:pPr>
        <w:pStyle w:val="Default"/>
        <w:ind w:left="567"/>
        <w:jc w:val="both"/>
        <w:rPr>
          <w:rFonts w:ascii="Arial" w:hAnsi="Arial" w:cs="Arial"/>
        </w:rPr>
      </w:pPr>
    </w:p>
    <w:p w14:paraId="3C0AEBCA" w14:textId="77777777" w:rsidR="00C46B08" w:rsidRPr="00316277" w:rsidRDefault="00C46B08" w:rsidP="00977899">
      <w:pPr>
        <w:pStyle w:val="Default"/>
        <w:jc w:val="both"/>
        <w:rPr>
          <w:rFonts w:ascii="Arial" w:hAnsi="Arial" w:cs="Arial"/>
        </w:rPr>
      </w:pPr>
      <w:r w:rsidRPr="00316277">
        <w:rPr>
          <w:rFonts w:ascii="Arial" w:hAnsi="Arial" w:cs="Arial"/>
        </w:rPr>
        <w:t>Advenant que les représentants du comité de travail conviennent de recommandations conjointes, le cas échéant, ils présenteront un rapport aux parties négociantes.</w:t>
      </w:r>
    </w:p>
    <w:p w14:paraId="0A047981" w14:textId="77777777" w:rsidR="00C46B08" w:rsidRPr="00316277" w:rsidRDefault="00C46B08" w:rsidP="00977899">
      <w:pPr>
        <w:pStyle w:val="Default"/>
        <w:jc w:val="both"/>
        <w:rPr>
          <w:rFonts w:ascii="Arial" w:hAnsi="Arial" w:cs="Arial"/>
        </w:rPr>
      </w:pPr>
    </w:p>
    <w:p w14:paraId="68B60A86" w14:textId="77777777" w:rsidR="00C46B08" w:rsidRPr="00316277" w:rsidRDefault="00C46B08" w:rsidP="00977899">
      <w:pPr>
        <w:pStyle w:val="Default"/>
        <w:jc w:val="both"/>
        <w:rPr>
          <w:rFonts w:ascii="Arial" w:hAnsi="Arial" w:cs="Arial"/>
        </w:rPr>
      </w:pPr>
      <w:r w:rsidRPr="00316277">
        <w:rPr>
          <w:rFonts w:ascii="Arial" w:hAnsi="Arial" w:cs="Arial"/>
        </w:rPr>
        <w:t>Les parties négociantes conviennent de réévaluer la pertinence de maintenir le comité de travail lors du renouvellement des conventions collectives.</w:t>
      </w:r>
    </w:p>
    <w:p w14:paraId="2ABEAD85" w14:textId="77777777" w:rsidR="00C46B08" w:rsidRPr="00316277" w:rsidRDefault="00C46B08" w:rsidP="00977899">
      <w:pPr>
        <w:pStyle w:val="Default"/>
        <w:jc w:val="both"/>
        <w:rPr>
          <w:rFonts w:ascii="Arial" w:hAnsi="Arial" w:cs="Arial"/>
        </w:rPr>
      </w:pPr>
    </w:p>
    <w:p w14:paraId="70137DF0" w14:textId="77777777" w:rsidR="00C46B08" w:rsidRPr="00316277" w:rsidRDefault="00C46B08" w:rsidP="00977899">
      <w:pPr>
        <w:pStyle w:val="Default"/>
        <w:suppressAutoHyphens/>
        <w:jc w:val="both"/>
        <w:rPr>
          <w:rFonts w:ascii="Arial" w:hAnsi="Arial" w:cs="Arial"/>
          <w:b/>
          <w:bCs/>
        </w:rPr>
      </w:pPr>
      <w:r w:rsidRPr="00316277">
        <w:rPr>
          <w:rFonts w:ascii="Arial" w:hAnsi="Arial" w:cs="Arial"/>
          <w:b/>
          <w:bCs/>
        </w:rPr>
        <w:t>Composition et fonctionnement du comité</w:t>
      </w:r>
    </w:p>
    <w:p w14:paraId="36D349FD" w14:textId="77777777" w:rsidR="00C46B08" w:rsidRPr="00316277" w:rsidRDefault="00C46B08" w:rsidP="00977899">
      <w:pPr>
        <w:pStyle w:val="Default"/>
        <w:suppressAutoHyphens/>
        <w:jc w:val="both"/>
        <w:rPr>
          <w:rFonts w:ascii="Arial" w:hAnsi="Arial" w:cs="Arial"/>
        </w:rPr>
      </w:pPr>
    </w:p>
    <w:p w14:paraId="62CA34AB" w14:textId="77777777" w:rsidR="00C46B08" w:rsidRPr="00316277" w:rsidRDefault="00C46B08" w:rsidP="00977899">
      <w:pPr>
        <w:keepNext w:val="0"/>
        <w:rPr>
          <w:rFonts w:cs="Arial"/>
          <w:szCs w:val="24"/>
        </w:rPr>
      </w:pPr>
      <w:r w:rsidRPr="00316277">
        <w:rPr>
          <w:rFonts w:cs="Arial"/>
          <w:szCs w:val="24"/>
        </w:rPr>
        <w:t>Le comité de travail est composé, d’une part, d’un maximum de 6 représentants du Bureau de la négociation gouvernementale du Secrétariat du Conseil du trésor et, d’autre part, d’un maximum d’un représentant de chacune des organisations syndicales suivantes : la Confédération des syndicats nationaux (CSN), la Centrale des syndicats du Québec (CSQ), la Fédération des travailleurs et travailleuses du Québec (FTQ), l’Alliance du personnel professionnel et technique de la santé et des services sociaux (APTS), la Fédération interprofessionnelle du Québec (FIQ), la Fédération autonome de l’enseignement (FAE), le Syndicat de professionnelles et professionnels du Gouvernement du Québec (SPGQ) et le Syndicat de la fonction publique et parapublique du Québec (SFPQ).</w:t>
      </w:r>
    </w:p>
    <w:p w14:paraId="02536216" w14:textId="77777777" w:rsidR="00C46B08" w:rsidRPr="00316277" w:rsidRDefault="00C46B08" w:rsidP="00977899">
      <w:pPr>
        <w:keepNext w:val="0"/>
        <w:rPr>
          <w:rFonts w:cs="Arial"/>
          <w:szCs w:val="24"/>
        </w:rPr>
      </w:pPr>
    </w:p>
    <w:p w14:paraId="53E690ED" w14:textId="77777777" w:rsidR="00C46B08" w:rsidRPr="00316277" w:rsidRDefault="00C46B08" w:rsidP="00977899">
      <w:pPr>
        <w:keepNext w:val="0"/>
        <w:rPr>
          <w:rFonts w:cs="Arial"/>
          <w:szCs w:val="24"/>
        </w:rPr>
      </w:pPr>
      <w:r w:rsidRPr="00316277">
        <w:rPr>
          <w:rFonts w:cs="Arial"/>
          <w:szCs w:val="24"/>
        </w:rPr>
        <w:t>Chacune des organisations peut s’adjoindre les services d’un expert-conseil au besoin.</w:t>
      </w:r>
    </w:p>
    <w:p w14:paraId="4F52B103" w14:textId="77777777" w:rsidR="00C46B08" w:rsidRPr="00316277" w:rsidRDefault="00C46B08" w:rsidP="00977899">
      <w:pPr>
        <w:keepNext w:val="0"/>
        <w:rPr>
          <w:rFonts w:cs="Arial"/>
          <w:szCs w:val="24"/>
        </w:rPr>
      </w:pPr>
    </w:p>
    <w:p w14:paraId="750E9544" w14:textId="6ABE9F54" w:rsidR="00C46B08" w:rsidRDefault="00C46B08" w:rsidP="00977899">
      <w:pPr>
        <w:keepNext w:val="0"/>
      </w:pPr>
      <w:r w:rsidRPr="00316277">
        <w:rPr>
          <w:rFonts w:cs="Arial"/>
          <w:szCs w:val="24"/>
        </w:rPr>
        <w:t>Les membres du comité peuvent requérir les services des représentants de Retraite Québec afin de les appuyer dans les différents travaux.</w:t>
      </w:r>
    </w:p>
    <w:p w14:paraId="35B6DAAC" w14:textId="4A673950" w:rsidR="00AC12C8" w:rsidRPr="00316277" w:rsidRDefault="00AC12C8" w:rsidP="00C46B08">
      <w:pPr>
        <w:pStyle w:val="Heading3"/>
        <w:keepNext w:val="0"/>
        <w:spacing w:after="240"/>
      </w:pPr>
      <w:r>
        <w:br w:type="page"/>
      </w:r>
    </w:p>
    <w:p w14:paraId="0F88A0E6" w14:textId="645350F4" w:rsidR="007C17E7" w:rsidRPr="00B836FD" w:rsidRDefault="00B67CC4" w:rsidP="007F120F">
      <w:pPr>
        <w:pStyle w:val="Heading3"/>
        <w:keepNext w:val="0"/>
        <w:spacing w:after="240"/>
        <w:rPr>
          <w:rFonts w:ascii="Arial Gras" w:hAnsi="Arial Gras"/>
          <w:caps w:val="0"/>
        </w:rPr>
      </w:pPr>
      <w:bookmarkStart w:id="1535" w:name="_Toc168479622"/>
      <w:r w:rsidRPr="0048568D">
        <w:t>Annexe V</w:t>
      </w:r>
      <w:r w:rsidR="0017646C">
        <w:t>-</w:t>
      </w:r>
      <w:r w:rsidR="00C3117E" w:rsidRPr="0048568D">
        <w:t>10</w:t>
      </w:r>
      <w:r w:rsidRPr="0048568D">
        <w:br/>
      </w:r>
      <w:r w:rsidRPr="0048568D">
        <w:br/>
      </w:r>
      <w:r w:rsidR="006C734F" w:rsidRPr="00B836FD">
        <w:t xml:space="preserve">Lettre d’entente </w:t>
      </w:r>
      <w:r w:rsidR="00B836FD" w:rsidRPr="00B836FD">
        <w:t>r</w:t>
      </w:r>
      <w:r w:rsidR="000F781D" w:rsidRPr="00B836FD">
        <w:t xml:space="preserve">elative à la création d’un comité de travail </w:t>
      </w:r>
      <w:r w:rsidR="00D6150C" w:rsidRPr="00316277">
        <w:t>portant</w:t>
      </w:r>
      <w:r w:rsidR="00D6150C">
        <w:t xml:space="preserve"> </w:t>
      </w:r>
      <w:r w:rsidR="000F781D" w:rsidRPr="00B836FD">
        <w:t>sur les droits pa</w:t>
      </w:r>
      <w:r w:rsidR="00C344C3" w:rsidRPr="00B836FD">
        <w:t>rentaux</w:t>
      </w:r>
      <w:bookmarkEnd w:id="1535"/>
    </w:p>
    <w:p w14:paraId="4425F981" w14:textId="77777777" w:rsidR="003D1EBC" w:rsidRPr="00316277" w:rsidRDefault="003D1EBC" w:rsidP="003D1EBC">
      <w:pPr>
        <w:pStyle w:val="Default"/>
        <w:suppressAutoHyphens/>
        <w:jc w:val="both"/>
        <w:rPr>
          <w:rFonts w:ascii="Arial" w:hAnsi="Arial" w:cs="Arial"/>
        </w:rPr>
      </w:pPr>
      <w:r w:rsidRPr="00316277">
        <w:rPr>
          <w:rFonts w:ascii="Arial" w:hAnsi="Arial" w:cs="Arial"/>
        </w:rPr>
        <w:t>Dans les 30 jours suivant l’entrée en vigueur de la convention collective, les parties conviennent de former un comité de travail, sous l’égide du Bureau de la négociation gouvernementale du Secrétariat du Conseil du trésor, portant sur les droits parentaux.</w:t>
      </w:r>
    </w:p>
    <w:p w14:paraId="7FE1AD97" w14:textId="77777777" w:rsidR="003D1EBC" w:rsidRPr="00316277" w:rsidRDefault="003D1EBC" w:rsidP="003D1EBC">
      <w:pPr>
        <w:pStyle w:val="Default"/>
        <w:suppressAutoHyphens/>
        <w:jc w:val="both"/>
        <w:rPr>
          <w:rFonts w:ascii="Arial" w:hAnsi="Arial" w:cs="Arial"/>
        </w:rPr>
      </w:pPr>
    </w:p>
    <w:p w14:paraId="0FCD70FF" w14:textId="77777777" w:rsidR="003D1EBC" w:rsidRPr="00316277" w:rsidRDefault="003D1EBC" w:rsidP="003D1EBC">
      <w:pPr>
        <w:pStyle w:val="Default"/>
        <w:suppressAutoHyphens/>
        <w:jc w:val="both"/>
        <w:rPr>
          <w:rFonts w:ascii="Arial" w:hAnsi="Arial" w:cs="Arial"/>
          <w:b/>
          <w:bCs/>
        </w:rPr>
      </w:pPr>
      <w:r w:rsidRPr="00316277">
        <w:rPr>
          <w:rFonts w:ascii="Arial" w:hAnsi="Arial" w:cs="Arial"/>
          <w:b/>
          <w:bCs/>
        </w:rPr>
        <w:t>Mandats du comité</w:t>
      </w:r>
    </w:p>
    <w:p w14:paraId="577492EB" w14:textId="77777777" w:rsidR="003D1EBC" w:rsidRPr="00316277" w:rsidRDefault="003D1EBC" w:rsidP="003D1EBC">
      <w:pPr>
        <w:pStyle w:val="Default"/>
        <w:suppressAutoHyphens/>
        <w:jc w:val="both"/>
        <w:rPr>
          <w:rFonts w:ascii="Arial" w:hAnsi="Arial" w:cs="Arial"/>
        </w:rPr>
      </w:pPr>
    </w:p>
    <w:p w14:paraId="2E3528A0" w14:textId="77777777" w:rsidR="003D1EBC" w:rsidRPr="00316277" w:rsidRDefault="003D1EBC" w:rsidP="003D1EBC">
      <w:pPr>
        <w:pStyle w:val="Default"/>
        <w:suppressAutoHyphens/>
        <w:jc w:val="both"/>
        <w:rPr>
          <w:rFonts w:ascii="Arial" w:hAnsi="Arial" w:cs="Arial"/>
        </w:rPr>
      </w:pPr>
      <w:r w:rsidRPr="00316277">
        <w:rPr>
          <w:rFonts w:ascii="Arial" w:hAnsi="Arial" w:cs="Arial"/>
        </w:rPr>
        <w:t>Le comité a pour mandats de :</w:t>
      </w:r>
    </w:p>
    <w:p w14:paraId="48644124" w14:textId="77777777" w:rsidR="003D1EBC" w:rsidRPr="00316277" w:rsidRDefault="003D1EBC" w:rsidP="003D1EBC">
      <w:pPr>
        <w:pStyle w:val="Default"/>
        <w:suppressAutoHyphens/>
        <w:jc w:val="both"/>
        <w:rPr>
          <w:rFonts w:ascii="Arial" w:hAnsi="Arial" w:cs="Arial"/>
        </w:rPr>
      </w:pPr>
    </w:p>
    <w:p w14:paraId="4923D2B3" w14:textId="47F03145" w:rsidR="003D1EBC" w:rsidRPr="00316277" w:rsidRDefault="003D1EBC" w:rsidP="00864798">
      <w:pPr>
        <w:pStyle w:val="Default"/>
        <w:numPr>
          <w:ilvl w:val="0"/>
          <w:numId w:val="65"/>
        </w:numPr>
        <w:suppressAutoHyphens/>
        <w:jc w:val="both"/>
        <w:rPr>
          <w:rFonts w:ascii="Arial" w:hAnsi="Arial" w:cs="Arial"/>
        </w:rPr>
      </w:pPr>
      <w:r w:rsidRPr="00316277">
        <w:rPr>
          <w:rFonts w:ascii="Arial" w:hAnsi="Arial" w:cs="Arial"/>
        </w:rPr>
        <w:t>Analyser les dispositions relatives aux droits parentaux prévus dans la convention collective afin de :</w:t>
      </w:r>
    </w:p>
    <w:p w14:paraId="7E5707F2" w14:textId="77777777" w:rsidR="003D1EBC" w:rsidRPr="00316277" w:rsidRDefault="003D1EBC" w:rsidP="003D1EBC">
      <w:pPr>
        <w:pStyle w:val="Default"/>
        <w:suppressAutoHyphens/>
        <w:ind w:left="720"/>
        <w:jc w:val="both"/>
        <w:rPr>
          <w:rFonts w:ascii="Arial" w:hAnsi="Arial" w:cs="Arial"/>
        </w:rPr>
      </w:pPr>
    </w:p>
    <w:p w14:paraId="6BD8D6D5" w14:textId="7A73CF9A" w:rsidR="003D1EBC" w:rsidRPr="00316277" w:rsidRDefault="003D1EBC" w:rsidP="00864798">
      <w:pPr>
        <w:pStyle w:val="Default"/>
        <w:numPr>
          <w:ilvl w:val="1"/>
          <w:numId w:val="65"/>
        </w:numPr>
        <w:suppressAutoHyphens/>
        <w:jc w:val="both"/>
        <w:rPr>
          <w:rFonts w:ascii="Arial" w:hAnsi="Arial" w:cs="Arial"/>
        </w:rPr>
      </w:pPr>
      <w:r w:rsidRPr="00316277">
        <w:rPr>
          <w:rFonts w:ascii="Arial" w:hAnsi="Arial" w:cs="Arial"/>
        </w:rPr>
        <w:t>S’assurer que les termes utilisés soient écrits de manière inclusive et qu’ils soient cohérents avec ceux utilisés dans les lois;</w:t>
      </w:r>
    </w:p>
    <w:p w14:paraId="78B69665" w14:textId="77777777" w:rsidR="003D1EBC" w:rsidRPr="00316277" w:rsidRDefault="003D1EBC" w:rsidP="003D1EBC">
      <w:pPr>
        <w:pStyle w:val="Default"/>
        <w:suppressAutoHyphens/>
        <w:ind w:left="1440"/>
        <w:jc w:val="both"/>
        <w:rPr>
          <w:rFonts w:ascii="Arial" w:hAnsi="Arial" w:cs="Arial"/>
        </w:rPr>
      </w:pPr>
    </w:p>
    <w:p w14:paraId="0FB4ABFD" w14:textId="77777777" w:rsidR="003D1EBC" w:rsidRPr="00316277" w:rsidRDefault="003D1EBC" w:rsidP="00864798">
      <w:pPr>
        <w:pStyle w:val="Default"/>
        <w:numPr>
          <w:ilvl w:val="1"/>
          <w:numId w:val="65"/>
        </w:numPr>
        <w:suppressAutoHyphens/>
        <w:jc w:val="both"/>
        <w:rPr>
          <w:rFonts w:ascii="Arial" w:hAnsi="Arial" w:cs="Arial"/>
        </w:rPr>
      </w:pPr>
      <w:r w:rsidRPr="00316277">
        <w:rPr>
          <w:rFonts w:ascii="Arial" w:hAnsi="Arial" w:cs="Arial"/>
        </w:rPr>
        <w:t>S’assurer que ces dispositions soient conformes avec l’encadrement légal et règlementaire en ce qui a trait à la grossesse pour autrui.</w:t>
      </w:r>
    </w:p>
    <w:p w14:paraId="2136AFCD" w14:textId="77777777" w:rsidR="003D1EBC" w:rsidRPr="00316277" w:rsidRDefault="003D1EBC" w:rsidP="003D1EBC">
      <w:pPr>
        <w:pStyle w:val="Default"/>
        <w:suppressAutoHyphens/>
        <w:ind w:left="1440"/>
        <w:jc w:val="both"/>
        <w:rPr>
          <w:rFonts w:ascii="Arial" w:hAnsi="Arial" w:cs="Arial"/>
        </w:rPr>
      </w:pPr>
    </w:p>
    <w:p w14:paraId="4A03095D" w14:textId="77777777" w:rsidR="003D1EBC" w:rsidRPr="00316277" w:rsidRDefault="003D1EBC" w:rsidP="00864798">
      <w:pPr>
        <w:pStyle w:val="Default"/>
        <w:numPr>
          <w:ilvl w:val="0"/>
          <w:numId w:val="65"/>
        </w:numPr>
        <w:suppressAutoHyphens/>
        <w:jc w:val="both"/>
        <w:rPr>
          <w:rFonts w:ascii="Arial" w:hAnsi="Arial" w:cs="Arial"/>
        </w:rPr>
      </w:pPr>
      <w:r w:rsidRPr="00316277">
        <w:rPr>
          <w:rFonts w:ascii="Arial" w:hAnsi="Arial" w:cs="Arial"/>
        </w:rPr>
        <w:t>Identifier les modifications à apporter au document maître sur les droits parentaux.</w:t>
      </w:r>
    </w:p>
    <w:p w14:paraId="718B0FF8" w14:textId="77777777" w:rsidR="003D1EBC" w:rsidRPr="00316277" w:rsidRDefault="003D1EBC" w:rsidP="003D1EBC">
      <w:pPr>
        <w:pStyle w:val="Default"/>
        <w:suppressAutoHyphens/>
        <w:ind w:left="720"/>
        <w:jc w:val="both"/>
        <w:rPr>
          <w:rFonts w:ascii="Arial" w:hAnsi="Arial" w:cs="Arial"/>
        </w:rPr>
      </w:pPr>
    </w:p>
    <w:p w14:paraId="7EF09F77" w14:textId="649EF450" w:rsidR="003D1EBC" w:rsidRPr="00316277" w:rsidRDefault="003D1EBC" w:rsidP="003D1EBC">
      <w:pPr>
        <w:pStyle w:val="Default"/>
        <w:suppressAutoHyphens/>
        <w:jc w:val="both"/>
        <w:rPr>
          <w:rFonts w:ascii="Arial" w:hAnsi="Arial" w:cs="Arial"/>
          <w:color w:val="auto"/>
        </w:rPr>
      </w:pPr>
      <w:r w:rsidRPr="00316277">
        <w:rPr>
          <w:rFonts w:ascii="Arial" w:hAnsi="Arial" w:cs="Arial"/>
          <w:color w:val="auto"/>
        </w:rPr>
        <w:t>Au terme des travaux, le comité de travail soumet les propositions de modifications au document maître sur les droits parentaux aux parties négociantes. Sous réserve de l’acceptation de ces propositions de modifications par l’ensemble des organisations syndicales</w:t>
      </w:r>
      <w:r w:rsidRPr="00316277">
        <w:rPr>
          <w:rStyle w:val="FootnoteReference"/>
          <w:rFonts w:ascii="Arial" w:hAnsi="Arial" w:cs="Arial"/>
          <w:color w:val="auto"/>
        </w:rPr>
        <w:footnoteReference w:id="61"/>
      </w:r>
      <w:r w:rsidRPr="00316277">
        <w:rPr>
          <w:rFonts w:ascii="Arial" w:hAnsi="Arial" w:cs="Arial"/>
          <w:color w:val="auto"/>
        </w:rPr>
        <w:t>, les parties négociantes conviendront de lettres d’entente afin de procéder à l’amendement des dispositions des conventions collectives sur les droits parentaux.</w:t>
      </w:r>
    </w:p>
    <w:p w14:paraId="70229A87" w14:textId="77777777" w:rsidR="003D1EBC" w:rsidRPr="00316277" w:rsidRDefault="003D1EBC" w:rsidP="003D1EBC">
      <w:pPr>
        <w:pStyle w:val="Default"/>
        <w:suppressAutoHyphens/>
        <w:jc w:val="both"/>
        <w:rPr>
          <w:rFonts w:ascii="Arial" w:hAnsi="Arial" w:cs="Arial"/>
          <w:color w:val="auto"/>
        </w:rPr>
      </w:pPr>
    </w:p>
    <w:p w14:paraId="7A8F2872" w14:textId="77777777" w:rsidR="003D1EBC" w:rsidRPr="00316277" w:rsidRDefault="003D1EBC" w:rsidP="003D1EBC">
      <w:pPr>
        <w:pStyle w:val="Default"/>
        <w:suppressAutoHyphens/>
        <w:jc w:val="both"/>
        <w:rPr>
          <w:rFonts w:ascii="Arial" w:hAnsi="Arial" w:cs="Arial"/>
          <w:b/>
          <w:bCs/>
        </w:rPr>
      </w:pPr>
      <w:r w:rsidRPr="00316277">
        <w:rPr>
          <w:rFonts w:ascii="Arial" w:hAnsi="Arial" w:cs="Arial"/>
          <w:b/>
          <w:bCs/>
        </w:rPr>
        <w:t>Composition du comité</w:t>
      </w:r>
    </w:p>
    <w:p w14:paraId="610FA3E9" w14:textId="77777777" w:rsidR="003D1EBC" w:rsidRPr="00316277" w:rsidRDefault="003D1EBC" w:rsidP="003D1EBC">
      <w:pPr>
        <w:pStyle w:val="Default"/>
        <w:suppressAutoHyphens/>
        <w:jc w:val="both"/>
        <w:rPr>
          <w:rFonts w:ascii="Arial" w:hAnsi="Arial" w:cs="Arial"/>
        </w:rPr>
      </w:pPr>
    </w:p>
    <w:p w14:paraId="5110247B" w14:textId="5AA41ED9" w:rsidR="004C2043" w:rsidRPr="00316277" w:rsidRDefault="003D1EBC" w:rsidP="004C2043">
      <w:pPr>
        <w:keepNext w:val="0"/>
        <w:rPr>
          <w:rFonts w:cs="Arial"/>
          <w:szCs w:val="24"/>
        </w:rPr>
      </w:pPr>
      <w:r w:rsidRPr="00316277">
        <w:rPr>
          <w:rFonts w:cs="Arial"/>
          <w:szCs w:val="24"/>
        </w:rPr>
        <w:t>Le comité de travail est composé, d’une part, d’un maximum de 4 représentants de la partie patronale et, d’autre part, d’un représentant de chacune des organisations syndicales suivantes : la Confédération des syndicats nationaux (CSN), la Centrale des syndicats du Québec (CSQ), la Fédération des travailleurs et travailleuses du Québec (FTQ) et l’Alliance du personnel professionnel et technique de la santé et des services sociaux (APTS).</w:t>
      </w:r>
    </w:p>
    <w:p w14:paraId="654041E6" w14:textId="77777777" w:rsidR="004C2043" w:rsidRPr="00316277" w:rsidRDefault="004C2043">
      <w:pPr>
        <w:keepNext w:val="0"/>
        <w:suppressAutoHyphens w:val="0"/>
        <w:jc w:val="left"/>
        <w:rPr>
          <w:rFonts w:cs="Arial"/>
          <w:szCs w:val="24"/>
        </w:rPr>
      </w:pPr>
      <w:r w:rsidRPr="00316277">
        <w:rPr>
          <w:rFonts w:cs="Arial"/>
          <w:szCs w:val="24"/>
        </w:rPr>
        <w:br w:type="page"/>
      </w:r>
    </w:p>
    <w:p w14:paraId="712B949A" w14:textId="41EA2344" w:rsidR="004C2043" w:rsidRPr="00316277" w:rsidRDefault="004C2043" w:rsidP="004C2043">
      <w:pPr>
        <w:pStyle w:val="Heading3"/>
        <w:keepNext w:val="0"/>
        <w:spacing w:after="240"/>
      </w:pPr>
      <w:bookmarkStart w:id="1536" w:name="_Toc168479623"/>
      <w:r w:rsidRPr="00316277">
        <w:t>A</w:t>
      </w:r>
      <w:r w:rsidR="00282FE2" w:rsidRPr="00316277">
        <w:t>nnexe</w:t>
      </w:r>
      <w:r w:rsidRPr="00316277">
        <w:t xml:space="preserve"> V-11</w:t>
      </w:r>
      <w:r w:rsidRPr="0048568D">
        <w:br/>
      </w:r>
      <w:r w:rsidRPr="0048568D">
        <w:br/>
      </w:r>
      <w:r w:rsidRPr="00316277">
        <w:t xml:space="preserve">Lettre d’intention </w:t>
      </w:r>
      <w:bookmarkStart w:id="1537" w:name="_Hlk156999053"/>
      <w:r w:rsidRPr="00316277">
        <w:t>relative au régime de retraite du personnel employé du gouvernement et des organismes publics (RREGOP) pour les personnes visées par ce régime en vertu de la Loi sur le RREGOP</w:t>
      </w:r>
      <w:bookmarkEnd w:id="1537"/>
      <w:bookmarkEnd w:id="1536"/>
    </w:p>
    <w:p w14:paraId="43BB317C" w14:textId="77777777" w:rsidR="004C2043" w:rsidRPr="00316277" w:rsidRDefault="004C2043" w:rsidP="00864798">
      <w:pPr>
        <w:keepNext w:val="0"/>
        <w:numPr>
          <w:ilvl w:val="0"/>
          <w:numId w:val="66"/>
        </w:numPr>
        <w:ind w:left="539" w:hanging="539"/>
        <w:rPr>
          <w:b/>
          <w:szCs w:val="24"/>
        </w:rPr>
      </w:pPr>
      <w:r w:rsidRPr="00316277">
        <w:rPr>
          <w:b/>
          <w:szCs w:val="24"/>
        </w:rPr>
        <w:t>Modifications législatives et réglementaires</w:t>
      </w:r>
    </w:p>
    <w:p w14:paraId="7F6628ED" w14:textId="77777777" w:rsidR="004C2043" w:rsidRPr="00316277" w:rsidRDefault="004C2043" w:rsidP="004C2043">
      <w:pPr>
        <w:keepNext w:val="0"/>
        <w:ind w:left="539"/>
        <w:rPr>
          <w:b/>
          <w:szCs w:val="24"/>
        </w:rPr>
      </w:pPr>
    </w:p>
    <w:p w14:paraId="0D3D05DC" w14:textId="47DEFAB1" w:rsidR="004C2043" w:rsidRPr="00316277" w:rsidRDefault="004C2043" w:rsidP="004C2043">
      <w:pPr>
        <w:pStyle w:val="BodyTextIndent"/>
        <w:keepNext w:val="0"/>
        <w:spacing w:after="0"/>
        <w:ind w:left="544"/>
        <w:rPr>
          <w:szCs w:val="24"/>
        </w:rPr>
      </w:pPr>
      <w:r w:rsidRPr="00316277">
        <w:rPr>
          <w:rStyle w:val="ui-provider"/>
          <w:szCs w:val="24"/>
        </w:rPr>
        <w:t xml:space="preserve">Le gouvernement s’engage à adopter les projets de règlement requis ainsi qu’à proposer à l’Assemblée nationale, pour adoption, les dispositions législatives permettant d’apporter au </w:t>
      </w:r>
      <w:r w:rsidRPr="00316277">
        <w:rPr>
          <w:rFonts w:cs="Arial"/>
          <w:i/>
          <w:szCs w:val="24"/>
        </w:rPr>
        <w:t>régime de retraite du personnel employé du gouvernement et des organismes publics</w:t>
      </w:r>
      <w:r w:rsidRPr="00316277">
        <w:rPr>
          <w:rFonts w:cs="Arial"/>
          <w:szCs w:val="24"/>
        </w:rPr>
        <w:t xml:space="preserve"> (RREGOP)</w:t>
      </w:r>
      <w:r w:rsidRPr="00316277">
        <w:rPr>
          <w:rStyle w:val="ui-provider"/>
          <w:szCs w:val="24"/>
        </w:rPr>
        <w:t xml:space="preserve"> les modifications prévues aux articles</w:t>
      </w:r>
      <w:r w:rsidR="00CC1E3A" w:rsidRPr="00316277">
        <w:rPr>
          <w:rStyle w:val="ui-provider"/>
          <w:szCs w:val="24"/>
        </w:rPr>
        <w:t> </w:t>
      </w:r>
      <w:r w:rsidRPr="00316277">
        <w:rPr>
          <w:rStyle w:val="ui-provider"/>
          <w:szCs w:val="24"/>
        </w:rPr>
        <w:t>2 et 3</w:t>
      </w:r>
      <w:r w:rsidRPr="00316277">
        <w:rPr>
          <w:szCs w:val="24"/>
        </w:rPr>
        <w:t>.</w:t>
      </w:r>
    </w:p>
    <w:p w14:paraId="791682D7" w14:textId="77777777" w:rsidR="004C2043" w:rsidRPr="00316277" w:rsidRDefault="004C2043" w:rsidP="004C2043">
      <w:pPr>
        <w:pStyle w:val="BodyTextIndent"/>
        <w:keepNext w:val="0"/>
        <w:spacing w:after="0"/>
        <w:ind w:left="544"/>
        <w:rPr>
          <w:szCs w:val="24"/>
        </w:rPr>
      </w:pPr>
    </w:p>
    <w:p w14:paraId="6FA65B9A" w14:textId="77777777" w:rsidR="004C2043" w:rsidRPr="00316277" w:rsidRDefault="004C2043" w:rsidP="00864798">
      <w:pPr>
        <w:keepNext w:val="0"/>
        <w:numPr>
          <w:ilvl w:val="0"/>
          <w:numId w:val="66"/>
        </w:numPr>
        <w:ind w:left="539" w:hanging="539"/>
        <w:rPr>
          <w:b/>
          <w:szCs w:val="24"/>
        </w:rPr>
      </w:pPr>
      <w:r w:rsidRPr="00316277">
        <w:rPr>
          <w:b/>
          <w:szCs w:val="24"/>
        </w:rPr>
        <w:t>Mise à la retraite de façon progressive</w:t>
      </w:r>
    </w:p>
    <w:p w14:paraId="5C15198E" w14:textId="77777777" w:rsidR="004C2043" w:rsidRPr="00316277" w:rsidRDefault="004C2043" w:rsidP="004C2043">
      <w:pPr>
        <w:keepNext w:val="0"/>
        <w:ind w:left="539"/>
        <w:rPr>
          <w:b/>
          <w:szCs w:val="24"/>
        </w:rPr>
      </w:pPr>
    </w:p>
    <w:p w14:paraId="30824B1B" w14:textId="7A675505" w:rsidR="004C2043" w:rsidRPr="00316277" w:rsidRDefault="004C2043" w:rsidP="004C2043">
      <w:pPr>
        <w:pStyle w:val="BodyTextIndent"/>
        <w:keepNext w:val="0"/>
        <w:spacing w:after="0"/>
        <w:ind w:left="544"/>
        <w:rPr>
          <w:szCs w:val="24"/>
        </w:rPr>
      </w:pPr>
      <w:r w:rsidRPr="00316277">
        <w:rPr>
          <w:szCs w:val="24"/>
        </w:rPr>
        <w:t>La durée initiale d’une entente de mise à la retraite progressive est maintenue, soit pour une période d’au moins une année et d’au plus 5 années. Toutefois, à compter de la date de présentation du projet de loi à l’Assemblée nationale qui met en œuvre la présente modification ou, au plus tard le 30</w:t>
      </w:r>
      <w:r w:rsidR="00CC1E3A" w:rsidRPr="00316277">
        <w:rPr>
          <w:szCs w:val="24"/>
        </w:rPr>
        <w:t> </w:t>
      </w:r>
      <w:r w:rsidRPr="00316277">
        <w:rPr>
          <w:szCs w:val="24"/>
        </w:rPr>
        <w:t>juin</w:t>
      </w:r>
      <w:r w:rsidR="00CC1E3A" w:rsidRPr="00316277">
        <w:rPr>
          <w:szCs w:val="24"/>
        </w:rPr>
        <w:t> </w:t>
      </w:r>
      <w:r w:rsidRPr="00316277">
        <w:rPr>
          <w:szCs w:val="24"/>
        </w:rPr>
        <w:t xml:space="preserve">2024, une personne employée qui est partie à une telle entente peut convenir avec </w:t>
      </w:r>
      <w:bookmarkStart w:id="1538" w:name="_Hlk150856498"/>
      <w:r w:rsidRPr="00316277">
        <w:rPr>
          <w:szCs w:val="24"/>
        </w:rPr>
        <w:t>son employeur, par écrit et plus de 6 mois avant la date de fin de l’entente, de prolonger cette entente. Il est possible de prolonger l’entente plus d’une fois, mais la personne employée doit en convenir avec son employeur à chaque fois, par écrit et plus de 6 mois avant la fin de la prolongation. Toute prolongation à l’entente doit être d’au minimum d’une année et d’au maximum 5 années.</w:t>
      </w:r>
    </w:p>
    <w:p w14:paraId="11882194" w14:textId="77777777" w:rsidR="004C2043" w:rsidRPr="00316277" w:rsidRDefault="004C2043" w:rsidP="004C2043">
      <w:pPr>
        <w:pStyle w:val="BodyTextIndent"/>
        <w:keepNext w:val="0"/>
        <w:spacing w:after="0"/>
        <w:ind w:left="544"/>
        <w:rPr>
          <w:szCs w:val="24"/>
        </w:rPr>
      </w:pPr>
    </w:p>
    <w:p w14:paraId="2E7CEB48" w14:textId="77777777" w:rsidR="004C2043" w:rsidRPr="00316277" w:rsidRDefault="004C2043" w:rsidP="004C2043">
      <w:pPr>
        <w:pStyle w:val="BodyTextIndent"/>
        <w:keepNext w:val="0"/>
        <w:spacing w:after="0"/>
        <w:ind w:left="544"/>
        <w:rPr>
          <w:szCs w:val="24"/>
        </w:rPr>
      </w:pPr>
      <w:r w:rsidRPr="00316277">
        <w:rPr>
          <w:szCs w:val="24"/>
        </w:rPr>
        <w:t>La durée d’application de l’entente ainsi prolongée peut excéder 5 années, mais malgré toute prolongation, la durée totale de l’entente ne doit pas excéder 7 années.</w:t>
      </w:r>
    </w:p>
    <w:p w14:paraId="095AEBB2" w14:textId="77777777" w:rsidR="004C2043" w:rsidRPr="00316277" w:rsidRDefault="004C2043" w:rsidP="004C2043">
      <w:pPr>
        <w:pStyle w:val="BodyTextIndent"/>
        <w:keepNext w:val="0"/>
        <w:spacing w:after="0"/>
        <w:ind w:left="544"/>
        <w:rPr>
          <w:szCs w:val="24"/>
        </w:rPr>
      </w:pPr>
    </w:p>
    <w:p w14:paraId="0010CA88" w14:textId="5380B0FE" w:rsidR="004C2043" w:rsidRPr="00316277" w:rsidRDefault="004C2043" w:rsidP="004C2043">
      <w:pPr>
        <w:pStyle w:val="BodyTextIndent"/>
        <w:keepNext w:val="0"/>
        <w:spacing w:after="0"/>
        <w:ind w:left="544"/>
        <w:rPr>
          <w:szCs w:val="24"/>
        </w:rPr>
      </w:pPr>
      <w:r w:rsidRPr="00316277">
        <w:rPr>
          <w:szCs w:val="24"/>
        </w:rPr>
        <w:t xml:space="preserve">Dans le cas d’une entente de mise à la retraite progressive dont l’échéance est prévue à </w:t>
      </w:r>
      <w:r w:rsidRPr="00316277">
        <w:rPr>
          <w:rFonts w:cs="Arial"/>
          <w:szCs w:val="24"/>
        </w:rPr>
        <w:t xml:space="preserve">la date </w:t>
      </w:r>
      <w:r w:rsidRPr="00316277">
        <w:rPr>
          <w:rStyle w:val="cf01"/>
          <w:rFonts w:ascii="Arial" w:hAnsi="Arial" w:cs="Arial"/>
          <w:sz w:val="24"/>
          <w:szCs w:val="24"/>
        </w:rPr>
        <w:t>d’entrée en vigueur de la présente modification</w:t>
      </w:r>
      <w:r w:rsidRPr="00316277">
        <w:rPr>
          <w:rStyle w:val="cf01"/>
          <w:rFonts w:cs="Arial"/>
          <w:sz w:val="22"/>
          <w:szCs w:val="22"/>
        </w:rPr>
        <w:t xml:space="preserve"> </w:t>
      </w:r>
      <w:r w:rsidRPr="00316277">
        <w:rPr>
          <w:szCs w:val="24"/>
        </w:rPr>
        <w:t>et dans les neuf</w:t>
      </w:r>
      <w:r w:rsidR="00CC1E3A" w:rsidRPr="00316277">
        <w:rPr>
          <w:szCs w:val="24"/>
        </w:rPr>
        <w:t> </w:t>
      </w:r>
      <w:r w:rsidRPr="00316277">
        <w:rPr>
          <w:szCs w:val="24"/>
        </w:rPr>
        <w:t>(9)</w:t>
      </w:r>
      <w:r w:rsidR="00CC1E3A" w:rsidRPr="00316277">
        <w:rPr>
          <w:szCs w:val="24"/>
        </w:rPr>
        <w:t xml:space="preserve"> </w:t>
      </w:r>
      <w:r w:rsidRPr="00316277">
        <w:rPr>
          <w:szCs w:val="24"/>
        </w:rPr>
        <w:t>mois qui suivent cette date, il n’y aurait pas de délai à respecter pour que la personne salariée convienne avec son employeur de prolonger cette entente.</w:t>
      </w:r>
    </w:p>
    <w:bookmarkEnd w:id="1538"/>
    <w:p w14:paraId="1F368618" w14:textId="77777777" w:rsidR="004C2043" w:rsidRPr="00316277" w:rsidRDefault="004C2043" w:rsidP="004C2043">
      <w:pPr>
        <w:pStyle w:val="BodyTextIndent"/>
        <w:keepNext w:val="0"/>
        <w:spacing w:after="0"/>
        <w:ind w:left="544"/>
        <w:rPr>
          <w:szCs w:val="24"/>
        </w:rPr>
      </w:pPr>
    </w:p>
    <w:p w14:paraId="09C31386" w14:textId="77777777" w:rsidR="004C2043" w:rsidRPr="00316277" w:rsidRDefault="004C2043" w:rsidP="00864798">
      <w:pPr>
        <w:keepNext w:val="0"/>
        <w:numPr>
          <w:ilvl w:val="0"/>
          <w:numId w:val="66"/>
        </w:numPr>
        <w:ind w:left="539" w:hanging="539"/>
        <w:rPr>
          <w:b/>
          <w:szCs w:val="24"/>
        </w:rPr>
      </w:pPr>
      <w:r w:rsidRPr="00316277">
        <w:rPr>
          <w:b/>
          <w:szCs w:val="24"/>
        </w:rPr>
        <w:t>Âge maximal de participation au régime de retraite</w:t>
      </w:r>
    </w:p>
    <w:p w14:paraId="1BD0C3C3" w14:textId="77777777" w:rsidR="004C2043" w:rsidRPr="00316277" w:rsidRDefault="004C2043" w:rsidP="004C2043">
      <w:pPr>
        <w:keepNext w:val="0"/>
        <w:ind w:left="539"/>
        <w:rPr>
          <w:b/>
          <w:szCs w:val="24"/>
        </w:rPr>
      </w:pPr>
    </w:p>
    <w:p w14:paraId="32F2DFA4" w14:textId="5EDE41DF" w:rsidR="004C2043" w:rsidRPr="00316277" w:rsidRDefault="004C2043" w:rsidP="004C2043">
      <w:pPr>
        <w:pStyle w:val="BodyTextIndent"/>
        <w:keepNext w:val="0"/>
        <w:spacing w:after="0"/>
        <w:ind w:left="544"/>
        <w:rPr>
          <w:szCs w:val="24"/>
        </w:rPr>
      </w:pPr>
      <w:r w:rsidRPr="00316277">
        <w:rPr>
          <w:szCs w:val="24"/>
        </w:rPr>
        <w:t>À compter du 1</w:t>
      </w:r>
      <w:r w:rsidRPr="00316277">
        <w:rPr>
          <w:szCs w:val="24"/>
          <w:vertAlign w:val="superscript"/>
        </w:rPr>
        <w:t>er</w:t>
      </w:r>
      <w:r w:rsidR="00583781" w:rsidRPr="00316277">
        <w:rPr>
          <w:szCs w:val="24"/>
          <w:vertAlign w:val="superscript"/>
        </w:rPr>
        <w:t> </w:t>
      </w:r>
      <w:r w:rsidRPr="00316277">
        <w:rPr>
          <w:szCs w:val="24"/>
        </w:rPr>
        <w:t>janvier</w:t>
      </w:r>
      <w:r w:rsidR="00583781" w:rsidRPr="00316277">
        <w:rPr>
          <w:szCs w:val="24"/>
        </w:rPr>
        <w:t> </w:t>
      </w:r>
      <w:r w:rsidRPr="00316277">
        <w:rPr>
          <w:szCs w:val="24"/>
        </w:rPr>
        <w:t>2025, l’âge maximal de participation au régime est augmenté afin de correspondre au 30 décembre de l'année au cours de laquelle le participant atteint l’âge de 71 ans.</w:t>
      </w:r>
    </w:p>
    <w:p w14:paraId="2A7A5B37" w14:textId="77777777" w:rsidR="004C2043" w:rsidRPr="00316277" w:rsidRDefault="004C2043" w:rsidP="004C2043">
      <w:pPr>
        <w:pStyle w:val="BodyTextIndent"/>
        <w:keepNext w:val="0"/>
        <w:spacing w:after="0"/>
        <w:ind w:left="544"/>
        <w:rPr>
          <w:szCs w:val="24"/>
        </w:rPr>
      </w:pPr>
    </w:p>
    <w:p w14:paraId="330A0F25" w14:textId="3D6F85A8" w:rsidR="004C2043" w:rsidRPr="00316277" w:rsidRDefault="004C2043" w:rsidP="004C2043">
      <w:pPr>
        <w:pStyle w:val="BodyTextIndent"/>
        <w:keepNext w:val="0"/>
        <w:spacing w:after="0"/>
        <w:ind w:left="544"/>
        <w:rPr>
          <w:szCs w:val="24"/>
        </w:rPr>
      </w:pPr>
      <w:r w:rsidRPr="00316277">
        <w:rPr>
          <w:szCs w:val="24"/>
        </w:rPr>
        <w:t>La modification décrite à l’article 3 de la présente lettre d’intention s’applique aussi au Régime de retraite de certains enseignants (RRCE), avec les adaptations nécessaires.</w:t>
      </w:r>
    </w:p>
    <w:p w14:paraId="07D2C252" w14:textId="77777777" w:rsidR="003D1EBC" w:rsidRDefault="003D1EBC" w:rsidP="007F120F">
      <w:pPr>
        <w:keepNext w:val="0"/>
        <w:tabs>
          <w:tab w:val="left" w:pos="142"/>
        </w:tabs>
        <w:ind w:right="175"/>
      </w:pPr>
    </w:p>
    <w:p w14:paraId="238DA6D5" w14:textId="735465D0" w:rsidR="003D1EBC" w:rsidRDefault="003D1EBC" w:rsidP="007F120F">
      <w:pPr>
        <w:keepNext w:val="0"/>
        <w:tabs>
          <w:tab w:val="left" w:pos="142"/>
        </w:tabs>
        <w:ind w:right="175"/>
        <w:sectPr w:rsidR="003D1EBC" w:rsidSect="002B176A">
          <w:footnotePr>
            <w:numRestart w:val="eachPage"/>
          </w:footnotePr>
          <w:pgSz w:w="12240" w:h="15840" w:code="1"/>
          <w:pgMar w:top="720" w:right="1077" w:bottom="1242" w:left="1684" w:header="709" w:footer="709" w:gutter="0"/>
          <w:cols w:space="708"/>
          <w:docGrid w:linePitch="360"/>
        </w:sectPr>
      </w:pPr>
    </w:p>
    <w:p w14:paraId="6C7489BA" w14:textId="109C9187" w:rsidR="00404F34" w:rsidRPr="00026EC1" w:rsidRDefault="00BC4A82" w:rsidP="00627F0E">
      <w:pPr>
        <w:pStyle w:val="Heading1"/>
        <w:keepNext w:val="0"/>
        <w:tabs>
          <w:tab w:val="left" w:pos="1701"/>
          <w:tab w:val="left" w:pos="1985"/>
        </w:tabs>
        <w:spacing w:after="0"/>
      </w:pPr>
      <w:bookmarkStart w:id="1539" w:name="_Toc531486760"/>
      <w:bookmarkStart w:id="1540" w:name="_Toc133310397"/>
      <w:bookmarkStart w:id="1541" w:name="_Toc134437327"/>
      <w:bookmarkStart w:id="1542" w:name="_Toc393449498"/>
      <w:bookmarkStart w:id="1543" w:name="_Toc531486761"/>
      <w:bookmarkStart w:id="1544" w:name="_Toc133760907"/>
      <w:bookmarkStart w:id="1545" w:name="_Toc133917055"/>
      <w:bookmarkStart w:id="1546" w:name="_Toc535046731"/>
      <w:r w:rsidRPr="00026EC1">
        <w:t>SECTION VI</w:t>
      </w:r>
      <w:r w:rsidR="001215AF">
        <w:t xml:space="preserve"> </w:t>
      </w:r>
      <w:r w:rsidR="0017646C">
        <w:t>-</w:t>
      </w:r>
      <w:r w:rsidR="001215AF">
        <w:t xml:space="preserve"> </w:t>
      </w:r>
      <w:r w:rsidR="009E07FF">
        <w:t>TRAITEMENT</w:t>
      </w:r>
      <w:r w:rsidR="00404F34" w:rsidRPr="00026EC1">
        <w:t xml:space="preserve"> ET PRIMES</w:t>
      </w:r>
      <w:bookmarkEnd w:id="1539"/>
      <w:bookmarkEnd w:id="1540"/>
      <w:bookmarkEnd w:id="1541"/>
      <w:bookmarkEnd w:id="1542"/>
      <w:r w:rsidR="001215AF" w:rsidRPr="0035151D">
        <w:fldChar w:fldCharType="begin"/>
      </w:r>
      <w:r w:rsidR="001215AF" w:rsidRPr="0035151D">
        <w:instrText xml:space="preserve"> TC " </w:instrText>
      </w:r>
      <w:bookmarkStart w:id="1547" w:name="_Toc94954741"/>
      <w:bookmarkStart w:id="1548" w:name="_Toc94966418"/>
      <w:bookmarkStart w:id="1549" w:name="_Toc95035289"/>
      <w:bookmarkStart w:id="1550" w:name="_Toc95035432"/>
      <w:bookmarkStart w:id="1551" w:name="_Toc95035575"/>
      <w:bookmarkStart w:id="1552" w:name="_Toc95035720"/>
      <w:bookmarkStart w:id="1553" w:name="_Toc157589345"/>
      <w:bookmarkStart w:id="1554" w:name="_Toc161323798"/>
      <w:bookmarkStart w:id="1555" w:name="_Toc163483140"/>
      <w:bookmarkStart w:id="1556" w:name="_Toc163483739"/>
      <w:bookmarkStart w:id="1557" w:name="_Toc163483929"/>
      <w:bookmarkStart w:id="1558" w:name="_Toc167870899"/>
      <w:bookmarkStart w:id="1559" w:name="_Toc167871063"/>
      <w:bookmarkStart w:id="1560" w:name="_Toc167871219"/>
      <w:bookmarkStart w:id="1561" w:name="_Toc167871395"/>
      <w:bookmarkStart w:id="1562" w:name="_Toc168049464"/>
      <w:bookmarkStart w:id="1563" w:name="_Toc168401628"/>
      <w:bookmarkStart w:id="1564" w:name="_Toc168402244"/>
      <w:bookmarkStart w:id="1565" w:name="_Toc168409680"/>
      <w:bookmarkStart w:id="1566" w:name="_Toc168410434"/>
      <w:bookmarkStart w:id="1567" w:name="_Toc168410680"/>
      <w:bookmarkStart w:id="1568" w:name="_Toc168410921"/>
      <w:bookmarkStart w:id="1569" w:name="_Toc168479624"/>
      <w:r w:rsidR="001215AF">
        <w:instrText>section V</w:instrText>
      </w:r>
      <w:r w:rsidR="00A17427">
        <w:instrText>I</w:instrText>
      </w:r>
      <w:r w:rsidR="001215AF" w:rsidRPr="0035151D">
        <w:instrText xml:space="preserve">  </w:instrText>
      </w:r>
      <w:r w:rsidR="00984A6F">
        <w:noBreakHyphen/>
      </w:r>
      <w:r w:rsidR="001215AF" w:rsidRPr="0035151D">
        <w:instrText xml:space="preserve">  </w:instrText>
      </w:r>
      <w:r w:rsidR="001215AF">
        <w:instrText>traitement et primes</w:instrTex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001215AF" w:rsidRPr="0035151D">
        <w:instrText>"\N</w:instrText>
      </w:r>
      <w:r w:rsidR="001215AF" w:rsidRPr="0035151D">
        <w:fldChar w:fldCharType="end"/>
      </w:r>
    </w:p>
    <w:p w14:paraId="4DD4951D" w14:textId="43206612" w:rsidR="008947A0" w:rsidRPr="00026EC1" w:rsidRDefault="006A7945" w:rsidP="00627F0E">
      <w:pPr>
        <w:pStyle w:val="Heading3"/>
        <w:keepNext w:val="0"/>
        <w:spacing w:after="0"/>
      </w:pPr>
      <w:bookmarkStart w:id="1570" w:name="_Toc134437328"/>
      <w:bookmarkStart w:id="1571" w:name="_Toc393449500"/>
      <w:bookmarkStart w:id="1572" w:name="_Toc462751629"/>
      <w:bookmarkStart w:id="1573" w:name="_Toc484082648"/>
      <w:bookmarkStart w:id="1574" w:name="_Toc168479625"/>
      <w:r w:rsidRPr="00026EC1">
        <w:t>Annexe VI</w:t>
      </w:r>
      <w:r w:rsidR="0017646C">
        <w:t>-</w:t>
      </w:r>
      <w:r w:rsidRPr="00026EC1">
        <w:t>1</w:t>
      </w:r>
      <w:bookmarkEnd w:id="1543"/>
      <w:bookmarkEnd w:id="1544"/>
      <w:bookmarkEnd w:id="1545"/>
      <w:bookmarkEnd w:id="1570"/>
      <w:r w:rsidRPr="00026EC1">
        <w:br/>
      </w:r>
      <w:r w:rsidRPr="00026EC1">
        <w:br/>
      </w:r>
      <w:bookmarkStart w:id="1575" w:name="_Toc531486762"/>
      <w:bookmarkStart w:id="1576" w:name="_Toc133760908"/>
      <w:bookmarkStart w:id="1577" w:name="_Toc133917056"/>
      <w:bookmarkStart w:id="1578" w:name="_Toc203542920"/>
      <w:r w:rsidRPr="00026EC1">
        <w:t>Échelles de traitement</w:t>
      </w:r>
      <w:bookmarkEnd w:id="1571"/>
      <w:bookmarkEnd w:id="1572"/>
      <w:bookmarkEnd w:id="1573"/>
      <w:bookmarkEnd w:id="1575"/>
      <w:bookmarkEnd w:id="1576"/>
      <w:bookmarkEnd w:id="1577"/>
      <w:bookmarkEnd w:id="1578"/>
      <w:bookmarkEnd w:id="1574"/>
    </w:p>
    <w:p w14:paraId="1FC6BCDE" w14:textId="77777777" w:rsidR="00B96771" w:rsidRDefault="00B96771" w:rsidP="004623FA">
      <w:pPr>
        <w:pStyle w:val="Selonlesdisp"/>
        <w:keepNext w:val="0"/>
        <w:rPr>
          <w:bCs/>
          <w:caps w:val="0"/>
        </w:rPr>
      </w:pPr>
    </w:p>
    <w:p w14:paraId="6F694CC7" w14:textId="01792680" w:rsidR="008947A0" w:rsidRDefault="008947A0" w:rsidP="004623FA">
      <w:pPr>
        <w:pStyle w:val="Selonlesdisp"/>
        <w:keepNext w:val="0"/>
        <w:rPr>
          <w:bCs/>
          <w:caps w:val="0"/>
        </w:rPr>
      </w:pPr>
      <w:r w:rsidRPr="00026EC1">
        <w:rPr>
          <w:bCs/>
          <w:caps w:val="0"/>
        </w:rPr>
        <w:t>TABLEAU A</w:t>
      </w:r>
    </w:p>
    <w:p w14:paraId="35B366EE" w14:textId="41A41089" w:rsidR="008947A0" w:rsidRDefault="008947A0" w:rsidP="004623FA">
      <w:pPr>
        <w:pStyle w:val="MGSTexte0cm"/>
        <w:keepNext w:val="0"/>
        <w:jc w:val="center"/>
        <w:rPr>
          <w:sz w:val="18"/>
          <w:szCs w:val="18"/>
        </w:rPr>
      </w:pPr>
      <w:r w:rsidRPr="00026EC1">
        <w:t>Enseignante ou enseignant À temps complet ou À temps partiel</w:t>
      </w:r>
      <w:r w:rsidRPr="00026EC1">
        <w:br/>
      </w:r>
      <w:r w:rsidRPr="00026EC1">
        <w:rPr>
          <w:sz w:val="18"/>
          <w:szCs w:val="18"/>
        </w:rPr>
        <w:t>(taux annuels)</w:t>
      </w:r>
    </w:p>
    <w:p w14:paraId="4E1B223F" w14:textId="77777777" w:rsidR="00673C06" w:rsidRPr="00026EC1" w:rsidRDefault="00673C06" w:rsidP="004623FA">
      <w:pPr>
        <w:pStyle w:val="MGSTexte0cm"/>
        <w:keepNext w:val="0"/>
        <w:jc w:val="center"/>
        <w:rPr>
          <w:sz w:val="18"/>
          <w:szCs w:val="18"/>
        </w:rPr>
      </w:pPr>
    </w:p>
    <w:tbl>
      <w:tblPr>
        <w:tblW w:w="10250" w:type="dxa"/>
        <w:tblInd w:w="-567" w:type="dxa"/>
        <w:tblLayout w:type="fixed"/>
        <w:tblCellMar>
          <w:left w:w="0" w:type="dxa"/>
          <w:right w:w="0" w:type="dxa"/>
        </w:tblCellMar>
        <w:tblLook w:val="0000" w:firstRow="0" w:lastRow="0" w:firstColumn="0" w:lastColumn="0" w:noHBand="0" w:noVBand="0"/>
      </w:tblPr>
      <w:tblGrid>
        <w:gridCol w:w="1442"/>
        <w:gridCol w:w="1855"/>
        <w:gridCol w:w="1855"/>
        <w:gridCol w:w="1512"/>
        <w:gridCol w:w="1528"/>
        <w:gridCol w:w="2058"/>
      </w:tblGrid>
      <w:tr w:rsidR="00CC1E3A" w:rsidRPr="00817EAF" w14:paraId="2F95615E" w14:textId="77777777" w:rsidTr="00583781">
        <w:trPr>
          <w:gridAfter w:val="2"/>
          <w:wAfter w:w="3586" w:type="dxa"/>
          <w:cantSplit/>
          <w:trHeight w:val="246"/>
        </w:trPr>
        <w:tc>
          <w:tcPr>
            <w:tcW w:w="1442" w:type="dxa"/>
            <w:shd w:val="clear" w:color="auto" w:fill="FFFFFF"/>
            <w:vAlign w:val="center"/>
          </w:tcPr>
          <w:p w14:paraId="5CE13957" w14:textId="77777777" w:rsidR="00CC1E3A" w:rsidRPr="00817EAF" w:rsidRDefault="00CC1E3A" w:rsidP="00940BD8">
            <w:pPr>
              <w:keepLines/>
              <w:widowControl w:val="0"/>
              <w:autoSpaceDE w:val="0"/>
              <w:autoSpaceDN w:val="0"/>
              <w:adjustRightInd w:val="0"/>
              <w:ind w:left="57" w:right="57"/>
              <w:rPr>
                <w:rFonts w:cs="Arial"/>
                <w:color w:val="000000"/>
                <w:sz w:val="22"/>
                <w:szCs w:val="22"/>
              </w:rPr>
            </w:pPr>
          </w:p>
        </w:tc>
        <w:tc>
          <w:tcPr>
            <w:tcW w:w="1855" w:type="dxa"/>
            <w:shd w:val="clear" w:color="auto" w:fill="FFFFFF"/>
            <w:vAlign w:val="center"/>
          </w:tcPr>
          <w:p w14:paraId="476196CC" w14:textId="77777777" w:rsidR="00CC1E3A" w:rsidRPr="00817EAF" w:rsidRDefault="00CC1E3A" w:rsidP="00940BD8">
            <w:pPr>
              <w:keepLines/>
              <w:widowControl w:val="0"/>
              <w:autoSpaceDE w:val="0"/>
              <w:autoSpaceDN w:val="0"/>
              <w:adjustRightInd w:val="0"/>
              <w:ind w:left="57" w:right="57"/>
              <w:rPr>
                <w:rFonts w:cs="Arial"/>
                <w:color w:val="000000"/>
                <w:sz w:val="22"/>
                <w:szCs w:val="22"/>
              </w:rPr>
            </w:pPr>
          </w:p>
        </w:tc>
        <w:tc>
          <w:tcPr>
            <w:tcW w:w="1855" w:type="dxa"/>
            <w:shd w:val="clear" w:color="auto" w:fill="FFFFFF"/>
          </w:tcPr>
          <w:p w14:paraId="05E2E1EF" w14:textId="77777777" w:rsidR="00CC1E3A" w:rsidRPr="00817EAF" w:rsidRDefault="00CC1E3A" w:rsidP="00940BD8">
            <w:pPr>
              <w:keepLines/>
              <w:widowControl w:val="0"/>
              <w:autoSpaceDE w:val="0"/>
              <w:autoSpaceDN w:val="0"/>
              <w:adjustRightInd w:val="0"/>
              <w:ind w:left="57" w:right="57"/>
              <w:rPr>
                <w:rFonts w:cs="Arial"/>
                <w:color w:val="000000"/>
                <w:sz w:val="22"/>
                <w:szCs w:val="22"/>
              </w:rPr>
            </w:pPr>
          </w:p>
        </w:tc>
        <w:tc>
          <w:tcPr>
            <w:tcW w:w="1512" w:type="dxa"/>
            <w:shd w:val="clear" w:color="auto" w:fill="FFFFFF"/>
          </w:tcPr>
          <w:p w14:paraId="6C024EC9" w14:textId="77777777" w:rsidR="00CC1E3A" w:rsidRPr="00817EAF" w:rsidRDefault="00CC1E3A" w:rsidP="00940BD8">
            <w:pPr>
              <w:keepLines/>
              <w:widowControl w:val="0"/>
              <w:autoSpaceDE w:val="0"/>
              <w:autoSpaceDN w:val="0"/>
              <w:adjustRightInd w:val="0"/>
              <w:ind w:left="57" w:right="57"/>
              <w:rPr>
                <w:rFonts w:cs="Arial"/>
                <w:color w:val="000000"/>
                <w:sz w:val="22"/>
                <w:szCs w:val="22"/>
              </w:rPr>
            </w:pPr>
          </w:p>
        </w:tc>
      </w:tr>
      <w:tr w:rsidR="00CC1E3A" w:rsidRPr="00CC1E3A" w14:paraId="641B320B" w14:textId="77777777" w:rsidTr="00583781">
        <w:trPr>
          <w:cantSplit/>
          <w:trHeight w:val="1221"/>
        </w:trPr>
        <w:tc>
          <w:tcPr>
            <w:tcW w:w="1442" w:type="dxa"/>
            <w:shd w:val="clear" w:color="auto" w:fill="FFFFFF"/>
            <w:vAlign w:val="center"/>
          </w:tcPr>
          <w:p w14:paraId="10C51FCE" w14:textId="1770D223" w:rsidR="00CC1E3A" w:rsidRPr="00CC1E3A" w:rsidRDefault="00CC1E3A" w:rsidP="00940BD8">
            <w:pPr>
              <w:keepLines/>
              <w:widowControl w:val="0"/>
              <w:autoSpaceDE w:val="0"/>
              <w:autoSpaceDN w:val="0"/>
              <w:adjustRightInd w:val="0"/>
              <w:ind w:left="57" w:right="57"/>
              <w:jc w:val="center"/>
              <w:rPr>
                <w:rFonts w:cs="Arial"/>
                <w:b/>
                <w:bCs/>
                <w:color w:val="000000"/>
                <w:sz w:val="22"/>
                <w:szCs w:val="22"/>
                <w:highlight w:val="lightGray"/>
                <w:vertAlign w:val="superscript"/>
              </w:rPr>
            </w:pPr>
            <w:r w:rsidRPr="00316277">
              <w:rPr>
                <w:rFonts w:cs="Arial"/>
                <w:b/>
                <w:bCs/>
                <w:color w:val="000000"/>
                <w:sz w:val="22"/>
                <w:szCs w:val="22"/>
              </w:rPr>
              <w:t>Échelon</w:t>
            </w:r>
            <w:r w:rsidRPr="00316277">
              <w:rPr>
                <w:rStyle w:val="FootnoteReference"/>
                <w:rFonts w:cs="Arial"/>
                <w:b/>
                <w:bCs/>
                <w:color w:val="000000"/>
                <w:sz w:val="22"/>
                <w:szCs w:val="22"/>
              </w:rPr>
              <w:footnoteReference w:id="62"/>
            </w:r>
          </w:p>
        </w:tc>
        <w:tc>
          <w:tcPr>
            <w:tcW w:w="1855" w:type="dxa"/>
            <w:shd w:val="clear" w:color="auto" w:fill="FFFFFF"/>
            <w:vAlign w:val="center"/>
          </w:tcPr>
          <w:p w14:paraId="7561CE57" w14:textId="77777777" w:rsidR="00CC1E3A" w:rsidRPr="00CC1E3A" w:rsidRDefault="00CC1E3A"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2023-04-01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2024-03-31</w:t>
            </w:r>
            <w:r w:rsidRPr="00316277">
              <w:rPr>
                <w:rFonts w:cs="Arial"/>
                <w:color w:val="000000"/>
                <w:sz w:val="22"/>
                <w:szCs w:val="22"/>
              </w:rPr>
              <w:br/>
            </w:r>
            <w:r w:rsidRPr="00316277">
              <w:rPr>
                <w:rFonts w:cs="Arial"/>
                <w:b/>
                <w:bCs/>
                <w:color w:val="000000"/>
                <w:sz w:val="22"/>
                <w:szCs w:val="22"/>
              </w:rPr>
              <w:t xml:space="preserve">( $ ) </w:t>
            </w:r>
          </w:p>
        </w:tc>
        <w:tc>
          <w:tcPr>
            <w:tcW w:w="1855" w:type="dxa"/>
            <w:shd w:val="clear" w:color="auto" w:fill="FFFFFF"/>
            <w:vAlign w:val="center"/>
          </w:tcPr>
          <w:p w14:paraId="4435DBC3" w14:textId="77777777" w:rsidR="00CC1E3A" w:rsidRPr="00CC1E3A" w:rsidRDefault="00CC1E3A"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2024-04-01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2025-03-31</w:t>
            </w:r>
            <w:r w:rsidRPr="00316277">
              <w:rPr>
                <w:rFonts w:cs="Arial"/>
                <w:color w:val="000000"/>
                <w:sz w:val="22"/>
                <w:szCs w:val="22"/>
              </w:rPr>
              <w:br/>
            </w:r>
            <w:r w:rsidRPr="00316277">
              <w:rPr>
                <w:rFonts w:cs="Arial"/>
                <w:b/>
                <w:bCs/>
                <w:color w:val="000000"/>
                <w:sz w:val="22"/>
                <w:szCs w:val="22"/>
              </w:rPr>
              <w:t xml:space="preserve">( $ ) </w:t>
            </w:r>
          </w:p>
        </w:tc>
        <w:tc>
          <w:tcPr>
            <w:tcW w:w="1512" w:type="dxa"/>
            <w:shd w:val="clear" w:color="auto" w:fill="FFFFFF"/>
            <w:vAlign w:val="center"/>
          </w:tcPr>
          <w:p w14:paraId="613CA0EE" w14:textId="77777777" w:rsidR="00CC1E3A" w:rsidRPr="00CC1E3A" w:rsidRDefault="00CC1E3A"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2025-04-01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2026-03-31</w:t>
            </w:r>
            <w:r w:rsidRPr="00316277">
              <w:rPr>
                <w:rFonts w:cs="Arial"/>
                <w:color w:val="000000"/>
                <w:sz w:val="22"/>
                <w:szCs w:val="22"/>
              </w:rPr>
              <w:br/>
            </w:r>
            <w:r w:rsidRPr="00316277">
              <w:rPr>
                <w:rFonts w:cs="Arial"/>
                <w:b/>
                <w:bCs/>
                <w:color w:val="000000"/>
                <w:sz w:val="22"/>
                <w:szCs w:val="22"/>
              </w:rPr>
              <w:t xml:space="preserve">( $ ) </w:t>
            </w:r>
          </w:p>
        </w:tc>
        <w:tc>
          <w:tcPr>
            <w:tcW w:w="1528" w:type="dxa"/>
            <w:shd w:val="clear" w:color="auto" w:fill="FFFFFF"/>
            <w:vAlign w:val="center"/>
          </w:tcPr>
          <w:p w14:paraId="6DF6A32C" w14:textId="77777777" w:rsidR="00CC1E3A" w:rsidRPr="00CC1E3A" w:rsidRDefault="00CC1E3A"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2026-04-01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2027-03-31</w:t>
            </w:r>
            <w:r w:rsidRPr="00316277">
              <w:rPr>
                <w:rFonts w:cs="Arial"/>
                <w:color w:val="000000"/>
                <w:sz w:val="22"/>
                <w:szCs w:val="22"/>
              </w:rPr>
              <w:br/>
            </w:r>
            <w:r w:rsidRPr="00316277">
              <w:rPr>
                <w:rFonts w:cs="Arial"/>
                <w:b/>
                <w:bCs/>
                <w:color w:val="000000"/>
                <w:sz w:val="22"/>
                <w:szCs w:val="22"/>
              </w:rPr>
              <w:t xml:space="preserve">( $ ) </w:t>
            </w:r>
          </w:p>
        </w:tc>
        <w:tc>
          <w:tcPr>
            <w:tcW w:w="2058" w:type="dxa"/>
            <w:shd w:val="clear" w:color="auto" w:fill="FFFFFF"/>
            <w:vAlign w:val="center"/>
          </w:tcPr>
          <w:p w14:paraId="29DED196" w14:textId="77777777" w:rsidR="00CC1E3A" w:rsidRPr="00316277" w:rsidRDefault="00CC1E3A" w:rsidP="00940BD8">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Taux à</w:t>
            </w:r>
            <w:r w:rsidRPr="00316277">
              <w:rPr>
                <w:rFonts w:cs="Arial"/>
                <w:color w:val="000000"/>
                <w:sz w:val="22"/>
                <w:szCs w:val="22"/>
              </w:rPr>
              <w:br/>
            </w:r>
            <w:r w:rsidRPr="00316277">
              <w:rPr>
                <w:rFonts w:cs="Arial"/>
                <w:b/>
                <w:bCs/>
                <w:color w:val="000000"/>
                <w:sz w:val="22"/>
                <w:szCs w:val="22"/>
              </w:rPr>
              <w:t>compter</w:t>
            </w:r>
            <w:r w:rsidRPr="00316277">
              <w:rPr>
                <w:rFonts w:cs="Arial"/>
                <w:color w:val="000000"/>
                <w:sz w:val="22"/>
                <w:szCs w:val="22"/>
              </w:rPr>
              <w:br/>
            </w:r>
            <w:r w:rsidRPr="00316277">
              <w:rPr>
                <w:rFonts w:cs="Arial"/>
                <w:b/>
                <w:bCs/>
                <w:color w:val="000000"/>
                <w:sz w:val="22"/>
                <w:szCs w:val="22"/>
              </w:rPr>
              <w:t>du</w:t>
            </w:r>
            <w:r w:rsidRPr="00316277">
              <w:rPr>
                <w:rFonts w:cs="Arial"/>
                <w:color w:val="000000"/>
                <w:sz w:val="22"/>
                <w:szCs w:val="22"/>
              </w:rPr>
              <w:br/>
            </w:r>
            <w:r w:rsidRPr="00316277">
              <w:rPr>
                <w:rFonts w:cs="Arial"/>
                <w:b/>
                <w:bCs/>
                <w:color w:val="000000"/>
                <w:sz w:val="22"/>
                <w:szCs w:val="22"/>
              </w:rPr>
              <w:t>2027-04-01</w:t>
            </w:r>
            <w:r w:rsidRPr="00316277">
              <w:rPr>
                <w:rFonts w:cs="Arial"/>
                <w:color w:val="000000"/>
                <w:sz w:val="22"/>
                <w:szCs w:val="22"/>
              </w:rPr>
              <w:br/>
            </w:r>
            <w:r w:rsidRPr="00316277">
              <w:rPr>
                <w:rFonts w:cs="Arial"/>
                <w:b/>
                <w:bCs/>
                <w:color w:val="000000"/>
                <w:sz w:val="22"/>
                <w:szCs w:val="22"/>
              </w:rPr>
              <w:t xml:space="preserve">( $ ) </w:t>
            </w:r>
          </w:p>
        </w:tc>
      </w:tr>
      <w:tr w:rsidR="00CC1E3A" w:rsidRPr="00CC1E3A" w14:paraId="64DC2650" w14:textId="77777777" w:rsidTr="00DB66C3">
        <w:trPr>
          <w:cantSplit/>
          <w:trHeight w:val="208"/>
        </w:trPr>
        <w:tc>
          <w:tcPr>
            <w:tcW w:w="1442" w:type="dxa"/>
            <w:shd w:val="clear" w:color="auto" w:fill="FFFFFF"/>
          </w:tcPr>
          <w:p w14:paraId="025BC5F0" w14:textId="77777777" w:rsidR="00CC1E3A" w:rsidRPr="00CC1E3A" w:rsidRDefault="00CC1E3A" w:rsidP="00DB66C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855" w:type="dxa"/>
            <w:shd w:val="clear" w:color="auto" w:fill="FFFFFF"/>
          </w:tcPr>
          <w:p w14:paraId="15C537EB" w14:textId="77777777" w:rsidR="00CC1E3A" w:rsidRPr="00CC1E3A" w:rsidRDefault="00CC1E3A" w:rsidP="00DB66C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855" w:type="dxa"/>
            <w:shd w:val="clear" w:color="auto" w:fill="FFFFFF"/>
          </w:tcPr>
          <w:p w14:paraId="49FF00E6" w14:textId="77777777" w:rsidR="00CC1E3A" w:rsidRPr="00CC1E3A" w:rsidRDefault="00CC1E3A" w:rsidP="00DB66C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512" w:type="dxa"/>
            <w:shd w:val="clear" w:color="auto" w:fill="FFFFFF"/>
          </w:tcPr>
          <w:p w14:paraId="56D24FD2" w14:textId="77777777" w:rsidR="00CC1E3A" w:rsidRPr="00CC1E3A" w:rsidRDefault="00CC1E3A" w:rsidP="00DB66C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528" w:type="dxa"/>
            <w:shd w:val="clear" w:color="auto" w:fill="FFFFFF"/>
          </w:tcPr>
          <w:p w14:paraId="5D4D0414" w14:textId="3A50688B" w:rsidR="00CC1E3A" w:rsidRPr="00CC1E3A" w:rsidRDefault="00CC1E3A" w:rsidP="00DB66C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2058" w:type="dxa"/>
            <w:shd w:val="clear" w:color="auto" w:fill="FFFFFF"/>
          </w:tcPr>
          <w:p w14:paraId="6EA25678" w14:textId="5600DDCC" w:rsidR="00CC1E3A" w:rsidRPr="00316277" w:rsidRDefault="00CC1E3A" w:rsidP="00DB66C3">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w:t>
            </w:r>
          </w:p>
        </w:tc>
      </w:tr>
      <w:tr w:rsidR="00CC1E3A" w:rsidRPr="00CC1E3A" w14:paraId="7441AE06" w14:textId="77777777" w:rsidTr="00583781">
        <w:trPr>
          <w:cantSplit/>
          <w:trHeight w:val="246"/>
        </w:trPr>
        <w:tc>
          <w:tcPr>
            <w:tcW w:w="1442" w:type="dxa"/>
            <w:shd w:val="clear" w:color="auto" w:fill="FFFFFF"/>
          </w:tcPr>
          <w:p w14:paraId="6CB6BA7A" w14:textId="77777777" w:rsidR="00CC1E3A" w:rsidRPr="00CC1E3A" w:rsidRDefault="00CC1E3A" w:rsidP="00DB66C3">
            <w:pPr>
              <w:keepLines/>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w:t>
            </w:r>
          </w:p>
        </w:tc>
        <w:tc>
          <w:tcPr>
            <w:tcW w:w="1855" w:type="dxa"/>
            <w:shd w:val="clear" w:color="auto" w:fill="FFFFFF"/>
            <w:vAlign w:val="center"/>
          </w:tcPr>
          <w:p w14:paraId="391CDE58" w14:textId="77777777" w:rsidR="00CC1E3A" w:rsidRPr="00CC1E3A" w:rsidRDefault="00CC1E3A" w:rsidP="00DB66C3">
            <w:pPr>
              <w:keepLines/>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49 319</w:t>
            </w:r>
          </w:p>
        </w:tc>
        <w:tc>
          <w:tcPr>
            <w:tcW w:w="1855" w:type="dxa"/>
            <w:shd w:val="clear" w:color="auto" w:fill="FFFFFF"/>
            <w:vAlign w:val="center"/>
          </w:tcPr>
          <w:p w14:paraId="238AB1E8" w14:textId="77777777" w:rsidR="00CC1E3A" w:rsidRPr="00CC1E3A" w:rsidRDefault="00CC1E3A" w:rsidP="00DB66C3">
            <w:pPr>
              <w:keepLines/>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54 661</w:t>
            </w:r>
          </w:p>
        </w:tc>
        <w:tc>
          <w:tcPr>
            <w:tcW w:w="1512" w:type="dxa"/>
            <w:shd w:val="clear" w:color="auto" w:fill="FFFFFF"/>
            <w:vAlign w:val="center"/>
          </w:tcPr>
          <w:p w14:paraId="1AD7E641" w14:textId="77777777" w:rsidR="00CC1E3A" w:rsidRPr="00CC1E3A" w:rsidRDefault="00CC1E3A" w:rsidP="00DB66C3">
            <w:pPr>
              <w:keepLines/>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56 082</w:t>
            </w:r>
          </w:p>
        </w:tc>
        <w:tc>
          <w:tcPr>
            <w:tcW w:w="1528" w:type="dxa"/>
            <w:shd w:val="clear" w:color="auto" w:fill="FFFFFF"/>
            <w:vAlign w:val="center"/>
          </w:tcPr>
          <w:p w14:paraId="67A8FE56" w14:textId="77777777" w:rsidR="00CC1E3A" w:rsidRPr="00CC1E3A" w:rsidRDefault="00CC1E3A" w:rsidP="00DB66C3">
            <w:pPr>
              <w:keepLines/>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57 484</w:t>
            </w:r>
          </w:p>
        </w:tc>
        <w:tc>
          <w:tcPr>
            <w:tcW w:w="2058" w:type="dxa"/>
            <w:shd w:val="clear" w:color="auto" w:fill="FFFFFF"/>
            <w:vAlign w:val="center"/>
          </w:tcPr>
          <w:p w14:paraId="59322852" w14:textId="77777777" w:rsidR="00CC1E3A" w:rsidRPr="00316277" w:rsidRDefault="00CC1E3A" w:rsidP="00DB66C3">
            <w:pPr>
              <w:keepLines/>
              <w:autoSpaceDE w:val="0"/>
              <w:autoSpaceDN w:val="0"/>
              <w:adjustRightInd w:val="0"/>
              <w:ind w:left="453" w:right="311" w:hanging="425"/>
              <w:jc w:val="center"/>
              <w:rPr>
                <w:rFonts w:cs="Arial"/>
                <w:color w:val="000000"/>
                <w:sz w:val="22"/>
                <w:szCs w:val="22"/>
              </w:rPr>
            </w:pPr>
            <w:r w:rsidRPr="00316277">
              <w:rPr>
                <w:rFonts w:cs="Arial"/>
                <w:color w:val="000000"/>
                <w:sz w:val="22"/>
                <w:szCs w:val="22"/>
              </w:rPr>
              <w:t>59 496</w:t>
            </w:r>
          </w:p>
        </w:tc>
      </w:tr>
      <w:tr w:rsidR="00CC1E3A" w:rsidRPr="00CC1E3A" w14:paraId="338C2AF8" w14:textId="77777777" w:rsidTr="00583781">
        <w:trPr>
          <w:cantSplit/>
          <w:trHeight w:val="234"/>
        </w:trPr>
        <w:tc>
          <w:tcPr>
            <w:tcW w:w="1442" w:type="dxa"/>
            <w:shd w:val="clear" w:color="auto" w:fill="FFFFFF"/>
          </w:tcPr>
          <w:p w14:paraId="16BE0D06"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2</w:t>
            </w:r>
          </w:p>
        </w:tc>
        <w:tc>
          <w:tcPr>
            <w:tcW w:w="1855" w:type="dxa"/>
            <w:shd w:val="clear" w:color="auto" w:fill="FFFFFF"/>
            <w:vAlign w:val="center"/>
          </w:tcPr>
          <w:p w14:paraId="140667F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52 614</w:t>
            </w:r>
          </w:p>
        </w:tc>
        <w:tc>
          <w:tcPr>
            <w:tcW w:w="1855" w:type="dxa"/>
            <w:shd w:val="clear" w:color="auto" w:fill="FFFFFF"/>
            <w:vAlign w:val="center"/>
          </w:tcPr>
          <w:p w14:paraId="54CE23F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56 396</w:t>
            </w:r>
          </w:p>
        </w:tc>
        <w:tc>
          <w:tcPr>
            <w:tcW w:w="1512" w:type="dxa"/>
            <w:shd w:val="clear" w:color="auto" w:fill="FFFFFF"/>
            <w:vAlign w:val="center"/>
          </w:tcPr>
          <w:p w14:paraId="0346F3B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57 862</w:t>
            </w:r>
          </w:p>
        </w:tc>
        <w:tc>
          <w:tcPr>
            <w:tcW w:w="1528" w:type="dxa"/>
            <w:shd w:val="clear" w:color="auto" w:fill="FFFFFF"/>
            <w:vAlign w:val="center"/>
          </w:tcPr>
          <w:p w14:paraId="54011277"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59 309</w:t>
            </w:r>
          </w:p>
        </w:tc>
        <w:tc>
          <w:tcPr>
            <w:tcW w:w="2058" w:type="dxa"/>
            <w:shd w:val="clear" w:color="auto" w:fill="FFFFFF"/>
            <w:vAlign w:val="center"/>
          </w:tcPr>
          <w:p w14:paraId="482E4EA7"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61 385</w:t>
            </w:r>
          </w:p>
        </w:tc>
      </w:tr>
      <w:tr w:rsidR="00CC1E3A" w:rsidRPr="00CC1E3A" w14:paraId="331B27CE" w14:textId="77777777" w:rsidTr="00583781">
        <w:trPr>
          <w:cantSplit/>
          <w:trHeight w:val="246"/>
        </w:trPr>
        <w:tc>
          <w:tcPr>
            <w:tcW w:w="1442" w:type="dxa"/>
            <w:shd w:val="clear" w:color="auto" w:fill="FFFFFF"/>
          </w:tcPr>
          <w:p w14:paraId="23593ED1"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3</w:t>
            </w:r>
          </w:p>
        </w:tc>
        <w:tc>
          <w:tcPr>
            <w:tcW w:w="1855" w:type="dxa"/>
            <w:shd w:val="clear" w:color="auto" w:fill="FFFFFF"/>
            <w:vAlign w:val="center"/>
          </w:tcPr>
          <w:p w14:paraId="31CB9FC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56 131</w:t>
            </w:r>
          </w:p>
        </w:tc>
        <w:tc>
          <w:tcPr>
            <w:tcW w:w="1855" w:type="dxa"/>
            <w:shd w:val="clear" w:color="auto" w:fill="FFFFFF"/>
            <w:vAlign w:val="center"/>
          </w:tcPr>
          <w:p w14:paraId="6BBD9CE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58 201</w:t>
            </w:r>
          </w:p>
        </w:tc>
        <w:tc>
          <w:tcPr>
            <w:tcW w:w="1512" w:type="dxa"/>
            <w:shd w:val="clear" w:color="auto" w:fill="FFFFFF"/>
            <w:vAlign w:val="center"/>
          </w:tcPr>
          <w:p w14:paraId="64398E01"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59 714</w:t>
            </w:r>
          </w:p>
        </w:tc>
        <w:tc>
          <w:tcPr>
            <w:tcW w:w="1528" w:type="dxa"/>
            <w:shd w:val="clear" w:color="auto" w:fill="FFFFFF"/>
            <w:vAlign w:val="center"/>
          </w:tcPr>
          <w:p w14:paraId="0F09A3D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61 207</w:t>
            </w:r>
          </w:p>
        </w:tc>
        <w:tc>
          <w:tcPr>
            <w:tcW w:w="2058" w:type="dxa"/>
            <w:shd w:val="clear" w:color="auto" w:fill="FFFFFF"/>
            <w:vAlign w:val="center"/>
          </w:tcPr>
          <w:p w14:paraId="7FDF4306"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63 349</w:t>
            </w:r>
          </w:p>
        </w:tc>
      </w:tr>
      <w:tr w:rsidR="00CC1E3A" w:rsidRPr="00CC1E3A" w14:paraId="5F928A9D" w14:textId="77777777" w:rsidTr="00583781">
        <w:trPr>
          <w:cantSplit/>
          <w:trHeight w:val="234"/>
        </w:trPr>
        <w:tc>
          <w:tcPr>
            <w:tcW w:w="1442" w:type="dxa"/>
            <w:shd w:val="clear" w:color="auto" w:fill="FFFFFF"/>
          </w:tcPr>
          <w:p w14:paraId="33D2CF98"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4</w:t>
            </w:r>
          </w:p>
        </w:tc>
        <w:tc>
          <w:tcPr>
            <w:tcW w:w="1855" w:type="dxa"/>
            <w:shd w:val="clear" w:color="auto" w:fill="FFFFFF"/>
            <w:vAlign w:val="center"/>
          </w:tcPr>
          <w:p w14:paraId="3972D82E"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57 375</w:t>
            </w:r>
          </w:p>
        </w:tc>
        <w:tc>
          <w:tcPr>
            <w:tcW w:w="1855" w:type="dxa"/>
            <w:shd w:val="clear" w:color="auto" w:fill="FFFFFF"/>
            <w:vAlign w:val="center"/>
          </w:tcPr>
          <w:p w14:paraId="05DC2E0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60 063</w:t>
            </w:r>
          </w:p>
        </w:tc>
        <w:tc>
          <w:tcPr>
            <w:tcW w:w="1512" w:type="dxa"/>
            <w:shd w:val="clear" w:color="auto" w:fill="FFFFFF"/>
            <w:vAlign w:val="center"/>
          </w:tcPr>
          <w:p w14:paraId="6ADDDFA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61 625</w:t>
            </w:r>
          </w:p>
        </w:tc>
        <w:tc>
          <w:tcPr>
            <w:tcW w:w="1528" w:type="dxa"/>
            <w:shd w:val="clear" w:color="auto" w:fill="FFFFFF"/>
            <w:vAlign w:val="center"/>
          </w:tcPr>
          <w:p w14:paraId="5CD9530B"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63 166</w:t>
            </w:r>
          </w:p>
        </w:tc>
        <w:tc>
          <w:tcPr>
            <w:tcW w:w="2058" w:type="dxa"/>
            <w:shd w:val="clear" w:color="auto" w:fill="FFFFFF"/>
            <w:vAlign w:val="center"/>
          </w:tcPr>
          <w:p w14:paraId="1853BD51"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65 377</w:t>
            </w:r>
          </w:p>
        </w:tc>
      </w:tr>
      <w:tr w:rsidR="00CC1E3A" w:rsidRPr="00CC1E3A" w14:paraId="46AE8C5C" w14:textId="77777777" w:rsidTr="00583781">
        <w:trPr>
          <w:cantSplit/>
          <w:trHeight w:val="246"/>
        </w:trPr>
        <w:tc>
          <w:tcPr>
            <w:tcW w:w="1442" w:type="dxa"/>
            <w:shd w:val="clear" w:color="auto" w:fill="FFFFFF"/>
          </w:tcPr>
          <w:p w14:paraId="13DCA019"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5</w:t>
            </w:r>
          </w:p>
        </w:tc>
        <w:tc>
          <w:tcPr>
            <w:tcW w:w="1855" w:type="dxa"/>
            <w:shd w:val="clear" w:color="auto" w:fill="FFFFFF"/>
            <w:vAlign w:val="center"/>
          </w:tcPr>
          <w:p w14:paraId="11F6AA9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58 646</w:t>
            </w:r>
          </w:p>
        </w:tc>
        <w:tc>
          <w:tcPr>
            <w:tcW w:w="1855" w:type="dxa"/>
            <w:shd w:val="clear" w:color="auto" w:fill="FFFFFF"/>
            <w:vAlign w:val="center"/>
          </w:tcPr>
          <w:p w14:paraId="3EFC001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61 985</w:t>
            </w:r>
          </w:p>
        </w:tc>
        <w:tc>
          <w:tcPr>
            <w:tcW w:w="1512" w:type="dxa"/>
            <w:shd w:val="clear" w:color="auto" w:fill="FFFFFF"/>
            <w:vAlign w:val="center"/>
          </w:tcPr>
          <w:p w14:paraId="649CF90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63 597</w:t>
            </w:r>
          </w:p>
        </w:tc>
        <w:tc>
          <w:tcPr>
            <w:tcW w:w="1528" w:type="dxa"/>
            <w:shd w:val="clear" w:color="auto" w:fill="FFFFFF"/>
            <w:vAlign w:val="center"/>
          </w:tcPr>
          <w:p w14:paraId="750B617A"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65 187</w:t>
            </w:r>
          </w:p>
        </w:tc>
        <w:tc>
          <w:tcPr>
            <w:tcW w:w="2058" w:type="dxa"/>
            <w:shd w:val="clear" w:color="auto" w:fill="FFFFFF"/>
            <w:vAlign w:val="center"/>
          </w:tcPr>
          <w:p w14:paraId="50A78BE4"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67 469</w:t>
            </w:r>
          </w:p>
        </w:tc>
      </w:tr>
      <w:tr w:rsidR="00CC1E3A" w:rsidRPr="00CC1E3A" w14:paraId="3C7D1A84" w14:textId="77777777" w:rsidTr="00583781">
        <w:trPr>
          <w:cantSplit/>
          <w:trHeight w:val="246"/>
        </w:trPr>
        <w:tc>
          <w:tcPr>
            <w:tcW w:w="1442" w:type="dxa"/>
            <w:shd w:val="clear" w:color="auto" w:fill="FFFFFF"/>
          </w:tcPr>
          <w:p w14:paraId="314B79CB"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6</w:t>
            </w:r>
          </w:p>
        </w:tc>
        <w:tc>
          <w:tcPr>
            <w:tcW w:w="1855" w:type="dxa"/>
            <w:shd w:val="clear" w:color="auto" w:fill="FFFFFF"/>
            <w:vAlign w:val="center"/>
          </w:tcPr>
          <w:p w14:paraId="378C2874"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59 943</w:t>
            </w:r>
          </w:p>
        </w:tc>
        <w:tc>
          <w:tcPr>
            <w:tcW w:w="1855" w:type="dxa"/>
            <w:shd w:val="clear" w:color="auto" w:fill="FFFFFF"/>
            <w:vAlign w:val="center"/>
          </w:tcPr>
          <w:p w14:paraId="16F8BD77"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63 969</w:t>
            </w:r>
          </w:p>
        </w:tc>
        <w:tc>
          <w:tcPr>
            <w:tcW w:w="1512" w:type="dxa"/>
            <w:shd w:val="clear" w:color="auto" w:fill="FFFFFF"/>
            <w:vAlign w:val="center"/>
          </w:tcPr>
          <w:p w14:paraId="5F89311B"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65 632</w:t>
            </w:r>
          </w:p>
        </w:tc>
        <w:tc>
          <w:tcPr>
            <w:tcW w:w="1528" w:type="dxa"/>
            <w:shd w:val="clear" w:color="auto" w:fill="FFFFFF"/>
            <w:vAlign w:val="center"/>
          </w:tcPr>
          <w:p w14:paraId="2D2DBF76"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67 273</w:t>
            </w:r>
          </w:p>
        </w:tc>
        <w:tc>
          <w:tcPr>
            <w:tcW w:w="2058" w:type="dxa"/>
            <w:shd w:val="clear" w:color="auto" w:fill="FFFFFF"/>
            <w:vAlign w:val="center"/>
          </w:tcPr>
          <w:p w14:paraId="4F16E5DC"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69 628</w:t>
            </w:r>
          </w:p>
        </w:tc>
      </w:tr>
      <w:tr w:rsidR="00CC1E3A" w:rsidRPr="00CC1E3A" w14:paraId="72F4B506" w14:textId="77777777" w:rsidTr="00583781">
        <w:trPr>
          <w:cantSplit/>
          <w:trHeight w:val="234"/>
        </w:trPr>
        <w:tc>
          <w:tcPr>
            <w:tcW w:w="1442" w:type="dxa"/>
            <w:shd w:val="clear" w:color="auto" w:fill="FFFFFF"/>
          </w:tcPr>
          <w:p w14:paraId="266EFB84"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7</w:t>
            </w:r>
          </w:p>
        </w:tc>
        <w:tc>
          <w:tcPr>
            <w:tcW w:w="1855" w:type="dxa"/>
            <w:shd w:val="clear" w:color="auto" w:fill="FFFFFF"/>
            <w:vAlign w:val="center"/>
          </w:tcPr>
          <w:p w14:paraId="0AB3CE5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61 272</w:t>
            </w:r>
          </w:p>
        </w:tc>
        <w:tc>
          <w:tcPr>
            <w:tcW w:w="1855" w:type="dxa"/>
            <w:shd w:val="clear" w:color="auto" w:fill="FFFFFF"/>
            <w:vAlign w:val="center"/>
          </w:tcPr>
          <w:p w14:paraId="2EFEF1B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67 107</w:t>
            </w:r>
          </w:p>
        </w:tc>
        <w:tc>
          <w:tcPr>
            <w:tcW w:w="1512" w:type="dxa"/>
            <w:shd w:val="clear" w:color="auto" w:fill="FFFFFF"/>
            <w:vAlign w:val="center"/>
          </w:tcPr>
          <w:p w14:paraId="058AB4DF"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68 852</w:t>
            </w:r>
          </w:p>
        </w:tc>
        <w:tc>
          <w:tcPr>
            <w:tcW w:w="1528" w:type="dxa"/>
            <w:shd w:val="clear" w:color="auto" w:fill="FFFFFF"/>
            <w:vAlign w:val="center"/>
          </w:tcPr>
          <w:p w14:paraId="354990E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70 573</w:t>
            </w:r>
          </w:p>
        </w:tc>
        <w:tc>
          <w:tcPr>
            <w:tcW w:w="2058" w:type="dxa"/>
            <w:shd w:val="clear" w:color="auto" w:fill="FFFFFF"/>
            <w:vAlign w:val="center"/>
          </w:tcPr>
          <w:p w14:paraId="6247AE40"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73 043</w:t>
            </w:r>
          </w:p>
        </w:tc>
      </w:tr>
      <w:tr w:rsidR="00CC1E3A" w:rsidRPr="00CC1E3A" w14:paraId="120E3F79" w14:textId="77777777" w:rsidTr="00583781">
        <w:trPr>
          <w:cantSplit/>
          <w:trHeight w:val="246"/>
        </w:trPr>
        <w:tc>
          <w:tcPr>
            <w:tcW w:w="1442" w:type="dxa"/>
            <w:shd w:val="clear" w:color="auto" w:fill="FFFFFF"/>
          </w:tcPr>
          <w:p w14:paraId="30D196F9"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8</w:t>
            </w:r>
          </w:p>
        </w:tc>
        <w:tc>
          <w:tcPr>
            <w:tcW w:w="1855" w:type="dxa"/>
            <w:shd w:val="clear" w:color="auto" w:fill="FFFFFF"/>
            <w:vAlign w:val="center"/>
          </w:tcPr>
          <w:p w14:paraId="7399A89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63 879</w:t>
            </w:r>
          </w:p>
        </w:tc>
        <w:tc>
          <w:tcPr>
            <w:tcW w:w="1855" w:type="dxa"/>
            <w:shd w:val="clear" w:color="auto" w:fill="FFFFFF"/>
            <w:vAlign w:val="center"/>
          </w:tcPr>
          <w:p w14:paraId="68E5BCC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69 219</w:t>
            </w:r>
          </w:p>
        </w:tc>
        <w:tc>
          <w:tcPr>
            <w:tcW w:w="1512" w:type="dxa"/>
            <w:shd w:val="clear" w:color="auto" w:fill="FFFFFF"/>
            <w:vAlign w:val="center"/>
          </w:tcPr>
          <w:p w14:paraId="50877442"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71 019</w:t>
            </w:r>
          </w:p>
        </w:tc>
        <w:tc>
          <w:tcPr>
            <w:tcW w:w="1528" w:type="dxa"/>
            <w:shd w:val="clear" w:color="auto" w:fill="FFFFFF"/>
            <w:vAlign w:val="center"/>
          </w:tcPr>
          <w:p w14:paraId="7783E5A2"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72 794</w:t>
            </w:r>
          </w:p>
        </w:tc>
        <w:tc>
          <w:tcPr>
            <w:tcW w:w="2058" w:type="dxa"/>
            <w:shd w:val="clear" w:color="auto" w:fill="FFFFFF"/>
            <w:vAlign w:val="center"/>
          </w:tcPr>
          <w:p w14:paraId="1A0D7A01"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75 342</w:t>
            </w:r>
          </w:p>
        </w:tc>
      </w:tr>
      <w:tr w:rsidR="00CC1E3A" w:rsidRPr="00CC1E3A" w14:paraId="612C18F8" w14:textId="77777777" w:rsidTr="00583781">
        <w:trPr>
          <w:cantSplit/>
          <w:trHeight w:val="246"/>
        </w:trPr>
        <w:tc>
          <w:tcPr>
            <w:tcW w:w="1442" w:type="dxa"/>
            <w:shd w:val="clear" w:color="auto" w:fill="FFFFFF"/>
          </w:tcPr>
          <w:p w14:paraId="47A5C6E5"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9</w:t>
            </w:r>
          </w:p>
        </w:tc>
        <w:tc>
          <w:tcPr>
            <w:tcW w:w="1855" w:type="dxa"/>
            <w:shd w:val="clear" w:color="auto" w:fill="FFFFFF"/>
            <w:vAlign w:val="center"/>
          </w:tcPr>
          <w:p w14:paraId="3DCC130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66 592</w:t>
            </w:r>
          </w:p>
        </w:tc>
        <w:tc>
          <w:tcPr>
            <w:tcW w:w="1855" w:type="dxa"/>
            <w:shd w:val="clear" w:color="auto" w:fill="FFFFFF"/>
            <w:vAlign w:val="center"/>
          </w:tcPr>
          <w:p w14:paraId="590323E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71 400</w:t>
            </w:r>
          </w:p>
        </w:tc>
        <w:tc>
          <w:tcPr>
            <w:tcW w:w="1512" w:type="dxa"/>
            <w:shd w:val="clear" w:color="auto" w:fill="FFFFFF"/>
            <w:vAlign w:val="center"/>
          </w:tcPr>
          <w:p w14:paraId="688604E6"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73 256</w:t>
            </w:r>
          </w:p>
        </w:tc>
        <w:tc>
          <w:tcPr>
            <w:tcW w:w="1528" w:type="dxa"/>
            <w:shd w:val="clear" w:color="auto" w:fill="FFFFFF"/>
            <w:vAlign w:val="center"/>
          </w:tcPr>
          <w:p w14:paraId="7876E88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75 087</w:t>
            </w:r>
          </w:p>
        </w:tc>
        <w:tc>
          <w:tcPr>
            <w:tcW w:w="2058" w:type="dxa"/>
            <w:shd w:val="clear" w:color="auto" w:fill="FFFFFF"/>
            <w:vAlign w:val="center"/>
          </w:tcPr>
          <w:p w14:paraId="04C3A8B7"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77 715</w:t>
            </w:r>
          </w:p>
        </w:tc>
      </w:tr>
      <w:tr w:rsidR="00CC1E3A" w:rsidRPr="00CC1E3A" w14:paraId="0CC8AE33" w14:textId="77777777" w:rsidTr="00583781">
        <w:trPr>
          <w:cantSplit/>
          <w:trHeight w:val="234"/>
        </w:trPr>
        <w:tc>
          <w:tcPr>
            <w:tcW w:w="1442" w:type="dxa"/>
            <w:shd w:val="clear" w:color="auto" w:fill="FFFFFF"/>
          </w:tcPr>
          <w:p w14:paraId="73C6CD8A"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10</w:t>
            </w:r>
          </w:p>
        </w:tc>
        <w:tc>
          <w:tcPr>
            <w:tcW w:w="1855" w:type="dxa"/>
            <w:shd w:val="clear" w:color="auto" w:fill="FFFFFF"/>
            <w:vAlign w:val="center"/>
          </w:tcPr>
          <w:p w14:paraId="2CC8131B"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69 423</w:t>
            </w:r>
          </w:p>
        </w:tc>
        <w:tc>
          <w:tcPr>
            <w:tcW w:w="1855" w:type="dxa"/>
            <w:shd w:val="clear" w:color="auto" w:fill="FFFFFF"/>
            <w:vAlign w:val="center"/>
          </w:tcPr>
          <w:p w14:paraId="1291C2E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74 195</w:t>
            </w:r>
          </w:p>
        </w:tc>
        <w:tc>
          <w:tcPr>
            <w:tcW w:w="1512" w:type="dxa"/>
            <w:shd w:val="clear" w:color="auto" w:fill="FFFFFF"/>
            <w:vAlign w:val="center"/>
          </w:tcPr>
          <w:p w14:paraId="7CEF1EC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76 124</w:t>
            </w:r>
          </w:p>
        </w:tc>
        <w:tc>
          <w:tcPr>
            <w:tcW w:w="1528" w:type="dxa"/>
            <w:shd w:val="clear" w:color="auto" w:fill="FFFFFF"/>
            <w:vAlign w:val="center"/>
          </w:tcPr>
          <w:p w14:paraId="7C7D036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78 027</w:t>
            </w:r>
          </w:p>
        </w:tc>
        <w:tc>
          <w:tcPr>
            <w:tcW w:w="2058" w:type="dxa"/>
            <w:shd w:val="clear" w:color="auto" w:fill="FFFFFF"/>
            <w:vAlign w:val="center"/>
          </w:tcPr>
          <w:p w14:paraId="62F9308E"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80 758</w:t>
            </w:r>
          </w:p>
        </w:tc>
      </w:tr>
      <w:tr w:rsidR="00CC1E3A" w:rsidRPr="00CC1E3A" w14:paraId="0E4820D3" w14:textId="77777777" w:rsidTr="00583781">
        <w:trPr>
          <w:cantSplit/>
          <w:trHeight w:val="246"/>
        </w:trPr>
        <w:tc>
          <w:tcPr>
            <w:tcW w:w="1442" w:type="dxa"/>
            <w:shd w:val="clear" w:color="auto" w:fill="FFFFFF"/>
          </w:tcPr>
          <w:p w14:paraId="09CFA29D"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11</w:t>
            </w:r>
          </w:p>
        </w:tc>
        <w:tc>
          <w:tcPr>
            <w:tcW w:w="1855" w:type="dxa"/>
            <w:shd w:val="clear" w:color="auto" w:fill="FFFFFF"/>
            <w:vAlign w:val="center"/>
          </w:tcPr>
          <w:p w14:paraId="7D9E0A7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72 843</w:t>
            </w:r>
          </w:p>
        </w:tc>
        <w:tc>
          <w:tcPr>
            <w:tcW w:w="1855" w:type="dxa"/>
            <w:shd w:val="clear" w:color="auto" w:fill="FFFFFF"/>
            <w:vAlign w:val="center"/>
          </w:tcPr>
          <w:p w14:paraId="3304889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76 836</w:t>
            </w:r>
          </w:p>
        </w:tc>
        <w:tc>
          <w:tcPr>
            <w:tcW w:w="1512" w:type="dxa"/>
            <w:shd w:val="clear" w:color="auto" w:fill="FFFFFF"/>
            <w:vAlign w:val="center"/>
          </w:tcPr>
          <w:p w14:paraId="4FF8F161"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78 834</w:t>
            </w:r>
          </w:p>
        </w:tc>
        <w:tc>
          <w:tcPr>
            <w:tcW w:w="1528" w:type="dxa"/>
            <w:shd w:val="clear" w:color="auto" w:fill="FFFFFF"/>
            <w:vAlign w:val="center"/>
          </w:tcPr>
          <w:p w14:paraId="1C50FEFE"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80 805</w:t>
            </w:r>
          </w:p>
        </w:tc>
        <w:tc>
          <w:tcPr>
            <w:tcW w:w="2058" w:type="dxa"/>
            <w:shd w:val="clear" w:color="auto" w:fill="FFFFFF"/>
            <w:vAlign w:val="center"/>
          </w:tcPr>
          <w:p w14:paraId="6A530733"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83 633</w:t>
            </w:r>
          </w:p>
        </w:tc>
      </w:tr>
      <w:tr w:rsidR="00CC1E3A" w:rsidRPr="00CC1E3A" w14:paraId="3D2387FB" w14:textId="77777777" w:rsidTr="00583781">
        <w:trPr>
          <w:cantSplit/>
          <w:trHeight w:val="234"/>
        </w:trPr>
        <w:tc>
          <w:tcPr>
            <w:tcW w:w="1442" w:type="dxa"/>
            <w:shd w:val="clear" w:color="auto" w:fill="FFFFFF"/>
          </w:tcPr>
          <w:p w14:paraId="001FE458"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12</w:t>
            </w:r>
          </w:p>
        </w:tc>
        <w:tc>
          <w:tcPr>
            <w:tcW w:w="1855" w:type="dxa"/>
            <w:shd w:val="clear" w:color="auto" w:fill="FFFFFF"/>
            <w:vAlign w:val="center"/>
          </w:tcPr>
          <w:p w14:paraId="6287C574"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76 479</w:t>
            </w:r>
          </w:p>
        </w:tc>
        <w:tc>
          <w:tcPr>
            <w:tcW w:w="1855" w:type="dxa"/>
            <w:shd w:val="clear" w:color="auto" w:fill="FFFFFF"/>
            <w:vAlign w:val="center"/>
          </w:tcPr>
          <w:p w14:paraId="0DAEE9E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79 862</w:t>
            </w:r>
          </w:p>
        </w:tc>
        <w:tc>
          <w:tcPr>
            <w:tcW w:w="1512" w:type="dxa"/>
            <w:shd w:val="clear" w:color="auto" w:fill="FFFFFF"/>
            <w:vAlign w:val="center"/>
          </w:tcPr>
          <w:p w14:paraId="0A50275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81 938</w:t>
            </w:r>
          </w:p>
        </w:tc>
        <w:tc>
          <w:tcPr>
            <w:tcW w:w="1528" w:type="dxa"/>
            <w:shd w:val="clear" w:color="auto" w:fill="FFFFFF"/>
            <w:vAlign w:val="center"/>
          </w:tcPr>
          <w:p w14:paraId="40015DEA"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83 986</w:t>
            </w:r>
          </w:p>
        </w:tc>
        <w:tc>
          <w:tcPr>
            <w:tcW w:w="2058" w:type="dxa"/>
            <w:shd w:val="clear" w:color="auto" w:fill="FFFFFF"/>
            <w:vAlign w:val="center"/>
          </w:tcPr>
          <w:p w14:paraId="0F7CADC8"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86 926</w:t>
            </w:r>
          </w:p>
        </w:tc>
      </w:tr>
      <w:tr w:rsidR="00CC1E3A" w:rsidRPr="00CC1E3A" w14:paraId="01DBE2C2" w14:textId="77777777" w:rsidTr="00583781">
        <w:trPr>
          <w:cantSplit/>
          <w:trHeight w:val="246"/>
        </w:trPr>
        <w:tc>
          <w:tcPr>
            <w:tcW w:w="1442" w:type="dxa"/>
            <w:shd w:val="clear" w:color="auto" w:fill="FFFFFF"/>
          </w:tcPr>
          <w:p w14:paraId="1724761D"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13</w:t>
            </w:r>
          </w:p>
        </w:tc>
        <w:tc>
          <w:tcPr>
            <w:tcW w:w="1855" w:type="dxa"/>
            <w:shd w:val="clear" w:color="auto" w:fill="FFFFFF"/>
            <w:vAlign w:val="center"/>
          </w:tcPr>
          <w:p w14:paraId="6CD3E66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80 290</w:t>
            </w:r>
          </w:p>
        </w:tc>
        <w:tc>
          <w:tcPr>
            <w:tcW w:w="1855" w:type="dxa"/>
            <w:shd w:val="clear" w:color="auto" w:fill="FFFFFF"/>
            <w:vAlign w:val="center"/>
          </w:tcPr>
          <w:p w14:paraId="183B4CF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82 538</w:t>
            </w:r>
          </w:p>
        </w:tc>
        <w:tc>
          <w:tcPr>
            <w:tcW w:w="1512" w:type="dxa"/>
            <w:shd w:val="clear" w:color="auto" w:fill="FFFFFF"/>
            <w:vAlign w:val="center"/>
          </w:tcPr>
          <w:p w14:paraId="3604A5A1"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84 684</w:t>
            </w:r>
          </w:p>
        </w:tc>
        <w:tc>
          <w:tcPr>
            <w:tcW w:w="1528" w:type="dxa"/>
            <w:shd w:val="clear" w:color="auto" w:fill="FFFFFF"/>
            <w:vAlign w:val="center"/>
          </w:tcPr>
          <w:p w14:paraId="6B52DBAA"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86 801</w:t>
            </w:r>
          </w:p>
        </w:tc>
        <w:tc>
          <w:tcPr>
            <w:tcW w:w="2058" w:type="dxa"/>
            <w:shd w:val="clear" w:color="auto" w:fill="FFFFFF"/>
            <w:vAlign w:val="center"/>
          </w:tcPr>
          <w:p w14:paraId="64C20237"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89 839</w:t>
            </w:r>
          </w:p>
        </w:tc>
      </w:tr>
      <w:tr w:rsidR="00CC1E3A" w:rsidRPr="00CC1E3A" w14:paraId="1871208A" w14:textId="77777777" w:rsidTr="00583781">
        <w:trPr>
          <w:cantSplit/>
          <w:trHeight w:val="246"/>
        </w:trPr>
        <w:tc>
          <w:tcPr>
            <w:tcW w:w="1442" w:type="dxa"/>
            <w:shd w:val="clear" w:color="auto" w:fill="FFFFFF"/>
          </w:tcPr>
          <w:p w14:paraId="6B96D9BB"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14</w:t>
            </w:r>
          </w:p>
        </w:tc>
        <w:tc>
          <w:tcPr>
            <w:tcW w:w="1855" w:type="dxa"/>
            <w:shd w:val="clear" w:color="auto" w:fill="FFFFFF"/>
            <w:vAlign w:val="center"/>
          </w:tcPr>
          <w:p w14:paraId="152BD00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84 293</w:t>
            </w:r>
          </w:p>
        </w:tc>
        <w:tc>
          <w:tcPr>
            <w:tcW w:w="1855" w:type="dxa"/>
            <w:shd w:val="clear" w:color="auto" w:fill="FFFFFF"/>
            <w:vAlign w:val="center"/>
          </w:tcPr>
          <w:p w14:paraId="4CD94988"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86 653</w:t>
            </w:r>
          </w:p>
        </w:tc>
        <w:tc>
          <w:tcPr>
            <w:tcW w:w="1512" w:type="dxa"/>
            <w:shd w:val="clear" w:color="auto" w:fill="FFFFFF"/>
            <w:vAlign w:val="center"/>
          </w:tcPr>
          <w:p w14:paraId="46E6B2D5"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88 906</w:t>
            </w:r>
          </w:p>
        </w:tc>
        <w:tc>
          <w:tcPr>
            <w:tcW w:w="1528" w:type="dxa"/>
            <w:shd w:val="clear" w:color="auto" w:fill="FFFFFF"/>
            <w:vAlign w:val="center"/>
          </w:tcPr>
          <w:p w14:paraId="1B6779B6"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91 129</w:t>
            </w:r>
          </w:p>
        </w:tc>
        <w:tc>
          <w:tcPr>
            <w:tcW w:w="2058" w:type="dxa"/>
            <w:shd w:val="clear" w:color="auto" w:fill="FFFFFF"/>
            <w:vAlign w:val="center"/>
          </w:tcPr>
          <w:p w14:paraId="6BB4F6E8"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94 319</w:t>
            </w:r>
          </w:p>
        </w:tc>
      </w:tr>
      <w:tr w:rsidR="00CC1E3A" w:rsidRPr="00CC1E3A" w14:paraId="5991F3F2" w14:textId="77777777" w:rsidTr="00583781">
        <w:trPr>
          <w:cantSplit/>
          <w:trHeight w:val="234"/>
        </w:trPr>
        <w:tc>
          <w:tcPr>
            <w:tcW w:w="1442" w:type="dxa"/>
            <w:shd w:val="clear" w:color="auto" w:fill="FFFFFF"/>
          </w:tcPr>
          <w:p w14:paraId="46FA0428"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15</w:t>
            </w:r>
          </w:p>
        </w:tc>
        <w:tc>
          <w:tcPr>
            <w:tcW w:w="1855" w:type="dxa"/>
            <w:shd w:val="clear" w:color="auto" w:fill="FFFFFF"/>
            <w:vAlign w:val="center"/>
          </w:tcPr>
          <w:p w14:paraId="007E4AF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88 489</w:t>
            </w:r>
          </w:p>
        </w:tc>
        <w:tc>
          <w:tcPr>
            <w:tcW w:w="1855" w:type="dxa"/>
            <w:shd w:val="clear" w:color="auto" w:fill="FFFFFF"/>
            <w:vAlign w:val="center"/>
          </w:tcPr>
          <w:p w14:paraId="080E0CA5"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90 967</w:t>
            </w:r>
          </w:p>
        </w:tc>
        <w:tc>
          <w:tcPr>
            <w:tcW w:w="1512" w:type="dxa"/>
            <w:shd w:val="clear" w:color="auto" w:fill="FFFFFF"/>
            <w:vAlign w:val="center"/>
          </w:tcPr>
          <w:p w14:paraId="1E07CA8B"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93 332</w:t>
            </w:r>
          </w:p>
        </w:tc>
        <w:tc>
          <w:tcPr>
            <w:tcW w:w="1528" w:type="dxa"/>
            <w:shd w:val="clear" w:color="auto" w:fill="FFFFFF"/>
            <w:vAlign w:val="center"/>
          </w:tcPr>
          <w:p w14:paraId="2BF2091B"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95 665</w:t>
            </w:r>
          </w:p>
        </w:tc>
        <w:tc>
          <w:tcPr>
            <w:tcW w:w="2058" w:type="dxa"/>
            <w:shd w:val="clear" w:color="auto" w:fill="FFFFFF"/>
            <w:vAlign w:val="center"/>
          </w:tcPr>
          <w:p w14:paraId="7F542164"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99 013</w:t>
            </w:r>
          </w:p>
        </w:tc>
      </w:tr>
      <w:tr w:rsidR="00CC1E3A" w:rsidRPr="00CC1E3A" w14:paraId="6B79EB05" w14:textId="77777777" w:rsidTr="00583781">
        <w:trPr>
          <w:cantSplit/>
          <w:trHeight w:val="246"/>
        </w:trPr>
        <w:tc>
          <w:tcPr>
            <w:tcW w:w="1442" w:type="dxa"/>
            <w:shd w:val="clear" w:color="auto" w:fill="FFFFFF"/>
          </w:tcPr>
          <w:p w14:paraId="4F4881D3"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16</w:t>
            </w:r>
          </w:p>
        </w:tc>
        <w:tc>
          <w:tcPr>
            <w:tcW w:w="1855" w:type="dxa"/>
            <w:shd w:val="clear" w:color="auto" w:fill="FFFFFF"/>
            <w:vAlign w:val="center"/>
          </w:tcPr>
          <w:p w14:paraId="2BA95F9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92 906</w:t>
            </w:r>
          </w:p>
        </w:tc>
        <w:tc>
          <w:tcPr>
            <w:tcW w:w="1855" w:type="dxa"/>
            <w:shd w:val="clear" w:color="auto" w:fill="FFFFFF"/>
            <w:vAlign w:val="center"/>
          </w:tcPr>
          <w:p w14:paraId="1BC5A2F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95 507</w:t>
            </w:r>
          </w:p>
        </w:tc>
        <w:tc>
          <w:tcPr>
            <w:tcW w:w="1512" w:type="dxa"/>
            <w:shd w:val="clear" w:color="auto" w:fill="FFFFFF"/>
            <w:vAlign w:val="center"/>
          </w:tcPr>
          <w:p w14:paraId="080A8A0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97 990</w:t>
            </w:r>
          </w:p>
        </w:tc>
        <w:tc>
          <w:tcPr>
            <w:tcW w:w="1528" w:type="dxa"/>
            <w:shd w:val="clear" w:color="auto" w:fill="FFFFFF"/>
            <w:vAlign w:val="center"/>
          </w:tcPr>
          <w:p w14:paraId="175EA27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100 440</w:t>
            </w:r>
          </w:p>
        </w:tc>
        <w:tc>
          <w:tcPr>
            <w:tcW w:w="2058" w:type="dxa"/>
            <w:shd w:val="clear" w:color="auto" w:fill="FFFFFF"/>
            <w:vAlign w:val="center"/>
          </w:tcPr>
          <w:p w14:paraId="248A5F62"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103 955</w:t>
            </w:r>
          </w:p>
        </w:tc>
      </w:tr>
      <w:tr w:rsidR="00CC1E3A" w:rsidRPr="00CC1E3A" w14:paraId="60FACDF9" w14:textId="77777777" w:rsidTr="00583781">
        <w:trPr>
          <w:cantSplit/>
          <w:trHeight w:val="246"/>
        </w:trPr>
        <w:tc>
          <w:tcPr>
            <w:tcW w:w="1442" w:type="dxa"/>
            <w:shd w:val="clear" w:color="auto" w:fill="FFFFFF"/>
          </w:tcPr>
          <w:p w14:paraId="3F3A1667"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17</w:t>
            </w:r>
          </w:p>
        </w:tc>
        <w:tc>
          <w:tcPr>
            <w:tcW w:w="1855" w:type="dxa"/>
            <w:shd w:val="clear" w:color="auto" w:fill="FFFFFF"/>
            <w:vAlign w:val="center"/>
          </w:tcPr>
          <w:p w14:paraId="327A435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97 543</w:t>
            </w:r>
          </w:p>
        </w:tc>
        <w:tc>
          <w:tcPr>
            <w:tcW w:w="1855" w:type="dxa"/>
            <w:shd w:val="clear" w:color="auto" w:fill="FFFFFF"/>
            <w:vAlign w:val="center"/>
          </w:tcPr>
          <w:p w14:paraId="1777076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100 282</w:t>
            </w:r>
          </w:p>
        </w:tc>
        <w:tc>
          <w:tcPr>
            <w:tcW w:w="1512" w:type="dxa"/>
            <w:shd w:val="clear" w:color="auto" w:fill="FFFFFF"/>
            <w:vAlign w:val="center"/>
          </w:tcPr>
          <w:p w14:paraId="4C62B761"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102 894</w:t>
            </w:r>
          </w:p>
        </w:tc>
        <w:tc>
          <w:tcPr>
            <w:tcW w:w="1528" w:type="dxa"/>
            <w:shd w:val="clear" w:color="auto" w:fill="FFFFFF"/>
            <w:vAlign w:val="center"/>
          </w:tcPr>
          <w:p w14:paraId="0221E559"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105 469</w:t>
            </w:r>
          </w:p>
        </w:tc>
        <w:tc>
          <w:tcPr>
            <w:tcW w:w="2058" w:type="dxa"/>
            <w:shd w:val="clear" w:color="auto" w:fill="FFFFFF"/>
            <w:vAlign w:val="center"/>
          </w:tcPr>
          <w:p w14:paraId="69684A64"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109 158</w:t>
            </w:r>
          </w:p>
        </w:tc>
      </w:tr>
      <w:tr w:rsidR="00CC1E3A" w:rsidRPr="00CC1E3A" w14:paraId="128A8DFA" w14:textId="77777777" w:rsidTr="00583781">
        <w:trPr>
          <w:cantSplit/>
          <w:trHeight w:val="234"/>
        </w:trPr>
        <w:tc>
          <w:tcPr>
            <w:tcW w:w="1442" w:type="dxa"/>
            <w:shd w:val="clear" w:color="auto" w:fill="FFFFFF"/>
          </w:tcPr>
          <w:p w14:paraId="10BCACAA" w14:textId="359BB910"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18</w:t>
            </w:r>
            <w:r w:rsidRPr="00316277">
              <w:rPr>
                <w:rStyle w:val="FootnoteReference"/>
                <w:rFonts w:cs="Arial"/>
                <w:color w:val="000000"/>
                <w:sz w:val="22"/>
                <w:szCs w:val="22"/>
              </w:rPr>
              <w:footnoteReference w:id="63"/>
            </w:r>
            <w:r w:rsidRPr="00316277">
              <w:rPr>
                <w:rFonts w:cs="Arial"/>
                <w:color w:val="000000"/>
                <w:sz w:val="22"/>
                <w:szCs w:val="22"/>
              </w:rPr>
              <w:t>-</w:t>
            </w:r>
            <w:r w:rsidRPr="00316277">
              <w:rPr>
                <w:rStyle w:val="FootnoteReference"/>
                <w:rFonts w:cs="Arial"/>
                <w:color w:val="000000"/>
                <w:sz w:val="22"/>
                <w:szCs w:val="22"/>
              </w:rPr>
              <w:footnoteReference w:id="64"/>
            </w:r>
          </w:p>
        </w:tc>
        <w:tc>
          <w:tcPr>
            <w:tcW w:w="1855" w:type="dxa"/>
            <w:shd w:val="clear" w:color="auto" w:fill="FFFFFF"/>
            <w:vAlign w:val="center"/>
          </w:tcPr>
          <w:p w14:paraId="3138BC1E"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99 133</w:t>
            </w:r>
          </w:p>
        </w:tc>
        <w:tc>
          <w:tcPr>
            <w:tcW w:w="1855" w:type="dxa"/>
            <w:shd w:val="clear" w:color="auto" w:fill="FFFFFF"/>
            <w:vAlign w:val="center"/>
          </w:tcPr>
          <w:p w14:paraId="689593E0"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101 917</w:t>
            </w:r>
          </w:p>
        </w:tc>
        <w:tc>
          <w:tcPr>
            <w:tcW w:w="1512" w:type="dxa"/>
            <w:shd w:val="clear" w:color="auto" w:fill="FFFFFF"/>
            <w:vAlign w:val="center"/>
          </w:tcPr>
          <w:p w14:paraId="4D56F56E"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104 571</w:t>
            </w:r>
          </w:p>
        </w:tc>
        <w:tc>
          <w:tcPr>
            <w:tcW w:w="1528" w:type="dxa"/>
            <w:shd w:val="clear" w:color="auto" w:fill="FFFFFF"/>
            <w:vAlign w:val="center"/>
          </w:tcPr>
          <w:p w14:paraId="1C125CDF"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107 188</w:t>
            </w:r>
          </w:p>
        </w:tc>
        <w:tc>
          <w:tcPr>
            <w:tcW w:w="2058" w:type="dxa"/>
            <w:shd w:val="clear" w:color="auto" w:fill="FFFFFF"/>
            <w:vAlign w:val="center"/>
          </w:tcPr>
          <w:p w14:paraId="07819DAC"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110 937</w:t>
            </w:r>
          </w:p>
        </w:tc>
      </w:tr>
      <w:tr w:rsidR="00CC1E3A" w:rsidRPr="00CC1E3A" w14:paraId="1C03717D" w14:textId="77777777" w:rsidTr="00583781">
        <w:trPr>
          <w:cantSplit/>
          <w:trHeight w:val="74"/>
        </w:trPr>
        <w:tc>
          <w:tcPr>
            <w:tcW w:w="1442" w:type="dxa"/>
            <w:shd w:val="clear" w:color="auto" w:fill="FFFFFF"/>
          </w:tcPr>
          <w:p w14:paraId="68757607"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19</w:t>
            </w:r>
            <w:r w:rsidRPr="00316277">
              <w:rPr>
                <w:rFonts w:cs="Arial"/>
                <w:color w:val="000000"/>
                <w:sz w:val="22"/>
                <w:szCs w:val="22"/>
                <w:vertAlign w:val="superscript"/>
              </w:rPr>
              <w:t>3</w:t>
            </w:r>
          </w:p>
        </w:tc>
        <w:tc>
          <w:tcPr>
            <w:tcW w:w="1855" w:type="dxa"/>
            <w:shd w:val="clear" w:color="auto" w:fill="FFFFFF"/>
            <w:vAlign w:val="center"/>
          </w:tcPr>
          <w:p w14:paraId="7D3DCBF2"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100 749</w:t>
            </w:r>
          </w:p>
        </w:tc>
        <w:tc>
          <w:tcPr>
            <w:tcW w:w="1855" w:type="dxa"/>
            <w:shd w:val="clear" w:color="auto" w:fill="FFFFFF"/>
            <w:vAlign w:val="center"/>
          </w:tcPr>
          <w:p w14:paraId="46C60836"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103 578</w:t>
            </w:r>
          </w:p>
        </w:tc>
        <w:tc>
          <w:tcPr>
            <w:tcW w:w="1512" w:type="dxa"/>
            <w:shd w:val="clear" w:color="auto" w:fill="FFFFFF"/>
            <w:vAlign w:val="center"/>
          </w:tcPr>
          <w:p w14:paraId="3635DEDA"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106 276</w:t>
            </w:r>
          </w:p>
        </w:tc>
        <w:tc>
          <w:tcPr>
            <w:tcW w:w="1528" w:type="dxa"/>
            <w:shd w:val="clear" w:color="auto" w:fill="FFFFFF"/>
            <w:vAlign w:val="center"/>
          </w:tcPr>
          <w:p w14:paraId="4BB325DD"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108 935</w:t>
            </w:r>
          </w:p>
        </w:tc>
        <w:tc>
          <w:tcPr>
            <w:tcW w:w="2058" w:type="dxa"/>
            <w:shd w:val="clear" w:color="auto" w:fill="FFFFFF"/>
            <w:vAlign w:val="center"/>
          </w:tcPr>
          <w:p w14:paraId="32C072DE"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112 745</w:t>
            </w:r>
          </w:p>
        </w:tc>
      </w:tr>
      <w:tr w:rsidR="00CC1E3A" w:rsidRPr="00817EAF" w14:paraId="0058E379" w14:textId="77777777" w:rsidTr="00583781">
        <w:trPr>
          <w:cantSplit/>
          <w:trHeight w:val="234"/>
        </w:trPr>
        <w:tc>
          <w:tcPr>
            <w:tcW w:w="1442" w:type="dxa"/>
            <w:shd w:val="clear" w:color="auto" w:fill="FFFFFF"/>
          </w:tcPr>
          <w:p w14:paraId="4B257CC9" w14:textId="77777777" w:rsidR="00CC1E3A" w:rsidRPr="00CC1E3A" w:rsidRDefault="00CC1E3A" w:rsidP="00940BD8">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20</w:t>
            </w:r>
            <w:r w:rsidRPr="00316277">
              <w:rPr>
                <w:rFonts w:cs="Arial"/>
                <w:color w:val="000000"/>
                <w:sz w:val="22"/>
                <w:szCs w:val="22"/>
                <w:vertAlign w:val="superscript"/>
              </w:rPr>
              <w:t>3</w:t>
            </w:r>
          </w:p>
        </w:tc>
        <w:tc>
          <w:tcPr>
            <w:tcW w:w="1855" w:type="dxa"/>
            <w:shd w:val="clear" w:color="auto" w:fill="FFFFFF"/>
            <w:vAlign w:val="center"/>
          </w:tcPr>
          <w:p w14:paraId="78310395"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102 391</w:t>
            </w:r>
          </w:p>
        </w:tc>
        <w:tc>
          <w:tcPr>
            <w:tcW w:w="1855" w:type="dxa"/>
            <w:shd w:val="clear" w:color="auto" w:fill="FFFFFF"/>
            <w:vAlign w:val="center"/>
          </w:tcPr>
          <w:p w14:paraId="0B635FCC"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105 266</w:t>
            </w:r>
          </w:p>
        </w:tc>
        <w:tc>
          <w:tcPr>
            <w:tcW w:w="1512" w:type="dxa"/>
            <w:shd w:val="clear" w:color="auto" w:fill="FFFFFF"/>
            <w:vAlign w:val="center"/>
          </w:tcPr>
          <w:p w14:paraId="7E5EC18A"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108 008</w:t>
            </w:r>
          </w:p>
        </w:tc>
        <w:tc>
          <w:tcPr>
            <w:tcW w:w="1528" w:type="dxa"/>
            <w:shd w:val="clear" w:color="auto" w:fill="FFFFFF"/>
            <w:vAlign w:val="center"/>
          </w:tcPr>
          <w:p w14:paraId="1433C053" w14:textId="77777777" w:rsidR="00CC1E3A" w:rsidRPr="00CC1E3A" w:rsidRDefault="00CC1E3A" w:rsidP="00CC1E3A">
            <w:pPr>
              <w:keepLines/>
              <w:widowControl w:val="0"/>
              <w:autoSpaceDE w:val="0"/>
              <w:autoSpaceDN w:val="0"/>
              <w:adjustRightInd w:val="0"/>
              <w:ind w:left="28" w:right="311"/>
              <w:jc w:val="center"/>
              <w:rPr>
                <w:rFonts w:cs="Arial"/>
                <w:color w:val="000000"/>
                <w:sz w:val="22"/>
                <w:szCs w:val="22"/>
                <w:highlight w:val="lightGray"/>
              </w:rPr>
            </w:pPr>
            <w:r w:rsidRPr="00316277">
              <w:rPr>
                <w:rFonts w:cs="Arial"/>
                <w:color w:val="000000"/>
                <w:sz w:val="22"/>
                <w:szCs w:val="22"/>
              </w:rPr>
              <w:t>110 711</w:t>
            </w:r>
          </w:p>
        </w:tc>
        <w:tc>
          <w:tcPr>
            <w:tcW w:w="2058" w:type="dxa"/>
            <w:shd w:val="clear" w:color="auto" w:fill="FFFFFF"/>
            <w:vAlign w:val="center"/>
          </w:tcPr>
          <w:p w14:paraId="2065E6ED" w14:textId="77777777" w:rsidR="00CC1E3A" w:rsidRPr="00316277" w:rsidRDefault="00CC1E3A" w:rsidP="00CC1E3A">
            <w:pPr>
              <w:keepLines/>
              <w:widowControl w:val="0"/>
              <w:autoSpaceDE w:val="0"/>
              <w:autoSpaceDN w:val="0"/>
              <w:adjustRightInd w:val="0"/>
              <w:ind w:left="28" w:right="311"/>
              <w:jc w:val="center"/>
              <w:rPr>
                <w:rFonts w:cs="Arial"/>
                <w:color w:val="000000"/>
                <w:sz w:val="22"/>
                <w:szCs w:val="22"/>
              </w:rPr>
            </w:pPr>
            <w:r w:rsidRPr="00316277">
              <w:rPr>
                <w:rFonts w:cs="Arial"/>
                <w:color w:val="000000"/>
                <w:sz w:val="22"/>
                <w:szCs w:val="22"/>
              </w:rPr>
              <w:t>114 583</w:t>
            </w:r>
          </w:p>
        </w:tc>
      </w:tr>
    </w:tbl>
    <w:p w14:paraId="4C47A777" w14:textId="77777777" w:rsidR="00CC1E3A" w:rsidRDefault="00CC1E3A" w:rsidP="007F120F">
      <w:pPr>
        <w:pStyle w:val="Selonlesdisp"/>
        <w:keepNext w:val="0"/>
      </w:pPr>
    </w:p>
    <w:p w14:paraId="2B1CC187" w14:textId="73F04CCE" w:rsidR="008947A0" w:rsidRPr="00026EC1" w:rsidRDefault="008947A0" w:rsidP="007F120F">
      <w:pPr>
        <w:pStyle w:val="Selonlesdisp"/>
        <w:keepNext w:val="0"/>
      </w:pPr>
      <w:r w:rsidRPr="00026EC1">
        <w:t>ANNEXE</w:t>
      </w:r>
      <w:r w:rsidR="00A50397" w:rsidRPr="00026EC1">
        <w:t> </w:t>
      </w:r>
      <w:r w:rsidRPr="00026EC1">
        <w:t>VI</w:t>
      </w:r>
      <w:r w:rsidR="00984A6F">
        <w:noBreakHyphen/>
      </w:r>
      <w:r w:rsidRPr="00026EC1">
        <w:t>1 (suite)</w:t>
      </w:r>
    </w:p>
    <w:p w14:paraId="09391138" w14:textId="77777777" w:rsidR="008947A0" w:rsidRPr="00026EC1" w:rsidRDefault="008947A0" w:rsidP="007F120F">
      <w:pPr>
        <w:keepNext w:val="0"/>
        <w:jc w:val="center"/>
      </w:pPr>
    </w:p>
    <w:p w14:paraId="6D563528" w14:textId="77777777" w:rsidR="008947A0" w:rsidRPr="00026EC1" w:rsidRDefault="008947A0" w:rsidP="007F120F">
      <w:pPr>
        <w:pStyle w:val="Selonlesdisp"/>
        <w:keepNext w:val="0"/>
        <w:rPr>
          <w:bCs/>
          <w:caps w:val="0"/>
        </w:rPr>
      </w:pPr>
      <w:r w:rsidRPr="00026EC1">
        <w:rPr>
          <w:bCs/>
          <w:caps w:val="0"/>
        </w:rPr>
        <w:t>TABLEAU B</w:t>
      </w:r>
    </w:p>
    <w:p w14:paraId="1F4238FE" w14:textId="77777777" w:rsidR="008947A0" w:rsidRPr="00026EC1" w:rsidRDefault="008947A0" w:rsidP="007F120F">
      <w:pPr>
        <w:keepNext w:val="0"/>
        <w:jc w:val="center"/>
      </w:pPr>
    </w:p>
    <w:p w14:paraId="3E6C0932" w14:textId="4F2474EE" w:rsidR="008947A0" w:rsidRPr="00C60CEE" w:rsidRDefault="008947A0" w:rsidP="007F120F">
      <w:pPr>
        <w:pStyle w:val="MGSTexte0cm"/>
        <w:keepNext w:val="0"/>
        <w:jc w:val="center"/>
      </w:pPr>
      <w:r w:rsidRPr="00D36389">
        <w:t>TAUX HORAIRES</w:t>
      </w:r>
      <w:r w:rsidRPr="00026EC1">
        <w:t xml:space="preserve"> </w:t>
      </w:r>
      <w:r w:rsidR="00970DAE">
        <w:t xml:space="preserve">et échelles de traitement </w:t>
      </w:r>
      <w:r w:rsidRPr="00026EC1">
        <w:t>DE L</w:t>
      </w:r>
      <w:r w:rsidR="00BC3319" w:rsidRPr="00026EC1">
        <w:t>’</w:t>
      </w:r>
      <w:r w:rsidRPr="00026EC1">
        <w:t>ENSEIGNANTE OU L</w:t>
      </w:r>
      <w:r w:rsidR="00BC3319" w:rsidRPr="00026EC1">
        <w:t>’</w:t>
      </w:r>
      <w:r w:rsidRPr="00026EC1">
        <w:t>ENSEIGNANT CHARGÉ DE COURS</w:t>
      </w:r>
    </w:p>
    <w:p w14:paraId="7203733E" w14:textId="16B3C478" w:rsidR="006F5062" w:rsidRPr="00316277" w:rsidRDefault="006F5062">
      <w:pPr>
        <w:keepNext w:val="0"/>
        <w:suppressAutoHyphens w:val="0"/>
        <w:jc w:val="left"/>
        <w:rPr>
          <w:rFonts w:cs="Arial"/>
          <w:b/>
          <w:szCs w:val="24"/>
        </w:rPr>
      </w:pPr>
    </w:p>
    <w:tbl>
      <w:tblPr>
        <w:tblW w:w="9923" w:type="dxa"/>
        <w:tblLayout w:type="fixed"/>
        <w:tblCellMar>
          <w:left w:w="0" w:type="dxa"/>
          <w:right w:w="0" w:type="dxa"/>
        </w:tblCellMar>
        <w:tblLook w:val="0000" w:firstRow="0" w:lastRow="0" w:firstColumn="0" w:lastColumn="0" w:noHBand="0" w:noVBand="0"/>
      </w:tblPr>
      <w:tblGrid>
        <w:gridCol w:w="9923"/>
      </w:tblGrid>
      <w:tr w:rsidR="00EF7962" w:rsidRPr="00B87FC3" w14:paraId="4CAD1DED" w14:textId="77777777" w:rsidTr="00EF7962">
        <w:trPr>
          <w:cantSplit/>
        </w:trPr>
        <w:tc>
          <w:tcPr>
            <w:tcW w:w="9923" w:type="dxa"/>
            <w:tcBorders>
              <w:bottom w:val="single" w:sz="4" w:space="0" w:color="auto"/>
            </w:tcBorders>
            <w:shd w:val="clear" w:color="auto" w:fill="FFFFFF"/>
          </w:tcPr>
          <w:tbl>
            <w:tblPr>
              <w:tblW w:w="8648" w:type="dxa"/>
              <w:jc w:val="center"/>
              <w:tblLayout w:type="fixed"/>
              <w:tblCellMar>
                <w:left w:w="0" w:type="dxa"/>
                <w:right w:w="0" w:type="dxa"/>
              </w:tblCellMar>
              <w:tblLook w:val="0000" w:firstRow="0" w:lastRow="0" w:firstColumn="0" w:lastColumn="0" w:noHBand="0" w:noVBand="0"/>
            </w:tblPr>
            <w:tblGrid>
              <w:gridCol w:w="1276"/>
              <w:gridCol w:w="992"/>
              <w:gridCol w:w="1276"/>
              <w:gridCol w:w="1276"/>
              <w:gridCol w:w="1276"/>
              <w:gridCol w:w="1276"/>
              <w:gridCol w:w="1276"/>
            </w:tblGrid>
            <w:tr w:rsidR="00EF7962" w:rsidRPr="00B87FC3" w14:paraId="3EF2D77A" w14:textId="77777777" w:rsidTr="00940BD8">
              <w:trPr>
                <w:cantSplit/>
                <w:jc w:val="center"/>
              </w:trPr>
              <w:tc>
                <w:tcPr>
                  <w:tcW w:w="1276" w:type="dxa"/>
                  <w:shd w:val="clear" w:color="auto" w:fill="FFFFFF"/>
                  <w:vAlign w:val="center"/>
                </w:tcPr>
                <w:p w14:paraId="395A4271" w14:textId="6187AA81" w:rsidR="00EF7962" w:rsidRPr="00316277" w:rsidRDefault="00EF7962" w:rsidP="00940BD8">
                  <w:pPr>
                    <w:keepLines/>
                    <w:widowControl w:val="0"/>
                    <w:autoSpaceDE w:val="0"/>
                    <w:autoSpaceDN w:val="0"/>
                    <w:adjustRightInd w:val="0"/>
                    <w:ind w:left="-618" w:right="57" w:firstLine="675"/>
                    <w:jc w:val="center"/>
                    <w:rPr>
                      <w:rFonts w:cs="Arial"/>
                      <w:b/>
                      <w:bCs/>
                      <w:color w:val="000000"/>
                      <w:sz w:val="22"/>
                      <w:szCs w:val="22"/>
                    </w:rPr>
                  </w:pPr>
                  <w:r w:rsidRPr="00316277">
                    <w:rPr>
                      <w:rFonts w:cs="Arial"/>
                      <w:b/>
                      <w:bCs/>
                      <w:color w:val="000000"/>
                      <w:sz w:val="22"/>
                      <w:szCs w:val="22"/>
                    </w:rPr>
                    <w:t>Année</w:t>
                  </w:r>
                  <w:r w:rsidR="009E07FF" w:rsidRPr="00316277">
                    <w:rPr>
                      <w:rFonts w:cs="Arial"/>
                      <w:b/>
                      <w:bCs/>
                      <w:color w:val="000000"/>
                      <w:sz w:val="22"/>
                      <w:szCs w:val="22"/>
                    </w:rPr>
                    <w:t>s</w:t>
                  </w:r>
                </w:p>
                <w:p w14:paraId="56B3B089" w14:textId="77777777" w:rsidR="00EF7962" w:rsidRPr="00316277" w:rsidRDefault="00EF7962" w:rsidP="00940BD8">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de</w:t>
                  </w:r>
                </w:p>
                <w:p w14:paraId="46884D30"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scolarité</w:t>
                  </w:r>
                </w:p>
              </w:tc>
              <w:tc>
                <w:tcPr>
                  <w:tcW w:w="992" w:type="dxa"/>
                  <w:shd w:val="clear" w:color="auto" w:fill="FFFFFF"/>
                  <w:vAlign w:val="center"/>
                </w:tcPr>
                <w:p w14:paraId="760606F9"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Échelon</w:t>
                  </w:r>
                </w:p>
              </w:tc>
              <w:tc>
                <w:tcPr>
                  <w:tcW w:w="1276" w:type="dxa"/>
                  <w:shd w:val="clear" w:color="auto" w:fill="FFFFFF"/>
                  <w:vAlign w:val="center"/>
                </w:tcPr>
                <w:p w14:paraId="604664CF"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2023-04-01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2024-03-31</w:t>
                  </w:r>
                  <w:r w:rsidRPr="00316277">
                    <w:rPr>
                      <w:rFonts w:cs="Arial"/>
                      <w:color w:val="000000"/>
                      <w:sz w:val="22"/>
                      <w:szCs w:val="22"/>
                    </w:rPr>
                    <w:br/>
                  </w:r>
                  <w:r w:rsidRPr="00316277">
                    <w:rPr>
                      <w:rFonts w:cs="Arial"/>
                      <w:b/>
                      <w:bCs/>
                      <w:color w:val="000000"/>
                      <w:sz w:val="22"/>
                      <w:szCs w:val="22"/>
                    </w:rPr>
                    <w:t xml:space="preserve">( $ ) </w:t>
                  </w:r>
                </w:p>
              </w:tc>
              <w:tc>
                <w:tcPr>
                  <w:tcW w:w="1276" w:type="dxa"/>
                  <w:shd w:val="clear" w:color="auto" w:fill="FFFFFF"/>
                  <w:vAlign w:val="center"/>
                </w:tcPr>
                <w:p w14:paraId="079637D6"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2024-04-01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2025-03-31</w:t>
                  </w:r>
                  <w:r w:rsidRPr="00316277">
                    <w:rPr>
                      <w:rFonts w:cs="Arial"/>
                      <w:color w:val="000000"/>
                      <w:sz w:val="22"/>
                      <w:szCs w:val="22"/>
                    </w:rPr>
                    <w:br/>
                  </w:r>
                  <w:r w:rsidRPr="00316277">
                    <w:rPr>
                      <w:rFonts w:cs="Arial"/>
                      <w:b/>
                      <w:bCs/>
                      <w:color w:val="000000"/>
                      <w:sz w:val="22"/>
                      <w:szCs w:val="22"/>
                    </w:rPr>
                    <w:t xml:space="preserve">( $ ) </w:t>
                  </w:r>
                </w:p>
              </w:tc>
              <w:tc>
                <w:tcPr>
                  <w:tcW w:w="1276" w:type="dxa"/>
                  <w:shd w:val="clear" w:color="auto" w:fill="FFFFFF"/>
                  <w:vAlign w:val="center"/>
                </w:tcPr>
                <w:p w14:paraId="28E8D008"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2025-04-01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2026-03-31</w:t>
                  </w:r>
                  <w:r w:rsidRPr="00316277">
                    <w:rPr>
                      <w:rFonts w:cs="Arial"/>
                      <w:color w:val="000000"/>
                      <w:sz w:val="22"/>
                      <w:szCs w:val="22"/>
                    </w:rPr>
                    <w:br/>
                  </w:r>
                  <w:r w:rsidRPr="00316277">
                    <w:rPr>
                      <w:rFonts w:cs="Arial"/>
                      <w:b/>
                      <w:bCs/>
                      <w:color w:val="000000"/>
                      <w:sz w:val="22"/>
                      <w:szCs w:val="22"/>
                    </w:rPr>
                    <w:t xml:space="preserve">( $ ) </w:t>
                  </w:r>
                </w:p>
              </w:tc>
              <w:tc>
                <w:tcPr>
                  <w:tcW w:w="1276" w:type="dxa"/>
                  <w:shd w:val="clear" w:color="auto" w:fill="FFFFFF"/>
                  <w:vAlign w:val="center"/>
                </w:tcPr>
                <w:p w14:paraId="06817ABB"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2026-04-01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2027-03-31</w:t>
                  </w:r>
                  <w:r w:rsidRPr="00316277">
                    <w:rPr>
                      <w:rFonts w:cs="Arial"/>
                      <w:color w:val="000000"/>
                      <w:sz w:val="22"/>
                      <w:szCs w:val="22"/>
                    </w:rPr>
                    <w:br/>
                  </w:r>
                  <w:r w:rsidRPr="00316277">
                    <w:rPr>
                      <w:rFonts w:cs="Arial"/>
                      <w:b/>
                      <w:bCs/>
                      <w:color w:val="000000"/>
                      <w:sz w:val="22"/>
                      <w:szCs w:val="22"/>
                    </w:rPr>
                    <w:t xml:space="preserve">( $ ) </w:t>
                  </w:r>
                </w:p>
              </w:tc>
              <w:tc>
                <w:tcPr>
                  <w:tcW w:w="1276" w:type="dxa"/>
                  <w:shd w:val="clear" w:color="auto" w:fill="FFFFFF"/>
                  <w:vAlign w:val="center"/>
                </w:tcPr>
                <w:p w14:paraId="304E17C6" w14:textId="77777777" w:rsidR="00EF7962" w:rsidRPr="00316277" w:rsidRDefault="00EF7962" w:rsidP="00940BD8">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Taux à</w:t>
                  </w:r>
                  <w:r w:rsidRPr="00316277">
                    <w:rPr>
                      <w:rFonts w:cs="Arial"/>
                      <w:color w:val="000000"/>
                      <w:sz w:val="22"/>
                      <w:szCs w:val="22"/>
                    </w:rPr>
                    <w:br/>
                  </w:r>
                  <w:r w:rsidRPr="00316277">
                    <w:rPr>
                      <w:rFonts w:cs="Arial"/>
                      <w:b/>
                      <w:bCs/>
                      <w:color w:val="000000"/>
                      <w:sz w:val="22"/>
                      <w:szCs w:val="22"/>
                    </w:rPr>
                    <w:t>compter</w:t>
                  </w:r>
                  <w:r w:rsidRPr="00316277">
                    <w:rPr>
                      <w:rFonts w:cs="Arial"/>
                      <w:color w:val="000000"/>
                      <w:sz w:val="22"/>
                      <w:szCs w:val="22"/>
                    </w:rPr>
                    <w:br/>
                  </w:r>
                  <w:r w:rsidRPr="00316277">
                    <w:rPr>
                      <w:rFonts w:cs="Arial"/>
                      <w:b/>
                      <w:bCs/>
                      <w:color w:val="000000"/>
                      <w:sz w:val="22"/>
                      <w:szCs w:val="22"/>
                    </w:rPr>
                    <w:t>du</w:t>
                  </w:r>
                  <w:r w:rsidRPr="00316277">
                    <w:rPr>
                      <w:rFonts w:cs="Arial"/>
                      <w:color w:val="000000"/>
                      <w:sz w:val="22"/>
                      <w:szCs w:val="22"/>
                    </w:rPr>
                    <w:br/>
                  </w:r>
                  <w:r w:rsidRPr="00316277">
                    <w:rPr>
                      <w:rFonts w:cs="Arial"/>
                      <w:b/>
                      <w:bCs/>
                      <w:color w:val="000000"/>
                      <w:sz w:val="22"/>
                      <w:szCs w:val="22"/>
                    </w:rPr>
                    <w:t>2027-04-01</w:t>
                  </w:r>
                  <w:r w:rsidRPr="00316277">
                    <w:rPr>
                      <w:rFonts w:cs="Arial"/>
                      <w:color w:val="000000"/>
                      <w:sz w:val="22"/>
                      <w:szCs w:val="22"/>
                    </w:rPr>
                    <w:br/>
                  </w:r>
                  <w:r w:rsidRPr="00316277">
                    <w:rPr>
                      <w:rFonts w:cs="Arial"/>
                      <w:b/>
                      <w:bCs/>
                      <w:color w:val="000000"/>
                      <w:sz w:val="22"/>
                      <w:szCs w:val="22"/>
                    </w:rPr>
                    <w:t xml:space="preserve">( $ ) </w:t>
                  </w:r>
                </w:p>
              </w:tc>
            </w:tr>
            <w:tr w:rsidR="00EF7962" w:rsidRPr="00B87FC3" w14:paraId="017ADD2C" w14:textId="77777777" w:rsidTr="00940BD8">
              <w:trPr>
                <w:cantSplit/>
                <w:jc w:val="center"/>
              </w:trPr>
              <w:tc>
                <w:tcPr>
                  <w:tcW w:w="1276" w:type="dxa"/>
                  <w:shd w:val="clear" w:color="auto" w:fill="FFFFFF"/>
                </w:tcPr>
                <w:p w14:paraId="05414747"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992" w:type="dxa"/>
                  <w:shd w:val="clear" w:color="auto" w:fill="FFFFFF"/>
                </w:tcPr>
                <w:p w14:paraId="34582E1C"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276" w:type="dxa"/>
                  <w:shd w:val="clear" w:color="auto" w:fill="FFFFFF"/>
                </w:tcPr>
                <w:p w14:paraId="35EDAE4E"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276" w:type="dxa"/>
                  <w:shd w:val="clear" w:color="auto" w:fill="FFFFFF"/>
                </w:tcPr>
                <w:p w14:paraId="7A44C0C5"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276" w:type="dxa"/>
                  <w:shd w:val="clear" w:color="auto" w:fill="FFFFFF"/>
                </w:tcPr>
                <w:p w14:paraId="3AA44EFC"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276" w:type="dxa"/>
                  <w:shd w:val="clear" w:color="auto" w:fill="FFFFFF"/>
                </w:tcPr>
                <w:p w14:paraId="4C76F87B"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276" w:type="dxa"/>
                  <w:shd w:val="clear" w:color="auto" w:fill="FFFFFF"/>
                </w:tcPr>
                <w:p w14:paraId="0B2765D9" w14:textId="77777777" w:rsidR="00EF7962" w:rsidRPr="00316277" w:rsidRDefault="00EF7962" w:rsidP="00940BD8">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w:t>
                  </w:r>
                </w:p>
              </w:tc>
            </w:tr>
            <w:tr w:rsidR="00EF7962" w:rsidRPr="00B87FC3" w14:paraId="18FDB89F" w14:textId="77777777" w:rsidTr="00940BD8">
              <w:trPr>
                <w:cantSplit/>
                <w:jc w:val="center"/>
              </w:trPr>
              <w:tc>
                <w:tcPr>
                  <w:tcW w:w="1276" w:type="dxa"/>
                  <w:vMerge w:val="restart"/>
                  <w:shd w:val="clear" w:color="auto" w:fill="FFFFFF"/>
                </w:tcPr>
                <w:p w14:paraId="6183A252"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19 ans et plus</w:t>
                  </w:r>
                </w:p>
              </w:tc>
              <w:tc>
                <w:tcPr>
                  <w:tcW w:w="992" w:type="dxa"/>
                  <w:shd w:val="clear" w:color="auto" w:fill="FFFFFF"/>
                </w:tcPr>
                <w:p w14:paraId="11F70C9E"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w:t>
                  </w:r>
                </w:p>
              </w:tc>
              <w:tc>
                <w:tcPr>
                  <w:tcW w:w="1276" w:type="dxa"/>
                  <w:shd w:val="clear" w:color="auto" w:fill="FFFFFF"/>
                  <w:vAlign w:val="bottom"/>
                </w:tcPr>
                <w:p w14:paraId="4DABCCC2"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115,11</w:t>
                  </w:r>
                </w:p>
              </w:tc>
              <w:tc>
                <w:tcPr>
                  <w:tcW w:w="1276" w:type="dxa"/>
                  <w:shd w:val="clear" w:color="auto" w:fill="FFFFFF"/>
                  <w:vAlign w:val="bottom"/>
                </w:tcPr>
                <w:p w14:paraId="52DB13A1"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118,33</w:t>
                  </w:r>
                </w:p>
              </w:tc>
              <w:tc>
                <w:tcPr>
                  <w:tcW w:w="1276" w:type="dxa"/>
                  <w:shd w:val="clear" w:color="auto" w:fill="FFFFFF"/>
                  <w:vAlign w:val="bottom"/>
                </w:tcPr>
                <w:p w14:paraId="398CE992"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121,41</w:t>
                  </w:r>
                </w:p>
              </w:tc>
              <w:tc>
                <w:tcPr>
                  <w:tcW w:w="1276" w:type="dxa"/>
                  <w:shd w:val="clear" w:color="auto" w:fill="FFFFFF"/>
                  <w:vAlign w:val="bottom"/>
                </w:tcPr>
                <w:p w14:paraId="6DE956F6"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124,45</w:t>
                  </w:r>
                </w:p>
              </w:tc>
              <w:tc>
                <w:tcPr>
                  <w:tcW w:w="1276" w:type="dxa"/>
                  <w:shd w:val="clear" w:color="auto" w:fill="FFFFFF"/>
                  <w:vAlign w:val="bottom"/>
                </w:tcPr>
                <w:p w14:paraId="2BB9FBCD"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128,81</w:t>
                  </w:r>
                </w:p>
              </w:tc>
            </w:tr>
            <w:tr w:rsidR="00EF7962" w:rsidRPr="00B87FC3" w14:paraId="78018AF8" w14:textId="77777777" w:rsidTr="00940BD8">
              <w:trPr>
                <w:cantSplit/>
                <w:jc w:val="center"/>
              </w:trPr>
              <w:tc>
                <w:tcPr>
                  <w:tcW w:w="1276" w:type="dxa"/>
                  <w:vMerge/>
                  <w:shd w:val="clear" w:color="auto" w:fill="FFFFFF"/>
                </w:tcPr>
                <w:p w14:paraId="58A07ABC"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1F91695F"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2</w:t>
                  </w:r>
                </w:p>
              </w:tc>
              <w:tc>
                <w:tcPr>
                  <w:tcW w:w="1276" w:type="dxa"/>
                  <w:shd w:val="clear" w:color="auto" w:fill="FFFFFF"/>
                  <w:vAlign w:val="bottom"/>
                </w:tcPr>
                <w:p w14:paraId="28842AA5"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117,53</w:t>
                  </w:r>
                </w:p>
              </w:tc>
              <w:tc>
                <w:tcPr>
                  <w:tcW w:w="1276" w:type="dxa"/>
                  <w:shd w:val="clear" w:color="auto" w:fill="FFFFFF"/>
                  <w:vAlign w:val="bottom"/>
                </w:tcPr>
                <w:p w14:paraId="7164BA3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120,82</w:t>
                  </w:r>
                </w:p>
              </w:tc>
              <w:tc>
                <w:tcPr>
                  <w:tcW w:w="1276" w:type="dxa"/>
                  <w:shd w:val="clear" w:color="auto" w:fill="FFFFFF"/>
                  <w:vAlign w:val="bottom"/>
                </w:tcPr>
                <w:p w14:paraId="40485AE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123,96</w:t>
                  </w:r>
                </w:p>
              </w:tc>
              <w:tc>
                <w:tcPr>
                  <w:tcW w:w="1276" w:type="dxa"/>
                  <w:shd w:val="clear" w:color="auto" w:fill="FFFFFF"/>
                  <w:vAlign w:val="bottom"/>
                </w:tcPr>
                <w:p w14:paraId="32D4D74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127,06</w:t>
                  </w:r>
                </w:p>
              </w:tc>
              <w:tc>
                <w:tcPr>
                  <w:tcW w:w="1276" w:type="dxa"/>
                  <w:shd w:val="clear" w:color="auto" w:fill="FFFFFF"/>
                  <w:vAlign w:val="bottom"/>
                </w:tcPr>
                <w:p w14:paraId="2A541DA2"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131,51</w:t>
                  </w:r>
                </w:p>
              </w:tc>
            </w:tr>
            <w:tr w:rsidR="00EF7962" w:rsidRPr="00B87FC3" w14:paraId="7F6B0E89" w14:textId="77777777" w:rsidTr="00940BD8">
              <w:trPr>
                <w:cantSplit/>
                <w:jc w:val="center"/>
              </w:trPr>
              <w:tc>
                <w:tcPr>
                  <w:tcW w:w="1276" w:type="dxa"/>
                  <w:vMerge/>
                  <w:shd w:val="clear" w:color="auto" w:fill="FFFFFF"/>
                </w:tcPr>
                <w:p w14:paraId="6E3D31FE"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3CB3DEAD"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3</w:t>
                  </w:r>
                </w:p>
              </w:tc>
              <w:tc>
                <w:tcPr>
                  <w:tcW w:w="1276" w:type="dxa"/>
                  <w:shd w:val="clear" w:color="auto" w:fill="FFFFFF"/>
                  <w:vAlign w:val="bottom"/>
                </w:tcPr>
                <w:p w14:paraId="5B7260FF"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120,01</w:t>
                  </w:r>
                </w:p>
              </w:tc>
              <w:tc>
                <w:tcPr>
                  <w:tcW w:w="1276" w:type="dxa"/>
                  <w:shd w:val="clear" w:color="auto" w:fill="FFFFFF"/>
                  <w:vAlign w:val="bottom"/>
                </w:tcPr>
                <w:p w14:paraId="4E0001C9"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123,37</w:t>
                  </w:r>
                </w:p>
              </w:tc>
              <w:tc>
                <w:tcPr>
                  <w:tcW w:w="1276" w:type="dxa"/>
                  <w:shd w:val="clear" w:color="auto" w:fill="FFFFFF"/>
                  <w:vAlign w:val="bottom"/>
                </w:tcPr>
                <w:p w14:paraId="71514C1D"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126,58</w:t>
                  </w:r>
                </w:p>
              </w:tc>
              <w:tc>
                <w:tcPr>
                  <w:tcW w:w="1276" w:type="dxa"/>
                  <w:shd w:val="clear" w:color="auto" w:fill="FFFFFF"/>
                  <w:vAlign w:val="bottom"/>
                </w:tcPr>
                <w:p w14:paraId="56E1FB68"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129,74</w:t>
                  </w:r>
                </w:p>
              </w:tc>
              <w:tc>
                <w:tcPr>
                  <w:tcW w:w="1276" w:type="dxa"/>
                  <w:shd w:val="clear" w:color="auto" w:fill="FFFFFF"/>
                  <w:vAlign w:val="bottom"/>
                </w:tcPr>
                <w:p w14:paraId="36769CD3"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134,28</w:t>
                  </w:r>
                </w:p>
              </w:tc>
            </w:tr>
            <w:tr w:rsidR="00EF7962" w:rsidRPr="00B87FC3" w14:paraId="01C9A4EF" w14:textId="77777777" w:rsidTr="00940BD8">
              <w:trPr>
                <w:cantSplit/>
                <w:jc w:val="center"/>
              </w:trPr>
              <w:tc>
                <w:tcPr>
                  <w:tcW w:w="1276" w:type="dxa"/>
                  <w:vMerge/>
                  <w:shd w:val="clear" w:color="auto" w:fill="FFFFFF"/>
                </w:tcPr>
                <w:p w14:paraId="49198D56"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745007E9"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4</w:t>
                  </w:r>
                </w:p>
              </w:tc>
              <w:tc>
                <w:tcPr>
                  <w:tcW w:w="1276" w:type="dxa"/>
                  <w:shd w:val="clear" w:color="auto" w:fill="FFFFFF"/>
                  <w:vAlign w:val="bottom"/>
                </w:tcPr>
                <w:p w14:paraId="3D4C7686"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122,55</w:t>
                  </w:r>
                </w:p>
              </w:tc>
              <w:tc>
                <w:tcPr>
                  <w:tcW w:w="1276" w:type="dxa"/>
                  <w:shd w:val="clear" w:color="auto" w:fill="FFFFFF"/>
                  <w:vAlign w:val="bottom"/>
                </w:tcPr>
                <w:p w14:paraId="396BB657"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125,98</w:t>
                  </w:r>
                </w:p>
              </w:tc>
              <w:tc>
                <w:tcPr>
                  <w:tcW w:w="1276" w:type="dxa"/>
                  <w:shd w:val="clear" w:color="auto" w:fill="FFFFFF"/>
                  <w:vAlign w:val="bottom"/>
                </w:tcPr>
                <w:p w14:paraId="743F024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129,26</w:t>
                  </w:r>
                </w:p>
              </w:tc>
              <w:tc>
                <w:tcPr>
                  <w:tcW w:w="1276" w:type="dxa"/>
                  <w:shd w:val="clear" w:color="auto" w:fill="FFFFFF"/>
                  <w:vAlign w:val="bottom"/>
                </w:tcPr>
                <w:p w14:paraId="3046E2AA"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132,49</w:t>
                  </w:r>
                </w:p>
              </w:tc>
              <w:tc>
                <w:tcPr>
                  <w:tcW w:w="1276" w:type="dxa"/>
                  <w:shd w:val="clear" w:color="auto" w:fill="FFFFFF"/>
                  <w:vAlign w:val="bottom"/>
                </w:tcPr>
                <w:p w14:paraId="2A726641"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137,13</w:t>
                  </w:r>
                </w:p>
              </w:tc>
            </w:tr>
            <w:tr w:rsidR="00EF7962" w:rsidRPr="00B87FC3" w14:paraId="6AE1A611" w14:textId="77777777" w:rsidTr="00940BD8">
              <w:trPr>
                <w:cantSplit/>
                <w:jc w:val="center"/>
              </w:trPr>
              <w:tc>
                <w:tcPr>
                  <w:tcW w:w="1276" w:type="dxa"/>
                  <w:vMerge/>
                  <w:shd w:val="clear" w:color="auto" w:fill="FFFFFF"/>
                </w:tcPr>
                <w:p w14:paraId="2FC905B8"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4DED33B8"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5</w:t>
                  </w:r>
                </w:p>
              </w:tc>
              <w:tc>
                <w:tcPr>
                  <w:tcW w:w="1276" w:type="dxa"/>
                  <w:shd w:val="clear" w:color="auto" w:fill="FFFFFF"/>
                  <w:vAlign w:val="bottom"/>
                </w:tcPr>
                <w:p w14:paraId="1FE5FC7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125,13</w:t>
                  </w:r>
                </w:p>
              </w:tc>
              <w:tc>
                <w:tcPr>
                  <w:tcW w:w="1276" w:type="dxa"/>
                  <w:shd w:val="clear" w:color="auto" w:fill="FFFFFF"/>
                  <w:vAlign w:val="bottom"/>
                </w:tcPr>
                <w:p w14:paraId="5512A31D"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128,63</w:t>
                  </w:r>
                </w:p>
              </w:tc>
              <w:tc>
                <w:tcPr>
                  <w:tcW w:w="1276" w:type="dxa"/>
                  <w:shd w:val="clear" w:color="auto" w:fill="FFFFFF"/>
                  <w:vAlign w:val="bottom"/>
                </w:tcPr>
                <w:p w14:paraId="4708797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131,97</w:t>
                  </w:r>
                </w:p>
              </w:tc>
              <w:tc>
                <w:tcPr>
                  <w:tcW w:w="1276" w:type="dxa"/>
                  <w:shd w:val="clear" w:color="auto" w:fill="FFFFFF"/>
                  <w:vAlign w:val="bottom"/>
                </w:tcPr>
                <w:p w14:paraId="2B295DBE"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135,27</w:t>
                  </w:r>
                </w:p>
              </w:tc>
              <w:tc>
                <w:tcPr>
                  <w:tcW w:w="1276" w:type="dxa"/>
                  <w:shd w:val="clear" w:color="auto" w:fill="FFFFFF"/>
                  <w:vAlign w:val="bottom"/>
                </w:tcPr>
                <w:p w14:paraId="6CFE17BD"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140,00</w:t>
                  </w:r>
                </w:p>
              </w:tc>
            </w:tr>
            <w:tr w:rsidR="00EF7962" w:rsidRPr="00B87FC3" w14:paraId="74E689D3" w14:textId="77777777" w:rsidTr="00940BD8">
              <w:trPr>
                <w:cantSplit/>
                <w:jc w:val="center"/>
              </w:trPr>
              <w:tc>
                <w:tcPr>
                  <w:tcW w:w="1276" w:type="dxa"/>
                  <w:vMerge/>
                  <w:shd w:val="clear" w:color="auto" w:fill="FFFFFF"/>
                </w:tcPr>
                <w:p w14:paraId="6DACD67B"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1AAD13B6"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6</w:t>
                  </w:r>
                </w:p>
              </w:tc>
              <w:tc>
                <w:tcPr>
                  <w:tcW w:w="1276" w:type="dxa"/>
                  <w:shd w:val="clear" w:color="auto" w:fill="FFFFFF"/>
                  <w:vAlign w:val="bottom"/>
                </w:tcPr>
                <w:p w14:paraId="7CD9FDA9"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127,76</w:t>
                  </w:r>
                </w:p>
              </w:tc>
              <w:tc>
                <w:tcPr>
                  <w:tcW w:w="1276" w:type="dxa"/>
                  <w:shd w:val="clear" w:color="auto" w:fill="FFFFFF"/>
                  <w:vAlign w:val="bottom"/>
                </w:tcPr>
                <w:p w14:paraId="51E546B6"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131,34</w:t>
                  </w:r>
                </w:p>
              </w:tc>
              <w:tc>
                <w:tcPr>
                  <w:tcW w:w="1276" w:type="dxa"/>
                  <w:shd w:val="clear" w:color="auto" w:fill="FFFFFF"/>
                  <w:vAlign w:val="bottom"/>
                </w:tcPr>
                <w:p w14:paraId="63D699F1"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134,75</w:t>
                  </w:r>
                </w:p>
              </w:tc>
              <w:tc>
                <w:tcPr>
                  <w:tcW w:w="1276" w:type="dxa"/>
                  <w:shd w:val="clear" w:color="auto" w:fill="FFFFFF"/>
                  <w:vAlign w:val="bottom"/>
                </w:tcPr>
                <w:p w14:paraId="3ADCACF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138,12</w:t>
                  </w:r>
                </w:p>
              </w:tc>
              <w:tc>
                <w:tcPr>
                  <w:tcW w:w="1276" w:type="dxa"/>
                  <w:shd w:val="clear" w:color="auto" w:fill="FFFFFF"/>
                  <w:vAlign w:val="bottom"/>
                </w:tcPr>
                <w:p w14:paraId="3EE511BE"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142,95</w:t>
                  </w:r>
                </w:p>
              </w:tc>
            </w:tr>
          </w:tbl>
          <w:p w14:paraId="4B4261C2" w14:textId="77777777" w:rsidR="00EF7962" w:rsidRPr="00316277" w:rsidRDefault="00EF7962" w:rsidP="00940BD8">
            <w:pPr>
              <w:keepLines/>
              <w:widowControl w:val="0"/>
              <w:autoSpaceDE w:val="0"/>
              <w:autoSpaceDN w:val="0"/>
              <w:adjustRightInd w:val="0"/>
              <w:rPr>
                <w:rFonts w:cs="Arial"/>
                <w:color w:val="000000"/>
                <w:sz w:val="17"/>
                <w:szCs w:val="17"/>
              </w:rPr>
            </w:pPr>
          </w:p>
        </w:tc>
      </w:tr>
      <w:tr w:rsidR="00EF7962" w:rsidRPr="00B87FC3" w14:paraId="2DABED5A" w14:textId="77777777" w:rsidTr="00EF7962">
        <w:trPr>
          <w:cantSplit/>
        </w:trPr>
        <w:tc>
          <w:tcPr>
            <w:tcW w:w="9923" w:type="dxa"/>
            <w:tcBorders>
              <w:top w:val="single" w:sz="4" w:space="0" w:color="auto"/>
              <w:bottom w:val="single" w:sz="4" w:space="0" w:color="auto"/>
            </w:tcBorders>
            <w:shd w:val="clear" w:color="auto" w:fill="FFFFFF"/>
          </w:tcPr>
          <w:tbl>
            <w:tblPr>
              <w:tblW w:w="8648" w:type="dxa"/>
              <w:tblInd w:w="635" w:type="dxa"/>
              <w:tblLayout w:type="fixed"/>
              <w:tblCellMar>
                <w:left w:w="0" w:type="dxa"/>
                <w:right w:w="0" w:type="dxa"/>
              </w:tblCellMar>
              <w:tblLook w:val="0000" w:firstRow="0" w:lastRow="0" w:firstColumn="0" w:lastColumn="0" w:noHBand="0" w:noVBand="0"/>
            </w:tblPr>
            <w:tblGrid>
              <w:gridCol w:w="1276"/>
              <w:gridCol w:w="992"/>
              <w:gridCol w:w="1276"/>
              <w:gridCol w:w="1276"/>
              <w:gridCol w:w="1276"/>
              <w:gridCol w:w="1276"/>
              <w:gridCol w:w="1276"/>
            </w:tblGrid>
            <w:tr w:rsidR="00EF7962" w:rsidRPr="00B87FC3" w14:paraId="495E8D68" w14:textId="77777777" w:rsidTr="00940BD8">
              <w:trPr>
                <w:cantSplit/>
              </w:trPr>
              <w:tc>
                <w:tcPr>
                  <w:tcW w:w="1276" w:type="dxa"/>
                  <w:shd w:val="clear" w:color="auto" w:fill="FFFFFF"/>
                </w:tcPr>
                <w:p w14:paraId="2861EDC2" w14:textId="77777777" w:rsidR="00EF7962" w:rsidRPr="00316277" w:rsidRDefault="00EF7962" w:rsidP="00940BD8">
                  <w:pPr>
                    <w:rPr>
                      <w:rFonts w:cs="Arial"/>
                      <w:sz w:val="22"/>
                      <w:szCs w:val="22"/>
                    </w:rPr>
                  </w:pPr>
                </w:p>
                <w:p w14:paraId="4FEAEB17" w14:textId="77777777" w:rsidR="00EF7962" w:rsidRPr="00B87FC3" w:rsidRDefault="00EF7962" w:rsidP="00940BD8">
                  <w:pPr>
                    <w:jc w:val="center"/>
                    <w:rPr>
                      <w:rFonts w:cs="Arial"/>
                      <w:sz w:val="22"/>
                      <w:szCs w:val="22"/>
                      <w:highlight w:val="lightGray"/>
                    </w:rPr>
                  </w:pPr>
                  <w:r w:rsidRPr="00316277">
                    <w:rPr>
                      <w:rFonts w:cs="Arial"/>
                      <w:color w:val="000000"/>
                      <w:sz w:val="22"/>
                      <w:szCs w:val="22"/>
                    </w:rPr>
                    <w:t>17 et 18 ans</w:t>
                  </w:r>
                </w:p>
              </w:tc>
              <w:tc>
                <w:tcPr>
                  <w:tcW w:w="992" w:type="dxa"/>
                  <w:shd w:val="clear" w:color="auto" w:fill="FFFFFF"/>
                </w:tcPr>
                <w:p w14:paraId="0249B35E" w14:textId="77777777" w:rsidR="00EF7962" w:rsidRPr="00316277" w:rsidRDefault="00EF7962" w:rsidP="00940BD8">
                  <w:pPr>
                    <w:keepLines/>
                    <w:widowControl w:val="0"/>
                    <w:autoSpaceDE w:val="0"/>
                    <w:autoSpaceDN w:val="0"/>
                    <w:adjustRightInd w:val="0"/>
                    <w:ind w:left="57" w:right="57"/>
                    <w:jc w:val="center"/>
                    <w:rPr>
                      <w:rFonts w:cs="Arial"/>
                      <w:color w:val="000000"/>
                      <w:sz w:val="22"/>
                      <w:szCs w:val="22"/>
                    </w:rPr>
                  </w:pPr>
                </w:p>
                <w:p w14:paraId="6072C0BD" w14:textId="77777777" w:rsidR="00EF7962" w:rsidRPr="00B87FC3" w:rsidRDefault="00EF7962" w:rsidP="00940BD8">
                  <w:pPr>
                    <w:jc w:val="center"/>
                    <w:rPr>
                      <w:rFonts w:cs="Arial"/>
                      <w:sz w:val="22"/>
                      <w:szCs w:val="22"/>
                      <w:highlight w:val="lightGray"/>
                    </w:rPr>
                  </w:pPr>
                  <w:r w:rsidRPr="00316277">
                    <w:rPr>
                      <w:rFonts w:cs="Arial"/>
                      <w:color w:val="000000"/>
                      <w:sz w:val="22"/>
                      <w:szCs w:val="22"/>
                    </w:rPr>
                    <w:t>1</w:t>
                  </w:r>
                </w:p>
              </w:tc>
              <w:tc>
                <w:tcPr>
                  <w:tcW w:w="1276" w:type="dxa"/>
                  <w:shd w:val="clear" w:color="auto" w:fill="FFFFFF"/>
                  <w:vAlign w:val="bottom"/>
                </w:tcPr>
                <w:p w14:paraId="2D58F738"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100,94</w:t>
                  </w:r>
                </w:p>
              </w:tc>
              <w:tc>
                <w:tcPr>
                  <w:tcW w:w="1276" w:type="dxa"/>
                  <w:shd w:val="clear" w:color="auto" w:fill="FFFFFF"/>
                  <w:vAlign w:val="bottom"/>
                </w:tcPr>
                <w:p w14:paraId="4910E0AE"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106,64</w:t>
                  </w:r>
                </w:p>
              </w:tc>
              <w:tc>
                <w:tcPr>
                  <w:tcW w:w="1276" w:type="dxa"/>
                  <w:shd w:val="clear" w:color="auto" w:fill="FFFFFF"/>
                  <w:vAlign w:val="bottom"/>
                </w:tcPr>
                <w:p w14:paraId="27885C0A"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109,41</w:t>
                  </w:r>
                </w:p>
              </w:tc>
              <w:tc>
                <w:tcPr>
                  <w:tcW w:w="1276" w:type="dxa"/>
                  <w:shd w:val="clear" w:color="auto" w:fill="FFFFFF"/>
                  <w:vAlign w:val="bottom"/>
                </w:tcPr>
                <w:p w14:paraId="353FA388"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112,15</w:t>
                  </w:r>
                </w:p>
              </w:tc>
              <w:tc>
                <w:tcPr>
                  <w:tcW w:w="1276" w:type="dxa"/>
                  <w:shd w:val="clear" w:color="auto" w:fill="FFFFFF"/>
                  <w:vAlign w:val="bottom"/>
                </w:tcPr>
                <w:p w14:paraId="65715F36"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116,08</w:t>
                  </w:r>
                </w:p>
              </w:tc>
            </w:tr>
            <w:tr w:rsidR="00EF7962" w:rsidRPr="00B87FC3" w14:paraId="1D38A4C3" w14:textId="77777777" w:rsidTr="00940BD8">
              <w:trPr>
                <w:cantSplit/>
              </w:trPr>
              <w:tc>
                <w:tcPr>
                  <w:tcW w:w="1276" w:type="dxa"/>
                  <w:shd w:val="clear" w:color="auto" w:fill="FFFFFF"/>
                </w:tcPr>
                <w:p w14:paraId="4B63B31C" w14:textId="77777777" w:rsidR="00EF7962" w:rsidRPr="00B87FC3" w:rsidRDefault="00EF7962" w:rsidP="00940BD8">
                  <w:pPr>
                    <w:keepLines/>
                    <w:widowControl w:val="0"/>
                    <w:autoSpaceDE w:val="0"/>
                    <w:autoSpaceDN w:val="0"/>
                    <w:adjustRightInd w:val="0"/>
                    <w:ind w:right="57"/>
                    <w:rPr>
                      <w:rFonts w:cs="Arial"/>
                      <w:color w:val="000000"/>
                      <w:sz w:val="22"/>
                      <w:szCs w:val="22"/>
                      <w:highlight w:val="lightGray"/>
                    </w:rPr>
                  </w:pPr>
                </w:p>
              </w:tc>
              <w:tc>
                <w:tcPr>
                  <w:tcW w:w="992" w:type="dxa"/>
                  <w:shd w:val="clear" w:color="auto" w:fill="FFFFFF"/>
                </w:tcPr>
                <w:p w14:paraId="4ADB1B54"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2</w:t>
                  </w:r>
                </w:p>
              </w:tc>
              <w:tc>
                <w:tcPr>
                  <w:tcW w:w="1276" w:type="dxa"/>
                  <w:shd w:val="clear" w:color="auto" w:fill="FFFFFF"/>
                  <w:vAlign w:val="bottom"/>
                </w:tcPr>
                <w:p w14:paraId="52B43D68"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103,57</w:t>
                  </w:r>
                </w:p>
              </w:tc>
              <w:tc>
                <w:tcPr>
                  <w:tcW w:w="1276" w:type="dxa"/>
                  <w:shd w:val="clear" w:color="auto" w:fill="FFFFFF"/>
                  <w:vAlign w:val="bottom"/>
                </w:tcPr>
                <w:p w14:paraId="67A49B17"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109,42</w:t>
                  </w:r>
                </w:p>
              </w:tc>
              <w:tc>
                <w:tcPr>
                  <w:tcW w:w="1276" w:type="dxa"/>
                  <w:shd w:val="clear" w:color="auto" w:fill="FFFFFF"/>
                  <w:vAlign w:val="bottom"/>
                </w:tcPr>
                <w:p w14:paraId="30DEB92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112,26</w:t>
                  </w:r>
                </w:p>
              </w:tc>
              <w:tc>
                <w:tcPr>
                  <w:tcW w:w="1276" w:type="dxa"/>
                  <w:shd w:val="clear" w:color="auto" w:fill="FFFFFF"/>
                  <w:vAlign w:val="bottom"/>
                </w:tcPr>
                <w:p w14:paraId="6B726B1A"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115,07</w:t>
                  </w:r>
                </w:p>
              </w:tc>
              <w:tc>
                <w:tcPr>
                  <w:tcW w:w="1276" w:type="dxa"/>
                  <w:shd w:val="clear" w:color="auto" w:fill="FFFFFF"/>
                  <w:vAlign w:val="bottom"/>
                </w:tcPr>
                <w:p w14:paraId="1F83C566"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119,10</w:t>
                  </w:r>
                </w:p>
              </w:tc>
            </w:tr>
            <w:tr w:rsidR="00EF7962" w:rsidRPr="00B87FC3" w14:paraId="32CCCC6F" w14:textId="77777777" w:rsidTr="00940BD8">
              <w:trPr>
                <w:cantSplit/>
              </w:trPr>
              <w:tc>
                <w:tcPr>
                  <w:tcW w:w="1276" w:type="dxa"/>
                  <w:shd w:val="clear" w:color="auto" w:fill="FFFFFF"/>
                </w:tcPr>
                <w:p w14:paraId="211583FD"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51754EC3"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3</w:t>
                  </w:r>
                </w:p>
              </w:tc>
              <w:tc>
                <w:tcPr>
                  <w:tcW w:w="1276" w:type="dxa"/>
                  <w:shd w:val="clear" w:color="auto" w:fill="FFFFFF"/>
                  <w:vAlign w:val="bottom"/>
                </w:tcPr>
                <w:p w14:paraId="1C5B5E1E"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106,28</w:t>
                  </w:r>
                </w:p>
              </w:tc>
              <w:tc>
                <w:tcPr>
                  <w:tcW w:w="1276" w:type="dxa"/>
                  <w:shd w:val="clear" w:color="auto" w:fill="FFFFFF"/>
                  <w:vAlign w:val="bottom"/>
                </w:tcPr>
                <w:p w14:paraId="78365F1D"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112,28</w:t>
                  </w:r>
                </w:p>
              </w:tc>
              <w:tc>
                <w:tcPr>
                  <w:tcW w:w="1276" w:type="dxa"/>
                  <w:shd w:val="clear" w:color="auto" w:fill="FFFFFF"/>
                  <w:vAlign w:val="bottom"/>
                </w:tcPr>
                <w:p w14:paraId="58EBE0E8" w14:textId="1C59CC53"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115,2</w:t>
                  </w:r>
                  <w:r w:rsidR="009C2F6E">
                    <w:rPr>
                      <w:rFonts w:cs="Arial"/>
                      <w:color w:val="000000"/>
                      <w:sz w:val="22"/>
                      <w:szCs w:val="22"/>
                    </w:rPr>
                    <w:t>0</w:t>
                  </w:r>
                </w:p>
              </w:tc>
              <w:tc>
                <w:tcPr>
                  <w:tcW w:w="1276" w:type="dxa"/>
                  <w:shd w:val="clear" w:color="auto" w:fill="FFFFFF"/>
                  <w:vAlign w:val="bottom"/>
                </w:tcPr>
                <w:p w14:paraId="6C200A68"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118,08</w:t>
                  </w:r>
                </w:p>
              </w:tc>
              <w:tc>
                <w:tcPr>
                  <w:tcW w:w="1276" w:type="dxa"/>
                  <w:shd w:val="clear" w:color="auto" w:fill="FFFFFF"/>
                  <w:vAlign w:val="bottom"/>
                </w:tcPr>
                <w:p w14:paraId="243C27BA"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122,21</w:t>
                  </w:r>
                </w:p>
              </w:tc>
            </w:tr>
            <w:tr w:rsidR="00EF7962" w:rsidRPr="00B87FC3" w14:paraId="35670610" w14:textId="77777777" w:rsidTr="00940BD8">
              <w:trPr>
                <w:cantSplit/>
              </w:trPr>
              <w:tc>
                <w:tcPr>
                  <w:tcW w:w="1276" w:type="dxa"/>
                  <w:shd w:val="clear" w:color="auto" w:fill="FFFFFF"/>
                </w:tcPr>
                <w:p w14:paraId="75CB8B33"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1CA80B4E"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4</w:t>
                  </w:r>
                </w:p>
              </w:tc>
              <w:tc>
                <w:tcPr>
                  <w:tcW w:w="1276" w:type="dxa"/>
                  <w:shd w:val="clear" w:color="auto" w:fill="FFFFFF"/>
                  <w:vAlign w:val="bottom"/>
                </w:tcPr>
                <w:p w14:paraId="75C678D6"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109,05</w:t>
                  </w:r>
                </w:p>
              </w:tc>
              <w:tc>
                <w:tcPr>
                  <w:tcW w:w="1276" w:type="dxa"/>
                  <w:shd w:val="clear" w:color="auto" w:fill="FFFFFF"/>
                  <w:vAlign w:val="bottom"/>
                </w:tcPr>
                <w:p w14:paraId="5A16B136"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115,21</w:t>
                  </w:r>
                </w:p>
              </w:tc>
              <w:tc>
                <w:tcPr>
                  <w:tcW w:w="1276" w:type="dxa"/>
                  <w:shd w:val="clear" w:color="auto" w:fill="FFFFFF"/>
                  <w:vAlign w:val="bottom"/>
                </w:tcPr>
                <w:p w14:paraId="33994E0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118,21</w:t>
                  </w:r>
                </w:p>
              </w:tc>
              <w:tc>
                <w:tcPr>
                  <w:tcW w:w="1276" w:type="dxa"/>
                  <w:shd w:val="clear" w:color="auto" w:fill="FFFFFF"/>
                  <w:vAlign w:val="bottom"/>
                </w:tcPr>
                <w:p w14:paraId="1B53C547"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121,17</w:t>
                  </w:r>
                </w:p>
              </w:tc>
              <w:tc>
                <w:tcPr>
                  <w:tcW w:w="1276" w:type="dxa"/>
                  <w:shd w:val="clear" w:color="auto" w:fill="FFFFFF"/>
                  <w:vAlign w:val="bottom"/>
                </w:tcPr>
                <w:p w14:paraId="77C400FE"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125,41</w:t>
                  </w:r>
                </w:p>
              </w:tc>
            </w:tr>
            <w:tr w:rsidR="00EF7962" w:rsidRPr="00B87FC3" w14:paraId="3FBC4B41" w14:textId="77777777" w:rsidTr="00940BD8">
              <w:trPr>
                <w:cantSplit/>
              </w:trPr>
              <w:tc>
                <w:tcPr>
                  <w:tcW w:w="1276" w:type="dxa"/>
                  <w:shd w:val="clear" w:color="auto" w:fill="FFFFFF"/>
                </w:tcPr>
                <w:p w14:paraId="4C605BF8"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27B50FDD"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5</w:t>
                  </w:r>
                </w:p>
              </w:tc>
              <w:tc>
                <w:tcPr>
                  <w:tcW w:w="1276" w:type="dxa"/>
                  <w:shd w:val="clear" w:color="auto" w:fill="FFFFFF"/>
                  <w:vAlign w:val="bottom"/>
                </w:tcPr>
                <w:p w14:paraId="682E51C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111,89</w:t>
                  </w:r>
                </w:p>
              </w:tc>
              <w:tc>
                <w:tcPr>
                  <w:tcW w:w="1276" w:type="dxa"/>
                  <w:shd w:val="clear" w:color="auto" w:fill="FFFFFF"/>
                  <w:vAlign w:val="bottom"/>
                </w:tcPr>
                <w:p w14:paraId="5404E802"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118,21</w:t>
                  </w:r>
                </w:p>
              </w:tc>
              <w:tc>
                <w:tcPr>
                  <w:tcW w:w="1276" w:type="dxa"/>
                  <w:shd w:val="clear" w:color="auto" w:fill="FFFFFF"/>
                  <w:vAlign w:val="bottom"/>
                </w:tcPr>
                <w:p w14:paraId="5B4579F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121,28</w:t>
                  </w:r>
                </w:p>
              </w:tc>
              <w:tc>
                <w:tcPr>
                  <w:tcW w:w="1276" w:type="dxa"/>
                  <w:shd w:val="clear" w:color="auto" w:fill="FFFFFF"/>
                  <w:vAlign w:val="bottom"/>
                </w:tcPr>
                <w:p w14:paraId="13646EB1"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124,31</w:t>
                  </w:r>
                </w:p>
              </w:tc>
              <w:tc>
                <w:tcPr>
                  <w:tcW w:w="1276" w:type="dxa"/>
                  <w:shd w:val="clear" w:color="auto" w:fill="FFFFFF"/>
                  <w:vAlign w:val="bottom"/>
                </w:tcPr>
                <w:p w14:paraId="0EF7491B"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128,66</w:t>
                  </w:r>
                </w:p>
              </w:tc>
            </w:tr>
            <w:tr w:rsidR="00EF7962" w:rsidRPr="00B87FC3" w14:paraId="4B2FC988" w14:textId="77777777" w:rsidTr="00940BD8">
              <w:trPr>
                <w:cantSplit/>
              </w:trPr>
              <w:tc>
                <w:tcPr>
                  <w:tcW w:w="1276" w:type="dxa"/>
                  <w:shd w:val="clear" w:color="auto" w:fill="FFFFFF"/>
                </w:tcPr>
                <w:p w14:paraId="359FCA2A"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4E1B8705"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6</w:t>
                  </w:r>
                </w:p>
              </w:tc>
              <w:tc>
                <w:tcPr>
                  <w:tcW w:w="1276" w:type="dxa"/>
                  <w:shd w:val="clear" w:color="auto" w:fill="FFFFFF"/>
                  <w:vAlign w:val="bottom"/>
                </w:tcPr>
                <w:p w14:paraId="1117BBE3"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114,82</w:t>
                  </w:r>
                </w:p>
              </w:tc>
              <w:tc>
                <w:tcPr>
                  <w:tcW w:w="1276" w:type="dxa"/>
                  <w:shd w:val="clear" w:color="auto" w:fill="FFFFFF"/>
                  <w:vAlign w:val="bottom"/>
                </w:tcPr>
                <w:p w14:paraId="568FAA9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121,31</w:t>
                  </w:r>
                </w:p>
              </w:tc>
              <w:tc>
                <w:tcPr>
                  <w:tcW w:w="1276" w:type="dxa"/>
                  <w:shd w:val="clear" w:color="auto" w:fill="FFFFFF"/>
                  <w:vAlign w:val="bottom"/>
                </w:tcPr>
                <w:p w14:paraId="609116E2"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124,46</w:t>
                  </w:r>
                </w:p>
              </w:tc>
              <w:tc>
                <w:tcPr>
                  <w:tcW w:w="1276" w:type="dxa"/>
                  <w:shd w:val="clear" w:color="auto" w:fill="FFFFFF"/>
                  <w:vAlign w:val="bottom"/>
                </w:tcPr>
                <w:p w14:paraId="3927D1BD"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127,57</w:t>
                  </w:r>
                </w:p>
              </w:tc>
              <w:tc>
                <w:tcPr>
                  <w:tcW w:w="1276" w:type="dxa"/>
                  <w:shd w:val="clear" w:color="auto" w:fill="FFFFFF"/>
                  <w:vAlign w:val="bottom"/>
                </w:tcPr>
                <w:p w14:paraId="47A6203E"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132,03</w:t>
                  </w:r>
                </w:p>
              </w:tc>
            </w:tr>
          </w:tbl>
          <w:p w14:paraId="03534C8A" w14:textId="77777777" w:rsidR="00EF7962" w:rsidRPr="00316277" w:rsidRDefault="00EF7962" w:rsidP="00940BD8">
            <w:pPr>
              <w:keepLines/>
              <w:widowControl w:val="0"/>
              <w:autoSpaceDE w:val="0"/>
              <w:autoSpaceDN w:val="0"/>
              <w:adjustRightInd w:val="0"/>
              <w:rPr>
                <w:rFonts w:cs="Arial"/>
                <w:color w:val="000000"/>
                <w:sz w:val="22"/>
                <w:szCs w:val="22"/>
              </w:rPr>
            </w:pPr>
          </w:p>
        </w:tc>
      </w:tr>
      <w:tr w:rsidR="00EF7962" w:rsidRPr="007660E1" w14:paraId="4A3F3849" w14:textId="77777777" w:rsidTr="00EF7962">
        <w:trPr>
          <w:cantSplit/>
        </w:trPr>
        <w:tc>
          <w:tcPr>
            <w:tcW w:w="9923" w:type="dxa"/>
            <w:tcBorders>
              <w:top w:val="single" w:sz="4" w:space="0" w:color="auto"/>
              <w:bottom w:val="single" w:sz="4" w:space="0" w:color="auto"/>
            </w:tcBorders>
            <w:shd w:val="clear" w:color="auto" w:fill="FFFFFF"/>
          </w:tcPr>
          <w:tbl>
            <w:tblPr>
              <w:tblW w:w="8607" w:type="dxa"/>
              <w:tblInd w:w="630" w:type="dxa"/>
              <w:tblLayout w:type="fixed"/>
              <w:tblCellMar>
                <w:left w:w="0" w:type="dxa"/>
                <w:right w:w="0" w:type="dxa"/>
              </w:tblCellMar>
              <w:tblLook w:val="0000" w:firstRow="0" w:lastRow="0" w:firstColumn="0" w:lastColumn="0" w:noHBand="0" w:noVBand="0"/>
            </w:tblPr>
            <w:tblGrid>
              <w:gridCol w:w="1235"/>
              <w:gridCol w:w="992"/>
              <w:gridCol w:w="1276"/>
              <w:gridCol w:w="1276"/>
              <w:gridCol w:w="1276"/>
              <w:gridCol w:w="1276"/>
              <w:gridCol w:w="1276"/>
            </w:tblGrid>
            <w:tr w:rsidR="00EF7962" w:rsidRPr="00B87FC3" w14:paraId="5E628C91" w14:textId="77777777" w:rsidTr="00940BD8">
              <w:trPr>
                <w:gridAfter w:val="4"/>
                <w:wAfter w:w="5104" w:type="dxa"/>
                <w:cantSplit/>
              </w:trPr>
              <w:tc>
                <w:tcPr>
                  <w:tcW w:w="1235" w:type="dxa"/>
                  <w:shd w:val="clear" w:color="auto" w:fill="FFFFFF"/>
                  <w:vAlign w:val="center"/>
                </w:tcPr>
                <w:p w14:paraId="37BD5769" w14:textId="77777777" w:rsidR="00EF7962" w:rsidRPr="00B87FC3" w:rsidRDefault="00EF7962" w:rsidP="00940BD8">
                  <w:pPr>
                    <w:keepLines/>
                    <w:widowControl w:val="0"/>
                    <w:autoSpaceDE w:val="0"/>
                    <w:autoSpaceDN w:val="0"/>
                    <w:adjustRightInd w:val="0"/>
                    <w:ind w:left="57" w:right="57"/>
                    <w:jc w:val="center"/>
                    <w:rPr>
                      <w:rFonts w:cs="Arial"/>
                      <w:b/>
                      <w:bCs/>
                      <w:color w:val="000000"/>
                      <w:sz w:val="22"/>
                      <w:szCs w:val="22"/>
                      <w:highlight w:val="lightGray"/>
                    </w:rPr>
                  </w:pPr>
                </w:p>
              </w:tc>
              <w:tc>
                <w:tcPr>
                  <w:tcW w:w="992" w:type="dxa"/>
                  <w:shd w:val="clear" w:color="auto" w:fill="FFFFFF"/>
                  <w:vAlign w:val="center"/>
                </w:tcPr>
                <w:p w14:paraId="75CF2D16" w14:textId="77777777" w:rsidR="00EF7962" w:rsidRPr="00B87FC3" w:rsidRDefault="00EF7962" w:rsidP="00940BD8">
                  <w:pPr>
                    <w:keepLines/>
                    <w:widowControl w:val="0"/>
                    <w:autoSpaceDE w:val="0"/>
                    <w:autoSpaceDN w:val="0"/>
                    <w:adjustRightInd w:val="0"/>
                    <w:ind w:left="57" w:right="57"/>
                    <w:rPr>
                      <w:rFonts w:cs="Arial"/>
                      <w:color w:val="000000"/>
                      <w:sz w:val="22"/>
                      <w:szCs w:val="22"/>
                      <w:highlight w:val="lightGray"/>
                    </w:rPr>
                  </w:pPr>
                </w:p>
              </w:tc>
              <w:tc>
                <w:tcPr>
                  <w:tcW w:w="1276" w:type="dxa"/>
                  <w:shd w:val="clear" w:color="auto" w:fill="FFFFFF"/>
                  <w:vAlign w:val="center"/>
                </w:tcPr>
                <w:p w14:paraId="28018BF2" w14:textId="77777777" w:rsidR="00EF7962" w:rsidRPr="00316277" w:rsidRDefault="00EF7962" w:rsidP="00940BD8">
                  <w:pPr>
                    <w:keepLines/>
                    <w:widowControl w:val="0"/>
                    <w:autoSpaceDE w:val="0"/>
                    <w:autoSpaceDN w:val="0"/>
                    <w:adjustRightInd w:val="0"/>
                    <w:ind w:left="57" w:right="57"/>
                    <w:rPr>
                      <w:rFonts w:cs="Arial"/>
                      <w:color w:val="000000"/>
                      <w:sz w:val="22"/>
                      <w:szCs w:val="22"/>
                    </w:rPr>
                  </w:pPr>
                </w:p>
              </w:tc>
            </w:tr>
            <w:tr w:rsidR="00EF7962" w:rsidRPr="00B87FC3" w14:paraId="4E094D79" w14:textId="77777777" w:rsidTr="00940BD8">
              <w:trPr>
                <w:cantSplit/>
              </w:trPr>
              <w:tc>
                <w:tcPr>
                  <w:tcW w:w="1235" w:type="dxa"/>
                  <w:shd w:val="clear" w:color="auto" w:fill="FFFFFF"/>
                </w:tcPr>
                <w:p w14:paraId="05B785B9" w14:textId="77777777" w:rsidR="00EF7962" w:rsidRPr="00B87FC3" w:rsidRDefault="00EF7962" w:rsidP="00940BD8">
                  <w:pPr>
                    <w:keepLines/>
                    <w:widowControl w:val="0"/>
                    <w:autoSpaceDE w:val="0"/>
                    <w:autoSpaceDN w:val="0"/>
                    <w:adjustRightInd w:val="0"/>
                    <w:ind w:left="57" w:right="-370" w:hanging="381"/>
                    <w:jc w:val="center"/>
                    <w:rPr>
                      <w:rFonts w:cs="Arial"/>
                      <w:color w:val="000000"/>
                      <w:sz w:val="22"/>
                      <w:szCs w:val="22"/>
                      <w:highlight w:val="lightGray"/>
                    </w:rPr>
                  </w:pPr>
                  <w:r w:rsidRPr="00316277">
                    <w:rPr>
                      <w:rFonts w:cs="Arial"/>
                      <w:color w:val="000000"/>
                      <w:sz w:val="22"/>
                      <w:szCs w:val="22"/>
                    </w:rPr>
                    <w:t xml:space="preserve">16 ans et </w:t>
                  </w:r>
                </w:p>
              </w:tc>
              <w:tc>
                <w:tcPr>
                  <w:tcW w:w="992" w:type="dxa"/>
                  <w:shd w:val="clear" w:color="auto" w:fill="FFFFFF"/>
                </w:tcPr>
                <w:p w14:paraId="6C91C506"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w:t>
                  </w:r>
                </w:p>
              </w:tc>
              <w:tc>
                <w:tcPr>
                  <w:tcW w:w="1276" w:type="dxa"/>
                  <w:shd w:val="clear" w:color="auto" w:fill="FFFFFF"/>
                  <w:vAlign w:val="bottom"/>
                </w:tcPr>
                <w:p w14:paraId="2F406793"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86,85</w:t>
                  </w:r>
                </w:p>
              </w:tc>
              <w:tc>
                <w:tcPr>
                  <w:tcW w:w="1276" w:type="dxa"/>
                  <w:shd w:val="clear" w:color="auto" w:fill="FFFFFF"/>
                  <w:vAlign w:val="bottom"/>
                </w:tcPr>
                <w:p w14:paraId="54D2378F"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94,11</w:t>
                  </w:r>
                </w:p>
              </w:tc>
              <w:tc>
                <w:tcPr>
                  <w:tcW w:w="1276" w:type="dxa"/>
                  <w:shd w:val="clear" w:color="auto" w:fill="FFFFFF"/>
                  <w:vAlign w:val="bottom"/>
                </w:tcPr>
                <w:p w14:paraId="1FAA5BE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96,56</w:t>
                  </w:r>
                </w:p>
              </w:tc>
              <w:tc>
                <w:tcPr>
                  <w:tcW w:w="1276" w:type="dxa"/>
                  <w:shd w:val="clear" w:color="auto" w:fill="FFFFFF"/>
                  <w:vAlign w:val="bottom"/>
                </w:tcPr>
                <w:p w14:paraId="659405B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98,97</w:t>
                  </w:r>
                </w:p>
              </w:tc>
              <w:tc>
                <w:tcPr>
                  <w:tcW w:w="1276" w:type="dxa"/>
                  <w:shd w:val="clear" w:color="auto" w:fill="FFFFFF"/>
                  <w:vAlign w:val="bottom"/>
                </w:tcPr>
                <w:p w14:paraId="7AACB0D8"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102,43</w:t>
                  </w:r>
                </w:p>
              </w:tc>
            </w:tr>
            <w:tr w:rsidR="00EF7962" w:rsidRPr="00B87FC3" w14:paraId="3D9A18A5" w14:textId="77777777" w:rsidTr="00940BD8">
              <w:trPr>
                <w:cantSplit/>
              </w:trPr>
              <w:tc>
                <w:tcPr>
                  <w:tcW w:w="1235" w:type="dxa"/>
                  <w:shd w:val="clear" w:color="auto" w:fill="FFFFFF"/>
                </w:tcPr>
                <w:p w14:paraId="55EDF04D"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moins</w:t>
                  </w:r>
                </w:p>
              </w:tc>
              <w:tc>
                <w:tcPr>
                  <w:tcW w:w="992" w:type="dxa"/>
                  <w:shd w:val="clear" w:color="auto" w:fill="FFFFFF"/>
                </w:tcPr>
                <w:p w14:paraId="24288F8B"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2</w:t>
                  </w:r>
                </w:p>
              </w:tc>
              <w:tc>
                <w:tcPr>
                  <w:tcW w:w="1276" w:type="dxa"/>
                  <w:shd w:val="clear" w:color="auto" w:fill="FFFFFF"/>
                  <w:vAlign w:val="bottom"/>
                </w:tcPr>
                <w:p w14:paraId="43178B9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89,42</w:t>
                  </w:r>
                </w:p>
              </w:tc>
              <w:tc>
                <w:tcPr>
                  <w:tcW w:w="1276" w:type="dxa"/>
                  <w:shd w:val="clear" w:color="auto" w:fill="FFFFFF"/>
                  <w:vAlign w:val="bottom"/>
                </w:tcPr>
                <w:p w14:paraId="7953976A"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96,90</w:t>
                  </w:r>
                </w:p>
              </w:tc>
              <w:tc>
                <w:tcPr>
                  <w:tcW w:w="1276" w:type="dxa"/>
                  <w:shd w:val="clear" w:color="auto" w:fill="FFFFFF"/>
                  <w:vAlign w:val="bottom"/>
                </w:tcPr>
                <w:p w14:paraId="16E4C31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99,42</w:t>
                  </w:r>
                </w:p>
              </w:tc>
              <w:tc>
                <w:tcPr>
                  <w:tcW w:w="1276" w:type="dxa"/>
                  <w:shd w:val="clear" w:color="auto" w:fill="FFFFFF"/>
                  <w:vAlign w:val="bottom"/>
                </w:tcPr>
                <w:p w14:paraId="611DB78D"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101,91</w:t>
                  </w:r>
                </w:p>
              </w:tc>
              <w:tc>
                <w:tcPr>
                  <w:tcW w:w="1276" w:type="dxa"/>
                  <w:shd w:val="clear" w:color="auto" w:fill="FFFFFF"/>
                  <w:vAlign w:val="bottom"/>
                </w:tcPr>
                <w:p w14:paraId="4C1786C5"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105,48</w:t>
                  </w:r>
                </w:p>
              </w:tc>
            </w:tr>
            <w:tr w:rsidR="00EF7962" w:rsidRPr="00B87FC3" w14:paraId="2ED67860" w14:textId="77777777" w:rsidTr="00940BD8">
              <w:trPr>
                <w:cantSplit/>
              </w:trPr>
              <w:tc>
                <w:tcPr>
                  <w:tcW w:w="1235" w:type="dxa"/>
                  <w:shd w:val="clear" w:color="auto" w:fill="FFFFFF"/>
                </w:tcPr>
                <w:p w14:paraId="5BB04D0E"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1588E722"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3</w:t>
                  </w:r>
                </w:p>
              </w:tc>
              <w:tc>
                <w:tcPr>
                  <w:tcW w:w="1276" w:type="dxa"/>
                  <w:shd w:val="clear" w:color="auto" w:fill="FFFFFF"/>
                  <w:vAlign w:val="bottom"/>
                </w:tcPr>
                <w:p w14:paraId="4017BD0C"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92,07</w:t>
                  </w:r>
                </w:p>
              </w:tc>
              <w:tc>
                <w:tcPr>
                  <w:tcW w:w="1276" w:type="dxa"/>
                  <w:shd w:val="clear" w:color="auto" w:fill="FFFFFF"/>
                  <w:vAlign w:val="bottom"/>
                </w:tcPr>
                <w:p w14:paraId="69BC49F4"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99,77</w:t>
                  </w:r>
                </w:p>
              </w:tc>
              <w:tc>
                <w:tcPr>
                  <w:tcW w:w="1276" w:type="dxa"/>
                  <w:shd w:val="clear" w:color="auto" w:fill="FFFFFF"/>
                  <w:vAlign w:val="bottom"/>
                </w:tcPr>
                <w:p w14:paraId="776DF240"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102,36</w:t>
                  </w:r>
                </w:p>
              </w:tc>
              <w:tc>
                <w:tcPr>
                  <w:tcW w:w="1276" w:type="dxa"/>
                  <w:shd w:val="clear" w:color="auto" w:fill="FFFFFF"/>
                  <w:vAlign w:val="bottom"/>
                </w:tcPr>
                <w:p w14:paraId="4FF36E92"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104,92</w:t>
                  </w:r>
                </w:p>
              </w:tc>
              <w:tc>
                <w:tcPr>
                  <w:tcW w:w="1276" w:type="dxa"/>
                  <w:shd w:val="clear" w:color="auto" w:fill="FFFFFF"/>
                  <w:vAlign w:val="bottom"/>
                </w:tcPr>
                <w:p w14:paraId="48E5B17A"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108,59</w:t>
                  </w:r>
                </w:p>
              </w:tc>
            </w:tr>
            <w:tr w:rsidR="00EF7962" w:rsidRPr="00B87FC3" w14:paraId="2194AE58" w14:textId="77777777" w:rsidTr="00940BD8">
              <w:trPr>
                <w:cantSplit/>
              </w:trPr>
              <w:tc>
                <w:tcPr>
                  <w:tcW w:w="1235" w:type="dxa"/>
                  <w:shd w:val="clear" w:color="auto" w:fill="FFFFFF"/>
                </w:tcPr>
                <w:p w14:paraId="74D4D9A8"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24AEF99E"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4</w:t>
                  </w:r>
                </w:p>
              </w:tc>
              <w:tc>
                <w:tcPr>
                  <w:tcW w:w="1276" w:type="dxa"/>
                  <w:shd w:val="clear" w:color="auto" w:fill="FFFFFF"/>
                  <w:vAlign w:val="bottom"/>
                </w:tcPr>
                <w:p w14:paraId="67AAF857"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94,81</w:t>
                  </w:r>
                </w:p>
              </w:tc>
              <w:tc>
                <w:tcPr>
                  <w:tcW w:w="1276" w:type="dxa"/>
                  <w:shd w:val="clear" w:color="auto" w:fill="FFFFFF"/>
                  <w:vAlign w:val="bottom"/>
                </w:tcPr>
                <w:p w14:paraId="2506088F"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102,74</w:t>
                  </w:r>
                </w:p>
              </w:tc>
              <w:tc>
                <w:tcPr>
                  <w:tcW w:w="1276" w:type="dxa"/>
                  <w:shd w:val="clear" w:color="auto" w:fill="FFFFFF"/>
                  <w:vAlign w:val="bottom"/>
                </w:tcPr>
                <w:p w14:paraId="73831F73"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105,41</w:t>
                  </w:r>
                </w:p>
              </w:tc>
              <w:tc>
                <w:tcPr>
                  <w:tcW w:w="1276" w:type="dxa"/>
                  <w:shd w:val="clear" w:color="auto" w:fill="FFFFFF"/>
                  <w:vAlign w:val="bottom"/>
                </w:tcPr>
                <w:p w14:paraId="085A8640"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108,05</w:t>
                  </w:r>
                </w:p>
              </w:tc>
              <w:tc>
                <w:tcPr>
                  <w:tcW w:w="1276" w:type="dxa"/>
                  <w:shd w:val="clear" w:color="auto" w:fill="FFFFFF"/>
                  <w:vAlign w:val="bottom"/>
                </w:tcPr>
                <w:p w14:paraId="13DD0850"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111,83</w:t>
                  </w:r>
                </w:p>
              </w:tc>
            </w:tr>
            <w:tr w:rsidR="00EF7962" w:rsidRPr="00B87FC3" w14:paraId="5CC65A61" w14:textId="77777777" w:rsidTr="00940BD8">
              <w:trPr>
                <w:cantSplit/>
              </w:trPr>
              <w:tc>
                <w:tcPr>
                  <w:tcW w:w="1235" w:type="dxa"/>
                  <w:shd w:val="clear" w:color="auto" w:fill="FFFFFF"/>
                </w:tcPr>
                <w:p w14:paraId="5FF1322B"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431E9169"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5</w:t>
                  </w:r>
                </w:p>
              </w:tc>
              <w:tc>
                <w:tcPr>
                  <w:tcW w:w="1276" w:type="dxa"/>
                  <w:shd w:val="clear" w:color="auto" w:fill="FFFFFF"/>
                  <w:vAlign w:val="bottom"/>
                </w:tcPr>
                <w:p w14:paraId="06BD314E"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97,62</w:t>
                  </w:r>
                </w:p>
              </w:tc>
              <w:tc>
                <w:tcPr>
                  <w:tcW w:w="1276" w:type="dxa"/>
                  <w:shd w:val="clear" w:color="auto" w:fill="FFFFFF"/>
                  <w:vAlign w:val="bottom"/>
                </w:tcPr>
                <w:p w14:paraId="23192DBE"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105,78</w:t>
                  </w:r>
                </w:p>
              </w:tc>
              <w:tc>
                <w:tcPr>
                  <w:tcW w:w="1276" w:type="dxa"/>
                  <w:shd w:val="clear" w:color="auto" w:fill="FFFFFF"/>
                  <w:vAlign w:val="bottom"/>
                </w:tcPr>
                <w:p w14:paraId="17FC928A"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108,53</w:t>
                  </w:r>
                </w:p>
              </w:tc>
              <w:tc>
                <w:tcPr>
                  <w:tcW w:w="1276" w:type="dxa"/>
                  <w:shd w:val="clear" w:color="auto" w:fill="FFFFFF"/>
                  <w:vAlign w:val="bottom"/>
                </w:tcPr>
                <w:p w14:paraId="4F8E7AA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111,24</w:t>
                  </w:r>
                </w:p>
              </w:tc>
              <w:tc>
                <w:tcPr>
                  <w:tcW w:w="1276" w:type="dxa"/>
                  <w:shd w:val="clear" w:color="auto" w:fill="FFFFFF"/>
                  <w:vAlign w:val="bottom"/>
                </w:tcPr>
                <w:p w14:paraId="2804D75A"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115,13</w:t>
                  </w:r>
                </w:p>
              </w:tc>
            </w:tr>
            <w:tr w:rsidR="00EF7962" w:rsidRPr="007660E1" w14:paraId="64C43B6C" w14:textId="77777777" w:rsidTr="00940BD8">
              <w:trPr>
                <w:cantSplit/>
              </w:trPr>
              <w:tc>
                <w:tcPr>
                  <w:tcW w:w="1235" w:type="dxa"/>
                  <w:shd w:val="clear" w:color="auto" w:fill="FFFFFF"/>
                </w:tcPr>
                <w:p w14:paraId="40862E67"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p>
              </w:tc>
              <w:tc>
                <w:tcPr>
                  <w:tcW w:w="992" w:type="dxa"/>
                  <w:shd w:val="clear" w:color="auto" w:fill="FFFFFF"/>
                </w:tcPr>
                <w:p w14:paraId="76AF0639" w14:textId="77777777" w:rsidR="00EF7962" w:rsidRPr="00B87FC3" w:rsidRDefault="00EF7962" w:rsidP="00940BD8">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6</w:t>
                  </w:r>
                </w:p>
              </w:tc>
              <w:tc>
                <w:tcPr>
                  <w:tcW w:w="1276" w:type="dxa"/>
                  <w:shd w:val="clear" w:color="auto" w:fill="FFFFFF"/>
                  <w:vAlign w:val="bottom"/>
                </w:tcPr>
                <w:p w14:paraId="338EAC9F"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100,52</w:t>
                  </w:r>
                </w:p>
              </w:tc>
              <w:tc>
                <w:tcPr>
                  <w:tcW w:w="1276" w:type="dxa"/>
                  <w:shd w:val="clear" w:color="auto" w:fill="FFFFFF"/>
                  <w:vAlign w:val="bottom"/>
                </w:tcPr>
                <w:p w14:paraId="0381299B"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108,92</w:t>
                  </w:r>
                </w:p>
              </w:tc>
              <w:tc>
                <w:tcPr>
                  <w:tcW w:w="1276" w:type="dxa"/>
                  <w:shd w:val="clear" w:color="auto" w:fill="FFFFFF"/>
                  <w:vAlign w:val="bottom"/>
                </w:tcPr>
                <w:p w14:paraId="0D25CA9F"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111,75</w:t>
                  </w:r>
                </w:p>
              </w:tc>
              <w:tc>
                <w:tcPr>
                  <w:tcW w:w="1276" w:type="dxa"/>
                  <w:shd w:val="clear" w:color="auto" w:fill="FFFFFF"/>
                  <w:vAlign w:val="bottom"/>
                </w:tcPr>
                <w:p w14:paraId="7DDAE8C9" w14:textId="77777777" w:rsidR="00EF7962" w:rsidRPr="00B87FC3" w:rsidRDefault="00EF7962" w:rsidP="00940BD8">
                  <w:pPr>
                    <w:keepLines/>
                    <w:widowControl w:val="0"/>
                    <w:autoSpaceDE w:val="0"/>
                    <w:autoSpaceDN w:val="0"/>
                    <w:adjustRightInd w:val="0"/>
                    <w:ind w:left="28" w:right="311"/>
                    <w:jc w:val="right"/>
                    <w:rPr>
                      <w:rFonts w:cs="Arial"/>
                      <w:color w:val="000000"/>
                      <w:sz w:val="22"/>
                      <w:szCs w:val="22"/>
                      <w:highlight w:val="lightGray"/>
                    </w:rPr>
                  </w:pPr>
                  <w:r w:rsidRPr="00316277">
                    <w:rPr>
                      <w:rFonts w:cs="Arial"/>
                      <w:color w:val="000000"/>
                      <w:sz w:val="22"/>
                      <w:szCs w:val="22"/>
                    </w:rPr>
                    <w:t>114,54</w:t>
                  </w:r>
                </w:p>
              </w:tc>
              <w:tc>
                <w:tcPr>
                  <w:tcW w:w="1276" w:type="dxa"/>
                  <w:shd w:val="clear" w:color="auto" w:fill="FFFFFF"/>
                  <w:vAlign w:val="bottom"/>
                </w:tcPr>
                <w:p w14:paraId="52215B9B" w14:textId="77777777" w:rsidR="00EF7962" w:rsidRPr="00316277" w:rsidRDefault="00EF7962" w:rsidP="00940BD8">
                  <w:pPr>
                    <w:keepLines/>
                    <w:widowControl w:val="0"/>
                    <w:autoSpaceDE w:val="0"/>
                    <w:autoSpaceDN w:val="0"/>
                    <w:adjustRightInd w:val="0"/>
                    <w:ind w:left="28" w:right="311"/>
                    <w:jc w:val="right"/>
                    <w:rPr>
                      <w:rFonts w:cs="Arial"/>
                      <w:color w:val="000000"/>
                      <w:sz w:val="22"/>
                      <w:szCs w:val="22"/>
                    </w:rPr>
                  </w:pPr>
                  <w:r w:rsidRPr="00316277">
                    <w:rPr>
                      <w:rFonts w:cs="Arial"/>
                      <w:color w:val="000000"/>
                      <w:sz w:val="22"/>
                      <w:szCs w:val="22"/>
                    </w:rPr>
                    <w:t>118,55</w:t>
                  </w:r>
                </w:p>
              </w:tc>
            </w:tr>
          </w:tbl>
          <w:p w14:paraId="57289093" w14:textId="77777777" w:rsidR="00EF7962" w:rsidRPr="007660E1" w:rsidRDefault="00EF7962" w:rsidP="00940BD8">
            <w:pPr>
              <w:keepLines/>
              <w:widowControl w:val="0"/>
              <w:autoSpaceDE w:val="0"/>
              <w:autoSpaceDN w:val="0"/>
              <w:adjustRightInd w:val="0"/>
              <w:rPr>
                <w:rFonts w:cs="Arial"/>
                <w:color w:val="000000"/>
                <w:sz w:val="22"/>
                <w:szCs w:val="22"/>
              </w:rPr>
            </w:pPr>
          </w:p>
        </w:tc>
      </w:tr>
    </w:tbl>
    <w:p w14:paraId="4CC3AA44" w14:textId="0ACFE5F7" w:rsidR="00D6150C" w:rsidRPr="00316277" w:rsidRDefault="00D6150C" w:rsidP="00D6150C">
      <w:pPr>
        <w:keepNext w:val="0"/>
        <w:jc w:val="left"/>
        <w:rPr>
          <w:rFonts w:cs="Arial"/>
          <w:b/>
          <w:szCs w:val="24"/>
        </w:rPr>
      </w:pPr>
      <w:r w:rsidRPr="00316277">
        <w:rPr>
          <w:rFonts w:eastAsiaTheme="minorEastAsia" w:cs="Arial"/>
          <w:sz w:val="20"/>
        </w:rPr>
        <w:t>Le mot « ans » correspond à la scolarité établie conformément à la convention collective.</w:t>
      </w:r>
    </w:p>
    <w:p w14:paraId="4A5BE883" w14:textId="77777777" w:rsidR="0048568D" w:rsidRDefault="0048568D" w:rsidP="007F120F">
      <w:pPr>
        <w:keepNext w:val="0"/>
        <w:jc w:val="left"/>
        <w:rPr>
          <w:rFonts w:cs="Arial"/>
          <w:b/>
          <w:szCs w:val="24"/>
        </w:rPr>
      </w:pPr>
      <w:r>
        <w:rPr>
          <w:rFonts w:cs="Arial"/>
          <w:b/>
          <w:szCs w:val="24"/>
        </w:rPr>
        <w:br w:type="page"/>
      </w:r>
    </w:p>
    <w:p w14:paraId="32463252" w14:textId="11D8EF2A" w:rsidR="00C765F1" w:rsidRPr="0048568D" w:rsidRDefault="00C765F1" w:rsidP="007F120F">
      <w:pPr>
        <w:keepNext w:val="0"/>
        <w:jc w:val="center"/>
        <w:rPr>
          <w:rFonts w:cs="Arial"/>
          <w:b/>
          <w:szCs w:val="24"/>
        </w:rPr>
      </w:pPr>
      <w:r w:rsidRPr="0048568D">
        <w:rPr>
          <w:rFonts w:cs="Arial"/>
          <w:b/>
          <w:szCs w:val="24"/>
        </w:rPr>
        <w:t>TABLEAU C</w:t>
      </w:r>
    </w:p>
    <w:p w14:paraId="4A0551F9" w14:textId="77777777" w:rsidR="00C765F1" w:rsidRPr="0048568D" w:rsidRDefault="00C765F1" w:rsidP="007F120F">
      <w:pPr>
        <w:keepNext w:val="0"/>
        <w:jc w:val="center"/>
        <w:rPr>
          <w:rFonts w:cs="Arial"/>
          <w:sz w:val="28"/>
        </w:rPr>
      </w:pPr>
    </w:p>
    <w:p w14:paraId="4926A3A9" w14:textId="4297FFB8" w:rsidR="00C765F1" w:rsidRPr="0048568D" w:rsidRDefault="00C765F1" w:rsidP="007F120F">
      <w:pPr>
        <w:keepNext w:val="0"/>
        <w:spacing w:before="120" w:after="120" w:line="259" w:lineRule="auto"/>
        <w:ind w:left="-80"/>
        <w:jc w:val="center"/>
        <w:rPr>
          <w:rFonts w:cs="Arial"/>
          <w:sz w:val="20"/>
        </w:rPr>
      </w:pPr>
      <w:r w:rsidRPr="0048568D">
        <w:rPr>
          <w:b/>
          <w:caps/>
          <w:u w:val="single"/>
        </w:rPr>
        <w:t xml:space="preserve">TAUX HORAIRES DE L’ENSEIGNANTE OU L’ENSEIGNANT POUR LES AUTRES ACTIVITÉS </w:t>
      </w:r>
      <w:r w:rsidRPr="00D6150C">
        <w:rPr>
          <w:b/>
          <w:caps/>
          <w:u w:val="single"/>
        </w:rPr>
        <w:t>PRÉVUES À LA CLAUSE</w:t>
      </w:r>
      <w:r w:rsidR="00916A50">
        <w:rPr>
          <w:b/>
          <w:caps/>
          <w:u w:val="single"/>
        </w:rPr>
        <w:t> </w:t>
      </w:r>
      <w:r w:rsidRPr="00D6150C">
        <w:rPr>
          <w:b/>
          <w:caps/>
          <w:u w:val="single"/>
        </w:rPr>
        <w:t>6</w:t>
      </w:r>
      <w:r w:rsidR="00984A6F" w:rsidRPr="00D6150C">
        <w:rPr>
          <w:b/>
          <w:caps/>
          <w:u w:val="single"/>
        </w:rPr>
        <w:noBreakHyphen/>
      </w:r>
      <w:r w:rsidRPr="00D6150C">
        <w:rPr>
          <w:b/>
          <w:caps/>
          <w:u w:val="single"/>
        </w:rPr>
        <w:t>1.04</w:t>
      </w:r>
    </w:p>
    <w:p w14:paraId="65B2DC84" w14:textId="057F18D9" w:rsidR="00536A06" w:rsidRDefault="00536A06" w:rsidP="007F120F">
      <w:pPr>
        <w:keepNext w:val="0"/>
        <w:rPr>
          <w:dstrike/>
        </w:rPr>
      </w:pPr>
    </w:p>
    <w:tbl>
      <w:tblPr>
        <w:tblStyle w:val="Grilledutableau1"/>
        <w:tblW w:w="9497" w:type="dxa"/>
        <w:jc w:val="center"/>
        <w:tblLook w:val="04A0" w:firstRow="1" w:lastRow="0" w:firstColumn="1" w:lastColumn="0" w:noHBand="0" w:noVBand="1"/>
      </w:tblPr>
      <w:tblGrid>
        <w:gridCol w:w="1276"/>
        <w:gridCol w:w="1985"/>
        <w:gridCol w:w="1559"/>
        <w:gridCol w:w="1559"/>
        <w:gridCol w:w="1559"/>
        <w:gridCol w:w="1559"/>
      </w:tblGrid>
      <w:tr w:rsidR="00EF7962" w:rsidRPr="00EF7962" w14:paraId="7B6051E4" w14:textId="77777777" w:rsidTr="00940BD8">
        <w:trPr>
          <w:jc w:val="center"/>
        </w:trPr>
        <w:tc>
          <w:tcPr>
            <w:tcW w:w="1276" w:type="dxa"/>
            <w:tcBorders>
              <w:top w:val="single" w:sz="12" w:space="0" w:color="auto"/>
              <w:left w:val="nil"/>
              <w:bottom w:val="single" w:sz="8" w:space="0" w:color="auto"/>
              <w:right w:val="nil"/>
            </w:tcBorders>
          </w:tcPr>
          <w:p w14:paraId="32053E2E" w14:textId="77777777" w:rsidR="00EF7962" w:rsidRPr="00EF7962" w:rsidRDefault="00EF7962" w:rsidP="00940BD8">
            <w:pPr>
              <w:keepNext w:val="0"/>
              <w:jc w:val="center"/>
              <w:rPr>
                <w:rFonts w:cs="Arial"/>
                <w:b/>
                <w:szCs w:val="24"/>
                <w:highlight w:val="lightGray"/>
              </w:rPr>
            </w:pPr>
            <w:r w:rsidRPr="00316277">
              <w:rPr>
                <w:rFonts w:cs="Arial"/>
                <w:b/>
                <w:szCs w:val="24"/>
              </w:rPr>
              <w:t>Échelon</w:t>
            </w:r>
          </w:p>
        </w:tc>
        <w:tc>
          <w:tcPr>
            <w:tcW w:w="1985" w:type="dxa"/>
            <w:tcBorders>
              <w:top w:val="single" w:sz="12" w:space="0" w:color="auto"/>
              <w:left w:val="nil"/>
              <w:bottom w:val="single" w:sz="8" w:space="0" w:color="auto"/>
              <w:right w:val="nil"/>
            </w:tcBorders>
          </w:tcPr>
          <w:p w14:paraId="0E2F33D8" w14:textId="77777777" w:rsidR="00EF7962" w:rsidRPr="00316277" w:rsidRDefault="00EF7962" w:rsidP="00940BD8">
            <w:pPr>
              <w:keepNext w:val="0"/>
              <w:jc w:val="center"/>
              <w:rPr>
                <w:rFonts w:cs="Arial"/>
                <w:b/>
                <w:szCs w:val="24"/>
              </w:rPr>
            </w:pPr>
            <w:r w:rsidRPr="00316277">
              <w:rPr>
                <w:rFonts w:cs="Arial"/>
                <w:b/>
                <w:szCs w:val="24"/>
              </w:rPr>
              <w:t xml:space="preserve">Taux du </w:t>
            </w:r>
            <w:r w:rsidRPr="00316277">
              <w:rPr>
                <w:rFonts w:cs="Arial"/>
                <w:b/>
                <w:szCs w:val="24"/>
              </w:rPr>
              <w:br/>
              <w:t>2023</w:t>
            </w:r>
            <w:r w:rsidRPr="00316277">
              <w:rPr>
                <w:rFonts w:cs="Arial"/>
                <w:b/>
                <w:szCs w:val="24"/>
              </w:rPr>
              <w:noBreakHyphen/>
              <w:t>04</w:t>
            </w:r>
            <w:r w:rsidRPr="00316277">
              <w:rPr>
                <w:rFonts w:cs="Arial"/>
                <w:b/>
                <w:szCs w:val="24"/>
              </w:rPr>
              <w:noBreakHyphen/>
              <w:t>01</w:t>
            </w:r>
          </w:p>
          <w:p w14:paraId="43E4A3BC" w14:textId="77777777" w:rsidR="00EF7962" w:rsidRPr="00316277" w:rsidRDefault="00EF7962" w:rsidP="00940BD8">
            <w:pPr>
              <w:keepNext w:val="0"/>
              <w:jc w:val="center"/>
              <w:rPr>
                <w:rFonts w:cs="Arial"/>
                <w:b/>
                <w:szCs w:val="24"/>
              </w:rPr>
            </w:pPr>
            <w:r w:rsidRPr="00316277">
              <w:rPr>
                <w:rFonts w:cs="Arial"/>
                <w:b/>
                <w:szCs w:val="24"/>
              </w:rPr>
              <w:t>au</w:t>
            </w:r>
          </w:p>
          <w:p w14:paraId="356A3AF7" w14:textId="77777777" w:rsidR="00EF7962" w:rsidRPr="00316277" w:rsidRDefault="00EF7962" w:rsidP="00940BD8">
            <w:pPr>
              <w:keepNext w:val="0"/>
              <w:jc w:val="center"/>
              <w:rPr>
                <w:rFonts w:cs="Arial"/>
                <w:b/>
                <w:szCs w:val="24"/>
              </w:rPr>
            </w:pPr>
            <w:r w:rsidRPr="00316277">
              <w:rPr>
                <w:rFonts w:cs="Arial"/>
                <w:b/>
                <w:szCs w:val="24"/>
              </w:rPr>
              <w:t>2024</w:t>
            </w:r>
            <w:r w:rsidRPr="00316277">
              <w:rPr>
                <w:rFonts w:cs="Arial"/>
                <w:b/>
                <w:szCs w:val="24"/>
              </w:rPr>
              <w:noBreakHyphen/>
              <w:t>03</w:t>
            </w:r>
            <w:r w:rsidRPr="00316277">
              <w:rPr>
                <w:rFonts w:cs="Arial"/>
                <w:b/>
                <w:szCs w:val="24"/>
              </w:rPr>
              <w:noBreakHyphen/>
              <w:t>31</w:t>
            </w:r>
          </w:p>
          <w:p w14:paraId="4764DD23" w14:textId="77777777" w:rsidR="00EF7962" w:rsidRPr="00EF7962" w:rsidRDefault="00EF7962" w:rsidP="00940BD8">
            <w:pPr>
              <w:keepNext w:val="0"/>
              <w:jc w:val="center"/>
              <w:rPr>
                <w:rFonts w:cs="Arial"/>
                <w:b/>
                <w:szCs w:val="24"/>
                <w:highlight w:val="lightGray"/>
              </w:rPr>
            </w:pPr>
            <w:r w:rsidRPr="00316277">
              <w:rPr>
                <w:rFonts w:cs="Arial"/>
                <w:b/>
                <w:szCs w:val="24"/>
              </w:rPr>
              <w:t>($)</w:t>
            </w:r>
          </w:p>
        </w:tc>
        <w:tc>
          <w:tcPr>
            <w:tcW w:w="1559" w:type="dxa"/>
            <w:tcBorders>
              <w:top w:val="single" w:sz="12" w:space="0" w:color="auto"/>
              <w:left w:val="nil"/>
              <w:bottom w:val="single" w:sz="8" w:space="0" w:color="auto"/>
              <w:right w:val="nil"/>
            </w:tcBorders>
          </w:tcPr>
          <w:p w14:paraId="03846587" w14:textId="77777777" w:rsidR="00EF7962" w:rsidRPr="00316277" w:rsidRDefault="00EF7962" w:rsidP="00940BD8">
            <w:pPr>
              <w:keepNext w:val="0"/>
              <w:jc w:val="center"/>
              <w:rPr>
                <w:rFonts w:cs="Arial"/>
                <w:b/>
                <w:szCs w:val="24"/>
              </w:rPr>
            </w:pPr>
            <w:r w:rsidRPr="00316277">
              <w:rPr>
                <w:rFonts w:cs="Arial"/>
                <w:b/>
                <w:szCs w:val="24"/>
              </w:rPr>
              <w:t xml:space="preserve">Taux du </w:t>
            </w:r>
            <w:r w:rsidRPr="00316277">
              <w:rPr>
                <w:rFonts w:cs="Arial"/>
                <w:b/>
                <w:szCs w:val="24"/>
              </w:rPr>
              <w:br/>
              <w:t>2024</w:t>
            </w:r>
            <w:r w:rsidRPr="00316277">
              <w:rPr>
                <w:rFonts w:cs="Arial"/>
                <w:b/>
                <w:szCs w:val="24"/>
              </w:rPr>
              <w:noBreakHyphen/>
              <w:t>04</w:t>
            </w:r>
            <w:r w:rsidRPr="00316277">
              <w:rPr>
                <w:rFonts w:cs="Arial"/>
                <w:b/>
                <w:szCs w:val="24"/>
              </w:rPr>
              <w:noBreakHyphen/>
              <w:t>01</w:t>
            </w:r>
          </w:p>
          <w:p w14:paraId="0937AF68" w14:textId="77777777" w:rsidR="00EF7962" w:rsidRPr="00316277" w:rsidRDefault="00EF7962" w:rsidP="00940BD8">
            <w:pPr>
              <w:keepNext w:val="0"/>
              <w:jc w:val="center"/>
              <w:rPr>
                <w:rFonts w:cs="Arial"/>
                <w:b/>
                <w:szCs w:val="24"/>
              </w:rPr>
            </w:pPr>
            <w:r w:rsidRPr="00316277">
              <w:rPr>
                <w:rFonts w:cs="Arial"/>
                <w:b/>
                <w:szCs w:val="24"/>
              </w:rPr>
              <w:t>au</w:t>
            </w:r>
          </w:p>
          <w:p w14:paraId="3850E792" w14:textId="77777777" w:rsidR="00EF7962" w:rsidRPr="00316277" w:rsidRDefault="00EF7962" w:rsidP="00940BD8">
            <w:pPr>
              <w:keepNext w:val="0"/>
              <w:jc w:val="center"/>
              <w:rPr>
                <w:rFonts w:cs="Arial"/>
                <w:b/>
                <w:szCs w:val="24"/>
              </w:rPr>
            </w:pPr>
            <w:r w:rsidRPr="00316277">
              <w:rPr>
                <w:rFonts w:cs="Arial"/>
                <w:b/>
                <w:szCs w:val="24"/>
              </w:rPr>
              <w:t>2025</w:t>
            </w:r>
            <w:r w:rsidRPr="00316277">
              <w:rPr>
                <w:rFonts w:cs="Arial"/>
                <w:b/>
                <w:szCs w:val="24"/>
              </w:rPr>
              <w:noBreakHyphen/>
              <w:t>03</w:t>
            </w:r>
            <w:r w:rsidRPr="00316277">
              <w:rPr>
                <w:rFonts w:cs="Arial"/>
                <w:b/>
                <w:szCs w:val="24"/>
              </w:rPr>
              <w:noBreakHyphen/>
              <w:t>31</w:t>
            </w:r>
          </w:p>
          <w:p w14:paraId="12D0AE20" w14:textId="77777777" w:rsidR="00EF7962" w:rsidRPr="00EF7962" w:rsidRDefault="00EF7962" w:rsidP="00940BD8">
            <w:pPr>
              <w:keepNext w:val="0"/>
              <w:jc w:val="center"/>
              <w:rPr>
                <w:rFonts w:cs="Arial"/>
                <w:b/>
                <w:szCs w:val="24"/>
                <w:highlight w:val="lightGray"/>
              </w:rPr>
            </w:pPr>
            <w:r w:rsidRPr="00316277">
              <w:rPr>
                <w:rFonts w:cs="Arial"/>
                <w:b/>
                <w:szCs w:val="24"/>
              </w:rPr>
              <w:t>($)</w:t>
            </w:r>
          </w:p>
        </w:tc>
        <w:tc>
          <w:tcPr>
            <w:tcW w:w="1559" w:type="dxa"/>
            <w:tcBorders>
              <w:top w:val="single" w:sz="12" w:space="0" w:color="auto"/>
              <w:left w:val="nil"/>
              <w:bottom w:val="single" w:sz="8" w:space="0" w:color="auto"/>
              <w:right w:val="nil"/>
            </w:tcBorders>
          </w:tcPr>
          <w:p w14:paraId="6AB4AC2F" w14:textId="77777777" w:rsidR="00EF7962" w:rsidRPr="00316277" w:rsidRDefault="00EF7962" w:rsidP="00940BD8">
            <w:pPr>
              <w:keepNext w:val="0"/>
              <w:jc w:val="center"/>
              <w:rPr>
                <w:rFonts w:cs="Arial"/>
                <w:b/>
                <w:szCs w:val="24"/>
              </w:rPr>
            </w:pPr>
            <w:r w:rsidRPr="00316277">
              <w:rPr>
                <w:rFonts w:cs="Arial"/>
                <w:b/>
                <w:szCs w:val="24"/>
              </w:rPr>
              <w:t xml:space="preserve">Taux du </w:t>
            </w:r>
            <w:r w:rsidRPr="00316277">
              <w:rPr>
                <w:rFonts w:cs="Arial"/>
                <w:b/>
                <w:szCs w:val="24"/>
              </w:rPr>
              <w:br/>
              <w:t>2025</w:t>
            </w:r>
            <w:r w:rsidRPr="00316277">
              <w:rPr>
                <w:rFonts w:cs="Arial"/>
                <w:b/>
                <w:szCs w:val="24"/>
              </w:rPr>
              <w:noBreakHyphen/>
              <w:t>04</w:t>
            </w:r>
            <w:r w:rsidRPr="00316277">
              <w:rPr>
                <w:rFonts w:cs="Arial"/>
                <w:b/>
                <w:szCs w:val="24"/>
              </w:rPr>
              <w:noBreakHyphen/>
              <w:t>01</w:t>
            </w:r>
          </w:p>
          <w:p w14:paraId="303E6782" w14:textId="77777777" w:rsidR="00EF7962" w:rsidRPr="00316277" w:rsidRDefault="00EF7962" w:rsidP="00940BD8">
            <w:pPr>
              <w:keepNext w:val="0"/>
              <w:jc w:val="center"/>
              <w:rPr>
                <w:rFonts w:cs="Arial"/>
                <w:b/>
                <w:szCs w:val="24"/>
              </w:rPr>
            </w:pPr>
            <w:r w:rsidRPr="00316277">
              <w:rPr>
                <w:rFonts w:cs="Arial"/>
                <w:b/>
                <w:szCs w:val="24"/>
              </w:rPr>
              <w:t>au</w:t>
            </w:r>
          </w:p>
          <w:p w14:paraId="6515B74C" w14:textId="77777777" w:rsidR="00EF7962" w:rsidRPr="00316277" w:rsidRDefault="00EF7962" w:rsidP="00940BD8">
            <w:pPr>
              <w:keepNext w:val="0"/>
              <w:jc w:val="center"/>
              <w:rPr>
                <w:rFonts w:cs="Arial"/>
                <w:b/>
                <w:szCs w:val="24"/>
              </w:rPr>
            </w:pPr>
            <w:r w:rsidRPr="00316277">
              <w:rPr>
                <w:rFonts w:cs="Arial"/>
                <w:b/>
                <w:szCs w:val="24"/>
              </w:rPr>
              <w:t>2026</w:t>
            </w:r>
            <w:r w:rsidRPr="00316277">
              <w:rPr>
                <w:rFonts w:cs="Arial"/>
                <w:b/>
                <w:szCs w:val="24"/>
              </w:rPr>
              <w:noBreakHyphen/>
              <w:t>03</w:t>
            </w:r>
            <w:r w:rsidRPr="00316277">
              <w:rPr>
                <w:rFonts w:cs="Arial"/>
                <w:b/>
                <w:szCs w:val="24"/>
              </w:rPr>
              <w:noBreakHyphen/>
              <w:t>31</w:t>
            </w:r>
          </w:p>
          <w:p w14:paraId="0D25CCFB" w14:textId="77777777" w:rsidR="00EF7962" w:rsidRPr="00EF7962" w:rsidRDefault="00EF7962" w:rsidP="00940BD8">
            <w:pPr>
              <w:keepNext w:val="0"/>
              <w:jc w:val="center"/>
              <w:rPr>
                <w:rFonts w:cs="Arial"/>
                <w:b/>
                <w:szCs w:val="24"/>
                <w:highlight w:val="lightGray"/>
              </w:rPr>
            </w:pPr>
            <w:r w:rsidRPr="00316277">
              <w:rPr>
                <w:rFonts w:cs="Arial"/>
                <w:b/>
                <w:szCs w:val="24"/>
              </w:rPr>
              <w:t>($)</w:t>
            </w:r>
          </w:p>
        </w:tc>
        <w:tc>
          <w:tcPr>
            <w:tcW w:w="1559" w:type="dxa"/>
            <w:tcBorders>
              <w:top w:val="single" w:sz="12" w:space="0" w:color="auto"/>
              <w:left w:val="nil"/>
              <w:bottom w:val="single" w:sz="8" w:space="0" w:color="auto"/>
              <w:right w:val="nil"/>
            </w:tcBorders>
          </w:tcPr>
          <w:p w14:paraId="7E358203" w14:textId="77777777" w:rsidR="00EF7962" w:rsidRPr="00316277" w:rsidRDefault="00EF7962" w:rsidP="00940BD8">
            <w:pPr>
              <w:keepNext w:val="0"/>
              <w:jc w:val="center"/>
              <w:rPr>
                <w:rFonts w:cs="Arial"/>
                <w:b/>
                <w:szCs w:val="24"/>
              </w:rPr>
            </w:pPr>
            <w:r w:rsidRPr="00316277">
              <w:rPr>
                <w:rFonts w:cs="Arial"/>
                <w:b/>
                <w:szCs w:val="24"/>
              </w:rPr>
              <w:t xml:space="preserve">Taux du </w:t>
            </w:r>
            <w:r w:rsidRPr="00316277">
              <w:rPr>
                <w:rFonts w:cs="Arial"/>
                <w:b/>
                <w:szCs w:val="24"/>
              </w:rPr>
              <w:br/>
              <w:t>2026</w:t>
            </w:r>
            <w:r w:rsidRPr="00316277">
              <w:rPr>
                <w:rFonts w:cs="Arial"/>
                <w:b/>
                <w:szCs w:val="24"/>
              </w:rPr>
              <w:noBreakHyphen/>
              <w:t>04</w:t>
            </w:r>
            <w:r w:rsidRPr="00316277">
              <w:rPr>
                <w:rFonts w:cs="Arial"/>
                <w:b/>
                <w:szCs w:val="24"/>
              </w:rPr>
              <w:noBreakHyphen/>
              <w:t>01</w:t>
            </w:r>
          </w:p>
          <w:p w14:paraId="65C99C35" w14:textId="77777777" w:rsidR="00EF7962" w:rsidRPr="00316277" w:rsidRDefault="00EF7962" w:rsidP="00940BD8">
            <w:pPr>
              <w:keepNext w:val="0"/>
              <w:jc w:val="center"/>
              <w:rPr>
                <w:rFonts w:cs="Arial"/>
                <w:b/>
                <w:szCs w:val="24"/>
              </w:rPr>
            </w:pPr>
            <w:r w:rsidRPr="00316277">
              <w:rPr>
                <w:rFonts w:cs="Arial"/>
                <w:b/>
                <w:szCs w:val="24"/>
              </w:rPr>
              <w:t>au</w:t>
            </w:r>
          </w:p>
          <w:p w14:paraId="027A857C" w14:textId="77777777" w:rsidR="00EF7962" w:rsidRPr="00316277" w:rsidRDefault="00EF7962" w:rsidP="00940BD8">
            <w:pPr>
              <w:keepNext w:val="0"/>
              <w:jc w:val="center"/>
              <w:rPr>
                <w:rFonts w:cs="Arial"/>
                <w:b/>
                <w:szCs w:val="24"/>
              </w:rPr>
            </w:pPr>
            <w:r w:rsidRPr="00316277">
              <w:rPr>
                <w:rFonts w:cs="Arial"/>
                <w:b/>
                <w:szCs w:val="24"/>
              </w:rPr>
              <w:t>2027</w:t>
            </w:r>
            <w:r w:rsidRPr="00316277">
              <w:rPr>
                <w:rFonts w:cs="Arial"/>
                <w:b/>
                <w:szCs w:val="24"/>
              </w:rPr>
              <w:noBreakHyphen/>
              <w:t>03</w:t>
            </w:r>
            <w:r w:rsidRPr="00316277">
              <w:rPr>
                <w:rFonts w:cs="Arial"/>
                <w:b/>
                <w:szCs w:val="24"/>
              </w:rPr>
              <w:noBreakHyphen/>
              <w:t>31</w:t>
            </w:r>
          </w:p>
          <w:p w14:paraId="315F8C90" w14:textId="77777777" w:rsidR="00EF7962" w:rsidRPr="00EF7962" w:rsidRDefault="00EF7962" w:rsidP="00940BD8">
            <w:pPr>
              <w:keepNext w:val="0"/>
              <w:jc w:val="center"/>
              <w:rPr>
                <w:rFonts w:cs="Arial"/>
                <w:b/>
                <w:szCs w:val="24"/>
                <w:highlight w:val="lightGray"/>
              </w:rPr>
            </w:pPr>
            <w:r w:rsidRPr="00316277">
              <w:rPr>
                <w:rFonts w:cs="Arial"/>
                <w:b/>
                <w:szCs w:val="24"/>
              </w:rPr>
              <w:t>($)</w:t>
            </w:r>
          </w:p>
        </w:tc>
        <w:tc>
          <w:tcPr>
            <w:tcW w:w="1559" w:type="dxa"/>
            <w:tcBorders>
              <w:top w:val="single" w:sz="12" w:space="0" w:color="auto"/>
              <w:left w:val="nil"/>
              <w:bottom w:val="single" w:sz="8" w:space="0" w:color="auto"/>
              <w:right w:val="nil"/>
            </w:tcBorders>
          </w:tcPr>
          <w:p w14:paraId="39A031BA" w14:textId="77777777" w:rsidR="00EF7962" w:rsidRPr="00316277" w:rsidRDefault="00EF7962" w:rsidP="00940BD8">
            <w:pPr>
              <w:keepNext w:val="0"/>
              <w:jc w:val="center"/>
              <w:rPr>
                <w:rFonts w:cs="Arial"/>
                <w:b/>
                <w:szCs w:val="24"/>
              </w:rPr>
            </w:pPr>
            <w:r w:rsidRPr="00316277">
              <w:rPr>
                <w:rFonts w:cs="Arial"/>
                <w:b/>
                <w:szCs w:val="24"/>
              </w:rPr>
              <w:t xml:space="preserve">Taux </w:t>
            </w:r>
          </w:p>
          <w:p w14:paraId="51A08D01" w14:textId="77777777" w:rsidR="00EF7962" w:rsidRPr="00316277" w:rsidRDefault="00EF7962" w:rsidP="00940BD8">
            <w:pPr>
              <w:keepNext w:val="0"/>
              <w:jc w:val="center"/>
              <w:rPr>
                <w:rFonts w:cs="Arial"/>
                <w:b/>
                <w:szCs w:val="24"/>
              </w:rPr>
            </w:pPr>
            <w:r w:rsidRPr="00316277">
              <w:rPr>
                <w:rFonts w:cs="Arial"/>
                <w:b/>
                <w:szCs w:val="24"/>
              </w:rPr>
              <w:t xml:space="preserve">à compter </w:t>
            </w:r>
          </w:p>
          <w:p w14:paraId="174E3070" w14:textId="77777777" w:rsidR="00EF7962" w:rsidRPr="00316277" w:rsidRDefault="00EF7962" w:rsidP="00940BD8">
            <w:pPr>
              <w:keepNext w:val="0"/>
              <w:jc w:val="center"/>
              <w:rPr>
                <w:rFonts w:cs="Arial"/>
                <w:b/>
                <w:szCs w:val="24"/>
              </w:rPr>
            </w:pPr>
            <w:r w:rsidRPr="00316277">
              <w:rPr>
                <w:rFonts w:cs="Arial"/>
                <w:b/>
                <w:szCs w:val="24"/>
              </w:rPr>
              <w:t>du</w:t>
            </w:r>
          </w:p>
          <w:p w14:paraId="2DA500B2" w14:textId="77777777" w:rsidR="00EF7962" w:rsidRPr="00316277" w:rsidRDefault="00EF7962" w:rsidP="00940BD8">
            <w:pPr>
              <w:keepNext w:val="0"/>
              <w:jc w:val="center"/>
              <w:rPr>
                <w:rFonts w:cs="Arial"/>
                <w:b/>
                <w:szCs w:val="24"/>
              </w:rPr>
            </w:pPr>
            <w:r w:rsidRPr="00316277">
              <w:rPr>
                <w:rFonts w:cs="Arial"/>
                <w:b/>
                <w:szCs w:val="24"/>
              </w:rPr>
              <w:t>2027</w:t>
            </w:r>
            <w:r w:rsidRPr="00316277">
              <w:rPr>
                <w:rFonts w:cs="Arial"/>
                <w:b/>
                <w:szCs w:val="24"/>
              </w:rPr>
              <w:noBreakHyphen/>
              <w:t>04</w:t>
            </w:r>
            <w:r w:rsidRPr="00316277">
              <w:rPr>
                <w:rFonts w:cs="Arial"/>
                <w:b/>
                <w:szCs w:val="24"/>
              </w:rPr>
              <w:noBreakHyphen/>
              <w:t>01</w:t>
            </w:r>
          </w:p>
          <w:p w14:paraId="2E18757F" w14:textId="77777777" w:rsidR="00EF7962" w:rsidRPr="00316277" w:rsidRDefault="00EF7962" w:rsidP="00940BD8">
            <w:pPr>
              <w:keepNext w:val="0"/>
              <w:jc w:val="center"/>
              <w:rPr>
                <w:rFonts w:cs="Arial"/>
                <w:b/>
                <w:szCs w:val="24"/>
              </w:rPr>
            </w:pPr>
            <w:r w:rsidRPr="00316277">
              <w:rPr>
                <w:rFonts w:cs="Arial"/>
                <w:b/>
                <w:szCs w:val="24"/>
              </w:rPr>
              <w:t>($)</w:t>
            </w:r>
          </w:p>
        </w:tc>
      </w:tr>
      <w:tr w:rsidR="00EF7962" w:rsidRPr="002F4A86" w14:paraId="7539F542" w14:textId="77777777" w:rsidTr="00940BD8">
        <w:trPr>
          <w:jc w:val="center"/>
        </w:trPr>
        <w:tc>
          <w:tcPr>
            <w:tcW w:w="1276" w:type="dxa"/>
            <w:tcBorders>
              <w:top w:val="single" w:sz="8" w:space="0" w:color="auto"/>
              <w:left w:val="nil"/>
              <w:bottom w:val="single" w:sz="12" w:space="0" w:color="auto"/>
              <w:right w:val="nil"/>
            </w:tcBorders>
          </w:tcPr>
          <w:p w14:paraId="39327FFB" w14:textId="77777777" w:rsidR="00EF7962" w:rsidRPr="00EF7962" w:rsidRDefault="00EF7962" w:rsidP="00940BD8">
            <w:pPr>
              <w:keepNext w:val="0"/>
              <w:jc w:val="center"/>
              <w:rPr>
                <w:rFonts w:cs="Arial"/>
                <w:szCs w:val="24"/>
                <w:highlight w:val="lightGray"/>
              </w:rPr>
            </w:pPr>
            <w:r w:rsidRPr="00316277">
              <w:rPr>
                <w:rFonts w:cs="Arial"/>
                <w:szCs w:val="24"/>
              </w:rPr>
              <w:t>1</w:t>
            </w:r>
          </w:p>
        </w:tc>
        <w:tc>
          <w:tcPr>
            <w:tcW w:w="1985" w:type="dxa"/>
            <w:tcBorders>
              <w:top w:val="single" w:sz="8" w:space="0" w:color="auto"/>
              <w:left w:val="nil"/>
              <w:bottom w:val="single" w:sz="12" w:space="0" w:color="auto"/>
              <w:right w:val="nil"/>
            </w:tcBorders>
          </w:tcPr>
          <w:p w14:paraId="6164863D" w14:textId="77777777" w:rsidR="00EF7962" w:rsidRPr="00EF7962" w:rsidRDefault="00EF7962" w:rsidP="00940BD8">
            <w:pPr>
              <w:keepNext w:val="0"/>
              <w:jc w:val="center"/>
              <w:rPr>
                <w:rFonts w:cs="Arial"/>
                <w:szCs w:val="24"/>
                <w:highlight w:val="lightGray"/>
              </w:rPr>
            </w:pPr>
            <w:r w:rsidRPr="00316277">
              <w:rPr>
                <w:rFonts w:cs="Arial"/>
                <w:szCs w:val="24"/>
              </w:rPr>
              <w:t>53,20</w:t>
            </w:r>
          </w:p>
        </w:tc>
        <w:tc>
          <w:tcPr>
            <w:tcW w:w="1559" w:type="dxa"/>
            <w:tcBorders>
              <w:top w:val="single" w:sz="8" w:space="0" w:color="auto"/>
              <w:left w:val="nil"/>
              <w:bottom w:val="single" w:sz="12" w:space="0" w:color="auto"/>
              <w:right w:val="nil"/>
            </w:tcBorders>
          </w:tcPr>
          <w:p w14:paraId="687ECBFE" w14:textId="77777777" w:rsidR="00EF7962" w:rsidRPr="00EF7962" w:rsidRDefault="00EF7962" w:rsidP="00940BD8">
            <w:pPr>
              <w:keepNext w:val="0"/>
              <w:jc w:val="center"/>
              <w:rPr>
                <w:rFonts w:cs="Arial"/>
                <w:szCs w:val="24"/>
                <w:highlight w:val="lightGray"/>
              </w:rPr>
            </w:pPr>
            <w:r w:rsidRPr="00316277">
              <w:rPr>
                <w:rFonts w:cs="Arial"/>
                <w:szCs w:val="24"/>
              </w:rPr>
              <w:t>58,96</w:t>
            </w:r>
          </w:p>
        </w:tc>
        <w:tc>
          <w:tcPr>
            <w:tcW w:w="1559" w:type="dxa"/>
            <w:tcBorders>
              <w:top w:val="single" w:sz="8" w:space="0" w:color="auto"/>
              <w:left w:val="nil"/>
              <w:bottom w:val="single" w:sz="12" w:space="0" w:color="auto"/>
              <w:right w:val="nil"/>
            </w:tcBorders>
          </w:tcPr>
          <w:p w14:paraId="6364B673" w14:textId="77777777" w:rsidR="00EF7962" w:rsidRPr="00EF7962" w:rsidRDefault="00EF7962" w:rsidP="00940BD8">
            <w:pPr>
              <w:keepNext w:val="0"/>
              <w:jc w:val="center"/>
              <w:rPr>
                <w:rFonts w:cs="Arial"/>
                <w:szCs w:val="24"/>
                <w:highlight w:val="lightGray"/>
              </w:rPr>
            </w:pPr>
            <w:r w:rsidRPr="00316277">
              <w:rPr>
                <w:rFonts w:cs="Arial"/>
                <w:szCs w:val="24"/>
              </w:rPr>
              <w:t>60,49</w:t>
            </w:r>
          </w:p>
        </w:tc>
        <w:tc>
          <w:tcPr>
            <w:tcW w:w="1559" w:type="dxa"/>
            <w:tcBorders>
              <w:top w:val="single" w:sz="8" w:space="0" w:color="auto"/>
              <w:left w:val="nil"/>
              <w:bottom w:val="single" w:sz="12" w:space="0" w:color="auto"/>
              <w:right w:val="nil"/>
            </w:tcBorders>
          </w:tcPr>
          <w:p w14:paraId="29B83830" w14:textId="77777777" w:rsidR="00EF7962" w:rsidRPr="00EF7962" w:rsidRDefault="00EF7962" w:rsidP="00940BD8">
            <w:pPr>
              <w:keepNext w:val="0"/>
              <w:jc w:val="center"/>
              <w:rPr>
                <w:rFonts w:cs="Arial"/>
                <w:szCs w:val="24"/>
                <w:highlight w:val="lightGray"/>
              </w:rPr>
            </w:pPr>
            <w:r w:rsidRPr="00316277">
              <w:rPr>
                <w:rFonts w:cs="Arial"/>
                <w:szCs w:val="24"/>
              </w:rPr>
              <w:t>62,01</w:t>
            </w:r>
          </w:p>
        </w:tc>
        <w:tc>
          <w:tcPr>
            <w:tcW w:w="1559" w:type="dxa"/>
            <w:tcBorders>
              <w:top w:val="single" w:sz="8" w:space="0" w:color="auto"/>
              <w:left w:val="nil"/>
              <w:bottom w:val="single" w:sz="12" w:space="0" w:color="auto"/>
              <w:right w:val="nil"/>
            </w:tcBorders>
          </w:tcPr>
          <w:p w14:paraId="1B505E2F" w14:textId="77777777" w:rsidR="00EF7962" w:rsidRPr="00316277" w:rsidRDefault="00EF7962" w:rsidP="00940BD8">
            <w:pPr>
              <w:keepNext w:val="0"/>
              <w:jc w:val="center"/>
              <w:rPr>
                <w:rFonts w:cs="Arial"/>
                <w:szCs w:val="24"/>
              </w:rPr>
            </w:pPr>
            <w:r w:rsidRPr="00316277">
              <w:rPr>
                <w:rFonts w:cs="Arial"/>
                <w:szCs w:val="24"/>
              </w:rPr>
              <w:t>64,18</w:t>
            </w:r>
          </w:p>
        </w:tc>
      </w:tr>
    </w:tbl>
    <w:p w14:paraId="20DFDA49" w14:textId="4D001832" w:rsidR="005D2237" w:rsidRDefault="005D2237" w:rsidP="00EF7962">
      <w:pPr>
        <w:keepNext w:val="0"/>
      </w:pPr>
      <w:r w:rsidRPr="00316277">
        <w:t>NOTE :</w:t>
      </w:r>
    </w:p>
    <w:p w14:paraId="17AD15DA" w14:textId="77777777" w:rsidR="005D2237" w:rsidRPr="005D2237" w:rsidRDefault="005D2237" w:rsidP="00EF7962">
      <w:pPr>
        <w:keepNext w:val="0"/>
      </w:pPr>
    </w:p>
    <w:p w14:paraId="53B70C04" w14:textId="662BFDF2" w:rsidR="00E51EC8" w:rsidRPr="00EF7962" w:rsidRDefault="00E51EC8" w:rsidP="00EF7962">
      <w:pPr>
        <w:keepNext w:val="0"/>
        <w:autoSpaceDE w:val="0"/>
        <w:autoSpaceDN w:val="0"/>
        <w:adjustRightInd w:val="0"/>
        <w:jc w:val="left"/>
        <w:rPr>
          <w:rFonts w:cs="Arial"/>
          <w:lang w:eastAsia="fr-CA"/>
        </w:rPr>
      </w:pPr>
      <w:r w:rsidRPr="00316277">
        <w:rPr>
          <w:rFonts w:cstheme="minorHAnsi"/>
        </w:rPr>
        <w:t>Le taux horaire comprend la rémunération due à titre de vacances et de jours fériés.</w:t>
      </w:r>
    </w:p>
    <w:p w14:paraId="119354AF" w14:textId="6869E5F4" w:rsidR="00404F34" w:rsidRPr="00026EC1" w:rsidRDefault="00AD35E3" w:rsidP="007F120F">
      <w:pPr>
        <w:pStyle w:val="Heading3"/>
        <w:keepNext w:val="0"/>
      </w:pPr>
      <w:r w:rsidRPr="00026EC1">
        <w:br w:type="page"/>
      </w:r>
      <w:bookmarkStart w:id="1579" w:name="_Toc133760910"/>
      <w:bookmarkStart w:id="1580" w:name="_Toc133917058"/>
      <w:bookmarkStart w:id="1581" w:name="_Toc134437330"/>
      <w:bookmarkStart w:id="1582" w:name="_Toc393449502"/>
      <w:bookmarkStart w:id="1583" w:name="_Toc462751631"/>
      <w:bookmarkStart w:id="1584" w:name="_Toc484082650"/>
      <w:bookmarkStart w:id="1585" w:name="_Toc168479626"/>
      <w:r w:rsidR="00F13415" w:rsidRPr="00026EC1">
        <w:t>Annexe VI</w:t>
      </w:r>
      <w:r w:rsidR="0017646C">
        <w:t>-</w:t>
      </w:r>
      <w:r w:rsidR="00F13415" w:rsidRPr="00026EC1">
        <w:t>2</w:t>
      </w:r>
      <w:bookmarkEnd w:id="1546"/>
      <w:bookmarkEnd w:id="1579"/>
      <w:bookmarkEnd w:id="1580"/>
      <w:bookmarkEnd w:id="1581"/>
      <w:r w:rsidR="00F13415" w:rsidRPr="00026EC1">
        <w:br/>
      </w:r>
      <w:r w:rsidR="00F13415" w:rsidRPr="00026EC1">
        <w:br/>
      </w:r>
      <w:bookmarkStart w:id="1586" w:name="_Toc535046732"/>
      <w:bookmarkStart w:id="1587" w:name="_Toc133760911"/>
      <w:r w:rsidR="00F13415" w:rsidRPr="00026EC1">
        <w:t>Disparités régionales</w:t>
      </w:r>
      <w:bookmarkEnd w:id="1582"/>
      <w:bookmarkEnd w:id="1583"/>
      <w:bookmarkEnd w:id="1584"/>
      <w:bookmarkEnd w:id="1586"/>
      <w:bookmarkEnd w:id="1587"/>
      <w:bookmarkEnd w:id="1585"/>
      <w:r w:rsidR="00036A6B" w:rsidRPr="00026EC1">
        <w:t xml:space="preserve"> </w:t>
      </w:r>
    </w:p>
    <w:p w14:paraId="00A9A804"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1.00</w:t>
      </w:r>
      <w:r w:rsidRPr="00026EC1">
        <w:rPr>
          <w:rFonts w:cs="Arial"/>
          <w:szCs w:val="24"/>
        </w:rPr>
        <w:tab/>
        <w:t>DÉFINITIONS</w:t>
      </w:r>
    </w:p>
    <w:p w14:paraId="079F4619" w14:textId="77777777" w:rsidR="008947A0" w:rsidRPr="00026EC1" w:rsidRDefault="008947A0" w:rsidP="007F120F">
      <w:pPr>
        <w:keepNext w:val="0"/>
        <w:rPr>
          <w:rFonts w:cs="Arial"/>
          <w:szCs w:val="24"/>
        </w:rPr>
      </w:pPr>
    </w:p>
    <w:p w14:paraId="0450D9BF" w14:textId="7893796F" w:rsidR="008947A0" w:rsidRPr="00026EC1" w:rsidRDefault="008947A0" w:rsidP="007F120F">
      <w:pPr>
        <w:keepNext w:val="0"/>
        <w:rPr>
          <w:rFonts w:cs="Arial"/>
          <w:szCs w:val="24"/>
        </w:rPr>
      </w:pPr>
      <w:r w:rsidRPr="00026EC1">
        <w:rPr>
          <w:rFonts w:cs="Arial"/>
          <w:szCs w:val="24"/>
        </w:rPr>
        <w:t>Les expressions suivantes signifient</w:t>
      </w:r>
      <w:r w:rsidR="00D8581B">
        <w:rPr>
          <w:rFonts w:cs="Arial"/>
          <w:szCs w:val="24"/>
        </w:rPr>
        <w:t> :</w:t>
      </w:r>
    </w:p>
    <w:p w14:paraId="2CBE16E5" w14:textId="77777777" w:rsidR="008947A0" w:rsidRPr="00026EC1" w:rsidRDefault="008947A0" w:rsidP="007F120F">
      <w:pPr>
        <w:keepNext w:val="0"/>
      </w:pPr>
    </w:p>
    <w:p w14:paraId="13810841" w14:textId="2B38A896" w:rsidR="008947A0" w:rsidRPr="00026EC1" w:rsidRDefault="008947A0" w:rsidP="007F120F">
      <w:pPr>
        <w:pStyle w:val="NUMRODECLAUSE"/>
        <w:keepNext w:val="0"/>
      </w:pPr>
      <w:r w:rsidRPr="00026EC1">
        <w:t>1.01</w:t>
      </w:r>
      <w:r w:rsidRPr="00026EC1">
        <w:tab/>
      </w:r>
      <w:r w:rsidRPr="00922601">
        <w:t>Personne à charge</w:t>
      </w:r>
      <w:r w:rsidR="00D8581B" w:rsidRPr="00922601">
        <w:t> </w:t>
      </w:r>
      <w:r w:rsidR="00D8581B">
        <w:t>:</w:t>
      </w:r>
    </w:p>
    <w:p w14:paraId="58265228" w14:textId="70171657" w:rsidR="002C6AE0" w:rsidRPr="00026EC1" w:rsidRDefault="002C6AE0" w:rsidP="007F120F">
      <w:pPr>
        <w:keepNext w:val="0"/>
        <w:rPr>
          <w:rFonts w:cs="Arial"/>
          <w:szCs w:val="24"/>
        </w:rPr>
      </w:pPr>
      <w:r w:rsidRPr="00026EC1">
        <w:rPr>
          <w:rFonts w:cs="Arial"/>
          <w:szCs w:val="24"/>
        </w:rPr>
        <w:t>La conjointe ou le conjoint et l’enfant à charge tels qu’ils sont définis aux clauses</w:t>
      </w:r>
      <w:r w:rsidR="00881575">
        <w:rPr>
          <w:rFonts w:cs="Arial"/>
          <w:szCs w:val="24"/>
        </w:rPr>
        <w:t> </w:t>
      </w:r>
      <w:r w:rsidRPr="00026EC1">
        <w:rPr>
          <w:rFonts w:cs="Arial"/>
          <w:szCs w:val="24"/>
        </w:rPr>
        <w:t>1</w:t>
      </w:r>
      <w:r w:rsidR="00984A6F">
        <w:rPr>
          <w:rFonts w:cs="Arial"/>
          <w:szCs w:val="24"/>
        </w:rPr>
        <w:noBreakHyphen/>
      </w:r>
      <w:r w:rsidRPr="00026EC1">
        <w:rPr>
          <w:rFonts w:cs="Arial"/>
          <w:szCs w:val="24"/>
        </w:rPr>
        <w:t>2.06 et 1</w:t>
      </w:r>
      <w:r w:rsidR="00984A6F">
        <w:rPr>
          <w:rFonts w:cs="Arial"/>
          <w:szCs w:val="24"/>
        </w:rPr>
        <w:noBreakHyphen/>
      </w:r>
      <w:r w:rsidRPr="00026EC1">
        <w:rPr>
          <w:rFonts w:cs="Arial"/>
          <w:szCs w:val="24"/>
        </w:rPr>
        <w:t xml:space="preserve">2.09 de la convention collective et toute autre personne à charge au sens de la </w:t>
      </w:r>
      <w:r w:rsidRPr="00026EC1">
        <w:rPr>
          <w:rFonts w:cs="Arial"/>
          <w:iCs/>
          <w:szCs w:val="24"/>
        </w:rPr>
        <w:t>Loi sur les impôts</w:t>
      </w:r>
      <w:r w:rsidRPr="00026EC1">
        <w:rPr>
          <w:rFonts w:cs="Arial"/>
          <w:szCs w:val="24"/>
        </w:rPr>
        <w:t>, à condition que celle</w:t>
      </w:r>
      <w:r w:rsidR="00984A6F">
        <w:rPr>
          <w:rFonts w:cs="Arial"/>
          <w:szCs w:val="24"/>
        </w:rPr>
        <w:noBreakHyphen/>
      </w:r>
      <w:r w:rsidRPr="00026EC1">
        <w:rPr>
          <w:rFonts w:cs="Arial"/>
          <w:szCs w:val="24"/>
        </w:rPr>
        <w:t>ci ou celui</w:t>
      </w:r>
      <w:r w:rsidR="00984A6F">
        <w:rPr>
          <w:rFonts w:cs="Arial"/>
          <w:szCs w:val="24"/>
        </w:rPr>
        <w:noBreakHyphen/>
      </w:r>
      <w:r w:rsidRPr="00026EC1">
        <w:rPr>
          <w:rFonts w:cs="Arial"/>
          <w:szCs w:val="24"/>
        </w:rPr>
        <w:t xml:space="preserve">ci réside avec l’enseignante ou l’enseignant. </w:t>
      </w:r>
      <w:r w:rsidRPr="00026EC1">
        <w:t>De plus, pour l’enseignante ou l’enseignant travaillant dans la localité de Fermont, est considéré comme enfant à charge, l’enfant de vingt</w:t>
      </w:r>
      <w:r w:rsidR="00984A6F">
        <w:noBreakHyphen/>
      </w:r>
      <w:r w:rsidRPr="00026EC1">
        <w:t>cinq</w:t>
      </w:r>
      <w:r w:rsidR="00881575">
        <w:t> </w:t>
      </w:r>
      <w:r w:rsidRPr="00026EC1">
        <w:t>(25) ans ou moins qui poursuit, hors de la localité d’affectation de son parent, des études post</w:t>
      </w:r>
      <w:r w:rsidR="00984A6F">
        <w:noBreakHyphen/>
      </w:r>
      <w:r w:rsidRPr="00026EC1">
        <w:t xml:space="preserve">secondaires dans un établissement d’enseignement reconnu. </w:t>
      </w:r>
      <w:r w:rsidRPr="00026EC1">
        <w:rPr>
          <w:rFonts w:cs="Arial"/>
          <w:szCs w:val="24"/>
        </w:rPr>
        <w:t>Cependant, aux fins de la présente annexe, les revenus tirés d’un emploi par la conjointe ou le conjoint de l’enseignante ou de l’enseignant n’ont pas pour effet de lui enlever son statut de personne à charge.</w:t>
      </w:r>
    </w:p>
    <w:p w14:paraId="512AB4FD" w14:textId="77777777" w:rsidR="008947A0" w:rsidRPr="00026EC1" w:rsidRDefault="008947A0" w:rsidP="007F120F">
      <w:pPr>
        <w:pStyle w:val="CommentText"/>
        <w:keepNext w:val="0"/>
        <w:tabs>
          <w:tab w:val="clear" w:pos="3969"/>
        </w:tabs>
        <w:rPr>
          <w:rFonts w:eastAsia="Calibri" w:cs="Arial"/>
          <w:snapToGrid/>
          <w:szCs w:val="24"/>
          <w:lang w:eastAsia="en-US"/>
        </w:rPr>
      </w:pPr>
    </w:p>
    <w:p w14:paraId="6E6E3802" w14:textId="77777777" w:rsidR="008947A0" w:rsidRPr="00026EC1" w:rsidRDefault="008947A0" w:rsidP="007F120F">
      <w:pPr>
        <w:keepNext w:val="0"/>
        <w:rPr>
          <w:rFonts w:cs="Arial"/>
          <w:szCs w:val="24"/>
        </w:rPr>
      </w:pPr>
      <w:r w:rsidRPr="00026EC1">
        <w:rPr>
          <w:rFonts w:cs="Arial"/>
          <w:szCs w:val="24"/>
        </w:rPr>
        <w:t>Le fait pour une ou un enfant de fréquenter une école secondaire publique dans un autre endroit que le lieu de résidence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ne lui enlève pas son statut de personne à charge lorsqu</w:t>
      </w:r>
      <w:r w:rsidR="00BC3319" w:rsidRPr="00026EC1">
        <w:rPr>
          <w:rFonts w:cs="Arial"/>
          <w:szCs w:val="24"/>
        </w:rPr>
        <w:t>’</w:t>
      </w:r>
      <w:r w:rsidRPr="00026EC1">
        <w:rPr>
          <w:rFonts w:cs="Arial"/>
          <w:szCs w:val="24"/>
        </w:rPr>
        <w:t>aucune école secondaire publique n</w:t>
      </w:r>
      <w:r w:rsidR="00BC3319" w:rsidRPr="00026EC1">
        <w:rPr>
          <w:rFonts w:cs="Arial"/>
          <w:szCs w:val="24"/>
        </w:rPr>
        <w:t>’</w:t>
      </w:r>
      <w:r w:rsidRPr="00026EC1">
        <w:rPr>
          <w:rFonts w:cs="Arial"/>
          <w:szCs w:val="24"/>
        </w:rPr>
        <w:t>est accessible dans la localité où réside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w:t>
      </w:r>
    </w:p>
    <w:p w14:paraId="1567865C" w14:textId="77777777" w:rsidR="008947A0" w:rsidRPr="00026EC1" w:rsidRDefault="008947A0" w:rsidP="007F120F">
      <w:pPr>
        <w:keepNext w:val="0"/>
        <w:rPr>
          <w:rFonts w:cs="Arial"/>
          <w:szCs w:val="24"/>
        </w:rPr>
      </w:pPr>
    </w:p>
    <w:p w14:paraId="3F9A44F9" w14:textId="77777777" w:rsidR="008947A0" w:rsidRPr="00026EC1" w:rsidRDefault="008947A0" w:rsidP="007F120F">
      <w:pPr>
        <w:keepNext w:val="0"/>
        <w:rPr>
          <w:rFonts w:cs="Arial"/>
          <w:szCs w:val="24"/>
        </w:rPr>
      </w:pPr>
      <w:r w:rsidRPr="00026EC1">
        <w:rPr>
          <w:rFonts w:cs="Arial"/>
          <w:szCs w:val="24"/>
        </w:rPr>
        <w:t>De même, le fait pour une ou un enfant de fréquenter une école de niveau préscolaire ou primaire, reconnue d</w:t>
      </w:r>
      <w:r w:rsidR="00BC3319" w:rsidRPr="00026EC1">
        <w:rPr>
          <w:rFonts w:cs="Arial"/>
          <w:szCs w:val="24"/>
        </w:rPr>
        <w:t>’</w:t>
      </w:r>
      <w:r w:rsidRPr="00026EC1">
        <w:rPr>
          <w:rFonts w:cs="Arial"/>
          <w:szCs w:val="24"/>
        </w:rPr>
        <w:t>intérêt public, dans un autre endroit que le lieu de résidence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ne lui enlève pas son statut de personne à charge lorsqu</w:t>
      </w:r>
      <w:r w:rsidR="00BC3319" w:rsidRPr="00026EC1">
        <w:rPr>
          <w:rFonts w:cs="Arial"/>
          <w:szCs w:val="24"/>
        </w:rPr>
        <w:t>’</w:t>
      </w:r>
      <w:r w:rsidRPr="00026EC1">
        <w:rPr>
          <w:rFonts w:cs="Arial"/>
          <w:szCs w:val="24"/>
        </w:rPr>
        <w:t>aucune école reconnue d</w:t>
      </w:r>
      <w:r w:rsidR="00BC3319" w:rsidRPr="00026EC1">
        <w:rPr>
          <w:rFonts w:cs="Arial"/>
          <w:szCs w:val="24"/>
        </w:rPr>
        <w:t>’</w:t>
      </w:r>
      <w:r w:rsidRPr="00026EC1">
        <w:rPr>
          <w:rFonts w:cs="Arial"/>
          <w:szCs w:val="24"/>
        </w:rPr>
        <w:t>intérêt public, préscolaire ou primaire selon le cas, n</w:t>
      </w:r>
      <w:r w:rsidR="00BC3319" w:rsidRPr="00026EC1">
        <w:rPr>
          <w:rFonts w:cs="Arial"/>
          <w:szCs w:val="24"/>
        </w:rPr>
        <w:t>’</w:t>
      </w:r>
      <w:r w:rsidRPr="00026EC1">
        <w:rPr>
          <w:rFonts w:cs="Arial"/>
          <w:szCs w:val="24"/>
        </w:rPr>
        <w:t>est accessible dans la langue d</w:t>
      </w:r>
      <w:r w:rsidR="00BC3319" w:rsidRPr="00026EC1">
        <w:rPr>
          <w:rFonts w:cs="Arial"/>
          <w:szCs w:val="24"/>
        </w:rPr>
        <w:t>’</w:t>
      </w:r>
      <w:r w:rsidRPr="00026EC1">
        <w:rPr>
          <w:rFonts w:cs="Arial"/>
          <w:szCs w:val="24"/>
        </w:rPr>
        <w:t>enseignement de l</w:t>
      </w:r>
      <w:r w:rsidR="00BC3319" w:rsidRPr="00026EC1">
        <w:rPr>
          <w:rFonts w:cs="Arial"/>
          <w:szCs w:val="24"/>
        </w:rPr>
        <w:t>’</w:t>
      </w:r>
      <w:r w:rsidRPr="00026EC1">
        <w:rPr>
          <w:rFonts w:cs="Arial"/>
          <w:szCs w:val="24"/>
        </w:rPr>
        <w:t>enfant (français ou anglais) dans la localité où réside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w:t>
      </w:r>
    </w:p>
    <w:p w14:paraId="1C54DE39" w14:textId="77777777" w:rsidR="008947A0" w:rsidRPr="00026EC1" w:rsidRDefault="008947A0" w:rsidP="007F120F">
      <w:pPr>
        <w:keepNext w:val="0"/>
        <w:rPr>
          <w:rFonts w:cs="Arial"/>
          <w:szCs w:val="24"/>
        </w:rPr>
      </w:pPr>
    </w:p>
    <w:p w14:paraId="7EDDFB68" w14:textId="4E3639B8" w:rsidR="008947A0" w:rsidRPr="00026EC1" w:rsidRDefault="008947A0" w:rsidP="007F120F">
      <w:pPr>
        <w:pStyle w:val="NUMRODECLAUSE"/>
        <w:keepNext w:val="0"/>
      </w:pPr>
      <w:r w:rsidRPr="00026EC1">
        <w:t>1.02</w:t>
      </w:r>
      <w:r w:rsidRPr="00026EC1">
        <w:tab/>
      </w:r>
      <w:r w:rsidRPr="00922601">
        <w:t>Point de départ</w:t>
      </w:r>
      <w:r w:rsidR="00D8581B">
        <w:t> :</w:t>
      </w:r>
    </w:p>
    <w:p w14:paraId="2502C8A8" w14:textId="77777777" w:rsidR="008947A0" w:rsidRPr="00026EC1" w:rsidRDefault="008947A0" w:rsidP="007F120F">
      <w:pPr>
        <w:keepNext w:val="0"/>
        <w:rPr>
          <w:rFonts w:cs="Arial"/>
          <w:szCs w:val="24"/>
        </w:rPr>
      </w:pPr>
      <w:r w:rsidRPr="00026EC1">
        <w:rPr>
          <w:rFonts w:cs="Arial"/>
          <w:szCs w:val="24"/>
        </w:rPr>
        <w:t>Domicile au sens légal du terme au moment où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est engagé, dans la mesure où le domicile est situé dans une localité du Québec. Ce point de départ peut être modifié par entente entre le Collège et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sous réserve que ce point de départ soit situé dans une localité du Québec.</w:t>
      </w:r>
    </w:p>
    <w:p w14:paraId="509A11E8" w14:textId="77777777" w:rsidR="00945715" w:rsidRDefault="00945715" w:rsidP="007F120F">
      <w:pPr>
        <w:keepNext w:val="0"/>
        <w:rPr>
          <w:rFonts w:cs="Arial"/>
          <w:b/>
          <w:szCs w:val="24"/>
        </w:rPr>
      </w:pPr>
    </w:p>
    <w:p w14:paraId="6FED8760" w14:textId="06D5BC00" w:rsidR="008947A0" w:rsidRPr="00026EC1" w:rsidRDefault="008947A0" w:rsidP="007F120F">
      <w:pPr>
        <w:keepNext w:val="0"/>
        <w:rPr>
          <w:rFonts w:cs="Arial"/>
          <w:szCs w:val="24"/>
        </w:rPr>
      </w:pPr>
      <w:r w:rsidRPr="00026EC1">
        <w:rPr>
          <w:rFonts w:cs="Arial"/>
          <w:b/>
          <w:szCs w:val="24"/>
        </w:rPr>
        <w:t>1.03</w:t>
      </w:r>
      <w:r w:rsidRPr="00026EC1">
        <w:rPr>
          <w:rFonts w:cs="Arial"/>
          <w:b/>
          <w:szCs w:val="24"/>
        </w:rPr>
        <w:tab/>
      </w:r>
      <w:r w:rsidRPr="00026EC1">
        <w:rPr>
          <w:rFonts w:cs="Arial"/>
          <w:b/>
          <w:szCs w:val="24"/>
          <w:u w:val="single"/>
        </w:rPr>
        <w:t>Secteurs</w:t>
      </w:r>
      <w:r w:rsidR="00D8581B">
        <w:rPr>
          <w:rFonts w:cs="Arial"/>
          <w:b/>
          <w:szCs w:val="24"/>
        </w:rPr>
        <w:t> :</w:t>
      </w:r>
      <w:r w:rsidRPr="00026EC1">
        <w:rPr>
          <w:rFonts w:cs="Arial"/>
          <w:szCs w:val="24"/>
          <w:vertAlign w:val="superscript"/>
        </w:rPr>
        <w:t>(</w:t>
      </w:r>
      <w:r w:rsidRPr="00026EC1">
        <w:rPr>
          <w:rStyle w:val="FootnoteReference"/>
          <w:rFonts w:cs="Arial"/>
          <w:szCs w:val="24"/>
        </w:rPr>
        <w:footnoteReference w:id="65"/>
      </w:r>
      <w:r w:rsidRPr="00026EC1">
        <w:rPr>
          <w:rFonts w:cs="Arial"/>
          <w:szCs w:val="24"/>
          <w:vertAlign w:val="superscript"/>
        </w:rPr>
        <w:t>)</w:t>
      </w:r>
    </w:p>
    <w:p w14:paraId="066F4E9C" w14:textId="3688DF65" w:rsidR="008947A0" w:rsidRPr="00026EC1" w:rsidRDefault="008947A0" w:rsidP="007F120F">
      <w:pPr>
        <w:keepNext w:val="0"/>
        <w:rPr>
          <w:rFonts w:cs="Arial"/>
          <w:szCs w:val="24"/>
        </w:rPr>
      </w:pPr>
      <w:r w:rsidRPr="00026EC1">
        <w:rPr>
          <w:rFonts w:cs="Arial"/>
          <w:szCs w:val="24"/>
        </w:rPr>
        <w:t>Secteur I</w:t>
      </w:r>
      <w:r w:rsidR="00D8581B">
        <w:rPr>
          <w:rFonts w:cs="Arial"/>
          <w:szCs w:val="24"/>
        </w:rPr>
        <w:t> :</w:t>
      </w:r>
    </w:p>
    <w:p w14:paraId="77277D54" w14:textId="77777777" w:rsidR="008947A0" w:rsidRPr="00026EC1" w:rsidRDefault="008947A0" w:rsidP="007F120F">
      <w:pPr>
        <w:keepNext w:val="0"/>
        <w:rPr>
          <w:rFonts w:cs="Arial"/>
          <w:szCs w:val="24"/>
        </w:rPr>
      </w:pPr>
    </w:p>
    <w:p w14:paraId="40FFE45F" w14:textId="23C4A810"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Les localités de Chibougamau, Chapais, Matagami, Joutel, Lebel</w:t>
      </w:r>
      <w:r w:rsidR="00984A6F">
        <w:rPr>
          <w:rFonts w:cs="Arial"/>
          <w:szCs w:val="24"/>
        </w:rPr>
        <w:noBreakHyphen/>
      </w:r>
      <w:r w:rsidR="008947A0" w:rsidRPr="00026EC1">
        <w:rPr>
          <w:rFonts w:cs="Arial"/>
          <w:szCs w:val="24"/>
        </w:rPr>
        <w:t>sur</w:t>
      </w:r>
      <w:r w:rsidR="00984A6F">
        <w:rPr>
          <w:rFonts w:cs="Arial"/>
          <w:szCs w:val="24"/>
        </w:rPr>
        <w:noBreakHyphen/>
      </w:r>
      <w:r w:rsidR="008947A0" w:rsidRPr="00026EC1">
        <w:rPr>
          <w:rFonts w:cs="Arial"/>
          <w:szCs w:val="24"/>
        </w:rPr>
        <w:t>Quévillon, Témiscamingue et Ville</w:t>
      </w:r>
      <w:r w:rsidR="00984A6F">
        <w:rPr>
          <w:rFonts w:cs="Arial"/>
          <w:szCs w:val="24"/>
        </w:rPr>
        <w:noBreakHyphen/>
      </w:r>
      <w:r w:rsidR="008947A0" w:rsidRPr="00026EC1">
        <w:rPr>
          <w:rFonts w:cs="Arial"/>
          <w:szCs w:val="24"/>
        </w:rPr>
        <w:t>Marie.</w:t>
      </w:r>
    </w:p>
    <w:p w14:paraId="0687F1FF" w14:textId="598904B1" w:rsidR="008947A0" w:rsidRPr="00026EC1" w:rsidRDefault="008947A0" w:rsidP="007F120F">
      <w:pPr>
        <w:keepNext w:val="0"/>
        <w:rPr>
          <w:rFonts w:cs="Arial"/>
          <w:szCs w:val="24"/>
        </w:rPr>
      </w:pPr>
      <w:r w:rsidRPr="00026EC1">
        <w:rPr>
          <w:rFonts w:cs="Arial"/>
          <w:szCs w:val="24"/>
        </w:rPr>
        <w:t>Secteur II</w:t>
      </w:r>
      <w:r w:rsidR="00D8581B">
        <w:rPr>
          <w:rFonts w:cs="Arial"/>
          <w:szCs w:val="24"/>
        </w:rPr>
        <w:t> :</w:t>
      </w:r>
    </w:p>
    <w:p w14:paraId="285B73F8" w14:textId="77777777" w:rsidR="008947A0" w:rsidRPr="00026EC1" w:rsidRDefault="008947A0" w:rsidP="007F120F">
      <w:pPr>
        <w:keepNext w:val="0"/>
        <w:rPr>
          <w:rFonts w:cs="Arial"/>
          <w:szCs w:val="24"/>
        </w:rPr>
      </w:pPr>
    </w:p>
    <w:p w14:paraId="577CAAA3" w14:textId="77777777"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La municipalité de Fermont;</w:t>
      </w:r>
    </w:p>
    <w:p w14:paraId="64AB1C3C" w14:textId="150D5869"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territoire de la Côte</w:t>
      </w:r>
      <w:r w:rsidR="00984A6F">
        <w:rPr>
          <w:rFonts w:cs="Arial"/>
          <w:szCs w:val="24"/>
        </w:rPr>
        <w:noBreakHyphen/>
      </w:r>
      <w:r w:rsidR="008947A0" w:rsidRPr="00026EC1">
        <w:rPr>
          <w:rFonts w:cs="Arial"/>
          <w:szCs w:val="24"/>
        </w:rPr>
        <w:t>Nord situé à l</w:t>
      </w:r>
      <w:r w:rsidR="00BC3319" w:rsidRPr="00026EC1">
        <w:rPr>
          <w:rFonts w:cs="Arial"/>
          <w:szCs w:val="24"/>
        </w:rPr>
        <w:t>’</w:t>
      </w:r>
      <w:r w:rsidR="008947A0" w:rsidRPr="00026EC1">
        <w:rPr>
          <w:rFonts w:cs="Arial"/>
          <w:szCs w:val="24"/>
        </w:rPr>
        <w:t>est de la Rivière Moisie et s</w:t>
      </w:r>
      <w:r w:rsidR="00BC3319" w:rsidRPr="00026EC1">
        <w:rPr>
          <w:rFonts w:cs="Arial"/>
          <w:szCs w:val="24"/>
        </w:rPr>
        <w:t>’</w:t>
      </w:r>
      <w:r w:rsidR="008947A0" w:rsidRPr="00026EC1">
        <w:rPr>
          <w:rFonts w:cs="Arial"/>
          <w:szCs w:val="24"/>
        </w:rPr>
        <w:t>étendant jusqu</w:t>
      </w:r>
      <w:r w:rsidR="00BC3319" w:rsidRPr="00026EC1">
        <w:rPr>
          <w:rFonts w:cs="Arial"/>
          <w:szCs w:val="24"/>
        </w:rPr>
        <w:t>’</w:t>
      </w:r>
      <w:r w:rsidR="008947A0" w:rsidRPr="00026EC1">
        <w:rPr>
          <w:rFonts w:cs="Arial"/>
          <w:szCs w:val="24"/>
        </w:rPr>
        <w:t>à H</w:t>
      </w:r>
      <w:r w:rsidR="007B2497" w:rsidRPr="00026EC1">
        <w:rPr>
          <w:rFonts w:cs="Arial"/>
          <w:szCs w:val="24"/>
        </w:rPr>
        <w:t>a</w:t>
      </w:r>
      <w:r w:rsidR="008947A0" w:rsidRPr="00026EC1">
        <w:rPr>
          <w:rFonts w:cs="Arial"/>
          <w:szCs w:val="24"/>
        </w:rPr>
        <w:t>vre</w:t>
      </w:r>
      <w:r w:rsidR="00984A6F">
        <w:rPr>
          <w:rFonts w:cs="Arial"/>
          <w:szCs w:val="24"/>
        </w:rPr>
        <w:noBreakHyphen/>
      </w:r>
      <w:r w:rsidR="008947A0" w:rsidRPr="00026EC1">
        <w:rPr>
          <w:rFonts w:cs="Arial"/>
          <w:szCs w:val="24"/>
        </w:rPr>
        <w:t>S</w:t>
      </w:r>
      <w:r w:rsidR="007B2497" w:rsidRPr="00026EC1">
        <w:rPr>
          <w:rFonts w:cs="Arial"/>
          <w:szCs w:val="24"/>
        </w:rPr>
        <w:t>ain</w:t>
      </w:r>
      <w:r w:rsidR="008947A0" w:rsidRPr="00026EC1">
        <w:rPr>
          <w:rFonts w:cs="Arial"/>
          <w:szCs w:val="24"/>
        </w:rPr>
        <w:t>t</w:t>
      </w:r>
      <w:r w:rsidR="00984A6F">
        <w:rPr>
          <w:rFonts w:cs="Arial"/>
          <w:szCs w:val="24"/>
        </w:rPr>
        <w:noBreakHyphen/>
      </w:r>
      <w:r w:rsidR="008947A0" w:rsidRPr="00026EC1">
        <w:rPr>
          <w:rFonts w:cs="Arial"/>
          <w:szCs w:val="24"/>
        </w:rPr>
        <w:t>Pierre;</w:t>
      </w:r>
    </w:p>
    <w:p w14:paraId="13670EA7" w14:textId="6100CF4F"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 xml:space="preserve">les </w:t>
      </w:r>
      <w:r w:rsidR="007160B0" w:rsidRPr="00026EC1">
        <w:rPr>
          <w:rFonts w:cs="Arial"/>
          <w:szCs w:val="24"/>
        </w:rPr>
        <w:t>Î</w:t>
      </w:r>
      <w:r w:rsidR="008947A0" w:rsidRPr="00026EC1">
        <w:rPr>
          <w:rFonts w:cs="Arial"/>
          <w:szCs w:val="24"/>
        </w:rPr>
        <w:t>les</w:t>
      </w:r>
      <w:r w:rsidR="00984A6F">
        <w:rPr>
          <w:rFonts w:cs="Arial"/>
          <w:szCs w:val="24"/>
        </w:rPr>
        <w:noBreakHyphen/>
      </w:r>
      <w:r w:rsidR="008947A0" w:rsidRPr="00026EC1">
        <w:rPr>
          <w:rFonts w:cs="Arial"/>
          <w:szCs w:val="24"/>
        </w:rPr>
        <w:t>de</w:t>
      </w:r>
      <w:r w:rsidR="00984A6F">
        <w:rPr>
          <w:rFonts w:cs="Arial"/>
          <w:szCs w:val="24"/>
        </w:rPr>
        <w:noBreakHyphen/>
      </w:r>
      <w:r w:rsidR="008947A0" w:rsidRPr="00026EC1">
        <w:rPr>
          <w:rFonts w:cs="Arial"/>
          <w:szCs w:val="24"/>
        </w:rPr>
        <w:t>la</w:t>
      </w:r>
      <w:r w:rsidR="00984A6F">
        <w:rPr>
          <w:rFonts w:cs="Arial"/>
          <w:szCs w:val="24"/>
        </w:rPr>
        <w:noBreakHyphen/>
      </w:r>
      <w:r w:rsidR="008947A0" w:rsidRPr="00026EC1">
        <w:rPr>
          <w:rFonts w:cs="Arial"/>
          <w:szCs w:val="24"/>
        </w:rPr>
        <w:t>Madeleine.</w:t>
      </w:r>
    </w:p>
    <w:p w14:paraId="73A9E2DF" w14:textId="77777777" w:rsidR="008947A0" w:rsidRPr="00026EC1" w:rsidRDefault="008947A0" w:rsidP="007F120F">
      <w:pPr>
        <w:keepNext w:val="0"/>
        <w:rPr>
          <w:rFonts w:cs="Arial"/>
          <w:szCs w:val="24"/>
        </w:rPr>
      </w:pPr>
    </w:p>
    <w:p w14:paraId="57718CC8" w14:textId="41E31258" w:rsidR="008947A0" w:rsidRPr="00026EC1" w:rsidRDefault="008947A0" w:rsidP="007F120F">
      <w:pPr>
        <w:keepNext w:val="0"/>
        <w:rPr>
          <w:rFonts w:cs="Arial"/>
          <w:szCs w:val="24"/>
        </w:rPr>
      </w:pPr>
      <w:r w:rsidRPr="00026EC1">
        <w:rPr>
          <w:rFonts w:cs="Arial"/>
          <w:szCs w:val="24"/>
        </w:rPr>
        <w:t>Secteur III</w:t>
      </w:r>
      <w:r w:rsidR="00D8581B">
        <w:rPr>
          <w:rFonts w:cs="Arial"/>
          <w:szCs w:val="24"/>
        </w:rPr>
        <w:t> :</w:t>
      </w:r>
    </w:p>
    <w:p w14:paraId="3A32B397" w14:textId="77777777" w:rsidR="008947A0" w:rsidRPr="00026EC1" w:rsidRDefault="008947A0" w:rsidP="007F120F">
      <w:pPr>
        <w:keepNext w:val="0"/>
        <w:rPr>
          <w:rFonts w:cs="Arial"/>
          <w:szCs w:val="24"/>
        </w:rPr>
      </w:pPr>
    </w:p>
    <w:p w14:paraId="46208704" w14:textId="1E6671EA" w:rsidR="008947A0" w:rsidRPr="0048568D"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territoire situé au nord du cinquante</w:t>
      </w:r>
      <w:r w:rsidR="00EA6192" w:rsidRPr="00026EC1">
        <w:rPr>
          <w:rFonts w:cs="Arial"/>
          <w:szCs w:val="24"/>
        </w:rPr>
        <w:t xml:space="preserve"> </w:t>
      </w:r>
      <w:r w:rsidR="008947A0" w:rsidRPr="00026EC1">
        <w:rPr>
          <w:rFonts w:cs="Arial"/>
          <w:szCs w:val="24"/>
        </w:rPr>
        <w:t>et</w:t>
      </w:r>
      <w:r w:rsidR="00EA6192" w:rsidRPr="00026EC1">
        <w:rPr>
          <w:rFonts w:cs="Arial"/>
          <w:szCs w:val="24"/>
        </w:rPr>
        <w:t xml:space="preserve"> </w:t>
      </w:r>
      <w:r w:rsidR="008947A0" w:rsidRPr="00026EC1">
        <w:rPr>
          <w:rFonts w:cs="Arial"/>
          <w:szCs w:val="24"/>
        </w:rPr>
        <w:t>unième (51</w:t>
      </w:r>
      <w:r w:rsidR="007160B0" w:rsidRPr="00026EC1">
        <w:rPr>
          <w:rFonts w:cs="Arial"/>
          <w:szCs w:val="24"/>
          <w:vertAlign w:val="superscript"/>
        </w:rPr>
        <w:t>e</w:t>
      </w:r>
      <w:r w:rsidR="008947A0" w:rsidRPr="00026EC1">
        <w:rPr>
          <w:rFonts w:cs="Arial"/>
          <w:szCs w:val="24"/>
        </w:rPr>
        <w:t>) degré de latitude incluant Mistissini, Chisasibi, Radisson, et Waswanipi à l</w:t>
      </w:r>
      <w:r w:rsidR="00BC3319" w:rsidRPr="00026EC1">
        <w:rPr>
          <w:rFonts w:cs="Arial"/>
          <w:szCs w:val="24"/>
        </w:rPr>
        <w:t>’</w:t>
      </w:r>
      <w:r w:rsidR="008947A0" w:rsidRPr="00026EC1">
        <w:rPr>
          <w:rFonts w:cs="Arial"/>
          <w:szCs w:val="24"/>
        </w:rPr>
        <w:t xml:space="preserve">exception de Fermont et des localités spécifiées aux </w:t>
      </w:r>
      <w:r w:rsidR="008947A0" w:rsidRPr="0048568D">
        <w:rPr>
          <w:rFonts w:cs="Arial"/>
          <w:szCs w:val="24"/>
        </w:rPr>
        <w:t>secteurs IV et V;</w:t>
      </w:r>
    </w:p>
    <w:p w14:paraId="68E87227" w14:textId="542FCE74" w:rsidR="008947A0" w:rsidRPr="0048568D" w:rsidRDefault="00275751" w:rsidP="007F120F">
      <w:pPr>
        <w:keepNext w:val="0"/>
        <w:tabs>
          <w:tab w:val="left" w:pos="567"/>
        </w:tabs>
        <w:ind w:left="567" w:hanging="567"/>
        <w:rPr>
          <w:rFonts w:cs="Arial"/>
          <w:szCs w:val="24"/>
        </w:rPr>
      </w:pPr>
      <w:r w:rsidRPr="0048568D">
        <w:rPr>
          <w:rFonts w:ascii="Symbol" w:hAnsi="Symbol" w:cs="Arial"/>
          <w:szCs w:val="24"/>
        </w:rPr>
        <w:t></w:t>
      </w:r>
      <w:r w:rsidRPr="0048568D">
        <w:rPr>
          <w:rFonts w:ascii="Symbol" w:hAnsi="Symbol" w:cs="Arial"/>
          <w:szCs w:val="24"/>
        </w:rPr>
        <w:tab/>
      </w:r>
      <w:r w:rsidR="008947A0" w:rsidRPr="0048568D">
        <w:rPr>
          <w:rFonts w:cs="Arial"/>
          <w:szCs w:val="24"/>
        </w:rPr>
        <w:t xml:space="preserve">les localités de Parent, </w:t>
      </w:r>
      <w:r w:rsidR="008E52CF" w:rsidRPr="0048568D">
        <w:t>Sanmaur, Clova et Oujé</w:t>
      </w:r>
      <w:r w:rsidR="00984A6F">
        <w:noBreakHyphen/>
      </w:r>
      <w:r w:rsidR="008E52CF" w:rsidRPr="0048568D">
        <w:t>Bougoumou ;</w:t>
      </w:r>
    </w:p>
    <w:p w14:paraId="387029DF" w14:textId="4382B38C" w:rsidR="008947A0" w:rsidRPr="0048568D" w:rsidRDefault="00275751" w:rsidP="007F120F">
      <w:pPr>
        <w:keepNext w:val="0"/>
        <w:tabs>
          <w:tab w:val="left" w:pos="567"/>
        </w:tabs>
        <w:ind w:left="567" w:hanging="567"/>
        <w:rPr>
          <w:rFonts w:cs="Arial"/>
          <w:szCs w:val="24"/>
        </w:rPr>
      </w:pPr>
      <w:r w:rsidRPr="0048568D">
        <w:rPr>
          <w:rFonts w:ascii="Symbol" w:hAnsi="Symbol" w:cs="Arial"/>
          <w:szCs w:val="24"/>
        </w:rPr>
        <w:t></w:t>
      </w:r>
      <w:r w:rsidRPr="0048568D">
        <w:rPr>
          <w:rFonts w:ascii="Symbol" w:hAnsi="Symbol" w:cs="Arial"/>
          <w:szCs w:val="24"/>
        </w:rPr>
        <w:tab/>
      </w:r>
      <w:r w:rsidR="008947A0" w:rsidRPr="0048568D">
        <w:rPr>
          <w:rFonts w:cs="Arial"/>
          <w:szCs w:val="24"/>
        </w:rPr>
        <w:t>le territoire de la Côte</w:t>
      </w:r>
      <w:r w:rsidR="00984A6F">
        <w:rPr>
          <w:rFonts w:cs="Arial"/>
          <w:szCs w:val="24"/>
        </w:rPr>
        <w:noBreakHyphen/>
      </w:r>
      <w:r w:rsidR="008947A0" w:rsidRPr="0048568D">
        <w:rPr>
          <w:rFonts w:cs="Arial"/>
          <w:szCs w:val="24"/>
        </w:rPr>
        <w:t>Nord s</w:t>
      </w:r>
      <w:r w:rsidR="00BC3319" w:rsidRPr="0048568D">
        <w:rPr>
          <w:rFonts w:cs="Arial"/>
          <w:szCs w:val="24"/>
        </w:rPr>
        <w:t>’</w:t>
      </w:r>
      <w:r w:rsidR="008947A0" w:rsidRPr="0048568D">
        <w:rPr>
          <w:rFonts w:cs="Arial"/>
          <w:szCs w:val="24"/>
        </w:rPr>
        <w:t>étendant à l</w:t>
      </w:r>
      <w:r w:rsidR="00BC3319" w:rsidRPr="0048568D">
        <w:rPr>
          <w:rFonts w:cs="Arial"/>
          <w:szCs w:val="24"/>
        </w:rPr>
        <w:t>’</w:t>
      </w:r>
      <w:r w:rsidR="008947A0" w:rsidRPr="0048568D">
        <w:rPr>
          <w:rFonts w:cs="Arial"/>
          <w:szCs w:val="24"/>
        </w:rPr>
        <w:t>est de H</w:t>
      </w:r>
      <w:r w:rsidR="006359E3" w:rsidRPr="0048568D">
        <w:rPr>
          <w:rFonts w:cs="Arial"/>
          <w:szCs w:val="24"/>
        </w:rPr>
        <w:t>a</w:t>
      </w:r>
      <w:r w:rsidR="008947A0" w:rsidRPr="0048568D">
        <w:rPr>
          <w:rFonts w:cs="Arial"/>
          <w:szCs w:val="24"/>
        </w:rPr>
        <w:t>vre</w:t>
      </w:r>
      <w:r w:rsidR="00984A6F">
        <w:rPr>
          <w:rFonts w:cs="Arial"/>
          <w:szCs w:val="24"/>
        </w:rPr>
        <w:noBreakHyphen/>
      </w:r>
      <w:r w:rsidR="008947A0" w:rsidRPr="0048568D">
        <w:rPr>
          <w:rFonts w:cs="Arial"/>
          <w:szCs w:val="24"/>
        </w:rPr>
        <w:t>S</w:t>
      </w:r>
      <w:r w:rsidR="006359E3" w:rsidRPr="0048568D">
        <w:rPr>
          <w:rFonts w:cs="Arial"/>
          <w:szCs w:val="24"/>
        </w:rPr>
        <w:t>ain</w:t>
      </w:r>
      <w:r w:rsidR="008947A0" w:rsidRPr="0048568D">
        <w:rPr>
          <w:rFonts w:cs="Arial"/>
          <w:szCs w:val="24"/>
        </w:rPr>
        <w:t>t</w:t>
      </w:r>
      <w:r w:rsidR="00984A6F">
        <w:rPr>
          <w:rFonts w:cs="Arial"/>
          <w:szCs w:val="24"/>
        </w:rPr>
        <w:noBreakHyphen/>
      </w:r>
      <w:r w:rsidR="008947A0" w:rsidRPr="0048568D">
        <w:rPr>
          <w:rFonts w:cs="Arial"/>
          <w:szCs w:val="24"/>
        </w:rPr>
        <w:t>Pierre, jusqu</w:t>
      </w:r>
      <w:r w:rsidR="00BC3319" w:rsidRPr="0048568D">
        <w:rPr>
          <w:rFonts w:cs="Arial"/>
          <w:szCs w:val="24"/>
        </w:rPr>
        <w:t>’</w:t>
      </w:r>
      <w:r w:rsidR="008947A0" w:rsidRPr="0048568D">
        <w:rPr>
          <w:rFonts w:cs="Arial"/>
          <w:szCs w:val="24"/>
        </w:rPr>
        <w:t>à la limite du Labrador, y compris l</w:t>
      </w:r>
      <w:r w:rsidR="00BC3319" w:rsidRPr="0048568D">
        <w:rPr>
          <w:rFonts w:cs="Arial"/>
          <w:szCs w:val="24"/>
        </w:rPr>
        <w:t>’</w:t>
      </w:r>
      <w:r w:rsidR="008947A0" w:rsidRPr="0048568D">
        <w:rPr>
          <w:rFonts w:cs="Arial"/>
          <w:szCs w:val="24"/>
        </w:rPr>
        <w:t>Île d</w:t>
      </w:r>
      <w:r w:rsidR="00BC3319" w:rsidRPr="0048568D">
        <w:rPr>
          <w:rFonts w:cs="Arial"/>
          <w:szCs w:val="24"/>
        </w:rPr>
        <w:t>’</w:t>
      </w:r>
      <w:r w:rsidR="008947A0" w:rsidRPr="0048568D">
        <w:rPr>
          <w:rFonts w:cs="Arial"/>
          <w:szCs w:val="24"/>
        </w:rPr>
        <w:t>Anticosti.</w:t>
      </w:r>
    </w:p>
    <w:p w14:paraId="42031279" w14:textId="77777777" w:rsidR="008947A0" w:rsidRPr="0048568D" w:rsidRDefault="008947A0" w:rsidP="007F120F">
      <w:pPr>
        <w:keepNext w:val="0"/>
        <w:rPr>
          <w:rFonts w:cs="Arial"/>
          <w:szCs w:val="24"/>
        </w:rPr>
      </w:pPr>
    </w:p>
    <w:p w14:paraId="0AE88A38" w14:textId="1E95BD5B" w:rsidR="008947A0" w:rsidRPr="0048568D" w:rsidRDefault="008947A0" w:rsidP="007F120F">
      <w:pPr>
        <w:keepNext w:val="0"/>
        <w:rPr>
          <w:rFonts w:cs="Arial"/>
          <w:szCs w:val="24"/>
        </w:rPr>
      </w:pPr>
      <w:r w:rsidRPr="0048568D">
        <w:rPr>
          <w:rFonts w:cs="Arial"/>
          <w:szCs w:val="24"/>
        </w:rPr>
        <w:t>Secteur IV</w:t>
      </w:r>
      <w:r w:rsidR="00D8581B" w:rsidRPr="0048568D">
        <w:rPr>
          <w:rFonts w:cs="Arial"/>
          <w:szCs w:val="24"/>
        </w:rPr>
        <w:t> :</w:t>
      </w:r>
    </w:p>
    <w:p w14:paraId="160B4D27" w14:textId="77777777" w:rsidR="008947A0" w:rsidRPr="0048568D" w:rsidRDefault="008947A0" w:rsidP="007F120F">
      <w:pPr>
        <w:keepNext w:val="0"/>
        <w:rPr>
          <w:rFonts w:cs="Arial"/>
          <w:szCs w:val="24"/>
        </w:rPr>
      </w:pPr>
    </w:p>
    <w:p w14:paraId="4A9B9D98" w14:textId="65CEBE73" w:rsidR="002C6AE0" w:rsidRPr="0048568D" w:rsidRDefault="002C6AE0" w:rsidP="007F120F">
      <w:pPr>
        <w:keepNext w:val="0"/>
        <w:tabs>
          <w:tab w:val="left" w:pos="567"/>
        </w:tabs>
        <w:ind w:left="567" w:hanging="567"/>
        <w:rPr>
          <w:rFonts w:cs="Arial"/>
          <w:szCs w:val="24"/>
        </w:rPr>
      </w:pPr>
      <w:r w:rsidRPr="0048568D">
        <w:rPr>
          <w:rFonts w:ascii="Symbol" w:hAnsi="Symbol" w:cs="Arial"/>
          <w:szCs w:val="24"/>
        </w:rPr>
        <w:t></w:t>
      </w:r>
      <w:r w:rsidRPr="0048568D">
        <w:rPr>
          <w:rFonts w:ascii="Symbol" w:hAnsi="Symbol" w:cs="Arial"/>
          <w:szCs w:val="24"/>
        </w:rPr>
        <w:tab/>
      </w:r>
      <w:r w:rsidRPr="0048568D">
        <w:rPr>
          <w:rFonts w:cs="Arial"/>
          <w:szCs w:val="24"/>
        </w:rPr>
        <w:t xml:space="preserve">Les localités de Wemindji, Eastmain, Waskaganish, Nemiscau, Inukjuak, Puvirnituq, </w:t>
      </w:r>
      <w:r w:rsidR="00B2785C" w:rsidRPr="0048568D">
        <w:rPr>
          <w:rFonts w:cs="Arial"/>
          <w:szCs w:val="24"/>
        </w:rPr>
        <w:t xml:space="preserve">Kuujjuaq, Kuujjuarapik, Whapmagoostui, </w:t>
      </w:r>
      <w:r w:rsidR="00B2785C" w:rsidRPr="0048568D">
        <w:t>Schefferville et Kawawachikamach</w:t>
      </w:r>
      <w:r w:rsidR="00B2785C" w:rsidRPr="0048568D">
        <w:rPr>
          <w:rFonts w:cs="Arial"/>
          <w:szCs w:val="24"/>
        </w:rPr>
        <w:t>.</w:t>
      </w:r>
    </w:p>
    <w:p w14:paraId="4EF9B48C" w14:textId="77777777" w:rsidR="008947A0" w:rsidRPr="0048568D" w:rsidRDefault="008947A0" w:rsidP="007F120F">
      <w:pPr>
        <w:keepNext w:val="0"/>
        <w:rPr>
          <w:rFonts w:cs="Arial"/>
          <w:szCs w:val="24"/>
        </w:rPr>
      </w:pPr>
    </w:p>
    <w:p w14:paraId="5C904104" w14:textId="72C71774" w:rsidR="008947A0" w:rsidRPr="0048568D" w:rsidRDefault="008947A0" w:rsidP="007F120F">
      <w:pPr>
        <w:keepNext w:val="0"/>
        <w:rPr>
          <w:rFonts w:cs="Arial"/>
          <w:szCs w:val="24"/>
        </w:rPr>
      </w:pPr>
      <w:r w:rsidRPr="0048568D">
        <w:rPr>
          <w:rFonts w:cs="Arial"/>
          <w:szCs w:val="24"/>
        </w:rPr>
        <w:t>Secteur V</w:t>
      </w:r>
      <w:r w:rsidR="00D8581B" w:rsidRPr="0048568D">
        <w:rPr>
          <w:rFonts w:cs="Arial"/>
          <w:szCs w:val="24"/>
        </w:rPr>
        <w:t> :</w:t>
      </w:r>
    </w:p>
    <w:p w14:paraId="251B0E59" w14:textId="77777777" w:rsidR="008947A0" w:rsidRPr="0048568D" w:rsidRDefault="008947A0" w:rsidP="007F120F">
      <w:pPr>
        <w:keepNext w:val="0"/>
        <w:rPr>
          <w:rFonts w:cs="Arial"/>
          <w:szCs w:val="24"/>
        </w:rPr>
      </w:pPr>
    </w:p>
    <w:p w14:paraId="1A022248" w14:textId="1354AF10" w:rsidR="008947A0" w:rsidRPr="00026EC1" w:rsidRDefault="00275751" w:rsidP="007F120F">
      <w:pPr>
        <w:keepNext w:val="0"/>
        <w:tabs>
          <w:tab w:val="left" w:pos="567"/>
        </w:tabs>
        <w:ind w:left="567" w:hanging="567"/>
        <w:rPr>
          <w:rFonts w:cs="Arial"/>
          <w:szCs w:val="24"/>
        </w:rPr>
      </w:pPr>
      <w:r w:rsidRPr="0048568D">
        <w:rPr>
          <w:rFonts w:ascii="Symbol" w:hAnsi="Symbol" w:cs="Arial"/>
          <w:szCs w:val="24"/>
        </w:rPr>
        <w:t></w:t>
      </w:r>
      <w:r w:rsidRPr="0048568D">
        <w:rPr>
          <w:rFonts w:ascii="Symbol" w:hAnsi="Symbol" w:cs="Arial"/>
          <w:szCs w:val="24"/>
        </w:rPr>
        <w:tab/>
      </w:r>
      <w:r w:rsidR="008947A0" w:rsidRPr="0048568D">
        <w:rPr>
          <w:rFonts w:cs="Arial"/>
          <w:szCs w:val="24"/>
        </w:rPr>
        <w:t>Les localités de Tasiujaq, Ivujivik, Kangiqsualujjuaq, Aupaluk, Quaqtaq, Akulivik, Kangiqsujuaq, Kangirsuk, Salluit</w:t>
      </w:r>
      <w:r w:rsidR="001A764E" w:rsidRPr="0048568D">
        <w:t>, Taqpangajuk et Umiujaq.</w:t>
      </w:r>
    </w:p>
    <w:p w14:paraId="5EE9F59A" w14:textId="77777777" w:rsidR="008947A0" w:rsidRPr="00026EC1" w:rsidRDefault="008947A0" w:rsidP="007F120F">
      <w:pPr>
        <w:keepNext w:val="0"/>
        <w:rPr>
          <w:rFonts w:cs="Arial"/>
          <w:szCs w:val="24"/>
        </w:rPr>
      </w:pPr>
    </w:p>
    <w:p w14:paraId="507FFFCB" w14:textId="77777777" w:rsidR="008947A0" w:rsidRPr="00026EC1" w:rsidRDefault="008947A0" w:rsidP="007F120F">
      <w:pPr>
        <w:pStyle w:val="MGSTexte0cm"/>
        <w:keepNext w:val="0"/>
        <w:tabs>
          <w:tab w:val="left" w:pos="1800"/>
        </w:tabs>
        <w:rPr>
          <w:rFonts w:cs="Arial"/>
          <w:szCs w:val="24"/>
        </w:rPr>
      </w:pPr>
      <w:r w:rsidRPr="00026EC1">
        <w:rPr>
          <w:rFonts w:cs="Arial"/>
          <w:szCs w:val="24"/>
        </w:rPr>
        <w:br w:type="page"/>
        <w:t>SECTION 2.00</w:t>
      </w:r>
      <w:r w:rsidRPr="00026EC1">
        <w:rPr>
          <w:rFonts w:cs="Arial"/>
          <w:szCs w:val="24"/>
        </w:rPr>
        <w:tab/>
        <w:t>NIVEAU DE LA PRIME</w:t>
      </w:r>
    </w:p>
    <w:p w14:paraId="5984E955" w14:textId="77777777" w:rsidR="008947A0" w:rsidRPr="00026EC1" w:rsidRDefault="008947A0" w:rsidP="007F120F">
      <w:pPr>
        <w:keepNext w:val="0"/>
        <w:rPr>
          <w:rFonts w:cs="Arial"/>
          <w:szCs w:val="24"/>
        </w:rPr>
      </w:pPr>
    </w:p>
    <w:p w14:paraId="5AF852DF" w14:textId="77777777" w:rsidR="008947A0" w:rsidRPr="00026EC1" w:rsidRDefault="008947A0" w:rsidP="007F120F">
      <w:pPr>
        <w:pStyle w:val="NUMRODECLAUSE"/>
        <w:keepNext w:val="0"/>
      </w:pPr>
      <w:r w:rsidRPr="00026EC1">
        <w:t>2.01</w:t>
      </w:r>
    </w:p>
    <w:p w14:paraId="03900B8F" w14:textId="36C2DB58" w:rsidR="008947A0" w:rsidRPr="00026EC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qui enseigne dans un secteur mentionné à la clause 1.03 reçoit une prime annuelle d</w:t>
      </w:r>
      <w:r w:rsidR="00BC3319" w:rsidRPr="00026EC1">
        <w:rPr>
          <w:rFonts w:cs="Arial"/>
          <w:szCs w:val="24"/>
        </w:rPr>
        <w:t>’</w:t>
      </w:r>
      <w:r w:rsidRPr="00026EC1">
        <w:rPr>
          <w:rFonts w:cs="Arial"/>
          <w:szCs w:val="24"/>
        </w:rPr>
        <w:t>isolement et d</w:t>
      </w:r>
      <w:r w:rsidR="00BC3319" w:rsidRPr="00026EC1">
        <w:rPr>
          <w:rFonts w:cs="Arial"/>
          <w:szCs w:val="24"/>
        </w:rPr>
        <w:t>’</w:t>
      </w:r>
      <w:r w:rsidRPr="00026EC1">
        <w:rPr>
          <w:rFonts w:cs="Arial"/>
          <w:szCs w:val="24"/>
        </w:rPr>
        <w:t>éloignement de</w:t>
      </w:r>
      <w:r w:rsidR="00D8581B">
        <w:rPr>
          <w:rFonts w:cs="Arial"/>
          <w:szCs w:val="24"/>
        </w:rPr>
        <w:t> :</w:t>
      </w:r>
    </w:p>
    <w:p w14:paraId="4818188F" w14:textId="77777777" w:rsidR="008947A0" w:rsidRPr="00026EC1" w:rsidRDefault="008947A0" w:rsidP="007F120F">
      <w:pPr>
        <w:keepNext w:val="0"/>
        <w:rPr>
          <w:rFonts w:cs="Arial"/>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2"/>
        <w:gridCol w:w="9"/>
        <w:gridCol w:w="1603"/>
        <w:gridCol w:w="7"/>
        <w:gridCol w:w="2039"/>
        <w:gridCol w:w="692"/>
        <w:gridCol w:w="7"/>
        <w:gridCol w:w="2009"/>
        <w:gridCol w:w="724"/>
      </w:tblGrid>
      <w:tr w:rsidR="00922601" w:rsidRPr="00922601" w14:paraId="77A08673" w14:textId="77777777" w:rsidTr="00940BD8">
        <w:trPr>
          <w:trHeight w:val="412"/>
        </w:trPr>
        <w:tc>
          <w:tcPr>
            <w:tcW w:w="1222" w:type="pct"/>
            <w:gridSpan w:val="2"/>
          </w:tcPr>
          <w:p w14:paraId="5C53553D" w14:textId="77777777" w:rsidR="00922601" w:rsidRPr="00922601" w:rsidRDefault="00922601" w:rsidP="00940BD8">
            <w:pPr>
              <w:keepNext w:val="0"/>
              <w:jc w:val="left"/>
              <w:rPr>
                <w:b/>
                <w:dstrike/>
                <w:sz w:val="22"/>
                <w:szCs w:val="22"/>
                <w:highlight w:val="lightGray"/>
              </w:rPr>
            </w:pPr>
          </w:p>
        </w:tc>
        <w:tc>
          <w:tcPr>
            <w:tcW w:w="859" w:type="pct"/>
            <w:gridSpan w:val="2"/>
            <w:shd w:val="clear" w:color="auto" w:fill="auto"/>
            <w:noWrap/>
            <w:vAlign w:val="center"/>
            <w:hideMark/>
          </w:tcPr>
          <w:p w14:paraId="03F9F0B0" w14:textId="77777777" w:rsidR="00922601" w:rsidRPr="00922601" w:rsidRDefault="00922601" w:rsidP="00940BD8">
            <w:pPr>
              <w:keepNext w:val="0"/>
              <w:jc w:val="center"/>
              <w:rPr>
                <w:sz w:val="22"/>
                <w:szCs w:val="22"/>
                <w:highlight w:val="lightGray"/>
                <w:lang w:eastAsia="fr-CA"/>
              </w:rPr>
            </w:pPr>
            <w:r w:rsidRPr="00316277">
              <w:rPr>
                <w:sz w:val="22"/>
                <w:szCs w:val="22"/>
                <w:lang w:eastAsia="fr-CA"/>
              </w:rPr>
              <w:t>Secteur</w:t>
            </w:r>
          </w:p>
        </w:tc>
        <w:tc>
          <w:tcPr>
            <w:tcW w:w="1461" w:type="pct"/>
            <w:gridSpan w:val="3"/>
            <w:shd w:val="clear" w:color="auto" w:fill="auto"/>
            <w:noWrap/>
            <w:vAlign w:val="center"/>
            <w:hideMark/>
          </w:tcPr>
          <w:p w14:paraId="26933627" w14:textId="77777777" w:rsidR="00922601" w:rsidRPr="00922601" w:rsidRDefault="00922601" w:rsidP="00940BD8">
            <w:pPr>
              <w:keepNext w:val="0"/>
              <w:ind w:left="8"/>
              <w:jc w:val="center"/>
              <w:rPr>
                <w:sz w:val="22"/>
                <w:szCs w:val="22"/>
                <w:highlight w:val="lightGray"/>
                <w:lang w:eastAsia="fr-CA"/>
              </w:rPr>
            </w:pPr>
            <w:r w:rsidRPr="00316277">
              <w:rPr>
                <w:sz w:val="22"/>
                <w:szCs w:val="22"/>
                <w:lang w:eastAsia="fr-CA"/>
              </w:rPr>
              <w:t>Avec personne à charge</w:t>
            </w:r>
          </w:p>
        </w:tc>
        <w:tc>
          <w:tcPr>
            <w:tcW w:w="1458" w:type="pct"/>
            <w:gridSpan w:val="2"/>
            <w:tcBorders>
              <w:bottom w:val="single" w:sz="4" w:space="0" w:color="auto"/>
            </w:tcBorders>
            <w:vAlign w:val="center"/>
          </w:tcPr>
          <w:p w14:paraId="78914211" w14:textId="77777777" w:rsidR="00922601" w:rsidRPr="00316277" w:rsidRDefault="00922601" w:rsidP="00940BD8">
            <w:pPr>
              <w:keepNext w:val="0"/>
              <w:ind w:left="8"/>
              <w:jc w:val="center"/>
              <w:rPr>
                <w:sz w:val="22"/>
                <w:szCs w:val="22"/>
                <w:lang w:eastAsia="fr-CA"/>
              </w:rPr>
            </w:pPr>
            <w:r w:rsidRPr="00316277">
              <w:rPr>
                <w:sz w:val="22"/>
                <w:szCs w:val="22"/>
                <w:lang w:eastAsia="fr-CA"/>
              </w:rPr>
              <w:t>Sans personne à charge</w:t>
            </w:r>
          </w:p>
        </w:tc>
      </w:tr>
      <w:tr w:rsidR="00922601" w:rsidRPr="00922601" w14:paraId="42482BEA" w14:textId="77777777" w:rsidTr="00940BD8">
        <w:trPr>
          <w:trHeight w:val="255"/>
        </w:trPr>
        <w:tc>
          <w:tcPr>
            <w:tcW w:w="1222" w:type="pct"/>
            <w:gridSpan w:val="2"/>
            <w:vMerge w:val="restart"/>
            <w:vAlign w:val="center"/>
          </w:tcPr>
          <w:p w14:paraId="6452E8C7" w14:textId="0A2AF3C9" w:rsidR="00922601" w:rsidRPr="00922601" w:rsidRDefault="00922601" w:rsidP="00940BD8">
            <w:pPr>
              <w:keepNext w:val="0"/>
              <w:jc w:val="left"/>
              <w:rPr>
                <w:rFonts w:cs="Arial"/>
                <w:sz w:val="22"/>
                <w:szCs w:val="22"/>
                <w:highlight w:val="lightGray"/>
                <w:vertAlign w:val="superscript"/>
              </w:rPr>
            </w:pPr>
            <w:r w:rsidRPr="00316277">
              <w:rPr>
                <w:rFonts w:cs="Arial"/>
                <w:sz w:val="22"/>
                <w:szCs w:val="22"/>
              </w:rPr>
              <w:t>Du 1</w:t>
            </w:r>
            <w:r w:rsidRPr="00316277">
              <w:rPr>
                <w:rFonts w:cs="Arial"/>
                <w:sz w:val="22"/>
                <w:szCs w:val="22"/>
                <w:vertAlign w:val="superscript"/>
              </w:rPr>
              <w:t>er </w:t>
            </w:r>
            <w:r w:rsidRPr="00316277">
              <w:rPr>
                <w:rFonts w:cs="Arial"/>
                <w:sz w:val="22"/>
                <w:szCs w:val="22"/>
              </w:rPr>
              <w:t>avril 2023 au 31 mars 2024</w:t>
            </w:r>
          </w:p>
        </w:tc>
        <w:tc>
          <w:tcPr>
            <w:tcW w:w="859" w:type="pct"/>
            <w:gridSpan w:val="2"/>
            <w:shd w:val="clear" w:color="auto" w:fill="auto"/>
            <w:noWrap/>
            <w:hideMark/>
          </w:tcPr>
          <w:p w14:paraId="5BB91600"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68DD391"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9 813 $</w:t>
            </w:r>
          </w:p>
        </w:tc>
        <w:tc>
          <w:tcPr>
            <w:tcW w:w="1458" w:type="pct"/>
            <w:gridSpan w:val="2"/>
            <w:tcBorders>
              <w:top w:val="single" w:sz="4" w:space="0" w:color="auto"/>
              <w:left w:val="single" w:sz="4" w:space="0" w:color="auto"/>
              <w:bottom w:val="single" w:sz="4" w:space="0" w:color="auto"/>
            </w:tcBorders>
            <w:shd w:val="clear" w:color="auto" w:fill="auto"/>
            <w:noWrap/>
          </w:tcPr>
          <w:p w14:paraId="69FA4C26"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6 860 $</w:t>
            </w:r>
          </w:p>
        </w:tc>
      </w:tr>
      <w:tr w:rsidR="00922601" w:rsidRPr="00922601" w14:paraId="2D30C5EE" w14:textId="77777777" w:rsidTr="00940BD8">
        <w:trPr>
          <w:trHeight w:val="255"/>
        </w:trPr>
        <w:tc>
          <w:tcPr>
            <w:tcW w:w="1222" w:type="pct"/>
            <w:gridSpan w:val="2"/>
            <w:vMerge/>
          </w:tcPr>
          <w:p w14:paraId="65C98F3D" w14:textId="77777777" w:rsidR="00922601" w:rsidRPr="00922601" w:rsidRDefault="00922601" w:rsidP="00940BD8">
            <w:pPr>
              <w:keepNext w:val="0"/>
              <w:jc w:val="left"/>
              <w:rPr>
                <w:rFonts w:cs="Arial"/>
                <w:sz w:val="22"/>
                <w:szCs w:val="22"/>
                <w:highlight w:val="lightGray"/>
              </w:rPr>
            </w:pPr>
          </w:p>
        </w:tc>
        <w:tc>
          <w:tcPr>
            <w:tcW w:w="859" w:type="pct"/>
            <w:gridSpan w:val="2"/>
            <w:shd w:val="clear" w:color="auto" w:fill="auto"/>
            <w:noWrap/>
            <w:hideMark/>
          </w:tcPr>
          <w:p w14:paraId="00891232"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258BC562"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12 137 $</w:t>
            </w:r>
          </w:p>
        </w:tc>
        <w:tc>
          <w:tcPr>
            <w:tcW w:w="1458" w:type="pct"/>
            <w:gridSpan w:val="2"/>
            <w:tcBorders>
              <w:top w:val="single" w:sz="4" w:space="0" w:color="auto"/>
              <w:left w:val="single" w:sz="4" w:space="0" w:color="auto"/>
              <w:bottom w:val="single" w:sz="4" w:space="0" w:color="auto"/>
            </w:tcBorders>
            <w:shd w:val="clear" w:color="auto" w:fill="auto"/>
            <w:noWrap/>
          </w:tcPr>
          <w:p w14:paraId="7E20036F"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8 089 $</w:t>
            </w:r>
          </w:p>
        </w:tc>
      </w:tr>
      <w:tr w:rsidR="00922601" w:rsidRPr="00922601" w14:paraId="34865F0E" w14:textId="77777777" w:rsidTr="00940BD8">
        <w:trPr>
          <w:trHeight w:val="255"/>
        </w:trPr>
        <w:tc>
          <w:tcPr>
            <w:tcW w:w="1222" w:type="pct"/>
            <w:gridSpan w:val="2"/>
            <w:vMerge/>
            <w:vAlign w:val="center"/>
          </w:tcPr>
          <w:p w14:paraId="4325FC6D" w14:textId="77777777" w:rsidR="00922601" w:rsidRPr="00922601" w:rsidRDefault="00922601" w:rsidP="00940BD8">
            <w:pPr>
              <w:keepNext w:val="0"/>
              <w:jc w:val="left"/>
              <w:rPr>
                <w:rFonts w:cs="Arial"/>
                <w:sz w:val="22"/>
                <w:szCs w:val="22"/>
                <w:highlight w:val="lightGray"/>
                <w:vertAlign w:val="superscript"/>
              </w:rPr>
            </w:pPr>
          </w:p>
        </w:tc>
        <w:tc>
          <w:tcPr>
            <w:tcW w:w="859" w:type="pct"/>
            <w:gridSpan w:val="2"/>
            <w:shd w:val="clear" w:color="auto" w:fill="auto"/>
            <w:noWrap/>
            <w:hideMark/>
          </w:tcPr>
          <w:p w14:paraId="2351A795"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0E96CBA2"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15 267 $</w:t>
            </w:r>
          </w:p>
        </w:tc>
        <w:tc>
          <w:tcPr>
            <w:tcW w:w="1458" w:type="pct"/>
            <w:gridSpan w:val="2"/>
            <w:tcBorders>
              <w:top w:val="single" w:sz="4" w:space="0" w:color="auto"/>
              <w:left w:val="single" w:sz="4" w:space="0" w:color="auto"/>
              <w:bottom w:val="single" w:sz="4" w:space="0" w:color="auto"/>
            </w:tcBorders>
            <w:shd w:val="clear" w:color="auto" w:fill="auto"/>
            <w:noWrap/>
          </w:tcPr>
          <w:p w14:paraId="4A0ECAC9"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9 544 $</w:t>
            </w:r>
          </w:p>
        </w:tc>
      </w:tr>
      <w:tr w:rsidR="00922601" w:rsidRPr="00922601" w14:paraId="1C5E4571" w14:textId="77777777" w:rsidTr="00940BD8">
        <w:trPr>
          <w:trHeight w:val="255"/>
        </w:trPr>
        <w:tc>
          <w:tcPr>
            <w:tcW w:w="1222" w:type="pct"/>
            <w:gridSpan w:val="2"/>
            <w:vMerge/>
          </w:tcPr>
          <w:p w14:paraId="21F9745B" w14:textId="77777777" w:rsidR="00922601" w:rsidRPr="00922601" w:rsidRDefault="00922601" w:rsidP="00940BD8">
            <w:pPr>
              <w:keepNext w:val="0"/>
              <w:jc w:val="left"/>
              <w:rPr>
                <w:rFonts w:cs="Arial"/>
                <w:b/>
                <w:sz w:val="22"/>
                <w:szCs w:val="22"/>
                <w:highlight w:val="lightGray"/>
                <w:lang w:val="en-CA"/>
              </w:rPr>
            </w:pPr>
          </w:p>
        </w:tc>
        <w:tc>
          <w:tcPr>
            <w:tcW w:w="859" w:type="pct"/>
            <w:gridSpan w:val="2"/>
            <w:shd w:val="clear" w:color="auto" w:fill="auto"/>
            <w:noWrap/>
            <w:hideMark/>
          </w:tcPr>
          <w:p w14:paraId="79F1797B"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FCE6D41"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20 412 $</w:t>
            </w:r>
          </w:p>
        </w:tc>
        <w:tc>
          <w:tcPr>
            <w:tcW w:w="1458" w:type="pct"/>
            <w:gridSpan w:val="2"/>
            <w:tcBorders>
              <w:top w:val="single" w:sz="4" w:space="0" w:color="auto"/>
              <w:left w:val="single" w:sz="4" w:space="0" w:color="auto"/>
              <w:bottom w:val="single" w:sz="4" w:space="0" w:color="auto"/>
            </w:tcBorders>
            <w:shd w:val="clear" w:color="auto" w:fill="auto"/>
            <w:noWrap/>
          </w:tcPr>
          <w:p w14:paraId="6D421CF8"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11 265 $</w:t>
            </w:r>
          </w:p>
        </w:tc>
      </w:tr>
      <w:tr w:rsidR="00922601" w:rsidRPr="00922601" w14:paraId="471A8A27" w14:textId="77777777" w:rsidTr="00940BD8">
        <w:trPr>
          <w:trHeight w:val="255"/>
        </w:trPr>
        <w:tc>
          <w:tcPr>
            <w:tcW w:w="1222" w:type="pct"/>
            <w:gridSpan w:val="2"/>
            <w:vMerge/>
          </w:tcPr>
          <w:p w14:paraId="679AB087" w14:textId="77777777" w:rsidR="00922601" w:rsidRPr="00922601" w:rsidRDefault="00922601" w:rsidP="00940BD8">
            <w:pPr>
              <w:keepNext w:val="0"/>
              <w:jc w:val="left"/>
              <w:rPr>
                <w:rFonts w:cs="Arial"/>
                <w:b/>
                <w:sz w:val="22"/>
                <w:szCs w:val="22"/>
                <w:highlight w:val="lightGray"/>
                <w:lang w:val="en-CA"/>
              </w:rPr>
            </w:pPr>
          </w:p>
        </w:tc>
        <w:tc>
          <w:tcPr>
            <w:tcW w:w="859" w:type="pct"/>
            <w:gridSpan w:val="2"/>
            <w:tcBorders>
              <w:bottom w:val="single" w:sz="4" w:space="0" w:color="auto"/>
            </w:tcBorders>
            <w:shd w:val="clear" w:color="auto" w:fill="auto"/>
            <w:noWrap/>
            <w:hideMark/>
          </w:tcPr>
          <w:p w14:paraId="347318E4"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E8EA13E"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23 426 $</w:t>
            </w:r>
          </w:p>
        </w:tc>
        <w:tc>
          <w:tcPr>
            <w:tcW w:w="1458" w:type="pct"/>
            <w:gridSpan w:val="2"/>
            <w:tcBorders>
              <w:top w:val="single" w:sz="4" w:space="0" w:color="auto"/>
              <w:left w:val="single" w:sz="4" w:space="0" w:color="auto"/>
              <w:bottom w:val="single" w:sz="4" w:space="0" w:color="auto"/>
            </w:tcBorders>
            <w:shd w:val="clear" w:color="auto" w:fill="auto"/>
            <w:noWrap/>
          </w:tcPr>
          <w:p w14:paraId="00CCAD21"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13 288 $</w:t>
            </w:r>
          </w:p>
        </w:tc>
      </w:tr>
      <w:tr w:rsidR="00922601" w:rsidRPr="00922601" w14:paraId="68912199" w14:textId="77777777" w:rsidTr="00940BD8">
        <w:trPr>
          <w:trHeight w:val="255"/>
        </w:trPr>
        <w:tc>
          <w:tcPr>
            <w:tcW w:w="1217" w:type="pct"/>
          </w:tcPr>
          <w:p w14:paraId="6032D8BA"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19B145B8" w14:textId="77777777" w:rsidR="00922601" w:rsidRPr="00922601" w:rsidRDefault="00922601" w:rsidP="00940BD8">
            <w:pPr>
              <w:keepNext w:val="0"/>
              <w:jc w:val="center"/>
              <w:rPr>
                <w:rFonts w:cs="Arial"/>
                <w:sz w:val="22"/>
                <w:szCs w:val="22"/>
                <w:highlight w:val="lightGray"/>
                <w:lang w:eastAsia="fr-CA"/>
              </w:rPr>
            </w:pPr>
          </w:p>
        </w:tc>
        <w:tc>
          <w:tcPr>
            <w:tcW w:w="1461" w:type="pct"/>
            <w:gridSpan w:val="3"/>
            <w:tcBorders>
              <w:top w:val="single" w:sz="4" w:space="0" w:color="auto"/>
              <w:left w:val="nil"/>
              <w:bottom w:val="single" w:sz="4" w:space="0" w:color="auto"/>
              <w:right w:val="single" w:sz="4" w:space="0" w:color="auto"/>
            </w:tcBorders>
            <w:shd w:val="clear" w:color="auto" w:fill="auto"/>
            <w:noWrap/>
          </w:tcPr>
          <w:p w14:paraId="40CC57C5" w14:textId="77777777" w:rsidR="00922601" w:rsidRPr="00922601" w:rsidRDefault="00922601" w:rsidP="00940BD8">
            <w:pPr>
              <w:keepNext w:val="0"/>
              <w:ind w:left="284" w:right="785"/>
              <w:jc w:val="right"/>
              <w:rPr>
                <w:rFonts w:cs="Arial"/>
                <w:sz w:val="22"/>
                <w:szCs w:val="22"/>
                <w:highlight w:val="lightGray"/>
              </w:rPr>
            </w:pPr>
          </w:p>
        </w:tc>
        <w:tc>
          <w:tcPr>
            <w:tcW w:w="1462" w:type="pct"/>
            <w:gridSpan w:val="3"/>
            <w:tcBorders>
              <w:top w:val="single" w:sz="4" w:space="0" w:color="auto"/>
              <w:left w:val="single" w:sz="4" w:space="0" w:color="auto"/>
              <w:bottom w:val="single" w:sz="4" w:space="0" w:color="auto"/>
            </w:tcBorders>
            <w:shd w:val="clear" w:color="auto" w:fill="auto"/>
            <w:noWrap/>
          </w:tcPr>
          <w:p w14:paraId="7A4FF5AF" w14:textId="77777777" w:rsidR="00922601" w:rsidRPr="00316277" w:rsidRDefault="00922601" w:rsidP="00940BD8">
            <w:pPr>
              <w:keepNext w:val="0"/>
              <w:ind w:left="284" w:right="785"/>
              <w:jc w:val="right"/>
              <w:rPr>
                <w:rFonts w:cs="Arial"/>
                <w:sz w:val="22"/>
                <w:szCs w:val="22"/>
              </w:rPr>
            </w:pPr>
          </w:p>
        </w:tc>
      </w:tr>
      <w:tr w:rsidR="00922601" w:rsidRPr="00922601" w14:paraId="4DA48A0A" w14:textId="77777777" w:rsidTr="00940BD8">
        <w:trPr>
          <w:trHeight w:val="255"/>
        </w:trPr>
        <w:tc>
          <w:tcPr>
            <w:tcW w:w="1222" w:type="pct"/>
            <w:gridSpan w:val="2"/>
            <w:vMerge w:val="restart"/>
            <w:vAlign w:val="center"/>
          </w:tcPr>
          <w:p w14:paraId="22C2E17F" w14:textId="3F2FB42D" w:rsidR="00922601" w:rsidRPr="00922601" w:rsidRDefault="00922601" w:rsidP="00940BD8">
            <w:pPr>
              <w:keepNext w:val="0"/>
              <w:jc w:val="left"/>
              <w:rPr>
                <w:rFonts w:cs="Arial"/>
                <w:sz w:val="22"/>
                <w:szCs w:val="22"/>
                <w:highlight w:val="lightGray"/>
                <w:vertAlign w:val="superscript"/>
              </w:rPr>
            </w:pPr>
            <w:r w:rsidRPr="00316277">
              <w:rPr>
                <w:rFonts w:cs="Arial"/>
                <w:sz w:val="22"/>
                <w:szCs w:val="22"/>
              </w:rPr>
              <w:t>Du 1</w:t>
            </w:r>
            <w:r w:rsidRPr="00316277">
              <w:rPr>
                <w:rFonts w:cs="Arial"/>
                <w:sz w:val="22"/>
                <w:szCs w:val="22"/>
                <w:vertAlign w:val="superscript"/>
              </w:rPr>
              <w:t>er </w:t>
            </w:r>
            <w:r w:rsidRPr="00316277">
              <w:rPr>
                <w:rFonts w:cs="Arial"/>
                <w:sz w:val="22"/>
                <w:szCs w:val="22"/>
              </w:rPr>
              <w:t>avril 2024 au 31 mars 2025</w:t>
            </w:r>
          </w:p>
        </w:tc>
        <w:tc>
          <w:tcPr>
            <w:tcW w:w="859" w:type="pct"/>
            <w:gridSpan w:val="2"/>
            <w:shd w:val="clear" w:color="auto" w:fill="auto"/>
            <w:noWrap/>
            <w:hideMark/>
          </w:tcPr>
          <w:p w14:paraId="295182BB"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710FF40"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10 088 $</w:t>
            </w:r>
          </w:p>
        </w:tc>
        <w:tc>
          <w:tcPr>
            <w:tcW w:w="1458" w:type="pct"/>
            <w:gridSpan w:val="2"/>
            <w:tcBorders>
              <w:top w:val="single" w:sz="4" w:space="0" w:color="auto"/>
              <w:left w:val="single" w:sz="4" w:space="0" w:color="auto"/>
              <w:bottom w:val="single" w:sz="4" w:space="0" w:color="auto"/>
            </w:tcBorders>
            <w:shd w:val="clear" w:color="auto" w:fill="auto"/>
            <w:noWrap/>
          </w:tcPr>
          <w:p w14:paraId="221D0063"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7 052 $</w:t>
            </w:r>
          </w:p>
        </w:tc>
      </w:tr>
      <w:tr w:rsidR="00922601" w:rsidRPr="00922601" w14:paraId="729E45DE" w14:textId="77777777" w:rsidTr="00940BD8">
        <w:trPr>
          <w:trHeight w:val="255"/>
        </w:trPr>
        <w:tc>
          <w:tcPr>
            <w:tcW w:w="1222" w:type="pct"/>
            <w:gridSpan w:val="2"/>
            <w:vMerge/>
          </w:tcPr>
          <w:p w14:paraId="3C5084B0" w14:textId="77777777" w:rsidR="00922601" w:rsidRPr="00922601" w:rsidRDefault="00922601" w:rsidP="00940BD8">
            <w:pPr>
              <w:keepNext w:val="0"/>
              <w:jc w:val="left"/>
              <w:rPr>
                <w:rFonts w:cs="Arial"/>
                <w:sz w:val="22"/>
                <w:szCs w:val="22"/>
                <w:highlight w:val="lightGray"/>
              </w:rPr>
            </w:pPr>
          </w:p>
        </w:tc>
        <w:tc>
          <w:tcPr>
            <w:tcW w:w="859" w:type="pct"/>
            <w:gridSpan w:val="2"/>
            <w:shd w:val="clear" w:color="auto" w:fill="auto"/>
            <w:noWrap/>
            <w:hideMark/>
          </w:tcPr>
          <w:p w14:paraId="77FF32B8"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1449B46F"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12 477 $</w:t>
            </w:r>
          </w:p>
        </w:tc>
        <w:tc>
          <w:tcPr>
            <w:tcW w:w="1458" w:type="pct"/>
            <w:gridSpan w:val="2"/>
            <w:tcBorders>
              <w:top w:val="single" w:sz="4" w:space="0" w:color="auto"/>
              <w:left w:val="single" w:sz="4" w:space="0" w:color="auto"/>
              <w:bottom w:val="single" w:sz="4" w:space="0" w:color="auto"/>
            </w:tcBorders>
            <w:shd w:val="clear" w:color="auto" w:fill="auto"/>
            <w:noWrap/>
          </w:tcPr>
          <w:p w14:paraId="6A9BB5E7"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8 315 $</w:t>
            </w:r>
          </w:p>
        </w:tc>
      </w:tr>
      <w:tr w:rsidR="00922601" w:rsidRPr="00922601" w14:paraId="02950571" w14:textId="77777777" w:rsidTr="00940BD8">
        <w:trPr>
          <w:trHeight w:val="255"/>
        </w:trPr>
        <w:tc>
          <w:tcPr>
            <w:tcW w:w="1222" w:type="pct"/>
            <w:gridSpan w:val="2"/>
            <w:vMerge/>
            <w:vAlign w:val="center"/>
          </w:tcPr>
          <w:p w14:paraId="3CEB4584" w14:textId="77777777" w:rsidR="00922601" w:rsidRPr="00922601" w:rsidRDefault="00922601" w:rsidP="00940BD8">
            <w:pPr>
              <w:keepNext w:val="0"/>
              <w:jc w:val="left"/>
              <w:rPr>
                <w:rFonts w:cs="Arial"/>
                <w:sz w:val="22"/>
                <w:szCs w:val="22"/>
                <w:highlight w:val="lightGray"/>
                <w:vertAlign w:val="superscript"/>
              </w:rPr>
            </w:pPr>
          </w:p>
        </w:tc>
        <w:tc>
          <w:tcPr>
            <w:tcW w:w="859" w:type="pct"/>
            <w:gridSpan w:val="2"/>
            <w:shd w:val="clear" w:color="auto" w:fill="auto"/>
            <w:noWrap/>
            <w:hideMark/>
          </w:tcPr>
          <w:p w14:paraId="28D6BA23"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50AF9ABE"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15 694 $</w:t>
            </w:r>
          </w:p>
        </w:tc>
        <w:tc>
          <w:tcPr>
            <w:tcW w:w="1458" w:type="pct"/>
            <w:gridSpan w:val="2"/>
            <w:tcBorders>
              <w:top w:val="single" w:sz="4" w:space="0" w:color="auto"/>
              <w:left w:val="single" w:sz="4" w:space="0" w:color="auto"/>
              <w:bottom w:val="single" w:sz="4" w:space="0" w:color="auto"/>
            </w:tcBorders>
            <w:shd w:val="clear" w:color="auto" w:fill="auto"/>
            <w:noWrap/>
          </w:tcPr>
          <w:p w14:paraId="7BD0568B"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9 811 $</w:t>
            </w:r>
          </w:p>
        </w:tc>
      </w:tr>
      <w:tr w:rsidR="00922601" w:rsidRPr="00922601" w14:paraId="20C22174" w14:textId="77777777" w:rsidTr="00940BD8">
        <w:trPr>
          <w:trHeight w:val="255"/>
        </w:trPr>
        <w:tc>
          <w:tcPr>
            <w:tcW w:w="1222" w:type="pct"/>
            <w:gridSpan w:val="2"/>
            <w:vMerge/>
          </w:tcPr>
          <w:p w14:paraId="29FE65BE" w14:textId="77777777" w:rsidR="00922601" w:rsidRPr="00922601" w:rsidRDefault="00922601" w:rsidP="00940BD8">
            <w:pPr>
              <w:keepNext w:val="0"/>
              <w:jc w:val="left"/>
              <w:rPr>
                <w:rFonts w:cs="Arial"/>
                <w:b/>
                <w:sz w:val="22"/>
                <w:szCs w:val="22"/>
                <w:highlight w:val="lightGray"/>
                <w:lang w:val="en-CA"/>
              </w:rPr>
            </w:pPr>
          </w:p>
        </w:tc>
        <w:tc>
          <w:tcPr>
            <w:tcW w:w="859" w:type="pct"/>
            <w:gridSpan w:val="2"/>
            <w:shd w:val="clear" w:color="auto" w:fill="auto"/>
            <w:noWrap/>
            <w:hideMark/>
          </w:tcPr>
          <w:p w14:paraId="1F91EB84"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C04E7FE"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20 412 $</w:t>
            </w:r>
          </w:p>
        </w:tc>
        <w:tc>
          <w:tcPr>
            <w:tcW w:w="1458" w:type="pct"/>
            <w:gridSpan w:val="2"/>
            <w:tcBorders>
              <w:top w:val="single" w:sz="4" w:space="0" w:color="auto"/>
              <w:left w:val="single" w:sz="4" w:space="0" w:color="auto"/>
              <w:bottom w:val="single" w:sz="4" w:space="0" w:color="auto"/>
            </w:tcBorders>
            <w:shd w:val="clear" w:color="auto" w:fill="auto"/>
            <w:noWrap/>
          </w:tcPr>
          <w:p w14:paraId="2344C83A"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11 580 $</w:t>
            </w:r>
          </w:p>
        </w:tc>
      </w:tr>
      <w:tr w:rsidR="00922601" w:rsidRPr="00922601" w14:paraId="2CD34D83" w14:textId="77777777" w:rsidTr="00940BD8">
        <w:trPr>
          <w:trHeight w:val="255"/>
        </w:trPr>
        <w:tc>
          <w:tcPr>
            <w:tcW w:w="1222" w:type="pct"/>
            <w:gridSpan w:val="2"/>
            <w:vMerge/>
          </w:tcPr>
          <w:p w14:paraId="528A2473" w14:textId="77777777" w:rsidR="00922601" w:rsidRPr="00922601" w:rsidRDefault="00922601" w:rsidP="00940BD8">
            <w:pPr>
              <w:keepNext w:val="0"/>
              <w:jc w:val="left"/>
              <w:rPr>
                <w:rFonts w:cs="Arial"/>
                <w:b/>
                <w:sz w:val="22"/>
                <w:szCs w:val="22"/>
                <w:highlight w:val="lightGray"/>
                <w:lang w:val="en-CA"/>
              </w:rPr>
            </w:pPr>
          </w:p>
        </w:tc>
        <w:tc>
          <w:tcPr>
            <w:tcW w:w="859" w:type="pct"/>
            <w:gridSpan w:val="2"/>
            <w:tcBorders>
              <w:bottom w:val="single" w:sz="4" w:space="0" w:color="auto"/>
            </w:tcBorders>
            <w:shd w:val="clear" w:color="auto" w:fill="auto"/>
            <w:noWrap/>
            <w:hideMark/>
          </w:tcPr>
          <w:p w14:paraId="18A52A4B"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135442E9"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24 082 $</w:t>
            </w:r>
          </w:p>
        </w:tc>
        <w:tc>
          <w:tcPr>
            <w:tcW w:w="1458" w:type="pct"/>
            <w:gridSpan w:val="2"/>
            <w:tcBorders>
              <w:top w:val="single" w:sz="4" w:space="0" w:color="auto"/>
              <w:left w:val="single" w:sz="4" w:space="0" w:color="auto"/>
              <w:bottom w:val="single" w:sz="4" w:space="0" w:color="auto"/>
            </w:tcBorders>
            <w:shd w:val="clear" w:color="auto" w:fill="auto"/>
            <w:noWrap/>
          </w:tcPr>
          <w:p w14:paraId="229798F2"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13 660 $</w:t>
            </w:r>
          </w:p>
        </w:tc>
      </w:tr>
      <w:tr w:rsidR="00922601" w:rsidRPr="00922601" w14:paraId="4E19181A" w14:textId="77777777" w:rsidTr="00940BD8">
        <w:trPr>
          <w:trHeight w:val="255"/>
        </w:trPr>
        <w:tc>
          <w:tcPr>
            <w:tcW w:w="1222" w:type="pct"/>
            <w:gridSpan w:val="2"/>
            <w:tcBorders>
              <w:right w:val="nil"/>
            </w:tcBorders>
          </w:tcPr>
          <w:p w14:paraId="41516D03" w14:textId="77777777" w:rsidR="00922601" w:rsidRPr="00922601" w:rsidRDefault="00922601" w:rsidP="00940BD8">
            <w:pPr>
              <w:keepNext w:val="0"/>
              <w:jc w:val="left"/>
              <w:rPr>
                <w:rFonts w:cs="Arial"/>
                <w:sz w:val="22"/>
                <w:szCs w:val="22"/>
                <w:highlight w:val="lightGray"/>
              </w:rPr>
            </w:pPr>
          </w:p>
        </w:tc>
        <w:tc>
          <w:tcPr>
            <w:tcW w:w="859" w:type="pct"/>
            <w:gridSpan w:val="2"/>
            <w:tcBorders>
              <w:left w:val="nil"/>
              <w:right w:val="nil"/>
            </w:tcBorders>
            <w:shd w:val="clear" w:color="auto" w:fill="auto"/>
            <w:noWrap/>
            <w:vAlign w:val="bottom"/>
            <w:hideMark/>
          </w:tcPr>
          <w:p w14:paraId="6BCFDE6F" w14:textId="77777777" w:rsidR="00922601" w:rsidRPr="00922601" w:rsidRDefault="00922601" w:rsidP="00940BD8">
            <w:pPr>
              <w:keepNext w:val="0"/>
              <w:rPr>
                <w:rFonts w:cs="Arial"/>
                <w:sz w:val="22"/>
                <w:szCs w:val="22"/>
                <w:highlight w:val="lightGray"/>
                <w:lang w:eastAsia="fr-CA"/>
              </w:rPr>
            </w:pPr>
          </w:p>
        </w:tc>
        <w:tc>
          <w:tcPr>
            <w:tcW w:w="1088" w:type="pct"/>
            <w:tcBorders>
              <w:top w:val="single" w:sz="4" w:space="0" w:color="auto"/>
              <w:left w:val="nil"/>
              <w:bottom w:val="single" w:sz="4" w:space="0" w:color="auto"/>
              <w:right w:val="nil"/>
            </w:tcBorders>
            <w:shd w:val="clear" w:color="auto" w:fill="auto"/>
            <w:noWrap/>
            <w:vAlign w:val="center"/>
          </w:tcPr>
          <w:p w14:paraId="20953A11" w14:textId="77777777" w:rsidR="00922601" w:rsidRPr="00922601" w:rsidRDefault="00922601" w:rsidP="00940BD8">
            <w:pPr>
              <w:keepNext w:val="0"/>
              <w:tabs>
                <w:tab w:val="left" w:pos="519"/>
                <w:tab w:val="right" w:pos="1389"/>
              </w:tabs>
              <w:ind w:left="284" w:right="785"/>
              <w:jc w:val="right"/>
              <w:rPr>
                <w:rFonts w:cs="Arial"/>
                <w:sz w:val="22"/>
                <w:szCs w:val="22"/>
                <w:highlight w:val="lightGray"/>
                <w:lang w:eastAsia="fr-CA"/>
              </w:rPr>
            </w:pPr>
          </w:p>
        </w:tc>
        <w:tc>
          <w:tcPr>
            <w:tcW w:w="373" w:type="pct"/>
            <w:gridSpan w:val="2"/>
            <w:tcBorders>
              <w:top w:val="single" w:sz="4" w:space="0" w:color="auto"/>
              <w:left w:val="nil"/>
              <w:bottom w:val="single" w:sz="4" w:space="0" w:color="auto"/>
              <w:right w:val="nil"/>
            </w:tcBorders>
            <w:shd w:val="clear" w:color="auto" w:fill="auto"/>
          </w:tcPr>
          <w:p w14:paraId="17E16DD4" w14:textId="77777777" w:rsidR="00922601" w:rsidRPr="00922601" w:rsidRDefault="00922601" w:rsidP="00940BD8">
            <w:pPr>
              <w:keepNext w:val="0"/>
              <w:ind w:left="284" w:right="785"/>
              <w:jc w:val="right"/>
              <w:rPr>
                <w:rFonts w:cs="Arial"/>
                <w:sz w:val="22"/>
                <w:szCs w:val="22"/>
                <w:highlight w:val="lightGray"/>
                <w:lang w:eastAsia="fr-CA"/>
              </w:rPr>
            </w:pPr>
          </w:p>
        </w:tc>
        <w:tc>
          <w:tcPr>
            <w:tcW w:w="1072" w:type="pct"/>
            <w:tcBorders>
              <w:top w:val="single" w:sz="4" w:space="0" w:color="auto"/>
              <w:left w:val="nil"/>
              <w:bottom w:val="single" w:sz="4" w:space="0" w:color="auto"/>
              <w:right w:val="nil"/>
            </w:tcBorders>
            <w:shd w:val="clear" w:color="auto" w:fill="auto"/>
            <w:noWrap/>
            <w:vAlign w:val="center"/>
          </w:tcPr>
          <w:p w14:paraId="3E3F14B7" w14:textId="77777777" w:rsidR="00922601" w:rsidRPr="00922601" w:rsidRDefault="00922601" w:rsidP="00940BD8">
            <w:pPr>
              <w:keepNext w:val="0"/>
              <w:ind w:left="284" w:right="785"/>
              <w:jc w:val="right"/>
              <w:rPr>
                <w:rFonts w:cs="Arial"/>
                <w:sz w:val="22"/>
                <w:szCs w:val="22"/>
                <w:highlight w:val="lightGray"/>
                <w:lang w:eastAsia="fr-CA"/>
              </w:rPr>
            </w:pPr>
          </w:p>
        </w:tc>
        <w:tc>
          <w:tcPr>
            <w:tcW w:w="386" w:type="pct"/>
            <w:tcBorders>
              <w:top w:val="single" w:sz="4" w:space="0" w:color="auto"/>
              <w:left w:val="nil"/>
              <w:bottom w:val="single" w:sz="4" w:space="0" w:color="auto"/>
            </w:tcBorders>
            <w:shd w:val="clear" w:color="auto" w:fill="auto"/>
          </w:tcPr>
          <w:p w14:paraId="150A7AE3" w14:textId="77777777" w:rsidR="00922601" w:rsidRPr="00316277" w:rsidRDefault="00922601" w:rsidP="00940BD8">
            <w:pPr>
              <w:keepNext w:val="0"/>
              <w:ind w:left="284" w:right="785"/>
              <w:jc w:val="right"/>
              <w:rPr>
                <w:rFonts w:cs="Arial"/>
                <w:sz w:val="22"/>
                <w:szCs w:val="22"/>
                <w:lang w:eastAsia="fr-CA"/>
              </w:rPr>
            </w:pPr>
          </w:p>
        </w:tc>
      </w:tr>
      <w:tr w:rsidR="00922601" w:rsidRPr="00922601" w14:paraId="74248A6F" w14:textId="77777777" w:rsidTr="00940BD8">
        <w:trPr>
          <w:trHeight w:val="255"/>
        </w:trPr>
        <w:tc>
          <w:tcPr>
            <w:tcW w:w="1217" w:type="pct"/>
            <w:vMerge w:val="restart"/>
            <w:vAlign w:val="center"/>
          </w:tcPr>
          <w:p w14:paraId="33BE7BC8" w14:textId="355C2E8F" w:rsidR="00922601" w:rsidRPr="00922601" w:rsidRDefault="00922601" w:rsidP="00940BD8">
            <w:pPr>
              <w:keepNext w:val="0"/>
              <w:jc w:val="left"/>
              <w:rPr>
                <w:rFonts w:cs="Arial"/>
                <w:sz w:val="22"/>
                <w:szCs w:val="22"/>
                <w:highlight w:val="lightGray"/>
                <w:vertAlign w:val="superscript"/>
              </w:rPr>
            </w:pPr>
            <w:r w:rsidRPr="00316277">
              <w:rPr>
                <w:rFonts w:cs="Arial"/>
                <w:sz w:val="22"/>
                <w:szCs w:val="22"/>
              </w:rPr>
              <w:t>Du 1</w:t>
            </w:r>
            <w:r w:rsidRPr="00316277">
              <w:rPr>
                <w:rFonts w:cs="Arial"/>
                <w:sz w:val="22"/>
                <w:szCs w:val="22"/>
                <w:vertAlign w:val="superscript"/>
              </w:rPr>
              <w:t>er </w:t>
            </w:r>
            <w:r w:rsidRPr="00316277">
              <w:rPr>
                <w:rFonts w:cs="Arial"/>
                <w:sz w:val="22"/>
                <w:szCs w:val="22"/>
              </w:rPr>
              <w:t>avril 2025 au 31 mars 2026</w:t>
            </w:r>
          </w:p>
        </w:tc>
        <w:tc>
          <w:tcPr>
            <w:tcW w:w="860" w:type="pct"/>
            <w:gridSpan w:val="2"/>
            <w:shd w:val="clear" w:color="auto" w:fill="auto"/>
            <w:noWrap/>
            <w:vAlign w:val="bottom"/>
            <w:hideMark/>
          </w:tcPr>
          <w:p w14:paraId="2D9F756F"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5968EBA1"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10 350 $</w:t>
            </w:r>
          </w:p>
        </w:tc>
        <w:tc>
          <w:tcPr>
            <w:tcW w:w="1462" w:type="pct"/>
            <w:gridSpan w:val="3"/>
            <w:tcBorders>
              <w:top w:val="single" w:sz="4" w:space="0" w:color="auto"/>
              <w:left w:val="single" w:sz="4" w:space="0" w:color="auto"/>
              <w:bottom w:val="single" w:sz="4" w:space="0" w:color="auto"/>
            </w:tcBorders>
            <w:shd w:val="clear" w:color="auto" w:fill="auto"/>
            <w:noWrap/>
          </w:tcPr>
          <w:p w14:paraId="29246432"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7 235 $</w:t>
            </w:r>
          </w:p>
        </w:tc>
      </w:tr>
      <w:tr w:rsidR="00922601" w:rsidRPr="00922601" w14:paraId="4EF737FE" w14:textId="77777777" w:rsidTr="00940BD8">
        <w:trPr>
          <w:trHeight w:val="255"/>
        </w:trPr>
        <w:tc>
          <w:tcPr>
            <w:tcW w:w="1217" w:type="pct"/>
            <w:vMerge/>
          </w:tcPr>
          <w:p w14:paraId="38DFADF9"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hideMark/>
          </w:tcPr>
          <w:p w14:paraId="782207CA"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4C91C485"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12 801 $</w:t>
            </w:r>
          </w:p>
        </w:tc>
        <w:tc>
          <w:tcPr>
            <w:tcW w:w="1462" w:type="pct"/>
            <w:gridSpan w:val="3"/>
            <w:tcBorders>
              <w:top w:val="single" w:sz="4" w:space="0" w:color="auto"/>
              <w:left w:val="single" w:sz="4" w:space="0" w:color="auto"/>
              <w:bottom w:val="single" w:sz="4" w:space="0" w:color="auto"/>
            </w:tcBorders>
            <w:shd w:val="clear" w:color="auto" w:fill="auto"/>
            <w:noWrap/>
          </w:tcPr>
          <w:p w14:paraId="0F2D1123"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8 531 $</w:t>
            </w:r>
          </w:p>
        </w:tc>
      </w:tr>
      <w:tr w:rsidR="00922601" w:rsidRPr="00922601" w14:paraId="33925367" w14:textId="77777777" w:rsidTr="00940BD8">
        <w:trPr>
          <w:trHeight w:val="255"/>
        </w:trPr>
        <w:tc>
          <w:tcPr>
            <w:tcW w:w="1217" w:type="pct"/>
            <w:vMerge/>
          </w:tcPr>
          <w:p w14:paraId="7D2BE1AA"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hideMark/>
          </w:tcPr>
          <w:p w14:paraId="177D2129"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66DD2AC"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16 102 $</w:t>
            </w:r>
          </w:p>
        </w:tc>
        <w:tc>
          <w:tcPr>
            <w:tcW w:w="1462" w:type="pct"/>
            <w:gridSpan w:val="3"/>
            <w:tcBorders>
              <w:top w:val="single" w:sz="4" w:space="0" w:color="auto"/>
              <w:left w:val="single" w:sz="4" w:space="0" w:color="auto"/>
              <w:bottom w:val="single" w:sz="4" w:space="0" w:color="auto"/>
            </w:tcBorders>
            <w:shd w:val="clear" w:color="auto" w:fill="auto"/>
            <w:noWrap/>
          </w:tcPr>
          <w:p w14:paraId="2E37F3D7"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10 066 $</w:t>
            </w:r>
          </w:p>
        </w:tc>
      </w:tr>
      <w:tr w:rsidR="00922601" w:rsidRPr="00922601" w14:paraId="0E16ADF8" w14:textId="77777777" w:rsidTr="00940BD8">
        <w:trPr>
          <w:trHeight w:val="255"/>
        </w:trPr>
        <w:tc>
          <w:tcPr>
            <w:tcW w:w="1217" w:type="pct"/>
            <w:vMerge/>
          </w:tcPr>
          <w:p w14:paraId="0F965729"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hideMark/>
          </w:tcPr>
          <w:p w14:paraId="159A70FA"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0ECD952"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20 943 $</w:t>
            </w:r>
          </w:p>
        </w:tc>
        <w:tc>
          <w:tcPr>
            <w:tcW w:w="1462" w:type="pct"/>
            <w:gridSpan w:val="3"/>
            <w:tcBorders>
              <w:top w:val="single" w:sz="4" w:space="0" w:color="auto"/>
              <w:left w:val="single" w:sz="4" w:space="0" w:color="auto"/>
              <w:bottom w:val="single" w:sz="4" w:space="0" w:color="auto"/>
            </w:tcBorders>
            <w:shd w:val="clear" w:color="auto" w:fill="auto"/>
            <w:noWrap/>
          </w:tcPr>
          <w:p w14:paraId="795A08F6"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11 881 $</w:t>
            </w:r>
          </w:p>
        </w:tc>
      </w:tr>
      <w:tr w:rsidR="00922601" w:rsidRPr="00922601" w14:paraId="66EFC1A3" w14:textId="77777777" w:rsidTr="00940BD8">
        <w:trPr>
          <w:trHeight w:val="255"/>
        </w:trPr>
        <w:tc>
          <w:tcPr>
            <w:tcW w:w="1217" w:type="pct"/>
            <w:vMerge/>
          </w:tcPr>
          <w:p w14:paraId="171CCC74"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hideMark/>
          </w:tcPr>
          <w:p w14:paraId="46DC2AF3"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07687796" w14:textId="77777777" w:rsidR="00922601" w:rsidRPr="00922601" w:rsidRDefault="00922601" w:rsidP="00940BD8">
            <w:pPr>
              <w:keepNext w:val="0"/>
              <w:ind w:left="284" w:right="785"/>
              <w:jc w:val="right"/>
              <w:rPr>
                <w:rFonts w:cs="Arial"/>
                <w:sz w:val="22"/>
                <w:szCs w:val="22"/>
                <w:highlight w:val="lightGray"/>
                <w:lang w:eastAsia="fr-CA"/>
              </w:rPr>
            </w:pPr>
            <w:r w:rsidRPr="00316277">
              <w:rPr>
                <w:rFonts w:cs="Arial"/>
                <w:sz w:val="22"/>
                <w:szCs w:val="22"/>
              </w:rPr>
              <w:t>24 708 $</w:t>
            </w:r>
          </w:p>
        </w:tc>
        <w:tc>
          <w:tcPr>
            <w:tcW w:w="1462" w:type="pct"/>
            <w:gridSpan w:val="3"/>
            <w:tcBorders>
              <w:top w:val="single" w:sz="4" w:space="0" w:color="auto"/>
              <w:left w:val="single" w:sz="4" w:space="0" w:color="auto"/>
              <w:bottom w:val="single" w:sz="4" w:space="0" w:color="auto"/>
            </w:tcBorders>
            <w:shd w:val="clear" w:color="auto" w:fill="auto"/>
            <w:noWrap/>
          </w:tcPr>
          <w:p w14:paraId="4DC057A9" w14:textId="77777777" w:rsidR="00922601" w:rsidRPr="00316277" w:rsidRDefault="00922601" w:rsidP="00940BD8">
            <w:pPr>
              <w:keepNext w:val="0"/>
              <w:ind w:left="284" w:right="785"/>
              <w:jc w:val="right"/>
              <w:rPr>
                <w:rFonts w:cs="Arial"/>
                <w:sz w:val="22"/>
                <w:szCs w:val="22"/>
                <w:lang w:eastAsia="fr-CA"/>
              </w:rPr>
            </w:pPr>
            <w:r w:rsidRPr="00316277">
              <w:rPr>
                <w:rFonts w:cs="Arial"/>
                <w:sz w:val="22"/>
                <w:szCs w:val="22"/>
              </w:rPr>
              <w:t>14 015 $</w:t>
            </w:r>
          </w:p>
        </w:tc>
      </w:tr>
      <w:tr w:rsidR="00922601" w:rsidRPr="00922601" w14:paraId="320564C9" w14:textId="77777777" w:rsidTr="00940BD8">
        <w:trPr>
          <w:trHeight w:val="255"/>
        </w:trPr>
        <w:tc>
          <w:tcPr>
            <w:tcW w:w="1217" w:type="pct"/>
            <w:vAlign w:val="center"/>
          </w:tcPr>
          <w:p w14:paraId="16E482DA" w14:textId="77777777" w:rsidR="00922601" w:rsidRPr="00922601" w:rsidRDefault="00922601" w:rsidP="00940BD8">
            <w:pPr>
              <w:keepNext w:val="0"/>
              <w:jc w:val="left"/>
              <w:rPr>
                <w:rFonts w:cs="Arial"/>
                <w:sz w:val="22"/>
                <w:szCs w:val="22"/>
                <w:highlight w:val="lightGray"/>
              </w:rPr>
            </w:pPr>
          </w:p>
        </w:tc>
        <w:tc>
          <w:tcPr>
            <w:tcW w:w="860" w:type="pct"/>
            <w:gridSpan w:val="2"/>
            <w:shd w:val="clear" w:color="auto" w:fill="auto"/>
            <w:noWrap/>
            <w:vAlign w:val="bottom"/>
          </w:tcPr>
          <w:p w14:paraId="577CA99B" w14:textId="77777777" w:rsidR="00922601" w:rsidRPr="00922601" w:rsidRDefault="00922601" w:rsidP="00940BD8">
            <w:pPr>
              <w:keepNext w:val="0"/>
              <w:jc w:val="center"/>
              <w:rPr>
                <w:rFonts w:cs="Arial"/>
                <w:sz w:val="22"/>
                <w:szCs w:val="22"/>
                <w:highlight w:val="lightGray"/>
                <w:lang w:eastAsia="fr-CA"/>
              </w:rPr>
            </w:pP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48372ED" w14:textId="77777777" w:rsidR="00922601" w:rsidRPr="00922601" w:rsidRDefault="00922601" w:rsidP="00940BD8">
            <w:pPr>
              <w:keepNext w:val="0"/>
              <w:ind w:left="284" w:right="785"/>
              <w:jc w:val="right"/>
              <w:rPr>
                <w:rFonts w:cs="Arial"/>
                <w:sz w:val="22"/>
                <w:szCs w:val="22"/>
                <w:highlight w:val="lightGray"/>
              </w:rPr>
            </w:pPr>
          </w:p>
        </w:tc>
        <w:tc>
          <w:tcPr>
            <w:tcW w:w="1462" w:type="pct"/>
            <w:gridSpan w:val="3"/>
            <w:tcBorders>
              <w:top w:val="single" w:sz="4" w:space="0" w:color="auto"/>
              <w:left w:val="single" w:sz="4" w:space="0" w:color="auto"/>
              <w:bottom w:val="single" w:sz="4" w:space="0" w:color="auto"/>
            </w:tcBorders>
            <w:shd w:val="clear" w:color="auto" w:fill="auto"/>
            <w:noWrap/>
          </w:tcPr>
          <w:p w14:paraId="21DCE336" w14:textId="77777777" w:rsidR="00922601" w:rsidRPr="00316277" w:rsidRDefault="00922601" w:rsidP="00940BD8">
            <w:pPr>
              <w:keepNext w:val="0"/>
              <w:ind w:left="284" w:right="785"/>
              <w:jc w:val="right"/>
              <w:rPr>
                <w:rFonts w:cs="Arial"/>
                <w:sz w:val="22"/>
                <w:szCs w:val="22"/>
              </w:rPr>
            </w:pPr>
          </w:p>
        </w:tc>
      </w:tr>
      <w:tr w:rsidR="00922601" w:rsidRPr="00922601" w14:paraId="7E06C70D" w14:textId="77777777" w:rsidTr="00940BD8">
        <w:trPr>
          <w:trHeight w:val="255"/>
        </w:trPr>
        <w:tc>
          <w:tcPr>
            <w:tcW w:w="1217" w:type="pct"/>
            <w:vMerge w:val="restart"/>
            <w:vAlign w:val="center"/>
          </w:tcPr>
          <w:p w14:paraId="13F84884" w14:textId="5EEB116B" w:rsidR="00922601" w:rsidRPr="00922601" w:rsidRDefault="00922601" w:rsidP="00940BD8">
            <w:pPr>
              <w:keepNext w:val="0"/>
              <w:jc w:val="left"/>
              <w:rPr>
                <w:rFonts w:cs="Arial"/>
                <w:sz w:val="22"/>
                <w:szCs w:val="22"/>
                <w:highlight w:val="lightGray"/>
                <w:lang w:eastAsia="fr-CA"/>
              </w:rPr>
            </w:pPr>
            <w:r w:rsidRPr="00316277">
              <w:rPr>
                <w:rFonts w:cs="Arial"/>
                <w:sz w:val="22"/>
                <w:szCs w:val="22"/>
              </w:rPr>
              <w:t>Du 1</w:t>
            </w:r>
            <w:r w:rsidRPr="00316277">
              <w:rPr>
                <w:rFonts w:cs="Arial"/>
                <w:sz w:val="22"/>
                <w:szCs w:val="22"/>
                <w:vertAlign w:val="superscript"/>
              </w:rPr>
              <w:t>er </w:t>
            </w:r>
            <w:r w:rsidRPr="00316277">
              <w:rPr>
                <w:rFonts w:cs="Arial"/>
                <w:sz w:val="22"/>
                <w:szCs w:val="22"/>
              </w:rPr>
              <w:t>avril 2026 au 31 mars 2027</w:t>
            </w:r>
          </w:p>
        </w:tc>
        <w:tc>
          <w:tcPr>
            <w:tcW w:w="860" w:type="pct"/>
            <w:gridSpan w:val="2"/>
            <w:shd w:val="clear" w:color="auto" w:fill="auto"/>
            <w:noWrap/>
            <w:vAlign w:val="bottom"/>
          </w:tcPr>
          <w:p w14:paraId="3702AD18"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7CB753F2"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10 609 $</w:t>
            </w:r>
          </w:p>
        </w:tc>
        <w:tc>
          <w:tcPr>
            <w:tcW w:w="1462" w:type="pct"/>
            <w:gridSpan w:val="3"/>
            <w:tcBorders>
              <w:top w:val="single" w:sz="4" w:space="0" w:color="auto"/>
              <w:left w:val="single" w:sz="4" w:space="0" w:color="auto"/>
              <w:bottom w:val="single" w:sz="4" w:space="0" w:color="auto"/>
            </w:tcBorders>
            <w:shd w:val="clear" w:color="auto" w:fill="auto"/>
            <w:noWrap/>
          </w:tcPr>
          <w:p w14:paraId="201C7024" w14:textId="77777777" w:rsidR="00922601" w:rsidRPr="00316277" w:rsidRDefault="00922601" w:rsidP="00940BD8">
            <w:pPr>
              <w:keepNext w:val="0"/>
              <w:ind w:left="284" w:right="785"/>
              <w:jc w:val="right"/>
              <w:rPr>
                <w:rFonts w:cs="Arial"/>
                <w:sz w:val="22"/>
                <w:szCs w:val="22"/>
              </w:rPr>
            </w:pPr>
            <w:r w:rsidRPr="00316277">
              <w:rPr>
                <w:rFonts w:cs="Arial"/>
                <w:sz w:val="22"/>
                <w:szCs w:val="22"/>
              </w:rPr>
              <w:t>7 416 $</w:t>
            </w:r>
          </w:p>
        </w:tc>
      </w:tr>
      <w:tr w:rsidR="00922601" w:rsidRPr="00922601" w14:paraId="420B4EBE" w14:textId="77777777" w:rsidTr="00940BD8">
        <w:trPr>
          <w:trHeight w:val="255"/>
        </w:trPr>
        <w:tc>
          <w:tcPr>
            <w:tcW w:w="1217" w:type="pct"/>
            <w:vMerge/>
            <w:vAlign w:val="center"/>
          </w:tcPr>
          <w:p w14:paraId="650F43D8"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15AA94B5"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4C17920F"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13 121 $</w:t>
            </w:r>
          </w:p>
        </w:tc>
        <w:tc>
          <w:tcPr>
            <w:tcW w:w="1462" w:type="pct"/>
            <w:gridSpan w:val="3"/>
            <w:tcBorders>
              <w:top w:val="single" w:sz="4" w:space="0" w:color="auto"/>
              <w:left w:val="single" w:sz="4" w:space="0" w:color="auto"/>
              <w:bottom w:val="single" w:sz="4" w:space="0" w:color="auto"/>
            </w:tcBorders>
            <w:shd w:val="clear" w:color="auto" w:fill="auto"/>
            <w:noWrap/>
          </w:tcPr>
          <w:p w14:paraId="3F4B2D07" w14:textId="77777777" w:rsidR="00922601" w:rsidRPr="00316277" w:rsidRDefault="00922601" w:rsidP="00940BD8">
            <w:pPr>
              <w:keepNext w:val="0"/>
              <w:ind w:left="284" w:right="785"/>
              <w:jc w:val="right"/>
              <w:rPr>
                <w:rFonts w:cs="Arial"/>
                <w:sz w:val="22"/>
                <w:szCs w:val="22"/>
              </w:rPr>
            </w:pPr>
            <w:r w:rsidRPr="00316277">
              <w:rPr>
                <w:rFonts w:cs="Arial"/>
                <w:sz w:val="22"/>
                <w:szCs w:val="22"/>
              </w:rPr>
              <w:t>8 744 $</w:t>
            </w:r>
          </w:p>
        </w:tc>
      </w:tr>
      <w:tr w:rsidR="00922601" w:rsidRPr="00922601" w14:paraId="34D13A04" w14:textId="77777777" w:rsidTr="00940BD8">
        <w:trPr>
          <w:trHeight w:val="255"/>
        </w:trPr>
        <w:tc>
          <w:tcPr>
            <w:tcW w:w="1217" w:type="pct"/>
            <w:vMerge/>
            <w:vAlign w:val="center"/>
          </w:tcPr>
          <w:p w14:paraId="46D8A9C3"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00F57669"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3CC4214"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16 505 $</w:t>
            </w:r>
          </w:p>
        </w:tc>
        <w:tc>
          <w:tcPr>
            <w:tcW w:w="1462" w:type="pct"/>
            <w:gridSpan w:val="3"/>
            <w:tcBorders>
              <w:top w:val="single" w:sz="4" w:space="0" w:color="auto"/>
              <w:left w:val="single" w:sz="4" w:space="0" w:color="auto"/>
              <w:bottom w:val="single" w:sz="4" w:space="0" w:color="auto"/>
            </w:tcBorders>
            <w:shd w:val="clear" w:color="auto" w:fill="auto"/>
            <w:noWrap/>
          </w:tcPr>
          <w:p w14:paraId="2E0FF25A" w14:textId="77777777" w:rsidR="00922601" w:rsidRPr="00316277" w:rsidRDefault="00922601" w:rsidP="00940BD8">
            <w:pPr>
              <w:keepNext w:val="0"/>
              <w:ind w:left="284" w:right="785"/>
              <w:jc w:val="right"/>
              <w:rPr>
                <w:rFonts w:cs="Arial"/>
                <w:sz w:val="22"/>
                <w:szCs w:val="22"/>
              </w:rPr>
            </w:pPr>
            <w:r w:rsidRPr="00316277">
              <w:rPr>
                <w:rFonts w:cs="Arial"/>
                <w:sz w:val="22"/>
                <w:szCs w:val="22"/>
              </w:rPr>
              <w:t>10 318 $</w:t>
            </w:r>
          </w:p>
        </w:tc>
      </w:tr>
      <w:tr w:rsidR="00922601" w:rsidRPr="00922601" w14:paraId="79D692F9" w14:textId="77777777" w:rsidTr="00940BD8">
        <w:trPr>
          <w:trHeight w:val="255"/>
        </w:trPr>
        <w:tc>
          <w:tcPr>
            <w:tcW w:w="1217" w:type="pct"/>
            <w:vMerge/>
            <w:vAlign w:val="center"/>
          </w:tcPr>
          <w:p w14:paraId="59AB84B1"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240E60F4"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56AA44A2"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21 467 $</w:t>
            </w:r>
          </w:p>
        </w:tc>
        <w:tc>
          <w:tcPr>
            <w:tcW w:w="1462" w:type="pct"/>
            <w:gridSpan w:val="3"/>
            <w:tcBorders>
              <w:top w:val="single" w:sz="4" w:space="0" w:color="auto"/>
              <w:left w:val="single" w:sz="4" w:space="0" w:color="auto"/>
              <w:bottom w:val="single" w:sz="4" w:space="0" w:color="auto"/>
            </w:tcBorders>
            <w:shd w:val="clear" w:color="auto" w:fill="auto"/>
            <w:noWrap/>
          </w:tcPr>
          <w:p w14:paraId="5D17EC71" w14:textId="77777777" w:rsidR="00922601" w:rsidRPr="00316277" w:rsidRDefault="00922601" w:rsidP="00940BD8">
            <w:pPr>
              <w:keepNext w:val="0"/>
              <w:ind w:left="284" w:right="785"/>
              <w:jc w:val="right"/>
              <w:rPr>
                <w:rFonts w:cs="Arial"/>
                <w:sz w:val="22"/>
                <w:szCs w:val="22"/>
              </w:rPr>
            </w:pPr>
            <w:r w:rsidRPr="00316277">
              <w:rPr>
                <w:rFonts w:cs="Arial"/>
                <w:sz w:val="22"/>
                <w:szCs w:val="22"/>
              </w:rPr>
              <w:t>12 178 $</w:t>
            </w:r>
          </w:p>
        </w:tc>
      </w:tr>
      <w:tr w:rsidR="00922601" w:rsidRPr="00922601" w14:paraId="1B3BEEB8" w14:textId="77777777" w:rsidTr="00940BD8">
        <w:trPr>
          <w:trHeight w:val="255"/>
        </w:trPr>
        <w:tc>
          <w:tcPr>
            <w:tcW w:w="1217" w:type="pct"/>
            <w:vMerge/>
            <w:vAlign w:val="center"/>
          </w:tcPr>
          <w:p w14:paraId="37D15830"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7530FB7B"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732C99E9"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25 326 $</w:t>
            </w:r>
          </w:p>
        </w:tc>
        <w:tc>
          <w:tcPr>
            <w:tcW w:w="1462" w:type="pct"/>
            <w:gridSpan w:val="3"/>
            <w:tcBorders>
              <w:top w:val="single" w:sz="4" w:space="0" w:color="auto"/>
              <w:left w:val="single" w:sz="4" w:space="0" w:color="auto"/>
              <w:bottom w:val="single" w:sz="4" w:space="0" w:color="auto"/>
            </w:tcBorders>
            <w:shd w:val="clear" w:color="auto" w:fill="auto"/>
            <w:noWrap/>
          </w:tcPr>
          <w:p w14:paraId="11198625" w14:textId="77777777" w:rsidR="00922601" w:rsidRPr="00316277" w:rsidRDefault="00922601" w:rsidP="00940BD8">
            <w:pPr>
              <w:keepNext w:val="0"/>
              <w:ind w:left="284" w:right="785"/>
              <w:jc w:val="right"/>
              <w:rPr>
                <w:rFonts w:cs="Arial"/>
                <w:sz w:val="22"/>
                <w:szCs w:val="22"/>
              </w:rPr>
            </w:pPr>
            <w:r w:rsidRPr="00316277">
              <w:rPr>
                <w:rFonts w:cs="Arial"/>
                <w:sz w:val="22"/>
                <w:szCs w:val="22"/>
              </w:rPr>
              <w:t>14 365 $</w:t>
            </w:r>
          </w:p>
        </w:tc>
      </w:tr>
      <w:tr w:rsidR="00922601" w:rsidRPr="00922601" w14:paraId="12232452" w14:textId="77777777" w:rsidTr="00940BD8">
        <w:trPr>
          <w:trHeight w:val="255"/>
        </w:trPr>
        <w:tc>
          <w:tcPr>
            <w:tcW w:w="1217" w:type="pct"/>
            <w:vAlign w:val="center"/>
          </w:tcPr>
          <w:p w14:paraId="6541C1F0" w14:textId="77777777" w:rsidR="00922601" w:rsidRPr="00922601" w:rsidRDefault="00922601" w:rsidP="00940BD8">
            <w:pPr>
              <w:keepNext w:val="0"/>
              <w:jc w:val="left"/>
              <w:rPr>
                <w:rFonts w:cs="Arial"/>
                <w:sz w:val="22"/>
                <w:szCs w:val="22"/>
                <w:highlight w:val="lightGray"/>
              </w:rPr>
            </w:pPr>
          </w:p>
        </w:tc>
        <w:tc>
          <w:tcPr>
            <w:tcW w:w="860" w:type="pct"/>
            <w:gridSpan w:val="2"/>
            <w:shd w:val="clear" w:color="auto" w:fill="auto"/>
            <w:noWrap/>
            <w:vAlign w:val="bottom"/>
          </w:tcPr>
          <w:p w14:paraId="26B9FDC3" w14:textId="77777777" w:rsidR="00922601" w:rsidRPr="00922601" w:rsidRDefault="00922601" w:rsidP="00940BD8">
            <w:pPr>
              <w:keepNext w:val="0"/>
              <w:jc w:val="center"/>
              <w:rPr>
                <w:rFonts w:cs="Arial"/>
                <w:sz w:val="22"/>
                <w:szCs w:val="22"/>
                <w:highlight w:val="lightGray"/>
                <w:lang w:eastAsia="fr-CA"/>
              </w:rPr>
            </w:pPr>
          </w:p>
        </w:tc>
        <w:tc>
          <w:tcPr>
            <w:tcW w:w="1461" w:type="pct"/>
            <w:gridSpan w:val="3"/>
            <w:tcBorders>
              <w:top w:val="single" w:sz="4" w:space="0" w:color="auto"/>
              <w:left w:val="nil"/>
              <w:bottom w:val="single" w:sz="4" w:space="0" w:color="auto"/>
              <w:right w:val="single" w:sz="4" w:space="0" w:color="auto"/>
            </w:tcBorders>
            <w:shd w:val="clear" w:color="auto" w:fill="auto"/>
            <w:noWrap/>
          </w:tcPr>
          <w:p w14:paraId="4848F90E" w14:textId="77777777" w:rsidR="00922601" w:rsidRPr="00922601" w:rsidRDefault="00922601" w:rsidP="00940BD8">
            <w:pPr>
              <w:keepNext w:val="0"/>
              <w:ind w:left="284" w:right="785"/>
              <w:jc w:val="right"/>
              <w:rPr>
                <w:rFonts w:cs="Arial"/>
                <w:sz w:val="22"/>
                <w:szCs w:val="22"/>
                <w:highlight w:val="lightGray"/>
              </w:rPr>
            </w:pPr>
          </w:p>
        </w:tc>
        <w:tc>
          <w:tcPr>
            <w:tcW w:w="1462" w:type="pct"/>
            <w:gridSpan w:val="3"/>
            <w:tcBorders>
              <w:top w:val="single" w:sz="4" w:space="0" w:color="auto"/>
              <w:left w:val="single" w:sz="4" w:space="0" w:color="auto"/>
              <w:bottom w:val="single" w:sz="4" w:space="0" w:color="auto"/>
            </w:tcBorders>
            <w:shd w:val="clear" w:color="auto" w:fill="auto"/>
            <w:noWrap/>
          </w:tcPr>
          <w:p w14:paraId="32877869" w14:textId="77777777" w:rsidR="00922601" w:rsidRPr="00316277" w:rsidRDefault="00922601" w:rsidP="00940BD8">
            <w:pPr>
              <w:keepNext w:val="0"/>
              <w:ind w:left="284" w:right="785"/>
              <w:jc w:val="right"/>
              <w:rPr>
                <w:rFonts w:cs="Arial"/>
                <w:sz w:val="22"/>
                <w:szCs w:val="22"/>
              </w:rPr>
            </w:pPr>
          </w:p>
        </w:tc>
      </w:tr>
      <w:tr w:rsidR="00922601" w:rsidRPr="00922601" w14:paraId="3F72E05F" w14:textId="77777777" w:rsidTr="00940BD8">
        <w:trPr>
          <w:trHeight w:val="255"/>
        </w:trPr>
        <w:tc>
          <w:tcPr>
            <w:tcW w:w="1217" w:type="pct"/>
            <w:vMerge w:val="restart"/>
            <w:vAlign w:val="center"/>
          </w:tcPr>
          <w:p w14:paraId="69351EE6" w14:textId="7924C846" w:rsidR="00922601" w:rsidRPr="00922601" w:rsidRDefault="00922601" w:rsidP="00940BD8">
            <w:pPr>
              <w:keepNext w:val="0"/>
              <w:jc w:val="left"/>
              <w:rPr>
                <w:rFonts w:cs="Arial"/>
                <w:sz w:val="22"/>
                <w:szCs w:val="22"/>
                <w:highlight w:val="lightGray"/>
                <w:lang w:eastAsia="fr-CA"/>
              </w:rPr>
            </w:pPr>
            <w:r w:rsidRPr="00316277">
              <w:rPr>
                <w:rFonts w:cs="Arial"/>
                <w:sz w:val="22"/>
                <w:szCs w:val="22"/>
              </w:rPr>
              <w:t>Taux à compter du 1</w:t>
            </w:r>
            <w:r w:rsidRPr="00316277">
              <w:rPr>
                <w:rFonts w:cs="Arial"/>
                <w:sz w:val="22"/>
                <w:szCs w:val="22"/>
                <w:vertAlign w:val="superscript"/>
              </w:rPr>
              <w:t>er </w:t>
            </w:r>
            <w:r w:rsidRPr="00316277">
              <w:rPr>
                <w:rFonts w:cs="Arial"/>
                <w:sz w:val="22"/>
                <w:szCs w:val="22"/>
              </w:rPr>
              <w:t xml:space="preserve">avril 2027 </w:t>
            </w:r>
          </w:p>
        </w:tc>
        <w:tc>
          <w:tcPr>
            <w:tcW w:w="860" w:type="pct"/>
            <w:gridSpan w:val="2"/>
            <w:shd w:val="clear" w:color="auto" w:fill="auto"/>
            <w:noWrap/>
            <w:vAlign w:val="bottom"/>
          </w:tcPr>
          <w:p w14:paraId="35EF57D7"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A09975E"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10 980 $</w:t>
            </w:r>
          </w:p>
        </w:tc>
        <w:tc>
          <w:tcPr>
            <w:tcW w:w="1462" w:type="pct"/>
            <w:gridSpan w:val="3"/>
            <w:tcBorders>
              <w:top w:val="single" w:sz="4" w:space="0" w:color="auto"/>
              <w:left w:val="single" w:sz="4" w:space="0" w:color="auto"/>
              <w:bottom w:val="single" w:sz="4" w:space="0" w:color="auto"/>
            </w:tcBorders>
            <w:shd w:val="clear" w:color="auto" w:fill="auto"/>
            <w:noWrap/>
          </w:tcPr>
          <w:p w14:paraId="1D00B6D6" w14:textId="77777777" w:rsidR="00922601" w:rsidRPr="00316277" w:rsidRDefault="00922601" w:rsidP="00940BD8">
            <w:pPr>
              <w:keepNext w:val="0"/>
              <w:ind w:left="284" w:right="785"/>
              <w:jc w:val="right"/>
              <w:rPr>
                <w:rFonts w:cs="Arial"/>
                <w:sz w:val="22"/>
                <w:szCs w:val="22"/>
              </w:rPr>
            </w:pPr>
            <w:r w:rsidRPr="00316277">
              <w:rPr>
                <w:rFonts w:cs="Arial"/>
                <w:sz w:val="22"/>
                <w:szCs w:val="22"/>
              </w:rPr>
              <w:t>7 676 $</w:t>
            </w:r>
          </w:p>
        </w:tc>
      </w:tr>
      <w:tr w:rsidR="00922601" w:rsidRPr="00922601" w14:paraId="62778167" w14:textId="77777777" w:rsidTr="00940BD8">
        <w:trPr>
          <w:trHeight w:val="255"/>
        </w:trPr>
        <w:tc>
          <w:tcPr>
            <w:tcW w:w="1217" w:type="pct"/>
            <w:vMerge/>
          </w:tcPr>
          <w:p w14:paraId="351671EE"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391D9400"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3EC383FD"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13 580 $</w:t>
            </w:r>
          </w:p>
        </w:tc>
        <w:tc>
          <w:tcPr>
            <w:tcW w:w="1462" w:type="pct"/>
            <w:gridSpan w:val="3"/>
            <w:tcBorders>
              <w:top w:val="single" w:sz="4" w:space="0" w:color="auto"/>
              <w:left w:val="single" w:sz="4" w:space="0" w:color="auto"/>
              <w:bottom w:val="single" w:sz="4" w:space="0" w:color="auto"/>
            </w:tcBorders>
            <w:shd w:val="clear" w:color="auto" w:fill="auto"/>
            <w:noWrap/>
          </w:tcPr>
          <w:p w14:paraId="6DAB5F64" w14:textId="77777777" w:rsidR="00922601" w:rsidRPr="00316277" w:rsidRDefault="00922601" w:rsidP="00940BD8">
            <w:pPr>
              <w:keepNext w:val="0"/>
              <w:ind w:left="284" w:right="785"/>
              <w:jc w:val="right"/>
              <w:rPr>
                <w:rFonts w:cs="Arial"/>
                <w:sz w:val="22"/>
                <w:szCs w:val="22"/>
              </w:rPr>
            </w:pPr>
            <w:r w:rsidRPr="00316277">
              <w:rPr>
                <w:rFonts w:cs="Arial"/>
                <w:sz w:val="22"/>
                <w:szCs w:val="22"/>
              </w:rPr>
              <w:t>9 050 $</w:t>
            </w:r>
          </w:p>
        </w:tc>
      </w:tr>
      <w:tr w:rsidR="00922601" w:rsidRPr="00922601" w14:paraId="10144E85" w14:textId="77777777" w:rsidTr="00940BD8">
        <w:trPr>
          <w:trHeight w:val="255"/>
        </w:trPr>
        <w:tc>
          <w:tcPr>
            <w:tcW w:w="1217" w:type="pct"/>
            <w:vMerge/>
          </w:tcPr>
          <w:p w14:paraId="1DAC32D9"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72276DEB"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III</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DB0CE53"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17 083 $</w:t>
            </w:r>
          </w:p>
        </w:tc>
        <w:tc>
          <w:tcPr>
            <w:tcW w:w="1462" w:type="pct"/>
            <w:gridSpan w:val="3"/>
            <w:tcBorders>
              <w:top w:val="single" w:sz="4" w:space="0" w:color="auto"/>
              <w:left w:val="single" w:sz="4" w:space="0" w:color="auto"/>
              <w:bottom w:val="single" w:sz="4" w:space="0" w:color="auto"/>
            </w:tcBorders>
            <w:shd w:val="clear" w:color="auto" w:fill="auto"/>
            <w:noWrap/>
          </w:tcPr>
          <w:p w14:paraId="32E82D08" w14:textId="77777777" w:rsidR="00922601" w:rsidRPr="00316277" w:rsidRDefault="00922601" w:rsidP="00940BD8">
            <w:pPr>
              <w:keepNext w:val="0"/>
              <w:ind w:left="284" w:right="785"/>
              <w:jc w:val="right"/>
              <w:rPr>
                <w:rFonts w:cs="Arial"/>
                <w:sz w:val="22"/>
                <w:szCs w:val="22"/>
              </w:rPr>
            </w:pPr>
            <w:r w:rsidRPr="00316277">
              <w:rPr>
                <w:rFonts w:cs="Arial"/>
                <w:sz w:val="22"/>
                <w:szCs w:val="22"/>
              </w:rPr>
              <w:t>10 679 $</w:t>
            </w:r>
          </w:p>
        </w:tc>
      </w:tr>
      <w:tr w:rsidR="00922601" w:rsidRPr="00922601" w14:paraId="2439CFBA" w14:textId="77777777" w:rsidTr="00940BD8">
        <w:trPr>
          <w:trHeight w:val="255"/>
        </w:trPr>
        <w:tc>
          <w:tcPr>
            <w:tcW w:w="1217" w:type="pct"/>
            <w:vMerge/>
          </w:tcPr>
          <w:p w14:paraId="76150A26"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203338BC"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IV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6814518C"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22 218 $</w:t>
            </w:r>
          </w:p>
        </w:tc>
        <w:tc>
          <w:tcPr>
            <w:tcW w:w="1462" w:type="pct"/>
            <w:gridSpan w:val="3"/>
            <w:tcBorders>
              <w:top w:val="single" w:sz="4" w:space="0" w:color="auto"/>
              <w:left w:val="single" w:sz="4" w:space="0" w:color="auto"/>
              <w:bottom w:val="single" w:sz="4" w:space="0" w:color="auto"/>
            </w:tcBorders>
            <w:shd w:val="clear" w:color="auto" w:fill="auto"/>
            <w:noWrap/>
          </w:tcPr>
          <w:p w14:paraId="6E894C1C" w14:textId="77777777" w:rsidR="00922601" w:rsidRPr="00316277" w:rsidRDefault="00922601" w:rsidP="00940BD8">
            <w:pPr>
              <w:keepNext w:val="0"/>
              <w:ind w:left="284" w:right="785"/>
              <w:jc w:val="right"/>
              <w:rPr>
                <w:rFonts w:cs="Arial"/>
                <w:sz w:val="22"/>
                <w:szCs w:val="22"/>
              </w:rPr>
            </w:pPr>
            <w:r w:rsidRPr="00316277">
              <w:rPr>
                <w:rFonts w:cs="Arial"/>
                <w:sz w:val="22"/>
                <w:szCs w:val="22"/>
              </w:rPr>
              <w:t>12 604 $</w:t>
            </w:r>
          </w:p>
        </w:tc>
      </w:tr>
      <w:tr w:rsidR="00922601" w:rsidRPr="00713CB1" w14:paraId="1D800FB8" w14:textId="77777777" w:rsidTr="00940BD8">
        <w:trPr>
          <w:trHeight w:val="255"/>
        </w:trPr>
        <w:tc>
          <w:tcPr>
            <w:tcW w:w="1217" w:type="pct"/>
            <w:vMerge/>
          </w:tcPr>
          <w:p w14:paraId="58E2C84B" w14:textId="77777777" w:rsidR="00922601" w:rsidRPr="00922601" w:rsidRDefault="00922601" w:rsidP="00940BD8">
            <w:pPr>
              <w:keepNext w:val="0"/>
              <w:jc w:val="left"/>
              <w:rPr>
                <w:rFonts w:cs="Arial"/>
                <w:sz w:val="22"/>
                <w:szCs w:val="22"/>
                <w:highlight w:val="lightGray"/>
                <w:lang w:eastAsia="fr-CA"/>
              </w:rPr>
            </w:pPr>
          </w:p>
        </w:tc>
        <w:tc>
          <w:tcPr>
            <w:tcW w:w="860" w:type="pct"/>
            <w:gridSpan w:val="2"/>
            <w:shd w:val="clear" w:color="auto" w:fill="auto"/>
            <w:noWrap/>
            <w:vAlign w:val="bottom"/>
          </w:tcPr>
          <w:p w14:paraId="0F2AC828" w14:textId="77777777" w:rsidR="00922601" w:rsidRPr="00922601" w:rsidRDefault="00922601" w:rsidP="00940BD8">
            <w:pPr>
              <w:keepNext w:val="0"/>
              <w:jc w:val="center"/>
              <w:rPr>
                <w:rFonts w:cs="Arial"/>
                <w:sz w:val="22"/>
                <w:szCs w:val="22"/>
                <w:highlight w:val="lightGray"/>
                <w:lang w:eastAsia="fr-CA"/>
              </w:rPr>
            </w:pPr>
            <w:r w:rsidRPr="00316277">
              <w:rPr>
                <w:rFonts w:cs="Arial"/>
                <w:sz w:val="22"/>
                <w:szCs w:val="22"/>
                <w:lang w:eastAsia="fr-CA"/>
              </w:rPr>
              <w:t>V</w:t>
            </w:r>
          </w:p>
        </w:tc>
        <w:tc>
          <w:tcPr>
            <w:tcW w:w="1461" w:type="pct"/>
            <w:gridSpan w:val="3"/>
            <w:tcBorders>
              <w:top w:val="single" w:sz="4" w:space="0" w:color="auto"/>
              <w:left w:val="nil"/>
              <w:bottom w:val="single" w:sz="4" w:space="0" w:color="auto"/>
              <w:right w:val="single" w:sz="4" w:space="0" w:color="auto"/>
            </w:tcBorders>
            <w:shd w:val="clear" w:color="auto" w:fill="auto"/>
            <w:noWrap/>
          </w:tcPr>
          <w:p w14:paraId="774D5103" w14:textId="77777777" w:rsidR="00922601" w:rsidRPr="00922601" w:rsidRDefault="00922601" w:rsidP="00940BD8">
            <w:pPr>
              <w:keepNext w:val="0"/>
              <w:ind w:left="284" w:right="785"/>
              <w:jc w:val="right"/>
              <w:rPr>
                <w:rFonts w:cs="Arial"/>
                <w:sz w:val="22"/>
                <w:szCs w:val="22"/>
                <w:highlight w:val="lightGray"/>
              </w:rPr>
            </w:pPr>
            <w:r w:rsidRPr="00316277">
              <w:rPr>
                <w:rFonts w:cs="Arial"/>
                <w:sz w:val="22"/>
                <w:szCs w:val="22"/>
              </w:rPr>
              <w:t>26 212 $</w:t>
            </w:r>
          </w:p>
        </w:tc>
        <w:tc>
          <w:tcPr>
            <w:tcW w:w="1462" w:type="pct"/>
            <w:gridSpan w:val="3"/>
            <w:tcBorders>
              <w:top w:val="single" w:sz="4" w:space="0" w:color="auto"/>
              <w:left w:val="single" w:sz="4" w:space="0" w:color="auto"/>
              <w:bottom w:val="single" w:sz="4" w:space="0" w:color="auto"/>
            </w:tcBorders>
            <w:shd w:val="clear" w:color="auto" w:fill="auto"/>
            <w:noWrap/>
          </w:tcPr>
          <w:p w14:paraId="6C29DFEA" w14:textId="77777777" w:rsidR="00922601" w:rsidRPr="00316277" w:rsidRDefault="00922601" w:rsidP="00940BD8">
            <w:pPr>
              <w:keepNext w:val="0"/>
              <w:ind w:left="284" w:right="785"/>
              <w:jc w:val="right"/>
              <w:rPr>
                <w:rFonts w:cs="Arial"/>
                <w:sz w:val="22"/>
                <w:szCs w:val="22"/>
              </w:rPr>
            </w:pPr>
            <w:r w:rsidRPr="00316277">
              <w:rPr>
                <w:rFonts w:cs="Arial"/>
                <w:sz w:val="22"/>
                <w:szCs w:val="22"/>
              </w:rPr>
              <w:t>14 868 $</w:t>
            </w:r>
          </w:p>
        </w:tc>
      </w:tr>
    </w:tbl>
    <w:p w14:paraId="5BC65F9A" w14:textId="77777777" w:rsidR="00922601" w:rsidRDefault="00922601" w:rsidP="007F120F">
      <w:pPr>
        <w:pStyle w:val="NUMRODECLAUSE"/>
        <w:keepNext w:val="0"/>
      </w:pPr>
    </w:p>
    <w:p w14:paraId="41DAD804" w14:textId="5B7A6E25" w:rsidR="008947A0" w:rsidRPr="00026EC1" w:rsidRDefault="008947A0" w:rsidP="007F120F">
      <w:pPr>
        <w:pStyle w:val="NUMRODECLAUSE"/>
        <w:keepNext w:val="0"/>
      </w:pPr>
      <w:r w:rsidRPr="00026EC1">
        <w:t>2.02</w:t>
      </w:r>
    </w:p>
    <w:p w14:paraId="039DDE2F" w14:textId="2DA99ADD" w:rsidR="00945715" w:rsidRDefault="008947A0" w:rsidP="007F120F">
      <w:pPr>
        <w:keepNext w:val="0"/>
        <w:rPr>
          <w:rFonts w:cs="Arial"/>
          <w:szCs w:val="24"/>
        </w:rPr>
      </w:pPr>
      <w:r w:rsidRPr="00026EC1">
        <w:rPr>
          <w:rFonts w:cs="Arial"/>
          <w:szCs w:val="24"/>
        </w:rPr>
        <w:t>Le montant de la prime d</w:t>
      </w:r>
      <w:r w:rsidR="00BC3319" w:rsidRPr="00026EC1">
        <w:rPr>
          <w:rFonts w:cs="Arial"/>
          <w:szCs w:val="24"/>
        </w:rPr>
        <w:t>’</w:t>
      </w:r>
      <w:r w:rsidRPr="00026EC1">
        <w:rPr>
          <w:rFonts w:cs="Arial"/>
          <w:szCs w:val="24"/>
        </w:rPr>
        <w:t>isolement et d</w:t>
      </w:r>
      <w:r w:rsidR="00BC3319" w:rsidRPr="00026EC1">
        <w:rPr>
          <w:rFonts w:cs="Arial"/>
          <w:szCs w:val="24"/>
        </w:rPr>
        <w:t>’</w:t>
      </w:r>
      <w:r w:rsidRPr="00026EC1">
        <w:rPr>
          <w:rFonts w:cs="Arial"/>
          <w:szCs w:val="24"/>
        </w:rPr>
        <w:t>éloignement pour un secteur décrit à la clause 1.03 auquel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à temps partiel ou chargé de cours a droit est proportionnel à son équivalent temps complet tel qu</w:t>
      </w:r>
      <w:r w:rsidR="00BC3319" w:rsidRPr="00026EC1">
        <w:rPr>
          <w:rFonts w:cs="Arial"/>
          <w:szCs w:val="24"/>
        </w:rPr>
        <w:t>’</w:t>
      </w:r>
      <w:r w:rsidRPr="00026EC1">
        <w:rPr>
          <w:rFonts w:cs="Arial"/>
          <w:szCs w:val="24"/>
        </w:rPr>
        <w:t>il est défini à la clause </w:t>
      </w:r>
      <w:r w:rsidRPr="00026EC1">
        <w:rPr>
          <w:rFonts w:cs="Arial"/>
          <w:bCs/>
          <w:szCs w:val="24"/>
        </w:rPr>
        <w:t>8</w:t>
      </w:r>
      <w:r w:rsidR="00984A6F">
        <w:rPr>
          <w:rFonts w:cs="Arial"/>
          <w:bCs/>
          <w:szCs w:val="24"/>
        </w:rPr>
        <w:noBreakHyphen/>
      </w:r>
      <w:r w:rsidRPr="00026EC1">
        <w:rPr>
          <w:rFonts w:cs="Arial"/>
          <w:bCs/>
          <w:szCs w:val="24"/>
        </w:rPr>
        <w:t xml:space="preserve">5.12 </w:t>
      </w:r>
      <w:r w:rsidRPr="00026EC1">
        <w:rPr>
          <w:rFonts w:cs="Arial"/>
          <w:szCs w:val="24"/>
        </w:rPr>
        <w:t>de la convention collective.</w:t>
      </w:r>
    </w:p>
    <w:p w14:paraId="5EA6EC12" w14:textId="77777777" w:rsidR="00945715" w:rsidRDefault="00945715">
      <w:pPr>
        <w:keepNext w:val="0"/>
        <w:suppressAutoHyphens w:val="0"/>
        <w:jc w:val="left"/>
        <w:rPr>
          <w:rFonts w:cs="Arial"/>
          <w:szCs w:val="24"/>
        </w:rPr>
      </w:pPr>
      <w:r>
        <w:rPr>
          <w:rFonts w:cs="Arial"/>
          <w:szCs w:val="24"/>
        </w:rPr>
        <w:br w:type="page"/>
      </w:r>
    </w:p>
    <w:p w14:paraId="655B46E4" w14:textId="77777777" w:rsidR="008947A0" w:rsidRPr="00026EC1" w:rsidRDefault="008947A0" w:rsidP="007F120F">
      <w:pPr>
        <w:pStyle w:val="NUMRODECLAUSE"/>
        <w:keepNext w:val="0"/>
      </w:pPr>
      <w:r w:rsidRPr="00026EC1">
        <w:t>2.03</w:t>
      </w:r>
    </w:p>
    <w:p w14:paraId="79BB9894" w14:textId="77777777" w:rsidR="008947A0" w:rsidRPr="00026EC1" w:rsidRDefault="008947A0" w:rsidP="007F120F">
      <w:pPr>
        <w:keepNext w:val="0"/>
        <w:rPr>
          <w:rFonts w:cs="Arial"/>
          <w:szCs w:val="24"/>
        </w:rPr>
      </w:pPr>
      <w:r w:rsidRPr="00026EC1">
        <w:rPr>
          <w:rFonts w:cs="Arial"/>
          <w:szCs w:val="24"/>
        </w:rPr>
        <w:t>Le montant de la prime d</w:t>
      </w:r>
      <w:r w:rsidR="00BC3319" w:rsidRPr="00026EC1">
        <w:rPr>
          <w:rFonts w:cs="Arial"/>
          <w:szCs w:val="24"/>
        </w:rPr>
        <w:t>’</w:t>
      </w:r>
      <w:r w:rsidRPr="00026EC1">
        <w:rPr>
          <w:rFonts w:cs="Arial"/>
          <w:szCs w:val="24"/>
        </w:rPr>
        <w:t>isolement et d</w:t>
      </w:r>
      <w:r w:rsidR="00BC3319" w:rsidRPr="00026EC1">
        <w:rPr>
          <w:rFonts w:cs="Arial"/>
          <w:szCs w:val="24"/>
        </w:rPr>
        <w:t>’</w:t>
      </w:r>
      <w:r w:rsidRPr="00026EC1">
        <w:rPr>
          <w:rFonts w:cs="Arial"/>
          <w:szCs w:val="24"/>
        </w:rPr>
        <w:t>éloignement est rajusté au prorata de la charge individuelle de travail fournie sur le territoire du Collège compris dans un secteur décrit à la clause 1.03, par rapport à la pleine charge individuelle de travail pour laquelle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a été engagé.</w:t>
      </w:r>
    </w:p>
    <w:p w14:paraId="2CD95A5B" w14:textId="77777777" w:rsidR="008947A0" w:rsidRPr="00026EC1" w:rsidRDefault="008947A0" w:rsidP="007F120F">
      <w:pPr>
        <w:keepNext w:val="0"/>
        <w:rPr>
          <w:rFonts w:cs="Arial"/>
          <w:szCs w:val="24"/>
        </w:rPr>
      </w:pPr>
    </w:p>
    <w:p w14:paraId="296C20D0" w14:textId="77777777" w:rsidR="008947A0" w:rsidRPr="00026EC1" w:rsidRDefault="008947A0" w:rsidP="007F120F">
      <w:pPr>
        <w:pStyle w:val="NUMRODECLAUSE"/>
        <w:keepNext w:val="0"/>
      </w:pPr>
      <w:r w:rsidRPr="00026EC1">
        <w:t>2.04</w:t>
      </w:r>
    </w:p>
    <w:p w14:paraId="3433978A" w14:textId="3ACFF668" w:rsidR="008947A0" w:rsidRPr="00026EC1" w:rsidRDefault="008947A0" w:rsidP="007F120F">
      <w:pPr>
        <w:keepNext w:val="0"/>
        <w:rPr>
          <w:rFonts w:cs="Arial"/>
          <w:szCs w:val="24"/>
        </w:rPr>
      </w:pPr>
      <w:r w:rsidRPr="00026EC1">
        <w:rPr>
          <w:rFonts w:cs="Arial"/>
          <w:szCs w:val="24"/>
        </w:rPr>
        <w:t>Si les deux</w:t>
      </w:r>
      <w:r w:rsidR="00881575">
        <w:rPr>
          <w:rFonts w:cs="Arial"/>
          <w:szCs w:val="24"/>
        </w:rPr>
        <w:t> </w:t>
      </w:r>
      <w:r w:rsidRPr="00026EC1">
        <w:rPr>
          <w:rFonts w:cs="Arial"/>
          <w:szCs w:val="24"/>
        </w:rPr>
        <w:t>(2) conjoints travaillent pour le même Collège ou si l</w:t>
      </w:r>
      <w:r w:rsidR="00BC3319" w:rsidRPr="00026EC1">
        <w:rPr>
          <w:rFonts w:cs="Arial"/>
          <w:szCs w:val="24"/>
        </w:rPr>
        <w:t>’</w:t>
      </w:r>
      <w:r w:rsidRPr="00026EC1">
        <w:rPr>
          <w:rFonts w:cs="Arial"/>
          <w:szCs w:val="24"/>
        </w:rPr>
        <w:t>un et l</w:t>
      </w:r>
      <w:r w:rsidR="00BC3319" w:rsidRPr="00026EC1">
        <w:rPr>
          <w:rFonts w:cs="Arial"/>
          <w:szCs w:val="24"/>
        </w:rPr>
        <w:t>’</w:t>
      </w:r>
      <w:r w:rsidRPr="00026EC1">
        <w:rPr>
          <w:rFonts w:cs="Arial"/>
          <w:szCs w:val="24"/>
        </w:rPr>
        <w:t>autre travaillent pour deux</w:t>
      </w:r>
      <w:r w:rsidR="00881575">
        <w:rPr>
          <w:rFonts w:cs="Arial"/>
          <w:szCs w:val="24"/>
        </w:rPr>
        <w:t> </w:t>
      </w:r>
      <w:r w:rsidRPr="00026EC1">
        <w:rPr>
          <w:rFonts w:cs="Arial"/>
          <w:szCs w:val="24"/>
        </w:rPr>
        <w:t>(2) employeurs différents des secteurs public et parapublic, un</w:t>
      </w:r>
      <w:r w:rsidR="00881575">
        <w:rPr>
          <w:rFonts w:cs="Arial"/>
          <w:szCs w:val="24"/>
        </w:rPr>
        <w:t> </w:t>
      </w:r>
      <w:r w:rsidRPr="00026EC1">
        <w:rPr>
          <w:rFonts w:cs="Arial"/>
          <w:szCs w:val="24"/>
        </w:rPr>
        <w:t>(1) seul des deux</w:t>
      </w:r>
      <w:r w:rsidR="00881575">
        <w:rPr>
          <w:rFonts w:cs="Arial"/>
          <w:szCs w:val="24"/>
        </w:rPr>
        <w:t> </w:t>
      </w:r>
      <w:r w:rsidRPr="00026EC1">
        <w:rPr>
          <w:rFonts w:cs="Arial"/>
          <w:szCs w:val="24"/>
        </w:rPr>
        <w:t>(2) peut se prévaloir de la prime applicable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avec personne à charge, s</w:t>
      </w:r>
      <w:r w:rsidR="00BC3319" w:rsidRPr="00026EC1">
        <w:rPr>
          <w:rFonts w:cs="Arial"/>
          <w:szCs w:val="24"/>
        </w:rPr>
        <w:t>’</w:t>
      </w:r>
      <w:r w:rsidRPr="00026EC1">
        <w:rPr>
          <w:rFonts w:cs="Arial"/>
          <w:szCs w:val="24"/>
        </w:rPr>
        <w:t>il y a au moins une (1) personne à charge autre que la conjointe ou le conjoint. S</w:t>
      </w:r>
      <w:r w:rsidR="00BC3319" w:rsidRPr="00026EC1">
        <w:rPr>
          <w:rFonts w:cs="Arial"/>
          <w:szCs w:val="24"/>
        </w:rPr>
        <w:t>’</w:t>
      </w:r>
      <w:r w:rsidRPr="00026EC1">
        <w:rPr>
          <w:rFonts w:cs="Arial"/>
          <w:szCs w:val="24"/>
        </w:rPr>
        <w:t>il n</w:t>
      </w:r>
      <w:r w:rsidR="00BC3319" w:rsidRPr="00026EC1">
        <w:rPr>
          <w:rFonts w:cs="Arial"/>
          <w:szCs w:val="24"/>
        </w:rPr>
        <w:t>’</w:t>
      </w:r>
      <w:r w:rsidRPr="00026EC1">
        <w:rPr>
          <w:rFonts w:cs="Arial"/>
          <w:szCs w:val="24"/>
        </w:rPr>
        <w:t>y a pas d</w:t>
      </w:r>
      <w:r w:rsidR="00BC3319" w:rsidRPr="00026EC1">
        <w:rPr>
          <w:rFonts w:cs="Arial"/>
          <w:szCs w:val="24"/>
        </w:rPr>
        <w:t>’</w:t>
      </w:r>
      <w:r w:rsidRPr="00026EC1">
        <w:rPr>
          <w:rFonts w:cs="Arial"/>
          <w:szCs w:val="24"/>
        </w:rPr>
        <w:t>autre personne à charge que la conjointe ou le conjoint, chacun a droit à la prime sans personne à charge malgré la définition du terme « personne à charge » de la clause 1.01.</w:t>
      </w:r>
    </w:p>
    <w:p w14:paraId="3A496A04" w14:textId="77777777" w:rsidR="008947A0" w:rsidRPr="00026EC1" w:rsidRDefault="008947A0" w:rsidP="007F120F">
      <w:pPr>
        <w:keepNext w:val="0"/>
        <w:rPr>
          <w:rFonts w:cs="Arial"/>
          <w:szCs w:val="24"/>
        </w:rPr>
      </w:pPr>
    </w:p>
    <w:p w14:paraId="2D74EFF9" w14:textId="1767DB56" w:rsidR="008947A0" w:rsidRPr="00026EC1" w:rsidRDefault="008947A0" w:rsidP="007F120F">
      <w:pPr>
        <w:pStyle w:val="NUMRODECLAUSE"/>
        <w:keepNext w:val="0"/>
      </w:pPr>
      <w:r w:rsidRPr="00026EC1">
        <w:t>2.05</w:t>
      </w:r>
    </w:p>
    <w:p w14:paraId="7A26F919" w14:textId="69A8C329" w:rsidR="008947A0" w:rsidRPr="00026EC1" w:rsidRDefault="008947A0" w:rsidP="007F120F">
      <w:pPr>
        <w:keepNext w:val="0"/>
        <w:rPr>
          <w:rFonts w:cs="Arial"/>
          <w:szCs w:val="24"/>
        </w:rPr>
      </w:pPr>
      <w:r w:rsidRPr="00026EC1">
        <w:rPr>
          <w:rFonts w:cs="Arial"/>
          <w:szCs w:val="24"/>
        </w:rPr>
        <w:t>Sous réserve de la clause 2.03, le Collège cesse de verser la prime d</w:t>
      </w:r>
      <w:r w:rsidR="00BC3319" w:rsidRPr="00026EC1">
        <w:rPr>
          <w:rFonts w:cs="Arial"/>
          <w:szCs w:val="24"/>
        </w:rPr>
        <w:t>’</w:t>
      </w:r>
      <w:r w:rsidRPr="00026EC1">
        <w:rPr>
          <w:rFonts w:cs="Arial"/>
          <w:szCs w:val="24"/>
        </w:rPr>
        <w:t>isolement et d</w:t>
      </w:r>
      <w:r w:rsidR="00BC3319" w:rsidRPr="00026EC1">
        <w:rPr>
          <w:rFonts w:cs="Arial"/>
          <w:szCs w:val="24"/>
        </w:rPr>
        <w:t>’</w:t>
      </w:r>
      <w:r w:rsidRPr="00026EC1">
        <w:rPr>
          <w:rFonts w:cs="Arial"/>
          <w:szCs w:val="24"/>
        </w:rPr>
        <w:t>éloignement établie en vertu de la présente section si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et ses personnes à charge quittent délibérément le territoire lors d</w:t>
      </w:r>
      <w:r w:rsidR="00BC3319" w:rsidRPr="00026EC1">
        <w:rPr>
          <w:rFonts w:cs="Arial"/>
          <w:szCs w:val="24"/>
        </w:rPr>
        <w:t>’</w:t>
      </w:r>
      <w:r w:rsidRPr="00026EC1">
        <w:rPr>
          <w:rFonts w:cs="Arial"/>
          <w:szCs w:val="24"/>
        </w:rPr>
        <w:t>un congé ou d</w:t>
      </w:r>
      <w:r w:rsidR="00BC3319" w:rsidRPr="00026EC1">
        <w:rPr>
          <w:rFonts w:cs="Arial"/>
          <w:szCs w:val="24"/>
        </w:rPr>
        <w:t>’</w:t>
      </w:r>
      <w:r w:rsidRPr="00026EC1">
        <w:rPr>
          <w:rFonts w:cs="Arial"/>
          <w:szCs w:val="24"/>
        </w:rPr>
        <w:t>une absence rémunérée de plus de trente</w:t>
      </w:r>
      <w:r w:rsidR="00881575">
        <w:rPr>
          <w:rFonts w:cs="Arial"/>
          <w:szCs w:val="24"/>
        </w:rPr>
        <w:t> </w:t>
      </w:r>
      <w:r w:rsidRPr="00026EC1">
        <w:rPr>
          <w:rFonts w:cs="Arial"/>
          <w:szCs w:val="24"/>
        </w:rPr>
        <w:t>(30) jours, sauf s</w:t>
      </w:r>
      <w:r w:rsidR="00BC3319" w:rsidRPr="00026EC1">
        <w:rPr>
          <w:rFonts w:cs="Arial"/>
          <w:szCs w:val="24"/>
        </w:rPr>
        <w:t>’</w:t>
      </w:r>
      <w:r w:rsidRPr="00026EC1">
        <w:rPr>
          <w:rFonts w:cs="Arial"/>
          <w:szCs w:val="24"/>
        </w:rPr>
        <w:t>il s</w:t>
      </w:r>
      <w:r w:rsidR="00BC3319" w:rsidRPr="00026EC1">
        <w:rPr>
          <w:rFonts w:cs="Arial"/>
          <w:szCs w:val="24"/>
        </w:rPr>
        <w:t>’</w:t>
      </w:r>
      <w:r w:rsidRPr="00026EC1">
        <w:rPr>
          <w:rFonts w:cs="Arial"/>
          <w:szCs w:val="24"/>
        </w:rPr>
        <w:t>agit de vacances, de jour férié, de congé de maladie, de congé de maternité ou d</w:t>
      </w:r>
      <w:r w:rsidR="00BC3319" w:rsidRPr="00026EC1">
        <w:rPr>
          <w:rFonts w:cs="Arial"/>
          <w:szCs w:val="24"/>
        </w:rPr>
        <w:t>’</w:t>
      </w:r>
      <w:r w:rsidRPr="00026EC1">
        <w:rPr>
          <w:rFonts w:cs="Arial"/>
          <w:szCs w:val="24"/>
        </w:rPr>
        <w:t>adoption ou de congé pour accident du travail ou maladie professionnelle.</w:t>
      </w:r>
    </w:p>
    <w:p w14:paraId="442F2586" w14:textId="77777777" w:rsidR="008947A0" w:rsidRPr="00026EC1" w:rsidRDefault="008947A0" w:rsidP="007F120F">
      <w:pPr>
        <w:keepNext w:val="0"/>
        <w:rPr>
          <w:rFonts w:cs="Arial"/>
          <w:szCs w:val="24"/>
        </w:rPr>
      </w:pPr>
    </w:p>
    <w:p w14:paraId="5FBF5FD1" w14:textId="0CB645D2" w:rsidR="0092260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qui participe au régime de congé à traitement différé ou anticipé prévu à l</w:t>
      </w:r>
      <w:r w:rsidR="00BC3319" w:rsidRPr="00026EC1">
        <w:rPr>
          <w:rFonts w:cs="Arial"/>
          <w:szCs w:val="24"/>
        </w:rPr>
        <w:t>’</w:t>
      </w:r>
      <w:r w:rsidRPr="00026EC1">
        <w:rPr>
          <w:rFonts w:cs="Arial"/>
          <w:szCs w:val="24"/>
        </w:rPr>
        <w:t>article 5</w:t>
      </w:r>
      <w:r w:rsidR="00984A6F">
        <w:rPr>
          <w:rFonts w:cs="Arial"/>
          <w:szCs w:val="24"/>
        </w:rPr>
        <w:noBreakHyphen/>
      </w:r>
      <w:r w:rsidRPr="00026EC1">
        <w:rPr>
          <w:rFonts w:cs="Arial"/>
          <w:szCs w:val="24"/>
        </w:rPr>
        <w:t>12.00 de la convention collective peut, à sa demande, différer le versement de la prime d</w:t>
      </w:r>
      <w:r w:rsidR="00BC3319" w:rsidRPr="00026EC1">
        <w:rPr>
          <w:rFonts w:cs="Arial"/>
          <w:szCs w:val="24"/>
        </w:rPr>
        <w:t>’</w:t>
      </w:r>
      <w:r w:rsidRPr="00026EC1">
        <w:rPr>
          <w:rFonts w:cs="Arial"/>
          <w:szCs w:val="24"/>
        </w:rPr>
        <w:t>isolement et d</w:t>
      </w:r>
      <w:r w:rsidR="00BC3319" w:rsidRPr="00026EC1">
        <w:rPr>
          <w:rFonts w:cs="Arial"/>
          <w:szCs w:val="24"/>
        </w:rPr>
        <w:t>’</w:t>
      </w:r>
      <w:r w:rsidRPr="00026EC1">
        <w:rPr>
          <w:rFonts w:cs="Arial"/>
          <w:szCs w:val="24"/>
        </w:rPr>
        <w:t>éloignement aux mêmes conditions que ce qui est convenu pour son traitement.</w:t>
      </w:r>
    </w:p>
    <w:p w14:paraId="47A13067" w14:textId="44BB5BEF" w:rsidR="00922601" w:rsidRDefault="00922601">
      <w:pPr>
        <w:keepNext w:val="0"/>
        <w:suppressAutoHyphens w:val="0"/>
        <w:jc w:val="left"/>
        <w:rPr>
          <w:rFonts w:cs="Arial"/>
          <w:szCs w:val="24"/>
        </w:rPr>
      </w:pPr>
    </w:p>
    <w:p w14:paraId="62F064DC"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3.00</w:t>
      </w:r>
      <w:r w:rsidRPr="00026EC1">
        <w:rPr>
          <w:rFonts w:cs="Arial"/>
          <w:szCs w:val="24"/>
        </w:rPr>
        <w:tab/>
        <w:t>AUTRES BÉNÉFICES</w:t>
      </w:r>
    </w:p>
    <w:p w14:paraId="3B5A4202" w14:textId="77777777" w:rsidR="008947A0" w:rsidRPr="00026EC1" w:rsidRDefault="008947A0" w:rsidP="007F120F">
      <w:pPr>
        <w:keepNext w:val="0"/>
        <w:rPr>
          <w:rFonts w:cs="Arial"/>
          <w:szCs w:val="24"/>
        </w:rPr>
      </w:pPr>
    </w:p>
    <w:p w14:paraId="10A32AC2" w14:textId="77777777" w:rsidR="008947A0" w:rsidRPr="00026EC1" w:rsidRDefault="008947A0" w:rsidP="007F120F">
      <w:pPr>
        <w:pStyle w:val="NUMRODECLAUSE"/>
        <w:keepNext w:val="0"/>
      </w:pPr>
      <w:r w:rsidRPr="00026EC1">
        <w:t>3.01</w:t>
      </w:r>
    </w:p>
    <w:p w14:paraId="5EAC1AC2" w14:textId="23102E71" w:rsidR="008947A0" w:rsidRPr="00026EC1" w:rsidRDefault="008947A0" w:rsidP="007F120F">
      <w:pPr>
        <w:keepNext w:val="0"/>
        <w:rPr>
          <w:rFonts w:cs="Arial"/>
          <w:szCs w:val="24"/>
        </w:rPr>
      </w:pPr>
      <w:r w:rsidRPr="00026EC1">
        <w:rPr>
          <w:rFonts w:cs="Arial"/>
          <w:szCs w:val="24"/>
        </w:rPr>
        <w:t>Le Collège assume les frais suivants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recruté au Québec à plus de cinquante</w:t>
      </w:r>
      <w:r w:rsidR="00881575">
        <w:rPr>
          <w:rFonts w:cs="Arial"/>
          <w:szCs w:val="24"/>
        </w:rPr>
        <w:t> </w:t>
      </w:r>
      <w:r w:rsidRPr="00026EC1">
        <w:rPr>
          <w:rFonts w:cs="Arial"/>
          <w:szCs w:val="24"/>
        </w:rPr>
        <w:t>(50) kilomètres de la localité où elle ou il est appelé à exercer ses fonctions, pourvu que cette localité soit située dans un secteur décrit à la clause 1.03</w:t>
      </w:r>
      <w:r w:rsidR="00D8581B">
        <w:rPr>
          <w:rFonts w:cs="Arial"/>
          <w:szCs w:val="24"/>
        </w:rPr>
        <w:t> :</w:t>
      </w:r>
    </w:p>
    <w:p w14:paraId="0B8B6CDB" w14:textId="77777777" w:rsidR="008947A0" w:rsidRPr="00026EC1" w:rsidRDefault="008947A0" w:rsidP="007F120F">
      <w:pPr>
        <w:keepNext w:val="0"/>
        <w:rPr>
          <w:rFonts w:cs="Arial"/>
          <w:szCs w:val="24"/>
        </w:rPr>
      </w:pPr>
    </w:p>
    <w:p w14:paraId="7EDBC201" w14:textId="77777777" w:rsidR="008947A0" w:rsidRPr="00026EC1" w:rsidRDefault="00275751" w:rsidP="007F120F">
      <w:pPr>
        <w:keepNext w:val="0"/>
        <w:tabs>
          <w:tab w:val="left" w:pos="567"/>
        </w:tabs>
        <w:ind w:left="567" w:hanging="567"/>
        <w:rPr>
          <w:rFonts w:cs="Arial"/>
          <w:szCs w:val="24"/>
        </w:rPr>
      </w:pPr>
      <w:r w:rsidRPr="00026EC1">
        <w:rPr>
          <w:rFonts w:cs="Arial"/>
          <w:szCs w:val="24"/>
        </w:rPr>
        <w:t>a)</w:t>
      </w:r>
      <w:r w:rsidRPr="00026EC1">
        <w:rPr>
          <w:rFonts w:cs="Arial"/>
          <w:szCs w:val="24"/>
        </w:rPr>
        <w:tab/>
      </w:r>
      <w:r w:rsidR="008947A0" w:rsidRPr="00026EC1">
        <w:rPr>
          <w:rFonts w:cs="Arial"/>
          <w:szCs w:val="24"/>
        </w:rPr>
        <w:t>le coût du transport de l</w:t>
      </w:r>
      <w:r w:rsidR="00BC3319" w:rsidRPr="00026EC1">
        <w:rPr>
          <w:rFonts w:cs="Arial"/>
          <w:szCs w:val="24"/>
        </w:rPr>
        <w:t>’</w:t>
      </w:r>
      <w:r w:rsidR="008947A0" w:rsidRPr="00026EC1">
        <w:rPr>
          <w:rFonts w:cs="Arial"/>
          <w:szCs w:val="24"/>
        </w:rPr>
        <w:t>enseignante ou de l</w:t>
      </w:r>
      <w:r w:rsidR="00BC3319" w:rsidRPr="00026EC1">
        <w:rPr>
          <w:rFonts w:cs="Arial"/>
          <w:szCs w:val="24"/>
        </w:rPr>
        <w:t>’</w:t>
      </w:r>
      <w:r w:rsidR="008947A0" w:rsidRPr="00026EC1">
        <w:rPr>
          <w:rFonts w:cs="Arial"/>
          <w:szCs w:val="24"/>
        </w:rPr>
        <w:t>enseignant déplacé et de ses personnes à charge;</w:t>
      </w:r>
    </w:p>
    <w:p w14:paraId="4FAEA642" w14:textId="77777777" w:rsidR="008947A0" w:rsidRPr="00026EC1" w:rsidRDefault="008947A0" w:rsidP="007F120F">
      <w:pPr>
        <w:keepNext w:val="0"/>
        <w:rPr>
          <w:rFonts w:cs="Arial"/>
          <w:szCs w:val="24"/>
        </w:rPr>
      </w:pPr>
    </w:p>
    <w:p w14:paraId="7A2D2297" w14:textId="141851E5" w:rsidR="008947A0" w:rsidRPr="00026EC1" w:rsidRDefault="00275751" w:rsidP="007F120F">
      <w:pPr>
        <w:keepNext w:val="0"/>
        <w:tabs>
          <w:tab w:val="left" w:pos="567"/>
        </w:tabs>
        <w:ind w:left="567" w:hanging="567"/>
        <w:rPr>
          <w:rFonts w:cs="Arial"/>
          <w:szCs w:val="24"/>
        </w:rPr>
      </w:pPr>
      <w:r w:rsidRPr="00026EC1">
        <w:rPr>
          <w:rFonts w:cs="Arial"/>
          <w:szCs w:val="24"/>
        </w:rPr>
        <w:t>b)</w:t>
      </w:r>
      <w:r w:rsidRPr="00026EC1">
        <w:rPr>
          <w:rFonts w:cs="Arial"/>
          <w:szCs w:val="24"/>
        </w:rPr>
        <w:tab/>
      </w:r>
      <w:r w:rsidR="008947A0" w:rsidRPr="00026EC1">
        <w:rPr>
          <w:rFonts w:cs="Arial"/>
          <w:szCs w:val="24"/>
        </w:rPr>
        <w:t>le coût du transport de ses effets personnels et de ceux de ses personnes à charge jusqu</w:t>
      </w:r>
      <w:r w:rsidR="00BC3319" w:rsidRPr="00026EC1">
        <w:rPr>
          <w:rFonts w:cs="Arial"/>
          <w:szCs w:val="24"/>
        </w:rPr>
        <w:t>’</w:t>
      </w:r>
      <w:r w:rsidR="008947A0" w:rsidRPr="00026EC1">
        <w:rPr>
          <w:rFonts w:cs="Arial"/>
          <w:szCs w:val="24"/>
        </w:rPr>
        <w:t>à concurrence de</w:t>
      </w:r>
      <w:r w:rsidR="00D8581B">
        <w:rPr>
          <w:rFonts w:cs="Arial"/>
          <w:szCs w:val="24"/>
        </w:rPr>
        <w:t> :</w:t>
      </w:r>
    </w:p>
    <w:p w14:paraId="3094FB49" w14:textId="77777777" w:rsidR="008947A0" w:rsidRPr="00026EC1" w:rsidRDefault="008947A0" w:rsidP="007F120F">
      <w:pPr>
        <w:keepNext w:val="0"/>
        <w:rPr>
          <w:rFonts w:cs="Arial"/>
          <w:szCs w:val="24"/>
        </w:rPr>
      </w:pPr>
    </w:p>
    <w:p w14:paraId="5E78DFE2" w14:textId="44B7DF0B" w:rsidR="008947A0" w:rsidRPr="00026EC1" w:rsidRDefault="00275751" w:rsidP="007F120F">
      <w:pPr>
        <w:keepNext w:val="0"/>
        <w:tabs>
          <w:tab w:val="left" w:pos="1134"/>
        </w:tabs>
        <w:ind w:left="1134"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deux cent vingt</w:t>
      </w:r>
      <w:r w:rsidR="00984A6F">
        <w:rPr>
          <w:rFonts w:cs="Arial"/>
          <w:szCs w:val="24"/>
        </w:rPr>
        <w:noBreakHyphen/>
      </w:r>
      <w:r w:rsidR="008947A0" w:rsidRPr="00026EC1">
        <w:rPr>
          <w:rFonts w:cs="Arial"/>
          <w:szCs w:val="24"/>
        </w:rPr>
        <w:t>huit (228) kilogrammes pour chaque adulte ou chaque enfant de douze</w:t>
      </w:r>
      <w:r w:rsidR="00881575">
        <w:rPr>
          <w:rFonts w:cs="Arial"/>
          <w:szCs w:val="24"/>
        </w:rPr>
        <w:t> </w:t>
      </w:r>
      <w:r w:rsidR="008947A0" w:rsidRPr="00026EC1">
        <w:rPr>
          <w:rFonts w:cs="Arial"/>
          <w:szCs w:val="24"/>
        </w:rPr>
        <w:t>(12) ans ou plus;</w:t>
      </w:r>
    </w:p>
    <w:p w14:paraId="5E31BC10" w14:textId="77777777" w:rsidR="00C877F5" w:rsidRPr="00026EC1" w:rsidRDefault="00C877F5" w:rsidP="007F120F">
      <w:pPr>
        <w:keepNext w:val="0"/>
        <w:ind w:left="567"/>
        <w:rPr>
          <w:rFonts w:cs="Arial"/>
          <w:szCs w:val="24"/>
        </w:rPr>
      </w:pPr>
    </w:p>
    <w:p w14:paraId="35089F49" w14:textId="2924363F" w:rsidR="008947A0" w:rsidRPr="00026EC1" w:rsidRDefault="00275751" w:rsidP="007F120F">
      <w:pPr>
        <w:keepNext w:val="0"/>
        <w:tabs>
          <w:tab w:val="left" w:pos="1134"/>
        </w:tabs>
        <w:ind w:left="1134"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cent trente</w:t>
      </w:r>
      <w:r w:rsidR="00984A6F">
        <w:rPr>
          <w:rFonts w:cs="Arial"/>
          <w:szCs w:val="24"/>
        </w:rPr>
        <w:noBreakHyphen/>
      </w:r>
      <w:r w:rsidR="008947A0" w:rsidRPr="00026EC1">
        <w:rPr>
          <w:rFonts w:cs="Arial"/>
          <w:szCs w:val="24"/>
        </w:rPr>
        <w:t>sept (137) kilogrammes pour chaque enfant de moins de douze</w:t>
      </w:r>
      <w:r w:rsidR="00881575">
        <w:rPr>
          <w:rFonts w:cs="Arial"/>
          <w:szCs w:val="24"/>
        </w:rPr>
        <w:t> </w:t>
      </w:r>
      <w:r w:rsidR="008947A0" w:rsidRPr="00026EC1">
        <w:rPr>
          <w:rFonts w:cs="Arial"/>
          <w:szCs w:val="24"/>
        </w:rPr>
        <w:t>(12) ans;</w:t>
      </w:r>
    </w:p>
    <w:p w14:paraId="26D37575" w14:textId="77777777" w:rsidR="008947A0" w:rsidRPr="00026EC1" w:rsidRDefault="008947A0" w:rsidP="007F120F">
      <w:pPr>
        <w:keepNext w:val="0"/>
        <w:rPr>
          <w:rFonts w:cs="Arial"/>
          <w:szCs w:val="24"/>
        </w:rPr>
      </w:pPr>
    </w:p>
    <w:p w14:paraId="194DDD5A" w14:textId="77777777" w:rsidR="008947A0" w:rsidRPr="00026EC1" w:rsidRDefault="00275751" w:rsidP="007F120F">
      <w:pPr>
        <w:keepNext w:val="0"/>
        <w:tabs>
          <w:tab w:val="left" w:pos="567"/>
        </w:tabs>
        <w:ind w:left="567" w:hanging="567"/>
        <w:rPr>
          <w:rFonts w:cs="Arial"/>
          <w:szCs w:val="24"/>
        </w:rPr>
      </w:pPr>
      <w:r w:rsidRPr="00026EC1">
        <w:rPr>
          <w:rFonts w:cs="Arial"/>
          <w:szCs w:val="24"/>
        </w:rPr>
        <w:t>c)</w:t>
      </w:r>
      <w:r w:rsidRPr="00026EC1">
        <w:rPr>
          <w:rFonts w:cs="Arial"/>
          <w:szCs w:val="24"/>
        </w:rPr>
        <w:tab/>
      </w:r>
      <w:r w:rsidR="008947A0" w:rsidRPr="00026EC1">
        <w:rPr>
          <w:rFonts w:cs="Arial"/>
          <w:szCs w:val="24"/>
        </w:rPr>
        <w:t>le coût du transport de ses meubles meublants, s</w:t>
      </w:r>
      <w:r w:rsidR="00BC3319" w:rsidRPr="00026EC1">
        <w:rPr>
          <w:rFonts w:cs="Arial"/>
          <w:szCs w:val="24"/>
        </w:rPr>
        <w:t>’</w:t>
      </w:r>
      <w:r w:rsidR="008947A0" w:rsidRPr="00026EC1">
        <w:rPr>
          <w:rFonts w:cs="Arial"/>
          <w:szCs w:val="24"/>
        </w:rPr>
        <w:t>il y a lieu;</w:t>
      </w:r>
    </w:p>
    <w:p w14:paraId="5B3182FC" w14:textId="77777777" w:rsidR="008947A0" w:rsidRPr="00026EC1" w:rsidRDefault="008947A0" w:rsidP="007F120F">
      <w:pPr>
        <w:keepNext w:val="0"/>
        <w:rPr>
          <w:rFonts w:cs="Arial"/>
          <w:szCs w:val="24"/>
        </w:rPr>
      </w:pPr>
    </w:p>
    <w:p w14:paraId="157AEDB8" w14:textId="77777777" w:rsidR="008947A0" w:rsidRPr="00026EC1" w:rsidRDefault="00275751" w:rsidP="007F120F">
      <w:pPr>
        <w:keepNext w:val="0"/>
        <w:tabs>
          <w:tab w:val="left" w:pos="567"/>
        </w:tabs>
        <w:ind w:left="567" w:hanging="567"/>
        <w:rPr>
          <w:rFonts w:cs="Arial"/>
          <w:szCs w:val="24"/>
        </w:rPr>
      </w:pPr>
      <w:r w:rsidRPr="00026EC1">
        <w:rPr>
          <w:rFonts w:cs="Arial"/>
          <w:szCs w:val="24"/>
        </w:rPr>
        <w:t>d)</w:t>
      </w:r>
      <w:r w:rsidRPr="00026EC1">
        <w:rPr>
          <w:rFonts w:cs="Arial"/>
          <w:szCs w:val="24"/>
        </w:rPr>
        <w:tab/>
      </w:r>
      <w:r w:rsidR="008947A0" w:rsidRPr="00026EC1">
        <w:rPr>
          <w:rFonts w:cs="Arial"/>
          <w:szCs w:val="24"/>
        </w:rPr>
        <w:t>le coût du transport du véhicule motorisé, s</w:t>
      </w:r>
      <w:r w:rsidR="00BC3319" w:rsidRPr="00026EC1">
        <w:rPr>
          <w:rFonts w:cs="Arial"/>
          <w:szCs w:val="24"/>
        </w:rPr>
        <w:t>’</w:t>
      </w:r>
      <w:r w:rsidR="008947A0" w:rsidRPr="00026EC1">
        <w:rPr>
          <w:rFonts w:cs="Arial"/>
          <w:szCs w:val="24"/>
        </w:rPr>
        <w:t>il y a lieu, par route, par bateau ou par train;</w:t>
      </w:r>
    </w:p>
    <w:p w14:paraId="27FE5C19" w14:textId="77777777" w:rsidR="008947A0" w:rsidRPr="00026EC1" w:rsidRDefault="008947A0" w:rsidP="007F120F">
      <w:pPr>
        <w:keepNext w:val="0"/>
        <w:rPr>
          <w:rFonts w:cs="Arial"/>
          <w:szCs w:val="24"/>
        </w:rPr>
      </w:pPr>
    </w:p>
    <w:p w14:paraId="64200405" w14:textId="77777777" w:rsidR="008947A0" w:rsidRPr="00026EC1" w:rsidRDefault="00275751" w:rsidP="007F120F">
      <w:pPr>
        <w:keepNext w:val="0"/>
        <w:tabs>
          <w:tab w:val="left" w:pos="567"/>
        </w:tabs>
        <w:ind w:left="567" w:hanging="567"/>
        <w:rPr>
          <w:rFonts w:cs="Arial"/>
          <w:szCs w:val="24"/>
        </w:rPr>
      </w:pPr>
      <w:r w:rsidRPr="00026EC1">
        <w:rPr>
          <w:rFonts w:cs="Arial"/>
          <w:szCs w:val="24"/>
        </w:rPr>
        <w:t>e)</w:t>
      </w:r>
      <w:r w:rsidRPr="00026EC1">
        <w:rPr>
          <w:rFonts w:cs="Arial"/>
          <w:szCs w:val="24"/>
        </w:rPr>
        <w:tab/>
      </w:r>
      <w:r w:rsidR="008947A0" w:rsidRPr="00026EC1">
        <w:rPr>
          <w:rFonts w:cs="Arial"/>
          <w:szCs w:val="24"/>
        </w:rPr>
        <w:t>le coût d</w:t>
      </w:r>
      <w:r w:rsidR="00BC3319" w:rsidRPr="00026EC1">
        <w:rPr>
          <w:rFonts w:cs="Arial"/>
          <w:szCs w:val="24"/>
        </w:rPr>
        <w:t>’</w:t>
      </w:r>
      <w:r w:rsidR="008947A0" w:rsidRPr="00026EC1">
        <w:rPr>
          <w:rFonts w:cs="Arial"/>
          <w:szCs w:val="24"/>
        </w:rPr>
        <w:t>entreposage de ses meubles meublants et de ses effets personnels, s</w:t>
      </w:r>
      <w:r w:rsidR="00BC3319" w:rsidRPr="00026EC1">
        <w:rPr>
          <w:rFonts w:cs="Arial"/>
          <w:szCs w:val="24"/>
        </w:rPr>
        <w:t>’</w:t>
      </w:r>
      <w:r w:rsidR="008947A0" w:rsidRPr="00026EC1">
        <w:rPr>
          <w:rFonts w:cs="Arial"/>
          <w:szCs w:val="24"/>
        </w:rPr>
        <w:t>il y a lieu.</w:t>
      </w:r>
    </w:p>
    <w:p w14:paraId="3B4724F5" w14:textId="77777777" w:rsidR="008947A0" w:rsidRPr="00026EC1" w:rsidRDefault="008947A0" w:rsidP="007F120F">
      <w:pPr>
        <w:keepNext w:val="0"/>
        <w:rPr>
          <w:rFonts w:cs="Arial"/>
          <w:szCs w:val="24"/>
        </w:rPr>
      </w:pPr>
    </w:p>
    <w:p w14:paraId="3361AF7C" w14:textId="77777777" w:rsidR="008947A0" w:rsidRPr="00026EC1" w:rsidRDefault="008947A0" w:rsidP="007F120F">
      <w:pPr>
        <w:keepNext w:val="0"/>
        <w:rPr>
          <w:rFonts w:cs="Arial"/>
          <w:szCs w:val="24"/>
        </w:rPr>
      </w:pPr>
      <w:r w:rsidRPr="00026EC1">
        <w:rPr>
          <w:rFonts w:cs="Arial"/>
          <w:szCs w:val="24"/>
        </w:rPr>
        <w:t>Ces frais sont assumés par le Collège entre le point de départ et le lieu d</w:t>
      </w:r>
      <w:r w:rsidR="00BC3319" w:rsidRPr="00026EC1">
        <w:rPr>
          <w:rFonts w:cs="Arial"/>
          <w:szCs w:val="24"/>
        </w:rPr>
        <w:t>’</w:t>
      </w:r>
      <w:r w:rsidRPr="00026EC1">
        <w:rPr>
          <w:rFonts w:cs="Arial"/>
          <w:szCs w:val="24"/>
        </w:rPr>
        <w:t>affectation et remboursés sur présentation de pièces justificatives.</w:t>
      </w:r>
    </w:p>
    <w:p w14:paraId="4595F1C7" w14:textId="77777777" w:rsidR="008947A0" w:rsidRPr="00026EC1" w:rsidRDefault="008947A0" w:rsidP="007F120F">
      <w:pPr>
        <w:keepNext w:val="0"/>
        <w:rPr>
          <w:rFonts w:cs="Arial"/>
          <w:szCs w:val="24"/>
        </w:rPr>
      </w:pPr>
    </w:p>
    <w:p w14:paraId="24692EF2" w14:textId="77777777" w:rsidR="008947A0" w:rsidRPr="00026EC1" w:rsidRDefault="008947A0" w:rsidP="007F120F">
      <w:pPr>
        <w:keepNext w:val="0"/>
        <w:rPr>
          <w:rFonts w:cs="Arial"/>
          <w:szCs w:val="24"/>
        </w:rPr>
      </w:pPr>
      <w:r w:rsidRPr="00026EC1">
        <w:rPr>
          <w:rFonts w:cs="Arial"/>
          <w:szCs w:val="24"/>
        </w:rPr>
        <w:t>Dans le cas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recruté à l</w:t>
      </w:r>
      <w:r w:rsidR="00BC3319" w:rsidRPr="00026EC1">
        <w:rPr>
          <w:rFonts w:cs="Arial"/>
          <w:szCs w:val="24"/>
        </w:rPr>
        <w:t>’</w:t>
      </w:r>
      <w:r w:rsidRPr="00026EC1">
        <w:rPr>
          <w:rFonts w:cs="Arial"/>
          <w:szCs w:val="24"/>
        </w:rPr>
        <w:t>extérieur du Québec, ces frais sont assumés par l</w:t>
      </w:r>
      <w:r w:rsidR="00BC3319" w:rsidRPr="00026EC1">
        <w:rPr>
          <w:rFonts w:cs="Arial"/>
          <w:szCs w:val="24"/>
        </w:rPr>
        <w:t>’</w:t>
      </w:r>
      <w:r w:rsidRPr="00026EC1">
        <w:rPr>
          <w:rFonts w:cs="Arial"/>
          <w:szCs w:val="24"/>
        </w:rPr>
        <w:t>employeur sans excéder l</w:t>
      </w:r>
      <w:r w:rsidR="00BC3319" w:rsidRPr="00026EC1">
        <w:rPr>
          <w:rFonts w:cs="Arial"/>
          <w:szCs w:val="24"/>
        </w:rPr>
        <w:t>’</w:t>
      </w:r>
      <w:r w:rsidRPr="00026EC1">
        <w:rPr>
          <w:rFonts w:cs="Arial"/>
          <w:szCs w:val="24"/>
        </w:rPr>
        <w:t>équivalent des coûts entre Montréal et la localité où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est appelé à exercer ses fonctions.</w:t>
      </w:r>
    </w:p>
    <w:p w14:paraId="723AB09C" w14:textId="77777777" w:rsidR="008947A0" w:rsidRPr="00026EC1" w:rsidRDefault="008947A0" w:rsidP="007F120F">
      <w:pPr>
        <w:keepNext w:val="0"/>
        <w:rPr>
          <w:rFonts w:cs="Arial"/>
          <w:szCs w:val="24"/>
        </w:rPr>
      </w:pPr>
    </w:p>
    <w:p w14:paraId="50964170" w14:textId="77777777" w:rsidR="008947A0" w:rsidRPr="00026EC1" w:rsidRDefault="008947A0" w:rsidP="007F120F">
      <w:pPr>
        <w:pStyle w:val="NUMRODECLAUSE"/>
        <w:keepNext w:val="0"/>
      </w:pPr>
      <w:r w:rsidRPr="00026EC1">
        <w:t>3.02</w:t>
      </w:r>
    </w:p>
    <w:p w14:paraId="2F594DC4" w14:textId="72900F15" w:rsidR="008947A0" w:rsidRPr="00026EC1" w:rsidRDefault="008947A0" w:rsidP="007F120F">
      <w:pPr>
        <w:keepNext w:val="0"/>
        <w:rPr>
          <w:rFonts w:cs="Arial"/>
          <w:szCs w:val="24"/>
        </w:rPr>
      </w:pPr>
      <w:r w:rsidRPr="00026EC1">
        <w:rPr>
          <w:rFonts w:cs="Arial"/>
          <w:szCs w:val="24"/>
        </w:rPr>
        <w:t>Dans le cas du départ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les frais prévus à la clause 3.01 lui sont remboursés. De plus, le poids de deux cent vingt</w:t>
      </w:r>
      <w:r w:rsidR="00984A6F">
        <w:rPr>
          <w:rFonts w:cs="Arial"/>
          <w:szCs w:val="24"/>
        </w:rPr>
        <w:noBreakHyphen/>
      </w:r>
      <w:r w:rsidRPr="00026EC1">
        <w:rPr>
          <w:rFonts w:cs="Arial"/>
          <w:szCs w:val="24"/>
        </w:rPr>
        <w:t>huit</w:t>
      </w:r>
      <w:r w:rsidR="00881575">
        <w:rPr>
          <w:rFonts w:cs="Arial"/>
          <w:szCs w:val="24"/>
        </w:rPr>
        <w:t> </w:t>
      </w:r>
      <w:r w:rsidRPr="00026EC1">
        <w:rPr>
          <w:rFonts w:cs="Arial"/>
          <w:szCs w:val="24"/>
        </w:rPr>
        <w:t>(228) kilogrammes prévu à l</w:t>
      </w:r>
      <w:r w:rsidR="00BC3319" w:rsidRPr="00026EC1">
        <w:rPr>
          <w:rFonts w:cs="Arial"/>
          <w:szCs w:val="24"/>
        </w:rPr>
        <w:t>’</w:t>
      </w:r>
      <w:r w:rsidRPr="00026EC1">
        <w:rPr>
          <w:rFonts w:cs="Arial"/>
          <w:szCs w:val="24"/>
        </w:rPr>
        <w:t>alinéa b) de la clause 3.01 est augmenté de quarante</w:t>
      </w:r>
      <w:r w:rsidR="00984A6F">
        <w:rPr>
          <w:rFonts w:cs="Arial"/>
          <w:szCs w:val="24"/>
        </w:rPr>
        <w:noBreakHyphen/>
      </w:r>
      <w:r w:rsidRPr="00026EC1">
        <w:rPr>
          <w:rFonts w:cs="Arial"/>
          <w:szCs w:val="24"/>
        </w:rPr>
        <w:t>cinq</w:t>
      </w:r>
      <w:r w:rsidR="00881575">
        <w:rPr>
          <w:rFonts w:cs="Arial"/>
          <w:szCs w:val="24"/>
        </w:rPr>
        <w:t> </w:t>
      </w:r>
      <w:r w:rsidRPr="00026EC1">
        <w:rPr>
          <w:rFonts w:cs="Arial"/>
          <w:szCs w:val="24"/>
        </w:rPr>
        <w:t>(45) kilogrammes par année de service passée sur le territoire à l</w:t>
      </w:r>
      <w:r w:rsidR="00BC3319" w:rsidRPr="00026EC1">
        <w:rPr>
          <w:rFonts w:cs="Arial"/>
          <w:szCs w:val="24"/>
        </w:rPr>
        <w:t>’</w:t>
      </w:r>
      <w:r w:rsidRPr="00026EC1">
        <w:rPr>
          <w:rFonts w:cs="Arial"/>
          <w:szCs w:val="24"/>
        </w:rPr>
        <w:t>emploi du Collège. Cette disposition couvre exclusivement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w:t>
      </w:r>
    </w:p>
    <w:p w14:paraId="10091725" w14:textId="77777777" w:rsidR="008947A0" w:rsidRPr="00026EC1" w:rsidRDefault="008947A0" w:rsidP="007F120F">
      <w:pPr>
        <w:keepNext w:val="0"/>
        <w:rPr>
          <w:rFonts w:cs="Arial"/>
          <w:szCs w:val="24"/>
        </w:rPr>
      </w:pPr>
    </w:p>
    <w:p w14:paraId="47C9B019" w14:textId="539D41CC" w:rsidR="008947A0" w:rsidRPr="00026EC1" w:rsidRDefault="008947A0" w:rsidP="007F120F">
      <w:pPr>
        <w:keepNext w:val="0"/>
        <w:rPr>
          <w:rFonts w:cs="Arial"/>
          <w:szCs w:val="24"/>
        </w:rPr>
      </w:pPr>
      <w:r w:rsidRPr="00026EC1">
        <w:rPr>
          <w:rFonts w:cs="Arial"/>
          <w:szCs w:val="24"/>
        </w:rPr>
        <w:t>Cependant,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n</w:t>
      </w:r>
      <w:r w:rsidR="00BC3319" w:rsidRPr="00026EC1">
        <w:rPr>
          <w:rFonts w:cs="Arial"/>
          <w:szCs w:val="24"/>
        </w:rPr>
        <w:t>’</w:t>
      </w:r>
      <w:r w:rsidRPr="00026EC1">
        <w:rPr>
          <w:rFonts w:cs="Arial"/>
          <w:szCs w:val="24"/>
        </w:rPr>
        <w:t>a pas droit au remboursement de ces frais si elle ou il démissionne pour aller travailler chez un autre employeur avant le quarante</w:t>
      </w:r>
      <w:r w:rsidR="00984A6F">
        <w:rPr>
          <w:rFonts w:cs="Arial"/>
          <w:szCs w:val="24"/>
        </w:rPr>
        <w:noBreakHyphen/>
      </w:r>
      <w:r w:rsidRPr="00026EC1">
        <w:rPr>
          <w:rFonts w:cs="Arial"/>
          <w:szCs w:val="24"/>
        </w:rPr>
        <w:t>cinquième (45</w:t>
      </w:r>
      <w:r w:rsidRPr="00026EC1">
        <w:rPr>
          <w:rFonts w:cs="Arial"/>
          <w:szCs w:val="24"/>
          <w:vertAlign w:val="superscript"/>
        </w:rPr>
        <w:t>e</w:t>
      </w:r>
      <w:r w:rsidRPr="00026EC1">
        <w:rPr>
          <w:rFonts w:cs="Arial"/>
          <w:szCs w:val="24"/>
        </w:rPr>
        <w:t>) jour de séjour sur le territoire.</w:t>
      </w:r>
    </w:p>
    <w:p w14:paraId="1F7577C4" w14:textId="2353F4B2" w:rsidR="008947A0" w:rsidRDefault="008947A0" w:rsidP="007F120F">
      <w:pPr>
        <w:keepNext w:val="0"/>
        <w:rPr>
          <w:rFonts w:cs="Arial"/>
          <w:szCs w:val="24"/>
        </w:rPr>
      </w:pPr>
    </w:p>
    <w:p w14:paraId="78805505" w14:textId="77777777" w:rsidR="008947A0" w:rsidRPr="00026EC1" w:rsidRDefault="008947A0" w:rsidP="007F120F">
      <w:pPr>
        <w:pStyle w:val="NUMRODECLAUSE"/>
        <w:keepNext w:val="0"/>
      </w:pPr>
      <w:r w:rsidRPr="00026EC1">
        <w:t>3.03</w:t>
      </w:r>
    </w:p>
    <w:p w14:paraId="6E4A9135" w14:textId="552D4649" w:rsidR="008947A0" w:rsidRPr="00026EC1" w:rsidRDefault="008947A0" w:rsidP="007F120F">
      <w:pPr>
        <w:keepNext w:val="0"/>
        <w:rPr>
          <w:rFonts w:cs="Arial"/>
          <w:szCs w:val="24"/>
        </w:rPr>
      </w:pPr>
      <w:r w:rsidRPr="00026EC1">
        <w:rPr>
          <w:rFonts w:cs="Arial"/>
          <w:szCs w:val="24"/>
        </w:rPr>
        <w:t>Lorsque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admissible aux dispositions des alinéas</w:t>
      </w:r>
      <w:r w:rsidR="00665807" w:rsidRPr="00026EC1">
        <w:rPr>
          <w:rFonts w:cs="Arial"/>
          <w:szCs w:val="24"/>
        </w:rPr>
        <w:t> </w:t>
      </w:r>
      <w:r w:rsidRPr="00026EC1">
        <w:rPr>
          <w:rFonts w:cs="Arial"/>
          <w:szCs w:val="24"/>
        </w:rPr>
        <w:t>b), c) ou d) de la clause 3.01 décide de ne pas s</w:t>
      </w:r>
      <w:r w:rsidR="00BC3319" w:rsidRPr="00026EC1">
        <w:rPr>
          <w:rFonts w:cs="Arial"/>
          <w:szCs w:val="24"/>
        </w:rPr>
        <w:t>’</w:t>
      </w:r>
      <w:r w:rsidRPr="00026EC1">
        <w:rPr>
          <w:rFonts w:cs="Arial"/>
          <w:szCs w:val="24"/>
        </w:rPr>
        <w:t>en prévaloir immédiatement en totalité ou en partie, elle ou il y demeure admissible pendant les deux</w:t>
      </w:r>
      <w:r w:rsidR="00881575">
        <w:rPr>
          <w:rFonts w:cs="Arial"/>
          <w:szCs w:val="24"/>
        </w:rPr>
        <w:t> </w:t>
      </w:r>
      <w:r w:rsidRPr="00026EC1">
        <w:rPr>
          <w:rFonts w:cs="Arial"/>
          <w:szCs w:val="24"/>
        </w:rPr>
        <w:t>(2) années qui suivent la date du début d</w:t>
      </w:r>
      <w:r w:rsidR="00BC3319" w:rsidRPr="00026EC1">
        <w:rPr>
          <w:rFonts w:cs="Arial"/>
          <w:szCs w:val="24"/>
        </w:rPr>
        <w:t>’</w:t>
      </w:r>
      <w:r w:rsidRPr="00026EC1">
        <w:rPr>
          <w:rFonts w:cs="Arial"/>
          <w:szCs w:val="24"/>
        </w:rPr>
        <w:t>exercice de ses fonctions.</w:t>
      </w:r>
    </w:p>
    <w:p w14:paraId="3DB189C7" w14:textId="77777777" w:rsidR="008947A0" w:rsidRPr="00026EC1" w:rsidRDefault="008947A0" w:rsidP="007F120F">
      <w:pPr>
        <w:keepNext w:val="0"/>
        <w:rPr>
          <w:rFonts w:cs="Arial"/>
          <w:szCs w:val="24"/>
        </w:rPr>
      </w:pPr>
    </w:p>
    <w:p w14:paraId="5EFF63F1" w14:textId="1FA3C9C3" w:rsidR="008947A0" w:rsidRPr="00026EC1" w:rsidRDefault="008947A0" w:rsidP="007F120F">
      <w:pPr>
        <w:pStyle w:val="NUMRODECLAUSE"/>
        <w:keepNext w:val="0"/>
      </w:pPr>
      <w:r w:rsidRPr="00026EC1">
        <w:t>3.04</w:t>
      </w:r>
    </w:p>
    <w:p w14:paraId="06AA0DCA" w14:textId="2E5055C8" w:rsidR="008947A0" w:rsidRPr="00026EC1" w:rsidRDefault="008947A0" w:rsidP="007F120F">
      <w:pPr>
        <w:keepNext w:val="0"/>
        <w:rPr>
          <w:rFonts w:cs="Arial"/>
          <w:szCs w:val="24"/>
        </w:rPr>
      </w:pPr>
      <w:r w:rsidRPr="00026EC1">
        <w:rPr>
          <w:rFonts w:cs="Arial"/>
          <w:szCs w:val="24"/>
        </w:rPr>
        <w:t>Ces frais sont payables à condition que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ne se les fasse pas rembourser par un autre régime, tel le régime fédéral de la mobilité de la main</w:t>
      </w:r>
      <w:r w:rsidR="00984A6F">
        <w:rPr>
          <w:rFonts w:cs="Arial"/>
          <w:szCs w:val="24"/>
        </w:rPr>
        <w:noBreakHyphen/>
      </w:r>
      <w:r w:rsidRPr="00026EC1">
        <w:rPr>
          <w:rFonts w:cs="Arial"/>
          <w:szCs w:val="24"/>
        </w:rPr>
        <w:t>d</w:t>
      </w:r>
      <w:r w:rsidR="00BC3319" w:rsidRPr="00026EC1">
        <w:rPr>
          <w:rFonts w:cs="Arial"/>
          <w:szCs w:val="24"/>
        </w:rPr>
        <w:t>’</w:t>
      </w:r>
      <w:r w:rsidRPr="00026EC1">
        <w:rPr>
          <w:rFonts w:cs="Arial"/>
          <w:szCs w:val="24"/>
        </w:rPr>
        <w:t>œuvre, et uniquement dans les cas suivants</w:t>
      </w:r>
      <w:r w:rsidR="00D8581B">
        <w:rPr>
          <w:rFonts w:cs="Arial"/>
          <w:szCs w:val="24"/>
        </w:rPr>
        <w:t> :</w:t>
      </w:r>
    </w:p>
    <w:p w14:paraId="44DFADD0" w14:textId="77777777" w:rsidR="008947A0" w:rsidRPr="00026EC1" w:rsidRDefault="008947A0" w:rsidP="007F120F">
      <w:pPr>
        <w:keepNext w:val="0"/>
        <w:rPr>
          <w:rFonts w:cs="Arial"/>
          <w:szCs w:val="24"/>
        </w:rPr>
      </w:pPr>
    </w:p>
    <w:p w14:paraId="541BDD94" w14:textId="05534C4D" w:rsidR="008947A0" w:rsidRPr="00026EC1" w:rsidRDefault="00275751" w:rsidP="007F120F">
      <w:pPr>
        <w:keepNext w:val="0"/>
        <w:tabs>
          <w:tab w:val="left" w:pos="567"/>
        </w:tabs>
        <w:ind w:left="567" w:hanging="567"/>
        <w:rPr>
          <w:rFonts w:cs="Arial"/>
          <w:szCs w:val="24"/>
        </w:rPr>
      </w:pPr>
      <w:r w:rsidRPr="00026EC1">
        <w:rPr>
          <w:rFonts w:cs="Arial"/>
          <w:szCs w:val="24"/>
        </w:rPr>
        <w:t>a)</w:t>
      </w:r>
      <w:r w:rsidRPr="00026EC1">
        <w:rPr>
          <w:rFonts w:cs="Arial"/>
          <w:szCs w:val="24"/>
        </w:rPr>
        <w:tab/>
      </w:r>
      <w:r w:rsidR="008947A0" w:rsidRPr="00026EC1">
        <w:rPr>
          <w:rFonts w:cs="Arial"/>
          <w:szCs w:val="24"/>
        </w:rPr>
        <w:t>lors du premier</w:t>
      </w:r>
      <w:r w:rsidR="00881575">
        <w:rPr>
          <w:rFonts w:cs="Arial"/>
          <w:szCs w:val="24"/>
        </w:rPr>
        <w:t> </w:t>
      </w:r>
      <w:r w:rsidR="008947A0" w:rsidRPr="00026EC1">
        <w:rPr>
          <w:rFonts w:cs="Arial"/>
          <w:szCs w:val="24"/>
        </w:rPr>
        <w:t>(1</w:t>
      </w:r>
      <w:r w:rsidR="008947A0" w:rsidRPr="00026EC1">
        <w:rPr>
          <w:rFonts w:cs="Arial"/>
          <w:szCs w:val="24"/>
          <w:vertAlign w:val="superscript"/>
        </w:rPr>
        <w:t>er</w:t>
      </w:r>
      <w:r w:rsidR="008947A0" w:rsidRPr="00026EC1">
        <w:rPr>
          <w:rFonts w:cs="Arial"/>
          <w:szCs w:val="24"/>
        </w:rPr>
        <w:t>) contrat de l</w:t>
      </w:r>
      <w:r w:rsidR="00BC3319" w:rsidRPr="00026EC1">
        <w:rPr>
          <w:rFonts w:cs="Arial"/>
          <w:szCs w:val="24"/>
        </w:rPr>
        <w:t>’</w:t>
      </w:r>
      <w:r w:rsidR="008947A0" w:rsidRPr="00026EC1">
        <w:rPr>
          <w:rFonts w:cs="Arial"/>
          <w:szCs w:val="24"/>
        </w:rPr>
        <w:t>enseignante ou de l</w:t>
      </w:r>
      <w:r w:rsidR="00BC3319" w:rsidRPr="00026EC1">
        <w:rPr>
          <w:rFonts w:cs="Arial"/>
          <w:szCs w:val="24"/>
        </w:rPr>
        <w:t>’</w:t>
      </w:r>
      <w:r w:rsidR="008947A0" w:rsidRPr="00026EC1">
        <w:rPr>
          <w:rFonts w:cs="Arial"/>
          <w:szCs w:val="24"/>
        </w:rPr>
        <w:t>enseignant et lors du rengagement par le Collège d</w:t>
      </w:r>
      <w:r w:rsidR="00BC3319" w:rsidRPr="00026EC1">
        <w:rPr>
          <w:rFonts w:cs="Arial"/>
          <w:szCs w:val="24"/>
        </w:rPr>
        <w:t>’</w:t>
      </w:r>
      <w:r w:rsidR="008947A0" w:rsidRPr="00026EC1">
        <w:rPr>
          <w:rFonts w:cs="Arial"/>
          <w:szCs w:val="24"/>
        </w:rPr>
        <w:t>une enseignante ou d</w:t>
      </w:r>
      <w:r w:rsidR="00BC3319" w:rsidRPr="00026EC1">
        <w:rPr>
          <w:rFonts w:cs="Arial"/>
          <w:szCs w:val="24"/>
        </w:rPr>
        <w:t>’</w:t>
      </w:r>
      <w:r w:rsidR="008947A0" w:rsidRPr="00026EC1">
        <w:rPr>
          <w:rFonts w:cs="Arial"/>
          <w:szCs w:val="24"/>
        </w:rPr>
        <w:t>un enseignant non permanent;</w:t>
      </w:r>
    </w:p>
    <w:p w14:paraId="4C104883" w14:textId="77777777" w:rsidR="008947A0" w:rsidRPr="00026EC1" w:rsidRDefault="008947A0" w:rsidP="007F120F">
      <w:pPr>
        <w:keepNext w:val="0"/>
        <w:rPr>
          <w:rFonts w:cs="Arial"/>
          <w:szCs w:val="24"/>
        </w:rPr>
      </w:pPr>
    </w:p>
    <w:p w14:paraId="27BAA9F3" w14:textId="699A18BB" w:rsidR="008947A0" w:rsidRPr="00026EC1" w:rsidRDefault="00275751" w:rsidP="007F120F">
      <w:pPr>
        <w:keepNext w:val="0"/>
        <w:tabs>
          <w:tab w:val="left" w:pos="567"/>
        </w:tabs>
        <w:ind w:left="567" w:hanging="567"/>
        <w:rPr>
          <w:rFonts w:cs="Arial"/>
          <w:szCs w:val="24"/>
        </w:rPr>
      </w:pPr>
      <w:r w:rsidRPr="00026EC1">
        <w:rPr>
          <w:rFonts w:cs="Arial"/>
          <w:szCs w:val="24"/>
        </w:rPr>
        <w:t>b)</w:t>
      </w:r>
      <w:r w:rsidRPr="00026EC1">
        <w:rPr>
          <w:rFonts w:cs="Arial"/>
          <w:szCs w:val="24"/>
        </w:rPr>
        <w:tab/>
      </w:r>
      <w:r w:rsidR="008947A0" w:rsidRPr="00026EC1">
        <w:rPr>
          <w:rFonts w:cs="Arial"/>
          <w:szCs w:val="24"/>
        </w:rPr>
        <w:t>lors du non</w:t>
      </w:r>
      <w:r w:rsidR="00984A6F">
        <w:rPr>
          <w:rFonts w:cs="Arial"/>
          <w:szCs w:val="24"/>
        </w:rPr>
        <w:noBreakHyphen/>
      </w:r>
      <w:r w:rsidR="008947A0" w:rsidRPr="00026EC1">
        <w:rPr>
          <w:rFonts w:cs="Arial"/>
          <w:szCs w:val="24"/>
        </w:rPr>
        <w:t>renouvellement du contrat par le Collège</w:t>
      </w:r>
      <w:r w:rsidR="00D8581B">
        <w:rPr>
          <w:rFonts w:cs="Arial"/>
          <w:szCs w:val="24"/>
        </w:rPr>
        <w:t> :</w:t>
      </w:r>
      <w:r w:rsidR="008947A0" w:rsidRPr="00026EC1">
        <w:rPr>
          <w:rFonts w:cs="Arial"/>
          <w:szCs w:val="24"/>
        </w:rPr>
        <w:t xml:space="preserve"> du lieu de travail au point de départ;</w:t>
      </w:r>
    </w:p>
    <w:p w14:paraId="3F169962" w14:textId="77777777" w:rsidR="008947A0" w:rsidRPr="00026EC1" w:rsidRDefault="008947A0" w:rsidP="007F120F">
      <w:pPr>
        <w:keepNext w:val="0"/>
        <w:rPr>
          <w:rFonts w:cs="Arial"/>
          <w:szCs w:val="24"/>
        </w:rPr>
      </w:pPr>
    </w:p>
    <w:p w14:paraId="610710BA" w14:textId="77777777" w:rsidR="008947A0" w:rsidRPr="00026EC1" w:rsidRDefault="00275751" w:rsidP="007F120F">
      <w:pPr>
        <w:keepNext w:val="0"/>
        <w:tabs>
          <w:tab w:val="left" w:pos="567"/>
        </w:tabs>
        <w:ind w:left="567" w:hanging="567"/>
        <w:rPr>
          <w:rFonts w:cs="Arial"/>
          <w:szCs w:val="24"/>
        </w:rPr>
      </w:pPr>
      <w:r w:rsidRPr="00026EC1">
        <w:rPr>
          <w:rFonts w:cs="Arial"/>
          <w:szCs w:val="24"/>
        </w:rPr>
        <w:t>c)</w:t>
      </w:r>
      <w:r w:rsidRPr="00026EC1">
        <w:rPr>
          <w:rFonts w:cs="Arial"/>
          <w:szCs w:val="24"/>
        </w:rPr>
        <w:tab/>
      </w:r>
      <w:r w:rsidR="008947A0" w:rsidRPr="00026EC1">
        <w:rPr>
          <w:rFonts w:cs="Arial"/>
          <w:szCs w:val="24"/>
        </w:rPr>
        <w:t>lors d</w:t>
      </w:r>
      <w:r w:rsidR="00BC3319" w:rsidRPr="00026EC1">
        <w:rPr>
          <w:rFonts w:cs="Arial"/>
          <w:szCs w:val="24"/>
        </w:rPr>
        <w:t>’</w:t>
      </w:r>
      <w:r w:rsidR="008947A0" w:rsidRPr="00026EC1">
        <w:rPr>
          <w:rFonts w:cs="Arial"/>
          <w:szCs w:val="24"/>
        </w:rPr>
        <w:t>un changement de lieu de travail, à la demande du Collège ou de l</w:t>
      </w:r>
      <w:r w:rsidR="00BC3319" w:rsidRPr="00026EC1">
        <w:rPr>
          <w:rFonts w:cs="Arial"/>
          <w:szCs w:val="24"/>
        </w:rPr>
        <w:t>’</w:t>
      </w:r>
      <w:r w:rsidR="008947A0" w:rsidRPr="00026EC1">
        <w:rPr>
          <w:rFonts w:cs="Arial"/>
          <w:szCs w:val="24"/>
        </w:rPr>
        <w:t>enseignante ou de l</w:t>
      </w:r>
      <w:r w:rsidR="00BC3319" w:rsidRPr="00026EC1">
        <w:rPr>
          <w:rFonts w:cs="Arial"/>
          <w:szCs w:val="24"/>
        </w:rPr>
        <w:t>’</w:t>
      </w:r>
      <w:r w:rsidR="008947A0" w:rsidRPr="00026EC1">
        <w:rPr>
          <w:rFonts w:cs="Arial"/>
          <w:szCs w:val="24"/>
        </w:rPr>
        <w:t>enseignant;</w:t>
      </w:r>
    </w:p>
    <w:p w14:paraId="67199E63" w14:textId="77777777" w:rsidR="008947A0" w:rsidRPr="00026EC1" w:rsidRDefault="008947A0" w:rsidP="007F120F">
      <w:pPr>
        <w:keepNext w:val="0"/>
        <w:rPr>
          <w:rFonts w:cs="Arial"/>
          <w:szCs w:val="24"/>
        </w:rPr>
      </w:pPr>
    </w:p>
    <w:p w14:paraId="5CDE2E9B" w14:textId="77777777" w:rsidR="008947A0" w:rsidRPr="00026EC1" w:rsidRDefault="00275751" w:rsidP="007F120F">
      <w:pPr>
        <w:keepNext w:val="0"/>
        <w:tabs>
          <w:tab w:val="left" w:pos="567"/>
        </w:tabs>
        <w:ind w:left="567" w:hanging="567"/>
        <w:rPr>
          <w:rFonts w:cs="Arial"/>
          <w:szCs w:val="24"/>
        </w:rPr>
      </w:pPr>
      <w:r w:rsidRPr="00026EC1">
        <w:rPr>
          <w:rFonts w:cs="Arial"/>
          <w:szCs w:val="24"/>
        </w:rPr>
        <w:t>d)</w:t>
      </w:r>
      <w:r w:rsidRPr="00026EC1">
        <w:rPr>
          <w:rFonts w:cs="Arial"/>
          <w:szCs w:val="24"/>
        </w:rPr>
        <w:tab/>
      </w:r>
      <w:r w:rsidR="008947A0" w:rsidRPr="00026EC1">
        <w:rPr>
          <w:rFonts w:cs="Arial"/>
          <w:szCs w:val="24"/>
        </w:rPr>
        <w:t>lors de la rupture de contrat, de la démission ou du décès de l</w:t>
      </w:r>
      <w:r w:rsidR="00BC3319" w:rsidRPr="00026EC1">
        <w:rPr>
          <w:rFonts w:cs="Arial"/>
          <w:szCs w:val="24"/>
        </w:rPr>
        <w:t>’</w:t>
      </w:r>
      <w:r w:rsidR="008947A0" w:rsidRPr="00026EC1">
        <w:rPr>
          <w:rFonts w:cs="Arial"/>
          <w:szCs w:val="24"/>
        </w:rPr>
        <w:t>enseignante ou de l</w:t>
      </w:r>
      <w:r w:rsidR="00BC3319" w:rsidRPr="00026EC1">
        <w:rPr>
          <w:rFonts w:cs="Arial"/>
          <w:szCs w:val="24"/>
        </w:rPr>
        <w:t>’</w:t>
      </w:r>
      <w:r w:rsidR="008947A0" w:rsidRPr="00026EC1">
        <w:rPr>
          <w:rFonts w:cs="Arial"/>
          <w:szCs w:val="24"/>
        </w:rPr>
        <w:t>enseignant. Le remboursement n</w:t>
      </w:r>
      <w:r w:rsidR="00BC3319" w:rsidRPr="00026EC1">
        <w:rPr>
          <w:rFonts w:cs="Arial"/>
          <w:szCs w:val="24"/>
        </w:rPr>
        <w:t>’</w:t>
      </w:r>
      <w:r w:rsidR="008947A0" w:rsidRPr="00026EC1">
        <w:rPr>
          <w:rFonts w:cs="Arial"/>
          <w:szCs w:val="24"/>
        </w:rPr>
        <w:t>est toutefois effectué qu</w:t>
      </w:r>
      <w:r w:rsidR="00BC3319" w:rsidRPr="00026EC1">
        <w:rPr>
          <w:rFonts w:cs="Arial"/>
          <w:szCs w:val="24"/>
        </w:rPr>
        <w:t>’</w:t>
      </w:r>
      <w:r w:rsidR="008947A0" w:rsidRPr="00026EC1">
        <w:rPr>
          <w:rFonts w:cs="Arial"/>
          <w:szCs w:val="24"/>
        </w:rPr>
        <w:t>au prorata de la charge individuelle de travail fournie par rapport à la pleine charge individuelle de travail pour laquelle l</w:t>
      </w:r>
      <w:r w:rsidR="00BC3319" w:rsidRPr="00026EC1">
        <w:rPr>
          <w:rFonts w:cs="Arial"/>
          <w:szCs w:val="24"/>
        </w:rPr>
        <w:t>’</w:t>
      </w:r>
      <w:r w:rsidR="008947A0" w:rsidRPr="00026EC1">
        <w:rPr>
          <w:rFonts w:cs="Arial"/>
          <w:szCs w:val="24"/>
        </w:rPr>
        <w:t>enseignante ou l</w:t>
      </w:r>
      <w:r w:rsidR="00BC3319" w:rsidRPr="00026EC1">
        <w:rPr>
          <w:rFonts w:cs="Arial"/>
          <w:szCs w:val="24"/>
        </w:rPr>
        <w:t>’</w:t>
      </w:r>
      <w:r w:rsidR="008947A0" w:rsidRPr="00026EC1">
        <w:rPr>
          <w:rFonts w:cs="Arial"/>
          <w:szCs w:val="24"/>
        </w:rPr>
        <w:t>enseignant a été engagé, sauf dans le cas de décès;</w:t>
      </w:r>
    </w:p>
    <w:p w14:paraId="52AEC6B3" w14:textId="77777777" w:rsidR="008947A0" w:rsidRPr="00026EC1" w:rsidRDefault="008947A0" w:rsidP="007F120F">
      <w:pPr>
        <w:keepNext w:val="0"/>
        <w:rPr>
          <w:rFonts w:cs="Arial"/>
          <w:szCs w:val="24"/>
        </w:rPr>
      </w:pPr>
    </w:p>
    <w:p w14:paraId="1609AB6E" w14:textId="6C1E3239" w:rsidR="008947A0" w:rsidRPr="00026EC1" w:rsidRDefault="00275751" w:rsidP="007F120F">
      <w:pPr>
        <w:keepNext w:val="0"/>
        <w:tabs>
          <w:tab w:val="left" w:pos="567"/>
        </w:tabs>
        <w:ind w:left="567" w:hanging="567"/>
        <w:rPr>
          <w:rFonts w:cs="Arial"/>
          <w:szCs w:val="24"/>
        </w:rPr>
      </w:pPr>
      <w:r w:rsidRPr="00026EC1">
        <w:rPr>
          <w:rFonts w:cs="Arial"/>
          <w:szCs w:val="24"/>
        </w:rPr>
        <w:t>e)</w:t>
      </w:r>
      <w:r w:rsidRPr="00026EC1">
        <w:rPr>
          <w:rFonts w:cs="Arial"/>
          <w:szCs w:val="24"/>
        </w:rPr>
        <w:tab/>
      </w:r>
      <w:r w:rsidR="008947A0" w:rsidRPr="00026EC1">
        <w:rPr>
          <w:rFonts w:cs="Arial"/>
          <w:szCs w:val="24"/>
        </w:rPr>
        <w:t>lorsqu</w:t>
      </w:r>
      <w:r w:rsidR="00BC3319" w:rsidRPr="00026EC1">
        <w:rPr>
          <w:rFonts w:cs="Arial"/>
          <w:szCs w:val="24"/>
        </w:rPr>
        <w:t>’</w:t>
      </w:r>
      <w:r w:rsidR="008947A0" w:rsidRPr="00026EC1">
        <w:rPr>
          <w:rFonts w:cs="Arial"/>
          <w:szCs w:val="24"/>
        </w:rPr>
        <w:t>une enseignante ou un enseignant obtient un congé de perfectionnement</w:t>
      </w:r>
      <w:r w:rsidR="00D8581B">
        <w:rPr>
          <w:rFonts w:cs="Arial"/>
          <w:szCs w:val="24"/>
        </w:rPr>
        <w:t> :</w:t>
      </w:r>
      <w:r w:rsidR="008947A0" w:rsidRPr="00026EC1">
        <w:rPr>
          <w:rFonts w:cs="Arial"/>
          <w:szCs w:val="24"/>
        </w:rPr>
        <w:t xml:space="preserve"> dans ce cas, les frais visés à la clause 3.01 sont également payables à l</w:t>
      </w:r>
      <w:r w:rsidR="00BC3319" w:rsidRPr="00026EC1">
        <w:rPr>
          <w:rFonts w:cs="Arial"/>
          <w:szCs w:val="24"/>
        </w:rPr>
        <w:t>’</w:t>
      </w:r>
      <w:r w:rsidR="008947A0" w:rsidRPr="00026EC1">
        <w:rPr>
          <w:rFonts w:cs="Arial"/>
          <w:szCs w:val="24"/>
        </w:rPr>
        <w:t>enseignante ou l</w:t>
      </w:r>
      <w:r w:rsidR="00BC3319" w:rsidRPr="00026EC1">
        <w:rPr>
          <w:rFonts w:cs="Arial"/>
          <w:szCs w:val="24"/>
        </w:rPr>
        <w:t>’</w:t>
      </w:r>
      <w:r w:rsidR="008947A0" w:rsidRPr="00026EC1">
        <w:rPr>
          <w:rFonts w:cs="Arial"/>
          <w:szCs w:val="24"/>
        </w:rPr>
        <w:t>enseignant dont le point de départ est situé à cinquante</w:t>
      </w:r>
      <w:r w:rsidR="00881575">
        <w:rPr>
          <w:rFonts w:cs="Arial"/>
          <w:szCs w:val="24"/>
        </w:rPr>
        <w:t> </w:t>
      </w:r>
      <w:r w:rsidR="008947A0" w:rsidRPr="00026EC1">
        <w:rPr>
          <w:rFonts w:cs="Arial"/>
          <w:szCs w:val="24"/>
        </w:rPr>
        <w:t>(50) kilomètres ou moins de la localité où elle ou il exerce ses fonctions.</w:t>
      </w:r>
    </w:p>
    <w:p w14:paraId="0C024BBE" w14:textId="77777777" w:rsidR="008947A0" w:rsidRPr="00026EC1" w:rsidRDefault="008947A0" w:rsidP="007F120F">
      <w:pPr>
        <w:keepNext w:val="0"/>
        <w:rPr>
          <w:rFonts w:cs="Arial"/>
          <w:szCs w:val="24"/>
        </w:rPr>
      </w:pPr>
    </w:p>
    <w:p w14:paraId="4F207504" w14:textId="77777777" w:rsidR="008947A0" w:rsidRPr="00026EC1" w:rsidRDefault="008947A0" w:rsidP="007F120F">
      <w:pPr>
        <w:pStyle w:val="NUMRODECLAUSE"/>
        <w:keepNext w:val="0"/>
      </w:pPr>
      <w:r w:rsidRPr="00026EC1">
        <w:t>3.05</w:t>
      </w:r>
    </w:p>
    <w:p w14:paraId="2B35EEC0" w14:textId="24C5FF92" w:rsidR="008947A0" w:rsidRPr="00026EC1" w:rsidRDefault="008947A0" w:rsidP="007F120F">
      <w:pPr>
        <w:keepNext w:val="0"/>
        <w:rPr>
          <w:rFonts w:cs="Arial"/>
          <w:szCs w:val="24"/>
        </w:rPr>
      </w:pPr>
      <w:r w:rsidRPr="00026EC1">
        <w:rPr>
          <w:rFonts w:cs="Arial"/>
          <w:szCs w:val="24"/>
        </w:rPr>
        <w:t>Lorsque les deux</w:t>
      </w:r>
      <w:r w:rsidR="00881575">
        <w:rPr>
          <w:rFonts w:cs="Arial"/>
          <w:szCs w:val="24"/>
        </w:rPr>
        <w:t> </w:t>
      </w:r>
      <w:r w:rsidRPr="00026EC1">
        <w:rPr>
          <w:rFonts w:cs="Arial"/>
          <w:szCs w:val="24"/>
        </w:rPr>
        <w:t>(2) conjoints, au sens de la clause 1</w:t>
      </w:r>
      <w:r w:rsidR="00984A6F">
        <w:rPr>
          <w:rFonts w:cs="Arial"/>
          <w:szCs w:val="24"/>
        </w:rPr>
        <w:noBreakHyphen/>
      </w:r>
      <w:r w:rsidRPr="00026EC1">
        <w:rPr>
          <w:rFonts w:cs="Arial"/>
          <w:szCs w:val="24"/>
        </w:rPr>
        <w:t xml:space="preserve">2.06, travaillent pour le même </w:t>
      </w:r>
      <w:r w:rsidR="007160B0" w:rsidRPr="00026EC1">
        <w:rPr>
          <w:rFonts w:cs="Arial"/>
          <w:szCs w:val="24"/>
        </w:rPr>
        <w:t>C</w:t>
      </w:r>
      <w:r w:rsidRPr="00026EC1">
        <w:rPr>
          <w:rFonts w:cs="Arial"/>
          <w:szCs w:val="24"/>
        </w:rPr>
        <w:t>ollège, une</w:t>
      </w:r>
      <w:r w:rsidR="00881575">
        <w:rPr>
          <w:rFonts w:cs="Arial"/>
          <w:szCs w:val="24"/>
        </w:rPr>
        <w:t> </w:t>
      </w:r>
      <w:r w:rsidRPr="00026EC1">
        <w:rPr>
          <w:rFonts w:cs="Arial"/>
          <w:szCs w:val="24"/>
        </w:rPr>
        <w:t>(1) seule ou un</w:t>
      </w:r>
      <w:r w:rsidR="00881575">
        <w:rPr>
          <w:rFonts w:cs="Arial"/>
          <w:szCs w:val="24"/>
        </w:rPr>
        <w:t> </w:t>
      </w:r>
      <w:r w:rsidRPr="00026EC1">
        <w:rPr>
          <w:rFonts w:cs="Arial"/>
          <w:szCs w:val="24"/>
        </w:rPr>
        <w:t>(1) seul des deux</w:t>
      </w:r>
      <w:r w:rsidR="00881575">
        <w:rPr>
          <w:rFonts w:cs="Arial"/>
          <w:szCs w:val="24"/>
        </w:rPr>
        <w:t> </w:t>
      </w:r>
      <w:r w:rsidRPr="00026EC1">
        <w:rPr>
          <w:rFonts w:cs="Arial"/>
          <w:szCs w:val="24"/>
        </w:rPr>
        <w:t>(2) peut se prévaloir des bénéfices accordés à la présente section.</w:t>
      </w:r>
    </w:p>
    <w:p w14:paraId="4F14FC7D" w14:textId="77777777" w:rsidR="008947A0" w:rsidRPr="00026EC1" w:rsidRDefault="008947A0" w:rsidP="007F120F">
      <w:pPr>
        <w:keepNext w:val="0"/>
        <w:rPr>
          <w:rFonts w:cs="Arial"/>
          <w:szCs w:val="24"/>
        </w:rPr>
      </w:pPr>
    </w:p>
    <w:p w14:paraId="73271ED9" w14:textId="417EC5D5" w:rsidR="008947A0" w:rsidRPr="00026EC1" w:rsidRDefault="008947A0" w:rsidP="007F120F">
      <w:pPr>
        <w:keepNext w:val="0"/>
        <w:rPr>
          <w:rFonts w:cs="Arial"/>
          <w:szCs w:val="24"/>
        </w:rPr>
      </w:pPr>
      <w:r w:rsidRPr="00026EC1">
        <w:rPr>
          <w:rFonts w:cs="Arial"/>
          <w:szCs w:val="24"/>
        </w:rPr>
        <w:t>Lorsqu</w:t>
      </w:r>
      <w:r w:rsidR="007160B0" w:rsidRPr="00026EC1">
        <w:rPr>
          <w:rFonts w:cs="Arial"/>
          <w:szCs w:val="24"/>
        </w:rPr>
        <w:t>’</w:t>
      </w:r>
      <w:r w:rsidRPr="00026EC1">
        <w:rPr>
          <w:rFonts w:cs="Arial"/>
          <w:szCs w:val="24"/>
        </w:rPr>
        <w:t>une</w:t>
      </w:r>
      <w:r w:rsidR="00881575">
        <w:rPr>
          <w:rFonts w:cs="Arial"/>
          <w:szCs w:val="24"/>
        </w:rPr>
        <w:t> </w:t>
      </w:r>
      <w:r w:rsidRPr="00026EC1">
        <w:rPr>
          <w:rFonts w:cs="Arial"/>
          <w:szCs w:val="24"/>
        </w:rPr>
        <w:t>(1) ou un (1) des conjoints a reçu, pour ce déménagement, des bénéfices équivalents de la part d</w:t>
      </w:r>
      <w:r w:rsidR="00BC3319" w:rsidRPr="00026EC1">
        <w:rPr>
          <w:rFonts w:cs="Arial"/>
          <w:szCs w:val="24"/>
        </w:rPr>
        <w:t>’</w:t>
      </w:r>
      <w:r w:rsidRPr="00026EC1">
        <w:rPr>
          <w:rFonts w:cs="Arial"/>
          <w:szCs w:val="24"/>
        </w:rPr>
        <w:t>un employeur ou d</w:t>
      </w:r>
      <w:r w:rsidR="00BC3319" w:rsidRPr="00026EC1">
        <w:rPr>
          <w:rFonts w:cs="Arial"/>
          <w:szCs w:val="24"/>
        </w:rPr>
        <w:t>’</w:t>
      </w:r>
      <w:r w:rsidRPr="00026EC1">
        <w:rPr>
          <w:rFonts w:cs="Arial"/>
          <w:szCs w:val="24"/>
        </w:rPr>
        <w:t>une autre source, le Collège n</w:t>
      </w:r>
      <w:r w:rsidR="00BC3319" w:rsidRPr="00026EC1">
        <w:rPr>
          <w:rFonts w:cs="Arial"/>
          <w:szCs w:val="24"/>
        </w:rPr>
        <w:t>’</w:t>
      </w:r>
      <w:r w:rsidRPr="00026EC1">
        <w:rPr>
          <w:rFonts w:cs="Arial"/>
          <w:szCs w:val="24"/>
        </w:rPr>
        <w:t>est tenu à aucun remboursement.</w:t>
      </w:r>
    </w:p>
    <w:p w14:paraId="3ED76A10" w14:textId="77777777" w:rsidR="008947A0" w:rsidRPr="00026EC1" w:rsidRDefault="008947A0" w:rsidP="007F120F">
      <w:pPr>
        <w:keepNext w:val="0"/>
        <w:rPr>
          <w:rFonts w:cs="Arial"/>
          <w:szCs w:val="24"/>
        </w:rPr>
      </w:pPr>
    </w:p>
    <w:p w14:paraId="690CABC5"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4.00</w:t>
      </w:r>
      <w:r w:rsidRPr="00026EC1">
        <w:rPr>
          <w:rFonts w:cs="Arial"/>
          <w:szCs w:val="24"/>
        </w:rPr>
        <w:tab/>
        <w:t>SORTIES</w:t>
      </w:r>
    </w:p>
    <w:p w14:paraId="26269B1B" w14:textId="77777777" w:rsidR="008947A0" w:rsidRPr="00026EC1" w:rsidRDefault="008947A0" w:rsidP="007F120F">
      <w:pPr>
        <w:keepNext w:val="0"/>
        <w:rPr>
          <w:rFonts w:cs="Arial"/>
          <w:szCs w:val="24"/>
        </w:rPr>
      </w:pPr>
    </w:p>
    <w:p w14:paraId="32191BEC" w14:textId="77777777" w:rsidR="008947A0" w:rsidRPr="00026EC1" w:rsidRDefault="008947A0" w:rsidP="007F120F">
      <w:pPr>
        <w:pStyle w:val="NUMRODECLAUSE"/>
        <w:keepNext w:val="0"/>
      </w:pPr>
      <w:r w:rsidRPr="00026EC1">
        <w:t>4.01</w:t>
      </w:r>
    </w:p>
    <w:p w14:paraId="085100A8" w14:textId="3A1EB483" w:rsidR="008947A0" w:rsidRPr="00026EC1" w:rsidRDefault="008947A0" w:rsidP="007F120F">
      <w:pPr>
        <w:keepNext w:val="0"/>
        <w:rPr>
          <w:rFonts w:cs="Arial"/>
          <w:szCs w:val="24"/>
        </w:rPr>
      </w:pPr>
      <w:r w:rsidRPr="00026EC1">
        <w:rPr>
          <w:rFonts w:cs="Arial"/>
          <w:szCs w:val="24"/>
        </w:rPr>
        <w:t>Le Collège rembourse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recruté à plus de cinquante</w:t>
      </w:r>
      <w:r w:rsidR="00CC70CF">
        <w:rPr>
          <w:rFonts w:cs="Arial"/>
          <w:szCs w:val="24"/>
        </w:rPr>
        <w:t> </w:t>
      </w:r>
      <w:r w:rsidRPr="00026EC1">
        <w:rPr>
          <w:rFonts w:cs="Arial"/>
          <w:szCs w:val="24"/>
        </w:rPr>
        <w:t>(50) kilomètres de la localité où elle ou il exerce ses fonctions les frais inhérents aux sorties suivantes pour elle ou pour lui et ses personnes à charge</w:t>
      </w:r>
      <w:r w:rsidR="00D8581B">
        <w:rPr>
          <w:rFonts w:cs="Arial"/>
          <w:szCs w:val="24"/>
        </w:rPr>
        <w:t> :</w:t>
      </w:r>
    </w:p>
    <w:p w14:paraId="2692F14B" w14:textId="77777777" w:rsidR="008947A0" w:rsidRPr="00026EC1" w:rsidRDefault="008947A0" w:rsidP="007F120F">
      <w:pPr>
        <w:keepNext w:val="0"/>
        <w:rPr>
          <w:rFonts w:cs="Arial"/>
          <w:szCs w:val="24"/>
        </w:rPr>
      </w:pPr>
    </w:p>
    <w:p w14:paraId="6E3F8FED" w14:textId="5E829DBC" w:rsidR="008947A0" w:rsidRPr="00026EC1" w:rsidRDefault="008947A0" w:rsidP="007F120F">
      <w:pPr>
        <w:keepNext w:val="0"/>
        <w:rPr>
          <w:rFonts w:cs="Arial"/>
          <w:szCs w:val="24"/>
        </w:rPr>
      </w:pPr>
      <w:r w:rsidRPr="00026EC1">
        <w:rPr>
          <w:rFonts w:cs="Arial"/>
          <w:szCs w:val="24"/>
        </w:rPr>
        <w:t>pour les Îles</w:t>
      </w:r>
      <w:r w:rsidR="00984A6F">
        <w:rPr>
          <w:rFonts w:cs="Arial"/>
          <w:szCs w:val="24"/>
        </w:rPr>
        <w:noBreakHyphen/>
      </w:r>
      <w:r w:rsidRPr="00026EC1">
        <w:rPr>
          <w:rFonts w:cs="Arial"/>
          <w:szCs w:val="24"/>
        </w:rPr>
        <w:t>de</w:t>
      </w:r>
      <w:r w:rsidR="00984A6F">
        <w:rPr>
          <w:rFonts w:cs="Arial"/>
          <w:szCs w:val="24"/>
        </w:rPr>
        <w:noBreakHyphen/>
      </w:r>
      <w:r w:rsidRPr="00026EC1">
        <w:rPr>
          <w:rFonts w:cs="Arial"/>
          <w:szCs w:val="24"/>
        </w:rPr>
        <w:t>la</w:t>
      </w:r>
      <w:r w:rsidR="00984A6F">
        <w:rPr>
          <w:rFonts w:cs="Arial"/>
          <w:szCs w:val="24"/>
        </w:rPr>
        <w:noBreakHyphen/>
      </w:r>
      <w:r w:rsidRPr="00026EC1">
        <w:rPr>
          <w:rFonts w:cs="Arial"/>
          <w:szCs w:val="24"/>
        </w:rPr>
        <w:t>Madeleine</w:t>
      </w:r>
      <w:r w:rsidR="00D8581B">
        <w:rPr>
          <w:rFonts w:cs="Arial"/>
          <w:szCs w:val="24"/>
        </w:rPr>
        <w:t> :</w:t>
      </w:r>
      <w:r w:rsidRPr="00026EC1">
        <w:rPr>
          <w:rFonts w:cs="Arial"/>
          <w:szCs w:val="24"/>
        </w:rPr>
        <w:t xml:space="preserve"> une</w:t>
      </w:r>
      <w:r w:rsidR="00881575">
        <w:rPr>
          <w:rFonts w:cs="Arial"/>
          <w:szCs w:val="24"/>
        </w:rPr>
        <w:t> </w:t>
      </w:r>
      <w:r w:rsidRPr="00026EC1">
        <w:rPr>
          <w:rFonts w:cs="Arial"/>
          <w:szCs w:val="24"/>
        </w:rPr>
        <w:t>(1) sortie par année pour l</w:t>
      </w:r>
      <w:r w:rsidR="00BC3319" w:rsidRPr="00026EC1">
        <w:rPr>
          <w:rFonts w:cs="Arial"/>
          <w:szCs w:val="24"/>
        </w:rPr>
        <w:t>’</w:t>
      </w:r>
      <w:r w:rsidRPr="00026EC1">
        <w:rPr>
          <w:rFonts w:cs="Arial"/>
          <w:szCs w:val="24"/>
        </w:rPr>
        <w:t>enseignante ou pour l</w:t>
      </w:r>
      <w:r w:rsidR="00BC3319" w:rsidRPr="00026EC1">
        <w:rPr>
          <w:rFonts w:cs="Arial"/>
          <w:szCs w:val="24"/>
        </w:rPr>
        <w:t>’</w:t>
      </w:r>
      <w:r w:rsidRPr="00026EC1">
        <w:rPr>
          <w:rFonts w:cs="Arial"/>
          <w:szCs w:val="24"/>
        </w:rPr>
        <w:t>enseignant et ses personnes à charge.</w:t>
      </w:r>
    </w:p>
    <w:p w14:paraId="5C5D5BA2" w14:textId="77777777" w:rsidR="008947A0" w:rsidRPr="00026EC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endroit initial du recrutement n</w:t>
      </w:r>
      <w:r w:rsidR="00BC3319" w:rsidRPr="00026EC1">
        <w:rPr>
          <w:rFonts w:cs="Arial"/>
          <w:szCs w:val="24"/>
        </w:rPr>
        <w:t>’</w:t>
      </w:r>
      <w:r w:rsidRPr="00026EC1">
        <w:rPr>
          <w:rFonts w:cs="Arial"/>
          <w:szCs w:val="24"/>
        </w:rPr>
        <w:t>est pas modifié du fait que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non rengagé, qui est rengagé par la suite, ait choisi de demeurer sur place pendant la période de non emploi.</w:t>
      </w:r>
    </w:p>
    <w:p w14:paraId="0491395C" w14:textId="77777777" w:rsidR="008947A0" w:rsidRPr="00026EC1" w:rsidRDefault="008947A0" w:rsidP="007F120F">
      <w:pPr>
        <w:keepNext w:val="0"/>
        <w:rPr>
          <w:rFonts w:cs="Arial"/>
          <w:szCs w:val="24"/>
        </w:rPr>
      </w:pPr>
    </w:p>
    <w:p w14:paraId="52523A4A" w14:textId="58923E03" w:rsidR="008947A0" w:rsidRPr="00026EC1" w:rsidRDefault="008947A0" w:rsidP="007F120F">
      <w:pPr>
        <w:keepNext w:val="0"/>
        <w:rPr>
          <w:rFonts w:cs="Arial"/>
          <w:szCs w:val="24"/>
        </w:rPr>
      </w:pPr>
      <w:r w:rsidRPr="00026EC1">
        <w:rPr>
          <w:rFonts w:cs="Arial"/>
          <w:szCs w:val="24"/>
        </w:rPr>
        <w:t>Ces frais sont remboursés sur production de pièces justificatives pour l</w:t>
      </w:r>
      <w:r w:rsidR="00BC3319" w:rsidRPr="00026EC1">
        <w:rPr>
          <w:rFonts w:cs="Arial"/>
          <w:szCs w:val="24"/>
        </w:rPr>
        <w:t>’</w:t>
      </w:r>
      <w:r w:rsidRPr="00026EC1">
        <w:rPr>
          <w:rFonts w:cs="Arial"/>
          <w:szCs w:val="24"/>
        </w:rPr>
        <w:t>enseignante ou pour l</w:t>
      </w:r>
      <w:r w:rsidR="00BC3319" w:rsidRPr="00026EC1">
        <w:rPr>
          <w:rFonts w:cs="Arial"/>
          <w:szCs w:val="24"/>
        </w:rPr>
        <w:t>’</w:t>
      </w:r>
      <w:r w:rsidRPr="00026EC1">
        <w:rPr>
          <w:rFonts w:cs="Arial"/>
          <w:szCs w:val="24"/>
        </w:rPr>
        <w:t>enseignant et ses personnes à charge jusqu</w:t>
      </w:r>
      <w:r w:rsidR="00BC3319" w:rsidRPr="00026EC1">
        <w:rPr>
          <w:rFonts w:cs="Arial"/>
          <w:szCs w:val="24"/>
        </w:rPr>
        <w:t>’</w:t>
      </w:r>
      <w:r w:rsidRPr="00026EC1">
        <w:rPr>
          <w:rFonts w:cs="Arial"/>
          <w:szCs w:val="24"/>
        </w:rPr>
        <w:t>à concurrence, pour chacune et chacun, de l</w:t>
      </w:r>
      <w:r w:rsidR="00BC3319" w:rsidRPr="00026EC1">
        <w:rPr>
          <w:rFonts w:cs="Arial"/>
          <w:szCs w:val="24"/>
        </w:rPr>
        <w:t>’</w:t>
      </w:r>
      <w:r w:rsidRPr="00026EC1">
        <w:rPr>
          <w:rFonts w:cs="Arial"/>
          <w:szCs w:val="24"/>
        </w:rPr>
        <w:t>équivalent du prix par avion (vol régulier ou nolisé si effectué avec l</w:t>
      </w:r>
      <w:r w:rsidR="00BC3319" w:rsidRPr="00026EC1">
        <w:rPr>
          <w:rFonts w:cs="Arial"/>
          <w:szCs w:val="24"/>
        </w:rPr>
        <w:t>’</w:t>
      </w:r>
      <w:r w:rsidRPr="00026EC1">
        <w:rPr>
          <w:rFonts w:cs="Arial"/>
          <w:szCs w:val="24"/>
        </w:rPr>
        <w:t>accord du Collège) d</w:t>
      </w:r>
      <w:r w:rsidR="00BC3319" w:rsidRPr="00026EC1">
        <w:rPr>
          <w:rFonts w:cs="Arial"/>
          <w:szCs w:val="24"/>
        </w:rPr>
        <w:t>’</w:t>
      </w:r>
      <w:r w:rsidRPr="00026EC1">
        <w:rPr>
          <w:rFonts w:cs="Arial"/>
          <w:szCs w:val="24"/>
        </w:rPr>
        <w:t>un passage aller</w:t>
      </w:r>
      <w:r w:rsidR="00984A6F">
        <w:rPr>
          <w:rFonts w:cs="Arial"/>
          <w:szCs w:val="24"/>
        </w:rPr>
        <w:noBreakHyphen/>
      </w:r>
      <w:r w:rsidRPr="00026EC1">
        <w:rPr>
          <w:rFonts w:cs="Arial"/>
          <w:szCs w:val="24"/>
        </w:rPr>
        <w:t>retour de la localité du lieu de travail jusqu</w:t>
      </w:r>
      <w:r w:rsidR="00BC3319" w:rsidRPr="00026EC1">
        <w:rPr>
          <w:rFonts w:cs="Arial"/>
          <w:szCs w:val="24"/>
        </w:rPr>
        <w:t>’</w:t>
      </w:r>
      <w:r w:rsidRPr="00026EC1">
        <w:rPr>
          <w:rFonts w:cs="Arial"/>
          <w:szCs w:val="24"/>
        </w:rPr>
        <w:t>au point de départ situé au Québec ou jusqu</w:t>
      </w:r>
      <w:r w:rsidR="00BC3319" w:rsidRPr="00026EC1">
        <w:rPr>
          <w:rFonts w:cs="Arial"/>
          <w:szCs w:val="24"/>
        </w:rPr>
        <w:t>’</w:t>
      </w:r>
      <w:r w:rsidRPr="00026EC1">
        <w:rPr>
          <w:rFonts w:cs="Arial"/>
          <w:szCs w:val="24"/>
        </w:rPr>
        <w:t>à Montréal.</w:t>
      </w:r>
    </w:p>
    <w:p w14:paraId="379307BE" w14:textId="47DFE8A1" w:rsidR="008947A0" w:rsidRPr="00026EC1" w:rsidRDefault="008947A0" w:rsidP="007F120F">
      <w:pPr>
        <w:keepNext w:val="0"/>
        <w:rPr>
          <w:rFonts w:cs="Arial"/>
          <w:szCs w:val="24"/>
        </w:rPr>
      </w:pPr>
    </w:p>
    <w:p w14:paraId="1E9CDC37" w14:textId="77777777" w:rsidR="008947A0" w:rsidRPr="00026EC1" w:rsidRDefault="008947A0" w:rsidP="007F120F">
      <w:pPr>
        <w:pStyle w:val="NUMRODECLAUSE"/>
        <w:keepNext w:val="0"/>
      </w:pPr>
      <w:r w:rsidRPr="00026EC1">
        <w:t>4.02</w:t>
      </w:r>
    </w:p>
    <w:p w14:paraId="02B8FBCE" w14:textId="5950239B" w:rsidR="008947A0" w:rsidRPr="00026EC1" w:rsidRDefault="008947A0" w:rsidP="007F120F">
      <w:pPr>
        <w:keepNext w:val="0"/>
        <w:rPr>
          <w:rFonts w:cs="Arial"/>
          <w:szCs w:val="24"/>
        </w:rPr>
      </w:pPr>
      <w:r w:rsidRPr="00026EC1">
        <w:rPr>
          <w:rFonts w:cs="Arial"/>
          <w:szCs w:val="24"/>
        </w:rPr>
        <w:t>Dans le cas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 recruté à l</w:t>
      </w:r>
      <w:r w:rsidR="00BC3319" w:rsidRPr="00026EC1">
        <w:rPr>
          <w:rFonts w:cs="Arial"/>
          <w:szCs w:val="24"/>
        </w:rPr>
        <w:t>’</w:t>
      </w:r>
      <w:r w:rsidRPr="00026EC1">
        <w:rPr>
          <w:rFonts w:cs="Arial"/>
          <w:szCs w:val="24"/>
        </w:rPr>
        <w:t>extérieur du Québec, ces frais ne doivent pas excéder le moindre de l</w:t>
      </w:r>
      <w:r w:rsidR="00BC3319" w:rsidRPr="00026EC1">
        <w:rPr>
          <w:rFonts w:cs="Arial"/>
          <w:szCs w:val="24"/>
        </w:rPr>
        <w:t>’</w:t>
      </w:r>
      <w:r w:rsidRPr="00026EC1">
        <w:rPr>
          <w:rFonts w:cs="Arial"/>
          <w:szCs w:val="24"/>
        </w:rPr>
        <w:t>un ou l</w:t>
      </w:r>
      <w:r w:rsidR="00BC3319" w:rsidRPr="00026EC1">
        <w:rPr>
          <w:rFonts w:cs="Arial"/>
          <w:szCs w:val="24"/>
        </w:rPr>
        <w:t>’</w:t>
      </w:r>
      <w:r w:rsidRPr="00026EC1">
        <w:rPr>
          <w:rFonts w:cs="Arial"/>
          <w:szCs w:val="24"/>
        </w:rPr>
        <w:t>autre des deux</w:t>
      </w:r>
      <w:r w:rsidR="00CC70CF">
        <w:rPr>
          <w:rFonts w:cs="Arial"/>
          <w:szCs w:val="24"/>
        </w:rPr>
        <w:t> </w:t>
      </w:r>
      <w:r w:rsidRPr="00026EC1">
        <w:rPr>
          <w:rFonts w:cs="Arial"/>
          <w:szCs w:val="24"/>
        </w:rPr>
        <w:t>(2) montants suivants</w:t>
      </w:r>
      <w:r w:rsidR="00D8581B">
        <w:rPr>
          <w:rFonts w:cs="Arial"/>
          <w:szCs w:val="24"/>
        </w:rPr>
        <w:t> :</w:t>
      </w:r>
    </w:p>
    <w:p w14:paraId="0DA0CECD" w14:textId="77777777" w:rsidR="008947A0" w:rsidRPr="00026EC1" w:rsidRDefault="008947A0" w:rsidP="007F120F">
      <w:pPr>
        <w:keepNext w:val="0"/>
        <w:rPr>
          <w:rFonts w:cs="Arial"/>
          <w:szCs w:val="24"/>
        </w:rPr>
      </w:pPr>
    </w:p>
    <w:p w14:paraId="6D2A5475" w14:textId="2C9269E2"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w:t>
      </w:r>
      <w:r w:rsidR="00BC3319" w:rsidRPr="00026EC1">
        <w:rPr>
          <w:rFonts w:cs="Arial"/>
          <w:szCs w:val="24"/>
        </w:rPr>
        <w:t>’</w:t>
      </w:r>
      <w:r w:rsidR="008947A0" w:rsidRPr="00026EC1">
        <w:rPr>
          <w:rFonts w:cs="Arial"/>
          <w:szCs w:val="24"/>
        </w:rPr>
        <w:t>équivalent du prix d</w:t>
      </w:r>
      <w:r w:rsidR="00BC3319" w:rsidRPr="00026EC1">
        <w:rPr>
          <w:rFonts w:cs="Arial"/>
          <w:szCs w:val="24"/>
        </w:rPr>
        <w:t>’</w:t>
      </w:r>
      <w:r w:rsidR="008947A0" w:rsidRPr="00026EC1">
        <w:rPr>
          <w:rFonts w:cs="Arial"/>
          <w:szCs w:val="24"/>
        </w:rPr>
        <w:t>un passage aller</w:t>
      </w:r>
      <w:r w:rsidR="00984A6F">
        <w:rPr>
          <w:rFonts w:cs="Arial"/>
          <w:szCs w:val="24"/>
        </w:rPr>
        <w:noBreakHyphen/>
      </w:r>
      <w:r w:rsidR="008947A0" w:rsidRPr="00026EC1">
        <w:rPr>
          <w:rFonts w:cs="Arial"/>
          <w:szCs w:val="24"/>
        </w:rPr>
        <w:t>retour par avion (vol régulier) de la localité du lieu de travail jusqu</w:t>
      </w:r>
      <w:r w:rsidR="00BC3319" w:rsidRPr="00026EC1">
        <w:rPr>
          <w:rFonts w:cs="Arial"/>
          <w:szCs w:val="24"/>
        </w:rPr>
        <w:t>’</w:t>
      </w:r>
      <w:r w:rsidR="008947A0" w:rsidRPr="00026EC1">
        <w:rPr>
          <w:rFonts w:cs="Arial"/>
          <w:szCs w:val="24"/>
        </w:rPr>
        <w:t>au domicile au moment de l</w:t>
      </w:r>
      <w:r w:rsidR="00BC3319" w:rsidRPr="00026EC1">
        <w:rPr>
          <w:rFonts w:cs="Arial"/>
          <w:szCs w:val="24"/>
        </w:rPr>
        <w:t>’</w:t>
      </w:r>
      <w:r w:rsidR="008947A0" w:rsidRPr="00026EC1">
        <w:rPr>
          <w:rFonts w:cs="Arial"/>
          <w:szCs w:val="24"/>
        </w:rPr>
        <w:t>engagement;</w:t>
      </w:r>
    </w:p>
    <w:p w14:paraId="0BF6F003" w14:textId="77777777" w:rsidR="008947A0" w:rsidRPr="00026EC1" w:rsidRDefault="008947A0" w:rsidP="007F120F">
      <w:pPr>
        <w:keepNext w:val="0"/>
        <w:rPr>
          <w:rFonts w:cs="Arial"/>
          <w:szCs w:val="24"/>
        </w:rPr>
      </w:pPr>
    </w:p>
    <w:p w14:paraId="1B625EF6" w14:textId="5868143D"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w:t>
      </w:r>
      <w:r w:rsidR="00BC3319" w:rsidRPr="00026EC1">
        <w:rPr>
          <w:rFonts w:cs="Arial"/>
          <w:szCs w:val="24"/>
        </w:rPr>
        <w:t>’</w:t>
      </w:r>
      <w:r w:rsidR="008947A0" w:rsidRPr="00026EC1">
        <w:rPr>
          <w:rFonts w:cs="Arial"/>
          <w:szCs w:val="24"/>
        </w:rPr>
        <w:t>équivalent du prix d</w:t>
      </w:r>
      <w:r w:rsidR="00BC3319" w:rsidRPr="00026EC1">
        <w:rPr>
          <w:rFonts w:cs="Arial"/>
          <w:szCs w:val="24"/>
        </w:rPr>
        <w:t>’</w:t>
      </w:r>
      <w:r w:rsidR="008947A0" w:rsidRPr="00026EC1">
        <w:rPr>
          <w:rFonts w:cs="Arial"/>
          <w:szCs w:val="24"/>
        </w:rPr>
        <w:t>un passage aller</w:t>
      </w:r>
      <w:r w:rsidR="00984A6F">
        <w:rPr>
          <w:rFonts w:cs="Arial"/>
          <w:szCs w:val="24"/>
        </w:rPr>
        <w:noBreakHyphen/>
      </w:r>
      <w:r w:rsidR="008947A0" w:rsidRPr="00026EC1">
        <w:rPr>
          <w:rFonts w:cs="Arial"/>
          <w:szCs w:val="24"/>
        </w:rPr>
        <w:t>retour par avion (vol régulier) de la localité du lieu de travail jusqu</w:t>
      </w:r>
      <w:r w:rsidR="00BC3319" w:rsidRPr="00026EC1">
        <w:rPr>
          <w:rFonts w:cs="Arial"/>
          <w:szCs w:val="24"/>
        </w:rPr>
        <w:t>’</w:t>
      </w:r>
      <w:r w:rsidR="008947A0" w:rsidRPr="00026EC1">
        <w:rPr>
          <w:rFonts w:cs="Arial"/>
          <w:szCs w:val="24"/>
        </w:rPr>
        <w:t>à Montréal.</w:t>
      </w:r>
    </w:p>
    <w:p w14:paraId="19F0E57A" w14:textId="77777777" w:rsidR="008947A0" w:rsidRPr="00026EC1" w:rsidRDefault="008947A0" w:rsidP="007F120F">
      <w:pPr>
        <w:pStyle w:val="NUMRODECLAUSE"/>
        <w:keepNext w:val="0"/>
      </w:pPr>
      <w:r w:rsidRPr="00026EC1">
        <w:t>4.03</w:t>
      </w:r>
    </w:p>
    <w:p w14:paraId="49A04B24" w14:textId="77777777" w:rsidR="008947A0" w:rsidRPr="00026EC1" w:rsidRDefault="008947A0" w:rsidP="007F120F">
      <w:pPr>
        <w:keepNext w:val="0"/>
        <w:rPr>
          <w:rFonts w:cs="Arial"/>
          <w:szCs w:val="24"/>
        </w:rPr>
      </w:pPr>
      <w:r w:rsidRPr="00026EC1">
        <w:rPr>
          <w:rFonts w:cs="Arial"/>
          <w:szCs w:val="24"/>
        </w:rPr>
        <w:t>Le fait que sa conjointe ou son conjoint soit employée ou employé du secteur public ou parapublic ne doit pas avoir pour effet de faire bénéficier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d</w:t>
      </w:r>
      <w:r w:rsidR="00BC3319" w:rsidRPr="00026EC1">
        <w:rPr>
          <w:rFonts w:cs="Arial"/>
          <w:szCs w:val="24"/>
        </w:rPr>
        <w:t>’</w:t>
      </w:r>
      <w:r w:rsidRPr="00026EC1">
        <w:rPr>
          <w:rFonts w:cs="Arial"/>
          <w:szCs w:val="24"/>
        </w:rPr>
        <w:t>un nombre de sorties payées par le Collège supérieur à celui prévu à la présente annexe.</w:t>
      </w:r>
    </w:p>
    <w:p w14:paraId="256F8B68" w14:textId="77777777" w:rsidR="008947A0" w:rsidRPr="00026EC1" w:rsidRDefault="008947A0" w:rsidP="007F120F">
      <w:pPr>
        <w:keepNext w:val="0"/>
        <w:rPr>
          <w:rFonts w:cs="Arial"/>
          <w:szCs w:val="24"/>
        </w:rPr>
      </w:pPr>
    </w:p>
    <w:p w14:paraId="4343DAC4" w14:textId="77777777" w:rsidR="008947A0" w:rsidRPr="00026EC1" w:rsidRDefault="008947A0" w:rsidP="007F120F">
      <w:pPr>
        <w:pStyle w:val="NUMRODECLAUSE"/>
        <w:keepNext w:val="0"/>
      </w:pPr>
      <w:r w:rsidRPr="00026EC1">
        <w:t>4.04</w:t>
      </w:r>
    </w:p>
    <w:p w14:paraId="1D2C5DB5" w14:textId="6A62C97C" w:rsidR="008947A0" w:rsidRPr="00026EC1" w:rsidRDefault="008947A0" w:rsidP="007F120F">
      <w:pPr>
        <w:keepNext w:val="0"/>
        <w:rPr>
          <w:rFonts w:cs="Arial"/>
          <w:szCs w:val="24"/>
        </w:rPr>
      </w:pPr>
      <w:r w:rsidRPr="00026EC1">
        <w:rPr>
          <w:rFonts w:cs="Arial"/>
          <w:szCs w:val="24"/>
        </w:rPr>
        <w:t>Dans les cas prévus aux clauses</w:t>
      </w:r>
      <w:r w:rsidR="00CC70CF">
        <w:rPr>
          <w:rFonts w:cs="Arial"/>
          <w:szCs w:val="24"/>
        </w:rPr>
        <w:t> </w:t>
      </w:r>
      <w:r w:rsidRPr="00026EC1">
        <w:rPr>
          <w:rFonts w:cs="Arial"/>
          <w:szCs w:val="24"/>
        </w:rPr>
        <w:t>4.01 ou 4.06, une sortie peut être utilisée par la conjointe ou le conjoint non résident, par une parente ou un parent non résident ou par une amie ou un ami pour rendre visite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habitant la région mentionnée à la clause 1.03. Les dispositions de la présente section s</w:t>
      </w:r>
      <w:r w:rsidR="00BC3319" w:rsidRPr="00026EC1">
        <w:rPr>
          <w:rFonts w:cs="Arial"/>
          <w:szCs w:val="24"/>
        </w:rPr>
        <w:t>’</w:t>
      </w:r>
      <w:r w:rsidRPr="00026EC1">
        <w:rPr>
          <w:rFonts w:cs="Arial"/>
          <w:szCs w:val="24"/>
        </w:rPr>
        <w:t>appliquent quant au remboursement des frais.</w:t>
      </w:r>
    </w:p>
    <w:p w14:paraId="4A13ADB0" w14:textId="77777777" w:rsidR="008947A0" w:rsidRPr="00026EC1" w:rsidRDefault="008947A0" w:rsidP="007F120F">
      <w:pPr>
        <w:keepNext w:val="0"/>
        <w:rPr>
          <w:rFonts w:cs="Arial"/>
          <w:szCs w:val="24"/>
        </w:rPr>
      </w:pPr>
    </w:p>
    <w:p w14:paraId="6FFB16F8" w14:textId="77777777" w:rsidR="008947A0" w:rsidRPr="00026EC1" w:rsidRDefault="008947A0" w:rsidP="007F120F">
      <w:pPr>
        <w:pStyle w:val="NUMRODECLAUSE"/>
        <w:keepNext w:val="0"/>
      </w:pPr>
      <w:r w:rsidRPr="00026EC1">
        <w:t>4.05</w:t>
      </w:r>
    </w:p>
    <w:p w14:paraId="0EAD26BA" w14:textId="77777777" w:rsidR="008947A0" w:rsidRPr="00026EC1" w:rsidRDefault="008947A0" w:rsidP="007F120F">
      <w:pPr>
        <w:keepNext w:val="0"/>
        <w:rPr>
          <w:rFonts w:cs="Arial"/>
          <w:szCs w:val="24"/>
        </w:rPr>
      </w:pPr>
      <w:r w:rsidRPr="00026EC1">
        <w:rPr>
          <w:rFonts w:cs="Arial"/>
          <w:szCs w:val="24"/>
        </w:rPr>
        <w:t>La distribution et l</w:t>
      </w:r>
      <w:r w:rsidR="00BC3319" w:rsidRPr="00026EC1">
        <w:rPr>
          <w:rFonts w:cs="Arial"/>
          <w:szCs w:val="24"/>
        </w:rPr>
        <w:t>’</w:t>
      </w:r>
      <w:r w:rsidRPr="00026EC1">
        <w:rPr>
          <w:rFonts w:cs="Arial"/>
          <w:szCs w:val="24"/>
        </w:rPr>
        <w:t>aménagement des sorties prévues à la clause 4.01 peuvent faire l</w:t>
      </w:r>
      <w:r w:rsidR="00BC3319" w:rsidRPr="00026EC1">
        <w:rPr>
          <w:rFonts w:cs="Arial"/>
          <w:szCs w:val="24"/>
        </w:rPr>
        <w:t>’</w:t>
      </w:r>
      <w:r w:rsidRPr="00026EC1">
        <w:rPr>
          <w:rFonts w:cs="Arial"/>
          <w:szCs w:val="24"/>
        </w:rPr>
        <w:t>objet d</w:t>
      </w:r>
      <w:r w:rsidR="00BC3319" w:rsidRPr="00026EC1">
        <w:rPr>
          <w:rFonts w:cs="Arial"/>
          <w:szCs w:val="24"/>
        </w:rPr>
        <w:t>’</w:t>
      </w:r>
      <w:r w:rsidRPr="00026EC1">
        <w:rPr>
          <w:rFonts w:cs="Arial"/>
          <w:szCs w:val="24"/>
        </w:rPr>
        <w:t>une entente entre le Collège et le Syndicat, de même que l</w:t>
      </w:r>
      <w:r w:rsidR="00BC3319" w:rsidRPr="00026EC1">
        <w:rPr>
          <w:rFonts w:cs="Arial"/>
          <w:szCs w:val="24"/>
        </w:rPr>
        <w:t>’</w:t>
      </w:r>
      <w:r w:rsidRPr="00026EC1">
        <w:rPr>
          <w:rFonts w:cs="Arial"/>
          <w:szCs w:val="24"/>
        </w:rPr>
        <w:t>aménagement des sorties en cas de délai de transport non imputable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w:t>
      </w:r>
    </w:p>
    <w:p w14:paraId="23B36026" w14:textId="77777777" w:rsidR="008947A0" w:rsidRPr="00026EC1" w:rsidRDefault="008947A0" w:rsidP="007F120F">
      <w:pPr>
        <w:keepNext w:val="0"/>
        <w:rPr>
          <w:rFonts w:cs="Arial"/>
          <w:szCs w:val="24"/>
        </w:rPr>
      </w:pPr>
    </w:p>
    <w:p w14:paraId="337C5C96" w14:textId="77777777" w:rsidR="008947A0" w:rsidRPr="00026EC1" w:rsidRDefault="008947A0" w:rsidP="007F120F">
      <w:pPr>
        <w:pStyle w:val="NUMRODECLAUSE"/>
        <w:keepNext w:val="0"/>
      </w:pPr>
      <w:r w:rsidRPr="00026EC1">
        <w:t>4.06</w:t>
      </w:r>
    </w:p>
    <w:p w14:paraId="44F8A49C" w14:textId="634DBF41" w:rsidR="008947A0" w:rsidRPr="00026EC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originaire d</w:t>
      </w:r>
      <w:r w:rsidR="00BC3319" w:rsidRPr="00026EC1">
        <w:rPr>
          <w:rFonts w:cs="Arial"/>
          <w:szCs w:val="24"/>
        </w:rPr>
        <w:t>’</w:t>
      </w:r>
      <w:r w:rsidRPr="00026EC1">
        <w:rPr>
          <w:rFonts w:cs="Arial"/>
          <w:szCs w:val="24"/>
        </w:rPr>
        <w:t>une localité située à plus de cinquante</w:t>
      </w:r>
      <w:r w:rsidR="00CC70CF">
        <w:rPr>
          <w:rFonts w:cs="Arial"/>
          <w:szCs w:val="24"/>
        </w:rPr>
        <w:t> </w:t>
      </w:r>
      <w:r w:rsidRPr="00026EC1">
        <w:rPr>
          <w:rFonts w:cs="Arial"/>
          <w:szCs w:val="24"/>
        </w:rPr>
        <w:t>(50) kilomètres de son lieu d</w:t>
      </w:r>
      <w:r w:rsidR="00BC3319" w:rsidRPr="00026EC1">
        <w:rPr>
          <w:rFonts w:cs="Arial"/>
          <w:szCs w:val="24"/>
        </w:rPr>
        <w:t>’</w:t>
      </w:r>
      <w:r w:rsidRPr="00026EC1">
        <w:rPr>
          <w:rFonts w:cs="Arial"/>
          <w:szCs w:val="24"/>
        </w:rPr>
        <w:t>affectation, ayant été recruté sur place et ayant obtenu ses droits de sortie parce qu</w:t>
      </w:r>
      <w:r w:rsidR="00BC3319" w:rsidRPr="00026EC1">
        <w:rPr>
          <w:rFonts w:cs="Arial"/>
          <w:szCs w:val="24"/>
        </w:rPr>
        <w:t>’</w:t>
      </w:r>
      <w:r w:rsidRPr="00026EC1">
        <w:rPr>
          <w:rFonts w:cs="Arial"/>
          <w:szCs w:val="24"/>
        </w:rPr>
        <w:t>elle ou il y vivait avec un conjoint ou une conjointe du secteur public, continue de bénéficier du droit aux sorties prévues à la présente section même si elle ou il perd son statut de conjointe ou de conjoint au sens de la clause 1</w:t>
      </w:r>
      <w:r w:rsidR="00984A6F">
        <w:rPr>
          <w:rFonts w:cs="Arial"/>
          <w:szCs w:val="24"/>
        </w:rPr>
        <w:noBreakHyphen/>
      </w:r>
      <w:r w:rsidRPr="00026EC1">
        <w:rPr>
          <w:rFonts w:cs="Arial"/>
          <w:szCs w:val="24"/>
        </w:rPr>
        <w:t>2.06.</w:t>
      </w:r>
    </w:p>
    <w:p w14:paraId="271E8215" w14:textId="77777777" w:rsidR="00285855" w:rsidRPr="00026EC1" w:rsidRDefault="00285855" w:rsidP="007F120F">
      <w:pPr>
        <w:keepNext w:val="0"/>
        <w:rPr>
          <w:rFonts w:cs="Arial"/>
          <w:szCs w:val="24"/>
        </w:rPr>
      </w:pPr>
    </w:p>
    <w:p w14:paraId="69C84511" w14:textId="77777777" w:rsidR="008947A0" w:rsidRPr="00026EC1" w:rsidRDefault="008947A0" w:rsidP="007F120F">
      <w:pPr>
        <w:pStyle w:val="NUMRODECLAUSE"/>
        <w:keepNext w:val="0"/>
      </w:pPr>
      <w:r w:rsidRPr="00026EC1">
        <w:t>4.07</w:t>
      </w:r>
    </w:p>
    <w:p w14:paraId="430E7A3D" w14:textId="77777777" w:rsidR="008947A0" w:rsidRPr="00026EC1" w:rsidRDefault="008947A0" w:rsidP="007F120F">
      <w:pPr>
        <w:keepNext w:val="0"/>
        <w:rPr>
          <w:rFonts w:cs="Arial"/>
          <w:szCs w:val="24"/>
        </w:rPr>
      </w:pPr>
      <w:r w:rsidRPr="00026EC1">
        <w:rPr>
          <w:rFonts w:cs="Arial"/>
          <w:szCs w:val="24"/>
        </w:rPr>
        <w:t>Il n</w:t>
      </w:r>
      <w:r w:rsidR="00BC3319" w:rsidRPr="00026EC1">
        <w:rPr>
          <w:rFonts w:cs="Arial"/>
          <w:szCs w:val="24"/>
        </w:rPr>
        <w:t>’</w:t>
      </w:r>
      <w:r w:rsidRPr="00026EC1">
        <w:rPr>
          <w:rFonts w:cs="Arial"/>
          <w:szCs w:val="24"/>
        </w:rPr>
        <w:t>est pas nécessaire qu</w:t>
      </w:r>
      <w:r w:rsidR="00BC3319" w:rsidRPr="00026EC1">
        <w:rPr>
          <w:rFonts w:cs="Arial"/>
          <w:szCs w:val="24"/>
        </w:rPr>
        <w:t>’</w:t>
      </w:r>
      <w:r w:rsidRPr="00026EC1">
        <w:rPr>
          <w:rFonts w:cs="Arial"/>
          <w:szCs w:val="24"/>
        </w:rPr>
        <w:t>une sortie soit prise en même temps par l</w:t>
      </w:r>
      <w:r w:rsidR="00BC3319" w:rsidRPr="00026EC1">
        <w:rPr>
          <w:rFonts w:cs="Arial"/>
          <w:szCs w:val="24"/>
        </w:rPr>
        <w:t>’</w:t>
      </w:r>
      <w:r w:rsidRPr="00026EC1">
        <w:rPr>
          <w:rFonts w:cs="Arial"/>
          <w:szCs w:val="24"/>
        </w:rPr>
        <w:t>ensemble des personnes y ayant droit. Toutefois cela ne doit pas avoir pour effet de faire bénéficier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ou ses personnes à charge d</w:t>
      </w:r>
      <w:r w:rsidR="00BC3319" w:rsidRPr="00026EC1">
        <w:rPr>
          <w:rFonts w:cs="Arial"/>
          <w:szCs w:val="24"/>
        </w:rPr>
        <w:t>’</w:t>
      </w:r>
      <w:r w:rsidRPr="00026EC1">
        <w:rPr>
          <w:rFonts w:cs="Arial"/>
          <w:szCs w:val="24"/>
        </w:rPr>
        <w:t>un nombre de sorties payées par le Collège supérieur à celui prévu à la présente section.</w:t>
      </w:r>
    </w:p>
    <w:p w14:paraId="1D744091" w14:textId="77777777" w:rsidR="008947A0" w:rsidRPr="00026EC1" w:rsidRDefault="008947A0" w:rsidP="007F120F">
      <w:pPr>
        <w:keepNext w:val="0"/>
        <w:rPr>
          <w:rFonts w:cs="Arial"/>
          <w:szCs w:val="24"/>
        </w:rPr>
      </w:pPr>
    </w:p>
    <w:p w14:paraId="0FDDBC51" w14:textId="77777777" w:rsidR="008947A0" w:rsidRPr="00026EC1" w:rsidRDefault="008947A0" w:rsidP="007F120F">
      <w:pPr>
        <w:pStyle w:val="NUMRODECLAUSE"/>
        <w:keepNext w:val="0"/>
      </w:pPr>
      <w:r w:rsidRPr="00026EC1">
        <w:t>4.08</w:t>
      </w:r>
    </w:p>
    <w:p w14:paraId="488E2766" w14:textId="5DAA78FB" w:rsidR="008947A0" w:rsidRPr="00026EC1" w:rsidRDefault="008947A0" w:rsidP="007F120F">
      <w:pPr>
        <w:keepNext w:val="0"/>
        <w:rPr>
          <w:rFonts w:cs="Arial"/>
          <w:szCs w:val="24"/>
        </w:rPr>
      </w:pPr>
      <w:r w:rsidRPr="00026EC1">
        <w:rPr>
          <w:rFonts w:cs="Arial"/>
          <w:szCs w:val="24"/>
        </w:rPr>
        <w:t>Sous réserve d</w:t>
      </w:r>
      <w:r w:rsidR="00BC3319" w:rsidRPr="00026EC1">
        <w:rPr>
          <w:rFonts w:cs="Arial"/>
          <w:szCs w:val="24"/>
        </w:rPr>
        <w:t>’</w:t>
      </w:r>
      <w:r w:rsidRPr="00026EC1">
        <w:rPr>
          <w:rFonts w:cs="Arial"/>
          <w:szCs w:val="24"/>
        </w:rPr>
        <w:t>une entente avec le Collège relativement aux modalités de récupération,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visé par la clause 4.01 peut anticiper au plus une</w:t>
      </w:r>
      <w:r w:rsidR="00CC70CF">
        <w:rPr>
          <w:rFonts w:cs="Arial"/>
          <w:szCs w:val="24"/>
        </w:rPr>
        <w:t> </w:t>
      </w:r>
      <w:r w:rsidRPr="00026EC1">
        <w:rPr>
          <w:rFonts w:cs="Arial"/>
          <w:szCs w:val="24"/>
        </w:rPr>
        <w:t>(1) sortie dans le cas du décès d</w:t>
      </w:r>
      <w:r w:rsidR="00BC3319" w:rsidRPr="00026EC1">
        <w:rPr>
          <w:rFonts w:cs="Arial"/>
          <w:szCs w:val="24"/>
        </w:rPr>
        <w:t>’</w:t>
      </w:r>
      <w:r w:rsidRPr="00026EC1">
        <w:rPr>
          <w:rFonts w:cs="Arial"/>
          <w:szCs w:val="24"/>
        </w:rPr>
        <w:t>un proche parent vivant à l</w:t>
      </w:r>
      <w:r w:rsidR="00BC3319" w:rsidRPr="00026EC1">
        <w:rPr>
          <w:rFonts w:cs="Arial"/>
          <w:szCs w:val="24"/>
        </w:rPr>
        <w:t>’</w:t>
      </w:r>
      <w:r w:rsidRPr="00026EC1">
        <w:rPr>
          <w:rFonts w:cs="Arial"/>
          <w:szCs w:val="24"/>
        </w:rPr>
        <w:t>extérieur de la localité où elle ou il exerce ses fonctions. En aucun cas cette anticipation ne peut conférer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et à ses personnes à charge un nombre de sorties supérieur à celui auquel elles ou ils ont droit.</w:t>
      </w:r>
    </w:p>
    <w:p w14:paraId="108A41D5" w14:textId="77777777" w:rsidR="008947A0" w:rsidRPr="00026EC1" w:rsidRDefault="008947A0" w:rsidP="007F120F">
      <w:pPr>
        <w:keepNext w:val="0"/>
        <w:rPr>
          <w:rFonts w:cs="Arial"/>
          <w:szCs w:val="24"/>
        </w:rPr>
      </w:pPr>
    </w:p>
    <w:p w14:paraId="230C50B0" w14:textId="78032605" w:rsidR="008947A0" w:rsidRPr="00026EC1" w:rsidRDefault="008947A0" w:rsidP="007F120F">
      <w:pPr>
        <w:keepNext w:val="0"/>
        <w:rPr>
          <w:rFonts w:cs="Arial"/>
          <w:szCs w:val="24"/>
        </w:rPr>
      </w:pPr>
      <w:r w:rsidRPr="00026EC1">
        <w:rPr>
          <w:rFonts w:cs="Arial"/>
          <w:szCs w:val="24"/>
        </w:rPr>
        <w:t>Au sens de la présente clause, un proche parent est défini comme suit</w:t>
      </w:r>
      <w:r w:rsidR="00D8581B">
        <w:rPr>
          <w:rFonts w:cs="Arial"/>
          <w:szCs w:val="24"/>
        </w:rPr>
        <w:t> :</w:t>
      </w:r>
      <w:r w:rsidRPr="00026EC1">
        <w:rPr>
          <w:rFonts w:cs="Arial"/>
          <w:szCs w:val="24"/>
        </w:rPr>
        <w:t xml:space="preserve"> conjointe ou conjoint, enfant, père, mère, frère, sœur, beau</w:t>
      </w:r>
      <w:r w:rsidR="00984A6F">
        <w:rPr>
          <w:rFonts w:cs="Arial"/>
          <w:szCs w:val="24"/>
        </w:rPr>
        <w:noBreakHyphen/>
      </w:r>
      <w:r w:rsidRPr="00026EC1">
        <w:rPr>
          <w:rFonts w:cs="Arial"/>
          <w:szCs w:val="24"/>
        </w:rPr>
        <w:t>père, belle</w:t>
      </w:r>
      <w:r w:rsidR="00984A6F">
        <w:rPr>
          <w:rFonts w:cs="Arial"/>
          <w:szCs w:val="24"/>
        </w:rPr>
        <w:noBreakHyphen/>
      </w:r>
      <w:r w:rsidRPr="00026EC1">
        <w:rPr>
          <w:rFonts w:cs="Arial"/>
          <w:szCs w:val="24"/>
        </w:rPr>
        <w:t>mère, gendre ou bru.</w:t>
      </w:r>
    </w:p>
    <w:p w14:paraId="2A802E48" w14:textId="77777777" w:rsidR="008947A0" w:rsidRPr="00026EC1" w:rsidRDefault="008947A0" w:rsidP="007F120F">
      <w:pPr>
        <w:keepNext w:val="0"/>
        <w:rPr>
          <w:rFonts w:cs="Arial"/>
          <w:szCs w:val="24"/>
        </w:rPr>
      </w:pPr>
    </w:p>
    <w:p w14:paraId="127C386E"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5.00</w:t>
      </w:r>
      <w:r w:rsidRPr="00026EC1">
        <w:rPr>
          <w:rFonts w:cs="Arial"/>
          <w:szCs w:val="24"/>
        </w:rPr>
        <w:tab/>
        <w:t>REMBOURSEMENT DE DÉPENSES DE TRANSIT</w:t>
      </w:r>
    </w:p>
    <w:p w14:paraId="428D973F" w14:textId="77777777" w:rsidR="008947A0" w:rsidRPr="00026EC1" w:rsidRDefault="008947A0" w:rsidP="007F120F">
      <w:pPr>
        <w:keepNext w:val="0"/>
        <w:rPr>
          <w:rFonts w:cs="Arial"/>
          <w:szCs w:val="24"/>
        </w:rPr>
      </w:pPr>
    </w:p>
    <w:p w14:paraId="4CF02A12" w14:textId="77777777" w:rsidR="008947A0" w:rsidRPr="00026EC1" w:rsidRDefault="008947A0" w:rsidP="007F120F">
      <w:pPr>
        <w:pStyle w:val="NUMRODECLAUSE"/>
        <w:keepNext w:val="0"/>
      </w:pPr>
      <w:r w:rsidRPr="00026EC1">
        <w:t>5.01</w:t>
      </w:r>
    </w:p>
    <w:p w14:paraId="348ADABE" w14:textId="2F0AA635" w:rsidR="008947A0" w:rsidRPr="00026EC1" w:rsidRDefault="008947A0" w:rsidP="007F120F">
      <w:pPr>
        <w:keepNext w:val="0"/>
        <w:rPr>
          <w:rFonts w:cs="Arial"/>
          <w:szCs w:val="24"/>
        </w:rPr>
      </w:pPr>
      <w:r w:rsidRPr="00026EC1">
        <w:rPr>
          <w:rFonts w:cs="Arial"/>
          <w:szCs w:val="24"/>
        </w:rPr>
        <w:t>Le Collège rembourse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sur présentation de pièces justificatives, les dépenses encourues en transit (repas, taxi et hébergement, s</w:t>
      </w:r>
      <w:r w:rsidR="00BC3319" w:rsidRPr="00026EC1">
        <w:rPr>
          <w:rFonts w:cs="Arial"/>
          <w:szCs w:val="24"/>
        </w:rPr>
        <w:t>’</w:t>
      </w:r>
      <w:r w:rsidRPr="00026EC1">
        <w:rPr>
          <w:rFonts w:cs="Arial"/>
          <w:szCs w:val="24"/>
        </w:rPr>
        <w:t>il y a lieu) pour elle</w:t>
      </w:r>
      <w:r w:rsidR="00984A6F">
        <w:rPr>
          <w:rFonts w:cs="Arial"/>
          <w:szCs w:val="24"/>
        </w:rPr>
        <w:noBreakHyphen/>
      </w:r>
      <w:r w:rsidRPr="00026EC1">
        <w:rPr>
          <w:rFonts w:cs="Arial"/>
          <w:szCs w:val="24"/>
        </w:rPr>
        <w:t>même ou lui</w:t>
      </w:r>
      <w:r w:rsidR="00984A6F">
        <w:rPr>
          <w:rFonts w:cs="Arial"/>
          <w:szCs w:val="24"/>
        </w:rPr>
        <w:noBreakHyphen/>
      </w:r>
      <w:r w:rsidRPr="00026EC1">
        <w:rPr>
          <w:rFonts w:cs="Arial"/>
          <w:szCs w:val="24"/>
        </w:rPr>
        <w:t>même et ses personnes à charge, lors de l</w:t>
      </w:r>
      <w:r w:rsidR="00BC3319" w:rsidRPr="00026EC1">
        <w:rPr>
          <w:rFonts w:cs="Arial"/>
          <w:szCs w:val="24"/>
        </w:rPr>
        <w:t>’</w:t>
      </w:r>
      <w:r w:rsidRPr="00026EC1">
        <w:rPr>
          <w:rFonts w:cs="Arial"/>
          <w:szCs w:val="24"/>
        </w:rPr>
        <w:t>engagement et lors de toute sortie prévue à la section 4.00, à la condition que ces frais ne soient pas assumés par un transporteur.</w:t>
      </w:r>
    </w:p>
    <w:p w14:paraId="4DF67B92" w14:textId="77777777" w:rsidR="008947A0" w:rsidRPr="00026EC1" w:rsidRDefault="008947A0" w:rsidP="007F120F">
      <w:pPr>
        <w:keepNext w:val="0"/>
        <w:rPr>
          <w:rFonts w:cs="Arial"/>
          <w:szCs w:val="24"/>
        </w:rPr>
      </w:pPr>
    </w:p>
    <w:p w14:paraId="03EF73FF"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6.00</w:t>
      </w:r>
      <w:r w:rsidRPr="00026EC1">
        <w:rPr>
          <w:rFonts w:cs="Arial"/>
          <w:szCs w:val="24"/>
        </w:rPr>
        <w:tab/>
        <w:t>DÉCÈS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w:t>
      </w:r>
    </w:p>
    <w:p w14:paraId="1441BCF4" w14:textId="77777777" w:rsidR="008947A0" w:rsidRPr="00026EC1" w:rsidRDefault="008947A0" w:rsidP="007F120F">
      <w:pPr>
        <w:keepNext w:val="0"/>
        <w:rPr>
          <w:rFonts w:cs="Arial"/>
          <w:szCs w:val="24"/>
        </w:rPr>
      </w:pPr>
    </w:p>
    <w:p w14:paraId="38FAA2C6" w14:textId="77777777" w:rsidR="008947A0" w:rsidRPr="00026EC1" w:rsidRDefault="008947A0" w:rsidP="007F120F">
      <w:pPr>
        <w:pStyle w:val="NUMRODECLAUSE"/>
        <w:keepNext w:val="0"/>
      </w:pPr>
      <w:r w:rsidRPr="00026EC1">
        <w:t>6.01</w:t>
      </w:r>
    </w:p>
    <w:p w14:paraId="0243605F" w14:textId="2BF2B32E" w:rsidR="008947A0" w:rsidRPr="00026EC1" w:rsidRDefault="008947A0" w:rsidP="007F120F">
      <w:pPr>
        <w:keepNext w:val="0"/>
        <w:rPr>
          <w:rFonts w:cs="Arial"/>
          <w:szCs w:val="24"/>
        </w:rPr>
      </w:pPr>
      <w:r w:rsidRPr="00026EC1">
        <w:rPr>
          <w:rFonts w:cs="Arial"/>
          <w:szCs w:val="24"/>
        </w:rPr>
        <w:t>Dans le cas du décès de l</w:t>
      </w:r>
      <w:r w:rsidR="00BC3319" w:rsidRPr="00026EC1">
        <w:rPr>
          <w:rFonts w:cs="Arial"/>
          <w:szCs w:val="24"/>
        </w:rPr>
        <w:t>’</w:t>
      </w:r>
      <w:r w:rsidRPr="00026EC1">
        <w:rPr>
          <w:rFonts w:cs="Arial"/>
          <w:szCs w:val="24"/>
        </w:rPr>
        <w:t>enseignante, de l</w:t>
      </w:r>
      <w:r w:rsidR="00BC3319" w:rsidRPr="00026EC1">
        <w:rPr>
          <w:rFonts w:cs="Arial"/>
          <w:szCs w:val="24"/>
        </w:rPr>
        <w:t>’</w:t>
      </w:r>
      <w:r w:rsidRPr="00026EC1">
        <w:rPr>
          <w:rFonts w:cs="Arial"/>
          <w:szCs w:val="24"/>
        </w:rPr>
        <w:t>enseignant ou de l</w:t>
      </w:r>
      <w:r w:rsidR="00BC3319" w:rsidRPr="00026EC1">
        <w:rPr>
          <w:rFonts w:cs="Arial"/>
          <w:szCs w:val="24"/>
        </w:rPr>
        <w:t>’</w:t>
      </w:r>
      <w:r w:rsidRPr="00026EC1">
        <w:rPr>
          <w:rFonts w:cs="Arial"/>
          <w:szCs w:val="24"/>
        </w:rPr>
        <w:t>une de ses personnes à charge, le Collège paie le transport pour le rapatriement de la dépouille mortelle. De plus, le Collège rembourse aux personnes à charge les frais inhérents au déplacement aller</w:t>
      </w:r>
      <w:r w:rsidR="00984A6F">
        <w:rPr>
          <w:rFonts w:cs="Arial"/>
          <w:szCs w:val="24"/>
        </w:rPr>
        <w:noBreakHyphen/>
      </w:r>
      <w:r w:rsidRPr="00026EC1">
        <w:rPr>
          <w:rFonts w:cs="Arial"/>
          <w:szCs w:val="24"/>
        </w:rPr>
        <w:t>retour du lieu de travail au lieu d</w:t>
      </w:r>
      <w:r w:rsidR="00BC3319" w:rsidRPr="00026EC1">
        <w:rPr>
          <w:rFonts w:cs="Arial"/>
          <w:szCs w:val="24"/>
        </w:rPr>
        <w:t>’</w:t>
      </w:r>
      <w:r w:rsidRPr="00026EC1">
        <w:rPr>
          <w:rFonts w:cs="Arial"/>
          <w:szCs w:val="24"/>
        </w:rPr>
        <w:t>inhumation situé au Québec dans le cas du décès de l</w:t>
      </w:r>
      <w:r w:rsidR="00BC3319" w:rsidRPr="00026EC1">
        <w:rPr>
          <w:rFonts w:cs="Arial"/>
          <w:szCs w:val="24"/>
        </w:rPr>
        <w:t>’</w:t>
      </w:r>
      <w:r w:rsidRPr="00026EC1">
        <w:rPr>
          <w:rFonts w:cs="Arial"/>
          <w:szCs w:val="24"/>
        </w:rPr>
        <w:t>enseignante ou de l</w:t>
      </w:r>
      <w:r w:rsidR="00BC3319" w:rsidRPr="00026EC1">
        <w:rPr>
          <w:rFonts w:cs="Arial"/>
          <w:szCs w:val="24"/>
        </w:rPr>
        <w:t>’</w:t>
      </w:r>
      <w:r w:rsidRPr="00026EC1">
        <w:rPr>
          <w:rFonts w:cs="Arial"/>
          <w:szCs w:val="24"/>
        </w:rPr>
        <w:t>enseignant.</w:t>
      </w:r>
    </w:p>
    <w:p w14:paraId="6DD4D933" w14:textId="0DCAB238" w:rsidR="00EC10CD" w:rsidRDefault="00EC10CD">
      <w:pPr>
        <w:keepNext w:val="0"/>
        <w:suppressAutoHyphens w:val="0"/>
        <w:jc w:val="left"/>
        <w:rPr>
          <w:rFonts w:cs="Arial"/>
          <w:szCs w:val="24"/>
        </w:rPr>
      </w:pPr>
    </w:p>
    <w:p w14:paraId="199D7EAE"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7.00</w:t>
      </w:r>
      <w:r w:rsidRPr="00026EC1">
        <w:rPr>
          <w:rFonts w:cs="Arial"/>
          <w:szCs w:val="24"/>
        </w:rPr>
        <w:tab/>
        <w:t>TRANSPORT DE NOURRITURE</w:t>
      </w:r>
    </w:p>
    <w:p w14:paraId="0749C9B7" w14:textId="77777777" w:rsidR="00285855" w:rsidRDefault="00285855" w:rsidP="007F120F">
      <w:pPr>
        <w:pStyle w:val="NUMRODECLAUSE"/>
        <w:keepNext w:val="0"/>
      </w:pPr>
    </w:p>
    <w:p w14:paraId="2076F4C8" w14:textId="5871229D" w:rsidR="008947A0" w:rsidRPr="00026EC1" w:rsidRDefault="008947A0" w:rsidP="007F120F">
      <w:pPr>
        <w:pStyle w:val="NUMRODECLAUSE"/>
        <w:keepNext w:val="0"/>
      </w:pPr>
      <w:r w:rsidRPr="00026EC1">
        <w:t>7.01</w:t>
      </w:r>
    </w:p>
    <w:p w14:paraId="0E995E12" w14:textId="70C6B636" w:rsidR="008947A0" w:rsidRPr="00026EC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 xml:space="preserve">enseignant qui ne peut pourvoir à son propre approvisionnement en nourriture dans les secteurs IV et V ainsi que dans les localités de Chisasibi, Mistissini, </w:t>
      </w:r>
      <w:r w:rsidR="00922601" w:rsidRPr="00316277">
        <w:rPr>
          <w:rFonts w:cs="Arial"/>
          <w:szCs w:val="24"/>
        </w:rPr>
        <w:t>Oujé-Bougoumou</w:t>
      </w:r>
      <w:r w:rsidR="00922601">
        <w:rPr>
          <w:rFonts w:cs="Arial"/>
          <w:szCs w:val="24"/>
        </w:rPr>
        <w:t>,</w:t>
      </w:r>
      <w:r w:rsidRPr="00026EC1">
        <w:rPr>
          <w:rFonts w:cs="Arial"/>
          <w:szCs w:val="24"/>
        </w:rPr>
        <w:t xml:space="preserve"> Radisson et Waswanipi, parce qu</w:t>
      </w:r>
      <w:r w:rsidR="00BC3319" w:rsidRPr="00026EC1">
        <w:rPr>
          <w:rFonts w:cs="Arial"/>
          <w:szCs w:val="24"/>
        </w:rPr>
        <w:t>’</w:t>
      </w:r>
      <w:r w:rsidRPr="00026EC1">
        <w:rPr>
          <w:rFonts w:cs="Arial"/>
          <w:szCs w:val="24"/>
        </w:rPr>
        <w:t>il n</w:t>
      </w:r>
      <w:r w:rsidR="00BC3319" w:rsidRPr="00026EC1">
        <w:rPr>
          <w:rFonts w:cs="Arial"/>
          <w:szCs w:val="24"/>
        </w:rPr>
        <w:t>’</w:t>
      </w:r>
      <w:r w:rsidRPr="00026EC1">
        <w:rPr>
          <w:rFonts w:cs="Arial"/>
          <w:szCs w:val="24"/>
        </w:rPr>
        <w:t>y a pas de source d</w:t>
      </w:r>
      <w:r w:rsidR="00BC3319" w:rsidRPr="00026EC1">
        <w:rPr>
          <w:rFonts w:cs="Arial"/>
          <w:szCs w:val="24"/>
        </w:rPr>
        <w:t>’</w:t>
      </w:r>
      <w:r w:rsidRPr="00026EC1">
        <w:rPr>
          <w:rFonts w:cs="Arial"/>
          <w:szCs w:val="24"/>
        </w:rPr>
        <w:t>approvisionnement dans sa localité, bénéficie du paiement des frais de transport de cette nourriture jusqu</w:t>
      </w:r>
      <w:r w:rsidR="00BC3319" w:rsidRPr="00026EC1">
        <w:rPr>
          <w:rFonts w:cs="Arial"/>
          <w:szCs w:val="24"/>
        </w:rPr>
        <w:t>’</w:t>
      </w:r>
      <w:r w:rsidRPr="00026EC1">
        <w:rPr>
          <w:rFonts w:cs="Arial"/>
          <w:szCs w:val="24"/>
        </w:rPr>
        <w:t>à concurrence des masses suivantes</w:t>
      </w:r>
      <w:r w:rsidR="00D8581B">
        <w:rPr>
          <w:rFonts w:cs="Arial"/>
          <w:szCs w:val="24"/>
        </w:rPr>
        <w:t> :</w:t>
      </w:r>
    </w:p>
    <w:p w14:paraId="2CBAA1F8" w14:textId="77777777" w:rsidR="008947A0" w:rsidRPr="00026EC1" w:rsidRDefault="008947A0" w:rsidP="007F120F">
      <w:pPr>
        <w:keepNext w:val="0"/>
        <w:rPr>
          <w:rFonts w:cs="Arial"/>
          <w:szCs w:val="24"/>
        </w:rPr>
      </w:pPr>
    </w:p>
    <w:p w14:paraId="0EE4813C" w14:textId="18E78A0C"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sept cent vingt</w:t>
      </w:r>
      <w:r w:rsidR="00984A6F">
        <w:rPr>
          <w:rFonts w:cs="Arial"/>
          <w:szCs w:val="24"/>
        </w:rPr>
        <w:noBreakHyphen/>
      </w:r>
      <w:r w:rsidR="008947A0" w:rsidRPr="00026EC1">
        <w:rPr>
          <w:rFonts w:cs="Arial"/>
          <w:szCs w:val="24"/>
        </w:rPr>
        <w:t>sept</w:t>
      </w:r>
      <w:r w:rsidR="00CC70CF">
        <w:rPr>
          <w:rFonts w:cs="Arial"/>
          <w:szCs w:val="24"/>
        </w:rPr>
        <w:t> </w:t>
      </w:r>
      <w:r w:rsidR="008947A0" w:rsidRPr="00026EC1">
        <w:rPr>
          <w:rFonts w:cs="Arial"/>
          <w:szCs w:val="24"/>
        </w:rPr>
        <w:t>(727) kilogrammes par année par adulte et par enfant de douze</w:t>
      </w:r>
      <w:r w:rsidR="00CC70CF">
        <w:rPr>
          <w:rFonts w:cs="Arial"/>
          <w:szCs w:val="24"/>
        </w:rPr>
        <w:t> </w:t>
      </w:r>
      <w:r w:rsidR="008947A0" w:rsidRPr="00026EC1">
        <w:rPr>
          <w:rFonts w:cs="Arial"/>
          <w:szCs w:val="24"/>
        </w:rPr>
        <w:t>(12) ans et plus;</w:t>
      </w:r>
    </w:p>
    <w:p w14:paraId="50D8E317" w14:textId="0EDDD38B"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trois cent soixante</w:t>
      </w:r>
      <w:r w:rsidR="00984A6F">
        <w:rPr>
          <w:rFonts w:cs="Arial"/>
          <w:szCs w:val="24"/>
        </w:rPr>
        <w:noBreakHyphen/>
      </w:r>
      <w:r w:rsidR="008947A0" w:rsidRPr="00026EC1">
        <w:rPr>
          <w:rFonts w:cs="Arial"/>
          <w:szCs w:val="24"/>
        </w:rPr>
        <w:t>quatre</w:t>
      </w:r>
      <w:r w:rsidR="00CC70CF">
        <w:rPr>
          <w:rFonts w:cs="Arial"/>
          <w:szCs w:val="24"/>
        </w:rPr>
        <w:t> </w:t>
      </w:r>
      <w:r w:rsidR="008947A0" w:rsidRPr="00026EC1">
        <w:rPr>
          <w:rFonts w:cs="Arial"/>
          <w:szCs w:val="24"/>
        </w:rPr>
        <w:t>(364) kilogrammes par année par enfant de moins de douze</w:t>
      </w:r>
      <w:r w:rsidR="00CC70CF">
        <w:rPr>
          <w:rFonts w:cs="Arial"/>
          <w:szCs w:val="24"/>
        </w:rPr>
        <w:t> </w:t>
      </w:r>
      <w:r w:rsidR="008947A0" w:rsidRPr="00026EC1">
        <w:rPr>
          <w:rFonts w:cs="Arial"/>
          <w:szCs w:val="24"/>
        </w:rPr>
        <w:t>(12) ans.</w:t>
      </w:r>
    </w:p>
    <w:p w14:paraId="2B8CB928" w14:textId="77777777" w:rsidR="008947A0" w:rsidRPr="00026EC1" w:rsidRDefault="008947A0" w:rsidP="007F120F">
      <w:pPr>
        <w:keepNext w:val="0"/>
        <w:rPr>
          <w:rFonts w:cs="Arial"/>
          <w:szCs w:val="24"/>
        </w:rPr>
      </w:pPr>
    </w:p>
    <w:p w14:paraId="50A7F82A" w14:textId="1D28ADD7" w:rsidR="008947A0" w:rsidRPr="00026EC1" w:rsidRDefault="008947A0" w:rsidP="007F120F">
      <w:pPr>
        <w:keepNext w:val="0"/>
        <w:rPr>
          <w:rFonts w:cs="Arial"/>
          <w:szCs w:val="24"/>
        </w:rPr>
      </w:pPr>
      <w:r w:rsidRPr="00026EC1">
        <w:rPr>
          <w:rFonts w:cs="Arial"/>
          <w:szCs w:val="24"/>
        </w:rPr>
        <w:t>Cet avantage est accordé selon l</w:t>
      </w:r>
      <w:r w:rsidR="00BC3319" w:rsidRPr="00026EC1">
        <w:rPr>
          <w:rFonts w:cs="Arial"/>
          <w:szCs w:val="24"/>
        </w:rPr>
        <w:t>’</w:t>
      </w:r>
      <w:r w:rsidRPr="00026EC1">
        <w:rPr>
          <w:rFonts w:cs="Arial"/>
          <w:szCs w:val="24"/>
        </w:rPr>
        <w:t>une ou l</w:t>
      </w:r>
      <w:r w:rsidR="00BC3319" w:rsidRPr="00026EC1">
        <w:rPr>
          <w:rFonts w:cs="Arial"/>
          <w:szCs w:val="24"/>
        </w:rPr>
        <w:t>’</w:t>
      </w:r>
      <w:r w:rsidRPr="00026EC1">
        <w:rPr>
          <w:rFonts w:cs="Arial"/>
          <w:szCs w:val="24"/>
        </w:rPr>
        <w:t>autre des formules suivantes</w:t>
      </w:r>
      <w:r w:rsidR="00D8581B">
        <w:rPr>
          <w:rFonts w:cs="Arial"/>
          <w:szCs w:val="24"/>
        </w:rPr>
        <w:t> :</w:t>
      </w:r>
    </w:p>
    <w:p w14:paraId="56E84BC8" w14:textId="77777777" w:rsidR="008947A0" w:rsidRPr="00026EC1" w:rsidRDefault="008947A0" w:rsidP="007F120F">
      <w:pPr>
        <w:keepNext w:val="0"/>
        <w:rPr>
          <w:rFonts w:cs="Arial"/>
          <w:szCs w:val="24"/>
        </w:rPr>
      </w:pPr>
    </w:p>
    <w:p w14:paraId="28B02068" w14:textId="4CB54B24"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Collège se charge lui</w:t>
      </w:r>
      <w:r w:rsidR="00984A6F">
        <w:rPr>
          <w:rFonts w:cs="Arial"/>
          <w:szCs w:val="24"/>
        </w:rPr>
        <w:noBreakHyphen/>
      </w:r>
      <w:r w:rsidR="008947A0" w:rsidRPr="00026EC1">
        <w:rPr>
          <w:rFonts w:cs="Arial"/>
          <w:szCs w:val="24"/>
        </w:rPr>
        <w:t>même du transport en provenance de la source la plus accessible ou de la plus économique au point de vue transport et en assume directement le coût;</w:t>
      </w:r>
    </w:p>
    <w:p w14:paraId="07D80D14" w14:textId="77777777" w:rsidR="008947A0" w:rsidRPr="00026EC1" w:rsidRDefault="008947A0" w:rsidP="007F120F">
      <w:pPr>
        <w:keepNext w:val="0"/>
        <w:rPr>
          <w:rFonts w:cs="Arial"/>
          <w:szCs w:val="24"/>
        </w:rPr>
      </w:pPr>
    </w:p>
    <w:p w14:paraId="067A5CD6" w14:textId="77777777"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il verse à l</w:t>
      </w:r>
      <w:r w:rsidR="00BC3319" w:rsidRPr="00026EC1">
        <w:rPr>
          <w:rFonts w:cs="Arial"/>
          <w:szCs w:val="24"/>
        </w:rPr>
        <w:t>’</w:t>
      </w:r>
      <w:r w:rsidR="008947A0" w:rsidRPr="00026EC1">
        <w:rPr>
          <w:rFonts w:cs="Arial"/>
          <w:szCs w:val="24"/>
        </w:rPr>
        <w:t>enseignante ou l</w:t>
      </w:r>
      <w:r w:rsidR="00BC3319" w:rsidRPr="00026EC1">
        <w:rPr>
          <w:rFonts w:cs="Arial"/>
          <w:szCs w:val="24"/>
        </w:rPr>
        <w:t>’</w:t>
      </w:r>
      <w:r w:rsidR="008947A0" w:rsidRPr="00026EC1">
        <w:rPr>
          <w:rFonts w:cs="Arial"/>
          <w:szCs w:val="24"/>
        </w:rPr>
        <w:t>enseignant une allocation équivalente au coût qui aurait été encouru selon la première formule.</w:t>
      </w:r>
    </w:p>
    <w:p w14:paraId="1F48236F" w14:textId="77777777" w:rsidR="008947A0" w:rsidRPr="00026EC1" w:rsidRDefault="008947A0" w:rsidP="007F120F">
      <w:pPr>
        <w:keepNext w:val="0"/>
        <w:rPr>
          <w:rFonts w:cs="Arial"/>
          <w:szCs w:val="24"/>
        </w:rPr>
      </w:pPr>
    </w:p>
    <w:p w14:paraId="2D841AD0" w14:textId="0F22326C" w:rsidR="00945715" w:rsidRDefault="008947A0" w:rsidP="007F120F">
      <w:pPr>
        <w:keepNext w:val="0"/>
        <w:rPr>
          <w:rFonts w:cs="Arial"/>
          <w:szCs w:val="24"/>
        </w:rPr>
      </w:pPr>
      <w:r w:rsidRPr="00026EC1">
        <w:rPr>
          <w:rFonts w:cs="Arial"/>
          <w:szCs w:val="24"/>
        </w:rPr>
        <w:t>À compter de l</w:t>
      </w:r>
      <w:r w:rsidR="00BC3319" w:rsidRPr="00026EC1">
        <w:rPr>
          <w:rFonts w:cs="Arial"/>
          <w:szCs w:val="24"/>
        </w:rPr>
        <w:t>’</w:t>
      </w:r>
      <w:r w:rsidRPr="00026EC1">
        <w:rPr>
          <w:rFonts w:cs="Arial"/>
          <w:szCs w:val="24"/>
        </w:rPr>
        <w:t>année 2000,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bénéficiant du transport de nourriture, a droit annuellement au 1</w:t>
      </w:r>
      <w:r w:rsidRPr="00026EC1">
        <w:rPr>
          <w:rFonts w:cs="Arial"/>
          <w:szCs w:val="24"/>
          <w:vertAlign w:val="superscript"/>
        </w:rPr>
        <w:t>er</w:t>
      </w:r>
      <w:r w:rsidRPr="00026EC1">
        <w:rPr>
          <w:rFonts w:cs="Arial"/>
          <w:szCs w:val="24"/>
        </w:rPr>
        <w:t> mars, à une indemnité additionnelle égale à soixante</w:t>
      </w:r>
      <w:r w:rsidR="00984A6F">
        <w:rPr>
          <w:rFonts w:cs="Arial"/>
          <w:szCs w:val="24"/>
        </w:rPr>
        <w:noBreakHyphen/>
      </w:r>
      <w:r w:rsidRPr="00026EC1">
        <w:rPr>
          <w:rFonts w:cs="Arial"/>
          <w:szCs w:val="24"/>
        </w:rPr>
        <w:t>six pour cent (66</w:t>
      </w:r>
      <w:r w:rsidR="00714A15">
        <w:rPr>
          <w:rFonts w:cs="Arial"/>
          <w:szCs w:val="24"/>
        </w:rPr>
        <w:t> %</w:t>
      </w:r>
      <w:r w:rsidRPr="00026EC1">
        <w:rPr>
          <w:rFonts w:cs="Arial"/>
          <w:szCs w:val="24"/>
        </w:rPr>
        <w:t>) du montant des dépenses encourues pour le transport de nourriture de l</w:t>
      </w:r>
      <w:r w:rsidR="00BC3319" w:rsidRPr="00026EC1">
        <w:rPr>
          <w:rFonts w:cs="Arial"/>
          <w:szCs w:val="24"/>
        </w:rPr>
        <w:t>’</w:t>
      </w:r>
      <w:r w:rsidRPr="00026EC1">
        <w:rPr>
          <w:rFonts w:cs="Arial"/>
          <w:szCs w:val="24"/>
        </w:rPr>
        <w:t>année civile précédente.</w:t>
      </w:r>
    </w:p>
    <w:p w14:paraId="2DF50033" w14:textId="77777777" w:rsidR="00945715" w:rsidRDefault="00945715">
      <w:pPr>
        <w:keepNext w:val="0"/>
        <w:suppressAutoHyphens w:val="0"/>
        <w:jc w:val="left"/>
        <w:rPr>
          <w:rFonts w:cs="Arial"/>
          <w:szCs w:val="24"/>
        </w:rPr>
      </w:pPr>
      <w:r>
        <w:rPr>
          <w:rFonts w:cs="Arial"/>
          <w:szCs w:val="24"/>
        </w:rPr>
        <w:br w:type="page"/>
      </w:r>
    </w:p>
    <w:p w14:paraId="2B584C63" w14:textId="77777777" w:rsidR="008947A0" w:rsidRPr="00026EC1" w:rsidRDefault="008947A0" w:rsidP="007F120F">
      <w:pPr>
        <w:pStyle w:val="MGSTexte0cm"/>
        <w:keepNext w:val="0"/>
        <w:tabs>
          <w:tab w:val="left" w:pos="1800"/>
        </w:tabs>
        <w:ind w:left="1800" w:hanging="1800"/>
        <w:rPr>
          <w:rFonts w:cs="Arial"/>
          <w:szCs w:val="24"/>
        </w:rPr>
      </w:pPr>
      <w:r w:rsidRPr="00026EC1">
        <w:rPr>
          <w:rFonts w:cs="Arial"/>
          <w:szCs w:val="24"/>
        </w:rPr>
        <w:t>SECTION 8.00</w:t>
      </w:r>
      <w:r w:rsidRPr="00026EC1">
        <w:rPr>
          <w:rFonts w:cs="Arial"/>
          <w:szCs w:val="24"/>
        </w:rPr>
        <w:tab/>
        <w:t>VÉHICULE À LA DISPOSITION DES ENSEIGNANTES OU ENSEIGNANTS</w:t>
      </w:r>
    </w:p>
    <w:p w14:paraId="75773985" w14:textId="77777777" w:rsidR="008947A0" w:rsidRPr="00026EC1" w:rsidRDefault="008947A0" w:rsidP="007F120F">
      <w:pPr>
        <w:keepNext w:val="0"/>
        <w:rPr>
          <w:rFonts w:cs="Arial"/>
          <w:szCs w:val="24"/>
        </w:rPr>
      </w:pPr>
    </w:p>
    <w:p w14:paraId="79E68F0F" w14:textId="77777777" w:rsidR="008947A0" w:rsidRPr="00026EC1" w:rsidRDefault="008947A0" w:rsidP="007F120F">
      <w:pPr>
        <w:pStyle w:val="NUMRODECLAUSE"/>
        <w:keepNext w:val="0"/>
      </w:pPr>
      <w:r w:rsidRPr="00026EC1">
        <w:t>8.01</w:t>
      </w:r>
    </w:p>
    <w:p w14:paraId="1D0B3A72" w14:textId="77777777" w:rsidR="008947A0" w:rsidRPr="00026EC1" w:rsidRDefault="008947A0" w:rsidP="007F120F">
      <w:pPr>
        <w:keepNext w:val="0"/>
        <w:rPr>
          <w:rFonts w:cs="Arial"/>
          <w:szCs w:val="24"/>
        </w:rPr>
      </w:pPr>
      <w:r w:rsidRPr="00026EC1">
        <w:rPr>
          <w:rFonts w:cs="Arial"/>
          <w:szCs w:val="24"/>
        </w:rPr>
        <w:t>Dans toutes les localités où les véhicules privés sont interdits, la mise de véhicules à la disposition des enseignantes ou enseignants peut faire l</w:t>
      </w:r>
      <w:r w:rsidR="00BC3319" w:rsidRPr="00026EC1">
        <w:rPr>
          <w:rFonts w:cs="Arial"/>
          <w:szCs w:val="24"/>
        </w:rPr>
        <w:t>’</w:t>
      </w:r>
      <w:r w:rsidRPr="00026EC1">
        <w:rPr>
          <w:rFonts w:cs="Arial"/>
          <w:szCs w:val="24"/>
        </w:rPr>
        <w:t>objet d</w:t>
      </w:r>
      <w:r w:rsidR="00BC3319" w:rsidRPr="00026EC1">
        <w:rPr>
          <w:rFonts w:cs="Arial"/>
          <w:szCs w:val="24"/>
        </w:rPr>
        <w:t>’</w:t>
      </w:r>
      <w:r w:rsidRPr="00026EC1">
        <w:rPr>
          <w:rFonts w:cs="Arial"/>
          <w:szCs w:val="24"/>
        </w:rPr>
        <w:t>entente entre le Collège et le Syndicat.</w:t>
      </w:r>
    </w:p>
    <w:p w14:paraId="52CDF4F7" w14:textId="77777777" w:rsidR="008947A0" w:rsidRPr="00026EC1" w:rsidRDefault="008947A0" w:rsidP="007F120F">
      <w:pPr>
        <w:keepNext w:val="0"/>
        <w:rPr>
          <w:rFonts w:cs="Arial"/>
          <w:szCs w:val="24"/>
        </w:rPr>
      </w:pPr>
    </w:p>
    <w:p w14:paraId="423B817F"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9.00</w:t>
      </w:r>
      <w:r w:rsidRPr="00026EC1">
        <w:rPr>
          <w:rFonts w:cs="Arial"/>
          <w:szCs w:val="24"/>
        </w:rPr>
        <w:tab/>
        <w:t>LOGEMENT</w:t>
      </w:r>
    </w:p>
    <w:p w14:paraId="7FE3AFD6" w14:textId="77777777" w:rsidR="008947A0" w:rsidRPr="00026EC1" w:rsidRDefault="008947A0" w:rsidP="007F120F">
      <w:pPr>
        <w:keepNext w:val="0"/>
        <w:rPr>
          <w:rFonts w:cs="Arial"/>
          <w:szCs w:val="24"/>
        </w:rPr>
      </w:pPr>
    </w:p>
    <w:p w14:paraId="5CDDA89D" w14:textId="77777777" w:rsidR="008947A0" w:rsidRPr="00026EC1" w:rsidRDefault="008947A0" w:rsidP="007F120F">
      <w:pPr>
        <w:pStyle w:val="NUMRODECLAUSE"/>
        <w:keepNext w:val="0"/>
      </w:pPr>
      <w:r w:rsidRPr="00026EC1">
        <w:t>9.01</w:t>
      </w:r>
    </w:p>
    <w:p w14:paraId="3E9A8340" w14:textId="77777777" w:rsidR="008947A0" w:rsidRPr="00026EC1" w:rsidRDefault="008947A0" w:rsidP="007F120F">
      <w:pPr>
        <w:keepNext w:val="0"/>
        <w:rPr>
          <w:rFonts w:cs="Arial"/>
          <w:szCs w:val="24"/>
        </w:rPr>
      </w:pPr>
      <w:r w:rsidRPr="00026EC1">
        <w:rPr>
          <w:rFonts w:cs="Arial"/>
          <w:szCs w:val="24"/>
        </w:rPr>
        <w:t>Les obligations et pratiques portant sur la fourniture d</w:t>
      </w:r>
      <w:r w:rsidR="00BC3319" w:rsidRPr="00026EC1">
        <w:rPr>
          <w:rFonts w:cs="Arial"/>
          <w:szCs w:val="24"/>
        </w:rPr>
        <w:t>’</w:t>
      </w:r>
      <w:r w:rsidRPr="00026EC1">
        <w:rPr>
          <w:rFonts w:cs="Arial"/>
          <w:szCs w:val="24"/>
        </w:rPr>
        <w:t>un logement par le Collège à 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au moment de l</w:t>
      </w:r>
      <w:r w:rsidR="00BC3319" w:rsidRPr="00026EC1">
        <w:rPr>
          <w:rFonts w:cs="Arial"/>
          <w:szCs w:val="24"/>
        </w:rPr>
        <w:t>’</w:t>
      </w:r>
      <w:r w:rsidRPr="00026EC1">
        <w:rPr>
          <w:rFonts w:cs="Arial"/>
          <w:szCs w:val="24"/>
        </w:rPr>
        <w:t>embauche, sont maintenues aux seuls endroits où elles existaient.</w:t>
      </w:r>
    </w:p>
    <w:p w14:paraId="48A9FD86" w14:textId="77777777" w:rsidR="008947A0" w:rsidRPr="00026EC1" w:rsidRDefault="008947A0" w:rsidP="007F120F">
      <w:pPr>
        <w:keepNext w:val="0"/>
        <w:rPr>
          <w:rFonts w:cs="Arial"/>
          <w:szCs w:val="24"/>
        </w:rPr>
      </w:pPr>
    </w:p>
    <w:p w14:paraId="3C6FDE43" w14:textId="26EC8A99" w:rsidR="008947A0" w:rsidRDefault="008947A0" w:rsidP="007F120F">
      <w:pPr>
        <w:keepNext w:val="0"/>
        <w:rPr>
          <w:rFonts w:cs="Arial"/>
          <w:szCs w:val="24"/>
        </w:rPr>
      </w:pPr>
      <w:r w:rsidRPr="00026EC1">
        <w:rPr>
          <w:rFonts w:cs="Arial"/>
          <w:szCs w:val="24"/>
        </w:rPr>
        <w:t>Les loyers exigés des enseignantes ou enseignants qui bénéficient d</w:t>
      </w:r>
      <w:r w:rsidR="00BC3319" w:rsidRPr="00026EC1">
        <w:rPr>
          <w:rFonts w:cs="Arial"/>
          <w:szCs w:val="24"/>
        </w:rPr>
        <w:t>’</w:t>
      </w:r>
      <w:r w:rsidRPr="00026EC1">
        <w:rPr>
          <w:rFonts w:cs="Arial"/>
          <w:szCs w:val="24"/>
        </w:rPr>
        <w:t>un logement dans les secteurs III, IV, V et les localités de Fermont et Joutel</w:t>
      </w:r>
      <w:r w:rsidR="00984A6F">
        <w:rPr>
          <w:rFonts w:cs="Arial"/>
          <w:szCs w:val="24"/>
        </w:rPr>
        <w:noBreakHyphen/>
      </w:r>
      <w:r w:rsidRPr="00026EC1">
        <w:rPr>
          <w:rFonts w:cs="Arial"/>
          <w:szCs w:val="24"/>
        </w:rPr>
        <w:t>Matagami, sont maintenus à leur niveau du 30 juin 1998.</w:t>
      </w:r>
    </w:p>
    <w:p w14:paraId="5B8DC4EE" w14:textId="77777777" w:rsidR="00EB4D3F" w:rsidRPr="00026EC1" w:rsidRDefault="00EB4D3F" w:rsidP="007F120F">
      <w:pPr>
        <w:keepNext w:val="0"/>
        <w:rPr>
          <w:rFonts w:cs="Arial"/>
          <w:szCs w:val="24"/>
        </w:rPr>
      </w:pPr>
    </w:p>
    <w:p w14:paraId="05BE2F77" w14:textId="07417524" w:rsidR="008947A0" w:rsidRPr="00026EC1" w:rsidRDefault="008947A0" w:rsidP="007F120F">
      <w:pPr>
        <w:pStyle w:val="NUMRODECLAUSE"/>
        <w:keepNext w:val="0"/>
      </w:pPr>
      <w:r w:rsidRPr="00026EC1">
        <w:t>9.02</w:t>
      </w:r>
    </w:p>
    <w:p w14:paraId="6C2F8B72" w14:textId="77777777" w:rsidR="008947A0" w:rsidRPr="00026EC1" w:rsidRDefault="008947A0" w:rsidP="007F120F">
      <w:pPr>
        <w:keepNext w:val="0"/>
        <w:rPr>
          <w:rFonts w:cs="Arial"/>
          <w:szCs w:val="24"/>
        </w:rPr>
      </w:pPr>
      <w:r w:rsidRPr="00026EC1">
        <w:rPr>
          <w:rFonts w:cs="Arial"/>
          <w:szCs w:val="24"/>
        </w:rPr>
        <w:t>À la demande du syndicat, le Collège explique les motifs d</w:t>
      </w:r>
      <w:r w:rsidR="00BC3319" w:rsidRPr="00026EC1">
        <w:rPr>
          <w:rFonts w:cs="Arial"/>
          <w:szCs w:val="24"/>
        </w:rPr>
        <w:t>’</w:t>
      </w:r>
      <w:r w:rsidRPr="00026EC1">
        <w:rPr>
          <w:rFonts w:cs="Arial"/>
          <w:szCs w:val="24"/>
        </w:rPr>
        <w:t>attribution des logements. De même, à la demande du Syndicat, il l</w:t>
      </w:r>
      <w:r w:rsidR="00BC3319" w:rsidRPr="00026EC1">
        <w:rPr>
          <w:rFonts w:cs="Arial"/>
          <w:szCs w:val="24"/>
        </w:rPr>
        <w:t>’</w:t>
      </w:r>
      <w:r w:rsidRPr="00026EC1">
        <w:rPr>
          <w:rFonts w:cs="Arial"/>
          <w:szCs w:val="24"/>
        </w:rPr>
        <w:t>informe des mesures d</w:t>
      </w:r>
      <w:r w:rsidR="00BC3319" w:rsidRPr="00026EC1">
        <w:rPr>
          <w:rFonts w:cs="Arial"/>
          <w:szCs w:val="24"/>
        </w:rPr>
        <w:t>’</w:t>
      </w:r>
      <w:r w:rsidRPr="00026EC1">
        <w:rPr>
          <w:rFonts w:cs="Arial"/>
          <w:szCs w:val="24"/>
        </w:rPr>
        <w:t>entretien existantes.</w:t>
      </w:r>
    </w:p>
    <w:p w14:paraId="77057C7D" w14:textId="77777777" w:rsidR="00A415D5" w:rsidRPr="00026EC1" w:rsidRDefault="00A415D5" w:rsidP="007F120F">
      <w:pPr>
        <w:pStyle w:val="MGSTexte0cm"/>
        <w:keepNext w:val="0"/>
        <w:ind w:left="1843" w:hanging="1843"/>
        <w:jc w:val="left"/>
        <w:rPr>
          <w:rFonts w:cs="Arial"/>
          <w:szCs w:val="24"/>
        </w:rPr>
      </w:pPr>
    </w:p>
    <w:p w14:paraId="2885ACCA" w14:textId="77777777" w:rsidR="008947A0" w:rsidRPr="00026EC1" w:rsidRDefault="008947A0" w:rsidP="007F120F">
      <w:pPr>
        <w:pStyle w:val="MGSTexte0cm"/>
        <w:keepNext w:val="0"/>
        <w:ind w:left="1843" w:hanging="1843"/>
        <w:jc w:val="left"/>
        <w:rPr>
          <w:rFonts w:cs="Arial"/>
          <w:szCs w:val="24"/>
        </w:rPr>
      </w:pPr>
      <w:r w:rsidRPr="00026EC1">
        <w:rPr>
          <w:rFonts w:cs="Arial"/>
          <w:szCs w:val="24"/>
        </w:rPr>
        <w:t>SECTION 10.00</w:t>
      </w:r>
      <w:r w:rsidR="007160B0" w:rsidRPr="00026EC1">
        <w:rPr>
          <w:rFonts w:cs="Arial"/>
          <w:szCs w:val="24"/>
        </w:rPr>
        <w:t xml:space="preserve">  </w:t>
      </w:r>
      <w:r w:rsidRPr="00026EC1">
        <w:rPr>
          <w:rFonts w:cs="Arial"/>
          <w:szCs w:val="24"/>
        </w:rPr>
        <w:t>DISPOSITIONS ANTÉRIEURES À LA PRÉSENTE CONVENTION COLLECTIVE</w:t>
      </w:r>
    </w:p>
    <w:p w14:paraId="2B429215" w14:textId="77777777" w:rsidR="008947A0" w:rsidRPr="00026EC1" w:rsidRDefault="008947A0" w:rsidP="007F120F">
      <w:pPr>
        <w:keepNext w:val="0"/>
        <w:rPr>
          <w:rFonts w:cs="Arial"/>
          <w:szCs w:val="24"/>
        </w:rPr>
      </w:pPr>
    </w:p>
    <w:p w14:paraId="33EAFB28" w14:textId="77777777" w:rsidR="008947A0" w:rsidRPr="00026EC1" w:rsidRDefault="008947A0" w:rsidP="007F120F">
      <w:pPr>
        <w:pStyle w:val="NUMRODECLAUSE"/>
        <w:keepNext w:val="0"/>
      </w:pPr>
      <w:r w:rsidRPr="00026EC1">
        <w:t>10.01</w:t>
      </w:r>
    </w:p>
    <w:p w14:paraId="58B20AF7" w14:textId="5715D61E" w:rsidR="008947A0" w:rsidRPr="00026EC1" w:rsidRDefault="008947A0" w:rsidP="007F120F">
      <w:pPr>
        <w:keepNext w:val="0"/>
        <w:rPr>
          <w:rFonts w:cs="Arial"/>
          <w:szCs w:val="24"/>
        </w:rPr>
      </w:pPr>
      <w:r w:rsidRPr="00026EC1">
        <w:rPr>
          <w:rFonts w:cs="Arial"/>
          <w:szCs w:val="24"/>
        </w:rPr>
        <w:t>Advenant l</w:t>
      </w:r>
      <w:r w:rsidR="00BC3319" w:rsidRPr="00026EC1">
        <w:rPr>
          <w:rFonts w:cs="Arial"/>
          <w:szCs w:val="24"/>
        </w:rPr>
        <w:t>’</w:t>
      </w:r>
      <w:r w:rsidRPr="00026EC1">
        <w:rPr>
          <w:rFonts w:cs="Arial"/>
          <w:szCs w:val="24"/>
        </w:rPr>
        <w:t>existence d</w:t>
      </w:r>
      <w:r w:rsidR="00BC3319" w:rsidRPr="00026EC1">
        <w:rPr>
          <w:rFonts w:cs="Arial"/>
          <w:szCs w:val="24"/>
        </w:rPr>
        <w:t>’</w:t>
      </w:r>
      <w:r w:rsidRPr="00026EC1">
        <w:rPr>
          <w:rFonts w:cs="Arial"/>
          <w:szCs w:val="24"/>
        </w:rPr>
        <w:t>avantages supérieurs au présent régime de disparités régionales découlant de l</w:t>
      </w:r>
      <w:r w:rsidR="00BC3319" w:rsidRPr="00026EC1">
        <w:rPr>
          <w:rFonts w:cs="Arial"/>
          <w:szCs w:val="24"/>
        </w:rPr>
        <w:t>’</w:t>
      </w:r>
      <w:r w:rsidRPr="00026EC1">
        <w:rPr>
          <w:rFonts w:cs="Arial"/>
          <w:szCs w:val="24"/>
        </w:rPr>
        <w:t xml:space="preserve">application de la convention collective </w:t>
      </w:r>
      <w:r w:rsidRPr="00026EC1">
        <w:rPr>
          <w:rFonts w:cs="Arial"/>
          <w:bCs/>
          <w:szCs w:val="24"/>
        </w:rPr>
        <w:t>2000</w:t>
      </w:r>
      <w:r w:rsidR="00984A6F">
        <w:rPr>
          <w:rFonts w:cs="Arial"/>
          <w:bCs/>
          <w:szCs w:val="24"/>
        </w:rPr>
        <w:noBreakHyphen/>
      </w:r>
      <w:r w:rsidRPr="00026EC1">
        <w:rPr>
          <w:rFonts w:cs="Arial"/>
          <w:bCs/>
          <w:szCs w:val="24"/>
        </w:rPr>
        <w:t>2002</w:t>
      </w:r>
      <w:r w:rsidRPr="00026EC1">
        <w:rPr>
          <w:rFonts w:cs="Arial"/>
          <w:szCs w:val="24"/>
        </w:rPr>
        <w:t xml:space="preserve"> ou de pratiques administratives reconnues, ils sont reconduits sauf s</w:t>
      </w:r>
      <w:r w:rsidR="00BC3319" w:rsidRPr="00026EC1">
        <w:rPr>
          <w:rFonts w:cs="Arial"/>
          <w:szCs w:val="24"/>
        </w:rPr>
        <w:t>’</w:t>
      </w:r>
      <w:r w:rsidRPr="00026EC1">
        <w:rPr>
          <w:rFonts w:cs="Arial"/>
          <w:szCs w:val="24"/>
        </w:rPr>
        <w:t>ils concernent un des éléments suivants de la présente convention collective</w:t>
      </w:r>
      <w:r w:rsidR="00D8581B">
        <w:rPr>
          <w:rFonts w:cs="Arial"/>
          <w:szCs w:val="24"/>
        </w:rPr>
        <w:t> :</w:t>
      </w:r>
    </w:p>
    <w:p w14:paraId="415B92FA" w14:textId="77777777" w:rsidR="008947A0" w:rsidRPr="00026EC1" w:rsidRDefault="008947A0" w:rsidP="007F120F">
      <w:pPr>
        <w:keepNext w:val="0"/>
        <w:rPr>
          <w:rFonts w:cs="Arial"/>
          <w:szCs w:val="24"/>
        </w:rPr>
      </w:pPr>
    </w:p>
    <w:p w14:paraId="71225436" w14:textId="77777777"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la définition de « point de départ » prévue à la section 1.00;</w:t>
      </w:r>
    </w:p>
    <w:p w14:paraId="6C2BEDF7" w14:textId="77777777"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niveau des primes et le calcul de la prime pour l</w:t>
      </w:r>
      <w:r w:rsidR="00BC3319" w:rsidRPr="00026EC1">
        <w:rPr>
          <w:rFonts w:cs="Arial"/>
          <w:szCs w:val="24"/>
        </w:rPr>
        <w:t>’</w:t>
      </w:r>
      <w:r w:rsidR="008947A0" w:rsidRPr="00026EC1">
        <w:rPr>
          <w:rFonts w:cs="Arial"/>
          <w:szCs w:val="24"/>
        </w:rPr>
        <w:t>enseignante ou l</w:t>
      </w:r>
      <w:r w:rsidR="00BC3319" w:rsidRPr="00026EC1">
        <w:rPr>
          <w:rFonts w:cs="Arial"/>
          <w:szCs w:val="24"/>
        </w:rPr>
        <w:t>’</w:t>
      </w:r>
      <w:r w:rsidR="008947A0" w:rsidRPr="00026EC1">
        <w:rPr>
          <w:rFonts w:cs="Arial"/>
          <w:szCs w:val="24"/>
        </w:rPr>
        <w:t>enseignant à temps partiel prévus à la section 2.00;</w:t>
      </w:r>
    </w:p>
    <w:p w14:paraId="6C551776" w14:textId="77777777" w:rsidR="008947A0" w:rsidRPr="00026EC1" w:rsidRDefault="008947A0" w:rsidP="007F120F">
      <w:pPr>
        <w:keepNext w:val="0"/>
        <w:rPr>
          <w:rFonts w:cs="Arial"/>
          <w:szCs w:val="24"/>
        </w:rPr>
      </w:pPr>
    </w:p>
    <w:p w14:paraId="1771F817" w14:textId="77777777" w:rsidR="008947A0" w:rsidRPr="00026EC1"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remboursement des frais reliés au déménagement et aux sorties de l</w:t>
      </w:r>
      <w:r w:rsidR="00BC3319" w:rsidRPr="00026EC1">
        <w:rPr>
          <w:rFonts w:cs="Arial"/>
          <w:szCs w:val="24"/>
        </w:rPr>
        <w:t>’</w:t>
      </w:r>
      <w:r w:rsidR="008947A0" w:rsidRPr="00026EC1">
        <w:rPr>
          <w:rFonts w:cs="Arial"/>
          <w:szCs w:val="24"/>
        </w:rPr>
        <w:t>enseignante ou de l</w:t>
      </w:r>
      <w:r w:rsidR="00BC3319" w:rsidRPr="00026EC1">
        <w:rPr>
          <w:rFonts w:cs="Arial"/>
          <w:szCs w:val="24"/>
        </w:rPr>
        <w:t>’</w:t>
      </w:r>
      <w:r w:rsidR="008947A0" w:rsidRPr="00026EC1">
        <w:rPr>
          <w:rFonts w:cs="Arial"/>
          <w:szCs w:val="24"/>
        </w:rPr>
        <w:t>enseignant recruté à l</w:t>
      </w:r>
      <w:r w:rsidR="00BC3319" w:rsidRPr="00026EC1">
        <w:rPr>
          <w:rFonts w:cs="Arial"/>
          <w:szCs w:val="24"/>
        </w:rPr>
        <w:t>’</w:t>
      </w:r>
      <w:r w:rsidR="008947A0" w:rsidRPr="00026EC1">
        <w:rPr>
          <w:rFonts w:cs="Arial"/>
          <w:szCs w:val="24"/>
        </w:rPr>
        <w:t>extérieur du Québec prévu aux sections 3.00 et 4.00;</w:t>
      </w:r>
    </w:p>
    <w:p w14:paraId="0A474554" w14:textId="77777777" w:rsidR="001F474E" w:rsidRPr="00026EC1" w:rsidRDefault="001F474E" w:rsidP="007F120F">
      <w:pPr>
        <w:keepNext w:val="0"/>
        <w:ind w:left="567"/>
        <w:rPr>
          <w:rFonts w:cs="Arial"/>
          <w:szCs w:val="24"/>
        </w:rPr>
      </w:pPr>
    </w:p>
    <w:p w14:paraId="6B3B591E" w14:textId="091E594C" w:rsidR="00945715" w:rsidRDefault="00275751" w:rsidP="007F120F">
      <w:pPr>
        <w:keepNext w:val="0"/>
        <w:tabs>
          <w:tab w:val="left" w:pos="567"/>
        </w:tabs>
        <w:ind w:left="567" w:hanging="567"/>
        <w:rPr>
          <w:rFonts w:cs="Arial"/>
          <w:szCs w:val="24"/>
        </w:rPr>
      </w:pPr>
      <w:r w:rsidRPr="00026EC1">
        <w:rPr>
          <w:rFonts w:ascii="Symbol" w:hAnsi="Symbol" w:cs="Arial"/>
          <w:szCs w:val="24"/>
        </w:rPr>
        <w:t></w:t>
      </w:r>
      <w:r w:rsidRPr="00026EC1">
        <w:rPr>
          <w:rFonts w:ascii="Symbol" w:hAnsi="Symbol" w:cs="Arial"/>
          <w:szCs w:val="24"/>
        </w:rPr>
        <w:tab/>
      </w:r>
      <w:r w:rsidR="008947A0" w:rsidRPr="00026EC1">
        <w:rPr>
          <w:rFonts w:cs="Arial"/>
          <w:szCs w:val="24"/>
        </w:rPr>
        <w:t>le nombre de sorties lorsque la conjointe ou le conjoint de l</w:t>
      </w:r>
      <w:r w:rsidR="00BC3319" w:rsidRPr="00026EC1">
        <w:rPr>
          <w:rFonts w:cs="Arial"/>
          <w:szCs w:val="24"/>
        </w:rPr>
        <w:t>’</w:t>
      </w:r>
      <w:r w:rsidR="008947A0" w:rsidRPr="00026EC1">
        <w:rPr>
          <w:rFonts w:cs="Arial"/>
          <w:szCs w:val="24"/>
        </w:rPr>
        <w:t>enseignant ou de l</w:t>
      </w:r>
      <w:r w:rsidR="00BC3319" w:rsidRPr="00026EC1">
        <w:rPr>
          <w:rFonts w:cs="Arial"/>
          <w:szCs w:val="24"/>
        </w:rPr>
        <w:t>’</w:t>
      </w:r>
      <w:r w:rsidR="008947A0" w:rsidRPr="00026EC1">
        <w:rPr>
          <w:rFonts w:cs="Arial"/>
          <w:szCs w:val="24"/>
        </w:rPr>
        <w:t>enseignante travaille pour le Collège ou un employeur des secteurs public et parapublic prévu à la section </w:t>
      </w:r>
      <w:r w:rsidR="0037223A" w:rsidRPr="00026EC1">
        <w:rPr>
          <w:rFonts w:cs="Arial"/>
          <w:szCs w:val="24"/>
        </w:rPr>
        <w:t>4.00</w:t>
      </w:r>
      <w:r w:rsidR="008947A0" w:rsidRPr="00026EC1">
        <w:rPr>
          <w:rFonts w:cs="Arial"/>
          <w:szCs w:val="24"/>
        </w:rPr>
        <w:t>.</w:t>
      </w:r>
    </w:p>
    <w:p w14:paraId="6C546ABC" w14:textId="77777777" w:rsidR="00945715" w:rsidRDefault="00945715">
      <w:pPr>
        <w:keepNext w:val="0"/>
        <w:suppressAutoHyphens w:val="0"/>
        <w:jc w:val="left"/>
        <w:rPr>
          <w:rFonts w:cs="Arial"/>
          <w:szCs w:val="24"/>
        </w:rPr>
      </w:pPr>
      <w:r>
        <w:rPr>
          <w:rFonts w:cs="Arial"/>
          <w:szCs w:val="24"/>
        </w:rPr>
        <w:br w:type="page"/>
      </w:r>
    </w:p>
    <w:p w14:paraId="6E3E2D1C" w14:textId="77777777" w:rsidR="008947A0" w:rsidRPr="00026EC1" w:rsidRDefault="008947A0" w:rsidP="007F120F">
      <w:pPr>
        <w:pStyle w:val="MGSTexte0cm"/>
        <w:keepNext w:val="0"/>
        <w:tabs>
          <w:tab w:val="left" w:pos="1800"/>
        </w:tabs>
        <w:rPr>
          <w:rFonts w:cs="Arial"/>
          <w:szCs w:val="24"/>
        </w:rPr>
      </w:pPr>
      <w:r w:rsidRPr="00026EC1">
        <w:rPr>
          <w:rFonts w:cs="Arial"/>
          <w:szCs w:val="24"/>
        </w:rPr>
        <w:t>SECTION 11</w:t>
      </w:r>
      <w:r w:rsidR="007160B0" w:rsidRPr="00026EC1">
        <w:rPr>
          <w:rFonts w:cs="Arial"/>
          <w:szCs w:val="24"/>
        </w:rPr>
        <w:t>.</w:t>
      </w:r>
      <w:r w:rsidRPr="00026EC1">
        <w:rPr>
          <w:rFonts w:cs="Arial"/>
          <w:szCs w:val="24"/>
        </w:rPr>
        <w:t>00</w:t>
      </w:r>
      <w:r w:rsidR="007160B0" w:rsidRPr="00026EC1">
        <w:rPr>
          <w:rFonts w:cs="Arial"/>
          <w:szCs w:val="24"/>
        </w:rPr>
        <w:t xml:space="preserve">  </w:t>
      </w:r>
      <w:r w:rsidRPr="00026EC1">
        <w:rPr>
          <w:rFonts w:cs="Arial"/>
          <w:szCs w:val="24"/>
        </w:rPr>
        <w:t>PRIME DE RÉTENTION</w:t>
      </w:r>
    </w:p>
    <w:p w14:paraId="62557D5C" w14:textId="77777777" w:rsidR="008947A0" w:rsidRPr="00026EC1" w:rsidRDefault="008947A0" w:rsidP="007F120F">
      <w:pPr>
        <w:keepNext w:val="0"/>
        <w:rPr>
          <w:rFonts w:cs="Arial"/>
          <w:szCs w:val="24"/>
        </w:rPr>
      </w:pPr>
    </w:p>
    <w:p w14:paraId="04B72BBC" w14:textId="77777777" w:rsidR="008947A0" w:rsidRPr="00026EC1" w:rsidRDefault="008947A0" w:rsidP="007F120F">
      <w:pPr>
        <w:pStyle w:val="NUMRODECLAUSE"/>
        <w:keepNext w:val="0"/>
      </w:pPr>
      <w:r w:rsidRPr="00026EC1">
        <w:t>11.01</w:t>
      </w:r>
    </w:p>
    <w:p w14:paraId="021581B3" w14:textId="2C10C930" w:rsidR="008947A0" w:rsidRPr="00026EC1" w:rsidRDefault="008947A0" w:rsidP="007F120F">
      <w:pPr>
        <w:keepNext w:val="0"/>
        <w:rPr>
          <w:rFonts w:cs="Arial"/>
          <w:szCs w:val="24"/>
        </w:rPr>
      </w:pPr>
      <w:r w:rsidRPr="00026EC1">
        <w:rPr>
          <w:rFonts w:cs="Arial"/>
          <w:szCs w:val="24"/>
        </w:rPr>
        <w:t>L</w:t>
      </w:r>
      <w:r w:rsidR="00BC3319" w:rsidRPr="00026EC1">
        <w:rPr>
          <w:rFonts w:cs="Arial"/>
          <w:szCs w:val="24"/>
        </w:rPr>
        <w:t>’</w:t>
      </w:r>
      <w:r w:rsidRPr="00026EC1">
        <w:rPr>
          <w:rFonts w:cs="Arial"/>
          <w:szCs w:val="24"/>
        </w:rPr>
        <w:t>enseignante ou l</w:t>
      </w:r>
      <w:r w:rsidR="00BC3319" w:rsidRPr="00026EC1">
        <w:rPr>
          <w:rFonts w:cs="Arial"/>
          <w:szCs w:val="24"/>
        </w:rPr>
        <w:t>’</w:t>
      </w:r>
      <w:r w:rsidRPr="00026EC1">
        <w:rPr>
          <w:rFonts w:cs="Arial"/>
          <w:szCs w:val="24"/>
        </w:rPr>
        <w:t>enseignant à l</w:t>
      </w:r>
      <w:r w:rsidR="00BC3319" w:rsidRPr="00026EC1">
        <w:rPr>
          <w:rFonts w:cs="Arial"/>
          <w:szCs w:val="24"/>
        </w:rPr>
        <w:t>’</w:t>
      </w:r>
      <w:r w:rsidRPr="00026EC1">
        <w:rPr>
          <w:rFonts w:cs="Arial"/>
          <w:szCs w:val="24"/>
        </w:rPr>
        <w:t>emploi du Cégep de Sept</w:t>
      </w:r>
      <w:r w:rsidR="00984A6F">
        <w:rPr>
          <w:rFonts w:cs="Arial"/>
          <w:szCs w:val="24"/>
        </w:rPr>
        <w:noBreakHyphen/>
      </w:r>
      <w:r w:rsidRPr="00026EC1">
        <w:rPr>
          <w:rFonts w:cs="Arial"/>
          <w:szCs w:val="24"/>
        </w:rPr>
        <w:t>Îles reçoit une prime annuelle de rétention de huit pour cent (8</w:t>
      </w:r>
      <w:r w:rsidR="00714A15">
        <w:rPr>
          <w:rFonts w:cs="Arial"/>
          <w:szCs w:val="24"/>
        </w:rPr>
        <w:t> %</w:t>
      </w:r>
      <w:r w:rsidRPr="00026EC1">
        <w:rPr>
          <w:rFonts w:cs="Arial"/>
          <w:szCs w:val="24"/>
        </w:rPr>
        <w:t>) du traitement annuel.</w:t>
      </w:r>
    </w:p>
    <w:p w14:paraId="0E1D5E90" w14:textId="77777777" w:rsidR="000756D9" w:rsidRPr="00026EC1" w:rsidRDefault="000756D9" w:rsidP="007F120F">
      <w:pPr>
        <w:keepNext w:val="0"/>
      </w:pPr>
    </w:p>
    <w:p w14:paraId="6E9B55B6" w14:textId="0BCB1AEB" w:rsidR="00B01BAA" w:rsidRDefault="00404F34" w:rsidP="007F120F">
      <w:pPr>
        <w:pStyle w:val="Heading3"/>
        <w:keepNext w:val="0"/>
      </w:pPr>
      <w:r w:rsidRPr="00026EC1">
        <w:br w:type="page"/>
      </w:r>
    </w:p>
    <w:p w14:paraId="1BA3302C" w14:textId="56550BBC" w:rsidR="00B01BAA" w:rsidRPr="00684481" w:rsidRDefault="00B01BAA" w:rsidP="007F120F">
      <w:pPr>
        <w:pStyle w:val="Heading3"/>
        <w:keepNext w:val="0"/>
      </w:pPr>
      <w:bookmarkStart w:id="1588" w:name="_Toc168479627"/>
      <w:r w:rsidRPr="00684481">
        <w:t>A</w:t>
      </w:r>
      <w:r w:rsidR="00B811D1" w:rsidRPr="00684481">
        <w:t>nnexe</w:t>
      </w:r>
      <w:r w:rsidRPr="00684481">
        <w:t xml:space="preserve"> VI</w:t>
      </w:r>
      <w:r w:rsidR="0017646C">
        <w:t>-</w:t>
      </w:r>
      <w:r w:rsidRPr="00684481">
        <w:t>3</w:t>
      </w:r>
      <w:r w:rsidRPr="00684481">
        <w:br/>
      </w:r>
      <w:r w:rsidRPr="00684481">
        <w:br/>
        <w:t>Rétroactivité</w:t>
      </w:r>
      <w:bookmarkEnd w:id="1588"/>
    </w:p>
    <w:p w14:paraId="714D9FBC" w14:textId="77777777" w:rsidR="005D2237" w:rsidRPr="00B3089C" w:rsidRDefault="005D2237" w:rsidP="005D2237">
      <w:pPr>
        <w:pStyle w:val="PMGSTexte0cm"/>
        <w:keepNext w:val="0"/>
        <w:tabs>
          <w:tab w:val="left" w:pos="1701"/>
        </w:tabs>
        <w:ind w:left="1985" w:hanging="1985"/>
        <w:rPr>
          <w:strike/>
        </w:rPr>
      </w:pPr>
      <w:r w:rsidRPr="00684481">
        <w:t xml:space="preserve">1.00  Section I </w:t>
      </w:r>
      <w:r>
        <w:noBreakHyphen/>
      </w:r>
      <w:r w:rsidRPr="00684481">
        <w:t xml:space="preserve"> </w:t>
      </w:r>
      <w:r w:rsidRPr="00684481">
        <w:tab/>
        <w:t xml:space="preserve">enseignante et enseignant à l’emploi du collège à la date de la </w:t>
      </w:r>
      <w:r w:rsidRPr="00B3089C">
        <w:t>signature de la convention collective</w:t>
      </w:r>
      <w:r w:rsidRPr="00684481">
        <w:t>.</w:t>
      </w:r>
      <w:r w:rsidRPr="00B3089C">
        <w:rPr>
          <w:strike/>
        </w:rPr>
        <w:t xml:space="preserve"> </w:t>
      </w:r>
    </w:p>
    <w:p w14:paraId="6FBDE10B" w14:textId="77777777" w:rsidR="005D2237" w:rsidRPr="00684481" w:rsidRDefault="005D2237" w:rsidP="005D2237">
      <w:pPr>
        <w:keepNext w:val="0"/>
      </w:pPr>
    </w:p>
    <w:p w14:paraId="626F564F" w14:textId="65B842BD" w:rsidR="005D2237" w:rsidRPr="00684481" w:rsidRDefault="005D2237" w:rsidP="005D2237">
      <w:pPr>
        <w:keepNext w:val="0"/>
        <w:rPr>
          <w:b/>
          <w:bCs/>
        </w:rPr>
      </w:pPr>
      <w:r w:rsidRPr="00316277">
        <w:rPr>
          <w:b/>
          <w:bCs/>
        </w:rPr>
        <w:t>1.01</w:t>
      </w:r>
    </w:p>
    <w:p w14:paraId="644F0384" w14:textId="68E5472A" w:rsidR="005D2237" w:rsidRPr="00684481" w:rsidRDefault="005D2237" w:rsidP="005D2237">
      <w:pPr>
        <w:keepNext w:val="0"/>
      </w:pPr>
      <w:r w:rsidRPr="00684481">
        <w:t>L’enseignante ou l’enseignant qui a été à l’emploi du Collège entre le 1</w:t>
      </w:r>
      <w:r w:rsidRPr="00684481">
        <w:rPr>
          <w:vertAlign w:val="superscript"/>
        </w:rPr>
        <w:t>er</w:t>
      </w:r>
      <w:r>
        <w:t> </w:t>
      </w:r>
      <w:r w:rsidRPr="00684481">
        <w:t>avril</w:t>
      </w:r>
      <w:r>
        <w:t> </w:t>
      </w:r>
      <w:r w:rsidRPr="00316277">
        <w:t xml:space="preserve">2023 </w:t>
      </w:r>
      <w:r w:rsidRPr="004525BD">
        <w:t>et</w:t>
      </w:r>
      <w:r w:rsidRPr="00684481">
        <w:t xml:space="preserve"> la date de la signature de la convention collective a droit à la rétroactivité de son salaire et, s’il y a lieu, de ses prestations d’assurance</w:t>
      </w:r>
      <w:r>
        <w:noBreakHyphen/>
      </w:r>
      <w:r w:rsidRPr="00684481">
        <w:t>traitement et de congé de maternité, de paternité ou d’adoption pour la durée de ses services au cours de cette période, égale à la différence entre :</w:t>
      </w:r>
    </w:p>
    <w:p w14:paraId="4646D198" w14:textId="3EE815C9" w:rsidR="005D2237" w:rsidRPr="00684481" w:rsidRDefault="005D2237" w:rsidP="005D2237">
      <w:pPr>
        <w:keepNext w:val="0"/>
      </w:pPr>
    </w:p>
    <w:p w14:paraId="25E38A9D" w14:textId="4FD50A14" w:rsidR="005D2237" w:rsidRPr="00684481" w:rsidRDefault="005D2237" w:rsidP="005D2237">
      <w:pPr>
        <w:keepNext w:val="0"/>
        <w:tabs>
          <w:tab w:val="left" w:pos="1134"/>
        </w:tabs>
        <w:ind w:left="1134" w:hanging="567"/>
      </w:pPr>
      <w:r w:rsidRPr="00684481">
        <w:rPr>
          <w:rFonts w:ascii="Symbol" w:hAnsi="Symbol"/>
        </w:rPr>
        <w:t></w:t>
      </w:r>
      <w:r w:rsidRPr="00684481">
        <w:rPr>
          <w:rFonts w:ascii="Symbol" w:hAnsi="Symbol"/>
        </w:rPr>
        <w:tab/>
      </w:r>
      <w:r w:rsidRPr="00684481">
        <w:t>le traitement auquel elle ou il aurait eu droit, pour la période comprise entre le 1</w:t>
      </w:r>
      <w:r w:rsidRPr="00684481">
        <w:rPr>
          <w:vertAlign w:val="superscript"/>
        </w:rPr>
        <w:t>er</w:t>
      </w:r>
      <w:r>
        <w:t> </w:t>
      </w:r>
      <w:r w:rsidRPr="00684481">
        <w:t>avril</w:t>
      </w:r>
      <w:r>
        <w:t> </w:t>
      </w:r>
      <w:r w:rsidRPr="00316277">
        <w:t>2023</w:t>
      </w:r>
      <w:r w:rsidRPr="00684481">
        <w:t xml:space="preserve"> et la date d’entrée en vigueur de la convention collective</w:t>
      </w:r>
      <w:r>
        <w:t> </w:t>
      </w:r>
      <w:r w:rsidRPr="00316277">
        <w:t>2023-2028</w:t>
      </w:r>
      <w:r w:rsidRPr="00684481">
        <w:t xml:space="preserve">, selon les échelles de traitement et taux horaires en vigueur de </w:t>
      </w:r>
      <w:r w:rsidRPr="00684481">
        <w:rPr>
          <w:rFonts w:cs="Arial"/>
        </w:rPr>
        <w:t>l’Annexe III</w:t>
      </w:r>
      <w:r w:rsidRPr="00684481">
        <w:rPr>
          <w:rFonts w:ascii="Cambria Math" w:hAnsi="Cambria Math" w:cs="Cambria Math"/>
        </w:rPr>
        <w:t>‑</w:t>
      </w:r>
      <w:r w:rsidRPr="00684481">
        <w:rPr>
          <w:rFonts w:cs="Arial"/>
        </w:rPr>
        <w:t>1</w:t>
      </w:r>
      <w:r>
        <w:rPr>
          <w:rFonts w:cs="Arial"/>
        </w:rPr>
        <w:t> </w:t>
      </w:r>
      <w:r w:rsidRPr="00684481">
        <w:rPr>
          <w:rFonts w:cs="Arial"/>
        </w:rPr>
        <w:t xml:space="preserve">et </w:t>
      </w:r>
      <w:r w:rsidRPr="00684481">
        <w:t>des tableaux</w:t>
      </w:r>
      <w:r>
        <w:t> </w:t>
      </w:r>
      <w:r w:rsidRPr="00684481">
        <w:t>A et B de l’Annexe VI</w:t>
      </w:r>
      <w:r>
        <w:noBreakHyphen/>
      </w:r>
      <w:r w:rsidRPr="00684481">
        <w:t>1 de la convention collective</w:t>
      </w:r>
      <w:r>
        <w:t xml:space="preserve"> </w:t>
      </w:r>
      <w:r w:rsidRPr="00316277">
        <w:t>2023-2028</w:t>
      </w:r>
      <w:r w:rsidRPr="00684481">
        <w:t>.</w:t>
      </w:r>
    </w:p>
    <w:p w14:paraId="25496D12" w14:textId="77777777" w:rsidR="005D2237" w:rsidRPr="00684481" w:rsidRDefault="005D2237" w:rsidP="005D2237">
      <w:pPr>
        <w:keepNext w:val="0"/>
        <w:ind w:left="1134"/>
      </w:pPr>
    </w:p>
    <w:p w14:paraId="0CEA22AF" w14:textId="77777777" w:rsidR="005D2237" w:rsidRPr="00684481" w:rsidRDefault="005D2237" w:rsidP="005D2237">
      <w:pPr>
        <w:pStyle w:val="Texte1cm600000000"/>
        <w:keepNext w:val="0"/>
        <w:ind w:left="1134"/>
      </w:pPr>
      <w:r w:rsidRPr="00684481">
        <w:t>et</w:t>
      </w:r>
    </w:p>
    <w:p w14:paraId="0D415092" w14:textId="77777777" w:rsidR="005D2237" w:rsidRPr="00684481" w:rsidRDefault="005D2237" w:rsidP="005D2237">
      <w:pPr>
        <w:keepNext w:val="0"/>
        <w:ind w:left="1134"/>
      </w:pPr>
    </w:p>
    <w:p w14:paraId="1DBC9EF9" w14:textId="42505861" w:rsidR="005D2237" w:rsidRPr="00684481" w:rsidRDefault="005D2237" w:rsidP="005D2237">
      <w:pPr>
        <w:keepNext w:val="0"/>
        <w:tabs>
          <w:tab w:val="left" w:pos="1134"/>
        </w:tabs>
        <w:ind w:left="1134" w:hanging="567"/>
      </w:pPr>
      <w:r w:rsidRPr="00684481">
        <w:rPr>
          <w:rFonts w:ascii="Symbol" w:hAnsi="Symbol"/>
        </w:rPr>
        <w:t></w:t>
      </w:r>
      <w:r w:rsidRPr="00684481">
        <w:rPr>
          <w:rFonts w:ascii="Symbol" w:hAnsi="Symbol"/>
        </w:rPr>
        <w:tab/>
      </w:r>
      <w:r w:rsidRPr="00684481">
        <w:t>le traitement qu’elle ou il a reçu, pour la période comprise entre le 1</w:t>
      </w:r>
      <w:r w:rsidRPr="00684481">
        <w:rPr>
          <w:vertAlign w:val="superscript"/>
        </w:rPr>
        <w:t>er</w:t>
      </w:r>
      <w:r>
        <w:rPr>
          <w:vertAlign w:val="superscript"/>
        </w:rPr>
        <w:t> </w:t>
      </w:r>
      <w:r w:rsidRPr="00684481">
        <w:t>avril</w:t>
      </w:r>
      <w:r>
        <w:t> </w:t>
      </w:r>
      <w:r w:rsidRPr="00316277">
        <w:t>2023</w:t>
      </w:r>
      <w:r w:rsidRPr="00684481">
        <w:t xml:space="preserve"> et la date d’entrée en vigueur de la convention collective</w:t>
      </w:r>
      <w:r>
        <w:t xml:space="preserve"> </w:t>
      </w:r>
      <w:r w:rsidRPr="00316277">
        <w:t>2023</w:t>
      </w:r>
      <w:r w:rsidRPr="00316277">
        <w:noBreakHyphen/>
        <w:t>2028</w:t>
      </w:r>
      <w:r w:rsidRPr="00684481">
        <w:t>, selon les échelles de traitement et taux horaires en vigueur de la convention collective </w:t>
      </w:r>
      <w:r w:rsidRPr="00316277">
        <w:rPr>
          <w:szCs w:val="24"/>
        </w:rPr>
        <w:t>2020-2023</w:t>
      </w:r>
      <w:r w:rsidRPr="00684481">
        <w:t>.</w:t>
      </w:r>
    </w:p>
    <w:p w14:paraId="6688909A" w14:textId="7D8F9BFD" w:rsidR="005D2237" w:rsidRPr="00CA71FE" w:rsidRDefault="005D2237" w:rsidP="005D2237">
      <w:pPr>
        <w:pStyle w:val="NUMRODECLAUSE"/>
        <w:rPr>
          <w:strike/>
          <w:szCs w:val="24"/>
        </w:rPr>
      </w:pPr>
      <w:r w:rsidRPr="00316277">
        <w:rPr>
          <w:szCs w:val="24"/>
        </w:rPr>
        <w:t>1.02</w:t>
      </w:r>
    </w:p>
    <w:p w14:paraId="2020632D" w14:textId="059F2C05" w:rsidR="005D2237" w:rsidRPr="00684481" w:rsidRDefault="005D2237" w:rsidP="005D2237">
      <w:pPr>
        <w:keepNext w:val="0"/>
      </w:pPr>
      <w:r w:rsidRPr="00684481">
        <w:t xml:space="preserve">L’enseignante ou l’enseignant qui a été à l’emploi du Collège entre le </w:t>
      </w:r>
      <w:r w:rsidRPr="00316277">
        <w:rPr>
          <w:szCs w:val="24"/>
        </w:rPr>
        <w:t>1</w:t>
      </w:r>
      <w:r w:rsidRPr="00316277">
        <w:rPr>
          <w:szCs w:val="24"/>
          <w:vertAlign w:val="superscript"/>
        </w:rPr>
        <w:t>er</w:t>
      </w:r>
      <w:r w:rsidRPr="00316277">
        <w:rPr>
          <w:szCs w:val="24"/>
        </w:rPr>
        <w:t> avril 2023</w:t>
      </w:r>
      <w:r w:rsidRPr="00CA71FE">
        <w:rPr>
          <w:szCs w:val="24"/>
        </w:rPr>
        <w:t xml:space="preserve"> et </w:t>
      </w:r>
      <w:r w:rsidRPr="00684481">
        <w:t xml:space="preserve">la date de signature de la convention collective </w:t>
      </w:r>
      <w:r w:rsidRPr="00316277">
        <w:rPr>
          <w:szCs w:val="24"/>
        </w:rPr>
        <w:t>2023</w:t>
      </w:r>
      <w:r w:rsidRPr="00316277">
        <w:rPr>
          <w:szCs w:val="24"/>
        </w:rPr>
        <w:noBreakHyphen/>
        <w:t>2028</w:t>
      </w:r>
      <w:r w:rsidRPr="00CA71FE">
        <w:rPr>
          <w:szCs w:val="24"/>
        </w:rPr>
        <w:t xml:space="preserve"> </w:t>
      </w:r>
      <w:r w:rsidRPr="00684481">
        <w:t>et qui était visé à l’Annexe VI</w:t>
      </w:r>
      <w:r>
        <w:noBreakHyphen/>
      </w:r>
      <w:r w:rsidRPr="00684481">
        <w:t>2 (Disparités régionales) a droit à la différence entre les sommes auxquelles elle ou il aurait eu droit selon cette annexe et celles qu’elle ou il a effectivement reçues au même titre.</w:t>
      </w:r>
    </w:p>
    <w:p w14:paraId="15897929" w14:textId="77777777" w:rsidR="005D2237" w:rsidRPr="00684481" w:rsidRDefault="005D2237" w:rsidP="005D2237">
      <w:pPr>
        <w:keepNext w:val="0"/>
      </w:pPr>
    </w:p>
    <w:p w14:paraId="71DD79A8" w14:textId="4668622E" w:rsidR="005D2237" w:rsidRPr="00CA71FE" w:rsidRDefault="005D2237" w:rsidP="005D2237">
      <w:pPr>
        <w:pStyle w:val="NUMRODECLAUSE"/>
        <w:rPr>
          <w:strike/>
          <w:szCs w:val="24"/>
        </w:rPr>
      </w:pPr>
      <w:r w:rsidRPr="00316277">
        <w:rPr>
          <w:szCs w:val="24"/>
        </w:rPr>
        <w:t>1.03</w:t>
      </w:r>
    </w:p>
    <w:p w14:paraId="6D7ECDB4" w14:textId="0AEDE2F3" w:rsidR="00945715" w:rsidRDefault="005D2237" w:rsidP="005D2237">
      <w:pPr>
        <w:rPr>
          <w:szCs w:val="24"/>
        </w:rPr>
      </w:pPr>
      <w:r w:rsidRPr="00533617">
        <w:rPr>
          <w:szCs w:val="24"/>
        </w:rPr>
        <w:t xml:space="preserve">L’enseignante ou l’enseignant qui a été à l’emploi du Collège entre le </w:t>
      </w:r>
      <w:r w:rsidRPr="00316277">
        <w:rPr>
          <w:szCs w:val="24"/>
        </w:rPr>
        <w:t>1</w:t>
      </w:r>
      <w:r w:rsidRPr="00316277">
        <w:rPr>
          <w:szCs w:val="24"/>
          <w:vertAlign w:val="superscript"/>
        </w:rPr>
        <w:t>er</w:t>
      </w:r>
      <w:r w:rsidRPr="00316277">
        <w:rPr>
          <w:szCs w:val="24"/>
        </w:rPr>
        <w:t> avril 2023</w:t>
      </w:r>
      <w:r w:rsidRPr="00533617">
        <w:rPr>
          <w:szCs w:val="24"/>
        </w:rPr>
        <w:t xml:space="preserve"> et la date de signature de la convention collective </w:t>
      </w:r>
      <w:r w:rsidRPr="00316277">
        <w:rPr>
          <w:szCs w:val="24"/>
        </w:rPr>
        <w:t>2023</w:t>
      </w:r>
      <w:r w:rsidRPr="00316277">
        <w:rPr>
          <w:szCs w:val="24"/>
        </w:rPr>
        <w:noBreakHyphen/>
        <w:t>2028</w:t>
      </w:r>
      <w:r w:rsidRPr="00533617">
        <w:rPr>
          <w:szCs w:val="24"/>
        </w:rPr>
        <w:t xml:space="preserve"> et qui était visé à l’Annexe III</w:t>
      </w:r>
      <w:r w:rsidRPr="00533617">
        <w:rPr>
          <w:szCs w:val="24"/>
        </w:rPr>
        <w:noBreakHyphen/>
        <w:t>7 (licence de technicien d’entretien d’aéronefs (TEA) émise par Transports Canada) a droit à la différence entre les sommes auxquelles elle ou il aurait eu droit selon cette annexe et celles qu’elle ou il a effectivement reçues au même titre.</w:t>
      </w:r>
    </w:p>
    <w:p w14:paraId="632843D1" w14:textId="77777777" w:rsidR="00945715" w:rsidRDefault="00945715">
      <w:pPr>
        <w:keepNext w:val="0"/>
        <w:suppressAutoHyphens w:val="0"/>
        <w:jc w:val="left"/>
        <w:rPr>
          <w:szCs w:val="24"/>
        </w:rPr>
      </w:pPr>
      <w:r>
        <w:rPr>
          <w:szCs w:val="24"/>
        </w:rPr>
        <w:br w:type="page"/>
      </w:r>
    </w:p>
    <w:p w14:paraId="315E7414" w14:textId="4AD02C95" w:rsidR="005D2237" w:rsidRPr="009C1C6D" w:rsidRDefault="005D2237" w:rsidP="005D2237">
      <w:pPr>
        <w:pStyle w:val="NUMRODECLAUSE"/>
        <w:rPr>
          <w:szCs w:val="24"/>
        </w:rPr>
      </w:pPr>
      <w:r w:rsidRPr="00316277">
        <w:rPr>
          <w:szCs w:val="24"/>
        </w:rPr>
        <w:t>1.04</w:t>
      </w:r>
    </w:p>
    <w:p w14:paraId="0F97F3D1" w14:textId="348EA9BA" w:rsidR="005D2237" w:rsidRPr="009C1C6D" w:rsidRDefault="005D2237" w:rsidP="005D2237">
      <w:pPr>
        <w:keepNext w:val="0"/>
        <w:rPr>
          <w:szCs w:val="24"/>
        </w:rPr>
      </w:pPr>
      <w:r w:rsidRPr="009C1C6D">
        <w:rPr>
          <w:szCs w:val="24"/>
        </w:rPr>
        <w:t>L’enseignante ou l’enseignant qui a exercé des activités prévues à la clause 6</w:t>
      </w:r>
      <w:r w:rsidRPr="009C1C6D">
        <w:rPr>
          <w:szCs w:val="24"/>
        </w:rPr>
        <w:noBreakHyphen/>
        <w:t xml:space="preserve">1.04, entre le </w:t>
      </w:r>
      <w:r w:rsidRPr="00316277">
        <w:rPr>
          <w:szCs w:val="24"/>
        </w:rPr>
        <w:t>1</w:t>
      </w:r>
      <w:r w:rsidRPr="00316277">
        <w:rPr>
          <w:szCs w:val="24"/>
          <w:vertAlign w:val="superscript"/>
        </w:rPr>
        <w:t>er </w:t>
      </w:r>
      <w:r w:rsidRPr="00316277">
        <w:rPr>
          <w:szCs w:val="24"/>
        </w:rPr>
        <w:t>avril 2023</w:t>
      </w:r>
      <w:r w:rsidRPr="009C1C6D">
        <w:rPr>
          <w:szCs w:val="24"/>
        </w:rPr>
        <w:t xml:space="preserve"> et la date de la signature de la convention collective, a droit à la rétroactivité égale à la différence entre :</w:t>
      </w:r>
    </w:p>
    <w:p w14:paraId="53715684" w14:textId="77777777" w:rsidR="005D2237" w:rsidRPr="009C1C6D" w:rsidRDefault="005D2237" w:rsidP="005D2237">
      <w:pPr>
        <w:keepNext w:val="0"/>
        <w:rPr>
          <w:szCs w:val="24"/>
        </w:rPr>
      </w:pPr>
    </w:p>
    <w:p w14:paraId="3E10EBA2" w14:textId="6D582E0B" w:rsidR="005D2237" w:rsidRPr="009C1C6D" w:rsidRDefault="005D2237" w:rsidP="005D2237">
      <w:pPr>
        <w:keepNext w:val="0"/>
        <w:tabs>
          <w:tab w:val="left" w:pos="1134"/>
        </w:tabs>
        <w:ind w:left="1134" w:hanging="567"/>
        <w:rPr>
          <w:szCs w:val="24"/>
        </w:rPr>
      </w:pPr>
      <w:r w:rsidRPr="009C1C6D">
        <w:rPr>
          <w:rFonts w:ascii="Symbol" w:hAnsi="Symbol"/>
          <w:szCs w:val="24"/>
        </w:rPr>
        <w:tab/>
      </w:r>
      <w:r w:rsidRPr="009C1C6D">
        <w:rPr>
          <w:szCs w:val="24"/>
        </w:rPr>
        <w:t xml:space="preserve">le traitement auquel elle ou il aurait eu droit, pour la période comprise entre le  </w:t>
      </w:r>
      <w:r w:rsidRPr="00316277">
        <w:rPr>
          <w:szCs w:val="24"/>
        </w:rPr>
        <w:t>1</w:t>
      </w:r>
      <w:r w:rsidRPr="00316277">
        <w:rPr>
          <w:szCs w:val="24"/>
          <w:vertAlign w:val="superscript"/>
        </w:rPr>
        <w:t xml:space="preserve">er </w:t>
      </w:r>
      <w:r w:rsidRPr="00316277">
        <w:rPr>
          <w:szCs w:val="24"/>
        </w:rPr>
        <w:t>avril 2023</w:t>
      </w:r>
      <w:r w:rsidRPr="009C1C6D">
        <w:rPr>
          <w:szCs w:val="24"/>
        </w:rPr>
        <w:t xml:space="preserve"> et la date de la signature de la convention collective</w:t>
      </w:r>
      <w:r w:rsidR="006D72B0">
        <w:rPr>
          <w:szCs w:val="24"/>
        </w:rPr>
        <w:t> </w:t>
      </w:r>
      <w:r w:rsidRPr="00316277">
        <w:rPr>
          <w:szCs w:val="24"/>
        </w:rPr>
        <w:t>2023</w:t>
      </w:r>
      <w:r w:rsidRPr="00316277">
        <w:rPr>
          <w:szCs w:val="24"/>
        </w:rPr>
        <w:noBreakHyphen/>
        <w:t>2028</w:t>
      </w:r>
      <w:r w:rsidRPr="009C1C6D">
        <w:rPr>
          <w:szCs w:val="24"/>
        </w:rPr>
        <w:t>, selon le taux horaire en vigueur du tableau C de l’Annexe VI</w:t>
      </w:r>
      <w:r w:rsidRPr="009C1C6D">
        <w:rPr>
          <w:szCs w:val="24"/>
        </w:rPr>
        <w:noBreakHyphen/>
        <w:t xml:space="preserve">1 de la convention collective </w:t>
      </w:r>
      <w:r w:rsidRPr="00316277">
        <w:rPr>
          <w:szCs w:val="24"/>
        </w:rPr>
        <w:t>2023-2028</w:t>
      </w:r>
      <w:r w:rsidRPr="009C1C6D">
        <w:rPr>
          <w:szCs w:val="24"/>
        </w:rPr>
        <w:t>.</w:t>
      </w:r>
    </w:p>
    <w:p w14:paraId="2A2C6BFC" w14:textId="77777777" w:rsidR="005D2237" w:rsidRPr="009C1C6D" w:rsidRDefault="005D2237" w:rsidP="005D2237">
      <w:pPr>
        <w:pStyle w:val="Texte1cm60000000000000000"/>
        <w:keepNext w:val="0"/>
        <w:ind w:left="1134"/>
        <w:rPr>
          <w:szCs w:val="24"/>
        </w:rPr>
      </w:pPr>
    </w:p>
    <w:p w14:paraId="05377CFD" w14:textId="77777777" w:rsidR="005D2237" w:rsidRPr="00684481" w:rsidRDefault="005D2237" w:rsidP="005D2237">
      <w:pPr>
        <w:pStyle w:val="Texte1cm60000000000000000"/>
        <w:keepNext w:val="0"/>
        <w:ind w:left="1134"/>
      </w:pPr>
      <w:r w:rsidRPr="00684481">
        <w:t>et</w:t>
      </w:r>
    </w:p>
    <w:p w14:paraId="3CC2B29A" w14:textId="77777777" w:rsidR="005D2237" w:rsidRPr="009C1C6D" w:rsidRDefault="005D2237" w:rsidP="005D2237">
      <w:pPr>
        <w:keepNext w:val="0"/>
        <w:ind w:left="1134"/>
        <w:rPr>
          <w:szCs w:val="24"/>
        </w:rPr>
      </w:pPr>
    </w:p>
    <w:p w14:paraId="144A9CBC" w14:textId="5DF640E1" w:rsidR="005D2237" w:rsidRPr="009C1C6D" w:rsidRDefault="005D2237" w:rsidP="005D2237">
      <w:pPr>
        <w:keepNext w:val="0"/>
        <w:tabs>
          <w:tab w:val="left" w:pos="1134"/>
        </w:tabs>
        <w:ind w:left="1134" w:hanging="567"/>
        <w:rPr>
          <w:szCs w:val="24"/>
        </w:rPr>
      </w:pPr>
      <w:r w:rsidRPr="009C1C6D">
        <w:rPr>
          <w:rFonts w:ascii="Symbol" w:hAnsi="Symbol"/>
          <w:szCs w:val="24"/>
        </w:rPr>
        <w:t></w:t>
      </w:r>
      <w:r w:rsidRPr="009C1C6D">
        <w:rPr>
          <w:rFonts w:ascii="Symbol" w:hAnsi="Symbol"/>
          <w:szCs w:val="24"/>
        </w:rPr>
        <w:tab/>
      </w:r>
      <w:r w:rsidRPr="009C1C6D">
        <w:rPr>
          <w:szCs w:val="24"/>
        </w:rPr>
        <w:t xml:space="preserve">le traitement qu’elle ou il a reçu, pour la période comprise entre le </w:t>
      </w:r>
      <w:r w:rsidRPr="00316277">
        <w:rPr>
          <w:szCs w:val="24"/>
        </w:rPr>
        <w:t>1</w:t>
      </w:r>
      <w:r w:rsidRPr="00316277">
        <w:rPr>
          <w:szCs w:val="24"/>
          <w:vertAlign w:val="superscript"/>
        </w:rPr>
        <w:t>er </w:t>
      </w:r>
      <w:r w:rsidRPr="00316277">
        <w:rPr>
          <w:szCs w:val="24"/>
        </w:rPr>
        <w:t>avril 2023</w:t>
      </w:r>
      <w:r w:rsidRPr="009C1C6D">
        <w:rPr>
          <w:szCs w:val="24"/>
        </w:rPr>
        <w:t xml:space="preserve"> et la date de la signature de la convention collective </w:t>
      </w:r>
      <w:r w:rsidRPr="00316277">
        <w:rPr>
          <w:szCs w:val="24"/>
        </w:rPr>
        <w:t>2023</w:t>
      </w:r>
      <w:r w:rsidRPr="00316277">
        <w:rPr>
          <w:szCs w:val="24"/>
        </w:rPr>
        <w:noBreakHyphen/>
        <w:t>2028</w:t>
      </w:r>
      <w:r w:rsidRPr="009C1C6D">
        <w:rPr>
          <w:szCs w:val="24"/>
        </w:rPr>
        <w:t>.</w:t>
      </w:r>
    </w:p>
    <w:p w14:paraId="0D6B8329" w14:textId="77777777" w:rsidR="005D2237" w:rsidRPr="009C1C6D" w:rsidRDefault="005D2237" w:rsidP="005D2237">
      <w:pPr>
        <w:keepNext w:val="0"/>
        <w:rPr>
          <w:szCs w:val="24"/>
        </w:rPr>
      </w:pPr>
    </w:p>
    <w:p w14:paraId="70936B79" w14:textId="4B23EA01" w:rsidR="005D2237" w:rsidRPr="009C1C6D" w:rsidRDefault="005D2237" w:rsidP="005D2237">
      <w:pPr>
        <w:pStyle w:val="NUMRODECLAUSE"/>
        <w:rPr>
          <w:szCs w:val="24"/>
        </w:rPr>
      </w:pPr>
      <w:r w:rsidRPr="00316277">
        <w:rPr>
          <w:szCs w:val="24"/>
        </w:rPr>
        <w:t>1.05</w:t>
      </w:r>
    </w:p>
    <w:p w14:paraId="628EE7E8" w14:textId="6D00227C" w:rsidR="005D2237" w:rsidRPr="009C1C6D" w:rsidRDefault="005D2237" w:rsidP="005D2237">
      <w:pPr>
        <w:keepNext w:val="0"/>
        <w:rPr>
          <w:szCs w:val="24"/>
        </w:rPr>
      </w:pPr>
      <w:r w:rsidRPr="009C1C6D">
        <w:rPr>
          <w:szCs w:val="24"/>
        </w:rPr>
        <w:t>Les sommes dues, en vertu des points </w:t>
      </w:r>
      <w:r w:rsidRPr="00316277">
        <w:rPr>
          <w:szCs w:val="24"/>
        </w:rPr>
        <w:t>1.01,</w:t>
      </w:r>
      <w:r>
        <w:rPr>
          <w:szCs w:val="24"/>
        </w:rPr>
        <w:t xml:space="preserve"> </w:t>
      </w:r>
      <w:r w:rsidRPr="00316277">
        <w:rPr>
          <w:szCs w:val="24"/>
        </w:rPr>
        <w:t>1.02, 1.03 et 1.04</w:t>
      </w:r>
      <w:r w:rsidRPr="009C1C6D">
        <w:rPr>
          <w:szCs w:val="24"/>
        </w:rPr>
        <w:t xml:space="preserve"> de la présente annexe, sont versées dans les </w:t>
      </w:r>
      <w:r w:rsidR="0076279E">
        <w:rPr>
          <w:szCs w:val="24"/>
        </w:rPr>
        <w:t>cent vingt</w:t>
      </w:r>
      <w:r w:rsidR="00EB4D3F" w:rsidRPr="00316277">
        <w:rPr>
          <w:szCs w:val="24"/>
        </w:rPr>
        <w:t> (</w:t>
      </w:r>
      <w:r w:rsidR="0076279E">
        <w:rPr>
          <w:szCs w:val="24"/>
        </w:rPr>
        <w:t>12</w:t>
      </w:r>
      <w:r w:rsidR="00EB4D3F" w:rsidRPr="00316277">
        <w:rPr>
          <w:szCs w:val="24"/>
        </w:rPr>
        <w:t>0)</w:t>
      </w:r>
      <w:r w:rsidR="00EB4D3F">
        <w:rPr>
          <w:szCs w:val="24"/>
        </w:rPr>
        <w:t xml:space="preserve"> </w:t>
      </w:r>
      <w:r w:rsidRPr="009C1C6D">
        <w:rPr>
          <w:szCs w:val="24"/>
        </w:rPr>
        <w:t>jours qui suivent la signature de la convention collective.</w:t>
      </w:r>
    </w:p>
    <w:p w14:paraId="4BE315A7" w14:textId="77777777" w:rsidR="005D2237" w:rsidRPr="009C1C6D" w:rsidRDefault="005D2237" w:rsidP="005D2237">
      <w:pPr>
        <w:keepNext w:val="0"/>
        <w:rPr>
          <w:szCs w:val="24"/>
        </w:rPr>
      </w:pPr>
    </w:p>
    <w:p w14:paraId="61C288D9" w14:textId="77777777" w:rsidR="005D2237" w:rsidRPr="00684481" w:rsidRDefault="005D2237" w:rsidP="005D2237">
      <w:pPr>
        <w:pStyle w:val="PMGSTexte0cm"/>
        <w:keepNext w:val="0"/>
        <w:tabs>
          <w:tab w:val="left" w:pos="1701"/>
        </w:tabs>
        <w:ind w:left="1985" w:hanging="1985"/>
      </w:pPr>
      <w:r w:rsidRPr="00684481">
        <w:t xml:space="preserve">2.00  Section II </w:t>
      </w:r>
      <w:r>
        <w:noBreakHyphen/>
      </w:r>
      <w:r w:rsidRPr="00684481">
        <w:t xml:space="preserve"> </w:t>
      </w:r>
      <w:r w:rsidRPr="00684481">
        <w:tab/>
        <w:t xml:space="preserve">enseignante et enseignant qui n’est plus à l’emploi du collège à la date de la signature de la convention collective. </w:t>
      </w:r>
    </w:p>
    <w:p w14:paraId="4D840716" w14:textId="77777777" w:rsidR="005D2237" w:rsidRPr="009C1C6D" w:rsidRDefault="005D2237" w:rsidP="005D2237">
      <w:pPr>
        <w:keepNext w:val="0"/>
        <w:rPr>
          <w:szCs w:val="24"/>
        </w:rPr>
      </w:pPr>
    </w:p>
    <w:p w14:paraId="5D10A9DD" w14:textId="75C5366E" w:rsidR="005D2237" w:rsidRPr="009C1C6D" w:rsidRDefault="005D2237" w:rsidP="005D2237">
      <w:pPr>
        <w:pStyle w:val="NUMRODECLAUSE"/>
        <w:rPr>
          <w:szCs w:val="24"/>
        </w:rPr>
      </w:pPr>
      <w:r w:rsidRPr="00316277">
        <w:rPr>
          <w:szCs w:val="24"/>
        </w:rPr>
        <w:t>2.01</w:t>
      </w:r>
    </w:p>
    <w:p w14:paraId="63515914" w14:textId="29C61598" w:rsidR="005D2237" w:rsidRPr="009C1C6D" w:rsidRDefault="005D2237" w:rsidP="005D2237">
      <w:pPr>
        <w:keepNext w:val="0"/>
        <w:rPr>
          <w:szCs w:val="24"/>
        </w:rPr>
      </w:pPr>
      <w:r w:rsidRPr="009C1C6D">
        <w:rPr>
          <w:szCs w:val="24"/>
        </w:rPr>
        <w:t xml:space="preserve">L’enseignante ou l’enseignant qui a été à l’emploi du Collège au cours de la période du </w:t>
      </w:r>
      <w:r w:rsidRPr="00316277">
        <w:rPr>
          <w:szCs w:val="24"/>
        </w:rPr>
        <w:t>1</w:t>
      </w:r>
      <w:r w:rsidRPr="00316277">
        <w:rPr>
          <w:szCs w:val="24"/>
          <w:vertAlign w:val="superscript"/>
        </w:rPr>
        <w:t>er</w:t>
      </w:r>
      <w:r w:rsidRPr="00316277">
        <w:rPr>
          <w:szCs w:val="24"/>
        </w:rPr>
        <w:t> avril 2023</w:t>
      </w:r>
      <w:r w:rsidRPr="009C1C6D">
        <w:rPr>
          <w:szCs w:val="24"/>
        </w:rPr>
        <w:t xml:space="preserve"> au jour précédant la date de la signature de la convention collective a droit à la rétroactivité de son salaire et, s’il y a lieu, de ses prestations d’assurance</w:t>
      </w:r>
      <w:r w:rsidRPr="009C1C6D">
        <w:rPr>
          <w:szCs w:val="24"/>
        </w:rPr>
        <w:noBreakHyphen/>
        <w:t>traitement et de congé de maternité, de paternité ou d’adoption pour la durée de ses services au cours de cette période, égale à la différence entre :</w:t>
      </w:r>
    </w:p>
    <w:p w14:paraId="42D32D48" w14:textId="77777777" w:rsidR="005D2237" w:rsidRPr="009C1C6D" w:rsidRDefault="005D2237" w:rsidP="005D2237">
      <w:pPr>
        <w:keepNext w:val="0"/>
        <w:rPr>
          <w:szCs w:val="24"/>
        </w:rPr>
      </w:pPr>
    </w:p>
    <w:p w14:paraId="3A7CF4E7" w14:textId="077845D6" w:rsidR="005D2237" w:rsidRPr="009C1C6D" w:rsidRDefault="005D2237" w:rsidP="005D2237">
      <w:pPr>
        <w:keepNext w:val="0"/>
        <w:tabs>
          <w:tab w:val="left" w:pos="1134"/>
        </w:tabs>
        <w:ind w:left="1134" w:hanging="567"/>
        <w:rPr>
          <w:szCs w:val="24"/>
        </w:rPr>
      </w:pPr>
      <w:r w:rsidRPr="009C1C6D">
        <w:rPr>
          <w:rFonts w:ascii="Symbol" w:hAnsi="Symbol"/>
          <w:szCs w:val="24"/>
        </w:rPr>
        <w:t></w:t>
      </w:r>
      <w:r w:rsidRPr="009C1C6D">
        <w:rPr>
          <w:rFonts w:ascii="Symbol" w:hAnsi="Symbol"/>
          <w:szCs w:val="24"/>
        </w:rPr>
        <w:tab/>
      </w:r>
      <w:r w:rsidRPr="009C1C6D">
        <w:rPr>
          <w:szCs w:val="24"/>
        </w:rPr>
        <w:t xml:space="preserve">le traitement auquel elle ou il aurait eu droit, pour la période comprise entre le </w:t>
      </w:r>
      <w:r w:rsidRPr="00316277">
        <w:rPr>
          <w:szCs w:val="24"/>
        </w:rPr>
        <w:t>1</w:t>
      </w:r>
      <w:r w:rsidRPr="00316277">
        <w:rPr>
          <w:szCs w:val="24"/>
          <w:vertAlign w:val="superscript"/>
        </w:rPr>
        <w:t>er</w:t>
      </w:r>
      <w:r w:rsidRPr="00316277">
        <w:rPr>
          <w:szCs w:val="24"/>
        </w:rPr>
        <w:t> avril 2023</w:t>
      </w:r>
      <w:r w:rsidRPr="009C1C6D">
        <w:rPr>
          <w:szCs w:val="24"/>
        </w:rPr>
        <w:t xml:space="preserve"> et la date d’entrée en vigueur de la convention collective </w:t>
      </w:r>
      <w:r w:rsidRPr="00316277">
        <w:rPr>
          <w:szCs w:val="24"/>
        </w:rPr>
        <w:t>2023</w:t>
      </w:r>
      <w:r w:rsidRPr="00316277">
        <w:rPr>
          <w:szCs w:val="24"/>
        </w:rPr>
        <w:noBreakHyphen/>
        <w:t>2028</w:t>
      </w:r>
      <w:r w:rsidRPr="009C1C6D">
        <w:rPr>
          <w:szCs w:val="24"/>
        </w:rPr>
        <w:t xml:space="preserve">, selon les échelles de traitement et taux horaires en vigueur </w:t>
      </w:r>
      <w:r w:rsidRPr="00316277">
        <w:rPr>
          <w:szCs w:val="24"/>
        </w:rPr>
        <w:t>de l’Annexe III</w:t>
      </w:r>
      <w:r w:rsidRPr="00316277">
        <w:rPr>
          <w:rFonts w:ascii="Cambria Math" w:hAnsi="Cambria Math"/>
          <w:szCs w:val="24"/>
        </w:rPr>
        <w:t>‑</w:t>
      </w:r>
      <w:r w:rsidRPr="00316277">
        <w:rPr>
          <w:szCs w:val="24"/>
        </w:rPr>
        <w:t xml:space="preserve">1 </w:t>
      </w:r>
      <w:r w:rsidRPr="009C1C6D">
        <w:rPr>
          <w:szCs w:val="24"/>
        </w:rPr>
        <w:t>et des tableaux A et B de l’Annexe VI</w:t>
      </w:r>
      <w:r w:rsidRPr="009C1C6D">
        <w:rPr>
          <w:szCs w:val="24"/>
        </w:rPr>
        <w:noBreakHyphen/>
        <w:t xml:space="preserve">1 de la convention collective </w:t>
      </w:r>
      <w:r w:rsidRPr="00316277">
        <w:rPr>
          <w:szCs w:val="24"/>
        </w:rPr>
        <w:t>2023</w:t>
      </w:r>
      <w:r w:rsidRPr="00316277">
        <w:rPr>
          <w:szCs w:val="24"/>
        </w:rPr>
        <w:noBreakHyphen/>
        <w:t>2028</w:t>
      </w:r>
      <w:r w:rsidRPr="009C1C6D">
        <w:rPr>
          <w:szCs w:val="24"/>
        </w:rPr>
        <w:t>.</w:t>
      </w:r>
    </w:p>
    <w:p w14:paraId="66CC2246" w14:textId="77777777" w:rsidR="005D2237" w:rsidRPr="009C1C6D" w:rsidRDefault="005D2237" w:rsidP="005D2237">
      <w:pPr>
        <w:keepNext w:val="0"/>
        <w:ind w:left="1134"/>
        <w:rPr>
          <w:szCs w:val="24"/>
        </w:rPr>
      </w:pPr>
    </w:p>
    <w:p w14:paraId="404BC7E6" w14:textId="77777777" w:rsidR="005D2237" w:rsidRPr="00684481" w:rsidRDefault="005D2237" w:rsidP="005D2237">
      <w:pPr>
        <w:pStyle w:val="Texte1cm60000000000000000"/>
        <w:keepNext w:val="0"/>
        <w:ind w:left="1134"/>
      </w:pPr>
      <w:r w:rsidRPr="00684481">
        <w:t>et</w:t>
      </w:r>
    </w:p>
    <w:p w14:paraId="481B007D" w14:textId="77777777" w:rsidR="008D799C" w:rsidRPr="00677FA6" w:rsidRDefault="008D799C" w:rsidP="007F120F">
      <w:pPr>
        <w:keepNext w:val="0"/>
        <w:ind w:left="1134"/>
        <w:rPr>
          <w:sz w:val="16"/>
          <w:szCs w:val="16"/>
        </w:rPr>
      </w:pPr>
    </w:p>
    <w:p w14:paraId="580A7C4C" w14:textId="20A74612" w:rsidR="00945715" w:rsidRDefault="005D2237" w:rsidP="005D2237">
      <w:pPr>
        <w:keepNext w:val="0"/>
        <w:tabs>
          <w:tab w:val="left" w:pos="1134"/>
        </w:tabs>
        <w:ind w:left="1134" w:hanging="567"/>
        <w:rPr>
          <w:szCs w:val="24"/>
        </w:rPr>
      </w:pPr>
      <w:r w:rsidRPr="009C1C6D">
        <w:rPr>
          <w:rFonts w:ascii="Symbol" w:hAnsi="Symbol"/>
          <w:szCs w:val="24"/>
        </w:rPr>
        <w:t></w:t>
      </w:r>
      <w:r w:rsidRPr="009C1C6D">
        <w:rPr>
          <w:rFonts w:ascii="Symbol" w:hAnsi="Symbol"/>
          <w:szCs w:val="24"/>
        </w:rPr>
        <w:tab/>
      </w:r>
      <w:r w:rsidRPr="009C1C6D">
        <w:rPr>
          <w:szCs w:val="24"/>
        </w:rPr>
        <w:t xml:space="preserve">le traitement qu’elle ou il a reçu, pour la période comprise entre le </w:t>
      </w:r>
      <w:r w:rsidRPr="00316277">
        <w:rPr>
          <w:szCs w:val="24"/>
        </w:rPr>
        <w:t>1</w:t>
      </w:r>
      <w:r w:rsidRPr="00316277">
        <w:rPr>
          <w:szCs w:val="24"/>
          <w:vertAlign w:val="superscript"/>
        </w:rPr>
        <w:t>er</w:t>
      </w:r>
      <w:r w:rsidRPr="00316277">
        <w:rPr>
          <w:szCs w:val="24"/>
        </w:rPr>
        <w:t> avril 2023</w:t>
      </w:r>
      <w:r w:rsidRPr="009C1C6D">
        <w:rPr>
          <w:szCs w:val="24"/>
        </w:rPr>
        <w:t xml:space="preserve"> et la date d’entrée en vigueur de la convention collective </w:t>
      </w:r>
      <w:r w:rsidRPr="00316277">
        <w:rPr>
          <w:szCs w:val="24"/>
        </w:rPr>
        <w:t>2023</w:t>
      </w:r>
      <w:r w:rsidRPr="00316277">
        <w:rPr>
          <w:szCs w:val="24"/>
        </w:rPr>
        <w:noBreakHyphen/>
        <w:t>2028</w:t>
      </w:r>
      <w:r w:rsidRPr="009C1C6D">
        <w:rPr>
          <w:szCs w:val="24"/>
        </w:rPr>
        <w:t>, selon les échelles de traitement et taux horaires en vigueur de la convention collective </w:t>
      </w:r>
      <w:r w:rsidRPr="00316277">
        <w:rPr>
          <w:szCs w:val="24"/>
        </w:rPr>
        <w:t>2020</w:t>
      </w:r>
      <w:r w:rsidRPr="00316277">
        <w:rPr>
          <w:szCs w:val="24"/>
        </w:rPr>
        <w:noBreakHyphen/>
        <w:t>2023</w:t>
      </w:r>
      <w:r w:rsidRPr="009C1C6D">
        <w:rPr>
          <w:szCs w:val="24"/>
        </w:rPr>
        <w:t>.</w:t>
      </w:r>
    </w:p>
    <w:p w14:paraId="2F2ABA68" w14:textId="153E05D2" w:rsidR="00C02F7F" w:rsidRDefault="00C02F7F">
      <w:pPr>
        <w:keepNext w:val="0"/>
        <w:suppressAutoHyphens w:val="0"/>
        <w:jc w:val="left"/>
        <w:rPr>
          <w:szCs w:val="24"/>
        </w:rPr>
      </w:pPr>
      <w:r>
        <w:rPr>
          <w:szCs w:val="24"/>
        </w:rPr>
        <w:br w:type="page"/>
      </w:r>
    </w:p>
    <w:p w14:paraId="0E55B04B" w14:textId="4EFCE50E" w:rsidR="005D2237" w:rsidRPr="009C1C6D" w:rsidRDefault="005D2237" w:rsidP="005D2237">
      <w:pPr>
        <w:pStyle w:val="NUMRODECLAUSE"/>
        <w:rPr>
          <w:szCs w:val="24"/>
        </w:rPr>
      </w:pPr>
      <w:r w:rsidRPr="00316277">
        <w:rPr>
          <w:szCs w:val="24"/>
        </w:rPr>
        <w:t>2.02</w:t>
      </w:r>
    </w:p>
    <w:p w14:paraId="0858F8ED" w14:textId="3A76206D" w:rsidR="005D2237" w:rsidRPr="009C1C6D" w:rsidRDefault="005D2237" w:rsidP="005D2237">
      <w:pPr>
        <w:keepNext w:val="0"/>
        <w:rPr>
          <w:szCs w:val="24"/>
        </w:rPr>
      </w:pPr>
      <w:r w:rsidRPr="009C1C6D">
        <w:rPr>
          <w:szCs w:val="24"/>
        </w:rPr>
        <w:t>L’enseignante ou l’enseignant qui a été à l’emploi du Collège au cours de la période du </w:t>
      </w:r>
      <w:r w:rsidRPr="00316277">
        <w:rPr>
          <w:szCs w:val="24"/>
        </w:rPr>
        <w:t>1</w:t>
      </w:r>
      <w:r w:rsidRPr="00316277">
        <w:rPr>
          <w:szCs w:val="24"/>
          <w:vertAlign w:val="superscript"/>
        </w:rPr>
        <w:t>er</w:t>
      </w:r>
      <w:r w:rsidRPr="00316277">
        <w:rPr>
          <w:szCs w:val="24"/>
        </w:rPr>
        <w:t> avril 2023</w:t>
      </w:r>
      <w:r w:rsidRPr="009C1C6D">
        <w:rPr>
          <w:szCs w:val="24"/>
        </w:rPr>
        <w:t xml:space="preserve"> au jour précédant la date de signature de la convention collective </w:t>
      </w:r>
      <w:r w:rsidRPr="00316277">
        <w:rPr>
          <w:szCs w:val="24"/>
        </w:rPr>
        <w:t>2023</w:t>
      </w:r>
      <w:r w:rsidRPr="00316277">
        <w:rPr>
          <w:szCs w:val="24"/>
        </w:rPr>
        <w:noBreakHyphen/>
        <w:t>2028</w:t>
      </w:r>
      <w:r w:rsidRPr="009C1C6D">
        <w:rPr>
          <w:szCs w:val="24"/>
        </w:rPr>
        <w:t xml:space="preserve"> et qui était visé à l’Annexe VI</w:t>
      </w:r>
      <w:r w:rsidRPr="009C1C6D">
        <w:rPr>
          <w:szCs w:val="24"/>
        </w:rPr>
        <w:noBreakHyphen/>
        <w:t>2 (Disparités régionales) a droit à la différence entre les sommes auxquelles elle ou il aurait eu droit selon cette annexe et celles qu’elle ou il a effectivement reçues au même titre.</w:t>
      </w:r>
    </w:p>
    <w:p w14:paraId="5852611B" w14:textId="77777777" w:rsidR="005D2237" w:rsidRPr="009C1C6D" w:rsidRDefault="005D2237" w:rsidP="005D2237">
      <w:pPr>
        <w:keepNext w:val="0"/>
        <w:rPr>
          <w:szCs w:val="24"/>
        </w:rPr>
      </w:pPr>
    </w:p>
    <w:p w14:paraId="6B642DCF" w14:textId="60C6DB93" w:rsidR="005D2237" w:rsidRPr="00BA4C12" w:rsidRDefault="005D2237" w:rsidP="005D2237">
      <w:pPr>
        <w:keepNext w:val="0"/>
        <w:rPr>
          <w:b/>
          <w:strike/>
          <w:szCs w:val="24"/>
        </w:rPr>
      </w:pPr>
      <w:r w:rsidRPr="00316277">
        <w:rPr>
          <w:b/>
          <w:bCs/>
          <w:szCs w:val="24"/>
        </w:rPr>
        <w:t>2.03</w:t>
      </w:r>
    </w:p>
    <w:p w14:paraId="7D3E58B4" w14:textId="56321E19" w:rsidR="005D2237" w:rsidRPr="009C1C6D" w:rsidRDefault="005D2237" w:rsidP="005D2237">
      <w:pPr>
        <w:tabs>
          <w:tab w:val="left" w:pos="1134"/>
        </w:tabs>
        <w:rPr>
          <w:szCs w:val="24"/>
        </w:rPr>
      </w:pPr>
      <w:r w:rsidRPr="009C1C6D">
        <w:rPr>
          <w:szCs w:val="24"/>
        </w:rPr>
        <w:t xml:space="preserve">L’enseignante ou l’enseignant qui a été à l’emploi du Collège au cours de la période du </w:t>
      </w:r>
      <w:r w:rsidRPr="00316277">
        <w:rPr>
          <w:szCs w:val="24"/>
        </w:rPr>
        <w:t>1</w:t>
      </w:r>
      <w:r w:rsidRPr="00316277">
        <w:rPr>
          <w:szCs w:val="24"/>
          <w:vertAlign w:val="superscript"/>
        </w:rPr>
        <w:t>er</w:t>
      </w:r>
      <w:r w:rsidRPr="00316277">
        <w:rPr>
          <w:szCs w:val="24"/>
        </w:rPr>
        <w:t> avril 2023</w:t>
      </w:r>
      <w:r w:rsidRPr="009C1C6D">
        <w:rPr>
          <w:szCs w:val="24"/>
        </w:rPr>
        <w:t xml:space="preserve"> au jour précédant la date de signature de la convention collective </w:t>
      </w:r>
      <w:r w:rsidRPr="00316277">
        <w:rPr>
          <w:szCs w:val="24"/>
        </w:rPr>
        <w:t>2023</w:t>
      </w:r>
      <w:r w:rsidRPr="00316277">
        <w:rPr>
          <w:szCs w:val="24"/>
        </w:rPr>
        <w:noBreakHyphen/>
        <w:t>2028</w:t>
      </w:r>
      <w:r w:rsidRPr="009C1C6D">
        <w:rPr>
          <w:szCs w:val="24"/>
        </w:rPr>
        <w:t xml:space="preserve"> et qui était visé à l’Annexe III</w:t>
      </w:r>
      <w:r w:rsidRPr="009C1C6D">
        <w:rPr>
          <w:szCs w:val="24"/>
        </w:rPr>
        <w:noBreakHyphen/>
        <w:t>7 (licence de technicien d’entretien d’aéronefs (TEA) émise par Transports Canada) a droit à la différence entre les sommes auxquelles elle ou il aurait eu droit selon cette annexe et celles qu’elle ou il a effectivement reçues au même titre.</w:t>
      </w:r>
    </w:p>
    <w:p w14:paraId="5BDDF0FE" w14:textId="77777777" w:rsidR="005D2237" w:rsidRPr="009C1C6D" w:rsidRDefault="005D2237" w:rsidP="005D2237">
      <w:pPr>
        <w:pStyle w:val="NUMRODECLAUSE"/>
        <w:ind w:left="0" w:firstLine="0"/>
        <w:rPr>
          <w:strike/>
          <w:szCs w:val="24"/>
        </w:rPr>
      </w:pPr>
    </w:p>
    <w:p w14:paraId="6C7326FF" w14:textId="5BB989A2" w:rsidR="005D2237" w:rsidRPr="009C1C6D" w:rsidRDefault="005D2237" w:rsidP="005D2237">
      <w:pPr>
        <w:pStyle w:val="NUMRODECLAUSE"/>
        <w:rPr>
          <w:szCs w:val="24"/>
        </w:rPr>
      </w:pPr>
      <w:r w:rsidRPr="00316277">
        <w:rPr>
          <w:szCs w:val="24"/>
        </w:rPr>
        <w:t>2.04</w:t>
      </w:r>
    </w:p>
    <w:p w14:paraId="18AC05F7" w14:textId="601226CD" w:rsidR="005D2237" w:rsidRPr="009C1C6D" w:rsidRDefault="005D2237" w:rsidP="005D2237">
      <w:pPr>
        <w:keepNext w:val="0"/>
        <w:rPr>
          <w:szCs w:val="24"/>
        </w:rPr>
      </w:pPr>
      <w:r w:rsidRPr="009C1C6D">
        <w:rPr>
          <w:szCs w:val="24"/>
        </w:rPr>
        <w:t>L’enseignante ou l’enseignant qui a exercé des activités prévues à la clause 6</w:t>
      </w:r>
      <w:r w:rsidRPr="009C1C6D">
        <w:rPr>
          <w:szCs w:val="24"/>
        </w:rPr>
        <w:noBreakHyphen/>
        <w:t xml:space="preserve">1.04, au cours de la période du </w:t>
      </w:r>
      <w:r w:rsidRPr="00316277">
        <w:rPr>
          <w:szCs w:val="24"/>
        </w:rPr>
        <w:t>1</w:t>
      </w:r>
      <w:r w:rsidRPr="00316277">
        <w:rPr>
          <w:szCs w:val="24"/>
          <w:vertAlign w:val="superscript"/>
        </w:rPr>
        <w:t>er</w:t>
      </w:r>
      <w:r w:rsidRPr="00316277">
        <w:rPr>
          <w:szCs w:val="24"/>
        </w:rPr>
        <w:t xml:space="preserve"> avril 2023</w:t>
      </w:r>
      <w:r w:rsidRPr="009C1C6D">
        <w:rPr>
          <w:szCs w:val="24"/>
        </w:rPr>
        <w:t xml:space="preserve"> au jour précédant la date de la signature de la convention collective, a droit à la rétroactivité égale à la différence entre :</w:t>
      </w:r>
    </w:p>
    <w:p w14:paraId="1A6D9BFD" w14:textId="77777777" w:rsidR="005D2237" w:rsidRPr="009C1C6D" w:rsidRDefault="005D2237" w:rsidP="005D2237">
      <w:pPr>
        <w:keepNext w:val="0"/>
        <w:rPr>
          <w:szCs w:val="24"/>
        </w:rPr>
      </w:pPr>
    </w:p>
    <w:p w14:paraId="7A0608C8" w14:textId="4C2E2F23" w:rsidR="005D2237" w:rsidRPr="009C1C6D" w:rsidRDefault="005D2237" w:rsidP="005D2237">
      <w:pPr>
        <w:keepNext w:val="0"/>
        <w:tabs>
          <w:tab w:val="left" w:pos="1134"/>
        </w:tabs>
        <w:ind w:left="1134" w:hanging="567"/>
        <w:rPr>
          <w:szCs w:val="24"/>
        </w:rPr>
      </w:pPr>
      <w:r w:rsidRPr="009C1C6D">
        <w:rPr>
          <w:rFonts w:ascii="Symbol" w:hAnsi="Symbol"/>
          <w:szCs w:val="24"/>
        </w:rPr>
        <w:t></w:t>
      </w:r>
      <w:r w:rsidRPr="009C1C6D">
        <w:rPr>
          <w:rFonts w:ascii="Symbol" w:hAnsi="Symbol"/>
          <w:szCs w:val="24"/>
        </w:rPr>
        <w:tab/>
      </w:r>
      <w:r w:rsidRPr="009C1C6D">
        <w:rPr>
          <w:szCs w:val="24"/>
        </w:rPr>
        <w:t xml:space="preserve">le traitement auquel elle ou il aurait eu droit, pour la période comprise entre le </w:t>
      </w:r>
      <w:r w:rsidRPr="00316277">
        <w:rPr>
          <w:szCs w:val="24"/>
        </w:rPr>
        <w:t>1</w:t>
      </w:r>
      <w:r w:rsidRPr="00316277">
        <w:rPr>
          <w:szCs w:val="24"/>
          <w:vertAlign w:val="superscript"/>
        </w:rPr>
        <w:t>er</w:t>
      </w:r>
      <w:r w:rsidRPr="00316277">
        <w:rPr>
          <w:szCs w:val="24"/>
        </w:rPr>
        <w:t xml:space="preserve"> avril 2023</w:t>
      </w:r>
      <w:r w:rsidRPr="009C1C6D">
        <w:rPr>
          <w:szCs w:val="24"/>
        </w:rPr>
        <w:t xml:space="preserve"> et la date de la signature de la convention collective </w:t>
      </w:r>
      <w:r w:rsidRPr="00316277">
        <w:rPr>
          <w:szCs w:val="24"/>
        </w:rPr>
        <w:t>2023</w:t>
      </w:r>
      <w:r w:rsidRPr="00316277">
        <w:rPr>
          <w:szCs w:val="24"/>
        </w:rPr>
        <w:noBreakHyphen/>
        <w:t>2028</w:t>
      </w:r>
      <w:r w:rsidRPr="009C1C6D">
        <w:rPr>
          <w:szCs w:val="24"/>
        </w:rPr>
        <w:t>, selon le taux horaire en vigueur du tableau C de l’Annexe VI</w:t>
      </w:r>
      <w:r w:rsidRPr="009C1C6D">
        <w:rPr>
          <w:szCs w:val="24"/>
        </w:rPr>
        <w:noBreakHyphen/>
        <w:t xml:space="preserve">1 de la convention collective </w:t>
      </w:r>
      <w:r w:rsidRPr="00316277">
        <w:rPr>
          <w:szCs w:val="24"/>
        </w:rPr>
        <w:t>2023</w:t>
      </w:r>
      <w:r w:rsidRPr="00316277">
        <w:rPr>
          <w:szCs w:val="24"/>
        </w:rPr>
        <w:noBreakHyphen/>
        <w:t>2028</w:t>
      </w:r>
      <w:r w:rsidRPr="009C1C6D">
        <w:rPr>
          <w:szCs w:val="24"/>
        </w:rPr>
        <w:t>.</w:t>
      </w:r>
    </w:p>
    <w:p w14:paraId="548BD29F" w14:textId="77777777" w:rsidR="005D2237" w:rsidRPr="009C1C6D" w:rsidRDefault="005D2237" w:rsidP="005D2237">
      <w:pPr>
        <w:keepNext w:val="0"/>
        <w:ind w:left="1134"/>
        <w:rPr>
          <w:szCs w:val="24"/>
        </w:rPr>
      </w:pPr>
    </w:p>
    <w:p w14:paraId="131C023E" w14:textId="77777777" w:rsidR="005D2237" w:rsidRPr="009C1C6D" w:rsidRDefault="005D2237" w:rsidP="005D2237">
      <w:pPr>
        <w:pStyle w:val="Texte1cm60000000000000000"/>
        <w:keepNext w:val="0"/>
        <w:ind w:left="1134"/>
        <w:rPr>
          <w:szCs w:val="24"/>
        </w:rPr>
      </w:pPr>
      <w:r w:rsidRPr="009C1C6D">
        <w:rPr>
          <w:szCs w:val="24"/>
        </w:rPr>
        <w:t>et</w:t>
      </w:r>
    </w:p>
    <w:p w14:paraId="348ECE41" w14:textId="77777777" w:rsidR="005D2237" w:rsidRPr="009C1C6D" w:rsidRDefault="005D2237" w:rsidP="005D2237">
      <w:pPr>
        <w:keepNext w:val="0"/>
        <w:ind w:left="1134"/>
        <w:rPr>
          <w:szCs w:val="24"/>
        </w:rPr>
      </w:pPr>
    </w:p>
    <w:p w14:paraId="658B6343" w14:textId="19438362" w:rsidR="005D2237" w:rsidRPr="009C1C6D" w:rsidRDefault="005D2237" w:rsidP="005D2237">
      <w:pPr>
        <w:keepNext w:val="0"/>
        <w:tabs>
          <w:tab w:val="left" w:pos="1134"/>
        </w:tabs>
        <w:ind w:left="1134" w:hanging="567"/>
        <w:rPr>
          <w:szCs w:val="24"/>
        </w:rPr>
      </w:pPr>
      <w:r w:rsidRPr="009C1C6D">
        <w:rPr>
          <w:rFonts w:ascii="Symbol" w:hAnsi="Symbol"/>
          <w:szCs w:val="24"/>
        </w:rPr>
        <w:t></w:t>
      </w:r>
      <w:r w:rsidRPr="009C1C6D">
        <w:rPr>
          <w:rFonts w:ascii="Symbol" w:hAnsi="Symbol"/>
          <w:szCs w:val="24"/>
        </w:rPr>
        <w:tab/>
      </w:r>
      <w:r w:rsidRPr="009C1C6D">
        <w:rPr>
          <w:szCs w:val="24"/>
        </w:rPr>
        <w:t xml:space="preserve">le traitement qu’elle ou il a reçu, pour la période comprise entre le </w:t>
      </w:r>
      <w:r w:rsidRPr="00316277">
        <w:rPr>
          <w:szCs w:val="24"/>
        </w:rPr>
        <w:t>1</w:t>
      </w:r>
      <w:r w:rsidRPr="00316277">
        <w:rPr>
          <w:szCs w:val="24"/>
          <w:vertAlign w:val="superscript"/>
        </w:rPr>
        <w:t>er</w:t>
      </w:r>
      <w:r w:rsidRPr="00316277">
        <w:rPr>
          <w:szCs w:val="24"/>
        </w:rPr>
        <w:t xml:space="preserve"> avril 2023</w:t>
      </w:r>
      <w:r w:rsidRPr="009C1C6D">
        <w:rPr>
          <w:szCs w:val="24"/>
        </w:rPr>
        <w:t xml:space="preserve"> et la date de la signature de la convention collective </w:t>
      </w:r>
      <w:r w:rsidRPr="00316277">
        <w:rPr>
          <w:szCs w:val="24"/>
        </w:rPr>
        <w:t>2023</w:t>
      </w:r>
      <w:r w:rsidRPr="00316277">
        <w:rPr>
          <w:szCs w:val="24"/>
        </w:rPr>
        <w:noBreakHyphen/>
        <w:t>2028</w:t>
      </w:r>
      <w:r w:rsidRPr="009C1C6D">
        <w:rPr>
          <w:szCs w:val="24"/>
        </w:rPr>
        <w:t>.</w:t>
      </w:r>
    </w:p>
    <w:p w14:paraId="2F6BDE67" w14:textId="77777777" w:rsidR="005D2237" w:rsidRPr="009C1C6D" w:rsidRDefault="005D2237" w:rsidP="005D2237">
      <w:pPr>
        <w:keepNext w:val="0"/>
        <w:rPr>
          <w:szCs w:val="24"/>
        </w:rPr>
      </w:pPr>
    </w:p>
    <w:p w14:paraId="583FDFD2" w14:textId="4E1402C5" w:rsidR="005D2237" w:rsidRPr="009C1C6D" w:rsidRDefault="005D2237" w:rsidP="005D2237">
      <w:pPr>
        <w:pStyle w:val="NUMRODECLAUSE"/>
        <w:rPr>
          <w:szCs w:val="24"/>
        </w:rPr>
      </w:pPr>
      <w:r w:rsidRPr="00316277">
        <w:rPr>
          <w:szCs w:val="24"/>
        </w:rPr>
        <w:t>2.05</w:t>
      </w:r>
    </w:p>
    <w:p w14:paraId="257A634B" w14:textId="6AEB4D10" w:rsidR="005D2237" w:rsidRPr="009C1C6D" w:rsidRDefault="005D2237" w:rsidP="005D2237">
      <w:pPr>
        <w:keepNext w:val="0"/>
        <w:rPr>
          <w:szCs w:val="24"/>
        </w:rPr>
      </w:pPr>
      <w:r w:rsidRPr="009C1C6D">
        <w:rPr>
          <w:szCs w:val="24"/>
        </w:rPr>
        <w:t>Toutefois, les sommes découlant de l’application des points </w:t>
      </w:r>
      <w:r w:rsidRPr="00316277">
        <w:rPr>
          <w:szCs w:val="24"/>
        </w:rPr>
        <w:t>2.01, 2.02, 2.03 et 2.04</w:t>
      </w:r>
      <w:r w:rsidRPr="009C1C6D">
        <w:rPr>
          <w:szCs w:val="24"/>
        </w:rPr>
        <w:t xml:space="preserve"> de la présente annexe ne sont exigibles que si l’enseignante ou l’enseignant en fait la demande par écrit au Collège dans les cent vingt (120) jours qui suivent l’expédition, par le Collège au Syndicat, d’une liste des noms et dernières adresses connues des enseignantes et des enseignants visés par la présente clause.</w:t>
      </w:r>
    </w:p>
    <w:p w14:paraId="633FEC37" w14:textId="77777777" w:rsidR="005D2237" w:rsidRPr="009C1C6D" w:rsidRDefault="005D2237" w:rsidP="005D2237">
      <w:pPr>
        <w:keepNext w:val="0"/>
        <w:rPr>
          <w:szCs w:val="24"/>
        </w:rPr>
      </w:pPr>
    </w:p>
    <w:p w14:paraId="2655EE1F" w14:textId="7C6694BE" w:rsidR="005D2237" w:rsidRDefault="005D2237" w:rsidP="005D2237">
      <w:pPr>
        <w:keepNext w:val="0"/>
        <w:rPr>
          <w:szCs w:val="24"/>
        </w:rPr>
      </w:pPr>
      <w:r w:rsidRPr="009C1C6D">
        <w:rPr>
          <w:szCs w:val="24"/>
        </w:rPr>
        <w:t>Cette liste est expédiée dans les cent vingt (120) jours qui suivent la signature de la convention collective.</w:t>
      </w:r>
    </w:p>
    <w:p w14:paraId="4AA3EB6E" w14:textId="1E181773" w:rsidR="00EC10CD" w:rsidRDefault="00EC10CD">
      <w:pPr>
        <w:keepNext w:val="0"/>
        <w:suppressAutoHyphens w:val="0"/>
        <w:jc w:val="left"/>
        <w:rPr>
          <w:rFonts w:cs="Arial"/>
          <w:szCs w:val="24"/>
        </w:rPr>
      </w:pPr>
    </w:p>
    <w:p w14:paraId="34660710" w14:textId="77777777" w:rsidR="00C02F7F" w:rsidRDefault="00F02459" w:rsidP="00F02459">
      <w:pPr>
        <w:keepNext w:val="0"/>
        <w:rPr>
          <w:rFonts w:ascii="Arial Gras" w:hAnsi="Arial Gras"/>
        </w:rPr>
      </w:pPr>
      <w:r w:rsidRPr="00B2088B">
        <w:rPr>
          <w:rFonts w:ascii="Arial Gras" w:hAnsi="Arial Gras"/>
        </w:rPr>
        <w:t>2.06</w:t>
      </w:r>
    </w:p>
    <w:p w14:paraId="335F22F6" w14:textId="3ABE5F97" w:rsidR="00945715" w:rsidRDefault="00F02459" w:rsidP="00F02459">
      <w:pPr>
        <w:keepNext w:val="0"/>
        <w:rPr>
          <w:szCs w:val="24"/>
        </w:rPr>
        <w:sectPr w:rsidR="00945715" w:rsidSect="002B176A">
          <w:headerReference w:type="default" r:id="rId52"/>
          <w:footnotePr>
            <w:numRestart w:val="eachPage"/>
          </w:footnotePr>
          <w:pgSz w:w="12240" w:h="15840" w:code="1"/>
          <w:pgMar w:top="720" w:right="1077" w:bottom="1242" w:left="1684" w:header="709" w:footer="709" w:gutter="0"/>
          <w:cols w:space="708"/>
          <w:docGrid w:linePitch="360"/>
        </w:sectPr>
      </w:pPr>
      <w:r w:rsidRPr="0073528F">
        <w:rPr>
          <w:szCs w:val="24"/>
        </w:rPr>
        <w:t xml:space="preserve">Les sommes découlant de l’application du point </w:t>
      </w:r>
      <w:r w:rsidRPr="00316277">
        <w:rPr>
          <w:szCs w:val="24"/>
        </w:rPr>
        <w:t>2.05</w:t>
      </w:r>
      <w:r>
        <w:rPr>
          <w:szCs w:val="24"/>
        </w:rPr>
        <w:t xml:space="preserve"> </w:t>
      </w:r>
      <w:r w:rsidRPr="0073528F">
        <w:rPr>
          <w:szCs w:val="24"/>
        </w:rPr>
        <w:t xml:space="preserve">sont versées dans les </w:t>
      </w:r>
      <w:r w:rsidR="009C1696">
        <w:rPr>
          <w:szCs w:val="24"/>
        </w:rPr>
        <w:t>cent vingt</w:t>
      </w:r>
      <w:r w:rsidR="00EB4D3F">
        <w:rPr>
          <w:szCs w:val="24"/>
        </w:rPr>
        <w:t> (</w:t>
      </w:r>
      <w:r w:rsidR="009C1696">
        <w:rPr>
          <w:szCs w:val="24"/>
        </w:rPr>
        <w:t>12</w:t>
      </w:r>
      <w:r w:rsidR="00EB4D3F">
        <w:rPr>
          <w:szCs w:val="24"/>
        </w:rPr>
        <w:t xml:space="preserve">0) </w:t>
      </w:r>
      <w:r w:rsidRPr="0073528F">
        <w:rPr>
          <w:szCs w:val="24"/>
        </w:rPr>
        <w:t>jours qui suivent la demande prévue au même point</w:t>
      </w:r>
      <w:r>
        <w:rPr>
          <w:szCs w:val="24"/>
        </w:rPr>
        <w:t>.</w:t>
      </w:r>
    </w:p>
    <w:p w14:paraId="46E92DA5" w14:textId="56A522AE" w:rsidR="00CD5BD8" w:rsidRPr="0033506A" w:rsidRDefault="00CD5BD8" w:rsidP="007F120F">
      <w:pPr>
        <w:pStyle w:val="Heading3"/>
        <w:keepNext w:val="0"/>
      </w:pPr>
      <w:bookmarkStart w:id="1589" w:name="_Toc168479628"/>
      <w:bookmarkStart w:id="1590" w:name="_Toc462751643"/>
      <w:bookmarkStart w:id="1591" w:name="_Toc484082662"/>
      <w:r w:rsidRPr="0033506A">
        <w:t>Annexe VI</w:t>
      </w:r>
      <w:r w:rsidR="0017646C">
        <w:t>-</w:t>
      </w:r>
      <w:r w:rsidRPr="0033506A">
        <w:t>4</w:t>
      </w:r>
      <w:r w:rsidRPr="0033506A">
        <w:br/>
      </w:r>
      <w:r w:rsidRPr="0033506A">
        <w:br/>
      </w:r>
      <w:r w:rsidR="0039090D" w:rsidRPr="0033506A">
        <w:t>Majoration des taux et des échelles de traitement</w:t>
      </w:r>
      <w:bookmarkEnd w:id="1589"/>
    </w:p>
    <w:p w14:paraId="7A88F9F7" w14:textId="77777777" w:rsidR="00CD5BD8" w:rsidRPr="008A02C4" w:rsidRDefault="00CD5BD8" w:rsidP="007F120F">
      <w:pPr>
        <w:pStyle w:val="ListParagraph"/>
        <w:tabs>
          <w:tab w:val="left" w:pos="426"/>
        </w:tabs>
        <w:suppressAutoHyphens/>
        <w:spacing w:before="240"/>
        <w:ind w:left="426"/>
        <w:rPr>
          <w:rFonts w:cs="Arial"/>
          <w:szCs w:val="24"/>
        </w:rPr>
      </w:pPr>
      <w:r w:rsidRPr="008A02C4">
        <w:rPr>
          <w:rFonts w:cs="Arial"/>
          <w:szCs w:val="24"/>
        </w:rPr>
        <w:t>1. Technique d’indexation</w:t>
      </w:r>
    </w:p>
    <w:p w14:paraId="73EA6F90" w14:textId="3ECF13B2" w:rsidR="00CD5BD8" w:rsidRPr="008A02C4" w:rsidRDefault="00CD5BD8" w:rsidP="007F120F">
      <w:pPr>
        <w:keepNext w:val="0"/>
        <w:spacing w:before="240"/>
        <w:ind w:left="709"/>
        <w:rPr>
          <w:rFonts w:cs="Arial"/>
          <w:szCs w:val="24"/>
        </w:rPr>
      </w:pPr>
      <w:r w:rsidRPr="008A02C4">
        <w:rPr>
          <w:rFonts w:cs="Arial"/>
          <w:szCs w:val="24"/>
        </w:rPr>
        <w:t xml:space="preserve">Les taux des échelles de traitement sont exprimés sur une base horaire, à l’exception de ceux applicables </w:t>
      </w:r>
      <w:r w:rsidR="00E82935" w:rsidRPr="00316277">
        <w:rPr>
          <w:rFonts w:cs="Arial"/>
          <w:szCs w:val="24"/>
        </w:rPr>
        <w:t>à l’</w:t>
      </w:r>
      <w:r w:rsidRPr="008A02C4">
        <w:rPr>
          <w:rFonts w:cs="Arial"/>
          <w:szCs w:val="24"/>
        </w:rPr>
        <w:t xml:space="preserve">enseignante </w:t>
      </w:r>
      <w:r w:rsidR="00E82935" w:rsidRPr="00316277">
        <w:rPr>
          <w:rFonts w:cs="Arial"/>
          <w:szCs w:val="24"/>
        </w:rPr>
        <w:t>ou l’</w:t>
      </w:r>
      <w:r w:rsidRPr="008A02C4">
        <w:rPr>
          <w:rFonts w:cs="Arial"/>
          <w:szCs w:val="24"/>
        </w:rPr>
        <w:t xml:space="preserve">enseignant à temps complet </w:t>
      </w:r>
      <w:r w:rsidR="00E82935" w:rsidRPr="00316277">
        <w:rPr>
          <w:rFonts w:cs="Arial"/>
          <w:szCs w:val="24"/>
        </w:rPr>
        <w:t>ou</w:t>
      </w:r>
      <w:r w:rsidR="00E82935">
        <w:rPr>
          <w:rFonts w:cs="Arial"/>
          <w:szCs w:val="24"/>
        </w:rPr>
        <w:t xml:space="preserve"> </w:t>
      </w:r>
      <w:r w:rsidRPr="008A02C4">
        <w:rPr>
          <w:rFonts w:cs="Arial"/>
          <w:szCs w:val="24"/>
        </w:rPr>
        <w:t xml:space="preserve">à temps partiel et </w:t>
      </w:r>
      <w:r w:rsidR="00E82935" w:rsidRPr="00316277">
        <w:rPr>
          <w:rFonts w:cs="Arial"/>
          <w:szCs w:val="24"/>
        </w:rPr>
        <w:t>à l’</w:t>
      </w:r>
      <w:r w:rsidRPr="008A02C4">
        <w:rPr>
          <w:rFonts w:cs="Arial"/>
          <w:szCs w:val="24"/>
        </w:rPr>
        <w:t xml:space="preserve">enseignante </w:t>
      </w:r>
      <w:r w:rsidR="00E82935" w:rsidRPr="00316277">
        <w:rPr>
          <w:rFonts w:cs="Arial"/>
          <w:szCs w:val="24"/>
        </w:rPr>
        <w:t>ou l’</w:t>
      </w:r>
      <w:r w:rsidRPr="008A02C4">
        <w:rPr>
          <w:rFonts w:cs="Arial"/>
          <w:szCs w:val="24"/>
        </w:rPr>
        <w:t>enseignant en aéronautique, lesquels sont exprimés sur une base annuelle.</w:t>
      </w:r>
    </w:p>
    <w:p w14:paraId="03C6EAD1" w14:textId="22F5F589" w:rsidR="00CD5BD8" w:rsidRPr="008A02C4" w:rsidRDefault="00CD5BD8" w:rsidP="007F120F">
      <w:pPr>
        <w:keepNext w:val="0"/>
        <w:spacing w:before="240"/>
        <w:ind w:left="709"/>
        <w:rPr>
          <w:rFonts w:cs="Arial"/>
          <w:szCs w:val="24"/>
        </w:rPr>
      </w:pPr>
      <w:r w:rsidRPr="008A02C4">
        <w:rPr>
          <w:rFonts w:cs="Arial"/>
          <w:szCs w:val="24"/>
        </w:rPr>
        <w:t>Lorsque doivent s’appliquer des paramètres généraux d’augmentation salariale ou d’autres formes de bonifications des taux ou échelles de traitement, ceux</w:t>
      </w:r>
      <w:r w:rsidR="00984A6F">
        <w:rPr>
          <w:rFonts w:cs="Arial"/>
          <w:szCs w:val="24"/>
        </w:rPr>
        <w:noBreakHyphen/>
      </w:r>
      <w:r w:rsidRPr="008A02C4">
        <w:rPr>
          <w:rFonts w:cs="Arial"/>
          <w:szCs w:val="24"/>
        </w:rPr>
        <w:t xml:space="preserve">ci s’appliquent sur le taux horaire et sont arrondis </w:t>
      </w:r>
      <w:r w:rsidR="00746317" w:rsidRPr="00316277">
        <w:rPr>
          <w:rFonts w:cs="Arial"/>
          <w:szCs w:val="24"/>
        </w:rPr>
        <w:t>au</w:t>
      </w:r>
      <w:r w:rsidR="00746317">
        <w:rPr>
          <w:rFonts w:cs="Arial"/>
          <w:szCs w:val="24"/>
        </w:rPr>
        <w:t xml:space="preserve"> </w:t>
      </w:r>
      <w:r w:rsidRPr="008A02C4">
        <w:rPr>
          <w:rFonts w:cs="Arial"/>
          <w:szCs w:val="24"/>
        </w:rPr>
        <w:t xml:space="preserve">cent, à l'exception de </w:t>
      </w:r>
      <w:r w:rsidR="00746317" w:rsidRPr="00316277">
        <w:rPr>
          <w:rFonts w:cs="Arial"/>
          <w:szCs w:val="24"/>
        </w:rPr>
        <w:t>ceux prévus pour l’</w:t>
      </w:r>
      <w:r w:rsidRPr="008A02C4">
        <w:rPr>
          <w:rFonts w:cs="Arial"/>
          <w:szCs w:val="24"/>
        </w:rPr>
        <w:t xml:space="preserve">enseignante </w:t>
      </w:r>
      <w:r w:rsidR="00746317" w:rsidRPr="00316277">
        <w:rPr>
          <w:rFonts w:cs="Arial"/>
          <w:szCs w:val="24"/>
        </w:rPr>
        <w:t>ou l’</w:t>
      </w:r>
      <w:r w:rsidRPr="008A02C4">
        <w:rPr>
          <w:rFonts w:cs="Arial"/>
          <w:szCs w:val="24"/>
        </w:rPr>
        <w:t xml:space="preserve">enseignant à temps complet </w:t>
      </w:r>
      <w:r w:rsidR="00746317" w:rsidRPr="00316277">
        <w:rPr>
          <w:rFonts w:cs="Arial"/>
          <w:szCs w:val="24"/>
        </w:rPr>
        <w:t>ou</w:t>
      </w:r>
      <w:r w:rsidR="00746317">
        <w:rPr>
          <w:rFonts w:cs="Arial"/>
          <w:szCs w:val="24"/>
        </w:rPr>
        <w:t xml:space="preserve"> </w:t>
      </w:r>
      <w:r w:rsidRPr="008A02C4">
        <w:rPr>
          <w:rFonts w:cs="Arial"/>
          <w:szCs w:val="24"/>
        </w:rPr>
        <w:t xml:space="preserve">à temps partiel et </w:t>
      </w:r>
      <w:r w:rsidR="00746317" w:rsidRPr="00316277">
        <w:rPr>
          <w:rFonts w:cs="Arial"/>
          <w:szCs w:val="24"/>
        </w:rPr>
        <w:t>à l’</w:t>
      </w:r>
      <w:r w:rsidRPr="008A02C4">
        <w:rPr>
          <w:rFonts w:cs="Arial"/>
          <w:szCs w:val="24"/>
        </w:rPr>
        <w:t xml:space="preserve">enseignante </w:t>
      </w:r>
      <w:r w:rsidR="00746317" w:rsidRPr="00316277">
        <w:rPr>
          <w:rFonts w:cs="Arial"/>
          <w:szCs w:val="24"/>
        </w:rPr>
        <w:t>ou l’</w:t>
      </w:r>
      <w:r w:rsidRPr="008A02C4">
        <w:rPr>
          <w:rFonts w:cs="Arial"/>
          <w:szCs w:val="24"/>
        </w:rPr>
        <w:t>enseignant en aéronautique, lesquels s'appliquent sur le taux annuel et sont arrondis au dollar.</w:t>
      </w:r>
    </w:p>
    <w:p w14:paraId="012AFF04" w14:textId="77777777" w:rsidR="00CD5BD8" w:rsidRPr="008A02C4" w:rsidRDefault="00CD5BD8" w:rsidP="007F120F">
      <w:pPr>
        <w:keepNext w:val="0"/>
        <w:spacing w:before="240"/>
        <w:ind w:left="709"/>
        <w:rPr>
          <w:rFonts w:cs="Arial"/>
          <w:szCs w:val="24"/>
        </w:rPr>
      </w:pPr>
      <w:r w:rsidRPr="008A02C4">
        <w:rPr>
          <w:rFonts w:cs="Arial"/>
          <w:szCs w:val="24"/>
        </w:rPr>
        <w:t>Aux fins de publication des conventions collectives, le nombre de semaines à considérer pour le calcul du taux annuel est de 52,18. Le taux annuel est arrondi au dollar.</w:t>
      </w:r>
    </w:p>
    <w:p w14:paraId="6985DA92" w14:textId="77777777" w:rsidR="00CD5BD8" w:rsidRPr="008A02C4" w:rsidRDefault="00CD5BD8" w:rsidP="007F120F">
      <w:pPr>
        <w:keepNext w:val="0"/>
        <w:spacing w:before="240"/>
        <w:ind w:left="709"/>
        <w:rPr>
          <w:rFonts w:cs="Arial"/>
          <w:szCs w:val="24"/>
        </w:rPr>
      </w:pPr>
      <w:r w:rsidRPr="008A02C4">
        <w:rPr>
          <w:rFonts w:cs="Arial"/>
          <w:szCs w:val="24"/>
        </w:rPr>
        <w:t>Les titres d’emplois visés aux paragraphes 2.1 et 2.2 de cette annexe sont majorés de la façon décrite à ces points.</w:t>
      </w:r>
    </w:p>
    <w:p w14:paraId="4F1F13FE" w14:textId="50D93C8B" w:rsidR="00CD5BD8" w:rsidRPr="008A02C4" w:rsidRDefault="00CD5BD8" w:rsidP="007F120F">
      <w:pPr>
        <w:keepNext w:val="0"/>
        <w:spacing w:before="240"/>
        <w:ind w:left="709"/>
        <w:rPr>
          <w:rFonts w:cs="Arial"/>
          <w:szCs w:val="24"/>
        </w:rPr>
      </w:pPr>
      <w:r w:rsidRPr="008A02C4">
        <w:rPr>
          <w:rFonts w:cs="Arial"/>
          <w:szCs w:val="24"/>
        </w:rPr>
        <w:t xml:space="preserve">Lorsque l’arrondi se fait </w:t>
      </w:r>
      <w:r w:rsidR="00746317" w:rsidRPr="00316277">
        <w:rPr>
          <w:rFonts w:cs="Arial"/>
          <w:szCs w:val="24"/>
        </w:rPr>
        <w:t>au</w:t>
      </w:r>
      <w:r w:rsidR="00746317">
        <w:rPr>
          <w:rFonts w:cs="Arial"/>
          <w:szCs w:val="24"/>
        </w:rPr>
        <w:t xml:space="preserve"> </w:t>
      </w:r>
      <w:r w:rsidRPr="008A02C4">
        <w:rPr>
          <w:rFonts w:cs="Arial"/>
          <w:szCs w:val="24"/>
        </w:rPr>
        <w:t>cent, il faut prévoir ce qui suit</w:t>
      </w:r>
      <w:r w:rsidR="00D8581B" w:rsidRPr="008A02C4">
        <w:rPr>
          <w:rFonts w:cs="Arial"/>
          <w:szCs w:val="24"/>
        </w:rPr>
        <w:t> :</w:t>
      </w:r>
      <w:r w:rsidRPr="008A02C4">
        <w:rPr>
          <w:rFonts w:cs="Arial"/>
          <w:szCs w:val="24"/>
        </w:rPr>
        <w:t xml:space="preserve"> </w:t>
      </w:r>
    </w:p>
    <w:p w14:paraId="764ECD5D" w14:textId="77777777" w:rsidR="00CD5BD8" w:rsidRPr="008A02C4" w:rsidRDefault="00CD5BD8" w:rsidP="007F120F">
      <w:pPr>
        <w:pStyle w:val="ListParagraph"/>
        <w:tabs>
          <w:tab w:val="left" w:pos="714"/>
        </w:tabs>
        <w:suppressAutoHyphens/>
        <w:spacing w:before="120"/>
        <w:ind w:left="1050" w:hanging="341"/>
        <w:rPr>
          <w:rFonts w:cs="Arial"/>
          <w:szCs w:val="24"/>
        </w:rPr>
      </w:pPr>
      <w:r w:rsidRPr="008A02C4">
        <w:rPr>
          <w:rFonts w:ascii="Symbol" w:hAnsi="Symbol"/>
        </w:rPr>
        <w:t></w:t>
      </w:r>
      <w:r w:rsidRPr="008A02C4">
        <w:rPr>
          <w:rFonts w:ascii="Symbol" w:hAnsi="Symbol"/>
        </w:rPr>
        <w:tab/>
      </w:r>
      <w:r w:rsidRPr="008A02C4">
        <w:rPr>
          <w:rFonts w:cs="Arial"/>
          <w:szCs w:val="24"/>
        </w:rPr>
        <w:t>Quand la virgule décimale est suivie de trois chiffres et plus, le troisième chiffre et les suivants sont retranchés si le troisième chiffre est inférieur à cinq. Si le troisième chiffre est égal ou supérieur à cinq, le deuxième est porté à l’unité supérieure et le troisième et les suivants sont retranchés.</w:t>
      </w:r>
    </w:p>
    <w:p w14:paraId="48295DAC" w14:textId="4E944CE7" w:rsidR="00CD5BD8" w:rsidRPr="008A02C4" w:rsidRDefault="00CD5BD8" w:rsidP="007F120F">
      <w:pPr>
        <w:keepNext w:val="0"/>
        <w:spacing w:before="240"/>
        <w:ind w:left="709"/>
        <w:rPr>
          <w:rFonts w:cs="Arial"/>
          <w:szCs w:val="24"/>
        </w:rPr>
      </w:pPr>
      <w:r w:rsidRPr="008A02C4">
        <w:rPr>
          <w:rFonts w:cs="Arial"/>
          <w:szCs w:val="24"/>
        </w:rPr>
        <w:t>Lorsque l’arrondi se fait au dollar, il faut prévoir ce qui suit</w:t>
      </w:r>
      <w:r w:rsidR="00D8581B" w:rsidRPr="008A02C4">
        <w:rPr>
          <w:rFonts w:cs="Arial"/>
          <w:szCs w:val="24"/>
        </w:rPr>
        <w:t> :</w:t>
      </w:r>
      <w:r w:rsidRPr="008A02C4">
        <w:rPr>
          <w:rFonts w:cs="Arial"/>
          <w:szCs w:val="24"/>
        </w:rPr>
        <w:t xml:space="preserve"> </w:t>
      </w:r>
    </w:p>
    <w:p w14:paraId="75FB771B" w14:textId="77777777" w:rsidR="00CD5BD8" w:rsidRPr="008A02C4" w:rsidRDefault="00CD5BD8" w:rsidP="007F120F">
      <w:pPr>
        <w:pStyle w:val="ListParagraph"/>
        <w:suppressAutoHyphens/>
        <w:spacing w:before="120"/>
        <w:ind w:left="1050" w:hanging="341"/>
        <w:rPr>
          <w:rFonts w:cs="Arial"/>
          <w:szCs w:val="24"/>
        </w:rPr>
      </w:pPr>
      <w:r w:rsidRPr="008A02C4">
        <w:rPr>
          <w:rFonts w:ascii="Symbol" w:hAnsi="Symbol"/>
        </w:rPr>
        <w:t></w:t>
      </w:r>
      <w:r w:rsidRPr="008A02C4">
        <w:rPr>
          <w:rFonts w:ascii="Symbol" w:hAnsi="Symbol"/>
        </w:rPr>
        <w:tab/>
      </w:r>
      <w:r w:rsidRPr="008A02C4">
        <w:rPr>
          <w:rFonts w:cs="Arial"/>
          <w:szCs w:val="24"/>
        </w:rPr>
        <w:t>Quand la virgule décimale est suivie d’un chiffre et plus, le premier chiffre et les suivants sont retranchés si le premier chiffre est inférieur à cinq. Si le premier chiffre est égal ou supérieur à cinq, le dollar est porté à l’unité supérieure et la première décimale et les suivantes sont retranchées.</w:t>
      </w:r>
    </w:p>
    <w:p w14:paraId="4B154F07" w14:textId="4A9AE1A4" w:rsidR="00CD5BD8" w:rsidRPr="008A02C4" w:rsidRDefault="00CD5BD8" w:rsidP="007F120F">
      <w:pPr>
        <w:pStyle w:val="ListParagraph"/>
        <w:tabs>
          <w:tab w:val="left" w:pos="426"/>
        </w:tabs>
        <w:suppressAutoHyphens/>
        <w:spacing w:before="240" w:after="240"/>
        <w:ind w:left="786" w:hanging="360"/>
        <w:rPr>
          <w:rFonts w:cs="Arial"/>
          <w:szCs w:val="24"/>
        </w:rPr>
      </w:pPr>
      <w:r w:rsidRPr="008A02C4">
        <w:rPr>
          <w:rFonts w:cs="Arial"/>
          <w:szCs w:val="24"/>
        </w:rPr>
        <w:t>2.</w:t>
      </w:r>
      <w:r w:rsidRPr="008A02C4">
        <w:rPr>
          <w:rFonts w:cs="Arial"/>
          <w:szCs w:val="24"/>
        </w:rPr>
        <w:tab/>
        <w:t xml:space="preserve">Établissement des taux et échelles de traitement applicables </w:t>
      </w:r>
      <w:r w:rsidR="00C53E56" w:rsidRPr="00316277">
        <w:rPr>
          <w:rFonts w:cs="Arial"/>
          <w:szCs w:val="24"/>
        </w:rPr>
        <w:t>à l’</w:t>
      </w:r>
      <w:r w:rsidRPr="008A02C4">
        <w:rPr>
          <w:rFonts w:cs="Arial"/>
          <w:szCs w:val="24"/>
        </w:rPr>
        <w:t xml:space="preserve">enseignante </w:t>
      </w:r>
      <w:r w:rsidR="00C53E56" w:rsidRPr="00316277">
        <w:rPr>
          <w:rFonts w:cs="Arial"/>
          <w:szCs w:val="24"/>
        </w:rPr>
        <w:t>ou l’</w:t>
      </w:r>
      <w:r w:rsidRPr="008A02C4">
        <w:rPr>
          <w:rFonts w:cs="Arial"/>
          <w:szCs w:val="24"/>
        </w:rPr>
        <w:t>enseignant des collèges</w:t>
      </w:r>
    </w:p>
    <w:p w14:paraId="0B85A214" w14:textId="06CB4DA8" w:rsidR="00CD5BD8" w:rsidRDefault="00CD5BD8" w:rsidP="002977BE">
      <w:pPr>
        <w:pStyle w:val="ListParagraph"/>
        <w:tabs>
          <w:tab w:val="left" w:pos="426"/>
        </w:tabs>
        <w:suppressAutoHyphens/>
        <w:ind w:left="851"/>
        <w:rPr>
          <w:rFonts w:cs="Arial"/>
          <w:szCs w:val="24"/>
        </w:rPr>
      </w:pPr>
      <w:r w:rsidRPr="008A02C4">
        <w:rPr>
          <w:rFonts w:cs="Arial"/>
          <w:szCs w:val="24"/>
        </w:rPr>
        <w:t>La méthode décrite aux paragraphes 2.1 et 2.2 est utilisée lorsqu'un paramètre général d’augmentation salariale est octroyé ou une autre forme de bonification, de manière à préserver le lien avec la structure de rémunération</w:t>
      </w:r>
      <w:r w:rsidRPr="008A02C4">
        <w:rPr>
          <w:rStyle w:val="FootnoteReference"/>
          <w:rFonts w:cs="Arial"/>
          <w:szCs w:val="24"/>
        </w:rPr>
        <w:footnoteReference w:id="66"/>
      </w:r>
      <w:r w:rsidRPr="008A02C4">
        <w:rPr>
          <w:rFonts w:cs="Arial"/>
          <w:szCs w:val="24"/>
        </w:rPr>
        <w:t xml:space="preserve"> de l'ensemble des personnes salariées des secteurs de la santé et des services sociaux, des centres de services scolaires et des commissions scolaires et des collèges.</w:t>
      </w:r>
    </w:p>
    <w:p w14:paraId="1F8F5F49" w14:textId="77777777" w:rsidR="00E97BF0" w:rsidRPr="00E97BF0" w:rsidRDefault="00E97BF0" w:rsidP="00E97BF0">
      <w:pPr>
        <w:tabs>
          <w:tab w:val="left" w:pos="426"/>
        </w:tabs>
        <w:rPr>
          <w:rFonts w:cs="Arial"/>
          <w:szCs w:val="24"/>
        </w:rPr>
      </w:pPr>
    </w:p>
    <w:p w14:paraId="20A78746" w14:textId="08870211" w:rsidR="00CD5BD8" w:rsidRPr="008A02C4" w:rsidRDefault="00CD5BD8" w:rsidP="00E97BF0">
      <w:pPr>
        <w:pStyle w:val="ListParagraph"/>
        <w:tabs>
          <w:tab w:val="left" w:pos="426"/>
        </w:tabs>
        <w:suppressAutoHyphens/>
        <w:spacing w:before="240" w:after="240"/>
        <w:ind w:left="1276" w:hanging="425"/>
        <w:rPr>
          <w:rFonts w:cs="Arial"/>
          <w:szCs w:val="24"/>
        </w:rPr>
      </w:pPr>
      <w:r w:rsidRPr="008A02C4">
        <w:rPr>
          <w:rFonts w:cs="Arial"/>
          <w:szCs w:val="24"/>
        </w:rPr>
        <w:t>2.1</w:t>
      </w:r>
      <w:r w:rsidRPr="008A02C4">
        <w:rPr>
          <w:rFonts w:cs="Arial"/>
          <w:szCs w:val="24"/>
        </w:rPr>
        <w:tab/>
      </w:r>
      <w:r w:rsidR="00004F32" w:rsidRPr="008A02C4">
        <w:rPr>
          <w:rFonts w:cs="Arial"/>
          <w:szCs w:val="24"/>
        </w:rPr>
        <w:t xml:space="preserve">Enseignantes et enseignants </w:t>
      </w:r>
      <w:r w:rsidRPr="008A02C4">
        <w:rPr>
          <w:rFonts w:cs="Arial"/>
          <w:szCs w:val="24"/>
        </w:rPr>
        <w:t>à temps complet ou à temps partiel</w:t>
      </w:r>
    </w:p>
    <w:p w14:paraId="55FD5023" w14:textId="5131E9F3" w:rsidR="00CD5BD8" w:rsidRDefault="00CD5BD8" w:rsidP="007F120F">
      <w:pPr>
        <w:pStyle w:val="ListParagraph"/>
        <w:suppressAutoHyphens/>
        <w:spacing w:before="120" w:after="120"/>
        <w:ind w:left="1134"/>
        <w:rPr>
          <w:rFonts w:cs="Arial"/>
          <w:szCs w:val="24"/>
        </w:rPr>
      </w:pPr>
      <w:r w:rsidRPr="008A02C4">
        <w:rPr>
          <w:rFonts w:cs="Arial"/>
          <w:szCs w:val="24"/>
        </w:rPr>
        <w:t>L'échelle de traitement applicable</w:t>
      </w:r>
      <w:r w:rsidR="00B2506E">
        <w:rPr>
          <w:rFonts w:cs="Arial"/>
          <w:szCs w:val="24"/>
        </w:rPr>
        <w:t xml:space="preserve"> </w:t>
      </w:r>
      <w:r w:rsidR="00B2506E" w:rsidRPr="00316277">
        <w:rPr>
          <w:rFonts w:cs="Arial"/>
          <w:szCs w:val="24"/>
        </w:rPr>
        <w:t>à l’</w:t>
      </w:r>
      <w:r w:rsidRPr="008A02C4">
        <w:rPr>
          <w:rFonts w:cs="Arial"/>
          <w:szCs w:val="24"/>
        </w:rPr>
        <w:t xml:space="preserve">enseignante </w:t>
      </w:r>
      <w:r w:rsidR="00B2506E" w:rsidRPr="00316277">
        <w:rPr>
          <w:rFonts w:cs="Arial"/>
          <w:szCs w:val="24"/>
        </w:rPr>
        <w:t>ou l’</w:t>
      </w:r>
      <w:r w:rsidRPr="008A02C4">
        <w:rPr>
          <w:rFonts w:cs="Arial"/>
          <w:szCs w:val="24"/>
        </w:rPr>
        <w:t xml:space="preserve">enseignant à temps complet ou à temps partiel, </w:t>
      </w:r>
      <w:r w:rsidR="008A7092" w:rsidRPr="00316277">
        <w:rPr>
          <w:rFonts w:cs="Arial"/>
          <w:szCs w:val="24"/>
        </w:rPr>
        <w:t>présentée ci-dessous, est celle prévue au tableau A de l’Annexe VI</w:t>
      </w:r>
      <w:r w:rsidR="008A7092" w:rsidRPr="00316277">
        <w:rPr>
          <w:rFonts w:cs="Arial"/>
          <w:szCs w:val="24"/>
        </w:rPr>
        <w:noBreakHyphen/>
        <w:t>1,</w:t>
      </w:r>
      <w:r w:rsidR="008A7092">
        <w:rPr>
          <w:rFonts w:cs="Arial"/>
          <w:szCs w:val="24"/>
        </w:rPr>
        <w:t xml:space="preserve"> </w:t>
      </w:r>
      <w:r w:rsidRPr="008A02C4">
        <w:rPr>
          <w:rFonts w:cs="Arial"/>
          <w:szCs w:val="24"/>
        </w:rPr>
        <w:t>inclu</w:t>
      </w:r>
      <w:r w:rsidRPr="00BF56AD">
        <w:rPr>
          <w:rFonts w:cs="Arial"/>
          <w:szCs w:val="24"/>
        </w:rPr>
        <w:t>ant</w:t>
      </w:r>
      <w:r w:rsidRPr="008A02C4">
        <w:rPr>
          <w:rFonts w:cs="Arial"/>
          <w:szCs w:val="24"/>
        </w:rPr>
        <w:t xml:space="preserve"> </w:t>
      </w:r>
      <w:r w:rsidR="008A7092" w:rsidRPr="00316277">
        <w:rPr>
          <w:rFonts w:cs="Arial"/>
          <w:szCs w:val="24"/>
        </w:rPr>
        <w:t>les</w:t>
      </w:r>
      <w:r w:rsidR="008A7092">
        <w:rPr>
          <w:rFonts w:cs="Arial"/>
          <w:szCs w:val="24"/>
        </w:rPr>
        <w:t xml:space="preserve"> </w:t>
      </w:r>
      <w:r w:rsidRPr="008A02C4">
        <w:rPr>
          <w:rFonts w:cs="Arial"/>
          <w:szCs w:val="24"/>
        </w:rPr>
        <w:t>majoration</w:t>
      </w:r>
      <w:r w:rsidR="008A7092" w:rsidRPr="00316277">
        <w:rPr>
          <w:rFonts w:cs="Arial"/>
          <w:szCs w:val="24"/>
        </w:rPr>
        <w:t>s</w:t>
      </w:r>
      <w:r w:rsidRPr="008A02C4">
        <w:rPr>
          <w:rFonts w:cs="Arial"/>
          <w:szCs w:val="24"/>
        </w:rPr>
        <w:t xml:space="preserve"> prévue</w:t>
      </w:r>
      <w:r w:rsidR="008A7092" w:rsidRPr="00316277">
        <w:rPr>
          <w:rFonts w:cs="Arial"/>
          <w:szCs w:val="24"/>
        </w:rPr>
        <w:t>s</w:t>
      </w:r>
      <w:r w:rsidRPr="008A02C4">
        <w:rPr>
          <w:rFonts w:cs="Arial"/>
          <w:szCs w:val="24"/>
        </w:rPr>
        <w:t xml:space="preserve"> </w:t>
      </w:r>
      <w:r w:rsidR="008A7092" w:rsidRPr="00316277">
        <w:rPr>
          <w:rFonts w:cs="Arial"/>
          <w:szCs w:val="24"/>
        </w:rPr>
        <w:t>aux</w:t>
      </w:r>
      <w:r w:rsidR="008A7092">
        <w:rPr>
          <w:rFonts w:cs="Arial"/>
          <w:szCs w:val="24"/>
        </w:rPr>
        <w:t xml:space="preserve"> </w:t>
      </w:r>
      <w:r w:rsidRPr="008A02C4">
        <w:rPr>
          <w:rFonts w:cs="Arial"/>
          <w:szCs w:val="24"/>
        </w:rPr>
        <w:t>clause</w:t>
      </w:r>
      <w:r w:rsidR="008A7092" w:rsidRPr="00316277">
        <w:rPr>
          <w:rFonts w:cs="Arial"/>
          <w:szCs w:val="24"/>
        </w:rPr>
        <w:t>s</w:t>
      </w:r>
      <w:r w:rsidR="0007741F" w:rsidRPr="008A02C4">
        <w:rPr>
          <w:rFonts w:cs="Arial"/>
          <w:szCs w:val="24"/>
        </w:rPr>
        <w:t> </w:t>
      </w:r>
      <w:r w:rsidRPr="008A02C4">
        <w:rPr>
          <w:rFonts w:cs="Arial"/>
          <w:szCs w:val="24"/>
        </w:rPr>
        <w:t>6</w:t>
      </w:r>
      <w:r w:rsidRPr="008A02C4">
        <w:rPr>
          <w:rFonts w:ascii="Cambria Math" w:hAnsi="Cambria Math" w:cs="Arial"/>
          <w:szCs w:val="24"/>
        </w:rPr>
        <w:t>‑</w:t>
      </w:r>
      <w:r w:rsidRPr="008A02C4">
        <w:rPr>
          <w:rFonts w:cs="Arial"/>
          <w:szCs w:val="24"/>
        </w:rPr>
        <w:t xml:space="preserve">4.02 </w:t>
      </w:r>
      <w:r w:rsidR="008A7092" w:rsidRPr="00316277">
        <w:rPr>
          <w:rFonts w:cs="Arial"/>
          <w:szCs w:val="24"/>
        </w:rPr>
        <w:t>à 6</w:t>
      </w:r>
      <w:r w:rsidR="008A7092" w:rsidRPr="00316277">
        <w:rPr>
          <w:rFonts w:cs="Arial"/>
          <w:szCs w:val="24"/>
        </w:rPr>
        <w:noBreakHyphen/>
        <w:t>4.06</w:t>
      </w:r>
      <w:r w:rsidR="008A7092">
        <w:rPr>
          <w:rFonts w:cs="Arial"/>
          <w:szCs w:val="24"/>
        </w:rPr>
        <w:t xml:space="preserve"> </w:t>
      </w:r>
      <w:r w:rsidRPr="008A02C4">
        <w:rPr>
          <w:rFonts w:cs="Arial"/>
          <w:szCs w:val="24"/>
        </w:rPr>
        <w:t xml:space="preserve">et </w:t>
      </w:r>
      <w:r w:rsidR="008A7092" w:rsidRPr="00316277">
        <w:rPr>
          <w:rFonts w:cs="Arial"/>
          <w:szCs w:val="24"/>
        </w:rPr>
        <w:t>l</w:t>
      </w:r>
      <w:r w:rsidRPr="008A02C4">
        <w:rPr>
          <w:rFonts w:cs="Arial"/>
          <w:szCs w:val="24"/>
        </w:rPr>
        <w:t xml:space="preserve">es bonifications </w:t>
      </w:r>
      <w:r w:rsidR="008A7092" w:rsidRPr="00316277">
        <w:rPr>
          <w:rFonts w:cs="Arial"/>
          <w:szCs w:val="24"/>
        </w:rPr>
        <w:t>convenues</w:t>
      </w:r>
      <w:r w:rsidRPr="008A02C4">
        <w:rPr>
          <w:rFonts w:cs="Arial"/>
          <w:szCs w:val="24"/>
        </w:rPr>
        <w:t xml:space="preserve"> </w:t>
      </w:r>
      <w:r w:rsidR="008A7092" w:rsidRPr="00316277">
        <w:rPr>
          <w:rFonts w:cs="Arial"/>
          <w:szCs w:val="24"/>
        </w:rPr>
        <w:t xml:space="preserve">entre </w:t>
      </w:r>
      <w:r w:rsidR="004A4A56" w:rsidRPr="00316277">
        <w:rPr>
          <w:rFonts w:cs="Arial"/>
          <w:szCs w:val="24"/>
        </w:rPr>
        <w:t xml:space="preserve">les parties </w:t>
      </w:r>
      <w:r w:rsidR="00BF56AD" w:rsidRPr="00316277">
        <w:rPr>
          <w:rFonts w:cs="Arial"/>
          <w:szCs w:val="24"/>
        </w:rPr>
        <w:t xml:space="preserve">et </w:t>
      </w:r>
      <w:r w:rsidR="004A4A56" w:rsidRPr="00316277">
        <w:rPr>
          <w:rFonts w:cs="Arial"/>
          <w:szCs w:val="24"/>
        </w:rPr>
        <w:t>applicables au 1</w:t>
      </w:r>
      <w:r w:rsidR="004A4A56" w:rsidRPr="00316277">
        <w:rPr>
          <w:rFonts w:cs="Arial"/>
          <w:szCs w:val="24"/>
          <w:vertAlign w:val="superscript"/>
        </w:rPr>
        <w:t>er</w:t>
      </w:r>
      <w:r w:rsidR="004A4A56" w:rsidRPr="00316277">
        <w:rPr>
          <w:rFonts w:cs="Arial"/>
          <w:szCs w:val="24"/>
        </w:rPr>
        <w:t> avril 2024</w:t>
      </w:r>
      <w:r w:rsidR="00D8581B" w:rsidRPr="008A02C4">
        <w:rPr>
          <w:rFonts w:cs="Arial"/>
          <w:szCs w:val="24"/>
        </w:rPr>
        <w:t> :</w:t>
      </w:r>
    </w:p>
    <w:p w14:paraId="462325F8" w14:textId="4D74625A" w:rsidR="004A4A56" w:rsidRPr="00945715" w:rsidRDefault="004A4A56" w:rsidP="00945715">
      <w:pPr>
        <w:rPr>
          <w:rFonts w:cs="Arial"/>
          <w:szCs w:val="24"/>
        </w:rPr>
      </w:pPr>
    </w:p>
    <w:tbl>
      <w:tblPr>
        <w:tblW w:w="0" w:type="auto"/>
        <w:jc w:val="center"/>
        <w:tblLayout w:type="fixed"/>
        <w:tblCellMar>
          <w:left w:w="0" w:type="dxa"/>
          <w:right w:w="0" w:type="dxa"/>
        </w:tblCellMar>
        <w:tblLook w:val="0000" w:firstRow="0" w:lastRow="0" w:firstColumn="0" w:lastColumn="0" w:noHBand="0" w:noVBand="0"/>
      </w:tblPr>
      <w:tblGrid>
        <w:gridCol w:w="1143"/>
        <w:gridCol w:w="1471"/>
        <w:gridCol w:w="1471"/>
        <w:gridCol w:w="1471"/>
        <w:gridCol w:w="1471"/>
        <w:gridCol w:w="1471"/>
      </w:tblGrid>
      <w:tr w:rsidR="004A4A56" w:rsidRPr="00787323" w14:paraId="71C05852" w14:textId="77777777" w:rsidTr="004A4A56">
        <w:trPr>
          <w:cantSplit/>
          <w:trHeight w:val="1511"/>
          <w:jc w:val="center"/>
        </w:trPr>
        <w:tc>
          <w:tcPr>
            <w:tcW w:w="1143" w:type="dxa"/>
            <w:tcBorders>
              <w:top w:val="nil"/>
              <w:left w:val="nil"/>
              <w:bottom w:val="nil"/>
              <w:right w:val="nil"/>
            </w:tcBorders>
            <w:shd w:val="clear" w:color="auto" w:fill="FFFFFF"/>
            <w:vAlign w:val="center"/>
          </w:tcPr>
          <w:p w14:paraId="6FBA4AAE"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vertAlign w:val="superscript"/>
              </w:rPr>
            </w:pPr>
            <w:r w:rsidRPr="00316277">
              <w:rPr>
                <w:rFonts w:cs="Arial"/>
                <w:b/>
                <w:bCs/>
                <w:color w:val="000000"/>
                <w:sz w:val="22"/>
                <w:szCs w:val="22"/>
              </w:rPr>
              <w:t>Échelon</w:t>
            </w:r>
          </w:p>
        </w:tc>
        <w:tc>
          <w:tcPr>
            <w:tcW w:w="1471" w:type="dxa"/>
            <w:tcBorders>
              <w:top w:val="nil"/>
              <w:left w:val="nil"/>
              <w:bottom w:val="nil"/>
              <w:right w:val="nil"/>
            </w:tcBorders>
            <w:shd w:val="clear" w:color="auto" w:fill="FFFFFF"/>
            <w:vAlign w:val="center"/>
          </w:tcPr>
          <w:p w14:paraId="58CFDE56"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2023-04-01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2024-03-31</w:t>
            </w:r>
            <w:r w:rsidRPr="00316277">
              <w:rPr>
                <w:rFonts w:cs="Arial"/>
                <w:color w:val="000000"/>
                <w:sz w:val="22"/>
                <w:szCs w:val="22"/>
              </w:rPr>
              <w:br/>
            </w:r>
            <w:r w:rsidRPr="00316277">
              <w:rPr>
                <w:rFonts w:cs="Arial"/>
                <w:b/>
                <w:bCs/>
                <w:color w:val="000000"/>
                <w:sz w:val="22"/>
                <w:szCs w:val="22"/>
              </w:rPr>
              <w:t xml:space="preserve">( $ ) </w:t>
            </w:r>
          </w:p>
        </w:tc>
        <w:tc>
          <w:tcPr>
            <w:tcW w:w="1471" w:type="dxa"/>
            <w:tcBorders>
              <w:top w:val="nil"/>
              <w:left w:val="nil"/>
              <w:bottom w:val="nil"/>
              <w:right w:val="nil"/>
            </w:tcBorders>
            <w:shd w:val="clear" w:color="auto" w:fill="FFFFFF"/>
            <w:vAlign w:val="center"/>
          </w:tcPr>
          <w:p w14:paraId="39915D16"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2024-04-01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2025-03-31</w:t>
            </w:r>
            <w:r w:rsidRPr="00316277">
              <w:rPr>
                <w:rFonts w:cs="Arial"/>
                <w:color w:val="000000"/>
                <w:sz w:val="22"/>
                <w:szCs w:val="22"/>
              </w:rPr>
              <w:br/>
            </w:r>
            <w:r w:rsidRPr="00316277">
              <w:rPr>
                <w:rFonts w:cs="Arial"/>
                <w:b/>
                <w:bCs/>
                <w:color w:val="000000"/>
                <w:sz w:val="22"/>
                <w:szCs w:val="22"/>
              </w:rPr>
              <w:t xml:space="preserve">( $ ) </w:t>
            </w:r>
          </w:p>
        </w:tc>
        <w:tc>
          <w:tcPr>
            <w:tcW w:w="1471" w:type="dxa"/>
            <w:tcBorders>
              <w:top w:val="nil"/>
              <w:left w:val="nil"/>
              <w:bottom w:val="nil"/>
              <w:right w:val="nil"/>
            </w:tcBorders>
            <w:shd w:val="clear" w:color="auto" w:fill="FFFFFF"/>
            <w:vAlign w:val="center"/>
          </w:tcPr>
          <w:p w14:paraId="18ACF8A6"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2025-04-01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2026-03-31</w:t>
            </w:r>
            <w:r w:rsidRPr="00316277">
              <w:rPr>
                <w:rFonts w:cs="Arial"/>
                <w:color w:val="000000"/>
                <w:sz w:val="22"/>
                <w:szCs w:val="22"/>
              </w:rPr>
              <w:br/>
            </w:r>
            <w:r w:rsidRPr="00316277">
              <w:rPr>
                <w:rFonts w:cs="Arial"/>
                <w:b/>
                <w:bCs/>
                <w:color w:val="000000"/>
                <w:sz w:val="22"/>
                <w:szCs w:val="22"/>
              </w:rPr>
              <w:t xml:space="preserve">( $ ) </w:t>
            </w:r>
          </w:p>
        </w:tc>
        <w:tc>
          <w:tcPr>
            <w:tcW w:w="1471" w:type="dxa"/>
            <w:tcBorders>
              <w:top w:val="nil"/>
              <w:left w:val="nil"/>
              <w:bottom w:val="nil"/>
              <w:right w:val="nil"/>
            </w:tcBorders>
            <w:shd w:val="clear" w:color="auto" w:fill="FFFFFF"/>
            <w:vAlign w:val="center"/>
          </w:tcPr>
          <w:p w14:paraId="3ECBC21C"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Taux du</w:t>
            </w:r>
            <w:r w:rsidRPr="00316277">
              <w:rPr>
                <w:rFonts w:cs="Arial"/>
                <w:color w:val="000000"/>
                <w:sz w:val="22"/>
                <w:szCs w:val="22"/>
              </w:rPr>
              <w:br/>
            </w:r>
            <w:r w:rsidRPr="00316277">
              <w:rPr>
                <w:rFonts w:cs="Arial"/>
                <w:b/>
                <w:bCs/>
                <w:color w:val="000000"/>
                <w:sz w:val="22"/>
                <w:szCs w:val="22"/>
              </w:rPr>
              <w:t>2026-04-01</w:t>
            </w:r>
            <w:r w:rsidRPr="00316277">
              <w:rPr>
                <w:rFonts w:cs="Arial"/>
                <w:color w:val="000000"/>
                <w:sz w:val="22"/>
                <w:szCs w:val="22"/>
              </w:rPr>
              <w:br/>
            </w:r>
            <w:r w:rsidRPr="00316277">
              <w:rPr>
                <w:rFonts w:cs="Arial"/>
                <w:b/>
                <w:bCs/>
                <w:color w:val="000000"/>
                <w:sz w:val="22"/>
                <w:szCs w:val="22"/>
              </w:rPr>
              <w:t>au</w:t>
            </w:r>
            <w:r w:rsidRPr="00316277">
              <w:rPr>
                <w:rFonts w:cs="Arial"/>
                <w:color w:val="000000"/>
                <w:sz w:val="22"/>
                <w:szCs w:val="22"/>
              </w:rPr>
              <w:br/>
            </w:r>
            <w:r w:rsidRPr="00316277">
              <w:rPr>
                <w:rFonts w:cs="Arial"/>
                <w:b/>
                <w:bCs/>
                <w:color w:val="000000"/>
                <w:sz w:val="22"/>
                <w:szCs w:val="22"/>
              </w:rPr>
              <w:t>2027-03-31</w:t>
            </w:r>
            <w:r w:rsidRPr="00316277">
              <w:rPr>
                <w:rFonts w:cs="Arial"/>
                <w:color w:val="000000"/>
                <w:sz w:val="22"/>
                <w:szCs w:val="22"/>
              </w:rPr>
              <w:br/>
            </w:r>
            <w:r w:rsidRPr="00316277">
              <w:rPr>
                <w:rFonts w:cs="Arial"/>
                <w:b/>
                <w:bCs/>
                <w:color w:val="000000"/>
                <w:sz w:val="22"/>
                <w:szCs w:val="22"/>
              </w:rPr>
              <w:t xml:space="preserve">( $ ) </w:t>
            </w:r>
          </w:p>
        </w:tc>
        <w:tc>
          <w:tcPr>
            <w:tcW w:w="1471" w:type="dxa"/>
            <w:tcBorders>
              <w:top w:val="nil"/>
              <w:left w:val="nil"/>
              <w:bottom w:val="nil"/>
              <w:right w:val="nil"/>
            </w:tcBorders>
            <w:shd w:val="clear" w:color="auto" w:fill="FFFFFF"/>
            <w:vAlign w:val="center"/>
          </w:tcPr>
          <w:p w14:paraId="29E282CA" w14:textId="77777777" w:rsidR="004A4A56" w:rsidRPr="00316277" w:rsidRDefault="004A4A56" w:rsidP="00787323">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Taux à</w:t>
            </w:r>
            <w:r w:rsidRPr="00316277">
              <w:rPr>
                <w:rFonts w:cs="Arial"/>
                <w:color w:val="000000"/>
                <w:sz w:val="22"/>
                <w:szCs w:val="22"/>
              </w:rPr>
              <w:br/>
            </w:r>
            <w:r w:rsidRPr="00316277">
              <w:rPr>
                <w:rFonts w:cs="Arial"/>
                <w:b/>
                <w:bCs/>
                <w:color w:val="000000"/>
                <w:sz w:val="22"/>
                <w:szCs w:val="22"/>
              </w:rPr>
              <w:t>compter</w:t>
            </w:r>
            <w:r w:rsidRPr="00316277">
              <w:rPr>
                <w:rFonts w:cs="Arial"/>
                <w:color w:val="000000"/>
                <w:sz w:val="22"/>
                <w:szCs w:val="22"/>
              </w:rPr>
              <w:br/>
            </w:r>
            <w:r w:rsidRPr="00316277">
              <w:rPr>
                <w:rFonts w:cs="Arial"/>
                <w:b/>
                <w:bCs/>
                <w:color w:val="000000"/>
                <w:sz w:val="22"/>
                <w:szCs w:val="22"/>
              </w:rPr>
              <w:t>du</w:t>
            </w:r>
            <w:r w:rsidRPr="00316277">
              <w:rPr>
                <w:rFonts w:cs="Arial"/>
                <w:color w:val="000000"/>
                <w:sz w:val="22"/>
                <w:szCs w:val="22"/>
              </w:rPr>
              <w:br/>
            </w:r>
            <w:r w:rsidRPr="00316277">
              <w:rPr>
                <w:rFonts w:cs="Arial"/>
                <w:b/>
                <w:bCs/>
                <w:color w:val="000000"/>
                <w:sz w:val="22"/>
                <w:szCs w:val="22"/>
              </w:rPr>
              <w:t>2027-04-01</w:t>
            </w:r>
            <w:r w:rsidRPr="00316277">
              <w:rPr>
                <w:rFonts w:cs="Arial"/>
                <w:color w:val="000000"/>
                <w:sz w:val="22"/>
                <w:szCs w:val="22"/>
              </w:rPr>
              <w:br/>
            </w:r>
            <w:r w:rsidRPr="00316277">
              <w:rPr>
                <w:rFonts w:cs="Arial"/>
                <w:b/>
                <w:bCs/>
                <w:color w:val="000000"/>
                <w:sz w:val="22"/>
                <w:szCs w:val="22"/>
              </w:rPr>
              <w:t xml:space="preserve">( $ ) </w:t>
            </w:r>
          </w:p>
        </w:tc>
      </w:tr>
      <w:tr w:rsidR="004A4A56" w:rsidRPr="00787323" w14:paraId="5A71582F" w14:textId="77777777" w:rsidTr="004A4A56">
        <w:trPr>
          <w:cantSplit/>
          <w:trHeight w:val="306"/>
          <w:jc w:val="center"/>
        </w:trPr>
        <w:tc>
          <w:tcPr>
            <w:tcW w:w="1143" w:type="dxa"/>
            <w:tcBorders>
              <w:top w:val="nil"/>
              <w:left w:val="nil"/>
              <w:bottom w:val="nil"/>
              <w:right w:val="nil"/>
            </w:tcBorders>
            <w:shd w:val="clear" w:color="auto" w:fill="FFFFFF"/>
          </w:tcPr>
          <w:p w14:paraId="7B0932ED"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471" w:type="dxa"/>
            <w:tcBorders>
              <w:top w:val="nil"/>
              <w:left w:val="nil"/>
              <w:bottom w:val="nil"/>
              <w:right w:val="nil"/>
            </w:tcBorders>
            <w:shd w:val="clear" w:color="auto" w:fill="FFFFFF"/>
          </w:tcPr>
          <w:p w14:paraId="2AF3B917"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471" w:type="dxa"/>
            <w:tcBorders>
              <w:top w:val="nil"/>
              <w:left w:val="nil"/>
              <w:bottom w:val="nil"/>
              <w:right w:val="nil"/>
            </w:tcBorders>
            <w:shd w:val="clear" w:color="auto" w:fill="FFFFFF"/>
          </w:tcPr>
          <w:p w14:paraId="63107F18"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471" w:type="dxa"/>
            <w:tcBorders>
              <w:top w:val="nil"/>
              <w:left w:val="nil"/>
              <w:bottom w:val="nil"/>
              <w:right w:val="nil"/>
            </w:tcBorders>
            <w:shd w:val="clear" w:color="auto" w:fill="FFFFFF"/>
          </w:tcPr>
          <w:p w14:paraId="0AE8B076"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471" w:type="dxa"/>
            <w:tcBorders>
              <w:top w:val="nil"/>
              <w:left w:val="nil"/>
              <w:bottom w:val="nil"/>
              <w:right w:val="nil"/>
            </w:tcBorders>
            <w:shd w:val="clear" w:color="auto" w:fill="FFFFFF"/>
          </w:tcPr>
          <w:p w14:paraId="1BC65232" w14:textId="77777777" w:rsidR="004A4A56" w:rsidRPr="00787323" w:rsidRDefault="004A4A56" w:rsidP="00787323">
            <w:pPr>
              <w:keepLines/>
              <w:widowControl w:val="0"/>
              <w:autoSpaceDE w:val="0"/>
              <w:autoSpaceDN w:val="0"/>
              <w:adjustRightInd w:val="0"/>
              <w:ind w:left="57" w:right="57"/>
              <w:jc w:val="center"/>
              <w:rPr>
                <w:rFonts w:cs="Arial"/>
                <w:b/>
                <w:bCs/>
                <w:color w:val="000000"/>
                <w:sz w:val="22"/>
                <w:szCs w:val="22"/>
                <w:highlight w:val="lightGray"/>
              </w:rPr>
            </w:pPr>
            <w:r w:rsidRPr="00316277">
              <w:rPr>
                <w:rFonts w:cs="Arial"/>
                <w:b/>
                <w:bCs/>
                <w:color w:val="000000"/>
                <w:sz w:val="22"/>
                <w:szCs w:val="22"/>
              </w:rPr>
              <w:t>¯¯¯¯¯¯¯¯¯¯</w:t>
            </w:r>
          </w:p>
        </w:tc>
        <w:tc>
          <w:tcPr>
            <w:tcW w:w="1471" w:type="dxa"/>
            <w:tcBorders>
              <w:top w:val="nil"/>
              <w:left w:val="nil"/>
              <w:bottom w:val="nil"/>
              <w:right w:val="nil"/>
            </w:tcBorders>
            <w:shd w:val="clear" w:color="auto" w:fill="FFFFFF"/>
          </w:tcPr>
          <w:p w14:paraId="224C0BE7" w14:textId="77777777" w:rsidR="004A4A56" w:rsidRPr="00316277" w:rsidRDefault="004A4A56" w:rsidP="00787323">
            <w:pPr>
              <w:keepLines/>
              <w:widowControl w:val="0"/>
              <w:autoSpaceDE w:val="0"/>
              <w:autoSpaceDN w:val="0"/>
              <w:adjustRightInd w:val="0"/>
              <w:ind w:left="57" w:right="57"/>
              <w:jc w:val="center"/>
              <w:rPr>
                <w:rFonts w:cs="Arial"/>
                <w:b/>
                <w:bCs/>
                <w:color w:val="000000"/>
                <w:sz w:val="22"/>
                <w:szCs w:val="22"/>
              </w:rPr>
            </w:pPr>
            <w:r w:rsidRPr="00316277">
              <w:rPr>
                <w:rFonts w:cs="Arial"/>
                <w:b/>
                <w:bCs/>
                <w:color w:val="000000"/>
                <w:sz w:val="22"/>
                <w:szCs w:val="22"/>
              </w:rPr>
              <w:t>¯¯¯¯¯¯¯¯¯¯</w:t>
            </w:r>
          </w:p>
        </w:tc>
      </w:tr>
      <w:tr w:rsidR="004A4A56" w:rsidRPr="00787323" w14:paraId="09327A76" w14:textId="77777777" w:rsidTr="004A4A56">
        <w:trPr>
          <w:cantSplit/>
          <w:trHeight w:val="306"/>
          <w:jc w:val="center"/>
        </w:trPr>
        <w:tc>
          <w:tcPr>
            <w:tcW w:w="1143" w:type="dxa"/>
            <w:tcBorders>
              <w:top w:val="nil"/>
              <w:left w:val="nil"/>
              <w:bottom w:val="nil"/>
              <w:right w:val="nil"/>
            </w:tcBorders>
            <w:shd w:val="clear" w:color="auto" w:fill="FFFFFF"/>
          </w:tcPr>
          <w:p w14:paraId="4950F6E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w:t>
            </w:r>
          </w:p>
        </w:tc>
        <w:tc>
          <w:tcPr>
            <w:tcW w:w="1471" w:type="dxa"/>
            <w:tcBorders>
              <w:top w:val="nil"/>
              <w:left w:val="nil"/>
              <w:bottom w:val="nil"/>
              <w:right w:val="nil"/>
            </w:tcBorders>
            <w:shd w:val="clear" w:color="auto" w:fill="FFFFFF"/>
            <w:vAlign w:val="center"/>
          </w:tcPr>
          <w:p w14:paraId="421D41CE"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49 319</w:t>
            </w:r>
          </w:p>
        </w:tc>
        <w:tc>
          <w:tcPr>
            <w:tcW w:w="1471" w:type="dxa"/>
            <w:tcBorders>
              <w:top w:val="nil"/>
              <w:left w:val="nil"/>
              <w:bottom w:val="nil"/>
              <w:right w:val="nil"/>
            </w:tcBorders>
            <w:shd w:val="clear" w:color="auto" w:fill="FFFFFF"/>
            <w:vAlign w:val="center"/>
          </w:tcPr>
          <w:p w14:paraId="77724AA8"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54 661</w:t>
            </w:r>
          </w:p>
        </w:tc>
        <w:tc>
          <w:tcPr>
            <w:tcW w:w="1471" w:type="dxa"/>
            <w:tcBorders>
              <w:top w:val="nil"/>
              <w:left w:val="nil"/>
              <w:bottom w:val="nil"/>
              <w:right w:val="nil"/>
            </w:tcBorders>
            <w:shd w:val="clear" w:color="auto" w:fill="FFFFFF"/>
            <w:vAlign w:val="center"/>
          </w:tcPr>
          <w:p w14:paraId="76A71287"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56 082</w:t>
            </w:r>
          </w:p>
        </w:tc>
        <w:tc>
          <w:tcPr>
            <w:tcW w:w="1471" w:type="dxa"/>
            <w:tcBorders>
              <w:top w:val="nil"/>
              <w:left w:val="nil"/>
              <w:bottom w:val="nil"/>
              <w:right w:val="nil"/>
            </w:tcBorders>
            <w:shd w:val="clear" w:color="auto" w:fill="FFFFFF"/>
            <w:vAlign w:val="center"/>
          </w:tcPr>
          <w:p w14:paraId="027EBCD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57 484</w:t>
            </w:r>
          </w:p>
        </w:tc>
        <w:tc>
          <w:tcPr>
            <w:tcW w:w="1471" w:type="dxa"/>
            <w:tcBorders>
              <w:top w:val="nil"/>
              <w:left w:val="nil"/>
              <w:bottom w:val="nil"/>
              <w:right w:val="nil"/>
            </w:tcBorders>
            <w:shd w:val="clear" w:color="auto" w:fill="FFFFFF"/>
            <w:vAlign w:val="center"/>
          </w:tcPr>
          <w:p w14:paraId="531FE21E"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59 496</w:t>
            </w:r>
          </w:p>
        </w:tc>
      </w:tr>
      <w:tr w:rsidR="004A4A56" w:rsidRPr="00787323" w14:paraId="15635DBE" w14:textId="77777777" w:rsidTr="004A4A56">
        <w:trPr>
          <w:cantSplit/>
          <w:trHeight w:val="284"/>
          <w:jc w:val="center"/>
        </w:trPr>
        <w:tc>
          <w:tcPr>
            <w:tcW w:w="1143" w:type="dxa"/>
            <w:tcBorders>
              <w:top w:val="nil"/>
              <w:left w:val="nil"/>
              <w:bottom w:val="nil"/>
              <w:right w:val="nil"/>
            </w:tcBorders>
            <w:shd w:val="clear" w:color="auto" w:fill="FFFFFF"/>
          </w:tcPr>
          <w:p w14:paraId="7090B803"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2</w:t>
            </w:r>
          </w:p>
        </w:tc>
        <w:tc>
          <w:tcPr>
            <w:tcW w:w="1471" w:type="dxa"/>
            <w:tcBorders>
              <w:top w:val="nil"/>
              <w:left w:val="nil"/>
              <w:bottom w:val="nil"/>
              <w:right w:val="nil"/>
            </w:tcBorders>
            <w:shd w:val="clear" w:color="auto" w:fill="FFFFFF"/>
            <w:vAlign w:val="center"/>
          </w:tcPr>
          <w:p w14:paraId="7AF03F4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52 614</w:t>
            </w:r>
          </w:p>
        </w:tc>
        <w:tc>
          <w:tcPr>
            <w:tcW w:w="1471" w:type="dxa"/>
            <w:tcBorders>
              <w:top w:val="nil"/>
              <w:left w:val="nil"/>
              <w:bottom w:val="nil"/>
              <w:right w:val="nil"/>
            </w:tcBorders>
            <w:shd w:val="clear" w:color="auto" w:fill="FFFFFF"/>
            <w:vAlign w:val="center"/>
          </w:tcPr>
          <w:p w14:paraId="6DB962A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56 396</w:t>
            </w:r>
          </w:p>
        </w:tc>
        <w:tc>
          <w:tcPr>
            <w:tcW w:w="1471" w:type="dxa"/>
            <w:tcBorders>
              <w:top w:val="nil"/>
              <w:left w:val="nil"/>
              <w:bottom w:val="nil"/>
              <w:right w:val="nil"/>
            </w:tcBorders>
            <w:shd w:val="clear" w:color="auto" w:fill="FFFFFF"/>
            <w:vAlign w:val="center"/>
          </w:tcPr>
          <w:p w14:paraId="7C0BBB3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57 862</w:t>
            </w:r>
          </w:p>
        </w:tc>
        <w:tc>
          <w:tcPr>
            <w:tcW w:w="1471" w:type="dxa"/>
            <w:tcBorders>
              <w:top w:val="nil"/>
              <w:left w:val="nil"/>
              <w:bottom w:val="nil"/>
              <w:right w:val="nil"/>
            </w:tcBorders>
            <w:shd w:val="clear" w:color="auto" w:fill="FFFFFF"/>
            <w:vAlign w:val="center"/>
          </w:tcPr>
          <w:p w14:paraId="6919757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59 309</w:t>
            </w:r>
          </w:p>
        </w:tc>
        <w:tc>
          <w:tcPr>
            <w:tcW w:w="1471" w:type="dxa"/>
            <w:tcBorders>
              <w:top w:val="nil"/>
              <w:left w:val="nil"/>
              <w:bottom w:val="nil"/>
              <w:right w:val="nil"/>
            </w:tcBorders>
            <w:shd w:val="clear" w:color="auto" w:fill="FFFFFF"/>
            <w:vAlign w:val="center"/>
          </w:tcPr>
          <w:p w14:paraId="10BBF2EE"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61 385</w:t>
            </w:r>
          </w:p>
        </w:tc>
      </w:tr>
      <w:tr w:rsidR="004A4A56" w:rsidRPr="00787323" w14:paraId="7919B4B7" w14:textId="77777777" w:rsidTr="004A4A56">
        <w:trPr>
          <w:cantSplit/>
          <w:trHeight w:val="306"/>
          <w:jc w:val="center"/>
        </w:trPr>
        <w:tc>
          <w:tcPr>
            <w:tcW w:w="1143" w:type="dxa"/>
            <w:tcBorders>
              <w:top w:val="nil"/>
              <w:left w:val="nil"/>
              <w:bottom w:val="nil"/>
              <w:right w:val="nil"/>
            </w:tcBorders>
            <w:shd w:val="clear" w:color="auto" w:fill="FFFFFF"/>
          </w:tcPr>
          <w:p w14:paraId="20100E3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3</w:t>
            </w:r>
          </w:p>
        </w:tc>
        <w:tc>
          <w:tcPr>
            <w:tcW w:w="1471" w:type="dxa"/>
            <w:tcBorders>
              <w:top w:val="nil"/>
              <w:left w:val="nil"/>
              <w:bottom w:val="nil"/>
              <w:right w:val="nil"/>
            </w:tcBorders>
            <w:shd w:val="clear" w:color="auto" w:fill="FFFFFF"/>
            <w:vAlign w:val="center"/>
          </w:tcPr>
          <w:p w14:paraId="22FE967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56 131</w:t>
            </w:r>
          </w:p>
        </w:tc>
        <w:tc>
          <w:tcPr>
            <w:tcW w:w="1471" w:type="dxa"/>
            <w:tcBorders>
              <w:top w:val="nil"/>
              <w:left w:val="nil"/>
              <w:bottom w:val="nil"/>
              <w:right w:val="nil"/>
            </w:tcBorders>
            <w:shd w:val="clear" w:color="auto" w:fill="FFFFFF"/>
            <w:vAlign w:val="center"/>
          </w:tcPr>
          <w:p w14:paraId="1BE04E4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58 201</w:t>
            </w:r>
          </w:p>
        </w:tc>
        <w:tc>
          <w:tcPr>
            <w:tcW w:w="1471" w:type="dxa"/>
            <w:tcBorders>
              <w:top w:val="nil"/>
              <w:left w:val="nil"/>
              <w:bottom w:val="nil"/>
              <w:right w:val="nil"/>
            </w:tcBorders>
            <w:shd w:val="clear" w:color="auto" w:fill="FFFFFF"/>
            <w:vAlign w:val="center"/>
          </w:tcPr>
          <w:p w14:paraId="07286A0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59 714</w:t>
            </w:r>
          </w:p>
        </w:tc>
        <w:tc>
          <w:tcPr>
            <w:tcW w:w="1471" w:type="dxa"/>
            <w:tcBorders>
              <w:top w:val="nil"/>
              <w:left w:val="nil"/>
              <w:bottom w:val="nil"/>
              <w:right w:val="nil"/>
            </w:tcBorders>
            <w:shd w:val="clear" w:color="auto" w:fill="FFFFFF"/>
            <w:vAlign w:val="center"/>
          </w:tcPr>
          <w:p w14:paraId="3477DBF8"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61 207</w:t>
            </w:r>
          </w:p>
        </w:tc>
        <w:tc>
          <w:tcPr>
            <w:tcW w:w="1471" w:type="dxa"/>
            <w:tcBorders>
              <w:top w:val="nil"/>
              <w:left w:val="nil"/>
              <w:bottom w:val="nil"/>
              <w:right w:val="nil"/>
            </w:tcBorders>
            <w:shd w:val="clear" w:color="auto" w:fill="FFFFFF"/>
            <w:vAlign w:val="center"/>
          </w:tcPr>
          <w:p w14:paraId="753E7BA1"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63 349</w:t>
            </w:r>
          </w:p>
        </w:tc>
      </w:tr>
      <w:tr w:rsidR="004A4A56" w:rsidRPr="00787323" w14:paraId="2715ACAC" w14:textId="77777777" w:rsidTr="004A4A56">
        <w:trPr>
          <w:cantSplit/>
          <w:trHeight w:val="306"/>
          <w:jc w:val="center"/>
        </w:trPr>
        <w:tc>
          <w:tcPr>
            <w:tcW w:w="1143" w:type="dxa"/>
            <w:tcBorders>
              <w:top w:val="nil"/>
              <w:left w:val="nil"/>
              <w:bottom w:val="nil"/>
              <w:right w:val="nil"/>
            </w:tcBorders>
            <w:shd w:val="clear" w:color="auto" w:fill="FFFFFF"/>
          </w:tcPr>
          <w:p w14:paraId="6A36B99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4</w:t>
            </w:r>
          </w:p>
        </w:tc>
        <w:tc>
          <w:tcPr>
            <w:tcW w:w="1471" w:type="dxa"/>
            <w:tcBorders>
              <w:top w:val="nil"/>
              <w:left w:val="nil"/>
              <w:bottom w:val="nil"/>
              <w:right w:val="nil"/>
            </w:tcBorders>
            <w:shd w:val="clear" w:color="auto" w:fill="FFFFFF"/>
            <w:vAlign w:val="center"/>
          </w:tcPr>
          <w:p w14:paraId="507B4327"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57 375</w:t>
            </w:r>
          </w:p>
        </w:tc>
        <w:tc>
          <w:tcPr>
            <w:tcW w:w="1471" w:type="dxa"/>
            <w:tcBorders>
              <w:top w:val="nil"/>
              <w:left w:val="nil"/>
              <w:bottom w:val="nil"/>
              <w:right w:val="nil"/>
            </w:tcBorders>
            <w:shd w:val="clear" w:color="auto" w:fill="FFFFFF"/>
            <w:vAlign w:val="center"/>
          </w:tcPr>
          <w:p w14:paraId="23CC12D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60 063</w:t>
            </w:r>
          </w:p>
        </w:tc>
        <w:tc>
          <w:tcPr>
            <w:tcW w:w="1471" w:type="dxa"/>
            <w:tcBorders>
              <w:top w:val="nil"/>
              <w:left w:val="nil"/>
              <w:bottom w:val="nil"/>
              <w:right w:val="nil"/>
            </w:tcBorders>
            <w:shd w:val="clear" w:color="auto" w:fill="FFFFFF"/>
            <w:vAlign w:val="center"/>
          </w:tcPr>
          <w:p w14:paraId="66FAF27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61 625</w:t>
            </w:r>
          </w:p>
        </w:tc>
        <w:tc>
          <w:tcPr>
            <w:tcW w:w="1471" w:type="dxa"/>
            <w:tcBorders>
              <w:top w:val="nil"/>
              <w:left w:val="nil"/>
              <w:bottom w:val="nil"/>
              <w:right w:val="nil"/>
            </w:tcBorders>
            <w:shd w:val="clear" w:color="auto" w:fill="FFFFFF"/>
            <w:vAlign w:val="center"/>
          </w:tcPr>
          <w:p w14:paraId="4434491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63 166</w:t>
            </w:r>
          </w:p>
        </w:tc>
        <w:tc>
          <w:tcPr>
            <w:tcW w:w="1471" w:type="dxa"/>
            <w:tcBorders>
              <w:top w:val="nil"/>
              <w:left w:val="nil"/>
              <w:bottom w:val="nil"/>
              <w:right w:val="nil"/>
            </w:tcBorders>
            <w:shd w:val="clear" w:color="auto" w:fill="FFFFFF"/>
            <w:vAlign w:val="center"/>
          </w:tcPr>
          <w:p w14:paraId="24E60334"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65 377</w:t>
            </w:r>
          </w:p>
        </w:tc>
      </w:tr>
      <w:tr w:rsidR="004A4A56" w:rsidRPr="00787323" w14:paraId="016836DC" w14:textId="77777777" w:rsidTr="004A4A56">
        <w:trPr>
          <w:cantSplit/>
          <w:trHeight w:val="306"/>
          <w:jc w:val="center"/>
        </w:trPr>
        <w:tc>
          <w:tcPr>
            <w:tcW w:w="1143" w:type="dxa"/>
            <w:tcBorders>
              <w:top w:val="nil"/>
              <w:left w:val="nil"/>
              <w:bottom w:val="nil"/>
              <w:right w:val="nil"/>
            </w:tcBorders>
            <w:shd w:val="clear" w:color="auto" w:fill="FFFFFF"/>
          </w:tcPr>
          <w:p w14:paraId="058E009B"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5</w:t>
            </w:r>
          </w:p>
        </w:tc>
        <w:tc>
          <w:tcPr>
            <w:tcW w:w="1471" w:type="dxa"/>
            <w:tcBorders>
              <w:top w:val="nil"/>
              <w:left w:val="nil"/>
              <w:bottom w:val="nil"/>
              <w:right w:val="nil"/>
            </w:tcBorders>
            <w:shd w:val="clear" w:color="auto" w:fill="FFFFFF"/>
            <w:vAlign w:val="center"/>
          </w:tcPr>
          <w:p w14:paraId="33B9DDA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58 646</w:t>
            </w:r>
          </w:p>
        </w:tc>
        <w:tc>
          <w:tcPr>
            <w:tcW w:w="1471" w:type="dxa"/>
            <w:tcBorders>
              <w:top w:val="nil"/>
              <w:left w:val="nil"/>
              <w:bottom w:val="nil"/>
              <w:right w:val="nil"/>
            </w:tcBorders>
            <w:shd w:val="clear" w:color="auto" w:fill="FFFFFF"/>
            <w:vAlign w:val="center"/>
          </w:tcPr>
          <w:p w14:paraId="7C7A057E"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61 985</w:t>
            </w:r>
          </w:p>
        </w:tc>
        <w:tc>
          <w:tcPr>
            <w:tcW w:w="1471" w:type="dxa"/>
            <w:tcBorders>
              <w:top w:val="nil"/>
              <w:left w:val="nil"/>
              <w:bottom w:val="nil"/>
              <w:right w:val="nil"/>
            </w:tcBorders>
            <w:shd w:val="clear" w:color="auto" w:fill="FFFFFF"/>
            <w:vAlign w:val="center"/>
          </w:tcPr>
          <w:p w14:paraId="7031B63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63 597</w:t>
            </w:r>
          </w:p>
        </w:tc>
        <w:tc>
          <w:tcPr>
            <w:tcW w:w="1471" w:type="dxa"/>
            <w:tcBorders>
              <w:top w:val="nil"/>
              <w:left w:val="nil"/>
              <w:bottom w:val="nil"/>
              <w:right w:val="nil"/>
            </w:tcBorders>
            <w:shd w:val="clear" w:color="auto" w:fill="FFFFFF"/>
            <w:vAlign w:val="center"/>
          </w:tcPr>
          <w:p w14:paraId="3E278D1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65 187</w:t>
            </w:r>
          </w:p>
        </w:tc>
        <w:tc>
          <w:tcPr>
            <w:tcW w:w="1471" w:type="dxa"/>
            <w:tcBorders>
              <w:top w:val="nil"/>
              <w:left w:val="nil"/>
              <w:bottom w:val="nil"/>
              <w:right w:val="nil"/>
            </w:tcBorders>
            <w:shd w:val="clear" w:color="auto" w:fill="FFFFFF"/>
            <w:vAlign w:val="center"/>
          </w:tcPr>
          <w:p w14:paraId="0E5C2E48"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67 469</w:t>
            </w:r>
          </w:p>
        </w:tc>
      </w:tr>
      <w:tr w:rsidR="004A4A56" w:rsidRPr="00787323" w14:paraId="2EA1CB7A" w14:textId="77777777" w:rsidTr="004A4A56">
        <w:trPr>
          <w:cantSplit/>
          <w:trHeight w:val="306"/>
          <w:jc w:val="center"/>
        </w:trPr>
        <w:tc>
          <w:tcPr>
            <w:tcW w:w="1143" w:type="dxa"/>
            <w:tcBorders>
              <w:top w:val="nil"/>
              <w:left w:val="nil"/>
              <w:bottom w:val="nil"/>
              <w:right w:val="nil"/>
            </w:tcBorders>
            <w:shd w:val="clear" w:color="auto" w:fill="FFFFFF"/>
          </w:tcPr>
          <w:p w14:paraId="160D39F7"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6</w:t>
            </w:r>
          </w:p>
        </w:tc>
        <w:tc>
          <w:tcPr>
            <w:tcW w:w="1471" w:type="dxa"/>
            <w:tcBorders>
              <w:top w:val="nil"/>
              <w:left w:val="nil"/>
              <w:bottom w:val="nil"/>
              <w:right w:val="nil"/>
            </w:tcBorders>
            <w:shd w:val="clear" w:color="auto" w:fill="FFFFFF"/>
            <w:vAlign w:val="center"/>
          </w:tcPr>
          <w:p w14:paraId="14757A5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59 943</w:t>
            </w:r>
          </w:p>
        </w:tc>
        <w:tc>
          <w:tcPr>
            <w:tcW w:w="1471" w:type="dxa"/>
            <w:tcBorders>
              <w:top w:val="nil"/>
              <w:left w:val="nil"/>
              <w:bottom w:val="nil"/>
              <w:right w:val="nil"/>
            </w:tcBorders>
            <w:shd w:val="clear" w:color="auto" w:fill="FFFFFF"/>
            <w:vAlign w:val="center"/>
          </w:tcPr>
          <w:p w14:paraId="79E451F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63 969</w:t>
            </w:r>
          </w:p>
        </w:tc>
        <w:tc>
          <w:tcPr>
            <w:tcW w:w="1471" w:type="dxa"/>
            <w:tcBorders>
              <w:top w:val="nil"/>
              <w:left w:val="nil"/>
              <w:bottom w:val="nil"/>
              <w:right w:val="nil"/>
            </w:tcBorders>
            <w:shd w:val="clear" w:color="auto" w:fill="FFFFFF"/>
            <w:vAlign w:val="center"/>
          </w:tcPr>
          <w:p w14:paraId="472A0CF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65 632</w:t>
            </w:r>
          </w:p>
        </w:tc>
        <w:tc>
          <w:tcPr>
            <w:tcW w:w="1471" w:type="dxa"/>
            <w:tcBorders>
              <w:top w:val="nil"/>
              <w:left w:val="nil"/>
              <w:bottom w:val="nil"/>
              <w:right w:val="nil"/>
            </w:tcBorders>
            <w:shd w:val="clear" w:color="auto" w:fill="FFFFFF"/>
            <w:vAlign w:val="center"/>
          </w:tcPr>
          <w:p w14:paraId="33407537"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67 273</w:t>
            </w:r>
          </w:p>
        </w:tc>
        <w:tc>
          <w:tcPr>
            <w:tcW w:w="1471" w:type="dxa"/>
            <w:tcBorders>
              <w:top w:val="nil"/>
              <w:left w:val="nil"/>
              <w:bottom w:val="nil"/>
              <w:right w:val="nil"/>
            </w:tcBorders>
            <w:shd w:val="clear" w:color="auto" w:fill="FFFFFF"/>
            <w:vAlign w:val="center"/>
          </w:tcPr>
          <w:p w14:paraId="4ADD80C4"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69 628</w:t>
            </w:r>
          </w:p>
        </w:tc>
      </w:tr>
      <w:tr w:rsidR="004A4A56" w:rsidRPr="00787323" w14:paraId="7EDEEB77" w14:textId="77777777" w:rsidTr="004A4A56">
        <w:trPr>
          <w:cantSplit/>
          <w:trHeight w:val="284"/>
          <w:jc w:val="center"/>
        </w:trPr>
        <w:tc>
          <w:tcPr>
            <w:tcW w:w="1143" w:type="dxa"/>
            <w:tcBorders>
              <w:top w:val="nil"/>
              <w:left w:val="nil"/>
              <w:bottom w:val="nil"/>
              <w:right w:val="nil"/>
            </w:tcBorders>
            <w:shd w:val="clear" w:color="auto" w:fill="FFFFFF"/>
          </w:tcPr>
          <w:p w14:paraId="1007CCDB"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7</w:t>
            </w:r>
          </w:p>
        </w:tc>
        <w:tc>
          <w:tcPr>
            <w:tcW w:w="1471" w:type="dxa"/>
            <w:tcBorders>
              <w:top w:val="nil"/>
              <w:left w:val="nil"/>
              <w:bottom w:val="nil"/>
              <w:right w:val="nil"/>
            </w:tcBorders>
            <w:shd w:val="clear" w:color="auto" w:fill="FFFFFF"/>
            <w:vAlign w:val="center"/>
          </w:tcPr>
          <w:p w14:paraId="164AB69E"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61 272</w:t>
            </w:r>
          </w:p>
        </w:tc>
        <w:tc>
          <w:tcPr>
            <w:tcW w:w="1471" w:type="dxa"/>
            <w:tcBorders>
              <w:top w:val="nil"/>
              <w:left w:val="nil"/>
              <w:bottom w:val="nil"/>
              <w:right w:val="nil"/>
            </w:tcBorders>
            <w:shd w:val="clear" w:color="auto" w:fill="FFFFFF"/>
            <w:vAlign w:val="center"/>
          </w:tcPr>
          <w:p w14:paraId="4B4C82B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67 107</w:t>
            </w:r>
          </w:p>
        </w:tc>
        <w:tc>
          <w:tcPr>
            <w:tcW w:w="1471" w:type="dxa"/>
            <w:tcBorders>
              <w:top w:val="nil"/>
              <w:left w:val="nil"/>
              <w:bottom w:val="nil"/>
              <w:right w:val="nil"/>
            </w:tcBorders>
            <w:shd w:val="clear" w:color="auto" w:fill="FFFFFF"/>
            <w:vAlign w:val="center"/>
          </w:tcPr>
          <w:p w14:paraId="513EC27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68 852</w:t>
            </w:r>
          </w:p>
        </w:tc>
        <w:tc>
          <w:tcPr>
            <w:tcW w:w="1471" w:type="dxa"/>
            <w:tcBorders>
              <w:top w:val="nil"/>
              <w:left w:val="nil"/>
              <w:bottom w:val="nil"/>
              <w:right w:val="nil"/>
            </w:tcBorders>
            <w:shd w:val="clear" w:color="auto" w:fill="FFFFFF"/>
            <w:vAlign w:val="center"/>
          </w:tcPr>
          <w:p w14:paraId="6FB6A32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70 573</w:t>
            </w:r>
          </w:p>
        </w:tc>
        <w:tc>
          <w:tcPr>
            <w:tcW w:w="1471" w:type="dxa"/>
            <w:tcBorders>
              <w:top w:val="nil"/>
              <w:left w:val="nil"/>
              <w:bottom w:val="nil"/>
              <w:right w:val="nil"/>
            </w:tcBorders>
            <w:shd w:val="clear" w:color="auto" w:fill="FFFFFF"/>
            <w:vAlign w:val="center"/>
          </w:tcPr>
          <w:p w14:paraId="4C9EB051"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73 043</w:t>
            </w:r>
          </w:p>
        </w:tc>
      </w:tr>
      <w:tr w:rsidR="004A4A56" w:rsidRPr="00787323" w14:paraId="1AC5EFA5" w14:textId="77777777" w:rsidTr="004A4A56">
        <w:trPr>
          <w:cantSplit/>
          <w:trHeight w:val="306"/>
          <w:jc w:val="center"/>
        </w:trPr>
        <w:tc>
          <w:tcPr>
            <w:tcW w:w="1143" w:type="dxa"/>
            <w:tcBorders>
              <w:top w:val="nil"/>
              <w:left w:val="nil"/>
              <w:bottom w:val="nil"/>
              <w:right w:val="nil"/>
            </w:tcBorders>
            <w:shd w:val="clear" w:color="auto" w:fill="FFFFFF"/>
          </w:tcPr>
          <w:p w14:paraId="48FC1E7B"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8</w:t>
            </w:r>
          </w:p>
        </w:tc>
        <w:tc>
          <w:tcPr>
            <w:tcW w:w="1471" w:type="dxa"/>
            <w:tcBorders>
              <w:top w:val="nil"/>
              <w:left w:val="nil"/>
              <w:bottom w:val="nil"/>
              <w:right w:val="nil"/>
            </w:tcBorders>
            <w:shd w:val="clear" w:color="auto" w:fill="FFFFFF"/>
            <w:vAlign w:val="center"/>
          </w:tcPr>
          <w:p w14:paraId="0B2A1E0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63 879</w:t>
            </w:r>
          </w:p>
        </w:tc>
        <w:tc>
          <w:tcPr>
            <w:tcW w:w="1471" w:type="dxa"/>
            <w:tcBorders>
              <w:top w:val="nil"/>
              <w:left w:val="nil"/>
              <w:bottom w:val="nil"/>
              <w:right w:val="nil"/>
            </w:tcBorders>
            <w:shd w:val="clear" w:color="auto" w:fill="FFFFFF"/>
            <w:vAlign w:val="center"/>
          </w:tcPr>
          <w:p w14:paraId="69CF38C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69 219</w:t>
            </w:r>
          </w:p>
        </w:tc>
        <w:tc>
          <w:tcPr>
            <w:tcW w:w="1471" w:type="dxa"/>
            <w:tcBorders>
              <w:top w:val="nil"/>
              <w:left w:val="nil"/>
              <w:bottom w:val="nil"/>
              <w:right w:val="nil"/>
            </w:tcBorders>
            <w:shd w:val="clear" w:color="auto" w:fill="FFFFFF"/>
            <w:vAlign w:val="center"/>
          </w:tcPr>
          <w:p w14:paraId="4DC3022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71 019</w:t>
            </w:r>
          </w:p>
        </w:tc>
        <w:tc>
          <w:tcPr>
            <w:tcW w:w="1471" w:type="dxa"/>
            <w:tcBorders>
              <w:top w:val="nil"/>
              <w:left w:val="nil"/>
              <w:bottom w:val="nil"/>
              <w:right w:val="nil"/>
            </w:tcBorders>
            <w:shd w:val="clear" w:color="auto" w:fill="FFFFFF"/>
            <w:vAlign w:val="center"/>
          </w:tcPr>
          <w:p w14:paraId="4D35E79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72 794</w:t>
            </w:r>
          </w:p>
        </w:tc>
        <w:tc>
          <w:tcPr>
            <w:tcW w:w="1471" w:type="dxa"/>
            <w:tcBorders>
              <w:top w:val="nil"/>
              <w:left w:val="nil"/>
              <w:bottom w:val="nil"/>
              <w:right w:val="nil"/>
            </w:tcBorders>
            <w:shd w:val="clear" w:color="auto" w:fill="FFFFFF"/>
            <w:vAlign w:val="center"/>
          </w:tcPr>
          <w:p w14:paraId="28031EEB"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75 342</w:t>
            </w:r>
          </w:p>
        </w:tc>
      </w:tr>
      <w:tr w:rsidR="004A4A56" w:rsidRPr="00787323" w14:paraId="69232AE9" w14:textId="77777777" w:rsidTr="004A4A56">
        <w:trPr>
          <w:cantSplit/>
          <w:trHeight w:val="306"/>
          <w:jc w:val="center"/>
        </w:trPr>
        <w:tc>
          <w:tcPr>
            <w:tcW w:w="1143" w:type="dxa"/>
            <w:tcBorders>
              <w:top w:val="nil"/>
              <w:left w:val="nil"/>
              <w:bottom w:val="nil"/>
              <w:right w:val="nil"/>
            </w:tcBorders>
            <w:shd w:val="clear" w:color="auto" w:fill="FFFFFF"/>
          </w:tcPr>
          <w:p w14:paraId="3687515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9</w:t>
            </w:r>
          </w:p>
        </w:tc>
        <w:tc>
          <w:tcPr>
            <w:tcW w:w="1471" w:type="dxa"/>
            <w:tcBorders>
              <w:top w:val="nil"/>
              <w:left w:val="nil"/>
              <w:bottom w:val="nil"/>
              <w:right w:val="nil"/>
            </w:tcBorders>
            <w:shd w:val="clear" w:color="auto" w:fill="FFFFFF"/>
            <w:vAlign w:val="center"/>
          </w:tcPr>
          <w:p w14:paraId="0048BD5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66 592</w:t>
            </w:r>
          </w:p>
        </w:tc>
        <w:tc>
          <w:tcPr>
            <w:tcW w:w="1471" w:type="dxa"/>
            <w:tcBorders>
              <w:top w:val="nil"/>
              <w:left w:val="nil"/>
              <w:bottom w:val="nil"/>
              <w:right w:val="nil"/>
            </w:tcBorders>
            <w:shd w:val="clear" w:color="auto" w:fill="FFFFFF"/>
            <w:vAlign w:val="center"/>
          </w:tcPr>
          <w:p w14:paraId="01939B2E"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71 400</w:t>
            </w:r>
          </w:p>
        </w:tc>
        <w:tc>
          <w:tcPr>
            <w:tcW w:w="1471" w:type="dxa"/>
            <w:tcBorders>
              <w:top w:val="nil"/>
              <w:left w:val="nil"/>
              <w:bottom w:val="nil"/>
              <w:right w:val="nil"/>
            </w:tcBorders>
            <w:shd w:val="clear" w:color="auto" w:fill="FFFFFF"/>
            <w:vAlign w:val="center"/>
          </w:tcPr>
          <w:p w14:paraId="16B4E38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73 256</w:t>
            </w:r>
          </w:p>
        </w:tc>
        <w:tc>
          <w:tcPr>
            <w:tcW w:w="1471" w:type="dxa"/>
            <w:tcBorders>
              <w:top w:val="nil"/>
              <w:left w:val="nil"/>
              <w:bottom w:val="nil"/>
              <w:right w:val="nil"/>
            </w:tcBorders>
            <w:shd w:val="clear" w:color="auto" w:fill="FFFFFF"/>
            <w:vAlign w:val="center"/>
          </w:tcPr>
          <w:p w14:paraId="348922D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75 087</w:t>
            </w:r>
          </w:p>
        </w:tc>
        <w:tc>
          <w:tcPr>
            <w:tcW w:w="1471" w:type="dxa"/>
            <w:tcBorders>
              <w:top w:val="nil"/>
              <w:left w:val="nil"/>
              <w:bottom w:val="nil"/>
              <w:right w:val="nil"/>
            </w:tcBorders>
            <w:shd w:val="clear" w:color="auto" w:fill="FFFFFF"/>
            <w:vAlign w:val="center"/>
          </w:tcPr>
          <w:p w14:paraId="0C09A59D"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77 715</w:t>
            </w:r>
          </w:p>
        </w:tc>
      </w:tr>
      <w:tr w:rsidR="004A4A56" w:rsidRPr="00787323" w14:paraId="3842C4C5" w14:textId="77777777" w:rsidTr="004A4A56">
        <w:trPr>
          <w:cantSplit/>
          <w:trHeight w:val="306"/>
          <w:jc w:val="center"/>
        </w:trPr>
        <w:tc>
          <w:tcPr>
            <w:tcW w:w="1143" w:type="dxa"/>
            <w:tcBorders>
              <w:top w:val="nil"/>
              <w:left w:val="nil"/>
              <w:bottom w:val="nil"/>
              <w:right w:val="nil"/>
            </w:tcBorders>
            <w:shd w:val="clear" w:color="auto" w:fill="FFFFFF"/>
          </w:tcPr>
          <w:p w14:paraId="0532134D"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10</w:t>
            </w:r>
          </w:p>
        </w:tc>
        <w:tc>
          <w:tcPr>
            <w:tcW w:w="1471" w:type="dxa"/>
            <w:tcBorders>
              <w:top w:val="nil"/>
              <w:left w:val="nil"/>
              <w:bottom w:val="nil"/>
              <w:right w:val="nil"/>
            </w:tcBorders>
            <w:shd w:val="clear" w:color="auto" w:fill="FFFFFF"/>
            <w:vAlign w:val="center"/>
          </w:tcPr>
          <w:p w14:paraId="6D1B1E9A"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69 423</w:t>
            </w:r>
          </w:p>
        </w:tc>
        <w:tc>
          <w:tcPr>
            <w:tcW w:w="1471" w:type="dxa"/>
            <w:tcBorders>
              <w:top w:val="nil"/>
              <w:left w:val="nil"/>
              <w:bottom w:val="nil"/>
              <w:right w:val="nil"/>
            </w:tcBorders>
            <w:shd w:val="clear" w:color="auto" w:fill="FFFFFF"/>
            <w:vAlign w:val="center"/>
          </w:tcPr>
          <w:p w14:paraId="4471EB8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74 195</w:t>
            </w:r>
          </w:p>
        </w:tc>
        <w:tc>
          <w:tcPr>
            <w:tcW w:w="1471" w:type="dxa"/>
            <w:tcBorders>
              <w:top w:val="nil"/>
              <w:left w:val="nil"/>
              <w:bottom w:val="nil"/>
              <w:right w:val="nil"/>
            </w:tcBorders>
            <w:shd w:val="clear" w:color="auto" w:fill="FFFFFF"/>
            <w:vAlign w:val="center"/>
          </w:tcPr>
          <w:p w14:paraId="6165CEB1"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76 124</w:t>
            </w:r>
          </w:p>
        </w:tc>
        <w:tc>
          <w:tcPr>
            <w:tcW w:w="1471" w:type="dxa"/>
            <w:tcBorders>
              <w:top w:val="nil"/>
              <w:left w:val="nil"/>
              <w:bottom w:val="nil"/>
              <w:right w:val="nil"/>
            </w:tcBorders>
            <w:shd w:val="clear" w:color="auto" w:fill="FFFFFF"/>
            <w:vAlign w:val="center"/>
          </w:tcPr>
          <w:p w14:paraId="19B75A08"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78 027</w:t>
            </w:r>
          </w:p>
        </w:tc>
        <w:tc>
          <w:tcPr>
            <w:tcW w:w="1471" w:type="dxa"/>
            <w:tcBorders>
              <w:top w:val="nil"/>
              <w:left w:val="nil"/>
              <w:bottom w:val="nil"/>
              <w:right w:val="nil"/>
            </w:tcBorders>
            <w:shd w:val="clear" w:color="auto" w:fill="FFFFFF"/>
            <w:vAlign w:val="center"/>
          </w:tcPr>
          <w:p w14:paraId="2A05B6CE"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80 758</w:t>
            </w:r>
          </w:p>
        </w:tc>
      </w:tr>
      <w:tr w:rsidR="004A4A56" w:rsidRPr="00787323" w14:paraId="2016BAEB" w14:textId="77777777" w:rsidTr="004A4A56">
        <w:trPr>
          <w:cantSplit/>
          <w:trHeight w:val="306"/>
          <w:jc w:val="center"/>
        </w:trPr>
        <w:tc>
          <w:tcPr>
            <w:tcW w:w="1143" w:type="dxa"/>
            <w:tcBorders>
              <w:top w:val="nil"/>
              <w:left w:val="nil"/>
              <w:bottom w:val="nil"/>
              <w:right w:val="nil"/>
            </w:tcBorders>
            <w:shd w:val="clear" w:color="auto" w:fill="FFFFFF"/>
          </w:tcPr>
          <w:p w14:paraId="74837B6D"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11</w:t>
            </w:r>
          </w:p>
        </w:tc>
        <w:tc>
          <w:tcPr>
            <w:tcW w:w="1471" w:type="dxa"/>
            <w:tcBorders>
              <w:top w:val="nil"/>
              <w:left w:val="nil"/>
              <w:bottom w:val="nil"/>
              <w:right w:val="nil"/>
            </w:tcBorders>
            <w:shd w:val="clear" w:color="auto" w:fill="FFFFFF"/>
            <w:vAlign w:val="center"/>
          </w:tcPr>
          <w:p w14:paraId="7322F7D6"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72 843</w:t>
            </w:r>
          </w:p>
        </w:tc>
        <w:tc>
          <w:tcPr>
            <w:tcW w:w="1471" w:type="dxa"/>
            <w:tcBorders>
              <w:top w:val="nil"/>
              <w:left w:val="nil"/>
              <w:bottom w:val="nil"/>
              <w:right w:val="nil"/>
            </w:tcBorders>
            <w:shd w:val="clear" w:color="auto" w:fill="FFFFFF"/>
            <w:vAlign w:val="center"/>
          </w:tcPr>
          <w:p w14:paraId="1F8AB4A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76 836</w:t>
            </w:r>
          </w:p>
        </w:tc>
        <w:tc>
          <w:tcPr>
            <w:tcW w:w="1471" w:type="dxa"/>
            <w:tcBorders>
              <w:top w:val="nil"/>
              <w:left w:val="nil"/>
              <w:bottom w:val="nil"/>
              <w:right w:val="nil"/>
            </w:tcBorders>
            <w:shd w:val="clear" w:color="auto" w:fill="FFFFFF"/>
            <w:vAlign w:val="center"/>
          </w:tcPr>
          <w:p w14:paraId="2741DB90"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78 834</w:t>
            </w:r>
          </w:p>
        </w:tc>
        <w:tc>
          <w:tcPr>
            <w:tcW w:w="1471" w:type="dxa"/>
            <w:tcBorders>
              <w:top w:val="nil"/>
              <w:left w:val="nil"/>
              <w:bottom w:val="nil"/>
              <w:right w:val="nil"/>
            </w:tcBorders>
            <w:shd w:val="clear" w:color="auto" w:fill="FFFFFF"/>
            <w:vAlign w:val="center"/>
          </w:tcPr>
          <w:p w14:paraId="2490FC2E"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80 805</w:t>
            </w:r>
          </w:p>
        </w:tc>
        <w:tc>
          <w:tcPr>
            <w:tcW w:w="1471" w:type="dxa"/>
            <w:tcBorders>
              <w:top w:val="nil"/>
              <w:left w:val="nil"/>
              <w:bottom w:val="nil"/>
              <w:right w:val="nil"/>
            </w:tcBorders>
            <w:shd w:val="clear" w:color="auto" w:fill="FFFFFF"/>
            <w:vAlign w:val="center"/>
          </w:tcPr>
          <w:p w14:paraId="69273485"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83 633</w:t>
            </w:r>
          </w:p>
        </w:tc>
      </w:tr>
      <w:tr w:rsidR="004A4A56" w:rsidRPr="00787323" w14:paraId="39FCB68A" w14:textId="77777777" w:rsidTr="004A4A56">
        <w:trPr>
          <w:cantSplit/>
          <w:trHeight w:val="284"/>
          <w:jc w:val="center"/>
        </w:trPr>
        <w:tc>
          <w:tcPr>
            <w:tcW w:w="1143" w:type="dxa"/>
            <w:tcBorders>
              <w:top w:val="nil"/>
              <w:left w:val="nil"/>
              <w:bottom w:val="nil"/>
              <w:right w:val="nil"/>
            </w:tcBorders>
            <w:shd w:val="clear" w:color="auto" w:fill="FFFFFF"/>
          </w:tcPr>
          <w:p w14:paraId="230D92B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12</w:t>
            </w:r>
          </w:p>
        </w:tc>
        <w:tc>
          <w:tcPr>
            <w:tcW w:w="1471" w:type="dxa"/>
            <w:tcBorders>
              <w:top w:val="nil"/>
              <w:left w:val="nil"/>
              <w:bottom w:val="nil"/>
              <w:right w:val="nil"/>
            </w:tcBorders>
            <w:shd w:val="clear" w:color="auto" w:fill="FFFFFF"/>
            <w:vAlign w:val="center"/>
          </w:tcPr>
          <w:p w14:paraId="5AC2BCB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76 479</w:t>
            </w:r>
          </w:p>
        </w:tc>
        <w:tc>
          <w:tcPr>
            <w:tcW w:w="1471" w:type="dxa"/>
            <w:tcBorders>
              <w:top w:val="nil"/>
              <w:left w:val="nil"/>
              <w:bottom w:val="nil"/>
              <w:right w:val="nil"/>
            </w:tcBorders>
            <w:shd w:val="clear" w:color="auto" w:fill="FFFFFF"/>
            <w:vAlign w:val="center"/>
          </w:tcPr>
          <w:p w14:paraId="7BCF905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79 862</w:t>
            </w:r>
          </w:p>
        </w:tc>
        <w:tc>
          <w:tcPr>
            <w:tcW w:w="1471" w:type="dxa"/>
            <w:tcBorders>
              <w:top w:val="nil"/>
              <w:left w:val="nil"/>
              <w:bottom w:val="nil"/>
              <w:right w:val="nil"/>
            </w:tcBorders>
            <w:shd w:val="clear" w:color="auto" w:fill="FFFFFF"/>
            <w:vAlign w:val="center"/>
          </w:tcPr>
          <w:p w14:paraId="64E0AF0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81 938</w:t>
            </w:r>
          </w:p>
        </w:tc>
        <w:tc>
          <w:tcPr>
            <w:tcW w:w="1471" w:type="dxa"/>
            <w:tcBorders>
              <w:top w:val="nil"/>
              <w:left w:val="nil"/>
              <w:bottom w:val="nil"/>
              <w:right w:val="nil"/>
            </w:tcBorders>
            <w:shd w:val="clear" w:color="auto" w:fill="FFFFFF"/>
            <w:vAlign w:val="center"/>
          </w:tcPr>
          <w:p w14:paraId="1AA8329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83 986</w:t>
            </w:r>
          </w:p>
        </w:tc>
        <w:tc>
          <w:tcPr>
            <w:tcW w:w="1471" w:type="dxa"/>
            <w:tcBorders>
              <w:top w:val="nil"/>
              <w:left w:val="nil"/>
              <w:bottom w:val="nil"/>
              <w:right w:val="nil"/>
            </w:tcBorders>
            <w:shd w:val="clear" w:color="auto" w:fill="FFFFFF"/>
            <w:vAlign w:val="center"/>
          </w:tcPr>
          <w:p w14:paraId="41AA3695"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86 926</w:t>
            </w:r>
          </w:p>
        </w:tc>
      </w:tr>
      <w:tr w:rsidR="004A4A56" w:rsidRPr="00787323" w14:paraId="771B4C34" w14:textId="77777777" w:rsidTr="004A4A56">
        <w:trPr>
          <w:cantSplit/>
          <w:trHeight w:val="306"/>
          <w:jc w:val="center"/>
        </w:trPr>
        <w:tc>
          <w:tcPr>
            <w:tcW w:w="1143" w:type="dxa"/>
            <w:tcBorders>
              <w:top w:val="nil"/>
              <w:left w:val="nil"/>
              <w:bottom w:val="nil"/>
              <w:right w:val="nil"/>
            </w:tcBorders>
            <w:shd w:val="clear" w:color="auto" w:fill="FFFFFF"/>
          </w:tcPr>
          <w:p w14:paraId="2EF39FC1"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13</w:t>
            </w:r>
          </w:p>
        </w:tc>
        <w:tc>
          <w:tcPr>
            <w:tcW w:w="1471" w:type="dxa"/>
            <w:tcBorders>
              <w:top w:val="nil"/>
              <w:left w:val="nil"/>
              <w:bottom w:val="nil"/>
              <w:right w:val="nil"/>
            </w:tcBorders>
            <w:shd w:val="clear" w:color="auto" w:fill="FFFFFF"/>
            <w:vAlign w:val="center"/>
          </w:tcPr>
          <w:p w14:paraId="53447DD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80 290</w:t>
            </w:r>
          </w:p>
        </w:tc>
        <w:tc>
          <w:tcPr>
            <w:tcW w:w="1471" w:type="dxa"/>
            <w:tcBorders>
              <w:top w:val="nil"/>
              <w:left w:val="nil"/>
              <w:bottom w:val="nil"/>
              <w:right w:val="nil"/>
            </w:tcBorders>
            <w:shd w:val="clear" w:color="auto" w:fill="FFFFFF"/>
            <w:vAlign w:val="center"/>
          </w:tcPr>
          <w:p w14:paraId="059D5D7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82 538</w:t>
            </w:r>
          </w:p>
        </w:tc>
        <w:tc>
          <w:tcPr>
            <w:tcW w:w="1471" w:type="dxa"/>
            <w:tcBorders>
              <w:top w:val="nil"/>
              <w:left w:val="nil"/>
              <w:bottom w:val="nil"/>
              <w:right w:val="nil"/>
            </w:tcBorders>
            <w:shd w:val="clear" w:color="auto" w:fill="FFFFFF"/>
            <w:vAlign w:val="center"/>
          </w:tcPr>
          <w:p w14:paraId="011700A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84 684</w:t>
            </w:r>
          </w:p>
        </w:tc>
        <w:tc>
          <w:tcPr>
            <w:tcW w:w="1471" w:type="dxa"/>
            <w:tcBorders>
              <w:top w:val="nil"/>
              <w:left w:val="nil"/>
              <w:bottom w:val="nil"/>
              <w:right w:val="nil"/>
            </w:tcBorders>
            <w:shd w:val="clear" w:color="auto" w:fill="FFFFFF"/>
            <w:vAlign w:val="center"/>
          </w:tcPr>
          <w:p w14:paraId="6A802A5B"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86 801</w:t>
            </w:r>
          </w:p>
        </w:tc>
        <w:tc>
          <w:tcPr>
            <w:tcW w:w="1471" w:type="dxa"/>
            <w:tcBorders>
              <w:top w:val="nil"/>
              <w:left w:val="nil"/>
              <w:bottom w:val="nil"/>
              <w:right w:val="nil"/>
            </w:tcBorders>
            <w:shd w:val="clear" w:color="auto" w:fill="FFFFFF"/>
            <w:vAlign w:val="center"/>
          </w:tcPr>
          <w:p w14:paraId="51E5C74A"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89 839</w:t>
            </w:r>
          </w:p>
        </w:tc>
      </w:tr>
      <w:tr w:rsidR="004A4A56" w:rsidRPr="00787323" w14:paraId="1D0022D9" w14:textId="77777777" w:rsidTr="004A4A56">
        <w:trPr>
          <w:cantSplit/>
          <w:trHeight w:val="306"/>
          <w:jc w:val="center"/>
        </w:trPr>
        <w:tc>
          <w:tcPr>
            <w:tcW w:w="1143" w:type="dxa"/>
            <w:tcBorders>
              <w:top w:val="nil"/>
              <w:left w:val="nil"/>
              <w:bottom w:val="nil"/>
              <w:right w:val="nil"/>
            </w:tcBorders>
            <w:shd w:val="clear" w:color="auto" w:fill="FFFFFF"/>
          </w:tcPr>
          <w:p w14:paraId="6D475D6D"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14</w:t>
            </w:r>
          </w:p>
        </w:tc>
        <w:tc>
          <w:tcPr>
            <w:tcW w:w="1471" w:type="dxa"/>
            <w:tcBorders>
              <w:top w:val="nil"/>
              <w:left w:val="nil"/>
              <w:bottom w:val="nil"/>
              <w:right w:val="nil"/>
            </w:tcBorders>
            <w:shd w:val="clear" w:color="auto" w:fill="FFFFFF"/>
            <w:vAlign w:val="center"/>
          </w:tcPr>
          <w:p w14:paraId="65D8063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84 293</w:t>
            </w:r>
          </w:p>
        </w:tc>
        <w:tc>
          <w:tcPr>
            <w:tcW w:w="1471" w:type="dxa"/>
            <w:tcBorders>
              <w:top w:val="nil"/>
              <w:left w:val="nil"/>
              <w:bottom w:val="nil"/>
              <w:right w:val="nil"/>
            </w:tcBorders>
            <w:shd w:val="clear" w:color="auto" w:fill="FFFFFF"/>
            <w:vAlign w:val="center"/>
          </w:tcPr>
          <w:p w14:paraId="2B739AA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86 653</w:t>
            </w:r>
          </w:p>
        </w:tc>
        <w:tc>
          <w:tcPr>
            <w:tcW w:w="1471" w:type="dxa"/>
            <w:tcBorders>
              <w:top w:val="nil"/>
              <w:left w:val="nil"/>
              <w:bottom w:val="nil"/>
              <w:right w:val="nil"/>
            </w:tcBorders>
            <w:shd w:val="clear" w:color="auto" w:fill="FFFFFF"/>
            <w:vAlign w:val="center"/>
          </w:tcPr>
          <w:p w14:paraId="0D004891"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88 906</w:t>
            </w:r>
          </w:p>
        </w:tc>
        <w:tc>
          <w:tcPr>
            <w:tcW w:w="1471" w:type="dxa"/>
            <w:tcBorders>
              <w:top w:val="nil"/>
              <w:left w:val="nil"/>
              <w:bottom w:val="nil"/>
              <w:right w:val="nil"/>
            </w:tcBorders>
            <w:shd w:val="clear" w:color="auto" w:fill="FFFFFF"/>
            <w:vAlign w:val="center"/>
          </w:tcPr>
          <w:p w14:paraId="5EECA4F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91 129</w:t>
            </w:r>
          </w:p>
        </w:tc>
        <w:tc>
          <w:tcPr>
            <w:tcW w:w="1471" w:type="dxa"/>
            <w:tcBorders>
              <w:top w:val="nil"/>
              <w:left w:val="nil"/>
              <w:bottom w:val="nil"/>
              <w:right w:val="nil"/>
            </w:tcBorders>
            <w:shd w:val="clear" w:color="auto" w:fill="FFFFFF"/>
            <w:vAlign w:val="center"/>
          </w:tcPr>
          <w:p w14:paraId="37824E3C"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94 319</w:t>
            </w:r>
          </w:p>
        </w:tc>
      </w:tr>
      <w:tr w:rsidR="004A4A56" w:rsidRPr="00787323" w14:paraId="6B013D9C" w14:textId="77777777" w:rsidTr="004A4A56">
        <w:trPr>
          <w:cantSplit/>
          <w:trHeight w:val="306"/>
          <w:jc w:val="center"/>
        </w:trPr>
        <w:tc>
          <w:tcPr>
            <w:tcW w:w="1143" w:type="dxa"/>
            <w:tcBorders>
              <w:top w:val="nil"/>
              <w:left w:val="nil"/>
              <w:bottom w:val="nil"/>
              <w:right w:val="nil"/>
            </w:tcBorders>
            <w:shd w:val="clear" w:color="auto" w:fill="FFFFFF"/>
          </w:tcPr>
          <w:p w14:paraId="2945AA83"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15</w:t>
            </w:r>
          </w:p>
        </w:tc>
        <w:tc>
          <w:tcPr>
            <w:tcW w:w="1471" w:type="dxa"/>
            <w:tcBorders>
              <w:top w:val="nil"/>
              <w:left w:val="nil"/>
              <w:bottom w:val="nil"/>
              <w:right w:val="nil"/>
            </w:tcBorders>
            <w:shd w:val="clear" w:color="auto" w:fill="FFFFFF"/>
            <w:vAlign w:val="center"/>
          </w:tcPr>
          <w:p w14:paraId="70AB289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88 489</w:t>
            </w:r>
          </w:p>
        </w:tc>
        <w:tc>
          <w:tcPr>
            <w:tcW w:w="1471" w:type="dxa"/>
            <w:tcBorders>
              <w:top w:val="nil"/>
              <w:left w:val="nil"/>
              <w:bottom w:val="nil"/>
              <w:right w:val="nil"/>
            </w:tcBorders>
            <w:shd w:val="clear" w:color="auto" w:fill="FFFFFF"/>
            <w:vAlign w:val="center"/>
          </w:tcPr>
          <w:p w14:paraId="71415A9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90 967</w:t>
            </w:r>
          </w:p>
        </w:tc>
        <w:tc>
          <w:tcPr>
            <w:tcW w:w="1471" w:type="dxa"/>
            <w:tcBorders>
              <w:top w:val="nil"/>
              <w:left w:val="nil"/>
              <w:bottom w:val="nil"/>
              <w:right w:val="nil"/>
            </w:tcBorders>
            <w:shd w:val="clear" w:color="auto" w:fill="FFFFFF"/>
            <w:vAlign w:val="center"/>
          </w:tcPr>
          <w:p w14:paraId="733D00A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93 332</w:t>
            </w:r>
          </w:p>
        </w:tc>
        <w:tc>
          <w:tcPr>
            <w:tcW w:w="1471" w:type="dxa"/>
            <w:tcBorders>
              <w:top w:val="nil"/>
              <w:left w:val="nil"/>
              <w:bottom w:val="nil"/>
              <w:right w:val="nil"/>
            </w:tcBorders>
            <w:shd w:val="clear" w:color="auto" w:fill="FFFFFF"/>
            <w:vAlign w:val="center"/>
          </w:tcPr>
          <w:p w14:paraId="064E467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95 665</w:t>
            </w:r>
          </w:p>
        </w:tc>
        <w:tc>
          <w:tcPr>
            <w:tcW w:w="1471" w:type="dxa"/>
            <w:tcBorders>
              <w:top w:val="nil"/>
              <w:left w:val="nil"/>
              <w:bottom w:val="nil"/>
              <w:right w:val="nil"/>
            </w:tcBorders>
            <w:shd w:val="clear" w:color="auto" w:fill="FFFFFF"/>
            <w:vAlign w:val="center"/>
          </w:tcPr>
          <w:p w14:paraId="03F1B6DF"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99 013</w:t>
            </w:r>
          </w:p>
        </w:tc>
      </w:tr>
      <w:tr w:rsidR="004A4A56" w:rsidRPr="00787323" w14:paraId="74861B7C" w14:textId="77777777" w:rsidTr="004A4A56">
        <w:trPr>
          <w:cantSplit/>
          <w:trHeight w:val="306"/>
          <w:jc w:val="center"/>
        </w:trPr>
        <w:tc>
          <w:tcPr>
            <w:tcW w:w="1143" w:type="dxa"/>
            <w:tcBorders>
              <w:top w:val="nil"/>
              <w:left w:val="nil"/>
              <w:bottom w:val="nil"/>
              <w:right w:val="nil"/>
            </w:tcBorders>
            <w:shd w:val="clear" w:color="auto" w:fill="FFFFFF"/>
          </w:tcPr>
          <w:p w14:paraId="29A57725"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16</w:t>
            </w:r>
          </w:p>
        </w:tc>
        <w:tc>
          <w:tcPr>
            <w:tcW w:w="1471" w:type="dxa"/>
            <w:tcBorders>
              <w:top w:val="nil"/>
              <w:left w:val="nil"/>
              <w:bottom w:val="nil"/>
              <w:right w:val="nil"/>
            </w:tcBorders>
            <w:shd w:val="clear" w:color="auto" w:fill="FFFFFF"/>
            <w:vAlign w:val="center"/>
          </w:tcPr>
          <w:p w14:paraId="4BD8887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92 906</w:t>
            </w:r>
          </w:p>
        </w:tc>
        <w:tc>
          <w:tcPr>
            <w:tcW w:w="1471" w:type="dxa"/>
            <w:tcBorders>
              <w:top w:val="nil"/>
              <w:left w:val="nil"/>
              <w:bottom w:val="nil"/>
              <w:right w:val="nil"/>
            </w:tcBorders>
            <w:shd w:val="clear" w:color="auto" w:fill="FFFFFF"/>
            <w:vAlign w:val="center"/>
          </w:tcPr>
          <w:p w14:paraId="4CF7A4F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95 507</w:t>
            </w:r>
          </w:p>
        </w:tc>
        <w:tc>
          <w:tcPr>
            <w:tcW w:w="1471" w:type="dxa"/>
            <w:tcBorders>
              <w:top w:val="nil"/>
              <w:left w:val="nil"/>
              <w:bottom w:val="nil"/>
              <w:right w:val="nil"/>
            </w:tcBorders>
            <w:shd w:val="clear" w:color="auto" w:fill="FFFFFF"/>
            <w:vAlign w:val="center"/>
          </w:tcPr>
          <w:p w14:paraId="5380042C"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97 990</w:t>
            </w:r>
          </w:p>
        </w:tc>
        <w:tc>
          <w:tcPr>
            <w:tcW w:w="1471" w:type="dxa"/>
            <w:tcBorders>
              <w:top w:val="nil"/>
              <w:left w:val="nil"/>
              <w:bottom w:val="nil"/>
              <w:right w:val="nil"/>
            </w:tcBorders>
            <w:shd w:val="clear" w:color="auto" w:fill="FFFFFF"/>
            <w:vAlign w:val="center"/>
          </w:tcPr>
          <w:p w14:paraId="712CFC86"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100 440</w:t>
            </w:r>
          </w:p>
        </w:tc>
        <w:tc>
          <w:tcPr>
            <w:tcW w:w="1471" w:type="dxa"/>
            <w:tcBorders>
              <w:top w:val="nil"/>
              <w:left w:val="nil"/>
              <w:bottom w:val="nil"/>
              <w:right w:val="nil"/>
            </w:tcBorders>
            <w:shd w:val="clear" w:color="auto" w:fill="FFFFFF"/>
            <w:vAlign w:val="center"/>
          </w:tcPr>
          <w:p w14:paraId="65E09A23"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103 955</w:t>
            </w:r>
          </w:p>
        </w:tc>
      </w:tr>
      <w:tr w:rsidR="004A4A56" w:rsidRPr="00787323" w14:paraId="0F0785AE" w14:textId="77777777" w:rsidTr="004A4A56">
        <w:trPr>
          <w:cantSplit/>
          <w:trHeight w:val="284"/>
          <w:jc w:val="center"/>
        </w:trPr>
        <w:tc>
          <w:tcPr>
            <w:tcW w:w="1143" w:type="dxa"/>
            <w:tcBorders>
              <w:top w:val="nil"/>
              <w:left w:val="nil"/>
              <w:bottom w:val="nil"/>
              <w:right w:val="nil"/>
            </w:tcBorders>
            <w:shd w:val="clear" w:color="auto" w:fill="FFFFFF"/>
          </w:tcPr>
          <w:p w14:paraId="57D95E07"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rPr>
            </w:pPr>
            <w:r w:rsidRPr="00316277">
              <w:rPr>
                <w:rFonts w:cs="Arial"/>
                <w:color w:val="000000"/>
                <w:sz w:val="22"/>
                <w:szCs w:val="22"/>
              </w:rPr>
              <w:t>17</w:t>
            </w:r>
          </w:p>
        </w:tc>
        <w:tc>
          <w:tcPr>
            <w:tcW w:w="1471" w:type="dxa"/>
            <w:tcBorders>
              <w:top w:val="nil"/>
              <w:left w:val="nil"/>
              <w:bottom w:val="nil"/>
              <w:right w:val="nil"/>
            </w:tcBorders>
            <w:shd w:val="clear" w:color="auto" w:fill="FFFFFF"/>
            <w:vAlign w:val="center"/>
          </w:tcPr>
          <w:p w14:paraId="48F927A8"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97 543</w:t>
            </w:r>
          </w:p>
        </w:tc>
        <w:tc>
          <w:tcPr>
            <w:tcW w:w="1471" w:type="dxa"/>
            <w:tcBorders>
              <w:top w:val="nil"/>
              <w:left w:val="nil"/>
              <w:bottom w:val="nil"/>
              <w:right w:val="nil"/>
            </w:tcBorders>
            <w:shd w:val="clear" w:color="auto" w:fill="FFFFFF"/>
            <w:vAlign w:val="center"/>
          </w:tcPr>
          <w:p w14:paraId="19732E3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100 282</w:t>
            </w:r>
          </w:p>
        </w:tc>
        <w:tc>
          <w:tcPr>
            <w:tcW w:w="1471" w:type="dxa"/>
            <w:tcBorders>
              <w:top w:val="nil"/>
              <w:left w:val="nil"/>
              <w:bottom w:val="nil"/>
              <w:right w:val="nil"/>
            </w:tcBorders>
            <w:shd w:val="clear" w:color="auto" w:fill="FFFFFF"/>
            <w:vAlign w:val="center"/>
          </w:tcPr>
          <w:p w14:paraId="72C03005"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102 894</w:t>
            </w:r>
          </w:p>
        </w:tc>
        <w:tc>
          <w:tcPr>
            <w:tcW w:w="1471" w:type="dxa"/>
            <w:tcBorders>
              <w:top w:val="nil"/>
              <w:left w:val="nil"/>
              <w:bottom w:val="nil"/>
              <w:right w:val="nil"/>
            </w:tcBorders>
            <w:shd w:val="clear" w:color="auto" w:fill="FFFFFF"/>
            <w:vAlign w:val="center"/>
          </w:tcPr>
          <w:p w14:paraId="51FF1352"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105 469</w:t>
            </w:r>
          </w:p>
        </w:tc>
        <w:tc>
          <w:tcPr>
            <w:tcW w:w="1471" w:type="dxa"/>
            <w:tcBorders>
              <w:top w:val="nil"/>
              <w:left w:val="nil"/>
              <w:bottom w:val="nil"/>
              <w:right w:val="nil"/>
            </w:tcBorders>
            <w:shd w:val="clear" w:color="auto" w:fill="FFFFFF"/>
            <w:vAlign w:val="center"/>
          </w:tcPr>
          <w:p w14:paraId="41951305"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109 158</w:t>
            </w:r>
          </w:p>
        </w:tc>
      </w:tr>
      <w:tr w:rsidR="004A4A56" w:rsidRPr="00787323" w14:paraId="475BD509" w14:textId="77777777" w:rsidTr="004A4A56">
        <w:trPr>
          <w:cantSplit/>
          <w:trHeight w:val="306"/>
          <w:jc w:val="center"/>
        </w:trPr>
        <w:tc>
          <w:tcPr>
            <w:tcW w:w="1143" w:type="dxa"/>
            <w:tcBorders>
              <w:top w:val="nil"/>
              <w:left w:val="nil"/>
              <w:bottom w:val="nil"/>
              <w:right w:val="nil"/>
            </w:tcBorders>
            <w:shd w:val="clear" w:color="auto" w:fill="FFFFFF"/>
          </w:tcPr>
          <w:p w14:paraId="2EA0160A"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18</w:t>
            </w:r>
          </w:p>
        </w:tc>
        <w:tc>
          <w:tcPr>
            <w:tcW w:w="1471" w:type="dxa"/>
            <w:tcBorders>
              <w:top w:val="nil"/>
              <w:left w:val="nil"/>
              <w:bottom w:val="nil"/>
              <w:right w:val="nil"/>
            </w:tcBorders>
            <w:shd w:val="clear" w:color="auto" w:fill="FFFFFF"/>
            <w:vAlign w:val="center"/>
          </w:tcPr>
          <w:p w14:paraId="4E7A4F7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99 133</w:t>
            </w:r>
          </w:p>
        </w:tc>
        <w:tc>
          <w:tcPr>
            <w:tcW w:w="1471" w:type="dxa"/>
            <w:tcBorders>
              <w:top w:val="nil"/>
              <w:left w:val="nil"/>
              <w:bottom w:val="nil"/>
              <w:right w:val="nil"/>
            </w:tcBorders>
            <w:shd w:val="clear" w:color="auto" w:fill="FFFFFF"/>
            <w:vAlign w:val="center"/>
          </w:tcPr>
          <w:p w14:paraId="4546FC77"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101 917</w:t>
            </w:r>
          </w:p>
        </w:tc>
        <w:tc>
          <w:tcPr>
            <w:tcW w:w="1471" w:type="dxa"/>
            <w:tcBorders>
              <w:top w:val="nil"/>
              <w:left w:val="nil"/>
              <w:bottom w:val="nil"/>
              <w:right w:val="nil"/>
            </w:tcBorders>
            <w:shd w:val="clear" w:color="auto" w:fill="FFFFFF"/>
            <w:vAlign w:val="center"/>
          </w:tcPr>
          <w:p w14:paraId="4F504D9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104 571</w:t>
            </w:r>
          </w:p>
        </w:tc>
        <w:tc>
          <w:tcPr>
            <w:tcW w:w="1471" w:type="dxa"/>
            <w:tcBorders>
              <w:top w:val="nil"/>
              <w:left w:val="nil"/>
              <w:bottom w:val="nil"/>
              <w:right w:val="nil"/>
            </w:tcBorders>
            <w:shd w:val="clear" w:color="auto" w:fill="FFFFFF"/>
            <w:vAlign w:val="center"/>
          </w:tcPr>
          <w:p w14:paraId="56BCF344"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107 188</w:t>
            </w:r>
          </w:p>
        </w:tc>
        <w:tc>
          <w:tcPr>
            <w:tcW w:w="1471" w:type="dxa"/>
            <w:tcBorders>
              <w:top w:val="nil"/>
              <w:left w:val="nil"/>
              <w:bottom w:val="nil"/>
              <w:right w:val="nil"/>
            </w:tcBorders>
            <w:shd w:val="clear" w:color="auto" w:fill="FFFFFF"/>
            <w:vAlign w:val="center"/>
          </w:tcPr>
          <w:p w14:paraId="29CD6301"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110 937</w:t>
            </w:r>
          </w:p>
        </w:tc>
      </w:tr>
      <w:tr w:rsidR="004A4A56" w:rsidRPr="00787323" w14:paraId="4FDE3B7A" w14:textId="77777777" w:rsidTr="004A4A56">
        <w:trPr>
          <w:cantSplit/>
          <w:trHeight w:val="306"/>
          <w:jc w:val="center"/>
        </w:trPr>
        <w:tc>
          <w:tcPr>
            <w:tcW w:w="1143" w:type="dxa"/>
            <w:tcBorders>
              <w:top w:val="nil"/>
              <w:left w:val="nil"/>
              <w:bottom w:val="nil"/>
              <w:right w:val="nil"/>
            </w:tcBorders>
            <w:shd w:val="clear" w:color="auto" w:fill="FFFFFF"/>
          </w:tcPr>
          <w:p w14:paraId="29089289"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19</w:t>
            </w:r>
          </w:p>
        </w:tc>
        <w:tc>
          <w:tcPr>
            <w:tcW w:w="1471" w:type="dxa"/>
            <w:tcBorders>
              <w:top w:val="nil"/>
              <w:left w:val="nil"/>
              <w:bottom w:val="nil"/>
              <w:right w:val="nil"/>
            </w:tcBorders>
            <w:shd w:val="clear" w:color="auto" w:fill="FFFFFF"/>
            <w:vAlign w:val="center"/>
          </w:tcPr>
          <w:p w14:paraId="48EA6A8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100 749</w:t>
            </w:r>
          </w:p>
        </w:tc>
        <w:tc>
          <w:tcPr>
            <w:tcW w:w="1471" w:type="dxa"/>
            <w:tcBorders>
              <w:top w:val="nil"/>
              <w:left w:val="nil"/>
              <w:bottom w:val="nil"/>
              <w:right w:val="nil"/>
            </w:tcBorders>
            <w:shd w:val="clear" w:color="auto" w:fill="FFFFFF"/>
            <w:vAlign w:val="center"/>
          </w:tcPr>
          <w:p w14:paraId="6406D327"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103 578</w:t>
            </w:r>
          </w:p>
        </w:tc>
        <w:tc>
          <w:tcPr>
            <w:tcW w:w="1471" w:type="dxa"/>
            <w:tcBorders>
              <w:top w:val="nil"/>
              <w:left w:val="nil"/>
              <w:bottom w:val="nil"/>
              <w:right w:val="nil"/>
            </w:tcBorders>
            <w:shd w:val="clear" w:color="auto" w:fill="FFFFFF"/>
            <w:vAlign w:val="center"/>
          </w:tcPr>
          <w:p w14:paraId="74DF6BE3"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106 276</w:t>
            </w:r>
          </w:p>
        </w:tc>
        <w:tc>
          <w:tcPr>
            <w:tcW w:w="1471" w:type="dxa"/>
            <w:tcBorders>
              <w:top w:val="nil"/>
              <w:left w:val="nil"/>
              <w:bottom w:val="nil"/>
              <w:right w:val="nil"/>
            </w:tcBorders>
            <w:shd w:val="clear" w:color="auto" w:fill="FFFFFF"/>
            <w:vAlign w:val="center"/>
          </w:tcPr>
          <w:p w14:paraId="3A3AD2CF"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108 935</w:t>
            </w:r>
          </w:p>
        </w:tc>
        <w:tc>
          <w:tcPr>
            <w:tcW w:w="1471" w:type="dxa"/>
            <w:tcBorders>
              <w:top w:val="nil"/>
              <w:left w:val="nil"/>
              <w:bottom w:val="nil"/>
              <w:right w:val="nil"/>
            </w:tcBorders>
            <w:shd w:val="clear" w:color="auto" w:fill="FFFFFF"/>
            <w:vAlign w:val="center"/>
          </w:tcPr>
          <w:p w14:paraId="7DB6260A"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112 745</w:t>
            </w:r>
          </w:p>
        </w:tc>
      </w:tr>
      <w:tr w:rsidR="004A4A56" w:rsidRPr="00787323" w14:paraId="525A9C1C" w14:textId="77777777" w:rsidTr="004A4A56">
        <w:trPr>
          <w:cantSplit/>
          <w:trHeight w:val="306"/>
          <w:jc w:val="center"/>
        </w:trPr>
        <w:tc>
          <w:tcPr>
            <w:tcW w:w="1143" w:type="dxa"/>
            <w:tcBorders>
              <w:top w:val="nil"/>
              <w:left w:val="nil"/>
              <w:bottom w:val="nil"/>
              <w:right w:val="nil"/>
            </w:tcBorders>
            <w:shd w:val="clear" w:color="auto" w:fill="FFFFFF"/>
          </w:tcPr>
          <w:p w14:paraId="1B9C9C40" w14:textId="77777777" w:rsidR="004A4A56" w:rsidRPr="00787323" w:rsidRDefault="004A4A56" w:rsidP="00787323">
            <w:pPr>
              <w:keepLines/>
              <w:widowControl w:val="0"/>
              <w:autoSpaceDE w:val="0"/>
              <w:autoSpaceDN w:val="0"/>
              <w:adjustRightInd w:val="0"/>
              <w:ind w:left="57" w:right="57"/>
              <w:jc w:val="center"/>
              <w:rPr>
                <w:rFonts w:cs="Arial"/>
                <w:color w:val="000000"/>
                <w:sz w:val="22"/>
                <w:szCs w:val="22"/>
                <w:highlight w:val="lightGray"/>
                <w:vertAlign w:val="superscript"/>
              </w:rPr>
            </w:pPr>
            <w:r w:rsidRPr="00316277">
              <w:rPr>
                <w:rFonts w:cs="Arial"/>
                <w:color w:val="000000"/>
                <w:sz w:val="22"/>
                <w:szCs w:val="22"/>
              </w:rPr>
              <w:t>20</w:t>
            </w:r>
          </w:p>
        </w:tc>
        <w:tc>
          <w:tcPr>
            <w:tcW w:w="1471" w:type="dxa"/>
            <w:tcBorders>
              <w:top w:val="nil"/>
              <w:left w:val="nil"/>
              <w:bottom w:val="nil"/>
              <w:right w:val="nil"/>
            </w:tcBorders>
            <w:shd w:val="clear" w:color="auto" w:fill="FFFFFF"/>
            <w:vAlign w:val="center"/>
          </w:tcPr>
          <w:p w14:paraId="6223106D"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102 391</w:t>
            </w:r>
          </w:p>
        </w:tc>
        <w:tc>
          <w:tcPr>
            <w:tcW w:w="1471" w:type="dxa"/>
            <w:tcBorders>
              <w:top w:val="nil"/>
              <w:left w:val="nil"/>
              <w:bottom w:val="nil"/>
              <w:right w:val="nil"/>
            </w:tcBorders>
            <w:shd w:val="clear" w:color="auto" w:fill="FFFFFF"/>
            <w:vAlign w:val="center"/>
          </w:tcPr>
          <w:p w14:paraId="763A02E1"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105 266</w:t>
            </w:r>
          </w:p>
        </w:tc>
        <w:tc>
          <w:tcPr>
            <w:tcW w:w="1471" w:type="dxa"/>
            <w:tcBorders>
              <w:top w:val="nil"/>
              <w:left w:val="nil"/>
              <w:bottom w:val="nil"/>
              <w:right w:val="nil"/>
            </w:tcBorders>
            <w:shd w:val="clear" w:color="auto" w:fill="FFFFFF"/>
            <w:vAlign w:val="center"/>
          </w:tcPr>
          <w:p w14:paraId="2A8D776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108 008</w:t>
            </w:r>
          </w:p>
        </w:tc>
        <w:tc>
          <w:tcPr>
            <w:tcW w:w="1471" w:type="dxa"/>
            <w:tcBorders>
              <w:top w:val="nil"/>
              <w:left w:val="nil"/>
              <w:bottom w:val="nil"/>
              <w:right w:val="nil"/>
            </w:tcBorders>
            <w:shd w:val="clear" w:color="auto" w:fill="FFFFFF"/>
            <w:vAlign w:val="center"/>
          </w:tcPr>
          <w:p w14:paraId="102AD2C9" w14:textId="77777777" w:rsidR="004A4A56" w:rsidRPr="00787323" w:rsidRDefault="004A4A56" w:rsidP="00787323">
            <w:pPr>
              <w:keepLines/>
              <w:widowControl w:val="0"/>
              <w:autoSpaceDE w:val="0"/>
              <w:autoSpaceDN w:val="0"/>
              <w:adjustRightInd w:val="0"/>
              <w:ind w:left="57" w:right="311"/>
              <w:jc w:val="right"/>
              <w:rPr>
                <w:rFonts w:cs="Arial"/>
                <w:color w:val="000000"/>
                <w:sz w:val="22"/>
                <w:szCs w:val="22"/>
                <w:highlight w:val="lightGray"/>
              </w:rPr>
            </w:pPr>
            <w:r w:rsidRPr="00316277">
              <w:rPr>
                <w:rFonts w:cs="Arial"/>
                <w:color w:val="000000"/>
                <w:sz w:val="22"/>
                <w:szCs w:val="22"/>
              </w:rPr>
              <w:t>110 711</w:t>
            </w:r>
          </w:p>
        </w:tc>
        <w:tc>
          <w:tcPr>
            <w:tcW w:w="1471" w:type="dxa"/>
            <w:tcBorders>
              <w:top w:val="nil"/>
              <w:left w:val="nil"/>
              <w:bottom w:val="nil"/>
              <w:right w:val="nil"/>
            </w:tcBorders>
            <w:shd w:val="clear" w:color="auto" w:fill="FFFFFF"/>
            <w:vAlign w:val="center"/>
          </w:tcPr>
          <w:p w14:paraId="55E5221D" w14:textId="77777777" w:rsidR="004A4A56" w:rsidRPr="00316277" w:rsidRDefault="004A4A56" w:rsidP="00787323">
            <w:pPr>
              <w:keepLines/>
              <w:widowControl w:val="0"/>
              <w:autoSpaceDE w:val="0"/>
              <w:autoSpaceDN w:val="0"/>
              <w:adjustRightInd w:val="0"/>
              <w:ind w:left="57" w:right="311"/>
              <w:jc w:val="right"/>
              <w:rPr>
                <w:rFonts w:cs="Arial"/>
                <w:color w:val="000000"/>
                <w:sz w:val="22"/>
                <w:szCs w:val="22"/>
              </w:rPr>
            </w:pPr>
            <w:r w:rsidRPr="00316277">
              <w:rPr>
                <w:rFonts w:cs="Arial"/>
                <w:color w:val="000000"/>
                <w:sz w:val="22"/>
                <w:szCs w:val="22"/>
              </w:rPr>
              <w:t>114 583</w:t>
            </w:r>
          </w:p>
        </w:tc>
      </w:tr>
    </w:tbl>
    <w:p w14:paraId="308206FA" w14:textId="77777777" w:rsidR="003E57EB" w:rsidRDefault="003E57EB" w:rsidP="00AB09A9">
      <w:pPr>
        <w:pStyle w:val="BodyText"/>
        <w:keepNext w:val="0"/>
        <w:spacing w:line="259" w:lineRule="auto"/>
        <w:ind w:left="1134" w:right="133"/>
        <w:jc w:val="both"/>
        <w:rPr>
          <w:rFonts w:cs="Arial"/>
          <w:szCs w:val="24"/>
        </w:rPr>
      </w:pPr>
    </w:p>
    <w:p w14:paraId="3E491665" w14:textId="12E32EAB" w:rsidR="00CD5BD8" w:rsidRDefault="00CD5BD8" w:rsidP="00AB09A9">
      <w:pPr>
        <w:pStyle w:val="BodyText"/>
        <w:keepNext w:val="0"/>
        <w:spacing w:line="259" w:lineRule="auto"/>
        <w:ind w:left="1134" w:right="133"/>
        <w:jc w:val="both"/>
        <w:rPr>
          <w:rFonts w:cs="Arial"/>
          <w:spacing w:val="-2"/>
          <w:szCs w:val="24"/>
        </w:rPr>
      </w:pPr>
      <w:r w:rsidRPr="008A02C4">
        <w:rPr>
          <w:rFonts w:cs="Arial"/>
          <w:szCs w:val="24"/>
        </w:rPr>
        <w:t xml:space="preserve">L’échelle de traitement applicable </w:t>
      </w:r>
      <w:r w:rsidR="004A4A56" w:rsidRPr="00316277">
        <w:rPr>
          <w:rFonts w:cs="Arial"/>
          <w:szCs w:val="24"/>
        </w:rPr>
        <w:t>à l’</w:t>
      </w:r>
      <w:r w:rsidRPr="008A02C4">
        <w:rPr>
          <w:rFonts w:cs="Arial"/>
          <w:szCs w:val="24"/>
        </w:rPr>
        <w:t xml:space="preserve">enseignante </w:t>
      </w:r>
      <w:r w:rsidR="004A4A56" w:rsidRPr="00316277">
        <w:rPr>
          <w:rFonts w:cs="Arial"/>
          <w:szCs w:val="24"/>
        </w:rPr>
        <w:t>ou l’</w:t>
      </w:r>
      <w:r w:rsidRPr="008A02C4">
        <w:rPr>
          <w:rFonts w:cs="Arial"/>
          <w:szCs w:val="24"/>
        </w:rPr>
        <w:t>enseignant à temps complet</w:t>
      </w:r>
      <w:r w:rsidR="00E570B0">
        <w:rPr>
          <w:rFonts w:cs="Arial"/>
          <w:szCs w:val="24"/>
        </w:rPr>
        <w:t xml:space="preserve"> </w:t>
      </w:r>
      <w:r w:rsidR="00E570B0" w:rsidRPr="00316277">
        <w:rPr>
          <w:rFonts w:cs="Arial"/>
          <w:szCs w:val="24"/>
        </w:rPr>
        <w:t>ou</w:t>
      </w:r>
      <w:r w:rsidRPr="008A02C4">
        <w:rPr>
          <w:rFonts w:cs="Arial"/>
          <w:szCs w:val="24"/>
        </w:rPr>
        <w:t xml:space="preserve"> à temps partiel s’établit selon la méthodologie suivante</w:t>
      </w:r>
      <w:r w:rsidR="00D8581B" w:rsidRPr="008A02C4">
        <w:rPr>
          <w:rFonts w:cs="Arial"/>
          <w:spacing w:val="-2"/>
          <w:szCs w:val="24"/>
        </w:rPr>
        <w:t> :</w:t>
      </w:r>
    </w:p>
    <w:p w14:paraId="2974631C" w14:textId="77777777" w:rsidR="00AB09A9" w:rsidRDefault="00AB09A9" w:rsidP="00AB09A9">
      <w:pPr>
        <w:pStyle w:val="BodyText"/>
        <w:keepNext w:val="0"/>
        <w:spacing w:line="259" w:lineRule="auto"/>
        <w:ind w:left="1134" w:right="133"/>
        <w:jc w:val="both"/>
        <w:rPr>
          <w:rFonts w:cs="Arial"/>
          <w:spacing w:val="-2"/>
          <w:szCs w:val="24"/>
        </w:rPr>
      </w:pPr>
    </w:p>
    <w:p w14:paraId="14ED07DF" w14:textId="710AEC15" w:rsidR="00CD5BD8" w:rsidRDefault="00CD5BD8" w:rsidP="00AB09A9">
      <w:pPr>
        <w:pStyle w:val="ListParagraph"/>
        <w:suppressAutoHyphens/>
        <w:ind w:left="1701" w:hanging="283"/>
        <w:rPr>
          <w:rFonts w:cs="Arial"/>
        </w:rPr>
      </w:pPr>
      <w:r w:rsidRPr="008A02C4">
        <w:rPr>
          <w:rFonts w:ascii="Symbol" w:hAnsi="Symbol"/>
        </w:rPr>
        <w:t></w:t>
      </w:r>
      <w:r w:rsidRPr="008A02C4">
        <w:rPr>
          <w:rFonts w:cs="Arial"/>
        </w:rPr>
        <w:tab/>
      </w:r>
      <w:r w:rsidR="00E570B0" w:rsidRPr="00316277">
        <w:rPr>
          <w:rFonts w:cs="Arial"/>
        </w:rPr>
        <w:t>Du 1</w:t>
      </w:r>
      <w:r w:rsidR="00E570B0" w:rsidRPr="00316277">
        <w:rPr>
          <w:rFonts w:cs="Arial"/>
          <w:vertAlign w:val="superscript"/>
        </w:rPr>
        <w:t>er</w:t>
      </w:r>
      <w:r w:rsidR="00E570B0" w:rsidRPr="00316277">
        <w:rPr>
          <w:rFonts w:cs="Arial"/>
        </w:rPr>
        <w:t> avril 2023 au 31 mars 2024,</w:t>
      </w:r>
      <w:r w:rsidR="00E570B0">
        <w:rPr>
          <w:rFonts w:cs="Arial"/>
        </w:rPr>
        <w:t xml:space="preserve"> </w:t>
      </w:r>
      <w:r w:rsidR="00E570B0" w:rsidRPr="00316277">
        <w:rPr>
          <w:rFonts w:cs="Arial"/>
        </w:rPr>
        <w:t>l</w:t>
      </w:r>
      <w:r w:rsidRPr="008A02C4">
        <w:rPr>
          <w:rFonts w:cs="Arial"/>
        </w:rPr>
        <w:t>e taux annuel de l’échelon</w:t>
      </w:r>
      <w:r w:rsidR="00E570B0">
        <w:rPr>
          <w:rFonts w:cs="Arial"/>
        </w:rPr>
        <w:t> </w:t>
      </w:r>
      <w:r w:rsidRPr="008A02C4">
        <w:rPr>
          <w:rFonts w:cs="Arial"/>
        </w:rPr>
        <w:t>1 correspond au taux annuel de l’échelon</w:t>
      </w:r>
      <w:r w:rsidR="00E570B0">
        <w:rPr>
          <w:rFonts w:cs="Arial"/>
        </w:rPr>
        <w:t> </w:t>
      </w:r>
      <w:r w:rsidRPr="008A02C4">
        <w:rPr>
          <w:rFonts w:cs="Arial"/>
        </w:rPr>
        <w:t xml:space="preserve">1 </w:t>
      </w:r>
      <w:r w:rsidRPr="00BF56AD">
        <w:rPr>
          <w:rFonts w:cs="Arial"/>
        </w:rPr>
        <w:t>de</w:t>
      </w:r>
      <w:r w:rsidRPr="008A02C4">
        <w:rPr>
          <w:rFonts w:cs="Arial"/>
        </w:rPr>
        <w:t xml:space="preserve"> </w:t>
      </w:r>
      <w:r w:rsidR="00E570B0" w:rsidRPr="00316277">
        <w:rPr>
          <w:rFonts w:cs="Arial"/>
        </w:rPr>
        <w:t>l’</w:t>
      </w:r>
      <w:r w:rsidRPr="008A02C4">
        <w:rPr>
          <w:rFonts w:cs="Arial"/>
          <w:szCs w:val="24"/>
        </w:rPr>
        <w:t xml:space="preserve">enseignante </w:t>
      </w:r>
      <w:r w:rsidR="00E570B0" w:rsidRPr="00316277">
        <w:rPr>
          <w:rFonts w:cs="Arial"/>
          <w:szCs w:val="24"/>
        </w:rPr>
        <w:t>ou</w:t>
      </w:r>
      <w:r w:rsidR="00E570B0">
        <w:rPr>
          <w:rFonts w:cs="Arial"/>
          <w:szCs w:val="24"/>
        </w:rPr>
        <w:t xml:space="preserve"> </w:t>
      </w:r>
      <w:r w:rsidR="00E570B0" w:rsidRPr="00316277">
        <w:rPr>
          <w:rFonts w:cs="Arial"/>
          <w:szCs w:val="24"/>
        </w:rPr>
        <w:t>l’</w:t>
      </w:r>
      <w:r w:rsidRPr="008A02C4">
        <w:rPr>
          <w:rFonts w:cs="Arial"/>
          <w:szCs w:val="24"/>
        </w:rPr>
        <w:t xml:space="preserve">enseignant à temps plein </w:t>
      </w:r>
      <w:r w:rsidR="00E570B0" w:rsidRPr="00316277">
        <w:rPr>
          <w:rFonts w:cs="Arial"/>
          <w:szCs w:val="24"/>
        </w:rPr>
        <w:t>ou</w:t>
      </w:r>
      <w:r w:rsidR="00E570B0">
        <w:rPr>
          <w:rFonts w:cs="Arial"/>
          <w:szCs w:val="24"/>
        </w:rPr>
        <w:t xml:space="preserve"> </w:t>
      </w:r>
      <w:r w:rsidRPr="008A02C4">
        <w:rPr>
          <w:rFonts w:cs="Arial"/>
          <w:szCs w:val="24"/>
        </w:rPr>
        <w:t xml:space="preserve">à temps partiel des centres de services scolaires et des </w:t>
      </w:r>
      <w:r w:rsidRPr="008A02C4">
        <w:rPr>
          <w:rFonts w:cs="Arial"/>
        </w:rPr>
        <w:t>commissions scolaires;</w:t>
      </w:r>
    </w:p>
    <w:p w14:paraId="0FC5D282" w14:textId="36C58EB0" w:rsidR="00E570B0" w:rsidRDefault="00E570B0" w:rsidP="00787323">
      <w:pPr>
        <w:pStyle w:val="ListParagraph"/>
        <w:widowControl w:val="0"/>
        <w:numPr>
          <w:ilvl w:val="0"/>
          <w:numId w:val="22"/>
        </w:numPr>
        <w:ind w:left="1701" w:hanging="283"/>
        <w:rPr>
          <w:rFonts w:cs="Arial"/>
          <w:szCs w:val="24"/>
        </w:rPr>
      </w:pPr>
      <w:r w:rsidRPr="00316277">
        <w:rPr>
          <w:rFonts w:cs="Arial"/>
          <w:szCs w:val="24"/>
        </w:rPr>
        <w:t>Pour le 1</w:t>
      </w:r>
      <w:r w:rsidRPr="00316277">
        <w:rPr>
          <w:rFonts w:cs="Arial"/>
          <w:szCs w:val="24"/>
          <w:vertAlign w:val="superscript"/>
        </w:rPr>
        <w:t>er</w:t>
      </w:r>
      <w:r w:rsidRPr="00316277">
        <w:rPr>
          <w:rFonts w:cs="Arial"/>
          <w:szCs w:val="24"/>
        </w:rPr>
        <w:t> avril 2024, le taux annuel de l’échelon 1 correspond au taux horaire de l’échelon 1 du rangement 23</w:t>
      </w:r>
      <w:r w:rsidRPr="00316277">
        <w:rPr>
          <w:rStyle w:val="FootnoteReference"/>
          <w:rFonts w:cs="Arial"/>
          <w:szCs w:val="24"/>
        </w:rPr>
        <w:footnoteReference w:id="67"/>
      </w:r>
      <w:r w:rsidRPr="00316277">
        <w:rPr>
          <w:rFonts w:cs="Arial"/>
          <w:szCs w:val="24"/>
        </w:rPr>
        <w:t xml:space="preserve"> multiplié par 1 826,3 et arrondi au dollar;</w:t>
      </w:r>
    </w:p>
    <w:p w14:paraId="53FFC49C" w14:textId="77777777" w:rsidR="00AB09A9" w:rsidRPr="00182133" w:rsidRDefault="00AB09A9" w:rsidP="00AB09A9">
      <w:pPr>
        <w:pStyle w:val="ListParagraph"/>
        <w:widowControl w:val="0"/>
        <w:ind w:left="1701"/>
        <w:rPr>
          <w:rFonts w:cs="Arial"/>
          <w:szCs w:val="24"/>
        </w:rPr>
      </w:pPr>
    </w:p>
    <w:p w14:paraId="6453AE0E" w14:textId="0163DA74" w:rsidR="00CD5BD8" w:rsidRPr="008A02C4" w:rsidRDefault="00CD5BD8" w:rsidP="00787323">
      <w:pPr>
        <w:pStyle w:val="ListParagraph"/>
        <w:suppressAutoHyphens/>
        <w:ind w:left="1701" w:hanging="283"/>
        <w:rPr>
          <w:rFonts w:cs="Arial"/>
        </w:rPr>
      </w:pPr>
      <w:r w:rsidRPr="008A02C4">
        <w:rPr>
          <w:rFonts w:ascii="Symbol" w:hAnsi="Symbol"/>
        </w:rPr>
        <w:t></w:t>
      </w:r>
      <w:r w:rsidRPr="008A02C4">
        <w:rPr>
          <w:rFonts w:cs="Arial"/>
        </w:rPr>
        <w:tab/>
        <w:t>Le taux annuel de l’échelon</w:t>
      </w:r>
      <w:r w:rsidR="00787323">
        <w:rPr>
          <w:rFonts w:cs="Arial"/>
        </w:rPr>
        <w:t> </w:t>
      </w:r>
      <w:r w:rsidRPr="008A02C4">
        <w:rPr>
          <w:rFonts w:cs="Arial"/>
        </w:rPr>
        <w:t>17 correspond au taux horaire du maximum du rangement 23</w:t>
      </w:r>
      <w:r w:rsidRPr="008A02C4">
        <w:rPr>
          <w:rStyle w:val="FootnoteReference"/>
          <w:rFonts w:cs="Arial"/>
        </w:rPr>
        <w:footnoteReference w:id="68"/>
      </w:r>
      <w:r w:rsidRPr="008A02C4">
        <w:rPr>
          <w:rFonts w:cs="Arial"/>
        </w:rPr>
        <w:t xml:space="preserve"> multiplié par 1 826,3</w:t>
      </w:r>
      <w:r w:rsidR="00787323">
        <w:rPr>
          <w:rFonts w:cs="Arial"/>
        </w:rPr>
        <w:t xml:space="preserve"> </w:t>
      </w:r>
      <w:r w:rsidR="00787323" w:rsidRPr="00316277">
        <w:rPr>
          <w:rFonts w:cs="Arial"/>
        </w:rPr>
        <w:t>et arrondi au dollar</w:t>
      </w:r>
      <w:r w:rsidRPr="008A02C4">
        <w:rPr>
          <w:rFonts w:cs="Arial"/>
        </w:rPr>
        <w:t>;</w:t>
      </w:r>
    </w:p>
    <w:p w14:paraId="6C27B48B" w14:textId="77777777" w:rsidR="003F5356" w:rsidRPr="008A02C4" w:rsidRDefault="003F5356" w:rsidP="00787323">
      <w:pPr>
        <w:pStyle w:val="ListParagraph"/>
        <w:suppressAutoHyphens/>
        <w:ind w:left="1701" w:hanging="283"/>
        <w:rPr>
          <w:rFonts w:cs="Arial"/>
        </w:rPr>
      </w:pPr>
    </w:p>
    <w:p w14:paraId="79494A31" w14:textId="75892F28" w:rsidR="00CD5BD8" w:rsidRDefault="00CD5BD8" w:rsidP="00AB09A9">
      <w:pPr>
        <w:pStyle w:val="ListParagraph"/>
        <w:suppressAutoHyphens/>
        <w:ind w:left="1701" w:hanging="283"/>
        <w:rPr>
          <w:rFonts w:cs="Arial"/>
          <w:szCs w:val="24"/>
        </w:rPr>
      </w:pPr>
      <w:r w:rsidRPr="008A02C4">
        <w:rPr>
          <w:rFonts w:ascii="Symbol" w:hAnsi="Symbol"/>
        </w:rPr>
        <w:t></w:t>
      </w:r>
      <w:r w:rsidRPr="008A02C4">
        <w:rPr>
          <w:rFonts w:cs="Arial"/>
        </w:rPr>
        <w:tab/>
      </w:r>
      <w:r w:rsidR="00787323" w:rsidRPr="00316277">
        <w:rPr>
          <w:rFonts w:cs="Arial"/>
        </w:rPr>
        <w:t>Du 1</w:t>
      </w:r>
      <w:r w:rsidR="00787323" w:rsidRPr="00316277">
        <w:rPr>
          <w:rFonts w:cs="Arial"/>
          <w:vertAlign w:val="superscript"/>
        </w:rPr>
        <w:t>er</w:t>
      </w:r>
      <w:r w:rsidR="00787323" w:rsidRPr="00316277">
        <w:rPr>
          <w:rFonts w:cs="Arial"/>
        </w:rPr>
        <w:t xml:space="preserve"> avril 2023 au </w:t>
      </w:r>
      <w:r w:rsidR="00BF56AD" w:rsidRPr="00316277">
        <w:rPr>
          <w:rFonts w:cs="Arial"/>
        </w:rPr>
        <w:t>1</w:t>
      </w:r>
      <w:r w:rsidR="00BF56AD" w:rsidRPr="00316277">
        <w:rPr>
          <w:rFonts w:cs="Arial"/>
          <w:vertAlign w:val="superscript"/>
        </w:rPr>
        <w:t>er</w:t>
      </w:r>
      <w:r w:rsidR="00BF56AD" w:rsidRPr="00316277">
        <w:rPr>
          <w:rFonts w:cs="Arial"/>
        </w:rPr>
        <w:t> avril</w:t>
      </w:r>
      <w:r w:rsidR="00787323" w:rsidRPr="00316277">
        <w:rPr>
          <w:rFonts w:cs="Arial"/>
        </w:rPr>
        <w:t> 2024,</w:t>
      </w:r>
      <w:r w:rsidR="00787323">
        <w:rPr>
          <w:rFonts w:cs="Arial"/>
        </w:rPr>
        <w:t xml:space="preserve"> </w:t>
      </w:r>
      <w:r w:rsidR="00787323" w:rsidRPr="00316277">
        <w:rPr>
          <w:rFonts w:cs="Arial"/>
        </w:rPr>
        <w:t>l</w:t>
      </w:r>
      <w:r w:rsidRPr="008A02C4">
        <w:rPr>
          <w:rFonts w:cs="Arial"/>
        </w:rPr>
        <w:t>es taux annuels des échelons</w:t>
      </w:r>
      <w:r w:rsidR="00787323">
        <w:rPr>
          <w:rFonts w:cs="Arial"/>
        </w:rPr>
        <w:t> </w:t>
      </w:r>
      <w:r w:rsidRPr="008A02C4">
        <w:rPr>
          <w:rFonts w:cs="Arial"/>
        </w:rPr>
        <w:t xml:space="preserve">2 à 16 ne sont pas visés par une méthodologie particulière et ils sont ajustés suivant la méthode décrite à la </w:t>
      </w:r>
      <w:r w:rsidRPr="008A02C4">
        <w:rPr>
          <w:rFonts w:cs="Arial"/>
          <w:szCs w:val="24"/>
        </w:rPr>
        <w:t>section</w:t>
      </w:r>
      <w:r w:rsidR="00787323">
        <w:rPr>
          <w:rFonts w:cs="Arial"/>
          <w:szCs w:val="24"/>
        </w:rPr>
        <w:t> </w:t>
      </w:r>
      <w:r w:rsidRPr="008A02C4">
        <w:rPr>
          <w:rFonts w:cs="Arial"/>
          <w:szCs w:val="24"/>
        </w:rPr>
        <w:t>1 de cette annexe</w:t>
      </w:r>
      <w:r w:rsidR="00787323" w:rsidRPr="00316277">
        <w:rPr>
          <w:rFonts w:cs="Arial"/>
          <w:szCs w:val="24"/>
        </w:rPr>
        <w:t>;</w:t>
      </w:r>
    </w:p>
    <w:p w14:paraId="4FCB8D42" w14:textId="63C1B86A" w:rsidR="00BF56AD" w:rsidRDefault="00BF56AD" w:rsidP="00AB09A9">
      <w:pPr>
        <w:pStyle w:val="ListParagraph"/>
        <w:tabs>
          <w:tab w:val="left" w:pos="2595"/>
        </w:tabs>
        <w:suppressAutoHyphens/>
        <w:ind w:left="1701" w:hanging="283"/>
        <w:rPr>
          <w:rFonts w:cs="Arial"/>
          <w:szCs w:val="24"/>
        </w:rPr>
      </w:pPr>
    </w:p>
    <w:p w14:paraId="64996D1D" w14:textId="34DD67BA" w:rsidR="00787323" w:rsidRPr="00A46D59" w:rsidRDefault="00787323" w:rsidP="00AB09A9">
      <w:pPr>
        <w:pStyle w:val="ListParagraph"/>
        <w:spacing w:before="120" w:line="259" w:lineRule="auto"/>
        <w:ind w:left="1701" w:hanging="283"/>
        <w:rPr>
          <w:szCs w:val="24"/>
        </w:rPr>
      </w:pPr>
      <w:r w:rsidRPr="009655D7">
        <w:rPr>
          <w:rFonts w:ascii="Symbol" w:hAnsi="Symbol"/>
          <w:sz w:val="22"/>
          <w:szCs w:val="20"/>
        </w:rPr>
        <w:t></w:t>
      </w:r>
      <w:r w:rsidRPr="005D320B">
        <w:rPr>
          <w:rFonts w:cs="Arial"/>
          <w:szCs w:val="24"/>
        </w:rPr>
        <w:tab/>
      </w:r>
      <w:r w:rsidRPr="00316277">
        <w:rPr>
          <w:rFonts w:cs="Arial"/>
          <w:szCs w:val="24"/>
        </w:rPr>
        <w:t xml:space="preserve">À compter du </w:t>
      </w:r>
      <w:r w:rsidR="00BF56AD" w:rsidRPr="00316277">
        <w:rPr>
          <w:rFonts w:cs="Arial"/>
          <w:szCs w:val="24"/>
        </w:rPr>
        <w:t>2</w:t>
      </w:r>
      <w:r w:rsidRPr="00316277">
        <w:rPr>
          <w:rFonts w:cs="Arial"/>
          <w:szCs w:val="24"/>
        </w:rPr>
        <w:t> avril 2024</w:t>
      </w:r>
      <w:r w:rsidRPr="00316277">
        <w:rPr>
          <w:rStyle w:val="FootnoteReference"/>
          <w:rFonts w:cs="Arial"/>
          <w:szCs w:val="24"/>
        </w:rPr>
        <w:footnoteReference w:id="69"/>
      </w:r>
      <w:r w:rsidRPr="00316277">
        <w:rPr>
          <w:rFonts w:cs="Arial"/>
          <w:szCs w:val="24"/>
        </w:rPr>
        <w:t>, les taux annuels des échelons 1 à 16 ne sont pas visés par une méthodologie particulière et ils sont ajustés suivant la méthode décrite à la section 1 de cette annexe</w:t>
      </w:r>
      <w:r w:rsidRPr="00316277">
        <w:rPr>
          <w:sz w:val="22"/>
        </w:rPr>
        <w:t>.</w:t>
      </w:r>
    </w:p>
    <w:p w14:paraId="7F6F4F8E" w14:textId="544CDA20" w:rsidR="00CD5BD8" w:rsidRPr="008A02C4" w:rsidRDefault="00CD5BD8" w:rsidP="007F120F">
      <w:pPr>
        <w:pStyle w:val="BodyText"/>
        <w:keepNext w:val="0"/>
        <w:spacing w:before="240"/>
        <w:ind w:left="993" w:right="134"/>
        <w:jc w:val="both"/>
        <w:rPr>
          <w:rFonts w:cs="Arial"/>
          <w:szCs w:val="24"/>
        </w:rPr>
      </w:pPr>
      <w:r w:rsidRPr="008A02C4">
        <w:rPr>
          <w:rFonts w:cs="Arial"/>
          <w:szCs w:val="24"/>
        </w:rPr>
        <w:t xml:space="preserve">Particularité </w:t>
      </w:r>
      <w:r w:rsidRPr="00BF56AD">
        <w:rPr>
          <w:rFonts w:cs="Arial"/>
          <w:szCs w:val="24"/>
        </w:rPr>
        <w:t>pour</w:t>
      </w:r>
      <w:r w:rsidRPr="008A02C4">
        <w:rPr>
          <w:rFonts w:cs="Arial"/>
          <w:szCs w:val="24"/>
        </w:rPr>
        <w:t xml:space="preserve"> </w:t>
      </w:r>
      <w:r w:rsidR="00787323" w:rsidRPr="00316277">
        <w:rPr>
          <w:rFonts w:cs="Arial"/>
          <w:szCs w:val="24"/>
        </w:rPr>
        <w:t>l</w:t>
      </w:r>
      <w:r w:rsidR="004B48C9" w:rsidRPr="00316277">
        <w:rPr>
          <w:rFonts w:cs="Arial"/>
          <w:szCs w:val="24"/>
        </w:rPr>
        <w:t>’</w:t>
      </w:r>
      <w:r w:rsidRPr="008A02C4">
        <w:rPr>
          <w:rFonts w:cs="Arial"/>
          <w:szCs w:val="24"/>
        </w:rPr>
        <w:t xml:space="preserve">enseignante </w:t>
      </w:r>
      <w:r w:rsidR="004B48C9" w:rsidRPr="00316277">
        <w:rPr>
          <w:rFonts w:cs="Arial"/>
          <w:szCs w:val="24"/>
        </w:rPr>
        <w:t>ou l’</w:t>
      </w:r>
      <w:r w:rsidRPr="008A02C4">
        <w:rPr>
          <w:rFonts w:cs="Arial"/>
          <w:szCs w:val="24"/>
        </w:rPr>
        <w:t xml:space="preserve">enseignant à temps complet </w:t>
      </w:r>
      <w:r w:rsidR="004B48C9" w:rsidRPr="00316277">
        <w:rPr>
          <w:rFonts w:cs="Arial"/>
          <w:szCs w:val="24"/>
        </w:rPr>
        <w:t>ou</w:t>
      </w:r>
      <w:r w:rsidR="004B48C9">
        <w:rPr>
          <w:rFonts w:cs="Arial"/>
          <w:szCs w:val="24"/>
        </w:rPr>
        <w:t xml:space="preserve"> </w:t>
      </w:r>
      <w:r w:rsidRPr="008A02C4">
        <w:rPr>
          <w:rFonts w:cs="Arial"/>
          <w:szCs w:val="24"/>
        </w:rPr>
        <w:t>à temps partiel détenteur d’une maîtrise et</w:t>
      </w:r>
      <w:r w:rsidR="004B48C9">
        <w:rPr>
          <w:rFonts w:cs="Arial"/>
          <w:szCs w:val="24"/>
        </w:rPr>
        <w:t xml:space="preserve"> </w:t>
      </w:r>
      <w:r w:rsidR="004B48C9" w:rsidRPr="00316277">
        <w:rPr>
          <w:rFonts w:cs="Arial"/>
          <w:szCs w:val="24"/>
        </w:rPr>
        <w:t>à</w:t>
      </w:r>
      <w:r w:rsidRPr="008A02C4">
        <w:rPr>
          <w:rFonts w:cs="Arial"/>
          <w:szCs w:val="24"/>
        </w:rPr>
        <w:t xml:space="preserve"> celle </w:t>
      </w:r>
      <w:r w:rsidR="004B48C9" w:rsidRPr="00316277">
        <w:rPr>
          <w:rFonts w:cs="Arial"/>
          <w:szCs w:val="24"/>
        </w:rPr>
        <w:t>ou celui</w:t>
      </w:r>
      <w:r w:rsidR="004B48C9">
        <w:rPr>
          <w:rFonts w:cs="Arial"/>
          <w:szCs w:val="24"/>
        </w:rPr>
        <w:t xml:space="preserve"> </w:t>
      </w:r>
      <w:r w:rsidRPr="008A02C4">
        <w:rPr>
          <w:rFonts w:cs="Arial"/>
          <w:szCs w:val="24"/>
        </w:rPr>
        <w:t xml:space="preserve">qui </w:t>
      </w:r>
      <w:r w:rsidR="004B48C9">
        <w:rPr>
          <w:rFonts w:cs="Arial"/>
          <w:szCs w:val="24"/>
        </w:rPr>
        <w:t xml:space="preserve">a </w:t>
      </w:r>
      <w:r w:rsidRPr="008A02C4">
        <w:rPr>
          <w:rFonts w:cs="Arial"/>
          <w:szCs w:val="24"/>
        </w:rPr>
        <w:t>19 ans de scolarité et plus et qui possède un doctorat de 3</w:t>
      </w:r>
      <w:r w:rsidRPr="00EA527D">
        <w:rPr>
          <w:rFonts w:cs="Arial"/>
          <w:szCs w:val="24"/>
          <w:vertAlign w:val="superscript"/>
        </w:rPr>
        <w:t>e</w:t>
      </w:r>
      <w:r w:rsidRPr="008A02C4">
        <w:rPr>
          <w:rFonts w:cs="Arial"/>
          <w:position w:val="8"/>
          <w:szCs w:val="24"/>
        </w:rPr>
        <w:t xml:space="preserve"> </w:t>
      </w:r>
      <w:r w:rsidRPr="008A02C4">
        <w:rPr>
          <w:rFonts w:cs="Arial"/>
          <w:szCs w:val="24"/>
        </w:rPr>
        <w:t>cycle</w:t>
      </w:r>
      <w:r w:rsidR="00D8581B" w:rsidRPr="008A02C4">
        <w:rPr>
          <w:rFonts w:cs="Arial"/>
          <w:szCs w:val="24"/>
        </w:rPr>
        <w:t> :</w:t>
      </w:r>
    </w:p>
    <w:p w14:paraId="6C4C09FF" w14:textId="017E1368" w:rsidR="00CD5BD8" w:rsidRPr="008A02C4" w:rsidRDefault="00CD5BD8" w:rsidP="007F120F">
      <w:pPr>
        <w:pStyle w:val="ListParagraph"/>
        <w:tabs>
          <w:tab w:val="left" w:pos="2368"/>
        </w:tabs>
        <w:suppressAutoHyphens/>
        <w:autoSpaceDE w:val="0"/>
        <w:autoSpaceDN w:val="0"/>
        <w:spacing w:before="240"/>
        <w:ind w:left="1276" w:right="137" w:hanging="284"/>
        <w:rPr>
          <w:rFonts w:cs="Arial"/>
          <w:szCs w:val="24"/>
        </w:rPr>
      </w:pPr>
      <w:r w:rsidRPr="008A02C4">
        <w:rPr>
          <w:rFonts w:ascii="Symbol" w:hAnsi="Symbol"/>
        </w:rPr>
        <w:t></w:t>
      </w:r>
      <w:r w:rsidRPr="008A02C4">
        <w:rPr>
          <w:rFonts w:cs="Arial"/>
        </w:rPr>
        <w:tab/>
      </w:r>
      <w:r w:rsidRPr="008A02C4">
        <w:rPr>
          <w:rFonts w:cs="Arial"/>
          <w:szCs w:val="24"/>
        </w:rPr>
        <w:t>Le</w:t>
      </w:r>
      <w:r w:rsidRPr="008A02C4">
        <w:rPr>
          <w:rFonts w:cs="Arial"/>
          <w:spacing w:val="-10"/>
          <w:szCs w:val="24"/>
        </w:rPr>
        <w:t xml:space="preserve"> </w:t>
      </w:r>
      <w:r w:rsidRPr="008A02C4">
        <w:rPr>
          <w:rFonts w:cs="Arial"/>
          <w:szCs w:val="24"/>
        </w:rPr>
        <w:t>taux</w:t>
      </w:r>
      <w:r w:rsidRPr="008A02C4">
        <w:rPr>
          <w:rFonts w:cs="Arial"/>
          <w:spacing w:val="-8"/>
          <w:szCs w:val="24"/>
        </w:rPr>
        <w:t xml:space="preserve"> </w:t>
      </w:r>
      <w:r w:rsidRPr="008A02C4">
        <w:rPr>
          <w:rFonts w:cs="Arial"/>
          <w:szCs w:val="24"/>
        </w:rPr>
        <w:t>annuel</w:t>
      </w:r>
      <w:r w:rsidRPr="008A02C4">
        <w:rPr>
          <w:rFonts w:cs="Arial"/>
          <w:spacing w:val="-10"/>
          <w:szCs w:val="24"/>
        </w:rPr>
        <w:t xml:space="preserve"> </w:t>
      </w:r>
      <w:r w:rsidRPr="008A02C4">
        <w:rPr>
          <w:rFonts w:cs="Arial"/>
          <w:szCs w:val="24"/>
        </w:rPr>
        <w:t>de</w:t>
      </w:r>
      <w:r w:rsidRPr="008A02C4">
        <w:rPr>
          <w:rFonts w:cs="Arial"/>
          <w:spacing w:val="-9"/>
          <w:szCs w:val="24"/>
        </w:rPr>
        <w:t xml:space="preserve"> </w:t>
      </w:r>
      <w:r w:rsidRPr="008A02C4">
        <w:rPr>
          <w:rFonts w:cs="Arial"/>
          <w:szCs w:val="24"/>
        </w:rPr>
        <w:t>l’échelon</w:t>
      </w:r>
      <w:r w:rsidR="000C46DA">
        <w:rPr>
          <w:rFonts w:cs="Arial"/>
          <w:spacing w:val="-2"/>
          <w:szCs w:val="24"/>
        </w:rPr>
        <w:t> </w:t>
      </w:r>
      <w:r w:rsidRPr="008A02C4">
        <w:rPr>
          <w:rFonts w:cs="Arial"/>
          <w:szCs w:val="24"/>
        </w:rPr>
        <w:t>18</w:t>
      </w:r>
      <w:r w:rsidRPr="008A02C4">
        <w:rPr>
          <w:rFonts w:cs="Arial"/>
          <w:spacing w:val="-9"/>
          <w:szCs w:val="24"/>
        </w:rPr>
        <w:t xml:space="preserve"> </w:t>
      </w:r>
      <w:r w:rsidRPr="008A02C4">
        <w:rPr>
          <w:rFonts w:cs="Arial"/>
          <w:szCs w:val="24"/>
        </w:rPr>
        <w:t>correspond</w:t>
      </w:r>
      <w:r w:rsidRPr="008A02C4">
        <w:rPr>
          <w:rFonts w:cs="Arial"/>
          <w:spacing w:val="-10"/>
          <w:szCs w:val="24"/>
        </w:rPr>
        <w:t xml:space="preserve"> </w:t>
      </w:r>
      <w:r w:rsidRPr="008A02C4">
        <w:rPr>
          <w:rFonts w:cs="Arial"/>
          <w:szCs w:val="24"/>
        </w:rPr>
        <w:t>au</w:t>
      </w:r>
      <w:r w:rsidRPr="008A02C4">
        <w:rPr>
          <w:rFonts w:cs="Arial"/>
          <w:spacing w:val="-12"/>
          <w:szCs w:val="24"/>
        </w:rPr>
        <w:t xml:space="preserve"> </w:t>
      </w:r>
      <w:r w:rsidRPr="008A02C4">
        <w:rPr>
          <w:rFonts w:cs="Arial"/>
          <w:szCs w:val="24"/>
        </w:rPr>
        <w:t>taux</w:t>
      </w:r>
      <w:r w:rsidRPr="008A02C4">
        <w:rPr>
          <w:rFonts w:cs="Arial"/>
          <w:spacing w:val="-8"/>
          <w:szCs w:val="24"/>
        </w:rPr>
        <w:t xml:space="preserve"> </w:t>
      </w:r>
      <w:r w:rsidRPr="008A02C4">
        <w:rPr>
          <w:rFonts w:cs="Arial"/>
          <w:szCs w:val="24"/>
        </w:rPr>
        <w:t>annuel</w:t>
      </w:r>
      <w:r w:rsidRPr="008A02C4">
        <w:rPr>
          <w:rFonts w:cs="Arial"/>
          <w:spacing w:val="-10"/>
          <w:szCs w:val="24"/>
        </w:rPr>
        <w:t xml:space="preserve"> </w:t>
      </w:r>
      <w:r w:rsidRPr="008A02C4">
        <w:rPr>
          <w:rFonts w:cs="Arial"/>
          <w:szCs w:val="24"/>
        </w:rPr>
        <w:t>de</w:t>
      </w:r>
      <w:r w:rsidRPr="008A02C4">
        <w:rPr>
          <w:rFonts w:cs="Arial"/>
          <w:spacing w:val="-9"/>
          <w:szCs w:val="24"/>
        </w:rPr>
        <w:t xml:space="preserve"> </w:t>
      </w:r>
      <w:r w:rsidRPr="008A02C4">
        <w:rPr>
          <w:rFonts w:cs="Arial"/>
          <w:szCs w:val="24"/>
        </w:rPr>
        <w:t>l’échelon</w:t>
      </w:r>
      <w:r w:rsidR="000C46DA">
        <w:t> </w:t>
      </w:r>
      <w:r w:rsidRPr="008A02C4">
        <w:rPr>
          <w:rFonts w:cs="Arial"/>
          <w:szCs w:val="24"/>
        </w:rPr>
        <w:t>17 multiplié par</w:t>
      </w:r>
      <w:r w:rsidRPr="008A02C4">
        <w:rPr>
          <w:rFonts w:cs="Arial"/>
          <w:spacing w:val="2"/>
          <w:szCs w:val="24"/>
        </w:rPr>
        <w:t xml:space="preserve"> </w:t>
      </w:r>
      <w:r w:rsidRPr="008A02C4">
        <w:rPr>
          <w:rFonts w:cs="Arial"/>
          <w:szCs w:val="24"/>
        </w:rPr>
        <w:t>1,0163</w:t>
      </w:r>
      <w:r w:rsidR="000C46DA">
        <w:rPr>
          <w:rFonts w:cs="Arial"/>
          <w:szCs w:val="24"/>
        </w:rPr>
        <w:t xml:space="preserve"> </w:t>
      </w:r>
      <w:r w:rsidR="000C46DA" w:rsidRPr="00316277">
        <w:rPr>
          <w:rFonts w:cs="Arial"/>
          <w:szCs w:val="24"/>
        </w:rPr>
        <w:t>et arrondi au dollar</w:t>
      </w:r>
      <w:r w:rsidRPr="008A02C4">
        <w:rPr>
          <w:rFonts w:cs="Arial"/>
          <w:szCs w:val="24"/>
        </w:rPr>
        <w:t>;</w:t>
      </w:r>
    </w:p>
    <w:p w14:paraId="3C286EF4" w14:textId="1120A938" w:rsidR="00CD5BD8" w:rsidRPr="008A02C4" w:rsidRDefault="00CD5BD8" w:rsidP="007F120F">
      <w:pPr>
        <w:pStyle w:val="ListParagraph"/>
        <w:tabs>
          <w:tab w:val="left" w:pos="2368"/>
        </w:tabs>
        <w:suppressAutoHyphens/>
        <w:autoSpaceDE w:val="0"/>
        <w:autoSpaceDN w:val="0"/>
        <w:spacing w:before="240"/>
        <w:ind w:left="1276" w:right="132" w:hanging="284"/>
        <w:rPr>
          <w:rFonts w:cs="Arial"/>
          <w:szCs w:val="24"/>
        </w:rPr>
      </w:pPr>
      <w:r w:rsidRPr="008A02C4">
        <w:rPr>
          <w:rFonts w:ascii="Symbol" w:hAnsi="Symbol"/>
        </w:rPr>
        <w:t></w:t>
      </w:r>
      <w:r w:rsidRPr="008A02C4">
        <w:rPr>
          <w:rFonts w:cs="Arial"/>
        </w:rPr>
        <w:tab/>
      </w:r>
      <w:r w:rsidRPr="008A02C4">
        <w:rPr>
          <w:rFonts w:cs="Arial"/>
          <w:szCs w:val="24"/>
        </w:rPr>
        <w:t>Le</w:t>
      </w:r>
      <w:r w:rsidRPr="008A02C4">
        <w:rPr>
          <w:rFonts w:cs="Arial"/>
          <w:spacing w:val="-8"/>
          <w:szCs w:val="24"/>
        </w:rPr>
        <w:t xml:space="preserve"> </w:t>
      </w:r>
      <w:r w:rsidRPr="008A02C4">
        <w:rPr>
          <w:rFonts w:cs="Arial"/>
          <w:szCs w:val="24"/>
        </w:rPr>
        <w:t>taux</w:t>
      </w:r>
      <w:r w:rsidRPr="008A02C4">
        <w:rPr>
          <w:rFonts w:cs="Arial"/>
          <w:spacing w:val="-6"/>
          <w:szCs w:val="24"/>
        </w:rPr>
        <w:t xml:space="preserve"> </w:t>
      </w:r>
      <w:r w:rsidRPr="008A02C4">
        <w:rPr>
          <w:rFonts w:cs="Arial"/>
          <w:szCs w:val="24"/>
        </w:rPr>
        <w:t>annuel</w:t>
      </w:r>
      <w:r w:rsidRPr="008A02C4">
        <w:rPr>
          <w:rFonts w:cs="Arial"/>
          <w:spacing w:val="-11"/>
          <w:szCs w:val="24"/>
        </w:rPr>
        <w:t xml:space="preserve"> </w:t>
      </w:r>
      <w:r w:rsidRPr="008A02C4">
        <w:rPr>
          <w:rFonts w:cs="Arial"/>
          <w:szCs w:val="24"/>
        </w:rPr>
        <w:t>de</w:t>
      </w:r>
      <w:r w:rsidRPr="008A02C4">
        <w:rPr>
          <w:rFonts w:cs="Arial"/>
          <w:spacing w:val="-9"/>
          <w:szCs w:val="24"/>
        </w:rPr>
        <w:t xml:space="preserve"> </w:t>
      </w:r>
      <w:r w:rsidRPr="008A02C4">
        <w:rPr>
          <w:rFonts w:cs="Arial"/>
          <w:szCs w:val="24"/>
        </w:rPr>
        <w:t>l’échelon</w:t>
      </w:r>
      <w:r w:rsidR="000C46DA">
        <w:rPr>
          <w:rFonts w:cs="Arial"/>
          <w:spacing w:val="-3"/>
          <w:szCs w:val="24"/>
        </w:rPr>
        <w:t> </w:t>
      </w:r>
      <w:r w:rsidRPr="008A02C4">
        <w:rPr>
          <w:rFonts w:cs="Arial"/>
          <w:szCs w:val="24"/>
        </w:rPr>
        <w:t>19</w:t>
      </w:r>
      <w:r w:rsidRPr="008A02C4">
        <w:rPr>
          <w:rFonts w:cs="Arial"/>
          <w:spacing w:val="-9"/>
          <w:szCs w:val="24"/>
        </w:rPr>
        <w:t xml:space="preserve"> </w:t>
      </w:r>
      <w:r w:rsidRPr="008A02C4">
        <w:rPr>
          <w:rFonts w:cs="Arial"/>
          <w:szCs w:val="24"/>
        </w:rPr>
        <w:t>correspond</w:t>
      </w:r>
      <w:r w:rsidRPr="008A02C4">
        <w:rPr>
          <w:rFonts w:cs="Arial"/>
          <w:spacing w:val="-9"/>
          <w:szCs w:val="24"/>
        </w:rPr>
        <w:t xml:space="preserve"> </w:t>
      </w:r>
      <w:r w:rsidRPr="008A02C4">
        <w:rPr>
          <w:rFonts w:cs="Arial"/>
          <w:szCs w:val="24"/>
        </w:rPr>
        <w:t>au</w:t>
      </w:r>
      <w:r w:rsidRPr="008A02C4">
        <w:rPr>
          <w:rFonts w:cs="Arial"/>
          <w:spacing w:val="-10"/>
          <w:szCs w:val="24"/>
        </w:rPr>
        <w:t xml:space="preserve"> </w:t>
      </w:r>
      <w:r w:rsidRPr="008A02C4">
        <w:rPr>
          <w:rFonts w:cs="Arial"/>
          <w:szCs w:val="24"/>
        </w:rPr>
        <w:t>taux</w:t>
      </w:r>
      <w:r w:rsidRPr="008A02C4">
        <w:rPr>
          <w:rFonts w:cs="Arial"/>
          <w:spacing w:val="-6"/>
          <w:szCs w:val="24"/>
        </w:rPr>
        <w:t xml:space="preserve"> </w:t>
      </w:r>
      <w:r w:rsidRPr="008A02C4">
        <w:rPr>
          <w:rFonts w:cs="Arial"/>
          <w:szCs w:val="24"/>
        </w:rPr>
        <w:t>annuel</w:t>
      </w:r>
      <w:r w:rsidRPr="008A02C4">
        <w:rPr>
          <w:rFonts w:cs="Arial"/>
          <w:spacing w:val="-10"/>
          <w:szCs w:val="24"/>
        </w:rPr>
        <w:t xml:space="preserve"> </w:t>
      </w:r>
      <w:r w:rsidRPr="008A02C4">
        <w:rPr>
          <w:rFonts w:cs="Arial"/>
          <w:szCs w:val="24"/>
        </w:rPr>
        <w:t>de</w:t>
      </w:r>
      <w:r w:rsidRPr="008A02C4">
        <w:rPr>
          <w:rFonts w:cs="Arial"/>
          <w:spacing w:val="-8"/>
          <w:szCs w:val="24"/>
        </w:rPr>
        <w:t xml:space="preserve"> </w:t>
      </w:r>
      <w:r w:rsidRPr="008A02C4">
        <w:rPr>
          <w:rFonts w:cs="Arial"/>
          <w:szCs w:val="24"/>
        </w:rPr>
        <w:t>l’échelon</w:t>
      </w:r>
      <w:r w:rsidR="000C46DA">
        <w:rPr>
          <w:rFonts w:cs="Arial"/>
          <w:szCs w:val="24"/>
        </w:rPr>
        <w:t> </w:t>
      </w:r>
      <w:r w:rsidRPr="008A02C4">
        <w:rPr>
          <w:rFonts w:cs="Arial"/>
          <w:szCs w:val="24"/>
        </w:rPr>
        <w:t>18 multiplié par</w:t>
      </w:r>
      <w:r w:rsidRPr="008A02C4">
        <w:rPr>
          <w:rFonts w:cs="Arial"/>
          <w:spacing w:val="2"/>
          <w:szCs w:val="24"/>
        </w:rPr>
        <w:t xml:space="preserve"> </w:t>
      </w:r>
      <w:r w:rsidRPr="008A02C4">
        <w:rPr>
          <w:rFonts w:cs="Arial"/>
          <w:szCs w:val="24"/>
        </w:rPr>
        <w:t>1,0163</w:t>
      </w:r>
      <w:r w:rsidR="000C46DA">
        <w:rPr>
          <w:rFonts w:cs="Arial"/>
          <w:szCs w:val="24"/>
        </w:rPr>
        <w:t xml:space="preserve"> </w:t>
      </w:r>
      <w:r w:rsidR="000C46DA" w:rsidRPr="00316277">
        <w:rPr>
          <w:rFonts w:cs="Arial"/>
          <w:szCs w:val="24"/>
        </w:rPr>
        <w:t>et arrondi au dollar</w:t>
      </w:r>
      <w:r w:rsidRPr="008A02C4">
        <w:rPr>
          <w:rFonts w:cs="Arial"/>
          <w:szCs w:val="24"/>
        </w:rPr>
        <w:t>;</w:t>
      </w:r>
    </w:p>
    <w:p w14:paraId="76354F18" w14:textId="38AC6158" w:rsidR="00CD5BD8" w:rsidRPr="008A02C4" w:rsidRDefault="00CD5BD8" w:rsidP="007F120F">
      <w:pPr>
        <w:pStyle w:val="ListParagraph"/>
        <w:tabs>
          <w:tab w:val="left" w:pos="2368"/>
        </w:tabs>
        <w:suppressAutoHyphens/>
        <w:autoSpaceDE w:val="0"/>
        <w:autoSpaceDN w:val="0"/>
        <w:spacing w:before="240"/>
        <w:ind w:left="1276" w:right="137" w:hanging="284"/>
        <w:rPr>
          <w:rFonts w:cs="Arial"/>
          <w:szCs w:val="24"/>
        </w:rPr>
      </w:pPr>
      <w:r w:rsidRPr="008A02C4">
        <w:rPr>
          <w:rFonts w:ascii="Symbol" w:hAnsi="Symbol"/>
        </w:rPr>
        <w:t></w:t>
      </w:r>
      <w:r w:rsidRPr="008A02C4">
        <w:rPr>
          <w:rFonts w:cs="Arial"/>
        </w:rPr>
        <w:tab/>
      </w:r>
      <w:r w:rsidRPr="008A02C4">
        <w:rPr>
          <w:rFonts w:cs="Arial"/>
          <w:szCs w:val="24"/>
        </w:rPr>
        <w:t>Le</w:t>
      </w:r>
      <w:r w:rsidRPr="008A02C4">
        <w:rPr>
          <w:rFonts w:cs="Arial"/>
          <w:spacing w:val="-10"/>
          <w:szCs w:val="24"/>
        </w:rPr>
        <w:t xml:space="preserve"> </w:t>
      </w:r>
      <w:r w:rsidRPr="008A02C4">
        <w:rPr>
          <w:rFonts w:cs="Arial"/>
          <w:szCs w:val="24"/>
        </w:rPr>
        <w:t>taux</w:t>
      </w:r>
      <w:r w:rsidRPr="008A02C4">
        <w:rPr>
          <w:rFonts w:cs="Arial"/>
          <w:spacing w:val="-8"/>
          <w:szCs w:val="24"/>
        </w:rPr>
        <w:t xml:space="preserve"> </w:t>
      </w:r>
      <w:r w:rsidRPr="008A02C4">
        <w:rPr>
          <w:rFonts w:cs="Arial"/>
          <w:szCs w:val="24"/>
        </w:rPr>
        <w:t>annuel</w:t>
      </w:r>
      <w:r w:rsidRPr="008A02C4">
        <w:rPr>
          <w:rFonts w:cs="Arial"/>
          <w:spacing w:val="-10"/>
          <w:szCs w:val="24"/>
        </w:rPr>
        <w:t xml:space="preserve"> </w:t>
      </w:r>
      <w:r w:rsidRPr="008A02C4">
        <w:rPr>
          <w:rFonts w:cs="Arial"/>
          <w:szCs w:val="24"/>
        </w:rPr>
        <w:t>de</w:t>
      </w:r>
      <w:r w:rsidRPr="008A02C4">
        <w:rPr>
          <w:rFonts w:cs="Arial"/>
          <w:spacing w:val="-9"/>
          <w:szCs w:val="24"/>
        </w:rPr>
        <w:t xml:space="preserve"> </w:t>
      </w:r>
      <w:r w:rsidRPr="008A02C4">
        <w:rPr>
          <w:rFonts w:cs="Arial"/>
          <w:szCs w:val="24"/>
        </w:rPr>
        <w:t>l’échelon</w:t>
      </w:r>
      <w:r w:rsidR="000C46DA">
        <w:rPr>
          <w:rFonts w:cs="Arial"/>
          <w:spacing w:val="-2"/>
          <w:szCs w:val="24"/>
        </w:rPr>
        <w:t> </w:t>
      </w:r>
      <w:r w:rsidRPr="008A02C4">
        <w:rPr>
          <w:rFonts w:cs="Arial"/>
          <w:szCs w:val="24"/>
        </w:rPr>
        <w:t>20</w:t>
      </w:r>
      <w:r w:rsidRPr="008A02C4">
        <w:rPr>
          <w:rFonts w:cs="Arial"/>
          <w:spacing w:val="-9"/>
          <w:szCs w:val="24"/>
        </w:rPr>
        <w:t xml:space="preserve"> </w:t>
      </w:r>
      <w:r w:rsidRPr="008A02C4">
        <w:rPr>
          <w:rFonts w:cs="Arial"/>
          <w:szCs w:val="24"/>
        </w:rPr>
        <w:t>correspond</w:t>
      </w:r>
      <w:r w:rsidRPr="008A02C4">
        <w:rPr>
          <w:rFonts w:cs="Arial"/>
          <w:spacing w:val="-10"/>
          <w:szCs w:val="24"/>
        </w:rPr>
        <w:t xml:space="preserve"> </w:t>
      </w:r>
      <w:r w:rsidRPr="008A02C4">
        <w:rPr>
          <w:rFonts w:cs="Arial"/>
          <w:szCs w:val="24"/>
        </w:rPr>
        <w:t>au</w:t>
      </w:r>
      <w:r w:rsidRPr="008A02C4">
        <w:rPr>
          <w:rFonts w:cs="Arial"/>
          <w:spacing w:val="-12"/>
          <w:szCs w:val="24"/>
        </w:rPr>
        <w:t xml:space="preserve"> </w:t>
      </w:r>
      <w:r w:rsidRPr="008A02C4">
        <w:rPr>
          <w:rFonts w:cs="Arial"/>
          <w:szCs w:val="24"/>
        </w:rPr>
        <w:t>taux</w:t>
      </w:r>
      <w:r w:rsidRPr="008A02C4">
        <w:rPr>
          <w:rFonts w:cs="Arial"/>
          <w:spacing w:val="-8"/>
          <w:szCs w:val="24"/>
        </w:rPr>
        <w:t xml:space="preserve"> </w:t>
      </w:r>
      <w:r w:rsidRPr="008A02C4">
        <w:rPr>
          <w:rFonts w:cs="Arial"/>
          <w:szCs w:val="24"/>
        </w:rPr>
        <w:t>annuel</w:t>
      </w:r>
      <w:r w:rsidRPr="008A02C4">
        <w:rPr>
          <w:rFonts w:cs="Arial"/>
          <w:spacing w:val="-10"/>
          <w:szCs w:val="24"/>
        </w:rPr>
        <w:t xml:space="preserve"> </w:t>
      </w:r>
      <w:r w:rsidRPr="008A02C4">
        <w:rPr>
          <w:rFonts w:cs="Arial"/>
          <w:szCs w:val="24"/>
        </w:rPr>
        <w:t>de</w:t>
      </w:r>
      <w:r w:rsidRPr="008A02C4">
        <w:rPr>
          <w:rFonts w:cs="Arial"/>
          <w:spacing w:val="-9"/>
          <w:szCs w:val="24"/>
        </w:rPr>
        <w:t xml:space="preserve"> </w:t>
      </w:r>
      <w:r w:rsidRPr="008A02C4">
        <w:rPr>
          <w:rFonts w:cs="Arial"/>
          <w:szCs w:val="24"/>
        </w:rPr>
        <w:t>l’échelon</w:t>
      </w:r>
      <w:r w:rsidR="000C46DA">
        <w:rPr>
          <w:rFonts w:cs="Arial"/>
          <w:spacing w:val="-1"/>
          <w:szCs w:val="24"/>
        </w:rPr>
        <w:t> </w:t>
      </w:r>
      <w:r w:rsidRPr="008A02C4">
        <w:rPr>
          <w:rFonts w:cs="Arial"/>
          <w:szCs w:val="24"/>
        </w:rPr>
        <w:t>19 multiplié par</w:t>
      </w:r>
      <w:r w:rsidRPr="008A02C4">
        <w:rPr>
          <w:rFonts w:cs="Arial"/>
          <w:spacing w:val="2"/>
          <w:szCs w:val="24"/>
        </w:rPr>
        <w:t xml:space="preserve"> </w:t>
      </w:r>
      <w:r w:rsidRPr="008A02C4">
        <w:rPr>
          <w:rFonts w:cs="Arial"/>
          <w:szCs w:val="24"/>
        </w:rPr>
        <w:t>1,0163</w:t>
      </w:r>
      <w:r w:rsidR="000C46DA">
        <w:rPr>
          <w:rFonts w:cs="Arial"/>
          <w:szCs w:val="24"/>
        </w:rPr>
        <w:t xml:space="preserve"> </w:t>
      </w:r>
      <w:r w:rsidR="000C46DA" w:rsidRPr="00316277">
        <w:rPr>
          <w:rFonts w:cs="Arial"/>
          <w:szCs w:val="24"/>
        </w:rPr>
        <w:t>et arrondi au dollar</w:t>
      </w:r>
      <w:r w:rsidRPr="008A02C4">
        <w:rPr>
          <w:rFonts w:cs="Arial"/>
          <w:szCs w:val="24"/>
        </w:rPr>
        <w:t>.</w:t>
      </w:r>
    </w:p>
    <w:p w14:paraId="00ED25F8" w14:textId="7E7CFBEC" w:rsidR="00CD5BD8" w:rsidRPr="008A02C4" w:rsidRDefault="00CD5BD8" w:rsidP="007F120F">
      <w:pPr>
        <w:pStyle w:val="BodyText"/>
        <w:keepNext w:val="0"/>
        <w:spacing w:before="240"/>
        <w:ind w:left="993"/>
        <w:jc w:val="both"/>
        <w:rPr>
          <w:rFonts w:cs="Arial"/>
          <w:szCs w:val="24"/>
        </w:rPr>
      </w:pPr>
      <w:r w:rsidRPr="008A02C4">
        <w:rPr>
          <w:rFonts w:cs="Arial"/>
          <w:szCs w:val="24"/>
        </w:rPr>
        <w:t>L’échelon</w:t>
      </w:r>
      <w:r w:rsidR="000C46DA">
        <w:rPr>
          <w:rFonts w:cs="Arial"/>
          <w:szCs w:val="24"/>
        </w:rPr>
        <w:t> </w:t>
      </w:r>
      <w:r w:rsidRPr="008A02C4">
        <w:rPr>
          <w:rFonts w:cs="Arial"/>
          <w:szCs w:val="24"/>
        </w:rPr>
        <w:t>18</w:t>
      </w:r>
      <w:r w:rsidRPr="008A02C4">
        <w:rPr>
          <w:rFonts w:cs="Arial"/>
          <w:spacing w:val="-15"/>
          <w:szCs w:val="24"/>
        </w:rPr>
        <w:t xml:space="preserve"> </w:t>
      </w:r>
      <w:r w:rsidRPr="008A02C4">
        <w:rPr>
          <w:rFonts w:cs="Arial"/>
          <w:szCs w:val="24"/>
        </w:rPr>
        <w:t>est</w:t>
      </w:r>
      <w:r w:rsidRPr="008A02C4">
        <w:rPr>
          <w:rFonts w:cs="Arial"/>
          <w:spacing w:val="-13"/>
          <w:szCs w:val="24"/>
        </w:rPr>
        <w:t xml:space="preserve"> </w:t>
      </w:r>
      <w:r w:rsidRPr="008A02C4">
        <w:rPr>
          <w:rFonts w:cs="Arial"/>
          <w:szCs w:val="24"/>
        </w:rPr>
        <w:t>accessible</w:t>
      </w:r>
      <w:r w:rsidRPr="008A02C4">
        <w:rPr>
          <w:rFonts w:cs="Arial"/>
          <w:spacing w:val="-14"/>
          <w:szCs w:val="24"/>
        </w:rPr>
        <w:t xml:space="preserve"> </w:t>
      </w:r>
      <w:r w:rsidR="000C46DA" w:rsidRPr="00316277">
        <w:rPr>
          <w:rFonts w:cs="Arial"/>
          <w:szCs w:val="24"/>
        </w:rPr>
        <w:t>à l’</w:t>
      </w:r>
      <w:r w:rsidRPr="008A02C4">
        <w:rPr>
          <w:rFonts w:cs="Arial"/>
          <w:szCs w:val="24"/>
        </w:rPr>
        <w:t xml:space="preserve">enseignante </w:t>
      </w:r>
      <w:r w:rsidR="000C46DA" w:rsidRPr="00316277">
        <w:rPr>
          <w:rFonts w:cs="Arial"/>
          <w:szCs w:val="24"/>
        </w:rPr>
        <w:t>ou l’</w:t>
      </w:r>
      <w:r w:rsidRPr="008A02C4">
        <w:rPr>
          <w:rFonts w:cs="Arial"/>
          <w:szCs w:val="24"/>
        </w:rPr>
        <w:t xml:space="preserve">enseignant à temps complet </w:t>
      </w:r>
      <w:r w:rsidR="000C46DA" w:rsidRPr="00316277">
        <w:rPr>
          <w:rFonts w:cs="Arial"/>
          <w:szCs w:val="24"/>
        </w:rPr>
        <w:t>ou</w:t>
      </w:r>
      <w:r w:rsidR="000C46DA">
        <w:rPr>
          <w:rFonts w:cs="Arial"/>
          <w:szCs w:val="24"/>
        </w:rPr>
        <w:t xml:space="preserve"> </w:t>
      </w:r>
      <w:r w:rsidRPr="008A02C4">
        <w:rPr>
          <w:rFonts w:cs="Arial"/>
          <w:szCs w:val="24"/>
        </w:rPr>
        <w:t>à temps partiel détenteur</w:t>
      </w:r>
      <w:r w:rsidRPr="008A02C4">
        <w:rPr>
          <w:rFonts w:cs="Arial"/>
          <w:spacing w:val="-14"/>
          <w:szCs w:val="24"/>
        </w:rPr>
        <w:t xml:space="preserve"> </w:t>
      </w:r>
      <w:r w:rsidRPr="008A02C4">
        <w:rPr>
          <w:rFonts w:cs="Arial"/>
          <w:szCs w:val="24"/>
        </w:rPr>
        <w:t>d’un</w:t>
      </w:r>
      <w:r w:rsidRPr="008A02C4">
        <w:rPr>
          <w:rFonts w:cs="Arial"/>
          <w:spacing w:val="-14"/>
          <w:szCs w:val="24"/>
        </w:rPr>
        <w:t xml:space="preserve"> </w:t>
      </w:r>
      <w:r w:rsidRPr="008A02C4">
        <w:rPr>
          <w:rFonts w:cs="Arial"/>
          <w:szCs w:val="24"/>
        </w:rPr>
        <w:t>diplôme</w:t>
      </w:r>
      <w:r w:rsidRPr="008A02C4">
        <w:rPr>
          <w:rFonts w:cs="Arial"/>
          <w:spacing w:val="-14"/>
          <w:szCs w:val="24"/>
        </w:rPr>
        <w:t xml:space="preserve"> </w:t>
      </w:r>
      <w:r w:rsidRPr="008A02C4">
        <w:rPr>
          <w:rFonts w:cs="Arial"/>
          <w:szCs w:val="24"/>
        </w:rPr>
        <w:t>de</w:t>
      </w:r>
      <w:r w:rsidRPr="008A02C4">
        <w:rPr>
          <w:rFonts w:cs="Arial"/>
          <w:spacing w:val="-15"/>
          <w:szCs w:val="24"/>
        </w:rPr>
        <w:t xml:space="preserve"> </w:t>
      </w:r>
      <w:r w:rsidRPr="008A02C4">
        <w:rPr>
          <w:rFonts w:cs="Arial"/>
          <w:szCs w:val="24"/>
        </w:rPr>
        <w:t>maîtrise</w:t>
      </w:r>
      <w:r w:rsidRPr="008A02C4">
        <w:rPr>
          <w:rFonts w:cs="Arial"/>
          <w:spacing w:val="-14"/>
          <w:szCs w:val="24"/>
        </w:rPr>
        <w:t xml:space="preserve"> </w:t>
      </w:r>
      <w:r w:rsidRPr="008A02C4">
        <w:rPr>
          <w:rFonts w:cs="Arial"/>
          <w:szCs w:val="24"/>
        </w:rPr>
        <w:t>acquis</w:t>
      </w:r>
      <w:r w:rsidRPr="008A02C4">
        <w:rPr>
          <w:rFonts w:cs="Arial"/>
          <w:spacing w:val="-13"/>
          <w:szCs w:val="24"/>
        </w:rPr>
        <w:t xml:space="preserve"> </w:t>
      </w:r>
      <w:r w:rsidRPr="008A02C4">
        <w:rPr>
          <w:rFonts w:cs="Arial"/>
          <w:szCs w:val="24"/>
        </w:rPr>
        <w:t>dans la discipline enseignée ou acquis dans une discipline apparentée et utile à l’enseignement de la discipline au</w:t>
      </w:r>
      <w:r w:rsidRPr="008A02C4">
        <w:rPr>
          <w:rFonts w:cs="Arial"/>
          <w:spacing w:val="-3"/>
          <w:szCs w:val="24"/>
        </w:rPr>
        <w:t xml:space="preserve"> </w:t>
      </w:r>
      <w:r w:rsidRPr="008A02C4">
        <w:rPr>
          <w:rFonts w:cs="Arial"/>
          <w:szCs w:val="24"/>
        </w:rPr>
        <w:t>contrat.</w:t>
      </w:r>
    </w:p>
    <w:p w14:paraId="24D646C7" w14:textId="069F7B45" w:rsidR="00CD5BD8" w:rsidRPr="008A02C4" w:rsidRDefault="00CD5BD8" w:rsidP="007F120F">
      <w:pPr>
        <w:pStyle w:val="BodyText"/>
        <w:keepNext w:val="0"/>
        <w:spacing w:before="240"/>
        <w:ind w:left="993"/>
        <w:jc w:val="both"/>
        <w:rPr>
          <w:rFonts w:cs="Arial"/>
          <w:szCs w:val="24"/>
        </w:rPr>
      </w:pPr>
      <w:r w:rsidRPr="008A02C4">
        <w:rPr>
          <w:rFonts w:cs="Arial"/>
          <w:szCs w:val="24"/>
        </w:rPr>
        <w:t>Les échelons</w:t>
      </w:r>
      <w:r w:rsidR="000C46DA">
        <w:rPr>
          <w:rFonts w:cs="Arial"/>
          <w:szCs w:val="24"/>
        </w:rPr>
        <w:t> </w:t>
      </w:r>
      <w:r w:rsidRPr="008A02C4">
        <w:rPr>
          <w:rFonts w:cs="Arial"/>
          <w:szCs w:val="24"/>
        </w:rPr>
        <w:t xml:space="preserve">18, 19 et 20 sont accessibles </w:t>
      </w:r>
      <w:r w:rsidR="000C46DA" w:rsidRPr="00316277">
        <w:rPr>
          <w:rFonts w:cs="Arial"/>
          <w:szCs w:val="24"/>
        </w:rPr>
        <w:t>à l’</w:t>
      </w:r>
      <w:r w:rsidRPr="008A02C4">
        <w:rPr>
          <w:rFonts w:cs="Arial"/>
          <w:szCs w:val="24"/>
        </w:rPr>
        <w:t xml:space="preserve">enseignante </w:t>
      </w:r>
      <w:r w:rsidR="000C46DA" w:rsidRPr="00316277">
        <w:rPr>
          <w:rFonts w:cs="Arial"/>
          <w:szCs w:val="24"/>
        </w:rPr>
        <w:t>ou l’</w:t>
      </w:r>
      <w:r w:rsidRPr="008A02C4">
        <w:rPr>
          <w:rFonts w:cs="Arial"/>
          <w:szCs w:val="24"/>
        </w:rPr>
        <w:t xml:space="preserve">enseignant à temps complet </w:t>
      </w:r>
      <w:r w:rsidR="000C46DA" w:rsidRPr="00316277">
        <w:rPr>
          <w:rFonts w:cs="Arial"/>
          <w:szCs w:val="24"/>
        </w:rPr>
        <w:t>ou</w:t>
      </w:r>
      <w:r w:rsidR="000C46DA">
        <w:rPr>
          <w:rFonts w:cs="Arial"/>
          <w:szCs w:val="24"/>
        </w:rPr>
        <w:t xml:space="preserve"> </w:t>
      </w:r>
      <w:r w:rsidRPr="008A02C4">
        <w:rPr>
          <w:rFonts w:cs="Arial"/>
          <w:szCs w:val="24"/>
        </w:rPr>
        <w:t>à temps partiel possédant une scolarité de 19 ans ou plus et un doctorat du 3</w:t>
      </w:r>
      <w:r w:rsidR="00CC6CFD" w:rsidRPr="008A02C4">
        <w:rPr>
          <w:rFonts w:cs="Arial"/>
          <w:szCs w:val="24"/>
          <w:vertAlign w:val="superscript"/>
        </w:rPr>
        <w:t>e</w:t>
      </w:r>
      <w:r w:rsidRPr="008A02C4">
        <w:rPr>
          <w:rFonts w:cs="Arial"/>
          <w:position w:val="8"/>
          <w:szCs w:val="24"/>
        </w:rPr>
        <w:t xml:space="preserve"> </w:t>
      </w:r>
      <w:r w:rsidRPr="008A02C4">
        <w:rPr>
          <w:rFonts w:cs="Arial"/>
          <w:szCs w:val="24"/>
        </w:rPr>
        <w:t>cycle.</w:t>
      </w:r>
    </w:p>
    <w:p w14:paraId="4B661629" w14:textId="149294B4" w:rsidR="00CD5BD8" w:rsidRPr="008A02C4" w:rsidRDefault="00CD5BD8" w:rsidP="007F120F">
      <w:pPr>
        <w:pStyle w:val="BodyText"/>
        <w:keepNext w:val="0"/>
        <w:spacing w:before="240"/>
        <w:ind w:left="993" w:right="135"/>
        <w:jc w:val="both"/>
        <w:rPr>
          <w:rFonts w:cs="Arial"/>
          <w:szCs w:val="24"/>
        </w:rPr>
      </w:pPr>
      <w:r w:rsidRPr="008A02C4">
        <w:rPr>
          <w:rFonts w:cs="Arial"/>
          <w:szCs w:val="24"/>
        </w:rPr>
        <w:t>La</w:t>
      </w:r>
      <w:r w:rsidRPr="008A02C4">
        <w:rPr>
          <w:rFonts w:cs="Arial"/>
          <w:spacing w:val="-13"/>
          <w:szCs w:val="24"/>
        </w:rPr>
        <w:t xml:space="preserve"> </w:t>
      </w:r>
      <w:r w:rsidRPr="008A02C4">
        <w:rPr>
          <w:rFonts w:cs="Arial"/>
          <w:szCs w:val="24"/>
        </w:rPr>
        <w:t>durée</w:t>
      </w:r>
      <w:r w:rsidRPr="008A02C4">
        <w:rPr>
          <w:rFonts w:cs="Arial"/>
          <w:spacing w:val="-15"/>
          <w:szCs w:val="24"/>
        </w:rPr>
        <w:t xml:space="preserve"> </w:t>
      </w:r>
      <w:r w:rsidRPr="008A02C4">
        <w:rPr>
          <w:rFonts w:cs="Arial"/>
          <w:szCs w:val="24"/>
        </w:rPr>
        <w:t>de</w:t>
      </w:r>
      <w:r w:rsidRPr="008A02C4">
        <w:rPr>
          <w:rFonts w:cs="Arial"/>
          <w:spacing w:val="-15"/>
          <w:szCs w:val="24"/>
        </w:rPr>
        <w:t xml:space="preserve"> </w:t>
      </w:r>
      <w:r w:rsidRPr="008A02C4">
        <w:rPr>
          <w:rFonts w:cs="Arial"/>
          <w:szCs w:val="24"/>
        </w:rPr>
        <w:t>séjour</w:t>
      </w:r>
      <w:r w:rsidRPr="008A02C4">
        <w:rPr>
          <w:rFonts w:cs="Arial"/>
          <w:spacing w:val="-14"/>
          <w:szCs w:val="24"/>
        </w:rPr>
        <w:t xml:space="preserve"> </w:t>
      </w:r>
      <w:r w:rsidRPr="008A02C4">
        <w:rPr>
          <w:rFonts w:cs="Arial"/>
          <w:szCs w:val="24"/>
        </w:rPr>
        <w:t>à</w:t>
      </w:r>
      <w:r w:rsidRPr="008A02C4">
        <w:rPr>
          <w:rFonts w:cs="Arial"/>
          <w:spacing w:val="-15"/>
          <w:szCs w:val="24"/>
        </w:rPr>
        <w:t xml:space="preserve"> </w:t>
      </w:r>
      <w:r w:rsidRPr="008A02C4">
        <w:rPr>
          <w:rFonts w:cs="Arial"/>
          <w:szCs w:val="24"/>
        </w:rPr>
        <w:t>un</w:t>
      </w:r>
      <w:r w:rsidRPr="008A02C4">
        <w:rPr>
          <w:rFonts w:cs="Arial"/>
          <w:spacing w:val="-15"/>
          <w:szCs w:val="24"/>
        </w:rPr>
        <w:t xml:space="preserve"> </w:t>
      </w:r>
      <w:r w:rsidRPr="008A02C4">
        <w:rPr>
          <w:rFonts w:cs="Arial"/>
          <w:szCs w:val="24"/>
        </w:rPr>
        <w:t>échelon</w:t>
      </w:r>
      <w:r w:rsidRPr="008A02C4">
        <w:rPr>
          <w:rFonts w:cs="Arial"/>
          <w:spacing w:val="-12"/>
          <w:szCs w:val="24"/>
        </w:rPr>
        <w:t xml:space="preserve"> </w:t>
      </w:r>
      <w:r w:rsidRPr="008A02C4">
        <w:rPr>
          <w:rFonts w:cs="Arial"/>
          <w:szCs w:val="24"/>
        </w:rPr>
        <w:t>de</w:t>
      </w:r>
      <w:r w:rsidRPr="008A02C4">
        <w:rPr>
          <w:rFonts w:cs="Arial"/>
          <w:spacing w:val="-15"/>
          <w:szCs w:val="24"/>
        </w:rPr>
        <w:t xml:space="preserve"> </w:t>
      </w:r>
      <w:r w:rsidRPr="008A02C4">
        <w:rPr>
          <w:rFonts w:cs="Arial"/>
          <w:szCs w:val="24"/>
        </w:rPr>
        <w:t xml:space="preserve">l’enseignante </w:t>
      </w:r>
      <w:r w:rsidR="00DD292B" w:rsidRPr="00316277">
        <w:rPr>
          <w:rFonts w:cs="Arial"/>
          <w:szCs w:val="24"/>
        </w:rPr>
        <w:t>ou</w:t>
      </w:r>
      <w:r w:rsidR="00DD292B">
        <w:rPr>
          <w:rFonts w:cs="Arial"/>
          <w:szCs w:val="24"/>
        </w:rPr>
        <w:t xml:space="preserve"> </w:t>
      </w:r>
      <w:r w:rsidRPr="008A02C4">
        <w:rPr>
          <w:rFonts w:cs="Arial"/>
          <w:szCs w:val="24"/>
        </w:rPr>
        <w:t xml:space="preserve">l’enseignant à temps complet </w:t>
      </w:r>
      <w:r w:rsidR="00DD292B" w:rsidRPr="00316277">
        <w:rPr>
          <w:rFonts w:cs="Arial"/>
          <w:szCs w:val="24"/>
        </w:rPr>
        <w:t>ou</w:t>
      </w:r>
      <w:r w:rsidR="00DD292B">
        <w:rPr>
          <w:rFonts w:cs="Arial"/>
          <w:szCs w:val="24"/>
        </w:rPr>
        <w:t xml:space="preserve"> </w:t>
      </w:r>
      <w:r w:rsidRPr="008A02C4">
        <w:rPr>
          <w:rFonts w:cs="Arial"/>
          <w:szCs w:val="24"/>
        </w:rPr>
        <w:t>à temps partiel</w:t>
      </w:r>
      <w:r w:rsidRPr="008A02C4">
        <w:rPr>
          <w:rFonts w:cs="Arial"/>
          <w:spacing w:val="-12"/>
          <w:szCs w:val="24"/>
        </w:rPr>
        <w:t xml:space="preserve"> </w:t>
      </w:r>
      <w:r w:rsidRPr="008A02C4">
        <w:rPr>
          <w:rFonts w:cs="Arial"/>
          <w:szCs w:val="24"/>
        </w:rPr>
        <w:t>est</w:t>
      </w:r>
      <w:r w:rsidRPr="008A02C4">
        <w:rPr>
          <w:rFonts w:cs="Arial"/>
          <w:spacing w:val="-14"/>
          <w:szCs w:val="24"/>
        </w:rPr>
        <w:t xml:space="preserve"> </w:t>
      </w:r>
      <w:r w:rsidRPr="008A02C4">
        <w:rPr>
          <w:rFonts w:cs="Arial"/>
          <w:szCs w:val="24"/>
        </w:rPr>
        <w:t>prévue</w:t>
      </w:r>
      <w:r w:rsidRPr="008A02C4">
        <w:rPr>
          <w:rFonts w:cs="Arial"/>
          <w:spacing w:val="-15"/>
          <w:szCs w:val="24"/>
        </w:rPr>
        <w:t xml:space="preserve"> </w:t>
      </w:r>
      <w:r w:rsidRPr="008A02C4">
        <w:rPr>
          <w:rFonts w:cs="Arial"/>
          <w:szCs w:val="24"/>
        </w:rPr>
        <w:t>de</w:t>
      </w:r>
      <w:r w:rsidRPr="008A02C4">
        <w:rPr>
          <w:rFonts w:cs="Arial"/>
          <w:spacing w:val="-14"/>
          <w:szCs w:val="24"/>
        </w:rPr>
        <w:t xml:space="preserve"> </w:t>
      </w:r>
      <w:r w:rsidRPr="008A02C4">
        <w:rPr>
          <w:rFonts w:cs="Arial"/>
          <w:szCs w:val="24"/>
        </w:rPr>
        <w:t>la</w:t>
      </w:r>
      <w:r w:rsidRPr="008A02C4">
        <w:rPr>
          <w:rFonts w:cs="Arial"/>
          <w:spacing w:val="-15"/>
          <w:szCs w:val="24"/>
        </w:rPr>
        <w:t xml:space="preserve"> </w:t>
      </w:r>
      <w:r w:rsidRPr="008A02C4">
        <w:rPr>
          <w:rFonts w:cs="Arial"/>
          <w:szCs w:val="24"/>
        </w:rPr>
        <w:t>manière suivante</w:t>
      </w:r>
      <w:r w:rsidR="00D8581B" w:rsidRPr="008A02C4">
        <w:rPr>
          <w:rFonts w:cs="Arial"/>
          <w:spacing w:val="-2"/>
          <w:szCs w:val="24"/>
        </w:rPr>
        <w:t> :</w:t>
      </w:r>
    </w:p>
    <w:p w14:paraId="266D0E62" w14:textId="12AA372C" w:rsidR="00CD5BD8" w:rsidRPr="008A02C4" w:rsidRDefault="00CD5BD8" w:rsidP="007F120F">
      <w:pPr>
        <w:pStyle w:val="ListParagraph"/>
        <w:tabs>
          <w:tab w:val="left" w:pos="2432"/>
          <w:tab w:val="left" w:pos="2433"/>
        </w:tabs>
        <w:suppressAutoHyphens/>
        <w:autoSpaceDE w:val="0"/>
        <w:autoSpaceDN w:val="0"/>
        <w:spacing w:before="240"/>
        <w:ind w:left="1276" w:right="136" w:hanging="284"/>
        <w:rPr>
          <w:rFonts w:cs="Arial"/>
          <w:szCs w:val="24"/>
        </w:rPr>
      </w:pPr>
      <w:r w:rsidRPr="008A02C4">
        <w:rPr>
          <w:rFonts w:ascii="Symbol" w:hAnsi="Symbol"/>
        </w:rPr>
        <w:t></w:t>
      </w:r>
      <w:r w:rsidRPr="008A02C4">
        <w:rPr>
          <w:rFonts w:cs="Arial"/>
        </w:rPr>
        <w:tab/>
      </w:r>
      <w:r w:rsidRPr="008A02C4">
        <w:rPr>
          <w:rFonts w:cs="Arial"/>
          <w:szCs w:val="24"/>
        </w:rPr>
        <w:t xml:space="preserve">Six </w:t>
      </w:r>
      <w:r w:rsidR="003D2831">
        <w:rPr>
          <w:rFonts w:cs="Arial"/>
          <w:szCs w:val="24"/>
        </w:rPr>
        <w:t>(6)</w:t>
      </w:r>
      <w:r w:rsidRPr="008A02C4">
        <w:rPr>
          <w:rFonts w:cs="Arial"/>
          <w:szCs w:val="24"/>
        </w:rPr>
        <w:t xml:space="preserve"> mois d’expérience reconnue selon les dispositions de la convention collective dans les échelons un</w:t>
      </w:r>
      <w:r w:rsidR="00DD292B">
        <w:rPr>
          <w:rFonts w:cs="Arial"/>
          <w:szCs w:val="24"/>
        </w:rPr>
        <w:t> (1)</w:t>
      </w:r>
      <w:r w:rsidRPr="008A02C4">
        <w:rPr>
          <w:rFonts w:cs="Arial"/>
          <w:szCs w:val="24"/>
        </w:rPr>
        <w:t xml:space="preserve"> à</w:t>
      </w:r>
      <w:r w:rsidRPr="008A02C4">
        <w:rPr>
          <w:rFonts w:cs="Arial"/>
          <w:spacing w:val="-4"/>
          <w:szCs w:val="24"/>
        </w:rPr>
        <w:t xml:space="preserve"> </w:t>
      </w:r>
      <w:r w:rsidRPr="008A02C4">
        <w:rPr>
          <w:rFonts w:cs="Arial"/>
          <w:szCs w:val="24"/>
        </w:rPr>
        <w:t>quatre</w:t>
      </w:r>
      <w:r w:rsidR="00DD292B">
        <w:rPr>
          <w:rFonts w:cs="Arial"/>
          <w:szCs w:val="24"/>
        </w:rPr>
        <w:t> (4)</w:t>
      </w:r>
      <w:r w:rsidRPr="008A02C4">
        <w:rPr>
          <w:rFonts w:cs="Arial"/>
          <w:szCs w:val="24"/>
        </w:rPr>
        <w:t xml:space="preserve"> conformément à la clause 6</w:t>
      </w:r>
      <w:r w:rsidR="00984A6F">
        <w:rPr>
          <w:rFonts w:cs="Arial"/>
          <w:szCs w:val="24"/>
        </w:rPr>
        <w:noBreakHyphen/>
      </w:r>
      <w:r w:rsidRPr="008A02C4">
        <w:rPr>
          <w:rFonts w:cs="Arial"/>
          <w:szCs w:val="24"/>
        </w:rPr>
        <w:t>1.01</w:t>
      </w:r>
      <w:r w:rsidR="00DD292B">
        <w:rPr>
          <w:rFonts w:cs="Arial"/>
          <w:szCs w:val="24"/>
        </w:rPr>
        <w:t xml:space="preserve"> </w:t>
      </w:r>
      <w:r w:rsidR="00DD292B" w:rsidRPr="00316277">
        <w:rPr>
          <w:rFonts w:cs="Arial"/>
          <w:szCs w:val="24"/>
        </w:rPr>
        <w:t>jusqu’au 30 juin 2024 et dans les échelons un (1) à six (6) à compter du 1</w:t>
      </w:r>
      <w:r w:rsidR="00DD292B" w:rsidRPr="00316277">
        <w:rPr>
          <w:rFonts w:cs="Arial"/>
          <w:szCs w:val="24"/>
          <w:vertAlign w:val="superscript"/>
        </w:rPr>
        <w:t>er</w:t>
      </w:r>
      <w:r w:rsidR="00DD292B" w:rsidRPr="00316277">
        <w:rPr>
          <w:rFonts w:cs="Arial"/>
          <w:szCs w:val="24"/>
        </w:rPr>
        <w:t xml:space="preserve"> juillet 2024</w:t>
      </w:r>
      <w:r w:rsidRPr="008A02C4">
        <w:rPr>
          <w:rFonts w:cs="Arial"/>
          <w:szCs w:val="24"/>
        </w:rPr>
        <w:t>;</w:t>
      </w:r>
    </w:p>
    <w:p w14:paraId="40CD7B8D" w14:textId="328DD26C" w:rsidR="00CD5BD8" w:rsidRPr="008A02C4" w:rsidRDefault="00CD5BD8" w:rsidP="007F120F">
      <w:pPr>
        <w:pStyle w:val="ListParagraph"/>
        <w:tabs>
          <w:tab w:val="left" w:pos="2432"/>
          <w:tab w:val="left" w:pos="2433"/>
        </w:tabs>
        <w:suppressAutoHyphens/>
        <w:autoSpaceDE w:val="0"/>
        <w:autoSpaceDN w:val="0"/>
        <w:spacing w:before="240"/>
        <w:ind w:left="1276" w:right="134" w:hanging="284"/>
        <w:rPr>
          <w:rFonts w:cs="Arial"/>
          <w:szCs w:val="24"/>
        </w:rPr>
      </w:pPr>
      <w:r w:rsidRPr="008A02C4">
        <w:rPr>
          <w:rFonts w:ascii="Symbol" w:hAnsi="Symbol"/>
        </w:rPr>
        <w:t></w:t>
      </w:r>
      <w:r w:rsidRPr="008A02C4">
        <w:rPr>
          <w:rFonts w:cs="Arial"/>
        </w:rPr>
        <w:tab/>
      </w:r>
      <w:r w:rsidRPr="008A02C4">
        <w:rPr>
          <w:rFonts w:cs="Arial"/>
          <w:szCs w:val="24"/>
        </w:rPr>
        <w:t>Une</w:t>
      </w:r>
      <w:r w:rsidRPr="008A02C4">
        <w:rPr>
          <w:rFonts w:cs="Arial"/>
          <w:spacing w:val="-15"/>
          <w:szCs w:val="24"/>
        </w:rPr>
        <w:t xml:space="preserve"> </w:t>
      </w:r>
      <w:r w:rsidRPr="008A02C4">
        <w:rPr>
          <w:rFonts w:cs="Arial"/>
          <w:szCs w:val="24"/>
        </w:rPr>
        <w:t>année</w:t>
      </w:r>
      <w:r w:rsidR="00DD292B">
        <w:rPr>
          <w:rFonts w:cs="Arial"/>
          <w:szCs w:val="24"/>
        </w:rPr>
        <w:t> (1)</w:t>
      </w:r>
      <w:r w:rsidRPr="008A02C4">
        <w:rPr>
          <w:rFonts w:cs="Arial"/>
          <w:spacing w:val="-15"/>
          <w:szCs w:val="24"/>
        </w:rPr>
        <w:t xml:space="preserve"> </w:t>
      </w:r>
      <w:r w:rsidRPr="008A02C4">
        <w:rPr>
          <w:rFonts w:cs="Arial"/>
          <w:szCs w:val="24"/>
        </w:rPr>
        <w:t>d’expérience</w:t>
      </w:r>
      <w:r w:rsidRPr="008A02C4">
        <w:rPr>
          <w:rFonts w:cs="Arial"/>
          <w:spacing w:val="-14"/>
          <w:szCs w:val="24"/>
        </w:rPr>
        <w:t xml:space="preserve"> </w:t>
      </w:r>
      <w:r w:rsidRPr="008A02C4">
        <w:rPr>
          <w:rFonts w:cs="Arial"/>
          <w:szCs w:val="24"/>
        </w:rPr>
        <w:t>reconnue</w:t>
      </w:r>
      <w:r w:rsidRPr="008A02C4">
        <w:rPr>
          <w:rFonts w:cs="Arial"/>
          <w:spacing w:val="-15"/>
          <w:szCs w:val="24"/>
        </w:rPr>
        <w:t xml:space="preserve"> </w:t>
      </w:r>
      <w:r w:rsidRPr="008A02C4">
        <w:rPr>
          <w:rFonts w:cs="Arial"/>
          <w:szCs w:val="24"/>
        </w:rPr>
        <w:t>selon</w:t>
      </w:r>
      <w:r w:rsidRPr="008A02C4">
        <w:rPr>
          <w:rFonts w:cs="Arial"/>
          <w:spacing w:val="-14"/>
          <w:szCs w:val="24"/>
        </w:rPr>
        <w:t xml:space="preserve"> </w:t>
      </w:r>
      <w:r w:rsidRPr="008A02C4">
        <w:rPr>
          <w:rFonts w:cs="Arial"/>
          <w:szCs w:val="24"/>
        </w:rPr>
        <w:t>les</w:t>
      </w:r>
      <w:r w:rsidRPr="008A02C4">
        <w:rPr>
          <w:rFonts w:cs="Arial"/>
          <w:spacing w:val="-15"/>
          <w:szCs w:val="24"/>
        </w:rPr>
        <w:t xml:space="preserve"> </w:t>
      </w:r>
      <w:r w:rsidRPr="008A02C4">
        <w:rPr>
          <w:rFonts w:cs="Arial"/>
          <w:szCs w:val="24"/>
        </w:rPr>
        <w:t>dispositions</w:t>
      </w:r>
      <w:r w:rsidRPr="008A02C4">
        <w:rPr>
          <w:rFonts w:cs="Arial"/>
          <w:spacing w:val="-13"/>
          <w:szCs w:val="24"/>
        </w:rPr>
        <w:t xml:space="preserve"> </w:t>
      </w:r>
      <w:r w:rsidRPr="008A02C4">
        <w:rPr>
          <w:rFonts w:cs="Arial"/>
          <w:szCs w:val="24"/>
        </w:rPr>
        <w:t>de</w:t>
      </w:r>
      <w:r w:rsidRPr="008A02C4">
        <w:rPr>
          <w:rFonts w:cs="Arial"/>
          <w:spacing w:val="-15"/>
          <w:szCs w:val="24"/>
        </w:rPr>
        <w:t xml:space="preserve"> </w:t>
      </w:r>
      <w:r w:rsidRPr="008A02C4">
        <w:rPr>
          <w:rFonts w:cs="Arial"/>
          <w:szCs w:val="24"/>
        </w:rPr>
        <w:t>la</w:t>
      </w:r>
      <w:r w:rsidRPr="008A02C4">
        <w:rPr>
          <w:rFonts w:cs="Arial"/>
          <w:spacing w:val="-15"/>
          <w:szCs w:val="24"/>
        </w:rPr>
        <w:t xml:space="preserve"> </w:t>
      </w:r>
      <w:r w:rsidRPr="008A02C4">
        <w:rPr>
          <w:rFonts w:cs="Arial"/>
          <w:szCs w:val="24"/>
        </w:rPr>
        <w:t>convention collective dans les échelons cinq</w:t>
      </w:r>
      <w:r w:rsidR="00DD292B">
        <w:rPr>
          <w:rFonts w:cs="Arial"/>
          <w:szCs w:val="24"/>
        </w:rPr>
        <w:t> (5)</w:t>
      </w:r>
      <w:r w:rsidRPr="008A02C4">
        <w:rPr>
          <w:rFonts w:cs="Arial"/>
          <w:szCs w:val="24"/>
        </w:rPr>
        <w:t xml:space="preserve"> à</w:t>
      </w:r>
      <w:r w:rsidRPr="008A02C4">
        <w:rPr>
          <w:rFonts w:cs="Arial"/>
          <w:spacing w:val="-4"/>
          <w:szCs w:val="24"/>
        </w:rPr>
        <w:t xml:space="preserve"> </w:t>
      </w:r>
      <w:r w:rsidRPr="008A02C4">
        <w:rPr>
          <w:rFonts w:cs="Arial"/>
          <w:szCs w:val="24"/>
        </w:rPr>
        <w:t>vingt</w:t>
      </w:r>
      <w:r w:rsidR="00DD292B">
        <w:rPr>
          <w:rFonts w:cs="Arial"/>
          <w:szCs w:val="24"/>
        </w:rPr>
        <w:t> (20)</w:t>
      </w:r>
      <w:r w:rsidR="00DD292B" w:rsidRPr="00316277">
        <w:rPr>
          <w:rFonts w:cs="Arial"/>
          <w:szCs w:val="24"/>
        </w:rPr>
        <w:t xml:space="preserve"> jusqu’au 30 juin 2024 et dans les échelons sept (7) à vingt (20) à compter du 1</w:t>
      </w:r>
      <w:r w:rsidR="00DD292B" w:rsidRPr="00316277">
        <w:rPr>
          <w:rFonts w:cs="Arial"/>
          <w:szCs w:val="24"/>
          <w:vertAlign w:val="superscript"/>
        </w:rPr>
        <w:t>er </w:t>
      </w:r>
      <w:r w:rsidR="00DD292B" w:rsidRPr="00316277">
        <w:rPr>
          <w:rFonts w:cs="Arial"/>
          <w:szCs w:val="24"/>
        </w:rPr>
        <w:t>juillet 2024</w:t>
      </w:r>
      <w:r w:rsidRPr="008A02C4">
        <w:rPr>
          <w:rFonts w:cs="Arial"/>
          <w:szCs w:val="24"/>
        </w:rPr>
        <w:t>.</w:t>
      </w:r>
    </w:p>
    <w:p w14:paraId="2609A1AC" w14:textId="11C1837C" w:rsidR="00CD5BD8" w:rsidRPr="008A02C4" w:rsidRDefault="00CD5BD8" w:rsidP="00BC130E">
      <w:pPr>
        <w:pStyle w:val="ListParagraph"/>
        <w:tabs>
          <w:tab w:val="left" w:pos="426"/>
        </w:tabs>
        <w:suppressAutoHyphens/>
        <w:spacing w:before="240"/>
        <w:ind w:left="1276" w:hanging="709"/>
        <w:rPr>
          <w:rFonts w:cs="Arial"/>
          <w:szCs w:val="24"/>
        </w:rPr>
      </w:pPr>
      <w:r w:rsidRPr="008A02C4">
        <w:rPr>
          <w:rFonts w:cs="Arial"/>
          <w:szCs w:val="24"/>
        </w:rPr>
        <w:t>2.2</w:t>
      </w:r>
      <w:r w:rsidRPr="008A02C4">
        <w:rPr>
          <w:rFonts w:cs="Arial"/>
          <w:szCs w:val="24"/>
        </w:rPr>
        <w:tab/>
        <w:t xml:space="preserve">Enseignante </w:t>
      </w:r>
      <w:r w:rsidR="005126CF" w:rsidRPr="00316277">
        <w:rPr>
          <w:rFonts w:cs="Arial"/>
          <w:szCs w:val="24"/>
        </w:rPr>
        <w:t>ou</w:t>
      </w:r>
      <w:r w:rsidR="005126CF">
        <w:rPr>
          <w:rFonts w:cs="Arial"/>
          <w:szCs w:val="24"/>
        </w:rPr>
        <w:t xml:space="preserve"> </w:t>
      </w:r>
      <w:r w:rsidRPr="008A02C4">
        <w:rPr>
          <w:rFonts w:cs="Arial"/>
          <w:szCs w:val="24"/>
        </w:rPr>
        <w:t xml:space="preserve">enseignant autre que celle </w:t>
      </w:r>
      <w:r w:rsidR="005126CF" w:rsidRPr="00316277">
        <w:rPr>
          <w:rFonts w:cs="Arial"/>
          <w:szCs w:val="24"/>
        </w:rPr>
        <w:t>ou celui</w:t>
      </w:r>
      <w:r w:rsidR="005126CF">
        <w:rPr>
          <w:rFonts w:cs="Arial"/>
          <w:szCs w:val="24"/>
        </w:rPr>
        <w:t xml:space="preserve"> </w:t>
      </w:r>
      <w:r w:rsidRPr="008A02C4">
        <w:rPr>
          <w:rFonts w:cs="Arial"/>
          <w:szCs w:val="24"/>
        </w:rPr>
        <w:t>à temps complet ou à temps partiel.</w:t>
      </w:r>
    </w:p>
    <w:p w14:paraId="5A8C07F8" w14:textId="31E49CA2" w:rsidR="00CD5BD8" w:rsidRDefault="00CD5BD8" w:rsidP="007F120F">
      <w:pPr>
        <w:keepNext w:val="0"/>
        <w:spacing w:before="240"/>
        <w:ind w:left="851" w:right="-3"/>
        <w:rPr>
          <w:rFonts w:cs="Arial"/>
          <w:szCs w:val="24"/>
        </w:rPr>
      </w:pPr>
      <w:r w:rsidRPr="008A02C4">
        <w:rPr>
          <w:rFonts w:cs="Arial"/>
          <w:szCs w:val="24"/>
        </w:rPr>
        <w:t>Les taux horaires et échelles de traitement des enseignantes et des enseignants autres que celles et ceux à temps complet ou à temps partiel sont déterminées selon la méthodologie prévue au tableau C de la présente annexe.</w:t>
      </w:r>
    </w:p>
    <w:p w14:paraId="766D04B1" w14:textId="77777777" w:rsidR="00BC130E" w:rsidRDefault="00BC130E" w:rsidP="00013D32">
      <w:pPr>
        <w:keepNext w:val="0"/>
        <w:ind w:left="851" w:right="-3"/>
        <w:rPr>
          <w:rFonts w:cs="Arial"/>
          <w:szCs w:val="24"/>
        </w:rPr>
      </w:pPr>
    </w:p>
    <w:p w14:paraId="3E018B1D" w14:textId="47DDDED9" w:rsidR="00CD5BD8" w:rsidRDefault="00CD5BD8" w:rsidP="00013D32">
      <w:pPr>
        <w:keepNext w:val="0"/>
        <w:ind w:left="851" w:right="-3"/>
        <w:rPr>
          <w:rFonts w:cs="Arial"/>
          <w:szCs w:val="24"/>
        </w:rPr>
      </w:pPr>
      <w:r w:rsidRPr="008A02C4">
        <w:rPr>
          <w:rFonts w:cs="Arial"/>
          <w:szCs w:val="24"/>
        </w:rPr>
        <w:t xml:space="preserve">Les taux horaires et échelles de traitement </w:t>
      </w:r>
      <w:r w:rsidR="005126CF" w:rsidRPr="00316277">
        <w:rPr>
          <w:rFonts w:cs="Arial"/>
          <w:szCs w:val="24"/>
        </w:rPr>
        <w:t>de l’</w:t>
      </w:r>
      <w:r w:rsidRPr="008A02C4">
        <w:rPr>
          <w:rFonts w:cs="Arial"/>
          <w:szCs w:val="24"/>
        </w:rPr>
        <w:t xml:space="preserve">enseignante </w:t>
      </w:r>
      <w:r w:rsidR="005126CF" w:rsidRPr="00316277">
        <w:rPr>
          <w:rFonts w:cs="Arial"/>
          <w:szCs w:val="24"/>
        </w:rPr>
        <w:t>ou l’</w:t>
      </w:r>
      <w:r w:rsidRPr="008A02C4">
        <w:rPr>
          <w:rFonts w:cs="Arial"/>
          <w:szCs w:val="24"/>
        </w:rPr>
        <w:t xml:space="preserve">enseignant chargé de cours </w:t>
      </w:r>
      <w:r w:rsidR="00151DC5" w:rsidRPr="008A02C4">
        <w:rPr>
          <w:rFonts w:cs="Arial"/>
          <w:szCs w:val="24"/>
        </w:rPr>
        <w:t xml:space="preserve">et </w:t>
      </w:r>
      <w:r w:rsidR="005126CF" w:rsidRPr="00316277">
        <w:rPr>
          <w:rFonts w:cs="Arial"/>
          <w:szCs w:val="24"/>
        </w:rPr>
        <w:t>les taux annuels et échelles de traitement</w:t>
      </w:r>
      <w:r w:rsidR="005126CF">
        <w:rPr>
          <w:rFonts w:cs="Arial"/>
          <w:szCs w:val="24"/>
        </w:rPr>
        <w:t xml:space="preserve"> </w:t>
      </w:r>
      <w:r w:rsidR="005126CF" w:rsidRPr="00316277">
        <w:rPr>
          <w:rFonts w:cs="Arial"/>
          <w:szCs w:val="24"/>
        </w:rPr>
        <w:t>de l’</w:t>
      </w:r>
      <w:r w:rsidR="00151DC5" w:rsidRPr="008A02C4">
        <w:rPr>
          <w:rFonts w:cs="Arial"/>
          <w:szCs w:val="24"/>
        </w:rPr>
        <w:t xml:space="preserve">enseignante </w:t>
      </w:r>
      <w:r w:rsidR="005126CF" w:rsidRPr="00316277">
        <w:rPr>
          <w:rFonts w:cs="Arial"/>
          <w:szCs w:val="24"/>
        </w:rPr>
        <w:t>ou l’</w:t>
      </w:r>
      <w:r w:rsidR="00151DC5" w:rsidRPr="008A02C4">
        <w:rPr>
          <w:rFonts w:cs="Arial"/>
          <w:szCs w:val="24"/>
        </w:rPr>
        <w:t xml:space="preserve">enseignant en aéronautique </w:t>
      </w:r>
      <w:r w:rsidRPr="008A02C4">
        <w:rPr>
          <w:rFonts w:cs="Arial"/>
          <w:szCs w:val="24"/>
        </w:rPr>
        <w:t xml:space="preserve">sont </w:t>
      </w:r>
      <w:r w:rsidR="005126CF" w:rsidRPr="00316277">
        <w:rPr>
          <w:rFonts w:cs="Arial"/>
          <w:szCs w:val="24"/>
        </w:rPr>
        <w:t>ceux</w:t>
      </w:r>
      <w:r w:rsidR="005126CF">
        <w:rPr>
          <w:rFonts w:cs="Arial"/>
          <w:szCs w:val="24"/>
        </w:rPr>
        <w:t xml:space="preserve"> </w:t>
      </w:r>
      <w:r w:rsidRPr="008A02C4">
        <w:rPr>
          <w:rFonts w:cs="Arial"/>
          <w:szCs w:val="24"/>
        </w:rPr>
        <w:t>prévus au tableau</w:t>
      </w:r>
      <w:r w:rsidR="005126CF">
        <w:rPr>
          <w:rFonts w:cs="Arial"/>
          <w:szCs w:val="24"/>
        </w:rPr>
        <w:t> </w:t>
      </w:r>
      <w:r w:rsidRPr="008A02C4">
        <w:rPr>
          <w:rFonts w:cs="Arial"/>
          <w:szCs w:val="24"/>
        </w:rPr>
        <w:t>B de l'Annexe</w:t>
      </w:r>
      <w:r w:rsidR="00D23B38">
        <w:rPr>
          <w:rFonts w:cs="Arial"/>
          <w:szCs w:val="24"/>
        </w:rPr>
        <w:t> </w:t>
      </w:r>
      <w:r w:rsidRPr="008A02C4">
        <w:rPr>
          <w:rFonts w:cs="Arial"/>
          <w:szCs w:val="24"/>
        </w:rPr>
        <w:t>VI</w:t>
      </w:r>
      <w:r w:rsidR="00984A6F">
        <w:rPr>
          <w:rFonts w:cs="Arial"/>
          <w:szCs w:val="24"/>
        </w:rPr>
        <w:noBreakHyphen/>
      </w:r>
      <w:r w:rsidRPr="008A02C4">
        <w:rPr>
          <w:rFonts w:cs="Arial"/>
          <w:szCs w:val="24"/>
        </w:rPr>
        <w:t>1</w:t>
      </w:r>
      <w:r w:rsidR="00151DC5" w:rsidRPr="008A02C4">
        <w:rPr>
          <w:rFonts w:cs="Arial"/>
          <w:szCs w:val="24"/>
        </w:rPr>
        <w:t xml:space="preserve"> et au tableau</w:t>
      </w:r>
      <w:r w:rsidR="005126CF">
        <w:rPr>
          <w:rFonts w:cs="Arial"/>
          <w:szCs w:val="24"/>
        </w:rPr>
        <w:t> </w:t>
      </w:r>
      <w:r w:rsidR="00151DC5" w:rsidRPr="008A02C4">
        <w:rPr>
          <w:rFonts w:cs="Arial"/>
          <w:szCs w:val="24"/>
        </w:rPr>
        <w:t>D de l’Annexe</w:t>
      </w:r>
      <w:r w:rsidR="00D23B38">
        <w:rPr>
          <w:rFonts w:cs="Arial"/>
          <w:szCs w:val="24"/>
        </w:rPr>
        <w:t> </w:t>
      </w:r>
      <w:r w:rsidR="00151DC5" w:rsidRPr="008A02C4">
        <w:rPr>
          <w:rFonts w:cs="Arial"/>
          <w:szCs w:val="24"/>
        </w:rPr>
        <w:t>III</w:t>
      </w:r>
      <w:r w:rsidR="00984A6F">
        <w:rPr>
          <w:rFonts w:cs="Arial"/>
          <w:szCs w:val="24"/>
        </w:rPr>
        <w:noBreakHyphen/>
      </w:r>
      <w:r w:rsidR="00151DC5" w:rsidRPr="008A02C4">
        <w:rPr>
          <w:rFonts w:cs="Arial"/>
          <w:szCs w:val="24"/>
        </w:rPr>
        <w:t>1</w:t>
      </w:r>
      <w:r w:rsidRPr="008A02C4">
        <w:rPr>
          <w:rFonts w:cs="Arial"/>
          <w:szCs w:val="24"/>
        </w:rPr>
        <w:t xml:space="preserve">. </w:t>
      </w:r>
    </w:p>
    <w:p w14:paraId="2C1AE315" w14:textId="77777777" w:rsidR="00013D32" w:rsidRPr="00013D32" w:rsidRDefault="00013D32" w:rsidP="00013D32">
      <w:pPr>
        <w:keepNext w:val="0"/>
        <w:ind w:left="851" w:right="-3"/>
        <w:rPr>
          <w:rFonts w:cs="Arial"/>
          <w:szCs w:val="24"/>
        </w:rPr>
      </w:pPr>
    </w:p>
    <w:p w14:paraId="69ACE559" w14:textId="7A4CBCBE" w:rsidR="005126CF" w:rsidRPr="00316277" w:rsidRDefault="005126CF" w:rsidP="006B5782">
      <w:pPr>
        <w:keepNext w:val="0"/>
        <w:ind w:left="426" w:hanging="426"/>
        <w:rPr>
          <w:szCs w:val="24"/>
          <w:lang w:val="fr-FR"/>
        </w:rPr>
      </w:pPr>
      <w:r w:rsidRPr="00316277">
        <w:rPr>
          <w:szCs w:val="24"/>
          <w:lang w:val="fr-FR"/>
        </w:rPr>
        <w:t xml:space="preserve">3. Dispositions </w:t>
      </w:r>
      <w:r w:rsidR="00F02459" w:rsidRPr="00316277">
        <w:rPr>
          <w:szCs w:val="24"/>
          <w:lang w:val="fr-FR"/>
        </w:rPr>
        <w:t>diverses</w:t>
      </w:r>
    </w:p>
    <w:p w14:paraId="28E78178" w14:textId="77777777" w:rsidR="005126CF" w:rsidRPr="00316277" w:rsidRDefault="005126CF" w:rsidP="006B5782">
      <w:pPr>
        <w:keepNext w:val="0"/>
        <w:ind w:left="426"/>
        <w:rPr>
          <w:szCs w:val="24"/>
          <w:lang w:val="fr-FR"/>
        </w:rPr>
      </w:pPr>
    </w:p>
    <w:p w14:paraId="227101B0" w14:textId="12DF0B4F" w:rsidR="00013D32" w:rsidRPr="00316277" w:rsidRDefault="00013D32" w:rsidP="00013D32">
      <w:pPr>
        <w:pStyle w:val="xmsolistparagraph"/>
        <w:spacing w:before="0" w:beforeAutospacing="0" w:after="0" w:afterAutospacing="0"/>
        <w:ind w:left="1134" w:hanging="567"/>
        <w:jc w:val="both"/>
        <w:rPr>
          <w:rFonts w:ascii="Arial" w:hAnsi="Arial" w:cs="Arial"/>
          <w:color w:val="242424"/>
          <w:bdr w:val="none" w:sz="0" w:space="0" w:color="auto" w:frame="1"/>
          <w:shd w:val="clear" w:color="auto" w:fill="FFFF00"/>
          <w:lang w:val="fr-FR"/>
        </w:rPr>
      </w:pPr>
      <w:r w:rsidRPr="00316277">
        <w:rPr>
          <w:rFonts w:ascii="Arial" w:hAnsi="Arial" w:cs="Arial"/>
        </w:rPr>
        <w:t>3.1</w:t>
      </w:r>
      <w:r w:rsidRPr="00316277">
        <w:rPr>
          <w:rFonts w:ascii="Arial" w:hAnsi="Arial" w:cs="Arial"/>
        </w:rPr>
        <w:tab/>
      </w:r>
      <w:r w:rsidRPr="00316277">
        <w:rPr>
          <w:rFonts w:ascii="Arial" w:hAnsi="Arial" w:cs="Arial"/>
          <w:color w:val="242424"/>
        </w:rPr>
        <w:t>Au 1</w:t>
      </w:r>
      <w:r w:rsidRPr="00316277">
        <w:rPr>
          <w:rFonts w:ascii="Arial" w:hAnsi="Arial" w:cs="Arial"/>
          <w:color w:val="242424"/>
          <w:vertAlign w:val="superscript"/>
        </w:rPr>
        <w:t>er</w:t>
      </w:r>
      <w:r w:rsidRPr="00316277">
        <w:rPr>
          <w:rFonts w:ascii="Arial" w:hAnsi="Arial" w:cs="Arial"/>
          <w:color w:val="242424"/>
        </w:rPr>
        <w:t> juillet 2024, l’enseignante ou l’enseignant à temps complet ou à temps partiel</w:t>
      </w:r>
      <w:r w:rsidR="00B2732D" w:rsidRPr="00316277">
        <w:rPr>
          <w:rFonts w:ascii="Arial" w:hAnsi="Arial" w:cs="Arial"/>
          <w:color w:val="242424"/>
        </w:rPr>
        <w:t>,</w:t>
      </w:r>
      <w:r w:rsidR="00E11F4E" w:rsidRPr="00316277">
        <w:rPr>
          <w:rFonts w:ascii="Arial" w:hAnsi="Arial" w:cs="Arial"/>
          <w:color w:val="242424"/>
        </w:rPr>
        <w:t xml:space="preserve"> </w:t>
      </w:r>
      <w:r w:rsidRPr="00316277">
        <w:rPr>
          <w:rFonts w:ascii="Arial" w:hAnsi="Arial" w:cs="Arial"/>
          <w:color w:val="242424"/>
        </w:rPr>
        <w:t>engagé par le Collège ou par un autre cégep du réseau au cours de l’année d’engagement 2023-2024 et ayant un échelon supérieur au quatrième (4</w:t>
      </w:r>
      <w:r w:rsidRPr="00316277">
        <w:rPr>
          <w:rFonts w:ascii="Arial" w:hAnsi="Arial" w:cs="Arial"/>
          <w:color w:val="242424"/>
          <w:vertAlign w:val="superscript"/>
        </w:rPr>
        <w:t>e</w:t>
      </w:r>
      <w:r w:rsidRPr="00316277">
        <w:rPr>
          <w:rFonts w:ascii="Arial" w:hAnsi="Arial" w:cs="Arial"/>
          <w:color w:val="242424"/>
        </w:rPr>
        <w:t>), avance d’un (1) échelon jusqu’à concurrence de l’échelon maximal lui étant accessible selon le tableau A de l’Annexe VI-1. Si cette enseignante ou cet enseignant n'est pas sous contrat au 1</w:t>
      </w:r>
      <w:r w:rsidRPr="00316277">
        <w:rPr>
          <w:rFonts w:ascii="Arial" w:hAnsi="Arial" w:cs="Arial"/>
          <w:color w:val="242424"/>
          <w:vertAlign w:val="superscript"/>
        </w:rPr>
        <w:t>er</w:t>
      </w:r>
      <w:r w:rsidRPr="00316277">
        <w:rPr>
          <w:rFonts w:ascii="Arial" w:hAnsi="Arial" w:cs="Arial"/>
          <w:color w:val="242424"/>
        </w:rPr>
        <w:t> juillet 2024, cet avancement lui est accordé à son prochain contrat.</w:t>
      </w:r>
    </w:p>
    <w:p w14:paraId="645A7A27" w14:textId="77777777" w:rsidR="00013D32" w:rsidRPr="00316277" w:rsidRDefault="00013D32" w:rsidP="00013D32">
      <w:pPr>
        <w:pStyle w:val="xmsolistparagraph"/>
        <w:shd w:val="clear" w:color="auto" w:fill="FFFFFF"/>
        <w:spacing w:before="0" w:beforeAutospacing="0" w:after="0" w:afterAutospacing="0"/>
        <w:ind w:left="1134"/>
        <w:jc w:val="both"/>
        <w:rPr>
          <w:rFonts w:ascii="Arial" w:hAnsi="Arial" w:cs="Arial"/>
          <w:color w:val="242424"/>
        </w:rPr>
      </w:pPr>
    </w:p>
    <w:p w14:paraId="7E0D135D" w14:textId="77777777" w:rsidR="00013D32" w:rsidRPr="00316277" w:rsidRDefault="00013D32" w:rsidP="00013D32">
      <w:pPr>
        <w:pStyle w:val="xn-fec"/>
        <w:spacing w:before="0" w:beforeAutospacing="0" w:after="0" w:afterAutospacing="0" w:line="212" w:lineRule="atLeast"/>
        <w:ind w:left="1134"/>
        <w:jc w:val="both"/>
        <w:rPr>
          <w:rFonts w:ascii="Arial" w:hAnsi="Arial" w:cs="Arial"/>
          <w:color w:val="242424"/>
        </w:rPr>
      </w:pPr>
      <w:r w:rsidRPr="00316277">
        <w:rPr>
          <w:rFonts w:ascii="Arial" w:hAnsi="Arial" w:cs="Arial"/>
          <w:color w:val="242424"/>
        </w:rPr>
        <w:t>L’enseignante ou l’enseignant à temps complet ou à temps partiel qui n’est pas visé par le paragraphe précédent se voit appliquer les dispositions prévues à la clause 6-1.01.</w:t>
      </w:r>
    </w:p>
    <w:p w14:paraId="56ACD7E3" w14:textId="77777777" w:rsidR="00013D32" w:rsidRPr="00316277" w:rsidRDefault="00013D32" w:rsidP="00013D32">
      <w:pPr>
        <w:pStyle w:val="xn-fec"/>
        <w:spacing w:before="0" w:beforeAutospacing="0" w:after="0" w:afterAutospacing="0" w:line="212" w:lineRule="atLeast"/>
        <w:jc w:val="both"/>
        <w:rPr>
          <w:rFonts w:ascii="Arial" w:hAnsi="Arial" w:cs="Arial"/>
          <w:color w:val="242424"/>
        </w:rPr>
      </w:pPr>
    </w:p>
    <w:p w14:paraId="0154F915" w14:textId="05F6423D" w:rsidR="00013D32" w:rsidRPr="00316277" w:rsidRDefault="00013D32" w:rsidP="00013D32">
      <w:pPr>
        <w:pStyle w:val="xmsolistparagraph"/>
        <w:spacing w:before="0" w:beforeAutospacing="0" w:after="0" w:afterAutospacing="0"/>
        <w:ind w:left="1134" w:hanging="567"/>
        <w:jc w:val="both"/>
      </w:pPr>
      <w:r w:rsidRPr="00316277">
        <w:rPr>
          <w:rFonts w:ascii="Arial" w:hAnsi="Arial" w:cs="Arial"/>
        </w:rPr>
        <w:t>3.2</w:t>
      </w:r>
      <w:r w:rsidRPr="00316277">
        <w:rPr>
          <w:rFonts w:ascii="Arial" w:hAnsi="Arial" w:cs="Arial"/>
        </w:rPr>
        <w:tab/>
      </w:r>
      <w:r w:rsidRPr="00316277">
        <w:rPr>
          <w:rFonts w:ascii="Arial" w:hAnsi="Arial" w:cs="Arial"/>
          <w:color w:val="242424"/>
        </w:rPr>
        <w:t>Au 1</w:t>
      </w:r>
      <w:r w:rsidRPr="00316277">
        <w:rPr>
          <w:rFonts w:ascii="Arial" w:hAnsi="Arial" w:cs="Arial"/>
          <w:color w:val="242424"/>
          <w:vertAlign w:val="superscript"/>
        </w:rPr>
        <w:t>er</w:t>
      </w:r>
      <w:r w:rsidRPr="00316277">
        <w:rPr>
          <w:rFonts w:ascii="Arial" w:hAnsi="Arial" w:cs="Arial"/>
          <w:color w:val="242424"/>
        </w:rPr>
        <w:t> juillet 2024</w:t>
      </w:r>
      <w:r w:rsidR="00E11F4E" w:rsidRPr="00316277">
        <w:rPr>
          <w:rFonts w:ascii="Arial" w:hAnsi="Arial" w:cs="Arial"/>
          <w:color w:val="242424"/>
        </w:rPr>
        <w:t>,</w:t>
      </w:r>
      <w:r w:rsidRPr="00316277">
        <w:rPr>
          <w:rFonts w:ascii="Arial" w:hAnsi="Arial" w:cs="Arial"/>
          <w:color w:val="242424"/>
        </w:rPr>
        <w:t xml:space="preserve"> l’enseignante ou l’enseignant à temps complet ou à temps partiel en aéronautique</w:t>
      </w:r>
      <w:r w:rsidR="00B2732D" w:rsidRPr="00316277">
        <w:rPr>
          <w:rFonts w:ascii="Arial" w:hAnsi="Arial" w:cs="Arial"/>
          <w:color w:val="242424"/>
        </w:rPr>
        <w:t>,</w:t>
      </w:r>
      <w:r w:rsidRPr="00316277">
        <w:t xml:space="preserve"> </w:t>
      </w:r>
      <w:r w:rsidRPr="00316277">
        <w:rPr>
          <w:rFonts w:ascii="Arial" w:hAnsi="Arial" w:cs="Arial"/>
          <w:color w:val="242424"/>
        </w:rPr>
        <w:t>engagé par le Collège ou par un autre cégep du réseau au cours de l’année d’engagement 2023-2024 et ayant un échelon supérieur au quatrième (4</w:t>
      </w:r>
      <w:r w:rsidRPr="00316277">
        <w:rPr>
          <w:rFonts w:ascii="Arial" w:hAnsi="Arial" w:cs="Arial"/>
          <w:color w:val="242424"/>
          <w:vertAlign w:val="superscript"/>
        </w:rPr>
        <w:t>e</w:t>
      </w:r>
      <w:r w:rsidRPr="00316277">
        <w:rPr>
          <w:rFonts w:ascii="Arial" w:hAnsi="Arial" w:cs="Arial"/>
          <w:color w:val="242424"/>
        </w:rPr>
        <w:t>) de la classe</w:t>
      </w:r>
      <w:r w:rsidR="00E11F4E" w:rsidRPr="00316277">
        <w:rPr>
          <w:rFonts w:ascii="Arial" w:hAnsi="Arial" w:cs="Arial"/>
          <w:color w:val="242424"/>
        </w:rPr>
        <w:t> I</w:t>
      </w:r>
      <w:r w:rsidR="00B2732D" w:rsidRPr="00316277">
        <w:rPr>
          <w:rFonts w:ascii="Arial" w:hAnsi="Arial" w:cs="Arial"/>
          <w:color w:val="242424"/>
        </w:rPr>
        <w:t xml:space="preserve">, </w:t>
      </w:r>
      <w:r w:rsidRPr="00316277">
        <w:rPr>
          <w:rFonts w:ascii="Arial" w:hAnsi="Arial" w:cs="Arial"/>
          <w:color w:val="242424"/>
        </w:rPr>
        <w:t>avance d’un (1) échelon jusqu’à concurrence de l’échelon maximal lui étant accessible selon le tableau D de l’Annexe III-1. Si cette enseignante ou cet enseignant n'est pas sous contrat au 1</w:t>
      </w:r>
      <w:r w:rsidRPr="00316277">
        <w:rPr>
          <w:rFonts w:ascii="Arial" w:hAnsi="Arial" w:cs="Arial"/>
          <w:color w:val="242424"/>
          <w:vertAlign w:val="superscript"/>
        </w:rPr>
        <w:t>er</w:t>
      </w:r>
      <w:r w:rsidRPr="00316277">
        <w:rPr>
          <w:rFonts w:ascii="Arial" w:hAnsi="Arial" w:cs="Arial"/>
          <w:color w:val="242424"/>
        </w:rPr>
        <w:t> juillet 2024, cet avancement lui est accordé à son prochain contrat.</w:t>
      </w:r>
    </w:p>
    <w:p w14:paraId="1B06F735" w14:textId="5AFA9797" w:rsidR="005126CF" w:rsidRPr="008A02C4" w:rsidRDefault="00013D32" w:rsidP="00013D32">
      <w:pPr>
        <w:pStyle w:val="ListParagraph"/>
        <w:tabs>
          <w:tab w:val="left" w:pos="426"/>
        </w:tabs>
        <w:suppressAutoHyphens/>
        <w:spacing w:before="240" w:after="240"/>
        <w:ind w:left="1134"/>
        <w:rPr>
          <w:rFonts w:cs="Arial"/>
          <w:szCs w:val="24"/>
        </w:rPr>
        <w:sectPr w:rsidR="005126CF" w:rsidRPr="008A02C4" w:rsidSect="002B176A">
          <w:footnotePr>
            <w:numRestart w:val="eachPage"/>
          </w:footnotePr>
          <w:pgSz w:w="12240" w:h="15840" w:code="1"/>
          <w:pgMar w:top="720" w:right="1077" w:bottom="1242" w:left="1684" w:header="709" w:footer="709" w:gutter="0"/>
          <w:cols w:space="708"/>
          <w:docGrid w:linePitch="360"/>
        </w:sectPr>
      </w:pPr>
      <w:r w:rsidRPr="00316277">
        <w:rPr>
          <w:rFonts w:cs="Arial"/>
          <w:color w:val="242424"/>
        </w:rPr>
        <w:t>L’enseignante ou l’enseignant à temps complet ou à temps partiel qui n’est pas visé par le paragraphe précédent se voit appliquer les dispositions prévues au sous</w:t>
      </w:r>
      <w:r w:rsidR="00B2732D" w:rsidRPr="00316277">
        <w:rPr>
          <w:rFonts w:cs="Arial"/>
          <w:color w:val="242424"/>
        </w:rPr>
        <w:t>-</w:t>
      </w:r>
      <w:r w:rsidRPr="00316277">
        <w:rPr>
          <w:rFonts w:cs="Arial"/>
          <w:color w:val="242424"/>
        </w:rPr>
        <w:t>alinéa 2 de l’alinéa c) du point</w:t>
      </w:r>
      <w:r w:rsidR="00B2732D" w:rsidRPr="00316277">
        <w:rPr>
          <w:rFonts w:cs="Arial"/>
          <w:color w:val="242424"/>
        </w:rPr>
        <w:t> </w:t>
      </w:r>
      <w:r w:rsidRPr="00316277">
        <w:rPr>
          <w:rFonts w:cs="Arial"/>
          <w:color w:val="242424"/>
        </w:rPr>
        <w:t>07 de l’</w:t>
      </w:r>
      <w:r w:rsidR="00B2732D" w:rsidRPr="00316277">
        <w:rPr>
          <w:rFonts w:cs="Arial"/>
          <w:color w:val="242424"/>
        </w:rPr>
        <w:t>A</w:t>
      </w:r>
      <w:r w:rsidRPr="00316277">
        <w:rPr>
          <w:rFonts w:cs="Arial"/>
          <w:color w:val="242424"/>
        </w:rPr>
        <w:t>nnexe III-1.</w:t>
      </w:r>
    </w:p>
    <w:p w14:paraId="00DB4E82" w14:textId="77777777" w:rsidR="00DA26BD" w:rsidRPr="00316277" w:rsidRDefault="00DA26BD" w:rsidP="00DA26BD">
      <w:pPr>
        <w:jc w:val="center"/>
        <w:rPr>
          <w:b/>
          <w:bCs/>
          <w:sz w:val="22"/>
          <w:szCs w:val="18"/>
        </w:rPr>
      </w:pPr>
      <w:r w:rsidRPr="00316277">
        <w:rPr>
          <w:b/>
          <w:bCs/>
          <w:sz w:val="22"/>
          <w:szCs w:val="18"/>
        </w:rPr>
        <w:t>TABLEAU A</w:t>
      </w:r>
    </w:p>
    <w:p w14:paraId="785F7ABC" w14:textId="1983AA5C" w:rsidR="00DA26BD" w:rsidRPr="00316277" w:rsidRDefault="00DA26BD" w:rsidP="00DA26BD">
      <w:pPr>
        <w:jc w:val="center"/>
        <w:rPr>
          <w:b/>
          <w:bCs/>
          <w:sz w:val="22"/>
          <w:szCs w:val="22"/>
          <w:u w:val="single"/>
        </w:rPr>
      </w:pPr>
      <w:r w:rsidRPr="00316277">
        <w:rPr>
          <w:b/>
          <w:bCs/>
          <w:sz w:val="22"/>
          <w:szCs w:val="22"/>
          <w:u w:val="single"/>
        </w:rPr>
        <w:t>STRUCTURE SALARIALE</w:t>
      </w:r>
      <w:r w:rsidRPr="00013D32">
        <w:rPr>
          <w:b/>
          <w:bCs/>
          <w:sz w:val="22"/>
          <w:szCs w:val="22"/>
          <w:u w:val="single"/>
        </w:rPr>
        <w:br/>
      </w:r>
      <w:r w:rsidRPr="00316277">
        <w:rPr>
          <w:b/>
          <w:bCs/>
          <w:sz w:val="22"/>
          <w:szCs w:val="22"/>
          <w:u w:val="single"/>
        </w:rPr>
        <w:t xml:space="preserve">TAUX ET </w:t>
      </w:r>
      <w:r w:rsidRPr="00316277">
        <w:rPr>
          <w:rFonts w:hint="eastAsia"/>
          <w:b/>
          <w:bCs/>
          <w:sz w:val="22"/>
          <w:szCs w:val="22"/>
          <w:u w:val="single"/>
        </w:rPr>
        <w:t>É</w:t>
      </w:r>
      <w:r w:rsidRPr="00316277">
        <w:rPr>
          <w:b/>
          <w:bCs/>
          <w:sz w:val="22"/>
          <w:szCs w:val="22"/>
          <w:u w:val="single"/>
        </w:rPr>
        <w:t>CHELLES DE TRAITEMENT AU 1</w:t>
      </w:r>
      <w:r w:rsidRPr="00316277">
        <w:rPr>
          <w:b/>
          <w:bCs/>
          <w:sz w:val="22"/>
          <w:szCs w:val="22"/>
          <w:u w:val="single"/>
          <w:vertAlign w:val="superscript"/>
        </w:rPr>
        <w:t>ER</w:t>
      </w:r>
      <w:r w:rsidRPr="00316277">
        <w:rPr>
          <w:rFonts w:hint="eastAsia"/>
          <w:b/>
          <w:bCs/>
          <w:sz w:val="22"/>
          <w:szCs w:val="22"/>
          <w:u w:val="single"/>
        </w:rPr>
        <w:t> </w:t>
      </w:r>
      <w:r w:rsidRPr="00316277">
        <w:rPr>
          <w:b/>
          <w:bCs/>
          <w:sz w:val="22"/>
          <w:szCs w:val="22"/>
          <w:u w:val="single"/>
        </w:rPr>
        <w:t>AVRIL</w:t>
      </w:r>
      <w:r w:rsidRPr="00316277">
        <w:rPr>
          <w:rFonts w:hint="eastAsia"/>
          <w:b/>
          <w:bCs/>
          <w:sz w:val="22"/>
          <w:szCs w:val="22"/>
          <w:u w:val="single"/>
        </w:rPr>
        <w:t> </w:t>
      </w:r>
      <w:r w:rsidRPr="00316277">
        <w:rPr>
          <w:b/>
          <w:bCs/>
          <w:sz w:val="22"/>
          <w:szCs w:val="22"/>
          <w:u w:val="single"/>
        </w:rPr>
        <w:t>2023</w:t>
      </w:r>
    </w:p>
    <w:p w14:paraId="01B2DCBA" w14:textId="50B78615" w:rsidR="00F02459" w:rsidRDefault="00F02459" w:rsidP="00F02459">
      <w:pPr>
        <w:keepNext w:val="0"/>
        <w:spacing w:after="19"/>
        <w:ind w:left="868" w:right="1162"/>
        <w:jc w:val="center"/>
        <w:rPr>
          <w:b/>
          <w:i/>
          <w:color w:val="404040"/>
          <w:sz w:val="16"/>
          <w:szCs w:val="16"/>
        </w:rPr>
      </w:pPr>
      <w:r w:rsidRPr="00316277">
        <w:rPr>
          <w:b/>
          <w:i/>
          <w:color w:val="404040"/>
          <w:sz w:val="16"/>
          <w:szCs w:val="16"/>
        </w:rPr>
        <w:t>POUR LES SECTEURS DE LA SANTÉ ET DES SERVICES SOCIAUX, DES CENTRES DE SERVICES SCOLAIRES ET DES COMMISSIONS SCOLAIRES ET DES COLLÈGES</w:t>
      </w:r>
    </w:p>
    <w:p w14:paraId="2B9FA7B3" w14:textId="77777777" w:rsidR="00013D32" w:rsidRPr="00417EC4" w:rsidRDefault="00013D32" w:rsidP="00F02459">
      <w:pPr>
        <w:keepNext w:val="0"/>
        <w:spacing w:after="19"/>
        <w:ind w:left="868" w:right="1162"/>
        <w:jc w:val="center"/>
        <w:rPr>
          <w:b/>
          <w:i/>
          <w:color w:val="404040"/>
          <w:sz w:val="2"/>
          <w:szCs w:val="2"/>
        </w:rPr>
      </w:pPr>
    </w:p>
    <w:tbl>
      <w:tblPr>
        <w:tblW w:w="13849" w:type="dxa"/>
        <w:jc w:val="center"/>
        <w:tblCellMar>
          <w:top w:w="15" w:type="dxa"/>
          <w:left w:w="70" w:type="dxa"/>
          <w:right w:w="70" w:type="dxa"/>
        </w:tblCellMar>
        <w:tblLook w:val="04A0" w:firstRow="1" w:lastRow="0" w:firstColumn="1" w:lastColumn="0" w:noHBand="0" w:noVBand="1"/>
      </w:tblPr>
      <w:tblGrid>
        <w:gridCol w:w="1196"/>
        <w:gridCol w:w="591"/>
        <w:gridCol w:w="591"/>
        <w:gridCol w:w="590"/>
        <w:gridCol w:w="590"/>
        <w:gridCol w:w="590"/>
        <w:gridCol w:w="590"/>
        <w:gridCol w:w="590"/>
        <w:gridCol w:w="590"/>
        <w:gridCol w:w="590"/>
        <w:gridCol w:w="590"/>
        <w:gridCol w:w="590"/>
        <w:gridCol w:w="590"/>
        <w:gridCol w:w="590"/>
        <w:gridCol w:w="590"/>
        <w:gridCol w:w="590"/>
        <w:gridCol w:w="590"/>
        <w:gridCol w:w="590"/>
        <w:gridCol w:w="594"/>
        <w:gridCol w:w="12"/>
        <w:gridCol w:w="1183"/>
        <w:gridCol w:w="12"/>
        <w:gridCol w:w="806"/>
        <w:gridCol w:w="14"/>
      </w:tblGrid>
      <w:tr w:rsidR="00F06615" w:rsidRPr="006B5782" w14:paraId="10C95E43" w14:textId="77777777" w:rsidTr="00F06615">
        <w:trPr>
          <w:trHeight w:val="113"/>
          <w:jc w:val="center"/>
        </w:trPr>
        <w:tc>
          <w:tcPr>
            <w:tcW w:w="1196" w:type="dxa"/>
            <w:tcBorders>
              <w:top w:val="nil"/>
              <w:left w:val="nil"/>
              <w:bottom w:val="single" w:sz="8" w:space="0" w:color="auto"/>
              <w:right w:val="nil"/>
            </w:tcBorders>
            <w:shd w:val="clear" w:color="auto" w:fill="auto"/>
            <w:noWrap/>
            <w:vAlign w:val="bottom"/>
            <w:hideMark/>
          </w:tcPr>
          <w:p w14:paraId="670F8B6E" w14:textId="77777777" w:rsidR="00F06615" w:rsidRPr="0058660C" w:rsidRDefault="00F06615" w:rsidP="008E6D09">
            <w:pPr>
              <w:jc w:val="center"/>
              <w:rPr>
                <w:rFonts w:cs="Arial"/>
                <w:sz w:val="17"/>
                <w:szCs w:val="17"/>
                <w:lang w:eastAsia="fr-CA"/>
              </w:rPr>
            </w:pPr>
          </w:p>
        </w:tc>
        <w:tc>
          <w:tcPr>
            <w:tcW w:w="10638" w:type="dxa"/>
            <w:gridSpan w:val="19"/>
            <w:tcBorders>
              <w:top w:val="single" w:sz="8" w:space="0" w:color="auto"/>
              <w:left w:val="single" w:sz="8" w:space="0" w:color="auto"/>
              <w:bottom w:val="single" w:sz="8" w:space="0" w:color="auto"/>
              <w:right w:val="single" w:sz="8" w:space="0" w:color="000000"/>
            </w:tcBorders>
            <w:shd w:val="clear" w:color="auto" w:fill="auto"/>
            <w:noWrap/>
            <w:tcMar>
              <w:top w:w="34" w:type="dxa"/>
              <w:left w:w="74" w:type="dxa"/>
              <w:bottom w:w="34" w:type="dxa"/>
              <w:right w:w="74" w:type="dxa"/>
            </w:tcMar>
            <w:vAlign w:val="center"/>
            <w:hideMark/>
          </w:tcPr>
          <w:p w14:paraId="5A64DBB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Échelons</w:t>
            </w:r>
          </w:p>
        </w:tc>
        <w:tc>
          <w:tcPr>
            <w:tcW w:w="1195" w:type="dxa"/>
            <w:gridSpan w:val="2"/>
            <w:tcBorders>
              <w:top w:val="nil"/>
              <w:left w:val="nil"/>
              <w:bottom w:val="nil"/>
              <w:right w:val="nil"/>
            </w:tcBorders>
            <w:shd w:val="clear" w:color="auto" w:fill="auto"/>
            <w:noWrap/>
            <w:vAlign w:val="bottom"/>
            <w:hideMark/>
          </w:tcPr>
          <w:p w14:paraId="6A4D023F" w14:textId="77777777" w:rsidR="00F06615" w:rsidRPr="006B5782" w:rsidRDefault="00F06615" w:rsidP="008E6D09">
            <w:pPr>
              <w:jc w:val="center"/>
              <w:rPr>
                <w:rFonts w:cs="Arial"/>
                <w:b/>
                <w:bCs/>
                <w:color w:val="000000"/>
                <w:sz w:val="17"/>
                <w:szCs w:val="17"/>
                <w:highlight w:val="lightGray"/>
                <w:lang w:eastAsia="fr-CA"/>
              </w:rPr>
            </w:pPr>
          </w:p>
        </w:tc>
        <w:tc>
          <w:tcPr>
            <w:tcW w:w="820" w:type="dxa"/>
            <w:gridSpan w:val="2"/>
            <w:tcBorders>
              <w:top w:val="nil"/>
              <w:left w:val="nil"/>
              <w:bottom w:val="nil"/>
              <w:right w:val="nil"/>
            </w:tcBorders>
            <w:shd w:val="clear" w:color="auto" w:fill="auto"/>
            <w:noWrap/>
            <w:vAlign w:val="bottom"/>
            <w:hideMark/>
          </w:tcPr>
          <w:p w14:paraId="275C08C6" w14:textId="77777777" w:rsidR="00F06615" w:rsidRPr="00316277" w:rsidRDefault="00F06615" w:rsidP="008E6D09">
            <w:pPr>
              <w:jc w:val="center"/>
              <w:rPr>
                <w:rFonts w:cs="Arial"/>
                <w:sz w:val="17"/>
                <w:szCs w:val="17"/>
                <w:lang w:eastAsia="fr-CA"/>
              </w:rPr>
            </w:pPr>
          </w:p>
        </w:tc>
      </w:tr>
      <w:tr w:rsidR="00F06615" w:rsidRPr="006B5782" w14:paraId="10A2A818" w14:textId="77777777" w:rsidTr="008E6D09">
        <w:trPr>
          <w:gridAfter w:val="1"/>
          <w:wAfter w:w="14" w:type="dxa"/>
          <w:trHeight w:val="113"/>
          <w:jc w:val="center"/>
        </w:trPr>
        <w:tc>
          <w:tcPr>
            <w:tcW w:w="1196" w:type="dxa"/>
            <w:tcBorders>
              <w:top w:val="single" w:sz="8" w:space="0" w:color="auto"/>
              <w:left w:val="single" w:sz="8" w:space="0" w:color="auto"/>
              <w:bottom w:val="nil"/>
              <w:right w:val="nil"/>
            </w:tcBorders>
            <w:shd w:val="clear" w:color="auto" w:fill="auto"/>
            <w:noWrap/>
            <w:vAlign w:val="center"/>
            <w:hideMark/>
          </w:tcPr>
          <w:p w14:paraId="1831EB0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591" w:type="dxa"/>
            <w:tcBorders>
              <w:top w:val="nil"/>
              <w:left w:val="single" w:sz="8" w:space="0" w:color="auto"/>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E118E2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91"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2886E7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7030A2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AA926B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640708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129267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2B6353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3256F5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E2CC14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5FECF5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B65896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1545EB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CC1DAA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3EE52D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8EE07C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EAE5F1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9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283263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94" w:type="dxa"/>
            <w:tcBorders>
              <w:top w:val="nil"/>
              <w:left w:val="nil"/>
              <w:bottom w:val="single" w:sz="8" w:space="0" w:color="auto"/>
              <w:right w:val="single" w:sz="8" w:space="0" w:color="auto"/>
            </w:tcBorders>
            <w:shd w:val="clear" w:color="000000" w:fill="FFFFFF"/>
            <w:tcMar>
              <w:top w:w="34" w:type="dxa"/>
              <w:left w:w="74" w:type="dxa"/>
              <w:bottom w:w="34" w:type="dxa"/>
              <w:right w:w="74" w:type="dxa"/>
            </w:tcMar>
            <w:vAlign w:val="center"/>
            <w:hideMark/>
          </w:tcPr>
          <w:p w14:paraId="7C5CCCA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1195" w:type="dxa"/>
            <w:gridSpan w:val="2"/>
            <w:tcBorders>
              <w:top w:val="single" w:sz="8" w:space="0" w:color="auto"/>
              <w:left w:val="nil"/>
              <w:bottom w:val="single" w:sz="8" w:space="0" w:color="auto"/>
              <w:right w:val="single" w:sz="8" w:space="0" w:color="auto"/>
            </w:tcBorders>
            <w:shd w:val="clear" w:color="auto" w:fill="auto"/>
            <w:noWrap/>
            <w:vAlign w:val="center"/>
            <w:hideMark/>
          </w:tcPr>
          <w:p w14:paraId="0F25603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818" w:type="dxa"/>
            <w:gridSpan w:val="2"/>
            <w:tcBorders>
              <w:top w:val="single" w:sz="8" w:space="0" w:color="auto"/>
              <w:left w:val="nil"/>
              <w:bottom w:val="nil"/>
              <w:right w:val="single" w:sz="8" w:space="0" w:color="auto"/>
            </w:tcBorders>
            <w:shd w:val="clear" w:color="000000" w:fill="FFFFFF"/>
            <w:vAlign w:val="center"/>
            <w:hideMark/>
          </w:tcPr>
          <w:p w14:paraId="27E82A11" w14:textId="77777777" w:rsidR="00F06615" w:rsidRPr="00316277" w:rsidRDefault="00F06615" w:rsidP="008E6D09">
            <w:pPr>
              <w:jc w:val="center"/>
              <w:rPr>
                <w:rFonts w:cs="Arial"/>
                <w:b/>
                <w:bCs/>
                <w:color w:val="000000"/>
                <w:sz w:val="17"/>
                <w:szCs w:val="17"/>
                <w:lang w:eastAsia="fr-CA"/>
              </w:rPr>
            </w:pPr>
            <w:r w:rsidRPr="00316277">
              <w:rPr>
                <w:rFonts w:cs="Arial"/>
                <w:b/>
                <w:bCs/>
                <w:color w:val="000000"/>
                <w:sz w:val="17"/>
                <w:szCs w:val="17"/>
                <w:lang w:eastAsia="fr-CA"/>
              </w:rPr>
              <w:t>Taux</w:t>
            </w:r>
            <w:r w:rsidRPr="00316277">
              <w:rPr>
                <w:rFonts w:cs="Arial"/>
                <w:b/>
                <w:bCs/>
                <w:color w:val="000000"/>
                <w:sz w:val="17"/>
                <w:szCs w:val="17"/>
                <w:lang w:eastAsia="fr-CA"/>
              </w:rPr>
              <w:br/>
              <w:t>uniques</w:t>
            </w:r>
          </w:p>
        </w:tc>
      </w:tr>
      <w:tr w:rsidR="00F06615" w:rsidRPr="006B5782" w14:paraId="3228F143" w14:textId="77777777" w:rsidTr="008E6D09">
        <w:trPr>
          <w:gridAfter w:val="1"/>
          <w:wAfter w:w="14" w:type="dxa"/>
          <w:trHeight w:val="113"/>
          <w:jc w:val="center"/>
        </w:trPr>
        <w:tc>
          <w:tcPr>
            <w:tcW w:w="1196" w:type="dxa"/>
            <w:tcBorders>
              <w:top w:val="single" w:sz="8" w:space="0" w:color="auto"/>
              <w:left w:val="single" w:sz="8" w:space="0" w:color="auto"/>
              <w:bottom w:val="single" w:sz="4" w:space="0" w:color="auto"/>
              <w:right w:val="nil"/>
            </w:tcBorders>
            <w:shd w:val="clear" w:color="000000" w:fill="FFFFFF"/>
            <w:vAlign w:val="center"/>
            <w:hideMark/>
          </w:tcPr>
          <w:p w14:paraId="4B1752F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58D7D5E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22,24</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B35F3E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D9ED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672B3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96170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A30DEA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FDAB4B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4548B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A6959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69AB9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C17F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24534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400EA3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27199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10EE5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387E3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29CA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515757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1EB52E6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818" w:type="dxa"/>
            <w:gridSpan w:val="2"/>
            <w:tcBorders>
              <w:top w:val="single" w:sz="8" w:space="0" w:color="auto"/>
              <w:left w:val="nil"/>
              <w:bottom w:val="single" w:sz="4" w:space="0" w:color="auto"/>
              <w:right w:val="single" w:sz="8" w:space="0" w:color="auto"/>
            </w:tcBorders>
            <w:shd w:val="clear" w:color="auto" w:fill="auto"/>
            <w:vAlign w:val="center"/>
            <w:hideMark/>
          </w:tcPr>
          <w:p w14:paraId="27C0FFFA"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22,24</w:t>
            </w:r>
          </w:p>
        </w:tc>
      </w:tr>
      <w:tr w:rsidR="00F06615" w:rsidRPr="006B5782" w14:paraId="14B741B5" w14:textId="77777777" w:rsidTr="008E6D09">
        <w:trPr>
          <w:gridAfter w:val="1"/>
          <w:wAfter w:w="14" w:type="dxa"/>
          <w:trHeight w:val="113"/>
          <w:jc w:val="center"/>
        </w:trPr>
        <w:tc>
          <w:tcPr>
            <w:tcW w:w="1196" w:type="dxa"/>
            <w:tcBorders>
              <w:top w:val="single" w:sz="4" w:space="0" w:color="auto"/>
              <w:left w:val="single" w:sz="8" w:space="0" w:color="auto"/>
              <w:bottom w:val="single" w:sz="4" w:space="0" w:color="auto"/>
              <w:right w:val="nil"/>
            </w:tcBorders>
            <w:shd w:val="clear" w:color="000000" w:fill="FFFFFF"/>
            <w:vAlign w:val="center"/>
            <w:hideMark/>
          </w:tcPr>
          <w:p w14:paraId="67BC703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432965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22,55</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16FF6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B514ED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94B47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8011E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E07B3B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86E0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95316F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3A585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10DB9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1C657E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12602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A3C63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D4DB6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5F271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0E745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37379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5012D2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single" w:sz="4" w:space="0" w:color="auto"/>
              <w:left w:val="nil"/>
              <w:bottom w:val="single" w:sz="4" w:space="0" w:color="auto"/>
              <w:right w:val="single" w:sz="8" w:space="0" w:color="auto"/>
            </w:tcBorders>
            <w:shd w:val="clear" w:color="000000" w:fill="FFFFFF"/>
            <w:vAlign w:val="center"/>
            <w:hideMark/>
          </w:tcPr>
          <w:p w14:paraId="7D1BCBF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818" w:type="dxa"/>
            <w:gridSpan w:val="2"/>
            <w:tcBorders>
              <w:top w:val="nil"/>
              <w:left w:val="nil"/>
              <w:bottom w:val="single" w:sz="4" w:space="0" w:color="auto"/>
              <w:right w:val="single" w:sz="8" w:space="0" w:color="auto"/>
            </w:tcBorders>
            <w:shd w:val="clear" w:color="auto" w:fill="auto"/>
            <w:vAlign w:val="center"/>
            <w:hideMark/>
          </w:tcPr>
          <w:p w14:paraId="2E6C8857"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22,55</w:t>
            </w:r>
          </w:p>
        </w:tc>
      </w:tr>
      <w:tr w:rsidR="00F06615" w:rsidRPr="006B5782" w14:paraId="06A1E4BE"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556076E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70BE2D9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22,67</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AE80A7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22,79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2E666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22,89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C084B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4346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0E45C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B0642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FE8B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34CB9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4726B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49856F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34DC44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70DE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A137E4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8E05E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8621D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ECE44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4A2895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11F1174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818" w:type="dxa"/>
            <w:gridSpan w:val="2"/>
            <w:tcBorders>
              <w:top w:val="nil"/>
              <w:left w:val="nil"/>
              <w:bottom w:val="single" w:sz="4" w:space="0" w:color="auto"/>
              <w:right w:val="single" w:sz="8" w:space="0" w:color="auto"/>
            </w:tcBorders>
            <w:shd w:val="clear" w:color="auto" w:fill="auto"/>
            <w:vAlign w:val="center"/>
            <w:hideMark/>
          </w:tcPr>
          <w:p w14:paraId="6915DBE6"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22,88</w:t>
            </w:r>
          </w:p>
        </w:tc>
      </w:tr>
      <w:tr w:rsidR="00F06615" w:rsidRPr="006B5782" w14:paraId="6E39AECC"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0BD10CD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DE74AD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22,83</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D2EB1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23,04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355EF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23,21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2D9C6D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23,38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AD5ED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1C8EB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9BBA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5B21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7182E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B16E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2E6879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0ECA1F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10D7E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DBDE06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5704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D553D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A19DA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0CDC1A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72FB0B3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818" w:type="dxa"/>
            <w:gridSpan w:val="2"/>
            <w:tcBorders>
              <w:top w:val="nil"/>
              <w:left w:val="nil"/>
              <w:bottom w:val="single" w:sz="4" w:space="0" w:color="auto"/>
              <w:right w:val="single" w:sz="8" w:space="0" w:color="auto"/>
            </w:tcBorders>
            <w:shd w:val="clear" w:color="auto" w:fill="auto"/>
            <w:vAlign w:val="center"/>
            <w:hideMark/>
          </w:tcPr>
          <w:p w14:paraId="23EA4A86"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23,35</w:t>
            </w:r>
          </w:p>
        </w:tc>
      </w:tr>
      <w:tr w:rsidR="00F06615" w:rsidRPr="006B5782" w14:paraId="50623763"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35F3CA3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4A053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23,03</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5B03A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23,34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4D27A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23,67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A8105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F868F9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3FC5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1947F3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E287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563DE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5CD4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B6294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F214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0078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E1E93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611E3A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581E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A8C10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6A7511D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283AC4E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818" w:type="dxa"/>
            <w:gridSpan w:val="2"/>
            <w:tcBorders>
              <w:top w:val="nil"/>
              <w:left w:val="nil"/>
              <w:bottom w:val="single" w:sz="4" w:space="0" w:color="auto"/>
              <w:right w:val="single" w:sz="8" w:space="0" w:color="auto"/>
            </w:tcBorders>
            <w:shd w:val="clear" w:color="auto" w:fill="auto"/>
            <w:vAlign w:val="center"/>
            <w:hideMark/>
          </w:tcPr>
          <w:p w14:paraId="71A1345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23,95</w:t>
            </w:r>
          </w:p>
        </w:tc>
      </w:tr>
      <w:tr w:rsidR="00F06615" w:rsidRPr="006B5782" w14:paraId="3F568DC8"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62F3B0F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39D827E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23,20</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47FA9A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23,59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09C32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23,96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3409F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24,35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125CC0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24,75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211A3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A826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C6A6E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9FDC6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7B0E4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82820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66D1D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304CE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A7D0E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A9D0B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5DBC27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AC14C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64B371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53109C2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818" w:type="dxa"/>
            <w:gridSpan w:val="2"/>
            <w:tcBorders>
              <w:top w:val="nil"/>
              <w:left w:val="nil"/>
              <w:bottom w:val="single" w:sz="4" w:space="0" w:color="auto"/>
              <w:right w:val="single" w:sz="8" w:space="0" w:color="auto"/>
            </w:tcBorders>
            <w:shd w:val="clear" w:color="auto" w:fill="auto"/>
            <w:vAlign w:val="center"/>
            <w:hideMark/>
          </w:tcPr>
          <w:p w14:paraId="3F446EAC"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24,63</w:t>
            </w:r>
          </w:p>
        </w:tc>
      </w:tr>
      <w:tr w:rsidR="00F06615" w:rsidRPr="006B5782" w14:paraId="2B1B0B30"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768A0E9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95DB3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23,51</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ABC4C2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4C3654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24,52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710B26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25,03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98E50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25,58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96D5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7EAE7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9F805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AF29D9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95B8A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2D8A0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B89889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4965D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8D5AF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8C5D6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8CDC7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9626B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2FBA21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12AA4A4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818" w:type="dxa"/>
            <w:gridSpan w:val="2"/>
            <w:tcBorders>
              <w:top w:val="nil"/>
              <w:left w:val="nil"/>
              <w:bottom w:val="single" w:sz="4" w:space="0" w:color="auto"/>
              <w:right w:val="single" w:sz="8" w:space="0" w:color="auto"/>
            </w:tcBorders>
            <w:shd w:val="clear" w:color="auto" w:fill="auto"/>
            <w:vAlign w:val="center"/>
            <w:hideMark/>
          </w:tcPr>
          <w:p w14:paraId="29F15A1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25,42</w:t>
            </w:r>
          </w:p>
        </w:tc>
      </w:tr>
      <w:tr w:rsidR="00F06615" w:rsidRPr="006B5782" w14:paraId="36B839A0"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4789058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EA6FF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23,70</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7A8FA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24,23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9F2A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24,79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D2903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25,33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96AF96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25,91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EF0FD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400ED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9851BA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281AF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3E596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6F92D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048A4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DEAC0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D7A5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8FF3C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2C5999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1A243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3900581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5D40B23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818" w:type="dxa"/>
            <w:gridSpan w:val="2"/>
            <w:tcBorders>
              <w:top w:val="nil"/>
              <w:left w:val="nil"/>
              <w:bottom w:val="single" w:sz="4" w:space="0" w:color="auto"/>
              <w:right w:val="single" w:sz="8" w:space="0" w:color="auto"/>
            </w:tcBorders>
            <w:shd w:val="clear" w:color="auto" w:fill="auto"/>
            <w:vAlign w:val="center"/>
            <w:hideMark/>
          </w:tcPr>
          <w:p w14:paraId="1600C5FD"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26,24</w:t>
            </w:r>
          </w:p>
        </w:tc>
      </w:tr>
      <w:tr w:rsidR="00F06615" w:rsidRPr="006B5782" w14:paraId="0AD2AA4B"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54878A3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ECF1B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23,89</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A5379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24,45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7A340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25,06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E2A8E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25,66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1A46AD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26,27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BA47B6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26,91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1ECD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27,56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AF182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3DF1A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36D30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EDAF6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1DB7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C288D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AD1D51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EE98A6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06EAB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A580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483A84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07EF2BA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818" w:type="dxa"/>
            <w:gridSpan w:val="2"/>
            <w:tcBorders>
              <w:top w:val="nil"/>
              <w:left w:val="nil"/>
              <w:bottom w:val="single" w:sz="4" w:space="0" w:color="auto"/>
              <w:right w:val="single" w:sz="8" w:space="0" w:color="auto"/>
            </w:tcBorders>
            <w:shd w:val="clear" w:color="auto" w:fill="auto"/>
            <w:vAlign w:val="center"/>
            <w:hideMark/>
          </w:tcPr>
          <w:p w14:paraId="7D6AF1F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27,16</w:t>
            </w:r>
          </w:p>
        </w:tc>
      </w:tr>
      <w:tr w:rsidR="00F06615" w:rsidRPr="006B5782" w14:paraId="6E752415"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auto" w:fill="auto"/>
            <w:vAlign w:val="center"/>
            <w:hideMark/>
          </w:tcPr>
          <w:p w14:paraId="4EDBAD0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5C89BEB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24,18</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B6605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24,76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3EB71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25,41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A79B6B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26,03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A6269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26,68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C71C0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27,34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FB57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27,99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4BDDE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C8D5D4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64075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1FB34D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D27E6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ECF96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CDEE8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E7B29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5E0D2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D0B4C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4595635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auto" w:fill="auto"/>
            <w:vAlign w:val="center"/>
            <w:hideMark/>
          </w:tcPr>
          <w:p w14:paraId="0F11143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818" w:type="dxa"/>
            <w:gridSpan w:val="2"/>
            <w:tcBorders>
              <w:top w:val="nil"/>
              <w:left w:val="nil"/>
              <w:bottom w:val="single" w:sz="4" w:space="0" w:color="auto"/>
              <w:right w:val="single" w:sz="8" w:space="0" w:color="auto"/>
            </w:tcBorders>
            <w:shd w:val="clear" w:color="auto" w:fill="auto"/>
            <w:vAlign w:val="center"/>
            <w:hideMark/>
          </w:tcPr>
          <w:p w14:paraId="1D415561"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28,16</w:t>
            </w:r>
          </w:p>
        </w:tc>
      </w:tr>
      <w:tr w:rsidR="00F06615" w:rsidRPr="006B5782" w14:paraId="31BF84AB"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auto" w:fill="auto"/>
            <w:vAlign w:val="center"/>
            <w:hideMark/>
          </w:tcPr>
          <w:p w14:paraId="1EF61C2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2A325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24,51</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DC494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25,12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F41E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25,77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83D62A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26,45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FF43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CD1C3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27,80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650E97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28,49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91A107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29,26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7F583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B2BA2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39B8D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1982D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6050C8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ABEC2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32C337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1BED3C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0CECBE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3870B1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auto" w:fill="auto"/>
            <w:vAlign w:val="center"/>
            <w:hideMark/>
          </w:tcPr>
          <w:p w14:paraId="5654C83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818" w:type="dxa"/>
            <w:gridSpan w:val="2"/>
            <w:tcBorders>
              <w:top w:val="nil"/>
              <w:left w:val="nil"/>
              <w:bottom w:val="single" w:sz="4" w:space="0" w:color="auto"/>
              <w:right w:val="single" w:sz="8" w:space="0" w:color="auto"/>
            </w:tcBorders>
            <w:shd w:val="clear" w:color="auto" w:fill="auto"/>
            <w:vAlign w:val="center"/>
            <w:hideMark/>
          </w:tcPr>
          <w:p w14:paraId="0D91E9B5"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29,24</w:t>
            </w:r>
          </w:p>
        </w:tc>
      </w:tr>
      <w:tr w:rsidR="00F06615" w:rsidRPr="006B5782" w14:paraId="6665021A"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auto" w:fill="auto"/>
            <w:vAlign w:val="center"/>
            <w:hideMark/>
          </w:tcPr>
          <w:p w14:paraId="1B516BA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1D9B2C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24,89</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4F5AE6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25,62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030DB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D52FA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3514FA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27,95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6960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2A72B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29,46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4EA8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E9F530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30,78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4236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31,16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433797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5C6C3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535FC9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27835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DE6AF0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D61E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25539A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1A909E2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auto" w:fill="auto"/>
            <w:vAlign w:val="center"/>
            <w:hideMark/>
          </w:tcPr>
          <w:p w14:paraId="3910B8C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818" w:type="dxa"/>
            <w:gridSpan w:val="2"/>
            <w:tcBorders>
              <w:top w:val="nil"/>
              <w:left w:val="nil"/>
              <w:bottom w:val="single" w:sz="4" w:space="0" w:color="auto"/>
              <w:right w:val="single" w:sz="8" w:space="0" w:color="auto"/>
            </w:tcBorders>
            <w:shd w:val="clear" w:color="auto" w:fill="auto"/>
            <w:vAlign w:val="center"/>
            <w:hideMark/>
          </w:tcPr>
          <w:p w14:paraId="518E97D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30,27</w:t>
            </w:r>
          </w:p>
        </w:tc>
      </w:tr>
      <w:tr w:rsidR="00F06615" w:rsidRPr="006B5782" w14:paraId="65DECCE4"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4C0E933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6324A7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25,25</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25ECA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98608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5F4C7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27,59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AA8474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28,41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4C3C5A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29,25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83C8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BB689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4C919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D7E3E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31,93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24E3D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EA1EBB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4DDD19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CBD26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71542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9B5E2B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1C64C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4F66780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2917782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818" w:type="dxa"/>
            <w:gridSpan w:val="2"/>
            <w:tcBorders>
              <w:top w:val="nil"/>
              <w:left w:val="nil"/>
              <w:bottom w:val="single" w:sz="4" w:space="0" w:color="auto"/>
              <w:right w:val="single" w:sz="8" w:space="0" w:color="auto"/>
            </w:tcBorders>
            <w:shd w:val="clear" w:color="auto" w:fill="auto"/>
            <w:vAlign w:val="center"/>
            <w:hideMark/>
          </w:tcPr>
          <w:p w14:paraId="0469B203"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31,49</w:t>
            </w:r>
          </w:p>
        </w:tc>
      </w:tr>
      <w:tr w:rsidR="00F06615" w:rsidRPr="006B5782" w14:paraId="6621950F"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2F6742B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77617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25,66</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8603C7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26,44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EFDB3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27,22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C8B8F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28,03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06D2E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7A0C2D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29,72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D5FEBE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30,63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3EADA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3CBA1F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32,28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11EE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8E846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1D4E6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34,26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90EF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6487B7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5B4A0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D8F70B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E38ED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7EEBCC0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3700424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818" w:type="dxa"/>
            <w:gridSpan w:val="2"/>
            <w:tcBorders>
              <w:top w:val="nil"/>
              <w:left w:val="nil"/>
              <w:bottom w:val="single" w:sz="4" w:space="0" w:color="auto"/>
              <w:right w:val="single" w:sz="8" w:space="0" w:color="auto"/>
            </w:tcBorders>
            <w:shd w:val="clear" w:color="auto" w:fill="auto"/>
            <w:vAlign w:val="center"/>
            <w:hideMark/>
          </w:tcPr>
          <w:p w14:paraId="1FFA732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32,74</w:t>
            </w:r>
          </w:p>
        </w:tc>
      </w:tr>
      <w:tr w:rsidR="00F06615" w:rsidRPr="006B5782" w14:paraId="3C2A195A"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3160492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55E220F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25,82</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F16D95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A9C373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27,63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5FE3E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28,54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5A402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01378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5F18A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E5198E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B64E0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1648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34,09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E482D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35,03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E7D44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35,99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6B068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92A18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C4C074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BC0B2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A7E1B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130492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317EA16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818" w:type="dxa"/>
            <w:gridSpan w:val="2"/>
            <w:tcBorders>
              <w:top w:val="nil"/>
              <w:left w:val="nil"/>
              <w:bottom w:val="single" w:sz="4" w:space="0" w:color="auto"/>
              <w:right w:val="single" w:sz="8" w:space="0" w:color="auto"/>
            </w:tcBorders>
            <w:shd w:val="clear" w:color="auto" w:fill="auto"/>
            <w:vAlign w:val="center"/>
            <w:hideMark/>
          </w:tcPr>
          <w:p w14:paraId="6203859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34,16</w:t>
            </w:r>
          </w:p>
        </w:tc>
      </w:tr>
      <w:tr w:rsidR="00F06615" w:rsidRPr="006B5782" w14:paraId="778771A1"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361B5D7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52DCD0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26,27</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C415C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27,23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299772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28,27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47D0F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29,30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CBBFC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30,37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D29B7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4A2B2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B98BC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934DC9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34,91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BFE56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35,61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75401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36,70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CD0836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64E5D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75BBE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952C3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6CD29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7AA86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33EDD16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4587D33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818" w:type="dxa"/>
            <w:gridSpan w:val="2"/>
            <w:tcBorders>
              <w:top w:val="nil"/>
              <w:left w:val="nil"/>
              <w:bottom w:val="single" w:sz="4" w:space="0" w:color="auto"/>
              <w:right w:val="single" w:sz="8" w:space="0" w:color="auto"/>
            </w:tcBorders>
            <w:shd w:val="clear" w:color="auto" w:fill="auto"/>
            <w:vAlign w:val="center"/>
            <w:hideMark/>
          </w:tcPr>
          <w:p w14:paraId="06BF64B7"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4E994D6D"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221F33B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20EA6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26,73</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1E10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27,80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77DE2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28,91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35A70E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AAFD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31,25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DD59DC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32,51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713561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BDA153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35,15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6D5B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66448E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37,18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4CD1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38,43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E1E6A6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39,74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FE4F48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D864D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453C7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D1763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55559E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66669A8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094416E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818" w:type="dxa"/>
            <w:gridSpan w:val="2"/>
            <w:tcBorders>
              <w:top w:val="nil"/>
              <w:left w:val="nil"/>
              <w:bottom w:val="single" w:sz="4" w:space="0" w:color="auto"/>
              <w:right w:val="single" w:sz="8" w:space="0" w:color="auto"/>
            </w:tcBorders>
            <w:shd w:val="clear" w:color="auto" w:fill="auto"/>
            <w:vAlign w:val="center"/>
            <w:hideMark/>
          </w:tcPr>
          <w:p w14:paraId="142E4853"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7ABF11B4"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6A3C2E0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1BFB8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26,91</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1C02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28,08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49D04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29,34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6D57A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30,63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6D53E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31,98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DD806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33,38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37E8B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8BEA6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4F729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37,75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909CA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38,79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7990E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40,24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D393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41,76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BE36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C3E2E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878DF1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127A3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FE8B2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4D12F7B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6BB6E13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818" w:type="dxa"/>
            <w:gridSpan w:val="2"/>
            <w:tcBorders>
              <w:top w:val="nil"/>
              <w:left w:val="nil"/>
              <w:bottom w:val="single" w:sz="4" w:space="0" w:color="auto"/>
              <w:right w:val="single" w:sz="8" w:space="0" w:color="auto"/>
            </w:tcBorders>
            <w:shd w:val="clear" w:color="auto" w:fill="auto"/>
            <w:vAlign w:val="center"/>
            <w:hideMark/>
          </w:tcPr>
          <w:p w14:paraId="61EA760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40A76020"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0F172FD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0791F7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27,36</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C2B28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28,17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47194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29,03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7A213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29,91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FD623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52E25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31,75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670D5D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1C9CCB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33,70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C04A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34,70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D00644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35,43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1462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040C2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37,60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6543C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38,73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98EA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39,71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D70A16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40,69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4EBE39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41,74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8874AD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42,80</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594FB1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43,87</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6156F58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818" w:type="dxa"/>
            <w:gridSpan w:val="2"/>
            <w:tcBorders>
              <w:top w:val="nil"/>
              <w:left w:val="nil"/>
              <w:bottom w:val="single" w:sz="4" w:space="0" w:color="auto"/>
              <w:right w:val="single" w:sz="8" w:space="0" w:color="auto"/>
            </w:tcBorders>
            <w:shd w:val="clear" w:color="auto" w:fill="auto"/>
            <w:vAlign w:val="center"/>
            <w:hideMark/>
          </w:tcPr>
          <w:p w14:paraId="6015D55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751032F4"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701F717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01507A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27,79</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775C19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B9008A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29,62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FA8FB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30,57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0CDAC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D611D2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32,56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1A80D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7217B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34,70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A911B9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35,83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BDC73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36,61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3468B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59DD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39,02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6979A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40,30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0FE43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41,40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56A06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42,53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F94723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43,69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CED9B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44,87</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127B942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46,10</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29EE3E8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818" w:type="dxa"/>
            <w:gridSpan w:val="2"/>
            <w:tcBorders>
              <w:top w:val="nil"/>
              <w:left w:val="nil"/>
              <w:bottom w:val="single" w:sz="4" w:space="0" w:color="auto"/>
              <w:right w:val="single" w:sz="8" w:space="0" w:color="auto"/>
            </w:tcBorders>
            <w:shd w:val="clear" w:color="auto" w:fill="auto"/>
            <w:vAlign w:val="center"/>
            <w:hideMark/>
          </w:tcPr>
          <w:p w14:paraId="33E1B602"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6666637F"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097FBEB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04C53B7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28,26</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D881AA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29,19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973564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30,21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C0D06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31,24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808FD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32,32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BF112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33,42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A57094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34,57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80BE0A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35,76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AB73E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36,98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2EBD6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C863A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39,18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46EBE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40,51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77BCA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41,92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30E11E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43,14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DD151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44,41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1FA8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45,72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399DB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47,05</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7078C4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48,44</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6419325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818" w:type="dxa"/>
            <w:gridSpan w:val="2"/>
            <w:tcBorders>
              <w:top w:val="nil"/>
              <w:left w:val="nil"/>
              <w:bottom w:val="single" w:sz="4" w:space="0" w:color="auto"/>
              <w:right w:val="single" w:sz="8" w:space="0" w:color="auto"/>
            </w:tcBorders>
            <w:shd w:val="clear" w:color="auto" w:fill="auto"/>
            <w:vAlign w:val="center"/>
            <w:hideMark/>
          </w:tcPr>
          <w:p w14:paraId="35ADC4D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7B9EC123"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0103D9B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0BC47F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28,70</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C509E1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29,71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BCCF6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106AEA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31,92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86687B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33,08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71F14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34,30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E4294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35,53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B420C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36,81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FF2C3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38,17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F33D5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39,16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29073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40,58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A9F230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42,07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60F4D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43,60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2E93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44,95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9D804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46,36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F39C7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47,82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6AA769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49,32</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049397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50,86</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2D37633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818" w:type="dxa"/>
            <w:gridSpan w:val="2"/>
            <w:tcBorders>
              <w:top w:val="nil"/>
              <w:left w:val="nil"/>
              <w:bottom w:val="single" w:sz="4" w:space="0" w:color="auto"/>
              <w:right w:val="single" w:sz="8" w:space="0" w:color="auto"/>
            </w:tcBorders>
            <w:shd w:val="clear" w:color="auto" w:fill="auto"/>
            <w:vAlign w:val="center"/>
            <w:hideMark/>
          </w:tcPr>
          <w:p w14:paraId="40E711B2"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00FB6FCE"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1464560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6844024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29,11</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178A0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30,22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616DF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31,37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67C706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EF0FB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DFEA5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35,14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D32DF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3BEF13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F37A4D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39,35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4BC97B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40,46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21605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1D44F2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43,64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8EC678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45,30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4C7BE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46,83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13A79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48,40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B58E31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C0DB0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51,70</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34300DA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53,41</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3288775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818" w:type="dxa"/>
            <w:gridSpan w:val="2"/>
            <w:tcBorders>
              <w:top w:val="nil"/>
              <w:left w:val="nil"/>
              <w:bottom w:val="single" w:sz="4" w:space="0" w:color="auto"/>
              <w:right w:val="single" w:sz="8" w:space="0" w:color="auto"/>
            </w:tcBorders>
            <w:shd w:val="clear" w:color="auto" w:fill="auto"/>
            <w:vAlign w:val="center"/>
            <w:hideMark/>
          </w:tcPr>
          <w:p w14:paraId="38571CD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23B7EACE"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48FCEEA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A5D4F9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30,03</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8C268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31,22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52F2BB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DAD27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33,73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CD9A6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35,06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8A8F7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53819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425881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39,37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EE2FD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40,92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520157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42,12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AE511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43,77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0D8C6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45,52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745E2E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47,29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F1F271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48,94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92B6F6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50,64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25D984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52,37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BA808A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54,16</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6860CA3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56,05</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643B11E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818" w:type="dxa"/>
            <w:gridSpan w:val="2"/>
            <w:tcBorders>
              <w:top w:val="nil"/>
              <w:left w:val="nil"/>
              <w:bottom w:val="single" w:sz="4" w:space="0" w:color="auto"/>
              <w:right w:val="single" w:sz="8" w:space="0" w:color="auto"/>
            </w:tcBorders>
            <w:shd w:val="clear" w:color="auto" w:fill="auto"/>
            <w:vAlign w:val="center"/>
            <w:hideMark/>
          </w:tcPr>
          <w:p w14:paraId="492B786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204CC4B6"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61B7A85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5DC110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30,45</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97807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31,73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92947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33,04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FA133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642CB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35,84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B75ED4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37,33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61D62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05636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40,50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67F82A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42,18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4C4E4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43,48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079A27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45,29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55BAC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47,17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8F152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49,14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CF2AD0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50,92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4E5CD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52,79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EF832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54,72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2C2D7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56,71</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17CB12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58,80</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6488C4B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818" w:type="dxa"/>
            <w:gridSpan w:val="2"/>
            <w:tcBorders>
              <w:top w:val="nil"/>
              <w:left w:val="nil"/>
              <w:bottom w:val="single" w:sz="4" w:space="0" w:color="auto"/>
              <w:right w:val="single" w:sz="8" w:space="0" w:color="auto"/>
            </w:tcBorders>
            <w:shd w:val="clear" w:color="auto" w:fill="auto"/>
            <w:vAlign w:val="center"/>
            <w:hideMark/>
          </w:tcPr>
          <w:p w14:paraId="6DEFB702"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4F7539D0"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3C232CB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2C76737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31,13</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7379A8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B301D2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FDA975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35,32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FEDA7D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36,84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B4CFA3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38,45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328B7C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40,09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C1FEB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41,83</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F98423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43,62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F301A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45,06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366628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46,99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9DE1A3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49,01</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A0E6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51,12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FB20F3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53,06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CFFA3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55,09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638E71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57,20</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074DD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59,37</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234289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61,63</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4AB01C8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818" w:type="dxa"/>
            <w:gridSpan w:val="2"/>
            <w:tcBorders>
              <w:top w:val="nil"/>
              <w:left w:val="nil"/>
              <w:bottom w:val="single" w:sz="4" w:space="0" w:color="auto"/>
              <w:right w:val="single" w:sz="8" w:space="0" w:color="auto"/>
            </w:tcBorders>
            <w:shd w:val="clear" w:color="auto" w:fill="auto"/>
            <w:vAlign w:val="center"/>
            <w:hideMark/>
          </w:tcPr>
          <w:p w14:paraId="614281AA"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6C2FBFA0" w14:textId="77777777" w:rsidTr="008E6D09">
        <w:trPr>
          <w:gridAfter w:val="1"/>
          <w:wAfter w:w="14" w:type="dxa"/>
          <w:trHeight w:val="113"/>
          <w:jc w:val="center"/>
        </w:trPr>
        <w:tc>
          <w:tcPr>
            <w:tcW w:w="1196" w:type="dxa"/>
            <w:tcBorders>
              <w:top w:val="nil"/>
              <w:left w:val="single" w:sz="8" w:space="0" w:color="auto"/>
              <w:bottom w:val="single" w:sz="4" w:space="0" w:color="auto"/>
              <w:right w:val="nil"/>
            </w:tcBorders>
            <w:shd w:val="clear" w:color="000000" w:fill="FFFFFF"/>
            <w:vAlign w:val="center"/>
            <w:hideMark/>
          </w:tcPr>
          <w:p w14:paraId="5F37BF5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59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hideMark/>
          </w:tcPr>
          <w:p w14:paraId="78B48A8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31,81</w:t>
            </w:r>
          </w:p>
        </w:tc>
        <w:tc>
          <w:tcPr>
            <w:tcW w:w="59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41343F8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33,24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C76051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34,68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6AD54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36,26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27CD41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9E0C6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39,56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6F33AD2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41,35</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C8668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43,18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B6DF8A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45,09</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04E8E3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46,64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55F29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48,72</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ED1C2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50,88</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30105C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53,16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7EB3BA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55,27</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500D010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57,46</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1DED00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59,74</w:t>
            </w:r>
          </w:p>
        </w:tc>
        <w:tc>
          <w:tcPr>
            <w:tcW w:w="59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hideMark/>
          </w:tcPr>
          <w:p w14:paraId="284C0AD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62,12</w:t>
            </w:r>
          </w:p>
        </w:tc>
        <w:tc>
          <w:tcPr>
            <w:tcW w:w="594"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hideMark/>
          </w:tcPr>
          <w:p w14:paraId="084953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64,56</w:t>
            </w:r>
          </w:p>
        </w:tc>
        <w:tc>
          <w:tcPr>
            <w:tcW w:w="1195" w:type="dxa"/>
            <w:gridSpan w:val="2"/>
            <w:tcBorders>
              <w:top w:val="nil"/>
              <w:left w:val="nil"/>
              <w:bottom w:val="single" w:sz="4" w:space="0" w:color="auto"/>
              <w:right w:val="single" w:sz="8" w:space="0" w:color="auto"/>
            </w:tcBorders>
            <w:shd w:val="clear" w:color="000000" w:fill="FFFFFF"/>
            <w:vAlign w:val="center"/>
            <w:hideMark/>
          </w:tcPr>
          <w:p w14:paraId="001C88D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818" w:type="dxa"/>
            <w:gridSpan w:val="2"/>
            <w:tcBorders>
              <w:top w:val="nil"/>
              <w:left w:val="nil"/>
              <w:bottom w:val="single" w:sz="4" w:space="0" w:color="auto"/>
              <w:right w:val="single" w:sz="8" w:space="0" w:color="auto"/>
            </w:tcBorders>
            <w:shd w:val="clear" w:color="auto" w:fill="auto"/>
            <w:vAlign w:val="center"/>
            <w:hideMark/>
          </w:tcPr>
          <w:p w14:paraId="61BB5EC6"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19145D1E" w14:textId="77777777" w:rsidTr="008E6D09">
        <w:trPr>
          <w:gridAfter w:val="1"/>
          <w:wAfter w:w="14" w:type="dxa"/>
          <w:trHeight w:val="113"/>
          <w:jc w:val="center"/>
        </w:trPr>
        <w:tc>
          <w:tcPr>
            <w:tcW w:w="1196" w:type="dxa"/>
            <w:tcBorders>
              <w:top w:val="nil"/>
              <w:left w:val="single" w:sz="8" w:space="0" w:color="auto"/>
              <w:bottom w:val="single" w:sz="8" w:space="0" w:color="auto"/>
              <w:right w:val="nil"/>
            </w:tcBorders>
            <w:shd w:val="clear" w:color="000000" w:fill="FFFFFF"/>
            <w:vAlign w:val="center"/>
            <w:hideMark/>
          </w:tcPr>
          <w:p w14:paraId="7ED7425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591" w:type="dxa"/>
            <w:tcBorders>
              <w:top w:val="nil"/>
              <w:left w:val="single" w:sz="8" w:space="0" w:color="auto"/>
              <w:bottom w:val="single" w:sz="8" w:space="0" w:color="auto"/>
              <w:right w:val="single" w:sz="4" w:space="0" w:color="auto"/>
            </w:tcBorders>
            <w:shd w:val="clear" w:color="auto" w:fill="auto"/>
            <w:tcMar>
              <w:top w:w="28" w:type="dxa"/>
              <w:left w:w="74" w:type="dxa"/>
              <w:bottom w:w="28" w:type="dxa"/>
              <w:right w:w="74" w:type="dxa"/>
            </w:tcMar>
            <w:vAlign w:val="center"/>
            <w:hideMark/>
          </w:tcPr>
          <w:p w14:paraId="23195FD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32,21</w:t>
            </w:r>
          </w:p>
        </w:tc>
        <w:tc>
          <w:tcPr>
            <w:tcW w:w="591"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1F7DCF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33,73</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38802F0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35,29</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289829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36,92</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707E1D0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38,65</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312C48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40,46</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0AD7981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42,36</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0BF37BF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44,32</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16E838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46,40</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65BF268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48,06</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7136EF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50,32</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63807A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52,67</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52F35B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55,14</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5CF88FA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57,43</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46AC17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59,82</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53213D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62,31</w:t>
            </w:r>
          </w:p>
        </w:tc>
        <w:tc>
          <w:tcPr>
            <w:tcW w:w="59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hideMark/>
          </w:tcPr>
          <w:p w14:paraId="3D48A80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64,90</w:t>
            </w:r>
          </w:p>
        </w:tc>
        <w:tc>
          <w:tcPr>
            <w:tcW w:w="594" w:type="dxa"/>
            <w:tcBorders>
              <w:top w:val="nil"/>
              <w:left w:val="nil"/>
              <w:bottom w:val="single" w:sz="8" w:space="0" w:color="auto"/>
              <w:right w:val="single" w:sz="8" w:space="0" w:color="auto"/>
            </w:tcBorders>
            <w:shd w:val="clear" w:color="auto" w:fill="auto"/>
            <w:tcMar>
              <w:top w:w="28" w:type="dxa"/>
              <w:left w:w="74" w:type="dxa"/>
              <w:bottom w:w="28" w:type="dxa"/>
              <w:right w:w="74" w:type="dxa"/>
            </w:tcMar>
            <w:vAlign w:val="center"/>
            <w:hideMark/>
          </w:tcPr>
          <w:p w14:paraId="276246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67,63</w:t>
            </w:r>
          </w:p>
        </w:tc>
        <w:tc>
          <w:tcPr>
            <w:tcW w:w="1195" w:type="dxa"/>
            <w:gridSpan w:val="2"/>
            <w:tcBorders>
              <w:top w:val="nil"/>
              <w:left w:val="nil"/>
              <w:bottom w:val="single" w:sz="8" w:space="0" w:color="auto"/>
              <w:right w:val="single" w:sz="8" w:space="0" w:color="auto"/>
            </w:tcBorders>
            <w:shd w:val="clear" w:color="000000" w:fill="FFFFFF"/>
            <w:vAlign w:val="center"/>
            <w:hideMark/>
          </w:tcPr>
          <w:p w14:paraId="0036391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818" w:type="dxa"/>
            <w:gridSpan w:val="2"/>
            <w:tcBorders>
              <w:top w:val="nil"/>
              <w:left w:val="nil"/>
              <w:bottom w:val="single" w:sz="8" w:space="0" w:color="auto"/>
              <w:right w:val="single" w:sz="8" w:space="0" w:color="auto"/>
            </w:tcBorders>
            <w:shd w:val="clear" w:color="auto" w:fill="auto"/>
            <w:vAlign w:val="center"/>
            <w:hideMark/>
          </w:tcPr>
          <w:p w14:paraId="3B391CD8"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w:t>
            </w:r>
          </w:p>
        </w:tc>
      </w:tr>
      <w:tr w:rsidR="00F06615" w:rsidRPr="00DF0D1D" w14:paraId="1E96D392" w14:textId="77777777" w:rsidTr="008E6D09">
        <w:trPr>
          <w:trHeight w:val="113"/>
          <w:jc w:val="center"/>
        </w:trPr>
        <w:tc>
          <w:tcPr>
            <w:tcW w:w="13849" w:type="dxa"/>
            <w:gridSpan w:val="24"/>
            <w:tcBorders>
              <w:top w:val="single" w:sz="8" w:space="0" w:color="auto"/>
              <w:left w:val="nil"/>
              <w:bottom w:val="nil"/>
              <w:right w:val="nil"/>
            </w:tcBorders>
            <w:shd w:val="clear" w:color="auto" w:fill="auto"/>
            <w:hideMark/>
          </w:tcPr>
          <w:p w14:paraId="3D45172C" w14:textId="18DCC292" w:rsidR="00F06615" w:rsidRPr="005C0423" w:rsidRDefault="00F06615" w:rsidP="008E6D09">
            <w:pPr>
              <w:rPr>
                <w:rFonts w:cs="Arial"/>
                <w:color w:val="000000"/>
                <w:sz w:val="18"/>
                <w:szCs w:val="18"/>
                <w:lang w:eastAsia="fr-CA"/>
              </w:rPr>
            </w:pPr>
            <w:r w:rsidRPr="00316277">
              <w:rPr>
                <w:rFonts w:cs="Arial"/>
                <w:color w:val="000000"/>
                <w:sz w:val="18"/>
                <w:szCs w:val="18"/>
                <w:lang w:eastAsia="fr-CA"/>
              </w:rPr>
              <w:t>Note : Les taux uniques sont calculés sur la base d’un gain de carrière de 33 ans.</w:t>
            </w:r>
            <w:r w:rsidR="00013D32" w:rsidRPr="00316277">
              <w:rPr>
                <w:rFonts w:cs="Arial"/>
                <w:color w:val="000000"/>
                <w:sz w:val="18"/>
                <w:szCs w:val="18"/>
                <w:lang w:eastAsia="fr-CA"/>
              </w:rPr>
              <w:t xml:space="preserve"> </w:t>
            </w:r>
            <w:r w:rsidR="00013D32" w:rsidRPr="00316277">
              <w:rPr>
                <w:rFonts w:cs="Arial"/>
                <w:sz w:val="18"/>
                <w:szCs w:val="18"/>
              </w:rPr>
              <w:t>Les taux de traitement tiennent compte de la majoration du paramètre général d’augmentation salariale prévue à la clause</w:t>
            </w:r>
            <w:r w:rsidR="00417EC4" w:rsidRPr="00316277">
              <w:rPr>
                <w:rFonts w:cs="Arial"/>
                <w:sz w:val="18"/>
                <w:szCs w:val="18"/>
              </w:rPr>
              <w:t> </w:t>
            </w:r>
            <w:r w:rsidR="00013D32" w:rsidRPr="00316277">
              <w:rPr>
                <w:rFonts w:cs="Arial"/>
                <w:sz w:val="18"/>
                <w:szCs w:val="18"/>
              </w:rPr>
              <w:t>6-4.02.</w:t>
            </w:r>
          </w:p>
        </w:tc>
      </w:tr>
    </w:tbl>
    <w:p w14:paraId="3B1CD7C7" w14:textId="09C415B2" w:rsidR="00AD0929" w:rsidRDefault="00AD0929" w:rsidP="007F120F">
      <w:pPr>
        <w:keepNext w:val="0"/>
        <w:ind w:left="993" w:right="2768"/>
        <w:rPr>
          <w:sz w:val="14"/>
        </w:rPr>
      </w:pPr>
      <w:r>
        <w:rPr>
          <w:sz w:val="14"/>
        </w:rPr>
        <w:br w:type="page"/>
      </w:r>
    </w:p>
    <w:p w14:paraId="0A8BAE03" w14:textId="67393547" w:rsidR="00013D32" w:rsidRPr="00316277" w:rsidRDefault="00013D32" w:rsidP="00417EC4">
      <w:pPr>
        <w:jc w:val="center"/>
        <w:rPr>
          <w:b/>
          <w:bCs/>
          <w:sz w:val="22"/>
          <w:szCs w:val="18"/>
        </w:rPr>
      </w:pPr>
      <w:bookmarkStart w:id="1593" w:name="_Toc163580734"/>
      <w:r w:rsidRPr="00316277">
        <w:rPr>
          <w:b/>
          <w:bCs/>
          <w:sz w:val="22"/>
          <w:szCs w:val="18"/>
        </w:rPr>
        <w:t>TABLEAU A</w:t>
      </w:r>
    </w:p>
    <w:bookmarkEnd w:id="1593"/>
    <w:p w14:paraId="129F7E84" w14:textId="291B6E41" w:rsidR="00013D32" w:rsidRPr="00316277" w:rsidRDefault="00013D32" w:rsidP="00013D32">
      <w:pPr>
        <w:jc w:val="center"/>
        <w:rPr>
          <w:b/>
          <w:bCs/>
          <w:sz w:val="22"/>
          <w:szCs w:val="22"/>
          <w:u w:val="single"/>
        </w:rPr>
      </w:pPr>
      <w:r w:rsidRPr="00316277">
        <w:rPr>
          <w:b/>
          <w:bCs/>
          <w:sz w:val="22"/>
          <w:szCs w:val="22"/>
          <w:u w:val="single"/>
        </w:rPr>
        <w:t>STRUCTURE SALARIALE</w:t>
      </w:r>
      <w:r w:rsidRPr="00013D32">
        <w:rPr>
          <w:b/>
          <w:bCs/>
          <w:sz w:val="22"/>
          <w:szCs w:val="22"/>
          <w:u w:val="single"/>
        </w:rPr>
        <w:br/>
      </w:r>
      <w:r w:rsidRPr="00316277">
        <w:rPr>
          <w:b/>
          <w:bCs/>
          <w:sz w:val="22"/>
          <w:szCs w:val="22"/>
          <w:u w:val="single"/>
        </w:rPr>
        <w:t xml:space="preserve">TAUX ET </w:t>
      </w:r>
      <w:r w:rsidRPr="00316277">
        <w:rPr>
          <w:rFonts w:hint="eastAsia"/>
          <w:b/>
          <w:bCs/>
          <w:sz w:val="22"/>
          <w:szCs w:val="22"/>
          <w:u w:val="single"/>
        </w:rPr>
        <w:t>É</w:t>
      </w:r>
      <w:r w:rsidRPr="00316277">
        <w:rPr>
          <w:b/>
          <w:bCs/>
          <w:sz w:val="22"/>
          <w:szCs w:val="22"/>
          <w:u w:val="single"/>
        </w:rPr>
        <w:t>CHELLES DE TRAITEMENT AU 1</w:t>
      </w:r>
      <w:r w:rsidRPr="00316277">
        <w:rPr>
          <w:b/>
          <w:bCs/>
          <w:sz w:val="22"/>
          <w:szCs w:val="22"/>
          <w:u w:val="single"/>
          <w:vertAlign w:val="superscript"/>
        </w:rPr>
        <w:t>ER</w:t>
      </w:r>
      <w:r w:rsidRPr="00316277">
        <w:rPr>
          <w:rFonts w:hint="eastAsia"/>
          <w:b/>
          <w:bCs/>
          <w:sz w:val="22"/>
          <w:szCs w:val="22"/>
          <w:u w:val="single"/>
        </w:rPr>
        <w:t> </w:t>
      </w:r>
      <w:r w:rsidRPr="00316277">
        <w:rPr>
          <w:b/>
          <w:bCs/>
          <w:sz w:val="22"/>
          <w:szCs w:val="22"/>
          <w:u w:val="single"/>
        </w:rPr>
        <w:t>AVRIL</w:t>
      </w:r>
      <w:r w:rsidRPr="00316277">
        <w:rPr>
          <w:rFonts w:hint="eastAsia"/>
          <w:b/>
          <w:bCs/>
          <w:sz w:val="22"/>
          <w:szCs w:val="22"/>
          <w:u w:val="single"/>
        </w:rPr>
        <w:t> </w:t>
      </w:r>
      <w:r w:rsidRPr="00316277">
        <w:rPr>
          <w:b/>
          <w:bCs/>
          <w:sz w:val="22"/>
          <w:szCs w:val="22"/>
          <w:u w:val="single"/>
        </w:rPr>
        <w:t>2024</w:t>
      </w:r>
    </w:p>
    <w:p w14:paraId="5D2A23A7" w14:textId="77777777" w:rsidR="00F02459" w:rsidRPr="00280FE6" w:rsidRDefault="00F02459" w:rsidP="00F02459">
      <w:pPr>
        <w:spacing w:after="19"/>
        <w:ind w:left="867" w:right="1164"/>
        <w:jc w:val="center"/>
        <w:rPr>
          <w:b/>
          <w:i/>
          <w:sz w:val="16"/>
          <w:szCs w:val="16"/>
        </w:rPr>
      </w:pPr>
      <w:r w:rsidRPr="00316277">
        <w:rPr>
          <w:b/>
          <w:i/>
          <w:color w:val="404040"/>
          <w:sz w:val="16"/>
          <w:szCs w:val="16"/>
        </w:rPr>
        <w:t>POUR LES SECTEURS DE LA SANTÉ ET DES SERVICES SOCIAUX, DES CENTRES DE SERVICES SCOLAIRES ET DES COMMISSIONS SCOLAIRES ET DES COLLÈGES</w:t>
      </w:r>
    </w:p>
    <w:p w14:paraId="428108EF" w14:textId="486920E4" w:rsidR="00CD5BD8" w:rsidRPr="00417EC4" w:rsidRDefault="00CD5BD8" w:rsidP="007F120F">
      <w:pPr>
        <w:keepNext w:val="0"/>
        <w:ind w:left="993" w:right="2768"/>
        <w:rPr>
          <w:sz w:val="2"/>
          <w:szCs w:val="8"/>
        </w:rPr>
      </w:pPr>
    </w:p>
    <w:tbl>
      <w:tblPr>
        <w:tblW w:w="13592" w:type="dxa"/>
        <w:jc w:val="center"/>
        <w:tblCellMar>
          <w:top w:w="15" w:type="dxa"/>
          <w:left w:w="70" w:type="dxa"/>
          <w:right w:w="70" w:type="dxa"/>
        </w:tblCellMar>
        <w:tblLook w:val="04A0" w:firstRow="1" w:lastRow="0" w:firstColumn="1" w:lastColumn="0" w:noHBand="0" w:noVBand="1"/>
      </w:tblPr>
      <w:tblGrid>
        <w:gridCol w:w="1175"/>
        <w:gridCol w:w="581"/>
        <w:gridCol w:w="581"/>
        <w:gridCol w:w="580"/>
        <w:gridCol w:w="580"/>
        <w:gridCol w:w="580"/>
        <w:gridCol w:w="580"/>
        <w:gridCol w:w="580"/>
        <w:gridCol w:w="580"/>
        <w:gridCol w:w="580"/>
        <w:gridCol w:w="580"/>
        <w:gridCol w:w="580"/>
        <w:gridCol w:w="580"/>
        <w:gridCol w:w="580"/>
        <w:gridCol w:w="580"/>
        <w:gridCol w:w="580"/>
        <w:gridCol w:w="580"/>
        <w:gridCol w:w="580"/>
        <w:gridCol w:w="580"/>
        <w:gridCol w:w="1174"/>
        <w:gridCol w:w="801"/>
      </w:tblGrid>
      <w:tr w:rsidR="00F06615" w:rsidRPr="006B5782" w14:paraId="5483C1A6" w14:textId="77777777" w:rsidTr="008E6D09">
        <w:trPr>
          <w:trHeight w:val="113"/>
          <w:jc w:val="center"/>
        </w:trPr>
        <w:tc>
          <w:tcPr>
            <w:tcW w:w="1175" w:type="dxa"/>
            <w:tcBorders>
              <w:top w:val="nil"/>
              <w:left w:val="nil"/>
              <w:bottom w:val="single" w:sz="8" w:space="0" w:color="auto"/>
              <w:right w:val="nil"/>
            </w:tcBorders>
            <w:shd w:val="clear" w:color="auto" w:fill="auto"/>
            <w:noWrap/>
            <w:vAlign w:val="bottom"/>
            <w:hideMark/>
          </w:tcPr>
          <w:p w14:paraId="4AC99F24" w14:textId="77777777" w:rsidR="00F06615" w:rsidRPr="00F06615" w:rsidRDefault="00F06615" w:rsidP="008E6D09">
            <w:pPr>
              <w:jc w:val="center"/>
              <w:rPr>
                <w:rFonts w:cs="Arial"/>
                <w:sz w:val="17"/>
                <w:szCs w:val="17"/>
                <w:lang w:eastAsia="fr-CA"/>
              </w:rPr>
            </w:pPr>
          </w:p>
        </w:tc>
        <w:tc>
          <w:tcPr>
            <w:tcW w:w="10442" w:type="dxa"/>
            <w:gridSpan w:val="18"/>
            <w:tcBorders>
              <w:top w:val="single" w:sz="8" w:space="0" w:color="auto"/>
              <w:left w:val="single" w:sz="8" w:space="0" w:color="auto"/>
              <w:bottom w:val="single" w:sz="8" w:space="0" w:color="auto"/>
              <w:right w:val="single" w:sz="8" w:space="0" w:color="000000"/>
            </w:tcBorders>
            <w:shd w:val="clear" w:color="auto" w:fill="auto"/>
            <w:noWrap/>
            <w:tcMar>
              <w:top w:w="34" w:type="dxa"/>
              <w:left w:w="74" w:type="dxa"/>
              <w:bottom w:w="34" w:type="dxa"/>
              <w:right w:w="74" w:type="dxa"/>
            </w:tcMar>
            <w:vAlign w:val="center"/>
            <w:hideMark/>
          </w:tcPr>
          <w:p w14:paraId="33EB039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Échelons</w:t>
            </w:r>
          </w:p>
        </w:tc>
        <w:tc>
          <w:tcPr>
            <w:tcW w:w="1174" w:type="dxa"/>
            <w:tcBorders>
              <w:top w:val="nil"/>
              <w:left w:val="nil"/>
              <w:bottom w:val="nil"/>
              <w:right w:val="nil"/>
            </w:tcBorders>
            <w:shd w:val="clear" w:color="auto" w:fill="auto"/>
            <w:noWrap/>
            <w:vAlign w:val="bottom"/>
            <w:hideMark/>
          </w:tcPr>
          <w:p w14:paraId="59F4A332" w14:textId="77777777" w:rsidR="00F06615" w:rsidRPr="006B5782" w:rsidRDefault="00F06615" w:rsidP="008E6D09">
            <w:pPr>
              <w:jc w:val="center"/>
              <w:rPr>
                <w:rFonts w:cs="Arial"/>
                <w:b/>
                <w:bCs/>
                <w:color w:val="000000"/>
                <w:sz w:val="17"/>
                <w:szCs w:val="17"/>
                <w:highlight w:val="lightGray"/>
                <w:lang w:eastAsia="fr-CA"/>
              </w:rPr>
            </w:pPr>
          </w:p>
        </w:tc>
        <w:tc>
          <w:tcPr>
            <w:tcW w:w="801" w:type="dxa"/>
            <w:tcBorders>
              <w:top w:val="nil"/>
              <w:left w:val="nil"/>
              <w:bottom w:val="nil"/>
              <w:right w:val="nil"/>
            </w:tcBorders>
            <w:shd w:val="clear" w:color="auto" w:fill="auto"/>
            <w:noWrap/>
            <w:vAlign w:val="bottom"/>
            <w:hideMark/>
          </w:tcPr>
          <w:p w14:paraId="1925A6FC" w14:textId="77777777" w:rsidR="00F06615" w:rsidRPr="00316277" w:rsidRDefault="00F06615" w:rsidP="008E6D09">
            <w:pPr>
              <w:jc w:val="center"/>
              <w:rPr>
                <w:rFonts w:cs="Arial"/>
                <w:sz w:val="17"/>
                <w:szCs w:val="17"/>
                <w:lang w:eastAsia="fr-CA"/>
              </w:rPr>
            </w:pPr>
          </w:p>
        </w:tc>
      </w:tr>
      <w:tr w:rsidR="00F06615" w:rsidRPr="006B5782" w14:paraId="256C05DA" w14:textId="77777777" w:rsidTr="008E6D09">
        <w:trPr>
          <w:trHeight w:val="113"/>
          <w:jc w:val="center"/>
        </w:trPr>
        <w:tc>
          <w:tcPr>
            <w:tcW w:w="1175" w:type="dxa"/>
            <w:tcBorders>
              <w:top w:val="single" w:sz="8" w:space="0" w:color="auto"/>
              <w:left w:val="single" w:sz="8" w:space="0" w:color="auto"/>
              <w:bottom w:val="nil"/>
              <w:right w:val="nil"/>
            </w:tcBorders>
            <w:shd w:val="clear" w:color="auto" w:fill="auto"/>
            <w:noWrap/>
            <w:vAlign w:val="center"/>
            <w:hideMark/>
          </w:tcPr>
          <w:p w14:paraId="5DA8EEA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581" w:type="dxa"/>
            <w:tcBorders>
              <w:top w:val="nil"/>
              <w:left w:val="single" w:sz="8" w:space="0" w:color="auto"/>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4D90F8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634AB9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DA7B6F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62400C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E3E5EE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9CACB5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3E8585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393071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A8390E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45B243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7894F8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9BE0B4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AC34C9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15E979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4E99DE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15B3C9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42FA55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0" w:type="dxa"/>
            <w:tcBorders>
              <w:top w:val="nil"/>
              <w:left w:val="nil"/>
              <w:bottom w:val="single" w:sz="8" w:space="0" w:color="auto"/>
              <w:right w:val="single" w:sz="8" w:space="0" w:color="auto"/>
            </w:tcBorders>
            <w:shd w:val="clear" w:color="000000" w:fill="FFFFFF"/>
            <w:tcMar>
              <w:top w:w="34" w:type="dxa"/>
              <w:left w:w="74" w:type="dxa"/>
              <w:bottom w:w="34" w:type="dxa"/>
              <w:right w:w="74" w:type="dxa"/>
            </w:tcMar>
            <w:vAlign w:val="center"/>
            <w:hideMark/>
          </w:tcPr>
          <w:p w14:paraId="02E6B2D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14:paraId="6767B51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801" w:type="dxa"/>
            <w:tcBorders>
              <w:top w:val="single" w:sz="8" w:space="0" w:color="auto"/>
              <w:left w:val="nil"/>
              <w:bottom w:val="nil"/>
              <w:right w:val="single" w:sz="8" w:space="0" w:color="auto"/>
            </w:tcBorders>
            <w:shd w:val="clear" w:color="000000" w:fill="FFFFFF"/>
            <w:vAlign w:val="center"/>
            <w:hideMark/>
          </w:tcPr>
          <w:p w14:paraId="109B006D" w14:textId="77777777" w:rsidR="00F06615" w:rsidRPr="00316277" w:rsidRDefault="00F06615" w:rsidP="008E6D09">
            <w:pPr>
              <w:jc w:val="center"/>
              <w:rPr>
                <w:rFonts w:cs="Arial"/>
                <w:b/>
                <w:bCs/>
                <w:color w:val="000000"/>
                <w:sz w:val="17"/>
                <w:szCs w:val="17"/>
                <w:lang w:eastAsia="fr-CA"/>
              </w:rPr>
            </w:pPr>
            <w:r w:rsidRPr="00316277">
              <w:rPr>
                <w:rFonts w:cs="Arial"/>
                <w:b/>
                <w:bCs/>
                <w:color w:val="000000"/>
                <w:sz w:val="17"/>
                <w:szCs w:val="17"/>
                <w:lang w:eastAsia="fr-CA"/>
              </w:rPr>
              <w:t>Taux</w:t>
            </w:r>
            <w:r w:rsidRPr="00316277">
              <w:rPr>
                <w:rFonts w:cs="Arial"/>
                <w:b/>
                <w:bCs/>
                <w:color w:val="000000"/>
                <w:sz w:val="17"/>
                <w:szCs w:val="17"/>
                <w:lang w:eastAsia="fr-CA"/>
              </w:rPr>
              <w:br/>
              <w:t>uniques</w:t>
            </w:r>
          </w:p>
        </w:tc>
      </w:tr>
      <w:tr w:rsidR="00F06615" w:rsidRPr="006B5782" w14:paraId="370BC35D" w14:textId="77777777" w:rsidTr="008E6D09">
        <w:trPr>
          <w:trHeight w:val="113"/>
          <w:jc w:val="center"/>
        </w:trPr>
        <w:tc>
          <w:tcPr>
            <w:tcW w:w="1175" w:type="dxa"/>
            <w:tcBorders>
              <w:top w:val="single" w:sz="8" w:space="0" w:color="auto"/>
              <w:left w:val="single" w:sz="8" w:space="0" w:color="auto"/>
              <w:bottom w:val="single" w:sz="4" w:space="0" w:color="auto"/>
              <w:right w:val="nil"/>
            </w:tcBorders>
            <w:shd w:val="clear" w:color="000000" w:fill="FFFFFF"/>
            <w:vAlign w:val="center"/>
            <w:hideMark/>
          </w:tcPr>
          <w:p w14:paraId="3C29552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8B3EA7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22,86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37C8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0A2F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C7129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22148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7A9D2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EB51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B402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D8F0B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9836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6A4E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3F230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2F92E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231C6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04902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1A022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D0720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FB409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48E9F13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801" w:type="dxa"/>
            <w:tcBorders>
              <w:top w:val="single" w:sz="8" w:space="0" w:color="auto"/>
              <w:left w:val="nil"/>
              <w:bottom w:val="single" w:sz="4" w:space="0" w:color="auto"/>
              <w:right w:val="single" w:sz="8" w:space="0" w:color="auto"/>
            </w:tcBorders>
            <w:shd w:val="clear" w:color="auto" w:fill="auto"/>
            <w:vAlign w:val="center"/>
          </w:tcPr>
          <w:p w14:paraId="51D6C336"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22,86</w:t>
            </w:r>
          </w:p>
        </w:tc>
      </w:tr>
      <w:tr w:rsidR="00F06615" w:rsidRPr="006B5782" w14:paraId="2F4C87B8" w14:textId="77777777" w:rsidTr="008E6D09">
        <w:trPr>
          <w:trHeight w:val="113"/>
          <w:jc w:val="center"/>
        </w:trPr>
        <w:tc>
          <w:tcPr>
            <w:tcW w:w="1175" w:type="dxa"/>
            <w:tcBorders>
              <w:top w:val="single" w:sz="4" w:space="0" w:color="auto"/>
              <w:left w:val="single" w:sz="8" w:space="0" w:color="auto"/>
              <w:bottom w:val="single" w:sz="4" w:space="0" w:color="auto"/>
              <w:right w:val="nil"/>
            </w:tcBorders>
            <w:shd w:val="clear" w:color="000000" w:fill="FFFFFF"/>
            <w:vAlign w:val="center"/>
            <w:hideMark/>
          </w:tcPr>
          <w:p w14:paraId="59528AF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EAA312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23,18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2D40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00D42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D6AF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2181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6035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E2D3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EA34D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FA30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1C51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7C8AB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E227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09D3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0BF64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F524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970F4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3246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0BED4B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single" w:sz="4" w:space="0" w:color="auto"/>
              <w:left w:val="nil"/>
              <w:bottom w:val="single" w:sz="4" w:space="0" w:color="auto"/>
              <w:right w:val="single" w:sz="8" w:space="0" w:color="auto"/>
            </w:tcBorders>
            <w:shd w:val="clear" w:color="000000" w:fill="FFFFFF"/>
            <w:vAlign w:val="center"/>
          </w:tcPr>
          <w:p w14:paraId="03F2DF1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801" w:type="dxa"/>
            <w:tcBorders>
              <w:top w:val="nil"/>
              <w:left w:val="nil"/>
              <w:bottom w:val="single" w:sz="4" w:space="0" w:color="auto"/>
              <w:right w:val="single" w:sz="8" w:space="0" w:color="auto"/>
            </w:tcBorders>
            <w:shd w:val="clear" w:color="auto" w:fill="auto"/>
            <w:vAlign w:val="center"/>
          </w:tcPr>
          <w:p w14:paraId="17659687"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23,18</w:t>
            </w:r>
          </w:p>
        </w:tc>
      </w:tr>
      <w:tr w:rsidR="00F06615" w:rsidRPr="006B5782" w14:paraId="5DD43DF1"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25FF6D0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30718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23,30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47FBC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93CD3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23,53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34F7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FB294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6C52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A214A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003A3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C541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731FB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95919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FF38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20CC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56F5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0F9F1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5719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6A31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B03FE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234EF25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801" w:type="dxa"/>
            <w:tcBorders>
              <w:top w:val="nil"/>
              <w:left w:val="nil"/>
              <w:bottom w:val="single" w:sz="4" w:space="0" w:color="auto"/>
              <w:right w:val="single" w:sz="8" w:space="0" w:color="auto"/>
            </w:tcBorders>
            <w:shd w:val="clear" w:color="auto" w:fill="auto"/>
            <w:vAlign w:val="center"/>
          </w:tcPr>
          <w:p w14:paraId="26B3E13A"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23,52</w:t>
            </w:r>
          </w:p>
        </w:tc>
      </w:tr>
      <w:tr w:rsidR="00F06615" w:rsidRPr="006B5782" w14:paraId="4A588744"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259388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3DA04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23,47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E600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23,69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A1DE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EEE14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4649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75D76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D53D2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978D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0F13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7637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2A8F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E1D0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19A2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6B2B0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5ECF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44F2A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1CE2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B399EA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0C87FAE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801" w:type="dxa"/>
            <w:tcBorders>
              <w:top w:val="nil"/>
              <w:left w:val="nil"/>
              <w:bottom w:val="single" w:sz="4" w:space="0" w:color="auto"/>
              <w:right w:val="single" w:sz="8" w:space="0" w:color="auto"/>
            </w:tcBorders>
            <w:shd w:val="clear" w:color="auto" w:fill="auto"/>
            <w:vAlign w:val="center"/>
          </w:tcPr>
          <w:p w14:paraId="57B15D63"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24,00</w:t>
            </w:r>
          </w:p>
        </w:tc>
      </w:tr>
      <w:tr w:rsidR="00F06615" w:rsidRPr="006B5782" w14:paraId="48BCF255"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414A0F8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14351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23,67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9AFEC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2C2F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1784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4912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4B067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43CC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1AC9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9E7B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F541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D928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E2A5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FEDDC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8FA36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7CFE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313C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E14C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24FF1B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1FF9C5D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801" w:type="dxa"/>
            <w:tcBorders>
              <w:top w:val="nil"/>
              <w:left w:val="nil"/>
              <w:bottom w:val="single" w:sz="4" w:space="0" w:color="auto"/>
              <w:right w:val="single" w:sz="8" w:space="0" w:color="auto"/>
            </w:tcBorders>
            <w:shd w:val="clear" w:color="auto" w:fill="auto"/>
            <w:vAlign w:val="center"/>
          </w:tcPr>
          <w:p w14:paraId="4C287FD5"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24,62</w:t>
            </w:r>
          </w:p>
        </w:tc>
      </w:tr>
      <w:tr w:rsidR="00F06615" w:rsidRPr="006B5782" w14:paraId="717C6015"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13A98C8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A8210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23,85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AFD0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CDFF3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C559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FC8A9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5CB29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3D3E6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90AC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260B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9ABD3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59F1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87F67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0810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80DC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9B00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7A3C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650D7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9C2F9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37D9721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801" w:type="dxa"/>
            <w:tcBorders>
              <w:top w:val="nil"/>
              <w:left w:val="nil"/>
              <w:bottom w:val="single" w:sz="4" w:space="0" w:color="auto"/>
              <w:right w:val="single" w:sz="8" w:space="0" w:color="auto"/>
            </w:tcBorders>
            <w:shd w:val="clear" w:color="auto" w:fill="auto"/>
            <w:vAlign w:val="center"/>
          </w:tcPr>
          <w:p w14:paraId="2BFBAF2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25,32</w:t>
            </w:r>
          </w:p>
        </w:tc>
      </w:tr>
      <w:tr w:rsidR="00F06615" w:rsidRPr="006B5782" w14:paraId="6E154A72"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4B7F06C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334EC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24,17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5CC2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A5D36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ABB4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343B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D5D4B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4F703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8FC23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1BB87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7F7A8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8C5EB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1A6B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A9185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1687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6408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B577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C6B7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1750C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1267C0E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801" w:type="dxa"/>
            <w:tcBorders>
              <w:top w:val="nil"/>
              <w:left w:val="nil"/>
              <w:bottom w:val="single" w:sz="4" w:space="0" w:color="auto"/>
              <w:right w:val="single" w:sz="8" w:space="0" w:color="auto"/>
            </w:tcBorders>
            <w:shd w:val="clear" w:color="auto" w:fill="auto"/>
            <w:vAlign w:val="center"/>
          </w:tcPr>
          <w:p w14:paraId="3160EA9D"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26,14</w:t>
            </w:r>
          </w:p>
        </w:tc>
      </w:tr>
      <w:tr w:rsidR="00F06615" w:rsidRPr="006B5782" w14:paraId="78052043"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41D5E73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613B6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24,36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4907D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BFE5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CBCA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35DDB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877E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110B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EB60A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E73A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CEB3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C393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0944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A19B6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D4A9D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83B57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D60D0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BDD5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EAE31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0B9AAC9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801" w:type="dxa"/>
            <w:tcBorders>
              <w:top w:val="nil"/>
              <w:left w:val="nil"/>
              <w:bottom w:val="single" w:sz="4" w:space="0" w:color="auto"/>
              <w:right w:val="single" w:sz="8" w:space="0" w:color="auto"/>
            </w:tcBorders>
            <w:shd w:val="clear" w:color="auto" w:fill="auto"/>
            <w:vAlign w:val="center"/>
          </w:tcPr>
          <w:p w14:paraId="47DCADD2"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26,97</w:t>
            </w:r>
          </w:p>
        </w:tc>
      </w:tr>
      <w:tr w:rsidR="00F06615" w:rsidRPr="006B5782" w14:paraId="41A2C4C0"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77B3956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F77CC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24,56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F54D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B618E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E5F3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B05FA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520E8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04968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1097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A177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66D5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152C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5730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F776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811A7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E058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A11C1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BE6F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6BEB1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2C9E38C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801" w:type="dxa"/>
            <w:tcBorders>
              <w:top w:val="nil"/>
              <w:left w:val="nil"/>
              <w:bottom w:val="single" w:sz="4" w:space="0" w:color="auto"/>
              <w:right w:val="single" w:sz="8" w:space="0" w:color="auto"/>
            </w:tcBorders>
            <w:shd w:val="clear" w:color="auto" w:fill="auto"/>
            <w:vAlign w:val="center"/>
          </w:tcPr>
          <w:p w14:paraId="4CF3D798"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27,92</w:t>
            </w:r>
          </w:p>
        </w:tc>
      </w:tr>
      <w:tr w:rsidR="00F06615" w:rsidRPr="006B5782" w14:paraId="340B0864" w14:textId="77777777" w:rsidTr="008E6D09">
        <w:trPr>
          <w:trHeight w:val="113"/>
          <w:jc w:val="center"/>
        </w:trPr>
        <w:tc>
          <w:tcPr>
            <w:tcW w:w="1175" w:type="dxa"/>
            <w:tcBorders>
              <w:top w:val="nil"/>
              <w:left w:val="single" w:sz="8" w:space="0" w:color="auto"/>
              <w:bottom w:val="single" w:sz="4" w:space="0" w:color="auto"/>
              <w:right w:val="nil"/>
            </w:tcBorders>
            <w:shd w:val="clear" w:color="auto" w:fill="auto"/>
            <w:vAlign w:val="center"/>
            <w:hideMark/>
          </w:tcPr>
          <w:p w14:paraId="1C62CE1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58A42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24,86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37F76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1B76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A7641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B887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33009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AB22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5B8E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7741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1CC77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1D69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75F52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49BD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01EC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E1BF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74E2F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34BA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1E7BD1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auto" w:fill="auto"/>
            <w:vAlign w:val="center"/>
          </w:tcPr>
          <w:p w14:paraId="624D69E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801" w:type="dxa"/>
            <w:tcBorders>
              <w:top w:val="nil"/>
              <w:left w:val="nil"/>
              <w:bottom w:val="single" w:sz="4" w:space="0" w:color="auto"/>
              <w:right w:val="single" w:sz="8" w:space="0" w:color="auto"/>
            </w:tcBorders>
            <w:shd w:val="clear" w:color="auto" w:fill="auto"/>
            <w:vAlign w:val="center"/>
          </w:tcPr>
          <w:p w14:paraId="4EE4A141"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28,95</w:t>
            </w:r>
          </w:p>
        </w:tc>
      </w:tr>
      <w:tr w:rsidR="00F06615" w:rsidRPr="006B5782" w14:paraId="3CCBF7F4" w14:textId="77777777" w:rsidTr="008E6D09">
        <w:trPr>
          <w:trHeight w:val="113"/>
          <w:jc w:val="center"/>
        </w:trPr>
        <w:tc>
          <w:tcPr>
            <w:tcW w:w="1175" w:type="dxa"/>
            <w:tcBorders>
              <w:top w:val="nil"/>
              <w:left w:val="single" w:sz="8" w:space="0" w:color="auto"/>
              <w:bottom w:val="single" w:sz="4" w:space="0" w:color="auto"/>
              <w:right w:val="nil"/>
            </w:tcBorders>
            <w:shd w:val="clear" w:color="auto" w:fill="auto"/>
            <w:vAlign w:val="center"/>
            <w:hideMark/>
          </w:tcPr>
          <w:p w14:paraId="264DACA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CE4A78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25,20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FCD1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F33A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2B00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BD6E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4CE6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2C07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2464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4319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3DAF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71B3C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0AD79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FED2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CCBD5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87DE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5CF0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760AE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D8DB1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auto" w:fill="auto"/>
            <w:vAlign w:val="center"/>
          </w:tcPr>
          <w:p w14:paraId="7FEA52B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801" w:type="dxa"/>
            <w:tcBorders>
              <w:top w:val="nil"/>
              <w:left w:val="nil"/>
              <w:bottom w:val="single" w:sz="4" w:space="0" w:color="auto"/>
              <w:right w:val="single" w:sz="8" w:space="0" w:color="auto"/>
            </w:tcBorders>
            <w:shd w:val="clear" w:color="auto" w:fill="auto"/>
            <w:vAlign w:val="center"/>
          </w:tcPr>
          <w:p w14:paraId="5B75445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30,05</w:t>
            </w:r>
          </w:p>
        </w:tc>
      </w:tr>
      <w:tr w:rsidR="00F06615" w:rsidRPr="006B5782" w14:paraId="2C07B9C9" w14:textId="77777777" w:rsidTr="008E6D09">
        <w:trPr>
          <w:trHeight w:val="113"/>
          <w:jc w:val="center"/>
        </w:trPr>
        <w:tc>
          <w:tcPr>
            <w:tcW w:w="1175" w:type="dxa"/>
            <w:tcBorders>
              <w:top w:val="nil"/>
              <w:left w:val="single" w:sz="8" w:space="0" w:color="auto"/>
              <w:bottom w:val="single" w:sz="4" w:space="0" w:color="auto"/>
              <w:right w:val="nil"/>
            </w:tcBorders>
            <w:shd w:val="clear" w:color="auto" w:fill="auto"/>
            <w:vAlign w:val="center"/>
            <w:hideMark/>
          </w:tcPr>
          <w:p w14:paraId="77F41B8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AD0628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25,59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61C6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F843F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54CAC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F4F36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2AF44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EA79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30BE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11DB9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21C03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D6E25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B68CA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3E0F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F6A2B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CDEEB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4CF7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B3080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8480B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auto" w:fill="auto"/>
            <w:vAlign w:val="center"/>
          </w:tcPr>
          <w:p w14:paraId="1EFA6D3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801" w:type="dxa"/>
            <w:tcBorders>
              <w:top w:val="nil"/>
              <w:left w:val="nil"/>
              <w:bottom w:val="single" w:sz="4" w:space="0" w:color="auto"/>
              <w:right w:val="single" w:sz="8" w:space="0" w:color="auto"/>
            </w:tcBorders>
            <w:shd w:val="clear" w:color="auto" w:fill="auto"/>
            <w:vAlign w:val="center"/>
          </w:tcPr>
          <w:p w14:paraId="083D202B"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31,12</w:t>
            </w:r>
          </w:p>
        </w:tc>
      </w:tr>
      <w:tr w:rsidR="00F06615" w:rsidRPr="006B5782" w14:paraId="23259E28"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F6F154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3904D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25,96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E74E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BA3E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F852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7940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A710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26056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AAAD6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CA39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1680F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5DA9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4E51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A1529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EA296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43E17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2E36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E603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A1417E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0FE5FB3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801" w:type="dxa"/>
            <w:tcBorders>
              <w:top w:val="nil"/>
              <w:left w:val="nil"/>
              <w:bottom w:val="single" w:sz="4" w:space="0" w:color="auto"/>
              <w:right w:val="single" w:sz="8" w:space="0" w:color="auto"/>
            </w:tcBorders>
            <w:shd w:val="clear" w:color="auto" w:fill="auto"/>
            <w:vAlign w:val="center"/>
          </w:tcPr>
          <w:p w14:paraId="04E36851"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32,37</w:t>
            </w:r>
          </w:p>
        </w:tc>
      </w:tr>
      <w:tr w:rsidR="00F06615" w:rsidRPr="006B5782" w14:paraId="31EE124E"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753116E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747B8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77AC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1470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2E618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6175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29,70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DFE5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7BBB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E819C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31AF9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2A655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7F600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93AB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2F1D5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8468E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B8E32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EEE6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2095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C0DDB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4AA0623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801" w:type="dxa"/>
            <w:tcBorders>
              <w:top w:val="nil"/>
              <w:left w:val="nil"/>
              <w:bottom w:val="single" w:sz="4" w:space="0" w:color="auto"/>
              <w:right w:val="single" w:sz="8" w:space="0" w:color="auto"/>
            </w:tcBorders>
            <w:shd w:val="clear" w:color="auto" w:fill="auto"/>
            <w:vAlign w:val="center"/>
          </w:tcPr>
          <w:p w14:paraId="05E4B485"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33,66</w:t>
            </w:r>
          </w:p>
        </w:tc>
      </w:tr>
      <w:tr w:rsidR="00F06615" w:rsidRPr="006B5782" w14:paraId="1B76ACD6"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154118D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D620B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26,54</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73426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C8352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28,40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AAEB3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0D4C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466A6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6D70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8957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DF2C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B2839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6F5C5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35AA8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DBD6B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C9AE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264A8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065D9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41FC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D7F566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4923240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801" w:type="dxa"/>
            <w:tcBorders>
              <w:top w:val="nil"/>
              <w:left w:val="nil"/>
              <w:bottom w:val="single" w:sz="4" w:space="0" w:color="auto"/>
              <w:right w:val="single" w:sz="8" w:space="0" w:color="auto"/>
            </w:tcBorders>
            <w:shd w:val="clear" w:color="auto" w:fill="auto"/>
            <w:vAlign w:val="center"/>
          </w:tcPr>
          <w:p w14:paraId="6429322C"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35,12</w:t>
            </w:r>
          </w:p>
        </w:tc>
      </w:tr>
      <w:tr w:rsidR="00F06615" w:rsidRPr="006B5782" w14:paraId="5A9048EB"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2D141F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0DC91B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27,01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CF3C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5A63B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B07F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0912E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2768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D7904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C7E29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4BB38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35,89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3366F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01BD3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C3C1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ED423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10F7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049D7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1A7C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1709E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8E36EF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3825766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801" w:type="dxa"/>
            <w:tcBorders>
              <w:top w:val="nil"/>
              <w:left w:val="nil"/>
              <w:bottom w:val="single" w:sz="4" w:space="0" w:color="auto"/>
              <w:right w:val="single" w:sz="8" w:space="0" w:color="auto"/>
            </w:tcBorders>
            <w:shd w:val="clear" w:color="auto" w:fill="auto"/>
            <w:vAlign w:val="center"/>
          </w:tcPr>
          <w:p w14:paraId="103BA0B0"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1B5C4E3D"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6C4A361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608E3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27,48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14F6D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4F613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5148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4A03D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81483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BD01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ECDEC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2B88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1616A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6FC8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7098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9D72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4CA8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F99D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0C1AA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6835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9E64E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135F473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801" w:type="dxa"/>
            <w:tcBorders>
              <w:top w:val="nil"/>
              <w:left w:val="nil"/>
              <w:bottom w:val="single" w:sz="4" w:space="0" w:color="auto"/>
              <w:right w:val="single" w:sz="8" w:space="0" w:color="auto"/>
            </w:tcBorders>
            <w:shd w:val="clear" w:color="auto" w:fill="auto"/>
            <w:vAlign w:val="center"/>
          </w:tcPr>
          <w:p w14:paraId="493BEF68"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39FDAD4B"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F322B6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2B75B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27,66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48502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3711B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AEFF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948A0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7F65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5403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0BC2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37,40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24FB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D0944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D5EF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5C08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D0F8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EC2A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3A37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7012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8478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3031E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 xml:space="preserve"> </w:t>
            </w:r>
          </w:p>
        </w:tc>
        <w:tc>
          <w:tcPr>
            <w:tcW w:w="1174" w:type="dxa"/>
            <w:tcBorders>
              <w:top w:val="nil"/>
              <w:left w:val="nil"/>
              <w:bottom w:val="single" w:sz="4" w:space="0" w:color="auto"/>
              <w:right w:val="single" w:sz="8" w:space="0" w:color="auto"/>
            </w:tcBorders>
            <w:shd w:val="clear" w:color="000000" w:fill="FFFFFF"/>
            <w:vAlign w:val="center"/>
          </w:tcPr>
          <w:p w14:paraId="09BEB13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801" w:type="dxa"/>
            <w:tcBorders>
              <w:top w:val="nil"/>
              <w:left w:val="nil"/>
              <w:bottom w:val="single" w:sz="4" w:space="0" w:color="auto"/>
              <w:right w:val="single" w:sz="8" w:space="0" w:color="auto"/>
            </w:tcBorders>
            <w:shd w:val="clear" w:color="auto" w:fill="auto"/>
            <w:vAlign w:val="center"/>
          </w:tcPr>
          <w:p w14:paraId="73A2720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50186797"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53EDF0F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A42CC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28,13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9D42D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19DE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7843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B2845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8B3C1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8E2E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9427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C6E04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96B5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B407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8638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1F42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46059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5079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52C8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D3265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44,00</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F71FD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45,10</w:t>
            </w:r>
          </w:p>
        </w:tc>
        <w:tc>
          <w:tcPr>
            <w:tcW w:w="1174" w:type="dxa"/>
            <w:tcBorders>
              <w:top w:val="nil"/>
              <w:left w:val="nil"/>
              <w:bottom w:val="single" w:sz="4" w:space="0" w:color="auto"/>
              <w:right w:val="single" w:sz="8" w:space="0" w:color="auto"/>
            </w:tcBorders>
            <w:shd w:val="clear" w:color="000000" w:fill="FFFFFF"/>
            <w:vAlign w:val="center"/>
          </w:tcPr>
          <w:p w14:paraId="130FEAF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801" w:type="dxa"/>
            <w:tcBorders>
              <w:top w:val="nil"/>
              <w:left w:val="nil"/>
              <w:bottom w:val="single" w:sz="4" w:space="0" w:color="auto"/>
              <w:right w:val="single" w:sz="8" w:space="0" w:color="auto"/>
            </w:tcBorders>
            <w:shd w:val="clear" w:color="auto" w:fill="auto"/>
            <w:vAlign w:val="center"/>
          </w:tcPr>
          <w:p w14:paraId="64B6B3B1"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53E53FD3"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534AE0F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AA597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28,57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B140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050B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9532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BFAF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BB6D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5D139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C561E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4A5A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8FE96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F9048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309F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5137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D34A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DC68B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A8D6E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49CA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46,13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2FB43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47,39</w:t>
            </w:r>
          </w:p>
        </w:tc>
        <w:tc>
          <w:tcPr>
            <w:tcW w:w="1174" w:type="dxa"/>
            <w:tcBorders>
              <w:top w:val="nil"/>
              <w:left w:val="nil"/>
              <w:bottom w:val="single" w:sz="4" w:space="0" w:color="auto"/>
              <w:right w:val="single" w:sz="8" w:space="0" w:color="auto"/>
            </w:tcBorders>
            <w:shd w:val="clear" w:color="000000" w:fill="FFFFFF"/>
            <w:vAlign w:val="center"/>
          </w:tcPr>
          <w:p w14:paraId="6C5F888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801" w:type="dxa"/>
            <w:tcBorders>
              <w:top w:val="nil"/>
              <w:left w:val="nil"/>
              <w:bottom w:val="single" w:sz="4" w:space="0" w:color="auto"/>
              <w:right w:val="single" w:sz="8" w:space="0" w:color="auto"/>
            </w:tcBorders>
            <w:shd w:val="clear" w:color="auto" w:fill="auto"/>
            <w:vAlign w:val="center"/>
          </w:tcPr>
          <w:p w14:paraId="28049C1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3A328A22"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1CCE6C3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619C59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29,05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BEA66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0352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784DD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4F78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D9BA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C4127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0535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E13F6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38,02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4ACB4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645F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A5C2A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2A77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2A339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09FD9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51C2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9D8BA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48,37</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40318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49,80</w:t>
            </w:r>
          </w:p>
        </w:tc>
        <w:tc>
          <w:tcPr>
            <w:tcW w:w="1174" w:type="dxa"/>
            <w:tcBorders>
              <w:top w:val="nil"/>
              <w:left w:val="nil"/>
              <w:bottom w:val="single" w:sz="4" w:space="0" w:color="auto"/>
              <w:right w:val="single" w:sz="8" w:space="0" w:color="auto"/>
            </w:tcBorders>
            <w:shd w:val="clear" w:color="000000" w:fill="FFFFFF"/>
            <w:vAlign w:val="center"/>
          </w:tcPr>
          <w:p w14:paraId="05E009B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801" w:type="dxa"/>
            <w:tcBorders>
              <w:top w:val="nil"/>
              <w:left w:val="nil"/>
              <w:bottom w:val="single" w:sz="4" w:space="0" w:color="auto"/>
              <w:right w:val="single" w:sz="8" w:space="0" w:color="auto"/>
            </w:tcBorders>
            <w:shd w:val="clear" w:color="auto" w:fill="auto"/>
            <w:vAlign w:val="center"/>
          </w:tcPr>
          <w:p w14:paraId="7EE1DEF0"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39A29870"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FEA186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2B666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7CBE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9A73E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5D9E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91452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15D9A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35,26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4CC83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A8F3C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9D6D1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6FDE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40,26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B6F29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8495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63182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A37F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5262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8D0B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088F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50,70</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67432A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52,28</w:t>
            </w:r>
          </w:p>
        </w:tc>
        <w:tc>
          <w:tcPr>
            <w:tcW w:w="1174" w:type="dxa"/>
            <w:tcBorders>
              <w:top w:val="nil"/>
              <w:left w:val="nil"/>
              <w:bottom w:val="single" w:sz="4" w:space="0" w:color="auto"/>
              <w:right w:val="single" w:sz="8" w:space="0" w:color="auto"/>
            </w:tcBorders>
            <w:shd w:val="clear" w:color="000000" w:fill="FFFFFF"/>
            <w:vAlign w:val="center"/>
          </w:tcPr>
          <w:p w14:paraId="12C7FE8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801" w:type="dxa"/>
            <w:tcBorders>
              <w:top w:val="nil"/>
              <w:left w:val="nil"/>
              <w:bottom w:val="single" w:sz="4" w:space="0" w:color="auto"/>
              <w:right w:val="single" w:sz="8" w:space="0" w:color="auto"/>
            </w:tcBorders>
            <w:shd w:val="clear" w:color="auto" w:fill="auto"/>
            <w:vAlign w:val="center"/>
          </w:tcPr>
          <w:p w14:paraId="1D7C0398"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649B886E"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2DBEDFB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E9895C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29,93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B756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77963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CB146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D970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BEDA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C15F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6D0B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5D2D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9E788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8278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43,19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6725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127E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7C0F8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6B5E9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17BB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91C92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53,15</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7DF4E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54,91</w:t>
            </w:r>
          </w:p>
        </w:tc>
        <w:tc>
          <w:tcPr>
            <w:tcW w:w="1174" w:type="dxa"/>
            <w:tcBorders>
              <w:top w:val="nil"/>
              <w:left w:val="nil"/>
              <w:bottom w:val="single" w:sz="4" w:space="0" w:color="auto"/>
              <w:right w:val="single" w:sz="8" w:space="0" w:color="auto"/>
            </w:tcBorders>
            <w:shd w:val="clear" w:color="000000" w:fill="FFFFFF"/>
            <w:vAlign w:val="center"/>
          </w:tcPr>
          <w:p w14:paraId="0CD0F40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801" w:type="dxa"/>
            <w:tcBorders>
              <w:top w:val="nil"/>
              <w:left w:val="nil"/>
              <w:bottom w:val="single" w:sz="4" w:space="0" w:color="auto"/>
              <w:right w:val="single" w:sz="8" w:space="0" w:color="auto"/>
            </w:tcBorders>
            <w:shd w:val="clear" w:color="auto" w:fill="auto"/>
            <w:vAlign w:val="center"/>
          </w:tcPr>
          <w:p w14:paraId="472EAC7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27614A0A"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DCDC21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99B0B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1F7F9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6EF4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99B22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54FD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8753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ACD3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291C3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2B83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6B4C6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5FB1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1886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FE3E3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A6B7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CE0D5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E2B4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27CA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55,68</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580ABB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57,62</w:t>
            </w:r>
          </w:p>
        </w:tc>
        <w:tc>
          <w:tcPr>
            <w:tcW w:w="1174" w:type="dxa"/>
            <w:tcBorders>
              <w:top w:val="nil"/>
              <w:left w:val="nil"/>
              <w:bottom w:val="single" w:sz="4" w:space="0" w:color="auto"/>
              <w:right w:val="single" w:sz="8" w:space="0" w:color="auto"/>
            </w:tcBorders>
            <w:shd w:val="clear" w:color="000000" w:fill="FFFFFF"/>
            <w:vAlign w:val="center"/>
          </w:tcPr>
          <w:p w14:paraId="4448B59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801" w:type="dxa"/>
            <w:tcBorders>
              <w:top w:val="nil"/>
              <w:left w:val="nil"/>
              <w:bottom w:val="single" w:sz="4" w:space="0" w:color="auto"/>
              <w:right w:val="single" w:sz="8" w:space="0" w:color="auto"/>
            </w:tcBorders>
            <w:shd w:val="clear" w:color="auto" w:fill="auto"/>
            <w:vAlign w:val="center"/>
          </w:tcPr>
          <w:p w14:paraId="346BD1ED"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44F30549"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5A622C6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34E9C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31,30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DB6FD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5EF4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CB89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E5FD0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C3245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5537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4F6C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07BED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315A8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44,70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6BDD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21BC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50479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D7204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FF2F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DC48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CD32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58,30</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A216FC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60,45</w:t>
            </w:r>
          </w:p>
        </w:tc>
        <w:tc>
          <w:tcPr>
            <w:tcW w:w="1174" w:type="dxa"/>
            <w:tcBorders>
              <w:top w:val="nil"/>
              <w:left w:val="nil"/>
              <w:bottom w:val="single" w:sz="4" w:space="0" w:color="auto"/>
              <w:right w:val="single" w:sz="8" w:space="0" w:color="auto"/>
            </w:tcBorders>
            <w:shd w:val="clear" w:color="000000" w:fill="FFFFFF"/>
            <w:vAlign w:val="center"/>
          </w:tcPr>
          <w:p w14:paraId="0FCA18B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801" w:type="dxa"/>
            <w:tcBorders>
              <w:top w:val="nil"/>
              <w:left w:val="nil"/>
              <w:bottom w:val="single" w:sz="4" w:space="0" w:color="auto"/>
              <w:right w:val="single" w:sz="8" w:space="0" w:color="auto"/>
            </w:tcBorders>
            <w:shd w:val="clear" w:color="auto" w:fill="auto"/>
            <w:vAlign w:val="center"/>
          </w:tcPr>
          <w:p w14:paraId="5721C0EC"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3C91C3B1"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A1E9C6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363284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32,00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0D3E9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26873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1EEF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E901F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FC565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39,53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890E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0364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3526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1F4FE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4A512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180A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45859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238E0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0DAD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D6BDE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58,80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3F5D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61,03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103D46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63,36</w:t>
            </w:r>
          </w:p>
        </w:tc>
        <w:tc>
          <w:tcPr>
            <w:tcW w:w="1174" w:type="dxa"/>
            <w:tcBorders>
              <w:top w:val="nil"/>
              <w:left w:val="nil"/>
              <w:bottom w:val="single" w:sz="4" w:space="0" w:color="auto"/>
              <w:right w:val="single" w:sz="8" w:space="0" w:color="auto"/>
            </w:tcBorders>
            <w:shd w:val="clear" w:color="000000" w:fill="FFFFFF"/>
            <w:vAlign w:val="center"/>
          </w:tcPr>
          <w:p w14:paraId="4AF80B7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801" w:type="dxa"/>
            <w:tcBorders>
              <w:top w:val="nil"/>
              <w:left w:val="nil"/>
              <w:bottom w:val="single" w:sz="4" w:space="0" w:color="auto"/>
              <w:right w:val="single" w:sz="8" w:space="0" w:color="auto"/>
            </w:tcBorders>
            <w:shd w:val="clear" w:color="auto" w:fill="auto"/>
            <w:vAlign w:val="center"/>
          </w:tcPr>
          <w:p w14:paraId="28DCE033"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093D279E" w14:textId="77777777" w:rsidTr="008E6D09">
        <w:trPr>
          <w:trHeight w:val="113"/>
          <w:jc w:val="center"/>
        </w:trPr>
        <w:tc>
          <w:tcPr>
            <w:tcW w:w="1175" w:type="dxa"/>
            <w:tcBorders>
              <w:top w:val="nil"/>
              <w:left w:val="single" w:sz="8" w:space="0" w:color="auto"/>
              <w:bottom w:val="single" w:sz="4" w:space="0" w:color="auto"/>
              <w:right w:val="nil"/>
            </w:tcBorders>
            <w:shd w:val="clear" w:color="000000" w:fill="FFFFFF"/>
            <w:vAlign w:val="center"/>
            <w:hideMark/>
          </w:tcPr>
          <w:p w14:paraId="3F0D3BD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9BE499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1A7B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34,17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F72C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62CF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B8E8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B9F47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E55D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415F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F2F3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68FB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97FA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7373F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34EA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0B8E6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5643B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57DF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16ACE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63,86</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7F501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66,37</w:t>
            </w:r>
          </w:p>
        </w:tc>
        <w:tc>
          <w:tcPr>
            <w:tcW w:w="1174" w:type="dxa"/>
            <w:tcBorders>
              <w:top w:val="nil"/>
              <w:left w:val="nil"/>
              <w:bottom w:val="single" w:sz="4" w:space="0" w:color="auto"/>
              <w:right w:val="single" w:sz="8" w:space="0" w:color="auto"/>
            </w:tcBorders>
            <w:shd w:val="clear" w:color="000000" w:fill="FFFFFF"/>
            <w:vAlign w:val="center"/>
          </w:tcPr>
          <w:p w14:paraId="7D3BDA1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801" w:type="dxa"/>
            <w:tcBorders>
              <w:top w:val="nil"/>
              <w:left w:val="nil"/>
              <w:bottom w:val="single" w:sz="4" w:space="0" w:color="auto"/>
              <w:right w:val="single" w:sz="8" w:space="0" w:color="auto"/>
            </w:tcBorders>
            <w:shd w:val="clear" w:color="auto" w:fill="auto"/>
            <w:vAlign w:val="center"/>
          </w:tcPr>
          <w:p w14:paraId="7C2A9904"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6B5782" w14:paraId="6AE3335F" w14:textId="77777777" w:rsidTr="008E6D09">
        <w:trPr>
          <w:trHeight w:val="113"/>
          <w:jc w:val="center"/>
        </w:trPr>
        <w:tc>
          <w:tcPr>
            <w:tcW w:w="1175" w:type="dxa"/>
            <w:tcBorders>
              <w:top w:val="nil"/>
              <w:left w:val="single" w:sz="8" w:space="0" w:color="auto"/>
              <w:bottom w:val="single" w:sz="8" w:space="0" w:color="auto"/>
              <w:right w:val="nil"/>
            </w:tcBorders>
            <w:shd w:val="clear" w:color="000000" w:fill="FFFFFF"/>
            <w:vAlign w:val="center"/>
            <w:hideMark/>
          </w:tcPr>
          <w:p w14:paraId="0A2580F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581" w:type="dxa"/>
            <w:tcBorders>
              <w:top w:val="nil"/>
              <w:left w:val="single" w:sz="8" w:space="0" w:color="auto"/>
              <w:bottom w:val="single" w:sz="8" w:space="0" w:color="auto"/>
              <w:right w:val="single" w:sz="4" w:space="0" w:color="auto"/>
            </w:tcBorders>
            <w:shd w:val="clear" w:color="auto" w:fill="auto"/>
            <w:tcMar>
              <w:top w:w="28" w:type="dxa"/>
              <w:left w:w="74" w:type="dxa"/>
              <w:bottom w:w="28" w:type="dxa"/>
              <w:right w:w="74" w:type="dxa"/>
            </w:tcMar>
            <w:vAlign w:val="center"/>
          </w:tcPr>
          <w:p w14:paraId="5BD034E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33,11</w:t>
            </w:r>
          </w:p>
        </w:tc>
        <w:tc>
          <w:tcPr>
            <w:tcW w:w="581"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D8B5BB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34,67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64A395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36,28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887CCB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37,95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CC4CB0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39,73</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4AE1A9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41,59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63E28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43,55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9948DB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45,56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330C6D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47,70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ED2D7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49,41</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98FA1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51,73</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63E035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54,14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414104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56,68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0C1598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59,04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4951C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61,49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784DFC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64,05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F88FF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66,72</w:t>
            </w:r>
          </w:p>
        </w:tc>
        <w:tc>
          <w:tcPr>
            <w:tcW w:w="580" w:type="dxa"/>
            <w:tcBorders>
              <w:top w:val="nil"/>
              <w:left w:val="nil"/>
              <w:bottom w:val="single" w:sz="8" w:space="0" w:color="auto"/>
              <w:right w:val="single" w:sz="8" w:space="0" w:color="auto"/>
            </w:tcBorders>
            <w:shd w:val="clear" w:color="auto" w:fill="auto"/>
            <w:tcMar>
              <w:top w:w="28" w:type="dxa"/>
              <w:left w:w="74" w:type="dxa"/>
              <w:bottom w:w="28" w:type="dxa"/>
              <w:right w:w="74" w:type="dxa"/>
            </w:tcMar>
            <w:vAlign w:val="center"/>
          </w:tcPr>
          <w:p w14:paraId="35CD0B8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69,52</w:t>
            </w:r>
          </w:p>
        </w:tc>
        <w:tc>
          <w:tcPr>
            <w:tcW w:w="1174" w:type="dxa"/>
            <w:tcBorders>
              <w:top w:val="nil"/>
              <w:left w:val="nil"/>
              <w:bottom w:val="single" w:sz="8" w:space="0" w:color="auto"/>
              <w:right w:val="single" w:sz="8" w:space="0" w:color="auto"/>
            </w:tcBorders>
            <w:shd w:val="clear" w:color="000000" w:fill="FFFFFF"/>
            <w:vAlign w:val="center"/>
          </w:tcPr>
          <w:p w14:paraId="163FAA5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801" w:type="dxa"/>
            <w:tcBorders>
              <w:top w:val="nil"/>
              <w:left w:val="nil"/>
              <w:bottom w:val="single" w:sz="8" w:space="0" w:color="auto"/>
              <w:right w:val="single" w:sz="8" w:space="0" w:color="auto"/>
            </w:tcBorders>
            <w:shd w:val="clear" w:color="auto" w:fill="auto"/>
            <w:vAlign w:val="center"/>
          </w:tcPr>
          <w:p w14:paraId="23756CF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 xml:space="preserve"> </w:t>
            </w:r>
          </w:p>
        </w:tc>
      </w:tr>
      <w:tr w:rsidR="00F06615" w:rsidRPr="00F06615" w14:paraId="34A3195E" w14:textId="77777777" w:rsidTr="008E6D09">
        <w:trPr>
          <w:trHeight w:val="113"/>
          <w:jc w:val="center"/>
        </w:trPr>
        <w:tc>
          <w:tcPr>
            <w:tcW w:w="13592" w:type="dxa"/>
            <w:gridSpan w:val="21"/>
            <w:tcBorders>
              <w:top w:val="single" w:sz="8" w:space="0" w:color="auto"/>
              <w:left w:val="nil"/>
              <w:bottom w:val="nil"/>
              <w:right w:val="nil"/>
            </w:tcBorders>
            <w:shd w:val="clear" w:color="auto" w:fill="auto"/>
            <w:hideMark/>
          </w:tcPr>
          <w:p w14:paraId="2936C151" w14:textId="2F129D99" w:rsidR="00F06615" w:rsidRPr="00F06615" w:rsidRDefault="00F06615" w:rsidP="008E6D09">
            <w:pPr>
              <w:rPr>
                <w:rFonts w:cs="Arial"/>
                <w:color w:val="000000"/>
                <w:sz w:val="18"/>
                <w:szCs w:val="18"/>
                <w:lang w:eastAsia="fr-CA"/>
              </w:rPr>
            </w:pPr>
            <w:r w:rsidRPr="00316277">
              <w:rPr>
                <w:rFonts w:cs="Arial"/>
                <w:color w:val="000000"/>
                <w:sz w:val="18"/>
                <w:szCs w:val="18"/>
                <w:lang w:eastAsia="fr-CA"/>
              </w:rPr>
              <w:t>Note : Les taux uniques sont calculés sur la base d’un gain de carrière de 33 ans</w:t>
            </w:r>
            <w:r w:rsidR="00417EC4" w:rsidRPr="00316277">
              <w:rPr>
                <w:rFonts w:cs="Arial"/>
                <w:color w:val="000000"/>
                <w:sz w:val="18"/>
                <w:szCs w:val="18"/>
                <w:lang w:eastAsia="fr-CA"/>
              </w:rPr>
              <w:t>.</w:t>
            </w:r>
            <w:r w:rsidR="00417EC4" w:rsidRPr="00316277">
              <w:rPr>
                <w:rFonts w:cs="Arial"/>
                <w:sz w:val="18"/>
                <w:szCs w:val="18"/>
              </w:rPr>
              <w:t xml:space="preserve"> Les taux de traitement tiennent compte de la majoration du paramètre général d’augmentation salariale prévue à la clause 6-4.03.</w:t>
            </w:r>
          </w:p>
        </w:tc>
      </w:tr>
    </w:tbl>
    <w:p w14:paraId="6288C66D" w14:textId="5CE9B059" w:rsidR="00AD0929" w:rsidRDefault="00AD0929" w:rsidP="007F120F">
      <w:pPr>
        <w:keepNext w:val="0"/>
        <w:ind w:left="993" w:right="2768"/>
        <w:rPr>
          <w:sz w:val="14"/>
        </w:rPr>
      </w:pPr>
      <w:r>
        <w:rPr>
          <w:sz w:val="14"/>
        </w:rPr>
        <w:br w:type="page"/>
      </w:r>
    </w:p>
    <w:p w14:paraId="54181D03" w14:textId="77777777" w:rsidR="00417EC4" w:rsidRPr="00316277" w:rsidRDefault="00417EC4" w:rsidP="00417EC4">
      <w:pPr>
        <w:jc w:val="center"/>
        <w:rPr>
          <w:b/>
          <w:bCs/>
          <w:sz w:val="22"/>
          <w:szCs w:val="18"/>
        </w:rPr>
      </w:pPr>
      <w:r w:rsidRPr="00316277">
        <w:rPr>
          <w:b/>
          <w:bCs/>
          <w:sz w:val="22"/>
          <w:szCs w:val="18"/>
        </w:rPr>
        <w:t>TABLEAU A</w:t>
      </w:r>
    </w:p>
    <w:p w14:paraId="1A9AFE76" w14:textId="4F989395" w:rsidR="00013D32" w:rsidRPr="00316277" w:rsidRDefault="00013D32" w:rsidP="00013D32">
      <w:pPr>
        <w:jc w:val="center"/>
        <w:rPr>
          <w:b/>
          <w:bCs/>
          <w:sz w:val="22"/>
          <w:szCs w:val="22"/>
          <w:u w:val="single"/>
        </w:rPr>
      </w:pPr>
      <w:r w:rsidRPr="00316277">
        <w:rPr>
          <w:b/>
          <w:bCs/>
          <w:sz w:val="22"/>
          <w:szCs w:val="22"/>
          <w:u w:val="single"/>
        </w:rPr>
        <w:t>STRUCTURE SALARIALE</w:t>
      </w:r>
      <w:r w:rsidRPr="00013D32">
        <w:rPr>
          <w:b/>
          <w:bCs/>
          <w:sz w:val="22"/>
          <w:szCs w:val="22"/>
          <w:u w:val="single"/>
        </w:rPr>
        <w:br/>
      </w:r>
      <w:r w:rsidRPr="00316277">
        <w:rPr>
          <w:b/>
          <w:bCs/>
          <w:sz w:val="22"/>
          <w:szCs w:val="22"/>
          <w:u w:val="single"/>
        </w:rPr>
        <w:t xml:space="preserve">TAUX ET </w:t>
      </w:r>
      <w:r w:rsidRPr="00316277">
        <w:rPr>
          <w:rFonts w:hint="eastAsia"/>
          <w:b/>
          <w:bCs/>
          <w:sz w:val="22"/>
          <w:szCs w:val="22"/>
          <w:u w:val="single"/>
        </w:rPr>
        <w:t>É</w:t>
      </w:r>
      <w:r w:rsidRPr="00316277">
        <w:rPr>
          <w:b/>
          <w:bCs/>
          <w:sz w:val="22"/>
          <w:szCs w:val="22"/>
          <w:u w:val="single"/>
        </w:rPr>
        <w:t>CHELLES DE TRAITEMENT AU 1</w:t>
      </w:r>
      <w:r w:rsidRPr="00316277">
        <w:rPr>
          <w:b/>
          <w:bCs/>
          <w:sz w:val="22"/>
          <w:szCs w:val="22"/>
          <w:u w:val="single"/>
          <w:vertAlign w:val="superscript"/>
        </w:rPr>
        <w:t>ER</w:t>
      </w:r>
      <w:r w:rsidRPr="00316277">
        <w:rPr>
          <w:rFonts w:hint="eastAsia"/>
          <w:b/>
          <w:bCs/>
          <w:sz w:val="22"/>
          <w:szCs w:val="22"/>
          <w:u w:val="single"/>
        </w:rPr>
        <w:t> </w:t>
      </w:r>
      <w:r w:rsidRPr="00316277">
        <w:rPr>
          <w:b/>
          <w:bCs/>
          <w:sz w:val="22"/>
          <w:szCs w:val="22"/>
          <w:u w:val="single"/>
        </w:rPr>
        <w:t>AVRIL</w:t>
      </w:r>
      <w:r w:rsidRPr="00316277">
        <w:rPr>
          <w:rFonts w:hint="eastAsia"/>
          <w:b/>
          <w:bCs/>
          <w:sz w:val="22"/>
          <w:szCs w:val="22"/>
          <w:u w:val="single"/>
        </w:rPr>
        <w:t> </w:t>
      </w:r>
      <w:r w:rsidRPr="00316277">
        <w:rPr>
          <w:b/>
          <w:bCs/>
          <w:sz w:val="22"/>
          <w:szCs w:val="22"/>
          <w:u w:val="single"/>
        </w:rPr>
        <w:t>2025</w:t>
      </w:r>
    </w:p>
    <w:p w14:paraId="529F0FBB" w14:textId="77777777" w:rsidR="00F02459" w:rsidRPr="00280FE6" w:rsidRDefault="00F02459" w:rsidP="00F02459">
      <w:pPr>
        <w:spacing w:after="19"/>
        <w:ind w:left="867" w:right="1164"/>
        <w:jc w:val="center"/>
        <w:rPr>
          <w:b/>
          <w:i/>
          <w:sz w:val="16"/>
          <w:szCs w:val="16"/>
        </w:rPr>
      </w:pPr>
      <w:r w:rsidRPr="00316277">
        <w:rPr>
          <w:b/>
          <w:i/>
          <w:color w:val="404040"/>
          <w:sz w:val="16"/>
          <w:szCs w:val="16"/>
        </w:rPr>
        <w:t>POUR LES SECTEURS DE LA SANTÉ ET DES SERVICES SOCIAUX, DES CENTRES DE SERVICES SCOLAIRES ET DES COMMISSIONS SCOLAIRES ET DES COLLÈGES</w:t>
      </w:r>
    </w:p>
    <w:tbl>
      <w:tblPr>
        <w:tblpPr w:leftFromText="141" w:rightFromText="141" w:vertAnchor="text" w:horzAnchor="margin" w:tblpXSpec="center" w:tblpY="137"/>
        <w:tblW w:w="13592" w:type="dxa"/>
        <w:tblCellMar>
          <w:top w:w="15" w:type="dxa"/>
          <w:left w:w="70" w:type="dxa"/>
          <w:right w:w="70" w:type="dxa"/>
        </w:tblCellMar>
        <w:tblLook w:val="04A0" w:firstRow="1" w:lastRow="0" w:firstColumn="1" w:lastColumn="0" w:noHBand="0" w:noVBand="1"/>
      </w:tblPr>
      <w:tblGrid>
        <w:gridCol w:w="1175"/>
        <w:gridCol w:w="581"/>
        <w:gridCol w:w="581"/>
        <w:gridCol w:w="580"/>
        <w:gridCol w:w="580"/>
        <w:gridCol w:w="580"/>
        <w:gridCol w:w="580"/>
        <w:gridCol w:w="580"/>
        <w:gridCol w:w="580"/>
        <w:gridCol w:w="580"/>
        <w:gridCol w:w="580"/>
        <w:gridCol w:w="580"/>
        <w:gridCol w:w="580"/>
        <w:gridCol w:w="580"/>
        <w:gridCol w:w="580"/>
        <w:gridCol w:w="580"/>
        <w:gridCol w:w="580"/>
        <w:gridCol w:w="580"/>
        <w:gridCol w:w="580"/>
        <w:gridCol w:w="1174"/>
        <w:gridCol w:w="801"/>
      </w:tblGrid>
      <w:tr w:rsidR="00F06615" w:rsidRPr="006B5782" w14:paraId="7E89AD65" w14:textId="77777777" w:rsidTr="00F06615">
        <w:trPr>
          <w:trHeight w:val="113"/>
        </w:trPr>
        <w:tc>
          <w:tcPr>
            <w:tcW w:w="1175" w:type="dxa"/>
            <w:tcBorders>
              <w:top w:val="nil"/>
              <w:left w:val="nil"/>
              <w:bottom w:val="single" w:sz="8" w:space="0" w:color="auto"/>
              <w:right w:val="nil"/>
            </w:tcBorders>
            <w:shd w:val="clear" w:color="auto" w:fill="auto"/>
            <w:noWrap/>
            <w:vAlign w:val="bottom"/>
            <w:hideMark/>
          </w:tcPr>
          <w:p w14:paraId="1A26591D" w14:textId="77777777" w:rsidR="00F06615" w:rsidRPr="0058660C" w:rsidRDefault="00F06615" w:rsidP="00F06615">
            <w:pPr>
              <w:jc w:val="center"/>
              <w:rPr>
                <w:rFonts w:cs="Arial"/>
                <w:sz w:val="17"/>
                <w:szCs w:val="17"/>
                <w:lang w:eastAsia="fr-CA"/>
              </w:rPr>
            </w:pPr>
          </w:p>
        </w:tc>
        <w:tc>
          <w:tcPr>
            <w:tcW w:w="10442" w:type="dxa"/>
            <w:gridSpan w:val="18"/>
            <w:tcBorders>
              <w:top w:val="single" w:sz="8" w:space="0" w:color="auto"/>
              <w:left w:val="single" w:sz="8" w:space="0" w:color="auto"/>
              <w:bottom w:val="single" w:sz="8" w:space="0" w:color="auto"/>
              <w:right w:val="single" w:sz="8" w:space="0" w:color="000000"/>
            </w:tcBorders>
            <w:shd w:val="clear" w:color="auto" w:fill="auto"/>
            <w:noWrap/>
            <w:tcMar>
              <w:top w:w="34" w:type="dxa"/>
              <w:left w:w="74" w:type="dxa"/>
              <w:bottom w:w="34" w:type="dxa"/>
              <w:right w:w="74" w:type="dxa"/>
            </w:tcMar>
            <w:vAlign w:val="center"/>
            <w:hideMark/>
          </w:tcPr>
          <w:p w14:paraId="4C357A6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Échelons</w:t>
            </w:r>
          </w:p>
        </w:tc>
        <w:tc>
          <w:tcPr>
            <w:tcW w:w="1174" w:type="dxa"/>
            <w:tcBorders>
              <w:top w:val="nil"/>
              <w:left w:val="nil"/>
              <w:bottom w:val="nil"/>
              <w:right w:val="nil"/>
            </w:tcBorders>
            <w:shd w:val="clear" w:color="auto" w:fill="auto"/>
            <w:noWrap/>
            <w:vAlign w:val="bottom"/>
            <w:hideMark/>
          </w:tcPr>
          <w:p w14:paraId="3AA5F5EC" w14:textId="77777777" w:rsidR="00F06615" w:rsidRPr="006B5782" w:rsidRDefault="00F06615" w:rsidP="00F06615">
            <w:pPr>
              <w:jc w:val="center"/>
              <w:rPr>
                <w:rFonts w:cs="Arial"/>
                <w:b/>
                <w:bCs/>
                <w:color w:val="000000"/>
                <w:sz w:val="17"/>
                <w:szCs w:val="17"/>
                <w:highlight w:val="lightGray"/>
                <w:lang w:eastAsia="fr-CA"/>
              </w:rPr>
            </w:pPr>
          </w:p>
        </w:tc>
        <w:tc>
          <w:tcPr>
            <w:tcW w:w="801" w:type="dxa"/>
            <w:tcBorders>
              <w:top w:val="nil"/>
              <w:left w:val="nil"/>
              <w:bottom w:val="nil"/>
              <w:right w:val="nil"/>
            </w:tcBorders>
            <w:shd w:val="clear" w:color="auto" w:fill="auto"/>
            <w:noWrap/>
            <w:vAlign w:val="bottom"/>
            <w:hideMark/>
          </w:tcPr>
          <w:p w14:paraId="0BD8282B" w14:textId="77777777" w:rsidR="00F06615" w:rsidRPr="00316277" w:rsidRDefault="00F06615" w:rsidP="00F06615">
            <w:pPr>
              <w:jc w:val="center"/>
              <w:rPr>
                <w:rFonts w:cs="Arial"/>
                <w:sz w:val="17"/>
                <w:szCs w:val="17"/>
                <w:lang w:eastAsia="fr-CA"/>
              </w:rPr>
            </w:pPr>
          </w:p>
        </w:tc>
      </w:tr>
      <w:tr w:rsidR="00F06615" w:rsidRPr="006B5782" w14:paraId="5C462642" w14:textId="77777777" w:rsidTr="00F06615">
        <w:trPr>
          <w:trHeight w:val="113"/>
        </w:trPr>
        <w:tc>
          <w:tcPr>
            <w:tcW w:w="1175" w:type="dxa"/>
            <w:tcBorders>
              <w:top w:val="single" w:sz="8" w:space="0" w:color="auto"/>
              <w:left w:val="single" w:sz="8" w:space="0" w:color="auto"/>
              <w:bottom w:val="nil"/>
              <w:right w:val="nil"/>
            </w:tcBorders>
            <w:shd w:val="clear" w:color="auto" w:fill="auto"/>
            <w:noWrap/>
            <w:vAlign w:val="center"/>
            <w:hideMark/>
          </w:tcPr>
          <w:p w14:paraId="02CDE93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581" w:type="dxa"/>
            <w:tcBorders>
              <w:top w:val="nil"/>
              <w:left w:val="single" w:sz="8" w:space="0" w:color="auto"/>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0799237"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2EB25A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20FF75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991B57A"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5EBEB7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6B57F3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BDE1701"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22559D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DF4EDE3"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8571AA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0A716F7"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52903C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183DC44"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AA5DBCB"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7EDD257"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9AB140B"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32CCBED"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0" w:type="dxa"/>
            <w:tcBorders>
              <w:top w:val="nil"/>
              <w:left w:val="nil"/>
              <w:bottom w:val="single" w:sz="8" w:space="0" w:color="auto"/>
              <w:right w:val="single" w:sz="8" w:space="0" w:color="auto"/>
            </w:tcBorders>
            <w:shd w:val="clear" w:color="000000" w:fill="FFFFFF"/>
            <w:tcMar>
              <w:top w:w="34" w:type="dxa"/>
              <w:left w:w="74" w:type="dxa"/>
              <w:bottom w:w="34" w:type="dxa"/>
              <w:right w:w="74" w:type="dxa"/>
            </w:tcMar>
            <w:vAlign w:val="center"/>
            <w:hideMark/>
          </w:tcPr>
          <w:p w14:paraId="48982C72"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14:paraId="10EDFA18"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801" w:type="dxa"/>
            <w:tcBorders>
              <w:top w:val="single" w:sz="8" w:space="0" w:color="auto"/>
              <w:left w:val="nil"/>
              <w:bottom w:val="nil"/>
              <w:right w:val="single" w:sz="8" w:space="0" w:color="auto"/>
            </w:tcBorders>
            <w:shd w:val="clear" w:color="000000" w:fill="FFFFFF"/>
            <w:vAlign w:val="center"/>
            <w:hideMark/>
          </w:tcPr>
          <w:p w14:paraId="14A014AE" w14:textId="77777777" w:rsidR="00F06615" w:rsidRPr="00316277" w:rsidRDefault="00F06615" w:rsidP="00F06615">
            <w:pPr>
              <w:jc w:val="center"/>
              <w:rPr>
                <w:rFonts w:cs="Arial"/>
                <w:b/>
                <w:bCs/>
                <w:color w:val="000000"/>
                <w:sz w:val="17"/>
                <w:szCs w:val="17"/>
                <w:lang w:eastAsia="fr-CA"/>
              </w:rPr>
            </w:pPr>
            <w:r w:rsidRPr="00316277">
              <w:rPr>
                <w:rFonts w:cs="Arial"/>
                <w:b/>
                <w:bCs/>
                <w:color w:val="000000"/>
                <w:sz w:val="17"/>
                <w:szCs w:val="17"/>
                <w:lang w:eastAsia="fr-CA"/>
              </w:rPr>
              <w:t>Taux</w:t>
            </w:r>
            <w:r w:rsidRPr="00316277">
              <w:rPr>
                <w:rFonts w:cs="Arial"/>
                <w:b/>
                <w:bCs/>
                <w:color w:val="000000"/>
                <w:sz w:val="17"/>
                <w:szCs w:val="17"/>
                <w:lang w:eastAsia="fr-CA"/>
              </w:rPr>
              <w:br/>
              <w:t>uniques</w:t>
            </w:r>
          </w:p>
        </w:tc>
      </w:tr>
      <w:tr w:rsidR="00F06615" w:rsidRPr="006B5782" w14:paraId="7F2A6079" w14:textId="77777777" w:rsidTr="00F06615">
        <w:trPr>
          <w:trHeight w:val="113"/>
        </w:trPr>
        <w:tc>
          <w:tcPr>
            <w:tcW w:w="1175" w:type="dxa"/>
            <w:tcBorders>
              <w:top w:val="single" w:sz="8" w:space="0" w:color="auto"/>
              <w:left w:val="single" w:sz="8" w:space="0" w:color="auto"/>
              <w:bottom w:val="single" w:sz="4" w:space="0" w:color="auto"/>
              <w:right w:val="nil"/>
            </w:tcBorders>
            <w:shd w:val="clear" w:color="000000" w:fill="FFFFFF"/>
            <w:vAlign w:val="center"/>
            <w:hideMark/>
          </w:tcPr>
          <w:p w14:paraId="0A36A40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D3F18D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23,45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A83BA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05702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AD478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9D4C4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83F18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D652B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2FFBA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D58F2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E1BD7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2D253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FA6DC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5326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0215A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04635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6477C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54898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32BDCE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4C73961"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801" w:type="dxa"/>
            <w:tcBorders>
              <w:top w:val="single" w:sz="8" w:space="0" w:color="auto"/>
              <w:left w:val="nil"/>
              <w:bottom w:val="single" w:sz="4" w:space="0" w:color="auto"/>
              <w:right w:val="single" w:sz="8" w:space="0" w:color="auto"/>
            </w:tcBorders>
            <w:shd w:val="clear" w:color="auto" w:fill="auto"/>
            <w:vAlign w:val="center"/>
          </w:tcPr>
          <w:p w14:paraId="09F10A72"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23,45</w:t>
            </w:r>
          </w:p>
        </w:tc>
      </w:tr>
      <w:tr w:rsidR="00F06615" w:rsidRPr="006B5782" w14:paraId="0B685D6F" w14:textId="77777777" w:rsidTr="00F06615">
        <w:trPr>
          <w:trHeight w:val="113"/>
        </w:trPr>
        <w:tc>
          <w:tcPr>
            <w:tcW w:w="1175" w:type="dxa"/>
            <w:tcBorders>
              <w:top w:val="single" w:sz="4" w:space="0" w:color="auto"/>
              <w:left w:val="single" w:sz="8" w:space="0" w:color="auto"/>
              <w:bottom w:val="single" w:sz="4" w:space="0" w:color="auto"/>
              <w:right w:val="nil"/>
            </w:tcBorders>
            <w:shd w:val="clear" w:color="000000" w:fill="FFFFFF"/>
            <w:vAlign w:val="center"/>
            <w:hideMark/>
          </w:tcPr>
          <w:p w14:paraId="17C3F07B"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2ED4F2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23,78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02C5B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68C87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DE565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A41A4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9116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1CA85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73441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07CD1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53E80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F984B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64A24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B2D40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7C5CD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02979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7D925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64907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F07E6A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single" w:sz="4" w:space="0" w:color="auto"/>
              <w:left w:val="nil"/>
              <w:bottom w:val="single" w:sz="4" w:space="0" w:color="auto"/>
              <w:right w:val="single" w:sz="8" w:space="0" w:color="auto"/>
            </w:tcBorders>
            <w:shd w:val="clear" w:color="000000" w:fill="FFFFFF"/>
            <w:vAlign w:val="center"/>
          </w:tcPr>
          <w:p w14:paraId="6D29379D"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801" w:type="dxa"/>
            <w:tcBorders>
              <w:top w:val="nil"/>
              <w:left w:val="nil"/>
              <w:bottom w:val="single" w:sz="4" w:space="0" w:color="auto"/>
              <w:right w:val="single" w:sz="8" w:space="0" w:color="auto"/>
            </w:tcBorders>
            <w:shd w:val="clear" w:color="auto" w:fill="auto"/>
            <w:vAlign w:val="center"/>
          </w:tcPr>
          <w:p w14:paraId="614767DC"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23,78</w:t>
            </w:r>
          </w:p>
        </w:tc>
      </w:tr>
      <w:tr w:rsidR="00F06615" w:rsidRPr="006B5782" w14:paraId="48C6063D"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DD51E2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3F1914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23,91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605BD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AF2BC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2F5C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05AAC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75989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6CB6B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A9A79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8E953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FFE8A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8E126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66012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46B3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64AF2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A12CD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41DF5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21DF0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875E1E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D67B33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801" w:type="dxa"/>
            <w:tcBorders>
              <w:top w:val="nil"/>
              <w:left w:val="nil"/>
              <w:bottom w:val="single" w:sz="4" w:space="0" w:color="auto"/>
              <w:right w:val="single" w:sz="8" w:space="0" w:color="auto"/>
            </w:tcBorders>
            <w:shd w:val="clear" w:color="auto" w:fill="auto"/>
            <w:vAlign w:val="center"/>
          </w:tcPr>
          <w:p w14:paraId="7E52C7C0"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24,13</w:t>
            </w:r>
          </w:p>
        </w:tc>
      </w:tr>
      <w:tr w:rsidR="00F06615" w:rsidRPr="006B5782" w14:paraId="35BDD6B1"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FEA24C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492DA1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24,08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C5638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87C3D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724B0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B63A7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EDD40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EBE07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10145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E9544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5204B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8D09F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C56A2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86575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D2C55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EA18D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C7AF5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9EA87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EB2EEB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317C1C5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801" w:type="dxa"/>
            <w:tcBorders>
              <w:top w:val="nil"/>
              <w:left w:val="nil"/>
              <w:bottom w:val="single" w:sz="4" w:space="0" w:color="auto"/>
              <w:right w:val="single" w:sz="8" w:space="0" w:color="auto"/>
            </w:tcBorders>
            <w:shd w:val="clear" w:color="auto" w:fill="auto"/>
            <w:vAlign w:val="center"/>
          </w:tcPr>
          <w:p w14:paraId="01585B93"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24,62</w:t>
            </w:r>
          </w:p>
        </w:tc>
      </w:tr>
      <w:tr w:rsidR="00F06615" w:rsidRPr="006B5782" w14:paraId="034B9769"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EE2184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2CAF24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24,29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BE53E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A4CBC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29B65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44A13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EA6A2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F6BDE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E0CE3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53F8E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80CFD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B188B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D70E7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524B8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28A6F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9AA75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12FC1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5CE00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40B742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16744042"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801" w:type="dxa"/>
            <w:tcBorders>
              <w:top w:val="nil"/>
              <w:left w:val="nil"/>
              <w:bottom w:val="single" w:sz="4" w:space="0" w:color="auto"/>
              <w:right w:val="single" w:sz="8" w:space="0" w:color="auto"/>
            </w:tcBorders>
            <w:shd w:val="clear" w:color="auto" w:fill="auto"/>
            <w:vAlign w:val="center"/>
          </w:tcPr>
          <w:p w14:paraId="04D1E505"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25,26</w:t>
            </w:r>
          </w:p>
        </w:tc>
      </w:tr>
      <w:tr w:rsidR="00F06615" w:rsidRPr="006B5782" w14:paraId="1EB9EA3E"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5FC392A"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829C59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24,47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8D3D2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7105C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F649C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79258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A12B1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FE1D8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BF31D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E7B34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D4E6F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AE1CB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8FDFF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90A20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A504C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B5AB3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7599F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A196A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31CE49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67AA55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801" w:type="dxa"/>
            <w:tcBorders>
              <w:top w:val="nil"/>
              <w:left w:val="nil"/>
              <w:bottom w:val="single" w:sz="4" w:space="0" w:color="auto"/>
              <w:right w:val="single" w:sz="8" w:space="0" w:color="auto"/>
            </w:tcBorders>
            <w:shd w:val="clear" w:color="auto" w:fill="auto"/>
            <w:vAlign w:val="center"/>
          </w:tcPr>
          <w:p w14:paraId="6A24BED5"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25,98</w:t>
            </w:r>
          </w:p>
        </w:tc>
      </w:tr>
      <w:tr w:rsidR="00F06615" w:rsidRPr="006B5782" w14:paraId="4DBB98D1"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D5BFF7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D64B29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24,80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23A7A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E30A2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0A6B1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26,40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BC20A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3DC72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0E72F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5C7BD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07BD5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F7DBC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B7DA2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3806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61D08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8AC18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2F787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2D42F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6E365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A26E40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010673C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801" w:type="dxa"/>
            <w:tcBorders>
              <w:top w:val="nil"/>
              <w:left w:val="nil"/>
              <w:bottom w:val="single" w:sz="4" w:space="0" w:color="auto"/>
              <w:right w:val="single" w:sz="8" w:space="0" w:color="auto"/>
            </w:tcBorders>
            <w:shd w:val="clear" w:color="auto" w:fill="auto"/>
            <w:vAlign w:val="center"/>
          </w:tcPr>
          <w:p w14:paraId="6F954D19"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26,81</w:t>
            </w:r>
          </w:p>
        </w:tc>
      </w:tr>
      <w:tr w:rsidR="00F06615" w:rsidRPr="006B5782" w14:paraId="0B3CB535"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0E25C2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6F4F51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24,99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6A64E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AE59D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B8ADF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F602E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D9C6D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ADC9B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1F963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D2B30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2B788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BB8A1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AE67C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D0370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DCCDE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D505F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53B5B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6F228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18C178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766EFC9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801" w:type="dxa"/>
            <w:tcBorders>
              <w:top w:val="nil"/>
              <w:left w:val="nil"/>
              <w:bottom w:val="single" w:sz="4" w:space="0" w:color="auto"/>
              <w:right w:val="single" w:sz="8" w:space="0" w:color="auto"/>
            </w:tcBorders>
            <w:shd w:val="clear" w:color="auto" w:fill="auto"/>
            <w:vAlign w:val="center"/>
          </w:tcPr>
          <w:p w14:paraId="1ADC29CF"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27,68</w:t>
            </w:r>
          </w:p>
        </w:tc>
      </w:tr>
      <w:tr w:rsidR="00F06615" w:rsidRPr="006B5782" w14:paraId="48EF06B2"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3005EEA"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045F46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25,20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BCD7A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A9CDC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490AC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2FAEA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4B997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4AC2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1DD76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DE59B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24E1F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FE108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CC192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EDC36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6E6F9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BC6CD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A864A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2A076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76ABEC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524BEC4"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801" w:type="dxa"/>
            <w:tcBorders>
              <w:top w:val="nil"/>
              <w:left w:val="nil"/>
              <w:bottom w:val="single" w:sz="4" w:space="0" w:color="auto"/>
              <w:right w:val="single" w:sz="8" w:space="0" w:color="auto"/>
            </w:tcBorders>
            <w:shd w:val="clear" w:color="auto" w:fill="auto"/>
            <w:vAlign w:val="center"/>
          </w:tcPr>
          <w:p w14:paraId="0DB73814"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28,65</w:t>
            </w:r>
          </w:p>
        </w:tc>
      </w:tr>
      <w:tr w:rsidR="00F06615" w:rsidRPr="006B5782" w14:paraId="51894569"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14E0B3AF"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B59EBF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25,51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BDF65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A117E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1E51F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3AEC7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8E372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E65CD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8441C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DC467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86F3C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420E6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2E5C0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8C781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E8E3F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7FAA6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B8A8C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309EA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943793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4C8EC358"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801" w:type="dxa"/>
            <w:tcBorders>
              <w:top w:val="nil"/>
              <w:left w:val="nil"/>
              <w:bottom w:val="single" w:sz="4" w:space="0" w:color="auto"/>
              <w:right w:val="single" w:sz="8" w:space="0" w:color="auto"/>
            </w:tcBorders>
            <w:shd w:val="clear" w:color="auto" w:fill="auto"/>
            <w:vAlign w:val="center"/>
          </w:tcPr>
          <w:p w14:paraId="1BE8EAED"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29,70</w:t>
            </w:r>
          </w:p>
        </w:tc>
      </w:tr>
      <w:tr w:rsidR="00F06615" w:rsidRPr="006B5782" w14:paraId="48C2D21A"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1A38B9A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D36A30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25,86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18B38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AB610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B5815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2EB00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22FD5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5CD5E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87EC9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58B601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F28EC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5D21A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E0823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F1736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E5A31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AF882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07C46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062A5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2920DD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0828BAB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801" w:type="dxa"/>
            <w:tcBorders>
              <w:top w:val="nil"/>
              <w:left w:val="nil"/>
              <w:bottom w:val="single" w:sz="4" w:space="0" w:color="auto"/>
              <w:right w:val="single" w:sz="8" w:space="0" w:color="auto"/>
            </w:tcBorders>
            <w:shd w:val="clear" w:color="auto" w:fill="auto"/>
            <w:vAlign w:val="center"/>
          </w:tcPr>
          <w:p w14:paraId="1D906D6E"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30,83</w:t>
            </w:r>
          </w:p>
        </w:tc>
      </w:tr>
      <w:tr w:rsidR="00F06615" w:rsidRPr="006B5782" w14:paraId="7E7D3E13"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750311A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1C9F8B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26,26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57101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27,02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11487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164F6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F10F8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ED176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30,40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A81D0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6EF94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5CE65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FC71A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A06D9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99A2A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01EE9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2AA50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0970F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3F2D0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B0924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9E8BB7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406D4A08"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801" w:type="dxa"/>
            <w:tcBorders>
              <w:top w:val="nil"/>
              <w:left w:val="nil"/>
              <w:bottom w:val="single" w:sz="4" w:space="0" w:color="auto"/>
              <w:right w:val="single" w:sz="8" w:space="0" w:color="auto"/>
            </w:tcBorders>
            <w:shd w:val="clear" w:color="auto" w:fill="auto"/>
            <w:vAlign w:val="center"/>
          </w:tcPr>
          <w:p w14:paraId="3BBDE169"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31,93</w:t>
            </w:r>
          </w:p>
        </w:tc>
      </w:tr>
      <w:tr w:rsidR="00F06615" w:rsidRPr="006B5782" w14:paraId="2651B06E"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25C3634D"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3C5595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26,63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0031D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84246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28,26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743D9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6C4F2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248D8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55C35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33B7E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22BD7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CC0A1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AC48E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76D79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3A4CE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A4C32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DED64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D037D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FB144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94624E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302EA2B"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801" w:type="dxa"/>
            <w:tcBorders>
              <w:top w:val="nil"/>
              <w:left w:val="nil"/>
              <w:bottom w:val="single" w:sz="4" w:space="0" w:color="auto"/>
              <w:right w:val="single" w:sz="8" w:space="0" w:color="auto"/>
            </w:tcBorders>
            <w:shd w:val="clear" w:color="auto" w:fill="auto"/>
            <w:vAlign w:val="center"/>
          </w:tcPr>
          <w:p w14:paraId="61DE4032"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33,21</w:t>
            </w:r>
          </w:p>
        </w:tc>
      </w:tr>
      <w:tr w:rsidR="00F06615" w:rsidRPr="006B5782" w14:paraId="26E8872F"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26EA45E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4877B0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27,07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871DB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27,89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8C10C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6D9D6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3D62B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00296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41D72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E7883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61CE1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2D45D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DC327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8A2E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2A4BD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AB7F8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47EF0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AAA87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0E39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9C45DE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0D54218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801" w:type="dxa"/>
            <w:tcBorders>
              <w:top w:val="nil"/>
              <w:left w:val="nil"/>
              <w:bottom w:val="single" w:sz="4" w:space="0" w:color="auto"/>
              <w:right w:val="single" w:sz="8" w:space="0" w:color="auto"/>
            </w:tcBorders>
            <w:shd w:val="clear" w:color="auto" w:fill="auto"/>
            <w:vAlign w:val="center"/>
          </w:tcPr>
          <w:p w14:paraId="6F97A02B"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34,53</w:t>
            </w:r>
          </w:p>
        </w:tc>
      </w:tr>
      <w:tr w:rsidR="00F06615" w:rsidRPr="006B5782" w14:paraId="10FAC54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196EFC3"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678F5F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27,23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7FD9D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28,17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D41AC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13A42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8D229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73E99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32,17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D4582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46F9B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E756C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F99E1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33757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2DE8D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494F3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7036F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FA4B1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20BB7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C521A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FA8871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7F544B02"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801" w:type="dxa"/>
            <w:tcBorders>
              <w:top w:val="nil"/>
              <w:left w:val="nil"/>
              <w:bottom w:val="single" w:sz="4" w:space="0" w:color="auto"/>
              <w:right w:val="single" w:sz="8" w:space="0" w:color="auto"/>
            </w:tcBorders>
            <w:shd w:val="clear" w:color="auto" w:fill="auto"/>
            <w:vAlign w:val="center"/>
          </w:tcPr>
          <w:p w14:paraId="5FCE8615"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36,03</w:t>
            </w:r>
          </w:p>
        </w:tc>
      </w:tr>
      <w:tr w:rsidR="00F06615" w:rsidRPr="006B5782" w14:paraId="40DEDDB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F6FBD23"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CB7E15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27,71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4BFF8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959CF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B3131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F0E42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6E655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33AAE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2F4A8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54A561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D5634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4F94F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124AE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CF655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6F9F1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36D8B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2500D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9EAE9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B9DD42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00E13756"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801" w:type="dxa"/>
            <w:tcBorders>
              <w:top w:val="nil"/>
              <w:left w:val="nil"/>
              <w:bottom w:val="single" w:sz="4" w:space="0" w:color="auto"/>
              <w:right w:val="single" w:sz="8" w:space="0" w:color="auto"/>
            </w:tcBorders>
            <w:shd w:val="clear" w:color="auto" w:fill="auto"/>
            <w:vAlign w:val="center"/>
          </w:tcPr>
          <w:p w14:paraId="5B149D2E"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50AEAF44"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0ED2314"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4678F6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28,19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F64EA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33E80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5A524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143F6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D1D7D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52497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DA405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E2193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EE899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20E5E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21BC4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40709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2D372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AA10F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598AE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31A79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FF71B2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35D8A1B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801" w:type="dxa"/>
            <w:tcBorders>
              <w:top w:val="nil"/>
              <w:left w:val="nil"/>
              <w:bottom w:val="single" w:sz="4" w:space="0" w:color="auto"/>
              <w:right w:val="single" w:sz="8" w:space="0" w:color="auto"/>
            </w:tcBorders>
            <w:shd w:val="clear" w:color="auto" w:fill="auto"/>
            <w:vAlign w:val="center"/>
          </w:tcPr>
          <w:p w14:paraId="52C0FCCA"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489CA252"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886B46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2C367B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28,38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6F06A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5F752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1E71B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FD992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E94A0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C8E43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E8533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CD767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478FD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673E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D92C4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85731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9C3F0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29A51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AF1EC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3C6D5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83B938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70974B53"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801" w:type="dxa"/>
            <w:tcBorders>
              <w:top w:val="nil"/>
              <w:left w:val="nil"/>
              <w:bottom w:val="single" w:sz="4" w:space="0" w:color="auto"/>
              <w:right w:val="single" w:sz="8" w:space="0" w:color="auto"/>
            </w:tcBorders>
            <w:shd w:val="clear" w:color="auto" w:fill="auto"/>
            <w:vAlign w:val="center"/>
          </w:tcPr>
          <w:p w14:paraId="7731B293"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41A89221"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C0BF370"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186ECC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28,86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354C2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B75C2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57BBF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D273C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B087F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5CCD1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340A2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7723A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9EDC0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6C2B7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CC918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F6E5E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DE488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92123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D12B9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81D30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45,14</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189ED4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46,27</w:t>
            </w:r>
          </w:p>
        </w:tc>
        <w:tc>
          <w:tcPr>
            <w:tcW w:w="1174" w:type="dxa"/>
            <w:tcBorders>
              <w:top w:val="nil"/>
              <w:left w:val="nil"/>
              <w:bottom w:val="single" w:sz="4" w:space="0" w:color="auto"/>
              <w:right w:val="single" w:sz="8" w:space="0" w:color="auto"/>
            </w:tcBorders>
            <w:shd w:val="clear" w:color="000000" w:fill="FFFFFF"/>
            <w:vAlign w:val="center"/>
          </w:tcPr>
          <w:p w14:paraId="736114B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801" w:type="dxa"/>
            <w:tcBorders>
              <w:top w:val="nil"/>
              <w:left w:val="nil"/>
              <w:bottom w:val="single" w:sz="4" w:space="0" w:color="auto"/>
              <w:right w:val="single" w:sz="8" w:space="0" w:color="auto"/>
            </w:tcBorders>
            <w:shd w:val="clear" w:color="auto" w:fill="auto"/>
            <w:vAlign w:val="center"/>
          </w:tcPr>
          <w:p w14:paraId="6E655CDE"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5500E96A"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AFAE1F6"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5BBA2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29,31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5EF69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27C99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6D768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69F13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56A2D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B1FB3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FFDA3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62D99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41D0B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EFEC8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526D0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2DB24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1C6C7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43,67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79D20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7BCE6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AA408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47,33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17A3F3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48,62</w:t>
            </w:r>
          </w:p>
        </w:tc>
        <w:tc>
          <w:tcPr>
            <w:tcW w:w="1174" w:type="dxa"/>
            <w:tcBorders>
              <w:top w:val="nil"/>
              <w:left w:val="nil"/>
              <w:bottom w:val="single" w:sz="4" w:space="0" w:color="auto"/>
              <w:right w:val="single" w:sz="8" w:space="0" w:color="auto"/>
            </w:tcBorders>
            <w:shd w:val="clear" w:color="000000" w:fill="FFFFFF"/>
            <w:vAlign w:val="center"/>
          </w:tcPr>
          <w:p w14:paraId="59D87926"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801" w:type="dxa"/>
            <w:tcBorders>
              <w:top w:val="nil"/>
              <w:left w:val="nil"/>
              <w:bottom w:val="single" w:sz="4" w:space="0" w:color="auto"/>
              <w:right w:val="single" w:sz="8" w:space="0" w:color="auto"/>
            </w:tcBorders>
            <w:shd w:val="clear" w:color="auto" w:fill="auto"/>
            <w:vAlign w:val="center"/>
          </w:tcPr>
          <w:p w14:paraId="60AC81EA"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105D0936"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F076791"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A1CFA4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29,81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BA05A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78AB2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4B6AF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5421A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9B26C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2AB15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E1969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5C00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954E9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F4E15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7531A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FDA65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E3EC1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45,50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E511F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EDE70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48,22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C4ABE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49,63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8042EF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51,09</w:t>
            </w:r>
          </w:p>
        </w:tc>
        <w:tc>
          <w:tcPr>
            <w:tcW w:w="1174" w:type="dxa"/>
            <w:tcBorders>
              <w:top w:val="nil"/>
              <w:left w:val="nil"/>
              <w:bottom w:val="single" w:sz="4" w:space="0" w:color="auto"/>
              <w:right w:val="single" w:sz="8" w:space="0" w:color="auto"/>
            </w:tcBorders>
            <w:shd w:val="clear" w:color="000000" w:fill="FFFFFF"/>
            <w:vAlign w:val="center"/>
          </w:tcPr>
          <w:p w14:paraId="63897B7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801" w:type="dxa"/>
            <w:tcBorders>
              <w:top w:val="nil"/>
              <w:left w:val="nil"/>
              <w:bottom w:val="single" w:sz="4" w:space="0" w:color="auto"/>
              <w:right w:val="single" w:sz="8" w:space="0" w:color="auto"/>
            </w:tcBorders>
            <w:shd w:val="clear" w:color="auto" w:fill="auto"/>
            <w:vAlign w:val="center"/>
          </w:tcPr>
          <w:p w14:paraId="2C533D22"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1883112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C371782"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88DCD9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30,27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14DAE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1E502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F563D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0371F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34,89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37E22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ECC33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092FC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79E0B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40,26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AFCCD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530D1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29AD7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F0184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45,99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E02D2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31882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48,90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40856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50,44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4B70D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52,02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B35354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53,64</w:t>
            </w:r>
          </w:p>
        </w:tc>
        <w:tc>
          <w:tcPr>
            <w:tcW w:w="1174" w:type="dxa"/>
            <w:tcBorders>
              <w:top w:val="nil"/>
              <w:left w:val="nil"/>
              <w:bottom w:val="single" w:sz="4" w:space="0" w:color="auto"/>
              <w:right w:val="single" w:sz="8" w:space="0" w:color="auto"/>
            </w:tcBorders>
            <w:shd w:val="clear" w:color="000000" w:fill="FFFFFF"/>
            <w:vAlign w:val="center"/>
          </w:tcPr>
          <w:p w14:paraId="03490BB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801" w:type="dxa"/>
            <w:tcBorders>
              <w:top w:val="nil"/>
              <w:left w:val="nil"/>
              <w:bottom w:val="single" w:sz="4" w:space="0" w:color="auto"/>
              <w:right w:val="single" w:sz="8" w:space="0" w:color="auto"/>
            </w:tcBorders>
            <w:shd w:val="clear" w:color="auto" w:fill="auto"/>
            <w:vAlign w:val="center"/>
          </w:tcPr>
          <w:p w14:paraId="2452D35B"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2214DBC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736778F"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F959A1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30,71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4548F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0DC34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09BC4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8809A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E7A8D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45BB3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2B145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B89A7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0A6B9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CD9D8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21F81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36C02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775EE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81AF7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3574B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52,75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CBA6D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54,53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0CD34F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56,34</w:t>
            </w:r>
          </w:p>
        </w:tc>
        <w:tc>
          <w:tcPr>
            <w:tcW w:w="1174" w:type="dxa"/>
            <w:tcBorders>
              <w:top w:val="nil"/>
              <w:left w:val="nil"/>
              <w:bottom w:val="single" w:sz="4" w:space="0" w:color="auto"/>
              <w:right w:val="single" w:sz="8" w:space="0" w:color="auto"/>
            </w:tcBorders>
            <w:shd w:val="clear" w:color="000000" w:fill="FFFFFF"/>
            <w:vAlign w:val="center"/>
          </w:tcPr>
          <w:p w14:paraId="6B75C8E9"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801" w:type="dxa"/>
            <w:tcBorders>
              <w:top w:val="nil"/>
              <w:left w:val="nil"/>
              <w:bottom w:val="single" w:sz="4" w:space="0" w:color="auto"/>
              <w:right w:val="single" w:sz="8" w:space="0" w:color="auto"/>
            </w:tcBorders>
            <w:shd w:val="clear" w:color="auto" w:fill="auto"/>
            <w:vAlign w:val="center"/>
          </w:tcPr>
          <w:p w14:paraId="20A9830A"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2ADB7D2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540C753"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12B870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31,67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E8FE0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651EA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554ED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BEA96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76CF8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505585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1A248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F8D1C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43,16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94544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71D5E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46,17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26C12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48,01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CBBEC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63473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B0D2A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8EA5F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55,24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82B9C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57,13</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31D92C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59,12</w:t>
            </w:r>
          </w:p>
        </w:tc>
        <w:tc>
          <w:tcPr>
            <w:tcW w:w="1174" w:type="dxa"/>
            <w:tcBorders>
              <w:top w:val="nil"/>
              <w:left w:val="nil"/>
              <w:bottom w:val="single" w:sz="4" w:space="0" w:color="auto"/>
              <w:right w:val="single" w:sz="8" w:space="0" w:color="auto"/>
            </w:tcBorders>
            <w:shd w:val="clear" w:color="000000" w:fill="FFFFFF"/>
            <w:vAlign w:val="center"/>
          </w:tcPr>
          <w:p w14:paraId="6093EE4C"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801" w:type="dxa"/>
            <w:tcBorders>
              <w:top w:val="nil"/>
              <w:left w:val="nil"/>
              <w:bottom w:val="single" w:sz="4" w:space="0" w:color="auto"/>
              <w:right w:val="single" w:sz="8" w:space="0" w:color="auto"/>
            </w:tcBorders>
            <w:shd w:val="clear" w:color="auto" w:fill="auto"/>
            <w:vAlign w:val="center"/>
          </w:tcPr>
          <w:p w14:paraId="2629C0F0"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0CAACFC8"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15DCD7D"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6A0F95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32,11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8A830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D095A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091A4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41F8F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FA3B5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C4016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76A31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5C491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6C714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45,86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42E26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F3431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615E0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615E3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67D02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55,68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A8304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57,71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5190D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59,82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12DD7D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62,02</w:t>
            </w:r>
          </w:p>
        </w:tc>
        <w:tc>
          <w:tcPr>
            <w:tcW w:w="1174" w:type="dxa"/>
            <w:tcBorders>
              <w:top w:val="nil"/>
              <w:left w:val="nil"/>
              <w:bottom w:val="single" w:sz="4" w:space="0" w:color="auto"/>
              <w:right w:val="single" w:sz="8" w:space="0" w:color="auto"/>
            </w:tcBorders>
            <w:shd w:val="clear" w:color="000000" w:fill="FFFFFF"/>
            <w:vAlign w:val="center"/>
          </w:tcPr>
          <w:p w14:paraId="76BEA0E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801" w:type="dxa"/>
            <w:tcBorders>
              <w:top w:val="nil"/>
              <w:left w:val="nil"/>
              <w:bottom w:val="single" w:sz="4" w:space="0" w:color="auto"/>
              <w:right w:val="single" w:sz="8" w:space="0" w:color="auto"/>
            </w:tcBorders>
            <w:shd w:val="clear" w:color="auto" w:fill="auto"/>
            <w:vAlign w:val="center"/>
          </w:tcPr>
          <w:p w14:paraId="0A30C965"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1F4DD6B4"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FF1E5F4"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E0F814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32,83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DE7C9F"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34,25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5FA9B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FEB60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9A47F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C7C0B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E38511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8AE24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1877D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B97095"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20CDF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89207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51,69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AE67F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D8460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55,97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04455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58,10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E5655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60,33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6E683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62,62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29FFD9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65,01</w:t>
            </w:r>
          </w:p>
        </w:tc>
        <w:tc>
          <w:tcPr>
            <w:tcW w:w="1174" w:type="dxa"/>
            <w:tcBorders>
              <w:top w:val="nil"/>
              <w:left w:val="nil"/>
              <w:bottom w:val="single" w:sz="4" w:space="0" w:color="auto"/>
              <w:right w:val="single" w:sz="8" w:space="0" w:color="auto"/>
            </w:tcBorders>
            <w:shd w:val="clear" w:color="000000" w:fill="FFFFFF"/>
            <w:vAlign w:val="center"/>
          </w:tcPr>
          <w:p w14:paraId="6ED1336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801" w:type="dxa"/>
            <w:tcBorders>
              <w:top w:val="nil"/>
              <w:left w:val="nil"/>
              <w:bottom w:val="single" w:sz="4" w:space="0" w:color="auto"/>
              <w:right w:val="single" w:sz="8" w:space="0" w:color="auto"/>
            </w:tcBorders>
            <w:shd w:val="clear" w:color="auto" w:fill="auto"/>
            <w:vAlign w:val="center"/>
          </w:tcPr>
          <w:p w14:paraId="6AAD8ED8"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1DF848D7"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8326FE4"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1FB2FA9"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33,55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6011D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99BF8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36,58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553DB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2E4F2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39,93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9E8C5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41,73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79C57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43,62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99F98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45,54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062F9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47,56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5CB0C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49,20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F5FAD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51,38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A3CC7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E7AEFA"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56,07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3053B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58,30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082B0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60,61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66DDE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63,01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5C535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65,52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2F5273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68,10</w:t>
            </w:r>
          </w:p>
        </w:tc>
        <w:tc>
          <w:tcPr>
            <w:tcW w:w="1174" w:type="dxa"/>
            <w:tcBorders>
              <w:top w:val="nil"/>
              <w:left w:val="nil"/>
              <w:bottom w:val="single" w:sz="4" w:space="0" w:color="auto"/>
              <w:right w:val="single" w:sz="8" w:space="0" w:color="auto"/>
            </w:tcBorders>
            <w:shd w:val="clear" w:color="000000" w:fill="FFFFFF"/>
            <w:vAlign w:val="center"/>
          </w:tcPr>
          <w:p w14:paraId="31ED3155"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801" w:type="dxa"/>
            <w:tcBorders>
              <w:top w:val="nil"/>
              <w:left w:val="nil"/>
              <w:bottom w:val="single" w:sz="4" w:space="0" w:color="auto"/>
              <w:right w:val="single" w:sz="8" w:space="0" w:color="auto"/>
            </w:tcBorders>
            <w:shd w:val="clear" w:color="auto" w:fill="auto"/>
            <w:vAlign w:val="center"/>
          </w:tcPr>
          <w:p w14:paraId="738A5BFF"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6B5782" w14:paraId="39C9ACA1" w14:textId="77777777" w:rsidTr="00F06615">
        <w:trPr>
          <w:trHeight w:val="113"/>
        </w:trPr>
        <w:tc>
          <w:tcPr>
            <w:tcW w:w="1175" w:type="dxa"/>
            <w:tcBorders>
              <w:top w:val="nil"/>
              <w:left w:val="single" w:sz="8" w:space="0" w:color="auto"/>
              <w:bottom w:val="single" w:sz="8" w:space="0" w:color="auto"/>
              <w:right w:val="nil"/>
            </w:tcBorders>
            <w:shd w:val="clear" w:color="000000" w:fill="FFFFFF"/>
            <w:vAlign w:val="center"/>
            <w:hideMark/>
          </w:tcPr>
          <w:p w14:paraId="590F15AE"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581" w:type="dxa"/>
            <w:tcBorders>
              <w:top w:val="nil"/>
              <w:left w:val="single" w:sz="8" w:space="0" w:color="auto"/>
              <w:bottom w:val="single" w:sz="8" w:space="0" w:color="auto"/>
              <w:right w:val="single" w:sz="4" w:space="0" w:color="auto"/>
            </w:tcBorders>
            <w:shd w:val="clear" w:color="auto" w:fill="auto"/>
            <w:tcMar>
              <w:top w:w="28" w:type="dxa"/>
              <w:left w:w="74" w:type="dxa"/>
              <w:bottom w:w="28" w:type="dxa"/>
              <w:right w:w="74" w:type="dxa"/>
            </w:tcMar>
            <w:vAlign w:val="center"/>
          </w:tcPr>
          <w:p w14:paraId="32BF892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33,97</w:t>
            </w:r>
          </w:p>
        </w:tc>
        <w:tc>
          <w:tcPr>
            <w:tcW w:w="581"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8FE82C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35,57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6ECCB30"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37,22</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53BCCA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38,94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227D353"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40,76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CE3061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42,67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C6EAD8D"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44,68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D04CF6B"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46,74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C960381"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48,94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211383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50,69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39A67358"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53,07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1A3B6E2"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55,55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0ABD39E"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58,15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AE2343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60,58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2FAA17C"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63,09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411FB06"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65,72</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0D7DB17"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68,45</w:t>
            </w:r>
          </w:p>
        </w:tc>
        <w:tc>
          <w:tcPr>
            <w:tcW w:w="580" w:type="dxa"/>
            <w:tcBorders>
              <w:top w:val="nil"/>
              <w:left w:val="nil"/>
              <w:bottom w:val="single" w:sz="8" w:space="0" w:color="auto"/>
              <w:right w:val="single" w:sz="8" w:space="0" w:color="auto"/>
            </w:tcBorders>
            <w:shd w:val="clear" w:color="auto" w:fill="auto"/>
            <w:tcMar>
              <w:top w:w="28" w:type="dxa"/>
              <w:left w:w="74" w:type="dxa"/>
              <w:bottom w:w="28" w:type="dxa"/>
              <w:right w:w="74" w:type="dxa"/>
            </w:tcMar>
            <w:vAlign w:val="center"/>
          </w:tcPr>
          <w:p w14:paraId="43FCC6E4" w14:textId="77777777" w:rsidR="00F06615" w:rsidRPr="006B5782" w:rsidRDefault="00F06615" w:rsidP="00F06615">
            <w:pPr>
              <w:jc w:val="center"/>
              <w:rPr>
                <w:rFonts w:cs="Arial"/>
                <w:color w:val="000000"/>
                <w:sz w:val="17"/>
                <w:szCs w:val="17"/>
                <w:highlight w:val="lightGray"/>
                <w:lang w:eastAsia="fr-CA"/>
              </w:rPr>
            </w:pPr>
            <w:r w:rsidRPr="00316277">
              <w:rPr>
                <w:rFonts w:cs="Arial"/>
                <w:color w:val="000000"/>
                <w:sz w:val="17"/>
                <w:szCs w:val="17"/>
                <w:lang w:eastAsia="fr-CA"/>
              </w:rPr>
              <w:t>71,33</w:t>
            </w:r>
          </w:p>
        </w:tc>
        <w:tc>
          <w:tcPr>
            <w:tcW w:w="1174" w:type="dxa"/>
            <w:tcBorders>
              <w:top w:val="nil"/>
              <w:left w:val="nil"/>
              <w:bottom w:val="single" w:sz="8" w:space="0" w:color="auto"/>
              <w:right w:val="single" w:sz="8" w:space="0" w:color="auto"/>
            </w:tcBorders>
            <w:shd w:val="clear" w:color="000000" w:fill="FFFFFF"/>
            <w:vAlign w:val="center"/>
          </w:tcPr>
          <w:p w14:paraId="5366E1E2" w14:textId="77777777" w:rsidR="00F06615" w:rsidRPr="006B5782" w:rsidRDefault="00F06615" w:rsidP="00F06615">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801" w:type="dxa"/>
            <w:tcBorders>
              <w:top w:val="nil"/>
              <w:left w:val="nil"/>
              <w:bottom w:val="single" w:sz="8" w:space="0" w:color="auto"/>
              <w:right w:val="single" w:sz="8" w:space="0" w:color="auto"/>
            </w:tcBorders>
            <w:shd w:val="clear" w:color="auto" w:fill="auto"/>
            <w:vAlign w:val="center"/>
          </w:tcPr>
          <w:p w14:paraId="2CF478C3" w14:textId="77777777" w:rsidR="00F06615" w:rsidRPr="00316277" w:rsidRDefault="00F06615" w:rsidP="00F06615">
            <w:pPr>
              <w:jc w:val="center"/>
              <w:rPr>
                <w:rFonts w:cs="Arial"/>
                <w:color w:val="000000"/>
                <w:sz w:val="17"/>
                <w:szCs w:val="17"/>
                <w:lang w:eastAsia="fr-CA"/>
              </w:rPr>
            </w:pPr>
            <w:r w:rsidRPr="00316277">
              <w:rPr>
                <w:rFonts w:cs="Arial"/>
                <w:color w:val="000000"/>
                <w:sz w:val="17"/>
                <w:szCs w:val="17"/>
                <w:lang w:eastAsia="fr-CA"/>
              </w:rPr>
              <w:t> </w:t>
            </w:r>
          </w:p>
        </w:tc>
      </w:tr>
      <w:tr w:rsidR="00F06615" w:rsidRPr="00DF0D1D" w14:paraId="0926C6A7" w14:textId="77777777" w:rsidTr="00F06615">
        <w:trPr>
          <w:trHeight w:val="113"/>
        </w:trPr>
        <w:tc>
          <w:tcPr>
            <w:tcW w:w="13592" w:type="dxa"/>
            <w:gridSpan w:val="21"/>
            <w:tcBorders>
              <w:top w:val="single" w:sz="8" w:space="0" w:color="auto"/>
              <w:left w:val="nil"/>
              <w:bottom w:val="nil"/>
              <w:right w:val="nil"/>
            </w:tcBorders>
            <w:shd w:val="clear" w:color="auto" w:fill="auto"/>
            <w:hideMark/>
          </w:tcPr>
          <w:p w14:paraId="08F06386" w14:textId="167CE8AD" w:rsidR="00F06615" w:rsidRPr="005C0423" w:rsidRDefault="00F06615" w:rsidP="00F06615">
            <w:pPr>
              <w:rPr>
                <w:rFonts w:cs="Arial"/>
                <w:color w:val="000000"/>
                <w:sz w:val="18"/>
                <w:szCs w:val="18"/>
                <w:lang w:eastAsia="fr-CA"/>
              </w:rPr>
            </w:pPr>
            <w:r w:rsidRPr="00316277">
              <w:rPr>
                <w:rFonts w:cs="Arial"/>
                <w:color w:val="000000"/>
                <w:sz w:val="18"/>
                <w:szCs w:val="18"/>
                <w:lang w:eastAsia="fr-CA"/>
              </w:rPr>
              <w:t>Note : Les taux uniques sont calculés sur la base d’un gain de carrière de 33 ans.</w:t>
            </w:r>
            <w:r w:rsidR="00417EC4" w:rsidRPr="00316277">
              <w:rPr>
                <w:rFonts w:cs="Arial"/>
                <w:color w:val="000000"/>
                <w:sz w:val="18"/>
                <w:szCs w:val="18"/>
                <w:lang w:eastAsia="fr-CA"/>
              </w:rPr>
              <w:t xml:space="preserve"> </w:t>
            </w:r>
            <w:r w:rsidR="00417EC4" w:rsidRPr="00316277">
              <w:rPr>
                <w:rFonts w:cs="Arial"/>
                <w:sz w:val="18"/>
                <w:szCs w:val="18"/>
              </w:rPr>
              <w:t>Les taux de traitement tiennent compte de la majoration du paramètre général d’augmentation salariale prévue à la clause 6-4.04.</w:t>
            </w:r>
          </w:p>
        </w:tc>
      </w:tr>
    </w:tbl>
    <w:p w14:paraId="3C1DE990" w14:textId="77777777" w:rsidR="00417EC4" w:rsidRPr="00316277" w:rsidRDefault="00417EC4" w:rsidP="00417EC4">
      <w:pPr>
        <w:jc w:val="center"/>
        <w:rPr>
          <w:b/>
          <w:bCs/>
          <w:sz w:val="22"/>
          <w:szCs w:val="18"/>
        </w:rPr>
      </w:pPr>
      <w:r w:rsidRPr="00316277">
        <w:rPr>
          <w:b/>
          <w:bCs/>
          <w:sz w:val="22"/>
          <w:szCs w:val="18"/>
        </w:rPr>
        <w:t>TABLEAU A</w:t>
      </w:r>
    </w:p>
    <w:p w14:paraId="00783A14" w14:textId="2D01AD5E" w:rsidR="00013D32" w:rsidRPr="00316277" w:rsidRDefault="00013D32" w:rsidP="00013D32">
      <w:pPr>
        <w:jc w:val="center"/>
        <w:rPr>
          <w:b/>
          <w:bCs/>
          <w:sz w:val="22"/>
          <w:szCs w:val="22"/>
          <w:u w:val="single"/>
        </w:rPr>
      </w:pPr>
      <w:r w:rsidRPr="00316277">
        <w:rPr>
          <w:b/>
          <w:bCs/>
          <w:sz w:val="22"/>
          <w:szCs w:val="22"/>
          <w:u w:val="single"/>
        </w:rPr>
        <w:t>STRUCTURE SALARIALE</w:t>
      </w:r>
      <w:r w:rsidRPr="00013D32">
        <w:rPr>
          <w:b/>
          <w:bCs/>
          <w:sz w:val="22"/>
          <w:szCs w:val="22"/>
          <w:u w:val="single"/>
        </w:rPr>
        <w:br/>
      </w:r>
      <w:r w:rsidRPr="00316277">
        <w:rPr>
          <w:b/>
          <w:bCs/>
          <w:sz w:val="22"/>
          <w:szCs w:val="22"/>
          <w:u w:val="single"/>
        </w:rPr>
        <w:t xml:space="preserve">TAUX ET </w:t>
      </w:r>
      <w:r w:rsidRPr="00316277">
        <w:rPr>
          <w:rFonts w:hint="eastAsia"/>
          <w:b/>
          <w:bCs/>
          <w:sz w:val="22"/>
          <w:szCs w:val="22"/>
          <w:u w:val="single"/>
        </w:rPr>
        <w:t>É</w:t>
      </w:r>
      <w:r w:rsidRPr="00316277">
        <w:rPr>
          <w:b/>
          <w:bCs/>
          <w:sz w:val="22"/>
          <w:szCs w:val="22"/>
          <w:u w:val="single"/>
        </w:rPr>
        <w:t>CHELLES DE TRAITEMENT AU 1</w:t>
      </w:r>
      <w:r w:rsidRPr="00316277">
        <w:rPr>
          <w:b/>
          <w:bCs/>
          <w:sz w:val="22"/>
          <w:szCs w:val="22"/>
          <w:u w:val="single"/>
          <w:vertAlign w:val="superscript"/>
        </w:rPr>
        <w:t>ER</w:t>
      </w:r>
      <w:r w:rsidRPr="00316277">
        <w:rPr>
          <w:rFonts w:hint="eastAsia"/>
          <w:b/>
          <w:bCs/>
          <w:sz w:val="22"/>
          <w:szCs w:val="22"/>
          <w:u w:val="single"/>
        </w:rPr>
        <w:t> </w:t>
      </w:r>
      <w:r w:rsidRPr="00316277">
        <w:rPr>
          <w:b/>
          <w:bCs/>
          <w:sz w:val="22"/>
          <w:szCs w:val="22"/>
          <w:u w:val="single"/>
        </w:rPr>
        <w:t>AVRIL</w:t>
      </w:r>
      <w:r w:rsidRPr="00316277">
        <w:rPr>
          <w:rFonts w:hint="eastAsia"/>
          <w:b/>
          <w:bCs/>
          <w:sz w:val="22"/>
          <w:szCs w:val="22"/>
          <w:u w:val="single"/>
        </w:rPr>
        <w:t> </w:t>
      </w:r>
      <w:r w:rsidRPr="00316277">
        <w:rPr>
          <w:b/>
          <w:bCs/>
          <w:sz w:val="22"/>
          <w:szCs w:val="22"/>
          <w:u w:val="single"/>
        </w:rPr>
        <w:t>2026</w:t>
      </w:r>
    </w:p>
    <w:p w14:paraId="17FA896A" w14:textId="1300124B" w:rsidR="00F02459" w:rsidRDefault="00F02459" w:rsidP="00F02459">
      <w:pPr>
        <w:spacing w:after="19"/>
        <w:ind w:left="867" w:right="1164"/>
        <w:jc w:val="center"/>
        <w:rPr>
          <w:b/>
          <w:i/>
          <w:color w:val="404040"/>
          <w:sz w:val="16"/>
          <w:szCs w:val="16"/>
        </w:rPr>
      </w:pPr>
      <w:r w:rsidRPr="00316277">
        <w:rPr>
          <w:b/>
          <w:i/>
          <w:color w:val="404040"/>
          <w:sz w:val="16"/>
          <w:szCs w:val="16"/>
        </w:rPr>
        <w:t>POUR LES SECTEURS DE LA SANTÉ ET DES SERVICES SOCIAUX, DES CENTRES DE SERVICES SCOLAIRES ET DES COMMISSIONS SCOLAIRES ET DES COLLÈGES</w:t>
      </w:r>
    </w:p>
    <w:tbl>
      <w:tblPr>
        <w:tblpPr w:leftFromText="141" w:rightFromText="141" w:vertAnchor="text" w:horzAnchor="margin" w:tblpXSpec="center" w:tblpY="121"/>
        <w:tblW w:w="13592" w:type="dxa"/>
        <w:tblCellMar>
          <w:top w:w="15" w:type="dxa"/>
          <w:left w:w="70" w:type="dxa"/>
          <w:right w:w="70" w:type="dxa"/>
        </w:tblCellMar>
        <w:tblLook w:val="04A0" w:firstRow="1" w:lastRow="0" w:firstColumn="1" w:lastColumn="0" w:noHBand="0" w:noVBand="1"/>
      </w:tblPr>
      <w:tblGrid>
        <w:gridCol w:w="1175"/>
        <w:gridCol w:w="581"/>
        <w:gridCol w:w="581"/>
        <w:gridCol w:w="580"/>
        <w:gridCol w:w="580"/>
        <w:gridCol w:w="580"/>
        <w:gridCol w:w="580"/>
        <w:gridCol w:w="580"/>
        <w:gridCol w:w="580"/>
        <w:gridCol w:w="580"/>
        <w:gridCol w:w="580"/>
        <w:gridCol w:w="580"/>
        <w:gridCol w:w="580"/>
        <w:gridCol w:w="580"/>
        <w:gridCol w:w="580"/>
        <w:gridCol w:w="580"/>
        <w:gridCol w:w="580"/>
        <w:gridCol w:w="580"/>
        <w:gridCol w:w="580"/>
        <w:gridCol w:w="1174"/>
        <w:gridCol w:w="801"/>
      </w:tblGrid>
      <w:tr w:rsidR="00417EC4" w:rsidRPr="006B5782" w14:paraId="2E260657" w14:textId="77777777" w:rsidTr="00417EC4">
        <w:trPr>
          <w:trHeight w:val="113"/>
        </w:trPr>
        <w:tc>
          <w:tcPr>
            <w:tcW w:w="1175" w:type="dxa"/>
            <w:tcBorders>
              <w:top w:val="nil"/>
              <w:left w:val="nil"/>
              <w:bottom w:val="single" w:sz="8" w:space="0" w:color="auto"/>
              <w:right w:val="nil"/>
            </w:tcBorders>
            <w:shd w:val="clear" w:color="auto" w:fill="auto"/>
            <w:noWrap/>
            <w:vAlign w:val="bottom"/>
            <w:hideMark/>
          </w:tcPr>
          <w:p w14:paraId="5833014E" w14:textId="77777777" w:rsidR="00417EC4" w:rsidRPr="0058660C" w:rsidRDefault="00417EC4" w:rsidP="00417EC4">
            <w:pPr>
              <w:jc w:val="center"/>
              <w:rPr>
                <w:rFonts w:cs="Arial"/>
                <w:sz w:val="17"/>
                <w:szCs w:val="17"/>
                <w:lang w:eastAsia="fr-CA"/>
              </w:rPr>
            </w:pPr>
          </w:p>
        </w:tc>
        <w:tc>
          <w:tcPr>
            <w:tcW w:w="10442" w:type="dxa"/>
            <w:gridSpan w:val="18"/>
            <w:tcBorders>
              <w:top w:val="single" w:sz="8" w:space="0" w:color="auto"/>
              <w:left w:val="single" w:sz="8" w:space="0" w:color="auto"/>
              <w:bottom w:val="single" w:sz="8" w:space="0" w:color="auto"/>
              <w:right w:val="single" w:sz="8" w:space="0" w:color="000000"/>
            </w:tcBorders>
            <w:shd w:val="clear" w:color="auto" w:fill="auto"/>
            <w:noWrap/>
            <w:tcMar>
              <w:top w:w="34" w:type="dxa"/>
              <w:left w:w="74" w:type="dxa"/>
              <w:bottom w:w="34" w:type="dxa"/>
              <w:right w:w="74" w:type="dxa"/>
            </w:tcMar>
            <w:vAlign w:val="center"/>
            <w:hideMark/>
          </w:tcPr>
          <w:p w14:paraId="37C5FE6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Échelons</w:t>
            </w:r>
          </w:p>
        </w:tc>
        <w:tc>
          <w:tcPr>
            <w:tcW w:w="1174" w:type="dxa"/>
            <w:tcBorders>
              <w:top w:val="nil"/>
              <w:left w:val="nil"/>
              <w:bottom w:val="nil"/>
              <w:right w:val="nil"/>
            </w:tcBorders>
            <w:shd w:val="clear" w:color="auto" w:fill="auto"/>
            <w:noWrap/>
            <w:vAlign w:val="bottom"/>
            <w:hideMark/>
          </w:tcPr>
          <w:p w14:paraId="41BD92EE" w14:textId="77777777" w:rsidR="00417EC4" w:rsidRPr="006B5782" w:rsidRDefault="00417EC4" w:rsidP="00417EC4">
            <w:pPr>
              <w:jc w:val="center"/>
              <w:rPr>
                <w:rFonts w:cs="Arial"/>
                <w:b/>
                <w:bCs/>
                <w:color w:val="000000"/>
                <w:sz w:val="17"/>
                <w:szCs w:val="17"/>
                <w:highlight w:val="lightGray"/>
                <w:lang w:eastAsia="fr-CA"/>
              </w:rPr>
            </w:pPr>
          </w:p>
        </w:tc>
        <w:tc>
          <w:tcPr>
            <w:tcW w:w="801" w:type="dxa"/>
            <w:tcBorders>
              <w:top w:val="nil"/>
              <w:left w:val="nil"/>
              <w:bottom w:val="nil"/>
              <w:right w:val="nil"/>
            </w:tcBorders>
            <w:shd w:val="clear" w:color="auto" w:fill="auto"/>
            <w:noWrap/>
            <w:vAlign w:val="bottom"/>
            <w:hideMark/>
          </w:tcPr>
          <w:p w14:paraId="20BA8250" w14:textId="77777777" w:rsidR="00417EC4" w:rsidRPr="00316277" w:rsidRDefault="00417EC4" w:rsidP="00417EC4">
            <w:pPr>
              <w:jc w:val="center"/>
              <w:rPr>
                <w:rFonts w:cs="Arial"/>
                <w:sz w:val="17"/>
                <w:szCs w:val="17"/>
                <w:lang w:eastAsia="fr-CA"/>
              </w:rPr>
            </w:pPr>
          </w:p>
        </w:tc>
      </w:tr>
      <w:tr w:rsidR="00417EC4" w:rsidRPr="006B5782" w14:paraId="7E628146" w14:textId="77777777" w:rsidTr="00417EC4">
        <w:trPr>
          <w:trHeight w:val="113"/>
        </w:trPr>
        <w:tc>
          <w:tcPr>
            <w:tcW w:w="1175" w:type="dxa"/>
            <w:tcBorders>
              <w:top w:val="single" w:sz="8" w:space="0" w:color="auto"/>
              <w:left w:val="single" w:sz="8" w:space="0" w:color="auto"/>
              <w:bottom w:val="nil"/>
              <w:right w:val="nil"/>
            </w:tcBorders>
            <w:shd w:val="clear" w:color="auto" w:fill="auto"/>
            <w:noWrap/>
            <w:vAlign w:val="center"/>
            <w:hideMark/>
          </w:tcPr>
          <w:p w14:paraId="03CDF1D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581" w:type="dxa"/>
            <w:tcBorders>
              <w:top w:val="nil"/>
              <w:left w:val="single" w:sz="8" w:space="0" w:color="auto"/>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EC30AA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B7CDB8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FFE6D43"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EB2653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CE148C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9B16EF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6FB5C9E"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41CCD2C"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FF7FE8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7EC707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4A33C8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555E2D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AEBCC69"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30DB97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0915549"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281B4CC"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7501E9CC"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0" w:type="dxa"/>
            <w:tcBorders>
              <w:top w:val="nil"/>
              <w:left w:val="nil"/>
              <w:bottom w:val="single" w:sz="8" w:space="0" w:color="auto"/>
              <w:right w:val="single" w:sz="8" w:space="0" w:color="auto"/>
            </w:tcBorders>
            <w:shd w:val="clear" w:color="000000" w:fill="FFFFFF"/>
            <w:tcMar>
              <w:top w:w="34" w:type="dxa"/>
              <w:left w:w="74" w:type="dxa"/>
              <w:bottom w:w="34" w:type="dxa"/>
              <w:right w:w="74" w:type="dxa"/>
            </w:tcMar>
            <w:vAlign w:val="center"/>
            <w:hideMark/>
          </w:tcPr>
          <w:p w14:paraId="6573225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14:paraId="0CF8EE0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801" w:type="dxa"/>
            <w:tcBorders>
              <w:top w:val="single" w:sz="8" w:space="0" w:color="auto"/>
              <w:left w:val="nil"/>
              <w:bottom w:val="nil"/>
              <w:right w:val="single" w:sz="8" w:space="0" w:color="auto"/>
            </w:tcBorders>
            <w:shd w:val="clear" w:color="000000" w:fill="FFFFFF"/>
            <w:vAlign w:val="center"/>
            <w:hideMark/>
          </w:tcPr>
          <w:p w14:paraId="44D0192C" w14:textId="77777777" w:rsidR="00417EC4" w:rsidRPr="00316277" w:rsidRDefault="00417EC4" w:rsidP="00417EC4">
            <w:pPr>
              <w:jc w:val="center"/>
              <w:rPr>
                <w:rFonts w:cs="Arial"/>
                <w:b/>
                <w:bCs/>
                <w:color w:val="000000"/>
                <w:sz w:val="17"/>
                <w:szCs w:val="17"/>
                <w:lang w:eastAsia="fr-CA"/>
              </w:rPr>
            </w:pPr>
            <w:r w:rsidRPr="00316277">
              <w:rPr>
                <w:rFonts w:cs="Arial"/>
                <w:b/>
                <w:bCs/>
                <w:color w:val="000000"/>
                <w:sz w:val="17"/>
                <w:szCs w:val="17"/>
                <w:lang w:eastAsia="fr-CA"/>
              </w:rPr>
              <w:t>Taux</w:t>
            </w:r>
            <w:r w:rsidRPr="00316277">
              <w:rPr>
                <w:rFonts w:cs="Arial"/>
                <w:b/>
                <w:bCs/>
                <w:color w:val="000000"/>
                <w:sz w:val="17"/>
                <w:szCs w:val="17"/>
                <w:lang w:eastAsia="fr-CA"/>
              </w:rPr>
              <w:br/>
              <w:t>uniques</w:t>
            </w:r>
          </w:p>
        </w:tc>
      </w:tr>
      <w:tr w:rsidR="00417EC4" w:rsidRPr="006B5782" w14:paraId="0B645AC7" w14:textId="77777777" w:rsidTr="00417EC4">
        <w:trPr>
          <w:trHeight w:val="113"/>
        </w:trPr>
        <w:tc>
          <w:tcPr>
            <w:tcW w:w="1175" w:type="dxa"/>
            <w:tcBorders>
              <w:top w:val="single" w:sz="8" w:space="0" w:color="auto"/>
              <w:left w:val="single" w:sz="8" w:space="0" w:color="auto"/>
              <w:bottom w:val="single" w:sz="4" w:space="0" w:color="auto"/>
              <w:right w:val="nil"/>
            </w:tcBorders>
            <w:shd w:val="clear" w:color="000000" w:fill="FFFFFF"/>
            <w:vAlign w:val="center"/>
            <w:hideMark/>
          </w:tcPr>
          <w:p w14:paraId="240667E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4CC93A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24,04</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4886B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6504A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70634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9D176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985D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44411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81CED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E8227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7DD59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76DBF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E166B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2EB8E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7731E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C2648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97615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7D24D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1FAF97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440137B"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801" w:type="dxa"/>
            <w:tcBorders>
              <w:top w:val="single" w:sz="8" w:space="0" w:color="auto"/>
              <w:left w:val="nil"/>
              <w:bottom w:val="single" w:sz="4" w:space="0" w:color="auto"/>
              <w:right w:val="single" w:sz="8" w:space="0" w:color="auto"/>
            </w:tcBorders>
            <w:shd w:val="clear" w:color="auto" w:fill="auto"/>
            <w:vAlign w:val="center"/>
          </w:tcPr>
          <w:p w14:paraId="49382EB3"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24,04</w:t>
            </w:r>
          </w:p>
        </w:tc>
      </w:tr>
      <w:tr w:rsidR="00417EC4" w:rsidRPr="006B5782" w14:paraId="5F183287" w14:textId="77777777" w:rsidTr="00417EC4">
        <w:trPr>
          <w:trHeight w:val="113"/>
        </w:trPr>
        <w:tc>
          <w:tcPr>
            <w:tcW w:w="1175" w:type="dxa"/>
            <w:tcBorders>
              <w:top w:val="single" w:sz="4" w:space="0" w:color="auto"/>
              <w:left w:val="single" w:sz="8" w:space="0" w:color="auto"/>
              <w:bottom w:val="single" w:sz="4" w:space="0" w:color="auto"/>
              <w:right w:val="nil"/>
            </w:tcBorders>
            <w:shd w:val="clear" w:color="000000" w:fill="FFFFFF"/>
            <w:vAlign w:val="center"/>
            <w:hideMark/>
          </w:tcPr>
          <w:p w14:paraId="23FB3E4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89166F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24,37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28C40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F57C1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A64AB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8CDF1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5841D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E1A01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C6FF1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35482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1D295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C7416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25B82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15B9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76A87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28D2D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2D492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5BA50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ED7955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single" w:sz="4" w:space="0" w:color="auto"/>
              <w:left w:val="nil"/>
              <w:bottom w:val="single" w:sz="4" w:space="0" w:color="auto"/>
              <w:right w:val="single" w:sz="8" w:space="0" w:color="auto"/>
            </w:tcBorders>
            <w:shd w:val="clear" w:color="000000" w:fill="FFFFFF"/>
            <w:vAlign w:val="center"/>
          </w:tcPr>
          <w:p w14:paraId="1F88746F"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801" w:type="dxa"/>
            <w:tcBorders>
              <w:top w:val="nil"/>
              <w:left w:val="nil"/>
              <w:bottom w:val="single" w:sz="4" w:space="0" w:color="auto"/>
              <w:right w:val="single" w:sz="8" w:space="0" w:color="auto"/>
            </w:tcBorders>
            <w:shd w:val="clear" w:color="auto" w:fill="auto"/>
            <w:vAlign w:val="center"/>
          </w:tcPr>
          <w:p w14:paraId="50E793A6"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24,37</w:t>
            </w:r>
          </w:p>
        </w:tc>
      </w:tr>
      <w:tr w:rsidR="00417EC4" w:rsidRPr="006B5782" w14:paraId="7117F8C7"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E573C1C"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3A9DA8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24,51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32785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406E8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DC728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2378B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DA069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3C15C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1CCA0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7FAB6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E0BE6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F46F3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5BAB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CB9C7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3F03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76707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C6323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815AC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E841BE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D2F026D"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801" w:type="dxa"/>
            <w:tcBorders>
              <w:top w:val="nil"/>
              <w:left w:val="nil"/>
              <w:bottom w:val="single" w:sz="4" w:space="0" w:color="auto"/>
              <w:right w:val="single" w:sz="8" w:space="0" w:color="auto"/>
            </w:tcBorders>
            <w:shd w:val="clear" w:color="auto" w:fill="auto"/>
            <w:vAlign w:val="center"/>
          </w:tcPr>
          <w:p w14:paraId="7F7CC82A"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24,73</w:t>
            </w:r>
          </w:p>
        </w:tc>
      </w:tr>
      <w:tr w:rsidR="00417EC4" w:rsidRPr="006B5782" w14:paraId="32824E10"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FAFDE82"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8F7F09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24,68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D51EF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11518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718E8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7656E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F148D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84476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B5334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7E2A3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25D1D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EF69B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B65D3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226C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B0326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8AF93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8815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AA5A3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553368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545F0D3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801" w:type="dxa"/>
            <w:tcBorders>
              <w:top w:val="nil"/>
              <w:left w:val="nil"/>
              <w:bottom w:val="single" w:sz="4" w:space="0" w:color="auto"/>
              <w:right w:val="single" w:sz="8" w:space="0" w:color="auto"/>
            </w:tcBorders>
            <w:shd w:val="clear" w:color="auto" w:fill="auto"/>
            <w:vAlign w:val="center"/>
          </w:tcPr>
          <w:p w14:paraId="5D8AD7B6"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25,24</w:t>
            </w:r>
          </w:p>
        </w:tc>
      </w:tr>
      <w:tr w:rsidR="00417EC4" w:rsidRPr="006B5782" w14:paraId="3AB5FE5D"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BF999B2"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18A325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24,90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BAAE1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B58AD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9B1B1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6C014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7AB1A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FF175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2FF24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6E36B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3577F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486A8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2C1D3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6A25E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3C845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AE597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AA41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A787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20D10A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3A43B1F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801" w:type="dxa"/>
            <w:tcBorders>
              <w:top w:val="nil"/>
              <w:left w:val="nil"/>
              <w:bottom w:val="single" w:sz="4" w:space="0" w:color="auto"/>
              <w:right w:val="single" w:sz="8" w:space="0" w:color="auto"/>
            </w:tcBorders>
            <w:shd w:val="clear" w:color="auto" w:fill="auto"/>
            <w:vAlign w:val="center"/>
          </w:tcPr>
          <w:p w14:paraId="520F9438"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25,89</w:t>
            </w:r>
          </w:p>
        </w:tc>
      </w:tr>
      <w:tr w:rsidR="00417EC4" w:rsidRPr="006B5782" w14:paraId="62E52247"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2EBFD5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262DE5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25,08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5F9045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27D7F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95FE1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40C75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2D17E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FB8A1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EE11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296BA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13899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910D0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AD12A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B1F72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633C2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078BB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87ECE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97682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A846A8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4F7915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801" w:type="dxa"/>
            <w:tcBorders>
              <w:top w:val="nil"/>
              <w:left w:val="nil"/>
              <w:bottom w:val="single" w:sz="4" w:space="0" w:color="auto"/>
              <w:right w:val="single" w:sz="8" w:space="0" w:color="auto"/>
            </w:tcBorders>
            <w:shd w:val="clear" w:color="auto" w:fill="auto"/>
            <w:vAlign w:val="center"/>
          </w:tcPr>
          <w:p w14:paraId="688F776B"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26,62</w:t>
            </w:r>
          </w:p>
        </w:tc>
      </w:tr>
      <w:tr w:rsidR="00417EC4" w:rsidRPr="006B5782" w14:paraId="0EC5F1F8"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B60F8E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2397A1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25,42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0E1C8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691BC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5C0FC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D6987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A2FBA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9CC58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539F8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1C71D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48E10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ECECB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41B39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92BD6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782E2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90121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1300E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16842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1D769C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0030E2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801" w:type="dxa"/>
            <w:tcBorders>
              <w:top w:val="nil"/>
              <w:left w:val="nil"/>
              <w:bottom w:val="single" w:sz="4" w:space="0" w:color="auto"/>
              <w:right w:val="single" w:sz="8" w:space="0" w:color="auto"/>
            </w:tcBorders>
            <w:shd w:val="clear" w:color="auto" w:fill="auto"/>
            <w:vAlign w:val="center"/>
          </w:tcPr>
          <w:p w14:paraId="3042D3D9"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27,48</w:t>
            </w:r>
          </w:p>
        </w:tc>
      </w:tr>
      <w:tr w:rsidR="00417EC4" w:rsidRPr="006B5782" w14:paraId="71B2B686"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AE06B2B"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E7C33A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25,61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D752A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89E22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B5A8B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16575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2061F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5A382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28793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C03A4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87BD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84B5F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45CB4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952B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B2C84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BB4D6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942B1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45518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855181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7389C361"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801" w:type="dxa"/>
            <w:tcBorders>
              <w:top w:val="nil"/>
              <w:left w:val="nil"/>
              <w:bottom w:val="single" w:sz="4" w:space="0" w:color="auto"/>
              <w:right w:val="single" w:sz="8" w:space="0" w:color="auto"/>
            </w:tcBorders>
            <w:shd w:val="clear" w:color="auto" w:fill="auto"/>
            <w:vAlign w:val="center"/>
          </w:tcPr>
          <w:p w14:paraId="071953DB"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28,37</w:t>
            </w:r>
          </w:p>
        </w:tc>
      </w:tr>
      <w:tr w:rsidR="00417EC4" w:rsidRPr="006B5782" w14:paraId="6F62D325"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01114D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A592DC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25,83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3E3BF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8FDC5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05768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A139B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28,40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2EFF8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0EFCF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0C99A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6E8AE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D3C2D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E5B24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F52C4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B07B8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7EEA4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EEFE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A2E0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933C3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C7A209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5440F81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801" w:type="dxa"/>
            <w:tcBorders>
              <w:top w:val="nil"/>
              <w:left w:val="nil"/>
              <w:bottom w:val="single" w:sz="4" w:space="0" w:color="auto"/>
              <w:right w:val="single" w:sz="8" w:space="0" w:color="auto"/>
            </w:tcBorders>
            <w:shd w:val="clear" w:color="auto" w:fill="auto"/>
            <w:vAlign w:val="center"/>
          </w:tcPr>
          <w:p w14:paraId="5B79EC15"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29,37</w:t>
            </w:r>
          </w:p>
        </w:tc>
      </w:tr>
      <w:tr w:rsidR="00417EC4" w:rsidRPr="006B5782" w14:paraId="10CEE70F" w14:textId="77777777" w:rsidTr="00417EC4">
        <w:trPr>
          <w:trHeight w:val="113"/>
        </w:trPr>
        <w:tc>
          <w:tcPr>
            <w:tcW w:w="1175" w:type="dxa"/>
            <w:tcBorders>
              <w:top w:val="nil"/>
              <w:left w:val="single" w:sz="8" w:space="0" w:color="auto"/>
              <w:bottom w:val="single" w:sz="4" w:space="0" w:color="auto"/>
              <w:right w:val="nil"/>
            </w:tcBorders>
            <w:shd w:val="clear" w:color="auto" w:fill="auto"/>
            <w:vAlign w:val="center"/>
            <w:hideMark/>
          </w:tcPr>
          <w:p w14:paraId="3D4B136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4340BB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26,15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B164C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73500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D2D9F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FFB68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098FC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DD135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30,26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3ADE5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70C09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994CE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28110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234FC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B9662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8FE71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A134C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734EF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A990A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71E591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624C90B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801" w:type="dxa"/>
            <w:tcBorders>
              <w:top w:val="nil"/>
              <w:left w:val="nil"/>
              <w:bottom w:val="single" w:sz="4" w:space="0" w:color="auto"/>
              <w:right w:val="single" w:sz="8" w:space="0" w:color="auto"/>
            </w:tcBorders>
            <w:shd w:val="clear" w:color="auto" w:fill="auto"/>
            <w:vAlign w:val="center"/>
          </w:tcPr>
          <w:p w14:paraId="2E58695D"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30,45</w:t>
            </w:r>
          </w:p>
        </w:tc>
      </w:tr>
      <w:tr w:rsidR="00417EC4" w:rsidRPr="006B5782" w14:paraId="43CA8D95" w14:textId="77777777" w:rsidTr="00417EC4">
        <w:trPr>
          <w:trHeight w:val="113"/>
        </w:trPr>
        <w:tc>
          <w:tcPr>
            <w:tcW w:w="1175" w:type="dxa"/>
            <w:tcBorders>
              <w:top w:val="nil"/>
              <w:left w:val="single" w:sz="8" w:space="0" w:color="auto"/>
              <w:bottom w:val="single" w:sz="4" w:space="0" w:color="auto"/>
              <w:right w:val="nil"/>
            </w:tcBorders>
            <w:shd w:val="clear" w:color="auto" w:fill="auto"/>
            <w:vAlign w:val="center"/>
            <w:hideMark/>
          </w:tcPr>
          <w:p w14:paraId="6C82EEDB"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612418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26,51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69403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D2872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96D97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20F02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AA377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2004D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666FC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DA8CD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5AF23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0C2D5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33020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E251B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668F4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94A6C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CE516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155F4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FF489F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335CE560"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801" w:type="dxa"/>
            <w:tcBorders>
              <w:top w:val="nil"/>
              <w:left w:val="nil"/>
              <w:bottom w:val="single" w:sz="4" w:space="0" w:color="auto"/>
              <w:right w:val="single" w:sz="8" w:space="0" w:color="auto"/>
            </w:tcBorders>
            <w:shd w:val="clear" w:color="auto" w:fill="auto"/>
            <w:vAlign w:val="center"/>
          </w:tcPr>
          <w:p w14:paraId="0DD87343"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31,60</w:t>
            </w:r>
          </w:p>
        </w:tc>
      </w:tr>
      <w:tr w:rsidR="00417EC4" w:rsidRPr="006B5782" w14:paraId="42668DE6" w14:textId="77777777" w:rsidTr="00417EC4">
        <w:trPr>
          <w:trHeight w:val="113"/>
        </w:trPr>
        <w:tc>
          <w:tcPr>
            <w:tcW w:w="1175" w:type="dxa"/>
            <w:tcBorders>
              <w:top w:val="nil"/>
              <w:left w:val="single" w:sz="8" w:space="0" w:color="auto"/>
              <w:bottom w:val="single" w:sz="4" w:space="0" w:color="auto"/>
              <w:right w:val="nil"/>
            </w:tcBorders>
            <w:shd w:val="clear" w:color="auto" w:fill="auto"/>
            <w:vAlign w:val="center"/>
            <w:hideMark/>
          </w:tcPr>
          <w:p w14:paraId="4CA6687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702872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26,92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08C36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27,70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3D428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2CFA8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94A2B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33998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96AA3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0CBA5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55D54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E3E2A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7BF78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D44A2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2E0FB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1DACE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7E25E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81EE6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A3E88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41CF16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auto" w:fill="auto"/>
            <w:vAlign w:val="center"/>
          </w:tcPr>
          <w:p w14:paraId="65655B73"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801" w:type="dxa"/>
            <w:tcBorders>
              <w:top w:val="nil"/>
              <w:left w:val="nil"/>
              <w:bottom w:val="single" w:sz="4" w:space="0" w:color="auto"/>
              <w:right w:val="single" w:sz="8" w:space="0" w:color="auto"/>
            </w:tcBorders>
            <w:shd w:val="clear" w:color="auto" w:fill="auto"/>
            <w:vAlign w:val="center"/>
          </w:tcPr>
          <w:p w14:paraId="7C72279C"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32,72</w:t>
            </w:r>
          </w:p>
        </w:tc>
      </w:tr>
      <w:tr w:rsidR="00417EC4" w:rsidRPr="006B5782" w14:paraId="45BF8D69"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35E7EB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B2FAA8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27,30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AE406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E8B7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DB846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721B8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9632C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25D88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EF7DC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B99FA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2F7BE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B10E6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827C2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E2C6C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F19B5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E2000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28AE3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B0565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3EDF44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AC1B82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801" w:type="dxa"/>
            <w:tcBorders>
              <w:top w:val="nil"/>
              <w:left w:val="nil"/>
              <w:bottom w:val="single" w:sz="4" w:space="0" w:color="auto"/>
              <w:right w:val="single" w:sz="8" w:space="0" w:color="auto"/>
            </w:tcBorders>
            <w:shd w:val="clear" w:color="auto" w:fill="auto"/>
            <w:vAlign w:val="center"/>
          </w:tcPr>
          <w:p w14:paraId="04C2F1B6"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34,04</w:t>
            </w:r>
          </w:p>
        </w:tc>
      </w:tr>
      <w:tr w:rsidR="00417EC4" w:rsidRPr="006B5782" w14:paraId="113C8E7D"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0A0DB1F"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603164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27,75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7A1F0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04E75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2CF83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3AFB2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C197E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EC599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36FC4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7A2A7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34,89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BC8AF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2C479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C2B96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5081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853C4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65764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76AA5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7219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4496FC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051617C"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801" w:type="dxa"/>
            <w:tcBorders>
              <w:top w:val="nil"/>
              <w:left w:val="nil"/>
              <w:bottom w:val="single" w:sz="4" w:space="0" w:color="auto"/>
              <w:right w:val="single" w:sz="8" w:space="0" w:color="auto"/>
            </w:tcBorders>
            <w:shd w:val="clear" w:color="auto" w:fill="auto"/>
            <w:vAlign w:val="center"/>
          </w:tcPr>
          <w:p w14:paraId="0D159D34"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35,39</w:t>
            </w:r>
          </w:p>
        </w:tc>
      </w:tr>
      <w:tr w:rsidR="00417EC4" w:rsidRPr="006B5782" w14:paraId="1C6045C8"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B33068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F8E874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27,91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E913B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A5907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A5232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41EF2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8155B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C0E73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736EF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73E95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CBADF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DE6E4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3A139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0EEB6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6A0DA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99EEA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6608C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6AF73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89B7CD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2010CE8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801" w:type="dxa"/>
            <w:tcBorders>
              <w:top w:val="nil"/>
              <w:left w:val="nil"/>
              <w:bottom w:val="single" w:sz="4" w:space="0" w:color="auto"/>
              <w:right w:val="single" w:sz="8" w:space="0" w:color="auto"/>
            </w:tcBorders>
            <w:shd w:val="clear" w:color="auto" w:fill="auto"/>
            <w:vAlign w:val="center"/>
          </w:tcPr>
          <w:p w14:paraId="3FCFA7AC"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36,93</w:t>
            </w:r>
          </w:p>
        </w:tc>
      </w:tr>
      <w:tr w:rsidR="00417EC4" w:rsidRPr="006B5782" w14:paraId="1B00077F"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461CA6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69E5C2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28,40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415D3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29,44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A1F12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AD4DC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8D47E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0CFBE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28BE9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24490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123E6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F1ADD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A8086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57EAD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D9A24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3486D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26C82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D8F09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92665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16DB64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58F6C05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801" w:type="dxa"/>
            <w:tcBorders>
              <w:top w:val="nil"/>
              <w:left w:val="nil"/>
              <w:bottom w:val="single" w:sz="4" w:space="0" w:color="auto"/>
              <w:right w:val="single" w:sz="8" w:space="0" w:color="auto"/>
            </w:tcBorders>
            <w:shd w:val="clear" w:color="auto" w:fill="auto"/>
            <w:vAlign w:val="center"/>
          </w:tcPr>
          <w:p w14:paraId="0D3DE828"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38B650F9"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B2C591E"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F63C6C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28,89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CD123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40869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7955E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E17E7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BCBB1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62863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C31D6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4AFDC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F5EE6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40,19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C84AC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E967E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4481F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3B4B5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C5CAE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06D82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9EA21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7BD0B0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4A5BACC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801" w:type="dxa"/>
            <w:tcBorders>
              <w:top w:val="nil"/>
              <w:left w:val="nil"/>
              <w:bottom w:val="single" w:sz="4" w:space="0" w:color="auto"/>
              <w:right w:val="single" w:sz="8" w:space="0" w:color="auto"/>
            </w:tcBorders>
            <w:shd w:val="clear" w:color="auto" w:fill="auto"/>
            <w:vAlign w:val="center"/>
          </w:tcPr>
          <w:p w14:paraId="3A004DD2"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45F58C8B"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54D3893"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E802A4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29,09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E1EB0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038A6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E2214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22BA8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5A361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DAE06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37,69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DFE8F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F86CC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72A2B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D8B00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E4DD5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0B6D2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674D6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11594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9A27F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FB492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931452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 </w:t>
            </w:r>
          </w:p>
        </w:tc>
        <w:tc>
          <w:tcPr>
            <w:tcW w:w="1174" w:type="dxa"/>
            <w:tcBorders>
              <w:top w:val="nil"/>
              <w:left w:val="nil"/>
              <w:bottom w:val="single" w:sz="4" w:space="0" w:color="auto"/>
              <w:right w:val="single" w:sz="8" w:space="0" w:color="auto"/>
            </w:tcBorders>
            <w:shd w:val="clear" w:color="000000" w:fill="FFFFFF"/>
            <w:vAlign w:val="center"/>
          </w:tcPr>
          <w:p w14:paraId="323651DE"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801" w:type="dxa"/>
            <w:tcBorders>
              <w:top w:val="nil"/>
              <w:left w:val="nil"/>
              <w:bottom w:val="single" w:sz="4" w:space="0" w:color="auto"/>
              <w:right w:val="single" w:sz="8" w:space="0" w:color="auto"/>
            </w:tcBorders>
            <w:shd w:val="clear" w:color="auto" w:fill="auto"/>
            <w:vAlign w:val="center"/>
          </w:tcPr>
          <w:p w14:paraId="68EF78AE"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673ABBA8"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81D887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008FA2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29,58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71513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452A1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6C3A9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0FF63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665E0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31DA2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8BF3E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197D1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E021A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782F7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C2486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60F65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D6DCF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E7D1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5D6A0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B872E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46,27</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21D70F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47,43</w:t>
            </w:r>
          </w:p>
        </w:tc>
        <w:tc>
          <w:tcPr>
            <w:tcW w:w="1174" w:type="dxa"/>
            <w:tcBorders>
              <w:top w:val="nil"/>
              <w:left w:val="nil"/>
              <w:bottom w:val="single" w:sz="4" w:space="0" w:color="auto"/>
              <w:right w:val="single" w:sz="8" w:space="0" w:color="auto"/>
            </w:tcBorders>
            <w:shd w:val="clear" w:color="000000" w:fill="FFFFFF"/>
            <w:vAlign w:val="center"/>
          </w:tcPr>
          <w:p w14:paraId="0E82CA29"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801" w:type="dxa"/>
            <w:tcBorders>
              <w:top w:val="nil"/>
              <w:left w:val="nil"/>
              <w:bottom w:val="single" w:sz="4" w:space="0" w:color="auto"/>
              <w:right w:val="single" w:sz="8" w:space="0" w:color="auto"/>
            </w:tcBorders>
            <w:shd w:val="clear" w:color="auto" w:fill="auto"/>
            <w:vAlign w:val="center"/>
          </w:tcPr>
          <w:p w14:paraId="4A923CFE"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2DFC1E63"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33DFEA3"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C5E8E8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30,04</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8FA12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26E8A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32,02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B930E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96EC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FC0D1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8F31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72940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A53E3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4F7E0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A263B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D7BAB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2305E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A5504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44,76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0638F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C549C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AB570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48,51</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F360F7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49,84</w:t>
            </w:r>
          </w:p>
        </w:tc>
        <w:tc>
          <w:tcPr>
            <w:tcW w:w="1174" w:type="dxa"/>
            <w:tcBorders>
              <w:top w:val="nil"/>
              <w:left w:val="nil"/>
              <w:bottom w:val="single" w:sz="4" w:space="0" w:color="auto"/>
              <w:right w:val="single" w:sz="8" w:space="0" w:color="auto"/>
            </w:tcBorders>
            <w:shd w:val="clear" w:color="000000" w:fill="FFFFFF"/>
            <w:vAlign w:val="center"/>
          </w:tcPr>
          <w:p w14:paraId="77FD22D8"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801" w:type="dxa"/>
            <w:tcBorders>
              <w:top w:val="nil"/>
              <w:left w:val="nil"/>
              <w:bottom w:val="single" w:sz="4" w:space="0" w:color="auto"/>
              <w:right w:val="single" w:sz="8" w:space="0" w:color="auto"/>
            </w:tcBorders>
            <w:shd w:val="clear" w:color="auto" w:fill="auto"/>
            <w:vAlign w:val="center"/>
          </w:tcPr>
          <w:p w14:paraId="452EC303"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232D680F"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C267CB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B8ADCD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30,56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46B03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E424B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60A94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4A5F0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2D959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D1C01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C214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A1370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C7CD5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1D9AB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C5079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C2078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A7725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46,64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D9C17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E051A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49,43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A9D99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50,87</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E0E942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52,37</w:t>
            </w:r>
          </w:p>
        </w:tc>
        <w:tc>
          <w:tcPr>
            <w:tcW w:w="1174" w:type="dxa"/>
            <w:tcBorders>
              <w:top w:val="nil"/>
              <w:left w:val="nil"/>
              <w:bottom w:val="single" w:sz="4" w:space="0" w:color="auto"/>
              <w:right w:val="single" w:sz="8" w:space="0" w:color="auto"/>
            </w:tcBorders>
            <w:shd w:val="clear" w:color="000000" w:fill="FFFFFF"/>
            <w:vAlign w:val="center"/>
          </w:tcPr>
          <w:p w14:paraId="3055C15B"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801" w:type="dxa"/>
            <w:tcBorders>
              <w:top w:val="nil"/>
              <w:left w:val="nil"/>
              <w:bottom w:val="single" w:sz="4" w:space="0" w:color="auto"/>
              <w:right w:val="single" w:sz="8" w:space="0" w:color="auto"/>
            </w:tcBorders>
            <w:shd w:val="clear" w:color="auto" w:fill="auto"/>
            <w:vAlign w:val="center"/>
          </w:tcPr>
          <w:p w14:paraId="64E79433"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547E7B66"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FFDC0C6"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4D91DA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31,03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548D6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C27A0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D0E41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CC30D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7B393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37,08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4EF64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49FE7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B3254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AA8BD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C33F4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5F328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23281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C4A35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BA021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EDFD0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51,70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10A78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53,32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5F7791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54,98</w:t>
            </w:r>
          </w:p>
        </w:tc>
        <w:tc>
          <w:tcPr>
            <w:tcW w:w="1174" w:type="dxa"/>
            <w:tcBorders>
              <w:top w:val="nil"/>
              <w:left w:val="nil"/>
              <w:bottom w:val="single" w:sz="4" w:space="0" w:color="auto"/>
              <w:right w:val="single" w:sz="8" w:space="0" w:color="auto"/>
            </w:tcBorders>
            <w:shd w:val="clear" w:color="000000" w:fill="FFFFFF"/>
            <w:vAlign w:val="center"/>
          </w:tcPr>
          <w:p w14:paraId="41ECACFD"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801" w:type="dxa"/>
            <w:tcBorders>
              <w:top w:val="nil"/>
              <w:left w:val="nil"/>
              <w:bottom w:val="single" w:sz="4" w:space="0" w:color="auto"/>
              <w:right w:val="single" w:sz="8" w:space="0" w:color="auto"/>
            </w:tcBorders>
            <w:shd w:val="clear" w:color="auto" w:fill="auto"/>
            <w:vAlign w:val="center"/>
          </w:tcPr>
          <w:p w14:paraId="2FB52CA5"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117B1F86"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350E082"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0C196A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31,48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BD135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9C549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66DA9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DD68C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08F5B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C7C83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58080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40,95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38A13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8D054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0F85B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8AE93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22EF3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3F652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1832A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52,33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5D08F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54,07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2DB7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55,89</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EED7BA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57,75</w:t>
            </w:r>
          </w:p>
        </w:tc>
        <w:tc>
          <w:tcPr>
            <w:tcW w:w="1174" w:type="dxa"/>
            <w:tcBorders>
              <w:top w:val="nil"/>
              <w:left w:val="nil"/>
              <w:bottom w:val="single" w:sz="4" w:space="0" w:color="auto"/>
              <w:right w:val="single" w:sz="8" w:space="0" w:color="auto"/>
            </w:tcBorders>
            <w:shd w:val="clear" w:color="000000" w:fill="FFFFFF"/>
            <w:vAlign w:val="center"/>
          </w:tcPr>
          <w:p w14:paraId="57ACF0CF"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801" w:type="dxa"/>
            <w:tcBorders>
              <w:top w:val="nil"/>
              <w:left w:val="nil"/>
              <w:bottom w:val="single" w:sz="4" w:space="0" w:color="auto"/>
              <w:right w:val="single" w:sz="8" w:space="0" w:color="auto"/>
            </w:tcBorders>
            <w:shd w:val="clear" w:color="auto" w:fill="auto"/>
            <w:vAlign w:val="center"/>
          </w:tcPr>
          <w:p w14:paraId="209F11D0"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4483BF77"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B750BAE"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44DEE4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32,46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BBBC8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3BE4C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C565F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E47D6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AAE03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692A2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82D12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42,56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9F1E8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44,24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63455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68C14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CC698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49,21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F8857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51,12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249C4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52,91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8BB08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54,75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00CE8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56,62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FF67C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58,56</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73C541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60,60</w:t>
            </w:r>
          </w:p>
        </w:tc>
        <w:tc>
          <w:tcPr>
            <w:tcW w:w="1174" w:type="dxa"/>
            <w:tcBorders>
              <w:top w:val="nil"/>
              <w:left w:val="nil"/>
              <w:bottom w:val="single" w:sz="4" w:space="0" w:color="auto"/>
              <w:right w:val="single" w:sz="8" w:space="0" w:color="auto"/>
            </w:tcBorders>
            <w:shd w:val="clear" w:color="000000" w:fill="FFFFFF"/>
            <w:vAlign w:val="center"/>
          </w:tcPr>
          <w:p w14:paraId="2072F5A9"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801" w:type="dxa"/>
            <w:tcBorders>
              <w:top w:val="nil"/>
              <w:left w:val="nil"/>
              <w:bottom w:val="single" w:sz="4" w:space="0" w:color="auto"/>
              <w:right w:val="single" w:sz="8" w:space="0" w:color="auto"/>
            </w:tcBorders>
            <w:shd w:val="clear" w:color="auto" w:fill="auto"/>
            <w:vAlign w:val="center"/>
          </w:tcPr>
          <w:p w14:paraId="75471F2C"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37A2CF88"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D55020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13BE9E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32,91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88826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FF9A9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D9446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22F9B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D1CAF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63A95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64501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6141E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29C93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F19AA81"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AF216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A1671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53,13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FC2B0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55,05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0A9CC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57,07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02E63B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59,15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EB3B43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61,32</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F14F12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63,57</w:t>
            </w:r>
          </w:p>
        </w:tc>
        <w:tc>
          <w:tcPr>
            <w:tcW w:w="1174" w:type="dxa"/>
            <w:tcBorders>
              <w:top w:val="nil"/>
              <w:left w:val="nil"/>
              <w:bottom w:val="single" w:sz="4" w:space="0" w:color="auto"/>
              <w:right w:val="single" w:sz="8" w:space="0" w:color="auto"/>
            </w:tcBorders>
            <w:shd w:val="clear" w:color="000000" w:fill="FFFFFF"/>
            <w:vAlign w:val="center"/>
          </w:tcPr>
          <w:p w14:paraId="71734857"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801" w:type="dxa"/>
            <w:tcBorders>
              <w:top w:val="nil"/>
              <w:left w:val="nil"/>
              <w:bottom w:val="single" w:sz="4" w:space="0" w:color="auto"/>
              <w:right w:val="single" w:sz="8" w:space="0" w:color="auto"/>
            </w:tcBorders>
            <w:shd w:val="clear" w:color="auto" w:fill="auto"/>
            <w:vAlign w:val="center"/>
          </w:tcPr>
          <w:p w14:paraId="6EAB2B23"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731267D3"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C006AF2"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3713BE4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33,65</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766C4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2591A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5178A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8F69D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DCA45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41,57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9976D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71232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5D474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833B8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8F3C0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FEA2C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52,98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B8462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55,27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68EC8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57,37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481D5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59,55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9A61F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61,84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ACB53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64,19</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5B00AB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66,64</w:t>
            </w:r>
          </w:p>
        </w:tc>
        <w:tc>
          <w:tcPr>
            <w:tcW w:w="1174" w:type="dxa"/>
            <w:tcBorders>
              <w:top w:val="nil"/>
              <w:left w:val="nil"/>
              <w:bottom w:val="single" w:sz="4" w:space="0" w:color="auto"/>
              <w:right w:val="single" w:sz="8" w:space="0" w:color="auto"/>
            </w:tcBorders>
            <w:shd w:val="clear" w:color="000000" w:fill="FFFFFF"/>
            <w:vAlign w:val="center"/>
          </w:tcPr>
          <w:p w14:paraId="6D96CC44"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801" w:type="dxa"/>
            <w:tcBorders>
              <w:top w:val="nil"/>
              <w:left w:val="nil"/>
              <w:bottom w:val="single" w:sz="4" w:space="0" w:color="auto"/>
              <w:right w:val="single" w:sz="8" w:space="0" w:color="auto"/>
            </w:tcBorders>
            <w:shd w:val="clear" w:color="auto" w:fill="auto"/>
            <w:vAlign w:val="center"/>
          </w:tcPr>
          <w:p w14:paraId="4D272DBC"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7F02052B" w14:textId="77777777" w:rsidTr="00417EC4">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24260463"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18311D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34,39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4F868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35,94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E979D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37,49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4F4AE09"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C5633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40,93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7B131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42,77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971293"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44,71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B048F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46,68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ED564C"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48,75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147E8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46972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52,66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2156A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55,00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07554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57,47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609A8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59,76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151D5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62,13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1436F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64,59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8DE5A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67,16</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7B0AA96"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69,80</w:t>
            </w:r>
          </w:p>
        </w:tc>
        <w:tc>
          <w:tcPr>
            <w:tcW w:w="1174" w:type="dxa"/>
            <w:tcBorders>
              <w:top w:val="nil"/>
              <w:left w:val="nil"/>
              <w:bottom w:val="single" w:sz="4" w:space="0" w:color="auto"/>
              <w:right w:val="single" w:sz="8" w:space="0" w:color="auto"/>
            </w:tcBorders>
            <w:shd w:val="clear" w:color="000000" w:fill="FFFFFF"/>
            <w:vAlign w:val="center"/>
          </w:tcPr>
          <w:p w14:paraId="5F8D11D5"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801" w:type="dxa"/>
            <w:tcBorders>
              <w:top w:val="nil"/>
              <w:left w:val="nil"/>
              <w:bottom w:val="single" w:sz="4" w:space="0" w:color="auto"/>
              <w:right w:val="single" w:sz="8" w:space="0" w:color="auto"/>
            </w:tcBorders>
            <w:shd w:val="clear" w:color="auto" w:fill="auto"/>
            <w:vAlign w:val="center"/>
          </w:tcPr>
          <w:p w14:paraId="41F2144F"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6B5782" w14:paraId="31AD6BCD" w14:textId="77777777" w:rsidTr="00417EC4">
        <w:trPr>
          <w:trHeight w:val="113"/>
        </w:trPr>
        <w:tc>
          <w:tcPr>
            <w:tcW w:w="1175" w:type="dxa"/>
            <w:tcBorders>
              <w:top w:val="nil"/>
              <w:left w:val="single" w:sz="8" w:space="0" w:color="auto"/>
              <w:bottom w:val="single" w:sz="8" w:space="0" w:color="auto"/>
              <w:right w:val="nil"/>
            </w:tcBorders>
            <w:shd w:val="clear" w:color="000000" w:fill="FFFFFF"/>
            <w:vAlign w:val="center"/>
            <w:hideMark/>
          </w:tcPr>
          <w:p w14:paraId="0B8D4719"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581" w:type="dxa"/>
            <w:tcBorders>
              <w:top w:val="nil"/>
              <w:left w:val="single" w:sz="8" w:space="0" w:color="auto"/>
              <w:bottom w:val="single" w:sz="8" w:space="0" w:color="auto"/>
              <w:right w:val="single" w:sz="4" w:space="0" w:color="auto"/>
            </w:tcBorders>
            <w:shd w:val="clear" w:color="auto" w:fill="auto"/>
            <w:tcMar>
              <w:top w:w="28" w:type="dxa"/>
              <w:left w:w="74" w:type="dxa"/>
              <w:bottom w:w="28" w:type="dxa"/>
              <w:right w:w="74" w:type="dxa"/>
            </w:tcMar>
            <w:vAlign w:val="center"/>
          </w:tcPr>
          <w:p w14:paraId="45ED42F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34,82</w:t>
            </w:r>
          </w:p>
        </w:tc>
        <w:tc>
          <w:tcPr>
            <w:tcW w:w="581"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3A2E5F4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36,46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00B3D4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38,15</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A3AB5FD"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39,91</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964AC0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41,78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627C7A7"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43,74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F234655"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45,80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74DFD9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47,91</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606C4CE"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50,16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CB8CDBA"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51,96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08B94FE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54,40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83C44F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56,94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B2D7F1B"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59,60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B72196F"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62,09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3467D02"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64,67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2368CB8"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67,36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1C14444"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70,16</w:t>
            </w:r>
          </w:p>
        </w:tc>
        <w:tc>
          <w:tcPr>
            <w:tcW w:w="580" w:type="dxa"/>
            <w:tcBorders>
              <w:top w:val="nil"/>
              <w:left w:val="nil"/>
              <w:bottom w:val="single" w:sz="8" w:space="0" w:color="auto"/>
              <w:right w:val="single" w:sz="8" w:space="0" w:color="auto"/>
            </w:tcBorders>
            <w:shd w:val="clear" w:color="auto" w:fill="auto"/>
            <w:tcMar>
              <w:top w:w="28" w:type="dxa"/>
              <w:left w:w="74" w:type="dxa"/>
              <w:bottom w:w="28" w:type="dxa"/>
              <w:right w:w="74" w:type="dxa"/>
            </w:tcMar>
            <w:vAlign w:val="center"/>
          </w:tcPr>
          <w:p w14:paraId="3E649AE0" w14:textId="77777777" w:rsidR="00417EC4" w:rsidRPr="006B5782" w:rsidRDefault="00417EC4" w:rsidP="00417EC4">
            <w:pPr>
              <w:jc w:val="center"/>
              <w:rPr>
                <w:rFonts w:cs="Arial"/>
                <w:color w:val="000000"/>
                <w:sz w:val="17"/>
                <w:szCs w:val="17"/>
                <w:highlight w:val="lightGray"/>
                <w:lang w:eastAsia="fr-CA"/>
              </w:rPr>
            </w:pPr>
            <w:r w:rsidRPr="00316277">
              <w:rPr>
                <w:rFonts w:cs="Arial"/>
                <w:color w:val="000000"/>
                <w:sz w:val="17"/>
                <w:szCs w:val="17"/>
                <w:lang w:eastAsia="fr-CA"/>
              </w:rPr>
              <w:t>73,11</w:t>
            </w:r>
          </w:p>
        </w:tc>
        <w:tc>
          <w:tcPr>
            <w:tcW w:w="1174" w:type="dxa"/>
            <w:tcBorders>
              <w:top w:val="nil"/>
              <w:left w:val="nil"/>
              <w:bottom w:val="single" w:sz="8" w:space="0" w:color="auto"/>
              <w:right w:val="single" w:sz="8" w:space="0" w:color="auto"/>
            </w:tcBorders>
            <w:shd w:val="clear" w:color="000000" w:fill="FFFFFF"/>
            <w:vAlign w:val="center"/>
          </w:tcPr>
          <w:p w14:paraId="349669BA" w14:textId="77777777" w:rsidR="00417EC4" w:rsidRPr="006B5782" w:rsidRDefault="00417EC4" w:rsidP="00417EC4">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801" w:type="dxa"/>
            <w:tcBorders>
              <w:top w:val="nil"/>
              <w:left w:val="nil"/>
              <w:bottom w:val="single" w:sz="8" w:space="0" w:color="auto"/>
              <w:right w:val="single" w:sz="8" w:space="0" w:color="auto"/>
            </w:tcBorders>
            <w:shd w:val="clear" w:color="auto" w:fill="auto"/>
            <w:vAlign w:val="center"/>
          </w:tcPr>
          <w:p w14:paraId="0962E30F" w14:textId="77777777" w:rsidR="00417EC4" w:rsidRPr="00316277" w:rsidRDefault="00417EC4" w:rsidP="00417EC4">
            <w:pPr>
              <w:jc w:val="center"/>
              <w:rPr>
                <w:rFonts w:cs="Arial"/>
                <w:color w:val="000000"/>
                <w:sz w:val="17"/>
                <w:szCs w:val="17"/>
                <w:lang w:eastAsia="fr-CA"/>
              </w:rPr>
            </w:pPr>
            <w:r w:rsidRPr="00316277">
              <w:rPr>
                <w:rFonts w:cs="Arial"/>
                <w:color w:val="000000"/>
                <w:sz w:val="17"/>
                <w:szCs w:val="17"/>
                <w:lang w:eastAsia="fr-CA"/>
              </w:rPr>
              <w:t> </w:t>
            </w:r>
          </w:p>
        </w:tc>
      </w:tr>
      <w:tr w:rsidR="00417EC4" w:rsidRPr="00DF0D1D" w14:paraId="4BE40839" w14:textId="77777777" w:rsidTr="00417EC4">
        <w:trPr>
          <w:trHeight w:val="113"/>
        </w:trPr>
        <w:tc>
          <w:tcPr>
            <w:tcW w:w="13592" w:type="dxa"/>
            <w:gridSpan w:val="21"/>
            <w:tcBorders>
              <w:top w:val="single" w:sz="8" w:space="0" w:color="auto"/>
              <w:left w:val="nil"/>
              <w:bottom w:val="nil"/>
              <w:right w:val="nil"/>
            </w:tcBorders>
            <w:shd w:val="clear" w:color="auto" w:fill="auto"/>
            <w:hideMark/>
          </w:tcPr>
          <w:p w14:paraId="650D5789" w14:textId="486C09EA" w:rsidR="00417EC4" w:rsidRPr="005C0423" w:rsidRDefault="00417EC4" w:rsidP="00417EC4">
            <w:pPr>
              <w:rPr>
                <w:rFonts w:cs="Arial"/>
                <w:color w:val="000000"/>
                <w:sz w:val="18"/>
                <w:szCs w:val="18"/>
                <w:lang w:eastAsia="fr-CA"/>
              </w:rPr>
            </w:pPr>
            <w:r w:rsidRPr="00316277">
              <w:rPr>
                <w:rFonts w:cs="Arial"/>
                <w:color w:val="000000"/>
                <w:sz w:val="18"/>
                <w:szCs w:val="18"/>
                <w:lang w:eastAsia="fr-CA"/>
              </w:rPr>
              <w:t>Note : Les taux uniques sont calculés sur la base d’un gain de carrière de 33 ans.</w:t>
            </w:r>
            <w:r w:rsidRPr="00316277">
              <w:rPr>
                <w:rFonts w:cs="Arial"/>
                <w:color w:val="000000"/>
                <w:sz w:val="18"/>
                <w:szCs w:val="18"/>
              </w:rPr>
              <w:t xml:space="preserve"> </w:t>
            </w:r>
            <w:r w:rsidRPr="00316277">
              <w:rPr>
                <w:sz w:val="18"/>
                <w:szCs w:val="18"/>
              </w:rPr>
              <w:t xml:space="preserve">Les taux de traitement tiennent compte de la majoration du paramètre général d’augmentation salariale prévue à la clause 6-4.05. Ils ne tiennent pas compte de tout ajustement salarial qui résulterait, le cas échéant, de l’application de la clause d’ajustement prévue à </w:t>
            </w:r>
            <w:r w:rsidR="00941376" w:rsidRPr="00316277">
              <w:rPr>
                <w:sz w:val="18"/>
                <w:szCs w:val="18"/>
              </w:rPr>
              <w:t>la clause </w:t>
            </w:r>
            <w:r w:rsidRPr="00316277">
              <w:rPr>
                <w:sz w:val="18"/>
                <w:szCs w:val="18"/>
              </w:rPr>
              <w:t>6-4.07.</w:t>
            </w:r>
          </w:p>
        </w:tc>
      </w:tr>
    </w:tbl>
    <w:p w14:paraId="04CA7FAC" w14:textId="77777777" w:rsidR="00417EC4" w:rsidRPr="00417EC4" w:rsidRDefault="00417EC4" w:rsidP="00417EC4">
      <w:pPr>
        <w:ind w:left="868" w:right="1162"/>
        <w:jc w:val="center"/>
        <w:rPr>
          <w:b/>
          <w:i/>
          <w:color w:val="404040"/>
          <w:sz w:val="2"/>
          <w:szCs w:val="2"/>
        </w:rPr>
      </w:pPr>
    </w:p>
    <w:p w14:paraId="52CAACB5" w14:textId="7699A4B3" w:rsidR="00AD0929" w:rsidRPr="00417EC4" w:rsidRDefault="00AD0929" w:rsidP="007F120F">
      <w:pPr>
        <w:keepNext w:val="0"/>
        <w:ind w:left="993" w:right="2768"/>
        <w:rPr>
          <w:sz w:val="2"/>
          <w:szCs w:val="6"/>
        </w:rPr>
      </w:pPr>
    </w:p>
    <w:p w14:paraId="2D2C1C13" w14:textId="70832CCC" w:rsidR="00AD0929" w:rsidRDefault="00AD0929" w:rsidP="00417EC4">
      <w:pPr>
        <w:keepNext w:val="0"/>
        <w:ind w:right="2768"/>
        <w:rPr>
          <w:sz w:val="14"/>
        </w:rPr>
      </w:pPr>
    </w:p>
    <w:p w14:paraId="735A8757" w14:textId="77777777" w:rsidR="00417EC4" w:rsidRDefault="00417EC4" w:rsidP="00417EC4">
      <w:pPr>
        <w:keepNext w:val="0"/>
        <w:ind w:right="2768"/>
        <w:rPr>
          <w:sz w:val="14"/>
        </w:rPr>
      </w:pPr>
    </w:p>
    <w:p w14:paraId="72C39A13" w14:textId="77777777" w:rsidR="00417EC4" w:rsidRPr="00316277" w:rsidRDefault="00417EC4" w:rsidP="00417EC4">
      <w:pPr>
        <w:jc w:val="center"/>
        <w:rPr>
          <w:b/>
          <w:bCs/>
          <w:sz w:val="22"/>
          <w:szCs w:val="18"/>
        </w:rPr>
      </w:pPr>
      <w:r w:rsidRPr="00316277">
        <w:rPr>
          <w:b/>
          <w:bCs/>
          <w:sz w:val="22"/>
          <w:szCs w:val="18"/>
        </w:rPr>
        <w:t>TABLEAU A</w:t>
      </w:r>
    </w:p>
    <w:p w14:paraId="18E2BAA2" w14:textId="29F2BD7E" w:rsidR="00013D32" w:rsidRPr="00316277" w:rsidRDefault="00013D32" w:rsidP="00013D32">
      <w:pPr>
        <w:jc w:val="center"/>
        <w:rPr>
          <w:b/>
          <w:bCs/>
          <w:sz w:val="22"/>
          <w:szCs w:val="22"/>
          <w:u w:val="single"/>
        </w:rPr>
      </w:pPr>
      <w:r w:rsidRPr="00316277">
        <w:rPr>
          <w:b/>
          <w:bCs/>
          <w:sz w:val="22"/>
          <w:szCs w:val="22"/>
          <w:u w:val="single"/>
        </w:rPr>
        <w:t>STRUCTURE SALARIALE</w:t>
      </w:r>
      <w:r w:rsidRPr="00013D32">
        <w:rPr>
          <w:b/>
          <w:bCs/>
          <w:sz w:val="22"/>
          <w:szCs w:val="22"/>
          <w:u w:val="single"/>
        </w:rPr>
        <w:br/>
      </w:r>
      <w:r w:rsidRPr="00316277">
        <w:rPr>
          <w:b/>
          <w:bCs/>
          <w:sz w:val="22"/>
          <w:szCs w:val="22"/>
          <w:u w:val="single"/>
        </w:rPr>
        <w:t xml:space="preserve">TAUX ET </w:t>
      </w:r>
      <w:r w:rsidRPr="00316277">
        <w:rPr>
          <w:rFonts w:hint="eastAsia"/>
          <w:b/>
          <w:bCs/>
          <w:sz w:val="22"/>
          <w:szCs w:val="22"/>
          <w:u w:val="single"/>
        </w:rPr>
        <w:t>É</w:t>
      </w:r>
      <w:r w:rsidRPr="00316277">
        <w:rPr>
          <w:b/>
          <w:bCs/>
          <w:sz w:val="22"/>
          <w:szCs w:val="22"/>
          <w:u w:val="single"/>
        </w:rPr>
        <w:t>CHELLES DE TRAITEMENT AU 1</w:t>
      </w:r>
      <w:r w:rsidRPr="00316277">
        <w:rPr>
          <w:b/>
          <w:bCs/>
          <w:sz w:val="22"/>
          <w:szCs w:val="22"/>
          <w:u w:val="single"/>
          <w:vertAlign w:val="superscript"/>
        </w:rPr>
        <w:t>ER</w:t>
      </w:r>
      <w:r w:rsidRPr="00316277">
        <w:rPr>
          <w:rFonts w:hint="eastAsia"/>
          <w:b/>
          <w:bCs/>
          <w:sz w:val="22"/>
          <w:szCs w:val="22"/>
          <w:u w:val="single"/>
        </w:rPr>
        <w:t> </w:t>
      </w:r>
      <w:r w:rsidRPr="00316277">
        <w:rPr>
          <w:b/>
          <w:bCs/>
          <w:sz w:val="22"/>
          <w:szCs w:val="22"/>
          <w:u w:val="single"/>
        </w:rPr>
        <w:t>AVRIL</w:t>
      </w:r>
      <w:r w:rsidRPr="00316277">
        <w:rPr>
          <w:rFonts w:hint="eastAsia"/>
          <w:b/>
          <w:bCs/>
          <w:sz w:val="22"/>
          <w:szCs w:val="22"/>
          <w:u w:val="single"/>
        </w:rPr>
        <w:t> </w:t>
      </w:r>
      <w:r w:rsidRPr="00316277">
        <w:rPr>
          <w:b/>
          <w:bCs/>
          <w:sz w:val="22"/>
          <w:szCs w:val="22"/>
          <w:u w:val="single"/>
        </w:rPr>
        <w:t>2027</w:t>
      </w:r>
    </w:p>
    <w:p w14:paraId="7ABD3017" w14:textId="77777777" w:rsidR="00F02459" w:rsidRPr="00280FE6" w:rsidRDefault="00F02459" w:rsidP="00F02459">
      <w:pPr>
        <w:spacing w:after="19"/>
        <w:ind w:left="867" w:right="1164"/>
        <w:jc w:val="center"/>
        <w:rPr>
          <w:b/>
          <w:i/>
          <w:sz w:val="16"/>
          <w:szCs w:val="16"/>
        </w:rPr>
      </w:pPr>
      <w:r w:rsidRPr="00316277">
        <w:rPr>
          <w:b/>
          <w:i/>
          <w:color w:val="404040"/>
          <w:sz w:val="16"/>
          <w:szCs w:val="16"/>
        </w:rPr>
        <w:t>POUR LES SECTEURS DE LA SANTÉ ET DES SERVICES SOCIAUX, DES CENTRES DE SERVICES SCOLAIRES ET DES COMMISSIONS SCOLAIRES ET DES COLLÈGES</w:t>
      </w:r>
    </w:p>
    <w:p w14:paraId="38241592" w14:textId="14E7CB48" w:rsidR="00AD0929" w:rsidRPr="00817779" w:rsidRDefault="00AD0929" w:rsidP="00817779">
      <w:pPr>
        <w:keepNext w:val="0"/>
        <w:ind w:left="992" w:right="2767"/>
        <w:rPr>
          <w:sz w:val="6"/>
          <w:szCs w:val="12"/>
        </w:rPr>
      </w:pPr>
    </w:p>
    <w:tbl>
      <w:tblPr>
        <w:tblW w:w="13592" w:type="dxa"/>
        <w:tblInd w:w="557" w:type="dxa"/>
        <w:tblCellMar>
          <w:top w:w="15" w:type="dxa"/>
          <w:left w:w="70" w:type="dxa"/>
          <w:right w:w="70" w:type="dxa"/>
        </w:tblCellMar>
        <w:tblLook w:val="04A0" w:firstRow="1" w:lastRow="0" w:firstColumn="1" w:lastColumn="0" w:noHBand="0" w:noVBand="1"/>
      </w:tblPr>
      <w:tblGrid>
        <w:gridCol w:w="1175"/>
        <w:gridCol w:w="581"/>
        <w:gridCol w:w="581"/>
        <w:gridCol w:w="580"/>
        <w:gridCol w:w="580"/>
        <w:gridCol w:w="580"/>
        <w:gridCol w:w="580"/>
        <w:gridCol w:w="580"/>
        <w:gridCol w:w="580"/>
        <w:gridCol w:w="580"/>
        <w:gridCol w:w="580"/>
        <w:gridCol w:w="580"/>
        <w:gridCol w:w="580"/>
        <w:gridCol w:w="580"/>
        <w:gridCol w:w="580"/>
        <w:gridCol w:w="580"/>
        <w:gridCol w:w="580"/>
        <w:gridCol w:w="580"/>
        <w:gridCol w:w="580"/>
        <w:gridCol w:w="1174"/>
        <w:gridCol w:w="801"/>
      </w:tblGrid>
      <w:tr w:rsidR="00F06615" w:rsidRPr="006B5782" w14:paraId="7462E6BB" w14:textId="77777777" w:rsidTr="00F06615">
        <w:trPr>
          <w:trHeight w:val="113"/>
        </w:trPr>
        <w:tc>
          <w:tcPr>
            <w:tcW w:w="1175" w:type="dxa"/>
            <w:tcBorders>
              <w:top w:val="nil"/>
              <w:left w:val="nil"/>
              <w:bottom w:val="single" w:sz="8" w:space="0" w:color="auto"/>
              <w:right w:val="nil"/>
            </w:tcBorders>
            <w:shd w:val="clear" w:color="auto" w:fill="auto"/>
            <w:noWrap/>
            <w:vAlign w:val="bottom"/>
            <w:hideMark/>
          </w:tcPr>
          <w:p w14:paraId="71FE8328" w14:textId="77777777" w:rsidR="00F06615" w:rsidRPr="0058660C" w:rsidRDefault="00F06615" w:rsidP="008E6D09">
            <w:pPr>
              <w:jc w:val="center"/>
              <w:rPr>
                <w:rFonts w:cs="Arial"/>
                <w:sz w:val="17"/>
                <w:szCs w:val="17"/>
                <w:lang w:eastAsia="fr-CA"/>
              </w:rPr>
            </w:pPr>
          </w:p>
        </w:tc>
        <w:tc>
          <w:tcPr>
            <w:tcW w:w="10442" w:type="dxa"/>
            <w:gridSpan w:val="18"/>
            <w:tcBorders>
              <w:top w:val="single" w:sz="8" w:space="0" w:color="auto"/>
              <w:left w:val="single" w:sz="8" w:space="0" w:color="auto"/>
              <w:bottom w:val="single" w:sz="8" w:space="0" w:color="auto"/>
              <w:right w:val="single" w:sz="8" w:space="0" w:color="000000"/>
            </w:tcBorders>
            <w:shd w:val="clear" w:color="auto" w:fill="auto"/>
            <w:noWrap/>
            <w:tcMar>
              <w:top w:w="34" w:type="dxa"/>
              <w:left w:w="74" w:type="dxa"/>
              <w:bottom w:w="34" w:type="dxa"/>
              <w:right w:w="74" w:type="dxa"/>
            </w:tcMar>
            <w:vAlign w:val="center"/>
            <w:hideMark/>
          </w:tcPr>
          <w:p w14:paraId="4BFA79D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Échelons</w:t>
            </w:r>
          </w:p>
        </w:tc>
        <w:tc>
          <w:tcPr>
            <w:tcW w:w="1174" w:type="dxa"/>
            <w:tcBorders>
              <w:top w:val="nil"/>
              <w:left w:val="nil"/>
              <w:bottom w:val="nil"/>
              <w:right w:val="nil"/>
            </w:tcBorders>
            <w:shd w:val="clear" w:color="auto" w:fill="auto"/>
            <w:noWrap/>
            <w:vAlign w:val="bottom"/>
            <w:hideMark/>
          </w:tcPr>
          <w:p w14:paraId="6321CF27" w14:textId="77777777" w:rsidR="00F06615" w:rsidRPr="006B5782" w:rsidRDefault="00F06615" w:rsidP="008E6D09">
            <w:pPr>
              <w:jc w:val="center"/>
              <w:rPr>
                <w:rFonts w:cs="Arial"/>
                <w:b/>
                <w:bCs/>
                <w:color w:val="000000"/>
                <w:sz w:val="17"/>
                <w:szCs w:val="17"/>
                <w:highlight w:val="lightGray"/>
                <w:lang w:eastAsia="fr-CA"/>
              </w:rPr>
            </w:pPr>
          </w:p>
        </w:tc>
        <w:tc>
          <w:tcPr>
            <w:tcW w:w="801" w:type="dxa"/>
            <w:tcBorders>
              <w:top w:val="nil"/>
              <w:left w:val="nil"/>
              <w:bottom w:val="nil"/>
              <w:right w:val="nil"/>
            </w:tcBorders>
            <w:shd w:val="clear" w:color="auto" w:fill="auto"/>
            <w:noWrap/>
            <w:vAlign w:val="bottom"/>
            <w:hideMark/>
          </w:tcPr>
          <w:p w14:paraId="2314EA07" w14:textId="77777777" w:rsidR="00F06615" w:rsidRPr="00316277" w:rsidRDefault="00F06615" w:rsidP="008E6D09">
            <w:pPr>
              <w:jc w:val="center"/>
              <w:rPr>
                <w:rFonts w:cs="Arial"/>
                <w:sz w:val="17"/>
                <w:szCs w:val="17"/>
                <w:lang w:eastAsia="fr-CA"/>
              </w:rPr>
            </w:pPr>
          </w:p>
        </w:tc>
      </w:tr>
      <w:tr w:rsidR="00F06615" w:rsidRPr="006B5782" w14:paraId="17846791" w14:textId="77777777" w:rsidTr="00F06615">
        <w:trPr>
          <w:trHeight w:val="113"/>
        </w:trPr>
        <w:tc>
          <w:tcPr>
            <w:tcW w:w="1175" w:type="dxa"/>
            <w:tcBorders>
              <w:top w:val="single" w:sz="8" w:space="0" w:color="auto"/>
              <w:left w:val="single" w:sz="8" w:space="0" w:color="auto"/>
              <w:bottom w:val="nil"/>
              <w:right w:val="nil"/>
            </w:tcBorders>
            <w:shd w:val="clear" w:color="auto" w:fill="auto"/>
            <w:noWrap/>
            <w:vAlign w:val="center"/>
            <w:hideMark/>
          </w:tcPr>
          <w:p w14:paraId="113A8C1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581" w:type="dxa"/>
            <w:tcBorders>
              <w:top w:val="nil"/>
              <w:left w:val="single" w:sz="8" w:space="0" w:color="auto"/>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0E1E423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9DF710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C00F29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B674FC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56CD66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5B6A9F2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467DA8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3F366A1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58FFAE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F99128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E68E87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9AAD6C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9FE56F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4D5A8D2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25E5179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60C5AA5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0" w:type="dxa"/>
            <w:tcBorders>
              <w:top w:val="nil"/>
              <w:left w:val="nil"/>
              <w:bottom w:val="single" w:sz="8" w:space="0" w:color="auto"/>
              <w:right w:val="single" w:sz="4" w:space="0" w:color="auto"/>
            </w:tcBorders>
            <w:shd w:val="clear" w:color="000000" w:fill="FFFFFF"/>
            <w:tcMar>
              <w:top w:w="34" w:type="dxa"/>
              <w:left w:w="74" w:type="dxa"/>
              <w:bottom w:w="34" w:type="dxa"/>
              <w:right w:w="74" w:type="dxa"/>
            </w:tcMar>
            <w:vAlign w:val="center"/>
            <w:hideMark/>
          </w:tcPr>
          <w:p w14:paraId="1A2543F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0" w:type="dxa"/>
            <w:tcBorders>
              <w:top w:val="nil"/>
              <w:left w:val="nil"/>
              <w:bottom w:val="single" w:sz="8" w:space="0" w:color="auto"/>
              <w:right w:val="single" w:sz="8" w:space="0" w:color="auto"/>
            </w:tcBorders>
            <w:shd w:val="clear" w:color="000000" w:fill="FFFFFF"/>
            <w:tcMar>
              <w:top w:w="34" w:type="dxa"/>
              <w:left w:w="74" w:type="dxa"/>
              <w:bottom w:w="34" w:type="dxa"/>
              <w:right w:w="74" w:type="dxa"/>
            </w:tcMar>
            <w:vAlign w:val="center"/>
            <w:hideMark/>
          </w:tcPr>
          <w:p w14:paraId="22AE466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14:paraId="12D0DE0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Rangements</w:t>
            </w:r>
          </w:p>
        </w:tc>
        <w:tc>
          <w:tcPr>
            <w:tcW w:w="801" w:type="dxa"/>
            <w:tcBorders>
              <w:top w:val="single" w:sz="8" w:space="0" w:color="auto"/>
              <w:left w:val="nil"/>
              <w:bottom w:val="nil"/>
              <w:right w:val="single" w:sz="8" w:space="0" w:color="auto"/>
            </w:tcBorders>
            <w:shd w:val="clear" w:color="000000" w:fill="FFFFFF"/>
            <w:vAlign w:val="center"/>
            <w:hideMark/>
          </w:tcPr>
          <w:p w14:paraId="71E273E1" w14:textId="77777777" w:rsidR="00F06615" w:rsidRPr="00316277" w:rsidRDefault="00F06615" w:rsidP="008E6D09">
            <w:pPr>
              <w:jc w:val="center"/>
              <w:rPr>
                <w:rFonts w:cs="Arial"/>
                <w:b/>
                <w:bCs/>
                <w:color w:val="000000"/>
                <w:sz w:val="17"/>
                <w:szCs w:val="17"/>
                <w:lang w:eastAsia="fr-CA"/>
              </w:rPr>
            </w:pPr>
            <w:r w:rsidRPr="00316277">
              <w:rPr>
                <w:rFonts w:cs="Arial"/>
                <w:b/>
                <w:bCs/>
                <w:color w:val="000000"/>
                <w:sz w:val="17"/>
                <w:szCs w:val="17"/>
                <w:lang w:eastAsia="fr-CA"/>
              </w:rPr>
              <w:t>Taux</w:t>
            </w:r>
            <w:r w:rsidRPr="00316277">
              <w:rPr>
                <w:rFonts w:cs="Arial"/>
                <w:b/>
                <w:bCs/>
                <w:color w:val="000000"/>
                <w:sz w:val="17"/>
                <w:szCs w:val="17"/>
                <w:lang w:eastAsia="fr-CA"/>
              </w:rPr>
              <w:br/>
              <w:t>uniques</w:t>
            </w:r>
          </w:p>
        </w:tc>
      </w:tr>
      <w:tr w:rsidR="00F06615" w:rsidRPr="006B5782" w14:paraId="56762604" w14:textId="77777777" w:rsidTr="00F06615">
        <w:trPr>
          <w:trHeight w:val="113"/>
        </w:trPr>
        <w:tc>
          <w:tcPr>
            <w:tcW w:w="1175" w:type="dxa"/>
            <w:tcBorders>
              <w:top w:val="single" w:sz="8" w:space="0" w:color="auto"/>
              <w:left w:val="single" w:sz="8" w:space="0" w:color="auto"/>
              <w:bottom w:val="single" w:sz="4" w:space="0" w:color="auto"/>
              <w:right w:val="nil"/>
            </w:tcBorders>
            <w:shd w:val="clear" w:color="000000" w:fill="FFFFFF"/>
            <w:vAlign w:val="center"/>
            <w:hideMark/>
          </w:tcPr>
          <w:p w14:paraId="4D85DDA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394F7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24,88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D7A8F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78BD8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0BC2A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38507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7501D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D3CA2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0007F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3EBD6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F4685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52ADB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DFFC0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D5A18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A3200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10477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919BE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16F5A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ADB4130"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7860C4B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w:t>
            </w:r>
          </w:p>
        </w:tc>
        <w:tc>
          <w:tcPr>
            <w:tcW w:w="801" w:type="dxa"/>
            <w:tcBorders>
              <w:top w:val="single" w:sz="8" w:space="0" w:color="auto"/>
              <w:left w:val="nil"/>
              <w:bottom w:val="single" w:sz="4" w:space="0" w:color="auto"/>
              <w:right w:val="single" w:sz="8" w:space="0" w:color="auto"/>
            </w:tcBorders>
            <w:shd w:val="clear" w:color="auto" w:fill="auto"/>
            <w:vAlign w:val="center"/>
          </w:tcPr>
          <w:p w14:paraId="3368CC66"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24,88</w:t>
            </w:r>
          </w:p>
        </w:tc>
      </w:tr>
      <w:tr w:rsidR="00F06615" w:rsidRPr="006B5782" w14:paraId="2D3A74CB" w14:textId="77777777" w:rsidTr="00F06615">
        <w:trPr>
          <w:trHeight w:val="113"/>
        </w:trPr>
        <w:tc>
          <w:tcPr>
            <w:tcW w:w="1175" w:type="dxa"/>
            <w:tcBorders>
              <w:top w:val="single" w:sz="4" w:space="0" w:color="auto"/>
              <w:left w:val="single" w:sz="8" w:space="0" w:color="auto"/>
              <w:bottom w:val="single" w:sz="4" w:space="0" w:color="auto"/>
              <w:right w:val="nil"/>
            </w:tcBorders>
            <w:shd w:val="clear" w:color="000000" w:fill="FFFFFF"/>
            <w:vAlign w:val="center"/>
            <w:hideMark/>
          </w:tcPr>
          <w:p w14:paraId="0D9D53C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7A4AB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25,22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665AC1"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B47C2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0B961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89097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3D7E7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29595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55750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78B67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FCAA0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12B9B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6C455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AC6DC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FD137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E156D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CE157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19F3C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AA9338B"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single" w:sz="4" w:space="0" w:color="auto"/>
              <w:left w:val="nil"/>
              <w:bottom w:val="single" w:sz="4" w:space="0" w:color="auto"/>
              <w:right w:val="single" w:sz="8" w:space="0" w:color="auto"/>
            </w:tcBorders>
            <w:shd w:val="clear" w:color="000000" w:fill="FFFFFF"/>
            <w:vAlign w:val="center"/>
          </w:tcPr>
          <w:p w14:paraId="682B1BB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w:t>
            </w:r>
          </w:p>
        </w:tc>
        <w:tc>
          <w:tcPr>
            <w:tcW w:w="801" w:type="dxa"/>
            <w:tcBorders>
              <w:top w:val="nil"/>
              <w:left w:val="nil"/>
              <w:bottom w:val="single" w:sz="4" w:space="0" w:color="auto"/>
              <w:right w:val="single" w:sz="8" w:space="0" w:color="auto"/>
            </w:tcBorders>
            <w:shd w:val="clear" w:color="auto" w:fill="auto"/>
            <w:vAlign w:val="center"/>
          </w:tcPr>
          <w:p w14:paraId="58D2E224"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25,22</w:t>
            </w:r>
          </w:p>
        </w:tc>
      </w:tr>
      <w:tr w:rsidR="00F06615" w:rsidRPr="006B5782" w14:paraId="3DF9C51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69F50E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8F0BB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25,37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5E1B9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5668D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0013C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02E0A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71451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73E50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25684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B1E2A8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51985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4E16A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C7BE5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DECA61"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06C7D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2DBD2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BE5B9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CD2C5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82BCA92"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6307144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3</w:t>
            </w:r>
          </w:p>
        </w:tc>
        <w:tc>
          <w:tcPr>
            <w:tcW w:w="801" w:type="dxa"/>
            <w:tcBorders>
              <w:top w:val="nil"/>
              <w:left w:val="nil"/>
              <w:bottom w:val="single" w:sz="4" w:space="0" w:color="auto"/>
              <w:right w:val="single" w:sz="8" w:space="0" w:color="auto"/>
            </w:tcBorders>
            <w:shd w:val="clear" w:color="auto" w:fill="auto"/>
            <w:vAlign w:val="center"/>
          </w:tcPr>
          <w:p w14:paraId="21A1244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25,60</w:t>
            </w:r>
          </w:p>
        </w:tc>
      </w:tr>
      <w:tr w:rsidR="00F06615" w:rsidRPr="006B5782" w14:paraId="6D2C189F"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20B8CA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020A9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25,54</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24DF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8E58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E45B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86F99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822576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7F9E5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EAA25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E6192B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045F3B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A3625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FF5EB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3E0AD6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68690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91976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69C88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3F67F1"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5837486"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0F1A08B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4</w:t>
            </w:r>
          </w:p>
        </w:tc>
        <w:tc>
          <w:tcPr>
            <w:tcW w:w="801" w:type="dxa"/>
            <w:tcBorders>
              <w:top w:val="nil"/>
              <w:left w:val="nil"/>
              <w:bottom w:val="single" w:sz="4" w:space="0" w:color="auto"/>
              <w:right w:val="single" w:sz="8" w:space="0" w:color="auto"/>
            </w:tcBorders>
            <w:shd w:val="clear" w:color="auto" w:fill="auto"/>
            <w:vAlign w:val="center"/>
          </w:tcPr>
          <w:p w14:paraId="74CCBAED"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26,12</w:t>
            </w:r>
          </w:p>
        </w:tc>
      </w:tr>
      <w:tr w:rsidR="00F06615" w:rsidRPr="006B5782" w14:paraId="6282BF50"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FB975C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8E87AC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25,77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BA3D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C49D4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D33F5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3167B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65788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CEB09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592B8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E7CD5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BE0AC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B1462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DCD3F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BC21A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64516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946DD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4656C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7CC8D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C30EBBF"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1BD0AE7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5</w:t>
            </w:r>
          </w:p>
        </w:tc>
        <w:tc>
          <w:tcPr>
            <w:tcW w:w="801" w:type="dxa"/>
            <w:tcBorders>
              <w:top w:val="nil"/>
              <w:left w:val="nil"/>
              <w:bottom w:val="single" w:sz="4" w:space="0" w:color="auto"/>
              <w:right w:val="single" w:sz="8" w:space="0" w:color="auto"/>
            </w:tcBorders>
            <w:shd w:val="clear" w:color="auto" w:fill="auto"/>
            <w:vAlign w:val="center"/>
          </w:tcPr>
          <w:p w14:paraId="2FC2E2C7"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26,79</w:t>
            </w:r>
          </w:p>
        </w:tc>
      </w:tr>
      <w:tr w:rsidR="00F06615" w:rsidRPr="006B5782" w14:paraId="4DDB32A4"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CF243C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51F938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25,96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6B27D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E32F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B091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DDB3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27,69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3C743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42603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71940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948313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95346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07D49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7487A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847B0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710E0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33920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7724C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CB1CF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A2329CA"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2207001A"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6</w:t>
            </w:r>
          </w:p>
        </w:tc>
        <w:tc>
          <w:tcPr>
            <w:tcW w:w="801" w:type="dxa"/>
            <w:tcBorders>
              <w:top w:val="nil"/>
              <w:left w:val="nil"/>
              <w:bottom w:val="single" w:sz="4" w:space="0" w:color="auto"/>
              <w:right w:val="single" w:sz="8" w:space="0" w:color="auto"/>
            </w:tcBorders>
            <w:shd w:val="clear" w:color="auto" w:fill="auto"/>
            <w:vAlign w:val="center"/>
          </w:tcPr>
          <w:p w14:paraId="019BB77F"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27,56</w:t>
            </w:r>
          </w:p>
        </w:tc>
      </w:tr>
      <w:tr w:rsidR="00F06615" w:rsidRPr="006B5782" w14:paraId="57CDCE03"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D329D8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49D376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26,31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7226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30A27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27,45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D54F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4D2D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C6226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231C6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05FB8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8F4EE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5D293C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7B814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1A2CD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36537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2C307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4CA01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A6A88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9B83B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619641D"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4722A75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7</w:t>
            </w:r>
          </w:p>
        </w:tc>
        <w:tc>
          <w:tcPr>
            <w:tcW w:w="801" w:type="dxa"/>
            <w:tcBorders>
              <w:top w:val="nil"/>
              <w:left w:val="nil"/>
              <w:bottom w:val="single" w:sz="4" w:space="0" w:color="auto"/>
              <w:right w:val="single" w:sz="8" w:space="0" w:color="auto"/>
            </w:tcBorders>
            <w:shd w:val="clear" w:color="auto" w:fill="auto"/>
            <w:vAlign w:val="center"/>
          </w:tcPr>
          <w:p w14:paraId="177AA9B9"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28,44</w:t>
            </w:r>
          </w:p>
        </w:tc>
      </w:tr>
      <w:tr w:rsidR="00F06615" w:rsidRPr="006B5782" w14:paraId="53ACB99A"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D651E9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B531D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26,51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A4B21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50AE9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45A9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28,35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8354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5398B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29,65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1726C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36BEB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401F7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040B0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27A32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AAA49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79597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6A535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0C2F6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82A95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A6D67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67EF3CA"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7F5B74A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8</w:t>
            </w:r>
          </w:p>
        </w:tc>
        <w:tc>
          <w:tcPr>
            <w:tcW w:w="801" w:type="dxa"/>
            <w:tcBorders>
              <w:top w:val="nil"/>
              <w:left w:val="nil"/>
              <w:bottom w:val="single" w:sz="4" w:space="0" w:color="auto"/>
              <w:right w:val="single" w:sz="8" w:space="0" w:color="auto"/>
            </w:tcBorders>
            <w:shd w:val="clear" w:color="auto" w:fill="auto"/>
            <w:vAlign w:val="center"/>
          </w:tcPr>
          <w:p w14:paraId="7298316B"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29,36</w:t>
            </w:r>
          </w:p>
        </w:tc>
      </w:tr>
      <w:tr w:rsidR="00F06615" w:rsidRPr="006B5782" w14:paraId="23109B5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245919C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93F5A3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26,73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E749E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FD593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539F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71B68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7DAB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2300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C8851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A6CFC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7DA18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9AB2E5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1D4EB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629D0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2ECC6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63F0A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14AFE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AC29D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2CD4A63"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38AB7D6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9</w:t>
            </w:r>
          </w:p>
        </w:tc>
        <w:tc>
          <w:tcPr>
            <w:tcW w:w="801" w:type="dxa"/>
            <w:tcBorders>
              <w:top w:val="nil"/>
              <w:left w:val="nil"/>
              <w:bottom w:val="single" w:sz="4" w:space="0" w:color="auto"/>
              <w:right w:val="single" w:sz="8" w:space="0" w:color="auto"/>
            </w:tcBorders>
            <w:shd w:val="clear" w:color="auto" w:fill="auto"/>
            <w:vAlign w:val="center"/>
          </w:tcPr>
          <w:p w14:paraId="25F780B0"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30,39</w:t>
            </w:r>
          </w:p>
        </w:tc>
      </w:tr>
      <w:tr w:rsidR="00F06615" w:rsidRPr="006B5782" w14:paraId="07E33C80"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4F24CD7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1EB65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27,07</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EA222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27,70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057B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59FA3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E11DF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4794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2A10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CDE9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29039F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0C8B6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4BC92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6FCD1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1B6D2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3758C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56459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B9075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5AE7F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881253A"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auto" w:fill="auto"/>
            <w:vAlign w:val="center"/>
          </w:tcPr>
          <w:p w14:paraId="6D7DF4A4"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10</w:t>
            </w:r>
          </w:p>
        </w:tc>
        <w:tc>
          <w:tcPr>
            <w:tcW w:w="801" w:type="dxa"/>
            <w:tcBorders>
              <w:top w:val="nil"/>
              <w:left w:val="nil"/>
              <w:bottom w:val="single" w:sz="4" w:space="0" w:color="auto"/>
              <w:right w:val="single" w:sz="8" w:space="0" w:color="auto"/>
            </w:tcBorders>
            <w:shd w:val="clear" w:color="auto" w:fill="auto"/>
            <w:vAlign w:val="center"/>
          </w:tcPr>
          <w:p w14:paraId="141F17DD"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31,52</w:t>
            </w:r>
          </w:p>
        </w:tc>
      </w:tr>
      <w:tr w:rsidR="00F06615" w:rsidRPr="006B5782" w14:paraId="469505CF"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3394AB5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97E860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27,44</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E83DF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9EFA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F87BE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B577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BEE04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ADF49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8DB3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34C3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2DC92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8B086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CD4CF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0DECB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3E9AD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C7283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5E6DF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AE99F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C5579C4"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auto" w:fill="auto"/>
            <w:vAlign w:val="center"/>
          </w:tcPr>
          <w:p w14:paraId="462D105F"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11</w:t>
            </w:r>
          </w:p>
        </w:tc>
        <w:tc>
          <w:tcPr>
            <w:tcW w:w="801" w:type="dxa"/>
            <w:tcBorders>
              <w:top w:val="nil"/>
              <w:left w:val="nil"/>
              <w:bottom w:val="single" w:sz="4" w:space="0" w:color="auto"/>
              <w:right w:val="single" w:sz="8" w:space="0" w:color="auto"/>
            </w:tcBorders>
            <w:shd w:val="clear" w:color="auto" w:fill="auto"/>
            <w:vAlign w:val="center"/>
          </w:tcPr>
          <w:p w14:paraId="49D9E0E1"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32,71</w:t>
            </w:r>
          </w:p>
        </w:tc>
      </w:tr>
      <w:tr w:rsidR="00F06615" w:rsidRPr="006B5782" w14:paraId="2F6E65B7" w14:textId="77777777" w:rsidTr="00F06615">
        <w:trPr>
          <w:trHeight w:val="113"/>
        </w:trPr>
        <w:tc>
          <w:tcPr>
            <w:tcW w:w="1175" w:type="dxa"/>
            <w:tcBorders>
              <w:top w:val="nil"/>
              <w:left w:val="single" w:sz="8" w:space="0" w:color="auto"/>
              <w:bottom w:val="single" w:sz="4" w:space="0" w:color="auto"/>
              <w:right w:val="nil"/>
            </w:tcBorders>
            <w:shd w:val="clear" w:color="auto" w:fill="auto"/>
            <w:vAlign w:val="center"/>
            <w:hideMark/>
          </w:tcPr>
          <w:p w14:paraId="5E0CA98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6D02C8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27,86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4A2A3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7433A2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91ADBC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6D89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3D0B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F9EFE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75D24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11BC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6DBD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1080032"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FC479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536C5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70CCA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68FF1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0EBA9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193DA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65DE5E2"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auto" w:fill="auto"/>
            <w:vAlign w:val="center"/>
          </w:tcPr>
          <w:p w14:paraId="0B49093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12</w:t>
            </w:r>
          </w:p>
        </w:tc>
        <w:tc>
          <w:tcPr>
            <w:tcW w:w="801" w:type="dxa"/>
            <w:tcBorders>
              <w:top w:val="nil"/>
              <w:left w:val="nil"/>
              <w:bottom w:val="single" w:sz="4" w:space="0" w:color="auto"/>
              <w:right w:val="single" w:sz="8" w:space="0" w:color="auto"/>
            </w:tcBorders>
            <w:shd w:val="clear" w:color="auto" w:fill="auto"/>
            <w:vAlign w:val="center"/>
          </w:tcPr>
          <w:p w14:paraId="0BF41FA3"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33,87</w:t>
            </w:r>
          </w:p>
        </w:tc>
      </w:tr>
      <w:tr w:rsidR="00F06615" w:rsidRPr="006B5782" w14:paraId="59925AF6"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3940EB7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A96AA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28,26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26EB8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D26A0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DB4A5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BFD8B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E936D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EA0B4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BFAB1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1354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35,29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97764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35,72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A1788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36,55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9AB59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35C2D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581840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B3088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5B639C"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092A7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EAF0C6C"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3C7C4202"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13</w:t>
            </w:r>
          </w:p>
        </w:tc>
        <w:tc>
          <w:tcPr>
            <w:tcW w:w="801" w:type="dxa"/>
            <w:tcBorders>
              <w:top w:val="nil"/>
              <w:left w:val="nil"/>
              <w:bottom w:val="single" w:sz="4" w:space="0" w:color="auto"/>
              <w:right w:val="single" w:sz="8" w:space="0" w:color="auto"/>
            </w:tcBorders>
            <w:shd w:val="clear" w:color="auto" w:fill="auto"/>
            <w:vAlign w:val="center"/>
          </w:tcPr>
          <w:p w14:paraId="05FD181A"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35,23</w:t>
            </w:r>
          </w:p>
        </w:tc>
      </w:tr>
      <w:tr w:rsidR="00F06615" w:rsidRPr="006B5782" w14:paraId="4EB56346"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5EB86E1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463BF8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28,72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B72B6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080ED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2D34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5543F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1E28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0311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CCFF9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77167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A559F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36,61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798CA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15014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DE3C1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4B3DC41"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3156F4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5B8D99"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54225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5B73D54"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61B8767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14</w:t>
            </w:r>
          </w:p>
        </w:tc>
        <w:tc>
          <w:tcPr>
            <w:tcW w:w="801" w:type="dxa"/>
            <w:tcBorders>
              <w:top w:val="nil"/>
              <w:left w:val="nil"/>
              <w:bottom w:val="single" w:sz="4" w:space="0" w:color="auto"/>
              <w:right w:val="single" w:sz="8" w:space="0" w:color="auto"/>
            </w:tcBorders>
            <w:shd w:val="clear" w:color="auto" w:fill="auto"/>
            <w:vAlign w:val="center"/>
          </w:tcPr>
          <w:p w14:paraId="7CA485FE"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36,64</w:t>
            </w:r>
          </w:p>
        </w:tc>
      </w:tr>
      <w:tr w:rsidR="00F06615" w:rsidRPr="006B5782" w14:paraId="51ADB31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FAE53F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DD7F4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28,89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0DB61B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417A6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A02C7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7BD5D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33,04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BF19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2EF17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F21B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0C48D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53D4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1B3F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521B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0050B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325A238"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CD3674"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CAEE08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E7589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53EFE6F"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0CB3D72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15</w:t>
            </w:r>
          </w:p>
        </w:tc>
        <w:tc>
          <w:tcPr>
            <w:tcW w:w="801" w:type="dxa"/>
            <w:tcBorders>
              <w:top w:val="nil"/>
              <w:left w:val="nil"/>
              <w:bottom w:val="single" w:sz="4" w:space="0" w:color="auto"/>
              <w:right w:val="single" w:sz="8" w:space="0" w:color="auto"/>
            </w:tcBorders>
            <w:shd w:val="clear" w:color="auto" w:fill="auto"/>
            <w:vAlign w:val="center"/>
          </w:tcPr>
          <w:p w14:paraId="6A5172CB" w14:textId="77777777" w:rsidR="00F06615" w:rsidRPr="00316277" w:rsidRDefault="00F06615" w:rsidP="008E6D09">
            <w:pPr>
              <w:jc w:val="center"/>
              <w:rPr>
                <w:rFonts w:cs="Arial"/>
                <w:color w:val="000000"/>
                <w:sz w:val="17"/>
                <w:szCs w:val="17"/>
                <w:lang w:eastAsia="fr-CA"/>
              </w:rPr>
            </w:pPr>
            <w:r w:rsidRPr="00316277">
              <w:rPr>
                <w:rFonts w:cs="Arial"/>
                <w:color w:val="000000"/>
                <w:sz w:val="17"/>
                <w:szCs w:val="17"/>
                <w:lang w:eastAsia="fr-CA"/>
              </w:rPr>
              <w:t>38,22</w:t>
            </w:r>
          </w:p>
        </w:tc>
      </w:tr>
      <w:tr w:rsidR="00F06615" w:rsidRPr="006B5782" w14:paraId="322CAB3A"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FBCF91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FAC98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29,39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63930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0D8C8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D3F3A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3614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CC71E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35,24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3992A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36,54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4BC59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37,90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8D58E7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C7246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9CC4DA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DCC998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D2B7697"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771337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CCFD69D"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6906F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43D524E"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2F8B37A1"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0AE1E54C"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16</w:t>
            </w:r>
          </w:p>
        </w:tc>
        <w:tc>
          <w:tcPr>
            <w:tcW w:w="801" w:type="dxa"/>
            <w:tcBorders>
              <w:top w:val="nil"/>
              <w:left w:val="nil"/>
              <w:bottom w:val="single" w:sz="4" w:space="0" w:color="auto"/>
              <w:right w:val="single" w:sz="8" w:space="0" w:color="auto"/>
            </w:tcBorders>
            <w:shd w:val="clear" w:color="auto" w:fill="auto"/>
            <w:vAlign w:val="center"/>
          </w:tcPr>
          <w:p w14:paraId="172644DE" w14:textId="77777777" w:rsidR="00F06615" w:rsidRPr="00316277" w:rsidRDefault="00F06615" w:rsidP="008E6D09">
            <w:pPr>
              <w:jc w:val="center"/>
              <w:rPr>
                <w:rFonts w:cs="Arial"/>
                <w:color w:val="000000"/>
                <w:sz w:val="17"/>
                <w:szCs w:val="17"/>
                <w:lang w:eastAsia="fr-CA"/>
              </w:rPr>
            </w:pPr>
          </w:p>
        </w:tc>
      </w:tr>
      <w:tr w:rsidR="00F06615" w:rsidRPr="006B5782" w14:paraId="5C854AAD"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76B19AD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168E5B5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29,90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E51D5D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31,10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867C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5A15A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FD25B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9CE85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8981E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488AC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FFC4C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2E29F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0CD0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B074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A6948EB"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1F2EA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4D5086"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1703B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F55D10"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59001EC1"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74A8BA3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17</w:t>
            </w:r>
          </w:p>
        </w:tc>
        <w:tc>
          <w:tcPr>
            <w:tcW w:w="801" w:type="dxa"/>
            <w:tcBorders>
              <w:top w:val="nil"/>
              <w:left w:val="nil"/>
              <w:bottom w:val="single" w:sz="4" w:space="0" w:color="auto"/>
              <w:right w:val="single" w:sz="8" w:space="0" w:color="auto"/>
            </w:tcBorders>
            <w:shd w:val="clear" w:color="auto" w:fill="auto"/>
            <w:vAlign w:val="center"/>
          </w:tcPr>
          <w:p w14:paraId="07FBA8BF" w14:textId="77777777" w:rsidR="00F06615" w:rsidRPr="00316277" w:rsidRDefault="00F06615" w:rsidP="008E6D09">
            <w:pPr>
              <w:jc w:val="center"/>
              <w:rPr>
                <w:rFonts w:cs="Arial"/>
                <w:color w:val="000000"/>
                <w:sz w:val="17"/>
                <w:szCs w:val="17"/>
                <w:lang w:eastAsia="fr-CA"/>
              </w:rPr>
            </w:pPr>
          </w:p>
        </w:tc>
      </w:tr>
      <w:tr w:rsidR="00F06615" w:rsidRPr="006B5782" w14:paraId="6482F961"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08EBDE5"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F17B50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30,11</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87FE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31,42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2CBBF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E3397E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34,28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5709A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35,78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192C6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C80B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7DA37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9F5D4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42,25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6F6F5E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45267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E090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46,73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1245B3"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08A72A"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01C681"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229314F"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15573A5" w14:textId="77777777" w:rsidR="00F06615" w:rsidRPr="006B5782" w:rsidRDefault="00F06615" w:rsidP="008E6D09">
            <w:pPr>
              <w:jc w:val="center"/>
              <w:rPr>
                <w:rFonts w:cs="Arial"/>
                <w:color w:val="000000"/>
                <w:sz w:val="17"/>
                <w:szCs w:val="17"/>
                <w:highlight w:val="lightGray"/>
                <w:lang w:eastAsia="fr-CA"/>
              </w:rPr>
            </w:pP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64279DF" w14:textId="77777777" w:rsidR="00F06615" w:rsidRPr="006B5782" w:rsidRDefault="00F06615" w:rsidP="008E6D09">
            <w:pPr>
              <w:jc w:val="center"/>
              <w:rPr>
                <w:rFonts w:cs="Arial"/>
                <w:color w:val="000000"/>
                <w:sz w:val="17"/>
                <w:szCs w:val="17"/>
                <w:highlight w:val="lightGray"/>
                <w:lang w:eastAsia="fr-CA"/>
              </w:rPr>
            </w:pPr>
          </w:p>
        </w:tc>
        <w:tc>
          <w:tcPr>
            <w:tcW w:w="1174" w:type="dxa"/>
            <w:tcBorders>
              <w:top w:val="nil"/>
              <w:left w:val="nil"/>
              <w:bottom w:val="single" w:sz="4" w:space="0" w:color="auto"/>
              <w:right w:val="single" w:sz="8" w:space="0" w:color="auto"/>
            </w:tcBorders>
            <w:shd w:val="clear" w:color="000000" w:fill="FFFFFF"/>
            <w:vAlign w:val="center"/>
          </w:tcPr>
          <w:p w14:paraId="6F4A66C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18</w:t>
            </w:r>
          </w:p>
        </w:tc>
        <w:tc>
          <w:tcPr>
            <w:tcW w:w="801" w:type="dxa"/>
            <w:tcBorders>
              <w:top w:val="nil"/>
              <w:left w:val="nil"/>
              <w:bottom w:val="single" w:sz="4" w:space="0" w:color="auto"/>
              <w:right w:val="single" w:sz="8" w:space="0" w:color="auto"/>
            </w:tcBorders>
            <w:shd w:val="clear" w:color="auto" w:fill="auto"/>
            <w:vAlign w:val="center"/>
          </w:tcPr>
          <w:p w14:paraId="1456E459" w14:textId="77777777" w:rsidR="00F06615" w:rsidRPr="00316277" w:rsidRDefault="00F06615" w:rsidP="008E6D09">
            <w:pPr>
              <w:jc w:val="center"/>
              <w:rPr>
                <w:rFonts w:cs="Arial"/>
                <w:color w:val="000000"/>
                <w:sz w:val="17"/>
                <w:szCs w:val="17"/>
                <w:lang w:eastAsia="fr-CA"/>
              </w:rPr>
            </w:pPr>
          </w:p>
        </w:tc>
      </w:tr>
      <w:tr w:rsidR="00F06615" w:rsidRPr="006B5782" w14:paraId="2A964B4C"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FA5F04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BFFBF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30,62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55934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FF45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32,49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197F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F321A4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27D4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35,53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0041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D279C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9693D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B39E1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39,64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C3B3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D051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42,06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C6418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CD85C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920F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45,53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957D44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77022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47,89</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59B71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49,09</w:t>
            </w:r>
          </w:p>
        </w:tc>
        <w:tc>
          <w:tcPr>
            <w:tcW w:w="1174" w:type="dxa"/>
            <w:tcBorders>
              <w:top w:val="nil"/>
              <w:left w:val="nil"/>
              <w:bottom w:val="single" w:sz="4" w:space="0" w:color="auto"/>
              <w:right w:val="single" w:sz="8" w:space="0" w:color="auto"/>
            </w:tcBorders>
            <w:shd w:val="clear" w:color="000000" w:fill="FFFFFF"/>
            <w:vAlign w:val="center"/>
          </w:tcPr>
          <w:p w14:paraId="375E570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19</w:t>
            </w:r>
          </w:p>
        </w:tc>
        <w:tc>
          <w:tcPr>
            <w:tcW w:w="801" w:type="dxa"/>
            <w:tcBorders>
              <w:top w:val="nil"/>
              <w:left w:val="nil"/>
              <w:bottom w:val="single" w:sz="4" w:space="0" w:color="auto"/>
              <w:right w:val="single" w:sz="8" w:space="0" w:color="auto"/>
            </w:tcBorders>
            <w:shd w:val="clear" w:color="auto" w:fill="auto"/>
            <w:vAlign w:val="center"/>
          </w:tcPr>
          <w:p w14:paraId="393E6ADC" w14:textId="77777777" w:rsidR="00F06615" w:rsidRPr="00316277" w:rsidRDefault="00F06615" w:rsidP="008E6D09">
            <w:pPr>
              <w:jc w:val="center"/>
              <w:rPr>
                <w:rFonts w:cs="Arial"/>
                <w:color w:val="000000"/>
                <w:sz w:val="17"/>
                <w:szCs w:val="17"/>
                <w:lang w:eastAsia="fr-CA"/>
              </w:rPr>
            </w:pPr>
          </w:p>
        </w:tc>
      </w:tr>
      <w:tr w:rsidR="00F06615" w:rsidRPr="006B5782" w14:paraId="35DA21C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2D3602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21B8A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31,09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96CF7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32,12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A315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33,14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712C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B5D4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B2E5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0B8AE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37,62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DCC12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8EB751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BF912A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4E970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05682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97A3E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45,09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BB5D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46,33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F75F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C21A14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48,88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3591D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50,21</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F28A59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51,58</w:t>
            </w:r>
          </w:p>
        </w:tc>
        <w:tc>
          <w:tcPr>
            <w:tcW w:w="1174" w:type="dxa"/>
            <w:tcBorders>
              <w:top w:val="nil"/>
              <w:left w:val="nil"/>
              <w:bottom w:val="single" w:sz="4" w:space="0" w:color="auto"/>
              <w:right w:val="single" w:sz="8" w:space="0" w:color="auto"/>
            </w:tcBorders>
            <w:shd w:val="clear" w:color="000000" w:fill="FFFFFF"/>
            <w:vAlign w:val="center"/>
          </w:tcPr>
          <w:p w14:paraId="0566874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20</w:t>
            </w:r>
          </w:p>
        </w:tc>
        <w:tc>
          <w:tcPr>
            <w:tcW w:w="801" w:type="dxa"/>
            <w:tcBorders>
              <w:top w:val="nil"/>
              <w:left w:val="nil"/>
              <w:bottom w:val="single" w:sz="4" w:space="0" w:color="auto"/>
              <w:right w:val="single" w:sz="8" w:space="0" w:color="auto"/>
            </w:tcBorders>
            <w:shd w:val="clear" w:color="auto" w:fill="auto"/>
            <w:vAlign w:val="center"/>
          </w:tcPr>
          <w:p w14:paraId="496153D6" w14:textId="77777777" w:rsidR="00F06615" w:rsidRPr="00316277" w:rsidRDefault="00F06615" w:rsidP="008E6D09">
            <w:pPr>
              <w:jc w:val="center"/>
              <w:rPr>
                <w:rFonts w:cs="Arial"/>
                <w:color w:val="000000"/>
                <w:sz w:val="17"/>
                <w:szCs w:val="17"/>
                <w:lang w:eastAsia="fr-CA"/>
              </w:rPr>
            </w:pPr>
          </w:p>
        </w:tc>
      </w:tr>
      <w:tr w:rsidR="00F06615" w:rsidRPr="006B5782" w14:paraId="4270439A"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C4F358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5C61C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31,63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C4699A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82354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41A2F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34,94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A15482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36,15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7DCE0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55651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D1403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E7ED3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837D4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6A6FD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C50D9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4BD99E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C4F0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392B9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49,69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A49FAA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2288E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52,65</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4EE9E4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54,20</w:t>
            </w:r>
          </w:p>
        </w:tc>
        <w:tc>
          <w:tcPr>
            <w:tcW w:w="1174" w:type="dxa"/>
            <w:tcBorders>
              <w:top w:val="nil"/>
              <w:left w:val="nil"/>
              <w:bottom w:val="single" w:sz="4" w:space="0" w:color="auto"/>
              <w:right w:val="single" w:sz="8" w:space="0" w:color="auto"/>
            </w:tcBorders>
            <w:shd w:val="clear" w:color="000000" w:fill="FFFFFF"/>
            <w:vAlign w:val="center"/>
          </w:tcPr>
          <w:p w14:paraId="7DFF182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21</w:t>
            </w:r>
          </w:p>
        </w:tc>
        <w:tc>
          <w:tcPr>
            <w:tcW w:w="801" w:type="dxa"/>
            <w:tcBorders>
              <w:top w:val="nil"/>
              <w:left w:val="nil"/>
              <w:bottom w:val="single" w:sz="4" w:space="0" w:color="auto"/>
              <w:right w:val="single" w:sz="8" w:space="0" w:color="auto"/>
            </w:tcBorders>
            <w:shd w:val="clear" w:color="auto" w:fill="auto"/>
            <w:vAlign w:val="center"/>
          </w:tcPr>
          <w:p w14:paraId="3E4D9C41" w14:textId="77777777" w:rsidR="00F06615" w:rsidRPr="00316277" w:rsidRDefault="00F06615" w:rsidP="008E6D09">
            <w:pPr>
              <w:jc w:val="center"/>
              <w:rPr>
                <w:rFonts w:cs="Arial"/>
                <w:color w:val="000000"/>
                <w:sz w:val="17"/>
                <w:szCs w:val="17"/>
                <w:lang w:eastAsia="fr-CA"/>
              </w:rPr>
            </w:pPr>
          </w:p>
        </w:tc>
      </w:tr>
      <w:tr w:rsidR="00F06615" w:rsidRPr="006B5782" w14:paraId="2FEA460E"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67DE4A8D"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55DEFAB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32,12</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645CD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EE0BB2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781D3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055EE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615DB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F9CDBF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39,75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FAFBD4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41,18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3FCC36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42,71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E211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CFD4F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2A80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67EFE5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0F009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396241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51,87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1F326B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82173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55,19</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0646BB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56,90</w:t>
            </w:r>
          </w:p>
        </w:tc>
        <w:tc>
          <w:tcPr>
            <w:tcW w:w="1174" w:type="dxa"/>
            <w:tcBorders>
              <w:top w:val="nil"/>
              <w:left w:val="nil"/>
              <w:bottom w:val="single" w:sz="4" w:space="0" w:color="auto"/>
              <w:right w:val="single" w:sz="8" w:space="0" w:color="auto"/>
            </w:tcBorders>
            <w:shd w:val="clear" w:color="000000" w:fill="FFFFFF"/>
            <w:vAlign w:val="center"/>
          </w:tcPr>
          <w:p w14:paraId="62A6E10E"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22</w:t>
            </w:r>
          </w:p>
        </w:tc>
        <w:tc>
          <w:tcPr>
            <w:tcW w:w="801" w:type="dxa"/>
            <w:tcBorders>
              <w:top w:val="nil"/>
              <w:left w:val="nil"/>
              <w:bottom w:val="single" w:sz="4" w:space="0" w:color="auto"/>
              <w:right w:val="single" w:sz="8" w:space="0" w:color="auto"/>
            </w:tcBorders>
            <w:shd w:val="clear" w:color="auto" w:fill="auto"/>
            <w:vAlign w:val="center"/>
          </w:tcPr>
          <w:p w14:paraId="3714B180" w14:textId="77777777" w:rsidR="00F06615" w:rsidRPr="00316277" w:rsidRDefault="00F06615" w:rsidP="008E6D09">
            <w:pPr>
              <w:jc w:val="center"/>
              <w:rPr>
                <w:rFonts w:cs="Arial"/>
                <w:color w:val="000000"/>
                <w:sz w:val="17"/>
                <w:szCs w:val="17"/>
                <w:lang w:eastAsia="fr-CA"/>
              </w:rPr>
            </w:pPr>
          </w:p>
        </w:tc>
      </w:tr>
      <w:tr w:rsidR="00F06615" w:rsidRPr="006B5782" w14:paraId="3053BC4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98E56A9"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749F677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32,58</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51F4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33,82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D2E5C7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69D89A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36,47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4B5EE3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37,89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2813A3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A3B96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40,84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E0BB72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7EF34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44,03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B47613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68D82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47,01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38A5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24E5D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50,68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92620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52,39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C7F9E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54,16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CB6F8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55,96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819E7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57,85</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75A976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59,77</w:t>
            </w:r>
          </w:p>
        </w:tc>
        <w:tc>
          <w:tcPr>
            <w:tcW w:w="1174" w:type="dxa"/>
            <w:tcBorders>
              <w:top w:val="nil"/>
              <w:left w:val="nil"/>
              <w:bottom w:val="single" w:sz="4" w:space="0" w:color="auto"/>
              <w:right w:val="single" w:sz="8" w:space="0" w:color="auto"/>
            </w:tcBorders>
            <w:shd w:val="clear" w:color="000000" w:fill="FFFFFF"/>
            <w:vAlign w:val="center"/>
          </w:tcPr>
          <w:p w14:paraId="0132FD17"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23</w:t>
            </w:r>
          </w:p>
        </w:tc>
        <w:tc>
          <w:tcPr>
            <w:tcW w:w="801" w:type="dxa"/>
            <w:tcBorders>
              <w:top w:val="nil"/>
              <w:left w:val="nil"/>
              <w:bottom w:val="single" w:sz="4" w:space="0" w:color="auto"/>
              <w:right w:val="single" w:sz="8" w:space="0" w:color="auto"/>
            </w:tcBorders>
            <w:shd w:val="clear" w:color="auto" w:fill="auto"/>
            <w:vAlign w:val="center"/>
          </w:tcPr>
          <w:p w14:paraId="1C241C05" w14:textId="77777777" w:rsidR="00F06615" w:rsidRPr="00316277" w:rsidRDefault="00F06615" w:rsidP="008E6D09">
            <w:pPr>
              <w:jc w:val="center"/>
              <w:rPr>
                <w:rFonts w:cs="Arial"/>
                <w:color w:val="000000"/>
                <w:sz w:val="17"/>
                <w:szCs w:val="17"/>
                <w:lang w:eastAsia="fr-CA"/>
              </w:rPr>
            </w:pPr>
          </w:p>
        </w:tc>
      </w:tr>
      <w:tr w:rsidR="00F06615" w:rsidRPr="006B5782" w14:paraId="2BD967E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176B4B6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A374D9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33,60</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6A8ACC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34,92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FF832D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FC3C95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37,74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511207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39,23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D1804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D705E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AD7554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44,05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1F0520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45,79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B869A7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47,13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E0F0F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1884E5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532B5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576456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54,76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51740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0DD3B2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58,60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336F1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60,61</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3A3954B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62,72</w:t>
            </w:r>
          </w:p>
        </w:tc>
        <w:tc>
          <w:tcPr>
            <w:tcW w:w="1174" w:type="dxa"/>
            <w:tcBorders>
              <w:top w:val="nil"/>
              <w:left w:val="nil"/>
              <w:bottom w:val="single" w:sz="4" w:space="0" w:color="auto"/>
              <w:right w:val="single" w:sz="8" w:space="0" w:color="auto"/>
            </w:tcBorders>
            <w:shd w:val="clear" w:color="000000" w:fill="FFFFFF"/>
            <w:vAlign w:val="center"/>
          </w:tcPr>
          <w:p w14:paraId="4473D376"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24</w:t>
            </w:r>
          </w:p>
        </w:tc>
        <w:tc>
          <w:tcPr>
            <w:tcW w:w="801" w:type="dxa"/>
            <w:tcBorders>
              <w:top w:val="nil"/>
              <w:left w:val="nil"/>
              <w:bottom w:val="single" w:sz="4" w:space="0" w:color="auto"/>
              <w:right w:val="single" w:sz="8" w:space="0" w:color="auto"/>
            </w:tcBorders>
            <w:shd w:val="clear" w:color="auto" w:fill="auto"/>
            <w:vAlign w:val="center"/>
          </w:tcPr>
          <w:p w14:paraId="2A842DAF" w14:textId="77777777" w:rsidR="00F06615" w:rsidRPr="00316277" w:rsidRDefault="00F06615" w:rsidP="008E6D09">
            <w:pPr>
              <w:jc w:val="center"/>
              <w:rPr>
                <w:rFonts w:cs="Arial"/>
                <w:color w:val="000000"/>
                <w:sz w:val="17"/>
                <w:szCs w:val="17"/>
                <w:lang w:eastAsia="fr-CA"/>
              </w:rPr>
            </w:pPr>
          </w:p>
        </w:tc>
      </w:tr>
      <w:tr w:rsidR="00F06615" w:rsidRPr="006B5782" w14:paraId="1FA6491B"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E7477F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652A1C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34,06</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B9A5D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C01FD1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36,97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3577C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38,51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0E59B5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40,11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28E40B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655873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A3147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FA083F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F2ADA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48,66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7FC0E1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50,67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B4A9C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52,77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CE2C81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54,99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239B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56,98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806339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59,07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0F5306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61,22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94F648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63,47</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15D1030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65,79</w:t>
            </w:r>
          </w:p>
        </w:tc>
        <w:tc>
          <w:tcPr>
            <w:tcW w:w="1174" w:type="dxa"/>
            <w:tcBorders>
              <w:top w:val="nil"/>
              <w:left w:val="nil"/>
              <w:bottom w:val="single" w:sz="4" w:space="0" w:color="auto"/>
              <w:right w:val="single" w:sz="8" w:space="0" w:color="auto"/>
            </w:tcBorders>
            <w:shd w:val="clear" w:color="000000" w:fill="FFFFFF"/>
            <w:vAlign w:val="center"/>
          </w:tcPr>
          <w:p w14:paraId="0E6D4DC1"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25</w:t>
            </w:r>
          </w:p>
        </w:tc>
        <w:tc>
          <w:tcPr>
            <w:tcW w:w="801" w:type="dxa"/>
            <w:tcBorders>
              <w:top w:val="nil"/>
              <w:left w:val="nil"/>
              <w:bottom w:val="single" w:sz="4" w:space="0" w:color="auto"/>
              <w:right w:val="single" w:sz="8" w:space="0" w:color="auto"/>
            </w:tcBorders>
            <w:shd w:val="clear" w:color="auto" w:fill="auto"/>
            <w:vAlign w:val="center"/>
          </w:tcPr>
          <w:p w14:paraId="124C996B" w14:textId="77777777" w:rsidR="00F06615" w:rsidRPr="00316277" w:rsidRDefault="00F06615" w:rsidP="008E6D09">
            <w:pPr>
              <w:jc w:val="center"/>
              <w:rPr>
                <w:rFonts w:cs="Arial"/>
                <w:color w:val="000000"/>
                <w:sz w:val="17"/>
                <w:szCs w:val="17"/>
                <w:lang w:eastAsia="fr-CA"/>
              </w:rPr>
            </w:pPr>
          </w:p>
        </w:tc>
      </w:tr>
      <w:tr w:rsidR="00F06615" w:rsidRPr="006B5782" w14:paraId="2C8F1AAA"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494F633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059EA0C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34,83</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8AE40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36,34</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85AFCC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37,91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59FE0B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39,52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17BB8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41,21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27303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43,02</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14D47A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44,86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CC208E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ADCC48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48,81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26C993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50,41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B3E4D2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52,59</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0220B1C"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54,83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511117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57,20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AD778A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59,38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73BFBD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61,63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338BC1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64,00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294DB0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66,44</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3A3947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68,97</w:t>
            </w:r>
          </w:p>
        </w:tc>
        <w:tc>
          <w:tcPr>
            <w:tcW w:w="1174" w:type="dxa"/>
            <w:tcBorders>
              <w:top w:val="nil"/>
              <w:left w:val="nil"/>
              <w:bottom w:val="single" w:sz="4" w:space="0" w:color="auto"/>
              <w:right w:val="single" w:sz="8" w:space="0" w:color="auto"/>
            </w:tcBorders>
            <w:shd w:val="clear" w:color="000000" w:fill="FFFFFF"/>
            <w:vAlign w:val="center"/>
          </w:tcPr>
          <w:p w14:paraId="1583EC9B"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26</w:t>
            </w:r>
          </w:p>
        </w:tc>
        <w:tc>
          <w:tcPr>
            <w:tcW w:w="801" w:type="dxa"/>
            <w:tcBorders>
              <w:top w:val="nil"/>
              <w:left w:val="nil"/>
              <w:bottom w:val="single" w:sz="4" w:space="0" w:color="auto"/>
              <w:right w:val="single" w:sz="8" w:space="0" w:color="auto"/>
            </w:tcBorders>
            <w:shd w:val="clear" w:color="auto" w:fill="auto"/>
            <w:vAlign w:val="center"/>
          </w:tcPr>
          <w:p w14:paraId="0118B973" w14:textId="77777777" w:rsidR="00F06615" w:rsidRPr="00316277" w:rsidRDefault="00F06615" w:rsidP="008E6D09">
            <w:pPr>
              <w:jc w:val="center"/>
              <w:rPr>
                <w:rFonts w:cs="Arial"/>
                <w:color w:val="000000"/>
                <w:sz w:val="17"/>
                <w:szCs w:val="17"/>
                <w:lang w:eastAsia="fr-CA"/>
              </w:rPr>
            </w:pPr>
          </w:p>
        </w:tc>
      </w:tr>
      <w:tr w:rsidR="00F06615" w:rsidRPr="006B5782" w14:paraId="76F60B58" w14:textId="77777777" w:rsidTr="00F06615">
        <w:trPr>
          <w:trHeight w:val="113"/>
        </w:trPr>
        <w:tc>
          <w:tcPr>
            <w:tcW w:w="1175" w:type="dxa"/>
            <w:tcBorders>
              <w:top w:val="nil"/>
              <w:left w:val="single" w:sz="8" w:space="0" w:color="auto"/>
              <w:bottom w:val="single" w:sz="4" w:space="0" w:color="auto"/>
              <w:right w:val="nil"/>
            </w:tcBorders>
            <w:shd w:val="clear" w:color="000000" w:fill="FFFFFF"/>
            <w:vAlign w:val="center"/>
            <w:hideMark/>
          </w:tcPr>
          <w:p w14:paraId="08FEB3D8"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581" w:type="dxa"/>
            <w:tcBorders>
              <w:top w:val="nil"/>
              <w:left w:val="single" w:sz="8" w:space="0" w:color="auto"/>
              <w:bottom w:val="single" w:sz="4" w:space="0" w:color="auto"/>
              <w:right w:val="single" w:sz="4" w:space="0" w:color="auto"/>
            </w:tcBorders>
            <w:shd w:val="clear" w:color="auto" w:fill="auto"/>
            <w:tcMar>
              <w:top w:w="28" w:type="dxa"/>
              <w:left w:w="74" w:type="dxa"/>
              <w:bottom w:w="28" w:type="dxa"/>
              <w:right w:w="74" w:type="dxa"/>
            </w:tcMar>
            <w:vAlign w:val="center"/>
          </w:tcPr>
          <w:p w14:paraId="2E461A6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35,59</w:t>
            </w:r>
          </w:p>
        </w:tc>
        <w:tc>
          <w:tcPr>
            <w:tcW w:w="581"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526FDB1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833DDC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38,80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8CEE45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40,58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419E1E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42,36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FFC12A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44,27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464E2FF"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46,27</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7D64FEF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48,31</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2695472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50,46</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7D6A64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52,20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B53A0D"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54,50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380B2C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56,93</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4B58578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59,48</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7220BCB"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102B1E00"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64,30</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612AA2C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66,85</w:t>
            </w:r>
          </w:p>
        </w:tc>
        <w:tc>
          <w:tcPr>
            <w:tcW w:w="580" w:type="dxa"/>
            <w:tcBorders>
              <w:top w:val="nil"/>
              <w:left w:val="nil"/>
              <w:bottom w:val="single" w:sz="4" w:space="0" w:color="auto"/>
              <w:right w:val="single" w:sz="4" w:space="0" w:color="auto"/>
            </w:tcBorders>
            <w:shd w:val="clear" w:color="auto" w:fill="auto"/>
            <w:tcMar>
              <w:top w:w="28" w:type="dxa"/>
              <w:left w:w="74" w:type="dxa"/>
              <w:bottom w:w="28" w:type="dxa"/>
              <w:right w:w="74" w:type="dxa"/>
            </w:tcMar>
            <w:vAlign w:val="center"/>
          </w:tcPr>
          <w:p w14:paraId="3BB31E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69,51</w:t>
            </w:r>
          </w:p>
        </w:tc>
        <w:tc>
          <w:tcPr>
            <w:tcW w:w="580" w:type="dxa"/>
            <w:tcBorders>
              <w:top w:val="nil"/>
              <w:left w:val="nil"/>
              <w:bottom w:val="single" w:sz="4" w:space="0" w:color="auto"/>
              <w:right w:val="single" w:sz="8" w:space="0" w:color="auto"/>
            </w:tcBorders>
            <w:shd w:val="clear" w:color="auto" w:fill="auto"/>
            <w:tcMar>
              <w:top w:w="28" w:type="dxa"/>
              <w:left w:w="74" w:type="dxa"/>
              <w:bottom w:w="28" w:type="dxa"/>
              <w:right w:w="74" w:type="dxa"/>
            </w:tcMar>
            <w:vAlign w:val="center"/>
          </w:tcPr>
          <w:p w14:paraId="61B76A1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72,24</w:t>
            </w:r>
          </w:p>
        </w:tc>
        <w:tc>
          <w:tcPr>
            <w:tcW w:w="1174" w:type="dxa"/>
            <w:tcBorders>
              <w:top w:val="nil"/>
              <w:left w:val="nil"/>
              <w:bottom w:val="single" w:sz="4" w:space="0" w:color="auto"/>
              <w:right w:val="single" w:sz="8" w:space="0" w:color="auto"/>
            </w:tcBorders>
            <w:shd w:val="clear" w:color="000000" w:fill="FFFFFF"/>
            <w:vAlign w:val="center"/>
          </w:tcPr>
          <w:p w14:paraId="546E642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27</w:t>
            </w:r>
          </w:p>
        </w:tc>
        <w:tc>
          <w:tcPr>
            <w:tcW w:w="801" w:type="dxa"/>
            <w:tcBorders>
              <w:top w:val="nil"/>
              <w:left w:val="nil"/>
              <w:bottom w:val="single" w:sz="4" w:space="0" w:color="auto"/>
              <w:right w:val="single" w:sz="8" w:space="0" w:color="auto"/>
            </w:tcBorders>
            <w:shd w:val="clear" w:color="auto" w:fill="auto"/>
            <w:vAlign w:val="center"/>
          </w:tcPr>
          <w:p w14:paraId="2A04030E" w14:textId="77777777" w:rsidR="00F06615" w:rsidRPr="00316277" w:rsidRDefault="00F06615" w:rsidP="008E6D09">
            <w:pPr>
              <w:jc w:val="center"/>
              <w:rPr>
                <w:rFonts w:cs="Arial"/>
                <w:color w:val="000000"/>
                <w:sz w:val="17"/>
                <w:szCs w:val="17"/>
                <w:lang w:eastAsia="fr-CA"/>
              </w:rPr>
            </w:pPr>
          </w:p>
        </w:tc>
      </w:tr>
      <w:tr w:rsidR="00F06615" w:rsidRPr="006B5782" w14:paraId="0DD74415" w14:textId="77777777" w:rsidTr="00F06615">
        <w:trPr>
          <w:trHeight w:val="113"/>
        </w:trPr>
        <w:tc>
          <w:tcPr>
            <w:tcW w:w="1175" w:type="dxa"/>
            <w:tcBorders>
              <w:top w:val="nil"/>
              <w:left w:val="single" w:sz="8" w:space="0" w:color="auto"/>
              <w:bottom w:val="single" w:sz="8" w:space="0" w:color="auto"/>
              <w:right w:val="nil"/>
            </w:tcBorders>
            <w:shd w:val="clear" w:color="000000" w:fill="FFFFFF"/>
            <w:vAlign w:val="center"/>
            <w:hideMark/>
          </w:tcPr>
          <w:p w14:paraId="581E3850"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581" w:type="dxa"/>
            <w:tcBorders>
              <w:top w:val="nil"/>
              <w:left w:val="single" w:sz="8" w:space="0" w:color="auto"/>
              <w:bottom w:val="single" w:sz="8" w:space="0" w:color="auto"/>
              <w:right w:val="single" w:sz="4" w:space="0" w:color="auto"/>
            </w:tcBorders>
            <w:shd w:val="clear" w:color="auto" w:fill="auto"/>
            <w:tcMar>
              <w:top w:w="28" w:type="dxa"/>
              <w:left w:w="74" w:type="dxa"/>
              <w:bottom w:w="28" w:type="dxa"/>
              <w:right w:w="74" w:type="dxa"/>
            </w:tcMar>
            <w:vAlign w:val="center"/>
          </w:tcPr>
          <w:p w14:paraId="1A632CF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36,04</w:t>
            </w:r>
          </w:p>
        </w:tc>
        <w:tc>
          <w:tcPr>
            <w:tcW w:w="581"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9C068F3"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37,74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5872A1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39,49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D6678D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41,31</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F36AAB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43,24</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F3F395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45,27</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788A8A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47,40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60BB293E"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49,59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072A252A"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51,92</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76E07679"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53,78</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C2E055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56,30</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2C8F4DA5"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58,93</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10A27C86"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61,69</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48FE264"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64,26</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5EECFBA1"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66,93</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447E3F82"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69,72</w:t>
            </w:r>
          </w:p>
        </w:tc>
        <w:tc>
          <w:tcPr>
            <w:tcW w:w="580" w:type="dxa"/>
            <w:tcBorders>
              <w:top w:val="nil"/>
              <w:left w:val="nil"/>
              <w:bottom w:val="single" w:sz="8" w:space="0" w:color="auto"/>
              <w:right w:val="single" w:sz="4" w:space="0" w:color="auto"/>
            </w:tcBorders>
            <w:shd w:val="clear" w:color="auto" w:fill="auto"/>
            <w:tcMar>
              <w:top w:w="28" w:type="dxa"/>
              <w:left w:w="74" w:type="dxa"/>
              <w:bottom w:w="28" w:type="dxa"/>
              <w:right w:w="74" w:type="dxa"/>
            </w:tcMar>
            <w:vAlign w:val="center"/>
          </w:tcPr>
          <w:p w14:paraId="3A5726E8"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72,62</w:t>
            </w:r>
          </w:p>
        </w:tc>
        <w:tc>
          <w:tcPr>
            <w:tcW w:w="580" w:type="dxa"/>
            <w:tcBorders>
              <w:top w:val="nil"/>
              <w:left w:val="nil"/>
              <w:bottom w:val="single" w:sz="8" w:space="0" w:color="auto"/>
              <w:right w:val="single" w:sz="8" w:space="0" w:color="auto"/>
            </w:tcBorders>
            <w:shd w:val="clear" w:color="auto" w:fill="auto"/>
            <w:tcMar>
              <w:top w:w="28" w:type="dxa"/>
              <w:left w:w="74" w:type="dxa"/>
              <w:bottom w:w="28" w:type="dxa"/>
              <w:right w:w="74" w:type="dxa"/>
            </w:tcMar>
            <w:vAlign w:val="center"/>
          </w:tcPr>
          <w:p w14:paraId="3C7C7377" w14:textId="77777777" w:rsidR="00F06615" w:rsidRPr="006B5782" w:rsidRDefault="00F06615" w:rsidP="008E6D09">
            <w:pPr>
              <w:jc w:val="center"/>
              <w:rPr>
                <w:rFonts w:cs="Arial"/>
                <w:color w:val="000000"/>
                <w:sz w:val="17"/>
                <w:szCs w:val="17"/>
                <w:highlight w:val="lightGray"/>
                <w:lang w:eastAsia="fr-CA"/>
              </w:rPr>
            </w:pPr>
            <w:r w:rsidRPr="00316277">
              <w:rPr>
                <w:rFonts w:cs="Arial"/>
                <w:color w:val="000000"/>
                <w:sz w:val="17"/>
                <w:szCs w:val="17"/>
                <w:lang w:eastAsia="fr-CA"/>
              </w:rPr>
              <w:t>75,67</w:t>
            </w:r>
          </w:p>
        </w:tc>
        <w:tc>
          <w:tcPr>
            <w:tcW w:w="1174" w:type="dxa"/>
            <w:tcBorders>
              <w:top w:val="nil"/>
              <w:left w:val="nil"/>
              <w:bottom w:val="single" w:sz="8" w:space="0" w:color="auto"/>
              <w:right w:val="single" w:sz="8" w:space="0" w:color="auto"/>
            </w:tcBorders>
            <w:shd w:val="clear" w:color="000000" w:fill="FFFFFF"/>
            <w:vAlign w:val="center"/>
          </w:tcPr>
          <w:p w14:paraId="0D666643" w14:textId="77777777" w:rsidR="00F06615" w:rsidRPr="006B5782" w:rsidRDefault="00F06615" w:rsidP="008E6D09">
            <w:pPr>
              <w:jc w:val="center"/>
              <w:rPr>
                <w:rFonts w:cs="Arial"/>
                <w:b/>
                <w:bCs/>
                <w:color w:val="000000"/>
                <w:sz w:val="17"/>
                <w:szCs w:val="17"/>
                <w:highlight w:val="lightGray"/>
                <w:lang w:eastAsia="fr-CA"/>
              </w:rPr>
            </w:pPr>
            <w:r w:rsidRPr="00316277">
              <w:rPr>
                <w:rFonts w:cs="Arial"/>
                <w:b/>
                <w:bCs/>
                <w:color w:val="000000"/>
                <w:sz w:val="17"/>
                <w:szCs w:val="17"/>
                <w:lang w:eastAsia="fr-CA"/>
              </w:rPr>
              <w:t>28</w:t>
            </w:r>
          </w:p>
        </w:tc>
        <w:tc>
          <w:tcPr>
            <w:tcW w:w="801" w:type="dxa"/>
            <w:tcBorders>
              <w:top w:val="nil"/>
              <w:left w:val="nil"/>
              <w:bottom w:val="single" w:sz="8" w:space="0" w:color="auto"/>
              <w:right w:val="single" w:sz="8" w:space="0" w:color="auto"/>
            </w:tcBorders>
            <w:shd w:val="clear" w:color="auto" w:fill="auto"/>
            <w:vAlign w:val="center"/>
          </w:tcPr>
          <w:p w14:paraId="2C6DDD80" w14:textId="77777777" w:rsidR="00F06615" w:rsidRPr="00316277" w:rsidRDefault="00F06615" w:rsidP="008E6D09">
            <w:pPr>
              <w:jc w:val="center"/>
              <w:rPr>
                <w:rFonts w:cs="Arial"/>
                <w:color w:val="000000"/>
                <w:sz w:val="17"/>
                <w:szCs w:val="17"/>
                <w:lang w:eastAsia="fr-CA"/>
              </w:rPr>
            </w:pPr>
          </w:p>
        </w:tc>
      </w:tr>
      <w:tr w:rsidR="00F06615" w:rsidRPr="00DF0D1D" w14:paraId="4F2A6E89" w14:textId="77777777" w:rsidTr="00F06615">
        <w:trPr>
          <w:trHeight w:val="113"/>
        </w:trPr>
        <w:tc>
          <w:tcPr>
            <w:tcW w:w="13592" w:type="dxa"/>
            <w:gridSpan w:val="21"/>
            <w:tcBorders>
              <w:top w:val="single" w:sz="8" w:space="0" w:color="auto"/>
              <w:left w:val="nil"/>
              <w:bottom w:val="nil"/>
              <w:right w:val="nil"/>
            </w:tcBorders>
            <w:shd w:val="clear" w:color="auto" w:fill="auto"/>
            <w:hideMark/>
          </w:tcPr>
          <w:p w14:paraId="165B7F2C" w14:textId="564665EE" w:rsidR="00F06615" w:rsidRPr="006601C9" w:rsidRDefault="00F06615" w:rsidP="008E6D09">
            <w:pPr>
              <w:rPr>
                <w:rFonts w:cs="Arial"/>
                <w:color w:val="000000"/>
                <w:sz w:val="18"/>
                <w:szCs w:val="18"/>
                <w:lang w:eastAsia="fr-CA"/>
              </w:rPr>
            </w:pPr>
            <w:r w:rsidRPr="00316277">
              <w:rPr>
                <w:rFonts w:cs="Arial"/>
                <w:color w:val="000000"/>
                <w:sz w:val="18"/>
                <w:szCs w:val="18"/>
                <w:lang w:eastAsia="fr-CA"/>
              </w:rPr>
              <w:t>Note : Les taux uniques sont calculés sur la base d’un gain de carrière de 33 ans.</w:t>
            </w:r>
            <w:r w:rsidR="00817779" w:rsidRPr="00316277">
              <w:rPr>
                <w:rFonts w:cs="Arial"/>
                <w:color w:val="000000"/>
                <w:sz w:val="18"/>
                <w:szCs w:val="18"/>
                <w:lang w:eastAsia="fr-CA"/>
              </w:rPr>
              <w:t xml:space="preserve"> </w:t>
            </w:r>
            <w:r w:rsidR="00817779" w:rsidRPr="00316277">
              <w:rPr>
                <w:sz w:val="18"/>
                <w:szCs w:val="18"/>
              </w:rPr>
              <w:t>Les taux de traitement tiennent compte de la majoration du paramètre général d’augmentation salariale prévue à la clause 6-4.06. Ils ne tiennent pas compte de tout ajustement salarial qui résulterait, le cas échéant, de l’application de la clause d’ajustement prévue à</w:t>
            </w:r>
            <w:r w:rsidR="00941376" w:rsidRPr="00316277">
              <w:rPr>
                <w:sz w:val="18"/>
                <w:szCs w:val="18"/>
              </w:rPr>
              <w:t xml:space="preserve"> la clause </w:t>
            </w:r>
            <w:r w:rsidR="00817779" w:rsidRPr="00316277">
              <w:rPr>
                <w:sz w:val="18"/>
                <w:szCs w:val="18"/>
              </w:rPr>
              <w:t>6-4.07.</w:t>
            </w:r>
          </w:p>
        </w:tc>
      </w:tr>
    </w:tbl>
    <w:p w14:paraId="2FFD2578" w14:textId="77777777" w:rsidR="00AD0929" w:rsidRDefault="00AD0929" w:rsidP="007F120F">
      <w:pPr>
        <w:keepNext w:val="0"/>
        <w:ind w:left="993" w:right="2768"/>
        <w:rPr>
          <w:sz w:val="14"/>
        </w:rPr>
      </w:pPr>
    </w:p>
    <w:p w14:paraId="66A3551A" w14:textId="5CF49697" w:rsidR="00AD0929" w:rsidRPr="008A02C4" w:rsidRDefault="00AD0929" w:rsidP="007F120F">
      <w:pPr>
        <w:keepNext w:val="0"/>
        <w:ind w:left="993" w:right="2768"/>
        <w:rPr>
          <w:rFonts w:cs="Arial"/>
          <w:szCs w:val="24"/>
        </w:rPr>
        <w:sectPr w:rsidR="00AD0929" w:rsidRPr="008A02C4" w:rsidSect="00417EC4">
          <w:footerReference w:type="default" r:id="rId53"/>
          <w:footnotePr>
            <w:numRestart w:val="eachPage"/>
          </w:footnotePr>
          <w:pgSz w:w="15840" w:h="12240" w:orient="landscape" w:code="1"/>
          <w:pgMar w:top="1276" w:right="389" w:bottom="851" w:left="567" w:header="709" w:footer="476" w:gutter="0"/>
          <w:cols w:space="708"/>
          <w:docGrid w:linePitch="360"/>
        </w:sectPr>
      </w:pPr>
    </w:p>
    <w:p w14:paraId="6A2E461A" w14:textId="77777777" w:rsidR="00A31CE2" w:rsidRPr="00B12CF5" w:rsidRDefault="00A31CE2" w:rsidP="00A31CE2">
      <w:pPr>
        <w:keepNext w:val="0"/>
        <w:jc w:val="center"/>
        <w:rPr>
          <w:b/>
        </w:rPr>
      </w:pPr>
      <w:r w:rsidRPr="00B12CF5">
        <w:rPr>
          <w:b/>
        </w:rPr>
        <w:t>TABLEAU B</w:t>
      </w:r>
    </w:p>
    <w:p w14:paraId="0C4447F6" w14:textId="25D7B052" w:rsidR="00A31CE2" w:rsidRDefault="00A31CE2" w:rsidP="00A31CE2">
      <w:pPr>
        <w:keepNext w:val="0"/>
        <w:jc w:val="center"/>
        <w:rPr>
          <w:b/>
        </w:rPr>
      </w:pPr>
      <w:r w:rsidRPr="00B12CF5">
        <w:rPr>
          <w:b/>
        </w:rPr>
        <w:t xml:space="preserve">RANGEMENT </w:t>
      </w:r>
      <w:r w:rsidRPr="00EC22D9">
        <w:rPr>
          <w:b/>
        </w:rPr>
        <w:t>DES</w:t>
      </w:r>
      <w:r w:rsidRPr="00B12CF5">
        <w:rPr>
          <w:b/>
        </w:rPr>
        <w:t xml:space="preserve"> TITRE</w:t>
      </w:r>
      <w:r w:rsidRPr="00EC22D9">
        <w:rPr>
          <w:b/>
        </w:rPr>
        <w:t>S</w:t>
      </w:r>
      <w:r w:rsidRPr="00B12CF5">
        <w:rPr>
          <w:b/>
        </w:rPr>
        <w:t xml:space="preserve"> D’EMPLOI</w:t>
      </w:r>
    </w:p>
    <w:p w14:paraId="5EA1F7B3" w14:textId="77777777" w:rsidR="00CD5BD8" w:rsidRPr="008A02C4" w:rsidRDefault="00CD5BD8" w:rsidP="007F120F">
      <w:pPr>
        <w:keepNext w:val="0"/>
        <w:jc w:val="center"/>
        <w:rPr>
          <w:b/>
        </w:rPr>
      </w:pPr>
    </w:p>
    <w:tbl>
      <w:tblPr>
        <w:tblStyle w:val="TableNormal2"/>
        <w:tblW w:w="9643" w:type="dxa"/>
        <w:jc w:val="center"/>
        <w:tblLayout w:type="fixed"/>
        <w:tblLook w:val="01E0" w:firstRow="1" w:lastRow="1" w:firstColumn="1" w:lastColumn="1" w:noHBand="0" w:noVBand="0"/>
      </w:tblPr>
      <w:tblGrid>
        <w:gridCol w:w="851"/>
        <w:gridCol w:w="1077"/>
        <w:gridCol w:w="5019"/>
        <w:gridCol w:w="1700"/>
        <w:gridCol w:w="996"/>
      </w:tblGrid>
      <w:tr w:rsidR="00CD5BD8" w:rsidRPr="00C5073A" w14:paraId="1DA6C886" w14:textId="77777777" w:rsidTr="00DA26BD">
        <w:trPr>
          <w:trHeight w:val="266"/>
          <w:tblHeader/>
          <w:jc w:val="center"/>
        </w:trPr>
        <w:tc>
          <w:tcPr>
            <w:tcW w:w="851" w:type="dxa"/>
          </w:tcPr>
          <w:p w14:paraId="06A86579" w14:textId="77777777" w:rsidR="00CD5BD8" w:rsidRPr="00C5073A" w:rsidRDefault="00CD5BD8" w:rsidP="007F120F">
            <w:pPr>
              <w:keepNext w:val="0"/>
              <w:widowControl/>
              <w:jc w:val="center"/>
              <w:rPr>
                <w:rFonts w:eastAsia="Times New Roman" w:cs="Arial"/>
                <w:b/>
                <w:bCs/>
                <w:color w:val="000000"/>
                <w:sz w:val="20"/>
                <w:szCs w:val="20"/>
                <w:lang w:val="fr-CA"/>
              </w:rPr>
            </w:pPr>
            <w:r w:rsidRPr="00C5073A">
              <w:rPr>
                <w:rFonts w:eastAsia="Times New Roman" w:cs="Arial"/>
                <w:b/>
                <w:bCs/>
                <w:color w:val="000000"/>
                <w:sz w:val="20"/>
                <w:szCs w:val="20"/>
                <w:lang w:val="fr-CA"/>
              </w:rPr>
              <w:t>Secteur</w:t>
            </w:r>
          </w:p>
        </w:tc>
        <w:tc>
          <w:tcPr>
            <w:tcW w:w="1077" w:type="dxa"/>
          </w:tcPr>
          <w:p w14:paraId="05498576" w14:textId="77777777" w:rsidR="00CD5BD8" w:rsidRPr="00C5073A" w:rsidRDefault="00CD5BD8" w:rsidP="007F120F">
            <w:pPr>
              <w:keepNext w:val="0"/>
              <w:widowControl/>
              <w:jc w:val="center"/>
              <w:rPr>
                <w:rFonts w:eastAsia="Times New Roman" w:cs="Arial"/>
                <w:b/>
                <w:bCs/>
                <w:color w:val="000000"/>
                <w:sz w:val="20"/>
                <w:szCs w:val="20"/>
                <w:lang w:val="fr-CA"/>
              </w:rPr>
            </w:pPr>
            <w:r w:rsidRPr="00C5073A">
              <w:rPr>
                <w:rFonts w:eastAsia="Times New Roman" w:cs="Arial"/>
                <w:b/>
                <w:bCs/>
                <w:color w:val="000000"/>
                <w:sz w:val="20"/>
                <w:szCs w:val="20"/>
                <w:lang w:val="fr-CA"/>
              </w:rPr>
              <w:t># Titre d’emploi</w:t>
            </w:r>
          </w:p>
        </w:tc>
        <w:tc>
          <w:tcPr>
            <w:tcW w:w="5019" w:type="dxa"/>
          </w:tcPr>
          <w:p w14:paraId="7091C3AD" w14:textId="400AB50A" w:rsidR="00CD5BD8" w:rsidRPr="00C5073A" w:rsidRDefault="00CD5BD8" w:rsidP="007F120F">
            <w:pPr>
              <w:keepNext w:val="0"/>
              <w:widowControl/>
              <w:jc w:val="center"/>
              <w:rPr>
                <w:rFonts w:eastAsia="Times New Roman" w:cs="Arial"/>
                <w:b/>
                <w:bCs/>
                <w:color w:val="000000"/>
                <w:sz w:val="20"/>
                <w:szCs w:val="20"/>
                <w:lang w:val="fr-CA"/>
              </w:rPr>
            </w:pPr>
            <w:r w:rsidRPr="00C5073A">
              <w:rPr>
                <w:rFonts w:eastAsia="Times New Roman" w:cs="Arial"/>
                <w:b/>
                <w:bCs/>
                <w:color w:val="000000"/>
                <w:sz w:val="20"/>
                <w:szCs w:val="20"/>
                <w:lang w:val="fr-CA"/>
              </w:rPr>
              <w:t>Titre d’emploi</w:t>
            </w:r>
            <w:r w:rsidR="009C1696" w:rsidRPr="009C1696">
              <w:rPr>
                <w:rFonts w:eastAsia="Times New Roman" w:cs="Arial"/>
                <w:b/>
                <w:bCs/>
                <w:color w:val="000000"/>
                <w:sz w:val="20"/>
                <w:szCs w:val="20"/>
                <w:vertAlign w:val="superscript"/>
                <w:lang w:val="fr-CA"/>
              </w:rPr>
              <w:t>1</w:t>
            </w:r>
          </w:p>
        </w:tc>
        <w:tc>
          <w:tcPr>
            <w:tcW w:w="1700" w:type="dxa"/>
            <w:vAlign w:val="center"/>
          </w:tcPr>
          <w:p w14:paraId="230CAC73" w14:textId="3112F9ED" w:rsidR="00CD5BD8" w:rsidRPr="00C5073A" w:rsidRDefault="00CD5BD8" w:rsidP="007F120F">
            <w:pPr>
              <w:keepNext w:val="0"/>
              <w:widowControl/>
              <w:jc w:val="center"/>
              <w:rPr>
                <w:rFonts w:eastAsia="Times New Roman" w:cs="Arial"/>
                <w:b/>
                <w:bCs/>
                <w:color w:val="000000"/>
                <w:sz w:val="20"/>
                <w:szCs w:val="20"/>
                <w:lang w:val="fr-CA"/>
              </w:rPr>
            </w:pPr>
            <w:r w:rsidRPr="00C5073A">
              <w:rPr>
                <w:rFonts w:eastAsia="Times New Roman" w:cs="Arial"/>
                <w:b/>
                <w:bCs/>
                <w:color w:val="000000"/>
                <w:sz w:val="20"/>
                <w:szCs w:val="20"/>
                <w:lang w:val="fr-CA"/>
              </w:rPr>
              <w:t>Rangement</w:t>
            </w:r>
            <w:r w:rsidR="00DA26BD" w:rsidRPr="00316277">
              <w:rPr>
                <w:rFonts w:eastAsia="Times New Roman" w:cs="Arial"/>
                <w:b/>
                <w:bCs/>
                <w:color w:val="000000"/>
                <w:sz w:val="20"/>
                <w:szCs w:val="20"/>
                <w:vertAlign w:val="superscript"/>
                <w:lang w:val="fr-CA"/>
              </w:rPr>
              <w:t>2</w:t>
            </w:r>
          </w:p>
        </w:tc>
        <w:tc>
          <w:tcPr>
            <w:tcW w:w="996" w:type="dxa"/>
            <w:tcBorders>
              <w:top w:val="nil"/>
            </w:tcBorders>
            <w:vAlign w:val="center"/>
          </w:tcPr>
          <w:p w14:paraId="38408122" w14:textId="77777777" w:rsidR="00CD5BD8" w:rsidRPr="00C5073A" w:rsidRDefault="00CD5BD8" w:rsidP="007F120F">
            <w:pPr>
              <w:keepNext w:val="0"/>
              <w:widowControl/>
              <w:jc w:val="center"/>
              <w:rPr>
                <w:rFonts w:eastAsia="Times New Roman" w:cs="Arial"/>
                <w:b/>
                <w:bCs/>
                <w:color w:val="000000"/>
                <w:sz w:val="20"/>
                <w:szCs w:val="20"/>
                <w:lang w:val="fr-CA"/>
              </w:rPr>
            </w:pPr>
            <w:r w:rsidRPr="00C5073A">
              <w:rPr>
                <w:rFonts w:eastAsia="Times New Roman" w:cs="Arial"/>
                <w:b/>
                <w:bCs/>
                <w:color w:val="000000"/>
                <w:sz w:val="20"/>
                <w:szCs w:val="20"/>
                <w:lang w:val="fr-CA"/>
              </w:rPr>
              <w:t>Taux unique</w:t>
            </w:r>
          </w:p>
        </w:tc>
      </w:tr>
      <w:tr w:rsidR="00CD5BD8" w:rsidRPr="00C5073A" w14:paraId="6DF9B02C" w14:textId="77777777" w:rsidTr="00DA26BD">
        <w:trPr>
          <w:trHeight w:val="266"/>
          <w:jc w:val="center"/>
        </w:trPr>
        <w:tc>
          <w:tcPr>
            <w:tcW w:w="851" w:type="dxa"/>
          </w:tcPr>
          <w:p w14:paraId="226787FC" w14:textId="77777777" w:rsidR="00CD5BD8" w:rsidRPr="00C5073A" w:rsidRDefault="00CD5BD8" w:rsidP="007F120F">
            <w:pPr>
              <w:pStyle w:val="TableParagraph"/>
              <w:widowControl/>
              <w:suppressAutoHyphens/>
              <w:spacing w:before="100"/>
              <w:ind w:left="50"/>
              <w:jc w:val="center"/>
              <w:rPr>
                <w:sz w:val="20"/>
                <w:szCs w:val="20"/>
              </w:rPr>
            </w:pPr>
            <w:r w:rsidRPr="00C5073A">
              <w:rPr>
                <w:w w:val="99"/>
                <w:sz w:val="20"/>
                <w:szCs w:val="20"/>
              </w:rPr>
              <w:t>4</w:t>
            </w:r>
          </w:p>
        </w:tc>
        <w:tc>
          <w:tcPr>
            <w:tcW w:w="1077" w:type="dxa"/>
          </w:tcPr>
          <w:p w14:paraId="78D89713" w14:textId="77777777" w:rsidR="00CD5BD8" w:rsidRPr="00C5073A" w:rsidRDefault="00CD5BD8" w:rsidP="007F120F">
            <w:pPr>
              <w:pStyle w:val="TableParagraph"/>
              <w:widowControl/>
              <w:suppressAutoHyphens/>
              <w:spacing w:before="100"/>
              <w:ind w:right="210"/>
              <w:jc w:val="center"/>
              <w:rPr>
                <w:sz w:val="20"/>
                <w:szCs w:val="20"/>
              </w:rPr>
            </w:pPr>
            <w:r w:rsidRPr="00C5073A">
              <w:rPr>
                <w:w w:val="95"/>
                <w:sz w:val="20"/>
                <w:szCs w:val="20"/>
              </w:rPr>
              <w:t>C746</w:t>
            </w:r>
          </w:p>
        </w:tc>
        <w:tc>
          <w:tcPr>
            <w:tcW w:w="5019" w:type="dxa"/>
          </w:tcPr>
          <w:p w14:paraId="2828AD83" w14:textId="77777777" w:rsidR="00CD5BD8" w:rsidRPr="00C5073A" w:rsidRDefault="00CD5BD8" w:rsidP="007F120F">
            <w:pPr>
              <w:pStyle w:val="TableParagraph"/>
              <w:widowControl/>
              <w:suppressAutoHyphens/>
              <w:spacing w:before="100"/>
              <w:ind w:left="210"/>
              <w:rPr>
                <w:sz w:val="20"/>
                <w:szCs w:val="20"/>
              </w:rPr>
            </w:pPr>
            <w:r w:rsidRPr="00C5073A">
              <w:rPr>
                <w:sz w:val="20"/>
                <w:szCs w:val="20"/>
              </w:rPr>
              <w:t>Accompagnateur d’étudiants handicapés</w:t>
            </w:r>
          </w:p>
        </w:tc>
        <w:tc>
          <w:tcPr>
            <w:tcW w:w="1700" w:type="dxa"/>
            <w:vAlign w:val="center"/>
          </w:tcPr>
          <w:p w14:paraId="3B954CF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Merge w:val="restart"/>
            <w:tcBorders>
              <w:top w:val="nil"/>
            </w:tcBorders>
            <w:vAlign w:val="center"/>
          </w:tcPr>
          <w:p w14:paraId="69B55E90" w14:textId="77777777" w:rsidR="00CD5BD8" w:rsidRPr="00C5073A" w:rsidRDefault="00CD5BD8" w:rsidP="007F120F">
            <w:pPr>
              <w:keepNext w:val="0"/>
              <w:widowControl/>
              <w:spacing w:before="58" w:line="187" w:lineRule="exact"/>
              <w:ind w:left="50"/>
              <w:jc w:val="center"/>
              <w:rPr>
                <w:rFonts w:eastAsia="Arial" w:cs="Arial"/>
                <w:snapToGrid/>
                <w:w w:val="99"/>
                <w:sz w:val="20"/>
                <w:szCs w:val="20"/>
                <w:lang w:eastAsia="en-US"/>
              </w:rPr>
            </w:pPr>
          </w:p>
        </w:tc>
      </w:tr>
      <w:tr w:rsidR="00CD5BD8" w:rsidRPr="00C5073A" w14:paraId="0E25E9D3" w14:textId="77777777" w:rsidTr="00DA26BD">
        <w:trPr>
          <w:trHeight w:val="266"/>
          <w:jc w:val="center"/>
        </w:trPr>
        <w:tc>
          <w:tcPr>
            <w:tcW w:w="851" w:type="dxa"/>
          </w:tcPr>
          <w:p w14:paraId="1EE87D79"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58225D9A"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C910</w:t>
            </w:r>
          </w:p>
        </w:tc>
        <w:tc>
          <w:tcPr>
            <w:tcW w:w="5019" w:type="dxa"/>
          </w:tcPr>
          <w:p w14:paraId="396DC432" w14:textId="77777777" w:rsidR="00CD5BD8" w:rsidRPr="00C5073A" w:rsidRDefault="00CD5BD8" w:rsidP="007F120F">
            <w:pPr>
              <w:pStyle w:val="TableParagraph"/>
              <w:widowControl/>
              <w:suppressAutoHyphens/>
              <w:ind w:left="210"/>
              <w:rPr>
                <w:sz w:val="20"/>
                <w:szCs w:val="20"/>
                <w:lang w:val="fr-CA"/>
              </w:rPr>
            </w:pPr>
            <w:r w:rsidRPr="00C5073A">
              <w:rPr>
                <w:sz w:val="20"/>
                <w:szCs w:val="20"/>
                <w:lang w:val="fr-CA"/>
              </w:rPr>
              <w:t>Agent à la prévention et à la sécurité</w:t>
            </w:r>
          </w:p>
        </w:tc>
        <w:tc>
          <w:tcPr>
            <w:tcW w:w="1700" w:type="dxa"/>
            <w:vAlign w:val="center"/>
          </w:tcPr>
          <w:p w14:paraId="430C978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Merge/>
            <w:tcBorders>
              <w:top w:val="nil"/>
            </w:tcBorders>
            <w:vAlign w:val="center"/>
          </w:tcPr>
          <w:p w14:paraId="551E801E" w14:textId="77777777" w:rsidR="00CD5BD8" w:rsidRPr="00C5073A" w:rsidRDefault="00CD5BD8" w:rsidP="007F120F">
            <w:pPr>
              <w:keepNext w:val="0"/>
              <w:widowControl/>
              <w:spacing w:line="187" w:lineRule="exact"/>
              <w:ind w:left="50"/>
              <w:jc w:val="center"/>
              <w:rPr>
                <w:rFonts w:eastAsia="Arial" w:cs="Arial"/>
                <w:snapToGrid/>
                <w:w w:val="99"/>
                <w:sz w:val="20"/>
                <w:szCs w:val="20"/>
                <w:lang w:eastAsia="en-US"/>
              </w:rPr>
            </w:pPr>
          </w:p>
        </w:tc>
      </w:tr>
      <w:tr w:rsidR="00CD5BD8" w:rsidRPr="00C5073A" w14:paraId="224AE612" w14:textId="77777777" w:rsidTr="00DA26BD">
        <w:trPr>
          <w:trHeight w:val="266"/>
          <w:jc w:val="center"/>
        </w:trPr>
        <w:tc>
          <w:tcPr>
            <w:tcW w:w="851" w:type="dxa"/>
          </w:tcPr>
          <w:p w14:paraId="5F87FED8"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7F489156"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C202</w:t>
            </w:r>
          </w:p>
        </w:tc>
        <w:tc>
          <w:tcPr>
            <w:tcW w:w="5019" w:type="dxa"/>
          </w:tcPr>
          <w:p w14:paraId="1DFC8D86" w14:textId="77777777" w:rsidR="00CD5BD8" w:rsidRPr="00C5073A" w:rsidRDefault="00CD5BD8" w:rsidP="007F120F">
            <w:pPr>
              <w:pStyle w:val="TableParagraph"/>
              <w:widowControl/>
              <w:suppressAutoHyphens/>
              <w:spacing w:before="59"/>
              <w:ind w:left="210"/>
              <w:rPr>
                <w:sz w:val="20"/>
                <w:szCs w:val="20"/>
                <w:lang w:val="fr-CA"/>
              </w:rPr>
            </w:pPr>
            <w:r w:rsidRPr="00C5073A">
              <w:rPr>
                <w:sz w:val="20"/>
                <w:szCs w:val="20"/>
                <w:lang w:val="fr-CA"/>
              </w:rPr>
              <w:t>Agent de la gestion financière</w:t>
            </w:r>
          </w:p>
        </w:tc>
        <w:tc>
          <w:tcPr>
            <w:tcW w:w="1700" w:type="dxa"/>
            <w:vAlign w:val="center"/>
          </w:tcPr>
          <w:p w14:paraId="7CCE1C2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Merge/>
            <w:tcBorders>
              <w:top w:val="nil"/>
            </w:tcBorders>
            <w:vAlign w:val="center"/>
          </w:tcPr>
          <w:p w14:paraId="0A19FEA6" w14:textId="77777777" w:rsidR="00CD5BD8" w:rsidRPr="00C5073A" w:rsidRDefault="00CD5BD8" w:rsidP="007F120F">
            <w:pPr>
              <w:keepNext w:val="0"/>
              <w:widowControl/>
              <w:spacing w:before="58" w:line="187" w:lineRule="exact"/>
              <w:ind w:left="50"/>
              <w:jc w:val="center"/>
              <w:rPr>
                <w:rFonts w:eastAsia="Arial" w:cs="Arial"/>
                <w:snapToGrid/>
                <w:w w:val="99"/>
                <w:sz w:val="20"/>
                <w:szCs w:val="20"/>
                <w:lang w:eastAsia="en-US"/>
              </w:rPr>
            </w:pPr>
          </w:p>
        </w:tc>
      </w:tr>
      <w:tr w:rsidR="00CD5BD8" w:rsidRPr="00C5073A" w14:paraId="344AC5FB" w14:textId="77777777" w:rsidTr="00DA26BD">
        <w:trPr>
          <w:trHeight w:val="266"/>
          <w:jc w:val="center"/>
        </w:trPr>
        <w:tc>
          <w:tcPr>
            <w:tcW w:w="851" w:type="dxa"/>
          </w:tcPr>
          <w:p w14:paraId="2E690A1F"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0EB608FA"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C233</w:t>
            </w:r>
          </w:p>
        </w:tc>
        <w:tc>
          <w:tcPr>
            <w:tcW w:w="5019" w:type="dxa"/>
          </w:tcPr>
          <w:p w14:paraId="78831DC2" w14:textId="77777777" w:rsidR="00CD5BD8" w:rsidRPr="00C5073A" w:rsidRDefault="00CD5BD8" w:rsidP="007F120F">
            <w:pPr>
              <w:pStyle w:val="TableParagraph"/>
              <w:widowControl/>
              <w:suppressAutoHyphens/>
              <w:ind w:left="210"/>
              <w:rPr>
                <w:sz w:val="20"/>
                <w:szCs w:val="20"/>
              </w:rPr>
            </w:pPr>
            <w:r w:rsidRPr="00C5073A">
              <w:rPr>
                <w:sz w:val="20"/>
                <w:szCs w:val="20"/>
              </w:rPr>
              <w:t>Agent de service social</w:t>
            </w:r>
          </w:p>
        </w:tc>
        <w:tc>
          <w:tcPr>
            <w:tcW w:w="1700" w:type="dxa"/>
            <w:vAlign w:val="center"/>
          </w:tcPr>
          <w:p w14:paraId="59198B7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22</w:t>
            </w:r>
          </w:p>
        </w:tc>
        <w:tc>
          <w:tcPr>
            <w:tcW w:w="996" w:type="dxa"/>
            <w:vMerge/>
            <w:tcBorders>
              <w:top w:val="nil"/>
            </w:tcBorders>
            <w:vAlign w:val="center"/>
          </w:tcPr>
          <w:p w14:paraId="44094FE4" w14:textId="77777777" w:rsidR="00CD5BD8" w:rsidRPr="00C5073A" w:rsidRDefault="00CD5BD8" w:rsidP="007F120F">
            <w:pPr>
              <w:keepNext w:val="0"/>
              <w:widowControl/>
              <w:spacing w:line="187" w:lineRule="exact"/>
              <w:ind w:left="50"/>
              <w:jc w:val="center"/>
              <w:rPr>
                <w:rFonts w:eastAsia="Arial" w:cs="Arial"/>
                <w:snapToGrid/>
                <w:w w:val="99"/>
                <w:sz w:val="20"/>
                <w:szCs w:val="20"/>
                <w:lang w:eastAsia="en-US"/>
              </w:rPr>
            </w:pPr>
          </w:p>
        </w:tc>
      </w:tr>
      <w:tr w:rsidR="00CD5BD8" w:rsidRPr="00C5073A" w14:paraId="00AC4573" w14:textId="77777777" w:rsidTr="00DA26BD">
        <w:trPr>
          <w:trHeight w:val="266"/>
          <w:jc w:val="center"/>
        </w:trPr>
        <w:tc>
          <w:tcPr>
            <w:tcW w:w="851" w:type="dxa"/>
          </w:tcPr>
          <w:p w14:paraId="3399F418"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34360241"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C505</w:t>
            </w:r>
          </w:p>
        </w:tc>
        <w:tc>
          <w:tcPr>
            <w:tcW w:w="5019" w:type="dxa"/>
          </w:tcPr>
          <w:p w14:paraId="170140AC" w14:textId="77777777" w:rsidR="00CD5BD8" w:rsidRPr="00C5073A" w:rsidRDefault="00CD5BD8" w:rsidP="007F120F">
            <w:pPr>
              <w:pStyle w:val="TableParagraph"/>
              <w:widowControl/>
              <w:suppressAutoHyphens/>
              <w:spacing w:before="59"/>
              <w:ind w:left="210"/>
              <w:rPr>
                <w:sz w:val="20"/>
                <w:szCs w:val="20"/>
                <w:lang w:val="fr-CA"/>
              </w:rPr>
            </w:pPr>
            <w:r w:rsidRPr="00C5073A">
              <w:rPr>
                <w:sz w:val="20"/>
                <w:szCs w:val="20"/>
                <w:lang w:val="fr-CA"/>
              </w:rPr>
              <w:t>Agent de soutien administratif, classe I</w:t>
            </w:r>
          </w:p>
        </w:tc>
        <w:tc>
          <w:tcPr>
            <w:tcW w:w="1700" w:type="dxa"/>
            <w:vAlign w:val="center"/>
          </w:tcPr>
          <w:p w14:paraId="261ABDC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8</w:t>
            </w:r>
          </w:p>
        </w:tc>
        <w:tc>
          <w:tcPr>
            <w:tcW w:w="996" w:type="dxa"/>
            <w:vMerge/>
            <w:tcBorders>
              <w:top w:val="nil"/>
            </w:tcBorders>
            <w:vAlign w:val="center"/>
          </w:tcPr>
          <w:p w14:paraId="6AEF7D71" w14:textId="77777777" w:rsidR="00CD5BD8" w:rsidRPr="00C5073A" w:rsidRDefault="00CD5BD8" w:rsidP="007F120F">
            <w:pPr>
              <w:keepNext w:val="0"/>
              <w:widowControl/>
              <w:spacing w:before="58" w:line="187" w:lineRule="exact"/>
              <w:ind w:left="50"/>
              <w:jc w:val="center"/>
              <w:rPr>
                <w:rFonts w:eastAsia="Arial" w:cs="Arial"/>
                <w:snapToGrid/>
                <w:w w:val="99"/>
                <w:sz w:val="20"/>
                <w:szCs w:val="20"/>
                <w:lang w:eastAsia="en-US"/>
              </w:rPr>
            </w:pPr>
          </w:p>
        </w:tc>
      </w:tr>
      <w:tr w:rsidR="00CD5BD8" w:rsidRPr="00C5073A" w14:paraId="38B14F0D" w14:textId="77777777" w:rsidTr="00DA26BD">
        <w:trPr>
          <w:trHeight w:val="266"/>
          <w:jc w:val="center"/>
        </w:trPr>
        <w:tc>
          <w:tcPr>
            <w:tcW w:w="851" w:type="dxa"/>
          </w:tcPr>
          <w:p w14:paraId="6BF107BE"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18C3025B"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C506</w:t>
            </w:r>
          </w:p>
        </w:tc>
        <w:tc>
          <w:tcPr>
            <w:tcW w:w="5019" w:type="dxa"/>
          </w:tcPr>
          <w:p w14:paraId="0C3E2585" w14:textId="77777777" w:rsidR="00CD5BD8" w:rsidRPr="00C5073A" w:rsidRDefault="00CD5BD8" w:rsidP="007F120F">
            <w:pPr>
              <w:pStyle w:val="TableParagraph"/>
              <w:widowControl/>
              <w:suppressAutoHyphens/>
              <w:ind w:left="210"/>
              <w:rPr>
                <w:sz w:val="20"/>
                <w:szCs w:val="20"/>
                <w:lang w:val="fr-CA"/>
              </w:rPr>
            </w:pPr>
            <w:r w:rsidRPr="00C5073A">
              <w:rPr>
                <w:sz w:val="20"/>
                <w:szCs w:val="20"/>
                <w:lang w:val="fr-CA"/>
              </w:rPr>
              <w:t>Agent de soutien administratif, classe II</w:t>
            </w:r>
          </w:p>
        </w:tc>
        <w:tc>
          <w:tcPr>
            <w:tcW w:w="1700" w:type="dxa"/>
            <w:vAlign w:val="center"/>
          </w:tcPr>
          <w:p w14:paraId="4732053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5</w:t>
            </w:r>
          </w:p>
        </w:tc>
        <w:tc>
          <w:tcPr>
            <w:tcW w:w="996" w:type="dxa"/>
            <w:vMerge/>
            <w:tcBorders>
              <w:top w:val="nil"/>
            </w:tcBorders>
            <w:vAlign w:val="center"/>
          </w:tcPr>
          <w:p w14:paraId="64FF7ED3" w14:textId="77777777" w:rsidR="00CD5BD8" w:rsidRPr="00C5073A" w:rsidRDefault="00CD5BD8" w:rsidP="007F120F">
            <w:pPr>
              <w:keepNext w:val="0"/>
              <w:widowControl/>
              <w:spacing w:line="187" w:lineRule="exact"/>
              <w:ind w:left="50"/>
              <w:jc w:val="center"/>
              <w:rPr>
                <w:rFonts w:eastAsia="Arial" w:cs="Arial"/>
                <w:snapToGrid/>
                <w:w w:val="99"/>
                <w:sz w:val="20"/>
                <w:szCs w:val="20"/>
                <w:lang w:eastAsia="en-US"/>
              </w:rPr>
            </w:pPr>
          </w:p>
        </w:tc>
      </w:tr>
      <w:tr w:rsidR="00CD5BD8" w:rsidRPr="00C5073A" w14:paraId="468ECE93" w14:textId="77777777" w:rsidTr="00DA26BD">
        <w:trPr>
          <w:trHeight w:val="266"/>
          <w:jc w:val="center"/>
        </w:trPr>
        <w:tc>
          <w:tcPr>
            <w:tcW w:w="851" w:type="dxa"/>
          </w:tcPr>
          <w:p w14:paraId="05327CDE"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7CED0DA3"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C503</w:t>
            </w:r>
          </w:p>
        </w:tc>
        <w:tc>
          <w:tcPr>
            <w:tcW w:w="5019" w:type="dxa"/>
          </w:tcPr>
          <w:p w14:paraId="2D3120E0" w14:textId="77777777" w:rsidR="00CD5BD8" w:rsidRPr="00C5073A" w:rsidRDefault="00CD5BD8" w:rsidP="007F120F">
            <w:pPr>
              <w:pStyle w:val="TableParagraph"/>
              <w:widowControl/>
              <w:suppressAutoHyphens/>
              <w:spacing w:before="59"/>
              <w:ind w:left="210"/>
              <w:rPr>
                <w:sz w:val="20"/>
                <w:szCs w:val="20"/>
                <w:lang w:val="fr-CA"/>
              </w:rPr>
            </w:pPr>
            <w:r w:rsidRPr="00C5073A">
              <w:rPr>
                <w:sz w:val="20"/>
                <w:szCs w:val="20"/>
                <w:lang w:val="fr-CA"/>
              </w:rPr>
              <w:t>Agent de soutien administratif, classe principale</w:t>
            </w:r>
          </w:p>
        </w:tc>
        <w:tc>
          <w:tcPr>
            <w:tcW w:w="1700" w:type="dxa"/>
            <w:vAlign w:val="center"/>
          </w:tcPr>
          <w:p w14:paraId="50C6F23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11</w:t>
            </w:r>
          </w:p>
        </w:tc>
        <w:tc>
          <w:tcPr>
            <w:tcW w:w="996" w:type="dxa"/>
            <w:vMerge/>
            <w:tcBorders>
              <w:top w:val="nil"/>
            </w:tcBorders>
            <w:vAlign w:val="center"/>
          </w:tcPr>
          <w:p w14:paraId="7B45F9D8" w14:textId="77777777" w:rsidR="00CD5BD8" w:rsidRPr="00C5073A" w:rsidRDefault="00CD5BD8" w:rsidP="007F120F">
            <w:pPr>
              <w:keepNext w:val="0"/>
              <w:widowControl/>
              <w:spacing w:before="58" w:line="187" w:lineRule="exact"/>
              <w:ind w:left="50"/>
              <w:jc w:val="center"/>
              <w:rPr>
                <w:rFonts w:eastAsia="Arial" w:cs="Arial"/>
                <w:snapToGrid/>
                <w:w w:val="99"/>
                <w:sz w:val="20"/>
                <w:szCs w:val="20"/>
                <w:lang w:eastAsia="en-US"/>
              </w:rPr>
            </w:pPr>
          </w:p>
        </w:tc>
      </w:tr>
      <w:tr w:rsidR="00CD5BD8" w:rsidRPr="00C5073A" w14:paraId="41994CDA" w14:textId="77777777" w:rsidTr="00DA26BD">
        <w:trPr>
          <w:trHeight w:val="266"/>
          <w:jc w:val="center"/>
        </w:trPr>
        <w:tc>
          <w:tcPr>
            <w:tcW w:w="851" w:type="dxa"/>
          </w:tcPr>
          <w:p w14:paraId="6F97C806"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2CE17A3A"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C911</w:t>
            </w:r>
          </w:p>
        </w:tc>
        <w:tc>
          <w:tcPr>
            <w:tcW w:w="5019" w:type="dxa"/>
          </w:tcPr>
          <w:p w14:paraId="611ADA36" w14:textId="77777777" w:rsidR="00CD5BD8" w:rsidRPr="00C5073A" w:rsidRDefault="00CD5BD8" w:rsidP="007F120F">
            <w:pPr>
              <w:pStyle w:val="TableParagraph"/>
              <w:widowControl/>
              <w:suppressAutoHyphens/>
              <w:ind w:left="210"/>
              <w:rPr>
                <w:sz w:val="20"/>
                <w:szCs w:val="20"/>
              </w:rPr>
            </w:pPr>
            <w:r w:rsidRPr="00C5073A">
              <w:rPr>
                <w:sz w:val="20"/>
                <w:szCs w:val="20"/>
              </w:rPr>
              <w:t>Aide de métiers</w:t>
            </w:r>
          </w:p>
        </w:tc>
        <w:tc>
          <w:tcPr>
            <w:tcW w:w="1700" w:type="dxa"/>
            <w:vAlign w:val="center"/>
          </w:tcPr>
          <w:p w14:paraId="5E322CF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3</w:t>
            </w:r>
          </w:p>
        </w:tc>
        <w:tc>
          <w:tcPr>
            <w:tcW w:w="996" w:type="dxa"/>
            <w:vAlign w:val="center"/>
          </w:tcPr>
          <w:p w14:paraId="45F420C0"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0E40C955" w14:textId="77777777" w:rsidTr="00DA26BD">
        <w:trPr>
          <w:trHeight w:val="266"/>
          <w:jc w:val="center"/>
        </w:trPr>
        <w:tc>
          <w:tcPr>
            <w:tcW w:w="851" w:type="dxa"/>
          </w:tcPr>
          <w:p w14:paraId="31261EA3"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1E722C15"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C902</w:t>
            </w:r>
          </w:p>
        </w:tc>
        <w:tc>
          <w:tcPr>
            <w:tcW w:w="5019" w:type="dxa"/>
          </w:tcPr>
          <w:p w14:paraId="1D11E571"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Aide domestique</w:t>
            </w:r>
          </w:p>
        </w:tc>
        <w:tc>
          <w:tcPr>
            <w:tcW w:w="1700" w:type="dxa"/>
            <w:vAlign w:val="center"/>
          </w:tcPr>
          <w:p w14:paraId="529BE24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w:t>
            </w:r>
          </w:p>
        </w:tc>
        <w:tc>
          <w:tcPr>
            <w:tcW w:w="996" w:type="dxa"/>
            <w:vAlign w:val="center"/>
          </w:tcPr>
          <w:p w14:paraId="4144FA3D"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7EF08A7F" w14:textId="77777777" w:rsidTr="00DA26BD">
        <w:trPr>
          <w:trHeight w:val="266"/>
          <w:jc w:val="center"/>
        </w:trPr>
        <w:tc>
          <w:tcPr>
            <w:tcW w:w="851" w:type="dxa"/>
          </w:tcPr>
          <w:p w14:paraId="66788D2E"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39CD0C9B"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C903</w:t>
            </w:r>
          </w:p>
        </w:tc>
        <w:tc>
          <w:tcPr>
            <w:tcW w:w="5019" w:type="dxa"/>
          </w:tcPr>
          <w:p w14:paraId="0A69698F" w14:textId="77777777" w:rsidR="00CD5BD8" w:rsidRPr="00C5073A" w:rsidRDefault="00CD5BD8" w:rsidP="007F120F">
            <w:pPr>
              <w:pStyle w:val="TableParagraph"/>
              <w:widowControl/>
              <w:suppressAutoHyphens/>
              <w:ind w:left="210"/>
              <w:rPr>
                <w:sz w:val="20"/>
                <w:szCs w:val="20"/>
              </w:rPr>
            </w:pPr>
            <w:r w:rsidRPr="00C5073A">
              <w:rPr>
                <w:sz w:val="20"/>
                <w:szCs w:val="20"/>
              </w:rPr>
              <w:t>Aide général de cuisine</w:t>
            </w:r>
          </w:p>
        </w:tc>
        <w:tc>
          <w:tcPr>
            <w:tcW w:w="1700" w:type="dxa"/>
            <w:vAlign w:val="center"/>
          </w:tcPr>
          <w:p w14:paraId="09033ED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3</w:t>
            </w:r>
          </w:p>
        </w:tc>
        <w:tc>
          <w:tcPr>
            <w:tcW w:w="996" w:type="dxa"/>
            <w:vAlign w:val="center"/>
          </w:tcPr>
          <w:p w14:paraId="5C8F4254"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66F7EEDB" w14:textId="77777777" w:rsidTr="00DA26BD">
        <w:trPr>
          <w:trHeight w:val="266"/>
          <w:jc w:val="center"/>
        </w:trPr>
        <w:tc>
          <w:tcPr>
            <w:tcW w:w="851" w:type="dxa"/>
          </w:tcPr>
          <w:p w14:paraId="6CFE1F3F"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6C01B07D"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C204</w:t>
            </w:r>
          </w:p>
        </w:tc>
        <w:tc>
          <w:tcPr>
            <w:tcW w:w="5019" w:type="dxa"/>
          </w:tcPr>
          <w:p w14:paraId="17DCAE50"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Aide pédagogique individuel</w:t>
            </w:r>
          </w:p>
        </w:tc>
        <w:tc>
          <w:tcPr>
            <w:tcW w:w="1700" w:type="dxa"/>
            <w:vAlign w:val="center"/>
          </w:tcPr>
          <w:p w14:paraId="0817F32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21</w:t>
            </w:r>
          </w:p>
        </w:tc>
        <w:tc>
          <w:tcPr>
            <w:tcW w:w="996" w:type="dxa"/>
            <w:vAlign w:val="center"/>
          </w:tcPr>
          <w:p w14:paraId="19D6F815"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0887FF41" w14:textId="77777777" w:rsidTr="00DA26BD">
        <w:trPr>
          <w:trHeight w:val="266"/>
          <w:jc w:val="center"/>
        </w:trPr>
        <w:tc>
          <w:tcPr>
            <w:tcW w:w="851" w:type="dxa"/>
          </w:tcPr>
          <w:p w14:paraId="50932E5C"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3966615B"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C205</w:t>
            </w:r>
          </w:p>
        </w:tc>
        <w:tc>
          <w:tcPr>
            <w:tcW w:w="5019" w:type="dxa"/>
          </w:tcPr>
          <w:p w14:paraId="27B1A30C" w14:textId="77777777" w:rsidR="00CD5BD8" w:rsidRPr="00C5073A" w:rsidRDefault="00CD5BD8" w:rsidP="007F120F">
            <w:pPr>
              <w:pStyle w:val="TableParagraph"/>
              <w:widowControl/>
              <w:suppressAutoHyphens/>
              <w:ind w:left="210"/>
              <w:rPr>
                <w:sz w:val="20"/>
                <w:szCs w:val="20"/>
              </w:rPr>
            </w:pPr>
            <w:r w:rsidRPr="00C5073A">
              <w:rPr>
                <w:sz w:val="20"/>
                <w:szCs w:val="20"/>
              </w:rPr>
              <w:t>Analyste</w:t>
            </w:r>
          </w:p>
        </w:tc>
        <w:tc>
          <w:tcPr>
            <w:tcW w:w="1700" w:type="dxa"/>
            <w:vAlign w:val="center"/>
          </w:tcPr>
          <w:p w14:paraId="64C8C5A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21</w:t>
            </w:r>
          </w:p>
        </w:tc>
        <w:tc>
          <w:tcPr>
            <w:tcW w:w="996" w:type="dxa"/>
            <w:vAlign w:val="center"/>
          </w:tcPr>
          <w:p w14:paraId="055427D0"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75779F" w:rsidRPr="0075779F" w14:paraId="0A29AAD9" w14:textId="77777777" w:rsidTr="00DA26BD">
        <w:trPr>
          <w:trHeight w:val="266"/>
          <w:jc w:val="center"/>
        </w:trPr>
        <w:tc>
          <w:tcPr>
            <w:tcW w:w="851" w:type="dxa"/>
          </w:tcPr>
          <w:p w14:paraId="6C286362" w14:textId="77777777" w:rsidR="0075779F" w:rsidRPr="0075779F" w:rsidRDefault="0075779F" w:rsidP="00F44D2B">
            <w:pPr>
              <w:pStyle w:val="TableParagraph"/>
              <w:widowControl/>
              <w:suppressAutoHyphens/>
              <w:ind w:left="50"/>
              <w:jc w:val="center"/>
              <w:rPr>
                <w:w w:val="99"/>
                <w:sz w:val="20"/>
                <w:szCs w:val="20"/>
                <w:highlight w:val="lightGray"/>
              </w:rPr>
            </w:pPr>
            <w:r w:rsidRPr="00316277">
              <w:rPr>
                <w:w w:val="99"/>
                <w:sz w:val="20"/>
                <w:szCs w:val="20"/>
              </w:rPr>
              <w:t>4</w:t>
            </w:r>
          </w:p>
        </w:tc>
        <w:tc>
          <w:tcPr>
            <w:tcW w:w="1077" w:type="dxa"/>
          </w:tcPr>
          <w:p w14:paraId="6479A381" w14:textId="77777777" w:rsidR="0075779F" w:rsidRPr="0075779F" w:rsidRDefault="0075779F" w:rsidP="00F44D2B">
            <w:pPr>
              <w:pStyle w:val="TableParagraph"/>
              <w:widowControl/>
              <w:suppressAutoHyphens/>
              <w:ind w:right="210"/>
              <w:jc w:val="center"/>
              <w:rPr>
                <w:w w:val="95"/>
                <w:sz w:val="20"/>
                <w:szCs w:val="20"/>
                <w:highlight w:val="lightGray"/>
              </w:rPr>
            </w:pPr>
            <w:r w:rsidRPr="00316277">
              <w:rPr>
                <w:w w:val="95"/>
                <w:sz w:val="20"/>
                <w:szCs w:val="20"/>
              </w:rPr>
              <w:t>C210</w:t>
            </w:r>
          </w:p>
        </w:tc>
        <w:tc>
          <w:tcPr>
            <w:tcW w:w="5019" w:type="dxa"/>
          </w:tcPr>
          <w:p w14:paraId="29828446" w14:textId="77777777" w:rsidR="0075779F" w:rsidRPr="0075779F" w:rsidRDefault="0075779F" w:rsidP="00F44D2B">
            <w:pPr>
              <w:pStyle w:val="TableParagraph"/>
              <w:widowControl/>
              <w:suppressAutoHyphens/>
              <w:ind w:left="210"/>
              <w:rPr>
                <w:sz w:val="20"/>
                <w:szCs w:val="20"/>
                <w:highlight w:val="lightGray"/>
              </w:rPr>
            </w:pPr>
            <w:r w:rsidRPr="00316277">
              <w:rPr>
                <w:color w:val="000000"/>
                <w:sz w:val="20"/>
                <w:szCs w:val="20"/>
              </w:rPr>
              <w:t>Analyste spécialisé en informatique</w:t>
            </w:r>
          </w:p>
        </w:tc>
        <w:tc>
          <w:tcPr>
            <w:tcW w:w="1700" w:type="dxa"/>
            <w:vAlign w:val="center"/>
          </w:tcPr>
          <w:p w14:paraId="0F19474D" w14:textId="77777777" w:rsidR="0075779F" w:rsidRPr="0075779F" w:rsidRDefault="0075779F" w:rsidP="00F44D2B">
            <w:pPr>
              <w:pStyle w:val="TableParagraph"/>
              <w:widowControl/>
              <w:suppressAutoHyphens/>
              <w:spacing w:line="187" w:lineRule="exact"/>
              <w:ind w:left="50"/>
              <w:jc w:val="center"/>
              <w:rPr>
                <w:w w:val="99"/>
                <w:sz w:val="20"/>
                <w:szCs w:val="20"/>
                <w:highlight w:val="lightGray"/>
              </w:rPr>
            </w:pPr>
            <w:r w:rsidRPr="00316277">
              <w:rPr>
                <w:w w:val="99"/>
                <w:sz w:val="20"/>
                <w:szCs w:val="20"/>
              </w:rPr>
              <w:t>23</w:t>
            </w:r>
          </w:p>
        </w:tc>
        <w:tc>
          <w:tcPr>
            <w:tcW w:w="996" w:type="dxa"/>
            <w:vAlign w:val="center"/>
          </w:tcPr>
          <w:p w14:paraId="57D10E97" w14:textId="77777777" w:rsidR="0075779F" w:rsidRPr="00316277" w:rsidRDefault="0075779F" w:rsidP="00F44D2B">
            <w:pPr>
              <w:pStyle w:val="TableParagraph"/>
              <w:widowControl/>
              <w:suppressAutoHyphens/>
              <w:spacing w:before="0" w:line="187" w:lineRule="exact"/>
              <w:ind w:left="50"/>
              <w:jc w:val="center"/>
              <w:rPr>
                <w:w w:val="99"/>
                <w:sz w:val="20"/>
                <w:szCs w:val="20"/>
              </w:rPr>
            </w:pPr>
          </w:p>
        </w:tc>
      </w:tr>
      <w:tr w:rsidR="0075779F" w:rsidRPr="00D7796C" w14:paraId="45CF5FF0" w14:textId="77777777" w:rsidTr="00DA26BD">
        <w:trPr>
          <w:trHeight w:val="266"/>
          <w:jc w:val="center"/>
        </w:trPr>
        <w:tc>
          <w:tcPr>
            <w:tcW w:w="851" w:type="dxa"/>
          </w:tcPr>
          <w:p w14:paraId="7B8C0133" w14:textId="77777777" w:rsidR="0075779F" w:rsidRPr="0075779F" w:rsidRDefault="0075779F" w:rsidP="00F44D2B">
            <w:pPr>
              <w:pStyle w:val="TableParagraph"/>
              <w:widowControl/>
              <w:suppressAutoHyphens/>
              <w:ind w:left="50"/>
              <w:jc w:val="center"/>
              <w:rPr>
                <w:w w:val="99"/>
                <w:sz w:val="20"/>
                <w:szCs w:val="20"/>
                <w:highlight w:val="lightGray"/>
              </w:rPr>
            </w:pPr>
            <w:r w:rsidRPr="00316277">
              <w:rPr>
                <w:w w:val="99"/>
                <w:sz w:val="20"/>
                <w:szCs w:val="20"/>
              </w:rPr>
              <w:t>4</w:t>
            </w:r>
          </w:p>
        </w:tc>
        <w:tc>
          <w:tcPr>
            <w:tcW w:w="1077" w:type="dxa"/>
          </w:tcPr>
          <w:p w14:paraId="4516EE79" w14:textId="77777777" w:rsidR="0075779F" w:rsidRPr="0075779F" w:rsidRDefault="0075779F" w:rsidP="00F44D2B">
            <w:pPr>
              <w:pStyle w:val="TableParagraph"/>
              <w:widowControl/>
              <w:suppressAutoHyphens/>
              <w:ind w:right="210"/>
              <w:jc w:val="center"/>
              <w:rPr>
                <w:w w:val="95"/>
                <w:sz w:val="20"/>
                <w:szCs w:val="20"/>
                <w:highlight w:val="lightGray"/>
              </w:rPr>
            </w:pPr>
            <w:r w:rsidRPr="00316277">
              <w:rPr>
                <w:w w:val="95"/>
                <w:sz w:val="20"/>
                <w:szCs w:val="20"/>
              </w:rPr>
              <w:t>C433</w:t>
            </w:r>
          </w:p>
        </w:tc>
        <w:tc>
          <w:tcPr>
            <w:tcW w:w="5019" w:type="dxa"/>
          </w:tcPr>
          <w:p w14:paraId="1BC775FF" w14:textId="77777777" w:rsidR="0075779F" w:rsidRPr="0075779F" w:rsidRDefault="0075779F" w:rsidP="00F44D2B">
            <w:pPr>
              <w:pStyle w:val="TableParagraph"/>
              <w:widowControl/>
              <w:suppressAutoHyphens/>
              <w:ind w:left="210"/>
              <w:rPr>
                <w:sz w:val="20"/>
                <w:szCs w:val="20"/>
                <w:highlight w:val="lightGray"/>
                <w:lang w:val="fr-CA"/>
              </w:rPr>
            </w:pPr>
            <w:r w:rsidRPr="00316277">
              <w:rPr>
                <w:color w:val="000000"/>
                <w:sz w:val="20"/>
                <w:szCs w:val="20"/>
                <w:lang w:val="fr-CA"/>
              </w:rPr>
              <w:t xml:space="preserve">Animateur </w:t>
            </w:r>
            <w:r w:rsidRPr="00316277">
              <w:rPr>
                <w:sz w:val="20"/>
                <w:szCs w:val="20"/>
                <w:lang w:val="fr-CA"/>
              </w:rPr>
              <w:t xml:space="preserve">d'activités de soutien à la </w:t>
            </w:r>
            <w:r w:rsidRPr="00316277">
              <w:rPr>
                <w:color w:val="000000"/>
                <w:sz w:val="20"/>
                <w:szCs w:val="20"/>
                <w:lang w:val="fr-CA"/>
              </w:rPr>
              <w:t>francisation</w:t>
            </w:r>
          </w:p>
        </w:tc>
        <w:tc>
          <w:tcPr>
            <w:tcW w:w="1700" w:type="dxa"/>
            <w:vAlign w:val="center"/>
          </w:tcPr>
          <w:p w14:paraId="4E06698A" w14:textId="77777777" w:rsidR="0075779F" w:rsidRPr="00316277" w:rsidRDefault="0075779F" w:rsidP="00F44D2B">
            <w:pPr>
              <w:pStyle w:val="TableParagraph"/>
              <w:widowControl/>
              <w:suppressAutoHyphens/>
              <w:spacing w:line="187" w:lineRule="exact"/>
              <w:ind w:left="50"/>
              <w:jc w:val="center"/>
              <w:rPr>
                <w:w w:val="99"/>
                <w:sz w:val="20"/>
                <w:szCs w:val="20"/>
                <w:lang w:val="fr-CA"/>
              </w:rPr>
            </w:pPr>
            <w:r w:rsidRPr="00316277">
              <w:rPr>
                <w:w w:val="99"/>
                <w:sz w:val="20"/>
                <w:szCs w:val="20"/>
                <w:lang w:val="fr-CA"/>
              </w:rPr>
              <w:t>14</w:t>
            </w:r>
          </w:p>
        </w:tc>
        <w:tc>
          <w:tcPr>
            <w:tcW w:w="996" w:type="dxa"/>
            <w:vAlign w:val="center"/>
          </w:tcPr>
          <w:p w14:paraId="670BABEC" w14:textId="77777777" w:rsidR="0075779F" w:rsidRPr="00D7796C" w:rsidRDefault="0075779F" w:rsidP="00F44D2B">
            <w:pPr>
              <w:pStyle w:val="TableParagraph"/>
              <w:widowControl/>
              <w:suppressAutoHyphens/>
              <w:spacing w:before="0" w:line="187" w:lineRule="exact"/>
              <w:ind w:left="50"/>
              <w:jc w:val="center"/>
              <w:rPr>
                <w:w w:val="99"/>
                <w:sz w:val="20"/>
                <w:szCs w:val="20"/>
                <w:lang w:val="fr-CA"/>
              </w:rPr>
            </w:pPr>
          </w:p>
        </w:tc>
      </w:tr>
      <w:tr w:rsidR="00CD5BD8" w:rsidRPr="00C5073A" w14:paraId="7CCA0CFA" w14:textId="77777777" w:rsidTr="00DA26BD">
        <w:trPr>
          <w:trHeight w:val="266"/>
          <w:jc w:val="center"/>
        </w:trPr>
        <w:tc>
          <w:tcPr>
            <w:tcW w:w="851" w:type="dxa"/>
          </w:tcPr>
          <w:p w14:paraId="645805ED"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1FE84079"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C431</w:t>
            </w:r>
          </w:p>
        </w:tc>
        <w:tc>
          <w:tcPr>
            <w:tcW w:w="5019" w:type="dxa"/>
          </w:tcPr>
          <w:p w14:paraId="2BFE2099" w14:textId="77777777" w:rsidR="00CD5BD8" w:rsidRPr="00C5073A" w:rsidRDefault="00CD5BD8" w:rsidP="007F120F">
            <w:pPr>
              <w:pStyle w:val="TableParagraph"/>
              <w:widowControl/>
              <w:suppressAutoHyphens/>
              <w:spacing w:before="59"/>
              <w:ind w:left="210"/>
              <w:rPr>
                <w:sz w:val="20"/>
                <w:szCs w:val="20"/>
                <w:lang w:val="fr-CA"/>
              </w:rPr>
            </w:pPr>
            <w:r w:rsidRPr="00C5073A">
              <w:rPr>
                <w:sz w:val="20"/>
                <w:szCs w:val="20"/>
                <w:lang w:val="fr-CA"/>
              </w:rPr>
              <w:t>Animateur d'activités socioculturelles ou sportives</w:t>
            </w:r>
          </w:p>
        </w:tc>
        <w:tc>
          <w:tcPr>
            <w:tcW w:w="1700" w:type="dxa"/>
            <w:vAlign w:val="center"/>
          </w:tcPr>
          <w:p w14:paraId="4F3561B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4DF2F5BC"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1E2806EB" w14:textId="77777777" w:rsidTr="00DA26BD">
        <w:trPr>
          <w:trHeight w:val="266"/>
          <w:jc w:val="center"/>
        </w:trPr>
        <w:tc>
          <w:tcPr>
            <w:tcW w:w="851" w:type="dxa"/>
          </w:tcPr>
          <w:p w14:paraId="6E60D14C"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134A41D4"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C701</w:t>
            </w:r>
          </w:p>
        </w:tc>
        <w:tc>
          <w:tcPr>
            <w:tcW w:w="5019" w:type="dxa"/>
          </w:tcPr>
          <w:p w14:paraId="22CC272D" w14:textId="77777777" w:rsidR="00CD5BD8" w:rsidRPr="00C5073A" w:rsidRDefault="00CD5BD8" w:rsidP="007F120F">
            <w:pPr>
              <w:pStyle w:val="TableParagraph"/>
              <w:widowControl/>
              <w:suppressAutoHyphens/>
              <w:ind w:left="210"/>
              <w:rPr>
                <w:sz w:val="20"/>
                <w:szCs w:val="20"/>
              </w:rPr>
            </w:pPr>
            <w:r w:rsidRPr="00C5073A">
              <w:rPr>
                <w:sz w:val="20"/>
                <w:szCs w:val="20"/>
              </w:rPr>
              <w:t>Appariteur</w:t>
            </w:r>
          </w:p>
        </w:tc>
        <w:tc>
          <w:tcPr>
            <w:tcW w:w="1700" w:type="dxa"/>
            <w:vAlign w:val="center"/>
          </w:tcPr>
          <w:p w14:paraId="0D07B5E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7BDB10FF"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CD5BD8" w:rsidRPr="00C5073A" w14:paraId="682A4C89" w14:textId="77777777" w:rsidTr="00DA26BD">
        <w:trPr>
          <w:trHeight w:val="266"/>
          <w:jc w:val="center"/>
        </w:trPr>
        <w:tc>
          <w:tcPr>
            <w:tcW w:w="851" w:type="dxa"/>
          </w:tcPr>
          <w:p w14:paraId="009E17A7"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4BFE1093"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C208</w:t>
            </w:r>
          </w:p>
        </w:tc>
        <w:tc>
          <w:tcPr>
            <w:tcW w:w="5019" w:type="dxa"/>
          </w:tcPr>
          <w:p w14:paraId="6CCEA600"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Attaché d'administration</w:t>
            </w:r>
          </w:p>
        </w:tc>
        <w:tc>
          <w:tcPr>
            <w:tcW w:w="1700" w:type="dxa"/>
            <w:vAlign w:val="center"/>
          </w:tcPr>
          <w:p w14:paraId="4EC3480F"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Align w:val="center"/>
          </w:tcPr>
          <w:p w14:paraId="34B03D3E"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75779F" w:rsidRPr="008C1895" w14:paraId="4A74FB30" w14:textId="77777777" w:rsidTr="00DA26BD">
        <w:trPr>
          <w:trHeight w:val="266"/>
          <w:jc w:val="center"/>
        </w:trPr>
        <w:tc>
          <w:tcPr>
            <w:tcW w:w="851" w:type="dxa"/>
          </w:tcPr>
          <w:p w14:paraId="319E59A2" w14:textId="77777777" w:rsidR="0075779F" w:rsidRPr="0075779F" w:rsidRDefault="0075779F" w:rsidP="00F44D2B">
            <w:pPr>
              <w:pStyle w:val="TableParagraph"/>
              <w:widowControl/>
              <w:suppressAutoHyphens/>
              <w:spacing w:before="59"/>
              <w:ind w:left="50"/>
              <w:jc w:val="center"/>
              <w:rPr>
                <w:w w:val="99"/>
                <w:sz w:val="20"/>
                <w:szCs w:val="20"/>
                <w:highlight w:val="lightGray"/>
              </w:rPr>
            </w:pPr>
            <w:r w:rsidRPr="00316277">
              <w:rPr>
                <w:w w:val="99"/>
                <w:sz w:val="20"/>
                <w:szCs w:val="20"/>
              </w:rPr>
              <w:t>4</w:t>
            </w:r>
          </w:p>
        </w:tc>
        <w:tc>
          <w:tcPr>
            <w:tcW w:w="1077" w:type="dxa"/>
          </w:tcPr>
          <w:p w14:paraId="22E1583F" w14:textId="77777777" w:rsidR="0075779F" w:rsidRPr="0075779F" w:rsidRDefault="0075779F" w:rsidP="00F44D2B">
            <w:pPr>
              <w:pStyle w:val="TableParagraph"/>
              <w:widowControl/>
              <w:suppressAutoHyphens/>
              <w:spacing w:before="59"/>
              <w:ind w:right="210"/>
              <w:jc w:val="center"/>
              <w:rPr>
                <w:w w:val="95"/>
                <w:sz w:val="20"/>
                <w:szCs w:val="20"/>
                <w:highlight w:val="lightGray"/>
              </w:rPr>
            </w:pPr>
            <w:r w:rsidRPr="00316277">
              <w:rPr>
                <w:w w:val="95"/>
                <w:sz w:val="20"/>
                <w:szCs w:val="20"/>
              </w:rPr>
              <w:t>C239</w:t>
            </w:r>
          </w:p>
        </w:tc>
        <w:tc>
          <w:tcPr>
            <w:tcW w:w="5019" w:type="dxa"/>
          </w:tcPr>
          <w:p w14:paraId="3A032BCC" w14:textId="77777777" w:rsidR="0075779F" w:rsidRPr="0075779F" w:rsidRDefault="0075779F" w:rsidP="00F44D2B">
            <w:pPr>
              <w:pStyle w:val="TableParagraph"/>
              <w:widowControl/>
              <w:suppressAutoHyphens/>
              <w:spacing w:before="59"/>
              <w:ind w:left="210"/>
              <w:rPr>
                <w:sz w:val="20"/>
                <w:szCs w:val="20"/>
                <w:highlight w:val="lightGray"/>
              </w:rPr>
            </w:pPr>
            <w:r w:rsidRPr="00316277">
              <w:rPr>
                <w:color w:val="000000"/>
                <w:sz w:val="20"/>
                <w:szCs w:val="20"/>
              </w:rPr>
              <w:t>Auxiliaire de recherche</w:t>
            </w:r>
            <w:r w:rsidRPr="00316277">
              <w:rPr>
                <w:color w:val="000000"/>
                <w:sz w:val="20"/>
                <w:szCs w:val="20"/>
                <w:vertAlign w:val="superscript"/>
              </w:rPr>
              <w:t>3</w:t>
            </w:r>
          </w:p>
        </w:tc>
        <w:tc>
          <w:tcPr>
            <w:tcW w:w="1700" w:type="dxa"/>
            <w:vAlign w:val="center"/>
          </w:tcPr>
          <w:p w14:paraId="26B412D1" w14:textId="77777777" w:rsidR="0075779F" w:rsidRPr="00316277" w:rsidRDefault="0075779F" w:rsidP="00F44D2B">
            <w:pPr>
              <w:pStyle w:val="TableParagraph"/>
              <w:widowControl/>
              <w:suppressAutoHyphens/>
              <w:spacing w:line="187" w:lineRule="exact"/>
              <w:ind w:left="50"/>
              <w:jc w:val="center"/>
              <w:rPr>
                <w:w w:val="99"/>
                <w:sz w:val="20"/>
                <w:szCs w:val="20"/>
              </w:rPr>
            </w:pPr>
            <w:r w:rsidRPr="00316277">
              <w:rPr>
                <w:w w:val="99"/>
                <w:sz w:val="20"/>
                <w:szCs w:val="20"/>
              </w:rPr>
              <w:t>21</w:t>
            </w:r>
          </w:p>
        </w:tc>
        <w:tc>
          <w:tcPr>
            <w:tcW w:w="996" w:type="dxa"/>
            <w:vAlign w:val="center"/>
          </w:tcPr>
          <w:p w14:paraId="6542B05E" w14:textId="77777777" w:rsidR="0075779F" w:rsidRPr="008C1895" w:rsidRDefault="0075779F" w:rsidP="00F44D2B">
            <w:pPr>
              <w:pStyle w:val="TableParagraph"/>
              <w:widowControl/>
              <w:suppressAutoHyphens/>
              <w:spacing w:line="187" w:lineRule="exact"/>
              <w:ind w:left="50"/>
              <w:jc w:val="center"/>
              <w:rPr>
                <w:w w:val="99"/>
                <w:sz w:val="20"/>
                <w:szCs w:val="20"/>
              </w:rPr>
            </w:pPr>
          </w:p>
        </w:tc>
      </w:tr>
      <w:tr w:rsidR="00CD5BD8" w:rsidRPr="00C5073A" w14:paraId="3A3CE4B4" w14:textId="77777777" w:rsidTr="00DA26BD">
        <w:trPr>
          <w:trHeight w:val="266"/>
          <w:jc w:val="center"/>
        </w:trPr>
        <w:tc>
          <w:tcPr>
            <w:tcW w:w="851" w:type="dxa"/>
          </w:tcPr>
          <w:p w14:paraId="39C71BE1"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26856719"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C262</w:t>
            </w:r>
          </w:p>
        </w:tc>
        <w:tc>
          <w:tcPr>
            <w:tcW w:w="5019" w:type="dxa"/>
          </w:tcPr>
          <w:p w14:paraId="66D0F42F" w14:textId="77777777" w:rsidR="00CD5BD8" w:rsidRPr="00C5073A" w:rsidRDefault="00CD5BD8" w:rsidP="007F120F">
            <w:pPr>
              <w:pStyle w:val="TableParagraph"/>
              <w:widowControl/>
              <w:suppressAutoHyphens/>
              <w:ind w:left="210"/>
              <w:rPr>
                <w:sz w:val="20"/>
                <w:szCs w:val="20"/>
              </w:rPr>
            </w:pPr>
            <w:r w:rsidRPr="00C5073A">
              <w:rPr>
                <w:sz w:val="20"/>
                <w:szCs w:val="20"/>
              </w:rPr>
              <w:t>Bibliothécaire</w:t>
            </w:r>
          </w:p>
        </w:tc>
        <w:tc>
          <w:tcPr>
            <w:tcW w:w="1700" w:type="dxa"/>
            <w:vAlign w:val="center"/>
          </w:tcPr>
          <w:p w14:paraId="7934A190" w14:textId="18DAE520" w:rsidR="00CD5BD8" w:rsidRPr="00C5073A" w:rsidRDefault="00EC22D9" w:rsidP="007F120F">
            <w:pPr>
              <w:pStyle w:val="TableParagraph"/>
              <w:widowControl/>
              <w:suppressAutoHyphens/>
              <w:spacing w:line="187" w:lineRule="exact"/>
              <w:ind w:left="50"/>
              <w:jc w:val="center"/>
              <w:rPr>
                <w:w w:val="99"/>
                <w:sz w:val="20"/>
                <w:szCs w:val="20"/>
              </w:rPr>
            </w:pPr>
            <w:r w:rsidRPr="00316277">
              <w:rPr>
                <w:w w:val="99"/>
                <w:sz w:val="20"/>
                <w:szCs w:val="20"/>
              </w:rPr>
              <w:t>21</w:t>
            </w:r>
          </w:p>
        </w:tc>
        <w:tc>
          <w:tcPr>
            <w:tcW w:w="996" w:type="dxa"/>
            <w:vAlign w:val="center"/>
          </w:tcPr>
          <w:p w14:paraId="73270021"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75779F" w:rsidRPr="0075779F" w14:paraId="0C93EED4" w14:textId="77777777" w:rsidTr="00DA26BD">
        <w:trPr>
          <w:trHeight w:val="266"/>
          <w:jc w:val="center"/>
        </w:trPr>
        <w:tc>
          <w:tcPr>
            <w:tcW w:w="851" w:type="dxa"/>
          </w:tcPr>
          <w:p w14:paraId="51B61A89" w14:textId="77777777" w:rsidR="0075779F" w:rsidRPr="0075779F" w:rsidRDefault="0075779F" w:rsidP="00F44D2B">
            <w:pPr>
              <w:pStyle w:val="TableParagraph"/>
              <w:widowControl/>
              <w:suppressAutoHyphens/>
              <w:ind w:left="50"/>
              <w:jc w:val="center"/>
              <w:rPr>
                <w:w w:val="99"/>
                <w:sz w:val="20"/>
                <w:szCs w:val="20"/>
                <w:highlight w:val="lightGray"/>
              </w:rPr>
            </w:pPr>
            <w:r w:rsidRPr="00316277">
              <w:rPr>
                <w:w w:val="99"/>
                <w:sz w:val="20"/>
                <w:szCs w:val="20"/>
              </w:rPr>
              <w:t>4</w:t>
            </w:r>
          </w:p>
        </w:tc>
        <w:tc>
          <w:tcPr>
            <w:tcW w:w="1077" w:type="dxa"/>
          </w:tcPr>
          <w:p w14:paraId="5224E571" w14:textId="77777777" w:rsidR="0075779F" w:rsidRPr="0075779F" w:rsidRDefault="0075779F" w:rsidP="00F44D2B">
            <w:pPr>
              <w:pStyle w:val="TableParagraph"/>
              <w:widowControl/>
              <w:suppressAutoHyphens/>
              <w:ind w:right="210"/>
              <w:jc w:val="center"/>
              <w:rPr>
                <w:w w:val="95"/>
                <w:sz w:val="20"/>
                <w:szCs w:val="20"/>
                <w:highlight w:val="lightGray"/>
              </w:rPr>
            </w:pPr>
            <w:r w:rsidRPr="00316277">
              <w:rPr>
                <w:w w:val="95"/>
                <w:sz w:val="20"/>
                <w:szCs w:val="20"/>
              </w:rPr>
              <w:t>C236</w:t>
            </w:r>
          </w:p>
        </w:tc>
        <w:tc>
          <w:tcPr>
            <w:tcW w:w="5019" w:type="dxa"/>
          </w:tcPr>
          <w:p w14:paraId="6C82FA90" w14:textId="77777777" w:rsidR="0075779F" w:rsidRPr="0075779F" w:rsidRDefault="0075779F" w:rsidP="00F44D2B">
            <w:pPr>
              <w:pStyle w:val="TableParagraph"/>
              <w:widowControl/>
              <w:suppressAutoHyphens/>
              <w:ind w:left="210"/>
              <w:rPr>
                <w:sz w:val="20"/>
                <w:szCs w:val="20"/>
                <w:highlight w:val="lightGray"/>
              </w:rPr>
            </w:pPr>
            <w:r w:rsidRPr="00316277">
              <w:rPr>
                <w:color w:val="000000"/>
                <w:sz w:val="20"/>
                <w:szCs w:val="20"/>
              </w:rPr>
              <w:t>Chercheur</w:t>
            </w:r>
            <w:r w:rsidRPr="00316277">
              <w:rPr>
                <w:color w:val="000000"/>
                <w:sz w:val="20"/>
                <w:szCs w:val="20"/>
                <w:vertAlign w:val="superscript"/>
              </w:rPr>
              <w:t>3</w:t>
            </w:r>
          </w:p>
        </w:tc>
        <w:tc>
          <w:tcPr>
            <w:tcW w:w="1700" w:type="dxa"/>
            <w:vAlign w:val="center"/>
          </w:tcPr>
          <w:p w14:paraId="77D35055" w14:textId="77777777" w:rsidR="0075779F" w:rsidRPr="0075779F" w:rsidRDefault="0075779F" w:rsidP="00F44D2B">
            <w:pPr>
              <w:pStyle w:val="TableParagraph"/>
              <w:widowControl/>
              <w:suppressAutoHyphens/>
              <w:spacing w:line="187" w:lineRule="exact"/>
              <w:ind w:left="50"/>
              <w:jc w:val="center"/>
              <w:rPr>
                <w:w w:val="99"/>
                <w:sz w:val="20"/>
                <w:szCs w:val="20"/>
                <w:highlight w:val="lightGray"/>
              </w:rPr>
            </w:pPr>
            <w:r w:rsidRPr="00316277">
              <w:rPr>
                <w:w w:val="99"/>
                <w:sz w:val="20"/>
                <w:szCs w:val="20"/>
              </w:rPr>
              <w:t>23</w:t>
            </w:r>
          </w:p>
        </w:tc>
        <w:tc>
          <w:tcPr>
            <w:tcW w:w="996" w:type="dxa"/>
            <w:vAlign w:val="center"/>
          </w:tcPr>
          <w:p w14:paraId="00BDCDFC" w14:textId="77777777" w:rsidR="0075779F" w:rsidRPr="00316277" w:rsidRDefault="0075779F" w:rsidP="00F44D2B">
            <w:pPr>
              <w:pStyle w:val="TableParagraph"/>
              <w:widowControl/>
              <w:suppressAutoHyphens/>
              <w:spacing w:before="0" w:line="187" w:lineRule="exact"/>
              <w:ind w:left="50"/>
              <w:jc w:val="center"/>
              <w:rPr>
                <w:w w:val="99"/>
                <w:sz w:val="20"/>
                <w:szCs w:val="20"/>
              </w:rPr>
            </w:pPr>
          </w:p>
        </w:tc>
      </w:tr>
      <w:tr w:rsidR="0075779F" w:rsidRPr="008C1895" w14:paraId="256A448F" w14:textId="77777777" w:rsidTr="00DA26BD">
        <w:trPr>
          <w:trHeight w:val="266"/>
          <w:jc w:val="center"/>
        </w:trPr>
        <w:tc>
          <w:tcPr>
            <w:tcW w:w="851" w:type="dxa"/>
          </w:tcPr>
          <w:p w14:paraId="223DE9ED" w14:textId="77777777" w:rsidR="0075779F" w:rsidRPr="0075779F" w:rsidRDefault="0075779F" w:rsidP="00F44D2B">
            <w:pPr>
              <w:pStyle w:val="TableParagraph"/>
              <w:widowControl/>
              <w:suppressAutoHyphens/>
              <w:ind w:left="50"/>
              <w:jc w:val="center"/>
              <w:rPr>
                <w:w w:val="99"/>
                <w:sz w:val="20"/>
                <w:szCs w:val="20"/>
                <w:highlight w:val="lightGray"/>
              </w:rPr>
            </w:pPr>
            <w:r w:rsidRPr="00316277">
              <w:rPr>
                <w:w w:val="99"/>
                <w:sz w:val="20"/>
                <w:szCs w:val="20"/>
              </w:rPr>
              <w:t>4</w:t>
            </w:r>
          </w:p>
        </w:tc>
        <w:tc>
          <w:tcPr>
            <w:tcW w:w="1077" w:type="dxa"/>
          </w:tcPr>
          <w:p w14:paraId="3C43DCD6" w14:textId="77777777" w:rsidR="0075779F" w:rsidRPr="0075779F" w:rsidRDefault="0075779F" w:rsidP="00F44D2B">
            <w:pPr>
              <w:pStyle w:val="TableParagraph"/>
              <w:widowControl/>
              <w:suppressAutoHyphens/>
              <w:ind w:right="210"/>
              <w:jc w:val="center"/>
              <w:rPr>
                <w:w w:val="95"/>
                <w:sz w:val="20"/>
                <w:szCs w:val="20"/>
                <w:highlight w:val="lightGray"/>
              </w:rPr>
            </w:pPr>
            <w:r w:rsidRPr="00316277">
              <w:rPr>
                <w:w w:val="95"/>
                <w:sz w:val="20"/>
                <w:szCs w:val="20"/>
              </w:rPr>
              <w:t>C237</w:t>
            </w:r>
          </w:p>
        </w:tc>
        <w:tc>
          <w:tcPr>
            <w:tcW w:w="5019" w:type="dxa"/>
          </w:tcPr>
          <w:p w14:paraId="127BD4A0" w14:textId="77777777" w:rsidR="0075779F" w:rsidRPr="0075779F" w:rsidRDefault="0075779F" w:rsidP="00F44D2B">
            <w:pPr>
              <w:pStyle w:val="TableParagraph"/>
              <w:widowControl/>
              <w:suppressAutoHyphens/>
              <w:ind w:left="210"/>
              <w:rPr>
                <w:sz w:val="20"/>
                <w:szCs w:val="20"/>
                <w:highlight w:val="lightGray"/>
              </w:rPr>
            </w:pPr>
            <w:r w:rsidRPr="00316277">
              <w:rPr>
                <w:color w:val="000000"/>
                <w:sz w:val="20"/>
                <w:szCs w:val="20"/>
              </w:rPr>
              <w:t>Chercheur principal</w:t>
            </w:r>
            <w:r w:rsidRPr="00316277">
              <w:rPr>
                <w:color w:val="000000"/>
                <w:sz w:val="20"/>
                <w:szCs w:val="20"/>
                <w:vertAlign w:val="superscript"/>
              </w:rPr>
              <w:t>3</w:t>
            </w:r>
          </w:p>
        </w:tc>
        <w:tc>
          <w:tcPr>
            <w:tcW w:w="1700" w:type="dxa"/>
            <w:vAlign w:val="center"/>
          </w:tcPr>
          <w:p w14:paraId="3398B5DF" w14:textId="77777777" w:rsidR="0075779F" w:rsidRPr="00316277" w:rsidRDefault="0075779F" w:rsidP="00F44D2B">
            <w:pPr>
              <w:pStyle w:val="TableParagraph"/>
              <w:widowControl/>
              <w:suppressAutoHyphens/>
              <w:spacing w:line="187" w:lineRule="exact"/>
              <w:ind w:left="50"/>
              <w:jc w:val="center"/>
              <w:rPr>
                <w:w w:val="99"/>
                <w:sz w:val="20"/>
                <w:szCs w:val="20"/>
              </w:rPr>
            </w:pPr>
            <w:r w:rsidRPr="00316277">
              <w:rPr>
                <w:w w:val="99"/>
                <w:sz w:val="20"/>
                <w:szCs w:val="20"/>
              </w:rPr>
              <w:t>24</w:t>
            </w:r>
          </w:p>
        </w:tc>
        <w:tc>
          <w:tcPr>
            <w:tcW w:w="996" w:type="dxa"/>
            <w:vAlign w:val="center"/>
          </w:tcPr>
          <w:p w14:paraId="04860B40" w14:textId="77777777" w:rsidR="0075779F" w:rsidRPr="008C1895" w:rsidRDefault="0075779F" w:rsidP="00F44D2B">
            <w:pPr>
              <w:pStyle w:val="TableParagraph"/>
              <w:widowControl/>
              <w:suppressAutoHyphens/>
              <w:spacing w:before="0" w:line="187" w:lineRule="exact"/>
              <w:ind w:left="50"/>
              <w:jc w:val="center"/>
              <w:rPr>
                <w:w w:val="99"/>
                <w:sz w:val="20"/>
                <w:szCs w:val="20"/>
              </w:rPr>
            </w:pPr>
          </w:p>
        </w:tc>
      </w:tr>
      <w:tr w:rsidR="00CD5BD8" w:rsidRPr="00C5073A" w14:paraId="7DD2A622" w14:textId="77777777" w:rsidTr="00DA26BD">
        <w:trPr>
          <w:trHeight w:val="266"/>
          <w:jc w:val="center"/>
        </w:trPr>
        <w:tc>
          <w:tcPr>
            <w:tcW w:w="851" w:type="dxa"/>
          </w:tcPr>
          <w:p w14:paraId="4D1EAAD3"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2C8C4DE6"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C905</w:t>
            </w:r>
          </w:p>
        </w:tc>
        <w:tc>
          <w:tcPr>
            <w:tcW w:w="5019" w:type="dxa"/>
          </w:tcPr>
          <w:p w14:paraId="1D9543F4"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Concierge de résidence</w:t>
            </w:r>
          </w:p>
        </w:tc>
        <w:tc>
          <w:tcPr>
            <w:tcW w:w="1700" w:type="dxa"/>
            <w:vAlign w:val="center"/>
          </w:tcPr>
          <w:p w14:paraId="025CA17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36ABF494"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06122B63" w14:textId="77777777" w:rsidTr="00DA26BD">
        <w:trPr>
          <w:trHeight w:val="266"/>
          <w:jc w:val="center"/>
        </w:trPr>
        <w:tc>
          <w:tcPr>
            <w:tcW w:w="851" w:type="dxa"/>
          </w:tcPr>
          <w:p w14:paraId="153C6B6D"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49F1FEDA"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C925</w:t>
            </w:r>
          </w:p>
        </w:tc>
        <w:tc>
          <w:tcPr>
            <w:tcW w:w="5019" w:type="dxa"/>
          </w:tcPr>
          <w:p w14:paraId="63CACB42" w14:textId="77777777" w:rsidR="00CD5BD8" w:rsidRPr="00C5073A" w:rsidRDefault="00CD5BD8" w:rsidP="007F120F">
            <w:pPr>
              <w:pStyle w:val="TableParagraph"/>
              <w:widowControl/>
              <w:suppressAutoHyphens/>
              <w:ind w:left="210"/>
              <w:rPr>
                <w:sz w:val="20"/>
                <w:szCs w:val="20"/>
              </w:rPr>
            </w:pPr>
            <w:r w:rsidRPr="00C5073A">
              <w:rPr>
                <w:sz w:val="20"/>
                <w:szCs w:val="20"/>
              </w:rPr>
              <w:t>Conducteur de véhicules légers</w:t>
            </w:r>
          </w:p>
        </w:tc>
        <w:tc>
          <w:tcPr>
            <w:tcW w:w="1700" w:type="dxa"/>
            <w:vAlign w:val="center"/>
          </w:tcPr>
          <w:p w14:paraId="75E4898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996" w:type="dxa"/>
            <w:vAlign w:val="center"/>
          </w:tcPr>
          <w:p w14:paraId="5B7DD99C"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7BD83200" w14:textId="77777777" w:rsidTr="00DA26BD">
        <w:trPr>
          <w:trHeight w:val="266"/>
          <w:jc w:val="center"/>
        </w:trPr>
        <w:tc>
          <w:tcPr>
            <w:tcW w:w="851" w:type="dxa"/>
          </w:tcPr>
          <w:p w14:paraId="02173628"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4F85510E"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C926</w:t>
            </w:r>
          </w:p>
        </w:tc>
        <w:tc>
          <w:tcPr>
            <w:tcW w:w="5019" w:type="dxa"/>
          </w:tcPr>
          <w:p w14:paraId="48836C97"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Conducteur de véhicules lourds</w:t>
            </w:r>
          </w:p>
        </w:tc>
        <w:tc>
          <w:tcPr>
            <w:tcW w:w="1700" w:type="dxa"/>
            <w:vAlign w:val="center"/>
          </w:tcPr>
          <w:p w14:paraId="74E9B9E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458E36C6"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4BBE33D5" w14:textId="77777777" w:rsidTr="00DA26BD">
        <w:trPr>
          <w:trHeight w:val="266"/>
          <w:jc w:val="center"/>
        </w:trPr>
        <w:tc>
          <w:tcPr>
            <w:tcW w:w="851" w:type="dxa"/>
          </w:tcPr>
          <w:p w14:paraId="300335AB"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062EAAC8"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C263</w:t>
            </w:r>
          </w:p>
        </w:tc>
        <w:tc>
          <w:tcPr>
            <w:tcW w:w="5019" w:type="dxa"/>
          </w:tcPr>
          <w:p w14:paraId="475A5CF9" w14:textId="77777777" w:rsidR="00CD5BD8" w:rsidRPr="00C5073A" w:rsidRDefault="00CD5BD8" w:rsidP="007F120F">
            <w:pPr>
              <w:pStyle w:val="TableParagraph"/>
              <w:widowControl/>
              <w:suppressAutoHyphens/>
              <w:ind w:left="210"/>
              <w:rPr>
                <w:sz w:val="20"/>
                <w:szCs w:val="20"/>
                <w:lang w:val="fr-CA"/>
              </w:rPr>
            </w:pPr>
            <w:r w:rsidRPr="00C5073A">
              <w:rPr>
                <w:sz w:val="20"/>
                <w:szCs w:val="20"/>
                <w:lang w:val="fr-CA"/>
              </w:rPr>
              <w:t>Conseiller à la vie étudiante</w:t>
            </w:r>
          </w:p>
        </w:tc>
        <w:tc>
          <w:tcPr>
            <w:tcW w:w="1700" w:type="dxa"/>
            <w:vAlign w:val="center"/>
          </w:tcPr>
          <w:p w14:paraId="70AD9DA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Align w:val="center"/>
          </w:tcPr>
          <w:p w14:paraId="4F85669B"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CD5BD8" w:rsidRPr="00C5073A" w14:paraId="0A026290" w14:textId="77777777" w:rsidTr="00DA26BD">
        <w:trPr>
          <w:trHeight w:val="266"/>
          <w:jc w:val="center"/>
        </w:trPr>
        <w:tc>
          <w:tcPr>
            <w:tcW w:w="851" w:type="dxa"/>
          </w:tcPr>
          <w:p w14:paraId="5AD73EF4"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0E9708E9"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C220</w:t>
            </w:r>
          </w:p>
        </w:tc>
        <w:tc>
          <w:tcPr>
            <w:tcW w:w="5019" w:type="dxa"/>
          </w:tcPr>
          <w:p w14:paraId="533D8632"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Conseiller d'orientation</w:t>
            </w:r>
          </w:p>
        </w:tc>
        <w:tc>
          <w:tcPr>
            <w:tcW w:w="1700" w:type="dxa"/>
            <w:vAlign w:val="center"/>
          </w:tcPr>
          <w:p w14:paraId="7A5204CD" w14:textId="2094B92B" w:rsidR="00CD5BD8" w:rsidRPr="00C5073A" w:rsidRDefault="00EC22D9" w:rsidP="007F120F">
            <w:pPr>
              <w:pStyle w:val="TableParagraph"/>
              <w:widowControl/>
              <w:suppressAutoHyphens/>
              <w:spacing w:line="187" w:lineRule="exact"/>
              <w:ind w:left="50"/>
              <w:jc w:val="center"/>
              <w:rPr>
                <w:w w:val="99"/>
                <w:sz w:val="20"/>
                <w:szCs w:val="20"/>
              </w:rPr>
            </w:pPr>
            <w:r w:rsidRPr="00316277">
              <w:rPr>
                <w:w w:val="99"/>
                <w:sz w:val="20"/>
                <w:szCs w:val="20"/>
              </w:rPr>
              <w:t>22</w:t>
            </w:r>
          </w:p>
        </w:tc>
        <w:tc>
          <w:tcPr>
            <w:tcW w:w="996" w:type="dxa"/>
            <w:vAlign w:val="center"/>
          </w:tcPr>
          <w:p w14:paraId="378F281B"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36658699" w14:textId="77777777" w:rsidTr="00DA26BD">
        <w:trPr>
          <w:trHeight w:val="266"/>
          <w:jc w:val="center"/>
        </w:trPr>
        <w:tc>
          <w:tcPr>
            <w:tcW w:w="851" w:type="dxa"/>
          </w:tcPr>
          <w:p w14:paraId="188BDE1F"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48D4FA64"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C223</w:t>
            </w:r>
          </w:p>
        </w:tc>
        <w:tc>
          <w:tcPr>
            <w:tcW w:w="5019" w:type="dxa"/>
          </w:tcPr>
          <w:p w14:paraId="2D96B1D6" w14:textId="1857696D" w:rsidR="00CD5BD8" w:rsidRPr="00C5073A" w:rsidRDefault="00CD5BD8" w:rsidP="007F120F">
            <w:pPr>
              <w:pStyle w:val="TableParagraph"/>
              <w:widowControl/>
              <w:suppressAutoHyphens/>
              <w:ind w:left="210"/>
              <w:rPr>
                <w:sz w:val="20"/>
                <w:szCs w:val="20"/>
              </w:rPr>
            </w:pPr>
            <w:r w:rsidRPr="00C5073A">
              <w:rPr>
                <w:sz w:val="20"/>
                <w:szCs w:val="20"/>
              </w:rPr>
              <w:t>Conseiller en adaptation scolaire</w:t>
            </w:r>
          </w:p>
        </w:tc>
        <w:tc>
          <w:tcPr>
            <w:tcW w:w="1700" w:type="dxa"/>
            <w:vAlign w:val="center"/>
          </w:tcPr>
          <w:p w14:paraId="09311A9D" w14:textId="04907779" w:rsidR="00CD5BD8" w:rsidRPr="00C5073A" w:rsidRDefault="00EC22D9" w:rsidP="007F120F">
            <w:pPr>
              <w:pStyle w:val="TableParagraph"/>
              <w:widowControl/>
              <w:suppressAutoHyphens/>
              <w:spacing w:line="187" w:lineRule="exact"/>
              <w:ind w:left="50"/>
              <w:jc w:val="center"/>
              <w:rPr>
                <w:w w:val="99"/>
                <w:sz w:val="20"/>
                <w:szCs w:val="20"/>
              </w:rPr>
            </w:pPr>
            <w:r w:rsidRPr="00316277">
              <w:rPr>
                <w:w w:val="99"/>
                <w:sz w:val="20"/>
                <w:szCs w:val="20"/>
              </w:rPr>
              <w:t>22</w:t>
            </w:r>
          </w:p>
        </w:tc>
        <w:tc>
          <w:tcPr>
            <w:tcW w:w="996" w:type="dxa"/>
            <w:vAlign w:val="center"/>
          </w:tcPr>
          <w:p w14:paraId="3BD6B188"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75779F" w:rsidRPr="008C1895" w14:paraId="3357698F" w14:textId="77777777" w:rsidTr="00DA26BD">
        <w:trPr>
          <w:trHeight w:val="266"/>
          <w:jc w:val="center"/>
        </w:trPr>
        <w:tc>
          <w:tcPr>
            <w:tcW w:w="851" w:type="dxa"/>
          </w:tcPr>
          <w:p w14:paraId="5E20D15E" w14:textId="77777777" w:rsidR="0075779F" w:rsidRPr="0075779F" w:rsidRDefault="0075779F" w:rsidP="00F44D2B">
            <w:pPr>
              <w:pStyle w:val="TableParagraph"/>
              <w:widowControl/>
              <w:suppressAutoHyphens/>
              <w:ind w:left="50"/>
              <w:jc w:val="center"/>
              <w:rPr>
                <w:w w:val="99"/>
                <w:sz w:val="20"/>
                <w:szCs w:val="20"/>
                <w:highlight w:val="lightGray"/>
              </w:rPr>
            </w:pPr>
            <w:r w:rsidRPr="00316277">
              <w:rPr>
                <w:w w:val="99"/>
                <w:sz w:val="20"/>
                <w:szCs w:val="20"/>
              </w:rPr>
              <w:t>4</w:t>
            </w:r>
          </w:p>
        </w:tc>
        <w:tc>
          <w:tcPr>
            <w:tcW w:w="1077" w:type="dxa"/>
          </w:tcPr>
          <w:p w14:paraId="2C0CFE8F" w14:textId="77777777" w:rsidR="0075779F" w:rsidRPr="0075779F" w:rsidRDefault="0075779F" w:rsidP="00F44D2B">
            <w:pPr>
              <w:pStyle w:val="TableParagraph"/>
              <w:widowControl/>
              <w:suppressAutoHyphens/>
              <w:ind w:right="210"/>
              <w:jc w:val="center"/>
              <w:rPr>
                <w:w w:val="95"/>
                <w:sz w:val="20"/>
                <w:szCs w:val="20"/>
                <w:highlight w:val="lightGray"/>
              </w:rPr>
            </w:pPr>
            <w:r w:rsidRPr="00316277">
              <w:rPr>
                <w:w w:val="95"/>
                <w:sz w:val="20"/>
                <w:szCs w:val="20"/>
              </w:rPr>
              <w:t>C238</w:t>
            </w:r>
          </w:p>
        </w:tc>
        <w:tc>
          <w:tcPr>
            <w:tcW w:w="5019" w:type="dxa"/>
          </w:tcPr>
          <w:p w14:paraId="098E6DA6" w14:textId="77777777" w:rsidR="0075779F" w:rsidRPr="0075779F" w:rsidRDefault="0075779F" w:rsidP="00F44D2B">
            <w:pPr>
              <w:pStyle w:val="TableParagraph"/>
              <w:widowControl/>
              <w:suppressAutoHyphens/>
              <w:ind w:left="210" w:hanging="12"/>
              <w:rPr>
                <w:sz w:val="20"/>
                <w:szCs w:val="20"/>
                <w:highlight w:val="lightGray"/>
                <w:lang w:val="fr-CA"/>
              </w:rPr>
            </w:pPr>
            <w:r w:rsidRPr="00316277">
              <w:rPr>
                <w:color w:val="000000"/>
                <w:sz w:val="20"/>
                <w:szCs w:val="20"/>
                <w:lang w:val="fr-CA"/>
              </w:rPr>
              <w:t>Conseiller en aide technique et accompagnement</w:t>
            </w:r>
            <w:r w:rsidRPr="00316277">
              <w:rPr>
                <w:color w:val="000000"/>
                <w:sz w:val="20"/>
                <w:szCs w:val="20"/>
                <w:vertAlign w:val="superscript"/>
                <w:lang w:val="fr-CA"/>
              </w:rPr>
              <w:t>3</w:t>
            </w:r>
          </w:p>
        </w:tc>
        <w:tc>
          <w:tcPr>
            <w:tcW w:w="1700" w:type="dxa"/>
            <w:vAlign w:val="center"/>
          </w:tcPr>
          <w:p w14:paraId="38112789" w14:textId="77777777" w:rsidR="0075779F" w:rsidRPr="00316277" w:rsidRDefault="0075779F" w:rsidP="00F44D2B">
            <w:pPr>
              <w:pStyle w:val="TableParagraph"/>
              <w:widowControl/>
              <w:suppressAutoHyphens/>
              <w:spacing w:line="187" w:lineRule="exact"/>
              <w:ind w:left="50"/>
              <w:jc w:val="center"/>
              <w:rPr>
                <w:w w:val="99"/>
                <w:sz w:val="20"/>
                <w:szCs w:val="20"/>
                <w:lang w:val="fr-CA"/>
              </w:rPr>
            </w:pPr>
            <w:r w:rsidRPr="00316277">
              <w:rPr>
                <w:w w:val="99"/>
                <w:sz w:val="20"/>
                <w:szCs w:val="20"/>
                <w:lang w:val="fr-CA"/>
              </w:rPr>
              <w:t>23</w:t>
            </w:r>
          </w:p>
        </w:tc>
        <w:tc>
          <w:tcPr>
            <w:tcW w:w="996" w:type="dxa"/>
            <w:vAlign w:val="center"/>
          </w:tcPr>
          <w:p w14:paraId="05268F63" w14:textId="77777777" w:rsidR="0075779F" w:rsidRPr="00B240BE" w:rsidRDefault="0075779F" w:rsidP="00F44D2B">
            <w:pPr>
              <w:pStyle w:val="TableParagraph"/>
              <w:widowControl/>
              <w:suppressAutoHyphens/>
              <w:spacing w:before="0" w:line="187" w:lineRule="exact"/>
              <w:ind w:left="50"/>
              <w:jc w:val="center"/>
              <w:rPr>
                <w:w w:val="99"/>
                <w:sz w:val="20"/>
                <w:szCs w:val="20"/>
                <w:lang w:val="fr-CA"/>
              </w:rPr>
            </w:pPr>
          </w:p>
        </w:tc>
      </w:tr>
      <w:tr w:rsidR="00CD5BD8" w:rsidRPr="00C5073A" w14:paraId="66AF5333" w14:textId="77777777" w:rsidTr="00DA26BD">
        <w:trPr>
          <w:trHeight w:val="266"/>
          <w:jc w:val="center"/>
        </w:trPr>
        <w:tc>
          <w:tcPr>
            <w:tcW w:w="851" w:type="dxa"/>
          </w:tcPr>
          <w:p w14:paraId="6FE96D67"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6916EFBE"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C203</w:t>
            </w:r>
          </w:p>
        </w:tc>
        <w:tc>
          <w:tcPr>
            <w:tcW w:w="5019" w:type="dxa"/>
          </w:tcPr>
          <w:p w14:paraId="2FF83872"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Conseiller en communication</w:t>
            </w:r>
          </w:p>
        </w:tc>
        <w:tc>
          <w:tcPr>
            <w:tcW w:w="1700" w:type="dxa"/>
            <w:vAlign w:val="center"/>
          </w:tcPr>
          <w:p w14:paraId="609A40E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Align w:val="center"/>
          </w:tcPr>
          <w:p w14:paraId="18B80548"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5DD309A7" w14:textId="77777777" w:rsidTr="00DA26BD">
        <w:trPr>
          <w:trHeight w:val="266"/>
          <w:jc w:val="center"/>
        </w:trPr>
        <w:tc>
          <w:tcPr>
            <w:tcW w:w="851" w:type="dxa"/>
          </w:tcPr>
          <w:p w14:paraId="6F17C6A2"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7E2C1F65"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C221</w:t>
            </w:r>
          </w:p>
        </w:tc>
        <w:tc>
          <w:tcPr>
            <w:tcW w:w="5019" w:type="dxa"/>
          </w:tcPr>
          <w:p w14:paraId="7DBD7148" w14:textId="6C743424" w:rsidR="00CD5BD8" w:rsidRPr="00C5073A" w:rsidRDefault="00CD5BD8" w:rsidP="007F120F">
            <w:pPr>
              <w:pStyle w:val="TableParagraph"/>
              <w:widowControl/>
              <w:suppressAutoHyphens/>
              <w:ind w:left="210"/>
              <w:rPr>
                <w:sz w:val="20"/>
                <w:szCs w:val="20"/>
              </w:rPr>
            </w:pPr>
            <w:r w:rsidRPr="00C5073A">
              <w:rPr>
                <w:sz w:val="20"/>
                <w:szCs w:val="20"/>
              </w:rPr>
              <w:t>Conseiller en formation scolaire</w:t>
            </w:r>
            <w:r w:rsidR="00C02F7F" w:rsidRPr="00316277">
              <w:rPr>
                <w:sz w:val="20"/>
                <w:szCs w:val="20"/>
                <w:vertAlign w:val="superscript"/>
              </w:rPr>
              <w:t>4</w:t>
            </w:r>
          </w:p>
        </w:tc>
        <w:tc>
          <w:tcPr>
            <w:tcW w:w="1700" w:type="dxa"/>
            <w:vAlign w:val="center"/>
          </w:tcPr>
          <w:p w14:paraId="67AFC04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Align w:val="center"/>
          </w:tcPr>
          <w:p w14:paraId="5C705E00"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CD5BD8" w:rsidRPr="00C5073A" w14:paraId="7F9E0879" w14:textId="77777777" w:rsidTr="00DA26BD">
        <w:trPr>
          <w:trHeight w:val="266"/>
          <w:jc w:val="center"/>
        </w:trPr>
        <w:tc>
          <w:tcPr>
            <w:tcW w:w="851" w:type="dxa"/>
          </w:tcPr>
          <w:p w14:paraId="04263BD7"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49D2575C"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C214</w:t>
            </w:r>
          </w:p>
        </w:tc>
        <w:tc>
          <w:tcPr>
            <w:tcW w:w="5019" w:type="dxa"/>
          </w:tcPr>
          <w:p w14:paraId="256E3D5D" w14:textId="77777777" w:rsidR="00CD5BD8" w:rsidRPr="00C5073A" w:rsidRDefault="00CD5BD8" w:rsidP="007F120F">
            <w:pPr>
              <w:pStyle w:val="TableParagraph"/>
              <w:widowControl/>
              <w:suppressAutoHyphens/>
              <w:spacing w:before="59"/>
              <w:ind w:left="210"/>
              <w:rPr>
                <w:sz w:val="20"/>
                <w:szCs w:val="20"/>
                <w:lang w:val="fr-CA"/>
              </w:rPr>
            </w:pPr>
            <w:r w:rsidRPr="00C5073A">
              <w:rPr>
                <w:sz w:val="20"/>
                <w:szCs w:val="20"/>
                <w:lang w:val="fr-CA"/>
              </w:rPr>
              <w:t>Conseiller en information scolaire et professionnelle</w:t>
            </w:r>
          </w:p>
        </w:tc>
        <w:tc>
          <w:tcPr>
            <w:tcW w:w="1700" w:type="dxa"/>
            <w:vAlign w:val="center"/>
          </w:tcPr>
          <w:p w14:paraId="1134E39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20</w:t>
            </w:r>
          </w:p>
        </w:tc>
        <w:tc>
          <w:tcPr>
            <w:tcW w:w="996" w:type="dxa"/>
            <w:vAlign w:val="center"/>
          </w:tcPr>
          <w:p w14:paraId="350AEFCB"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75779F" w:rsidRPr="008C1895" w14:paraId="664C8052" w14:textId="77777777" w:rsidTr="00DA26BD">
        <w:trPr>
          <w:trHeight w:val="266"/>
          <w:jc w:val="center"/>
        </w:trPr>
        <w:tc>
          <w:tcPr>
            <w:tcW w:w="851" w:type="dxa"/>
          </w:tcPr>
          <w:p w14:paraId="7E09DDEC" w14:textId="77777777" w:rsidR="0075779F" w:rsidRPr="0075779F" w:rsidRDefault="0075779F" w:rsidP="00F44D2B">
            <w:pPr>
              <w:pStyle w:val="TableParagraph"/>
              <w:widowControl/>
              <w:suppressAutoHyphens/>
              <w:spacing w:before="59"/>
              <w:ind w:left="50"/>
              <w:jc w:val="center"/>
              <w:rPr>
                <w:w w:val="99"/>
                <w:sz w:val="20"/>
                <w:szCs w:val="20"/>
                <w:highlight w:val="lightGray"/>
              </w:rPr>
            </w:pPr>
            <w:r w:rsidRPr="00316277">
              <w:rPr>
                <w:color w:val="000000"/>
                <w:sz w:val="20"/>
                <w:szCs w:val="20"/>
              </w:rPr>
              <w:t>4</w:t>
            </w:r>
          </w:p>
        </w:tc>
        <w:tc>
          <w:tcPr>
            <w:tcW w:w="1077" w:type="dxa"/>
            <w:vAlign w:val="center"/>
          </w:tcPr>
          <w:p w14:paraId="5B939AA6" w14:textId="77777777" w:rsidR="0075779F" w:rsidRPr="0075779F" w:rsidRDefault="0075779F" w:rsidP="00F44D2B">
            <w:pPr>
              <w:pStyle w:val="TableParagraph"/>
              <w:widowControl/>
              <w:suppressAutoHyphens/>
              <w:spacing w:before="59"/>
              <w:ind w:right="210"/>
              <w:jc w:val="center"/>
              <w:rPr>
                <w:w w:val="95"/>
                <w:sz w:val="20"/>
                <w:szCs w:val="20"/>
                <w:highlight w:val="lightGray"/>
              </w:rPr>
            </w:pPr>
            <w:r w:rsidRPr="00316277">
              <w:rPr>
                <w:color w:val="000000"/>
                <w:sz w:val="20"/>
                <w:szCs w:val="20"/>
              </w:rPr>
              <w:t>C234</w:t>
            </w:r>
          </w:p>
        </w:tc>
        <w:tc>
          <w:tcPr>
            <w:tcW w:w="5019" w:type="dxa"/>
            <w:vAlign w:val="center"/>
          </w:tcPr>
          <w:p w14:paraId="48A0AC25" w14:textId="77777777" w:rsidR="0075779F" w:rsidRPr="0075779F" w:rsidRDefault="0075779F" w:rsidP="00F44D2B">
            <w:pPr>
              <w:pStyle w:val="TableParagraph"/>
              <w:widowControl/>
              <w:suppressAutoHyphens/>
              <w:spacing w:before="59"/>
              <w:ind w:left="210"/>
              <w:rPr>
                <w:sz w:val="20"/>
                <w:szCs w:val="20"/>
                <w:highlight w:val="lightGray"/>
                <w:lang w:val="fr-CA"/>
              </w:rPr>
            </w:pPr>
            <w:r w:rsidRPr="00316277">
              <w:rPr>
                <w:color w:val="000000"/>
                <w:sz w:val="20"/>
                <w:szCs w:val="20"/>
              </w:rPr>
              <w:t>Conseiller en ressources matérielles</w:t>
            </w:r>
          </w:p>
        </w:tc>
        <w:tc>
          <w:tcPr>
            <w:tcW w:w="1700" w:type="dxa"/>
            <w:vAlign w:val="center"/>
          </w:tcPr>
          <w:p w14:paraId="56F8D91D" w14:textId="77777777" w:rsidR="0075779F" w:rsidRPr="0075779F" w:rsidRDefault="0075779F" w:rsidP="00F44D2B">
            <w:pPr>
              <w:pStyle w:val="TableParagraph"/>
              <w:widowControl/>
              <w:suppressAutoHyphens/>
              <w:spacing w:line="187" w:lineRule="exact"/>
              <w:ind w:left="50"/>
              <w:jc w:val="center"/>
              <w:rPr>
                <w:w w:val="99"/>
                <w:sz w:val="20"/>
                <w:szCs w:val="20"/>
                <w:highlight w:val="lightGray"/>
              </w:rPr>
            </w:pPr>
            <w:r w:rsidRPr="00316277">
              <w:rPr>
                <w:color w:val="000000"/>
                <w:sz w:val="20"/>
                <w:szCs w:val="20"/>
              </w:rPr>
              <w:t>23</w:t>
            </w:r>
          </w:p>
        </w:tc>
        <w:tc>
          <w:tcPr>
            <w:tcW w:w="996" w:type="dxa"/>
          </w:tcPr>
          <w:p w14:paraId="23AE06ED" w14:textId="77777777" w:rsidR="0075779F" w:rsidRPr="00316277" w:rsidRDefault="0075779F" w:rsidP="00F44D2B">
            <w:pPr>
              <w:pStyle w:val="TableParagraph"/>
              <w:widowControl/>
              <w:suppressAutoHyphens/>
              <w:spacing w:line="187" w:lineRule="exact"/>
              <w:ind w:left="50"/>
              <w:jc w:val="center"/>
              <w:rPr>
                <w:w w:val="99"/>
                <w:sz w:val="20"/>
                <w:szCs w:val="20"/>
              </w:rPr>
            </w:pPr>
            <w:r w:rsidRPr="00316277">
              <w:rPr>
                <w:color w:val="000000"/>
                <w:sz w:val="20"/>
                <w:szCs w:val="20"/>
              </w:rPr>
              <w:t>x</w:t>
            </w:r>
          </w:p>
        </w:tc>
      </w:tr>
      <w:tr w:rsidR="00CD5BD8" w:rsidRPr="00C5073A" w14:paraId="0FAB1543" w14:textId="77777777" w:rsidTr="00DA26BD">
        <w:trPr>
          <w:trHeight w:val="266"/>
          <w:jc w:val="center"/>
        </w:trPr>
        <w:tc>
          <w:tcPr>
            <w:tcW w:w="851" w:type="dxa"/>
          </w:tcPr>
          <w:p w14:paraId="6CB7FFF7"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69E3AA3A"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C216</w:t>
            </w:r>
          </w:p>
        </w:tc>
        <w:tc>
          <w:tcPr>
            <w:tcW w:w="5019" w:type="dxa"/>
          </w:tcPr>
          <w:p w14:paraId="5E066AE1" w14:textId="77777777" w:rsidR="00CD5BD8" w:rsidRPr="00C5073A" w:rsidRDefault="00CD5BD8" w:rsidP="007F120F">
            <w:pPr>
              <w:pStyle w:val="TableParagraph"/>
              <w:widowControl/>
              <w:suppressAutoHyphens/>
              <w:ind w:left="210"/>
              <w:rPr>
                <w:sz w:val="20"/>
                <w:szCs w:val="20"/>
              </w:rPr>
            </w:pPr>
            <w:r w:rsidRPr="00C5073A">
              <w:rPr>
                <w:sz w:val="20"/>
                <w:szCs w:val="20"/>
              </w:rPr>
              <w:t>Conseiller en services adaptés</w:t>
            </w:r>
          </w:p>
        </w:tc>
        <w:tc>
          <w:tcPr>
            <w:tcW w:w="1700" w:type="dxa"/>
            <w:vAlign w:val="center"/>
          </w:tcPr>
          <w:p w14:paraId="373F249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22</w:t>
            </w:r>
          </w:p>
        </w:tc>
        <w:tc>
          <w:tcPr>
            <w:tcW w:w="996" w:type="dxa"/>
            <w:vAlign w:val="center"/>
          </w:tcPr>
          <w:p w14:paraId="0C6B6915"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CD5BD8" w:rsidRPr="00C5073A" w14:paraId="3A0EB89C" w14:textId="77777777" w:rsidTr="00DA26BD">
        <w:trPr>
          <w:trHeight w:val="266"/>
          <w:jc w:val="center"/>
        </w:trPr>
        <w:tc>
          <w:tcPr>
            <w:tcW w:w="851" w:type="dxa"/>
          </w:tcPr>
          <w:p w14:paraId="315B5B85"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18D2CF4A"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C219</w:t>
            </w:r>
          </w:p>
        </w:tc>
        <w:tc>
          <w:tcPr>
            <w:tcW w:w="5019" w:type="dxa"/>
          </w:tcPr>
          <w:p w14:paraId="6A6718C8"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Conseiller pédagogique</w:t>
            </w:r>
          </w:p>
        </w:tc>
        <w:tc>
          <w:tcPr>
            <w:tcW w:w="1700" w:type="dxa"/>
            <w:vAlign w:val="center"/>
          </w:tcPr>
          <w:p w14:paraId="102E94C4" w14:textId="3544100F" w:rsidR="00CD5BD8" w:rsidRPr="00C5073A" w:rsidRDefault="00EC22D9" w:rsidP="007F120F">
            <w:pPr>
              <w:pStyle w:val="TableParagraph"/>
              <w:widowControl/>
              <w:suppressAutoHyphens/>
              <w:spacing w:line="187" w:lineRule="exact"/>
              <w:ind w:left="50"/>
              <w:jc w:val="center"/>
              <w:rPr>
                <w:w w:val="99"/>
                <w:sz w:val="20"/>
                <w:szCs w:val="20"/>
              </w:rPr>
            </w:pPr>
            <w:r w:rsidRPr="00316277">
              <w:rPr>
                <w:w w:val="99"/>
                <w:sz w:val="20"/>
                <w:szCs w:val="20"/>
              </w:rPr>
              <w:t>23</w:t>
            </w:r>
          </w:p>
        </w:tc>
        <w:tc>
          <w:tcPr>
            <w:tcW w:w="996" w:type="dxa"/>
            <w:vAlign w:val="center"/>
          </w:tcPr>
          <w:p w14:paraId="660DCA17"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71090098" w14:textId="77777777" w:rsidTr="00DA26BD">
        <w:trPr>
          <w:trHeight w:val="266"/>
          <w:jc w:val="center"/>
        </w:trPr>
        <w:tc>
          <w:tcPr>
            <w:tcW w:w="851" w:type="dxa"/>
          </w:tcPr>
          <w:p w14:paraId="61CD13DC"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137FBAF0"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C915</w:t>
            </w:r>
          </w:p>
        </w:tc>
        <w:tc>
          <w:tcPr>
            <w:tcW w:w="5019" w:type="dxa"/>
          </w:tcPr>
          <w:p w14:paraId="26333EC3" w14:textId="77777777" w:rsidR="00CD5BD8" w:rsidRPr="00C5073A" w:rsidRDefault="00CD5BD8" w:rsidP="007F120F">
            <w:pPr>
              <w:pStyle w:val="TableParagraph"/>
              <w:widowControl/>
              <w:suppressAutoHyphens/>
              <w:ind w:left="210"/>
              <w:rPr>
                <w:sz w:val="20"/>
                <w:szCs w:val="20"/>
              </w:rPr>
            </w:pPr>
            <w:r w:rsidRPr="00C5073A">
              <w:rPr>
                <w:sz w:val="20"/>
                <w:szCs w:val="20"/>
              </w:rPr>
              <w:t>Cuisinier, classe I</w:t>
            </w:r>
          </w:p>
        </w:tc>
        <w:tc>
          <w:tcPr>
            <w:tcW w:w="1700" w:type="dxa"/>
            <w:vAlign w:val="center"/>
          </w:tcPr>
          <w:p w14:paraId="16FB93D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11</w:t>
            </w:r>
          </w:p>
        </w:tc>
        <w:tc>
          <w:tcPr>
            <w:tcW w:w="996" w:type="dxa"/>
            <w:vAlign w:val="center"/>
          </w:tcPr>
          <w:p w14:paraId="4C62454A"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47DDE676" w14:textId="77777777" w:rsidTr="00DA26BD">
        <w:trPr>
          <w:trHeight w:val="266"/>
          <w:jc w:val="center"/>
        </w:trPr>
        <w:tc>
          <w:tcPr>
            <w:tcW w:w="851" w:type="dxa"/>
          </w:tcPr>
          <w:p w14:paraId="0168C9D3"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2C1347D8"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C916</w:t>
            </w:r>
          </w:p>
        </w:tc>
        <w:tc>
          <w:tcPr>
            <w:tcW w:w="5019" w:type="dxa"/>
          </w:tcPr>
          <w:p w14:paraId="7AB7F90A"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Cuisinier, classe II</w:t>
            </w:r>
          </w:p>
        </w:tc>
        <w:tc>
          <w:tcPr>
            <w:tcW w:w="1700" w:type="dxa"/>
            <w:vAlign w:val="center"/>
          </w:tcPr>
          <w:p w14:paraId="7ED9FC9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0BBC0A25"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29565A7F" w14:textId="77777777" w:rsidTr="00DA26BD">
        <w:trPr>
          <w:trHeight w:val="266"/>
          <w:jc w:val="center"/>
        </w:trPr>
        <w:tc>
          <w:tcPr>
            <w:tcW w:w="851" w:type="dxa"/>
          </w:tcPr>
          <w:p w14:paraId="26DF1F7A"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58C7404B"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C917</w:t>
            </w:r>
          </w:p>
        </w:tc>
        <w:tc>
          <w:tcPr>
            <w:tcW w:w="5019" w:type="dxa"/>
          </w:tcPr>
          <w:p w14:paraId="6EFA6731" w14:textId="77777777" w:rsidR="00CD5BD8" w:rsidRPr="00C5073A" w:rsidRDefault="00CD5BD8" w:rsidP="007F120F">
            <w:pPr>
              <w:pStyle w:val="TableParagraph"/>
              <w:widowControl/>
              <w:suppressAutoHyphens/>
              <w:ind w:left="210"/>
              <w:rPr>
                <w:sz w:val="20"/>
                <w:szCs w:val="20"/>
              </w:rPr>
            </w:pPr>
            <w:r w:rsidRPr="00C5073A">
              <w:rPr>
                <w:sz w:val="20"/>
                <w:szCs w:val="20"/>
              </w:rPr>
              <w:t>Cuisinier, classe III</w:t>
            </w:r>
          </w:p>
        </w:tc>
        <w:tc>
          <w:tcPr>
            <w:tcW w:w="1700" w:type="dxa"/>
            <w:vAlign w:val="center"/>
          </w:tcPr>
          <w:p w14:paraId="1755BCD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7</w:t>
            </w:r>
          </w:p>
        </w:tc>
        <w:tc>
          <w:tcPr>
            <w:tcW w:w="996" w:type="dxa"/>
            <w:vAlign w:val="center"/>
          </w:tcPr>
          <w:p w14:paraId="4F3B19B7"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65C2F1F5" w14:textId="77777777" w:rsidTr="00DA26BD">
        <w:trPr>
          <w:trHeight w:val="266"/>
          <w:jc w:val="center"/>
        </w:trPr>
        <w:tc>
          <w:tcPr>
            <w:tcW w:w="851" w:type="dxa"/>
          </w:tcPr>
          <w:p w14:paraId="70DA8BE1"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0B353D77"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C716</w:t>
            </w:r>
          </w:p>
        </w:tc>
        <w:tc>
          <w:tcPr>
            <w:tcW w:w="5019" w:type="dxa"/>
          </w:tcPr>
          <w:p w14:paraId="1483A220"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Ébéniste</w:t>
            </w:r>
          </w:p>
        </w:tc>
        <w:tc>
          <w:tcPr>
            <w:tcW w:w="1700" w:type="dxa"/>
            <w:vAlign w:val="center"/>
          </w:tcPr>
          <w:p w14:paraId="18EF5954"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3142ABBB"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37516B9B" w14:textId="77777777" w:rsidTr="00DA26BD">
        <w:trPr>
          <w:trHeight w:val="266"/>
          <w:jc w:val="center"/>
        </w:trPr>
        <w:tc>
          <w:tcPr>
            <w:tcW w:w="851" w:type="dxa"/>
          </w:tcPr>
          <w:p w14:paraId="02C939B8"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7CB80907"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C702</w:t>
            </w:r>
          </w:p>
        </w:tc>
        <w:tc>
          <w:tcPr>
            <w:tcW w:w="5019" w:type="dxa"/>
          </w:tcPr>
          <w:p w14:paraId="3B3F52CC" w14:textId="77777777" w:rsidR="00CD5BD8" w:rsidRPr="00C5073A" w:rsidRDefault="00CD5BD8" w:rsidP="007F120F">
            <w:pPr>
              <w:pStyle w:val="TableParagraph"/>
              <w:widowControl/>
              <w:suppressAutoHyphens/>
              <w:ind w:left="210"/>
              <w:rPr>
                <w:sz w:val="20"/>
                <w:szCs w:val="20"/>
              </w:rPr>
            </w:pPr>
            <w:r w:rsidRPr="00C5073A">
              <w:rPr>
                <w:sz w:val="20"/>
                <w:szCs w:val="20"/>
              </w:rPr>
              <w:t>Électricien</w:t>
            </w:r>
          </w:p>
        </w:tc>
        <w:tc>
          <w:tcPr>
            <w:tcW w:w="1700" w:type="dxa"/>
            <w:vAlign w:val="center"/>
          </w:tcPr>
          <w:p w14:paraId="0758334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5DB3019A"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3B746987" w14:textId="77777777" w:rsidTr="00DA26BD">
        <w:trPr>
          <w:trHeight w:val="266"/>
          <w:jc w:val="center"/>
        </w:trPr>
        <w:tc>
          <w:tcPr>
            <w:tcW w:w="851" w:type="dxa"/>
          </w:tcPr>
          <w:p w14:paraId="4999DA0C"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2E4ED5CD"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C704</w:t>
            </w:r>
          </w:p>
        </w:tc>
        <w:tc>
          <w:tcPr>
            <w:tcW w:w="5019" w:type="dxa"/>
          </w:tcPr>
          <w:p w14:paraId="216CF257"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Électricien, classe principale</w:t>
            </w:r>
          </w:p>
        </w:tc>
        <w:tc>
          <w:tcPr>
            <w:tcW w:w="1700" w:type="dxa"/>
            <w:vAlign w:val="center"/>
          </w:tcPr>
          <w:p w14:paraId="6B99B76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12</w:t>
            </w:r>
          </w:p>
        </w:tc>
        <w:tc>
          <w:tcPr>
            <w:tcW w:w="996" w:type="dxa"/>
            <w:vAlign w:val="center"/>
          </w:tcPr>
          <w:p w14:paraId="031E461D"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75779F" w14:paraId="11F186D8" w14:textId="77777777" w:rsidTr="00DA26BD">
        <w:trPr>
          <w:trHeight w:val="266"/>
          <w:jc w:val="center"/>
        </w:trPr>
        <w:tc>
          <w:tcPr>
            <w:tcW w:w="851" w:type="dxa"/>
          </w:tcPr>
          <w:p w14:paraId="7C013336" w14:textId="0F28E4A5" w:rsidR="00CD5BD8" w:rsidRPr="0075779F" w:rsidRDefault="00CD5BD8" w:rsidP="007F120F">
            <w:pPr>
              <w:pStyle w:val="TableParagraph"/>
              <w:widowControl/>
              <w:suppressAutoHyphens/>
              <w:ind w:left="50"/>
              <w:jc w:val="center"/>
              <w:rPr>
                <w:dstrike/>
                <w:sz w:val="20"/>
                <w:szCs w:val="20"/>
              </w:rPr>
            </w:pPr>
          </w:p>
        </w:tc>
        <w:tc>
          <w:tcPr>
            <w:tcW w:w="1077" w:type="dxa"/>
          </w:tcPr>
          <w:p w14:paraId="5516A749" w14:textId="2ED85593" w:rsidR="00CD5BD8" w:rsidRPr="0075779F" w:rsidRDefault="00CD5BD8" w:rsidP="007F120F">
            <w:pPr>
              <w:pStyle w:val="TableParagraph"/>
              <w:widowControl/>
              <w:suppressAutoHyphens/>
              <w:ind w:right="210"/>
              <w:jc w:val="center"/>
              <w:rPr>
                <w:dstrike/>
                <w:sz w:val="20"/>
                <w:szCs w:val="20"/>
              </w:rPr>
            </w:pPr>
          </w:p>
        </w:tc>
        <w:tc>
          <w:tcPr>
            <w:tcW w:w="5019" w:type="dxa"/>
          </w:tcPr>
          <w:p w14:paraId="611C8158" w14:textId="3C57B4C1" w:rsidR="00CD5BD8" w:rsidRPr="0075779F" w:rsidRDefault="00CD5BD8" w:rsidP="007F120F">
            <w:pPr>
              <w:pStyle w:val="TableParagraph"/>
              <w:widowControl/>
              <w:suppressAutoHyphens/>
              <w:ind w:left="210"/>
              <w:rPr>
                <w:dstrike/>
                <w:sz w:val="20"/>
                <w:szCs w:val="20"/>
              </w:rPr>
            </w:pPr>
          </w:p>
        </w:tc>
        <w:tc>
          <w:tcPr>
            <w:tcW w:w="1700" w:type="dxa"/>
            <w:vAlign w:val="center"/>
          </w:tcPr>
          <w:p w14:paraId="1D9B0767" w14:textId="0BBE2D7A" w:rsidR="00CD5BD8" w:rsidRPr="0075779F" w:rsidRDefault="00CD5BD8" w:rsidP="007F120F">
            <w:pPr>
              <w:pStyle w:val="TableParagraph"/>
              <w:widowControl/>
              <w:suppressAutoHyphens/>
              <w:spacing w:line="187" w:lineRule="exact"/>
              <w:ind w:left="50"/>
              <w:jc w:val="center"/>
              <w:rPr>
                <w:dstrike/>
                <w:w w:val="99"/>
                <w:sz w:val="20"/>
                <w:szCs w:val="20"/>
              </w:rPr>
            </w:pPr>
          </w:p>
        </w:tc>
        <w:tc>
          <w:tcPr>
            <w:tcW w:w="996" w:type="dxa"/>
            <w:vAlign w:val="center"/>
          </w:tcPr>
          <w:p w14:paraId="5F77CC9D" w14:textId="77777777" w:rsidR="00CD5BD8" w:rsidRPr="0075779F" w:rsidRDefault="00CD5BD8" w:rsidP="007F120F">
            <w:pPr>
              <w:pStyle w:val="TableParagraph"/>
              <w:widowControl/>
              <w:suppressAutoHyphens/>
              <w:spacing w:before="0" w:line="187" w:lineRule="exact"/>
              <w:ind w:left="50"/>
              <w:jc w:val="center"/>
              <w:rPr>
                <w:dstrike/>
                <w:w w:val="99"/>
                <w:sz w:val="20"/>
                <w:szCs w:val="20"/>
              </w:rPr>
            </w:pPr>
          </w:p>
        </w:tc>
      </w:tr>
      <w:tr w:rsidR="00CD5BD8" w:rsidRPr="00C5073A" w14:paraId="7AA46EE2" w14:textId="77777777" w:rsidTr="00DA26BD">
        <w:trPr>
          <w:trHeight w:val="109"/>
          <w:jc w:val="center"/>
        </w:trPr>
        <w:tc>
          <w:tcPr>
            <w:tcW w:w="851" w:type="dxa"/>
          </w:tcPr>
          <w:p w14:paraId="79CEBDD8"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0B55FC36"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C305</w:t>
            </w:r>
          </w:p>
        </w:tc>
        <w:tc>
          <w:tcPr>
            <w:tcW w:w="5019" w:type="dxa"/>
          </w:tcPr>
          <w:p w14:paraId="7CB95717" w14:textId="19E3613D" w:rsidR="00CD5BD8" w:rsidRPr="00C5073A" w:rsidRDefault="00CD5BD8" w:rsidP="007F120F">
            <w:pPr>
              <w:pStyle w:val="TableParagraph"/>
              <w:widowControl/>
              <w:suppressAutoHyphens/>
              <w:spacing w:before="59"/>
              <w:ind w:left="210"/>
              <w:rPr>
                <w:sz w:val="20"/>
                <w:szCs w:val="20"/>
              </w:rPr>
            </w:pPr>
            <w:r w:rsidRPr="00C5073A">
              <w:rPr>
                <w:sz w:val="20"/>
                <w:szCs w:val="20"/>
              </w:rPr>
              <w:t>Enseignant</w:t>
            </w:r>
            <w:r w:rsidR="0075779F">
              <w:rPr>
                <w:sz w:val="20"/>
                <w:szCs w:val="20"/>
              </w:rPr>
              <w:t xml:space="preserve"> </w:t>
            </w:r>
            <w:r w:rsidR="0075779F" w:rsidRPr="00316277">
              <w:rPr>
                <w:sz w:val="20"/>
                <w:szCs w:val="20"/>
              </w:rPr>
              <w:t>collèges</w:t>
            </w:r>
            <w:r w:rsidR="0075779F">
              <w:rPr>
                <w:sz w:val="20"/>
                <w:szCs w:val="20"/>
              </w:rPr>
              <w:t xml:space="preserve"> </w:t>
            </w:r>
          </w:p>
        </w:tc>
        <w:tc>
          <w:tcPr>
            <w:tcW w:w="1700" w:type="dxa"/>
            <w:vAlign w:val="center"/>
          </w:tcPr>
          <w:p w14:paraId="6D4F056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23</w:t>
            </w:r>
          </w:p>
        </w:tc>
        <w:tc>
          <w:tcPr>
            <w:tcW w:w="996" w:type="dxa"/>
            <w:vAlign w:val="center"/>
          </w:tcPr>
          <w:p w14:paraId="0B8EA6DF"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26D1E423" w14:textId="77777777" w:rsidTr="00DA26BD">
        <w:trPr>
          <w:trHeight w:val="266"/>
          <w:jc w:val="center"/>
        </w:trPr>
        <w:tc>
          <w:tcPr>
            <w:tcW w:w="851" w:type="dxa"/>
          </w:tcPr>
          <w:p w14:paraId="113EC4F2" w14:textId="77777777" w:rsidR="00CD5BD8" w:rsidRPr="00C5073A" w:rsidRDefault="00CD5BD8" w:rsidP="007F120F">
            <w:pPr>
              <w:pStyle w:val="TableParagraph"/>
              <w:widowControl/>
              <w:suppressAutoHyphens/>
              <w:ind w:left="50"/>
              <w:jc w:val="center"/>
              <w:rPr>
                <w:sz w:val="20"/>
                <w:szCs w:val="20"/>
              </w:rPr>
            </w:pPr>
            <w:r w:rsidRPr="00C5073A">
              <w:rPr>
                <w:w w:val="99"/>
                <w:sz w:val="20"/>
                <w:szCs w:val="20"/>
              </w:rPr>
              <w:t>4</w:t>
            </w:r>
          </w:p>
        </w:tc>
        <w:tc>
          <w:tcPr>
            <w:tcW w:w="1077" w:type="dxa"/>
          </w:tcPr>
          <w:p w14:paraId="301640AC" w14:textId="77777777" w:rsidR="00CD5BD8" w:rsidRPr="00C5073A" w:rsidRDefault="00CD5BD8" w:rsidP="007F120F">
            <w:pPr>
              <w:pStyle w:val="TableParagraph"/>
              <w:widowControl/>
              <w:suppressAutoHyphens/>
              <w:ind w:right="210"/>
              <w:jc w:val="center"/>
              <w:rPr>
                <w:sz w:val="20"/>
                <w:szCs w:val="20"/>
              </w:rPr>
            </w:pPr>
            <w:r w:rsidRPr="00C5073A">
              <w:rPr>
                <w:w w:val="95"/>
                <w:sz w:val="20"/>
                <w:szCs w:val="20"/>
              </w:rPr>
              <w:t>C417</w:t>
            </w:r>
          </w:p>
        </w:tc>
        <w:tc>
          <w:tcPr>
            <w:tcW w:w="5019" w:type="dxa"/>
          </w:tcPr>
          <w:p w14:paraId="60BBC845" w14:textId="77777777" w:rsidR="00CD5BD8" w:rsidRPr="00C5073A" w:rsidRDefault="00CD5BD8" w:rsidP="007F120F">
            <w:pPr>
              <w:pStyle w:val="TableParagraph"/>
              <w:widowControl/>
              <w:suppressAutoHyphens/>
              <w:ind w:left="210"/>
              <w:rPr>
                <w:sz w:val="20"/>
                <w:szCs w:val="20"/>
              </w:rPr>
            </w:pPr>
            <w:r w:rsidRPr="00C5073A">
              <w:rPr>
                <w:sz w:val="20"/>
                <w:szCs w:val="20"/>
              </w:rPr>
              <w:t>Hygiéniste dentaire</w:t>
            </w:r>
          </w:p>
        </w:tc>
        <w:tc>
          <w:tcPr>
            <w:tcW w:w="1700" w:type="dxa"/>
            <w:vAlign w:val="center"/>
          </w:tcPr>
          <w:p w14:paraId="1EFEEB5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14</w:t>
            </w:r>
          </w:p>
        </w:tc>
        <w:tc>
          <w:tcPr>
            <w:tcW w:w="996" w:type="dxa"/>
            <w:vAlign w:val="center"/>
          </w:tcPr>
          <w:p w14:paraId="34972E24" w14:textId="77777777" w:rsidR="00CD5BD8" w:rsidRPr="00C5073A" w:rsidRDefault="00CD5BD8" w:rsidP="007F120F">
            <w:pPr>
              <w:pStyle w:val="TableParagraph"/>
              <w:widowControl/>
              <w:suppressAutoHyphens/>
              <w:spacing w:before="0" w:line="187" w:lineRule="exact"/>
              <w:ind w:left="50"/>
              <w:jc w:val="center"/>
              <w:rPr>
                <w:w w:val="99"/>
                <w:sz w:val="20"/>
                <w:szCs w:val="20"/>
              </w:rPr>
            </w:pPr>
          </w:p>
        </w:tc>
      </w:tr>
      <w:tr w:rsidR="00CD5BD8" w:rsidRPr="00C5073A" w14:paraId="5D41C098" w14:textId="77777777" w:rsidTr="00DA26BD">
        <w:trPr>
          <w:trHeight w:val="266"/>
          <w:jc w:val="center"/>
        </w:trPr>
        <w:tc>
          <w:tcPr>
            <w:tcW w:w="851" w:type="dxa"/>
          </w:tcPr>
          <w:p w14:paraId="5D29CA03" w14:textId="77777777" w:rsidR="00CD5BD8" w:rsidRPr="00C5073A" w:rsidRDefault="00CD5BD8" w:rsidP="007F120F">
            <w:pPr>
              <w:pStyle w:val="TableParagraph"/>
              <w:widowControl/>
              <w:suppressAutoHyphens/>
              <w:spacing w:before="59"/>
              <w:ind w:left="50"/>
              <w:jc w:val="center"/>
              <w:rPr>
                <w:sz w:val="20"/>
                <w:szCs w:val="20"/>
              </w:rPr>
            </w:pPr>
            <w:r w:rsidRPr="00C5073A">
              <w:rPr>
                <w:w w:val="99"/>
                <w:sz w:val="20"/>
                <w:szCs w:val="20"/>
              </w:rPr>
              <w:t>4</w:t>
            </w:r>
          </w:p>
        </w:tc>
        <w:tc>
          <w:tcPr>
            <w:tcW w:w="1077" w:type="dxa"/>
          </w:tcPr>
          <w:p w14:paraId="2737B0E1" w14:textId="77777777" w:rsidR="00CD5BD8" w:rsidRPr="00C5073A" w:rsidRDefault="00CD5BD8" w:rsidP="007F120F">
            <w:pPr>
              <w:pStyle w:val="TableParagraph"/>
              <w:widowControl/>
              <w:suppressAutoHyphens/>
              <w:spacing w:before="59"/>
              <w:ind w:right="210"/>
              <w:jc w:val="center"/>
              <w:rPr>
                <w:sz w:val="20"/>
                <w:szCs w:val="20"/>
              </w:rPr>
            </w:pPr>
            <w:r w:rsidRPr="00C5073A">
              <w:rPr>
                <w:w w:val="95"/>
                <w:sz w:val="20"/>
                <w:szCs w:val="20"/>
              </w:rPr>
              <w:t>C421</w:t>
            </w:r>
          </w:p>
        </w:tc>
        <w:tc>
          <w:tcPr>
            <w:tcW w:w="5019" w:type="dxa"/>
          </w:tcPr>
          <w:p w14:paraId="1E896EC6" w14:textId="77777777" w:rsidR="00CD5BD8" w:rsidRPr="00C5073A" w:rsidRDefault="00CD5BD8" w:rsidP="007F120F">
            <w:pPr>
              <w:pStyle w:val="TableParagraph"/>
              <w:widowControl/>
              <w:suppressAutoHyphens/>
              <w:spacing w:before="59"/>
              <w:ind w:left="210"/>
              <w:rPr>
                <w:sz w:val="20"/>
                <w:szCs w:val="20"/>
              </w:rPr>
            </w:pPr>
            <w:r w:rsidRPr="00C5073A">
              <w:rPr>
                <w:sz w:val="20"/>
                <w:szCs w:val="20"/>
              </w:rPr>
              <w:t>Interprète</w:t>
            </w:r>
          </w:p>
        </w:tc>
        <w:tc>
          <w:tcPr>
            <w:tcW w:w="1700" w:type="dxa"/>
            <w:vAlign w:val="center"/>
          </w:tcPr>
          <w:p w14:paraId="196B5CE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15</w:t>
            </w:r>
          </w:p>
        </w:tc>
        <w:tc>
          <w:tcPr>
            <w:tcW w:w="996" w:type="dxa"/>
            <w:vAlign w:val="center"/>
          </w:tcPr>
          <w:p w14:paraId="46D7BB85" w14:textId="77777777" w:rsidR="00CD5BD8" w:rsidRPr="00C5073A" w:rsidRDefault="00CD5BD8" w:rsidP="007F120F">
            <w:pPr>
              <w:pStyle w:val="TableParagraph"/>
              <w:widowControl/>
              <w:suppressAutoHyphens/>
              <w:spacing w:line="187" w:lineRule="exact"/>
              <w:ind w:left="50"/>
              <w:jc w:val="center"/>
              <w:rPr>
                <w:w w:val="99"/>
                <w:sz w:val="20"/>
                <w:szCs w:val="20"/>
              </w:rPr>
            </w:pPr>
          </w:p>
        </w:tc>
      </w:tr>
      <w:tr w:rsidR="00CD5BD8" w:rsidRPr="00C5073A" w14:paraId="480FDE7C" w14:textId="77777777" w:rsidTr="00DA26BD">
        <w:trPr>
          <w:trHeight w:val="266"/>
          <w:jc w:val="center"/>
        </w:trPr>
        <w:tc>
          <w:tcPr>
            <w:tcW w:w="851" w:type="dxa"/>
          </w:tcPr>
          <w:p w14:paraId="3E867AE9" w14:textId="77777777" w:rsidR="00CD5BD8" w:rsidRPr="00C5073A" w:rsidRDefault="00CD5BD8" w:rsidP="007F120F">
            <w:pPr>
              <w:pStyle w:val="TableParagraph"/>
              <w:widowControl/>
              <w:suppressAutoHyphens/>
              <w:spacing w:line="187" w:lineRule="exact"/>
              <w:ind w:left="50"/>
              <w:jc w:val="center"/>
              <w:rPr>
                <w:sz w:val="20"/>
                <w:szCs w:val="20"/>
              </w:rPr>
            </w:pPr>
            <w:r w:rsidRPr="00C5073A">
              <w:rPr>
                <w:w w:val="99"/>
                <w:sz w:val="20"/>
                <w:szCs w:val="20"/>
              </w:rPr>
              <w:t>4</w:t>
            </w:r>
          </w:p>
        </w:tc>
        <w:tc>
          <w:tcPr>
            <w:tcW w:w="1077" w:type="dxa"/>
          </w:tcPr>
          <w:p w14:paraId="48260181" w14:textId="77777777" w:rsidR="00CD5BD8" w:rsidRPr="00C5073A" w:rsidRDefault="00CD5BD8" w:rsidP="007F120F">
            <w:pPr>
              <w:pStyle w:val="TableParagraph"/>
              <w:widowControl/>
              <w:suppressAutoHyphens/>
              <w:spacing w:line="187" w:lineRule="exact"/>
              <w:ind w:right="210"/>
              <w:jc w:val="center"/>
              <w:rPr>
                <w:sz w:val="20"/>
                <w:szCs w:val="20"/>
              </w:rPr>
            </w:pPr>
            <w:r w:rsidRPr="00C5073A">
              <w:rPr>
                <w:w w:val="95"/>
                <w:sz w:val="20"/>
                <w:szCs w:val="20"/>
              </w:rPr>
              <w:t>C907</w:t>
            </w:r>
          </w:p>
        </w:tc>
        <w:tc>
          <w:tcPr>
            <w:tcW w:w="5019" w:type="dxa"/>
          </w:tcPr>
          <w:p w14:paraId="751488ED"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Jardinier</w:t>
            </w:r>
          </w:p>
        </w:tc>
        <w:tc>
          <w:tcPr>
            <w:tcW w:w="1700" w:type="dxa"/>
            <w:vAlign w:val="center"/>
          </w:tcPr>
          <w:p w14:paraId="2FD5EED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7</w:t>
            </w:r>
          </w:p>
        </w:tc>
        <w:tc>
          <w:tcPr>
            <w:tcW w:w="996" w:type="dxa"/>
            <w:vAlign w:val="center"/>
          </w:tcPr>
          <w:p w14:paraId="3D38D353"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04208AE7" w14:textId="77777777" w:rsidTr="00DA26BD">
        <w:trPr>
          <w:trHeight w:val="266"/>
          <w:jc w:val="center"/>
        </w:trPr>
        <w:tc>
          <w:tcPr>
            <w:tcW w:w="851" w:type="dxa"/>
          </w:tcPr>
          <w:p w14:paraId="23D711E4"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CD61F50"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C620</w:t>
            </w:r>
          </w:p>
        </w:tc>
        <w:tc>
          <w:tcPr>
            <w:tcW w:w="5019" w:type="dxa"/>
          </w:tcPr>
          <w:p w14:paraId="0D7BFE7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Magasinier, classe I</w:t>
            </w:r>
          </w:p>
        </w:tc>
        <w:tc>
          <w:tcPr>
            <w:tcW w:w="1700" w:type="dxa"/>
            <w:vAlign w:val="center"/>
          </w:tcPr>
          <w:p w14:paraId="68DE73E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7</w:t>
            </w:r>
          </w:p>
        </w:tc>
        <w:tc>
          <w:tcPr>
            <w:tcW w:w="996" w:type="dxa"/>
            <w:vAlign w:val="center"/>
          </w:tcPr>
          <w:p w14:paraId="39120A43"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2806CC78" w14:textId="77777777" w:rsidTr="00DA26BD">
        <w:trPr>
          <w:trHeight w:val="266"/>
          <w:jc w:val="center"/>
        </w:trPr>
        <w:tc>
          <w:tcPr>
            <w:tcW w:w="851" w:type="dxa"/>
          </w:tcPr>
          <w:p w14:paraId="6F7D7C3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C13EC1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C621</w:t>
            </w:r>
          </w:p>
        </w:tc>
        <w:tc>
          <w:tcPr>
            <w:tcW w:w="5019" w:type="dxa"/>
          </w:tcPr>
          <w:p w14:paraId="63558745"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Magasinier, classe II</w:t>
            </w:r>
          </w:p>
        </w:tc>
        <w:tc>
          <w:tcPr>
            <w:tcW w:w="1700" w:type="dxa"/>
            <w:vAlign w:val="center"/>
          </w:tcPr>
          <w:p w14:paraId="63335C7F"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996" w:type="dxa"/>
            <w:vAlign w:val="center"/>
          </w:tcPr>
          <w:p w14:paraId="44706CB2"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D51AB62" w14:textId="77777777" w:rsidTr="00DA26BD">
        <w:trPr>
          <w:trHeight w:val="264"/>
          <w:jc w:val="center"/>
        </w:trPr>
        <w:tc>
          <w:tcPr>
            <w:tcW w:w="851" w:type="dxa"/>
          </w:tcPr>
          <w:p w14:paraId="27DEEF5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2E90849E"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C934</w:t>
            </w:r>
          </w:p>
        </w:tc>
        <w:tc>
          <w:tcPr>
            <w:tcW w:w="5019" w:type="dxa"/>
          </w:tcPr>
          <w:p w14:paraId="793C7B16"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Manœuvre</w:t>
            </w:r>
          </w:p>
        </w:tc>
        <w:tc>
          <w:tcPr>
            <w:tcW w:w="1700" w:type="dxa"/>
            <w:vAlign w:val="center"/>
          </w:tcPr>
          <w:p w14:paraId="204AE51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w:t>
            </w:r>
          </w:p>
        </w:tc>
        <w:tc>
          <w:tcPr>
            <w:tcW w:w="996" w:type="dxa"/>
            <w:vAlign w:val="center"/>
          </w:tcPr>
          <w:p w14:paraId="744384FC"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6146A652" w14:textId="77777777" w:rsidTr="00DA26BD">
        <w:trPr>
          <w:trHeight w:val="264"/>
          <w:jc w:val="center"/>
        </w:trPr>
        <w:tc>
          <w:tcPr>
            <w:tcW w:w="851" w:type="dxa"/>
          </w:tcPr>
          <w:p w14:paraId="2128C7E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48A1268"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C719</w:t>
            </w:r>
          </w:p>
        </w:tc>
        <w:tc>
          <w:tcPr>
            <w:tcW w:w="5019" w:type="dxa"/>
          </w:tcPr>
          <w:p w14:paraId="2FF0F4AD"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Mécanicien d’entretien d’équipements</w:t>
            </w:r>
          </w:p>
        </w:tc>
        <w:tc>
          <w:tcPr>
            <w:tcW w:w="1700" w:type="dxa"/>
            <w:vAlign w:val="center"/>
          </w:tcPr>
          <w:p w14:paraId="49E762F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4CCCA0EE"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4468E7EF" w14:textId="77777777" w:rsidTr="00DA26BD">
        <w:trPr>
          <w:trHeight w:val="264"/>
          <w:jc w:val="center"/>
        </w:trPr>
        <w:tc>
          <w:tcPr>
            <w:tcW w:w="851" w:type="dxa"/>
          </w:tcPr>
          <w:p w14:paraId="6E678C2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578916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C728</w:t>
            </w:r>
          </w:p>
        </w:tc>
        <w:tc>
          <w:tcPr>
            <w:tcW w:w="5019" w:type="dxa"/>
          </w:tcPr>
          <w:p w14:paraId="4D6E0E94"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III</w:t>
            </w:r>
          </w:p>
        </w:tc>
        <w:tc>
          <w:tcPr>
            <w:tcW w:w="1700" w:type="dxa"/>
            <w:vAlign w:val="center"/>
          </w:tcPr>
          <w:p w14:paraId="1232238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2889AAC4"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3D1814EF" w14:textId="77777777" w:rsidTr="00DA26BD">
        <w:trPr>
          <w:trHeight w:val="264"/>
          <w:jc w:val="center"/>
        </w:trPr>
        <w:tc>
          <w:tcPr>
            <w:tcW w:w="851" w:type="dxa"/>
          </w:tcPr>
          <w:p w14:paraId="0796A7A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9AA4D64"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C726</w:t>
            </w:r>
          </w:p>
        </w:tc>
        <w:tc>
          <w:tcPr>
            <w:tcW w:w="5019" w:type="dxa"/>
          </w:tcPr>
          <w:p w14:paraId="5567D71C"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I</w:t>
            </w:r>
          </w:p>
        </w:tc>
        <w:tc>
          <w:tcPr>
            <w:tcW w:w="1700" w:type="dxa"/>
            <w:vAlign w:val="center"/>
          </w:tcPr>
          <w:p w14:paraId="0BB4289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1985CD0C"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37EBAF24" w14:textId="77777777" w:rsidTr="00DA26BD">
        <w:trPr>
          <w:trHeight w:val="264"/>
          <w:jc w:val="center"/>
        </w:trPr>
        <w:tc>
          <w:tcPr>
            <w:tcW w:w="851" w:type="dxa"/>
          </w:tcPr>
          <w:p w14:paraId="5FE7EAE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F2C07E5"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C729</w:t>
            </w:r>
          </w:p>
        </w:tc>
        <w:tc>
          <w:tcPr>
            <w:tcW w:w="5019" w:type="dxa"/>
          </w:tcPr>
          <w:p w14:paraId="3737C3D1"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IV</w:t>
            </w:r>
          </w:p>
        </w:tc>
        <w:tc>
          <w:tcPr>
            <w:tcW w:w="1700" w:type="dxa"/>
            <w:vAlign w:val="center"/>
          </w:tcPr>
          <w:p w14:paraId="71600AC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0C8A7D0A"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9CEAE37" w14:textId="77777777" w:rsidTr="00DA26BD">
        <w:trPr>
          <w:trHeight w:val="264"/>
          <w:jc w:val="center"/>
        </w:trPr>
        <w:tc>
          <w:tcPr>
            <w:tcW w:w="851" w:type="dxa"/>
          </w:tcPr>
          <w:p w14:paraId="67AACEF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ED3DB17"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C732</w:t>
            </w:r>
          </w:p>
        </w:tc>
        <w:tc>
          <w:tcPr>
            <w:tcW w:w="5019" w:type="dxa"/>
          </w:tcPr>
          <w:p w14:paraId="4088BBA6"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VII</w:t>
            </w:r>
          </w:p>
        </w:tc>
        <w:tc>
          <w:tcPr>
            <w:tcW w:w="1700" w:type="dxa"/>
            <w:vAlign w:val="center"/>
          </w:tcPr>
          <w:p w14:paraId="5893B54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359E6D2A"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6D48A7CF" w14:textId="77777777" w:rsidTr="00DA26BD">
        <w:trPr>
          <w:trHeight w:val="264"/>
          <w:jc w:val="center"/>
        </w:trPr>
        <w:tc>
          <w:tcPr>
            <w:tcW w:w="851" w:type="dxa"/>
          </w:tcPr>
          <w:p w14:paraId="28FE322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AD792AF"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C735</w:t>
            </w:r>
          </w:p>
        </w:tc>
        <w:tc>
          <w:tcPr>
            <w:tcW w:w="5019" w:type="dxa"/>
          </w:tcPr>
          <w:p w14:paraId="7B230F19"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X</w:t>
            </w:r>
          </w:p>
        </w:tc>
        <w:tc>
          <w:tcPr>
            <w:tcW w:w="1700" w:type="dxa"/>
            <w:vAlign w:val="center"/>
          </w:tcPr>
          <w:p w14:paraId="0B0735E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2EAAE60F"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257B96ED" w14:textId="77777777" w:rsidTr="00DA26BD">
        <w:trPr>
          <w:trHeight w:val="264"/>
          <w:jc w:val="center"/>
        </w:trPr>
        <w:tc>
          <w:tcPr>
            <w:tcW w:w="851" w:type="dxa"/>
          </w:tcPr>
          <w:p w14:paraId="175AB2A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D846D4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C737</w:t>
            </w:r>
          </w:p>
        </w:tc>
        <w:tc>
          <w:tcPr>
            <w:tcW w:w="5019" w:type="dxa"/>
          </w:tcPr>
          <w:p w14:paraId="2C616156"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XII</w:t>
            </w:r>
          </w:p>
        </w:tc>
        <w:tc>
          <w:tcPr>
            <w:tcW w:w="1700" w:type="dxa"/>
            <w:vAlign w:val="center"/>
          </w:tcPr>
          <w:p w14:paraId="2EDFF59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60DD510F"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2A6FE7C3" w14:textId="77777777" w:rsidTr="00DA26BD">
        <w:trPr>
          <w:trHeight w:val="264"/>
          <w:jc w:val="center"/>
        </w:trPr>
        <w:tc>
          <w:tcPr>
            <w:tcW w:w="851" w:type="dxa"/>
          </w:tcPr>
          <w:p w14:paraId="1159B9D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A3B72B4"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C738</w:t>
            </w:r>
          </w:p>
        </w:tc>
        <w:tc>
          <w:tcPr>
            <w:tcW w:w="5019" w:type="dxa"/>
          </w:tcPr>
          <w:p w14:paraId="15AC3810"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XIII</w:t>
            </w:r>
          </w:p>
        </w:tc>
        <w:tc>
          <w:tcPr>
            <w:tcW w:w="1700" w:type="dxa"/>
            <w:vAlign w:val="center"/>
          </w:tcPr>
          <w:p w14:paraId="0AEF7B0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204FA4BF"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0460CDB" w14:textId="77777777" w:rsidTr="00DA26BD">
        <w:trPr>
          <w:trHeight w:val="264"/>
          <w:jc w:val="center"/>
        </w:trPr>
        <w:tc>
          <w:tcPr>
            <w:tcW w:w="851" w:type="dxa"/>
          </w:tcPr>
          <w:p w14:paraId="221AFC6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051F016"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C741</w:t>
            </w:r>
          </w:p>
        </w:tc>
        <w:tc>
          <w:tcPr>
            <w:tcW w:w="5019" w:type="dxa"/>
          </w:tcPr>
          <w:p w14:paraId="62742859"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XVI</w:t>
            </w:r>
          </w:p>
        </w:tc>
        <w:tc>
          <w:tcPr>
            <w:tcW w:w="1700" w:type="dxa"/>
            <w:vAlign w:val="center"/>
          </w:tcPr>
          <w:p w14:paraId="1D3CCC8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40802CDE"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6619258" w14:textId="77777777" w:rsidTr="00DA26BD">
        <w:trPr>
          <w:trHeight w:val="264"/>
          <w:jc w:val="center"/>
        </w:trPr>
        <w:tc>
          <w:tcPr>
            <w:tcW w:w="851" w:type="dxa"/>
          </w:tcPr>
          <w:p w14:paraId="6A67D69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2CA159EB"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C742</w:t>
            </w:r>
          </w:p>
        </w:tc>
        <w:tc>
          <w:tcPr>
            <w:tcW w:w="5019" w:type="dxa"/>
          </w:tcPr>
          <w:p w14:paraId="45036323"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Mécanicien de machines fixes, classe XVII</w:t>
            </w:r>
          </w:p>
        </w:tc>
        <w:tc>
          <w:tcPr>
            <w:tcW w:w="1700" w:type="dxa"/>
            <w:vAlign w:val="center"/>
          </w:tcPr>
          <w:p w14:paraId="2DFF1C9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2EF8B5C2"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3A158D8D" w14:textId="77777777" w:rsidTr="00DA26BD">
        <w:trPr>
          <w:trHeight w:val="264"/>
          <w:jc w:val="center"/>
        </w:trPr>
        <w:tc>
          <w:tcPr>
            <w:tcW w:w="851" w:type="dxa"/>
          </w:tcPr>
          <w:p w14:paraId="3837FCA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6E485D5"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C707</w:t>
            </w:r>
          </w:p>
        </w:tc>
        <w:tc>
          <w:tcPr>
            <w:tcW w:w="5019" w:type="dxa"/>
          </w:tcPr>
          <w:p w14:paraId="17EF1D30"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Menuisier</w:t>
            </w:r>
          </w:p>
        </w:tc>
        <w:tc>
          <w:tcPr>
            <w:tcW w:w="1700" w:type="dxa"/>
            <w:vAlign w:val="center"/>
          </w:tcPr>
          <w:p w14:paraId="4B3F87F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5F50CEAC"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704EB63B" w14:textId="77777777" w:rsidTr="00DA26BD">
        <w:trPr>
          <w:trHeight w:val="264"/>
          <w:jc w:val="center"/>
        </w:trPr>
        <w:tc>
          <w:tcPr>
            <w:tcW w:w="851" w:type="dxa"/>
          </w:tcPr>
          <w:p w14:paraId="67E437B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93AF526"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C432</w:t>
            </w:r>
          </w:p>
        </w:tc>
        <w:tc>
          <w:tcPr>
            <w:tcW w:w="5019" w:type="dxa"/>
          </w:tcPr>
          <w:p w14:paraId="25DB8215"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Moniteur d'activités socioculturelles ou sportives</w:t>
            </w:r>
          </w:p>
        </w:tc>
        <w:tc>
          <w:tcPr>
            <w:tcW w:w="1700" w:type="dxa"/>
            <w:vAlign w:val="center"/>
          </w:tcPr>
          <w:p w14:paraId="711A19D8"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115E78D8"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6DD08F3" w14:textId="77777777" w:rsidTr="00DA26BD">
        <w:trPr>
          <w:trHeight w:val="264"/>
          <w:jc w:val="center"/>
        </w:trPr>
        <w:tc>
          <w:tcPr>
            <w:tcW w:w="851" w:type="dxa"/>
          </w:tcPr>
          <w:p w14:paraId="16B1E56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41B97C1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C430</w:t>
            </w:r>
          </w:p>
        </w:tc>
        <w:tc>
          <w:tcPr>
            <w:tcW w:w="5019" w:type="dxa"/>
          </w:tcPr>
          <w:p w14:paraId="03DABE53"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Moniteur de camp de jour</w:t>
            </w:r>
          </w:p>
        </w:tc>
        <w:tc>
          <w:tcPr>
            <w:tcW w:w="1700" w:type="dxa"/>
            <w:vAlign w:val="center"/>
          </w:tcPr>
          <w:p w14:paraId="79C4379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77947F1A"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796703FA" w14:textId="77777777" w:rsidTr="00DA26BD">
        <w:trPr>
          <w:trHeight w:val="264"/>
          <w:jc w:val="center"/>
        </w:trPr>
        <w:tc>
          <w:tcPr>
            <w:tcW w:w="851" w:type="dxa"/>
          </w:tcPr>
          <w:p w14:paraId="38AD198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63B96CA4"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C703</w:t>
            </w:r>
          </w:p>
        </w:tc>
        <w:tc>
          <w:tcPr>
            <w:tcW w:w="5019" w:type="dxa"/>
          </w:tcPr>
          <w:p w14:paraId="5B89C18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Opérateur de duplicateur offset</w:t>
            </w:r>
          </w:p>
        </w:tc>
        <w:tc>
          <w:tcPr>
            <w:tcW w:w="1700" w:type="dxa"/>
            <w:vAlign w:val="center"/>
          </w:tcPr>
          <w:p w14:paraId="4ED2D5E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0964C1AF"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6A7F80F2" w14:textId="77777777" w:rsidTr="00DA26BD">
        <w:trPr>
          <w:trHeight w:val="264"/>
          <w:jc w:val="center"/>
        </w:trPr>
        <w:tc>
          <w:tcPr>
            <w:tcW w:w="851" w:type="dxa"/>
          </w:tcPr>
          <w:p w14:paraId="001090E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6928904"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C700</w:t>
            </w:r>
          </w:p>
        </w:tc>
        <w:tc>
          <w:tcPr>
            <w:tcW w:w="5019" w:type="dxa"/>
          </w:tcPr>
          <w:p w14:paraId="0E9F154E"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Opérateur de duplicateur offset, classe principale</w:t>
            </w:r>
          </w:p>
        </w:tc>
        <w:tc>
          <w:tcPr>
            <w:tcW w:w="1700" w:type="dxa"/>
            <w:vAlign w:val="center"/>
          </w:tcPr>
          <w:p w14:paraId="080110F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2BF4D441"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DD55F36" w14:textId="77777777" w:rsidTr="00DA26BD">
        <w:trPr>
          <w:trHeight w:val="264"/>
          <w:jc w:val="center"/>
        </w:trPr>
        <w:tc>
          <w:tcPr>
            <w:tcW w:w="851" w:type="dxa"/>
          </w:tcPr>
          <w:p w14:paraId="3882A88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788B42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C755</w:t>
            </w:r>
          </w:p>
        </w:tc>
        <w:tc>
          <w:tcPr>
            <w:tcW w:w="5019" w:type="dxa"/>
          </w:tcPr>
          <w:p w14:paraId="227476A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Opérateur en informatique</w:t>
            </w:r>
          </w:p>
        </w:tc>
        <w:tc>
          <w:tcPr>
            <w:tcW w:w="1700" w:type="dxa"/>
            <w:vAlign w:val="center"/>
          </w:tcPr>
          <w:p w14:paraId="68F9359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8</w:t>
            </w:r>
          </w:p>
        </w:tc>
        <w:tc>
          <w:tcPr>
            <w:tcW w:w="996" w:type="dxa"/>
            <w:vAlign w:val="center"/>
          </w:tcPr>
          <w:p w14:paraId="3B88E566"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508A0F0" w14:textId="77777777" w:rsidTr="00DA26BD">
        <w:trPr>
          <w:trHeight w:val="264"/>
          <w:jc w:val="center"/>
        </w:trPr>
        <w:tc>
          <w:tcPr>
            <w:tcW w:w="851" w:type="dxa"/>
          </w:tcPr>
          <w:p w14:paraId="4DB2565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4DA6F22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C708</w:t>
            </w:r>
          </w:p>
        </w:tc>
        <w:tc>
          <w:tcPr>
            <w:tcW w:w="5019" w:type="dxa"/>
          </w:tcPr>
          <w:p w14:paraId="18A515B1"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Ouvrier certifié d'entretien</w:t>
            </w:r>
          </w:p>
        </w:tc>
        <w:tc>
          <w:tcPr>
            <w:tcW w:w="1700" w:type="dxa"/>
            <w:vAlign w:val="center"/>
          </w:tcPr>
          <w:p w14:paraId="103DF86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346E42E2"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50ED5B9" w14:textId="77777777" w:rsidTr="00DA26BD">
        <w:trPr>
          <w:trHeight w:val="264"/>
          <w:jc w:val="center"/>
        </w:trPr>
        <w:tc>
          <w:tcPr>
            <w:tcW w:w="851" w:type="dxa"/>
          </w:tcPr>
          <w:p w14:paraId="3712B995"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64664AE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C709</w:t>
            </w:r>
          </w:p>
        </w:tc>
        <w:tc>
          <w:tcPr>
            <w:tcW w:w="5019" w:type="dxa"/>
          </w:tcPr>
          <w:p w14:paraId="4354DF48"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Peintre</w:t>
            </w:r>
          </w:p>
        </w:tc>
        <w:tc>
          <w:tcPr>
            <w:tcW w:w="1700" w:type="dxa"/>
            <w:vAlign w:val="center"/>
          </w:tcPr>
          <w:p w14:paraId="2A0692B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5936595B"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r w:rsidR="00CD5BD8" w:rsidRPr="00C5073A" w14:paraId="1E70AF96" w14:textId="77777777" w:rsidTr="00DA26BD">
        <w:trPr>
          <w:trHeight w:val="264"/>
          <w:jc w:val="center"/>
        </w:trPr>
        <w:tc>
          <w:tcPr>
            <w:tcW w:w="851" w:type="dxa"/>
          </w:tcPr>
          <w:p w14:paraId="7529CFA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600F40E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C908</w:t>
            </w:r>
          </w:p>
        </w:tc>
        <w:tc>
          <w:tcPr>
            <w:tcW w:w="5019" w:type="dxa"/>
          </w:tcPr>
          <w:p w14:paraId="4438FF6F"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Préposé à la sécurité</w:t>
            </w:r>
          </w:p>
        </w:tc>
        <w:tc>
          <w:tcPr>
            <w:tcW w:w="1700" w:type="dxa"/>
            <w:vAlign w:val="center"/>
          </w:tcPr>
          <w:p w14:paraId="59AC1D4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5</w:t>
            </w:r>
          </w:p>
        </w:tc>
        <w:tc>
          <w:tcPr>
            <w:tcW w:w="996" w:type="dxa"/>
            <w:vAlign w:val="center"/>
          </w:tcPr>
          <w:p w14:paraId="3AEC832A"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181D5CE5" w14:textId="77777777" w:rsidTr="00DA26BD">
        <w:trPr>
          <w:trHeight w:val="264"/>
          <w:jc w:val="center"/>
        </w:trPr>
        <w:tc>
          <w:tcPr>
            <w:tcW w:w="851" w:type="dxa"/>
          </w:tcPr>
          <w:p w14:paraId="640CD25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AEE9DC3"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C222</w:t>
            </w:r>
          </w:p>
        </w:tc>
        <w:tc>
          <w:tcPr>
            <w:tcW w:w="5019" w:type="dxa"/>
          </w:tcPr>
          <w:p w14:paraId="0F271E3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Psychologue</w:t>
            </w:r>
          </w:p>
        </w:tc>
        <w:tc>
          <w:tcPr>
            <w:tcW w:w="1700" w:type="dxa"/>
            <w:vAlign w:val="center"/>
          </w:tcPr>
          <w:p w14:paraId="6ABF6F7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24</w:t>
            </w:r>
          </w:p>
        </w:tc>
        <w:tc>
          <w:tcPr>
            <w:tcW w:w="996" w:type="dxa"/>
            <w:vAlign w:val="center"/>
          </w:tcPr>
          <w:p w14:paraId="4D24CEC6"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40D150CD" w14:textId="77777777" w:rsidTr="00DA26BD">
        <w:trPr>
          <w:trHeight w:val="264"/>
          <w:jc w:val="center"/>
        </w:trPr>
        <w:tc>
          <w:tcPr>
            <w:tcW w:w="851" w:type="dxa"/>
          </w:tcPr>
          <w:p w14:paraId="3981844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38BD3FE9"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C606</w:t>
            </w:r>
          </w:p>
        </w:tc>
        <w:tc>
          <w:tcPr>
            <w:tcW w:w="5019" w:type="dxa"/>
          </w:tcPr>
          <w:p w14:paraId="4F49A17D"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Secrétaire administrative</w:t>
            </w:r>
          </w:p>
        </w:tc>
        <w:tc>
          <w:tcPr>
            <w:tcW w:w="1700" w:type="dxa"/>
            <w:vAlign w:val="center"/>
          </w:tcPr>
          <w:p w14:paraId="56C51C1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9</w:t>
            </w:r>
          </w:p>
        </w:tc>
        <w:tc>
          <w:tcPr>
            <w:tcW w:w="996" w:type="dxa"/>
            <w:vAlign w:val="center"/>
          </w:tcPr>
          <w:p w14:paraId="62D281FA"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72AD630" w14:textId="77777777" w:rsidTr="00DA26BD">
        <w:trPr>
          <w:trHeight w:val="264"/>
          <w:jc w:val="center"/>
        </w:trPr>
        <w:tc>
          <w:tcPr>
            <w:tcW w:w="851" w:type="dxa"/>
          </w:tcPr>
          <w:p w14:paraId="3915A16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DDE2A4A"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C209</w:t>
            </w:r>
          </w:p>
        </w:tc>
        <w:tc>
          <w:tcPr>
            <w:tcW w:w="5019" w:type="dxa"/>
          </w:tcPr>
          <w:p w14:paraId="1F091700"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Spécialiste en moyens et techniques d'enseignement</w:t>
            </w:r>
          </w:p>
        </w:tc>
        <w:tc>
          <w:tcPr>
            <w:tcW w:w="1700" w:type="dxa"/>
            <w:vAlign w:val="center"/>
          </w:tcPr>
          <w:p w14:paraId="3AC424B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21</w:t>
            </w:r>
          </w:p>
        </w:tc>
        <w:tc>
          <w:tcPr>
            <w:tcW w:w="996" w:type="dxa"/>
            <w:vAlign w:val="center"/>
          </w:tcPr>
          <w:p w14:paraId="11C1E996"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75779F" w:rsidRPr="008C1895" w14:paraId="74137E5A" w14:textId="77777777" w:rsidTr="00DA26BD">
        <w:trPr>
          <w:trHeight w:val="264"/>
          <w:jc w:val="center"/>
        </w:trPr>
        <w:tc>
          <w:tcPr>
            <w:tcW w:w="851" w:type="dxa"/>
          </w:tcPr>
          <w:p w14:paraId="5976022A" w14:textId="77777777" w:rsidR="0075779F" w:rsidRPr="0075779F" w:rsidRDefault="0075779F" w:rsidP="00F44D2B">
            <w:pPr>
              <w:pStyle w:val="TableParagraph"/>
              <w:widowControl/>
              <w:suppressAutoHyphens/>
              <w:spacing w:line="187" w:lineRule="exact"/>
              <w:ind w:left="50"/>
              <w:jc w:val="center"/>
              <w:rPr>
                <w:w w:val="99"/>
                <w:sz w:val="20"/>
                <w:szCs w:val="20"/>
                <w:highlight w:val="lightGray"/>
              </w:rPr>
            </w:pPr>
            <w:r w:rsidRPr="00316277">
              <w:rPr>
                <w:w w:val="99"/>
                <w:sz w:val="20"/>
                <w:szCs w:val="20"/>
              </w:rPr>
              <w:t>4</w:t>
            </w:r>
          </w:p>
        </w:tc>
        <w:tc>
          <w:tcPr>
            <w:tcW w:w="1077" w:type="dxa"/>
          </w:tcPr>
          <w:p w14:paraId="1F3DF820" w14:textId="77777777" w:rsidR="0075779F" w:rsidRPr="0075779F" w:rsidRDefault="0075779F" w:rsidP="00F44D2B">
            <w:pPr>
              <w:pStyle w:val="TableParagraph"/>
              <w:widowControl/>
              <w:suppressAutoHyphens/>
              <w:spacing w:line="187" w:lineRule="exact"/>
              <w:ind w:right="210"/>
              <w:jc w:val="center"/>
              <w:rPr>
                <w:w w:val="95"/>
                <w:sz w:val="20"/>
                <w:szCs w:val="20"/>
                <w:highlight w:val="lightGray"/>
              </w:rPr>
            </w:pPr>
            <w:r w:rsidRPr="00316277">
              <w:rPr>
                <w:w w:val="95"/>
                <w:sz w:val="20"/>
                <w:szCs w:val="20"/>
              </w:rPr>
              <w:t>C235</w:t>
            </w:r>
          </w:p>
        </w:tc>
        <w:tc>
          <w:tcPr>
            <w:tcW w:w="5019" w:type="dxa"/>
          </w:tcPr>
          <w:p w14:paraId="2764A890" w14:textId="77777777" w:rsidR="0075779F" w:rsidRPr="0075779F" w:rsidRDefault="0075779F" w:rsidP="00F44D2B">
            <w:pPr>
              <w:pStyle w:val="TableParagraph"/>
              <w:widowControl/>
              <w:suppressAutoHyphens/>
              <w:spacing w:line="187" w:lineRule="exact"/>
              <w:ind w:left="210"/>
              <w:rPr>
                <w:sz w:val="20"/>
                <w:szCs w:val="20"/>
                <w:highlight w:val="lightGray"/>
                <w:lang w:val="fr-CA"/>
              </w:rPr>
            </w:pPr>
            <w:r w:rsidRPr="00316277">
              <w:rPr>
                <w:color w:val="000000"/>
                <w:sz w:val="20"/>
                <w:szCs w:val="20"/>
                <w:lang w:val="fr-CA"/>
              </w:rPr>
              <w:t>Spécialiste en sciences de l'information</w:t>
            </w:r>
            <w:r w:rsidRPr="00316277">
              <w:rPr>
                <w:color w:val="000000"/>
                <w:sz w:val="20"/>
                <w:szCs w:val="20"/>
                <w:vertAlign w:val="superscript"/>
                <w:lang w:val="fr-CA"/>
              </w:rPr>
              <w:t>3</w:t>
            </w:r>
          </w:p>
        </w:tc>
        <w:tc>
          <w:tcPr>
            <w:tcW w:w="1700" w:type="dxa"/>
            <w:vAlign w:val="center"/>
          </w:tcPr>
          <w:p w14:paraId="5BA353FC" w14:textId="77777777" w:rsidR="0075779F" w:rsidRPr="00316277" w:rsidRDefault="0075779F" w:rsidP="00F44D2B">
            <w:pPr>
              <w:pStyle w:val="TableParagraph"/>
              <w:widowControl/>
              <w:suppressAutoHyphens/>
              <w:spacing w:line="187" w:lineRule="exact"/>
              <w:ind w:left="50"/>
              <w:jc w:val="center"/>
              <w:rPr>
                <w:w w:val="99"/>
                <w:sz w:val="20"/>
                <w:szCs w:val="20"/>
                <w:lang w:val="fr-CA"/>
              </w:rPr>
            </w:pPr>
            <w:r w:rsidRPr="00316277">
              <w:rPr>
                <w:w w:val="99"/>
                <w:sz w:val="20"/>
                <w:szCs w:val="20"/>
                <w:lang w:val="fr-CA"/>
              </w:rPr>
              <w:t>21</w:t>
            </w:r>
          </w:p>
        </w:tc>
        <w:tc>
          <w:tcPr>
            <w:tcW w:w="996" w:type="dxa"/>
            <w:vAlign w:val="center"/>
          </w:tcPr>
          <w:p w14:paraId="23D9C2D0" w14:textId="77777777" w:rsidR="0075779F" w:rsidRPr="00344FD5" w:rsidRDefault="0075779F" w:rsidP="00F44D2B">
            <w:pPr>
              <w:pStyle w:val="TableParagraph"/>
              <w:widowControl/>
              <w:suppressAutoHyphens/>
              <w:spacing w:line="187" w:lineRule="exact"/>
              <w:ind w:left="50" w:right="49"/>
              <w:jc w:val="center"/>
              <w:rPr>
                <w:w w:val="99"/>
                <w:sz w:val="20"/>
                <w:szCs w:val="20"/>
                <w:lang w:val="fr-CA"/>
              </w:rPr>
            </w:pPr>
          </w:p>
        </w:tc>
      </w:tr>
      <w:tr w:rsidR="00CD5BD8" w:rsidRPr="00C5073A" w14:paraId="61BF691B" w14:textId="77777777" w:rsidTr="00DA26BD">
        <w:trPr>
          <w:trHeight w:val="264"/>
          <w:jc w:val="center"/>
        </w:trPr>
        <w:tc>
          <w:tcPr>
            <w:tcW w:w="851" w:type="dxa"/>
          </w:tcPr>
          <w:p w14:paraId="2167E035"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291112E5"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C753</w:t>
            </w:r>
          </w:p>
        </w:tc>
        <w:tc>
          <w:tcPr>
            <w:tcW w:w="5019" w:type="dxa"/>
          </w:tcPr>
          <w:p w14:paraId="0F0E932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Surveillant sauveteur</w:t>
            </w:r>
          </w:p>
        </w:tc>
        <w:tc>
          <w:tcPr>
            <w:tcW w:w="1700" w:type="dxa"/>
            <w:vAlign w:val="center"/>
          </w:tcPr>
          <w:p w14:paraId="3D30800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6</w:t>
            </w:r>
          </w:p>
        </w:tc>
        <w:tc>
          <w:tcPr>
            <w:tcW w:w="996" w:type="dxa"/>
            <w:vAlign w:val="center"/>
          </w:tcPr>
          <w:p w14:paraId="08ACA194"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490C72B2" w14:textId="77777777" w:rsidTr="00DA26BD">
        <w:trPr>
          <w:trHeight w:val="264"/>
          <w:jc w:val="center"/>
        </w:trPr>
        <w:tc>
          <w:tcPr>
            <w:tcW w:w="851" w:type="dxa"/>
          </w:tcPr>
          <w:p w14:paraId="07300F7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9CD4BB3"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C419</w:t>
            </w:r>
          </w:p>
        </w:tc>
        <w:tc>
          <w:tcPr>
            <w:tcW w:w="5019" w:type="dxa"/>
          </w:tcPr>
          <w:p w14:paraId="33DDF037"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au banc d'essai</w:t>
            </w:r>
          </w:p>
        </w:tc>
        <w:tc>
          <w:tcPr>
            <w:tcW w:w="1700" w:type="dxa"/>
            <w:vAlign w:val="center"/>
          </w:tcPr>
          <w:p w14:paraId="64552DD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16</w:t>
            </w:r>
          </w:p>
        </w:tc>
        <w:tc>
          <w:tcPr>
            <w:tcW w:w="996" w:type="dxa"/>
            <w:vAlign w:val="center"/>
          </w:tcPr>
          <w:p w14:paraId="32CBA1D7"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4AA30D8A" w14:textId="77777777" w:rsidTr="00DA26BD">
        <w:trPr>
          <w:trHeight w:val="264"/>
          <w:jc w:val="center"/>
        </w:trPr>
        <w:tc>
          <w:tcPr>
            <w:tcW w:w="851" w:type="dxa"/>
          </w:tcPr>
          <w:p w14:paraId="7D98FC57"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71158219"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C840</w:t>
            </w:r>
          </w:p>
        </w:tc>
        <w:tc>
          <w:tcPr>
            <w:tcW w:w="5019" w:type="dxa"/>
          </w:tcPr>
          <w:p w14:paraId="612CF9E2"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Technicien breveté de l'entretien aéronautique</w:t>
            </w:r>
          </w:p>
        </w:tc>
        <w:tc>
          <w:tcPr>
            <w:tcW w:w="1700" w:type="dxa"/>
            <w:vAlign w:val="center"/>
          </w:tcPr>
          <w:p w14:paraId="157B363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17</w:t>
            </w:r>
          </w:p>
        </w:tc>
        <w:tc>
          <w:tcPr>
            <w:tcW w:w="996" w:type="dxa"/>
            <w:vAlign w:val="center"/>
          </w:tcPr>
          <w:p w14:paraId="32DC5B30"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7D81FF1F" w14:textId="77777777" w:rsidTr="00DA26BD">
        <w:trPr>
          <w:trHeight w:val="264"/>
          <w:jc w:val="center"/>
        </w:trPr>
        <w:tc>
          <w:tcPr>
            <w:tcW w:w="851" w:type="dxa"/>
          </w:tcPr>
          <w:p w14:paraId="6C4B3D7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D814836"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C830</w:t>
            </w:r>
          </w:p>
        </w:tc>
        <w:tc>
          <w:tcPr>
            <w:tcW w:w="5019" w:type="dxa"/>
          </w:tcPr>
          <w:p w14:paraId="03BBF498"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de l'entretien aéronautique</w:t>
            </w:r>
          </w:p>
        </w:tc>
        <w:tc>
          <w:tcPr>
            <w:tcW w:w="1700" w:type="dxa"/>
            <w:vAlign w:val="center"/>
          </w:tcPr>
          <w:p w14:paraId="5CA32EC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13</w:t>
            </w:r>
          </w:p>
        </w:tc>
        <w:tc>
          <w:tcPr>
            <w:tcW w:w="996" w:type="dxa"/>
            <w:vAlign w:val="center"/>
          </w:tcPr>
          <w:p w14:paraId="7B476887"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C5B687A" w14:textId="77777777" w:rsidTr="00DA26BD">
        <w:trPr>
          <w:trHeight w:val="264"/>
          <w:jc w:val="center"/>
        </w:trPr>
        <w:tc>
          <w:tcPr>
            <w:tcW w:w="851" w:type="dxa"/>
          </w:tcPr>
          <w:p w14:paraId="7F2540A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32EDC6D"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C405</w:t>
            </w:r>
          </w:p>
        </w:tc>
        <w:tc>
          <w:tcPr>
            <w:tcW w:w="5019" w:type="dxa"/>
          </w:tcPr>
          <w:p w14:paraId="47CB28A0"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administration</w:t>
            </w:r>
          </w:p>
        </w:tc>
        <w:tc>
          <w:tcPr>
            <w:tcW w:w="1700" w:type="dxa"/>
            <w:vAlign w:val="center"/>
          </w:tcPr>
          <w:p w14:paraId="57E25299" w14:textId="43161250" w:rsidR="00CD5BD8" w:rsidRPr="00C5073A" w:rsidRDefault="00EC22D9" w:rsidP="007F120F">
            <w:pPr>
              <w:pStyle w:val="TableParagraph"/>
              <w:widowControl/>
              <w:suppressAutoHyphens/>
              <w:spacing w:line="187" w:lineRule="exact"/>
              <w:ind w:left="50"/>
              <w:jc w:val="center"/>
              <w:rPr>
                <w:w w:val="99"/>
                <w:sz w:val="20"/>
                <w:szCs w:val="20"/>
              </w:rPr>
            </w:pPr>
            <w:r w:rsidRPr="00316277">
              <w:rPr>
                <w:w w:val="99"/>
                <w:sz w:val="20"/>
                <w:szCs w:val="20"/>
              </w:rPr>
              <w:t>14</w:t>
            </w:r>
          </w:p>
        </w:tc>
        <w:tc>
          <w:tcPr>
            <w:tcW w:w="996" w:type="dxa"/>
            <w:vAlign w:val="center"/>
          </w:tcPr>
          <w:p w14:paraId="20879492"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2D81CE09" w14:textId="77777777" w:rsidTr="00DA26BD">
        <w:trPr>
          <w:trHeight w:val="264"/>
          <w:jc w:val="center"/>
        </w:trPr>
        <w:tc>
          <w:tcPr>
            <w:tcW w:w="851" w:type="dxa"/>
          </w:tcPr>
          <w:p w14:paraId="29C3D615"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8F89B39"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C409</w:t>
            </w:r>
          </w:p>
        </w:tc>
        <w:tc>
          <w:tcPr>
            <w:tcW w:w="5019" w:type="dxa"/>
          </w:tcPr>
          <w:p w14:paraId="5467D15E"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arts graphiques</w:t>
            </w:r>
          </w:p>
        </w:tc>
        <w:tc>
          <w:tcPr>
            <w:tcW w:w="1700" w:type="dxa"/>
            <w:vAlign w:val="center"/>
          </w:tcPr>
          <w:p w14:paraId="2DD7E01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12</w:t>
            </w:r>
          </w:p>
        </w:tc>
        <w:tc>
          <w:tcPr>
            <w:tcW w:w="996" w:type="dxa"/>
            <w:vAlign w:val="center"/>
          </w:tcPr>
          <w:p w14:paraId="4DBB8247"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43180540" w14:textId="77777777" w:rsidTr="00DA26BD">
        <w:trPr>
          <w:trHeight w:val="264"/>
          <w:jc w:val="center"/>
        </w:trPr>
        <w:tc>
          <w:tcPr>
            <w:tcW w:w="851" w:type="dxa"/>
          </w:tcPr>
          <w:p w14:paraId="67CA0CDA"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4D5C0260"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C406</w:t>
            </w:r>
          </w:p>
        </w:tc>
        <w:tc>
          <w:tcPr>
            <w:tcW w:w="5019" w:type="dxa"/>
          </w:tcPr>
          <w:p w14:paraId="5DD40E64"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audiovisuel</w:t>
            </w:r>
          </w:p>
        </w:tc>
        <w:tc>
          <w:tcPr>
            <w:tcW w:w="1700" w:type="dxa"/>
            <w:vAlign w:val="center"/>
          </w:tcPr>
          <w:p w14:paraId="2B38F349"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12</w:t>
            </w:r>
          </w:p>
        </w:tc>
        <w:tc>
          <w:tcPr>
            <w:tcW w:w="996" w:type="dxa"/>
            <w:vAlign w:val="center"/>
          </w:tcPr>
          <w:p w14:paraId="42DA1302"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7E87DA42" w14:textId="77777777" w:rsidTr="00DA26BD">
        <w:trPr>
          <w:trHeight w:val="264"/>
          <w:jc w:val="center"/>
        </w:trPr>
        <w:tc>
          <w:tcPr>
            <w:tcW w:w="851" w:type="dxa"/>
          </w:tcPr>
          <w:p w14:paraId="0B8E33B5"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696256DB"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C413</w:t>
            </w:r>
          </w:p>
        </w:tc>
        <w:tc>
          <w:tcPr>
            <w:tcW w:w="5019" w:type="dxa"/>
          </w:tcPr>
          <w:p w14:paraId="7CAB00EC"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bâtiment</w:t>
            </w:r>
          </w:p>
        </w:tc>
        <w:tc>
          <w:tcPr>
            <w:tcW w:w="1700" w:type="dxa"/>
            <w:vAlign w:val="center"/>
          </w:tcPr>
          <w:p w14:paraId="474F571E"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15</w:t>
            </w:r>
          </w:p>
        </w:tc>
        <w:tc>
          <w:tcPr>
            <w:tcW w:w="996" w:type="dxa"/>
            <w:vAlign w:val="center"/>
          </w:tcPr>
          <w:p w14:paraId="49CDFDA1"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4428021" w14:textId="77777777" w:rsidTr="00DA26BD">
        <w:trPr>
          <w:trHeight w:val="264"/>
          <w:jc w:val="center"/>
        </w:trPr>
        <w:tc>
          <w:tcPr>
            <w:tcW w:w="851" w:type="dxa"/>
          </w:tcPr>
          <w:p w14:paraId="3CCD0ED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21BF012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C401</w:t>
            </w:r>
          </w:p>
        </w:tc>
        <w:tc>
          <w:tcPr>
            <w:tcW w:w="5019" w:type="dxa"/>
          </w:tcPr>
          <w:p w14:paraId="379B4394"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documentation</w:t>
            </w:r>
          </w:p>
        </w:tc>
        <w:tc>
          <w:tcPr>
            <w:tcW w:w="1700" w:type="dxa"/>
            <w:vAlign w:val="center"/>
          </w:tcPr>
          <w:p w14:paraId="5A7C5084"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13</w:t>
            </w:r>
          </w:p>
        </w:tc>
        <w:tc>
          <w:tcPr>
            <w:tcW w:w="996" w:type="dxa"/>
            <w:vAlign w:val="center"/>
          </w:tcPr>
          <w:p w14:paraId="6E29CA4B"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3258CD2" w14:textId="77777777" w:rsidTr="00DA26BD">
        <w:trPr>
          <w:trHeight w:val="264"/>
          <w:jc w:val="center"/>
        </w:trPr>
        <w:tc>
          <w:tcPr>
            <w:tcW w:w="851" w:type="dxa"/>
          </w:tcPr>
          <w:p w14:paraId="163A469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4B29EBD"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C424</w:t>
            </w:r>
          </w:p>
        </w:tc>
        <w:tc>
          <w:tcPr>
            <w:tcW w:w="5019" w:type="dxa"/>
          </w:tcPr>
          <w:p w14:paraId="6380A5FB"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éducation spécialisée</w:t>
            </w:r>
          </w:p>
        </w:tc>
        <w:tc>
          <w:tcPr>
            <w:tcW w:w="1700" w:type="dxa"/>
            <w:vAlign w:val="center"/>
          </w:tcPr>
          <w:p w14:paraId="596C688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16</w:t>
            </w:r>
          </w:p>
        </w:tc>
        <w:tc>
          <w:tcPr>
            <w:tcW w:w="996" w:type="dxa"/>
            <w:vAlign w:val="center"/>
          </w:tcPr>
          <w:p w14:paraId="2EF39EF3"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3512E0F3" w14:textId="77777777" w:rsidTr="00DA26BD">
        <w:trPr>
          <w:trHeight w:val="264"/>
          <w:jc w:val="center"/>
        </w:trPr>
        <w:tc>
          <w:tcPr>
            <w:tcW w:w="851" w:type="dxa"/>
          </w:tcPr>
          <w:p w14:paraId="6298252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1D5892F"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C411</w:t>
            </w:r>
          </w:p>
        </w:tc>
        <w:tc>
          <w:tcPr>
            <w:tcW w:w="5019" w:type="dxa"/>
          </w:tcPr>
          <w:p w14:paraId="77FC7EE7"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électronique</w:t>
            </w:r>
          </w:p>
        </w:tc>
        <w:tc>
          <w:tcPr>
            <w:tcW w:w="1700" w:type="dxa"/>
            <w:vAlign w:val="center"/>
          </w:tcPr>
          <w:p w14:paraId="2C9D51E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14</w:t>
            </w:r>
          </w:p>
        </w:tc>
        <w:tc>
          <w:tcPr>
            <w:tcW w:w="996" w:type="dxa"/>
            <w:vAlign w:val="center"/>
          </w:tcPr>
          <w:p w14:paraId="2A5C6170"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7FB8F1C" w14:textId="77777777" w:rsidTr="00DA26BD">
        <w:trPr>
          <w:trHeight w:val="264"/>
          <w:jc w:val="center"/>
        </w:trPr>
        <w:tc>
          <w:tcPr>
            <w:tcW w:w="851" w:type="dxa"/>
          </w:tcPr>
          <w:p w14:paraId="304CAD4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89F94CC"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C416</w:t>
            </w:r>
          </w:p>
        </w:tc>
        <w:tc>
          <w:tcPr>
            <w:tcW w:w="5019" w:type="dxa"/>
          </w:tcPr>
          <w:p w14:paraId="6D1C0516"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fabrication mécanique</w:t>
            </w:r>
          </w:p>
        </w:tc>
        <w:tc>
          <w:tcPr>
            <w:tcW w:w="1700" w:type="dxa"/>
            <w:vAlign w:val="center"/>
          </w:tcPr>
          <w:p w14:paraId="66FC18E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14</w:t>
            </w:r>
          </w:p>
        </w:tc>
        <w:tc>
          <w:tcPr>
            <w:tcW w:w="996" w:type="dxa"/>
            <w:vAlign w:val="center"/>
          </w:tcPr>
          <w:p w14:paraId="7055005B"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9DA060D" w14:textId="77777777" w:rsidTr="00DA26BD">
        <w:trPr>
          <w:trHeight w:val="264"/>
          <w:jc w:val="center"/>
        </w:trPr>
        <w:tc>
          <w:tcPr>
            <w:tcW w:w="851" w:type="dxa"/>
          </w:tcPr>
          <w:p w14:paraId="58ADD5F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FF5AEA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C414</w:t>
            </w:r>
          </w:p>
        </w:tc>
        <w:tc>
          <w:tcPr>
            <w:tcW w:w="5019" w:type="dxa"/>
          </w:tcPr>
          <w:p w14:paraId="2F395126"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information</w:t>
            </w:r>
          </w:p>
        </w:tc>
        <w:tc>
          <w:tcPr>
            <w:tcW w:w="1700" w:type="dxa"/>
            <w:vAlign w:val="center"/>
          </w:tcPr>
          <w:p w14:paraId="44EADF8B"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12</w:t>
            </w:r>
          </w:p>
        </w:tc>
        <w:tc>
          <w:tcPr>
            <w:tcW w:w="996" w:type="dxa"/>
            <w:vAlign w:val="center"/>
          </w:tcPr>
          <w:p w14:paraId="018EAEF1"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8895D62" w14:textId="77777777" w:rsidTr="00DA26BD">
        <w:trPr>
          <w:trHeight w:val="264"/>
          <w:jc w:val="center"/>
        </w:trPr>
        <w:tc>
          <w:tcPr>
            <w:tcW w:w="851" w:type="dxa"/>
          </w:tcPr>
          <w:p w14:paraId="1C270AE6"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20D9E74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C403</w:t>
            </w:r>
          </w:p>
        </w:tc>
        <w:tc>
          <w:tcPr>
            <w:tcW w:w="5019" w:type="dxa"/>
          </w:tcPr>
          <w:p w14:paraId="62899050"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informatique</w:t>
            </w:r>
          </w:p>
        </w:tc>
        <w:tc>
          <w:tcPr>
            <w:tcW w:w="1700" w:type="dxa"/>
            <w:vAlign w:val="center"/>
          </w:tcPr>
          <w:p w14:paraId="527235E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14</w:t>
            </w:r>
          </w:p>
        </w:tc>
        <w:tc>
          <w:tcPr>
            <w:tcW w:w="996" w:type="dxa"/>
            <w:vAlign w:val="center"/>
          </w:tcPr>
          <w:p w14:paraId="028A23BB"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0674D8F4" w14:textId="77777777" w:rsidTr="00DA26BD">
        <w:trPr>
          <w:trHeight w:val="264"/>
          <w:jc w:val="center"/>
        </w:trPr>
        <w:tc>
          <w:tcPr>
            <w:tcW w:w="851" w:type="dxa"/>
          </w:tcPr>
          <w:p w14:paraId="18D01EAC"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03355B16"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C402</w:t>
            </w:r>
          </w:p>
        </w:tc>
        <w:tc>
          <w:tcPr>
            <w:tcW w:w="5019" w:type="dxa"/>
          </w:tcPr>
          <w:p w14:paraId="30F3FE79" w14:textId="77777777" w:rsidR="00CD5BD8" w:rsidRPr="00C5073A" w:rsidRDefault="00CD5BD8" w:rsidP="007F120F">
            <w:pPr>
              <w:pStyle w:val="TableParagraph"/>
              <w:widowControl/>
              <w:suppressAutoHyphens/>
              <w:spacing w:line="187" w:lineRule="exact"/>
              <w:ind w:left="210"/>
              <w:rPr>
                <w:sz w:val="20"/>
                <w:szCs w:val="20"/>
                <w:lang w:val="fr-CA"/>
              </w:rPr>
            </w:pPr>
            <w:r w:rsidRPr="00C5073A">
              <w:rPr>
                <w:sz w:val="20"/>
                <w:szCs w:val="20"/>
                <w:lang w:val="fr-CA"/>
              </w:rPr>
              <w:t>Technicien en informatique, classe principale</w:t>
            </w:r>
          </w:p>
        </w:tc>
        <w:tc>
          <w:tcPr>
            <w:tcW w:w="1700" w:type="dxa"/>
            <w:vAlign w:val="center"/>
          </w:tcPr>
          <w:p w14:paraId="1B762EE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16</w:t>
            </w:r>
          </w:p>
        </w:tc>
        <w:tc>
          <w:tcPr>
            <w:tcW w:w="996" w:type="dxa"/>
            <w:vAlign w:val="center"/>
          </w:tcPr>
          <w:p w14:paraId="1FF14871"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495FD50F" w14:textId="77777777" w:rsidTr="00DA26BD">
        <w:trPr>
          <w:trHeight w:val="264"/>
          <w:jc w:val="center"/>
        </w:trPr>
        <w:tc>
          <w:tcPr>
            <w:tcW w:w="851" w:type="dxa"/>
          </w:tcPr>
          <w:p w14:paraId="4BB3C5D2"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4AB8DBD2"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C407</w:t>
            </w:r>
          </w:p>
        </w:tc>
        <w:tc>
          <w:tcPr>
            <w:tcW w:w="5019" w:type="dxa"/>
          </w:tcPr>
          <w:p w14:paraId="30D5F73C"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loisirs</w:t>
            </w:r>
          </w:p>
        </w:tc>
        <w:tc>
          <w:tcPr>
            <w:tcW w:w="1700" w:type="dxa"/>
            <w:vAlign w:val="center"/>
          </w:tcPr>
          <w:p w14:paraId="1B7A7A8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13</w:t>
            </w:r>
          </w:p>
        </w:tc>
        <w:tc>
          <w:tcPr>
            <w:tcW w:w="996" w:type="dxa"/>
            <w:vAlign w:val="center"/>
          </w:tcPr>
          <w:p w14:paraId="44BAB288"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263F3421" w14:textId="77777777" w:rsidTr="00DA26BD">
        <w:trPr>
          <w:trHeight w:val="264"/>
          <w:jc w:val="center"/>
        </w:trPr>
        <w:tc>
          <w:tcPr>
            <w:tcW w:w="851" w:type="dxa"/>
          </w:tcPr>
          <w:p w14:paraId="7C7D8F7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77F6B5F4"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C418</w:t>
            </w:r>
          </w:p>
        </w:tc>
        <w:tc>
          <w:tcPr>
            <w:tcW w:w="5019" w:type="dxa"/>
          </w:tcPr>
          <w:p w14:paraId="4EAF421C"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travail social</w:t>
            </w:r>
          </w:p>
        </w:tc>
        <w:tc>
          <w:tcPr>
            <w:tcW w:w="1700" w:type="dxa"/>
            <w:vAlign w:val="center"/>
          </w:tcPr>
          <w:p w14:paraId="3487F860"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16</w:t>
            </w:r>
          </w:p>
        </w:tc>
        <w:tc>
          <w:tcPr>
            <w:tcW w:w="996" w:type="dxa"/>
            <w:vAlign w:val="center"/>
          </w:tcPr>
          <w:p w14:paraId="5F504A4C"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5EA8B51B" w14:textId="77777777" w:rsidTr="00DA26BD">
        <w:trPr>
          <w:trHeight w:val="264"/>
          <w:jc w:val="center"/>
        </w:trPr>
        <w:tc>
          <w:tcPr>
            <w:tcW w:w="851" w:type="dxa"/>
          </w:tcPr>
          <w:p w14:paraId="61BFACC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11534EFE"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C404</w:t>
            </w:r>
          </w:p>
        </w:tc>
        <w:tc>
          <w:tcPr>
            <w:tcW w:w="5019" w:type="dxa"/>
          </w:tcPr>
          <w:p w14:paraId="440A28CF"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Technicien en travaux pratiques</w:t>
            </w:r>
          </w:p>
        </w:tc>
        <w:tc>
          <w:tcPr>
            <w:tcW w:w="1700" w:type="dxa"/>
            <w:vAlign w:val="center"/>
          </w:tcPr>
          <w:p w14:paraId="54CC726D"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14</w:t>
            </w:r>
          </w:p>
        </w:tc>
        <w:tc>
          <w:tcPr>
            <w:tcW w:w="996" w:type="dxa"/>
            <w:vAlign w:val="center"/>
          </w:tcPr>
          <w:p w14:paraId="424EA8A6"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392A72FC" w14:textId="77777777" w:rsidTr="00DA26BD">
        <w:trPr>
          <w:trHeight w:val="264"/>
          <w:jc w:val="center"/>
        </w:trPr>
        <w:tc>
          <w:tcPr>
            <w:tcW w:w="851" w:type="dxa"/>
          </w:tcPr>
          <w:p w14:paraId="0938AD9F"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5E6953F3"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C231</w:t>
            </w:r>
          </w:p>
        </w:tc>
        <w:tc>
          <w:tcPr>
            <w:tcW w:w="5019" w:type="dxa"/>
          </w:tcPr>
          <w:p w14:paraId="09C66B0C"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Travailleur social</w:t>
            </w:r>
          </w:p>
        </w:tc>
        <w:tc>
          <w:tcPr>
            <w:tcW w:w="1700" w:type="dxa"/>
            <w:vAlign w:val="center"/>
          </w:tcPr>
          <w:p w14:paraId="1C054FB4"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22</w:t>
            </w:r>
          </w:p>
        </w:tc>
        <w:tc>
          <w:tcPr>
            <w:tcW w:w="996" w:type="dxa"/>
            <w:vAlign w:val="center"/>
          </w:tcPr>
          <w:p w14:paraId="12CF638A" w14:textId="77777777" w:rsidR="00CD5BD8" w:rsidRPr="00C5073A" w:rsidRDefault="00CD5BD8" w:rsidP="007F120F">
            <w:pPr>
              <w:pStyle w:val="TableParagraph"/>
              <w:widowControl/>
              <w:suppressAutoHyphens/>
              <w:spacing w:line="187" w:lineRule="exact"/>
              <w:ind w:left="50" w:right="49"/>
              <w:jc w:val="center"/>
              <w:rPr>
                <w:w w:val="99"/>
                <w:sz w:val="20"/>
                <w:szCs w:val="20"/>
              </w:rPr>
            </w:pPr>
          </w:p>
        </w:tc>
      </w:tr>
      <w:tr w:rsidR="00CD5BD8" w:rsidRPr="00C5073A" w14:paraId="3E88A600" w14:textId="77777777" w:rsidTr="00DA26BD">
        <w:trPr>
          <w:trHeight w:val="264"/>
          <w:jc w:val="center"/>
        </w:trPr>
        <w:tc>
          <w:tcPr>
            <w:tcW w:w="851" w:type="dxa"/>
          </w:tcPr>
          <w:p w14:paraId="2C89FCD3"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4</w:t>
            </w:r>
          </w:p>
        </w:tc>
        <w:tc>
          <w:tcPr>
            <w:tcW w:w="1077" w:type="dxa"/>
          </w:tcPr>
          <w:p w14:paraId="44B4E4DF" w14:textId="77777777" w:rsidR="00CD5BD8" w:rsidRPr="00C5073A" w:rsidRDefault="00CD5BD8" w:rsidP="007F120F">
            <w:pPr>
              <w:pStyle w:val="TableParagraph"/>
              <w:widowControl/>
              <w:suppressAutoHyphens/>
              <w:spacing w:line="187" w:lineRule="exact"/>
              <w:ind w:right="210"/>
              <w:jc w:val="center"/>
              <w:rPr>
                <w:w w:val="95"/>
                <w:sz w:val="20"/>
                <w:szCs w:val="20"/>
              </w:rPr>
            </w:pPr>
            <w:r w:rsidRPr="00C5073A">
              <w:rPr>
                <w:w w:val="95"/>
                <w:sz w:val="20"/>
                <w:szCs w:val="20"/>
              </w:rPr>
              <w:t>C706</w:t>
            </w:r>
          </w:p>
        </w:tc>
        <w:tc>
          <w:tcPr>
            <w:tcW w:w="5019" w:type="dxa"/>
          </w:tcPr>
          <w:p w14:paraId="6ABD1E05" w14:textId="77777777" w:rsidR="00CD5BD8" w:rsidRPr="00C5073A" w:rsidRDefault="00CD5BD8" w:rsidP="007F120F">
            <w:pPr>
              <w:pStyle w:val="TableParagraph"/>
              <w:widowControl/>
              <w:suppressAutoHyphens/>
              <w:spacing w:line="187" w:lineRule="exact"/>
              <w:ind w:left="210"/>
              <w:rPr>
                <w:sz w:val="20"/>
                <w:szCs w:val="20"/>
              </w:rPr>
            </w:pPr>
            <w:r w:rsidRPr="00C5073A">
              <w:rPr>
                <w:sz w:val="20"/>
                <w:szCs w:val="20"/>
              </w:rPr>
              <w:t>Tuyauteur</w:t>
            </w:r>
          </w:p>
        </w:tc>
        <w:tc>
          <w:tcPr>
            <w:tcW w:w="1700" w:type="dxa"/>
            <w:vAlign w:val="center"/>
          </w:tcPr>
          <w:p w14:paraId="74358BF1" w14:textId="77777777" w:rsidR="00CD5BD8" w:rsidRPr="00C5073A" w:rsidRDefault="00CD5BD8" w:rsidP="007F120F">
            <w:pPr>
              <w:pStyle w:val="TableParagraph"/>
              <w:widowControl/>
              <w:suppressAutoHyphens/>
              <w:spacing w:line="187" w:lineRule="exact"/>
              <w:ind w:left="50"/>
              <w:jc w:val="center"/>
              <w:rPr>
                <w:w w:val="99"/>
                <w:sz w:val="20"/>
                <w:szCs w:val="20"/>
              </w:rPr>
            </w:pPr>
            <w:r w:rsidRPr="00C5073A">
              <w:rPr>
                <w:w w:val="99"/>
                <w:sz w:val="20"/>
                <w:szCs w:val="20"/>
              </w:rPr>
              <w:t>10</w:t>
            </w:r>
          </w:p>
        </w:tc>
        <w:tc>
          <w:tcPr>
            <w:tcW w:w="996" w:type="dxa"/>
            <w:vAlign w:val="center"/>
          </w:tcPr>
          <w:p w14:paraId="45468C7E" w14:textId="77777777" w:rsidR="00CD5BD8" w:rsidRPr="00C5073A" w:rsidRDefault="00CD5BD8" w:rsidP="007F120F">
            <w:pPr>
              <w:pStyle w:val="TableParagraph"/>
              <w:widowControl/>
              <w:suppressAutoHyphens/>
              <w:spacing w:line="187" w:lineRule="exact"/>
              <w:ind w:left="50" w:right="49"/>
              <w:jc w:val="center"/>
              <w:rPr>
                <w:w w:val="99"/>
                <w:sz w:val="20"/>
                <w:szCs w:val="20"/>
              </w:rPr>
            </w:pPr>
            <w:r w:rsidRPr="00C5073A">
              <w:rPr>
                <w:w w:val="99"/>
                <w:sz w:val="20"/>
                <w:szCs w:val="20"/>
              </w:rPr>
              <w:t>X</w:t>
            </w:r>
          </w:p>
        </w:tc>
      </w:tr>
    </w:tbl>
    <w:p w14:paraId="554070B4" w14:textId="77777777" w:rsidR="0075779F" w:rsidRPr="00316277" w:rsidRDefault="0075779F" w:rsidP="0075779F">
      <w:pPr>
        <w:ind w:left="284" w:hanging="284"/>
        <w:rPr>
          <w:rFonts w:cs="Arial"/>
          <w:szCs w:val="24"/>
          <w:vertAlign w:val="superscript"/>
        </w:rPr>
      </w:pPr>
    </w:p>
    <w:p w14:paraId="2E856F4F" w14:textId="24C12C09" w:rsidR="004E4CDE" w:rsidRPr="00316277" w:rsidRDefault="004E4CDE" w:rsidP="00864798">
      <w:pPr>
        <w:pStyle w:val="ListParagraph"/>
        <w:numPr>
          <w:ilvl w:val="0"/>
          <w:numId w:val="80"/>
        </w:numPr>
        <w:ind w:left="284" w:hanging="284"/>
        <w:rPr>
          <w:rFonts w:cs="Arial"/>
          <w:sz w:val="18"/>
          <w:szCs w:val="18"/>
        </w:rPr>
      </w:pPr>
      <w:r w:rsidRPr="00316277">
        <w:rPr>
          <w:rFonts w:cs="Arial"/>
          <w:sz w:val="18"/>
          <w:szCs w:val="18"/>
        </w:rPr>
        <w:t>Pour l’interprétation et l’application de la présente annexe, advenant des divergences dans l’appellation d’un titre d’un corps ou d’une classe d’emploi, le numéro du corps ou de la classe d’emploi prévaut. Les titres des corps et des classes d’emplois sont présentés au masculin seulement pour alléger la présentation. Pour obtenir les titres des corps ou des classes d’emplois se référer au plan de classification.</w:t>
      </w:r>
    </w:p>
    <w:p w14:paraId="500BFB72" w14:textId="21C32D9D" w:rsidR="004E4CDE" w:rsidRPr="00316277" w:rsidRDefault="004E4CDE" w:rsidP="004E4CDE">
      <w:pPr>
        <w:ind w:left="284" w:hanging="284"/>
        <w:rPr>
          <w:rStyle w:val="normaltextrun"/>
          <w:rFonts w:cs="Arial"/>
          <w:color w:val="000000"/>
          <w:sz w:val="18"/>
          <w:szCs w:val="18"/>
          <w:shd w:val="clear" w:color="auto" w:fill="FFFFFF"/>
        </w:rPr>
      </w:pPr>
      <w:r w:rsidRPr="00316277">
        <w:rPr>
          <w:rStyle w:val="normaltextrun"/>
          <w:rFonts w:cs="Arial"/>
          <w:color w:val="000000"/>
          <w:sz w:val="18"/>
          <w:szCs w:val="18"/>
          <w:shd w:val="clear" w:color="auto" w:fill="FFFFFF"/>
          <w:vertAlign w:val="superscript"/>
        </w:rPr>
        <w:t>2</w:t>
      </w:r>
      <w:r w:rsidRPr="00316277">
        <w:rPr>
          <w:rStyle w:val="normaltextrun"/>
          <w:rFonts w:cs="Arial"/>
          <w:color w:val="000000"/>
          <w:sz w:val="18"/>
          <w:szCs w:val="18"/>
          <w:shd w:val="clear" w:color="auto" w:fill="FFFFFF"/>
        </w:rPr>
        <w:t xml:space="preserve"> </w:t>
      </w:r>
      <w:r w:rsidRPr="00316277">
        <w:rPr>
          <w:rStyle w:val="normaltextrun"/>
          <w:rFonts w:cs="Arial"/>
          <w:color w:val="000000"/>
          <w:sz w:val="18"/>
          <w:szCs w:val="18"/>
          <w:shd w:val="clear" w:color="auto" w:fill="FFFFFF"/>
        </w:rPr>
        <w:tab/>
        <w:t>Les rangements des corps ou des classes d'emplois de la présente annexe sont ceux constatés en date de la signature de la convention collective, et ce, sans admission de la part de la partie syndicale, à l’exception de ceux convenus par ententes entre les parties. À noter que la présente n’est pas une admission quant aux cotes d’évaluation, mais seulement pour les rangements.</w:t>
      </w:r>
    </w:p>
    <w:p w14:paraId="76BA24C5" w14:textId="77777777" w:rsidR="004E4CDE" w:rsidRPr="00316277" w:rsidRDefault="004E4CDE" w:rsidP="004E4CDE">
      <w:pPr>
        <w:ind w:left="284" w:hanging="284"/>
        <w:rPr>
          <w:rFonts w:cs="Arial"/>
          <w:sz w:val="18"/>
          <w:szCs w:val="18"/>
        </w:rPr>
      </w:pPr>
      <w:r w:rsidRPr="00316277">
        <w:rPr>
          <w:rFonts w:cs="Arial"/>
          <w:sz w:val="18"/>
          <w:szCs w:val="18"/>
          <w:vertAlign w:val="superscript"/>
        </w:rPr>
        <w:t>3</w:t>
      </w:r>
      <w:r w:rsidRPr="00316277">
        <w:rPr>
          <w:rFonts w:cs="Arial"/>
          <w:sz w:val="18"/>
          <w:szCs w:val="18"/>
        </w:rPr>
        <w:t xml:space="preserve"> </w:t>
      </w:r>
      <w:r w:rsidRPr="00316277">
        <w:rPr>
          <w:rFonts w:cs="Arial"/>
          <w:sz w:val="18"/>
          <w:szCs w:val="18"/>
        </w:rPr>
        <w:tab/>
        <w:t>Pour connaître la date de création du corps ou de la classe d'emploi se référer aux ententes.</w:t>
      </w:r>
    </w:p>
    <w:p w14:paraId="5E218A08" w14:textId="77777777" w:rsidR="004E4CDE" w:rsidRPr="00767963" w:rsidRDefault="004E4CDE" w:rsidP="004E4CDE">
      <w:pPr>
        <w:tabs>
          <w:tab w:val="left" w:pos="284"/>
        </w:tabs>
        <w:rPr>
          <w:rFonts w:cs="Arial"/>
          <w:sz w:val="18"/>
          <w:szCs w:val="18"/>
        </w:rPr>
      </w:pPr>
      <w:r w:rsidRPr="00316277">
        <w:rPr>
          <w:rFonts w:cs="Arial"/>
          <w:sz w:val="18"/>
          <w:szCs w:val="18"/>
          <w:vertAlign w:val="superscript"/>
        </w:rPr>
        <w:t>4</w:t>
      </w:r>
      <w:r w:rsidRPr="00316277">
        <w:rPr>
          <w:rFonts w:cs="Arial"/>
          <w:sz w:val="18"/>
          <w:szCs w:val="18"/>
        </w:rPr>
        <w:t xml:space="preserve"> </w:t>
      </w:r>
      <w:r w:rsidRPr="00316277">
        <w:rPr>
          <w:rFonts w:cs="Arial"/>
          <w:sz w:val="18"/>
          <w:szCs w:val="18"/>
        </w:rPr>
        <w:tab/>
        <w:t>Pour connaître la date d’abolition du corps ou de la classe d'emploi se référer aux ententes.</w:t>
      </w:r>
    </w:p>
    <w:p w14:paraId="03E99B75" w14:textId="70603B15" w:rsidR="00C30738" w:rsidRDefault="00C30738">
      <w:pPr>
        <w:keepNext w:val="0"/>
        <w:suppressAutoHyphens w:val="0"/>
        <w:jc w:val="left"/>
        <w:rPr>
          <w:b/>
        </w:rPr>
      </w:pPr>
      <w:r>
        <w:rPr>
          <w:b/>
        </w:rPr>
        <w:br w:type="page"/>
      </w:r>
    </w:p>
    <w:p w14:paraId="1B551AE1" w14:textId="6843964B" w:rsidR="00CD5BD8" w:rsidRPr="008A02C4" w:rsidRDefault="00CD5BD8" w:rsidP="007F120F">
      <w:pPr>
        <w:keepNext w:val="0"/>
        <w:jc w:val="center"/>
        <w:rPr>
          <w:b/>
        </w:rPr>
      </w:pPr>
      <w:r w:rsidRPr="008A02C4">
        <w:rPr>
          <w:b/>
        </w:rPr>
        <w:t>TABLEAU C</w:t>
      </w:r>
    </w:p>
    <w:p w14:paraId="10EE009A" w14:textId="77777777" w:rsidR="00CD5BD8" w:rsidRPr="008A02C4" w:rsidRDefault="00CD5BD8" w:rsidP="007F120F">
      <w:pPr>
        <w:keepNext w:val="0"/>
        <w:jc w:val="center"/>
        <w:rPr>
          <w:rStyle w:val="Emphaseple"/>
          <w:rFonts w:cs="Arial"/>
          <w:b/>
          <w:i w:val="0"/>
          <w:sz w:val="21"/>
          <w:szCs w:val="21"/>
        </w:rPr>
      </w:pPr>
    </w:p>
    <w:p w14:paraId="1599C7B9" w14:textId="555CA9CE" w:rsidR="00CD5BD8" w:rsidRDefault="00CD5BD8" w:rsidP="007F120F">
      <w:pPr>
        <w:keepNext w:val="0"/>
        <w:jc w:val="center"/>
        <w:rPr>
          <w:rStyle w:val="Emphaseple"/>
          <w:rFonts w:cs="Arial"/>
          <w:b/>
          <w:i w:val="0"/>
          <w:color w:val="auto"/>
          <w:sz w:val="21"/>
          <w:szCs w:val="21"/>
        </w:rPr>
      </w:pPr>
      <w:r w:rsidRPr="008A02C4">
        <w:rPr>
          <w:rStyle w:val="Emphaseple"/>
          <w:rFonts w:cs="Arial"/>
          <w:b/>
          <w:i w:val="0"/>
          <w:color w:val="auto"/>
          <w:sz w:val="21"/>
          <w:szCs w:val="21"/>
        </w:rPr>
        <w:t xml:space="preserve">ENSEIGNANTE </w:t>
      </w:r>
      <w:r w:rsidR="001B0612" w:rsidRPr="00316277">
        <w:rPr>
          <w:rStyle w:val="Emphaseple"/>
          <w:rFonts w:cs="Arial"/>
          <w:b/>
          <w:i w:val="0"/>
          <w:color w:val="auto"/>
          <w:sz w:val="21"/>
          <w:szCs w:val="21"/>
        </w:rPr>
        <w:t>OU</w:t>
      </w:r>
      <w:r w:rsidR="001B0612">
        <w:rPr>
          <w:rStyle w:val="Emphaseple"/>
          <w:rFonts w:cs="Arial"/>
          <w:b/>
          <w:i w:val="0"/>
          <w:color w:val="auto"/>
          <w:sz w:val="21"/>
          <w:szCs w:val="21"/>
        </w:rPr>
        <w:t xml:space="preserve"> </w:t>
      </w:r>
      <w:r w:rsidRPr="008A02C4">
        <w:rPr>
          <w:rStyle w:val="Emphaseple"/>
          <w:rFonts w:cs="Arial"/>
          <w:b/>
          <w:i w:val="0"/>
          <w:color w:val="auto"/>
          <w:sz w:val="21"/>
          <w:szCs w:val="21"/>
        </w:rPr>
        <w:t xml:space="preserve">ENSEIGNANT AUTRE QUE CELLE </w:t>
      </w:r>
      <w:r w:rsidR="001B0612" w:rsidRPr="00316277">
        <w:rPr>
          <w:rStyle w:val="Emphaseple"/>
          <w:rFonts w:cs="Arial"/>
          <w:b/>
          <w:i w:val="0"/>
          <w:color w:val="auto"/>
          <w:sz w:val="21"/>
          <w:szCs w:val="21"/>
        </w:rPr>
        <w:t>OU CELUI</w:t>
      </w:r>
      <w:r w:rsidR="001B0612">
        <w:rPr>
          <w:rStyle w:val="Emphaseple"/>
          <w:rFonts w:cs="Arial"/>
          <w:b/>
          <w:i w:val="0"/>
          <w:color w:val="auto"/>
          <w:sz w:val="21"/>
          <w:szCs w:val="21"/>
        </w:rPr>
        <w:t xml:space="preserve"> </w:t>
      </w:r>
      <w:r w:rsidRPr="008A02C4">
        <w:rPr>
          <w:rStyle w:val="Emphaseple"/>
          <w:rFonts w:cs="Arial"/>
          <w:b/>
          <w:i w:val="0"/>
          <w:color w:val="auto"/>
          <w:sz w:val="21"/>
          <w:szCs w:val="21"/>
        </w:rPr>
        <w:t xml:space="preserve">À TEMPS COMPLET </w:t>
      </w:r>
      <w:r w:rsidR="001B0612" w:rsidRPr="00316277">
        <w:rPr>
          <w:rStyle w:val="Emphaseple"/>
          <w:rFonts w:cs="Arial"/>
          <w:b/>
          <w:i w:val="0"/>
          <w:color w:val="auto"/>
          <w:sz w:val="21"/>
          <w:szCs w:val="21"/>
        </w:rPr>
        <w:t>OU À</w:t>
      </w:r>
      <w:r w:rsidR="001B0612">
        <w:rPr>
          <w:rStyle w:val="Emphaseple"/>
          <w:rFonts w:cs="Arial"/>
          <w:b/>
          <w:i w:val="0"/>
          <w:color w:val="auto"/>
          <w:sz w:val="21"/>
          <w:szCs w:val="21"/>
        </w:rPr>
        <w:t xml:space="preserve"> </w:t>
      </w:r>
      <w:r w:rsidRPr="008A02C4">
        <w:rPr>
          <w:rStyle w:val="Emphaseple"/>
          <w:rFonts w:cs="Arial"/>
          <w:b/>
          <w:i w:val="0"/>
          <w:color w:val="auto"/>
          <w:sz w:val="21"/>
          <w:szCs w:val="21"/>
        </w:rPr>
        <w:t>TEMPS PARTIEL DES COLLÈGES</w:t>
      </w:r>
    </w:p>
    <w:p w14:paraId="30A43677" w14:textId="77777777" w:rsidR="001B0612" w:rsidRPr="008A02C4" w:rsidRDefault="001B0612" w:rsidP="007F120F">
      <w:pPr>
        <w:keepNext w:val="0"/>
        <w:jc w:val="center"/>
        <w:rPr>
          <w:rStyle w:val="Emphaseple"/>
          <w:rFonts w:cs="Arial"/>
          <w:b/>
          <w:i w:val="0"/>
          <w:color w:val="auto"/>
          <w:sz w:val="21"/>
          <w:szCs w:val="21"/>
        </w:rPr>
      </w:pPr>
    </w:p>
    <w:tbl>
      <w:tblPr>
        <w:tblW w:w="10419" w:type="dxa"/>
        <w:tblInd w:w="-284"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135"/>
        <w:gridCol w:w="2338"/>
        <w:gridCol w:w="1701"/>
        <w:gridCol w:w="3827"/>
        <w:gridCol w:w="1418"/>
      </w:tblGrid>
      <w:tr w:rsidR="00F158D7" w:rsidRPr="008A02C4" w14:paraId="514E4269" w14:textId="77777777" w:rsidTr="00C03D44">
        <w:trPr>
          <w:trHeight w:val="624"/>
        </w:trPr>
        <w:tc>
          <w:tcPr>
            <w:tcW w:w="1135" w:type="dxa"/>
            <w:tcBorders>
              <w:top w:val="single" w:sz="12" w:space="0" w:color="auto"/>
              <w:bottom w:val="single" w:sz="2" w:space="0" w:color="auto"/>
            </w:tcBorders>
            <w:shd w:val="clear" w:color="auto" w:fill="auto"/>
            <w:vAlign w:val="center"/>
          </w:tcPr>
          <w:p w14:paraId="478FCB64" w14:textId="77777777" w:rsidR="00CD5BD8" w:rsidRPr="008A02C4" w:rsidRDefault="00CD5BD8" w:rsidP="007F120F">
            <w:pPr>
              <w:keepNext w:val="0"/>
              <w:ind w:left="72"/>
              <w:jc w:val="center"/>
              <w:rPr>
                <w:rFonts w:cs="Arial"/>
                <w:sz w:val="21"/>
                <w:szCs w:val="21"/>
              </w:rPr>
            </w:pPr>
            <w:r w:rsidRPr="008A02C4">
              <w:rPr>
                <w:rFonts w:cs="Arial"/>
                <w:sz w:val="21"/>
                <w:szCs w:val="21"/>
              </w:rPr>
              <w:t># Titres d’emplois</w:t>
            </w:r>
          </w:p>
        </w:tc>
        <w:tc>
          <w:tcPr>
            <w:tcW w:w="2338" w:type="dxa"/>
            <w:tcBorders>
              <w:top w:val="single" w:sz="12" w:space="0" w:color="auto"/>
              <w:bottom w:val="single" w:sz="2" w:space="0" w:color="auto"/>
            </w:tcBorders>
            <w:shd w:val="clear" w:color="auto" w:fill="auto"/>
            <w:vAlign w:val="center"/>
          </w:tcPr>
          <w:p w14:paraId="727A843B" w14:textId="77777777" w:rsidR="00CD5BD8" w:rsidRPr="008A02C4" w:rsidRDefault="00CD5BD8" w:rsidP="007F120F">
            <w:pPr>
              <w:keepNext w:val="0"/>
              <w:ind w:left="72"/>
              <w:rPr>
                <w:rFonts w:cs="Arial"/>
                <w:sz w:val="21"/>
                <w:szCs w:val="21"/>
              </w:rPr>
            </w:pPr>
            <w:r w:rsidRPr="008A02C4">
              <w:rPr>
                <w:rFonts w:cs="Arial"/>
                <w:sz w:val="21"/>
                <w:szCs w:val="21"/>
              </w:rPr>
              <w:t>Titres d'emplois</w:t>
            </w:r>
          </w:p>
        </w:tc>
        <w:tc>
          <w:tcPr>
            <w:tcW w:w="1701" w:type="dxa"/>
            <w:tcBorders>
              <w:top w:val="single" w:sz="12" w:space="0" w:color="auto"/>
              <w:bottom w:val="single" w:sz="2" w:space="0" w:color="auto"/>
            </w:tcBorders>
            <w:shd w:val="clear" w:color="auto" w:fill="auto"/>
            <w:vAlign w:val="center"/>
          </w:tcPr>
          <w:p w14:paraId="612FC185" w14:textId="77777777" w:rsidR="00CD5BD8" w:rsidRPr="008A02C4" w:rsidRDefault="00CD5BD8" w:rsidP="007F120F">
            <w:pPr>
              <w:keepNext w:val="0"/>
              <w:ind w:left="72"/>
              <w:jc w:val="center"/>
              <w:rPr>
                <w:rFonts w:cs="Arial"/>
                <w:sz w:val="21"/>
                <w:szCs w:val="21"/>
              </w:rPr>
            </w:pPr>
            <w:r w:rsidRPr="008A02C4">
              <w:rPr>
                <w:rFonts w:cs="Arial"/>
                <w:sz w:val="21"/>
                <w:szCs w:val="21"/>
              </w:rPr>
              <w:t>Titres d’emplois de référence</w:t>
            </w:r>
          </w:p>
        </w:tc>
        <w:tc>
          <w:tcPr>
            <w:tcW w:w="3827" w:type="dxa"/>
            <w:tcBorders>
              <w:top w:val="single" w:sz="12" w:space="0" w:color="auto"/>
              <w:bottom w:val="single" w:sz="2" w:space="0" w:color="auto"/>
            </w:tcBorders>
            <w:vAlign w:val="center"/>
          </w:tcPr>
          <w:p w14:paraId="001FEF5A" w14:textId="77777777" w:rsidR="00CD5BD8" w:rsidRPr="008A02C4" w:rsidRDefault="00CD5BD8" w:rsidP="007F120F">
            <w:pPr>
              <w:keepNext w:val="0"/>
              <w:ind w:left="72"/>
              <w:jc w:val="center"/>
              <w:rPr>
                <w:rFonts w:cs="Arial"/>
                <w:sz w:val="21"/>
                <w:szCs w:val="21"/>
              </w:rPr>
            </w:pPr>
            <w:r w:rsidRPr="008A02C4">
              <w:rPr>
                <w:rFonts w:cs="Arial"/>
                <w:sz w:val="21"/>
                <w:szCs w:val="21"/>
              </w:rPr>
              <w:t>Ajustement</w:t>
            </w:r>
          </w:p>
        </w:tc>
        <w:tc>
          <w:tcPr>
            <w:tcW w:w="1418" w:type="dxa"/>
            <w:tcBorders>
              <w:top w:val="single" w:sz="12" w:space="0" w:color="auto"/>
              <w:bottom w:val="single" w:sz="2" w:space="0" w:color="auto"/>
            </w:tcBorders>
            <w:shd w:val="clear" w:color="auto" w:fill="auto"/>
            <w:vAlign w:val="center"/>
          </w:tcPr>
          <w:p w14:paraId="642DEF9D" w14:textId="77777777" w:rsidR="00CD5BD8" w:rsidRPr="008A02C4" w:rsidRDefault="00CD5BD8" w:rsidP="007F120F">
            <w:pPr>
              <w:keepNext w:val="0"/>
              <w:ind w:left="72" w:right="214"/>
              <w:jc w:val="center"/>
              <w:rPr>
                <w:rFonts w:cs="Arial"/>
                <w:sz w:val="21"/>
                <w:szCs w:val="21"/>
              </w:rPr>
            </w:pPr>
            <w:r w:rsidRPr="008A02C4">
              <w:rPr>
                <w:rFonts w:cs="Arial"/>
                <w:sz w:val="21"/>
                <w:szCs w:val="21"/>
              </w:rPr>
              <w:t>Règle</w:t>
            </w:r>
          </w:p>
        </w:tc>
      </w:tr>
      <w:tr w:rsidR="00E84962" w:rsidRPr="008A02C4" w14:paraId="2C6AC4FE" w14:textId="77777777" w:rsidTr="00C03D44">
        <w:trPr>
          <w:trHeight w:val="369"/>
        </w:trPr>
        <w:tc>
          <w:tcPr>
            <w:tcW w:w="1135" w:type="dxa"/>
            <w:shd w:val="clear" w:color="auto" w:fill="auto"/>
            <w:noWrap/>
          </w:tcPr>
          <w:p w14:paraId="42569F58"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C340</w:t>
            </w:r>
            <w:r w:rsidRPr="008A02C4">
              <w:rPr>
                <w:rStyle w:val="FootnoteReference"/>
                <w:rFonts w:cs="Arial"/>
                <w:sz w:val="21"/>
                <w:szCs w:val="21"/>
              </w:rPr>
              <w:footnoteReference w:id="70"/>
            </w:r>
          </w:p>
        </w:tc>
        <w:tc>
          <w:tcPr>
            <w:tcW w:w="2338" w:type="dxa"/>
            <w:shd w:val="clear" w:color="auto" w:fill="auto"/>
            <w:noWrap/>
          </w:tcPr>
          <w:p w14:paraId="102BCDB6" w14:textId="298FAD0D"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Autres activités</w:t>
            </w:r>
          </w:p>
        </w:tc>
        <w:tc>
          <w:tcPr>
            <w:tcW w:w="1701" w:type="dxa"/>
            <w:shd w:val="clear" w:color="auto" w:fill="auto"/>
            <w:noWrap/>
          </w:tcPr>
          <w:p w14:paraId="7B7F7151"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Mar>
              <w:left w:w="0" w:type="dxa"/>
              <w:right w:w="0" w:type="dxa"/>
            </w:tcMar>
          </w:tcPr>
          <w:p w14:paraId="632B2516"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Taux de l’échelon 1 divisé par 1 826,3 multiplié par 1,97</w:t>
            </w:r>
          </w:p>
        </w:tc>
        <w:tc>
          <w:tcPr>
            <w:tcW w:w="1418" w:type="dxa"/>
            <w:shd w:val="clear" w:color="auto" w:fill="auto"/>
            <w:tcMar>
              <w:left w:w="0" w:type="dxa"/>
              <w:right w:w="0" w:type="dxa"/>
            </w:tcMar>
          </w:tcPr>
          <w:p w14:paraId="093AB628" w14:textId="25BB0A84"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 xml:space="preserve">Arrondi </w:t>
            </w:r>
            <w:r w:rsidR="001B0612" w:rsidRPr="00316277">
              <w:rPr>
                <w:rFonts w:cs="Arial"/>
                <w:sz w:val="21"/>
                <w:szCs w:val="21"/>
              </w:rPr>
              <w:t>au</w:t>
            </w:r>
            <w:r w:rsidR="001B0612">
              <w:rPr>
                <w:rFonts w:cs="Arial"/>
                <w:sz w:val="21"/>
                <w:szCs w:val="21"/>
              </w:rPr>
              <w:t xml:space="preserve"> </w:t>
            </w:r>
            <w:r w:rsidRPr="008A02C4">
              <w:rPr>
                <w:rFonts w:cs="Arial"/>
                <w:sz w:val="21"/>
                <w:szCs w:val="21"/>
              </w:rPr>
              <w:t>cent</w:t>
            </w:r>
            <w:r w:rsidRPr="008A02C4">
              <w:rPr>
                <w:rStyle w:val="FootnoteReference"/>
                <w:rFonts w:cs="Arial"/>
                <w:sz w:val="21"/>
                <w:szCs w:val="21"/>
              </w:rPr>
              <w:footnoteReference w:id="71"/>
            </w:r>
          </w:p>
        </w:tc>
      </w:tr>
      <w:tr w:rsidR="00E84962" w:rsidRPr="008A02C4" w14:paraId="35A90BA1" w14:textId="77777777" w:rsidTr="00C03D44">
        <w:trPr>
          <w:trHeight w:val="369"/>
        </w:trPr>
        <w:tc>
          <w:tcPr>
            <w:tcW w:w="1135" w:type="dxa"/>
            <w:shd w:val="clear" w:color="auto" w:fill="auto"/>
            <w:noWrap/>
          </w:tcPr>
          <w:p w14:paraId="1714216A"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C399</w:t>
            </w:r>
          </w:p>
        </w:tc>
        <w:tc>
          <w:tcPr>
            <w:tcW w:w="2338" w:type="dxa"/>
            <w:shd w:val="clear" w:color="auto" w:fill="auto"/>
            <w:noWrap/>
          </w:tcPr>
          <w:p w14:paraId="7A528A83" w14:textId="77777777"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Chargé de cours, classe 16</w:t>
            </w:r>
          </w:p>
        </w:tc>
        <w:tc>
          <w:tcPr>
            <w:tcW w:w="1701" w:type="dxa"/>
            <w:shd w:val="clear" w:color="auto" w:fill="auto"/>
            <w:noWrap/>
          </w:tcPr>
          <w:p w14:paraId="4B98CDD5"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Mar>
              <w:left w:w="0" w:type="dxa"/>
              <w:right w:w="0" w:type="dxa"/>
            </w:tcMar>
          </w:tcPr>
          <w:p w14:paraId="401D432A"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Augmentation</w:t>
            </w:r>
            <w:r w:rsidRPr="008A02C4">
              <w:rPr>
                <w:rStyle w:val="FootnoteReference"/>
                <w:rFonts w:cs="Arial"/>
                <w:sz w:val="21"/>
                <w:szCs w:val="21"/>
              </w:rPr>
              <w:footnoteReference w:id="72"/>
            </w:r>
            <w:r w:rsidRPr="008A02C4">
              <w:rPr>
                <w:rFonts w:cs="Arial"/>
                <w:sz w:val="21"/>
                <w:szCs w:val="21"/>
              </w:rPr>
              <w:t xml:space="preserve"> accordée à l’échelon 8</w:t>
            </w:r>
          </w:p>
        </w:tc>
        <w:tc>
          <w:tcPr>
            <w:tcW w:w="1418" w:type="dxa"/>
            <w:shd w:val="clear" w:color="auto" w:fill="auto"/>
            <w:tcMar>
              <w:left w:w="0" w:type="dxa"/>
              <w:right w:w="0" w:type="dxa"/>
            </w:tcMar>
          </w:tcPr>
          <w:p w14:paraId="3DA6737B" w14:textId="138F4212"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 xml:space="preserve">Arrondi </w:t>
            </w:r>
            <w:r w:rsidR="001B0612" w:rsidRPr="00316277">
              <w:rPr>
                <w:rFonts w:cs="Arial"/>
                <w:sz w:val="21"/>
                <w:szCs w:val="21"/>
              </w:rPr>
              <w:t>au</w:t>
            </w:r>
            <w:r w:rsidR="001B0612">
              <w:rPr>
                <w:rFonts w:cs="Arial"/>
                <w:sz w:val="21"/>
                <w:szCs w:val="21"/>
              </w:rPr>
              <w:t xml:space="preserve"> </w:t>
            </w:r>
            <w:r w:rsidRPr="008A02C4">
              <w:rPr>
                <w:rFonts w:cs="Arial"/>
                <w:sz w:val="21"/>
                <w:szCs w:val="21"/>
              </w:rPr>
              <w:t>cent</w:t>
            </w:r>
            <w:r w:rsidRPr="008A02C4">
              <w:rPr>
                <w:rFonts w:cs="Arial"/>
                <w:sz w:val="21"/>
                <w:szCs w:val="21"/>
                <w:vertAlign w:val="superscript"/>
              </w:rPr>
              <w:t>2</w:t>
            </w:r>
          </w:p>
        </w:tc>
      </w:tr>
      <w:tr w:rsidR="00E84962" w:rsidRPr="008A02C4" w14:paraId="1E59644D" w14:textId="77777777" w:rsidTr="00C03D44">
        <w:trPr>
          <w:trHeight w:val="369"/>
        </w:trPr>
        <w:tc>
          <w:tcPr>
            <w:tcW w:w="1135" w:type="dxa"/>
            <w:shd w:val="clear" w:color="auto" w:fill="auto"/>
            <w:noWrap/>
          </w:tcPr>
          <w:p w14:paraId="312FE014"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C399</w:t>
            </w:r>
          </w:p>
        </w:tc>
        <w:tc>
          <w:tcPr>
            <w:tcW w:w="2338" w:type="dxa"/>
            <w:shd w:val="clear" w:color="auto" w:fill="auto"/>
            <w:noWrap/>
          </w:tcPr>
          <w:p w14:paraId="14B428C6" w14:textId="77777777"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Chargé de cours, classe 17 et 18</w:t>
            </w:r>
          </w:p>
        </w:tc>
        <w:tc>
          <w:tcPr>
            <w:tcW w:w="1701" w:type="dxa"/>
            <w:shd w:val="clear" w:color="auto" w:fill="auto"/>
            <w:noWrap/>
          </w:tcPr>
          <w:p w14:paraId="5E8CEEAC"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Mar>
              <w:left w:w="0" w:type="dxa"/>
              <w:right w:w="0" w:type="dxa"/>
            </w:tcMar>
          </w:tcPr>
          <w:p w14:paraId="5FAD25E8"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Augmentation</w:t>
            </w:r>
            <w:r w:rsidRPr="008A02C4">
              <w:rPr>
                <w:rFonts w:cs="Arial"/>
                <w:sz w:val="21"/>
                <w:szCs w:val="21"/>
                <w:vertAlign w:val="superscript"/>
              </w:rPr>
              <w:t xml:space="preserve">3 </w:t>
            </w:r>
            <w:r w:rsidRPr="008A02C4">
              <w:rPr>
                <w:rFonts w:cs="Arial"/>
                <w:sz w:val="21"/>
                <w:szCs w:val="21"/>
              </w:rPr>
              <w:t>moyenne accordée aux échelons 10 et 12</w:t>
            </w:r>
          </w:p>
        </w:tc>
        <w:tc>
          <w:tcPr>
            <w:tcW w:w="1418" w:type="dxa"/>
            <w:shd w:val="clear" w:color="auto" w:fill="auto"/>
            <w:tcMar>
              <w:left w:w="0" w:type="dxa"/>
              <w:right w:w="0" w:type="dxa"/>
            </w:tcMar>
          </w:tcPr>
          <w:p w14:paraId="109424ED" w14:textId="79E67764"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 xml:space="preserve">Arrondi </w:t>
            </w:r>
            <w:r w:rsidR="001B0612" w:rsidRPr="00316277">
              <w:rPr>
                <w:rFonts w:cs="Arial"/>
                <w:sz w:val="21"/>
                <w:szCs w:val="21"/>
              </w:rPr>
              <w:t>au</w:t>
            </w:r>
            <w:r w:rsidR="001B0612">
              <w:rPr>
                <w:rFonts w:cs="Arial"/>
                <w:sz w:val="21"/>
                <w:szCs w:val="21"/>
              </w:rPr>
              <w:t xml:space="preserve"> </w:t>
            </w:r>
            <w:r w:rsidRPr="008A02C4">
              <w:rPr>
                <w:rFonts w:cs="Arial"/>
                <w:sz w:val="21"/>
                <w:szCs w:val="21"/>
              </w:rPr>
              <w:t>cent</w:t>
            </w:r>
            <w:r w:rsidRPr="008A02C4">
              <w:rPr>
                <w:rFonts w:cs="Arial"/>
                <w:sz w:val="21"/>
                <w:szCs w:val="21"/>
                <w:vertAlign w:val="superscript"/>
              </w:rPr>
              <w:t>2</w:t>
            </w:r>
          </w:p>
        </w:tc>
      </w:tr>
      <w:tr w:rsidR="00E84962" w:rsidRPr="008A02C4" w14:paraId="1C9E605B" w14:textId="77777777" w:rsidTr="00C03D44">
        <w:trPr>
          <w:trHeight w:val="369"/>
        </w:trPr>
        <w:tc>
          <w:tcPr>
            <w:tcW w:w="1135" w:type="dxa"/>
            <w:shd w:val="clear" w:color="auto" w:fill="auto"/>
            <w:noWrap/>
          </w:tcPr>
          <w:p w14:paraId="6669AD65"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C399</w:t>
            </w:r>
          </w:p>
        </w:tc>
        <w:tc>
          <w:tcPr>
            <w:tcW w:w="2338" w:type="dxa"/>
            <w:shd w:val="clear" w:color="auto" w:fill="auto"/>
            <w:noWrap/>
          </w:tcPr>
          <w:p w14:paraId="7F2DEA35" w14:textId="77777777"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Chargé de cours, classe 19 et 20</w:t>
            </w:r>
          </w:p>
        </w:tc>
        <w:tc>
          <w:tcPr>
            <w:tcW w:w="1701" w:type="dxa"/>
            <w:shd w:val="clear" w:color="auto" w:fill="auto"/>
            <w:noWrap/>
          </w:tcPr>
          <w:p w14:paraId="1F7EF063"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Mar>
              <w:left w:w="0" w:type="dxa"/>
              <w:right w:w="0" w:type="dxa"/>
            </w:tcMar>
          </w:tcPr>
          <w:p w14:paraId="63D8C6A0"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Augmentation</w:t>
            </w:r>
            <w:r w:rsidRPr="008A02C4">
              <w:rPr>
                <w:rFonts w:cs="Arial"/>
                <w:sz w:val="21"/>
                <w:szCs w:val="21"/>
                <w:vertAlign w:val="superscript"/>
              </w:rPr>
              <w:t>3</w:t>
            </w:r>
            <w:r w:rsidRPr="008A02C4">
              <w:rPr>
                <w:rFonts w:cs="Arial"/>
                <w:sz w:val="21"/>
                <w:szCs w:val="21"/>
              </w:rPr>
              <w:t xml:space="preserve"> moyenne accordée aux échelons 14 et 16</w:t>
            </w:r>
          </w:p>
        </w:tc>
        <w:tc>
          <w:tcPr>
            <w:tcW w:w="1418" w:type="dxa"/>
            <w:shd w:val="clear" w:color="auto" w:fill="auto"/>
            <w:tcMar>
              <w:left w:w="0" w:type="dxa"/>
              <w:right w:w="0" w:type="dxa"/>
            </w:tcMar>
          </w:tcPr>
          <w:p w14:paraId="0E48DEF7" w14:textId="197F22C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 xml:space="preserve">Arrondi </w:t>
            </w:r>
            <w:r w:rsidR="001B0612" w:rsidRPr="00316277">
              <w:rPr>
                <w:rFonts w:cs="Arial"/>
                <w:sz w:val="21"/>
                <w:szCs w:val="21"/>
              </w:rPr>
              <w:t>au</w:t>
            </w:r>
            <w:r w:rsidR="001B0612">
              <w:rPr>
                <w:rFonts w:cs="Arial"/>
                <w:sz w:val="21"/>
                <w:szCs w:val="21"/>
              </w:rPr>
              <w:t xml:space="preserve"> </w:t>
            </w:r>
            <w:r w:rsidRPr="008A02C4">
              <w:rPr>
                <w:rFonts w:cs="Arial"/>
                <w:sz w:val="21"/>
                <w:szCs w:val="21"/>
              </w:rPr>
              <w:t>cent</w:t>
            </w:r>
            <w:r w:rsidRPr="008A02C4">
              <w:rPr>
                <w:rFonts w:cs="Arial"/>
                <w:sz w:val="21"/>
                <w:szCs w:val="21"/>
                <w:vertAlign w:val="superscript"/>
              </w:rPr>
              <w:t>2</w:t>
            </w:r>
          </w:p>
        </w:tc>
      </w:tr>
      <w:tr w:rsidR="003059CA" w:rsidRPr="008A02C4" w14:paraId="3B66B558" w14:textId="77777777" w:rsidTr="00C03D44">
        <w:trPr>
          <w:trHeight w:val="369"/>
        </w:trPr>
        <w:tc>
          <w:tcPr>
            <w:tcW w:w="1135" w:type="dxa"/>
            <w:tcBorders>
              <w:bottom w:val="nil"/>
            </w:tcBorders>
            <w:shd w:val="clear" w:color="auto" w:fill="auto"/>
            <w:noWrap/>
          </w:tcPr>
          <w:p w14:paraId="02E34680"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C330</w:t>
            </w:r>
          </w:p>
        </w:tc>
        <w:tc>
          <w:tcPr>
            <w:tcW w:w="2338" w:type="dxa"/>
            <w:tcBorders>
              <w:bottom w:val="nil"/>
            </w:tcBorders>
            <w:shd w:val="clear" w:color="auto" w:fill="auto"/>
            <w:noWrap/>
          </w:tcPr>
          <w:p w14:paraId="64143BE5" w14:textId="77777777"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Enseignant en aéronautique</w:t>
            </w:r>
          </w:p>
        </w:tc>
        <w:tc>
          <w:tcPr>
            <w:tcW w:w="1701" w:type="dxa"/>
            <w:tcBorders>
              <w:bottom w:val="nil"/>
            </w:tcBorders>
            <w:shd w:val="clear" w:color="auto" w:fill="auto"/>
            <w:noWrap/>
          </w:tcPr>
          <w:p w14:paraId="774A9E27"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Borders>
              <w:bottom w:val="nil"/>
            </w:tcBorders>
            <w:tcMar>
              <w:left w:w="0" w:type="dxa"/>
              <w:right w:w="0" w:type="dxa"/>
            </w:tcMar>
          </w:tcPr>
          <w:p w14:paraId="04A22679"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Augmentation</w:t>
            </w:r>
            <w:r w:rsidRPr="008A02C4">
              <w:rPr>
                <w:rFonts w:cs="Arial"/>
                <w:sz w:val="21"/>
                <w:szCs w:val="21"/>
                <w:vertAlign w:val="superscript"/>
              </w:rPr>
              <w:t>3</w:t>
            </w:r>
            <w:r w:rsidRPr="008A02C4">
              <w:rPr>
                <w:rFonts w:cs="Arial"/>
                <w:sz w:val="21"/>
                <w:szCs w:val="21"/>
              </w:rPr>
              <w:t xml:space="preserve"> accordée à l’échelon 15</w:t>
            </w:r>
          </w:p>
        </w:tc>
        <w:tc>
          <w:tcPr>
            <w:tcW w:w="1418" w:type="dxa"/>
            <w:tcBorders>
              <w:bottom w:val="nil"/>
            </w:tcBorders>
            <w:shd w:val="clear" w:color="auto" w:fill="auto"/>
            <w:tcMar>
              <w:left w:w="0" w:type="dxa"/>
              <w:right w:w="0" w:type="dxa"/>
            </w:tcMar>
          </w:tcPr>
          <w:p w14:paraId="5BAA9D70" w14:textId="27C113D4"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Arrondi au dollar</w:t>
            </w:r>
            <w:r w:rsidRPr="008A02C4">
              <w:rPr>
                <w:rStyle w:val="FootnoteReference"/>
                <w:rFonts w:cs="Arial"/>
                <w:sz w:val="21"/>
                <w:szCs w:val="21"/>
              </w:rPr>
              <w:footnoteReference w:id="73"/>
            </w:r>
          </w:p>
        </w:tc>
      </w:tr>
      <w:tr w:rsidR="003059CA" w:rsidRPr="008A02C4" w14:paraId="10F8CCAB" w14:textId="77777777" w:rsidTr="00C03D44">
        <w:trPr>
          <w:trHeight w:val="369"/>
        </w:trPr>
        <w:tc>
          <w:tcPr>
            <w:tcW w:w="1135" w:type="dxa"/>
            <w:tcBorders>
              <w:top w:val="nil"/>
              <w:left w:val="nil"/>
              <w:bottom w:val="nil"/>
              <w:right w:val="nil"/>
            </w:tcBorders>
            <w:shd w:val="clear" w:color="auto" w:fill="auto"/>
            <w:noWrap/>
          </w:tcPr>
          <w:p w14:paraId="6E47BAC5" w14:textId="77777777" w:rsidR="00CD5BD8" w:rsidRPr="008A02C4" w:rsidRDefault="00CD5BD8" w:rsidP="007F120F">
            <w:pPr>
              <w:keepNext w:val="0"/>
              <w:spacing w:before="40" w:after="40"/>
              <w:ind w:left="-70" w:right="-57"/>
              <w:jc w:val="center"/>
              <w:rPr>
                <w:rFonts w:cs="Arial"/>
                <w:sz w:val="21"/>
                <w:szCs w:val="21"/>
              </w:rPr>
            </w:pPr>
            <w:r w:rsidRPr="008A02C4">
              <w:rPr>
                <w:rFonts w:cs="Arial"/>
                <w:sz w:val="21"/>
                <w:szCs w:val="21"/>
              </w:rPr>
              <w:t>C393</w:t>
            </w:r>
          </w:p>
        </w:tc>
        <w:tc>
          <w:tcPr>
            <w:tcW w:w="2338" w:type="dxa"/>
            <w:tcBorders>
              <w:top w:val="nil"/>
              <w:left w:val="nil"/>
              <w:bottom w:val="nil"/>
              <w:right w:val="nil"/>
            </w:tcBorders>
            <w:shd w:val="clear" w:color="auto" w:fill="auto"/>
            <w:noWrap/>
          </w:tcPr>
          <w:p w14:paraId="50D5148C" w14:textId="77777777" w:rsidR="00CD5BD8" w:rsidRPr="008A02C4" w:rsidRDefault="00CD5BD8" w:rsidP="007F120F">
            <w:pPr>
              <w:keepNext w:val="0"/>
              <w:spacing w:before="40" w:after="40"/>
              <w:ind w:left="72" w:right="-57"/>
              <w:jc w:val="left"/>
              <w:rPr>
                <w:rFonts w:cs="Arial"/>
                <w:sz w:val="21"/>
                <w:szCs w:val="21"/>
              </w:rPr>
            </w:pPr>
            <w:r w:rsidRPr="008A02C4">
              <w:rPr>
                <w:rFonts w:cs="Arial"/>
                <w:sz w:val="21"/>
                <w:szCs w:val="21"/>
              </w:rPr>
              <w:t>Enseignant en aéronautique – heures supplémentaires</w:t>
            </w:r>
          </w:p>
        </w:tc>
        <w:tc>
          <w:tcPr>
            <w:tcW w:w="1701" w:type="dxa"/>
            <w:tcBorders>
              <w:top w:val="nil"/>
              <w:left w:val="nil"/>
              <w:bottom w:val="nil"/>
              <w:right w:val="nil"/>
            </w:tcBorders>
            <w:shd w:val="clear" w:color="auto" w:fill="auto"/>
            <w:noWrap/>
          </w:tcPr>
          <w:p w14:paraId="198217CD" w14:textId="77777777" w:rsidR="00CD5BD8" w:rsidRPr="008A02C4" w:rsidRDefault="00CD5BD8" w:rsidP="007F120F">
            <w:pPr>
              <w:keepNext w:val="0"/>
              <w:spacing w:before="40" w:after="40"/>
              <w:ind w:left="72" w:right="-57"/>
              <w:jc w:val="center"/>
              <w:rPr>
                <w:rFonts w:cs="Arial"/>
                <w:sz w:val="21"/>
                <w:szCs w:val="21"/>
              </w:rPr>
            </w:pPr>
            <w:r w:rsidRPr="008A02C4">
              <w:rPr>
                <w:rFonts w:cs="Arial"/>
                <w:sz w:val="21"/>
                <w:szCs w:val="21"/>
              </w:rPr>
              <w:t>C305 – Enseignant</w:t>
            </w:r>
          </w:p>
        </w:tc>
        <w:tc>
          <w:tcPr>
            <w:tcW w:w="3827" w:type="dxa"/>
            <w:tcBorders>
              <w:top w:val="nil"/>
              <w:left w:val="nil"/>
              <w:bottom w:val="nil"/>
              <w:right w:val="nil"/>
            </w:tcBorders>
            <w:tcMar>
              <w:left w:w="0" w:type="dxa"/>
              <w:right w:w="0" w:type="dxa"/>
            </w:tcMar>
          </w:tcPr>
          <w:p w14:paraId="2ED7DE41" w14:textId="77777777"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Augmentation</w:t>
            </w:r>
            <w:r w:rsidRPr="008A02C4">
              <w:rPr>
                <w:rFonts w:cs="Arial"/>
                <w:sz w:val="21"/>
                <w:szCs w:val="21"/>
                <w:vertAlign w:val="superscript"/>
              </w:rPr>
              <w:t>3</w:t>
            </w:r>
            <w:r w:rsidRPr="008A02C4">
              <w:rPr>
                <w:rFonts w:cs="Arial"/>
                <w:sz w:val="21"/>
                <w:szCs w:val="21"/>
              </w:rPr>
              <w:t xml:space="preserve"> accordée à l’échelon 15</w:t>
            </w:r>
          </w:p>
        </w:tc>
        <w:tc>
          <w:tcPr>
            <w:tcW w:w="1418" w:type="dxa"/>
            <w:tcBorders>
              <w:top w:val="nil"/>
              <w:left w:val="nil"/>
              <w:bottom w:val="nil"/>
              <w:right w:val="nil"/>
            </w:tcBorders>
            <w:shd w:val="clear" w:color="auto" w:fill="auto"/>
            <w:tcMar>
              <w:left w:w="0" w:type="dxa"/>
              <w:right w:w="0" w:type="dxa"/>
            </w:tcMar>
          </w:tcPr>
          <w:p w14:paraId="2A7621BB" w14:textId="3D65F20D" w:rsidR="00CD5BD8" w:rsidRPr="008A02C4" w:rsidRDefault="00CD5BD8" w:rsidP="007F120F">
            <w:pPr>
              <w:keepNext w:val="0"/>
              <w:tabs>
                <w:tab w:val="center" w:pos="830"/>
              </w:tabs>
              <w:spacing w:before="40" w:after="40"/>
              <w:ind w:left="72" w:right="142"/>
              <w:jc w:val="center"/>
              <w:rPr>
                <w:rFonts w:cs="Arial"/>
                <w:sz w:val="21"/>
                <w:szCs w:val="21"/>
              </w:rPr>
            </w:pPr>
            <w:r w:rsidRPr="008A02C4">
              <w:rPr>
                <w:rFonts w:cs="Arial"/>
                <w:sz w:val="21"/>
                <w:szCs w:val="21"/>
              </w:rPr>
              <w:t xml:space="preserve">Arrondi </w:t>
            </w:r>
            <w:r w:rsidR="001B0612" w:rsidRPr="00316277">
              <w:rPr>
                <w:rFonts w:cs="Arial"/>
                <w:sz w:val="21"/>
                <w:szCs w:val="21"/>
              </w:rPr>
              <w:t>au</w:t>
            </w:r>
            <w:r w:rsidR="001B0612">
              <w:rPr>
                <w:rFonts w:cs="Arial"/>
                <w:sz w:val="21"/>
                <w:szCs w:val="21"/>
              </w:rPr>
              <w:t xml:space="preserve"> </w:t>
            </w:r>
            <w:r w:rsidRPr="008A02C4">
              <w:rPr>
                <w:rFonts w:cs="Arial"/>
                <w:sz w:val="21"/>
                <w:szCs w:val="21"/>
              </w:rPr>
              <w:t>cent</w:t>
            </w:r>
            <w:r w:rsidRPr="008A02C4">
              <w:rPr>
                <w:rFonts w:cs="Arial"/>
                <w:sz w:val="21"/>
                <w:szCs w:val="21"/>
                <w:vertAlign w:val="superscript"/>
              </w:rPr>
              <w:t>2</w:t>
            </w:r>
          </w:p>
        </w:tc>
      </w:tr>
      <w:tr w:rsidR="00F158D7" w:rsidRPr="001B0612" w14:paraId="23F21660" w14:textId="77777777" w:rsidTr="00C03D44">
        <w:trPr>
          <w:trHeight w:val="369"/>
        </w:trPr>
        <w:tc>
          <w:tcPr>
            <w:tcW w:w="1135" w:type="dxa"/>
            <w:tcBorders>
              <w:top w:val="nil"/>
              <w:bottom w:val="single" w:sz="12" w:space="0" w:color="auto"/>
            </w:tcBorders>
            <w:shd w:val="clear" w:color="auto" w:fill="auto"/>
            <w:noWrap/>
          </w:tcPr>
          <w:p w14:paraId="33D06568" w14:textId="0222EB4B" w:rsidR="00CD5BD8" w:rsidRPr="001B0612" w:rsidRDefault="00CD5BD8" w:rsidP="007F120F">
            <w:pPr>
              <w:keepNext w:val="0"/>
              <w:spacing w:before="40" w:after="40"/>
              <w:ind w:left="-70" w:right="-57"/>
              <w:jc w:val="center"/>
              <w:rPr>
                <w:rFonts w:cs="Arial"/>
                <w:dstrike/>
                <w:sz w:val="21"/>
                <w:szCs w:val="21"/>
              </w:rPr>
            </w:pPr>
          </w:p>
        </w:tc>
        <w:tc>
          <w:tcPr>
            <w:tcW w:w="2338" w:type="dxa"/>
            <w:tcBorders>
              <w:top w:val="nil"/>
              <w:bottom w:val="single" w:sz="12" w:space="0" w:color="auto"/>
            </w:tcBorders>
            <w:shd w:val="clear" w:color="auto" w:fill="auto"/>
            <w:noWrap/>
          </w:tcPr>
          <w:p w14:paraId="5CCF23D7" w14:textId="10A93C65" w:rsidR="00CD5BD8" w:rsidRPr="001B0612" w:rsidRDefault="00CD5BD8" w:rsidP="007F120F">
            <w:pPr>
              <w:keepNext w:val="0"/>
              <w:spacing w:before="40" w:after="40"/>
              <w:ind w:left="72" w:right="-57"/>
              <w:jc w:val="left"/>
              <w:rPr>
                <w:rFonts w:cs="Arial"/>
                <w:dstrike/>
                <w:sz w:val="21"/>
                <w:szCs w:val="21"/>
              </w:rPr>
            </w:pPr>
          </w:p>
        </w:tc>
        <w:tc>
          <w:tcPr>
            <w:tcW w:w="1701" w:type="dxa"/>
            <w:tcBorders>
              <w:top w:val="nil"/>
              <w:bottom w:val="single" w:sz="12" w:space="0" w:color="auto"/>
            </w:tcBorders>
            <w:shd w:val="clear" w:color="auto" w:fill="auto"/>
            <w:noWrap/>
          </w:tcPr>
          <w:p w14:paraId="119EDFE0" w14:textId="477E9F3F" w:rsidR="00CD5BD8" w:rsidRPr="001B0612" w:rsidRDefault="00CD5BD8" w:rsidP="007F120F">
            <w:pPr>
              <w:keepNext w:val="0"/>
              <w:spacing w:before="40" w:after="40"/>
              <w:ind w:left="72" w:right="-57"/>
              <w:jc w:val="center"/>
              <w:rPr>
                <w:rFonts w:cs="Arial"/>
                <w:dstrike/>
                <w:sz w:val="21"/>
                <w:szCs w:val="21"/>
              </w:rPr>
            </w:pPr>
          </w:p>
        </w:tc>
        <w:tc>
          <w:tcPr>
            <w:tcW w:w="3827" w:type="dxa"/>
            <w:tcBorders>
              <w:top w:val="nil"/>
              <w:bottom w:val="single" w:sz="12" w:space="0" w:color="auto"/>
            </w:tcBorders>
            <w:tcMar>
              <w:left w:w="0" w:type="dxa"/>
              <w:right w:w="0" w:type="dxa"/>
            </w:tcMar>
          </w:tcPr>
          <w:p w14:paraId="16FF5604" w14:textId="5FB01957" w:rsidR="00CD5BD8" w:rsidRPr="001B0612" w:rsidRDefault="00CD5BD8" w:rsidP="007F120F">
            <w:pPr>
              <w:keepNext w:val="0"/>
              <w:tabs>
                <w:tab w:val="center" w:pos="830"/>
              </w:tabs>
              <w:spacing w:before="40" w:after="40"/>
              <w:ind w:left="72" w:right="142"/>
              <w:jc w:val="center"/>
              <w:rPr>
                <w:rFonts w:cs="Arial"/>
                <w:dstrike/>
                <w:sz w:val="21"/>
                <w:szCs w:val="21"/>
              </w:rPr>
            </w:pPr>
          </w:p>
        </w:tc>
        <w:tc>
          <w:tcPr>
            <w:tcW w:w="1418" w:type="dxa"/>
            <w:tcBorders>
              <w:top w:val="nil"/>
              <w:bottom w:val="single" w:sz="12" w:space="0" w:color="auto"/>
            </w:tcBorders>
            <w:shd w:val="clear" w:color="auto" w:fill="auto"/>
            <w:tcMar>
              <w:left w:w="0" w:type="dxa"/>
              <w:right w:w="0" w:type="dxa"/>
            </w:tcMar>
          </w:tcPr>
          <w:p w14:paraId="5C938F6C" w14:textId="01C8F633" w:rsidR="00CD5BD8" w:rsidRPr="001B0612" w:rsidRDefault="00CD5BD8" w:rsidP="007F120F">
            <w:pPr>
              <w:keepNext w:val="0"/>
              <w:tabs>
                <w:tab w:val="center" w:pos="830"/>
              </w:tabs>
              <w:spacing w:before="40" w:after="40"/>
              <w:ind w:left="72" w:right="142"/>
              <w:jc w:val="center"/>
              <w:rPr>
                <w:rFonts w:cs="Arial"/>
                <w:dstrike/>
                <w:sz w:val="21"/>
                <w:szCs w:val="21"/>
              </w:rPr>
            </w:pPr>
          </w:p>
        </w:tc>
      </w:tr>
    </w:tbl>
    <w:p w14:paraId="010A5641" w14:textId="1599C2F8" w:rsidR="00C548AF" w:rsidRPr="00524026" w:rsidRDefault="00C548AF" w:rsidP="003E57EB">
      <w:pPr>
        <w:keepNext w:val="0"/>
        <w:rPr>
          <w:rFonts w:cs="Arial"/>
          <w:szCs w:val="24"/>
        </w:rPr>
      </w:pPr>
      <w:bookmarkStart w:id="1594" w:name="_Toc535046739"/>
      <w:bookmarkStart w:id="1595" w:name="_Toc133760914"/>
      <w:bookmarkStart w:id="1596" w:name="_Toc133917062"/>
      <w:bookmarkStart w:id="1597" w:name="_Toc134437334"/>
      <w:bookmarkEnd w:id="1590"/>
      <w:bookmarkEnd w:id="1591"/>
    </w:p>
    <w:p w14:paraId="3C3C5474" w14:textId="77777777" w:rsidR="00F7127E" w:rsidRPr="00316277" w:rsidRDefault="00F7127E" w:rsidP="007F120F">
      <w:pPr>
        <w:keepNext w:val="0"/>
        <w:rPr>
          <w:rFonts w:cs="Arial"/>
          <w:szCs w:val="24"/>
        </w:rPr>
        <w:sectPr w:rsidR="00F7127E" w:rsidRPr="00316277" w:rsidSect="006B55F2">
          <w:footerReference w:type="default" r:id="rId54"/>
          <w:footnotePr>
            <w:numRestart w:val="eachPage"/>
          </w:footnotePr>
          <w:pgSz w:w="12240" w:h="15840" w:code="1"/>
          <w:pgMar w:top="720" w:right="1077" w:bottom="1242" w:left="1684" w:header="709" w:footer="709" w:gutter="0"/>
          <w:cols w:space="708"/>
          <w:docGrid w:linePitch="360"/>
        </w:sectPr>
      </w:pPr>
    </w:p>
    <w:p w14:paraId="6E11449A" w14:textId="2236122F" w:rsidR="00404F34" w:rsidRPr="00026EC1" w:rsidRDefault="00BC4A82" w:rsidP="007F120F">
      <w:pPr>
        <w:pStyle w:val="Heading1"/>
        <w:keepNext w:val="0"/>
        <w:tabs>
          <w:tab w:val="left" w:pos="1701"/>
          <w:tab w:val="left" w:pos="1985"/>
        </w:tabs>
      </w:pPr>
      <w:r w:rsidRPr="00026EC1">
        <w:t>SECTION VII</w:t>
      </w:r>
      <w:r w:rsidR="009978A3">
        <w:t xml:space="preserve"> </w:t>
      </w:r>
      <w:r w:rsidR="00CB184C">
        <w:t>-</w:t>
      </w:r>
      <w:r w:rsidR="009978A3">
        <w:t xml:space="preserve"> </w:t>
      </w:r>
      <w:r w:rsidR="00404F34" w:rsidRPr="00026EC1">
        <w:t>DISPOSITIONS DIVERSES</w:t>
      </w:r>
      <w:bookmarkEnd w:id="1594"/>
      <w:bookmarkEnd w:id="1595"/>
      <w:bookmarkEnd w:id="1596"/>
      <w:bookmarkEnd w:id="1597"/>
      <w:r w:rsidR="009978A3" w:rsidRPr="0035151D">
        <w:fldChar w:fldCharType="begin"/>
      </w:r>
      <w:r w:rsidR="009978A3" w:rsidRPr="0035151D">
        <w:instrText xml:space="preserve"> TC " </w:instrText>
      </w:r>
      <w:bookmarkStart w:id="1598" w:name="_Toc94954753"/>
      <w:bookmarkStart w:id="1599" w:name="_Toc94966430"/>
      <w:bookmarkStart w:id="1600" w:name="_Toc95035295"/>
      <w:bookmarkStart w:id="1601" w:name="_Toc95035438"/>
      <w:bookmarkStart w:id="1602" w:name="_Toc95035581"/>
      <w:bookmarkStart w:id="1603" w:name="_Toc95035726"/>
      <w:bookmarkStart w:id="1604" w:name="_Toc157589351"/>
      <w:bookmarkStart w:id="1605" w:name="_Toc161323804"/>
      <w:bookmarkStart w:id="1606" w:name="_Toc163483151"/>
      <w:bookmarkStart w:id="1607" w:name="_Toc163483750"/>
      <w:bookmarkStart w:id="1608" w:name="_Toc163483940"/>
      <w:bookmarkStart w:id="1609" w:name="_Toc167870907"/>
      <w:bookmarkStart w:id="1610" w:name="_Toc167871071"/>
      <w:bookmarkStart w:id="1611" w:name="_Toc167871227"/>
      <w:bookmarkStart w:id="1612" w:name="_Toc167871403"/>
      <w:bookmarkStart w:id="1613" w:name="_Toc168049472"/>
      <w:bookmarkStart w:id="1614" w:name="_Toc168401636"/>
      <w:bookmarkStart w:id="1615" w:name="_Toc168402252"/>
      <w:bookmarkStart w:id="1616" w:name="_Toc168409687"/>
      <w:bookmarkStart w:id="1617" w:name="_Toc168410441"/>
      <w:bookmarkStart w:id="1618" w:name="_Toc168410687"/>
      <w:bookmarkStart w:id="1619" w:name="_Toc168410927"/>
      <w:bookmarkStart w:id="1620" w:name="_Toc168479629"/>
      <w:r w:rsidR="009978A3">
        <w:instrText>section Vii</w:instrText>
      </w:r>
      <w:r w:rsidR="009978A3" w:rsidRPr="0035151D">
        <w:instrText xml:space="preserve">  </w:instrText>
      </w:r>
      <w:r w:rsidR="00984A6F">
        <w:noBreakHyphen/>
      </w:r>
      <w:r w:rsidR="009978A3" w:rsidRPr="0035151D">
        <w:instrText xml:space="preserve">  </w:instrText>
      </w:r>
      <w:r w:rsidR="009978A3">
        <w:instrText>dispositions diverses</w:instrTex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r w:rsidR="009978A3" w:rsidRPr="0035151D">
        <w:instrText>"\N</w:instrText>
      </w:r>
      <w:r w:rsidR="009978A3" w:rsidRPr="0035151D">
        <w:fldChar w:fldCharType="end"/>
      </w:r>
    </w:p>
    <w:p w14:paraId="3989244F" w14:textId="1BE1CD58" w:rsidR="00404F34" w:rsidRPr="00026EC1" w:rsidRDefault="00242474" w:rsidP="007F120F">
      <w:pPr>
        <w:pStyle w:val="Heading3"/>
        <w:keepNext w:val="0"/>
      </w:pPr>
      <w:bookmarkStart w:id="1621" w:name="_Toc535046742"/>
      <w:bookmarkStart w:id="1622" w:name="_Toc133760917"/>
      <w:bookmarkStart w:id="1623" w:name="_Toc133917065"/>
      <w:bookmarkStart w:id="1624" w:name="_Toc134437337"/>
      <w:bookmarkStart w:id="1625" w:name="_Toc393449513"/>
      <w:bookmarkStart w:id="1626" w:name="_Toc462751646"/>
      <w:bookmarkStart w:id="1627" w:name="_Toc484082665"/>
      <w:bookmarkStart w:id="1628" w:name="_Toc168479630"/>
      <w:r w:rsidRPr="00026EC1">
        <w:t>Annexe VII</w:t>
      </w:r>
      <w:bookmarkEnd w:id="1621"/>
      <w:bookmarkEnd w:id="1622"/>
      <w:bookmarkEnd w:id="1623"/>
      <w:bookmarkEnd w:id="1624"/>
      <w:r w:rsidR="0017646C">
        <w:t>-</w:t>
      </w:r>
      <w:r w:rsidRPr="00026EC1">
        <w:t>1</w:t>
      </w:r>
      <w:bookmarkStart w:id="1629" w:name="_Toc535046743"/>
      <w:bookmarkStart w:id="1630" w:name="_Toc133760918"/>
      <w:r w:rsidRPr="00026EC1">
        <w:br/>
      </w:r>
      <w:r w:rsidRPr="00026EC1">
        <w:br/>
        <w:t>Élaboration des programmes d’études</w:t>
      </w:r>
      <w:bookmarkEnd w:id="1625"/>
      <w:bookmarkEnd w:id="1626"/>
      <w:bookmarkEnd w:id="1627"/>
      <w:bookmarkEnd w:id="1629"/>
      <w:bookmarkEnd w:id="1630"/>
      <w:bookmarkEnd w:id="1628"/>
    </w:p>
    <w:p w14:paraId="5D42CA75" w14:textId="77777777" w:rsidR="00404F34" w:rsidRPr="00026EC1" w:rsidRDefault="00404F34" w:rsidP="007F120F">
      <w:pPr>
        <w:pStyle w:val="Texte1cm"/>
        <w:keepNext w:val="0"/>
        <w:ind w:left="0"/>
        <w:rPr>
          <w:strike/>
        </w:rPr>
      </w:pPr>
      <w:r w:rsidRPr="00026EC1">
        <w:t>Le Ministère s</w:t>
      </w:r>
      <w:r w:rsidR="00BC3319" w:rsidRPr="00026EC1">
        <w:t>’</w:t>
      </w:r>
      <w:r w:rsidRPr="00026EC1">
        <w:t>engage à maintenir les mécanismes actuels de consultation sur les programmes d</w:t>
      </w:r>
      <w:r w:rsidR="00BC3319" w:rsidRPr="00026EC1">
        <w:t>’</w:t>
      </w:r>
      <w:r w:rsidRPr="00026EC1">
        <w:t>études préuniversitaires et la formation générale et à consulter la FNEEQ</w:t>
      </w:r>
      <w:r w:rsidR="00AA4AD7" w:rsidRPr="00026EC1">
        <w:t> </w:t>
      </w:r>
      <w:r w:rsidRPr="00026EC1">
        <w:t>(CSN) si ces mécanismes doivent être modifiés.</w:t>
      </w:r>
    </w:p>
    <w:p w14:paraId="665DC996" w14:textId="77777777" w:rsidR="00404F34" w:rsidRPr="00026EC1" w:rsidRDefault="00404F34" w:rsidP="007F120F">
      <w:pPr>
        <w:keepNext w:val="0"/>
        <w:rPr>
          <w:strike/>
        </w:rPr>
      </w:pPr>
    </w:p>
    <w:p w14:paraId="370B6C97" w14:textId="77777777" w:rsidR="00404F34" w:rsidRPr="00026EC1" w:rsidRDefault="00404F34" w:rsidP="007F120F">
      <w:pPr>
        <w:keepNext w:val="0"/>
        <w:rPr>
          <w:strike/>
        </w:rPr>
      </w:pPr>
    </w:p>
    <w:p w14:paraId="70CDEED2" w14:textId="77777777" w:rsidR="00F7127E" w:rsidRDefault="00F7127E" w:rsidP="007F120F">
      <w:pPr>
        <w:keepNext w:val="0"/>
        <w:sectPr w:rsidR="00F7127E" w:rsidSect="006B55F2">
          <w:headerReference w:type="default" r:id="rId55"/>
          <w:footnotePr>
            <w:numRestart w:val="eachPage"/>
          </w:footnotePr>
          <w:pgSz w:w="12240" w:h="15840" w:code="1"/>
          <w:pgMar w:top="720" w:right="1077" w:bottom="1242" w:left="1684" w:header="709" w:footer="709" w:gutter="0"/>
          <w:cols w:space="708"/>
          <w:docGrid w:linePitch="360"/>
        </w:sectPr>
      </w:pPr>
    </w:p>
    <w:p w14:paraId="1621A601" w14:textId="5AD9A50B" w:rsidR="00404F34" w:rsidRPr="00026EC1" w:rsidRDefault="00242474" w:rsidP="007F120F">
      <w:pPr>
        <w:pStyle w:val="Heading3"/>
        <w:keepNext w:val="0"/>
      </w:pPr>
      <w:bookmarkStart w:id="1631" w:name="_Toc133760919"/>
      <w:bookmarkStart w:id="1632" w:name="_Toc133917067"/>
      <w:bookmarkStart w:id="1633" w:name="_Toc134437339"/>
      <w:bookmarkStart w:id="1634" w:name="_Toc393449515"/>
      <w:bookmarkStart w:id="1635" w:name="_Toc462751648"/>
      <w:bookmarkStart w:id="1636" w:name="_Toc484082667"/>
      <w:bookmarkStart w:id="1637" w:name="_Toc168479631"/>
      <w:bookmarkStart w:id="1638" w:name="_Toc535046744"/>
      <w:r w:rsidRPr="00026EC1">
        <w:t>Annexe VII</w:t>
      </w:r>
      <w:bookmarkEnd w:id="1631"/>
      <w:bookmarkEnd w:id="1632"/>
      <w:bookmarkEnd w:id="1633"/>
      <w:r w:rsidR="0017646C">
        <w:rPr>
          <w:rFonts w:ascii="Cambria Math" w:hAnsi="Cambria Math"/>
        </w:rPr>
        <w:t>-</w:t>
      </w:r>
      <w:r w:rsidRPr="00026EC1">
        <w:t>2</w:t>
      </w:r>
      <w:bookmarkStart w:id="1639" w:name="_Toc133760920"/>
      <w:r w:rsidRPr="00026EC1">
        <w:br/>
      </w:r>
      <w:r w:rsidRPr="00026EC1">
        <w:br/>
        <w:t>Autorisation provisoire de programme</w:t>
      </w:r>
      <w:bookmarkEnd w:id="1634"/>
      <w:bookmarkEnd w:id="1635"/>
      <w:bookmarkEnd w:id="1636"/>
      <w:bookmarkEnd w:id="1639"/>
      <w:bookmarkEnd w:id="1637"/>
    </w:p>
    <w:p w14:paraId="23EA1F86" w14:textId="5D323F1A" w:rsidR="00404F34" w:rsidRPr="00026EC1" w:rsidRDefault="009C1696" w:rsidP="007F120F">
      <w:pPr>
        <w:keepNext w:val="0"/>
        <w:rPr>
          <w:rFonts w:cs="Arial"/>
        </w:rPr>
      </w:pPr>
      <w:r>
        <w:rPr>
          <w:rFonts w:cs="Arial"/>
        </w:rPr>
        <w:t>L</w:t>
      </w:r>
      <w:r w:rsidR="00404F34" w:rsidRPr="00026EC1">
        <w:rPr>
          <w:rFonts w:cs="Arial"/>
        </w:rPr>
        <w:t>es stipulations suivantes s</w:t>
      </w:r>
      <w:r w:rsidR="00BC3319" w:rsidRPr="00026EC1">
        <w:rPr>
          <w:rFonts w:cs="Arial"/>
        </w:rPr>
        <w:t>’</w:t>
      </w:r>
      <w:r w:rsidR="00404F34" w:rsidRPr="00026EC1">
        <w:rPr>
          <w:rFonts w:cs="Arial"/>
        </w:rPr>
        <w:t>appliquent lorsqu</w:t>
      </w:r>
      <w:r w:rsidR="00BC3319" w:rsidRPr="00026EC1">
        <w:rPr>
          <w:rFonts w:cs="Arial"/>
        </w:rPr>
        <w:t>’</w:t>
      </w:r>
      <w:r w:rsidR="00404F34" w:rsidRPr="00026EC1">
        <w:rPr>
          <w:rFonts w:cs="Arial"/>
        </w:rPr>
        <w:t>une autorisation provisoire de programme est émise</w:t>
      </w:r>
      <w:r w:rsidR="00D8581B">
        <w:rPr>
          <w:rFonts w:cs="Arial"/>
        </w:rPr>
        <w:t> :</w:t>
      </w:r>
      <w:r w:rsidR="00404F34" w:rsidRPr="00026EC1">
        <w:rPr>
          <w:rFonts w:cs="Arial"/>
        </w:rPr>
        <w:t xml:space="preserve"> </w:t>
      </w:r>
    </w:p>
    <w:p w14:paraId="67C82321" w14:textId="77777777" w:rsidR="00404F34" w:rsidRPr="00026EC1" w:rsidRDefault="00404F34" w:rsidP="007F120F">
      <w:pPr>
        <w:keepNext w:val="0"/>
        <w:rPr>
          <w:rFonts w:cs="Arial"/>
        </w:rPr>
      </w:pPr>
    </w:p>
    <w:p w14:paraId="03F8A5D3" w14:textId="65369CE5" w:rsidR="00404F34" w:rsidRPr="00026EC1" w:rsidRDefault="00275751" w:rsidP="007F120F">
      <w:pPr>
        <w:keepNext w:val="0"/>
        <w:tabs>
          <w:tab w:val="left" w:pos="540"/>
        </w:tabs>
        <w:ind w:left="540" w:hanging="540"/>
        <w:rPr>
          <w:rFonts w:cs="Arial"/>
        </w:rPr>
      </w:pPr>
      <w:r w:rsidRPr="00026EC1">
        <w:rPr>
          <w:rFonts w:cs="Arial"/>
        </w:rPr>
        <w:t>01.</w:t>
      </w:r>
      <w:r w:rsidRPr="00026EC1">
        <w:rPr>
          <w:rFonts w:cs="Arial"/>
        </w:rPr>
        <w:tab/>
      </w:r>
      <w:r w:rsidR="00404F34" w:rsidRPr="00026EC1">
        <w:t>Le Ministère avise la FNEEQ</w:t>
      </w:r>
      <w:r w:rsidR="00AA4AD7" w:rsidRPr="00026EC1">
        <w:t> </w:t>
      </w:r>
      <w:r w:rsidR="00404F34" w:rsidRPr="00026EC1">
        <w:t>(CSN) six</w:t>
      </w:r>
      <w:r w:rsidR="00D23B38">
        <w:t> </w:t>
      </w:r>
      <w:r w:rsidR="00404F34" w:rsidRPr="00026EC1">
        <w:t xml:space="preserve">(6) </w:t>
      </w:r>
      <w:r w:rsidR="00404F34" w:rsidRPr="00026EC1">
        <w:rPr>
          <w:rFonts w:cs="Arial"/>
        </w:rPr>
        <w:t>mois</w:t>
      </w:r>
      <w:r w:rsidR="00404F34" w:rsidRPr="00026EC1">
        <w:t xml:space="preserve"> avant la mise en œuvre d</w:t>
      </w:r>
      <w:r w:rsidR="00BC3319" w:rsidRPr="00026EC1">
        <w:t>’</w:t>
      </w:r>
      <w:r w:rsidR="00404F34" w:rsidRPr="00026EC1">
        <w:t>une autorisation provisoire de programme.</w:t>
      </w:r>
    </w:p>
    <w:p w14:paraId="74FE344A" w14:textId="77777777" w:rsidR="00404F34" w:rsidRPr="00026EC1" w:rsidRDefault="00404F34" w:rsidP="007F120F">
      <w:pPr>
        <w:keepNext w:val="0"/>
        <w:rPr>
          <w:rFonts w:cs="Arial"/>
        </w:rPr>
      </w:pPr>
    </w:p>
    <w:p w14:paraId="5728F444" w14:textId="77777777" w:rsidR="00404F34" w:rsidRPr="00026EC1" w:rsidRDefault="00275751" w:rsidP="007F120F">
      <w:pPr>
        <w:keepNext w:val="0"/>
        <w:tabs>
          <w:tab w:val="left" w:pos="540"/>
        </w:tabs>
        <w:ind w:left="540" w:hanging="540"/>
        <w:rPr>
          <w:rFonts w:cs="Arial"/>
        </w:rPr>
      </w:pPr>
      <w:r w:rsidRPr="00026EC1">
        <w:rPr>
          <w:rFonts w:cs="Arial"/>
        </w:rPr>
        <w:t>02.</w:t>
      </w:r>
      <w:r w:rsidRPr="00026EC1">
        <w:rPr>
          <w:rFonts w:cs="Arial"/>
        </w:rPr>
        <w:tab/>
      </w:r>
      <w:r w:rsidR="00404F34" w:rsidRPr="00026EC1">
        <w:t>À la dem</w:t>
      </w:r>
      <w:r w:rsidR="00720F26" w:rsidRPr="00026EC1">
        <w:t>ande de la FNEEQ</w:t>
      </w:r>
      <w:r w:rsidR="00AA4AD7" w:rsidRPr="00026EC1">
        <w:t> </w:t>
      </w:r>
      <w:r w:rsidR="00720F26" w:rsidRPr="00026EC1">
        <w:t>(CSN)</w:t>
      </w:r>
      <w:r w:rsidR="006359E3" w:rsidRPr="00026EC1">
        <w:t>,</w:t>
      </w:r>
      <w:r w:rsidR="00720F26" w:rsidRPr="00026EC1">
        <w:t xml:space="preserve"> les parti</w:t>
      </w:r>
      <w:r w:rsidR="00404F34" w:rsidRPr="00026EC1">
        <w:t>es nationales se rencontrent pour discuter des impacts d</w:t>
      </w:r>
      <w:r w:rsidR="00BC3319" w:rsidRPr="00026EC1">
        <w:t>’</w:t>
      </w:r>
      <w:r w:rsidR="00404F34" w:rsidRPr="00026EC1">
        <w:t>une autorisation provisoire de programme.</w:t>
      </w:r>
    </w:p>
    <w:p w14:paraId="592FB86E" w14:textId="77777777" w:rsidR="00404F34" w:rsidRPr="00026EC1" w:rsidRDefault="00404F34" w:rsidP="007F120F">
      <w:pPr>
        <w:keepNext w:val="0"/>
        <w:rPr>
          <w:rFonts w:cs="Arial"/>
        </w:rPr>
      </w:pPr>
    </w:p>
    <w:p w14:paraId="16C34B1A" w14:textId="75CDAA00" w:rsidR="00404F34" w:rsidRPr="00026EC1" w:rsidRDefault="00275751" w:rsidP="007F120F">
      <w:pPr>
        <w:keepNext w:val="0"/>
        <w:tabs>
          <w:tab w:val="left" w:pos="540"/>
        </w:tabs>
        <w:ind w:left="540" w:hanging="540"/>
        <w:rPr>
          <w:rFonts w:cs="Arial"/>
        </w:rPr>
      </w:pPr>
      <w:r w:rsidRPr="00026EC1">
        <w:rPr>
          <w:rFonts w:cs="Arial"/>
        </w:rPr>
        <w:t>03.</w:t>
      </w:r>
      <w:r w:rsidRPr="00026EC1">
        <w:rPr>
          <w:rFonts w:cs="Arial"/>
        </w:rPr>
        <w:tab/>
      </w:r>
      <w:r w:rsidR="00404F34" w:rsidRPr="00026EC1">
        <w:t>Une autorisation provisoire de programme vise un maximum de trois</w:t>
      </w:r>
      <w:r w:rsidR="00D23B38">
        <w:t> </w:t>
      </w:r>
      <w:r w:rsidR="00404F34" w:rsidRPr="00026EC1">
        <w:t>(3) cohortes et ne peut excéder neuf</w:t>
      </w:r>
      <w:r w:rsidR="00D23B38">
        <w:t> </w:t>
      </w:r>
      <w:r w:rsidR="00404F34" w:rsidRPr="00026EC1">
        <w:t>(9) ans.</w:t>
      </w:r>
    </w:p>
    <w:p w14:paraId="5D24D094" w14:textId="77777777" w:rsidR="00404F34" w:rsidRPr="00026EC1" w:rsidRDefault="00404F34" w:rsidP="007F120F">
      <w:pPr>
        <w:keepNext w:val="0"/>
      </w:pPr>
    </w:p>
    <w:p w14:paraId="68629714" w14:textId="77777777" w:rsidR="00404F34" w:rsidRPr="00026EC1" w:rsidRDefault="00275751" w:rsidP="007F120F">
      <w:pPr>
        <w:keepNext w:val="0"/>
        <w:tabs>
          <w:tab w:val="left" w:pos="540"/>
        </w:tabs>
        <w:ind w:left="540" w:hanging="540"/>
      </w:pPr>
      <w:r w:rsidRPr="00026EC1">
        <w:t>04.</w:t>
      </w:r>
      <w:r w:rsidRPr="00026EC1">
        <w:tab/>
      </w:r>
      <w:r w:rsidR="00404F34" w:rsidRPr="00026EC1">
        <w:t>Les ressources allouées à la formation spécifique d</w:t>
      </w:r>
      <w:r w:rsidR="00BC3319" w:rsidRPr="00026EC1">
        <w:t>’</w:t>
      </w:r>
      <w:r w:rsidR="00404F34" w:rsidRPr="00026EC1">
        <w:t>un programme faisant l</w:t>
      </w:r>
      <w:r w:rsidR="00BC3319" w:rsidRPr="00026EC1">
        <w:t>’</w:t>
      </w:r>
      <w:r w:rsidR="00404F34" w:rsidRPr="00026EC1">
        <w:t>objet d</w:t>
      </w:r>
      <w:r w:rsidR="00BC3319" w:rsidRPr="00026EC1">
        <w:t>’</w:t>
      </w:r>
      <w:r w:rsidR="00404F34" w:rsidRPr="00026EC1">
        <w:t xml:space="preserve">une autorisation </w:t>
      </w:r>
      <w:r w:rsidR="00404F34" w:rsidRPr="00026EC1">
        <w:rPr>
          <w:rFonts w:cs="Arial"/>
        </w:rPr>
        <w:t>provisoire</w:t>
      </w:r>
      <w:r w:rsidR="00404F34" w:rsidRPr="00026EC1">
        <w:t xml:space="preserve"> de programme ne sont pas considérées dans la détermination du nombre de postes au Collège. Tout poste qui aurait pu résulter de ces allocations est, de ce fait, réputé être une charge d</w:t>
      </w:r>
      <w:r w:rsidR="00BC3319" w:rsidRPr="00026EC1">
        <w:t>’</w:t>
      </w:r>
      <w:r w:rsidR="00404F34" w:rsidRPr="00026EC1">
        <w:t>enseignement à temps complet.</w:t>
      </w:r>
    </w:p>
    <w:p w14:paraId="294AC7E3" w14:textId="77777777" w:rsidR="00404F34" w:rsidRPr="00026EC1" w:rsidRDefault="00404F34" w:rsidP="007F120F">
      <w:pPr>
        <w:keepNext w:val="0"/>
        <w:ind w:left="600" w:hanging="240"/>
        <w:rPr>
          <w:rFonts w:cs="Arial"/>
        </w:rPr>
      </w:pPr>
    </w:p>
    <w:p w14:paraId="34E31F57" w14:textId="3D4A1E29" w:rsidR="00404F34" w:rsidRPr="00026EC1" w:rsidRDefault="00275751" w:rsidP="007F120F">
      <w:pPr>
        <w:keepNext w:val="0"/>
        <w:tabs>
          <w:tab w:val="left" w:pos="540"/>
        </w:tabs>
        <w:ind w:left="540" w:hanging="540"/>
      </w:pPr>
      <w:r w:rsidRPr="00026EC1">
        <w:t>05.</w:t>
      </w:r>
      <w:r w:rsidRPr="00026EC1">
        <w:tab/>
      </w:r>
      <w:r w:rsidR="00404F34" w:rsidRPr="00026EC1">
        <w:t>Toutefois, malgré la clause</w:t>
      </w:r>
      <w:r w:rsidR="00F61E7A" w:rsidRPr="00026EC1">
        <w:t> </w:t>
      </w:r>
      <w:r w:rsidR="00404F34" w:rsidRPr="00026EC1">
        <w:t>8</w:t>
      </w:r>
      <w:r w:rsidR="00984A6F">
        <w:noBreakHyphen/>
      </w:r>
      <w:r w:rsidR="00404F34" w:rsidRPr="00026EC1">
        <w:t>5.09, pour la durée de la formation de chacune des cohortes, et sous réserve d</w:t>
      </w:r>
      <w:r w:rsidR="00BC3319" w:rsidRPr="00026EC1">
        <w:t>’</w:t>
      </w:r>
      <w:r w:rsidR="00404F34" w:rsidRPr="00026EC1">
        <w:t>une clientèle suffisante</w:t>
      </w:r>
      <w:r w:rsidR="00D8581B">
        <w:t> :</w:t>
      </w:r>
    </w:p>
    <w:p w14:paraId="08361836" w14:textId="77777777" w:rsidR="00404F34" w:rsidRPr="00026EC1" w:rsidRDefault="00404F34" w:rsidP="007F120F">
      <w:pPr>
        <w:keepNext w:val="0"/>
      </w:pPr>
    </w:p>
    <w:p w14:paraId="1E4B8DA9" w14:textId="2A1C5788" w:rsidR="00404F34" w:rsidRPr="00026EC1" w:rsidRDefault="00275751" w:rsidP="007F120F">
      <w:pPr>
        <w:keepNext w:val="0"/>
        <w:tabs>
          <w:tab w:val="left" w:pos="1134"/>
        </w:tabs>
        <w:ind w:left="1134" w:hanging="594"/>
        <w:rPr>
          <w:rFonts w:cs="Arial"/>
        </w:rPr>
      </w:pPr>
      <w:r w:rsidRPr="00026EC1">
        <w:rPr>
          <w:rFonts w:cs="Arial"/>
        </w:rPr>
        <w:t>a)</w:t>
      </w:r>
      <w:r w:rsidRPr="00026EC1">
        <w:rPr>
          <w:rFonts w:cs="Arial"/>
        </w:rPr>
        <w:tab/>
      </w:r>
      <w:r w:rsidR="00404F34" w:rsidRPr="00026EC1">
        <w:rPr>
          <w:rFonts w:cs="Arial"/>
        </w:rPr>
        <w:t>si pour une discipline de la formation spécifique l</w:t>
      </w:r>
      <w:r w:rsidR="00BC3319" w:rsidRPr="00026EC1">
        <w:rPr>
          <w:rFonts w:cs="Arial"/>
        </w:rPr>
        <w:t>’</w:t>
      </w:r>
      <w:r w:rsidR="00404F34" w:rsidRPr="00026EC1">
        <w:rPr>
          <w:rFonts w:cs="Arial"/>
        </w:rPr>
        <w:t>allocation associée au programme faisant l</w:t>
      </w:r>
      <w:r w:rsidR="00BC3319" w:rsidRPr="00026EC1">
        <w:rPr>
          <w:rFonts w:cs="Arial"/>
        </w:rPr>
        <w:t>’</w:t>
      </w:r>
      <w:r w:rsidR="00404F34" w:rsidRPr="00026EC1">
        <w:rPr>
          <w:rFonts w:cs="Arial"/>
        </w:rPr>
        <w:t>objet d</w:t>
      </w:r>
      <w:r w:rsidR="00BC3319" w:rsidRPr="00026EC1">
        <w:rPr>
          <w:rFonts w:cs="Arial"/>
        </w:rPr>
        <w:t>’</w:t>
      </w:r>
      <w:r w:rsidR="00404F34" w:rsidRPr="00026EC1">
        <w:rPr>
          <w:rFonts w:cs="Arial"/>
        </w:rPr>
        <w:t>une autorisation provisoire de programme constitue</w:t>
      </w:r>
      <w:r w:rsidR="00D8581B">
        <w:rPr>
          <w:rFonts w:cs="Arial"/>
        </w:rPr>
        <w:t> :</w:t>
      </w:r>
    </w:p>
    <w:p w14:paraId="53864F28" w14:textId="77777777" w:rsidR="00404F34" w:rsidRPr="00026EC1" w:rsidRDefault="00404F34" w:rsidP="007F120F">
      <w:pPr>
        <w:keepNext w:val="0"/>
      </w:pPr>
    </w:p>
    <w:p w14:paraId="6297854D" w14:textId="2AC21C37" w:rsidR="00404F34" w:rsidRPr="00026EC1" w:rsidRDefault="00275751" w:rsidP="007F120F">
      <w:pPr>
        <w:keepNext w:val="0"/>
        <w:tabs>
          <w:tab w:val="left" w:pos="1134"/>
        </w:tabs>
        <w:ind w:left="1680" w:hanging="546"/>
        <w:rPr>
          <w:rFonts w:cs="Arial"/>
        </w:rPr>
      </w:pPr>
      <w:r w:rsidRPr="00026EC1">
        <w:rPr>
          <w:rFonts w:ascii="Symbol" w:hAnsi="Symbol" w:cs="Arial"/>
        </w:rPr>
        <w:t></w:t>
      </w:r>
      <w:r w:rsidRPr="00026EC1">
        <w:rPr>
          <w:rFonts w:ascii="Symbol" w:hAnsi="Symbol" w:cs="Arial"/>
        </w:rPr>
        <w:tab/>
      </w:r>
      <w:r w:rsidR="00404F34" w:rsidRPr="00026EC1">
        <w:rPr>
          <w:rFonts w:cs="Arial"/>
        </w:rPr>
        <w:t xml:space="preserve">plus de </w:t>
      </w:r>
      <w:r w:rsidR="00325862" w:rsidRPr="00026EC1">
        <w:rPr>
          <w:rFonts w:cs="Arial"/>
        </w:rPr>
        <w:t>zéro virgule vingt</w:t>
      </w:r>
      <w:r w:rsidR="00984A6F">
        <w:rPr>
          <w:rFonts w:cs="Arial"/>
        </w:rPr>
        <w:noBreakHyphen/>
      </w:r>
      <w:r w:rsidR="00325862" w:rsidRPr="00026EC1">
        <w:rPr>
          <w:rFonts w:cs="Arial"/>
        </w:rPr>
        <w:t>cinq</w:t>
      </w:r>
      <w:r w:rsidR="00D23B38">
        <w:rPr>
          <w:rFonts w:cs="Arial"/>
        </w:rPr>
        <w:t> </w:t>
      </w:r>
      <w:r w:rsidR="00325862" w:rsidRPr="00026EC1">
        <w:rPr>
          <w:rFonts w:cs="Arial"/>
        </w:rPr>
        <w:t>(</w:t>
      </w:r>
      <w:r w:rsidR="00404F34" w:rsidRPr="00026EC1">
        <w:rPr>
          <w:rFonts w:cs="Arial"/>
        </w:rPr>
        <w:t>0,25</w:t>
      </w:r>
      <w:r w:rsidR="00325862" w:rsidRPr="00026EC1">
        <w:rPr>
          <w:rFonts w:cs="Arial"/>
        </w:rPr>
        <w:t>)</w:t>
      </w:r>
      <w:r w:rsidR="00404F34" w:rsidRPr="00026EC1">
        <w:rPr>
          <w:rFonts w:cs="Arial"/>
        </w:rPr>
        <w:t xml:space="preserve"> ETC de l</w:t>
      </w:r>
      <w:r w:rsidR="00BC3319" w:rsidRPr="00026EC1">
        <w:rPr>
          <w:rFonts w:cs="Arial"/>
        </w:rPr>
        <w:t>’</w:t>
      </w:r>
      <w:r w:rsidR="00404F34" w:rsidRPr="00026EC1">
        <w:rPr>
          <w:rFonts w:cs="Arial"/>
        </w:rPr>
        <w:t>allocation d</w:t>
      </w:r>
      <w:r w:rsidR="00BC3319" w:rsidRPr="00026EC1">
        <w:rPr>
          <w:rFonts w:cs="Arial"/>
        </w:rPr>
        <w:t>’</w:t>
      </w:r>
      <w:r w:rsidR="00404F34" w:rsidRPr="00026EC1">
        <w:rPr>
          <w:rFonts w:cs="Arial"/>
        </w:rPr>
        <w:t>un poste, celui</w:t>
      </w:r>
      <w:r w:rsidR="00984A6F">
        <w:rPr>
          <w:rFonts w:cs="Arial"/>
        </w:rPr>
        <w:noBreakHyphen/>
      </w:r>
      <w:r w:rsidR="00404F34" w:rsidRPr="00026EC1">
        <w:rPr>
          <w:rFonts w:cs="Arial"/>
        </w:rPr>
        <w:t>ci est comblé en tant que charge à temps complet;</w:t>
      </w:r>
    </w:p>
    <w:p w14:paraId="69E1B7A8" w14:textId="77777777" w:rsidR="00404F34" w:rsidRPr="00026EC1" w:rsidRDefault="00404F34" w:rsidP="007F120F">
      <w:pPr>
        <w:keepNext w:val="0"/>
        <w:ind w:hanging="546"/>
      </w:pPr>
    </w:p>
    <w:p w14:paraId="134F9C53" w14:textId="7C92EA3D" w:rsidR="00404F34" w:rsidRPr="00026EC1" w:rsidRDefault="00275751" w:rsidP="007F120F">
      <w:pPr>
        <w:keepNext w:val="0"/>
        <w:tabs>
          <w:tab w:val="left" w:pos="1134"/>
        </w:tabs>
        <w:ind w:left="1680" w:hanging="546"/>
        <w:rPr>
          <w:rFonts w:cs="Arial"/>
        </w:rPr>
      </w:pPr>
      <w:r w:rsidRPr="00026EC1">
        <w:rPr>
          <w:rFonts w:ascii="Symbol" w:hAnsi="Symbol" w:cs="Arial"/>
        </w:rPr>
        <w:t></w:t>
      </w:r>
      <w:r w:rsidRPr="00026EC1">
        <w:rPr>
          <w:rFonts w:ascii="Symbol" w:hAnsi="Symbol" w:cs="Arial"/>
        </w:rPr>
        <w:tab/>
      </w:r>
      <w:r w:rsidR="00325862" w:rsidRPr="00026EC1">
        <w:rPr>
          <w:rFonts w:cs="Arial"/>
        </w:rPr>
        <w:t>zéro virgule vingt</w:t>
      </w:r>
      <w:r w:rsidR="00984A6F">
        <w:rPr>
          <w:rFonts w:cs="Arial"/>
        </w:rPr>
        <w:noBreakHyphen/>
      </w:r>
      <w:r w:rsidR="00325862" w:rsidRPr="00026EC1">
        <w:rPr>
          <w:rFonts w:cs="Arial"/>
        </w:rPr>
        <w:t>cinq</w:t>
      </w:r>
      <w:r w:rsidR="00D23B38">
        <w:rPr>
          <w:rFonts w:cs="Arial"/>
        </w:rPr>
        <w:t> </w:t>
      </w:r>
      <w:r w:rsidR="00325862" w:rsidRPr="00026EC1">
        <w:rPr>
          <w:rFonts w:cs="Arial"/>
        </w:rPr>
        <w:t>(</w:t>
      </w:r>
      <w:r w:rsidR="00404F34" w:rsidRPr="00026EC1">
        <w:rPr>
          <w:rFonts w:cs="Arial"/>
        </w:rPr>
        <w:t>0,25</w:t>
      </w:r>
      <w:r w:rsidR="00325862" w:rsidRPr="00026EC1">
        <w:rPr>
          <w:rFonts w:cs="Arial"/>
        </w:rPr>
        <w:t>)</w:t>
      </w:r>
      <w:r w:rsidR="00404F34" w:rsidRPr="00026EC1">
        <w:rPr>
          <w:rFonts w:cs="Arial"/>
        </w:rPr>
        <w:t xml:space="preserve"> ETC ou moins de l</w:t>
      </w:r>
      <w:r w:rsidR="00BC3319" w:rsidRPr="00026EC1">
        <w:rPr>
          <w:rFonts w:cs="Arial"/>
        </w:rPr>
        <w:t>’</w:t>
      </w:r>
      <w:r w:rsidR="00404F34" w:rsidRPr="00026EC1">
        <w:rPr>
          <w:rFonts w:cs="Arial"/>
        </w:rPr>
        <w:t>allocation d</w:t>
      </w:r>
      <w:r w:rsidR="00BC3319" w:rsidRPr="00026EC1">
        <w:rPr>
          <w:rFonts w:cs="Arial"/>
        </w:rPr>
        <w:t>’</w:t>
      </w:r>
      <w:r w:rsidR="00404F34" w:rsidRPr="00026EC1">
        <w:rPr>
          <w:rFonts w:cs="Arial"/>
        </w:rPr>
        <w:t>un poste, celui</w:t>
      </w:r>
      <w:r w:rsidR="00984A6F">
        <w:rPr>
          <w:rFonts w:cs="Arial"/>
        </w:rPr>
        <w:noBreakHyphen/>
      </w:r>
      <w:r w:rsidR="00404F34" w:rsidRPr="00026EC1">
        <w:rPr>
          <w:rFonts w:cs="Arial"/>
        </w:rPr>
        <w:t>ci est comblé en tant que poste</w:t>
      </w:r>
      <w:r w:rsidR="00704FD0" w:rsidRPr="00026EC1">
        <w:rPr>
          <w:rFonts w:cs="Arial"/>
        </w:rPr>
        <w:t>;</w:t>
      </w:r>
    </w:p>
    <w:p w14:paraId="702CCC07" w14:textId="77777777" w:rsidR="00404F34" w:rsidRPr="00026EC1" w:rsidRDefault="00404F34" w:rsidP="007F120F">
      <w:pPr>
        <w:keepNext w:val="0"/>
        <w:rPr>
          <w:rFonts w:cs="Arial"/>
        </w:rPr>
      </w:pPr>
    </w:p>
    <w:p w14:paraId="019C2B5F" w14:textId="77777777" w:rsidR="00404F34" w:rsidRPr="00026EC1" w:rsidRDefault="00275751" w:rsidP="007F120F">
      <w:pPr>
        <w:keepNext w:val="0"/>
        <w:tabs>
          <w:tab w:val="left" w:pos="1134"/>
        </w:tabs>
        <w:ind w:left="1134" w:hanging="567"/>
        <w:rPr>
          <w:rFonts w:cs="Arial"/>
        </w:rPr>
      </w:pPr>
      <w:r w:rsidRPr="00026EC1">
        <w:rPr>
          <w:rFonts w:cs="Arial"/>
        </w:rPr>
        <w:t>b)</w:t>
      </w:r>
      <w:r w:rsidRPr="00026EC1">
        <w:rPr>
          <w:rFonts w:cs="Arial"/>
        </w:rPr>
        <w:tab/>
      </w:r>
      <w:r w:rsidR="00404F34" w:rsidRPr="00026EC1">
        <w:rPr>
          <w:rFonts w:cs="Arial"/>
        </w:rPr>
        <w:t>pour les disciplines de la formation générale du programme provisoire, les postes sont comblés en tant que postes, indépendamment de la fraction d</w:t>
      </w:r>
      <w:r w:rsidR="00BC3319" w:rsidRPr="00026EC1">
        <w:rPr>
          <w:rFonts w:cs="Arial"/>
        </w:rPr>
        <w:t>’</w:t>
      </w:r>
      <w:r w:rsidR="00404F34" w:rsidRPr="00026EC1">
        <w:rPr>
          <w:rFonts w:cs="Arial"/>
        </w:rPr>
        <w:t>allocation associée à ce programme à l</w:t>
      </w:r>
      <w:r w:rsidR="00BC3319" w:rsidRPr="00026EC1">
        <w:rPr>
          <w:rFonts w:cs="Arial"/>
        </w:rPr>
        <w:t>’</w:t>
      </w:r>
      <w:r w:rsidR="00404F34" w:rsidRPr="00026EC1">
        <w:rPr>
          <w:rFonts w:cs="Arial"/>
        </w:rPr>
        <w:t>intérieur de l</w:t>
      </w:r>
      <w:r w:rsidR="00BC3319" w:rsidRPr="00026EC1">
        <w:rPr>
          <w:rFonts w:cs="Arial"/>
        </w:rPr>
        <w:t>’</w:t>
      </w:r>
      <w:r w:rsidR="00404F34" w:rsidRPr="00026EC1">
        <w:rPr>
          <w:rFonts w:cs="Arial"/>
        </w:rPr>
        <w:t>allocation des postes visés.</w:t>
      </w:r>
    </w:p>
    <w:p w14:paraId="5F3894AE" w14:textId="77777777" w:rsidR="00404F34" w:rsidRPr="00026EC1" w:rsidRDefault="00404F34" w:rsidP="007F120F">
      <w:pPr>
        <w:keepNext w:val="0"/>
        <w:rPr>
          <w:rFonts w:cs="Arial"/>
        </w:rPr>
      </w:pPr>
    </w:p>
    <w:p w14:paraId="18ACC7C2" w14:textId="77777777" w:rsidR="00404F34" w:rsidRPr="00026EC1" w:rsidRDefault="00275751" w:rsidP="007F120F">
      <w:pPr>
        <w:keepNext w:val="0"/>
        <w:tabs>
          <w:tab w:val="left" w:pos="540"/>
        </w:tabs>
        <w:ind w:left="540" w:hanging="540"/>
      </w:pPr>
      <w:r w:rsidRPr="00026EC1">
        <w:t>06.</w:t>
      </w:r>
      <w:r w:rsidRPr="00026EC1">
        <w:tab/>
      </w:r>
      <w:r w:rsidR="00404F34" w:rsidRPr="00026EC1">
        <w:t>Dans le cas où l</w:t>
      </w:r>
      <w:r w:rsidR="00BC3319" w:rsidRPr="00026EC1">
        <w:t>’</w:t>
      </w:r>
      <w:r w:rsidR="00404F34" w:rsidRPr="00026EC1">
        <w:t>autorisation provisoire de programme devient permanente, l</w:t>
      </w:r>
      <w:r w:rsidR="00BC3319" w:rsidRPr="00026EC1">
        <w:t>’</w:t>
      </w:r>
      <w:r w:rsidR="00404F34" w:rsidRPr="00026EC1">
        <w:t>enseignante ou l</w:t>
      </w:r>
      <w:r w:rsidR="00BC3319" w:rsidRPr="00026EC1">
        <w:t>’</w:t>
      </w:r>
      <w:r w:rsidR="00404F34" w:rsidRPr="00026EC1">
        <w:t>enseignant qui a occupé une charge d</w:t>
      </w:r>
      <w:r w:rsidR="00BC3319" w:rsidRPr="00026EC1">
        <w:t>’</w:t>
      </w:r>
      <w:r w:rsidR="00404F34" w:rsidRPr="00026EC1">
        <w:t>enseignement à temps complet comme il est prévu à la présente annexe est réputé avoir occupé un poste.</w:t>
      </w:r>
    </w:p>
    <w:p w14:paraId="377815AC" w14:textId="77777777" w:rsidR="00404F34" w:rsidRPr="00026EC1" w:rsidRDefault="00404F34" w:rsidP="007F120F">
      <w:pPr>
        <w:keepNext w:val="0"/>
        <w:ind w:left="360"/>
        <w:rPr>
          <w:rFonts w:cs="Arial"/>
        </w:rPr>
      </w:pPr>
    </w:p>
    <w:p w14:paraId="14E44A2B" w14:textId="77777777" w:rsidR="00404F34" w:rsidRPr="00026EC1" w:rsidRDefault="00404F34">
      <w:pPr>
        <w:rPr>
          <w:rFonts w:cs="Arial"/>
        </w:rPr>
      </w:pPr>
    </w:p>
    <w:p w14:paraId="14FE0F91" w14:textId="3E333306" w:rsidR="00404F34" w:rsidRDefault="00404F34" w:rsidP="007F120F">
      <w:pPr>
        <w:pStyle w:val="Heading3"/>
        <w:keepNext w:val="0"/>
      </w:pPr>
      <w:r w:rsidRPr="00026EC1">
        <w:br w:type="page"/>
      </w:r>
      <w:bookmarkStart w:id="1640" w:name="_Toc133760923"/>
      <w:bookmarkStart w:id="1641" w:name="_Toc133917071"/>
      <w:bookmarkStart w:id="1642" w:name="_Toc134437343"/>
      <w:bookmarkStart w:id="1643" w:name="_Toc393449517"/>
      <w:bookmarkStart w:id="1644" w:name="_Toc462751650"/>
      <w:bookmarkStart w:id="1645" w:name="_Toc484082669"/>
      <w:bookmarkStart w:id="1646" w:name="_Toc168479632"/>
      <w:r w:rsidR="00D65FD1" w:rsidRPr="00026EC1">
        <w:t>Annexe VII</w:t>
      </w:r>
      <w:bookmarkEnd w:id="1640"/>
      <w:bookmarkEnd w:id="1641"/>
      <w:bookmarkEnd w:id="1642"/>
      <w:r w:rsidR="0017646C">
        <w:t>-</w:t>
      </w:r>
      <w:r w:rsidR="00D65FD1" w:rsidRPr="00026EC1">
        <w:t>3</w:t>
      </w:r>
      <w:bookmarkStart w:id="1647" w:name="_Toc133760924"/>
      <w:r w:rsidR="00D65FD1" w:rsidRPr="00026EC1">
        <w:br/>
      </w:r>
      <w:r w:rsidR="00D65FD1" w:rsidRPr="00026EC1">
        <w:br/>
        <w:t>Annexe relative aux modèles d’organisation de l’enseignement</w:t>
      </w:r>
      <w:bookmarkEnd w:id="1643"/>
      <w:bookmarkEnd w:id="1644"/>
      <w:bookmarkEnd w:id="1645"/>
      <w:bookmarkEnd w:id="1647"/>
      <w:bookmarkEnd w:id="1646"/>
    </w:p>
    <w:p w14:paraId="282A2AB7" w14:textId="6B943368" w:rsidR="00E51EC8" w:rsidRPr="00E51EC8" w:rsidRDefault="00E51EC8" w:rsidP="00E51EC8">
      <w:pPr>
        <w:pStyle w:val="N-Commun"/>
        <w:ind w:left="426" w:hanging="426"/>
        <w:rPr>
          <w:rFonts w:ascii="Arial" w:eastAsia="Times New Roman" w:hAnsi="Arial" w:cs="Times New Roman"/>
          <w:b/>
          <w:bCs/>
          <w:snapToGrid w:val="0"/>
          <w:sz w:val="24"/>
          <w:szCs w:val="20"/>
          <w:u w:val="single"/>
          <w:lang w:eastAsia="fr-FR"/>
        </w:rPr>
      </w:pPr>
      <w:r w:rsidRPr="00316277">
        <w:rPr>
          <w:rFonts w:ascii="Arial" w:eastAsia="Times New Roman" w:hAnsi="Arial" w:cs="Times New Roman"/>
          <w:b/>
          <w:bCs/>
          <w:snapToGrid w:val="0"/>
          <w:sz w:val="24"/>
          <w:szCs w:val="20"/>
          <w:u w:val="single"/>
          <w:lang w:eastAsia="fr-FR"/>
        </w:rPr>
        <w:t>Expérimentation de modèles d’organisation de l’enseignement</w:t>
      </w:r>
    </w:p>
    <w:p w14:paraId="71A7ED23" w14:textId="7B3B4E09" w:rsidR="00404F34" w:rsidRDefault="00404F34" w:rsidP="00864798">
      <w:pPr>
        <w:pStyle w:val="ListParagraph"/>
        <w:numPr>
          <w:ilvl w:val="0"/>
          <w:numId w:val="55"/>
        </w:numPr>
        <w:ind w:left="567" w:hanging="567"/>
      </w:pPr>
      <w:r w:rsidRPr="00026EC1">
        <w:t>Après consultation de la Commission des études et des départements concernés et après avoir soumis la question au CRT, le Collège peut mettre en œuvre l</w:t>
      </w:r>
      <w:r w:rsidR="00BC3319" w:rsidRPr="00026EC1">
        <w:t>’</w:t>
      </w:r>
      <w:r w:rsidRPr="00026EC1">
        <w:t>expérimentation de modèles d</w:t>
      </w:r>
      <w:r w:rsidR="00BC3319" w:rsidRPr="00026EC1">
        <w:t>’</w:t>
      </w:r>
      <w:r w:rsidRPr="00026EC1">
        <w:t>organisation de l</w:t>
      </w:r>
      <w:r w:rsidR="00BC3319" w:rsidRPr="00026EC1">
        <w:t>’</w:t>
      </w:r>
      <w:r w:rsidRPr="00026EC1">
        <w:t>enseignement</w:t>
      </w:r>
      <w:r w:rsidR="009331A6" w:rsidRPr="00BA526B">
        <w:t xml:space="preserve"> </w:t>
      </w:r>
      <w:r w:rsidRPr="00BA526B">
        <w:t>pour favoriser l</w:t>
      </w:r>
      <w:r w:rsidR="00BC3319" w:rsidRPr="00BA526B">
        <w:t>’</w:t>
      </w:r>
      <w:r w:rsidRPr="00BA526B">
        <w:t>accessibilité aux études supérieures d</w:t>
      </w:r>
      <w:r w:rsidR="00BC3319" w:rsidRPr="00BA526B">
        <w:t>’</w:t>
      </w:r>
      <w:r w:rsidRPr="00BA526B">
        <w:t>ordre collégial.</w:t>
      </w:r>
    </w:p>
    <w:p w14:paraId="2D2DA163" w14:textId="77777777" w:rsidR="003E57EB" w:rsidRDefault="003E57EB" w:rsidP="003E57EB">
      <w:pPr>
        <w:pStyle w:val="ListParagraph"/>
        <w:ind w:left="567"/>
      </w:pPr>
    </w:p>
    <w:p w14:paraId="28C8567C" w14:textId="7A9E2477" w:rsidR="00E51EC8" w:rsidRPr="00E51EC8" w:rsidRDefault="00E51EC8" w:rsidP="004E4CDE">
      <w:pPr>
        <w:pStyle w:val="N-Commun-Puce"/>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 xml:space="preserve">Le suivi de l’expérimentation se fait auprès du ou des départements concernés. Les résultats de l’expérimentation, de même que les avis recueillis au cours de cette période, constitueront des éléments à </w:t>
      </w:r>
      <w:r w:rsidR="00241EEE" w:rsidRPr="00316277">
        <w:rPr>
          <w:rFonts w:ascii="Arial" w:eastAsia="Calibri" w:hAnsi="Arial" w:cs="Times New Roman"/>
          <w:sz w:val="24"/>
          <w:szCs w:val="22"/>
        </w:rPr>
        <w:t xml:space="preserve">prendre en </w:t>
      </w:r>
      <w:r w:rsidRPr="00316277">
        <w:rPr>
          <w:rFonts w:ascii="Arial" w:eastAsia="Calibri" w:hAnsi="Arial" w:cs="Times New Roman"/>
          <w:sz w:val="24"/>
          <w:szCs w:val="22"/>
        </w:rPr>
        <w:t>compte pour apporter les ajustements aux modèles d’enseignement expérimentaux et les améliorer.</w:t>
      </w:r>
    </w:p>
    <w:p w14:paraId="52415226" w14:textId="77777777" w:rsidR="00404F34" w:rsidRPr="00026EC1" w:rsidRDefault="00404F34" w:rsidP="004E4CDE">
      <w:pPr>
        <w:keepNext w:val="0"/>
        <w:tabs>
          <w:tab w:val="left" w:pos="540"/>
        </w:tabs>
        <w:ind w:left="540" w:hanging="540"/>
      </w:pPr>
    </w:p>
    <w:p w14:paraId="2EF94E27" w14:textId="34620ADB" w:rsidR="00404F34" w:rsidRDefault="00404F34" w:rsidP="00864798">
      <w:pPr>
        <w:pStyle w:val="ListParagraph"/>
        <w:numPr>
          <w:ilvl w:val="0"/>
          <w:numId w:val="55"/>
        </w:numPr>
        <w:ind w:left="567" w:hanging="567"/>
      </w:pPr>
      <w:r w:rsidRPr="00026EC1">
        <w:t>À la demande de l</w:t>
      </w:r>
      <w:r w:rsidR="00BC3319" w:rsidRPr="00026EC1">
        <w:t>’</w:t>
      </w:r>
      <w:r w:rsidRPr="00026EC1">
        <w:t>une des parties nationales, celles</w:t>
      </w:r>
      <w:r w:rsidR="00984A6F">
        <w:noBreakHyphen/>
      </w:r>
      <w:r w:rsidRPr="00026EC1">
        <w:t>ci se rencontrent pour discuter des difficultés d</w:t>
      </w:r>
      <w:r w:rsidR="00BC3319" w:rsidRPr="00026EC1">
        <w:t>’</w:t>
      </w:r>
      <w:r w:rsidRPr="00026EC1">
        <w:t>application de la convention collective, notamment l</w:t>
      </w:r>
      <w:r w:rsidR="00BC3319" w:rsidRPr="00026EC1">
        <w:t>’</w:t>
      </w:r>
      <w:r w:rsidRPr="00026EC1">
        <w:t>allocation des ressources et le calcul de la charge individuelle (CI).</w:t>
      </w:r>
    </w:p>
    <w:p w14:paraId="315210FA" w14:textId="77777777" w:rsidR="004E4CDE" w:rsidRPr="00026EC1" w:rsidRDefault="004E4CDE" w:rsidP="004E4CDE">
      <w:pPr>
        <w:pStyle w:val="ListParagraph"/>
        <w:ind w:left="567" w:hanging="567"/>
      </w:pPr>
    </w:p>
    <w:p w14:paraId="207C8B46" w14:textId="18FEEE24" w:rsidR="00E51EC8" w:rsidRPr="00316277" w:rsidRDefault="00E51EC8" w:rsidP="004E4CDE">
      <w:pPr>
        <w:pStyle w:val="N-Commun"/>
        <w:spacing w:before="0" w:after="0"/>
        <w:ind w:left="426" w:hanging="426"/>
        <w:rPr>
          <w:rFonts w:ascii="Arial" w:eastAsia="Times New Roman" w:hAnsi="Arial" w:cs="Times New Roman"/>
          <w:b/>
          <w:bCs/>
          <w:snapToGrid w:val="0"/>
          <w:sz w:val="24"/>
          <w:szCs w:val="20"/>
          <w:u w:val="single"/>
          <w:lang w:eastAsia="fr-FR"/>
        </w:rPr>
      </w:pPr>
      <w:r w:rsidRPr="00316277">
        <w:rPr>
          <w:rFonts w:ascii="Arial" w:eastAsia="Times New Roman" w:hAnsi="Arial" w:cs="Times New Roman"/>
          <w:b/>
          <w:bCs/>
          <w:snapToGrid w:val="0"/>
          <w:sz w:val="24"/>
          <w:szCs w:val="20"/>
          <w:u w:val="single"/>
          <w:lang w:eastAsia="fr-FR"/>
        </w:rPr>
        <w:t>Projets de formation à distance</w:t>
      </w:r>
    </w:p>
    <w:p w14:paraId="07029E11" w14:textId="77777777" w:rsidR="004E4CDE" w:rsidRPr="00316277" w:rsidRDefault="004E4CDE" w:rsidP="004E4CDE">
      <w:pPr>
        <w:pStyle w:val="N-Commun"/>
        <w:spacing w:before="0" w:after="0"/>
        <w:ind w:left="426" w:hanging="426"/>
        <w:rPr>
          <w:rFonts w:ascii="Arial" w:eastAsia="Times New Roman" w:hAnsi="Arial" w:cs="Times New Roman"/>
          <w:b/>
          <w:bCs/>
          <w:snapToGrid w:val="0"/>
          <w:sz w:val="24"/>
          <w:szCs w:val="20"/>
          <w:u w:val="single"/>
          <w:lang w:eastAsia="fr-FR"/>
        </w:rPr>
      </w:pPr>
    </w:p>
    <w:p w14:paraId="64F7D238" w14:textId="30206777" w:rsidR="00E51EC8" w:rsidRPr="00316277" w:rsidRDefault="00E51EC8" w:rsidP="00864798">
      <w:pPr>
        <w:pStyle w:val="N-Commun-Puce"/>
        <w:numPr>
          <w:ilvl w:val="0"/>
          <w:numId w:val="55"/>
        </w:numPr>
        <w:spacing w:before="0" w:after="0"/>
        <w:ind w:left="567" w:hanging="567"/>
        <w:rPr>
          <w:rFonts w:ascii="Arial" w:eastAsia="Calibri" w:hAnsi="Arial" w:cs="Times New Roman"/>
          <w:sz w:val="24"/>
          <w:szCs w:val="22"/>
        </w:rPr>
      </w:pPr>
      <w:r w:rsidRPr="00316277">
        <w:rPr>
          <w:rFonts w:ascii="Arial" w:eastAsia="Calibri" w:hAnsi="Arial" w:cs="Times New Roman"/>
          <w:sz w:val="24"/>
          <w:szCs w:val="22"/>
        </w:rPr>
        <w:t xml:space="preserve">Les dispositions suivantes s’appliquent lorsque le Collège offre ou vise à offrir un programme d’études ou une partie de programme d’études en formation à distance </w:t>
      </w:r>
      <w:r w:rsidR="006C6D56" w:rsidRPr="00316277">
        <w:rPr>
          <w:rFonts w:ascii="Arial" w:eastAsia="Calibri" w:hAnsi="Arial" w:cs="Times New Roman"/>
          <w:sz w:val="24"/>
          <w:szCs w:val="22"/>
        </w:rPr>
        <w:t>(inclu</w:t>
      </w:r>
      <w:r w:rsidR="004E4CDE" w:rsidRPr="00316277">
        <w:rPr>
          <w:rFonts w:ascii="Arial" w:eastAsia="Calibri" w:hAnsi="Arial" w:cs="Times New Roman"/>
          <w:sz w:val="24"/>
          <w:szCs w:val="22"/>
        </w:rPr>
        <w:t>an</w:t>
      </w:r>
      <w:r w:rsidR="006C6D56" w:rsidRPr="00316277">
        <w:rPr>
          <w:rFonts w:ascii="Arial" w:eastAsia="Calibri" w:hAnsi="Arial" w:cs="Times New Roman"/>
          <w:sz w:val="24"/>
          <w:szCs w:val="22"/>
        </w:rPr>
        <w:t xml:space="preserve">t l’enseignement comodal) </w:t>
      </w:r>
      <w:r w:rsidRPr="00316277">
        <w:rPr>
          <w:rFonts w:ascii="Arial" w:eastAsia="Calibri" w:hAnsi="Arial" w:cs="Times New Roman"/>
          <w:sz w:val="24"/>
          <w:szCs w:val="22"/>
        </w:rPr>
        <w:t>à l’enseignement régulier ou à la formation continue.</w:t>
      </w:r>
    </w:p>
    <w:p w14:paraId="748EA590" w14:textId="77777777" w:rsidR="004E4CDE" w:rsidRPr="00316277" w:rsidRDefault="004E4CDE" w:rsidP="004E4CDE">
      <w:pPr>
        <w:pStyle w:val="N-Commun-Puce"/>
        <w:spacing w:before="0" w:after="0"/>
        <w:ind w:left="567" w:hanging="567"/>
        <w:rPr>
          <w:rFonts w:ascii="Arial" w:eastAsia="Calibri" w:hAnsi="Arial" w:cs="Times New Roman"/>
          <w:sz w:val="24"/>
          <w:szCs w:val="22"/>
        </w:rPr>
      </w:pPr>
    </w:p>
    <w:p w14:paraId="1248ADBA" w14:textId="0F2EAED0" w:rsidR="00E51EC8" w:rsidRPr="00316277" w:rsidRDefault="00E51EC8" w:rsidP="00864798">
      <w:pPr>
        <w:pStyle w:val="N-Commun-Puce"/>
        <w:numPr>
          <w:ilvl w:val="0"/>
          <w:numId w:val="55"/>
        </w:numPr>
        <w:spacing w:before="0" w:after="0"/>
        <w:ind w:left="567" w:hanging="567"/>
        <w:rPr>
          <w:rFonts w:ascii="Arial" w:eastAsia="Calibri" w:hAnsi="Arial" w:cs="Times New Roman"/>
          <w:sz w:val="24"/>
          <w:szCs w:val="22"/>
        </w:rPr>
      </w:pPr>
      <w:r w:rsidRPr="00316277">
        <w:rPr>
          <w:rFonts w:ascii="Arial" w:eastAsia="Calibri" w:hAnsi="Arial" w:cs="Times New Roman"/>
          <w:sz w:val="24"/>
          <w:szCs w:val="22"/>
        </w:rPr>
        <w:t>Le Collège privilégie l’enseignement en présence tout en reconnaissant que la formation à distance peut répondre à des besoins d’accessibilité aux études supérieures d’ordre collégial. Après consultation de la Commission des études, des départements concernés et, si le Collège le souhaite, du comité de programme concerné, et après avoir soumis la question au CRT, le Collège peut mettre en œuvre un projet de formation à distance à l’enseignement régulier.</w:t>
      </w:r>
    </w:p>
    <w:p w14:paraId="0CF52706" w14:textId="77777777" w:rsidR="004E4CDE" w:rsidRPr="00316277" w:rsidRDefault="004E4CDE" w:rsidP="004E4CDE">
      <w:pPr>
        <w:pStyle w:val="ListParagraph"/>
      </w:pPr>
    </w:p>
    <w:p w14:paraId="093D63F5" w14:textId="004CCD5D" w:rsidR="00E51EC8" w:rsidRPr="00316277" w:rsidRDefault="00E51EC8" w:rsidP="004E4CDE">
      <w:pPr>
        <w:pStyle w:val="N-Commun-Puce"/>
        <w:spacing w:before="0" w:after="0"/>
        <w:ind w:left="567" w:hanging="567"/>
        <w:rPr>
          <w:rFonts w:ascii="Arial" w:eastAsia="Calibri" w:hAnsi="Arial" w:cs="Times New Roman"/>
          <w:sz w:val="24"/>
          <w:szCs w:val="22"/>
        </w:rPr>
      </w:pPr>
      <w:r w:rsidRPr="00316277">
        <w:rPr>
          <w:rFonts w:ascii="Arial" w:eastAsia="Calibri" w:hAnsi="Arial" w:cs="Times New Roman"/>
          <w:sz w:val="24"/>
          <w:szCs w:val="22"/>
        </w:rPr>
        <w:tab/>
        <w:t>Cette consultation doit avoir lieu au moins six</w:t>
      </w:r>
      <w:r w:rsidR="00372EC6" w:rsidRPr="00316277">
        <w:rPr>
          <w:rFonts w:ascii="Arial" w:eastAsia="Calibri" w:hAnsi="Arial" w:cs="Times New Roman"/>
          <w:sz w:val="24"/>
          <w:szCs w:val="22"/>
        </w:rPr>
        <w:t> </w:t>
      </w:r>
      <w:r w:rsidRPr="00316277">
        <w:rPr>
          <w:rFonts w:ascii="Arial" w:eastAsia="Calibri" w:hAnsi="Arial" w:cs="Times New Roman"/>
          <w:sz w:val="24"/>
          <w:szCs w:val="22"/>
        </w:rPr>
        <w:t>(6) mois avant la mise en œuvre du projet. La consultation doit notamment porter sur l’évaluation de la pertinence du projet, les besoins auxquels il vise à répondre ainsi que les impacts sur les conditions d’enseignement et d’études.</w:t>
      </w:r>
    </w:p>
    <w:p w14:paraId="1D6F142C" w14:textId="77777777" w:rsidR="004E4CDE" w:rsidRPr="00316277" w:rsidRDefault="004E4CDE" w:rsidP="004E4CDE">
      <w:pPr>
        <w:pStyle w:val="N-Commun-Puce"/>
        <w:spacing w:before="0" w:after="0"/>
        <w:ind w:left="567" w:hanging="567"/>
        <w:rPr>
          <w:rFonts w:ascii="Arial" w:eastAsia="Calibri" w:hAnsi="Arial" w:cs="Times New Roman"/>
          <w:sz w:val="24"/>
          <w:szCs w:val="22"/>
        </w:rPr>
      </w:pPr>
    </w:p>
    <w:p w14:paraId="13306800" w14:textId="04D16D5C" w:rsidR="00E51EC8" w:rsidRPr="00316277" w:rsidRDefault="00E51EC8" w:rsidP="004E4CDE">
      <w:pPr>
        <w:pStyle w:val="N-Commun-Puce"/>
        <w:spacing w:before="0" w:after="0"/>
        <w:ind w:left="567" w:hanging="567"/>
        <w:rPr>
          <w:rFonts w:ascii="Arial" w:eastAsia="Calibri" w:hAnsi="Arial" w:cs="Times New Roman"/>
          <w:sz w:val="24"/>
          <w:szCs w:val="22"/>
        </w:rPr>
      </w:pPr>
      <w:r w:rsidRPr="00316277">
        <w:rPr>
          <w:rFonts w:ascii="Arial" w:eastAsia="Calibri" w:hAnsi="Arial" w:cs="Times New Roman"/>
          <w:sz w:val="24"/>
          <w:szCs w:val="22"/>
        </w:rPr>
        <w:tab/>
        <w:t>Un suivi de l’expérimentation auprès de la Commission des études, des départements concernés et, si le Collège le souhaite, du comité de programme concerné doit être complété dans un délai raisonnable après sa mise en œuvre. Les résultats de l’expérimentation, de même que les avis recueillis, constituent des éléments à prendre en compte pour évaluer la pertinence de</w:t>
      </w:r>
      <w:r w:rsidR="00241EEE" w:rsidRPr="00316277">
        <w:rPr>
          <w:rFonts w:ascii="Arial" w:eastAsia="Calibri" w:hAnsi="Arial" w:cs="Times New Roman"/>
          <w:sz w:val="24"/>
          <w:szCs w:val="22"/>
        </w:rPr>
        <w:t xml:space="preserve"> continuer d’offrir le programme ou une partie du programme d’études</w:t>
      </w:r>
      <w:r w:rsidRPr="00316277">
        <w:rPr>
          <w:rFonts w:ascii="Arial" w:eastAsia="Calibri" w:hAnsi="Arial" w:cs="Times New Roman"/>
          <w:sz w:val="24"/>
          <w:szCs w:val="22"/>
        </w:rPr>
        <w:t xml:space="preserve"> en formation à distance et d’apporter les ajustements nécessaires.</w:t>
      </w:r>
    </w:p>
    <w:p w14:paraId="715D0736" w14:textId="77777777" w:rsidR="00092EA2" w:rsidRPr="00316277" w:rsidRDefault="00092EA2" w:rsidP="004E4CDE">
      <w:pPr>
        <w:pStyle w:val="N-Commun-Puce"/>
        <w:spacing w:before="0" w:after="0"/>
        <w:ind w:left="567" w:hanging="567"/>
        <w:rPr>
          <w:rFonts w:ascii="Arial" w:eastAsia="Calibri" w:hAnsi="Arial" w:cs="Times New Roman"/>
          <w:sz w:val="24"/>
          <w:szCs w:val="22"/>
        </w:rPr>
      </w:pPr>
    </w:p>
    <w:p w14:paraId="4312921B" w14:textId="18EA8394" w:rsidR="00E51EC8" w:rsidRPr="00316277" w:rsidRDefault="00E51EC8" w:rsidP="00092EA2">
      <w:pPr>
        <w:pStyle w:val="N-Commun-Puce"/>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Par la suite, à la demande de la Commission des études, d’un département concerné ou du comité de programme concerné, un deuxième suivi est effectué.</w:t>
      </w:r>
    </w:p>
    <w:p w14:paraId="77C67A09" w14:textId="77777777" w:rsidR="00092EA2" w:rsidRPr="00316277" w:rsidRDefault="00092EA2" w:rsidP="00092EA2">
      <w:pPr>
        <w:pStyle w:val="N-Commun-Puce"/>
        <w:spacing w:before="0" w:after="0"/>
        <w:ind w:left="567" w:firstLine="0"/>
        <w:rPr>
          <w:rFonts w:ascii="Arial" w:eastAsia="Calibri" w:hAnsi="Arial" w:cs="Times New Roman"/>
          <w:sz w:val="24"/>
          <w:szCs w:val="22"/>
        </w:rPr>
      </w:pPr>
    </w:p>
    <w:p w14:paraId="3A7BE1F0" w14:textId="1444B118" w:rsidR="00E51EC8" w:rsidRPr="00316277" w:rsidRDefault="00E51EC8" w:rsidP="00092EA2">
      <w:pPr>
        <w:pStyle w:val="N-Commun-Puce"/>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De plus, tout programme d’études ou partie de programme d’études en formation à distance déjà en œuvre à la signature de la convention collective 2023-2028 peut faire l’objet d’un suivi si la Commission des études ou un département concerné en fait la demande.</w:t>
      </w:r>
    </w:p>
    <w:p w14:paraId="2A4AA915" w14:textId="77777777" w:rsidR="00092EA2" w:rsidRPr="00316277" w:rsidRDefault="00092EA2" w:rsidP="00092EA2">
      <w:pPr>
        <w:pStyle w:val="N-Commun-Puce"/>
        <w:spacing w:before="0" w:after="0"/>
        <w:ind w:left="567" w:firstLine="0"/>
        <w:rPr>
          <w:rFonts w:ascii="Arial" w:eastAsia="Calibri" w:hAnsi="Arial" w:cs="Times New Roman"/>
          <w:sz w:val="24"/>
          <w:szCs w:val="22"/>
        </w:rPr>
      </w:pPr>
    </w:p>
    <w:p w14:paraId="5AE9293F" w14:textId="48B9B490" w:rsidR="00F5403E" w:rsidRPr="00316277" w:rsidRDefault="00F5403E" w:rsidP="00864798">
      <w:pPr>
        <w:pStyle w:val="N-Commun-Puce"/>
        <w:numPr>
          <w:ilvl w:val="0"/>
          <w:numId w:val="55"/>
        </w:numPr>
        <w:spacing w:before="0" w:after="0"/>
        <w:ind w:left="567" w:hanging="567"/>
        <w:rPr>
          <w:rFonts w:ascii="Arial" w:eastAsia="Calibri" w:hAnsi="Arial" w:cs="Times New Roman"/>
          <w:sz w:val="24"/>
          <w:szCs w:val="22"/>
        </w:rPr>
      </w:pPr>
      <w:r w:rsidRPr="00316277">
        <w:rPr>
          <w:rFonts w:ascii="Arial" w:eastAsia="Calibri" w:hAnsi="Arial" w:cs="Times New Roman"/>
          <w:sz w:val="24"/>
          <w:szCs w:val="22"/>
        </w:rPr>
        <w:t>Après consultation de la Commission des études et des enseignantes et enseignants à la formation continue des disciplines concernées et après avoir soumis la question au CRT, le Collège peut mettre en œuvre un projet de formation à distance à la formation continue afin de favoriser l’accessibilité aux études supérieures d’ordre collégial pour les étudiantes et étudiants effectuant un retour aux études qui sont en emploi ou qui doivent composer avec la conciliation famille-travail-études.</w:t>
      </w:r>
    </w:p>
    <w:p w14:paraId="361E6FF4" w14:textId="77777777" w:rsidR="00092EA2" w:rsidRPr="00316277" w:rsidRDefault="00092EA2" w:rsidP="00092EA2">
      <w:pPr>
        <w:pStyle w:val="N-Commun-Puce"/>
        <w:spacing w:before="0" w:after="0"/>
        <w:ind w:left="900" w:firstLine="0"/>
        <w:rPr>
          <w:rFonts w:ascii="Arial" w:eastAsia="Calibri" w:hAnsi="Arial" w:cs="Times New Roman"/>
          <w:sz w:val="24"/>
          <w:szCs w:val="22"/>
        </w:rPr>
      </w:pPr>
    </w:p>
    <w:p w14:paraId="3DE048D4" w14:textId="666A9412" w:rsidR="00F5403E" w:rsidRPr="00316277" w:rsidRDefault="00F5403E" w:rsidP="00092EA2">
      <w:pPr>
        <w:pStyle w:val="N-Commun-Puce"/>
        <w:tabs>
          <w:tab w:val="left" w:pos="567"/>
        </w:tabs>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Cette consultation doit avoir lieu au moins un (1) mois avant la mise en œuvre du projet. La consultation doit notamment porter sur l’évaluation de la pertinence du projet, les besoins auxquels il vise à répondre ainsi que les impacts sur les conditions d’enseignement et d’études.</w:t>
      </w:r>
    </w:p>
    <w:p w14:paraId="21BF686F" w14:textId="77777777" w:rsidR="00092EA2" w:rsidRPr="00316277" w:rsidRDefault="00092EA2" w:rsidP="00092EA2">
      <w:pPr>
        <w:pStyle w:val="N-Commun-Puce"/>
        <w:tabs>
          <w:tab w:val="left" w:pos="567"/>
        </w:tabs>
        <w:spacing w:before="0" w:after="0"/>
        <w:ind w:left="567" w:firstLine="0"/>
        <w:rPr>
          <w:rFonts w:ascii="Arial" w:eastAsia="Calibri" w:hAnsi="Arial" w:cs="Times New Roman"/>
          <w:sz w:val="24"/>
          <w:szCs w:val="22"/>
        </w:rPr>
      </w:pPr>
    </w:p>
    <w:p w14:paraId="62D2E1B6" w14:textId="291D9CE0" w:rsidR="00E211CF" w:rsidRPr="00316277" w:rsidRDefault="00E211CF" w:rsidP="00092EA2">
      <w:pPr>
        <w:pStyle w:val="N-Commun-Puce"/>
        <w:tabs>
          <w:tab w:val="left" w:pos="567"/>
        </w:tabs>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Un suivi de l’expérimentation auprès de la Commission des études et des enseignantes et enseignants à la formation continue des disciplines concernées doit être complété dans un délai raisonnable après sa mise en œuvre. Les résultats de l’expérimentation, de même que les avis recueillis, constituent des éléments à prendre en compte pour évaluer la pertinence de continuer d’offrir le programme ou une partie du programme d’études en formation à distance et d’apporter les ajustements nécessaires.</w:t>
      </w:r>
    </w:p>
    <w:p w14:paraId="370C0CF0" w14:textId="77777777" w:rsidR="00092EA2" w:rsidRPr="00316277" w:rsidRDefault="00092EA2" w:rsidP="00092EA2">
      <w:pPr>
        <w:pStyle w:val="N-Commun-Puce"/>
        <w:tabs>
          <w:tab w:val="left" w:pos="567"/>
        </w:tabs>
        <w:spacing w:before="0" w:after="0"/>
        <w:ind w:left="567" w:firstLine="0"/>
        <w:rPr>
          <w:rFonts w:ascii="Arial" w:eastAsia="Calibri" w:hAnsi="Arial" w:cs="Times New Roman"/>
          <w:sz w:val="24"/>
          <w:szCs w:val="22"/>
        </w:rPr>
      </w:pPr>
    </w:p>
    <w:p w14:paraId="7A00E948" w14:textId="64592695" w:rsidR="00F5403E" w:rsidRPr="00316277" w:rsidRDefault="00F5403E" w:rsidP="00092EA2">
      <w:pPr>
        <w:pStyle w:val="N-Commun-Puce"/>
        <w:spacing w:before="0" w:after="0"/>
        <w:ind w:left="567" w:firstLine="0"/>
        <w:rPr>
          <w:rFonts w:ascii="Arial" w:eastAsia="Calibri" w:hAnsi="Arial" w:cs="Times New Roman"/>
          <w:sz w:val="24"/>
          <w:szCs w:val="22"/>
        </w:rPr>
      </w:pPr>
      <w:r w:rsidRPr="00316277">
        <w:rPr>
          <w:rFonts w:ascii="Arial" w:eastAsia="Calibri" w:hAnsi="Arial" w:cs="Times New Roman"/>
          <w:sz w:val="24"/>
          <w:szCs w:val="22"/>
        </w:rPr>
        <w:t>Par la suite, à la demande de la Commission des études ou des enseignantes et enseignants à la formation continue des disciplines concernées, un deuxième suivi est effectué.</w:t>
      </w:r>
    </w:p>
    <w:p w14:paraId="4B2A0256" w14:textId="77777777" w:rsidR="00092EA2" w:rsidRPr="00316277" w:rsidRDefault="00092EA2" w:rsidP="00092EA2">
      <w:pPr>
        <w:pStyle w:val="N-Commun-Puce"/>
        <w:spacing w:before="0" w:after="0"/>
        <w:ind w:left="567" w:firstLine="0"/>
        <w:rPr>
          <w:rFonts w:ascii="Arial" w:eastAsia="Calibri" w:hAnsi="Arial" w:cs="Times New Roman"/>
          <w:sz w:val="24"/>
          <w:szCs w:val="22"/>
        </w:rPr>
      </w:pPr>
    </w:p>
    <w:p w14:paraId="10026E2A" w14:textId="35787034" w:rsidR="00F5403E" w:rsidRPr="00316277" w:rsidRDefault="00F5403E" w:rsidP="00092EA2">
      <w:pPr>
        <w:pStyle w:val="N-Commun-Puce"/>
        <w:tabs>
          <w:tab w:val="left" w:pos="567"/>
        </w:tabs>
        <w:suppressAutoHyphens/>
        <w:spacing w:before="0" w:after="0"/>
        <w:ind w:left="567" w:hanging="1"/>
        <w:rPr>
          <w:rFonts w:ascii="Arial" w:eastAsia="Calibri" w:hAnsi="Arial" w:cs="Times New Roman"/>
          <w:sz w:val="24"/>
          <w:szCs w:val="22"/>
        </w:rPr>
      </w:pPr>
      <w:r w:rsidRPr="00316277">
        <w:rPr>
          <w:rFonts w:ascii="Arial" w:eastAsia="Calibri" w:hAnsi="Arial" w:cs="Times New Roman"/>
          <w:sz w:val="24"/>
          <w:szCs w:val="22"/>
        </w:rPr>
        <w:t>De plus, tout programme d’études ou partie de programme d’études de formation à distance déjà en œuvre à la signature de la convention collective 2023-202</w:t>
      </w:r>
      <w:r w:rsidR="006C6D56" w:rsidRPr="00316277">
        <w:rPr>
          <w:rFonts w:ascii="Arial" w:eastAsia="Calibri" w:hAnsi="Arial" w:cs="Times New Roman"/>
          <w:sz w:val="24"/>
          <w:szCs w:val="22"/>
        </w:rPr>
        <w:t>8</w:t>
      </w:r>
      <w:r w:rsidRPr="00316277">
        <w:rPr>
          <w:rFonts w:ascii="Arial" w:eastAsia="Calibri" w:hAnsi="Arial" w:cs="Times New Roman"/>
          <w:sz w:val="24"/>
          <w:szCs w:val="22"/>
        </w:rPr>
        <w:t xml:space="preserve"> peut faire l’objet d’un suivi si la Commission des études ou les enseignantes et enseignants à la formation continue des disciplines concernées en font la demande.</w:t>
      </w:r>
    </w:p>
    <w:p w14:paraId="68755088" w14:textId="77777777" w:rsidR="00092EA2" w:rsidRPr="00316277" w:rsidRDefault="00092EA2" w:rsidP="00092EA2">
      <w:pPr>
        <w:pStyle w:val="N-Commun-Puce"/>
        <w:tabs>
          <w:tab w:val="left" w:pos="567"/>
        </w:tabs>
        <w:suppressAutoHyphens/>
        <w:spacing w:before="0" w:after="0"/>
        <w:ind w:left="567" w:hanging="1"/>
        <w:rPr>
          <w:rFonts w:ascii="Arial" w:eastAsia="Calibri" w:hAnsi="Arial" w:cs="Times New Roman"/>
          <w:sz w:val="24"/>
          <w:szCs w:val="22"/>
        </w:rPr>
      </w:pPr>
    </w:p>
    <w:p w14:paraId="119B348A" w14:textId="39E3674F" w:rsidR="00312517" w:rsidRDefault="00F5403E" w:rsidP="00092EA2">
      <w:pPr>
        <w:keepNext w:val="0"/>
        <w:tabs>
          <w:tab w:val="left" w:pos="709"/>
        </w:tabs>
        <w:ind w:left="567" w:hanging="567"/>
      </w:pPr>
      <w:r w:rsidRPr="00316277">
        <w:rPr>
          <w:rFonts w:eastAsia="Calibri"/>
          <w:snapToGrid/>
          <w:szCs w:val="22"/>
          <w:lang w:eastAsia="en-US"/>
        </w:rPr>
        <w:t>06.</w:t>
      </w:r>
      <w:r w:rsidRPr="00316277">
        <w:rPr>
          <w:rFonts w:eastAsia="Calibri"/>
          <w:snapToGrid/>
          <w:szCs w:val="22"/>
          <w:lang w:eastAsia="en-US"/>
        </w:rPr>
        <w:tab/>
        <w:t>À la demande de l’une des parties nationales, celles-ci se rencontrent pour discuter des difficultés d’application de la convention collective, notamment l’allocation des ressources et le calcul de la charge individuelle (CI).</w:t>
      </w:r>
      <w:r w:rsidR="00404F34" w:rsidRPr="00026EC1">
        <w:br w:type="page"/>
      </w:r>
      <w:bookmarkStart w:id="1648" w:name="_Toc133760925"/>
      <w:bookmarkStart w:id="1649" w:name="_Toc133917073"/>
      <w:bookmarkStart w:id="1650" w:name="_Toc134437345"/>
      <w:bookmarkStart w:id="1651" w:name="_Toc393449519"/>
      <w:bookmarkStart w:id="1652" w:name="_Toc462751652"/>
      <w:bookmarkStart w:id="1653" w:name="_Toc484082671"/>
    </w:p>
    <w:p w14:paraId="31286B99" w14:textId="77777777" w:rsidR="003A2DA1" w:rsidRDefault="003C73E5" w:rsidP="003A2DA1">
      <w:pPr>
        <w:pStyle w:val="Heading3"/>
        <w:keepNext w:val="0"/>
        <w:spacing w:after="0"/>
      </w:pPr>
      <w:bookmarkStart w:id="1654" w:name="_Toc168479633"/>
      <w:r w:rsidRPr="00316277">
        <w:t>Annexe VII-4</w:t>
      </w:r>
      <w:r w:rsidRPr="0033506A">
        <w:br/>
      </w:r>
      <w:r w:rsidRPr="0033506A">
        <w:br/>
      </w:r>
      <w:r w:rsidR="003A2DA1" w:rsidRPr="00316277">
        <w:t>Annexe relative à un comité interronde sur la commission pédagogique</w:t>
      </w:r>
      <w:bookmarkEnd w:id="1654"/>
    </w:p>
    <w:p w14:paraId="76B48D2B" w14:textId="77777777" w:rsidR="003A2DA1" w:rsidRPr="00925692" w:rsidRDefault="003A2DA1" w:rsidP="003A2DA1">
      <w:pPr>
        <w:keepNext w:val="0"/>
      </w:pPr>
    </w:p>
    <w:p w14:paraId="07989A7E" w14:textId="77777777" w:rsidR="003A2DA1" w:rsidRPr="00316277" w:rsidRDefault="003A2DA1" w:rsidP="00864798">
      <w:pPr>
        <w:pStyle w:val="NormalWeb"/>
        <w:keepNext w:val="0"/>
        <w:numPr>
          <w:ilvl w:val="0"/>
          <w:numId w:val="57"/>
        </w:numPr>
        <w:suppressAutoHyphens w:val="0"/>
        <w:ind w:left="426"/>
        <w:rPr>
          <w:rFonts w:ascii="Arial" w:eastAsia="Calibri" w:hAnsi="Arial" w:cs="Arial"/>
          <w:szCs w:val="22"/>
        </w:rPr>
      </w:pPr>
      <w:r w:rsidRPr="00316277">
        <w:rPr>
          <w:rFonts w:ascii="Arial" w:eastAsia="Calibri" w:hAnsi="Arial" w:cs="Arial"/>
          <w:szCs w:val="22"/>
        </w:rPr>
        <w:t>Dans les cent-vingt (120) jours suivant l’entrée en vigueur de la convention collective, un comité interronde relatif à la commission pédagogique est formé.</w:t>
      </w:r>
    </w:p>
    <w:p w14:paraId="046B8E99" w14:textId="77777777" w:rsidR="003A2DA1" w:rsidRPr="00316277" w:rsidRDefault="003A2DA1" w:rsidP="003A2DA1">
      <w:pPr>
        <w:pStyle w:val="NormalWeb"/>
        <w:keepNext w:val="0"/>
        <w:suppressAutoHyphens w:val="0"/>
        <w:ind w:left="426"/>
        <w:rPr>
          <w:rFonts w:ascii="Arial" w:eastAsia="Calibri" w:hAnsi="Arial" w:cs="Arial"/>
          <w:szCs w:val="22"/>
        </w:rPr>
      </w:pPr>
    </w:p>
    <w:p w14:paraId="2D4A2740" w14:textId="77777777" w:rsidR="003A2DA1" w:rsidRPr="00316277" w:rsidRDefault="003A2DA1" w:rsidP="00864798">
      <w:pPr>
        <w:pStyle w:val="NormalWeb"/>
        <w:keepNext w:val="0"/>
        <w:numPr>
          <w:ilvl w:val="0"/>
          <w:numId w:val="57"/>
        </w:numPr>
        <w:suppressAutoHyphens w:val="0"/>
        <w:ind w:left="426"/>
        <w:rPr>
          <w:rFonts w:ascii="Arial" w:eastAsia="Calibri" w:hAnsi="Arial" w:cs="Arial"/>
          <w:szCs w:val="22"/>
        </w:rPr>
      </w:pPr>
      <w:r w:rsidRPr="00316277">
        <w:rPr>
          <w:rFonts w:ascii="Arial" w:eastAsia="Calibri" w:hAnsi="Arial" w:cs="Arial"/>
          <w:szCs w:val="22"/>
        </w:rPr>
        <w:t>Ce comité est composé de deux (2) représentantes ou représentants désignés par la FNEEQ (CSN) et de deux (2) représentantes ou représentants désignés par le Ministère et par la Fédération des cégeps.</w:t>
      </w:r>
    </w:p>
    <w:p w14:paraId="10D08769" w14:textId="77777777" w:rsidR="003A2DA1" w:rsidRPr="00316277" w:rsidRDefault="003A2DA1" w:rsidP="003A2DA1">
      <w:pPr>
        <w:pStyle w:val="ListParagraph"/>
        <w:rPr>
          <w:rFonts w:cs="Arial"/>
        </w:rPr>
      </w:pPr>
    </w:p>
    <w:p w14:paraId="2AE793B9" w14:textId="77777777" w:rsidR="003A2DA1" w:rsidRPr="00316277" w:rsidRDefault="003A2DA1" w:rsidP="00864798">
      <w:pPr>
        <w:pStyle w:val="NormalWeb"/>
        <w:keepNext w:val="0"/>
        <w:numPr>
          <w:ilvl w:val="0"/>
          <w:numId w:val="57"/>
        </w:numPr>
        <w:suppressAutoHyphens w:val="0"/>
        <w:ind w:left="426"/>
        <w:rPr>
          <w:rFonts w:ascii="Arial" w:eastAsia="Calibri" w:hAnsi="Arial" w:cs="Arial"/>
          <w:szCs w:val="22"/>
        </w:rPr>
      </w:pPr>
      <w:r w:rsidRPr="00316277">
        <w:rPr>
          <w:rFonts w:ascii="Arial" w:eastAsia="Calibri" w:hAnsi="Arial" w:cs="Arial"/>
          <w:szCs w:val="22"/>
        </w:rPr>
        <w:t>Ce comité a pour mandat de discuter des enjeux liés à la commission pédagogique.</w:t>
      </w:r>
    </w:p>
    <w:p w14:paraId="111AEC1D" w14:textId="77777777" w:rsidR="003A2DA1" w:rsidRPr="00316277" w:rsidRDefault="003A2DA1" w:rsidP="003A2DA1">
      <w:pPr>
        <w:pStyle w:val="ListParagraph"/>
        <w:rPr>
          <w:rFonts w:cs="Arial"/>
        </w:rPr>
      </w:pPr>
    </w:p>
    <w:p w14:paraId="50E0C816" w14:textId="77777777" w:rsidR="003A2DA1" w:rsidRPr="00316277" w:rsidRDefault="003A2DA1" w:rsidP="00864798">
      <w:pPr>
        <w:pStyle w:val="NormalWeb"/>
        <w:keepNext w:val="0"/>
        <w:numPr>
          <w:ilvl w:val="0"/>
          <w:numId w:val="57"/>
        </w:numPr>
        <w:suppressAutoHyphens w:val="0"/>
        <w:ind w:left="426"/>
        <w:rPr>
          <w:rFonts w:ascii="Arial" w:eastAsia="Calibri" w:hAnsi="Arial" w:cs="Arial"/>
          <w:szCs w:val="22"/>
        </w:rPr>
      </w:pPr>
      <w:r w:rsidRPr="00316277">
        <w:rPr>
          <w:rFonts w:ascii="Arial" w:eastAsia="Calibri" w:hAnsi="Arial" w:cs="Arial"/>
          <w:szCs w:val="22"/>
        </w:rPr>
        <w:t>Les travaux de ce comité viennent à échéance au plus tard le 31 décembre 2026.</w:t>
      </w:r>
    </w:p>
    <w:p w14:paraId="3FF0F4EB" w14:textId="5A68CCA2" w:rsidR="00C923CA" w:rsidRPr="005C3941" w:rsidRDefault="00C923CA" w:rsidP="003A2DA1">
      <w:pPr>
        <w:pStyle w:val="Heading3"/>
        <w:keepNext w:val="0"/>
        <w:spacing w:after="0"/>
        <w:ind w:left="567" w:hanging="567"/>
        <w:rPr>
          <w:rFonts w:cs="Arial"/>
          <w:b w:val="0"/>
          <w:caps w:val="0"/>
          <w:szCs w:val="24"/>
        </w:rPr>
      </w:pPr>
      <w:r w:rsidRPr="005C3941">
        <w:rPr>
          <w:rFonts w:cs="Arial"/>
          <w:szCs w:val="24"/>
        </w:rPr>
        <w:br w:type="page"/>
      </w:r>
    </w:p>
    <w:p w14:paraId="17C51C4E" w14:textId="40066962" w:rsidR="00831EC7" w:rsidRPr="007603C5" w:rsidRDefault="00831EC7" w:rsidP="00C30738">
      <w:pPr>
        <w:pStyle w:val="Heading3"/>
        <w:keepNext w:val="0"/>
        <w:spacing w:after="0"/>
      </w:pPr>
      <w:bookmarkStart w:id="1655" w:name="_Toc168479634"/>
      <w:r w:rsidRPr="007603C5">
        <w:t>Annexe VII</w:t>
      </w:r>
      <w:r w:rsidR="0017646C">
        <w:t>-</w:t>
      </w:r>
      <w:r w:rsidR="00C802AC" w:rsidRPr="007603C5">
        <w:t>5</w:t>
      </w:r>
      <w:r w:rsidRPr="007603C5">
        <w:br/>
      </w:r>
      <w:r w:rsidRPr="007603C5">
        <w:br/>
        <w:t>A</w:t>
      </w:r>
      <w:r w:rsidR="00966581" w:rsidRPr="007603C5">
        <w:t>nnexe relative à la liberté académique</w:t>
      </w:r>
      <w:bookmarkEnd w:id="1655"/>
    </w:p>
    <w:p w14:paraId="1E31E369" w14:textId="77777777" w:rsidR="00905699" w:rsidRDefault="00905699" w:rsidP="007F120F">
      <w:pPr>
        <w:keepNext w:val="0"/>
        <w:rPr>
          <w:rFonts w:eastAsia="Calibri" w:cs="Arial"/>
          <w:szCs w:val="22"/>
        </w:rPr>
      </w:pPr>
    </w:p>
    <w:p w14:paraId="048973BA" w14:textId="3CD6F997" w:rsidR="0091227F" w:rsidRPr="007603C5" w:rsidRDefault="0091227F" w:rsidP="007F120F">
      <w:pPr>
        <w:keepNext w:val="0"/>
        <w:rPr>
          <w:rFonts w:eastAsia="Calibri" w:cs="Arial"/>
          <w:szCs w:val="22"/>
        </w:rPr>
      </w:pPr>
      <w:r w:rsidRPr="007603C5">
        <w:rPr>
          <w:rFonts w:eastAsia="Calibri" w:cs="Arial"/>
          <w:szCs w:val="22"/>
        </w:rPr>
        <w:t>Toute enseignante et tout enseignant bénéficie des libertés d’enseignement, de recherche et d’expression inhérentes à son rôle et ses responsabilités au sein d’une institution d’enseignement supérieur de caractère public; ses droits ne peuvent être affectés par le collège en autant que ces libertés sont exercées dans le respect de ses obligations vis</w:t>
      </w:r>
      <w:r w:rsidR="00984A6F">
        <w:rPr>
          <w:rFonts w:eastAsia="Calibri" w:cs="Arial"/>
          <w:szCs w:val="22"/>
        </w:rPr>
        <w:noBreakHyphen/>
      </w:r>
      <w:r w:rsidRPr="007603C5">
        <w:rPr>
          <w:rFonts w:eastAsia="Calibri" w:cs="Arial"/>
          <w:szCs w:val="22"/>
        </w:rPr>
        <w:t>à</w:t>
      </w:r>
      <w:r w:rsidR="00984A6F">
        <w:rPr>
          <w:rFonts w:eastAsia="Calibri" w:cs="Arial"/>
          <w:szCs w:val="22"/>
        </w:rPr>
        <w:noBreakHyphen/>
      </w:r>
      <w:r w:rsidRPr="007603C5">
        <w:rPr>
          <w:rFonts w:eastAsia="Calibri" w:cs="Arial"/>
          <w:szCs w:val="22"/>
        </w:rPr>
        <w:t>vis celui</w:t>
      </w:r>
      <w:r w:rsidR="00984A6F">
        <w:rPr>
          <w:rFonts w:eastAsia="Calibri" w:cs="Arial"/>
          <w:szCs w:val="22"/>
        </w:rPr>
        <w:noBreakHyphen/>
      </w:r>
      <w:r w:rsidRPr="007603C5">
        <w:rPr>
          <w:rFonts w:eastAsia="Calibri" w:cs="Arial"/>
          <w:szCs w:val="22"/>
        </w:rPr>
        <w:t>ci.</w:t>
      </w:r>
    </w:p>
    <w:p w14:paraId="28295075" w14:textId="77777777" w:rsidR="0091227F" w:rsidRPr="007603C5" w:rsidRDefault="0091227F" w:rsidP="007F120F">
      <w:pPr>
        <w:keepNext w:val="0"/>
        <w:ind w:left="708"/>
        <w:rPr>
          <w:rFonts w:eastAsia="Calibri" w:cs="Arial"/>
          <w:szCs w:val="22"/>
        </w:rPr>
      </w:pPr>
    </w:p>
    <w:p w14:paraId="2D862A4B" w14:textId="3B3C98E6" w:rsidR="0091227F" w:rsidRDefault="0091227F" w:rsidP="00905699">
      <w:pPr>
        <w:keepNext w:val="0"/>
        <w:rPr>
          <w:rFonts w:eastAsia="Calibri" w:cs="Arial"/>
          <w:szCs w:val="22"/>
        </w:rPr>
      </w:pPr>
      <w:r w:rsidRPr="007603C5">
        <w:rPr>
          <w:rFonts w:eastAsia="Calibri" w:cs="Arial"/>
          <w:szCs w:val="22"/>
        </w:rPr>
        <w:t>Aux fins de précision, ces libertés impliquent notamment</w:t>
      </w:r>
      <w:r w:rsidR="00D8581B" w:rsidRPr="007603C5">
        <w:rPr>
          <w:rFonts w:eastAsia="Calibri" w:cs="Arial"/>
          <w:szCs w:val="22"/>
        </w:rPr>
        <w:t> :</w:t>
      </w:r>
    </w:p>
    <w:p w14:paraId="1EC28460" w14:textId="77777777" w:rsidR="00905699" w:rsidRPr="007603C5" w:rsidRDefault="00905699" w:rsidP="00905699">
      <w:pPr>
        <w:keepNext w:val="0"/>
        <w:rPr>
          <w:rFonts w:eastAsia="Calibri" w:cs="Arial"/>
          <w:szCs w:val="22"/>
        </w:rPr>
      </w:pPr>
    </w:p>
    <w:p w14:paraId="0F1143E2" w14:textId="65D9B81F" w:rsidR="0091227F" w:rsidRPr="007603C5" w:rsidRDefault="006331A5" w:rsidP="007F120F">
      <w:pPr>
        <w:pStyle w:val="ListParagraph"/>
        <w:suppressAutoHyphens/>
        <w:autoSpaceDE w:val="0"/>
        <w:autoSpaceDN w:val="0"/>
        <w:adjustRightInd w:val="0"/>
        <w:spacing w:after="209"/>
        <w:ind w:left="709" w:hanging="283"/>
        <w:contextualSpacing/>
        <w:rPr>
          <w:rFonts w:cs="Arial"/>
        </w:rPr>
      </w:pPr>
      <w:r w:rsidRPr="007603C5">
        <w:rPr>
          <w:rFonts w:ascii="Symbol" w:eastAsia="Symbol" w:hAnsi="Symbol" w:cs="Symbol"/>
        </w:rPr>
        <w:t></w:t>
      </w:r>
      <w:r w:rsidR="004524C1" w:rsidRPr="007603C5">
        <w:rPr>
          <w:rFonts w:cs="Arial"/>
        </w:rPr>
        <w:tab/>
      </w:r>
      <w:r w:rsidR="0091227F" w:rsidRPr="007603C5">
        <w:rPr>
          <w:rFonts w:cs="Arial"/>
        </w:rPr>
        <w:t>La liberté de déterminer les savoirs et les contenus essentiels à enseigner de même que de choisir les approches pédagogiques</w:t>
      </w:r>
      <w:r w:rsidR="00E9355A" w:rsidRPr="007603C5">
        <w:rPr>
          <w:rStyle w:val="FootnoteReference"/>
          <w:rFonts w:cs="Arial"/>
        </w:rPr>
        <w:footnoteReference w:id="74"/>
      </w:r>
      <w:r w:rsidR="0091227F" w:rsidRPr="007603C5">
        <w:rPr>
          <w:rFonts w:cs="Arial"/>
        </w:rPr>
        <w:t xml:space="preserve"> et les activités d’évaluation des étudiantes et étudiants;</w:t>
      </w:r>
    </w:p>
    <w:p w14:paraId="4289E374" w14:textId="77777777" w:rsidR="00D16E46" w:rsidRPr="007603C5" w:rsidRDefault="00D16E46" w:rsidP="007F120F">
      <w:pPr>
        <w:pStyle w:val="ListParagraph"/>
        <w:suppressAutoHyphens/>
        <w:autoSpaceDE w:val="0"/>
        <w:autoSpaceDN w:val="0"/>
        <w:adjustRightInd w:val="0"/>
        <w:spacing w:after="209"/>
        <w:ind w:left="709" w:hanging="283"/>
        <w:contextualSpacing/>
        <w:rPr>
          <w:rFonts w:ascii="Symbol" w:eastAsia="Symbol" w:hAnsi="Symbol" w:cs="Symbol"/>
        </w:rPr>
      </w:pPr>
    </w:p>
    <w:p w14:paraId="2465F744" w14:textId="3A49F6B2" w:rsidR="0091227F" w:rsidRPr="007603C5" w:rsidRDefault="00D80F61" w:rsidP="007F120F">
      <w:pPr>
        <w:pStyle w:val="ListParagraph"/>
        <w:suppressAutoHyphens/>
        <w:autoSpaceDE w:val="0"/>
        <w:autoSpaceDN w:val="0"/>
        <w:adjustRightInd w:val="0"/>
        <w:spacing w:after="209"/>
        <w:ind w:left="709" w:hanging="283"/>
        <w:contextualSpacing/>
        <w:rPr>
          <w:rFonts w:cs="Arial"/>
        </w:rPr>
      </w:pPr>
      <w:r w:rsidRPr="007603C5">
        <w:rPr>
          <w:rFonts w:ascii="Symbol" w:eastAsia="Symbol" w:hAnsi="Symbol" w:cs="Symbol"/>
        </w:rPr>
        <w:t></w:t>
      </w:r>
      <w:r w:rsidRPr="007603C5">
        <w:rPr>
          <w:rFonts w:cs="Arial"/>
        </w:rPr>
        <w:tab/>
      </w:r>
      <w:r w:rsidR="0091227F" w:rsidRPr="007603C5">
        <w:rPr>
          <w:rFonts w:cs="Arial"/>
        </w:rPr>
        <w:t>La liberté d’effectuer des activités de recherche et d’en diffuser les résultats, ainsi que la liberté d’exécuter et de diffuser des œuvres de création;</w:t>
      </w:r>
    </w:p>
    <w:p w14:paraId="5B3168B0" w14:textId="77777777" w:rsidR="00D16E46" w:rsidRPr="007603C5" w:rsidRDefault="00D16E46" w:rsidP="007F120F">
      <w:pPr>
        <w:pStyle w:val="ListParagraph"/>
        <w:suppressAutoHyphens/>
        <w:autoSpaceDE w:val="0"/>
        <w:autoSpaceDN w:val="0"/>
        <w:adjustRightInd w:val="0"/>
        <w:spacing w:after="209"/>
        <w:ind w:left="709" w:hanging="283"/>
        <w:contextualSpacing/>
        <w:rPr>
          <w:rFonts w:ascii="Symbol" w:eastAsia="Symbol" w:hAnsi="Symbol" w:cs="Symbol"/>
        </w:rPr>
      </w:pPr>
    </w:p>
    <w:p w14:paraId="76CBAE16" w14:textId="654CF508" w:rsidR="0091227F" w:rsidRPr="007603C5" w:rsidRDefault="00D80F61" w:rsidP="007F120F">
      <w:pPr>
        <w:pStyle w:val="ListParagraph"/>
        <w:suppressAutoHyphens/>
        <w:autoSpaceDE w:val="0"/>
        <w:autoSpaceDN w:val="0"/>
        <w:adjustRightInd w:val="0"/>
        <w:spacing w:after="209"/>
        <w:ind w:left="709" w:hanging="283"/>
        <w:contextualSpacing/>
        <w:rPr>
          <w:rFonts w:cs="Arial"/>
        </w:rPr>
      </w:pPr>
      <w:r w:rsidRPr="007603C5">
        <w:rPr>
          <w:rFonts w:ascii="Symbol" w:eastAsia="Symbol" w:hAnsi="Symbol" w:cs="Symbol"/>
        </w:rPr>
        <w:t></w:t>
      </w:r>
      <w:r w:rsidRPr="007603C5">
        <w:rPr>
          <w:rFonts w:cs="Arial"/>
        </w:rPr>
        <w:tab/>
      </w:r>
      <w:r w:rsidR="0091227F" w:rsidRPr="007603C5">
        <w:rPr>
          <w:rFonts w:cs="Arial"/>
        </w:rPr>
        <w:t>La liberté d’expression, ce qui inclut la liberté de critiquer la société, les institutions, les paradigmes et les opinions, les lois, les politiques, les règlements et les programmes publics</w:t>
      </w:r>
      <w:r w:rsidR="00E31D6E">
        <w:rPr>
          <w:rFonts w:cs="Arial"/>
        </w:rPr>
        <w:t>;</w:t>
      </w:r>
    </w:p>
    <w:p w14:paraId="79ABFBD8" w14:textId="77777777" w:rsidR="00D16E46" w:rsidRPr="007603C5" w:rsidRDefault="00D16E46" w:rsidP="007F120F">
      <w:pPr>
        <w:pStyle w:val="ListParagraph"/>
        <w:suppressAutoHyphens/>
        <w:autoSpaceDE w:val="0"/>
        <w:autoSpaceDN w:val="0"/>
        <w:adjustRightInd w:val="0"/>
        <w:spacing w:after="209"/>
        <w:ind w:left="709" w:hanging="283"/>
        <w:contextualSpacing/>
        <w:rPr>
          <w:rFonts w:ascii="Symbol" w:eastAsia="Symbol" w:hAnsi="Symbol" w:cs="Symbol"/>
        </w:rPr>
      </w:pPr>
    </w:p>
    <w:p w14:paraId="7EE27FA5" w14:textId="75430AF5" w:rsidR="0091227F" w:rsidRPr="007603C5" w:rsidRDefault="00D80F61" w:rsidP="007F120F">
      <w:pPr>
        <w:pStyle w:val="ListParagraph"/>
        <w:suppressAutoHyphens/>
        <w:autoSpaceDE w:val="0"/>
        <w:autoSpaceDN w:val="0"/>
        <w:adjustRightInd w:val="0"/>
        <w:spacing w:after="209"/>
        <w:ind w:left="709" w:hanging="283"/>
        <w:contextualSpacing/>
        <w:rPr>
          <w:rFonts w:cs="Arial"/>
        </w:rPr>
      </w:pPr>
      <w:r w:rsidRPr="007603C5">
        <w:rPr>
          <w:rFonts w:ascii="Symbol" w:eastAsia="Symbol" w:hAnsi="Symbol" w:cs="Symbol"/>
        </w:rPr>
        <w:t></w:t>
      </w:r>
      <w:r w:rsidRPr="007603C5">
        <w:rPr>
          <w:rFonts w:cs="Arial"/>
        </w:rPr>
        <w:tab/>
      </w:r>
      <w:r w:rsidR="0091227F" w:rsidRPr="007603C5">
        <w:rPr>
          <w:rFonts w:cs="Arial"/>
        </w:rPr>
        <w:t xml:space="preserve">L’autonomie de déterminer ses activités en matière de développement professionnel. </w:t>
      </w:r>
    </w:p>
    <w:p w14:paraId="5247CE4F" w14:textId="1B2F97BB" w:rsidR="0091227F" w:rsidRPr="007603C5" w:rsidRDefault="0091227F" w:rsidP="007F120F">
      <w:pPr>
        <w:keepNext w:val="0"/>
        <w:rPr>
          <w:rFonts w:eastAsia="Calibri" w:cs="Arial"/>
          <w:szCs w:val="24"/>
        </w:rPr>
      </w:pPr>
      <w:r w:rsidRPr="007603C5">
        <w:rPr>
          <w:rFonts w:eastAsia="Calibri" w:cs="Arial"/>
          <w:szCs w:val="24"/>
        </w:rPr>
        <w:t>Ces libertés s’exercent</w:t>
      </w:r>
      <w:r w:rsidR="00D8581B" w:rsidRPr="007603C5">
        <w:rPr>
          <w:rFonts w:eastAsia="Calibri" w:cs="Arial"/>
          <w:szCs w:val="24"/>
        </w:rPr>
        <w:t> :</w:t>
      </w:r>
    </w:p>
    <w:p w14:paraId="27C27FCC" w14:textId="77777777" w:rsidR="0091227F" w:rsidRPr="007603C5" w:rsidRDefault="0091227F" w:rsidP="007F120F">
      <w:pPr>
        <w:keepNext w:val="0"/>
        <w:ind w:left="851"/>
        <w:rPr>
          <w:rFonts w:eastAsia="Calibri" w:cs="Arial"/>
          <w:szCs w:val="24"/>
        </w:rPr>
      </w:pPr>
    </w:p>
    <w:p w14:paraId="6BAD7971" w14:textId="094B6826" w:rsidR="0091227F" w:rsidRPr="007603C5" w:rsidRDefault="00C95AB7" w:rsidP="007F120F">
      <w:pPr>
        <w:pStyle w:val="paragraph"/>
        <w:suppressAutoHyphens/>
        <w:spacing w:before="0" w:beforeAutospacing="0" w:after="0" w:afterAutospacing="0"/>
        <w:ind w:left="709" w:hanging="283"/>
        <w:jc w:val="both"/>
        <w:textAlignment w:val="baseline"/>
        <w:rPr>
          <w:rStyle w:val="normaltextrun"/>
          <w:rFonts w:ascii="Arial" w:hAnsi="Arial" w:cs="Arial"/>
        </w:rPr>
      </w:pPr>
      <w:r w:rsidRPr="007603C5">
        <w:rPr>
          <w:rFonts w:ascii="Symbol" w:eastAsia="Symbol" w:hAnsi="Symbol" w:cs="Symbol"/>
        </w:rPr>
        <w:t></w:t>
      </w:r>
      <w:r w:rsidRPr="007603C5">
        <w:rPr>
          <w:rFonts w:cs="Arial"/>
        </w:rPr>
        <w:tab/>
      </w:r>
      <w:r w:rsidR="0091227F" w:rsidRPr="007603C5">
        <w:rPr>
          <w:rStyle w:val="normaltextrun"/>
          <w:rFonts w:ascii="Arial" w:hAnsi="Arial" w:cs="Arial"/>
        </w:rPr>
        <w:t>Avec professionnalisme, discernement et rigueur intellectuelle</w:t>
      </w:r>
      <w:r w:rsidR="0091227F" w:rsidRPr="007603C5">
        <w:rPr>
          <w:rStyle w:val="normaltextrun"/>
          <w:rFonts w:ascii="Arial" w:hAnsi="Arial" w:cs="Arial"/>
          <w:color w:val="000000"/>
        </w:rPr>
        <w:t>;</w:t>
      </w:r>
    </w:p>
    <w:p w14:paraId="4773EE68" w14:textId="77777777" w:rsidR="00D16E46" w:rsidRPr="007603C5" w:rsidRDefault="00D16E46" w:rsidP="007F120F">
      <w:pPr>
        <w:pStyle w:val="ListParagraph"/>
        <w:suppressAutoHyphens/>
        <w:autoSpaceDE w:val="0"/>
        <w:autoSpaceDN w:val="0"/>
        <w:adjustRightInd w:val="0"/>
        <w:ind w:left="709" w:hanging="283"/>
        <w:rPr>
          <w:rFonts w:ascii="Symbol" w:eastAsia="Symbol" w:hAnsi="Symbol" w:cs="Symbol"/>
        </w:rPr>
      </w:pPr>
    </w:p>
    <w:p w14:paraId="7918D710" w14:textId="00AB51F6" w:rsidR="0091227F" w:rsidRPr="007603C5" w:rsidRDefault="009F574F" w:rsidP="007F120F">
      <w:pPr>
        <w:pStyle w:val="ListParagraph"/>
        <w:suppressAutoHyphens/>
        <w:autoSpaceDE w:val="0"/>
        <w:autoSpaceDN w:val="0"/>
        <w:adjustRightInd w:val="0"/>
        <w:ind w:left="709" w:hanging="283"/>
      </w:pPr>
      <w:r w:rsidRPr="007603C5">
        <w:rPr>
          <w:rFonts w:ascii="Symbol" w:eastAsia="Symbol" w:hAnsi="Symbol" w:cs="Symbol"/>
        </w:rPr>
        <w:t></w:t>
      </w:r>
      <w:r w:rsidRPr="007603C5">
        <w:rPr>
          <w:rFonts w:cs="Arial"/>
        </w:rPr>
        <w:tab/>
      </w:r>
      <w:r w:rsidR="0091227F" w:rsidRPr="007603C5">
        <w:t xml:space="preserve">En tenant compte de l’état des connaissances; </w:t>
      </w:r>
    </w:p>
    <w:p w14:paraId="71CE2974" w14:textId="77777777" w:rsidR="00D16E46" w:rsidRPr="007603C5" w:rsidRDefault="00D16E46" w:rsidP="007F120F">
      <w:pPr>
        <w:pStyle w:val="ListParagraph"/>
        <w:suppressAutoHyphens/>
        <w:autoSpaceDE w:val="0"/>
        <w:autoSpaceDN w:val="0"/>
        <w:adjustRightInd w:val="0"/>
        <w:ind w:left="709" w:hanging="283"/>
        <w:rPr>
          <w:rFonts w:ascii="Symbol" w:eastAsia="Symbol" w:hAnsi="Symbol" w:cs="Symbol"/>
        </w:rPr>
      </w:pPr>
    </w:p>
    <w:p w14:paraId="48FF7A1F" w14:textId="458DF3C8" w:rsidR="0091227F" w:rsidRPr="007603C5" w:rsidRDefault="009F574F" w:rsidP="007F120F">
      <w:pPr>
        <w:pStyle w:val="ListParagraph"/>
        <w:suppressAutoHyphens/>
        <w:autoSpaceDE w:val="0"/>
        <w:autoSpaceDN w:val="0"/>
        <w:adjustRightInd w:val="0"/>
        <w:ind w:left="709" w:hanging="283"/>
      </w:pPr>
      <w:r w:rsidRPr="007603C5">
        <w:rPr>
          <w:rFonts w:ascii="Symbol" w:eastAsia="Symbol" w:hAnsi="Symbol" w:cs="Symbol"/>
        </w:rPr>
        <w:t></w:t>
      </w:r>
      <w:r w:rsidRPr="007603C5">
        <w:rPr>
          <w:rFonts w:cs="Arial"/>
        </w:rPr>
        <w:tab/>
      </w:r>
      <w:r w:rsidR="0091227F" w:rsidRPr="007603C5">
        <w:t>Dans la reconnaissance par l’enseignante ou l’enseignant de poursuivre son développement professionnel intrinsèque à l’exercice des activités inhérentes à sa tâche d’enseignement. Ce développement professionnel s’inscrit dans les sphères suivantes: disciplinaire, pédagogique, langagière et numérique;</w:t>
      </w:r>
    </w:p>
    <w:p w14:paraId="1AD06F61" w14:textId="77777777" w:rsidR="00D16E46" w:rsidRPr="007603C5" w:rsidRDefault="00D16E46" w:rsidP="007F120F">
      <w:pPr>
        <w:pStyle w:val="ListParagraph"/>
        <w:suppressAutoHyphens/>
        <w:autoSpaceDE w:val="0"/>
        <w:autoSpaceDN w:val="0"/>
        <w:adjustRightInd w:val="0"/>
        <w:ind w:left="709" w:hanging="283"/>
        <w:rPr>
          <w:rFonts w:ascii="Symbol" w:eastAsia="Symbol" w:hAnsi="Symbol" w:cs="Symbol"/>
        </w:rPr>
      </w:pPr>
    </w:p>
    <w:p w14:paraId="0BFCD41A" w14:textId="2EBCF762" w:rsidR="0091227F" w:rsidRPr="007603C5" w:rsidRDefault="009F574F" w:rsidP="007F120F">
      <w:pPr>
        <w:pStyle w:val="ListParagraph"/>
        <w:suppressAutoHyphens/>
        <w:autoSpaceDE w:val="0"/>
        <w:autoSpaceDN w:val="0"/>
        <w:adjustRightInd w:val="0"/>
        <w:ind w:left="709" w:hanging="283"/>
      </w:pPr>
      <w:r w:rsidRPr="007603C5">
        <w:rPr>
          <w:rFonts w:ascii="Symbol" w:eastAsia="Symbol" w:hAnsi="Symbol" w:cs="Symbol"/>
        </w:rPr>
        <w:t></w:t>
      </w:r>
      <w:r w:rsidRPr="007603C5">
        <w:rPr>
          <w:rFonts w:cs="Arial"/>
        </w:rPr>
        <w:tab/>
      </w:r>
      <w:r w:rsidR="0091227F" w:rsidRPr="007603C5">
        <w:t>Dans la reconnaissance et le respect réciproques des responsabilités dévolues aux enseignantes et enseignants, aux départements, aux comités de programme, au Collège et au Ministère;</w:t>
      </w:r>
    </w:p>
    <w:p w14:paraId="226B2712" w14:textId="77777777" w:rsidR="00C7066B" w:rsidRPr="007603C5" w:rsidRDefault="00C7066B" w:rsidP="007F120F">
      <w:pPr>
        <w:pStyle w:val="ListParagraph"/>
        <w:suppressAutoHyphens/>
        <w:autoSpaceDE w:val="0"/>
        <w:autoSpaceDN w:val="0"/>
        <w:adjustRightInd w:val="0"/>
        <w:ind w:left="709" w:hanging="283"/>
      </w:pPr>
    </w:p>
    <w:p w14:paraId="4283F1B6" w14:textId="275D2208" w:rsidR="00673C06" w:rsidRDefault="009F574F" w:rsidP="00905699">
      <w:pPr>
        <w:pStyle w:val="ListParagraph"/>
        <w:suppressAutoHyphens/>
        <w:autoSpaceDE w:val="0"/>
        <w:autoSpaceDN w:val="0"/>
        <w:adjustRightInd w:val="0"/>
        <w:ind w:left="709" w:hanging="284"/>
      </w:pPr>
      <w:r w:rsidRPr="007603C5">
        <w:rPr>
          <w:rFonts w:ascii="Symbol" w:eastAsia="Symbol" w:hAnsi="Symbol" w:cs="Symbol"/>
        </w:rPr>
        <w:t></w:t>
      </w:r>
      <w:r w:rsidRPr="007603C5">
        <w:rPr>
          <w:rFonts w:cs="Arial"/>
        </w:rPr>
        <w:tab/>
      </w:r>
      <w:r w:rsidR="0091227F" w:rsidRPr="007603C5">
        <w:t>En conformité avec le Code civil du Québec et les autres lois applicables, et dans le respect des droits d’autrui.</w:t>
      </w:r>
      <w:r w:rsidR="00673C06">
        <w:br w:type="page"/>
      </w:r>
    </w:p>
    <w:p w14:paraId="1B1005A5" w14:textId="142337E0" w:rsidR="00673C06" w:rsidRDefault="00673C06" w:rsidP="00673C06">
      <w:pPr>
        <w:pStyle w:val="Heading3"/>
        <w:keepNext w:val="0"/>
        <w:spacing w:after="0"/>
      </w:pPr>
      <w:bookmarkStart w:id="1656" w:name="_Toc168479635"/>
      <w:r w:rsidRPr="00316277">
        <w:t>Annexe VII-6</w:t>
      </w:r>
      <w:r w:rsidRPr="00316277">
        <w:br/>
      </w:r>
      <w:r w:rsidRPr="00316277">
        <w:br/>
        <w:t xml:space="preserve">Annexe relative à </w:t>
      </w:r>
      <w:r w:rsidR="00925692" w:rsidRPr="00316277">
        <w:t>un comité interronde sur la recherche</w:t>
      </w:r>
      <w:bookmarkEnd w:id="1656"/>
    </w:p>
    <w:p w14:paraId="2623532F" w14:textId="77777777" w:rsidR="00925692" w:rsidRPr="00925692" w:rsidRDefault="00925692" w:rsidP="00925692">
      <w:pPr>
        <w:keepNext w:val="0"/>
      </w:pPr>
    </w:p>
    <w:p w14:paraId="78D27B3B" w14:textId="489FF81D" w:rsidR="00925692" w:rsidRPr="00316277" w:rsidRDefault="00925692" w:rsidP="00864798">
      <w:pPr>
        <w:pStyle w:val="ListParagraph"/>
        <w:numPr>
          <w:ilvl w:val="0"/>
          <w:numId w:val="56"/>
        </w:numPr>
        <w:autoSpaceDE w:val="0"/>
        <w:autoSpaceDN w:val="0"/>
        <w:adjustRightInd w:val="0"/>
        <w:ind w:left="567" w:hanging="567"/>
        <w:contextualSpacing/>
        <w:rPr>
          <w:rFonts w:cs="Arial"/>
          <w:snapToGrid w:val="0"/>
          <w:lang w:eastAsia="fr-FR"/>
        </w:rPr>
      </w:pPr>
      <w:r w:rsidRPr="00316277">
        <w:rPr>
          <w:rFonts w:cs="Arial"/>
          <w:snapToGrid w:val="0"/>
          <w:lang w:eastAsia="fr-FR"/>
        </w:rPr>
        <w:t>Un comité interronde relatif à la recherche est mis en place dans les cent-vingt</w:t>
      </w:r>
      <w:r w:rsidR="00BE3579" w:rsidRPr="00316277">
        <w:rPr>
          <w:rFonts w:cs="Arial"/>
          <w:snapToGrid w:val="0"/>
          <w:lang w:eastAsia="fr-FR"/>
        </w:rPr>
        <w:t> </w:t>
      </w:r>
      <w:r w:rsidRPr="00316277">
        <w:rPr>
          <w:rFonts w:cs="Arial"/>
          <w:snapToGrid w:val="0"/>
          <w:lang w:eastAsia="fr-FR"/>
        </w:rPr>
        <w:t>(120) jours suivant la signature de la convention collective.</w:t>
      </w:r>
    </w:p>
    <w:p w14:paraId="1FF1C445" w14:textId="77777777" w:rsidR="00925692" w:rsidRPr="00316277" w:rsidRDefault="00925692" w:rsidP="00D91374">
      <w:pPr>
        <w:pStyle w:val="ListParagraph"/>
        <w:autoSpaceDE w:val="0"/>
        <w:autoSpaceDN w:val="0"/>
        <w:adjustRightInd w:val="0"/>
        <w:ind w:left="567"/>
        <w:contextualSpacing/>
        <w:rPr>
          <w:rFonts w:cs="Arial"/>
          <w:snapToGrid w:val="0"/>
          <w:lang w:eastAsia="fr-FR"/>
        </w:rPr>
      </w:pPr>
    </w:p>
    <w:p w14:paraId="3DCE82BD" w14:textId="1A089186" w:rsidR="00925692" w:rsidRPr="00316277" w:rsidRDefault="00925692" w:rsidP="00864798">
      <w:pPr>
        <w:pStyle w:val="N-FNEEQ"/>
        <w:numPr>
          <w:ilvl w:val="0"/>
          <w:numId w:val="56"/>
        </w:numPr>
        <w:spacing w:before="0" w:after="0" w:line="240" w:lineRule="auto"/>
        <w:ind w:left="567" w:hanging="567"/>
        <w:rPr>
          <w:rFonts w:ascii="Arial" w:eastAsia="Calibri" w:hAnsi="Arial" w:cs="Arial"/>
          <w:snapToGrid w:val="0"/>
          <w:color w:val="auto"/>
          <w:sz w:val="24"/>
          <w:szCs w:val="22"/>
          <w:lang w:eastAsia="fr-FR"/>
        </w:rPr>
      </w:pPr>
      <w:r w:rsidRPr="00316277">
        <w:rPr>
          <w:rFonts w:ascii="Arial" w:eastAsia="Calibri" w:hAnsi="Arial" w:cs="Arial"/>
          <w:snapToGrid w:val="0"/>
          <w:color w:val="auto"/>
          <w:sz w:val="24"/>
          <w:szCs w:val="22"/>
          <w:lang w:eastAsia="fr-FR"/>
        </w:rPr>
        <w:t>Ce comité est composé de deux</w:t>
      </w:r>
      <w:r w:rsidR="00BE3579" w:rsidRPr="00316277">
        <w:rPr>
          <w:rFonts w:ascii="Arial" w:eastAsia="Calibri" w:hAnsi="Arial" w:cs="Arial"/>
          <w:snapToGrid w:val="0"/>
          <w:color w:val="auto"/>
          <w:sz w:val="24"/>
          <w:szCs w:val="22"/>
          <w:lang w:eastAsia="fr-FR"/>
        </w:rPr>
        <w:t> </w:t>
      </w:r>
      <w:r w:rsidRPr="00316277">
        <w:rPr>
          <w:rFonts w:ascii="Arial" w:eastAsia="Calibri" w:hAnsi="Arial" w:cs="Arial"/>
          <w:snapToGrid w:val="0"/>
          <w:color w:val="auto"/>
          <w:sz w:val="24"/>
          <w:szCs w:val="22"/>
          <w:lang w:eastAsia="fr-FR"/>
        </w:rPr>
        <w:t>(2) représentantes ou représentants désignés par la FNEEQ (CSN), de deux</w:t>
      </w:r>
      <w:r w:rsidR="00BE3579" w:rsidRPr="00316277">
        <w:rPr>
          <w:rFonts w:ascii="Arial" w:eastAsia="Calibri" w:hAnsi="Arial" w:cs="Arial"/>
          <w:snapToGrid w:val="0"/>
          <w:color w:val="auto"/>
          <w:sz w:val="24"/>
          <w:szCs w:val="22"/>
          <w:lang w:eastAsia="fr-FR"/>
        </w:rPr>
        <w:t> </w:t>
      </w:r>
      <w:r w:rsidRPr="00316277">
        <w:rPr>
          <w:rFonts w:ascii="Arial" w:eastAsia="Calibri" w:hAnsi="Arial" w:cs="Arial"/>
          <w:snapToGrid w:val="0"/>
          <w:color w:val="auto"/>
          <w:sz w:val="24"/>
          <w:szCs w:val="22"/>
          <w:lang w:eastAsia="fr-FR"/>
        </w:rPr>
        <w:t>(2) représentantes ou représentants désignés par la FEC (CSQ), d’une représentante ou d’un représentant désigné par la Fédération des cégeps et d’une représentante ou d’un représentant désigné par le ministère de l’Enseignement supérieur.</w:t>
      </w:r>
    </w:p>
    <w:p w14:paraId="66833B5B" w14:textId="77777777" w:rsidR="00925692" w:rsidRPr="00316277" w:rsidRDefault="00925692" w:rsidP="00D91374">
      <w:pPr>
        <w:pStyle w:val="ListParagraph"/>
        <w:rPr>
          <w:rFonts w:cs="Arial"/>
          <w:snapToGrid w:val="0"/>
          <w:lang w:eastAsia="fr-FR"/>
        </w:rPr>
      </w:pPr>
    </w:p>
    <w:p w14:paraId="367A73B0" w14:textId="5388FA82" w:rsidR="00925692" w:rsidRPr="00316277" w:rsidRDefault="00925692" w:rsidP="00864798">
      <w:pPr>
        <w:pStyle w:val="N-FNEEQ"/>
        <w:numPr>
          <w:ilvl w:val="0"/>
          <w:numId w:val="56"/>
        </w:numPr>
        <w:spacing w:before="0" w:after="0" w:line="240" w:lineRule="auto"/>
        <w:ind w:left="567" w:hanging="567"/>
        <w:rPr>
          <w:rFonts w:ascii="Arial" w:eastAsia="Calibri" w:hAnsi="Arial" w:cs="Arial"/>
          <w:snapToGrid w:val="0"/>
          <w:color w:val="auto"/>
          <w:sz w:val="24"/>
          <w:szCs w:val="22"/>
          <w:lang w:eastAsia="fr-FR"/>
        </w:rPr>
      </w:pPr>
      <w:r w:rsidRPr="00316277">
        <w:rPr>
          <w:rFonts w:ascii="Arial" w:eastAsia="Calibri" w:hAnsi="Arial" w:cs="Arial"/>
          <w:snapToGrid w:val="0"/>
          <w:color w:val="auto"/>
          <w:sz w:val="24"/>
          <w:szCs w:val="22"/>
          <w:lang w:eastAsia="fr-FR"/>
        </w:rPr>
        <w:t>Ce comité a pour mandat de procéder à la documentation et à l’analyse des enjeux spécifiques aux enseignantes et enseignants quant à l’exercice de fonctions de recherche, en tenant compte notamment de l’impact et de l’interaction du statut d’emploi avec ces fonctions.</w:t>
      </w:r>
    </w:p>
    <w:p w14:paraId="00BB3B25" w14:textId="77777777" w:rsidR="00925692" w:rsidRPr="00316277" w:rsidRDefault="00925692" w:rsidP="00D91374">
      <w:pPr>
        <w:pStyle w:val="ListParagraph"/>
        <w:rPr>
          <w:rFonts w:cs="Arial"/>
          <w:snapToGrid w:val="0"/>
          <w:lang w:eastAsia="fr-FR"/>
        </w:rPr>
      </w:pPr>
    </w:p>
    <w:p w14:paraId="12B4F76A" w14:textId="35DB0063" w:rsidR="00925692" w:rsidRPr="00316277" w:rsidRDefault="00925692" w:rsidP="00864798">
      <w:pPr>
        <w:pStyle w:val="N-FNEEQ"/>
        <w:numPr>
          <w:ilvl w:val="0"/>
          <w:numId w:val="56"/>
        </w:numPr>
        <w:spacing w:before="0" w:after="0" w:line="240" w:lineRule="auto"/>
        <w:ind w:left="567" w:hanging="567"/>
        <w:rPr>
          <w:rFonts w:ascii="Arial" w:eastAsia="Calibri" w:hAnsi="Arial" w:cs="Arial"/>
          <w:snapToGrid w:val="0"/>
          <w:color w:val="auto"/>
          <w:sz w:val="24"/>
          <w:szCs w:val="22"/>
          <w:lang w:eastAsia="fr-FR"/>
        </w:rPr>
      </w:pPr>
      <w:r w:rsidRPr="00316277">
        <w:rPr>
          <w:rFonts w:ascii="Arial" w:eastAsia="Calibri" w:hAnsi="Arial" w:cs="Arial"/>
          <w:snapToGrid w:val="0"/>
          <w:color w:val="auto"/>
          <w:sz w:val="24"/>
          <w:szCs w:val="22"/>
          <w:lang w:eastAsia="fr-FR"/>
        </w:rPr>
        <w:t>Les membres du comité produisent un rapport à leur partie respective.</w:t>
      </w:r>
    </w:p>
    <w:p w14:paraId="0522064D" w14:textId="77777777" w:rsidR="00925692" w:rsidRPr="00316277" w:rsidRDefault="00925692" w:rsidP="00D91374">
      <w:pPr>
        <w:pStyle w:val="ListParagraph"/>
        <w:rPr>
          <w:rFonts w:cs="Arial"/>
          <w:snapToGrid w:val="0"/>
          <w:lang w:eastAsia="fr-FR"/>
        </w:rPr>
      </w:pPr>
    </w:p>
    <w:p w14:paraId="43845421" w14:textId="24A5A629" w:rsidR="00574E8E" w:rsidRPr="00316277" w:rsidRDefault="00925692" w:rsidP="00864798">
      <w:pPr>
        <w:pStyle w:val="N-FNEEQ"/>
        <w:numPr>
          <w:ilvl w:val="0"/>
          <w:numId w:val="56"/>
        </w:numPr>
        <w:spacing w:before="0" w:after="0"/>
        <w:ind w:left="567" w:hanging="567"/>
        <w:rPr>
          <w:rFonts w:ascii="Arial" w:eastAsia="Calibri" w:hAnsi="Arial" w:cs="Arial"/>
          <w:snapToGrid w:val="0"/>
          <w:color w:val="auto"/>
          <w:sz w:val="24"/>
          <w:szCs w:val="22"/>
          <w:lang w:eastAsia="fr-FR"/>
        </w:rPr>
      </w:pPr>
      <w:r w:rsidRPr="00316277">
        <w:rPr>
          <w:rFonts w:ascii="Arial" w:eastAsia="Calibri" w:hAnsi="Arial" w:cs="Arial"/>
          <w:snapToGrid w:val="0"/>
          <w:color w:val="auto"/>
          <w:sz w:val="24"/>
          <w:szCs w:val="22"/>
          <w:lang w:eastAsia="fr-FR"/>
        </w:rPr>
        <w:t xml:space="preserve">Les travaux du comité viennent à échéance au plus tard le </w:t>
      </w:r>
      <w:r w:rsidR="00BE3579" w:rsidRPr="00316277">
        <w:rPr>
          <w:rFonts w:ascii="Arial" w:eastAsia="Calibri" w:hAnsi="Arial" w:cs="Arial"/>
          <w:snapToGrid w:val="0"/>
          <w:color w:val="auto"/>
          <w:sz w:val="24"/>
          <w:szCs w:val="22"/>
          <w:lang w:eastAsia="fr-FR"/>
        </w:rPr>
        <w:t>15</w:t>
      </w:r>
      <w:r w:rsidRPr="00316277">
        <w:rPr>
          <w:rFonts w:ascii="Arial" w:eastAsia="Calibri" w:hAnsi="Arial" w:cs="Arial"/>
          <w:snapToGrid w:val="0"/>
          <w:color w:val="auto"/>
          <w:sz w:val="24"/>
          <w:szCs w:val="22"/>
          <w:lang w:eastAsia="fr-FR"/>
        </w:rPr>
        <w:t> juin 2027.</w:t>
      </w:r>
      <w:r w:rsidR="00574E8E" w:rsidRPr="00316277">
        <w:rPr>
          <w:rFonts w:ascii="Arial" w:eastAsia="Calibri" w:hAnsi="Arial" w:cs="Arial"/>
          <w:snapToGrid w:val="0"/>
          <w:color w:val="auto"/>
          <w:sz w:val="24"/>
          <w:szCs w:val="22"/>
          <w:lang w:eastAsia="fr-FR"/>
        </w:rPr>
        <w:br w:type="page"/>
      </w:r>
    </w:p>
    <w:p w14:paraId="3B31A9CF" w14:textId="77777777" w:rsidR="00F7127E" w:rsidRPr="005E4916" w:rsidRDefault="00F7127E" w:rsidP="007F120F">
      <w:pPr>
        <w:pStyle w:val="ListParagraph"/>
        <w:suppressAutoHyphens/>
        <w:autoSpaceDE w:val="0"/>
        <w:autoSpaceDN w:val="0"/>
        <w:adjustRightInd w:val="0"/>
        <w:ind w:left="709" w:hanging="284"/>
        <w:sectPr w:rsidR="00F7127E" w:rsidRPr="005E4916" w:rsidSect="006B55F2">
          <w:headerReference w:type="default" r:id="rId56"/>
          <w:footnotePr>
            <w:numRestart w:val="eachPage"/>
          </w:footnotePr>
          <w:pgSz w:w="12240" w:h="15840" w:code="1"/>
          <w:pgMar w:top="720" w:right="1077" w:bottom="1242" w:left="1684" w:header="709" w:footer="709" w:gutter="0"/>
          <w:cols w:space="708"/>
          <w:docGrid w:linePitch="360"/>
        </w:sectPr>
      </w:pPr>
    </w:p>
    <w:p w14:paraId="0B057369" w14:textId="67160B6F" w:rsidR="00404F34" w:rsidRPr="00026EC1" w:rsidRDefault="00BC4A82" w:rsidP="007F120F">
      <w:pPr>
        <w:pStyle w:val="Heading1"/>
        <w:keepNext w:val="0"/>
        <w:tabs>
          <w:tab w:val="left" w:pos="1701"/>
          <w:tab w:val="left" w:pos="1985"/>
        </w:tabs>
      </w:pPr>
      <w:bookmarkStart w:id="1657" w:name="_Toc535046748"/>
      <w:bookmarkStart w:id="1658" w:name="_Toc133760927"/>
      <w:bookmarkStart w:id="1659" w:name="_Toc133917075"/>
      <w:bookmarkStart w:id="1660" w:name="_Toc134437347"/>
      <w:bookmarkEnd w:id="1638"/>
      <w:bookmarkEnd w:id="1648"/>
      <w:bookmarkEnd w:id="1649"/>
      <w:bookmarkEnd w:id="1650"/>
      <w:bookmarkEnd w:id="1651"/>
      <w:bookmarkEnd w:id="1652"/>
      <w:bookmarkEnd w:id="1653"/>
      <w:r w:rsidRPr="00026EC1">
        <w:t>SECTION VIII</w:t>
      </w:r>
      <w:r w:rsidR="00C7066B">
        <w:t xml:space="preserve"> </w:t>
      </w:r>
      <w:r w:rsidR="00CB184C">
        <w:t>-</w:t>
      </w:r>
      <w:r w:rsidR="00C7066B">
        <w:t xml:space="preserve"> </w:t>
      </w:r>
      <w:r w:rsidR="00404F34" w:rsidRPr="00026EC1">
        <w:t>MATIÈRES LOCALES</w:t>
      </w:r>
      <w:bookmarkEnd w:id="1657"/>
      <w:bookmarkEnd w:id="1658"/>
      <w:bookmarkEnd w:id="1659"/>
      <w:bookmarkEnd w:id="1660"/>
      <w:r w:rsidR="00C7066B" w:rsidRPr="0035151D">
        <w:fldChar w:fldCharType="begin"/>
      </w:r>
      <w:r w:rsidR="00C7066B" w:rsidRPr="0035151D">
        <w:instrText xml:space="preserve"> TC " </w:instrText>
      </w:r>
      <w:bookmarkStart w:id="1661" w:name="_Toc94954760"/>
      <w:bookmarkStart w:id="1662" w:name="_Toc94966437"/>
      <w:bookmarkStart w:id="1663" w:name="_Toc95035301"/>
      <w:bookmarkStart w:id="1664" w:name="_Toc95035444"/>
      <w:bookmarkStart w:id="1665" w:name="_Toc95035587"/>
      <w:bookmarkStart w:id="1666" w:name="_Toc95035732"/>
      <w:bookmarkStart w:id="1667" w:name="_Toc157589357"/>
      <w:bookmarkStart w:id="1668" w:name="_Toc161323812"/>
      <w:bookmarkStart w:id="1669" w:name="_Toc163483161"/>
      <w:bookmarkStart w:id="1670" w:name="_Toc163483760"/>
      <w:bookmarkStart w:id="1671" w:name="_Toc163483949"/>
      <w:bookmarkStart w:id="1672" w:name="_Toc167870916"/>
      <w:bookmarkStart w:id="1673" w:name="_Toc167871080"/>
      <w:bookmarkStart w:id="1674" w:name="_Toc167871236"/>
      <w:bookmarkStart w:id="1675" w:name="_Toc167871412"/>
      <w:bookmarkStart w:id="1676" w:name="_Toc168049481"/>
      <w:bookmarkStart w:id="1677" w:name="_Toc168401645"/>
      <w:bookmarkStart w:id="1678" w:name="_Toc168402261"/>
      <w:bookmarkStart w:id="1679" w:name="_Toc168409695"/>
      <w:bookmarkStart w:id="1680" w:name="_Toc168410449"/>
      <w:bookmarkStart w:id="1681" w:name="_Toc168410695"/>
      <w:bookmarkStart w:id="1682" w:name="_Toc168410935"/>
      <w:bookmarkStart w:id="1683" w:name="_Toc168479636"/>
      <w:r w:rsidR="00C7066B">
        <w:instrText>section VIii</w:instrText>
      </w:r>
      <w:r w:rsidR="00C7066B" w:rsidRPr="0035151D">
        <w:instrText xml:space="preserve">  </w:instrText>
      </w:r>
      <w:r w:rsidR="00984A6F">
        <w:noBreakHyphen/>
      </w:r>
      <w:r w:rsidR="00C7066B" w:rsidRPr="0035151D">
        <w:instrText xml:space="preserve">  </w:instrText>
      </w:r>
      <w:r w:rsidR="00C7066B">
        <w:instrText>matières  locales</w:instrTex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00C7066B" w:rsidRPr="0035151D">
        <w:instrText>"\N</w:instrText>
      </w:r>
      <w:r w:rsidR="00C7066B" w:rsidRPr="0035151D">
        <w:fldChar w:fldCharType="end"/>
      </w:r>
    </w:p>
    <w:p w14:paraId="6B293D70" w14:textId="59AA9AC6" w:rsidR="00404F34" w:rsidRPr="00026EC1" w:rsidRDefault="00637A59" w:rsidP="007F120F">
      <w:pPr>
        <w:pStyle w:val="Heading3"/>
        <w:keepNext w:val="0"/>
      </w:pPr>
      <w:bookmarkStart w:id="1684" w:name="_Toc134437348"/>
      <w:bookmarkStart w:id="1685" w:name="_Toc393449522"/>
      <w:bookmarkStart w:id="1686" w:name="_Toc462751655"/>
      <w:bookmarkStart w:id="1687" w:name="_Toc484082674"/>
      <w:bookmarkStart w:id="1688" w:name="_Toc168479637"/>
      <w:bookmarkStart w:id="1689" w:name="_Toc535046753"/>
      <w:bookmarkStart w:id="1690" w:name="_Toc133760928"/>
      <w:bookmarkStart w:id="1691" w:name="_Toc133917076"/>
      <w:r>
        <w:t>Annexe VIII</w:t>
      </w:r>
      <w:r w:rsidR="0017646C">
        <w:t>-</w:t>
      </w:r>
      <w:r w:rsidR="0026192C" w:rsidRPr="00026EC1">
        <w:t>1</w:t>
      </w:r>
      <w:bookmarkStart w:id="1692" w:name="_Toc535046752"/>
      <w:bookmarkEnd w:id="1684"/>
      <w:r w:rsidR="0026192C" w:rsidRPr="00026EC1">
        <w:br/>
      </w:r>
      <w:r w:rsidR="0026192C" w:rsidRPr="00026EC1">
        <w:br/>
        <w:t>Contrat d’engagement</w:t>
      </w:r>
      <w:bookmarkEnd w:id="1685"/>
      <w:bookmarkEnd w:id="1686"/>
      <w:bookmarkEnd w:id="1687"/>
      <w:bookmarkEnd w:id="1692"/>
      <w:bookmarkEnd w:id="1688"/>
    </w:p>
    <w:p w14:paraId="2826D7AB" w14:textId="77777777" w:rsidR="00AB3870" w:rsidRPr="00026EC1" w:rsidRDefault="00AB3870" w:rsidP="007F120F">
      <w:pPr>
        <w:pStyle w:val="Article59delaloi37"/>
        <w:keepNext w:val="0"/>
      </w:pPr>
      <w:r w:rsidRPr="00026EC1">
        <w:t>Les dispositions suivantes sont l</w:t>
      </w:r>
      <w:r w:rsidR="00BC3319" w:rsidRPr="00026EC1">
        <w:t>’</w:t>
      </w:r>
      <w:r w:rsidRPr="00026EC1">
        <w:t>objet d</w:t>
      </w:r>
      <w:r w:rsidR="00BC3319" w:rsidRPr="00026EC1">
        <w:t>’</w:t>
      </w:r>
      <w:r w:rsidRPr="00026EC1">
        <w:t>une recommandation des parties nationales et sont soumises à l</w:t>
      </w:r>
      <w:r w:rsidR="00BC3319" w:rsidRPr="00026EC1">
        <w:t>’</w:t>
      </w:r>
      <w:r w:rsidRPr="00026EC1">
        <w:t>application de l</w:t>
      </w:r>
      <w:r w:rsidR="00BC3319" w:rsidRPr="00026EC1">
        <w:t>’</w:t>
      </w:r>
      <w:r w:rsidRPr="00026EC1">
        <w:t>article</w:t>
      </w:r>
      <w:r w:rsidR="00665807" w:rsidRPr="00026EC1">
        <w:t> </w:t>
      </w:r>
      <w:r w:rsidRPr="00026EC1">
        <w:t>59 de la Loi sur le régime de négociation des conventions collectives dans les secteurs public et parapublic, si elles sont agréées et signées par les parties locales.</w:t>
      </w:r>
    </w:p>
    <w:p w14:paraId="752C76D6" w14:textId="77777777" w:rsidR="00E16B29" w:rsidRPr="00026EC1" w:rsidRDefault="00E16B29" w:rsidP="007F120F">
      <w:pPr>
        <w:keepNext w:val="0"/>
      </w:pPr>
    </w:p>
    <w:p w14:paraId="45D7E707" w14:textId="77777777" w:rsidR="00E16B29" w:rsidRPr="00026EC1" w:rsidRDefault="00E16B29" w:rsidP="007F120F">
      <w:pPr>
        <w:pStyle w:val="NUMRODECLAUSE"/>
        <w:keepNext w:val="0"/>
      </w:pPr>
      <w:r w:rsidRPr="00026EC1">
        <w:t>Contrat d</w:t>
      </w:r>
      <w:r w:rsidR="00BC3319" w:rsidRPr="00026EC1">
        <w:t>’</w:t>
      </w:r>
      <w:r w:rsidRPr="00026EC1">
        <w:t>engagement</w:t>
      </w:r>
    </w:p>
    <w:p w14:paraId="06C6D7FB" w14:textId="77777777" w:rsidR="00E16B29" w:rsidRPr="00026EC1" w:rsidRDefault="00E16B29" w:rsidP="007F120F">
      <w:pPr>
        <w:keepNext w:val="0"/>
      </w:pPr>
    </w:p>
    <w:tbl>
      <w:tblPr>
        <w:tblW w:w="0" w:type="auto"/>
        <w:tblCellMar>
          <w:left w:w="70" w:type="dxa"/>
          <w:right w:w="70" w:type="dxa"/>
        </w:tblCellMar>
        <w:tblLook w:val="0000" w:firstRow="0" w:lastRow="0" w:firstColumn="0" w:lastColumn="0" w:noHBand="0" w:noVBand="0"/>
      </w:tblPr>
      <w:tblGrid>
        <w:gridCol w:w="1144"/>
        <w:gridCol w:w="180"/>
        <w:gridCol w:w="176"/>
        <w:gridCol w:w="1469"/>
        <w:gridCol w:w="1762"/>
        <w:gridCol w:w="1117"/>
        <w:gridCol w:w="3631"/>
      </w:tblGrid>
      <w:tr w:rsidR="00E16B29" w:rsidRPr="00026EC1" w14:paraId="19A5745C" w14:textId="77777777" w:rsidTr="00BE0130">
        <w:tc>
          <w:tcPr>
            <w:tcW w:w="5848" w:type="dxa"/>
            <w:gridSpan w:val="6"/>
          </w:tcPr>
          <w:p w14:paraId="155862E5" w14:textId="7302F789" w:rsidR="00E16B29" w:rsidRPr="00026EC1" w:rsidRDefault="00E16B29" w:rsidP="007F120F">
            <w:pPr>
              <w:keepNext w:val="0"/>
            </w:pPr>
            <w:r w:rsidRPr="00026EC1">
              <w:t>Le Collège d</w:t>
            </w:r>
            <w:r w:rsidR="00BC3319" w:rsidRPr="00026EC1">
              <w:t>’</w:t>
            </w:r>
            <w:r w:rsidRPr="00026EC1">
              <w:t>enseignement général et professionnel</w:t>
            </w:r>
            <w:r w:rsidR="00D8581B">
              <w:t> :</w:t>
            </w:r>
          </w:p>
        </w:tc>
        <w:tc>
          <w:tcPr>
            <w:tcW w:w="3631" w:type="dxa"/>
            <w:tcBorders>
              <w:top w:val="nil"/>
              <w:left w:val="nil"/>
              <w:bottom w:val="single" w:sz="4" w:space="0" w:color="auto"/>
              <w:right w:val="nil"/>
            </w:tcBorders>
          </w:tcPr>
          <w:p w14:paraId="7AD6B332" w14:textId="77777777" w:rsidR="00E16B29" w:rsidRPr="00026EC1" w:rsidRDefault="00E16B29" w:rsidP="007F120F">
            <w:pPr>
              <w:keepNext w:val="0"/>
            </w:pPr>
          </w:p>
        </w:tc>
      </w:tr>
      <w:tr w:rsidR="00E16B29" w:rsidRPr="00026EC1" w14:paraId="0E692890" w14:textId="77777777" w:rsidTr="00BE0130">
        <w:tc>
          <w:tcPr>
            <w:tcW w:w="5848" w:type="dxa"/>
            <w:gridSpan w:val="6"/>
          </w:tcPr>
          <w:p w14:paraId="7B6DB62D" w14:textId="77777777" w:rsidR="00E16B29" w:rsidRPr="00026EC1" w:rsidRDefault="00E16B29" w:rsidP="007F120F">
            <w:pPr>
              <w:keepNext w:val="0"/>
            </w:pPr>
          </w:p>
        </w:tc>
        <w:tc>
          <w:tcPr>
            <w:tcW w:w="3631" w:type="dxa"/>
            <w:tcBorders>
              <w:top w:val="single" w:sz="4" w:space="0" w:color="auto"/>
              <w:left w:val="nil"/>
              <w:bottom w:val="nil"/>
              <w:right w:val="nil"/>
            </w:tcBorders>
          </w:tcPr>
          <w:p w14:paraId="3AF2C480" w14:textId="77777777" w:rsidR="00E16B29" w:rsidRPr="00026EC1" w:rsidRDefault="00E16B29" w:rsidP="007F120F">
            <w:pPr>
              <w:keepNext w:val="0"/>
            </w:pPr>
          </w:p>
        </w:tc>
      </w:tr>
      <w:tr w:rsidR="00E16B29" w:rsidRPr="00026EC1" w14:paraId="3E61ABD8" w14:textId="77777777" w:rsidTr="00BE0130">
        <w:tc>
          <w:tcPr>
            <w:tcW w:w="2969" w:type="dxa"/>
            <w:gridSpan w:val="4"/>
          </w:tcPr>
          <w:p w14:paraId="7345C96B" w14:textId="3633268D" w:rsidR="00E16B29" w:rsidRPr="00026EC1" w:rsidRDefault="00E16B29" w:rsidP="007F120F">
            <w:pPr>
              <w:keepNext w:val="0"/>
            </w:pPr>
            <w:r w:rsidRPr="00026EC1">
              <w:t>Ayant son siège social à</w:t>
            </w:r>
            <w:r w:rsidR="00D8581B">
              <w:t> :</w:t>
            </w:r>
            <w:r w:rsidRPr="00026EC1">
              <w:t xml:space="preserve"> </w:t>
            </w:r>
          </w:p>
        </w:tc>
        <w:tc>
          <w:tcPr>
            <w:tcW w:w="6510" w:type="dxa"/>
            <w:gridSpan w:val="3"/>
            <w:tcBorders>
              <w:top w:val="nil"/>
              <w:left w:val="nil"/>
              <w:bottom w:val="single" w:sz="4" w:space="0" w:color="auto"/>
              <w:right w:val="nil"/>
            </w:tcBorders>
          </w:tcPr>
          <w:p w14:paraId="574CF50C" w14:textId="77777777" w:rsidR="00E16B29" w:rsidRPr="00026EC1" w:rsidRDefault="00E16B29" w:rsidP="007F120F">
            <w:pPr>
              <w:keepNext w:val="0"/>
            </w:pPr>
          </w:p>
        </w:tc>
      </w:tr>
      <w:tr w:rsidR="00E16B29" w:rsidRPr="00026EC1" w14:paraId="5839C42B" w14:textId="77777777" w:rsidTr="00BE0130">
        <w:tc>
          <w:tcPr>
            <w:tcW w:w="5848" w:type="dxa"/>
            <w:gridSpan w:val="6"/>
          </w:tcPr>
          <w:p w14:paraId="440A592E" w14:textId="77777777" w:rsidR="00E16B29" w:rsidRPr="00026EC1" w:rsidRDefault="00E16B29" w:rsidP="007F120F">
            <w:pPr>
              <w:keepNext w:val="0"/>
            </w:pPr>
          </w:p>
        </w:tc>
        <w:tc>
          <w:tcPr>
            <w:tcW w:w="3631" w:type="dxa"/>
          </w:tcPr>
          <w:p w14:paraId="5C0C2023" w14:textId="77777777" w:rsidR="00E16B29" w:rsidRPr="00026EC1" w:rsidRDefault="00E16B29" w:rsidP="007F120F">
            <w:pPr>
              <w:keepNext w:val="0"/>
            </w:pPr>
          </w:p>
        </w:tc>
      </w:tr>
      <w:tr w:rsidR="00E16B29" w:rsidRPr="00026EC1" w14:paraId="6BBB55CD" w14:textId="77777777" w:rsidTr="00BE0130">
        <w:tc>
          <w:tcPr>
            <w:tcW w:w="2969" w:type="dxa"/>
            <w:gridSpan w:val="4"/>
          </w:tcPr>
          <w:p w14:paraId="3B277D36" w14:textId="2B846C22" w:rsidR="00E16B29" w:rsidRPr="00026EC1" w:rsidRDefault="00E16B29" w:rsidP="007F120F">
            <w:pPr>
              <w:keepNext w:val="0"/>
            </w:pPr>
            <w:r w:rsidRPr="00026EC1">
              <w:t>Retient les services de</w:t>
            </w:r>
            <w:r w:rsidR="00D8581B">
              <w:t> :</w:t>
            </w:r>
          </w:p>
        </w:tc>
        <w:tc>
          <w:tcPr>
            <w:tcW w:w="6510" w:type="dxa"/>
            <w:gridSpan w:val="3"/>
            <w:tcBorders>
              <w:top w:val="nil"/>
              <w:left w:val="nil"/>
              <w:bottom w:val="single" w:sz="4" w:space="0" w:color="auto"/>
              <w:right w:val="nil"/>
            </w:tcBorders>
          </w:tcPr>
          <w:p w14:paraId="74FB676A" w14:textId="77777777" w:rsidR="00E16B29" w:rsidRPr="00026EC1" w:rsidRDefault="00E16B29" w:rsidP="007F120F">
            <w:pPr>
              <w:keepNext w:val="0"/>
            </w:pPr>
          </w:p>
        </w:tc>
      </w:tr>
      <w:tr w:rsidR="00E16B29" w:rsidRPr="00026EC1" w14:paraId="2D090FD1" w14:textId="77777777" w:rsidTr="00BE0130">
        <w:tc>
          <w:tcPr>
            <w:tcW w:w="5848" w:type="dxa"/>
            <w:gridSpan w:val="6"/>
          </w:tcPr>
          <w:p w14:paraId="0CD782E6" w14:textId="77777777" w:rsidR="00E16B29" w:rsidRPr="00026EC1" w:rsidRDefault="00E16B29" w:rsidP="007F120F">
            <w:pPr>
              <w:keepNext w:val="0"/>
            </w:pPr>
          </w:p>
        </w:tc>
        <w:tc>
          <w:tcPr>
            <w:tcW w:w="3631" w:type="dxa"/>
          </w:tcPr>
          <w:p w14:paraId="42C57AE9" w14:textId="77777777" w:rsidR="00E16B29" w:rsidRPr="00026EC1" w:rsidRDefault="00E16B29" w:rsidP="007F120F">
            <w:pPr>
              <w:keepNext w:val="0"/>
            </w:pPr>
          </w:p>
        </w:tc>
      </w:tr>
      <w:tr w:rsidR="00E16B29" w:rsidRPr="00026EC1" w14:paraId="0397A9FB" w14:textId="77777777" w:rsidTr="00BE0130">
        <w:tc>
          <w:tcPr>
            <w:tcW w:w="1324" w:type="dxa"/>
            <w:gridSpan w:val="2"/>
          </w:tcPr>
          <w:p w14:paraId="4FB0903A" w14:textId="1D25C061" w:rsidR="00E16B29" w:rsidRPr="00026EC1" w:rsidRDefault="00E16B29" w:rsidP="007F120F">
            <w:pPr>
              <w:keepNext w:val="0"/>
            </w:pPr>
            <w:r w:rsidRPr="00026EC1">
              <w:t>Adresse</w:t>
            </w:r>
            <w:r w:rsidR="00D8581B">
              <w:t> :</w:t>
            </w:r>
          </w:p>
        </w:tc>
        <w:tc>
          <w:tcPr>
            <w:tcW w:w="8155" w:type="dxa"/>
            <w:gridSpan w:val="5"/>
            <w:tcBorders>
              <w:top w:val="nil"/>
              <w:left w:val="nil"/>
              <w:bottom w:val="single" w:sz="4" w:space="0" w:color="auto"/>
              <w:right w:val="nil"/>
            </w:tcBorders>
          </w:tcPr>
          <w:p w14:paraId="4399EFF7" w14:textId="77777777" w:rsidR="00E16B29" w:rsidRPr="00026EC1" w:rsidRDefault="00E16B29" w:rsidP="007F120F">
            <w:pPr>
              <w:keepNext w:val="0"/>
            </w:pPr>
          </w:p>
        </w:tc>
      </w:tr>
      <w:tr w:rsidR="00E16B29" w:rsidRPr="00026EC1" w14:paraId="28302CAF" w14:textId="77777777" w:rsidTr="00BE0130">
        <w:tc>
          <w:tcPr>
            <w:tcW w:w="1324" w:type="dxa"/>
            <w:gridSpan w:val="2"/>
            <w:tcBorders>
              <w:bottom w:val="single" w:sz="4" w:space="0" w:color="auto"/>
            </w:tcBorders>
          </w:tcPr>
          <w:p w14:paraId="6C60AE17" w14:textId="77777777" w:rsidR="00E16B29" w:rsidRPr="00026EC1" w:rsidRDefault="00E16B29" w:rsidP="007F120F">
            <w:pPr>
              <w:keepNext w:val="0"/>
            </w:pPr>
          </w:p>
        </w:tc>
        <w:tc>
          <w:tcPr>
            <w:tcW w:w="8155" w:type="dxa"/>
            <w:gridSpan w:val="5"/>
            <w:tcBorders>
              <w:top w:val="single" w:sz="4" w:space="0" w:color="auto"/>
              <w:left w:val="nil"/>
              <w:bottom w:val="single" w:sz="4" w:space="0" w:color="auto"/>
              <w:right w:val="nil"/>
            </w:tcBorders>
          </w:tcPr>
          <w:p w14:paraId="54039321" w14:textId="77777777" w:rsidR="00E16B29" w:rsidRPr="00026EC1" w:rsidRDefault="00E16B29" w:rsidP="007F120F">
            <w:pPr>
              <w:keepNext w:val="0"/>
            </w:pPr>
          </w:p>
        </w:tc>
      </w:tr>
      <w:tr w:rsidR="00E16B29" w:rsidRPr="00026EC1" w14:paraId="0D1E291E" w14:textId="77777777" w:rsidTr="00BE0130">
        <w:tc>
          <w:tcPr>
            <w:tcW w:w="5848" w:type="dxa"/>
            <w:gridSpan w:val="6"/>
            <w:tcBorders>
              <w:top w:val="single" w:sz="4" w:space="0" w:color="auto"/>
            </w:tcBorders>
          </w:tcPr>
          <w:p w14:paraId="5B2F0B4A" w14:textId="77777777" w:rsidR="00E16B29" w:rsidRPr="00026EC1" w:rsidRDefault="00E16B29" w:rsidP="007F120F">
            <w:pPr>
              <w:keepNext w:val="0"/>
            </w:pPr>
          </w:p>
        </w:tc>
        <w:tc>
          <w:tcPr>
            <w:tcW w:w="3631" w:type="dxa"/>
            <w:tcBorders>
              <w:top w:val="single" w:sz="4" w:space="0" w:color="auto"/>
            </w:tcBorders>
          </w:tcPr>
          <w:p w14:paraId="36D10E4B" w14:textId="77777777" w:rsidR="00E16B29" w:rsidRPr="00026EC1" w:rsidRDefault="00E16B29" w:rsidP="007F120F">
            <w:pPr>
              <w:keepNext w:val="0"/>
            </w:pPr>
          </w:p>
        </w:tc>
      </w:tr>
      <w:tr w:rsidR="00E16B29" w:rsidRPr="00026EC1" w14:paraId="2D52B249" w14:textId="77777777" w:rsidTr="00BE0130">
        <w:trPr>
          <w:gridAfter w:val="2"/>
          <w:wAfter w:w="4748" w:type="dxa"/>
        </w:trPr>
        <w:tc>
          <w:tcPr>
            <w:tcW w:w="1500" w:type="dxa"/>
            <w:gridSpan w:val="3"/>
          </w:tcPr>
          <w:p w14:paraId="591C1D84" w14:textId="049A3924" w:rsidR="00E16B29" w:rsidRPr="00026EC1" w:rsidRDefault="00E16B29" w:rsidP="007F120F">
            <w:pPr>
              <w:keepNext w:val="0"/>
            </w:pPr>
            <w:r w:rsidRPr="00026EC1">
              <w:t>Téléphone</w:t>
            </w:r>
            <w:r w:rsidR="00D8581B">
              <w:t> :</w:t>
            </w:r>
          </w:p>
        </w:tc>
        <w:tc>
          <w:tcPr>
            <w:tcW w:w="3231" w:type="dxa"/>
            <w:gridSpan w:val="2"/>
            <w:tcBorders>
              <w:top w:val="nil"/>
              <w:left w:val="nil"/>
              <w:bottom w:val="single" w:sz="4" w:space="0" w:color="auto"/>
              <w:right w:val="nil"/>
            </w:tcBorders>
          </w:tcPr>
          <w:p w14:paraId="26A544F2" w14:textId="77777777" w:rsidR="00E16B29" w:rsidRPr="00026EC1" w:rsidRDefault="00E16B29" w:rsidP="007F120F">
            <w:pPr>
              <w:keepNext w:val="0"/>
            </w:pPr>
          </w:p>
        </w:tc>
      </w:tr>
      <w:tr w:rsidR="00E16B29" w:rsidRPr="00026EC1" w14:paraId="71898734" w14:textId="77777777" w:rsidTr="00BE0130">
        <w:tc>
          <w:tcPr>
            <w:tcW w:w="5848" w:type="dxa"/>
            <w:gridSpan w:val="6"/>
          </w:tcPr>
          <w:p w14:paraId="588E611A" w14:textId="77777777" w:rsidR="00E16B29" w:rsidRPr="00026EC1" w:rsidRDefault="00E16B29" w:rsidP="007F120F">
            <w:pPr>
              <w:keepNext w:val="0"/>
            </w:pPr>
          </w:p>
        </w:tc>
        <w:tc>
          <w:tcPr>
            <w:tcW w:w="3631" w:type="dxa"/>
          </w:tcPr>
          <w:p w14:paraId="69300054" w14:textId="77777777" w:rsidR="00E16B29" w:rsidRPr="00026EC1" w:rsidRDefault="00E16B29" w:rsidP="007F120F">
            <w:pPr>
              <w:keepNext w:val="0"/>
            </w:pPr>
          </w:p>
        </w:tc>
      </w:tr>
      <w:tr w:rsidR="00F04B9D" w:rsidRPr="00026EC1" w14:paraId="56D12014" w14:textId="77777777" w:rsidTr="00BE0130">
        <w:tc>
          <w:tcPr>
            <w:tcW w:w="5848" w:type="dxa"/>
            <w:gridSpan w:val="6"/>
          </w:tcPr>
          <w:p w14:paraId="4ECE8E1E" w14:textId="77777777" w:rsidR="00F04B9D" w:rsidRPr="00026EC1" w:rsidRDefault="00F04B9D" w:rsidP="007F120F">
            <w:pPr>
              <w:keepNext w:val="0"/>
            </w:pPr>
          </w:p>
        </w:tc>
        <w:tc>
          <w:tcPr>
            <w:tcW w:w="3631" w:type="dxa"/>
          </w:tcPr>
          <w:p w14:paraId="652EFDF2" w14:textId="77777777" w:rsidR="00F04B9D" w:rsidRPr="00026EC1" w:rsidRDefault="00F04B9D" w:rsidP="007F120F">
            <w:pPr>
              <w:keepNext w:val="0"/>
            </w:pPr>
          </w:p>
        </w:tc>
      </w:tr>
      <w:tr w:rsidR="00F04B9D" w:rsidRPr="00026EC1" w14:paraId="6D07480E" w14:textId="77777777" w:rsidTr="00BE0130">
        <w:tc>
          <w:tcPr>
            <w:tcW w:w="5848" w:type="dxa"/>
            <w:gridSpan w:val="6"/>
          </w:tcPr>
          <w:p w14:paraId="4D5E09E7" w14:textId="77777777" w:rsidR="00F04B9D" w:rsidRPr="00026EC1" w:rsidRDefault="00F04B9D" w:rsidP="007F120F">
            <w:pPr>
              <w:keepNext w:val="0"/>
            </w:pPr>
          </w:p>
        </w:tc>
        <w:tc>
          <w:tcPr>
            <w:tcW w:w="3631" w:type="dxa"/>
          </w:tcPr>
          <w:p w14:paraId="2BAED3FC" w14:textId="77777777" w:rsidR="00F04B9D" w:rsidRPr="00026EC1" w:rsidRDefault="00F04B9D" w:rsidP="007F120F">
            <w:pPr>
              <w:keepNext w:val="0"/>
            </w:pPr>
          </w:p>
        </w:tc>
      </w:tr>
      <w:tr w:rsidR="00E16B29" w:rsidRPr="00026EC1" w14:paraId="28D408D9" w14:textId="77777777" w:rsidTr="00BE0130">
        <w:tc>
          <w:tcPr>
            <w:tcW w:w="5848" w:type="dxa"/>
            <w:gridSpan w:val="6"/>
          </w:tcPr>
          <w:p w14:paraId="110E62BB" w14:textId="2205E006" w:rsidR="00E16B29" w:rsidRPr="00026EC1" w:rsidRDefault="00E16B29" w:rsidP="007F120F">
            <w:pPr>
              <w:keepNext w:val="0"/>
            </w:pPr>
            <w:r w:rsidRPr="00026EC1">
              <w:t>À titre de</w:t>
            </w:r>
            <w:r w:rsidR="00D8581B">
              <w:t> :</w:t>
            </w:r>
          </w:p>
        </w:tc>
        <w:tc>
          <w:tcPr>
            <w:tcW w:w="3631" w:type="dxa"/>
          </w:tcPr>
          <w:p w14:paraId="6FEE6CE2" w14:textId="77777777" w:rsidR="00E16B29" w:rsidRPr="00026EC1" w:rsidRDefault="00E16B29" w:rsidP="007F120F">
            <w:pPr>
              <w:keepNext w:val="0"/>
            </w:pPr>
          </w:p>
        </w:tc>
      </w:tr>
      <w:tr w:rsidR="00E16B29" w:rsidRPr="00026EC1" w14:paraId="094083AA" w14:textId="77777777" w:rsidTr="00BE0130">
        <w:tc>
          <w:tcPr>
            <w:tcW w:w="1144" w:type="dxa"/>
          </w:tcPr>
          <w:p w14:paraId="6964324A" w14:textId="77777777" w:rsidR="00E16B29" w:rsidRPr="00026EC1" w:rsidRDefault="00E16B29" w:rsidP="007F120F">
            <w:pPr>
              <w:keepNext w:val="0"/>
            </w:pPr>
          </w:p>
        </w:tc>
        <w:tc>
          <w:tcPr>
            <w:tcW w:w="8335" w:type="dxa"/>
            <w:gridSpan w:val="6"/>
          </w:tcPr>
          <w:p w14:paraId="43EA2955" w14:textId="77777777" w:rsidR="00E16B29" w:rsidRPr="00026EC1" w:rsidRDefault="00E16B29" w:rsidP="007F120F">
            <w:pPr>
              <w:keepNext w:val="0"/>
              <w:tabs>
                <w:tab w:val="left" w:pos="558"/>
              </w:tabs>
            </w:pP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Enseignante ou enseignant à temps complet</w:t>
            </w:r>
          </w:p>
        </w:tc>
      </w:tr>
      <w:tr w:rsidR="00E16B29" w:rsidRPr="00026EC1" w14:paraId="5B589BB0" w14:textId="77777777" w:rsidTr="00BE0130">
        <w:tc>
          <w:tcPr>
            <w:tcW w:w="1144" w:type="dxa"/>
          </w:tcPr>
          <w:p w14:paraId="0B07C5D0" w14:textId="77777777" w:rsidR="00E16B29" w:rsidRPr="00026EC1" w:rsidRDefault="00E16B29" w:rsidP="007F120F">
            <w:pPr>
              <w:keepNext w:val="0"/>
              <w:tabs>
                <w:tab w:val="left" w:pos="572"/>
                <w:tab w:val="left" w:pos="1076"/>
              </w:tabs>
            </w:pPr>
          </w:p>
        </w:tc>
        <w:tc>
          <w:tcPr>
            <w:tcW w:w="8335" w:type="dxa"/>
            <w:gridSpan w:val="6"/>
          </w:tcPr>
          <w:p w14:paraId="443C60C1" w14:textId="77777777" w:rsidR="00E16B29" w:rsidRPr="00026EC1" w:rsidRDefault="00E16B29" w:rsidP="007F120F">
            <w:pPr>
              <w:keepNext w:val="0"/>
              <w:tabs>
                <w:tab w:val="left" w:pos="572"/>
                <w:tab w:val="left" w:pos="1076"/>
              </w:tabs>
            </w:pPr>
          </w:p>
        </w:tc>
      </w:tr>
      <w:tr w:rsidR="00E16B29" w:rsidRPr="00026EC1" w14:paraId="54D42D96" w14:textId="77777777" w:rsidTr="00BE0130">
        <w:tc>
          <w:tcPr>
            <w:tcW w:w="1144" w:type="dxa"/>
          </w:tcPr>
          <w:p w14:paraId="71598507" w14:textId="77777777" w:rsidR="00E16B29" w:rsidRPr="00026EC1" w:rsidRDefault="00E16B29" w:rsidP="007F120F">
            <w:pPr>
              <w:keepNext w:val="0"/>
              <w:tabs>
                <w:tab w:val="left" w:pos="572"/>
                <w:tab w:val="left" w:pos="1076"/>
              </w:tabs>
            </w:pPr>
          </w:p>
        </w:tc>
        <w:tc>
          <w:tcPr>
            <w:tcW w:w="8335" w:type="dxa"/>
            <w:gridSpan w:val="6"/>
          </w:tcPr>
          <w:p w14:paraId="1251526F" w14:textId="77777777" w:rsidR="00E16B29" w:rsidRPr="00026EC1" w:rsidRDefault="00E16B29" w:rsidP="007F120F">
            <w:pPr>
              <w:keepNext w:val="0"/>
              <w:tabs>
                <w:tab w:val="left" w:pos="572"/>
                <w:tab w:val="left" w:pos="1076"/>
              </w:tabs>
            </w:pPr>
            <w:r w:rsidRPr="00026EC1">
              <w:tab/>
            </w:r>
            <w:r w:rsidRPr="00026EC1">
              <w:fldChar w:fldCharType="begin">
                <w:ffData>
                  <w:name w:val="CaseACocher21"/>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Poste disponible</w:t>
            </w:r>
          </w:p>
        </w:tc>
      </w:tr>
      <w:tr w:rsidR="00E16B29" w:rsidRPr="00026EC1" w14:paraId="67FAA7FC" w14:textId="77777777" w:rsidTr="00BE0130">
        <w:tc>
          <w:tcPr>
            <w:tcW w:w="1144" w:type="dxa"/>
          </w:tcPr>
          <w:p w14:paraId="6AE5B559" w14:textId="77777777" w:rsidR="00E16B29" w:rsidRPr="00026EC1" w:rsidRDefault="00E16B29" w:rsidP="007F120F">
            <w:pPr>
              <w:keepNext w:val="0"/>
            </w:pPr>
          </w:p>
        </w:tc>
        <w:tc>
          <w:tcPr>
            <w:tcW w:w="8335" w:type="dxa"/>
            <w:gridSpan w:val="6"/>
          </w:tcPr>
          <w:p w14:paraId="096AF9B7" w14:textId="77777777" w:rsidR="00E16B29" w:rsidRPr="00026EC1" w:rsidRDefault="00E16B29" w:rsidP="007F120F">
            <w:pPr>
              <w:keepNext w:val="0"/>
            </w:pPr>
          </w:p>
        </w:tc>
      </w:tr>
      <w:tr w:rsidR="00E16B29" w:rsidRPr="00026EC1" w14:paraId="2A181FE4" w14:textId="77777777" w:rsidTr="00BE0130">
        <w:tc>
          <w:tcPr>
            <w:tcW w:w="1144" w:type="dxa"/>
          </w:tcPr>
          <w:p w14:paraId="160B6BD4" w14:textId="77777777" w:rsidR="00E16B29" w:rsidRPr="00026EC1" w:rsidRDefault="00E16B29" w:rsidP="007F120F">
            <w:pPr>
              <w:keepNext w:val="0"/>
            </w:pPr>
          </w:p>
        </w:tc>
        <w:tc>
          <w:tcPr>
            <w:tcW w:w="8335" w:type="dxa"/>
            <w:gridSpan w:val="6"/>
          </w:tcPr>
          <w:p w14:paraId="4F347277" w14:textId="1D980CE4" w:rsidR="00E16B29" w:rsidRPr="00026EC1" w:rsidRDefault="00E16B29" w:rsidP="007F120F">
            <w:pPr>
              <w:keepNext w:val="0"/>
              <w:tabs>
                <w:tab w:val="left" w:pos="572"/>
                <w:tab w:val="left" w:pos="1076"/>
              </w:tabs>
            </w:pPr>
            <w:r w:rsidRPr="00026EC1">
              <w:tab/>
            </w:r>
            <w:r w:rsidRPr="00026EC1">
              <w:fldChar w:fldCharType="begin">
                <w:ffData>
                  <w:name w:val="CaseACocher21"/>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Charge à pourvoir</w:t>
            </w:r>
            <w:r w:rsidR="00D8581B">
              <w:t> :</w:t>
            </w:r>
            <w:r w:rsidRPr="00026EC1">
              <w:t xml:space="preserve"> clause</w:t>
            </w:r>
            <w:r w:rsidR="00BC3319" w:rsidRPr="00026EC1">
              <w:t> </w:t>
            </w:r>
            <w:r w:rsidRPr="00026EC1">
              <w:t>5</w:t>
            </w:r>
            <w:r w:rsidR="00984A6F">
              <w:noBreakHyphen/>
            </w:r>
            <w:r w:rsidRPr="00026EC1">
              <w:t>1.03</w:t>
            </w:r>
          </w:p>
        </w:tc>
      </w:tr>
      <w:tr w:rsidR="00E16B29" w:rsidRPr="00026EC1" w14:paraId="2A324B68" w14:textId="77777777" w:rsidTr="00BE0130">
        <w:tc>
          <w:tcPr>
            <w:tcW w:w="1144" w:type="dxa"/>
          </w:tcPr>
          <w:p w14:paraId="7A8C2D70" w14:textId="77777777" w:rsidR="00E16B29" w:rsidRPr="00026EC1" w:rsidRDefault="00E16B29" w:rsidP="007F120F">
            <w:pPr>
              <w:keepNext w:val="0"/>
            </w:pPr>
          </w:p>
        </w:tc>
        <w:tc>
          <w:tcPr>
            <w:tcW w:w="8335" w:type="dxa"/>
            <w:gridSpan w:val="6"/>
          </w:tcPr>
          <w:p w14:paraId="6EB82A0E" w14:textId="77777777" w:rsidR="00E16B29" w:rsidRPr="00026EC1" w:rsidRDefault="00E16B29" w:rsidP="007F120F">
            <w:pPr>
              <w:keepNext w:val="0"/>
            </w:pPr>
          </w:p>
        </w:tc>
      </w:tr>
      <w:tr w:rsidR="00E16B29" w:rsidRPr="00026EC1" w14:paraId="698CD2F3" w14:textId="77777777" w:rsidTr="00BE0130">
        <w:tc>
          <w:tcPr>
            <w:tcW w:w="1144" w:type="dxa"/>
          </w:tcPr>
          <w:p w14:paraId="6683930B" w14:textId="77777777" w:rsidR="00E16B29" w:rsidRPr="00026EC1" w:rsidRDefault="00E16B29" w:rsidP="007F120F">
            <w:pPr>
              <w:keepNext w:val="0"/>
            </w:pPr>
          </w:p>
        </w:tc>
        <w:tc>
          <w:tcPr>
            <w:tcW w:w="8335" w:type="dxa"/>
            <w:gridSpan w:val="6"/>
          </w:tcPr>
          <w:p w14:paraId="60AD0B06" w14:textId="6607DDB0" w:rsidR="00E16B29" w:rsidRPr="00026EC1" w:rsidRDefault="00E16B29" w:rsidP="007F120F">
            <w:pPr>
              <w:keepNext w:val="0"/>
              <w:tabs>
                <w:tab w:val="left" w:pos="572"/>
                <w:tab w:val="left" w:pos="1076"/>
              </w:tabs>
            </w:pPr>
            <w:r w:rsidRPr="00026EC1">
              <w:tab/>
            </w:r>
            <w:r w:rsidRPr="00026EC1">
              <w:fldChar w:fldCharType="begin">
                <w:ffData>
                  <w:name w:val="CaseACocher21"/>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 xml:space="preserve">Enseignante ou enseignant remplaçant </w:t>
            </w:r>
            <w:r w:rsidRPr="00026EC1">
              <w:rPr>
                <w:bCs/>
              </w:rPr>
              <w:t xml:space="preserve">* </w:t>
            </w:r>
            <w:r w:rsidRPr="00026EC1">
              <w:rPr>
                <w:bCs/>
                <w:iCs/>
                <w:sz w:val="22"/>
                <w:szCs w:val="22"/>
              </w:rPr>
              <w:t>(</w:t>
            </w:r>
            <w:r w:rsidRPr="00026EC1">
              <w:rPr>
                <w:sz w:val="22"/>
                <w:szCs w:val="22"/>
                <w:shd w:val="clear" w:color="auto" w:fill="FFFFFF"/>
              </w:rPr>
              <w:t>clause</w:t>
            </w:r>
            <w:r w:rsidR="00BC3319" w:rsidRPr="00026EC1">
              <w:rPr>
                <w:sz w:val="22"/>
                <w:szCs w:val="22"/>
                <w:shd w:val="clear" w:color="auto" w:fill="FFFFFF"/>
              </w:rPr>
              <w:t> </w:t>
            </w:r>
            <w:r w:rsidRPr="00026EC1">
              <w:rPr>
                <w:sz w:val="22"/>
                <w:szCs w:val="22"/>
                <w:shd w:val="clear" w:color="auto" w:fill="FFFFFF"/>
              </w:rPr>
              <w:t>1</w:t>
            </w:r>
            <w:r w:rsidR="00984A6F">
              <w:rPr>
                <w:sz w:val="22"/>
                <w:szCs w:val="22"/>
                <w:shd w:val="clear" w:color="auto" w:fill="FFFFFF"/>
              </w:rPr>
              <w:noBreakHyphen/>
            </w:r>
            <w:r w:rsidRPr="00026EC1">
              <w:rPr>
                <w:sz w:val="22"/>
                <w:szCs w:val="22"/>
                <w:shd w:val="clear" w:color="auto" w:fill="FFFFFF"/>
              </w:rPr>
              <w:t>2.14)</w:t>
            </w:r>
          </w:p>
        </w:tc>
      </w:tr>
      <w:tr w:rsidR="00E16B29" w:rsidRPr="00026EC1" w14:paraId="759334A1" w14:textId="77777777" w:rsidTr="00BE0130">
        <w:tc>
          <w:tcPr>
            <w:tcW w:w="1144" w:type="dxa"/>
          </w:tcPr>
          <w:p w14:paraId="5A859216" w14:textId="77777777" w:rsidR="00E16B29" w:rsidRPr="00026EC1" w:rsidRDefault="00E16B29" w:rsidP="007F120F">
            <w:pPr>
              <w:keepNext w:val="0"/>
            </w:pPr>
          </w:p>
        </w:tc>
        <w:tc>
          <w:tcPr>
            <w:tcW w:w="8335" w:type="dxa"/>
            <w:gridSpan w:val="6"/>
          </w:tcPr>
          <w:p w14:paraId="51423FB7" w14:textId="77777777" w:rsidR="00E16B29" w:rsidRPr="00026EC1" w:rsidRDefault="00E16B29" w:rsidP="007F120F">
            <w:pPr>
              <w:keepNext w:val="0"/>
            </w:pPr>
          </w:p>
        </w:tc>
      </w:tr>
      <w:tr w:rsidR="00E16B29" w:rsidRPr="00026EC1" w14:paraId="72F148B0" w14:textId="77777777" w:rsidTr="00BE0130">
        <w:tc>
          <w:tcPr>
            <w:tcW w:w="1144" w:type="dxa"/>
          </w:tcPr>
          <w:p w14:paraId="2B570CEF" w14:textId="77777777" w:rsidR="00E16B29" w:rsidRPr="00026EC1" w:rsidRDefault="00E16B29" w:rsidP="007F120F">
            <w:pPr>
              <w:keepNext w:val="0"/>
            </w:pPr>
          </w:p>
        </w:tc>
        <w:tc>
          <w:tcPr>
            <w:tcW w:w="8335" w:type="dxa"/>
            <w:gridSpan w:val="6"/>
          </w:tcPr>
          <w:p w14:paraId="4597FDD2" w14:textId="77777777" w:rsidR="00E16B29" w:rsidRPr="00026EC1" w:rsidRDefault="00E16B29" w:rsidP="007F120F">
            <w:pPr>
              <w:keepNext w:val="0"/>
              <w:tabs>
                <w:tab w:val="left" w:pos="558"/>
              </w:tabs>
            </w:pP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Enseignante ou enseignant à temps partiel</w:t>
            </w:r>
          </w:p>
        </w:tc>
      </w:tr>
      <w:tr w:rsidR="00E16B29" w:rsidRPr="00026EC1" w14:paraId="283FBFD1" w14:textId="77777777" w:rsidTr="00BE0130">
        <w:tc>
          <w:tcPr>
            <w:tcW w:w="1144" w:type="dxa"/>
          </w:tcPr>
          <w:p w14:paraId="2D7E7B41" w14:textId="77777777" w:rsidR="00E16B29" w:rsidRPr="00026EC1" w:rsidRDefault="00E16B29" w:rsidP="007F120F">
            <w:pPr>
              <w:keepNext w:val="0"/>
            </w:pPr>
          </w:p>
        </w:tc>
        <w:tc>
          <w:tcPr>
            <w:tcW w:w="8335" w:type="dxa"/>
            <w:gridSpan w:val="6"/>
          </w:tcPr>
          <w:p w14:paraId="684B3511" w14:textId="77777777" w:rsidR="00E16B29" w:rsidRPr="00026EC1" w:rsidRDefault="00E16B29" w:rsidP="007F120F">
            <w:pPr>
              <w:keepNext w:val="0"/>
              <w:tabs>
                <w:tab w:val="left" w:pos="558"/>
              </w:tabs>
            </w:pPr>
          </w:p>
        </w:tc>
      </w:tr>
      <w:tr w:rsidR="00BE0130" w:rsidRPr="00026EC1" w14:paraId="1DC91BD8" w14:textId="77777777" w:rsidTr="00BE0130">
        <w:tc>
          <w:tcPr>
            <w:tcW w:w="1144" w:type="dxa"/>
          </w:tcPr>
          <w:p w14:paraId="35CDAED9" w14:textId="77777777" w:rsidR="00BE0130" w:rsidRPr="00026EC1" w:rsidRDefault="00BE0130" w:rsidP="007F120F">
            <w:pPr>
              <w:keepNext w:val="0"/>
            </w:pPr>
          </w:p>
        </w:tc>
        <w:tc>
          <w:tcPr>
            <w:tcW w:w="8335" w:type="dxa"/>
            <w:gridSpan w:val="6"/>
          </w:tcPr>
          <w:p w14:paraId="2EB98251" w14:textId="77777777" w:rsidR="00BE0130" w:rsidRPr="00026EC1" w:rsidRDefault="00BE0130" w:rsidP="007F120F">
            <w:pPr>
              <w:keepNext w:val="0"/>
              <w:tabs>
                <w:tab w:val="left" w:pos="558"/>
              </w:tabs>
            </w:pP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Enseignante ou enseignant chargé de cours</w:t>
            </w:r>
          </w:p>
        </w:tc>
      </w:tr>
      <w:tr w:rsidR="000C4E0E" w:rsidRPr="00026EC1" w14:paraId="5BF01231" w14:textId="77777777" w:rsidTr="00BE0130">
        <w:tc>
          <w:tcPr>
            <w:tcW w:w="1144" w:type="dxa"/>
          </w:tcPr>
          <w:p w14:paraId="00DB4917" w14:textId="77777777" w:rsidR="000C4E0E" w:rsidRPr="00026EC1" w:rsidRDefault="000C4E0E" w:rsidP="007F120F">
            <w:pPr>
              <w:keepNext w:val="0"/>
            </w:pPr>
          </w:p>
        </w:tc>
        <w:tc>
          <w:tcPr>
            <w:tcW w:w="8335" w:type="dxa"/>
            <w:gridSpan w:val="6"/>
          </w:tcPr>
          <w:p w14:paraId="778F9FBD" w14:textId="77777777" w:rsidR="000C4E0E" w:rsidRPr="00026EC1" w:rsidRDefault="000C4E0E" w:rsidP="007F120F">
            <w:pPr>
              <w:keepNext w:val="0"/>
              <w:tabs>
                <w:tab w:val="left" w:pos="558"/>
              </w:tabs>
            </w:pPr>
          </w:p>
        </w:tc>
      </w:tr>
    </w:tbl>
    <w:p w14:paraId="745E5751" w14:textId="77777777" w:rsidR="00E16B29" w:rsidRPr="00026EC1" w:rsidRDefault="00E16B29" w:rsidP="007F120F">
      <w:pPr>
        <w:pStyle w:val="NUMRODECLAUSE"/>
        <w:keepNext w:val="0"/>
      </w:pPr>
      <w:r w:rsidRPr="00026EC1">
        <w:t>Charge d</w:t>
      </w:r>
      <w:r w:rsidR="00BC3319" w:rsidRPr="00026EC1">
        <w:t>’</w:t>
      </w:r>
      <w:r w:rsidRPr="00026EC1">
        <w:t>enseignement</w:t>
      </w:r>
    </w:p>
    <w:p w14:paraId="6248A1EE" w14:textId="77777777" w:rsidR="00E16B29" w:rsidRPr="00026EC1" w:rsidRDefault="00E16B29" w:rsidP="007F120F">
      <w:pPr>
        <w:keepNext w:val="0"/>
      </w:pPr>
    </w:p>
    <w:p w14:paraId="177909B2" w14:textId="345B6346" w:rsidR="00E16B29" w:rsidRPr="00026EC1" w:rsidRDefault="00275751" w:rsidP="007F120F">
      <w:pPr>
        <w:keepNext w:val="0"/>
        <w:tabs>
          <w:tab w:val="left" w:pos="567"/>
        </w:tabs>
        <w:snapToGrid w:val="0"/>
        <w:ind w:left="567" w:hanging="567"/>
      </w:pPr>
      <w:r w:rsidRPr="00026EC1">
        <w:t>a)</w:t>
      </w:r>
      <w:r w:rsidRPr="00026EC1">
        <w:tab/>
      </w:r>
      <w:r w:rsidR="00E16B29" w:rsidRPr="00026EC1">
        <w:t>Le Collège retient les services de l</w:t>
      </w:r>
      <w:r w:rsidR="00BC3319" w:rsidRPr="00026EC1">
        <w:t>’</w:t>
      </w:r>
      <w:r w:rsidR="00E16B29" w:rsidRPr="00026EC1">
        <w:t>enseignante ou de l</w:t>
      </w:r>
      <w:r w:rsidR="00BC3319" w:rsidRPr="00026EC1">
        <w:t>’</w:t>
      </w:r>
      <w:r w:rsidR="00E16B29" w:rsidRPr="00026EC1">
        <w:t xml:space="preserve">enseignant pour la ou les disciplines </w:t>
      </w:r>
      <w:r w:rsidR="00E16B29" w:rsidRPr="00026EC1">
        <w:rPr>
          <w:shd w:val="clear" w:color="auto" w:fill="FFFFFF"/>
        </w:rPr>
        <w:t>et spécialités</w:t>
      </w:r>
      <w:r w:rsidR="00E16B29" w:rsidRPr="00026EC1">
        <w:rPr>
          <w:bCs/>
          <w:i/>
          <w:iCs/>
        </w:rPr>
        <w:t xml:space="preserve"> </w:t>
      </w:r>
      <w:r w:rsidR="00E16B29" w:rsidRPr="00026EC1">
        <w:t>suivantes</w:t>
      </w:r>
      <w:r w:rsidR="00D8581B">
        <w:t> :</w:t>
      </w:r>
      <w:r w:rsidR="00E16B29" w:rsidRPr="00026EC1">
        <w:t xml:space="preserve"> </w:t>
      </w:r>
    </w:p>
    <w:tbl>
      <w:tblPr>
        <w:tblW w:w="9021" w:type="dxa"/>
        <w:tblInd w:w="610" w:type="dxa"/>
        <w:tblBorders>
          <w:bottom w:val="single" w:sz="4" w:space="0" w:color="auto"/>
        </w:tblBorders>
        <w:tblCellMar>
          <w:left w:w="70" w:type="dxa"/>
          <w:right w:w="70" w:type="dxa"/>
        </w:tblCellMar>
        <w:tblLook w:val="0000" w:firstRow="0" w:lastRow="0" w:firstColumn="0" w:lastColumn="0" w:noHBand="0" w:noVBand="0"/>
      </w:tblPr>
      <w:tblGrid>
        <w:gridCol w:w="9021"/>
      </w:tblGrid>
      <w:tr w:rsidR="00E16B29" w:rsidRPr="00026EC1" w14:paraId="520DBF16" w14:textId="77777777" w:rsidTr="00A125ED">
        <w:trPr>
          <w:trHeight w:val="241"/>
        </w:trPr>
        <w:tc>
          <w:tcPr>
            <w:tcW w:w="9021" w:type="dxa"/>
            <w:tcBorders>
              <w:top w:val="nil"/>
              <w:left w:val="nil"/>
              <w:bottom w:val="single" w:sz="4" w:space="0" w:color="auto"/>
              <w:right w:val="nil"/>
            </w:tcBorders>
          </w:tcPr>
          <w:p w14:paraId="1975AA2A" w14:textId="77777777" w:rsidR="00E16B29" w:rsidRPr="00026EC1" w:rsidRDefault="00E16B29" w:rsidP="007F120F">
            <w:pPr>
              <w:keepNext w:val="0"/>
              <w:ind w:left="540"/>
            </w:pPr>
          </w:p>
        </w:tc>
      </w:tr>
    </w:tbl>
    <w:p w14:paraId="518883A1" w14:textId="77777777" w:rsidR="00F7127E" w:rsidRDefault="00F7127E" w:rsidP="007F120F">
      <w:pPr>
        <w:keepNext w:val="0"/>
        <w:tabs>
          <w:tab w:val="left" w:pos="567"/>
        </w:tabs>
        <w:snapToGrid w:val="0"/>
        <w:ind w:left="567" w:hanging="567"/>
        <w:sectPr w:rsidR="00F7127E" w:rsidSect="006B55F2">
          <w:headerReference w:type="default" r:id="rId57"/>
          <w:footnotePr>
            <w:numRestart w:val="eachPage"/>
          </w:footnotePr>
          <w:pgSz w:w="12240" w:h="15840" w:code="1"/>
          <w:pgMar w:top="720" w:right="1077" w:bottom="1242" w:left="1684" w:header="709" w:footer="709" w:gutter="0"/>
          <w:cols w:space="708"/>
          <w:docGrid w:linePitch="360"/>
        </w:sectPr>
      </w:pPr>
    </w:p>
    <w:p w14:paraId="1169FAE4" w14:textId="5AB81A36" w:rsidR="00E16B29" w:rsidRPr="00026EC1" w:rsidRDefault="00275751" w:rsidP="007F120F">
      <w:pPr>
        <w:keepNext w:val="0"/>
        <w:tabs>
          <w:tab w:val="left" w:pos="567"/>
        </w:tabs>
        <w:snapToGrid w:val="0"/>
        <w:ind w:left="567" w:hanging="567"/>
      </w:pPr>
      <w:r w:rsidRPr="00026EC1">
        <w:t>b)</w:t>
      </w:r>
      <w:r w:rsidRPr="00026EC1">
        <w:tab/>
      </w:r>
      <w:r w:rsidR="00E16B29" w:rsidRPr="00026EC1">
        <w:t>Charge de l</w:t>
      </w:r>
      <w:r w:rsidR="00BC3319" w:rsidRPr="00026EC1">
        <w:t>’</w:t>
      </w:r>
      <w:r w:rsidR="00E16B29" w:rsidRPr="00026EC1">
        <w:t>enseignante ou de l</w:t>
      </w:r>
      <w:r w:rsidR="00BC3319" w:rsidRPr="00026EC1">
        <w:t>’</w:t>
      </w:r>
      <w:r w:rsidR="00E16B29" w:rsidRPr="00026EC1">
        <w:t>enseignant à temps partiel</w:t>
      </w:r>
      <w:r w:rsidR="00D8581B">
        <w:t> :</w:t>
      </w:r>
    </w:p>
    <w:p w14:paraId="29CAA9F0" w14:textId="77777777" w:rsidR="00E16B29" w:rsidRPr="00026EC1" w:rsidRDefault="00E16B29" w:rsidP="007F120F">
      <w:pPr>
        <w:keepNext w:val="0"/>
      </w:pPr>
    </w:p>
    <w:tbl>
      <w:tblPr>
        <w:tblW w:w="8979" w:type="dxa"/>
        <w:tblInd w:w="610" w:type="dxa"/>
        <w:tblBorders>
          <w:bottom w:val="single" w:sz="4" w:space="0" w:color="auto"/>
        </w:tblBorders>
        <w:tblCellMar>
          <w:left w:w="70" w:type="dxa"/>
          <w:right w:w="70" w:type="dxa"/>
        </w:tblCellMar>
        <w:tblLook w:val="0000" w:firstRow="0" w:lastRow="0" w:firstColumn="0" w:lastColumn="0" w:noHBand="0" w:noVBand="0"/>
      </w:tblPr>
      <w:tblGrid>
        <w:gridCol w:w="8979"/>
      </w:tblGrid>
      <w:tr w:rsidR="00E16B29" w:rsidRPr="00026EC1" w14:paraId="3CF36769" w14:textId="77777777" w:rsidTr="00A125ED">
        <w:tc>
          <w:tcPr>
            <w:tcW w:w="8979" w:type="dxa"/>
            <w:tcBorders>
              <w:top w:val="nil"/>
              <w:left w:val="nil"/>
              <w:bottom w:val="single" w:sz="4" w:space="0" w:color="auto"/>
              <w:right w:val="nil"/>
            </w:tcBorders>
          </w:tcPr>
          <w:p w14:paraId="5EE61D00" w14:textId="77777777" w:rsidR="00E16B29" w:rsidRPr="00026EC1" w:rsidRDefault="00E16B29" w:rsidP="007F120F">
            <w:pPr>
              <w:keepNext w:val="0"/>
              <w:ind w:left="540"/>
            </w:pPr>
          </w:p>
        </w:tc>
      </w:tr>
    </w:tbl>
    <w:p w14:paraId="60D2FBE3" w14:textId="77777777" w:rsidR="00E16B29" w:rsidRPr="00026EC1" w:rsidRDefault="00E16B29" w:rsidP="007F120F">
      <w:pPr>
        <w:keepNext w:val="0"/>
        <w:snapToGrid w:val="0"/>
        <w:rPr>
          <w:sz w:val="20"/>
        </w:rPr>
      </w:pPr>
    </w:p>
    <w:p w14:paraId="19161E04" w14:textId="1A8EA20C" w:rsidR="00E16B29" w:rsidRPr="00026EC1" w:rsidRDefault="00275751" w:rsidP="007F120F">
      <w:pPr>
        <w:keepNext w:val="0"/>
        <w:tabs>
          <w:tab w:val="left" w:pos="567"/>
        </w:tabs>
        <w:snapToGrid w:val="0"/>
        <w:ind w:left="567" w:hanging="567"/>
      </w:pPr>
      <w:r w:rsidRPr="00026EC1">
        <w:t>c)</w:t>
      </w:r>
      <w:r w:rsidRPr="00026EC1">
        <w:tab/>
      </w:r>
      <w:r w:rsidR="00E16B29" w:rsidRPr="00026EC1">
        <w:t>Nombre de périodes pour lequel l</w:t>
      </w:r>
      <w:r w:rsidR="00BC3319" w:rsidRPr="00026EC1">
        <w:t>’</w:t>
      </w:r>
      <w:r w:rsidR="00E16B29" w:rsidRPr="00026EC1">
        <w:t>enseignante ou l</w:t>
      </w:r>
      <w:r w:rsidR="00BC3319" w:rsidRPr="00026EC1">
        <w:t>’</w:t>
      </w:r>
      <w:r w:rsidR="00E16B29" w:rsidRPr="00026EC1">
        <w:t>enseignant chargé de cours est engagé</w:t>
      </w:r>
      <w:r w:rsidR="00D8581B">
        <w:t> :</w:t>
      </w:r>
    </w:p>
    <w:p w14:paraId="008A3E2C" w14:textId="77777777" w:rsidR="00E16B29" w:rsidRPr="00026EC1" w:rsidRDefault="00E16B29" w:rsidP="007F120F">
      <w:pPr>
        <w:keepNext w:val="0"/>
        <w:rPr>
          <w:sz w:val="20"/>
        </w:rPr>
      </w:pPr>
    </w:p>
    <w:tbl>
      <w:tblPr>
        <w:tblW w:w="8993" w:type="dxa"/>
        <w:tblInd w:w="610" w:type="dxa"/>
        <w:tblBorders>
          <w:bottom w:val="single" w:sz="4" w:space="0" w:color="auto"/>
        </w:tblBorders>
        <w:tblCellMar>
          <w:left w:w="70" w:type="dxa"/>
          <w:right w:w="70" w:type="dxa"/>
        </w:tblCellMar>
        <w:tblLook w:val="0000" w:firstRow="0" w:lastRow="0" w:firstColumn="0" w:lastColumn="0" w:noHBand="0" w:noVBand="0"/>
      </w:tblPr>
      <w:tblGrid>
        <w:gridCol w:w="8993"/>
      </w:tblGrid>
      <w:tr w:rsidR="00E16B29" w:rsidRPr="00026EC1" w14:paraId="0CC44B58" w14:textId="77777777" w:rsidTr="00A125ED">
        <w:tc>
          <w:tcPr>
            <w:tcW w:w="8993" w:type="dxa"/>
            <w:tcBorders>
              <w:top w:val="nil"/>
              <w:left w:val="nil"/>
              <w:bottom w:val="single" w:sz="4" w:space="0" w:color="auto"/>
              <w:right w:val="nil"/>
            </w:tcBorders>
          </w:tcPr>
          <w:p w14:paraId="527FD2BC" w14:textId="77777777" w:rsidR="00E16B29" w:rsidRPr="00026EC1" w:rsidRDefault="00E16B29" w:rsidP="007F120F">
            <w:pPr>
              <w:keepNext w:val="0"/>
              <w:ind w:left="540"/>
            </w:pPr>
          </w:p>
        </w:tc>
      </w:tr>
    </w:tbl>
    <w:p w14:paraId="618B3420" w14:textId="77777777" w:rsidR="00E16B29" w:rsidRPr="00026EC1" w:rsidRDefault="00E16B29" w:rsidP="007F120F">
      <w:pPr>
        <w:keepNext w:val="0"/>
      </w:pPr>
    </w:p>
    <w:p w14:paraId="345BA291" w14:textId="77777777" w:rsidR="00E16B29" w:rsidRPr="00026EC1" w:rsidRDefault="00275751" w:rsidP="007F120F">
      <w:pPr>
        <w:keepNext w:val="0"/>
        <w:tabs>
          <w:tab w:val="left" w:pos="567"/>
        </w:tabs>
        <w:snapToGrid w:val="0"/>
        <w:ind w:left="567" w:hanging="567"/>
      </w:pPr>
      <w:r w:rsidRPr="00026EC1">
        <w:t>d)</w:t>
      </w:r>
      <w:r w:rsidRPr="00026EC1">
        <w:tab/>
      </w:r>
      <w:r w:rsidR="00E16B29" w:rsidRPr="00026EC1">
        <w:t>La charge d</w:t>
      </w:r>
      <w:r w:rsidR="00BC3319" w:rsidRPr="00026EC1">
        <w:t>’</w:t>
      </w:r>
      <w:r w:rsidR="00E16B29" w:rsidRPr="00026EC1">
        <w:t>enseignement de l</w:t>
      </w:r>
      <w:r w:rsidR="00BC3319" w:rsidRPr="00026EC1">
        <w:t>’</w:t>
      </w:r>
      <w:r w:rsidR="00E16B29" w:rsidRPr="00026EC1">
        <w:t>enseignante ou de l</w:t>
      </w:r>
      <w:r w:rsidR="00BC3319" w:rsidRPr="00026EC1">
        <w:t>’</w:t>
      </w:r>
      <w:r w:rsidR="00E16B29" w:rsidRPr="00026EC1">
        <w:t>enseignant lui sera désignée conformément aux dispositions de la convention collective.</w:t>
      </w:r>
    </w:p>
    <w:p w14:paraId="3A786094" w14:textId="77777777" w:rsidR="00E16B29" w:rsidRDefault="00E16B29" w:rsidP="007F120F">
      <w:pPr>
        <w:keepNext w:val="0"/>
      </w:pPr>
    </w:p>
    <w:p w14:paraId="2B7C6F9E" w14:textId="1D3DA407" w:rsidR="00B44B91" w:rsidRPr="00872EFE" w:rsidRDefault="00F04B9D" w:rsidP="007F120F">
      <w:pPr>
        <w:pStyle w:val="NUMRODECLAUSE"/>
        <w:keepNext w:val="0"/>
      </w:pP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tab/>
      </w:r>
      <w:r w:rsidR="00B44B91" w:rsidRPr="00872EFE">
        <w:t>Autres activités (clause</w:t>
      </w:r>
      <w:r w:rsidR="00D23B38">
        <w:t> </w:t>
      </w:r>
      <w:r w:rsidR="00B44B91" w:rsidRPr="00872EFE">
        <w:t>6</w:t>
      </w:r>
      <w:r w:rsidR="00984A6F">
        <w:noBreakHyphen/>
      </w:r>
      <w:r w:rsidR="00B44B91" w:rsidRPr="00872EFE">
        <w:t>1.04)</w:t>
      </w:r>
    </w:p>
    <w:p w14:paraId="5FD2B96B" w14:textId="77777777" w:rsidR="00B44B91" w:rsidRPr="00872EFE" w:rsidRDefault="00B44B91" w:rsidP="007F120F">
      <w:pPr>
        <w:keepNext w:val="0"/>
      </w:pPr>
    </w:p>
    <w:p w14:paraId="1D1EA040" w14:textId="1E4C3C9D" w:rsidR="00522FF5" w:rsidRPr="00872EFE" w:rsidRDefault="0036016E" w:rsidP="007F120F">
      <w:pPr>
        <w:keepNext w:val="0"/>
        <w:ind w:left="426"/>
        <w:rPr>
          <w:b/>
          <w:bCs/>
        </w:rPr>
      </w:pPr>
      <w:r w:rsidRPr="00872EFE">
        <w:t>Autre</w:t>
      </w:r>
      <w:r w:rsidR="006133DE" w:rsidRPr="00872EFE">
        <w:t>(s)</w:t>
      </w:r>
      <w:r w:rsidRPr="00872EFE">
        <w:t> </w:t>
      </w:r>
      <w:r w:rsidR="006133DE" w:rsidRPr="00872EFE">
        <w:t>a</w:t>
      </w:r>
      <w:r w:rsidR="00522FF5" w:rsidRPr="00872EFE">
        <w:t>ctivité(s)</w:t>
      </w:r>
      <w:r w:rsidR="00D8581B" w:rsidRPr="00872EFE">
        <w:t> :</w:t>
      </w:r>
      <w:r w:rsidR="001018CE" w:rsidRPr="00872EFE">
        <w:t> </w:t>
      </w:r>
      <w:r w:rsidRPr="00872EFE">
        <w:rPr>
          <w:b/>
          <w:bCs/>
        </w:rPr>
        <w:t>_________________________________</w:t>
      </w:r>
      <w:r w:rsidR="006E18D9" w:rsidRPr="00872EFE">
        <w:rPr>
          <w:b/>
          <w:bCs/>
        </w:rPr>
        <w:t>________________________________________________________________________</w:t>
      </w:r>
      <w:r w:rsidR="001018CE" w:rsidRPr="00872EFE">
        <w:rPr>
          <w:b/>
          <w:bCs/>
        </w:rPr>
        <w:t>_____________</w:t>
      </w:r>
    </w:p>
    <w:p w14:paraId="085B29D3" w14:textId="77777777" w:rsidR="0036016E" w:rsidRPr="00872EFE" w:rsidRDefault="0036016E" w:rsidP="007F120F">
      <w:pPr>
        <w:keepNext w:val="0"/>
        <w:ind w:left="426"/>
      </w:pPr>
    </w:p>
    <w:p w14:paraId="783689E0" w14:textId="2D71683F" w:rsidR="00B44B91" w:rsidRPr="00872EFE" w:rsidRDefault="00B44B91" w:rsidP="007F120F">
      <w:pPr>
        <w:keepNext w:val="0"/>
        <w:ind w:left="710"/>
      </w:pPr>
      <w:r w:rsidRPr="00872EFE">
        <w:t>a)</w:t>
      </w:r>
      <w:r w:rsidRPr="00872EFE">
        <w:tab/>
        <w:t>Nombre d’heures</w:t>
      </w:r>
      <w:r w:rsidR="00D8581B" w:rsidRPr="00872EFE">
        <w:t> :</w:t>
      </w:r>
      <w:r w:rsidRPr="00872EFE">
        <w:t xml:space="preserve"> __________________________</w:t>
      </w:r>
    </w:p>
    <w:p w14:paraId="5F545274" w14:textId="77777777" w:rsidR="00B44B91" w:rsidRPr="00872EFE" w:rsidRDefault="00B44B91" w:rsidP="007F120F">
      <w:pPr>
        <w:keepNext w:val="0"/>
        <w:ind w:left="710"/>
      </w:pPr>
    </w:p>
    <w:p w14:paraId="40EC248D" w14:textId="3FD9C936" w:rsidR="00B44B91" w:rsidRDefault="00B44B91" w:rsidP="007F120F">
      <w:pPr>
        <w:keepNext w:val="0"/>
        <w:ind w:left="710"/>
      </w:pPr>
      <w:r w:rsidRPr="00872EFE">
        <w:t>b)</w:t>
      </w:r>
      <w:r w:rsidRPr="00872EFE">
        <w:tab/>
        <w:t>Taux horaire</w:t>
      </w:r>
      <w:r w:rsidR="00D8581B" w:rsidRPr="00872EFE">
        <w:t> :</w:t>
      </w:r>
      <w:r w:rsidRPr="00872EFE">
        <w:t xml:space="preserve"> ____________$</w:t>
      </w:r>
    </w:p>
    <w:p w14:paraId="3E430B17" w14:textId="77777777" w:rsidR="00B44B91" w:rsidRDefault="00B44B91" w:rsidP="007F120F">
      <w:pPr>
        <w:keepNext w:val="0"/>
      </w:pPr>
    </w:p>
    <w:p w14:paraId="371DE7AE" w14:textId="77777777" w:rsidR="00E16B29" w:rsidRPr="00026EC1" w:rsidRDefault="00E16B29" w:rsidP="007F120F">
      <w:pPr>
        <w:pStyle w:val="NUMRODECLAUSE"/>
        <w:keepNext w:val="0"/>
        <w:rPr>
          <w:sz w:val="22"/>
          <w:szCs w:val="22"/>
        </w:rPr>
      </w:pPr>
      <w:r w:rsidRPr="00026EC1">
        <w:t xml:space="preserve">Salaire </w:t>
      </w:r>
      <w:r w:rsidRPr="00026EC1">
        <w:rPr>
          <w:shd w:val="clear" w:color="auto" w:fill="FFFFFF"/>
        </w:rPr>
        <w:t>de référence en fonction de l</w:t>
      </w:r>
      <w:r w:rsidR="00BC3319" w:rsidRPr="00026EC1">
        <w:rPr>
          <w:shd w:val="clear" w:color="auto" w:fill="FFFFFF"/>
        </w:rPr>
        <w:t>’</w:t>
      </w:r>
      <w:r w:rsidRPr="00026EC1">
        <w:rPr>
          <w:shd w:val="clear" w:color="auto" w:fill="FFFFFF"/>
        </w:rPr>
        <w:t>expérience et de la scolarité</w:t>
      </w:r>
    </w:p>
    <w:p w14:paraId="114DD6DB" w14:textId="77777777" w:rsidR="00E16B29" w:rsidRPr="00026EC1" w:rsidRDefault="00E16B29" w:rsidP="007F120F">
      <w:pPr>
        <w:keepNext w:val="0"/>
        <w:shd w:val="clear" w:color="auto" w:fill="FFFFFF"/>
      </w:pPr>
    </w:p>
    <w:tbl>
      <w:tblPr>
        <w:tblW w:w="9589" w:type="dxa"/>
        <w:tblLayout w:type="fixed"/>
        <w:tblCellMar>
          <w:left w:w="70" w:type="dxa"/>
          <w:right w:w="70" w:type="dxa"/>
        </w:tblCellMar>
        <w:tblLook w:val="0000" w:firstRow="0" w:lastRow="0" w:firstColumn="0" w:lastColumn="0" w:noHBand="0" w:noVBand="0"/>
      </w:tblPr>
      <w:tblGrid>
        <w:gridCol w:w="2110"/>
        <w:gridCol w:w="240"/>
        <w:gridCol w:w="120"/>
        <w:gridCol w:w="770"/>
        <w:gridCol w:w="70"/>
        <w:gridCol w:w="2040"/>
        <w:gridCol w:w="1440"/>
        <w:gridCol w:w="1377"/>
        <w:gridCol w:w="303"/>
        <w:gridCol w:w="1119"/>
      </w:tblGrid>
      <w:tr w:rsidR="00E16B29" w:rsidRPr="00026EC1" w14:paraId="776E98AF" w14:textId="77777777" w:rsidTr="00A125ED">
        <w:tc>
          <w:tcPr>
            <w:tcW w:w="3240" w:type="dxa"/>
            <w:gridSpan w:val="4"/>
          </w:tcPr>
          <w:p w14:paraId="72383E76" w14:textId="6D8DD313" w:rsidR="00E16B29" w:rsidRPr="00026EC1" w:rsidRDefault="00275751" w:rsidP="007F120F">
            <w:pPr>
              <w:keepNext w:val="0"/>
              <w:tabs>
                <w:tab w:val="left" w:pos="567"/>
              </w:tabs>
              <w:snapToGrid w:val="0"/>
              <w:ind w:left="567" w:hanging="567"/>
            </w:pPr>
            <w:r w:rsidRPr="00026EC1">
              <w:t>a)</w:t>
            </w:r>
            <w:r w:rsidRPr="00026EC1">
              <w:tab/>
            </w:r>
            <w:r w:rsidR="00E16B29" w:rsidRPr="00026EC1">
              <w:t>Catégorie de salaire</w:t>
            </w:r>
            <w:r w:rsidR="00D8581B">
              <w:t> :</w:t>
            </w:r>
          </w:p>
        </w:tc>
        <w:tc>
          <w:tcPr>
            <w:tcW w:w="6349" w:type="dxa"/>
            <w:gridSpan w:val="6"/>
          </w:tcPr>
          <w:p w14:paraId="72C129D4" w14:textId="77777777" w:rsidR="00E16B29" w:rsidRPr="00026EC1" w:rsidRDefault="00E16B29" w:rsidP="007F120F">
            <w:pPr>
              <w:keepNext w:val="0"/>
            </w:pPr>
          </w:p>
        </w:tc>
      </w:tr>
      <w:tr w:rsidR="00E16B29" w:rsidRPr="00026EC1" w14:paraId="77024901" w14:textId="77777777" w:rsidTr="00A125ED">
        <w:tc>
          <w:tcPr>
            <w:tcW w:w="2110" w:type="dxa"/>
          </w:tcPr>
          <w:p w14:paraId="68E4565A" w14:textId="77777777" w:rsidR="00E16B29" w:rsidRPr="00026EC1" w:rsidRDefault="00E16B29" w:rsidP="007F120F">
            <w:pPr>
              <w:keepNext w:val="0"/>
              <w:tabs>
                <w:tab w:val="left" w:pos="1120"/>
              </w:tabs>
            </w:pPr>
          </w:p>
        </w:tc>
        <w:tc>
          <w:tcPr>
            <w:tcW w:w="7479" w:type="dxa"/>
            <w:gridSpan w:val="9"/>
          </w:tcPr>
          <w:p w14:paraId="1AD1A060" w14:textId="77777777" w:rsidR="00E16B29" w:rsidRPr="00026EC1" w:rsidRDefault="00E16B29" w:rsidP="007F120F">
            <w:pPr>
              <w:pStyle w:val="Footer"/>
              <w:keepNext w:val="0"/>
              <w:tabs>
                <w:tab w:val="left" w:pos="708"/>
              </w:tabs>
            </w:pPr>
          </w:p>
        </w:tc>
      </w:tr>
      <w:tr w:rsidR="00E16B29" w:rsidRPr="00026EC1" w14:paraId="34283DB2" w14:textId="77777777" w:rsidTr="00A125ED">
        <w:trPr>
          <w:cantSplit/>
        </w:trPr>
        <w:tc>
          <w:tcPr>
            <w:tcW w:w="2110" w:type="dxa"/>
          </w:tcPr>
          <w:p w14:paraId="2DB7AC2B" w14:textId="6C5349C8" w:rsidR="00E16B29" w:rsidRPr="00026EC1" w:rsidRDefault="00E16B29" w:rsidP="007F120F">
            <w:pPr>
              <w:keepNext w:val="0"/>
              <w:tabs>
                <w:tab w:val="left" w:pos="1120"/>
              </w:tabs>
              <w:ind w:left="567"/>
            </w:pPr>
            <w:r w:rsidRPr="00026EC1">
              <w:t>i) scolarité</w:t>
            </w:r>
            <w:r w:rsidR="00D8581B">
              <w:t> :</w:t>
            </w:r>
          </w:p>
        </w:tc>
        <w:tc>
          <w:tcPr>
            <w:tcW w:w="1200" w:type="dxa"/>
            <w:gridSpan w:val="4"/>
            <w:tcBorders>
              <w:top w:val="nil"/>
              <w:left w:val="nil"/>
              <w:bottom w:val="single" w:sz="4" w:space="0" w:color="auto"/>
              <w:right w:val="nil"/>
            </w:tcBorders>
          </w:tcPr>
          <w:p w14:paraId="7A54AA62" w14:textId="77777777" w:rsidR="00E16B29" w:rsidRPr="00026EC1" w:rsidRDefault="00E16B29" w:rsidP="007F120F">
            <w:pPr>
              <w:pStyle w:val="Footer"/>
              <w:keepNext w:val="0"/>
              <w:tabs>
                <w:tab w:val="left" w:pos="708"/>
              </w:tabs>
            </w:pPr>
          </w:p>
        </w:tc>
        <w:tc>
          <w:tcPr>
            <w:tcW w:w="2040" w:type="dxa"/>
            <w:tcBorders>
              <w:top w:val="nil"/>
              <w:left w:val="nil"/>
              <w:right w:val="nil"/>
            </w:tcBorders>
          </w:tcPr>
          <w:p w14:paraId="1D197DB8" w14:textId="5B5EF89E" w:rsidR="00E16B29" w:rsidRPr="00026EC1" w:rsidRDefault="00E16B29" w:rsidP="007F120F">
            <w:pPr>
              <w:pStyle w:val="Footer"/>
              <w:keepNext w:val="0"/>
              <w:tabs>
                <w:tab w:val="left" w:pos="708"/>
              </w:tabs>
            </w:pPr>
            <w:r w:rsidRPr="00026EC1">
              <w:t>ii) expérience</w:t>
            </w:r>
            <w:r w:rsidR="00D8581B">
              <w:t> :</w:t>
            </w:r>
          </w:p>
        </w:tc>
        <w:tc>
          <w:tcPr>
            <w:tcW w:w="1440" w:type="dxa"/>
            <w:tcBorders>
              <w:top w:val="nil"/>
              <w:left w:val="nil"/>
              <w:bottom w:val="single" w:sz="4" w:space="0" w:color="auto"/>
              <w:right w:val="nil"/>
            </w:tcBorders>
          </w:tcPr>
          <w:p w14:paraId="75F8C918" w14:textId="77777777" w:rsidR="00E16B29" w:rsidRPr="00026EC1" w:rsidRDefault="00E16B29" w:rsidP="007F120F">
            <w:pPr>
              <w:pStyle w:val="Footer"/>
              <w:keepNext w:val="0"/>
              <w:tabs>
                <w:tab w:val="left" w:pos="708"/>
              </w:tabs>
            </w:pPr>
          </w:p>
        </w:tc>
        <w:tc>
          <w:tcPr>
            <w:tcW w:w="1680" w:type="dxa"/>
            <w:gridSpan w:val="2"/>
            <w:tcBorders>
              <w:top w:val="nil"/>
              <w:left w:val="nil"/>
              <w:right w:val="nil"/>
            </w:tcBorders>
          </w:tcPr>
          <w:p w14:paraId="644781F9" w14:textId="46B19176" w:rsidR="00E16B29" w:rsidRPr="00026EC1" w:rsidRDefault="00E16B29" w:rsidP="007F120F">
            <w:pPr>
              <w:pStyle w:val="Footer"/>
              <w:keepNext w:val="0"/>
              <w:tabs>
                <w:tab w:val="left" w:pos="708"/>
              </w:tabs>
            </w:pPr>
            <w:r w:rsidRPr="00026EC1">
              <w:t>iii) échelon</w:t>
            </w:r>
            <w:r w:rsidR="00D8581B">
              <w:t> :</w:t>
            </w:r>
          </w:p>
        </w:tc>
        <w:tc>
          <w:tcPr>
            <w:tcW w:w="1119" w:type="dxa"/>
            <w:tcBorders>
              <w:top w:val="nil"/>
              <w:left w:val="nil"/>
              <w:bottom w:val="single" w:sz="4" w:space="0" w:color="auto"/>
              <w:right w:val="nil"/>
            </w:tcBorders>
          </w:tcPr>
          <w:p w14:paraId="265208CC" w14:textId="77777777" w:rsidR="00E16B29" w:rsidRPr="00026EC1" w:rsidRDefault="00E16B29" w:rsidP="007F120F">
            <w:pPr>
              <w:pStyle w:val="Footer"/>
              <w:keepNext w:val="0"/>
              <w:tabs>
                <w:tab w:val="left" w:pos="708"/>
              </w:tabs>
            </w:pPr>
          </w:p>
        </w:tc>
      </w:tr>
      <w:tr w:rsidR="00E16B29" w:rsidRPr="00026EC1" w14:paraId="7E4DC07E" w14:textId="77777777" w:rsidTr="00A125ED">
        <w:trPr>
          <w:cantSplit/>
        </w:trPr>
        <w:tc>
          <w:tcPr>
            <w:tcW w:w="2470" w:type="dxa"/>
            <w:gridSpan w:val="3"/>
          </w:tcPr>
          <w:p w14:paraId="06D3A95D" w14:textId="77777777" w:rsidR="00E16B29" w:rsidRPr="00026EC1" w:rsidRDefault="00E16B29" w:rsidP="007F120F">
            <w:pPr>
              <w:keepNext w:val="0"/>
            </w:pPr>
          </w:p>
        </w:tc>
        <w:tc>
          <w:tcPr>
            <w:tcW w:w="4320" w:type="dxa"/>
            <w:gridSpan w:val="4"/>
          </w:tcPr>
          <w:p w14:paraId="01150425" w14:textId="77777777" w:rsidR="00E16B29" w:rsidRPr="00026EC1" w:rsidRDefault="00E16B29" w:rsidP="007F120F">
            <w:pPr>
              <w:keepNext w:val="0"/>
            </w:pPr>
          </w:p>
        </w:tc>
        <w:tc>
          <w:tcPr>
            <w:tcW w:w="2799" w:type="dxa"/>
            <w:gridSpan w:val="3"/>
          </w:tcPr>
          <w:p w14:paraId="1E4CAB21" w14:textId="77777777" w:rsidR="00E16B29" w:rsidRPr="00026EC1" w:rsidRDefault="00E16B29" w:rsidP="007F120F">
            <w:pPr>
              <w:keepNext w:val="0"/>
            </w:pPr>
          </w:p>
        </w:tc>
      </w:tr>
      <w:tr w:rsidR="00E16B29" w:rsidRPr="00026EC1" w14:paraId="7A9CB440" w14:textId="77777777" w:rsidTr="00A125ED">
        <w:trPr>
          <w:cantSplit/>
        </w:trPr>
        <w:tc>
          <w:tcPr>
            <w:tcW w:w="6790" w:type="dxa"/>
            <w:gridSpan w:val="7"/>
          </w:tcPr>
          <w:p w14:paraId="07DE8D43" w14:textId="77777777" w:rsidR="00E16B29" w:rsidRPr="00026EC1" w:rsidRDefault="00E16B29" w:rsidP="007F120F">
            <w:pPr>
              <w:keepNext w:val="0"/>
            </w:pPr>
            <w:r w:rsidRPr="00026EC1">
              <w:tab/>
              <w:t>maîtrise reconnue aux fins de rémunération</w:t>
            </w:r>
          </w:p>
        </w:tc>
        <w:tc>
          <w:tcPr>
            <w:tcW w:w="1377" w:type="dxa"/>
          </w:tcPr>
          <w:p w14:paraId="7FDDF95C" w14:textId="77777777" w:rsidR="00E16B29" w:rsidRPr="00026EC1" w:rsidRDefault="00E16B29" w:rsidP="007F120F">
            <w:pPr>
              <w:keepNext w:val="0"/>
            </w:pP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oui</w:t>
            </w:r>
          </w:p>
        </w:tc>
        <w:tc>
          <w:tcPr>
            <w:tcW w:w="1422" w:type="dxa"/>
            <w:gridSpan w:val="2"/>
          </w:tcPr>
          <w:p w14:paraId="01B43D34" w14:textId="77777777" w:rsidR="00E16B29" w:rsidRPr="00026EC1" w:rsidRDefault="00E16B29" w:rsidP="007F120F">
            <w:pPr>
              <w:keepNext w:val="0"/>
            </w:pPr>
            <w:r>
              <w:fldChar w:fldCharType="begin"/>
            </w:r>
            <w:r>
              <w:instrText>FORMCHECKBOX</w:instrText>
            </w:r>
            <w:r w:rsidR="00CD1EA2">
              <w:fldChar w:fldCharType="separate"/>
            </w:r>
            <w:r>
              <w:fldChar w:fldCharType="end"/>
            </w:r>
          </w:p>
        </w:tc>
      </w:tr>
      <w:tr w:rsidR="00E16B29" w:rsidRPr="00026EC1" w14:paraId="4D17DE3B" w14:textId="77777777" w:rsidTr="00A125ED">
        <w:trPr>
          <w:cantSplit/>
        </w:trPr>
        <w:tc>
          <w:tcPr>
            <w:tcW w:w="2110" w:type="dxa"/>
          </w:tcPr>
          <w:p w14:paraId="68BBFC94" w14:textId="77777777" w:rsidR="00E16B29" w:rsidRPr="00026EC1" w:rsidRDefault="00E16B29" w:rsidP="007F120F">
            <w:pPr>
              <w:keepNext w:val="0"/>
            </w:pPr>
          </w:p>
        </w:tc>
        <w:tc>
          <w:tcPr>
            <w:tcW w:w="4680" w:type="dxa"/>
            <w:gridSpan w:val="6"/>
          </w:tcPr>
          <w:p w14:paraId="0ED597F4" w14:textId="77777777" w:rsidR="00E16B29" w:rsidRPr="00026EC1" w:rsidRDefault="00E16B29" w:rsidP="007F120F">
            <w:pPr>
              <w:keepNext w:val="0"/>
            </w:pPr>
          </w:p>
        </w:tc>
        <w:tc>
          <w:tcPr>
            <w:tcW w:w="2799" w:type="dxa"/>
            <w:gridSpan w:val="3"/>
          </w:tcPr>
          <w:p w14:paraId="33332B7B" w14:textId="77777777" w:rsidR="00E16B29" w:rsidRPr="00026EC1" w:rsidRDefault="00E16B29" w:rsidP="007F120F">
            <w:pPr>
              <w:keepNext w:val="0"/>
            </w:pPr>
          </w:p>
        </w:tc>
      </w:tr>
      <w:tr w:rsidR="00E16B29" w:rsidRPr="00026EC1" w14:paraId="3CD6EB57" w14:textId="77777777" w:rsidTr="00A125ED">
        <w:trPr>
          <w:cantSplit/>
        </w:trPr>
        <w:tc>
          <w:tcPr>
            <w:tcW w:w="6790" w:type="dxa"/>
            <w:gridSpan w:val="7"/>
          </w:tcPr>
          <w:p w14:paraId="27B56164" w14:textId="77777777" w:rsidR="00E16B29" w:rsidRPr="00026EC1" w:rsidRDefault="00E16B29" w:rsidP="007F120F">
            <w:pPr>
              <w:keepNext w:val="0"/>
            </w:pPr>
            <w:r w:rsidRPr="00026EC1">
              <w:tab/>
              <w:t>doctorat du 3</w:t>
            </w:r>
            <w:r w:rsidRPr="00026EC1">
              <w:rPr>
                <w:vertAlign w:val="superscript"/>
              </w:rPr>
              <w:t>e</w:t>
            </w:r>
            <w:r w:rsidRPr="00026EC1">
              <w:t xml:space="preserve"> cycle</w:t>
            </w:r>
          </w:p>
        </w:tc>
        <w:tc>
          <w:tcPr>
            <w:tcW w:w="1377" w:type="dxa"/>
          </w:tcPr>
          <w:p w14:paraId="7465F8A4" w14:textId="77777777" w:rsidR="00E16B29" w:rsidRPr="00026EC1" w:rsidRDefault="00E16B29" w:rsidP="007F120F">
            <w:pPr>
              <w:keepNext w:val="0"/>
            </w:pPr>
            <w:r>
              <w:fldChar w:fldCharType="begin"/>
            </w:r>
            <w:r>
              <w:instrText>FORMCHECKBOX</w:instrText>
            </w:r>
            <w:r w:rsidR="00CD1EA2">
              <w:fldChar w:fldCharType="separate"/>
            </w:r>
            <w:r>
              <w:fldChar w:fldCharType="end"/>
            </w:r>
            <w:r w:rsidRPr="00026EC1">
              <w:fldChar w:fldCharType="begin">
                <w:ffData>
                  <w:name w:val="CaseACocher20"/>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oui</w:t>
            </w:r>
          </w:p>
        </w:tc>
        <w:tc>
          <w:tcPr>
            <w:tcW w:w="1422" w:type="dxa"/>
            <w:gridSpan w:val="2"/>
          </w:tcPr>
          <w:p w14:paraId="07009814" w14:textId="77777777" w:rsidR="00E16B29" w:rsidRPr="00026EC1" w:rsidRDefault="00E16B29" w:rsidP="007F120F">
            <w:pPr>
              <w:keepNext w:val="0"/>
            </w:pPr>
          </w:p>
        </w:tc>
      </w:tr>
      <w:tr w:rsidR="00E16B29" w:rsidRPr="00026EC1" w14:paraId="6AC0C2EE" w14:textId="77777777" w:rsidTr="00A125ED">
        <w:tc>
          <w:tcPr>
            <w:tcW w:w="2350" w:type="dxa"/>
            <w:gridSpan w:val="2"/>
          </w:tcPr>
          <w:p w14:paraId="1C0F4BAA" w14:textId="77777777" w:rsidR="00E16B29" w:rsidRPr="00026EC1" w:rsidRDefault="00E16B29" w:rsidP="007F120F">
            <w:pPr>
              <w:keepNext w:val="0"/>
              <w:tabs>
                <w:tab w:val="left" w:pos="1120"/>
              </w:tabs>
              <w:ind w:left="567"/>
            </w:pPr>
          </w:p>
        </w:tc>
        <w:tc>
          <w:tcPr>
            <w:tcW w:w="7239" w:type="dxa"/>
            <w:gridSpan w:val="8"/>
          </w:tcPr>
          <w:p w14:paraId="11D6712F" w14:textId="77777777" w:rsidR="00E16B29" w:rsidRPr="00026EC1" w:rsidRDefault="00E16B29" w:rsidP="007F120F">
            <w:pPr>
              <w:keepNext w:val="0"/>
            </w:pPr>
          </w:p>
        </w:tc>
      </w:tr>
      <w:tr w:rsidR="00E16B29" w:rsidRPr="00026EC1" w14:paraId="4F7F8633" w14:textId="77777777" w:rsidTr="00A125ED">
        <w:tc>
          <w:tcPr>
            <w:tcW w:w="2350" w:type="dxa"/>
            <w:gridSpan w:val="2"/>
          </w:tcPr>
          <w:p w14:paraId="000320C5" w14:textId="4520DB59" w:rsidR="00E16B29" w:rsidRPr="00026EC1" w:rsidRDefault="00275751" w:rsidP="007F120F">
            <w:pPr>
              <w:keepNext w:val="0"/>
              <w:tabs>
                <w:tab w:val="left" w:pos="567"/>
              </w:tabs>
              <w:snapToGrid w:val="0"/>
              <w:ind w:left="567" w:hanging="567"/>
              <w:rPr>
                <w:bCs/>
              </w:rPr>
            </w:pPr>
            <w:r w:rsidRPr="00026EC1">
              <w:rPr>
                <w:bCs/>
              </w:rPr>
              <w:t>b)</w:t>
            </w:r>
            <w:r w:rsidRPr="00026EC1">
              <w:rPr>
                <w:bCs/>
              </w:rPr>
              <w:tab/>
            </w:r>
            <w:r w:rsidR="00E16B29" w:rsidRPr="00026EC1">
              <w:t>Salaire initial</w:t>
            </w:r>
            <w:r w:rsidR="00D8581B">
              <w:t> :</w:t>
            </w:r>
          </w:p>
          <w:p w14:paraId="130CE628" w14:textId="77777777" w:rsidR="00E16B29" w:rsidRPr="00026EC1" w:rsidRDefault="00E16B29" w:rsidP="007F120F">
            <w:pPr>
              <w:keepNext w:val="0"/>
            </w:pPr>
          </w:p>
        </w:tc>
        <w:tc>
          <w:tcPr>
            <w:tcW w:w="7239" w:type="dxa"/>
            <w:gridSpan w:val="8"/>
          </w:tcPr>
          <w:p w14:paraId="70E65609" w14:textId="51FC9C53" w:rsidR="00E16B29" w:rsidRPr="00026EC1" w:rsidRDefault="00E16B29" w:rsidP="007F120F">
            <w:pPr>
              <w:keepNext w:val="0"/>
            </w:pPr>
            <w:r w:rsidRPr="00026EC1">
              <w:t xml:space="preserve">(année 20 _____ </w:t>
            </w:r>
            <w:r w:rsidR="00984A6F">
              <w:noBreakHyphen/>
            </w:r>
            <w:r w:rsidRPr="00026EC1">
              <w:t xml:space="preserve"> 20______)</w:t>
            </w:r>
            <w:r w:rsidR="00D8581B">
              <w:t> :</w:t>
            </w:r>
            <w:r w:rsidRPr="00026EC1">
              <w:t xml:space="preserve"> _________________$</w:t>
            </w:r>
          </w:p>
        </w:tc>
      </w:tr>
    </w:tbl>
    <w:p w14:paraId="6A4C3C8C" w14:textId="77777777" w:rsidR="00E16B29" w:rsidRPr="00026EC1" w:rsidRDefault="00E16B29" w:rsidP="007F120F">
      <w:pPr>
        <w:keepNext w:val="0"/>
        <w:rPr>
          <w:sz w:val="20"/>
        </w:rPr>
      </w:pPr>
    </w:p>
    <w:p w14:paraId="09BBC7E4" w14:textId="77777777" w:rsidR="00E16B29" w:rsidRPr="00026EC1" w:rsidRDefault="00E16B29" w:rsidP="007F120F">
      <w:pPr>
        <w:pStyle w:val="NUMRODECLAUSE"/>
        <w:keepNext w:val="0"/>
      </w:pPr>
      <w:r w:rsidRPr="00026EC1">
        <w:t>Dispositions particulières</w:t>
      </w:r>
    </w:p>
    <w:p w14:paraId="03F02111" w14:textId="77777777" w:rsidR="00E16B29" w:rsidRPr="00026EC1" w:rsidRDefault="00E16B29" w:rsidP="007F120F">
      <w:pPr>
        <w:keepNext w:val="0"/>
        <w:rPr>
          <w:sz w:val="20"/>
        </w:rPr>
      </w:pPr>
    </w:p>
    <w:tbl>
      <w:tblPr>
        <w:tblW w:w="9589" w:type="dxa"/>
        <w:tblCellMar>
          <w:left w:w="70" w:type="dxa"/>
          <w:right w:w="70" w:type="dxa"/>
        </w:tblCellMar>
        <w:tblLook w:val="0000" w:firstRow="0" w:lastRow="0" w:firstColumn="0" w:lastColumn="0" w:noHBand="0" w:noVBand="0"/>
      </w:tblPr>
      <w:tblGrid>
        <w:gridCol w:w="790"/>
        <w:gridCol w:w="3120"/>
        <w:gridCol w:w="4800"/>
        <w:gridCol w:w="879"/>
      </w:tblGrid>
      <w:tr w:rsidR="00E16B29" w:rsidRPr="00026EC1" w14:paraId="52A283D2" w14:textId="77777777" w:rsidTr="00A125ED">
        <w:tc>
          <w:tcPr>
            <w:tcW w:w="790" w:type="dxa"/>
          </w:tcPr>
          <w:p w14:paraId="2E31353C" w14:textId="77777777" w:rsidR="00E16B29" w:rsidRPr="00026EC1" w:rsidRDefault="00E16B29" w:rsidP="007F120F">
            <w:pPr>
              <w:pStyle w:val="Footer"/>
              <w:keepNext w:val="0"/>
              <w:tabs>
                <w:tab w:val="left" w:pos="708"/>
              </w:tabs>
            </w:pPr>
            <w:r w:rsidRPr="00026EC1">
              <w:t>*</w:t>
            </w:r>
          </w:p>
        </w:tc>
        <w:tc>
          <w:tcPr>
            <w:tcW w:w="8799" w:type="dxa"/>
            <w:gridSpan w:val="3"/>
          </w:tcPr>
          <w:p w14:paraId="30D41125" w14:textId="43A29107" w:rsidR="00E16B29" w:rsidRPr="00026EC1" w:rsidRDefault="00E16B29" w:rsidP="007F120F">
            <w:pPr>
              <w:keepNext w:val="0"/>
              <w:ind w:left="-70"/>
              <w:rPr>
                <w:strike/>
              </w:rPr>
            </w:pPr>
            <w:r w:rsidRPr="00026EC1">
              <w:rPr>
                <w:b/>
                <w:bCs/>
                <w:shd w:val="clear" w:color="auto" w:fill="FFFFFF"/>
              </w:rPr>
              <w:t>En remplacement de</w:t>
            </w:r>
            <w:r w:rsidR="00D8581B">
              <w:t> :</w:t>
            </w:r>
          </w:p>
        </w:tc>
      </w:tr>
      <w:tr w:rsidR="00E16B29" w:rsidRPr="00026EC1" w14:paraId="6A71DFDF" w14:textId="77777777" w:rsidTr="00A125ED">
        <w:tc>
          <w:tcPr>
            <w:tcW w:w="790" w:type="dxa"/>
          </w:tcPr>
          <w:p w14:paraId="3FA7DECA" w14:textId="77777777" w:rsidR="00E16B29" w:rsidRPr="00026EC1" w:rsidRDefault="00E16B29" w:rsidP="007F120F">
            <w:pPr>
              <w:keepNext w:val="0"/>
            </w:pPr>
          </w:p>
        </w:tc>
        <w:tc>
          <w:tcPr>
            <w:tcW w:w="8799" w:type="dxa"/>
            <w:gridSpan w:val="3"/>
          </w:tcPr>
          <w:p w14:paraId="261ABA82" w14:textId="77777777" w:rsidR="00E16B29" w:rsidRPr="00026EC1" w:rsidRDefault="00E16B29" w:rsidP="007F120F">
            <w:pPr>
              <w:keepNext w:val="0"/>
              <w:ind w:left="-70"/>
            </w:pPr>
          </w:p>
        </w:tc>
      </w:tr>
      <w:tr w:rsidR="00E16B29" w:rsidRPr="00026EC1" w14:paraId="6950F377" w14:textId="77777777" w:rsidTr="00A125ED">
        <w:tc>
          <w:tcPr>
            <w:tcW w:w="790" w:type="dxa"/>
          </w:tcPr>
          <w:p w14:paraId="2DA65544" w14:textId="77777777" w:rsidR="00E16B29" w:rsidRPr="00026EC1" w:rsidRDefault="00E16B29" w:rsidP="007F120F">
            <w:pPr>
              <w:keepNext w:val="0"/>
            </w:pPr>
          </w:p>
        </w:tc>
        <w:tc>
          <w:tcPr>
            <w:tcW w:w="8799" w:type="dxa"/>
            <w:gridSpan w:val="3"/>
            <w:tcBorders>
              <w:top w:val="nil"/>
              <w:left w:val="nil"/>
              <w:bottom w:val="single" w:sz="4" w:space="0" w:color="auto"/>
              <w:right w:val="nil"/>
            </w:tcBorders>
          </w:tcPr>
          <w:p w14:paraId="6121D0B7" w14:textId="77777777" w:rsidR="00E16B29" w:rsidRPr="00026EC1" w:rsidRDefault="00E16B29" w:rsidP="007F120F">
            <w:pPr>
              <w:keepNext w:val="0"/>
              <w:ind w:left="-70"/>
            </w:pPr>
          </w:p>
        </w:tc>
      </w:tr>
      <w:tr w:rsidR="00E16B29" w:rsidRPr="00026EC1" w14:paraId="0CBD5A15" w14:textId="77777777" w:rsidTr="00A125ED">
        <w:tc>
          <w:tcPr>
            <w:tcW w:w="790" w:type="dxa"/>
          </w:tcPr>
          <w:p w14:paraId="61990727" w14:textId="77777777" w:rsidR="00E16B29" w:rsidRPr="00026EC1" w:rsidRDefault="00E16B29" w:rsidP="007F120F">
            <w:pPr>
              <w:keepNext w:val="0"/>
            </w:pPr>
          </w:p>
        </w:tc>
        <w:tc>
          <w:tcPr>
            <w:tcW w:w="8799" w:type="dxa"/>
            <w:gridSpan w:val="3"/>
            <w:tcBorders>
              <w:top w:val="single" w:sz="4" w:space="0" w:color="auto"/>
              <w:left w:val="nil"/>
              <w:right w:val="nil"/>
            </w:tcBorders>
          </w:tcPr>
          <w:p w14:paraId="46B444B9" w14:textId="77777777" w:rsidR="00E16B29" w:rsidRPr="00026EC1" w:rsidRDefault="00E16B29" w:rsidP="007F120F">
            <w:pPr>
              <w:keepNext w:val="0"/>
              <w:ind w:left="-70"/>
            </w:pPr>
            <w:r w:rsidRPr="00026EC1">
              <w:t>(nom de la, du ou des enseignantes et enseignants remplacés)</w:t>
            </w:r>
          </w:p>
        </w:tc>
      </w:tr>
      <w:tr w:rsidR="00E16B29" w:rsidRPr="00026EC1" w14:paraId="59FC9256" w14:textId="77777777" w:rsidTr="00A125ED">
        <w:tc>
          <w:tcPr>
            <w:tcW w:w="790" w:type="dxa"/>
          </w:tcPr>
          <w:p w14:paraId="5735882E" w14:textId="77777777" w:rsidR="00E16B29" w:rsidRPr="00026EC1" w:rsidRDefault="00E16B29" w:rsidP="007F120F">
            <w:pPr>
              <w:keepNext w:val="0"/>
            </w:pPr>
          </w:p>
        </w:tc>
        <w:tc>
          <w:tcPr>
            <w:tcW w:w="8799" w:type="dxa"/>
            <w:gridSpan w:val="3"/>
            <w:tcBorders>
              <w:left w:val="nil"/>
              <w:right w:val="nil"/>
            </w:tcBorders>
          </w:tcPr>
          <w:p w14:paraId="3BB64186" w14:textId="77777777" w:rsidR="00E16B29" w:rsidRPr="00026EC1" w:rsidRDefault="00E16B29" w:rsidP="007F120F">
            <w:pPr>
              <w:keepNext w:val="0"/>
              <w:ind w:left="-70"/>
            </w:pPr>
          </w:p>
        </w:tc>
      </w:tr>
      <w:tr w:rsidR="00E16B29" w:rsidRPr="00026EC1" w14:paraId="785E939E" w14:textId="77777777" w:rsidTr="00A125ED">
        <w:tc>
          <w:tcPr>
            <w:tcW w:w="790" w:type="dxa"/>
          </w:tcPr>
          <w:p w14:paraId="4986D338" w14:textId="77777777" w:rsidR="00E16B29" w:rsidRPr="00026EC1" w:rsidRDefault="00E16B29" w:rsidP="007F120F">
            <w:pPr>
              <w:keepNext w:val="0"/>
            </w:pPr>
          </w:p>
        </w:tc>
        <w:tc>
          <w:tcPr>
            <w:tcW w:w="3120" w:type="dxa"/>
          </w:tcPr>
          <w:p w14:paraId="5461ED59" w14:textId="4CEBD48F" w:rsidR="00E16B29" w:rsidRPr="00026EC1" w:rsidRDefault="00E16B29" w:rsidP="007F120F">
            <w:pPr>
              <w:keepNext w:val="0"/>
            </w:pPr>
            <w:r w:rsidRPr="00026EC1">
              <w:t>Date prévue de retour</w:t>
            </w:r>
            <w:r w:rsidR="00D8581B">
              <w:t> :</w:t>
            </w:r>
          </w:p>
        </w:tc>
        <w:tc>
          <w:tcPr>
            <w:tcW w:w="4800" w:type="dxa"/>
            <w:tcBorders>
              <w:bottom w:val="single" w:sz="4" w:space="0" w:color="auto"/>
            </w:tcBorders>
          </w:tcPr>
          <w:p w14:paraId="4BDB5FA6" w14:textId="77777777" w:rsidR="00E16B29" w:rsidRPr="00026EC1" w:rsidRDefault="00E16B29" w:rsidP="007F120F">
            <w:pPr>
              <w:keepNext w:val="0"/>
            </w:pPr>
          </w:p>
        </w:tc>
        <w:tc>
          <w:tcPr>
            <w:tcW w:w="879" w:type="dxa"/>
          </w:tcPr>
          <w:p w14:paraId="39F147DC" w14:textId="77777777" w:rsidR="00E16B29" w:rsidRPr="00026EC1" w:rsidRDefault="00E16B29" w:rsidP="007F120F">
            <w:pPr>
              <w:keepNext w:val="0"/>
            </w:pPr>
          </w:p>
        </w:tc>
      </w:tr>
      <w:tr w:rsidR="00E16B29" w:rsidRPr="00026EC1" w14:paraId="68C82251" w14:textId="77777777" w:rsidTr="00A125ED">
        <w:tc>
          <w:tcPr>
            <w:tcW w:w="9589" w:type="dxa"/>
            <w:gridSpan w:val="4"/>
          </w:tcPr>
          <w:p w14:paraId="5F52064A" w14:textId="77777777" w:rsidR="00E16B29" w:rsidRPr="00026EC1" w:rsidRDefault="00E16B29" w:rsidP="007F120F">
            <w:pPr>
              <w:keepNext w:val="0"/>
              <w:ind w:left="-70"/>
            </w:pPr>
          </w:p>
        </w:tc>
      </w:tr>
    </w:tbl>
    <w:p w14:paraId="60D96AAB" w14:textId="77777777" w:rsidR="00E16B29" w:rsidRPr="00026EC1" w:rsidRDefault="00E16B29" w:rsidP="007F120F">
      <w:pPr>
        <w:keepNext w:val="0"/>
        <w:rPr>
          <w:sz w:val="20"/>
        </w:rPr>
      </w:pPr>
    </w:p>
    <w:tbl>
      <w:tblPr>
        <w:tblW w:w="9603" w:type="dxa"/>
        <w:tblCellMar>
          <w:left w:w="70" w:type="dxa"/>
          <w:right w:w="70" w:type="dxa"/>
        </w:tblCellMar>
        <w:tblLook w:val="0000" w:firstRow="0" w:lastRow="0" w:firstColumn="0" w:lastColumn="0" w:noHBand="0" w:noVBand="0"/>
      </w:tblPr>
      <w:tblGrid>
        <w:gridCol w:w="967"/>
        <w:gridCol w:w="148"/>
        <w:gridCol w:w="3283"/>
        <w:gridCol w:w="493"/>
        <w:gridCol w:w="1945"/>
        <w:gridCol w:w="517"/>
        <w:gridCol w:w="2250"/>
      </w:tblGrid>
      <w:tr w:rsidR="00E16B29" w:rsidRPr="00026EC1" w14:paraId="79DA3471" w14:textId="77777777" w:rsidTr="00A125ED">
        <w:trPr>
          <w:cantSplit/>
        </w:trPr>
        <w:tc>
          <w:tcPr>
            <w:tcW w:w="967" w:type="dxa"/>
          </w:tcPr>
          <w:p w14:paraId="0FDE1BE2" w14:textId="3AF2E941" w:rsidR="00E16B29" w:rsidRPr="00026EC1" w:rsidRDefault="00E16B29" w:rsidP="007F120F">
            <w:pPr>
              <w:keepNext w:val="0"/>
            </w:pPr>
            <w:r w:rsidRPr="00026EC1">
              <w:t>Autres</w:t>
            </w:r>
            <w:r w:rsidR="00D8581B">
              <w:t> :</w:t>
            </w:r>
          </w:p>
        </w:tc>
        <w:tc>
          <w:tcPr>
            <w:tcW w:w="8636" w:type="dxa"/>
            <w:gridSpan w:val="6"/>
            <w:tcBorders>
              <w:top w:val="nil"/>
              <w:left w:val="nil"/>
              <w:bottom w:val="single" w:sz="4" w:space="0" w:color="auto"/>
              <w:right w:val="nil"/>
            </w:tcBorders>
          </w:tcPr>
          <w:p w14:paraId="56E066F2" w14:textId="77777777" w:rsidR="00E16B29" w:rsidRPr="00026EC1" w:rsidRDefault="00E16B29" w:rsidP="007F120F">
            <w:pPr>
              <w:keepNext w:val="0"/>
            </w:pPr>
          </w:p>
        </w:tc>
      </w:tr>
      <w:tr w:rsidR="00E16B29" w:rsidRPr="00026EC1" w14:paraId="76555FDF" w14:textId="77777777" w:rsidTr="00A125ED">
        <w:tc>
          <w:tcPr>
            <w:tcW w:w="9603" w:type="dxa"/>
            <w:gridSpan w:val="7"/>
          </w:tcPr>
          <w:p w14:paraId="431ACDC9" w14:textId="77777777" w:rsidR="00E16B29" w:rsidRPr="00026EC1" w:rsidRDefault="00E16B29" w:rsidP="007F120F">
            <w:pPr>
              <w:keepNext w:val="0"/>
            </w:pPr>
          </w:p>
        </w:tc>
      </w:tr>
      <w:tr w:rsidR="00E16B29" w:rsidRPr="00026EC1" w14:paraId="311B1900" w14:textId="77777777" w:rsidTr="00A125ED">
        <w:tc>
          <w:tcPr>
            <w:tcW w:w="9603" w:type="dxa"/>
            <w:gridSpan w:val="7"/>
          </w:tcPr>
          <w:p w14:paraId="444BF5A2" w14:textId="1101F3BA" w:rsidR="00DC1868" w:rsidRPr="00026EC1" w:rsidRDefault="00DC1868" w:rsidP="007F120F">
            <w:pPr>
              <w:keepNext w:val="0"/>
            </w:pPr>
          </w:p>
        </w:tc>
      </w:tr>
      <w:tr w:rsidR="00E16B29" w:rsidRPr="00026EC1" w14:paraId="47CA5045" w14:textId="77777777" w:rsidTr="00A125ED">
        <w:tc>
          <w:tcPr>
            <w:tcW w:w="9603" w:type="dxa"/>
            <w:gridSpan w:val="7"/>
          </w:tcPr>
          <w:p w14:paraId="779AE3F9" w14:textId="77777777" w:rsidR="00E16B29" w:rsidRPr="00026EC1" w:rsidRDefault="00E16B29" w:rsidP="007F120F">
            <w:pPr>
              <w:pStyle w:val="NUMRODECLAUSE"/>
              <w:keepNext w:val="0"/>
              <w:rPr>
                <w:i/>
                <w:iCs/>
                <w:sz w:val="22"/>
                <w:szCs w:val="22"/>
              </w:rPr>
            </w:pPr>
            <w:r w:rsidRPr="00026EC1">
              <w:t xml:space="preserve">Contrat collectif </w:t>
            </w:r>
          </w:p>
          <w:p w14:paraId="0C28B288" w14:textId="77777777" w:rsidR="00E16B29" w:rsidRPr="00026EC1" w:rsidRDefault="00E16B29" w:rsidP="007F120F">
            <w:pPr>
              <w:keepNext w:val="0"/>
            </w:pPr>
          </w:p>
          <w:p w14:paraId="1055D49D" w14:textId="77777777" w:rsidR="00B67A1D" w:rsidRPr="00026EC1" w:rsidRDefault="00E16B29" w:rsidP="007F120F">
            <w:pPr>
              <w:keepNext w:val="0"/>
            </w:pPr>
            <w:r w:rsidRPr="00026EC1">
              <w:t>L</w:t>
            </w:r>
            <w:r w:rsidR="00BC3319" w:rsidRPr="00026EC1">
              <w:t>’</w:t>
            </w:r>
            <w:r w:rsidRPr="00026EC1">
              <w:t>enseignante ou l</w:t>
            </w:r>
            <w:r w:rsidR="00BC3319" w:rsidRPr="00026EC1">
              <w:t>’</w:t>
            </w:r>
            <w:r w:rsidRPr="00026EC1">
              <w:t>enseignant reconnaît être informé que la convention collective FNEEQ (CSN) en vigueur est accessible sur le site internet du Comité patronal de négociation des collèges (CPNC) à l</w:t>
            </w:r>
            <w:r w:rsidR="00BC3319" w:rsidRPr="00026EC1">
              <w:t>’</w:t>
            </w:r>
            <w:r w:rsidRPr="00026EC1">
              <w:t>adresse électronique du CPNC</w:t>
            </w:r>
            <w:r w:rsidRPr="00026EC1">
              <w:rPr>
                <w:rStyle w:val="FootnoteReference"/>
              </w:rPr>
              <w:footnoteReference w:id="75"/>
            </w:r>
            <w:r w:rsidRPr="00026EC1">
              <w:t>. Les parties déclarent soumettre les dispositions du présent contrat d</w:t>
            </w:r>
            <w:r w:rsidR="00BC3319" w:rsidRPr="00026EC1">
              <w:t>’</w:t>
            </w:r>
            <w:r w:rsidRPr="00026EC1">
              <w:t xml:space="preserve">engagement aux dispositions de la convention collective </w:t>
            </w:r>
            <w:r w:rsidRPr="00026EC1">
              <w:rPr>
                <w:shd w:val="clear" w:color="auto" w:fill="FFFFFF"/>
              </w:rPr>
              <w:t xml:space="preserve">liant </w:t>
            </w:r>
            <w:r w:rsidRPr="00026EC1">
              <w:t>le Collège et le Syndicat qui représente l</w:t>
            </w:r>
            <w:r w:rsidR="00BC3319" w:rsidRPr="00026EC1">
              <w:t>’</w:t>
            </w:r>
            <w:r w:rsidRPr="00026EC1">
              <w:t>enseignante ou l</w:t>
            </w:r>
            <w:r w:rsidR="00BC3319" w:rsidRPr="00026EC1">
              <w:t>’</w:t>
            </w:r>
            <w:r w:rsidRPr="00026EC1">
              <w:t>enseignant à son emploi.</w:t>
            </w:r>
          </w:p>
        </w:tc>
      </w:tr>
      <w:tr w:rsidR="00477DD7" w:rsidRPr="00026EC1" w14:paraId="4DB360D1" w14:textId="77777777" w:rsidTr="00A125ED">
        <w:tc>
          <w:tcPr>
            <w:tcW w:w="9603" w:type="dxa"/>
            <w:gridSpan w:val="7"/>
          </w:tcPr>
          <w:p w14:paraId="37763A9D" w14:textId="77777777" w:rsidR="00477DD7" w:rsidRPr="00026EC1" w:rsidRDefault="00477DD7" w:rsidP="007F120F">
            <w:pPr>
              <w:pStyle w:val="NUMRODECLAUSE"/>
              <w:keepNext w:val="0"/>
            </w:pPr>
          </w:p>
        </w:tc>
      </w:tr>
      <w:tr w:rsidR="00E16B29" w:rsidRPr="00026EC1" w14:paraId="185F6F1A" w14:textId="77777777" w:rsidTr="00A125ED">
        <w:tc>
          <w:tcPr>
            <w:tcW w:w="9603" w:type="dxa"/>
            <w:gridSpan w:val="7"/>
            <w:shd w:val="clear" w:color="auto" w:fill="FFFFFF"/>
          </w:tcPr>
          <w:p w14:paraId="75960C36" w14:textId="79A64151" w:rsidR="00E16B29" w:rsidRPr="00026EC1" w:rsidRDefault="00E16B29" w:rsidP="007F120F">
            <w:pPr>
              <w:keepNext w:val="0"/>
              <w:rPr>
                <w:b/>
                <w:bCs/>
                <w:iCs/>
              </w:rPr>
            </w:pPr>
            <w:r w:rsidRPr="00026EC1">
              <w:rPr>
                <w:b/>
                <w:bCs/>
                <w:iCs/>
                <w:u w:val="single"/>
              </w:rPr>
              <w:t>Cumul d</w:t>
            </w:r>
            <w:r w:rsidR="00BC3319" w:rsidRPr="00026EC1">
              <w:rPr>
                <w:b/>
                <w:bCs/>
                <w:iCs/>
                <w:u w:val="single"/>
              </w:rPr>
              <w:t>’</w:t>
            </w:r>
            <w:r w:rsidRPr="00026EC1">
              <w:rPr>
                <w:b/>
                <w:bCs/>
                <w:iCs/>
                <w:u w:val="single"/>
              </w:rPr>
              <w:t>emploi</w:t>
            </w:r>
            <w:r w:rsidRPr="00026EC1">
              <w:rPr>
                <w:b/>
                <w:bCs/>
                <w:iCs/>
              </w:rPr>
              <w:t xml:space="preserve"> (</w:t>
            </w:r>
            <w:r w:rsidRPr="00026EC1">
              <w:rPr>
                <w:b/>
                <w:bCs/>
                <w:iCs/>
                <w:sz w:val="22"/>
                <w:szCs w:val="22"/>
              </w:rPr>
              <w:t>référence Annexe</w:t>
            </w:r>
            <w:r w:rsidR="00A50397" w:rsidRPr="00026EC1">
              <w:rPr>
                <w:b/>
                <w:bCs/>
                <w:iCs/>
                <w:sz w:val="22"/>
                <w:szCs w:val="22"/>
              </w:rPr>
              <w:t> </w:t>
            </w:r>
            <w:r w:rsidRPr="00026EC1">
              <w:rPr>
                <w:b/>
                <w:bCs/>
                <w:iCs/>
                <w:sz w:val="22"/>
                <w:szCs w:val="22"/>
              </w:rPr>
              <w:t>II</w:t>
            </w:r>
            <w:r w:rsidR="00984A6F">
              <w:rPr>
                <w:b/>
                <w:bCs/>
                <w:iCs/>
                <w:sz w:val="22"/>
                <w:szCs w:val="22"/>
              </w:rPr>
              <w:noBreakHyphen/>
            </w:r>
            <w:r w:rsidRPr="00026EC1">
              <w:rPr>
                <w:b/>
                <w:bCs/>
                <w:iCs/>
                <w:sz w:val="22"/>
                <w:szCs w:val="22"/>
              </w:rPr>
              <w:t>6)</w:t>
            </w:r>
          </w:p>
        </w:tc>
      </w:tr>
      <w:tr w:rsidR="00E16B29" w:rsidRPr="00026EC1" w14:paraId="51A277A5" w14:textId="77777777" w:rsidTr="00A125ED">
        <w:tc>
          <w:tcPr>
            <w:tcW w:w="9603" w:type="dxa"/>
            <w:gridSpan w:val="7"/>
            <w:shd w:val="clear" w:color="auto" w:fill="FFFFFF"/>
          </w:tcPr>
          <w:p w14:paraId="2035F91C" w14:textId="77777777" w:rsidR="00E16B29" w:rsidRPr="00026EC1" w:rsidRDefault="00E16B29" w:rsidP="007F120F">
            <w:pPr>
              <w:keepNext w:val="0"/>
            </w:pPr>
          </w:p>
        </w:tc>
      </w:tr>
      <w:tr w:rsidR="00E16B29" w:rsidRPr="00026EC1" w14:paraId="5F865AE5" w14:textId="77777777" w:rsidTr="00A125ED">
        <w:tc>
          <w:tcPr>
            <w:tcW w:w="9603" w:type="dxa"/>
            <w:gridSpan w:val="7"/>
            <w:shd w:val="clear" w:color="auto" w:fill="FFFFFF"/>
          </w:tcPr>
          <w:p w14:paraId="60D4D1ED" w14:textId="3EC38A9F" w:rsidR="00E16B29" w:rsidRPr="00026EC1" w:rsidRDefault="00E16B29" w:rsidP="007F120F">
            <w:pPr>
              <w:keepNext w:val="0"/>
            </w:pPr>
            <w:r w:rsidRPr="00026EC1">
              <w:t>En regard de la définition d</w:t>
            </w:r>
            <w:r w:rsidR="00BC3319" w:rsidRPr="00026EC1">
              <w:t>’</w:t>
            </w:r>
            <w:r w:rsidRPr="00026EC1">
              <w:t>un emploi à temps complet prévue à la convention collective, cochez l</w:t>
            </w:r>
            <w:r w:rsidR="00BC3319" w:rsidRPr="00026EC1">
              <w:t>’</w:t>
            </w:r>
            <w:r w:rsidRPr="00026EC1">
              <w:t>une ou l</w:t>
            </w:r>
            <w:r w:rsidR="00BC3319" w:rsidRPr="00026EC1">
              <w:t>’</w:t>
            </w:r>
            <w:r w:rsidRPr="00026EC1">
              <w:t>autre des déclarations suivantes</w:t>
            </w:r>
            <w:r w:rsidR="00D8581B">
              <w:t> :</w:t>
            </w:r>
          </w:p>
        </w:tc>
      </w:tr>
      <w:tr w:rsidR="00E16B29" w:rsidRPr="00026EC1" w14:paraId="553EAE06" w14:textId="77777777" w:rsidTr="00A125ED">
        <w:tc>
          <w:tcPr>
            <w:tcW w:w="9603" w:type="dxa"/>
            <w:gridSpan w:val="7"/>
            <w:shd w:val="clear" w:color="auto" w:fill="FFFFFF"/>
          </w:tcPr>
          <w:p w14:paraId="4059EF50" w14:textId="77777777" w:rsidR="00E16B29" w:rsidRPr="00026EC1" w:rsidRDefault="00E16B29" w:rsidP="007F120F">
            <w:pPr>
              <w:keepNext w:val="0"/>
            </w:pPr>
          </w:p>
        </w:tc>
      </w:tr>
      <w:tr w:rsidR="00E16B29" w:rsidRPr="00026EC1" w14:paraId="07ED4045" w14:textId="77777777" w:rsidTr="00A125ED">
        <w:tc>
          <w:tcPr>
            <w:tcW w:w="9603" w:type="dxa"/>
            <w:gridSpan w:val="7"/>
            <w:shd w:val="clear" w:color="auto" w:fill="FFFFFF"/>
          </w:tcPr>
          <w:p w14:paraId="60A6ED7A" w14:textId="77777777" w:rsidR="00E16B29" w:rsidRPr="00026EC1" w:rsidRDefault="00E16B29" w:rsidP="007F120F">
            <w:pPr>
              <w:keepNext w:val="0"/>
              <w:ind w:left="720" w:hanging="720"/>
            </w:pPr>
            <w:r w:rsidRPr="00026EC1">
              <w:fldChar w:fldCharType="begin">
                <w:ffData>
                  <w:name w:val="CaseACocher21"/>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J</w:t>
            </w:r>
            <w:r w:rsidR="00BC3319" w:rsidRPr="00026EC1">
              <w:t>’</w:t>
            </w:r>
            <w:r w:rsidRPr="00026EC1">
              <w:t>occupe un emploi à temps complet et, en conséquence, je serai en situation de double emploi.</w:t>
            </w:r>
          </w:p>
          <w:p w14:paraId="7EF13E3A" w14:textId="77777777" w:rsidR="00E16B29" w:rsidRPr="00026EC1" w:rsidRDefault="00E16B29" w:rsidP="007F120F">
            <w:pPr>
              <w:keepNext w:val="0"/>
              <w:ind w:left="720" w:hanging="720"/>
            </w:pPr>
          </w:p>
        </w:tc>
      </w:tr>
      <w:tr w:rsidR="00E16B29" w:rsidRPr="00026EC1" w14:paraId="7D222395" w14:textId="77777777" w:rsidTr="00A125ED">
        <w:tc>
          <w:tcPr>
            <w:tcW w:w="9603" w:type="dxa"/>
            <w:gridSpan w:val="7"/>
            <w:shd w:val="clear" w:color="auto" w:fill="FFFFFF"/>
          </w:tcPr>
          <w:p w14:paraId="33C73AA9" w14:textId="77777777" w:rsidR="00E16B29" w:rsidRPr="00026EC1" w:rsidRDefault="00E16B29" w:rsidP="007F120F">
            <w:pPr>
              <w:keepNext w:val="0"/>
              <w:ind w:left="720" w:hanging="720"/>
            </w:pPr>
            <w:r w:rsidRPr="00026EC1">
              <w:fldChar w:fldCharType="begin">
                <w:ffData>
                  <w:name w:val="CaseACocher21"/>
                  <w:enabled/>
                  <w:calcOnExit w:val="0"/>
                  <w:checkBox>
                    <w:sizeAuto/>
                    <w:default w:val="0"/>
                  </w:checkBox>
                </w:ffData>
              </w:fldChar>
            </w:r>
            <w:r w:rsidRPr="00026EC1">
              <w:instrText xml:space="preserve"> FORMCHECKBOX </w:instrText>
            </w:r>
            <w:r w:rsidR="00CD1EA2">
              <w:fldChar w:fldCharType="separate"/>
            </w:r>
            <w:r w:rsidRPr="00026EC1">
              <w:fldChar w:fldCharType="end"/>
            </w:r>
            <w:r w:rsidRPr="00026EC1">
              <w:tab/>
              <w:t>Je n</w:t>
            </w:r>
            <w:r w:rsidR="00BC3319" w:rsidRPr="00026EC1">
              <w:t>’</w:t>
            </w:r>
            <w:r w:rsidRPr="00026EC1">
              <w:t>occupe pas un emploi à temps complet et, en conséquence, je ne serai pas en situation de double emploi.</w:t>
            </w:r>
          </w:p>
        </w:tc>
      </w:tr>
      <w:tr w:rsidR="00E16B29" w:rsidRPr="00026EC1" w14:paraId="44ACDD67" w14:textId="77777777" w:rsidTr="00A125ED">
        <w:tc>
          <w:tcPr>
            <w:tcW w:w="9603" w:type="dxa"/>
            <w:gridSpan w:val="7"/>
          </w:tcPr>
          <w:p w14:paraId="21BC0231" w14:textId="77777777" w:rsidR="00E16B29" w:rsidRPr="00026EC1" w:rsidRDefault="00E16B29" w:rsidP="007F120F">
            <w:pPr>
              <w:keepNext w:val="0"/>
            </w:pPr>
          </w:p>
        </w:tc>
      </w:tr>
      <w:tr w:rsidR="00E16B29" w:rsidRPr="00026EC1" w14:paraId="16AB0D6B" w14:textId="77777777" w:rsidTr="00A125ED">
        <w:tc>
          <w:tcPr>
            <w:tcW w:w="9603" w:type="dxa"/>
            <w:gridSpan w:val="7"/>
          </w:tcPr>
          <w:p w14:paraId="36B69CD3" w14:textId="00F056C1" w:rsidR="00E16B29" w:rsidRPr="00026EC1" w:rsidRDefault="00E16B29" w:rsidP="007F120F">
            <w:pPr>
              <w:keepNext w:val="0"/>
              <w:rPr>
                <w:i/>
                <w:iCs/>
              </w:rPr>
            </w:pPr>
            <w:r w:rsidRPr="00026EC1">
              <w:t>(</w:t>
            </w:r>
            <w:r w:rsidRPr="00026EC1">
              <w:rPr>
                <w:i/>
                <w:iCs/>
              </w:rPr>
              <w:t>Note</w:t>
            </w:r>
            <w:r w:rsidR="00D8581B">
              <w:rPr>
                <w:i/>
                <w:iCs/>
              </w:rPr>
              <w:t> :</w:t>
            </w:r>
            <w:r w:rsidRPr="00026EC1">
              <w:rPr>
                <w:i/>
                <w:iCs/>
              </w:rPr>
              <w:t xml:space="preserve"> la déclaration de cumul d</w:t>
            </w:r>
            <w:r w:rsidR="00BC3319" w:rsidRPr="00026EC1">
              <w:rPr>
                <w:i/>
                <w:iCs/>
              </w:rPr>
              <w:t>’</w:t>
            </w:r>
            <w:r w:rsidRPr="00026EC1">
              <w:rPr>
                <w:i/>
                <w:iCs/>
              </w:rPr>
              <w:t>emploi peut être faite sur un formulaire séparé selon les pratiques locales)</w:t>
            </w:r>
          </w:p>
        </w:tc>
      </w:tr>
      <w:tr w:rsidR="00E16B29" w:rsidRPr="00026EC1" w14:paraId="7F6FD37A" w14:textId="77777777" w:rsidTr="00A125ED">
        <w:tc>
          <w:tcPr>
            <w:tcW w:w="9603" w:type="dxa"/>
            <w:gridSpan w:val="7"/>
          </w:tcPr>
          <w:p w14:paraId="3B2E6F47" w14:textId="77777777" w:rsidR="00E16B29" w:rsidRPr="00026EC1" w:rsidRDefault="00E16B29" w:rsidP="007F120F">
            <w:pPr>
              <w:keepNext w:val="0"/>
            </w:pPr>
          </w:p>
        </w:tc>
      </w:tr>
      <w:tr w:rsidR="00E16B29" w:rsidRPr="00026EC1" w14:paraId="7CC262D3" w14:textId="77777777" w:rsidTr="00A125ED">
        <w:tc>
          <w:tcPr>
            <w:tcW w:w="9603" w:type="dxa"/>
            <w:gridSpan w:val="7"/>
          </w:tcPr>
          <w:p w14:paraId="0010E39D" w14:textId="77777777" w:rsidR="00E16B29" w:rsidRPr="00026EC1" w:rsidRDefault="00E16B29" w:rsidP="007F120F">
            <w:pPr>
              <w:keepNext w:val="0"/>
            </w:pPr>
          </w:p>
          <w:p w14:paraId="22F8ADEB" w14:textId="77777777" w:rsidR="00E16B29" w:rsidRPr="00026EC1" w:rsidRDefault="00E16B29" w:rsidP="007F120F">
            <w:pPr>
              <w:pStyle w:val="NUMRODECLAUSE"/>
              <w:keepNext w:val="0"/>
            </w:pPr>
            <w:r w:rsidRPr="00026EC1">
              <w:t>Durée du contrat</w:t>
            </w:r>
          </w:p>
          <w:p w14:paraId="3934C679" w14:textId="77777777" w:rsidR="00E16B29" w:rsidRPr="00026EC1" w:rsidRDefault="00E16B29" w:rsidP="007F120F">
            <w:pPr>
              <w:keepNext w:val="0"/>
            </w:pPr>
          </w:p>
          <w:tbl>
            <w:tblPr>
              <w:tblW w:w="0" w:type="auto"/>
              <w:tblCellMar>
                <w:left w:w="70" w:type="dxa"/>
                <w:right w:w="70" w:type="dxa"/>
              </w:tblCellMar>
              <w:tblLook w:val="0000" w:firstRow="0" w:lastRow="0" w:firstColumn="0" w:lastColumn="0" w:noHBand="0" w:noVBand="0"/>
            </w:tblPr>
            <w:tblGrid>
              <w:gridCol w:w="3189"/>
              <w:gridCol w:w="3118"/>
              <w:gridCol w:w="603"/>
              <w:gridCol w:w="2553"/>
            </w:tblGrid>
            <w:tr w:rsidR="00E16B29" w:rsidRPr="00026EC1" w14:paraId="65DAE3C8" w14:textId="77777777" w:rsidTr="00E16B29">
              <w:tc>
                <w:tcPr>
                  <w:tcW w:w="3414" w:type="dxa"/>
                </w:tcPr>
                <w:p w14:paraId="38AED69D" w14:textId="77777777" w:rsidR="00E16B29" w:rsidRPr="00026EC1" w:rsidRDefault="00E16B29" w:rsidP="007F120F">
                  <w:pPr>
                    <w:keepNext w:val="0"/>
                  </w:pPr>
                  <w:r w:rsidRPr="00026EC1">
                    <w:t>Le présent contrat vaut du</w:t>
                  </w:r>
                </w:p>
              </w:tc>
              <w:tc>
                <w:tcPr>
                  <w:tcW w:w="3414" w:type="dxa"/>
                  <w:tcBorders>
                    <w:top w:val="nil"/>
                    <w:left w:val="nil"/>
                    <w:bottom w:val="single" w:sz="4" w:space="0" w:color="auto"/>
                    <w:right w:val="nil"/>
                  </w:tcBorders>
                </w:tcPr>
                <w:p w14:paraId="266C29E4" w14:textId="77777777" w:rsidR="00E16B29" w:rsidRPr="00026EC1" w:rsidRDefault="00E16B29" w:rsidP="007F120F">
                  <w:pPr>
                    <w:keepNext w:val="0"/>
                  </w:pPr>
                </w:p>
              </w:tc>
              <w:tc>
                <w:tcPr>
                  <w:tcW w:w="622" w:type="dxa"/>
                </w:tcPr>
                <w:p w14:paraId="1E8FD60A" w14:textId="77777777" w:rsidR="00E16B29" w:rsidRPr="00026EC1" w:rsidRDefault="00E16B29" w:rsidP="007F120F">
                  <w:pPr>
                    <w:keepNext w:val="0"/>
                  </w:pPr>
                  <w:r w:rsidRPr="00026EC1">
                    <w:t>au</w:t>
                  </w:r>
                </w:p>
              </w:tc>
              <w:tc>
                <w:tcPr>
                  <w:tcW w:w="2793" w:type="dxa"/>
                  <w:tcBorders>
                    <w:top w:val="nil"/>
                    <w:left w:val="nil"/>
                    <w:bottom w:val="single" w:sz="4" w:space="0" w:color="auto"/>
                    <w:right w:val="nil"/>
                  </w:tcBorders>
                </w:tcPr>
                <w:p w14:paraId="0F12F8AE" w14:textId="77777777" w:rsidR="00E16B29" w:rsidRPr="00026EC1" w:rsidRDefault="00E16B29" w:rsidP="007F120F">
                  <w:pPr>
                    <w:keepNext w:val="0"/>
                  </w:pPr>
                </w:p>
              </w:tc>
            </w:tr>
          </w:tbl>
          <w:p w14:paraId="19614ED1" w14:textId="77777777" w:rsidR="00E16B29" w:rsidRPr="00026EC1" w:rsidRDefault="00E16B29" w:rsidP="007F120F">
            <w:pPr>
              <w:keepNext w:val="0"/>
            </w:pPr>
          </w:p>
          <w:p w14:paraId="451975A0" w14:textId="77777777" w:rsidR="00E16B29" w:rsidRPr="00026EC1" w:rsidRDefault="00E16B29" w:rsidP="007F120F">
            <w:pPr>
              <w:keepNext w:val="0"/>
            </w:pPr>
          </w:p>
        </w:tc>
      </w:tr>
      <w:tr w:rsidR="00E16B29" w:rsidRPr="00026EC1" w14:paraId="2B4F23A8" w14:textId="77777777" w:rsidTr="00A125ED">
        <w:tc>
          <w:tcPr>
            <w:tcW w:w="9603" w:type="dxa"/>
            <w:gridSpan w:val="7"/>
          </w:tcPr>
          <w:p w14:paraId="4856217A" w14:textId="77777777" w:rsidR="00E16B29" w:rsidRPr="00026EC1" w:rsidRDefault="00E16B29" w:rsidP="007F120F">
            <w:pPr>
              <w:keepNext w:val="0"/>
            </w:pPr>
          </w:p>
        </w:tc>
      </w:tr>
      <w:tr w:rsidR="00E16B29" w:rsidRPr="00026EC1" w14:paraId="0F37EA29" w14:textId="77777777" w:rsidTr="00A125ED">
        <w:tc>
          <w:tcPr>
            <w:tcW w:w="1115" w:type="dxa"/>
            <w:gridSpan w:val="2"/>
          </w:tcPr>
          <w:p w14:paraId="1617B1CF" w14:textId="77777777" w:rsidR="00E16B29" w:rsidRPr="00026EC1" w:rsidRDefault="00E16B29" w:rsidP="007F120F">
            <w:pPr>
              <w:keepNext w:val="0"/>
            </w:pPr>
            <w:r w:rsidRPr="00026EC1">
              <w:t>Signé à</w:t>
            </w:r>
          </w:p>
        </w:tc>
        <w:tc>
          <w:tcPr>
            <w:tcW w:w="3283" w:type="dxa"/>
            <w:tcBorders>
              <w:top w:val="nil"/>
              <w:left w:val="nil"/>
              <w:bottom w:val="single" w:sz="4" w:space="0" w:color="auto"/>
              <w:right w:val="nil"/>
            </w:tcBorders>
          </w:tcPr>
          <w:p w14:paraId="260D1A82" w14:textId="77777777" w:rsidR="00E16B29" w:rsidRPr="00026EC1" w:rsidRDefault="00E16B29" w:rsidP="007F120F">
            <w:pPr>
              <w:keepNext w:val="0"/>
            </w:pPr>
          </w:p>
        </w:tc>
        <w:tc>
          <w:tcPr>
            <w:tcW w:w="493" w:type="dxa"/>
          </w:tcPr>
          <w:p w14:paraId="5FBEAB91" w14:textId="77777777" w:rsidR="00E16B29" w:rsidRPr="00026EC1" w:rsidRDefault="00E16B29" w:rsidP="007F120F">
            <w:pPr>
              <w:keepNext w:val="0"/>
            </w:pPr>
            <w:r w:rsidRPr="00026EC1">
              <w:t xml:space="preserve">le </w:t>
            </w:r>
          </w:p>
        </w:tc>
        <w:tc>
          <w:tcPr>
            <w:tcW w:w="1945" w:type="dxa"/>
            <w:tcBorders>
              <w:top w:val="nil"/>
              <w:left w:val="nil"/>
              <w:bottom w:val="single" w:sz="4" w:space="0" w:color="auto"/>
              <w:right w:val="nil"/>
            </w:tcBorders>
          </w:tcPr>
          <w:p w14:paraId="30C8B850" w14:textId="77777777" w:rsidR="00E16B29" w:rsidRPr="00026EC1" w:rsidRDefault="00E16B29" w:rsidP="007F120F">
            <w:pPr>
              <w:keepNext w:val="0"/>
            </w:pPr>
          </w:p>
        </w:tc>
        <w:tc>
          <w:tcPr>
            <w:tcW w:w="517" w:type="dxa"/>
          </w:tcPr>
          <w:p w14:paraId="1F53985A" w14:textId="77777777" w:rsidR="00E16B29" w:rsidRPr="00026EC1" w:rsidRDefault="00E16B29" w:rsidP="007F120F">
            <w:pPr>
              <w:keepNext w:val="0"/>
            </w:pPr>
            <w:r w:rsidRPr="00026EC1">
              <w:t>20</w:t>
            </w:r>
          </w:p>
        </w:tc>
        <w:tc>
          <w:tcPr>
            <w:tcW w:w="2250" w:type="dxa"/>
            <w:tcBorders>
              <w:top w:val="nil"/>
              <w:left w:val="nil"/>
              <w:bottom w:val="single" w:sz="4" w:space="0" w:color="auto"/>
              <w:right w:val="nil"/>
            </w:tcBorders>
          </w:tcPr>
          <w:p w14:paraId="65086C84" w14:textId="77777777" w:rsidR="00E16B29" w:rsidRPr="00026EC1" w:rsidRDefault="00E16B29" w:rsidP="007F120F">
            <w:pPr>
              <w:keepNext w:val="0"/>
            </w:pPr>
          </w:p>
        </w:tc>
      </w:tr>
    </w:tbl>
    <w:p w14:paraId="6F1ED114" w14:textId="77777777" w:rsidR="00E16B29" w:rsidRPr="00026EC1" w:rsidRDefault="00E16B29" w:rsidP="007F120F">
      <w:pPr>
        <w:keepNext w:val="0"/>
      </w:pPr>
    </w:p>
    <w:p w14:paraId="0C47D039" w14:textId="77777777" w:rsidR="00E16B29" w:rsidRPr="00026EC1" w:rsidRDefault="00E16B29" w:rsidP="007F120F">
      <w:pPr>
        <w:keepNext w:val="0"/>
      </w:pPr>
    </w:p>
    <w:tbl>
      <w:tblPr>
        <w:tblW w:w="0" w:type="auto"/>
        <w:tblCellMar>
          <w:left w:w="70" w:type="dxa"/>
          <w:right w:w="70" w:type="dxa"/>
        </w:tblCellMar>
        <w:tblLook w:val="0000" w:firstRow="0" w:lastRow="0" w:firstColumn="0" w:lastColumn="0" w:noHBand="0" w:noVBand="0"/>
      </w:tblPr>
      <w:tblGrid>
        <w:gridCol w:w="3835"/>
        <w:gridCol w:w="925"/>
        <w:gridCol w:w="4719"/>
      </w:tblGrid>
      <w:tr w:rsidR="00E16B29" w:rsidRPr="00026EC1" w14:paraId="65EC1B09" w14:textId="77777777" w:rsidTr="00E16B29">
        <w:tc>
          <w:tcPr>
            <w:tcW w:w="4390" w:type="dxa"/>
            <w:tcBorders>
              <w:top w:val="nil"/>
              <w:left w:val="nil"/>
              <w:bottom w:val="single" w:sz="4" w:space="0" w:color="auto"/>
              <w:right w:val="nil"/>
            </w:tcBorders>
          </w:tcPr>
          <w:p w14:paraId="3A0BDA2C" w14:textId="77777777" w:rsidR="00E16B29" w:rsidRPr="00026EC1" w:rsidRDefault="00E16B29" w:rsidP="007F120F">
            <w:pPr>
              <w:keepNext w:val="0"/>
            </w:pPr>
          </w:p>
        </w:tc>
        <w:tc>
          <w:tcPr>
            <w:tcW w:w="1080" w:type="dxa"/>
          </w:tcPr>
          <w:p w14:paraId="73BD9E0D" w14:textId="77777777" w:rsidR="00E16B29" w:rsidRPr="00026EC1" w:rsidRDefault="00E16B29" w:rsidP="007F120F">
            <w:pPr>
              <w:keepNext w:val="0"/>
            </w:pPr>
          </w:p>
        </w:tc>
        <w:tc>
          <w:tcPr>
            <w:tcW w:w="5090" w:type="dxa"/>
            <w:tcBorders>
              <w:top w:val="nil"/>
              <w:left w:val="nil"/>
              <w:bottom w:val="single" w:sz="4" w:space="0" w:color="auto"/>
              <w:right w:val="nil"/>
            </w:tcBorders>
          </w:tcPr>
          <w:p w14:paraId="4C655148" w14:textId="77777777" w:rsidR="00E16B29" w:rsidRPr="00026EC1" w:rsidRDefault="00E16B29" w:rsidP="007F120F">
            <w:pPr>
              <w:keepNext w:val="0"/>
            </w:pPr>
          </w:p>
        </w:tc>
      </w:tr>
      <w:tr w:rsidR="00E16B29" w:rsidRPr="00026EC1" w14:paraId="50758353" w14:textId="77777777" w:rsidTr="00E16B29">
        <w:tc>
          <w:tcPr>
            <w:tcW w:w="4390" w:type="dxa"/>
            <w:tcBorders>
              <w:top w:val="single" w:sz="4" w:space="0" w:color="auto"/>
              <w:left w:val="nil"/>
              <w:bottom w:val="nil"/>
              <w:right w:val="nil"/>
            </w:tcBorders>
          </w:tcPr>
          <w:p w14:paraId="2DD606FB" w14:textId="77777777" w:rsidR="00E16B29" w:rsidRPr="00026EC1" w:rsidRDefault="00E16B29" w:rsidP="007F120F">
            <w:pPr>
              <w:keepNext w:val="0"/>
            </w:pPr>
            <w:r w:rsidRPr="00026EC1">
              <w:t>(pour le Collège)</w:t>
            </w:r>
          </w:p>
        </w:tc>
        <w:tc>
          <w:tcPr>
            <w:tcW w:w="1080" w:type="dxa"/>
          </w:tcPr>
          <w:p w14:paraId="06D69571" w14:textId="77777777" w:rsidR="00E16B29" w:rsidRPr="00026EC1" w:rsidRDefault="00E16B29" w:rsidP="007F120F">
            <w:pPr>
              <w:keepNext w:val="0"/>
            </w:pPr>
          </w:p>
        </w:tc>
        <w:tc>
          <w:tcPr>
            <w:tcW w:w="5090" w:type="dxa"/>
            <w:tcBorders>
              <w:top w:val="single" w:sz="4" w:space="0" w:color="auto"/>
              <w:left w:val="nil"/>
              <w:bottom w:val="nil"/>
              <w:right w:val="nil"/>
            </w:tcBorders>
          </w:tcPr>
          <w:p w14:paraId="712FC3C0" w14:textId="77777777" w:rsidR="00E16B29" w:rsidRPr="00026EC1" w:rsidRDefault="00E16B29" w:rsidP="007F120F">
            <w:pPr>
              <w:keepNext w:val="0"/>
            </w:pPr>
            <w:r w:rsidRPr="00026EC1">
              <w:t>(enseignante/enseignant)</w:t>
            </w:r>
          </w:p>
        </w:tc>
      </w:tr>
    </w:tbl>
    <w:p w14:paraId="473BFA9E" w14:textId="77777777" w:rsidR="00E16B29" w:rsidRPr="00026EC1" w:rsidRDefault="00E16B29" w:rsidP="007F120F">
      <w:pPr>
        <w:keepNext w:val="0"/>
      </w:pPr>
    </w:p>
    <w:p w14:paraId="630A55B7" w14:textId="77777777" w:rsidR="00E16B29" w:rsidRPr="00026EC1" w:rsidRDefault="00E16B29" w:rsidP="007F120F">
      <w:pPr>
        <w:keepNext w:val="0"/>
      </w:pPr>
    </w:p>
    <w:p w14:paraId="1E8730EA" w14:textId="77777777" w:rsidR="00037BB8" w:rsidRPr="00026EC1" w:rsidRDefault="00037BB8" w:rsidP="007F120F">
      <w:pPr>
        <w:keepNext w:val="0"/>
      </w:pPr>
    </w:p>
    <w:p w14:paraId="436C35E8" w14:textId="0BF97B7B" w:rsidR="00404F34" w:rsidRPr="00026EC1" w:rsidRDefault="00404F34" w:rsidP="007F120F">
      <w:pPr>
        <w:pStyle w:val="Heading3"/>
        <w:keepNext w:val="0"/>
      </w:pPr>
      <w:r w:rsidRPr="00026EC1">
        <w:br w:type="page"/>
      </w:r>
      <w:bookmarkStart w:id="1693" w:name="_Toc134437350"/>
      <w:bookmarkStart w:id="1694" w:name="_Toc393449524"/>
      <w:bookmarkStart w:id="1695" w:name="_Toc462751657"/>
      <w:bookmarkStart w:id="1696" w:name="_Toc484082676"/>
      <w:bookmarkStart w:id="1697" w:name="_Toc168479638"/>
      <w:r w:rsidR="00481390" w:rsidRPr="00026EC1">
        <w:t>Annexe VIII</w:t>
      </w:r>
      <w:r w:rsidR="0017646C">
        <w:t>-</w:t>
      </w:r>
      <w:r w:rsidR="00481390" w:rsidRPr="00026EC1">
        <w:t>2</w:t>
      </w:r>
      <w:bookmarkEnd w:id="1693"/>
      <w:r w:rsidR="00481390" w:rsidRPr="00026EC1">
        <w:br/>
      </w:r>
      <w:r w:rsidR="00481390" w:rsidRPr="00026EC1">
        <w:br/>
        <w:t>Lettre d’entente relative aux matières ancienneté et grief et arbitrage</w:t>
      </w:r>
      <w:bookmarkEnd w:id="1694"/>
      <w:bookmarkEnd w:id="1695"/>
      <w:bookmarkEnd w:id="1696"/>
      <w:bookmarkEnd w:id="1697"/>
    </w:p>
    <w:p w14:paraId="295CE843" w14:textId="06544673" w:rsidR="00404F34" w:rsidRPr="00026EC1" w:rsidRDefault="00404F34" w:rsidP="007F120F">
      <w:pPr>
        <w:keepNext w:val="0"/>
      </w:pPr>
      <w:r w:rsidRPr="00026EC1">
        <w:t>En application de l</w:t>
      </w:r>
      <w:r w:rsidR="00BC3319" w:rsidRPr="00026EC1">
        <w:t>’</w:t>
      </w:r>
      <w:r w:rsidRPr="00026EC1">
        <w:t>entente intervenue le 5</w:t>
      </w:r>
      <w:r w:rsidR="00D23B38">
        <w:t> </w:t>
      </w:r>
      <w:r w:rsidRPr="00026EC1">
        <w:t>septembre</w:t>
      </w:r>
      <w:r w:rsidR="00D23B38">
        <w:t> </w:t>
      </w:r>
      <w:r w:rsidRPr="00026EC1">
        <w:t>1989 entre la Fédération des cégeps et la Fédération nationale des enseignantes et des enseignants du Québec (FNEEQ</w:t>
      </w:r>
      <w:r w:rsidR="00AA4AD7" w:rsidRPr="00026EC1">
        <w:t> </w:t>
      </w:r>
      <w:r w:rsidRPr="00026EC1">
        <w:t>(CSN)), le Collège et le Syndicat conviennent de ce qui suit à l</w:t>
      </w:r>
      <w:r w:rsidR="00BC3319" w:rsidRPr="00026EC1">
        <w:t>’</w:t>
      </w:r>
      <w:r w:rsidRPr="00026EC1">
        <w:t xml:space="preserve">égard des dispositions relatives aux matières </w:t>
      </w:r>
      <w:r w:rsidRPr="00026EC1">
        <w:rPr>
          <w:i/>
          <w:iCs/>
        </w:rPr>
        <w:t>Ancienneté, Grief et Arbitrage prévues à l</w:t>
      </w:r>
      <w:r w:rsidR="00BC3319" w:rsidRPr="00026EC1">
        <w:rPr>
          <w:i/>
          <w:iCs/>
        </w:rPr>
        <w:t>’</w:t>
      </w:r>
      <w:r w:rsidRPr="00026EC1">
        <w:rPr>
          <w:i/>
          <w:iCs/>
        </w:rPr>
        <w:t>Annexe</w:t>
      </w:r>
      <w:r w:rsidR="00477DEF" w:rsidRPr="00026EC1">
        <w:rPr>
          <w:i/>
          <w:iCs/>
        </w:rPr>
        <w:t> </w:t>
      </w:r>
      <w:r w:rsidRPr="00026EC1">
        <w:rPr>
          <w:i/>
          <w:iCs/>
        </w:rPr>
        <w:t xml:space="preserve">A </w:t>
      </w:r>
      <w:r w:rsidRPr="00026EC1">
        <w:rPr>
          <w:iCs/>
        </w:rPr>
        <w:t>de la</w:t>
      </w:r>
      <w:r w:rsidRPr="00026EC1">
        <w:rPr>
          <w:i/>
          <w:iCs/>
        </w:rPr>
        <w:t xml:space="preserve"> </w:t>
      </w:r>
      <w:r w:rsidRPr="00026EC1">
        <w:rPr>
          <w:iCs/>
        </w:rPr>
        <w:t>Loi sur le régime de négociation des conventions collectives dans le</w:t>
      </w:r>
      <w:r w:rsidR="006359E3" w:rsidRPr="00026EC1">
        <w:rPr>
          <w:iCs/>
        </w:rPr>
        <w:t>s</w:t>
      </w:r>
      <w:r w:rsidRPr="00026EC1">
        <w:rPr>
          <w:iCs/>
        </w:rPr>
        <w:t xml:space="preserve"> secteur</w:t>
      </w:r>
      <w:r w:rsidR="006359E3" w:rsidRPr="00026EC1">
        <w:rPr>
          <w:iCs/>
        </w:rPr>
        <w:t>s</w:t>
      </w:r>
      <w:r w:rsidRPr="00026EC1">
        <w:rPr>
          <w:iCs/>
        </w:rPr>
        <w:t xml:space="preserve"> public et parapublic</w:t>
      </w:r>
      <w:r w:rsidR="00D8581B">
        <w:rPr>
          <w:i/>
          <w:iCs/>
        </w:rPr>
        <w:t> :</w:t>
      </w:r>
    </w:p>
    <w:p w14:paraId="6C472A27" w14:textId="77777777" w:rsidR="00404F34" w:rsidRPr="00026EC1" w:rsidRDefault="00404F34" w:rsidP="007F120F">
      <w:pPr>
        <w:pStyle w:val="CommentText"/>
        <w:keepNext w:val="0"/>
        <w:tabs>
          <w:tab w:val="clear" w:pos="3969"/>
        </w:tabs>
      </w:pPr>
    </w:p>
    <w:p w14:paraId="012915E1" w14:textId="77777777" w:rsidR="00404F34" w:rsidRPr="00026EC1" w:rsidRDefault="00404F34" w:rsidP="007F120F">
      <w:pPr>
        <w:keepNext w:val="0"/>
      </w:pPr>
    </w:p>
    <w:p w14:paraId="20390805" w14:textId="3175EEB6" w:rsidR="00404F34" w:rsidRPr="00026EC1" w:rsidRDefault="00404F34" w:rsidP="007F120F">
      <w:pPr>
        <w:pStyle w:val="Texte1cm"/>
        <w:keepNext w:val="0"/>
      </w:pPr>
      <w:r w:rsidRPr="00026EC1">
        <w:t>À l</w:t>
      </w:r>
      <w:r w:rsidR="00BC3319" w:rsidRPr="00026EC1">
        <w:t>’</w:t>
      </w:r>
      <w:r w:rsidRPr="00026EC1">
        <w:t>entrée en vigueur des dispositions négociées et agréées à l</w:t>
      </w:r>
      <w:r w:rsidR="00BC3319" w:rsidRPr="00026EC1">
        <w:t>’</w:t>
      </w:r>
      <w:r w:rsidRPr="00026EC1">
        <w:t>échelle nationale relativement à la convention collective 1989</w:t>
      </w:r>
      <w:r w:rsidR="00984A6F">
        <w:noBreakHyphen/>
      </w:r>
      <w:r w:rsidRPr="00026EC1">
        <w:t>1991, les dispositions jusqu</w:t>
      </w:r>
      <w:r w:rsidR="00BC3319" w:rsidRPr="00026EC1">
        <w:t>’</w:t>
      </w:r>
      <w:r w:rsidRPr="00026EC1">
        <w:t xml:space="preserve">alors en vigueur conformément à </w:t>
      </w:r>
      <w:r w:rsidRPr="00026EC1">
        <w:rPr>
          <w:i/>
          <w:iCs/>
        </w:rPr>
        <w:t>l</w:t>
      </w:r>
      <w:r w:rsidR="00BC3319" w:rsidRPr="00026EC1">
        <w:rPr>
          <w:i/>
          <w:iCs/>
        </w:rPr>
        <w:t>’</w:t>
      </w:r>
      <w:r w:rsidRPr="00026EC1">
        <w:rPr>
          <w:i/>
          <w:iCs/>
        </w:rPr>
        <w:t>Annexe</w:t>
      </w:r>
      <w:r w:rsidR="00477DEF" w:rsidRPr="00026EC1">
        <w:rPr>
          <w:i/>
          <w:iCs/>
        </w:rPr>
        <w:t> </w:t>
      </w:r>
      <w:r w:rsidRPr="00026EC1">
        <w:rPr>
          <w:i/>
          <w:iCs/>
        </w:rPr>
        <w:t>A, I</w:t>
      </w:r>
      <w:r w:rsidR="00477DEF" w:rsidRPr="00026EC1">
        <w:rPr>
          <w:i/>
          <w:iCs/>
        </w:rPr>
        <w:t> </w:t>
      </w:r>
      <w:r w:rsidR="00984A6F">
        <w:rPr>
          <w:i/>
          <w:iCs/>
        </w:rPr>
        <w:noBreakHyphen/>
      </w:r>
      <w:r w:rsidR="00477DEF" w:rsidRPr="00026EC1">
        <w:rPr>
          <w:i/>
          <w:iCs/>
        </w:rPr>
        <w:t> </w:t>
      </w:r>
      <w:r w:rsidRPr="00026EC1">
        <w:rPr>
          <w:i/>
          <w:iCs/>
        </w:rPr>
        <w:t>Secteur des collèges, a)</w:t>
      </w:r>
      <w:r w:rsidR="00477DEF" w:rsidRPr="00026EC1">
        <w:rPr>
          <w:i/>
          <w:iCs/>
        </w:rPr>
        <w:t xml:space="preserve"> </w:t>
      </w:r>
      <w:r w:rsidRPr="00026EC1">
        <w:t>à l</w:t>
      </w:r>
      <w:r w:rsidR="00BC3319" w:rsidRPr="00026EC1">
        <w:t>’</w:t>
      </w:r>
      <w:r w:rsidRPr="00026EC1">
        <w:t>égard du personnel enseignant</w:t>
      </w:r>
      <w:r w:rsidR="00D8581B">
        <w:t> :</w:t>
      </w:r>
    </w:p>
    <w:p w14:paraId="46F572E5" w14:textId="77777777" w:rsidR="00404F34" w:rsidRPr="00026EC1" w:rsidRDefault="00404F34" w:rsidP="007F120F">
      <w:pPr>
        <w:keepNext w:val="0"/>
      </w:pPr>
    </w:p>
    <w:p w14:paraId="5145A0AE" w14:textId="77777777" w:rsidR="00404F34" w:rsidRPr="00026EC1" w:rsidRDefault="00404F34" w:rsidP="007F120F">
      <w:pPr>
        <w:keepNext w:val="0"/>
      </w:pPr>
    </w:p>
    <w:p w14:paraId="77322181" w14:textId="77777777" w:rsidR="00404F34" w:rsidRPr="00026EC1" w:rsidRDefault="00275751" w:rsidP="007F120F">
      <w:pPr>
        <w:keepNext w:val="0"/>
        <w:tabs>
          <w:tab w:val="left" w:pos="1134"/>
        </w:tabs>
        <w:ind w:left="1134" w:hanging="567"/>
      </w:pPr>
      <w:r w:rsidRPr="00026EC1">
        <w:rPr>
          <w:rFonts w:ascii="Symbol" w:hAnsi="Symbol"/>
        </w:rPr>
        <w:t></w:t>
      </w:r>
      <w:r w:rsidRPr="00026EC1">
        <w:rPr>
          <w:rFonts w:ascii="Symbol" w:hAnsi="Symbol"/>
        </w:rPr>
        <w:tab/>
      </w:r>
      <w:r w:rsidR="00404F34" w:rsidRPr="00026EC1">
        <w:rPr>
          <w:i/>
          <w:iCs/>
        </w:rPr>
        <w:t>11</w:t>
      </w:r>
      <w:r w:rsidR="00404F34" w:rsidRPr="00026EC1">
        <w:rPr>
          <w:i/>
          <w:iCs/>
          <w:vertAlign w:val="superscript"/>
        </w:rPr>
        <w:t>e</w:t>
      </w:r>
      <w:r w:rsidR="00404F34" w:rsidRPr="00026EC1">
        <w:rPr>
          <w:i/>
          <w:iCs/>
        </w:rPr>
        <w:t xml:space="preserve"> Ancienneté (sous réserve du calcul aux fins de relocalisation)</w:t>
      </w:r>
      <w:r w:rsidR="00404F34" w:rsidRPr="00026EC1">
        <w:t xml:space="preserve"> sont abrogées et remplacées, avec les adaptations nécessaires, par les stipulations négociées et agréées à l</w:t>
      </w:r>
      <w:r w:rsidR="00BC3319" w:rsidRPr="00026EC1">
        <w:t>’</w:t>
      </w:r>
      <w:r w:rsidR="00404F34" w:rsidRPr="00026EC1">
        <w:t>échelle nationale entre la FNEEQ</w:t>
      </w:r>
      <w:r w:rsidR="00AA4AD7" w:rsidRPr="00026EC1">
        <w:t> </w:t>
      </w:r>
      <w:r w:rsidR="00404F34" w:rsidRPr="00026EC1">
        <w:t>(CSN) et le CPNC.</w:t>
      </w:r>
    </w:p>
    <w:p w14:paraId="593C3A16" w14:textId="77777777" w:rsidR="00404F34" w:rsidRPr="00026EC1" w:rsidRDefault="00404F34" w:rsidP="007F120F">
      <w:pPr>
        <w:keepNext w:val="0"/>
      </w:pPr>
    </w:p>
    <w:p w14:paraId="768D514E" w14:textId="77777777" w:rsidR="00404F34" w:rsidRPr="00026EC1" w:rsidRDefault="00404F34" w:rsidP="007F120F">
      <w:pPr>
        <w:keepNext w:val="0"/>
      </w:pPr>
    </w:p>
    <w:p w14:paraId="26750C15" w14:textId="77777777" w:rsidR="00404F34" w:rsidRPr="00026EC1" w:rsidRDefault="00275751" w:rsidP="007F120F">
      <w:pPr>
        <w:keepNext w:val="0"/>
        <w:tabs>
          <w:tab w:val="left" w:pos="1134"/>
        </w:tabs>
        <w:ind w:left="1134" w:hanging="567"/>
        <w:rPr>
          <w:i/>
          <w:iCs/>
        </w:rPr>
      </w:pPr>
      <w:r w:rsidRPr="00026EC1">
        <w:rPr>
          <w:rFonts w:ascii="Symbol" w:hAnsi="Symbol"/>
          <w:iCs/>
        </w:rPr>
        <w:t></w:t>
      </w:r>
      <w:r w:rsidRPr="00026EC1">
        <w:rPr>
          <w:rFonts w:ascii="Symbol" w:hAnsi="Symbol"/>
          <w:iCs/>
        </w:rPr>
        <w:tab/>
      </w:r>
      <w:r w:rsidR="00404F34" w:rsidRPr="00026EC1">
        <w:rPr>
          <w:i/>
          <w:iCs/>
        </w:rPr>
        <w:t>22</w:t>
      </w:r>
      <w:r w:rsidR="00404F34" w:rsidRPr="00026EC1">
        <w:rPr>
          <w:i/>
          <w:iCs/>
          <w:szCs w:val="24"/>
          <w:vertAlign w:val="superscript"/>
        </w:rPr>
        <w:t xml:space="preserve">e </w:t>
      </w:r>
      <w:r w:rsidR="00404F34" w:rsidRPr="00026EC1">
        <w:rPr>
          <w:i/>
          <w:iCs/>
        </w:rPr>
        <w:t xml:space="preserve">Grief et Arbitrage (portant uniquement sur les matières de négociation locale) </w:t>
      </w:r>
      <w:r w:rsidR="00404F34" w:rsidRPr="00026EC1">
        <w:t>sont abrogées et remplacées par les stipulations négociées et agréées à l</w:t>
      </w:r>
      <w:r w:rsidR="00BC3319" w:rsidRPr="00026EC1">
        <w:t>’</w:t>
      </w:r>
      <w:r w:rsidR="00404F34" w:rsidRPr="00026EC1">
        <w:t>échelle nationale entre la FNEEQ</w:t>
      </w:r>
      <w:r w:rsidR="00AA4AD7" w:rsidRPr="00026EC1">
        <w:t> </w:t>
      </w:r>
      <w:r w:rsidR="00404F34" w:rsidRPr="00026EC1">
        <w:t>(CSN) et le CPNC</w:t>
      </w:r>
      <w:r w:rsidR="00404F34" w:rsidRPr="00026EC1">
        <w:rPr>
          <w:i/>
          <w:iCs/>
        </w:rPr>
        <w:t>.</w:t>
      </w:r>
    </w:p>
    <w:p w14:paraId="735D4716" w14:textId="77777777" w:rsidR="00404F34" w:rsidRPr="00026EC1" w:rsidRDefault="00404F34" w:rsidP="007F120F">
      <w:pPr>
        <w:keepNext w:val="0"/>
      </w:pPr>
    </w:p>
    <w:p w14:paraId="5C7CFF71" w14:textId="77777777" w:rsidR="00404F34" w:rsidRPr="00026EC1" w:rsidRDefault="00404F34" w:rsidP="007F120F">
      <w:pPr>
        <w:keepNext w:val="0"/>
      </w:pPr>
    </w:p>
    <w:p w14:paraId="426073FB" w14:textId="77777777" w:rsidR="00404F34" w:rsidRPr="00026EC1" w:rsidRDefault="00404F34" w:rsidP="007F120F">
      <w:pPr>
        <w:keepNext w:val="0"/>
      </w:pPr>
    </w:p>
    <w:p w14:paraId="094E4D89" w14:textId="7097A9A2" w:rsidR="00404F34" w:rsidRPr="00026EC1" w:rsidRDefault="00404F34" w:rsidP="007F120F">
      <w:pPr>
        <w:pStyle w:val="Heading3"/>
        <w:keepNext w:val="0"/>
      </w:pPr>
      <w:r w:rsidRPr="00026EC1">
        <w:br w:type="page"/>
      </w:r>
      <w:bookmarkStart w:id="1698" w:name="_Toc134437352"/>
      <w:bookmarkStart w:id="1699" w:name="_Toc393449526"/>
      <w:bookmarkStart w:id="1700" w:name="_Toc484082678"/>
      <w:bookmarkStart w:id="1701" w:name="_Toc168479639"/>
      <w:r w:rsidR="00481390" w:rsidRPr="00026EC1">
        <w:t>Annexe VIII</w:t>
      </w:r>
      <w:r w:rsidR="0017646C">
        <w:t>-</w:t>
      </w:r>
      <w:r w:rsidR="00481390" w:rsidRPr="00026EC1">
        <w:t>3</w:t>
      </w:r>
      <w:bookmarkEnd w:id="1698"/>
      <w:r w:rsidR="00481390" w:rsidRPr="00026EC1">
        <w:br/>
      </w:r>
      <w:r w:rsidR="00481390" w:rsidRPr="00026EC1">
        <w:br/>
        <w:t>Lettre d’entente relative à l’évaluation</w:t>
      </w:r>
      <w:bookmarkEnd w:id="1699"/>
      <w:bookmarkEnd w:id="1700"/>
      <w:bookmarkEnd w:id="1701"/>
    </w:p>
    <w:p w14:paraId="36CFFBB1" w14:textId="77777777" w:rsidR="00404F34" w:rsidRPr="00026EC1" w:rsidRDefault="00404F34" w:rsidP="00BC3319">
      <w:pPr>
        <w:keepNext w:val="0"/>
        <w:tabs>
          <w:tab w:val="left" w:pos="567"/>
        </w:tabs>
        <w:ind w:left="567" w:hanging="567"/>
      </w:pPr>
      <w:r w:rsidRPr="00026EC1">
        <w:rPr>
          <w:bCs/>
        </w:rPr>
        <w:t>01.</w:t>
      </w:r>
      <w:r w:rsidRPr="00026EC1">
        <w:rPr>
          <w:bCs/>
        </w:rPr>
        <w:tab/>
      </w:r>
      <w:r w:rsidRPr="00026EC1">
        <w:t>La Fédération nationale des enseignantes et des enseignants du Québec et la Fédération des cégeps reconnaissent par la présente l</w:t>
      </w:r>
      <w:r w:rsidR="00BC3319" w:rsidRPr="00026EC1">
        <w:t>’</w:t>
      </w:r>
      <w:r w:rsidRPr="00026EC1">
        <w:t>importance de l</w:t>
      </w:r>
      <w:r w:rsidR="00BC3319" w:rsidRPr="00026EC1">
        <w:t>’</w:t>
      </w:r>
      <w:r w:rsidRPr="00026EC1">
        <w:t>évaluation des enseignements donnés par les enseignantes et enseignants.</w:t>
      </w:r>
    </w:p>
    <w:p w14:paraId="63F7810D" w14:textId="77777777" w:rsidR="00404F34" w:rsidRPr="00026EC1" w:rsidRDefault="00404F34" w:rsidP="00BC3319">
      <w:pPr>
        <w:keepNext w:val="0"/>
        <w:tabs>
          <w:tab w:val="left" w:pos="567"/>
        </w:tabs>
        <w:ind w:left="567" w:hanging="567"/>
      </w:pPr>
    </w:p>
    <w:p w14:paraId="291EC211" w14:textId="77777777" w:rsidR="00404F34" w:rsidRPr="00026EC1" w:rsidRDefault="00404F34" w:rsidP="00BC3319">
      <w:pPr>
        <w:keepNext w:val="0"/>
        <w:tabs>
          <w:tab w:val="left" w:pos="567"/>
        </w:tabs>
        <w:ind w:left="567" w:hanging="567"/>
      </w:pPr>
      <w:r w:rsidRPr="00026EC1">
        <w:t>02.</w:t>
      </w:r>
      <w:r w:rsidRPr="00026EC1">
        <w:tab/>
        <w:t xml:space="preserve">En ce sens, les fédérations incitent les </w:t>
      </w:r>
      <w:r w:rsidRPr="00026EC1">
        <w:rPr>
          <w:shd w:val="clear" w:color="auto" w:fill="FFFFFF"/>
        </w:rPr>
        <w:t>parties</w:t>
      </w:r>
      <w:r w:rsidRPr="00026EC1">
        <w:t xml:space="preserve"> à s</w:t>
      </w:r>
      <w:r w:rsidR="00BC3319" w:rsidRPr="00026EC1">
        <w:t>’</w:t>
      </w:r>
      <w:r w:rsidRPr="00026EC1">
        <w:t xml:space="preserve">entendre pour élaborer, développer et mettre en </w:t>
      </w:r>
      <w:r w:rsidR="001B77A9" w:rsidRPr="00026EC1">
        <w:t>œuvre</w:t>
      </w:r>
      <w:r w:rsidRPr="00026EC1">
        <w:t xml:space="preserve"> des pratiques d</w:t>
      </w:r>
      <w:r w:rsidR="00BC3319" w:rsidRPr="00026EC1">
        <w:t>’</w:t>
      </w:r>
      <w:r w:rsidRPr="00026EC1">
        <w:t>évaluation formative dont les objectifs sont de faciliter l</w:t>
      </w:r>
      <w:r w:rsidR="00BC3319" w:rsidRPr="00026EC1">
        <w:t>’</w:t>
      </w:r>
      <w:r w:rsidRPr="00026EC1">
        <w:t>accomplissement des tâches reliées à l</w:t>
      </w:r>
      <w:r w:rsidR="00BC3319" w:rsidRPr="00026EC1">
        <w:t>’</w:t>
      </w:r>
      <w:r w:rsidRPr="00026EC1">
        <w:t>enseignement, l</w:t>
      </w:r>
      <w:r w:rsidR="00BC3319" w:rsidRPr="00026EC1">
        <w:t>’</w:t>
      </w:r>
      <w:r w:rsidRPr="00026EC1">
        <w:t>intégration et la participation à la vie départementale et à la vie institutionnelle, et de permettre le développement professionnel des enseignantes et des enseignants.</w:t>
      </w:r>
    </w:p>
    <w:p w14:paraId="1C07C0B3" w14:textId="77777777" w:rsidR="00404F34" w:rsidRPr="00026EC1" w:rsidRDefault="00404F34" w:rsidP="00BC3319">
      <w:pPr>
        <w:keepNext w:val="0"/>
        <w:tabs>
          <w:tab w:val="left" w:pos="567"/>
        </w:tabs>
        <w:ind w:left="567" w:hanging="567"/>
      </w:pPr>
    </w:p>
    <w:p w14:paraId="7078412E" w14:textId="77777777" w:rsidR="00404F34" w:rsidRPr="00026EC1" w:rsidRDefault="00275751" w:rsidP="00275751">
      <w:pPr>
        <w:keepNext w:val="0"/>
        <w:tabs>
          <w:tab w:val="left" w:pos="567"/>
          <w:tab w:val="left" w:pos="720"/>
        </w:tabs>
        <w:ind w:left="567" w:hanging="567"/>
      </w:pPr>
      <w:r w:rsidRPr="00026EC1">
        <w:t>03.</w:t>
      </w:r>
      <w:r w:rsidRPr="00026EC1">
        <w:tab/>
      </w:r>
      <w:r w:rsidR="00404F34" w:rsidRPr="00026EC1">
        <w:t>Les fédérations conviennent aussi que de telles pratiques d</w:t>
      </w:r>
      <w:r w:rsidR="00BC3319" w:rsidRPr="00026EC1">
        <w:t>’</w:t>
      </w:r>
      <w:r w:rsidR="00404F34" w:rsidRPr="00026EC1">
        <w:t>évaluation devraient prévoir les contributions respectives de tous les intervenants, soit les enseignantes et enseignants, les départements, les coordonnatrices et coordonnateurs de départements, les membres de la direction des études et les étudiantes et étudiants.</w:t>
      </w:r>
      <w:bookmarkEnd w:id="1689"/>
      <w:bookmarkEnd w:id="1690"/>
      <w:bookmarkEnd w:id="1691"/>
    </w:p>
    <w:p w14:paraId="7A08C6FE" w14:textId="77777777" w:rsidR="006829D1" w:rsidRPr="00026EC1" w:rsidRDefault="006829D1" w:rsidP="004E7599">
      <w:pPr>
        <w:keepNext w:val="0"/>
        <w:tabs>
          <w:tab w:val="left" w:pos="567"/>
        </w:tabs>
      </w:pPr>
    </w:p>
    <w:p w14:paraId="3DC70598" w14:textId="77777777" w:rsidR="004E7599" w:rsidRPr="00026EC1" w:rsidRDefault="004E7599" w:rsidP="004E7599">
      <w:pPr>
        <w:keepNext w:val="0"/>
        <w:tabs>
          <w:tab w:val="left" w:pos="567"/>
        </w:tabs>
        <w:sectPr w:rsidR="004E7599" w:rsidRPr="00026EC1" w:rsidSect="006B55F2">
          <w:headerReference w:type="default" r:id="rId58"/>
          <w:footnotePr>
            <w:numRestart w:val="eachPage"/>
          </w:footnotePr>
          <w:pgSz w:w="12240" w:h="15840" w:code="1"/>
          <w:pgMar w:top="720" w:right="1077" w:bottom="1242" w:left="1684" w:header="709" w:footer="709" w:gutter="0"/>
          <w:cols w:space="708"/>
          <w:docGrid w:linePitch="360"/>
        </w:sectPr>
      </w:pPr>
    </w:p>
    <w:tbl>
      <w:tblPr>
        <w:tblW w:w="9923" w:type="dxa"/>
        <w:tblCellMar>
          <w:left w:w="70" w:type="dxa"/>
          <w:right w:w="70" w:type="dxa"/>
        </w:tblCellMar>
        <w:tblLook w:val="0000" w:firstRow="0" w:lastRow="0" w:firstColumn="0" w:lastColumn="0" w:noHBand="0" w:noVBand="0"/>
      </w:tblPr>
      <w:tblGrid>
        <w:gridCol w:w="9923"/>
      </w:tblGrid>
      <w:tr w:rsidR="00C954F8" w:rsidRPr="005345C0" w14:paraId="18B5B2D6" w14:textId="77777777" w:rsidTr="00C954F8">
        <w:trPr>
          <w:cantSplit/>
          <w:trHeight w:val="253"/>
        </w:trPr>
        <w:tc>
          <w:tcPr>
            <w:tcW w:w="9923" w:type="dxa"/>
            <w:vMerge w:val="restart"/>
          </w:tcPr>
          <w:p w14:paraId="0E4C1B08" w14:textId="6B748B04" w:rsidR="00C954F8" w:rsidRPr="005345C0" w:rsidRDefault="00C954F8" w:rsidP="00811664">
            <w:pPr>
              <w:rPr>
                <w:sz w:val="22"/>
                <w:szCs w:val="22"/>
              </w:rPr>
            </w:pPr>
            <w:r w:rsidRPr="005345C0">
              <w:rPr>
                <w:sz w:val="22"/>
                <w:szCs w:val="22"/>
              </w:rPr>
              <w:t xml:space="preserve">EN FOI DE QUOI les parties nationales à la présente ont signé à </w:t>
            </w:r>
            <w:r w:rsidRPr="00092EA2">
              <w:rPr>
                <w:sz w:val="22"/>
                <w:szCs w:val="22"/>
              </w:rPr>
              <w:t>Montréal</w:t>
            </w:r>
            <w:r w:rsidRPr="005345C0">
              <w:rPr>
                <w:sz w:val="22"/>
                <w:szCs w:val="22"/>
              </w:rPr>
              <w:t xml:space="preserve">, ce </w:t>
            </w:r>
            <w:r>
              <w:rPr>
                <w:sz w:val="22"/>
                <w:szCs w:val="22"/>
              </w:rPr>
              <w:t>______</w:t>
            </w:r>
            <w:r w:rsidR="006D72B0" w:rsidRPr="006D72B0">
              <w:rPr>
                <w:sz w:val="22"/>
                <w:szCs w:val="22"/>
                <w:vertAlign w:val="superscript"/>
              </w:rPr>
              <w:t>e</w:t>
            </w:r>
            <w:r w:rsidR="006D72B0">
              <w:rPr>
                <w:sz w:val="22"/>
                <w:szCs w:val="22"/>
              </w:rPr>
              <w:t xml:space="preserve"> </w:t>
            </w:r>
            <w:r>
              <w:rPr>
                <w:sz w:val="22"/>
                <w:szCs w:val="22"/>
              </w:rPr>
              <w:t> j</w:t>
            </w:r>
            <w:r w:rsidRPr="005345C0">
              <w:rPr>
                <w:sz w:val="22"/>
                <w:szCs w:val="22"/>
              </w:rPr>
              <w:t xml:space="preserve">our du mois de </w:t>
            </w:r>
            <w:r w:rsidR="006D72B0">
              <w:rPr>
                <w:sz w:val="22"/>
                <w:szCs w:val="22"/>
              </w:rPr>
              <w:t xml:space="preserve">______ </w:t>
            </w:r>
            <w:r w:rsidRPr="005345C0">
              <w:rPr>
                <w:rFonts w:cs="Arial"/>
                <w:sz w:val="22"/>
                <w:szCs w:val="22"/>
              </w:rPr>
              <w:t>20</w:t>
            </w:r>
            <w:r>
              <w:rPr>
                <w:rFonts w:cs="Arial"/>
                <w:sz w:val="22"/>
                <w:szCs w:val="22"/>
              </w:rPr>
              <w:t>2</w:t>
            </w:r>
            <w:r w:rsidR="00092EA2" w:rsidRPr="00316277">
              <w:rPr>
                <w:rFonts w:cs="Arial"/>
                <w:sz w:val="22"/>
                <w:szCs w:val="22"/>
              </w:rPr>
              <w:t>4</w:t>
            </w:r>
            <w:r w:rsidRPr="005345C0">
              <w:rPr>
                <w:sz w:val="22"/>
                <w:szCs w:val="22"/>
              </w:rPr>
              <w:t>.</w:t>
            </w:r>
          </w:p>
        </w:tc>
      </w:tr>
      <w:tr w:rsidR="00C954F8" w:rsidRPr="005345C0" w14:paraId="6F11AF9E" w14:textId="77777777" w:rsidTr="00C954F8">
        <w:trPr>
          <w:cantSplit/>
          <w:trHeight w:val="253"/>
        </w:trPr>
        <w:tc>
          <w:tcPr>
            <w:tcW w:w="9923" w:type="dxa"/>
            <w:vMerge/>
          </w:tcPr>
          <w:p w14:paraId="7C2D4089" w14:textId="77777777" w:rsidR="00C954F8" w:rsidRPr="005345C0" w:rsidRDefault="00C954F8" w:rsidP="007A493F">
            <w:pPr>
              <w:rPr>
                <w:sz w:val="22"/>
                <w:szCs w:val="22"/>
              </w:rPr>
            </w:pPr>
          </w:p>
        </w:tc>
      </w:tr>
    </w:tbl>
    <w:p w14:paraId="148B3750" w14:textId="77777777" w:rsidR="00F21036" w:rsidRPr="00957F78" w:rsidRDefault="00F21036" w:rsidP="00F21036">
      <w:pPr>
        <w:rPr>
          <w:sz w:val="18"/>
          <w:szCs w:val="18"/>
        </w:rPr>
      </w:pPr>
    </w:p>
    <w:tbl>
      <w:tblPr>
        <w:tblW w:w="9970" w:type="dxa"/>
        <w:tblCellMar>
          <w:left w:w="70" w:type="dxa"/>
          <w:right w:w="70" w:type="dxa"/>
        </w:tblCellMar>
        <w:tblLook w:val="0000" w:firstRow="0" w:lastRow="0" w:firstColumn="0" w:lastColumn="0" w:noHBand="0" w:noVBand="0"/>
      </w:tblPr>
      <w:tblGrid>
        <w:gridCol w:w="4730"/>
        <w:gridCol w:w="569"/>
        <w:gridCol w:w="4671"/>
      </w:tblGrid>
      <w:tr w:rsidR="006B27C9" w:rsidRPr="005345C0" w14:paraId="11898390" w14:textId="77777777" w:rsidTr="00F22D59">
        <w:trPr>
          <w:trHeight w:val="524"/>
        </w:trPr>
        <w:tc>
          <w:tcPr>
            <w:tcW w:w="4730" w:type="dxa"/>
          </w:tcPr>
          <w:p w14:paraId="4C4F6C13" w14:textId="77777777" w:rsidR="006B27C9" w:rsidRPr="005345C0" w:rsidRDefault="006B27C9" w:rsidP="00ED5E84">
            <w:pPr>
              <w:keepNext w:val="0"/>
              <w:rPr>
                <w:b/>
                <w:bCs/>
                <w:smallCaps/>
                <w:sz w:val="22"/>
                <w:szCs w:val="22"/>
              </w:rPr>
            </w:pPr>
            <w:r w:rsidRPr="005345C0">
              <w:rPr>
                <w:b/>
                <w:bCs/>
                <w:smallCaps/>
                <w:sz w:val="22"/>
                <w:szCs w:val="22"/>
              </w:rPr>
              <w:t>Pour le Gouvernement du Québec</w:t>
            </w:r>
          </w:p>
          <w:p w14:paraId="4D45729F" w14:textId="77777777" w:rsidR="006B27C9" w:rsidRDefault="006B27C9" w:rsidP="00ED5E84">
            <w:pPr>
              <w:keepNext w:val="0"/>
              <w:rPr>
                <w:b/>
                <w:bCs/>
                <w:smallCaps/>
                <w:sz w:val="22"/>
                <w:szCs w:val="22"/>
              </w:rPr>
            </w:pPr>
          </w:p>
          <w:p w14:paraId="6A75E25A" w14:textId="77777777" w:rsidR="009A7882" w:rsidRDefault="009A7882" w:rsidP="00ED5E84">
            <w:pPr>
              <w:keepNext w:val="0"/>
              <w:rPr>
                <w:b/>
                <w:bCs/>
                <w:smallCaps/>
                <w:sz w:val="22"/>
                <w:szCs w:val="22"/>
              </w:rPr>
            </w:pPr>
          </w:p>
          <w:p w14:paraId="1DF205BF" w14:textId="7C4B2921" w:rsidR="009A7882" w:rsidRPr="005345C0" w:rsidRDefault="009A7882" w:rsidP="00ED5E84">
            <w:pPr>
              <w:keepNext w:val="0"/>
              <w:rPr>
                <w:b/>
                <w:bCs/>
                <w:smallCaps/>
                <w:sz w:val="22"/>
                <w:szCs w:val="22"/>
              </w:rPr>
            </w:pPr>
          </w:p>
        </w:tc>
        <w:tc>
          <w:tcPr>
            <w:tcW w:w="569" w:type="dxa"/>
          </w:tcPr>
          <w:p w14:paraId="68D338FD" w14:textId="77777777" w:rsidR="006B27C9" w:rsidRPr="005345C0" w:rsidRDefault="006B27C9" w:rsidP="00ED5E84">
            <w:pPr>
              <w:keepNext w:val="0"/>
              <w:rPr>
                <w:b/>
                <w:bCs/>
                <w:smallCaps/>
                <w:sz w:val="22"/>
                <w:szCs w:val="22"/>
              </w:rPr>
            </w:pPr>
          </w:p>
        </w:tc>
        <w:tc>
          <w:tcPr>
            <w:tcW w:w="4671" w:type="dxa"/>
          </w:tcPr>
          <w:p w14:paraId="2ECB381F" w14:textId="77777777" w:rsidR="006B27C9" w:rsidRDefault="006B27C9" w:rsidP="00ED5E84">
            <w:pPr>
              <w:keepNext w:val="0"/>
              <w:jc w:val="left"/>
              <w:rPr>
                <w:b/>
                <w:bCs/>
                <w:smallCaps/>
                <w:sz w:val="22"/>
                <w:szCs w:val="22"/>
              </w:rPr>
            </w:pPr>
          </w:p>
          <w:p w14:paraId="0A3E427E" w14:textId="640855AA" w:rsidR="009A7882" w:rsidRPr="005345C0" w:rsidRDefault="009A7882" w:rsidP="00ED5E84">
            <w:pPr>
              <w:keepNext w:val="0"/>
              <w:jc w:val="left"/>
              <w:rPr>
                <w:b/>
                <w:bCs/>
                <w:smallCaps/>
                <w:sz w:val="22"/>
                <w:szCs w:val="22"/>
              </w:rPr>
            </w:pPr>
          </w:p>
        </w:tc>
      </w:tr>
      <w:tr w:rsidR="008654F8" w:rsidRPr="005345C0" w14:paraId="6926ACC2" w14:textId="77777777" w:rsidTr="00ED5E84">
        <w:tc>
          <w:tcPr>
            <w:tcW w:w="4730" w:type="dxa"/>
            <w:tcBorders>
              <w:top w:val="single" w:sz="4" w:space="0" w:color="auto"/>
            </w:tcBorders>
          </w:tcPr>
          <w:p w14:paraId="0D086651" w14:textId="77777777" w:rsidR="003E57EB" w:rsidRDefault="00C9479B" w:rsidP="008654F8">
            <w:pPr>
              <w:keepNext w:val="0"/>
              <w:rPr>
                <w:sz w:val="22"/>
                <w:szCs w:val="22"/>
              </w:rPr>
            </w:pPr>
            <w:r w:rsidRPr="00316277">
              <w:rPr>
                <w:sz w:val="22"/>
                <w:szCs w:val="22"/>
              </w:rPr>
              <w:t>Pascale Déry</w:t>
            </w:r>
          </w:p>
          <w:p w14:paraId="1240ED67" w14:textId="381EB4BC" w:rsidR="008654F8" w:rsidRPr="005345C0" w:rsidRDefault="008654F8" w:rsidP="008654F8">
            <w:pPr>
              <w:keepNext w:val="0"/>
              <w:rPr>
                <w:b/>
                <w:bCs/>
                <w:smallCaps/>
                <w:sz w:val="22"/>
                <w:szCs w:val="22"/>
              </w:rPr>
            </w:pPr>
            <w:r w:rsidRPr="005345C0">
              <w:rPr>
                <w:sz w:val="22"/>
                <w:szCs w:val="22"/>
              </w:rPr>
              <w:t xml:space="preserve">Ministre de l’Enseignement supérieur </w:t>
            </w:r>
          </w:p>
        </w:tc>
        <w:tc>
          <w:tcPr>
            <w:tcW w:w="569" w:type="dxa"/>
          </w:tcPr>
          <w:p w14:paraId="5FE04DA6" w14:textId="77777777" w:rsidR="008654F8" w:rsidRPr="005345C0" w:rsidRDefault="008654F8" w:rsidP="008654F8">
            <w:pPr>
              <w:keepNext w:val="0"/>
              <w:rPr>
                <w:b/>
                <w:bCs/>
                <w:smallCaps/>
                <w:sz w:val="22"/>
                <w:szCs w:val="22"/>
              </w:rPr>
            </w:pPr>
          </w:p>
        </w:tc>
        <w:tc>
          <w:tcPr>
            <w:tcW w:w="4671" w:type="dxa"/>
          </w:tcPr>
          <w:p w14:paraId="3B0FD337" w14:textId="77777777" w:rsidR="008654F8" w:rsidRPr="005345C0" w:rsidRDefault="008654F8" w:rsidP="008654F8">
            <w:pPr>
              <w:keepNext w:val="0"/>
              <w:jc w:val="left"/>
              <w:rPr>
                <w:b/>
                <w:bCs/>
                <w:smallCaps/>
                <w:sz w:val="22"/>
                <w:szCs w:val="22"/>
              </w:rPr>
            </w:pPr>
          </w:p>
        </w:tc>
      </w:tr>
      <w:tr w:rsidR="008654F8" w:rsidRPr="005345C0" w14:paraId="4591D637" w14:textId="77777777" w:rsidTr="00F22D59">
        <w:tc>
          <w:tcPr>
            <w:tcW w:w="4730" w:type="dxa"/>
          </w:tcPr>
          <w:p w14:paraId="0BBE8F22" w14:textId="77777777" w:rsidR="008654F8" w:rsidRPr="005345C0" w:rsidRDefault="008654F8" w:rsidP="008654F8">
            <w:pPr>
              <w:keepNext w:val="0"/>
              <w:rPr>
                <w:sz w:val="22"/>
                <w:szCs w:val="22"/>
              </w:rPr>
            </w:pPr>
          </w:p>
        </w:tc>
        <w:tc>
          <w:tcPr>
            <w:tcW w:w="569" w:type="dxa"/>
          </w:tcPr>
          <w:p w14:paraId="2885BA1C" w14:textId="77777777" w:rsidR="008654F8" w:rsidRPr="005345C0" w:rsidRDefault="008654F8" w:rsidP="008654F8">
            <w:pPr>
              <w:keepNext w:val="0"/>
              <w:rPr>
                <w:sz w:val="22"/>
                <w:szCs w:val="22"/>
              </w:rPr>
            </w:pPr>
          </w:p>
        </w:tc>
        <w:tc>
          <w:tcPr>
            <w:tcW w:w="4671" w:type="dxa"/>
            <w:shd w:val="clear" w:color="auto" w:fill="auto"/>
          </w:tcPr>
          <w:p w14:paraId="2D4184D6" w14:textId="77777777" w:rsidR="008654F8" w:rsidRPr="005345C0" w:rsidRDefault="008654F8" w:rsidP="008654F8">
            <w:pPr>
              <w:keepNext w:val="0"/>
              <w:jc w:val="left"/>
              <w:rPr>
                <w:sz w:val="22"/>
                <w:szCs w:val="22"/>
              </w:rPr>
            </w:pPr>
          </w:p>
        </w:tc>
      </w:tr>
      <w:tr w:rsidR="008654F8" w:rsidRPr="005345C0" w14:paraId="15F7A139" w14:textId="77777777" w:rsidTr="00F22D59">
        <w:tc>
          <w:tcPr>
            <w:tcW w:w="4730" w:type="dxa"/>
            <w:tcBorders>
              <w:bottom w:val="single" w:sz="4" w:space="0" w:color="auto"/>
            </w:tcBorders>
          </w:tcPr>
          <w:p w14:paraId="06D3D8F8" w14:textId="77777777" w:rsidR="008654F8" w:rsidRPr="005345C0" w:rsidRDefault="008654F8" w:rsidP="008654F8">
            <w:pPr>
              <w:keepNext w:val="0"/>
              <w:rPr>
                <w:sz w:val="22"/>
                <w:szCs w:val="22"/>
              </w:rPr>
            </w:pPr>
          </w:p>
        </w:tc>
        <w:tc>
          <w:tcPr>
            <w:tcW w:w="569" w:type="dxa"/>
          </w:tcPr>
          <w:p w14:paraId="08376588" w14:textId="77777777" w:rsidR="008654F8" w:rsidRPr="005345C0" w:rsidRDefault="008654F8" w:rsidP="008654F8">
            <w:pPr>
              <w:keepNext w:val="0"/>
              <w:rPr>
                <w:sz w:val="22"/>
                <w:szCs w:val="22"/>
              </w:rPr>
            </w:pPr>
          </w:p>
        </w:tc>
        <w:tc>
          <w:tcPr>
            <w:tcW w:w="4671" w:type="dxa"/>
            <w:shd w:val="clear" w:color="auto" w:fill="auto"/>
          </w:tcPr>
          <w:p w14:paraId="503ED82A" w14:textId="30E371E2" w:rsidR="008654F8" w:rsidRPr="005345C0" w:rsidRDefault="008654F8" w:rsidP="008654F8">
            <w:pPr>
              <w:keepNext w:val="0"/>
              <w:jc w:val="left"/>
              <w:rPr>
                <w:sz w:val="22"/>
                <w:szCs w:val="22"/>
              </w:rPr>
            </w:pPr>
          </w:p>
        </w:tc>
      </w:tr>
      <w:tr w:rsidR="008654F8" w:rsidRPr="005345C0" w14:paraId="38ED2101" w14:textId="77777777" w:rsidTr="00ED5E84">
        <w:tc>
          <w:tcPr>
            <w:tcW w:w="4730" w:type="dxa"/>
            <w:tcBorders>
              <w:top w:val="single" w:sz="4" w:space="0" w:color="auto"/>
            </w:tcBorders>
          </w:tcPr>
          <w:p w14:paraId="7F500145" w14:textId="77777777" w:rsidR="008654F8" w:rsidRPr="005345C0" w:rsidRDefault="008654F8" w:rsidP="008654F8">
            <w:pPr>
              <w:keepNext w:val="0"/>
              <w:rPr>
                <w:sz w:val="22"/>
                <w:szCs w:val="22"/>
              </w:rPr>
            </w:pPr>
            <w:r w:rsidRPr="005345C0">
              <w:rPr>
                <w:sz w:val="22"/>
                <w:szCs w:val="22"/>
              </w:rPr>
              <w:t>Sonia Le</w:t>
            </w:r>
            <w:r>
              <w:rPr>
                <w:sz w:val="22"/>
                <w:szCs w:val="22"/>
              </w:rPr>
              <w:t>B</w:t>
            </w:r>
            <w:r w:rsidRPr="005345C0">
              <w:rPr>
                <w:sz w:val="22"/>
                <w:szCs w:val="22"/>
              </w:rPr>
              <w:t>el</w:t>
            </w:r>
          </w:p>
          <w:p w14:paraId="48021A7D" w14:textId="3B4DAAD4" w:rsidR="008654F8" w:rsidRPr="005345C0" w:rsidRDefault="008654F8" w:rsidP="008654F8">
            <w:pPr>
              <w:keepNext w:val="0"/>
              <w:rPr>
                <w:sz w:val="22"/>
                <w:szCs w:val="22"/>
              </w:rPr>
            </w:pPr>
            <w:r w:rsidRPr="005345C0">
              <w:rPr>
                <w:sz w:val="22"/>
                <w:szCs w:val="22"/>
              </w:rPr>
              <w:t>Présidente du Conseil du Trésor</w:t>
            </w:r>
          </w:p>
        </w:tc>
        <w:tc>
          <w:tcPr>
            <w:tcW w:w="569" w:type="dxa"/>
          </w:tcPr>
          <w:p w14:paraId="13BF103E" w14:textId="77777777" w:rsidR="008654F8" w:rsidRPr="005345C0" w:rsidRDefault="008654F8" w:rsidP="008654F8">
            <w:pPr>
              <w:keepNext w:val="0"/>
              <w:rPr>
                <w:sz w:val="22"/>
                <w:szCs w:val="22"/>
              </w:rPr>
            </w:pPr>
          </w:p>
        </w:tc>
        <w:tc>
          <w:tcPr>
            <w:tcW w:w="4671" w:type="dxa"/>
            <w:shd w:val="clear" w:color="auto" w:fill="auto"/>
          </w:tcPr>
          <w:p w14:paraId="23DEE468" w14:textId="77777777" w:rsidR="008654F8" w:rsidRPr="005345C0" w:rsidRDefault="008654F8" w:rsidP="008654F8">
            <w:pPr>
              <w:keepNext w:val="0"/>
              <w:jc w:val="left"/>
              <w:rPr>
                <w:sz w:val="22"/>
                <w:szCs w:val="22"/>
              </w:rPr>
            </w:pPr>
          </w:p>
        </w:tc>
      </w:tr>
      <w:tr w:rsidR="006B27C9" w:rsidRPr="005345C0" w14:paraId="455BAFE7" w14:textId="77777777" w:rsidTr="00F22D59">
        <w:tc>
          <w:tcPr>
            <w:tcW w:w="4730" w:type="dxa"/>
          </w:tcPr>
          <w:p w14:paraId="7C17F82E" w14:textId="77777777" w:rsidR="006B27C9" w:rsidRPr="005345C0" w:rsidRDefault="006B27C9" w:rsidP="00ED5E84">
            <w:pPr>
              <w:keepNext w:val="0"/>
              <w:rPr>
                <w:sz w:val="22"/>
                <w:szCs w:val="22"/>
              </w:rPr>
            </w:pPr>
          </w:p>
        </w:tc>
        <w:tc>
          <w:tcPr>
            <w:tcW w:w="569" w:type="dxa"/>
          </w:tcPr>
          <w:p w14:paraId="3E98EE3A" w14:textId="77777777" w:rsidR="006B27C9" w:rsidRPr="005345C0" w:rsidRDefault="006B27C9" w:rsidP="00ED5E84">
            <w:pPr>
              <w:keepNext w:val="0"/>
              <w:rPr>
                <w:sz w:val="22"/>
                <w:szCs w:val="22"/>
              </w:rPr>
            </w:pPr>
          </w:p>
        </w:tc>
        <w:tc>
          <w:tcPr>
            <w:tcW w:w="4671" w:type="dxa"/>
            <w:shd w:val="clear" w:color="auto" w:fill="auto"/>
          </w:tcPr>
          <w:p w14:paraId="0BF8081B" w14:textId="77777777" w:rsidR="006B27C9" w:rsidRPr="005345C0" w:rsidRDefault="006B27C9" w:rsidP="00ED5E84">
            <w:pPr>
              <w:keepNext w:val="0"/>
              <w:jc w:val="left"/>
              <w:rPr>
                <w:sz w:val="22"/>
                <w:szCs w:val="22"/>
              </w:rPr>
            </w:pPr>
          </w:p>
        </w:tc>
      </w:tr>
      <w:tr w:rsidR="006B27C9" w:rsidRPr="005345C0" w14:paraId="0056FFBC" w14:textId="77777777" w:rsidTr="00F22D59">
        <w:tc>
          <w:tcPr>
            <w:tcW w:w="4730" w:type="dxa"/>
            <w:tcBorders>
              <w:bottom w:val="single" w:sz="4" w:space="0" w:color="auto"/>
            </w:tcBorders>
            <w:shd w:val="clear" w:color="auto" w:fill="auto"/>
          </w:tcPr>
          <w:p w14:paraId="6977FE51" w14:textId="77777777" w:rsidR="006B27C9" w:rsidRPr="005345C0" w:rsidRDefault="006B27C9" w:rsidP="00ED5E84">
            <w:pPr>
              <w:keepNext w:val="0"/>
              <w:rPr>
                <w:sz w:val="22"/>
                <w:szCs w:val="22"/>
              </w:rPr>
            </w:pPr>
          </w:p>
        </w:tc>
        <w:tc>
          <w:tcPr>
            <w:tcW w:w="569" w:type="dxa"/>
          </w:tcPr>
          <w:p w14:paraId="3B645B9E" w14:textId="77777777" w:rsidR="006B27C9" w:rsidRPr="005345C0" w:rsidRDefault="006B27C9" w:rsidP="00ED5E84">
            <w:pPr>
              <w:keepNext w:val="0"/>
              <w:rPr>
                <w:sz w:val="22"/>
                <w:szCs w:val="22"/>
              </w:rPr>
            </w:pPr>
          </w:p>
        </w:tc>
        <w:tc>
          <w:tcPr>
            <w:tcW w:w="4671" w:type="dxa"/>
            <w:shd w:val="clear" w:color="auto" w:fill="auto"/>
          </w:tcPr>
          <w:p w14:paraId="141B8F59" w14:textId="73BEAD0D" w:rsidR="006B27C9" w:rsidRPr="005345C0" w:rsidRDefault="006B27C9" w:rsidP="00ED5E84">
            <w:pPr>
              <w:keepNext w:val="0"/>
              <w:jc w:val="left"/>
              <w:rPr>
                <w:sz w:val="22"/>
                <w:szCs w:val="22"/>
              </w:rPr>
            </w:pPr>
          </w:p>
        </w:tc>
      </w:tr>
      <w:tr w:rsidR="006B27C9" w:rsidRPr="005345C0" w14:paraId="2FA1A100" w14:textId="77777777" w:rsidTr="00D0240E">
        <w:tc>
          <w:tcPr>
            <w:tcW w:w="4730" w:type="dxa"/>
            <w:tcBorders>
              <w:top w:val="single" w:sz="4" w:space="0" w:color="auto"/>
            </w:tcBorders>
            <w:shd w:val="clear" w:color="auto" w:fill="auto"/>
          </w:tcPr>
          <w:p w14:paraId="249D7DD4" w14:textId="017D403D" w:rsidR="006B27C9" w:rsidRPr="005345C0" w:rsidRDefault="0030562C" w:rsidP="00ED5E84">
            <w:pPr>
              <w:keepNext w:val="0"/>
              <w:rPr>
                <w:sz w:val="22"/>
                <w:szCs w:val="22"/>
              </w:rPr>
            </w:pPr>
            <w:r>
              <w:rPr>
                <w:sz w:val="22"/>
                <w:szCs w:val="22"/>
              </w:rPr>
              <w:t xml:space="preserve">Me </w:t>
            </w:r>
            <w:r w:rsidR="006B27C9" w:rsidRPr="005345C0">
              <w:rPr>
                <w:sz w:val="22"/>
                <w:szCs w:val="22"/>
              </w:rPr>
              <w:t>Edith Lapointe</w:t>
            </w:r>
          </w:p>
          <w:p w14:paraId="48F10023" w14:textId="1B8391D9" w:rsidR="006B27C9" w:rsidRPr="005345C0" w:rsidRDefault="006B27C9" w:rsidP="00ED5E84">
            <w:pPr>
              <w:keepNext w:val="0"/>
              <w:rPr>
                <w:sz w:val="22"/>
                <w:szCs w:val="22"/>
              </w:rPr>
            </w:pPr>
            <w:r w:rsidRPr="005345C0">
              <w:rPr>
                <w:sz w:val="22"/>
                <w:szCs w:val="22"/>
              </w:rPr>
              <w:t xml:space="preserve">Négociatrice en chef du </w:t>
            </w:r>
            <w:r w:rsidR="003B10A5" w:rsidRPr="00316277">
              <w:rPr>
                <w:sz w:val="22"/>
                <w:szCs w:val="22"/>
              </w:rPr>
              <w:t>g</w:t>
            </w:r>
            <w:r w:rsidRPr="005345C0">
              <w:rPr>
                <w:sz w:val="22"/>
                <w:szCs w:val="22"/>
              </w:rPr>
              <w:t>ouvernement du Québec</w:t>
            </w:r>
          </w:p>
        </w:tc>
        <w:tc>
          <w:tcPr>
            <w:tcW w:w="569" w:type="dxa"/>
          </w:tcPr>
          <w:p w14:paraId="609F29F0" w14:textId="77777777" w:rsidR="006B27C9" w:rsidRPr="005345C0" w:rsidRDefault="006B27C9" w:rsidP="00ED5E84">
            <w:pPr>
              <w:keepNext w:val="0"/>
              <w:rPr>
                <w:sz w:val="22"/>
                <w:szCs w:val="22"/>
              </w:rPr>
            </w:pPr>
          </w:p>
        </w:tc>
        <w:tc>
          <w:tcPr>
            <w:tcW w:w="4671" w:type="dxa"/>
            <w:shd w:val="clear" w:color="auto" w:fill="auto"/>
          </w:tcPr>
          <w:p w14:paraId="5518B341" w14:textId="77777777" w:rsidR="006B27C9" w:rsidRPr="005345C0" w:rsidRDefault="006B27C9" w:rsidP="00ED5E84">
            <w:pPr>
              <w:keepNext w:val="0"/>
              <w:jc w:val="left"/>
              <w:rPr>
                <w:sz w:val="22"/>
                <w:szCs w:val="22"/>
              </w:rPr>
            </w:pPr>
          </w:p>
        </w:tc>
      </w:tr>
      <w:tr w:rsidR="00D0240E" w:rsidRPr="005345C0" w14:paraId="211613E8" w14:textId="77777777" w:rsidTr="00D0240E">
        <w:tc>
          <w:tcPr>
            <w:tcW w:w="4730" w:type="dxa"/>
            <w:shd w:val="clear" w:color="auto" w:fill="auto"/>
          </w:tcPr>
          <w:p w14:paraId="3F22866E" w14:textId="77777777" w:rsidR="00D0240E" w:rsidRPr="005345C0" w:rsidRDefault="00D0240E" w:rsidP="00ED5E84">
            <w:pPr>
              <w:keepNext w:val="0"/>
              <w:rPr>
                <w:sz w:val="22"/>
                <w:szCs w:val="22"/>
              </w:rPr>
            </w:pPr>
          </w:p>
        </w:tc>
        <w:tc>
          <w:tcPr>
            <w:tcW w:w="569" w:type="dxa"/>
          </w:tcPr>
          <w:p w14:paraId="2A8BF8CA" w14:textId="77777777" w:rsidR="00D0240E" w:rsidRPr="005345C0" w:rsidRDefault="00D0240E" w:rsidP="00ED5E84">
            <w:pPr>
              <w:keepNext w:val="0"/>
              <w:rPr>
                <w:sz w:val="22"/>
                <w:szCs w:val="22"/>
              </w:rPr>
            </w:pPr>
          </w:p>
        </w:tc>
        <w:tc>
          <w:tcPr>
            <w:tcW w:w="4671" w:type="dxa"/>
            <w:shd w:val="clear" w:color="auto" w:fill="auto"/>
          </w:tcPr>
          <w:p w14:paraId="56D41428" w14:textId="77777777" w:rsidR="00D0240E" w:rsidRPr="005345C0" w:rsidRDefault="00D0240E" w:rsidP="00ED5E84">
            <w:pPr>
              <w:keepNext w:val="0"/>
              <w:jc w:val="left"/>
              <w:rPr>
                <w:sz w:val="22"/>
                <w:szCs w:val="22"/>
              </w:rPr>
            </w:pPr>
          </w:p>
        </w:tc>
      </w:tr>
      <w:tr w:rsidR="00D0240E" w:rsidRPr="005345C0" w14:paraId="7F3523E2" w14:textId="77777777" w:rsidTr="00D0240E">
        <w:tc>
          <w:tcPr>
            <w:tcW w:w="4730" w:type="dxa"/>
            <w:shd w:val="clear" w:color="auto" w:fill="auto"/>
          </w:tcPr>
          <w:p w14:paraId="64DDAECF" w14:textId="6A086EB6" w:rsidR="00092EA2" w:rsidRPr="005345C0" w:rsidRDefault="00092EA2" w:rsidP="00092EA2">
            <w:pPr>
              <w:keepNext w:val="0"/>
              <w:rPr>
                <w:b/>
                <w:bCs/>
                <w:smallCaps/>
                <w:sz w:val="22"/>
                <w:szCs w:val="22"/>
              </w:rPr>
            </w:pPr>
            <w:r w:rsidRPr="00316277">
              <w:rPr>
                <w:b/>
                <w:bCs/>
                <w:smallCaps/>
                <w:sz w:val="22"/>
                <w:szCs w:val="22"/>
              </w:rPr>
              <w:t>Pour le Bureau de la négociation gouvernementale</w:t>
            </w:r>
          </w:p>
          <w:p w14:paraId="687B70AB" w14:textId="77777777" w:rsidR="00D0240E" w:rsidRPr="005345C0" w:rsidRDefault="00D0240E" w:rsidP="00ED5E84">
            <w:pPr>
              <w:keepNext w:val="0"/>
              <w:rPr>
                <w:sz w:val="22"/>
                <w:szCs w:val="22"/>
              </w:rPr>
            </w:pPr>
          </w:p>
        </w:tc>
        <w:tc>
          <w:tcPr>
            <w:tcW w:w="569" w:type="dxa"/>
          </w:tcPr>
          <w:p w14:paraId="629E4E60" w14:textId="77777777" w:rsidR="00D0240E" w:rsidRPr="005345C0" w:rsidRDefault="00D0240E" w:rsidP="00ED5E84">
            <w:pPr>
              <w:keepNext w:val="0"/>
              <w:rPr>
                <w:sz w:val="22"/>
                <w:szCs w:val="22"/>
              </w:rPr>
            </w:pPr>
          </w:p>
        </w:tc>
        <w:tc>
          <w:tcPr>
            <w:tcW w:w="4671" w:type="dxa"/>
            <w:shd w:val="clear" w:color="auto" w:fill="auto"/>
          </w:tcPr>
          <w:p w14:paraId="6E31952F" w14:textId="7A7E67B5" w:rsidR="00D0240E" w:rsidRPr="005345C0" w:rsidRDefault="00D0240E" w:rsidP="00ED5E84">
            <w:pPr>
              <w:keepNext w:val="0"/>
              <w:jc w:val="left"/>
              <w:rPr>
                <w:sz w:val="22"/>
                <w:szCs w:val="22"/>
              </w:rPr>
            </w:pPr>
          </w:p>
        </w:tc>
      </w:tr>
      <w:tr w:rsidR="00092EA2" w:rsidRPr="005345C0" w14:paraId="4497401C" w14:textId="77777777" w:rsidTr="00D0240E">
        <w:tc>
          <w:tcPr>
            <w:tcW w:w="4730" w:type="dxa"/>
            <w:shd w:val="clear" w:color="auto" w:fill="auto"/>
          </w:tcPr>
          <w:p w14:paraId="0E9781C7" w14:textId="77777777" w:rsidR="00092EA2" w:rsidRPr="005345C0" w:rsidRDefault="00092EA2" w:rsidP="00092EA2">
            <w:pPr>
              <w:keepNext w:val="0"/>
              <w:rPr>
                <w:b/>
                <w:bCs/>
                <w:smallCaps/>
                <w:sz w:val="22"/>
                <w:szCs w:val="22"/>
              </w:rPr>
            </w:pPr>
          </w:p>
        </w:tc>
        <w:tc>
          <w:tcPr>
            <w:tcW w:w="569" w:type="dxa"/>
          </w:tcPr>
          <w:p w14:paraId="655A597A" w14:textId="77777777" w:rsidR="00092EA2" w:rsidRPr="005345C0" w:rsidRDefault="00092EA2" w:rsidP="00ED5E84">
            <w:pPr>
              <w:keepNext w:val="0"/>
              <w:rPr>
                <w:sz w:val="22"/>
                <w:szCs w:val="22"/>
              </w:rPr>
            </w:pPr>
          </w:p>
        </w:tc>
        <w:tc>
          <w:tcPr>
            <w:tcW w:w="4671" w:type="dxa"/>
            <w:shd w:val="clear" w:color="auto" w:fill="auto"/>
          </w:tcPr>
          <w:p w14:paraId="56278146" w14:textId="77777777" w:rsidR="00092EA2" w:rsidRPr="005345C0" w:rsidRDefault="00092EA2" w:rsidP="00ED5E84">
            <w:pPr>
              <w:keepNext w:val="0"/>
              <w:jc w:val="left"/>
              <w:rPr>
                <w:sz w:val="22"/>
                <w:szCs w:val="22"/>
              </w:rPr>
            </w:pPr>
          </w:p>
        </w:tc>
      </w:tr>
      <w:tr w:rsidR="00D0240E" w:rsidRPr="005345C0" w14:paraId="098A2ED5" w14:textId="77777777" w:rsidTr="00D0240E">
        <w:tc>
          <w:tcPr>
            <w:tcW w:w="4730" w:type="dxa"/>
            <w:shd w:val="clear" w:color="auto" w:fill="auto"/>
          </w:tcPr>
          <w:p w14:paraId="461AB9A5" w14:textId="77777777" w:rsidR="00D0240E" w:rsidRPr="005345C0" w:rsidRDefault="00D0240E" w:rsidP="00ED5E84">
            <w:pPr>
              <w:keepNext w:val="0"/>
              <w:rPr>
                <w:sz w:val="22"/>
                <w:szCs w:val="22"/>
              </w:rPr>
            </w:pPr>
          </w:p>
        </w:tc>
        <w:tc>
          <w:tcPr>
            <w:tcW w:w="569" w:type="dxa"/>
          </w:tcPr>
          <w:p w14:paraId="0A50CF01" w14:textId="77777777" w:rsidR="00D0240E" w:rsidRPr="005345C0" w:rsidRDefault="00D0240E" w:rsidP="00ED5E84">
            <w:pPr>
              <w:keepNext w:val="0"/>
              <w:rPr>
                <w:sz w:val="22"/>
                <w:szCs w:val="22"/>
              </w:rPr>
            </w:pPr>
          </w:p>
        </w:tc>
        <w:tc>
          <w:tcPr>
            <w:tcW w:w="4671" w:type="dxa"/>
            <w:shd w:val="clear" w:color="auto" w:fill="auto"/>
          </w:tcPr>
          <w:p w14:paraId="59220798" w14:textId="77777777" w:rsidR="00D0240E" w:rsidRPr="005345C0" w:rsidRDefault="00D0240E" w:rsidP="00ED5E84">
            <w:pPr>
              <w:keepNext w:val="0"/>
              <w:jc w:val="left"/>
              <w:rPr>
                <w:sz w:val="22"/>
                <w:szCs w:val="22"/>
              </w:rPr>
            </w:pPr>
          </w:p>
        </w:tc>
      </w:tr>
      <w:tr w:rsidR="00D0240E" w:rsidRPr="005345C0" w14:paraId="4E40A5EF" w14:textId="77777777" w:rsidTr="00ED5E84">
        <w:tc>
          <w:tcPr>
            <w:tcW w:w="4730" w:type="dxa"/>
            <w:tcBorders>
              <w:top w:val="single" w:sz="4" w:space="0" w:color="auto"/>
            </w:tcBorders>
            <w:shd w:val="clear" w:color="auto" w:fill="auto"/>
          </w:tcPr>
          <w:p w14:paraId="619740BE" w14:textId="7983384D" w:rsidR="00D0240E" w:rsidRPr="005345C0" w:rsidRDefault="00D0240E" w:rsidP="00ED5E84">
            <w:pPr>
              <w:keepNext w:val="0"/>
              <w:rPr>
                <w:sz w:val="22"/>
                <w:szCs w:val="22"/>
              </w:rPr>
            </w:pPr>
            <w:r w:rsidRPr="00316277">
              <w:rPr>
                <w:sz w:val="22"/>
                <w:szCs w:val="22"/>
              </w:rPr>
              <w:t>Mireille Godard</w:t>
            </w:r>
            <w:r w:rsidR="00984A6F" w:rsidRPr="00316277">
              <w:rPr>
                <w:sz w:val="22"/>
                <w:szCs w:val="22"/>
              </w:rPr>
              <w:noBreakHyphen/>
            </w:r>
            <w:r w:rsidRPr="00316277">
              <w:rPr>
                <w:sz w:val="22"/>
                <w:szCs w:val="22"/>
              </w:rPr>
              <w:t xml:space="preserve">Dubois, </w:t>
            </w:r>
            <w:r w:rsidR="00092EA2" w:rsidRPr="00316277">
              <w:rPr>
                <w:sz w:val="22"/>
                <w:szCs w:val="22"/>
              </w:rPr>
              <w:t>négociatric</w:t>
            </w:r>
            <w:r w:rsidRPr="00316277">
              <w:rPr>
                <w:sz w:val="22"/>
                <w:szCs w:val="22"/>
              </w:rPr>
              <w:t>e</w:t>
            </w:r>
            <w:r w:rsidR="00282FE2" w:rsidRPr="00316277">
              <w:rPr>
                <w:sz w:val="22"/>
                <w:szCs w:val="22"/>
              </w:rPr>
              <w:t xml:space="preserve"> </w:t>
            </w:r>
          </w:p>
        </w:tc>
        <w:tc>
          <w:tcPr>
            <w:tcW w:w="569" w:type="dxa"/>
          </w:tcPr>
          <w:p w14:paraId="029BA034" w14:textId="77777777" w:rsidR="00D0240E" w:rsidRPr="005345C0" w:rsidRDefault="00D0240E" w:rsidP="00ED5E84">
            <w:pPr>
              <w:keepNext w:val="0"/>
              <w:rPr>
                <w:sz w:val="22"/>
                <w:szCs w:val="22"/>
              </w:rPr>
            </w:pPr>
          </w:p>
        </w:tc>
        <w:tc>
          <w:tcPr>
            <w:tcW w:w="4671" w:type="dxa"/>
            <w:shd w:val="clear" w:color="auto" w:fill="auto"/>
          </w:tcPr>
          <w:p w14:paraId="275DA2F0" w14:textId="77777777" w:rsidR="00D0240E" w:rsidRPr="005345C0" w:rsidRDefault="00D0240E" w:rsidP="00ED5E84">
            <w:pPr>
              <w:keepNext w:val="0"/>
              <w:jc w:val="left"/>
              <w:rPr>
                <w:sz w:val="22"/>
                <w:szCs w:val="22"/>
              </w:rPr>
            </w:pPr>
          </w:p>
        </w:tc>
      </w:tr>
      <w:tr w:rsidR="006B27C9" w:rsidRPr="005345C0" w14:paraId="53E3F1F2" w14:textId="77777777" w:rsidTr="009A7882">
        <w:tc>
          <w:tcPr>
            <w:tcW w:w="4730" w:type="dxa"/>
          </w:tcPr>
          <w:p w14:paraId="66AA556A" w14:textId="77777777" w:rsidR="006B27C9" w:rsidRPr="005345C0" w:rsidRDefault="006B27C9" w:rsidP="00ED5E84">
            <w:pPr>
              <w:keepNext w:val="0"/>
              <w:rPr>
                <w:sz w:val="22"/>
                <w:szCs w:val="22"/>
              </w:rPr>
            </w:pPr>
          </w:p>
        </w:tc>
        <w:tc>
          <w:tcPr>
            <w:tcW w:w="569" w:type="dxa"/>
          </w:tcPr>
          <w:p w14:paraId="2F9BAA3C" w14:textId="77777777" w:rsidR="006B27C9" w:rsidRPr="005345C0" w:rsidRDefault="006B27C9" w:rsidP="00ED5E84">
            <w:pPr>
              <w:keepNext w:val="0"/>
              <w:rPr>
                <w:sz w:val="22"/>
                <w:szCs w:val="22"/>
              </w:rPr>
            </w:pPr>
          </w:p>
        </w:tc>
        <w:tc>
          <w:tcPr>
            <w:tcW w:w="4671" w:type="dxa"/>
            <w:shd w:val="clear" w:color="auto" w:fill="auto"/>
          </w:tcPr>
          <w:p w14:paraId="01DE9AC4" w14:textId="77777777" w:rsidR="006B27C9" w:rsidRPr="005345C0" w:rsidRDefault="006B27C9" w:rsidP="00ED5E84">
            <w:pPr>
              <w:keepNext w:val="0"/>
              <w:jc w:val="left"/>
              <w:rPr>
                <w:sz w:val="22"/>
                <w:szCs w:val="22"/>
              </w:rPr>
            </w:pPr>
          </w:p>
        </w:tc>
      </w:tr>
      <w:tr w:rsidR="006B27C9" w:rsidRPr="005345C0" w14:paraId="745BBDA8" w14:textId="77777777" w:rsidTr="009A7882">
        <w:tc>
          <w:tcPr>
            <w:tcW w:w="4730" w:type="dxa"/>
          </w:tcPr>
          <w:p w14:paraId="6AC5B937" w14:textId="77777777" w:rsidR="006B27C9" w:rsidRPr="005345C0" w:rsidRDefault="006B27C9" w:rsidP="00ED5E84">
            <w:pPr>
              <w:keepNext w:val="0"/>
              <w:rPr>
                <w:b/>
                <w:bCs/>
                <w:smallCaps/>
                <w:sz w:val="22"/>
                <w:szCs w:val="22"/>
              </w:rPr>
            </w:pPr>
            <w:r w:rsidRPr="005345C0">
              <w:rPr>
                <w:b/>
                <w:bCs/>
                <w:smallCaps/>
                <w:sz w:val="22"/>
                <w:szCs w:val="22"/>
              </w:rPr>
              <w:t>Pour le Comité patronal de</w:t>
            </w:r>
          </w:p>
          <w:p w14:paraId="3E5F5DD4" w14:textId="77777777" w:rsidR="006B27C9" w:rsidRPr="005345C0" w:rsidRDefault="006B27C9" w:rsidP="00ED5E84">
            <w:pPr>
              <w:keepNext w:val="0"/>
              <w:rPr>
                <w:sz w:val="22"/>
                <w:szCs w:val="22"/>
              </w:rPr>
            </w:pPr>
            <w:r w:rsidRPr="005345C0">
              <w:rPr>
                <w:b/>
                <w:bCs/>
                <w:smallCaps/>
                <w:sz w:val="22"/>
                <w:szCs w:val="22"/>
              </w:rPr>
              <w:t>négociation des collèges (</w:t>
            </w:r>
            <w:r w:rsidRPr="005345C0">
              <w:rPr>
                <w:b/>
                <w:bCs/>
                <w:sz w:val="22"/>
                <w:szCs w:val="22"/>
              </w:rPr>
              <w:t>CPNC</w:t>
            </w:r>
            <w:r w:rsidRPr="005345C0">
              <w:rPr>
                <w:b/>
                <w:bCs/>
                <w:smallCaps/>
                <w:sz w:val="22"/>
                <w:szCs w:val="22"/>
              </w:rPr>
              <w:t>)</w:t>
            </w:r>
          </w:p>
        </w:tc>
        <w:tc>
          <w:tcPr>
            <w:tcW w:w="569" w:type="dxa"/>
            <w:shd w:val="clear" w:color="auto" w:fill="auto"/>
          </w:tcPr>
          <w:p w14:paraId="6B9F68C0" w14:textId="77777777" w:rsidR="006B27C9" w:rsidRPr="005345C0" w:rsidRDefault="006B27C9" w:rsidP="00ED5E84">
            <w:pPr>
              <w:keepNext w:val="0"/>
              <w:rPr>
                <w:sz w:val="22"/>
                <w:szCs w:val="22"/>
              </w:rPr>
            </w:pPr>
          </w:p>
        </w:tc>
        <w:tc>
          <w:tcPr>
            <w:tcW w:w="4671" w:type="dxa"/>
            <w:shd w:val="clear" w:color="auto" w:fill="auto"/>
          </w:tcPr>
          <w:p w14:paraId="5D828CAD" w14:textId="5E5D814A" w:rsidR="006B27C9" w:rsidRPr="005345C0" w:rsidRDefault="00F22D59" w:rsidP="00ED5E84">
            <w:pPr>
              <w:keepNext w:val="0"/>
              <w:rPr>
                <w:sz w:val="22"/>
                <w:szCs w:val="22"/>
              </w:rPr>
            </w:pPr>
            <w:r w:rsidRPr="005345C0">
              <w:rPr>
                <w:b/>
                <w:smallCaps/>
                <w:sz w:val="22"/>
                <w:szCs w:val="22"/>
              </w:rPr>
              <w:t>Pour la Fédération nationale</w:t>
            </w:r>
            <w:r w:rsidRPr="005345C0">
              <w:rPr>
                <w:b/>
                <w:smallCaps/>
                <w:sz w:val="22"/>
                <w:szCs w:val="22"/>
              </w:rPr>
              <w:br/>
              <w:t>des enseignantes et des enseignants</w:t>
            </w:r>
            <w:r w:rsidRPr="005345C0">
              <w:rPr>
                <w:b/>
                <w:smallCaps/>
                <w:sz w:val="22"/>
                <w:szCs w:val="22"/>
              </w:rPr>
              <w:br/>
              <w:t>du Québec (FNEEQ (CSN))</w:t>
            </w:r>
          </w:p>
        </w:tc>
      </w:tr>
      <w:tr w:rsidR="006B27C9" w:rsidRPr="005345C0" w14:paraId="5A5780E0" w14:textId="77777777" w:rsidTr="009A7882">
        <w:tc>
          <w:tcPr>
            <w:tcW w:w="4730" w:type="dxa"/>
          </w:tcPr>
          <w:p w14:paraId="7E87DD0C" w14:textId="77777777" w:rsidR="006B27C9" w:rsidRPr="005345C0" w:rsidRDefault="006B27C9" w:rsidP="00ED5E84">
            <w:pPr>
              <w:keepNext w:val="0"/>
              <w:rPr>
                <w:sz w:val="22"/>
                <w:szCs w:val="22"/>
              </w:rPr>
            </w:pPr>
          </w:p>
        </w:tc>
        <w:tc>
          <w:tcPr>
            <w:tcW w:w="569" w:type="dxa"/>
            <w:shd w:val="clear" w:color="auto" w:fill="auto"/>
          </w:tcPr>
          <w:p w14:paraId="3D3821DA" w14:textId="77777777" w:rsidR="006B27C9" w:rsidRPr="005345C0" w:rsidRDefault="006B27C9" w:rsidP="00ED5E84">
            <w:pPr>
              <w:keepNext w:val="0"/>
              <w:rPr>
                <w:sz w:val="22"/>
                <w:szCs w:val="22"/>
              </w:rPr>
            </w:pPr>
          </w:p>
        </w:tc>
        <w:tc>
          <w:tcPr>
            <w:tcW w:w="4671" w:type="dxa"/>
            <w:shd w:val="clear" w:color="auto" w:fill="auto"/>
          </w:tcPr>
          <w:p w14:paraId="2D7771DA" w14:textId="2254BE7B" w:rsidR="006B27C9" w:rsidRPr="005345C0" w:rsidRDefault="006B27C9" w:rsidP="00ED5E84">
            <w:pPr>
              <w:keepNext w:val="0"/>
              <w:rPr>
                <w:sz w:val="22"/>
                <w:szCs w:val="22"/>
              </w:rPr>
            </w:pPr>
          </w:p>
        </w:tc>
      </w:tr>
      <w:tr w:rsidR="009A7882" w:rsidRPr="005345C0" w14:paraId="4E15DC2E" w14:textId="77777777" w:rsidTr="009A7882">
        <w:tc>
          <w:tcPr>
            <w:tcW w:w="4730" w:type="dxa"/>
          </w:tcPr>
          <w:p w14:paraId="1F98D7DD" w14:textId="77777777" w:rsidR="009A7882" w:rsidRPr="005345C0" w:rsidRDefault="009A7882" w:rsidP="00ED5E84">
            <w:pPr>
              <w:keepNext w:val="0"/>
              <w:rPr>
                <w:sz w:val="22"/>
                <w:szCs w:val="22"/>
              </w:rPr>
            </w:pPr>
          </w:p>
        </w:tc>
        <w:tc>
          <w:tcPr>
            <w:tcW w:w="569" w:type="dxa"/>
            <w:shd w:val="clear" w:color="auto" w:fill="auto"/>
          </w:tcPr>
          <w:p w14:paraId="459DEBF0" w14:textId="77777777" w:rsidR="009A7882" w:rsidRPr="005345C0" w:rsidRDefault="009A7882" w:rsidP="00ED5E84">
            <w:pPr>
              <w:keepNext w:val="0"/>
              <w:rPr>
                <w:sz w:val="22"/>
                <w:szCs w:val="22"/>
              </w:rPr>
            </w:pPr>
          </w:p>
        </w:tc>
        <w:tc>
          <w:tcPr>
            <w:tcW w:w="4671" w:type="dxa"/>
            <w:shd w:val="clear" w:color="auto" w:fill="auto"/>
          </w:tcPr>
          <w:p w14:paraId="567127EF" w14:textId="77777777" w:rsidR="009A7882" w:rsidRPr="005345C0" w:rsidRDefault="009A7882" w:rsidP="00ED5E84">
            <w:pPr>
              <w:keepNext w:val="0"/>
              <w:rPr>
                <w:sz w:val="22"/>
                <w:szCs w:val="22"/>
              </w:rPr>
            </w:pPr>
          </w:p>
        </w:tc>
      </w:tr>
      <w:tr w:rsidR="009A7882" w:rsidRPr="005345C0" w14:paraId="6C2D6981" w14:textId="77777777" w:rsidTr="00F22D59">
        <w:tc>
          <w:tcPr>
            <w:tcW w:w="4730" w:type="dxa"/>
            <w:tcBorders>
              <w:bottom w:val="single" w:sz="4" w:space="0" w:color="auto"/>
            </w:tcBorders>
          </w:tcPr>
          <w:p w14:paraId="0CBE6B29" w14:textId="77777777" w:rsidR="009A7882" w:rsidRPr="005345C0" w:rsidRDefault="009A7882" w:rsidP="00ED5E84">
            <w:pPr>
              <w:keepNext w:val="0"/>
              <w:rPr>
                <w:sz w:val="22"/>
                <w:szCs w:val="22"/>
              </w:rPr>
            </w:pPr>
          </w:p>
        </w:tc>
        <w:tc>
          <w:tcPr>
            <w:tcW w:w="569" w:type="dxa"/>
            <w:shd w:val="clear" w:color="auto" w:fill="auto"/>
          </w:tcPr>
          <w:p w14:paraId="0021AB03" w14:textId="77777777" w:rsidR="009A7882" w:rsidRPr="005345C0" w:rsidRDefault="009A7882" w:rsidP="00ED5E84">
            <w:pPr>
              <w:keepNext w:val="0"/>
              <w:rPr>
                <w:sz w:val="22"/>
                <w:szCs w:val="22"/>
              </w:rPr>
            </w:pPr>
          </w:p>
        </w:tc>
        <w:tc>
          <w:tcPr>
            <w:tcW w:w="4671" w:type="dxa"/>
            <w:shd w:val="clear" w:color="auto" w:fill="auto"/>
          </w:tcPr>
          <w:p w14:paraId="26AA3E86" w14:textId="77777777" w:rsidR="009A7882" w:rsidRPr="005345C0" w:rsidRDefault="009A7882" w:rsidP="00ED5E84">
            <w:pPr>
              <w:keepNext w:val="0"/>
              <w:rPr>
                <w:sz w:val="22"/>
                <w:szCs w:val="22"/>
              </w:rPr>
            </w:pPr>
          </w:p>
        </w:tc>
      </w:tr>
      <w:tr w:rsidR="009A7882" w:rsidRPr="005345C0" w14:paraId="748FA7A1" w14:textId="77777777" w:rsidTr="00F22D59">
        <w:tc>
          <w:tcPr>
            <w:tcW w:w="4730" w:type="dxa"/>
            <w:tcBorders>
              <w:top w:val="single" w:sz="4" w:space="0" w:color="auto"/>
            </w:tcBorders>
          </w:tcPr>
          <w:p w14:paraId="5F2AA202" w14:textId="6AD3965B" w:rsidR="009A7882" w:rsidRPr="005345C0" w:rsidRDefault="00F22D59" w:rsidP="00ED5E84">
            <w:pPr>
              <w:keepNext w:val="0"/>
              <w:rPr>
                <w:sz w:val="22"/>
                <w:szCs w:val="22"/>
              </w:rPr>
            </w:pPr>
            <w:r w:rsidRPr="00316277">
              <w:rPr>
                <w:sz w:val="22"/>
                <w:szCs w:val="22"/>
              </w:rPr>
              <w:t>Alexandre Havard</w:t>
            </w:r>
            <w:r w:rsidRPr="005345C0">
              <w:rPr>
                <w:sz w:val="22"/>
                <w:szCs w:val="22"/>
              </w:rPr>
              <w:t>, président</w:t>
            </w:r>
          </w:p>
        </w:tc>
        <w:tc>
          <w:tcPr>
            <w:tcW w:w="569" w:type="dxa"/>
            <w:shd w:val="clear" w:color="auto" w:fill="auto"/>
          </w:tcPr>
          <w:p w14:paraId="0196061D" w14:textId="77777777" w:rsidR="009A7882" w:rsidRPr="005345C0" w:rsidRDefault="009A7882" w:rsidP="00ED5E84">
            <w:pPr>
              <w:keepNext w:val="0"/>
              <w:rPr>
                <w:sz w:val="22"/>
                <w:szCs w:val="22"/>
              </w:rPr>
            </w:pPr>
          </w:p>
        </w:tc>
        <w:tc>
          <w:tcPr>
            <w:tcW w:w="4671" w:type="dxa"/>
            <w:tcBorders>
              <w:top w:val="single" w:sz="4" w:space="0" w:color="auto"/>
            </w:tcBorders>
            <w:shd w:val="clear" w:color="auto" w:fill="auto"/>
          </w:tcPr>
          <w:p w14:paraId="737542C6" w14:textId="2094C6D1" w:rsidR="009A7882" w:rsidRPr="005345C0" w:rsidRDefault="00F22D59" w:rsidP="00ED5E84">
            <w:pPr>
              <w:keepNext w:val="0"/>
              <w:rPr>
                <w:sz w:val="22"/>
                <w:szCs w:val="22"/>
              </w:rPr>
            </w:pPr>
            <w:r w:rsidRPr="005345C0">
              <w:rPr>
                <w:sz w:val="22"/>
                <w:szCs w:val="22"/>
              </w:rPr>
              <w:t>Caroline Quesnel, présidente</w:t>
            </w:r>
          </w:p>
        </w:tc>
      </w:tr>
      <w:tr w:rsidR="006B27C9" w:rsidRPr="005345C0" w14:paraId="4D537F8C" w14:textId="77777777" w:rsidTr="00ED5E84">
        <w:tc>
          <w:tcPr>
            <w:tcW w:w="4730" w:type="dxa"/>
          </w:tcPr>
          <w:p w14:paraId="69F7F28E" w14:textId="77777777" w:rsidR="006B27C9" w:rsidRPr="005345C0" w:rsidRDefault="006B27C9" w:rsidP="00ED5E84">
            <w:pPr>
              <w:keepNext w:val="0"/>
              <w:rPr>
                <w:sz w:val="22"/>
                <w:szCs w:val="22"/>
              </w:rPr>
            </w:pPr>
          </w:p>
        </w:tc>
        <w:tc>
          <w:tcPr>
            <w:tcW w:w="569" w:type="dxa"/>
          </w:tcPr>
          <w:p w14:paraId="682121FA" w14:textId="77777777" w:rsidR="006B27C9" w:rsidRPr="005345C0" w:rsidRDefault="006B27C9" w:rsidP="00ED5E84">
            <w:pPr>
              <w:keepNext w:val="0"/>
              <w:rPr>
                <w:sz w:val="22"/>
                <w:szCs w:val="22"/>
              </w:rPr>
            </w:pPr>
          </w:p>
        </w:tc>
        <w:tc>
          <w:tcPr>
            <w:tcW w:w="4671" w:type="dxa"/>
            <w:shd w:val="clear" w:color="auto" w:fill="auto"/>
          </w:tcPr>
          <w:p w14:paraId="5A215F57" w14:textId="77777777" w:rsidR="006B27C9" w:rsidRPr="005345C0" w:rsidRDefault="006B27C9" w:rsidP="00ED5E84">
            <w:pPr>
              <w:keepNext w:val="0"/>
              <w:jc w:val="left"/>
              <w:rPr>
                <w:sz w:val="22"/>
                <w:szCs w:val="22"/>
              </w:rPr>
            </w:pPr>
          </w:p>
        </w:tc>
      </w:tr>
      <w:tr w:rsidR="006B27C9" w:rsidRPr="005345C0" w14:paraId="335CA462" w14:textId="77777777" w:rsidTr="00ED5E84">
        <w:tc>
          <w:tcPr>
            <w:tcW w:w="4730" w:type="dxa"/>
          </w:tcPr>
          <w:p w14:paraId="1750E9C4" w14:textId="77777777" w:rsidR="006B27C9" w:rsidRPr="005345C0" w:rsidRDefault="006B27C9" w:rsidP="00ED5E84">
            <w:pPr>
              <w:keepNext w:val="0"/>
              <w:rPr>
                <w:sz w:val="22"/>
                <w:szCs w:val="22"/>
              </w:rPr>
            </w:pPr>
          </w:p>
        </w:tc>
        <w:tc>
          <w:tcPr>
            <w:tcW w:w="569" w:type="dxa"/>
          </w:tcPr>
          <w:p w14:paraId="1624B7C2" w14:textId="77777777" w:rsidR="006B27C9" w:rsidRPr="005345C0" w:rsidRDefault="006B27C9" w:rsidP="00ED5E84">
            <w:pPr>
              <w:keepNext w:val="0"/>
              <w:rPr>
                <w:sz w:val="22"/>
                <w:szCs w:val="22"/>
              </w:rPr>
            </w:pPr>
          </w:p>
        </w:tc>
        <w:tc>
          <w:tcPr>
            <w:tcW w:w="4671" w:type="dxa"/>
            <w:shd w:val="clear" w:color="auto" w:fill="auto"/>
          </w:tcPr>
          <w:p w14:paraId="19AA3FC2" w14:textId="77777777" w:rsidR="006B27C9" w:rsidRPr="005345C0" w:rsidRDefault="006B27C9" w:rsidP="00ED5E84">
            <w:pPr>
              <w:keepNext w:val="0"/>
              <w:jc w:val="left"/>
              <w:rPr>
                <w:sz w:val="22"/>
                <w:szCs w:val="22"/>
              </w:rPr>
            </w:pPr>
          </w:p>
        </w:tc>
      </w:tr>
      <w:tr w:rsidR="00F22D59" w:rsidRPr="005345C0" w14:paraId="54F29741" w14:textId="77777777" w:rsidTr="00F22D59">
        <w:tc>
          <w:tcPr>
            <w:tcW w:w="4730" w:type="dxa"/>
            <w:tcBorders>
              <w:bottom w:val="single" w:sz="4" w:space="0" w:color="auto"/>
            </w:tcBorders>
          </w:tcPr>
          <w:p w14:paraId="695B16AD" w14:textId="77777777" w:rsidR="00F22D59" w:rsidRPr="005345C0" w:rsidRDefault="00F22D59" w:rsidP="00ED5E84">
            <w:pPr>
              <w:keepNext w:val="0"/>
              <w:rPr>
                <w:sz w:val="22"/>
                <w:szCs w:val="22"/>
              </w:rPr>
            </w:pPr>
          </w:p>
        </w:tc>
        <w:tc>
          <w:tcPr>
            <w:tcW w:w="569" w:type="dxa"/>
          </w:tcPr>
          <w:p w14:paraId="6681CCC7" w14:textId="77777777" w:rsidR="00F22D59" w:rsidRPr="005345C0" w:rsidRDefault="00F22D59" w:rsidP="00ED5E84">
            <w:pPr>
              <w:keepNext w:val="0"/>
              <w:rPr>
                <w:sz w:val="22"/>
                <w:szCs w:val="22"/>
              </w:rPr>
            </w:pPr>
          </w:p>
        </w:tc>
        <w:tc>
          <w:tcPr>
            <w:tcW w:w="4671" w:type="dxa"/>
            <w:tcBorders>
              <w:bottom w:val="single" w:sz="4" w:space="0" w:color="auto"/>
            </w:tcBorders>
            <w:shd w:val="clear" w:color="auto" w:fill="auto"/>
          </w:tcPr>
          <w:p w14:paraId="1C99D7A5" w14:textId="655E7E37" w:rsidR="00F22D59" w:rsidRPr="005345C0" w:rsidRDefault="00F22D59" w:rsidP="00ED5E84">
            <w:pPr>
              <w:keepNext w:val="0"/>
              <w:jc w:val="left"/>
              <w:rPr>
                <w:sz w:val="22"/>
                <w:szCs w:val="22"/>
              </w:rPr>
            </w:pPr>
          </w:p>
        </w:tc>
      </w:tr>
      <w:tr w:rsidR="00F22D59" w:rsidRPr="005345C0" w14:paraId="7A822DFB" w14:textId="77777777" w:rsidTr="00F22D59">
        <w:tc>
          <w:tcPr>
            <w:tcW w:w="4730" w:type="dxa"/>
            <w:tcBorders>
              <w:top w:val="single" w:sz="4" w:space="0" w:color="auto"/>
            </w:tcBorders>
          </w:tcPr>
          <w:p w14:paraId="79A168EF" w14:textId="103D76B6" w:rsidR="00F22D59" w:rsidRPr="005345C0" w:rsidRDefault="00F22D59" w:rsidP="00ED5E84">
            <w:pPr>
              <w:keepNext w:val="0"/>
              <w:rPr>
                <w:sz w:val="22"/>
                <w:szCs w:val="22"/>
              </w:rPr>
            </w:pPr>
            <w:r w:rsidRPr="00316277">
              <w:rPr>
                <w:sz w:val="22"/>
                <w:szCs w:val="22"/>
              </w:rPr>
              <w:t>Jean</w:t>
            </w:r>
            <w:r w:rsidRPr="00316277">
              <w:rPr>
                <w:sz w:val="22"/>
                <w:szCs w:val="22"/>
              </w:rPr>
              <w:noBreakHyphen/>
              <w:t>François Noël</w:t>
            </w:r>
            <w:r w:rsidRPr="005345C0">
              <w:rPr>
                <w:sz w:val="22"/>
                <w:szCs w:val="22"/>
              </w:rPr>
              <w:t>, vice</w:t>
            </w:r>
            <w:r>
              <w:rPr>
                <w:sz w:val="22"/>
                <w:szCs w:val="22"/>
              </w:rPr>
              <w:noBreakHyphen/>
            </w:r>
            <w:r w:rsidRPr="005345C0">
              <w:rPr>
                <w:sz w:val="22"/>
                <w:szCs w:val="22"/>
              </w:rPr>
              <w:t>président</w:t>
            </w:r>
          </w:p>
        </w:tc>
        <w:tc>
          <w:tcPr>
            <w:tcW w:w="569" w:type="dxa"/>
          </w:tcPr>
          <w:p w14:paraId="40438E3D" w14:textId="77777777" w:rsidR="00F22D59" w:rsidRPr="005345C0" w:rsidRDefault="00F22D59" w:rsidP="00ED5E84">
            <w:pPr>
              <w:keepNext w:val="0"/>
              <w:rPr>
                <w:sz w:val="22"/>
                <w:szCs w:val="22"/>
              </w:rPr>
            </w:pPr>
          </w:p>
        </w:tc>
        <w:tc>
          <w:tcPr>
            <w:tcW w:w="4671" w:type="dxa"/>
            <w:tcBorders>
              <w:top w:val="single" w:sz="4" w:space="0" w:color="auto"/>
            </w:tcBorders>
            <w:shd w:val="clear" w:color="auto" w:fill="auto"/>
          </w:tcPr>
          <w:p w14:paraId="7AB485E9" w14:textId="751CDE91" w:rsidR="00F22D59" w:rsidRPr="005345C0" w:rsidRDefault="00F22D59" w:rsidP="00ED5E84">
            <w:pPr>
              <w:keepNext w:val="0"/>
              <w:jc w:val="left"/>
              <w:rPr>
                <w:sz w:val="22"/>
                <w:szCs w:val="22"/>
              </w:rPr>
            </w:pPr>
            <w:r w:rsidRPr="005345C0">
              <w:rPr>
                <w:sz w:val="22"/>
                <w:szCs w:val="22"/>
              </w:rPr>
              <w:t>Yves de Repentigny, vice</w:t>
            </w:r>
            <w:r>
              <w:rPr>
                <w:sz w:val="22"/>
                <w:szCs w:val="22"/>
              </w:rPr>
              <w:noBreakHyphen/>
            </w:r>
            <w:r w:rsidRPr="005345C0">
              <w:rPr>
                <w:sz w:val="22"/>
                <w:szCs w:val="22"/>
              </w:rPr>
              <w:t>président</w:t>
            </w:r>
          </w:p>
        </w:tc>
      </w:tr>
      <w:tr w:rsidR="006B27C9" w:rsidRPr="005345C0" w14:paraId="3B211865" w14:textId="77777777" w:rsidTr="009A7882">
        <w:tc>
          <w:tcPr>
            <w:tcW w:w="4730" w:type="dxa"/>
          </w:tcPr>
          <w:p w14:paraId="041B1235" w14:textId="77777777" w:rsidR="006B27C9" w:rsidRPr="005345C0" w:rsidRDefault="006B27C9" w:rsidP="00ED5E84">
            <w:pPr>
              <w:keepNext w:val="0"/>
              <w:rPr>
                <w:b/>
                <w:bCs/>
                <w:smallCaps/>
                <w:sz w:val="22"/>
                <w:szCs w:val="22"/>
              </w:rPr>
            </w:pPr>
          </w:p>
        </w:tc>
        <w:tc>
          <w:tcPr>
            <w:tcW w:w="569" w:type="dxa"/>
          </w:tcPr>
          <w:p w14:paraId="1D961D20" w14:textId="77777777" w:rsidR="006B27C9" w:rsidRPr="005345C0" w:rsidRDefault="006B27C9" w:rsidP="00ED5E84">
            <w:pPr>
              <w:keepNext w:val="0"/>
              <w:rPr>
                <w:b/>
                <w:bCs/>
                <w:smallCaps/>
                <w:sz w:val="22"/>
                <w:szCs w:val="22"/>
              </w:rPr>
            </w:pPr>
          </w:p>
        </w:tc>
        <w:tc>
          <w:tcPr>
            <w:tcW w:w="4671" w:type="dxa"/>
            <w:shd w:val="clear" w:color="auto" w:fill="auto"/>
          </w:tcPr>
          <w:p w14:paraId="22E80C00" w14:textId="7914DBA2" w:rsidR="006B27C9" w:rsidRPr="005345C0" w:rsidRDefault="006B27C9" w:rsidP="00ED5E84">
            <w:pPr>
              <w:keepNext w:val="0"/>
              <w:jc w:val="left"/>
              <w:rPr>
                <w:b/>
                <w:bCs/>
                <w:smallCaps/>
                <w:sz w:val="22"/>
                <w:szCs w:val="22"/>
              </w:rPr>
            </w:pPr>
          </w:p>
        </w:tc>
      </w:tr>
      <w:tr w:rsidR="009A7882" w:rsidRPr="005345C0" w14:paraId="085ED5BB" w14:textId="77777777" w:rsidTr="009A7882">
        <w:tc>
          <w:tcPr>
            <w:tcW w:w="4730" w:type="dxa"/>
          </w:tcPr>
          <w:p w14:paraId="145235A9" w14:textId="77777777" w:rsidR="009A7882" w:rsidRPr="005345C0" w:rsidRDefault="009A7882" w:rsidP="00ED5E84">
            <w:pPr>
              <w:keepNext w:val="0"/>
              <w:rPr>
                <w:b/>
                <w:bCs/>
                <w:smallCaps/>
                <w:sz w:val="22"/>
                <w:szCs w:val="22"/>
              </w:rPr>
            </w:pPr>
          </w:p>
        </w:tc>
        <w:tc>
          <w:tcPr>
            <w:tcW w:w="569" w:type="dxa"/>
          </w:tcPr>
          <w:p w14:paraId="30E16372" w14:textId="77777777" w:rsidR="009A7882" w:rsidRPr="005345C0" w:rsidRDefault="009A7882" w:rsidP="00ED5E84">
            <w:pPr>
              <w:keepNext w:val="0"/>
              <w:rPr>
                <w:b/>
                <w:bCs/>
                <w:smallCaps/>
                <w:sz w:val="22"/>
                <w:szCs w:val="22"/>
              </w:rPr>
            </w:pPr>
          </w:p>
        </w:tc>
        <w:tc>
          <w:tcPr>
            <w:tcW w:w="4671" w:type="dxa"/>
            <w:shd w:val="clear" w:color="auto" w:fill="auto"/>
          </w:tcPr>
          <w:p w14:paraId="51B0D817" w14:textId="386A6FDC" w:rsidR="009A7882" w:rsidRPr="005345C0" w:rsidRDefault="009A7882" w:rsidP="00ED5E84">
            <w:pPr>
              <w:keepNext w:val="0"/>
              <w:jc w:val="left"/>
              <w:rPr>
                <w:b/>
                <w:bCs/>
                <w:smallCaps/>
                <w:sz w:val="22"/>
                <w:szCs w:val="22"/>
              </w:rPr>
            </w:pPr>
          </w:p>
        </w:tc>
      </w:tr>
      <w:tr w:rsidR="00F22D59" w:rsidRPr="005345C0" w14:paraId="74E775DC" w14:textId="77777777" w:rsidTr="0068359D">
        <w:tc>
          <w:tcPr>
            <w:tcW w:w="4730" w:type="dxa"/>
            <w:tcBorders>
              <w:bottom w:val="single" w:sz="4" w:space="0" w:color="auto"/>
            </w:tcBorders>
          </w:tcPr>
          <w:p w14:paraId="393A2593" w14:textId="77777777" w:rsidR="00F22D59" w:rsidRPr="005345C0" w:rsidRDefault="00F22D59" w:rsidP="00F22D59">
            <w:pPr>
              <w:keepNext w:val="0"/>
              <w:rPr>
                <w:b/>
                <w:bCs/>
                <w:smallCaps/>
                <w:sz w:val="22"/>
                <w:szCs w:val="22"/>
              </w:rPr>
            </w:pPr>
          </w:p>
        </w:tc>
        <w:tc>
          <w:tcPr>
            <w:tcW w:w="569" w:type="dxa"/>
          </w:tcPr>
          <w:p w14:paraId="06C04C8D" w14:textId="77777777" w:rsidR="00F22D59" w:rsidRPr="005345C0" w:rsidRDefault="00F22D59" w:rsidP="00F22D59">
            <w:pPr>
              <w:keepNext w:val="0"/>
              <w:rPr>
                <w:b/>
                <w:bCs/>
                <w:smallCaps/>
                <w:sz w:val="22"/>
                <w:szCs w:val="22"/>
              </w:rPr>
            </w:pPr>
          </w:p>
        </w:tc>
        <w:tc>
          <w:tcPr>
            <w:tcW w:w="4671" w:type="dxa"/>
            <w:tcBorders>
              <w:bottom w:val="single" w:sz="4" w:space="0" w:color="auto"/>
            </w:tcBorders>
            <w:shd w:val="clear" w:color="auto" w:fill="auto"/>
          </w:tcPr>
          <w:p w14:paraId="1A457007" w14:textId="3E4CCFEB" w:rsidR="00F22D59" w:rsidRPr="005345C0" w:rsidRDefault="00F22D59" w:rsidP="00F22D59">
            <w:pPr>
              <w:keepNext w:val="0"/>
              <w:jc w:val="left"/>
              <w:rPr>
                <w:b/>
                <w:bCs/>
                <w:smallCaps/>
                <w:sz w:val="22"/>
                <w:szCs w:val="22"/>
              </w:rPr>
            </w:pPr>
          </w:p>
        </w:tc>
      </w:tr>
      <w:tr w:rsidR="0068359D" w:rsidRPr="005345C0" w14:paraId="2F7D446F" w14:textId="77777777" w:rsidTr="0068359D">
        <w:tc>
          <w:tcPr>
            <w:tcW w:w="4730" w:type="dxa"/>
            <w:tcBorders>
              <w:top w:val="single" w:sz="4" w:space="0" w:color="auto"/>
            </w:tcBorders>
          </w:tcPr>
          <w:p w14:paraId="6EA17766" w14:textId="018FEDF1" w:rsidR="0068359D" w:rsidRPr="005345C0" w:rsidRDefault="0068359D" w:rsidP="0068359D">
            <w:pPr>
              <w:keepNext w:val="0"/>
              <w:rPr>
                <w:b/>
                <w:bCs/>
                <w:smallCaps/>
                <w:sz w:val="22"/>
                <w:szCs w:val="22"/>
              </w:rPr>
            </w:pPr>
            <w:r w:rsidRPr="00316277">
              <w:rPr>
                <w:sz w:val="22"/>
                <w:szCs w:val="22"/>
              </w:rPr>
              <w:t>Émilie Grenon</w:t>
            </w:r>
            <w:r w:rsidRPr="005345C0">
              <w:rPr>
                <w:sz w:val="22"/>
                <w:szCs w:val="22"/>
              </w:rPr>
              <w:t>, porte</w:t>
            </w:r>
            <w:r>
              <w:rPr>
                <w:sz w:val="22"/>
                <w:szCs w:val="22"/>
              </w:rPr>
              <w:noBreakHyphen/>
            </w:r>
            <w:r w:rsidRPr="005345C0">
              <w:rPr>
                <w:sz w:val="22"/>
                <w:szCs w:val="22"/>
              </w:rPr>
              <w:t>parole</w:t>
            </w:r>
          </w:p>
        </w:tc>
        <w:tc>
          <w:tcPr>
            <w:tcW w:w="569" w:type="dxa"/>
          </w:tcPr>
          <w:p w14:paraId="436E7545" w14:textId="77777777" w:rsidR="0068359D" w:rsidRPr="005345C0" w:rsidRDefault="0068359D" w:rsidP="0068359D">
            <w:pPr>
              <w:keepNext w:val="0"/>
              <w:rPr>
                <w:b/>
                <w:bCs/>
                <w:smallCaps/>
                <w:sz w:val="22"/>
                <w:szCs w:val="22"/>
              </w:rPr>
            </w:pPr>
          </w:p>
        </w:tc>
        <w:tc>
          <w:tcPr>
            <w:tcW w:w="4671" w:type="dxa"/>
            <w:tcBorders>
              <w:top w:val="single" w:sz="4" w:space="0" w:color="auto"/>
            </w:tcBorders>
            <w:shd w:val="clear" w:color="auto" w:fill="auto"/>
          </w:tcPr>
          <w:p w14:paraId="7F95C396" w14:textId="0AD72E72" w:rsidR="0068359D" w:rsidRPr="005345C0" w:rsidRDefault="0068359D" w:rsidP="0068359D">
            <w:pPr>
              <w:keepNext w:val="0"/>
              <w:jc w:val="left"/>
              <w:rPr>
                <w:b/>
                <w:bCs/>
                <w:smallCaps/>
                <w:sz w:val="22"/>
                <w:szCs w:val="22"/>
              </w:rPr>
            </w:pPr>
            <w:r w:rsidRPr="00316277">
              <w:rPr>
                <w:sz w:val="22"/>
                <w:szCs w:val="22"/>
              </w:rPr>
              <w:t>Anna</w:t>
            </w:r>
            <w:r w:rsidRPr="00316277">
              <w:rPr>
                <w:sz w:val="22"/>
                <w:szCs w:val="22"/>
              </w:rPr>
              <w:noBreakHyphen/>
              <w:t>Belle Marcotte</w:t>
            </w:r>
            <w:r w:rsidRPr="005345C0">
              <w:rPr>
                <w:sz w:val="22"/>
                <w:szCs w:val="22"/>
              </w:rPr>
              <w:t>, porte</w:t>
            </w:r>
            <w:r>
              <w:rPr>
                <w:sz w:val="22"/>
                <w:szCs w:val="22"/>
              </w:rPr>
              <w:noBreakHyphen/>
            </w:r>
            <w:r w:rsidRPr="005345C0">
              <w:rPr>
                <w:sz w:val="22"/>
                <w:szCs w:val="22"/>
              </w:rPr>
              <w:t>parole</w:t>
            </w:r>
          </w:p>
        </w:tc>
      </w:tr>
      <w:tr w:rsidR="0068359D" w:rsidRPr="005345C0" w14:paraId="64902435" w14:textId="77777777" w:rsidTr="009A7882">
        <w:tc>
          <w:tcPr>
            <w:tcW w:w="4730" w:type="dxa"/>
          </w:tcPr>
          <w:p w14:paraId="7FB19D99" w14:textId="7ABE1FB7" w:rsidR="0068359D" w:rsidRPr="005345C0" w:rsidRDefault="0068359D" w:rsidP="0068359D">
            <w:pPr>
              <w:keepNext w:val="0"/>
              <w:rPr>
                <w:sz w:val="22"/>
                <w:szCs w:val="22"/>
              </w:rPr>
            </w:pPr>
          </w:p>
        </w:tc>
        <w:tc>
          <w:tcPr>
            <w:tcW w:w="569" w:type="dxa"/>
          </w:tcPr>
          <w:p w14:paraId="5BF7FEA7" w14:textId="77777777" w:rsidR="0068359D" w:rsidRPr="005345C0" w:rsidRDefault="0068359D" w:rsidP="0068359D">
            <w:pPr>
              <w:keepNext w:val="0"/>
              <w:rPr>
                <w:b/>
                <w:bCs/>
                <w:smallCaps/>
                <w:sz w:val="22"/>
                <w:szCs w:val="22"/>
              </w:rPr>
            </w:pPr>
          </w:p>
        </w:tc>
        <w:tc>
          <w:tcPr>
            <w:tcW w:w="4671" w:type="dxa"/>
            <w:shd w:val="clear" w:color="auto" w:fill="auto"/>
          </w:tcPr>
          <w:p w14:paraId="53F1211C" w14:textId="387D0789" w:rsidR="0068359D" w:rsidRPr="005345C0" w:rsidRDefault="0068359D" w:rsidP="0068359D">
            <w:pPr>
              <w:keepNext w:val="0"/>
              <w:jc w:val="left"/>
              <w:rPr>
                <w:bCs/>
                <w:smallCaps/>
                <w:sz w:val="22"/>
                <w:szCs w:val="22"/>
              </w:rPr>
            </w:pPr>
          </w:p>
        </w:tc>
      </w:tr>
      <w:tr w:rsidR="0068359D" w:rsidRPr="005345C0" w14:paraId="79E80E51" w14:textId="77777777" w:rsidTr="00ED5E84">
        <w:tc>
          <w:tcPr>
            <w:tcW w:w="4730" w:type="dxa"/>
          </w:tcPr>
          <w:p w14:paraId="6ABD3E28" w14:textId="77777777" w:rsidR="0068359D" w:rsidRPr="005345C0" w:rsidRDefault="0068359D" w:rsidP="0068359D">
            <w:pPr>
              <w:keepNext w:val="0"/>
              <w:rPr>
                <w:sz w:val="22"/>
                <w:szCs w:val="22"/>
              </w:rPr>
            </w:pPr>
          </w:p>
        </w:tc>
        <w:tc>
          <w:tcPr>
            <w:tcW w:w="569" w:type="dxa"/>
          </w:tcPr>
          <w:p w14:paraId="790680D6" w14:textId="77777777" w:rsidR="0068359D" w:rsidRPr="005345C0" w:rsidRDefault="0068359D" w:rsidP="0068359D">
            <w:pPr>
              <w:keepNext w:val="0"/>
              <w:rPr>
                <w:sz w:val="22"/>
                <w:szCs w:val="22"/>
              </w:rPr>
            </w:pPr>
          </w:p>
        </w:tc>
        <w:tc>
          <w:tcPr>
            <w:tcW w:w="4671" w:type="dxa"/>
            <w:shd w:val="clear" w:color="auto" w:fill="auto"/>
          </w:tcPr>
          <w:p w14:paraId="098978B3" w14:textId="77777777" w:rsidR="0068359D" w:rsidRPr="005345C0" w:rsidRDefault="0068359D" w:rsidP="0068359D">
            <w:pPr>
              <w:keepNext w:val="0"/>
              <w:rPr>
                <w:sz w:val="22"/>
                <w:szCs w:val="22"/>
              </w:rPr>
            </w:pPr>
          </w:p>
        </w:tc>
      </w:tr>
      <w:tr w:rsidR="0068359D" w:rsidRPr="005345C0" w14:paraId="2D4639D1" w14:textId="77777777" w:rsidTr="00ED5E84">
        <w:tc>
          <w:tcPr>
            <w:tcW w:w="4730" w:type="dxa"/>
            <w:tcBorders>
              <w:bottom w:val="single" w:sz="4" w:space="0" w:color="auto"/>
            </w:tcBorders>
          </w:tcPr>
          <w:p w14:paraId="495D5FD2" w14:textId="77777777" w:rsidR="0068359D" w:rsidRPr="005345C0" w:rsidRDefault="0068359D" w:rsidP="0068359D">
            <w:pPr>
              <w:keepNext w:val="0"/>
              <w:rPr>
                <w:sz w:val="22"/>
                <w:szCs w:val="22"/>
              </w:rPr>
            </w:pPr>
          </w:p>
        </w:tc>
        <w:tc>
          <w:tcPr>
            <w:tcW w:w="569" w:type="dxa"/>
          </w:tcPr>
          <w:p w14:paraId="1E31D1AF" w14:textId="77777777" w:rsidR="0068359D" w:rsidRPr="005345C0" w:rsidRDefault="0068359D" w:rsidP="0068359D">
            <w:pPr>
              <w:keepNext w:val="0"/>
              <w:rPr>
                <w:sz w:val="22"/>
                <w:szCs w:val="22"/>
              </w:rPr>
            </w:pPr>
          </w:p>
        </w:tc>
        <w:tc>
          <w:tcPr>
            <w:tcW w:w="4671" w:type="dxa"/>
            <w:tcBorders>
              <w:bottom w:val="single" w:sz="4" w:space="0" w:color="auto"/>
            </w:tcBorders>
            <w:shd w:val="clear" w:color="auto" w:fill="auto"/>
          </w:tcPr>
          <w:p w14:paraId="7845EA9B" w14:textId="77777777" w:rsidR="0068359D" w:rsidRPr="005345C0" w:rsidRDefault="0068359D" w:rsidP="0068359D">
            <w:pPr>
              <w:keepNext w:val="0"/>
              <w:rPr>
                <w:sz w:val="22"/>
                <w:szCs w:val="22"/>
              </w:rPr>
            </w:pPr>
          </w:p>
        </w:tc>
      </w:tr>
      <w:tr w:rsidR="0068359D" w:rsidRPr="005345C0" w14:paraId="07983163" w14:textId="77777777" w:rsidTr="00ED5E84">
        <w:tc>
          <w:tcPr>
            <w:tcW w:w="4730" w:type="dxa"/>
            <w:tcBorders>
              <w:top w:val="single" w:sz="4" w:space="0" w:color="auto"/>
            </w:tcBorders>
          </w:tcPr>
          <w:p w14:paraId="7A24C3FD" w14:textId="7AB4A303" w:rsidR="0068359D" w:rsidRPr="005345C0" w:rsidRDefault="0068359D" w:rsidP="0068359D">
            <w:pPr>
              <w:keepNext w:val="0"/>
              <w:rPr>
                <w:sz w:val="22"/>
                <w:szCs w:val="22"/>
              </w:rPr>
            </w:pPr>
            <w:r w:rsidRPr="005345C0">
              <w:rPr>
                <w:sz w:val="22"/>
                <w:szCs w:val="22"/>
              </w:rPr>
              <w:t>Renée Boisclair, négociatrice</w:t>
            </w:r>
          </w:p>
        </w:tc>
        <w:tc>
          <w:tcPr>
            <w:tcW w:w="569" w:type="dxa"/>
          </w:tcPr>
          <w:p w14:paraId="6F7FC289" w14:textId="77777777" w:rsidR="0068359D" w:rsidRPr="005345C0" w:rsidRDefault="0068359D" w:rsidP="0068359D">
            <w:pPr>
              <w:keepNext w:val="0"/>
              <w:rPr>
                <w:sz w:val="22"/>
                <w:szCs w:val="22"/>
              </w:rPr>
            </w:pPr>
          </w:p>
        </w:tc>
        <w:tc>
          <w:tcPr>
            <w:tcW w:w="4671" w:type="dxa"/>
            <w:tcBorders>
              <w:top w:val="single" w:sz="4" w:space="0" w:color="auto"/>
            </w:tcBorders>
            <w:shd w:val="clear" w:color="auto" w:fill="auto"/>
          </w:tcPr>
          <w:p w14:paraId="1356E4E7" w14:textId="340FD0DF" w:rsidR="0068359D" w:rsidRPr="005345C0" w:rsidRDefault="0068359D" w:rsidP="0068359D">
            <w:pPr>
              <w:keepNext w:val="0"/>
              <w:rPr>
                <w:sz w:val="22"/>
                <w:szCs w:val="22"/>
              </w:rPr>
            </w:pPr>
            <w:r w:rsidRPr="00316277">
              <w:rPr>
                <w:sz w:val="22"/>
                <w:szCs w:val="22"/>
              </w:rPr>
              <w:t>Frédéric Clermont</w:t>
            </w:r>
            <w:r w:rsidRPr="005345C0">
              <w:rPr>
                <w:sz w:val="22"/>
                <w:szCs w:val="22"/>
              </w:rPr>
              <w:t>, négocia</w:t>
            </w:r>
            <w:r w:rsidRPr="006D72B0">
              <w:rPr>
                <w:sz w:val="22"/>
                <w:szCs w:val="22"/>
              </w:rPr>
              <w:t>teur</w:t>
            </w:r>
          </w:p>
        </w:tc>
      </w:tr>
      <w:tr w:rsidR="0068359D" w:rsidRPr="005345C0" w14:paraId="063FF425" w14:textId="77777777" w:rsidTr="00ED5E84">
        <w:tc>
          <w:tcPr>
            <w:tcW w:w="4730" w:type="dxa"/>
          </w:tcPr>
          <w:p w14:paraId="74AB50AB" w14:textId="77777777" w:rsidR="0068359D" w:rsidRPr="005345C0" w:rsidRDefault="0068359D" w:rsidP="0068359D">
            <w:pPr>
              <w:keepNext w:val="0"/>
              <w:rPr>
                <w:sz w:val="22"/>
                <w:szCs w:val="22"/>
              </w:rPr>
            </w:pPr>
          </w:p>
        </w:tc>
        <w:tc>
          <w:tcPr>
            <w:tcW w:w="569" w:type="dxa"/>
          </w:tcPr>
          <w:p w14:paraId="6B42A8AE" w14:textId="77777777" w:rsidR="0068359D" w:rsidRPr="005345C0" w:rsidRDefault="0068359D" w:rsidP="0068359D">
            <w:pPr>
              <w:keepNext w:val="0"/>
              <w:rPr>
                <w:sz w:val="22"/>
                <w:szCs w:val="22"/>
              </w:rPr>
            </w:pPr>
          </w:p>
        </w:tc>
        <w:tc>
          <w:tcPr>
            <w:tcW w:w="4671" w:type="dxa"/>
            <w:shd w:val="clear" w:color="auto" w:fill="auto"/>
          </w:tcPr>
          <w:p w14:paraId="774DFF16" w14:textId="77777777" w:rsidR="0068359D" w:rsidRPr="005345C0" w:rsidRDefault="0068359D" w:rsidP="0068359D">
            <w:pPr>
              <w:keepNext w:val="0"/>
              <w:rPr>
                <w:sz w:val="22"/>
                <w:szCs w:val="22"/>
              </w:rPr>
            </w:pPr>
          </w:p>
        </w:tc>
      </w:tr>
      <w:tr w:rsidR="0068359D" w:rsidRPr="005345C0" w14:paraId="5BC78B13" w14:textId="77777777" w:rsidTr="00ED5E84">
        <w:tc>
          <w:tcPr>
            <w:tcW w:w="4730" w:type="dxa"/>
          </w:tcPr>
          <w:p w14:paraId="5E85DA60" w14:textId="77777777" w:rsidR="0068359D" w:rsidRPr="005345C0" w:rsidRDefault="0068359D" w:rsidP="0068359D">
            <w:pPr>
              <w:keepNext w:val="0"/>
              <w:rPr>
                <w:sz w:val="22"/>
                <w:szCs w:val="22"/>
              </w:rPr>
            </w:pPr>
          </w:p>
        </w:tc>
        <w:tc>
          <w:tcPr>
            <w:tcW w:w="569" w:type="dxa"/>
          </w:tcPr>
          <w:p w14:paraId="501771C9" w14:textId="77777777" w:rsidR="0068359D" w:rsidRPr="005345C0" w:rsidRDefault="0068359D" w:rsidP="0068359D">
            <w:pPr>
              <w:keepNext w:val="0"/>
              <w:rPr>
                <w:sz w:val="22"/>
                <w:szCs w:val="22"/>
              </w:rPr>
            </w:pPr>
          </w:p>
        </w:tc>
        <w:tc>
          <w:tcPr>
            <w:tcW w:w="4671" w:type="dxa"/>
            <w:shd w:val="clear" w:color="auto" w:fill="auto"/>
          </w:tcPr>
          <w:p w14:paraId="2E750EDA" w14:textId="77777777" w:rsidR="0068359D" w:rsidRPr="005345C0" w:rsidRDefault="0068359D" w:rsidP="0068359D">
            <w:pPr>
              <w:keepNext w:val="0"/>
              <w:rPr>
                <w:sz w:val="22"/>
                <w:szCs w:val="22"/>
              </w:rPr>
            </w:pPr>
          </w:p>
        </w:tc>
      </w:tr>
      <w:tr w:rsidR="0068359D" w:rsidRPr="005345C0" w14:paraId="17774E74" w14:textId="77777777" w:rsidTr="00ED5E84">
        <w:tc>
          <w:tcPr>
            <w:tcW w:w="4730" w:type="dxa"/>
            <w:tcBorders>
              <w:bottom w:val="single" w:sz="4" w:space="0" w:color="auto"/>
            </w:tcBorders>
          </w:tcPr>
          <w:p w14:paraId="112F357E" w14:textId="77777777" w:rsidR="0068359D" w:rsidRPr="005345C0" w:rsidRDefault="0068359D" w:rsidP="0068359D">
            <w:pPr>
              <w:keepNext w:val="0"/>
              <w:rPr>
                <w:sz w:val="22"/>
                <w:szCs w:val="22"/>
              </w:rPr>
            </w:pPr>
          </w:p>
        </w:tc>
        <w:tc>
          <w:tcPr>
            <w:tcW w:w="569" w:type="dxa"/>
          </w:tcPr>
          <w:p w14:paraId="5B23D13A" w14:textId="77777777" w:rsidR="0068359D" w:rsidRPr="005345C0" w:rsidRDefault="0068359D" w:rsidP="0068359D">
            <w:pPr>
              <w:keepNext w:val="0"/>
              <w:rPr>
                <w:sz w:val="22"/>
                <w:szCs w:val="22"/>
              </w:rPr>
            </w:pPr>
          </w:p>
        </w:tc>
        <w:tc>
          <w:tcPr>
            <w:tcW w:w="4671" w:type="dxa"/>
            <w:tcBorders>
              <w:bottom w:val="single" w:sz="4" w:space="0" w:color="auto"/>
            </w:tcBorders>
            <w:shd w:val="clear" w:color="auto" w:fill="auto"/>
          </w:tcPr>
          <w:p w14:paraId="081E8F97" w14:textId="77777777" w:rsidR="0068359D" w:rsidRPr="005345C0" w:rsidRDefault="0068359D" w:rsidP="0068359D">
            <w:pPr>
              <w:keepNext w:val="0"/>
              <w:rPr>
                <w:sz w:val="22"/>
                <w:szCs w:val="22"/>
              </w:rPr>
            </w:pPr>
          </w:p>
        </w:tc>
      </w:tr>
      <w:tr w:rsidR="0068359D" w:rsidRPr="005345C0" w14:paraId="4938AA26" w14:textId="77777777" w:rsidTr="00ED5E84">
        <w:tc>
          <w:tcPr>
            <w:tcW w:w="4730" w:type="dxa"/>
            <w:tcBorders>
              <w:top w:val="single" w:sz="4" w:space="0" w:color="auto"/>
            </w:tcBorders>
          </w:tcPr>
          <w:p w14:paraId="57096D44" w14:textId="33DCF8E3" w:rsidR="0068359D" w:rsidRPr="005345C0" w:rsidRDefault="0068359D" w:rsidP="0068359D">
            <w:pPr>
              <w:keepNext w:val="0"/>
              <w:rPr>
                <w:sz w:val="22"/>
                <w:szCs w:val="22"/>
              </w:rPr>
            </w:pPr>
            <w:r w:rsidRPr="005345C0">
              <w:rPr>
                <w:sz w:val="22"/>
                <w:szCs w:val="22"/>
              </w:rPr>
              <w:t>Diane Brien, négociatrice</w:t>
            </w:r>
          </w:p>
        </w:tc>
        <w:tc>
          <w:tcPr>
            <w:tcW w:w="569" w:type="dxa"/>
          </w:tcPr>
          <w:p w14:paraId="1FB19B3A" w14:textId="77777777" w:rsidR="0068359D" w:rsidRPr="005345C0" w:rsidRDefault="0068359D" w:rsidP="0068359D">
            <w:pPr>
              <w:keepNext w:val="0"/>
              <w:rPr>
                <w:sz w:val="22"/>
                <w:szCs w:val="22"/>
              </w:rPr>
            </w:pPr>
          </w:p>
        </w:tc>
        <w:tc>
          <w:tcPr>
            <w:tcW w:w="4671" w:type="dxa"/>
            <w:tcBorders>
              <w:top w:val="single" w:sz="4" w:space="0" w:color="auto"/>
            </w:tcBorders>
            <w:shd w:val="clear" w:color="auto" w:fill="auto"/>
          </w:tcPr>
          <w:p w14:paraId="7B9CCB85" w14:textId="4F228D83" w:rsidR="0068359D" w:rsidRPr="005345C0" w:rsidRDefault="0068359D" w:rsidP="0068359D">
            <w:pPr>
              <w:keepNext w:val="0"/>
              <w:rPr>
                <w:sz w:val="22"/>
                <w:szCs w:val="22"/>
              </w:rPr>
            </w:pPr>
            <w:r w:rsidRPr="005345C0">
              <w:rPr>
                <w:sz w:val="22"/>
                <w:szCs w:val="22"/>
              </w:rPr>
              <w:t>Josée Déziel, négociatrice</w:t>
            </w:r>
          </w:p>
        </w:tc>
      </w:tr>
      <w:tr w:rsidR="0068359D" w:rsidRPr="005345C0" w14:paraId="7CDD4014" w14:textId="77777777" w:rsidTr="00ED5E84">
        <w:tc>
          <w:tcPr>
            <w:tcW w:w="4730" w:type="dxa"/>
          </w:tcPr>
          <w:p w14:paraId="1DE43EF6" w14:textId="77777777" w:rsidR="0068359D" w:rsidRPr="005345C0" w:rsidRDefault="0068359D" w:rsidP="0068359D">
            <w:pPr>
              <w:keepNext w:val="0"/>
              <w:rPr>
                <w:sz w:val="22"/>
                <w:szCs w:val="22"/>
              </w:rPr>
            </w:pPr>
          </w:p>
        </w:tc>
        <w:tc>
          <w:tcPr>
            <w:tcW w:w="569" w:type="dxa"/>
          </w:tcPr>
          <w:p w14:paraId="58501DF6" w14:textId="77777777" w:rsidR="0068359D" w:rsidRPr="005345C0" w:rsidRDefault="0068359D" w:rsidP="0068359D">
            <w:pPr>
              <w:keepNext w:val="0"/>
              <w:rPr>
                <w:sz w:val="22"/>
                <w:szCs w:val="22"/>
              </w:rPr>
            </w:pPr>
          </w:p>
        </w:tc>
        <w:tc>
          <w:tcPr>
            <w:tcW w:w="4671" w:type="dxa"/>
            <w:shd w:val="clear" w:color="auto" w:fill="auto"/>
          </w:tcPr>
          <w:p w14:paraId="149A41DC" w14:textId="77777777" w:rsidR="0068359D" w:rsidRPr="005345C0" w:rsidRDefault="0068359D" w:rsidP="0068359D">
            <w:pPr>
              <w:keepNext w:val="0"/>
              <w:rPr>
                <w:sz w:val="22"/>
                <w:szCs w:val="22"/>
              </w:rPr>
            </w:pPr>
          </w:p>
        </w:tc>
      </w:tr>
      <w:tr w:rsidR="0068359D" w:rsidRPr="005345C0" w14:paraId="77667C0D" w14:textId="77777777" w:rsidTr="006F0DD0">
        <w:tc>
          <w:tcPr>
            <w:tcW w:w="4730" w:type="dxa"/>
          </w:tcPr>
          <w:p w14:paraId="4EF03115" w14:textId="77777777" w:rsidR="0068359D" w:rsidRPr="005345C0" w:rsidRDefault="0068359D" w:rsidP="0068359D">
            <w:pPr>
              <w:keepNext w:val="0"/>
              <w:rPr>
                <w:sz w:val="22"/>
                <w:szCs w:val="22"/>
              </w:rPr>
            </w:pPr>
          </w:p>
        </w:tc>
        <w:tc>
          <w:tcPr>
            <w:tcW w:w="569" w:type="dxa"/>
          </w:tcPr>
          <w:p w14:paraId="6F97C92B" w14:textId="77777777" w:rsidR="0068359D" w:rsidRPr="005345C0" w:rsidRDefault="0068359D" w:rsidP="0068359D">
            <w:pPr>
              <w:keepNext w:val="0"/>
              <w:rPr>
                <w:sz w:val="22"/>
                <w:szCs w:val="22"/>
              </w:rPr>
            </w:pPr>
          </w:p>
        </w:tc>
        <w:tc>
          <w:tcPr>
            <w:tcW w:w="4671" w:type="dxa"/>
            <w:shd w:val="clear" w:color="auto" w:fill="auto"/>
          </w:tcPr>
          <w:p w14:paraId="2D0D6EF5" w14:textId="06FB7D5C" w:rsidR="0068359D" w:rsidRPr="005345C0" w:rsidRDefault="0068359D" w:rsidP="0068359D">
            <w:pPr>
              <w:keepNext w:val="0"/>
              <w:rPr>
                <w:sz w:val="22"/>
                <w:szCs w:val="22"/>
              </w:rPr>
            </w:pPr>
          </w:p>
        </w:tc>
      </w:tr>
      <w:tr w:rsidR="0068359D" w:rsidRPr="005345C0" w14:paraId="045CFBB1" w14:textId="77777777" w:rsidTr="006F0DD0">
        <w:tc>
          <w:tcPr>
            <w:tcW w:w="4730" w:type="dxa"/>
          </w:tcPr>
          <w:p w14:paraId="31B1F0C4" w14:textId="77777777" w:rsidR="0068359D" w:rsidRPr="005345C0" w:rsidRDefault="0068359D" w:rsidP="0068359D">
            <w:pPr>
              <w:keepNext w:val="0"/>
              <w:rPr>
                <w:sz w:val="22"/>
                <w:szCs w:val="22"/>
              </w:rPr>
            </w:pPr>
          </w:p>
        </w:tc>
        <w:tc>
          <w:tcPr>
            <w:tcW w:w="569" w:type="dxa"/>
          </w:tcPr>
          <w:p w14:paraId="126E545D" w14:textId="77777777" w:rsidR="0068359D" w:rsidRPr="005345C0" w:rsidRDefault="0068359D" w:rsidP="0068359D">
            <w:pPr>
              <w:keepNext w:val="0"/>
              <w:rPr>
                <w:sz w:val="22"/>
                <w:szCs w:val="22"/>
              </w:rPr>
            </w:pPr>
          </w:p>
        </w:tc>
        <w:tc>
          <w:tcPr>
            <w:tcW w:w="4671" w:type="dxa"/>
            <w:tcBorders>
              <w:bottom w:val="single" w:sz="4" w:space="0" w:color="auto"/>
            </w:tcBorders>
            <w:shd w:val="clear" w:color="auto" w:fill="auto"/>
          </w:tcPr>
          <w:p w14:paraId="2DA7405D" w14:textId="7DF33295" w:rsidR="0068359D" w:rsidRPr="005345C0" w:rsidRDefault="0068359D" w:rsidP="0068359D">
            <w:pPr>
              <w:keepNext w:val="0"/>
              <w:rPr>
                <w:sz w:val="22"/>
                <w:szCs w:val="22"/>
              </w:rPr>
            </w:pPr>
          </w:p>
        </w:tc>
      </w:tr>
      <w:tr w:rsidR="006F0DD0" w:rsidRPr="005345C0" w14:paraId="524EEF8F" w14:textId="77777777" w:rsidTr="006F0DD0">
        <w:tc>
          <w:tcPr>
            <w:tcW w:w="4730" w:type="dxa"/>
            <w:tcBorders>
              <w:top w:val="single" w:sz="4" w:space="0" w:color="auto"/>
            </w:tcBorders>
          </w:tcPr>
          <w:p w14:paraId="7E3068D9" w14:textId="1941DB2F" w:rsidR="006F0DD0" w:rsidRPr="005345C0" w:rsidRDefault="006F0DD0" w:rsidP="006F0DD0">
            <w:pPr>
              <w:keepNext w:val="0"/>
              <w:rPr>
                <w:sz w:val="22"/>
                <w:szCs w:val="22"/>
              </w:rPr>
            </w:pPr>
            <w:r w:rsidRPr="00316277">
              <w:rPr>
                <w:sz w:val="22"/>
                <w:szCs w:val="22"/>
              </w:rPr>
              <w:t>Karine Ouellet,</w:t>
            </w:r>
            <w:r>
              <w:rPr>
                <w:sz w:val="22"/>
                <w:szCs w:val="22"/>
              </w:rPr>
              <w:t xml:space="preserve"> </w:t>
            </w:r>
            <w:r w:rsidRPr="00E90688">
              <w:rPr>
                <w:sz w:val="22"/>
                <w:szCs w:val="22"/>
              </w:rPr>
              <w:t>négociatrice</w:t>
            </w:r>
          </w:p>
        </w:tc>
        <w:tc>
          <w:tcPr>
            <w:tcW w:w="569" w:type="dxa"/>
          </w:tcPr>
          <w:p w14:paraId="22334BD6" w14:textId="77777777" w:rsidR="006F0DD0" w:rsidRPr="005345C0" w:rsidRDefault="006F0DD0" w:rsidP="006F0DD0">
            <w:pPr>
              <w:keepNext w:val="0"/>
              <w:rPr>
                <w:sz w:val="22"/>
                <w:szCs w:val="22"/>
              </w:rPr>
            </w:pPr>
          </w:p>
        </w:tc>
        <w:tc>
          <w:tcPr>
            <w:tcW w:w="4671" w:type="dxa"/>
            <w:tcBorders>
              <w:top w:val="single" w:sz="4" w:space="0" w:color="auto"/>
            </w:tcBorders>
            <w:shd w:val="clear" w:color="auto" w:fill="auto"/>
          </w:tcPr>
          <w:p w14:paraId="24F12616" w14:textId="6512B983" w:rsidR="006F0DD0" w:rsidRPr="005345C0" w:rsidRDefault="006F0DD0" w:rsidP="006F0DD0">
            <w:pPr>
              <w:keepNext w:val="0"/>
              <w:rPr>
                <w:sz w:val="22"/>
                <w:szCs w:val="22"/>
              </w:rPr>
            </w:pPr>
            <w:r w:rsidRPr="005345C0">
              <w:rPr>
                <w:sz w:val="22"/>
                <w:szCs w:val="22"/>
              </w:rPr>
              <w:t>Philip Lagogiannis, négociateur</w:t>
            </w:r>
          </w:p>
        </w:tc>
      </w:tr>
      <w:tr w:rsidR="006F0DD0" w:rsidRPr="005345C0" w14:paraId="7064CC72" w14:textId="77777777" w:rsidTr="0068359D">
        <w:tc>
          <w:tcPr>
            <w:tcW w:w="4730" w:type="dxa"/>
          </w:tcPr>
          <w:p w14:paraId="2F2FE4FC" w14:textId="77777777" w:rsidR="006F0DD0" w:rsidRPr="005345C0" w:rsidRDefault="006F0DD0" w:rsidP="006F0DD0">
            <w:pPr>
              <w:keepNext w:val="0"/>
              <w:rPr>
                <w:sz w:val="22"/>
                <w:szCs w:val="22"/>
              </w:rPr>
            </w:pPr>
          </w:p>
        </w:tc>
        <w:tc>
          <w:tcPr>
            <w:tcW w:w="569" w:type="dxa"/>
          </w:tcPr>
          <w:p w14:paraId="5B705357" w14:textId="77777777" w:rsidR="006F0DD0" w:rsidRPr="005345C0" w:rsidRDefault="006F0DD0" w:rsidP="006F0DD0">
            <w:pPr>
              <w:keepNext w:val="0"/>
              <w:rPr>
                <w:sz w:val="22"/>
                <w:szCs w:val="22"/>
              </w:rPr>
            </w:pPr>
          </w:p>
        </w:tc>
        <w:tc>
          <w:tcPr>
            <w:tcW w:w="4671" w:type="dxa"/>
            <w:shd w:val="clear" w:color="auto" w:fill="auto"/>
          </w:tcPr>
          <w:p w14:paraId="7F3A087E" w14:textId="77777777" w:rsidR="006F0DD0" w:rsidRPr="005345C0" w:rsidRDefault="006F0DD0" w:rsidP="006F0DD0">
            <w:pPr>
              <w:keepNext w:val="0"/>
              <w:rPr>
                <w:sz w:val="22"/>
                <w:szCs w:val="22"/>
              </w:rPr>
            </w:pPr>
          </w:p>
        </w:tc>
      </w:tr>
      <w:tr w:rsidR="006F0DD0" w:rsidRPr="005345C0" w14:paraId="520276B8" w14:textId="77777777" w:rsidTr="0068359D">
        <w:tc>
          <w:tcPr>
            <w:tcW w:w="4730" w:type="dxa"/>
          </w:tcPr>
          <w:p w14:paraId="36630977" w14:textId="77777777" w:rsidR="006F0DD0" w:rsidRPr="005345C0" w:rsidRDefault="006F0DD0" w:rsidP="006F0DD0">
            <w:pPr>
              <w:keepNext w:val="0"/>
              <w:rPr>
                <w:sz w:val="22"/>
                <w:szCs w:val="22"/>
              </w:rPr>
            </w:pPr>
          </w:p>
        </w:tc>
        <w:tc>
          <w:tcPr>
            <w:tcW w:w="569" w:type="dxa"/>
          </w:tcPr>
          <w:p w14:paraId="106EE7EF" w14:textId="77777777" w:rsidR="006F0DD0" w:rsidRPr="005345C0" w:rsidRDefault="006F0DD0" w:rsidP="006F0DD0">
            <w:pPr>
              <w:keepNext w:val="0"/>
              <w:rPr>
                <w:sz w:val="22"/>
                <w:szCs w:val="22"/>
              </w:rPr>
            </w:pPr>
          </w:p>
        </w:tc>
        <w:tc>
          <w:tcPr>
            <w:tcW w:w="4671" w:type="dxa"/>
            <w:shd w:val="clear" w:color="auto" w:fill="auto"/>
          </w:tcPr>
          <w:p w14:paraId="09C47D2A" w14:textId="77777777" w:rsidR="006F0DD0" w:rsidRPr="005345C0" w:rsidRDefault="006F0DD0" w:rsidP="006F0DD0">
            <w:pPr>
              <w:keepNext w:val="0"/>
              <w:rPr>
                <w:sz w:val="22"/>
                <w:szCs w:val="22"/>
              </w:rPr>
            </w:pPr>
          </w:p>
        </w:tc>
      </w:tr>
      <w:tr w:rsidR="006F0DD0" w:rsidRPr="005345C0" w14:paraId="15C169AA" w14:textId="77777777" w:rsidTr="006F0DD0">
        <w:tc>
          <w:tcPr>
            <w:tcW w:w="4730" w:type="dxa"/>
          </w:tcPr>
          <w:p w14:paraId="6827A15E" w14:textId="77777777" w:rsidR="006F0DD0" w:rsidRPr="005345C0" w:rsidRDefault="006F0DD0" w:rsidP="006F0DD0">
            <w:pPr>
              <w:keepNext w:val="0"/>
              <w:rPr>
                <w:sz w:val="22"/>
                <w:szCs w:val="22"/>
              </w:rPr>
            </w:pPr>
          </w:p>
        </w:tc>
        <w:tc>
          <w:tcPr>
            <w:tcW w:w="569" w:type="dxa"/>
          </w:tcPr>
          <w:p w14:paraId="5366730E" w14:textId="77777777" w:rsidR="006F0DD0" w:rsidRPr="005345C0" w:rsidRDefault="006F0DD0" w:rsidP="006F0DD0">
            <w:pPr>
              <w:keepNext w:val="0"/>
              <w:rPr>
                <w:sz w:val="22"/>
                <w:szCs w:val="22"/>
              </w:rPr>
            </w:pPr>
          </w:p>
        </w:tc>
        <w:tc>
          <w:tcPr>
            <w:tcW w:w="4671" w:type="dxa"/>
            <w:tcBorders>
              <w:bottom w:val="single" w:sz="4" w:space="0" w:color="auto"/>
            </w:tcBorders>
            <w:shd w:val="clear" w:color="auto" w:fill="auto"/>
          </w:tcPr>
          <w:p w14:paraId="1C58CD1C" w14:textId="77777777" w:rsidR="006F0DD0" w:rsidRPr="005345C0" w:rsidRDefault="006F0DD0" w:rsidP="006F0DD0">
            <w:pPr>
              <w:keepNext w:val="0"/>
              <w:rPr>
                <w:sz w:val="22"/>
                <w:szCs w:val="22"/>
              </w:rPr>
            </w:pPr>
          </w:p>
        </w:tc>
      </w:tr>
      <w:tr w:rsidR="006F0DD0" w:rsidRPr="005345C0" w14:paraId="7A341E8E" w14:textId="77777777" w:rsidTr="006F0DD0">
        <w:tc>
          <w:tcPr>
            <w:tcW w:w="4730" w:type="dxa"/>
          </w:tcPr>
          <w:p w14:paraId="39492B6C" w14:textId="77777777" w:rsidR="006F0DD0" w:rsidRPr="005345C0" w:rsidRDefault="006F0DD0" w:rsidP="006F0DD0">
            <w:pPr>
              <w:keepNext w:val="0"/>
              <w:rPr>
                <w:sz w:val="22"/>
                <w:szCs w:val="22"/>
              </w:rPr>
            </w:pPr>
          </w:p>
        </w:tc>
        <w:tc>
          <w:tcPr>
            <w:tcW w:w="569" w:type="dxa"/>
          </w:tcPr>
          <w:p w14:paraId="4713AC58" w14:textId="77777777" w:rsidR="006F0DD0" w:rsidRPr="005345C0" w:rsidRDefault="006F0DD0" w:rsidP="006F0DD0">
            <w:pPr>
              <w:keepNext w:val="0"/>
              <w:rPr>
                <w:sz w:val="22"/>
                <w:szCs w:val="22"/>
              </w:rPr>
            </w:pPr>
          </w:p>
        </w:tc>
        <w:tc>
          <w:tcPr>
            <w:tcW w:w="4671" w:type="dxa"/>
            <w:tcBorders>
              <w:top w:val="single" w:sz="4" w:space="0" w:color="auto"/>
            </w:tcBorders>
            <w:shd w:val="clear" w:color="auto" w:fill="auto"/>
          </w:tcPr>
          <w:p w14:paraId="58C78B34" w14:textId="284636BD" w:rsidR="006F0DD0" w:rsidRPr="005345C0" w:rsidRDefault="006F0DD0" w:rsidP="006F0DD0">
            <w:pPr>
              <w:keepNext w:val="0"/>
              <w:rPr>
                <w:sz w:val="22"/>
                <w:szCs w:val="22"/>
              </w:rPr>
            </w:pPr>
            <w:r w:rsidRPr="005345C0">
              <w:rPr>
                <w:sz w:val="22"/>
                <w:szCs w:val="22"/>
              </w:rPr>
              <w:t>Julie</w:t>
            </w:r>
            <w:r>
              <w:rPr>
                <w:sz w:val="22"/>
                <w:szCs w:val="22"/>
              </w:rPr>
              <w:t>n</w:t>
            </w:r>
            <w:r w:rsidRPr="005345C0">
              <w:rPr>
                <w:sz w:val="22"/>
                <w:szCs w:val="22"/>
              </w:rPr>
              <w:t xml:space="preserve"> Lapan, négociateur</w:t>
            </w:r>
          </w:p>
        </w:tc>
      </w:tr>
      <w:tr w:rsidR="006F0DD0" w:rsidRPr="005345C0" w14:paraId="611214CB" w14:textId="77777777" w:rsidTr="00ED5E84">
        <w:tc>
          <w:tcPr>
            <w:tcW w:w="4730" w:type="dxa"/>
          </w:tcPr>
          <w:p w14:paraId="3C853788" w14:textId="77777777" w:rsidR="006F0DD0" w:rsidRPr="005345C0" w:rsidRDefault="006F0DD0" w:rsidP="006F0DD0">
            <w:pPr>
              <w:keepNext w:val="0"/>
              <w:rPr>
                <w:sz w:val="22"/>
                <w:szCs w:val="22"/>
              </w:rPr>
            </w:pPr>
          </w:p>
        </w:tc>
        <w:tc>
          <w:tcPr>
            <w:tcW w:w="569" w:type="dxa"/>
          </w:tcPr>
          <w:p w14:paraId="5DB01F51" w14:textId="77777777" w:rsidR="006F0DD0" w:rsidRPr="005345C0" w:rsidRDefault="006F0DD0" w:rsidP="006F0DD0">
            <w:pPr>
              <w:keepNext w:val="0"/>
              <w:rPr>
                <w:sz w:val="22"/>
                <w:szCs w:val="22"/>
              </w:rPr>
            </w:pPr>
          </w:p>
        </w:tc>
        <w:tc>
          <w:tcPr>
            <w:tcW w:w="4671" w:type="dxa"/>
            <w:shd w:val="clear" w:color="auto" w:fill="auto"/>
          </w:tcPr>
          <w:p w14:paraId="48AE4822" w14:textId="77777777" w:rsidR="006F0DD0" w:rsidRPr="005345C0" w:rsidRDefault="006F0DD0" w:rsidP="006F0DD0">
            <w:pPr>
              <w:keepNext w:val="0"/>
              <w:rPr>
                <w:sz w:val="22"/>
                <w:szCs w:val="22"/>
              </w:rPr>
            </w:pPr>
          </w:p>
        </w:tc>
      </w:tr>
      <w:tr w:rsidR="006F0DD0" w:rsidRPr="005345C0" w14:paraId="01DD7F9E" w14:textId="77777777" w:rsidTr="00ED5E84">
        <w:tc>
          <w:tcPr>
            <w:tcW w:w="4730" w:type="dxa"/>
          </w:tcPr>
          <w:p w14:paraId="785C6CFE" w14:textId="77777777" w:rsidR="006F0DD0" w:rsidRPr="005345C0" w:rsidRDefault="006F0DD0" w:rsidP="006F0DD0">
            <w:pPr>
              <w:keepNext w:val="0"/>
              <w:rPr>
                <w:sz w:val="22"/>
                <w:szCs w:val="22"/>
              </w:rPr>
            </w:pPr>
          </w:p>
        </w:tc>
        <w:tc>
          <w:tcPr>
            <w:tcW w:w="569" w:type="dxa"/>
          </w:tcPr>
          <w:p w14:paraId="0CCE4A75" w14:textId="77777777" w:rsidR="006F0DD0" w:rsidRPr="005345C0" w:rsidRDefault="006F0DD0" w:rsidP="006F0DD0">
            <w:pPr>
              <w:keepNext w:val="0"/>
              <w:rPr>
                <w:sz w:val="22"/>
                <w:szCs w:val="22"/>
              </w:rPr>
            </w:pPr>
          </w:p>
        </w:tc>
        <w:tc>
          <w:tcPr>
            <w:tcW w:w="4671" w:type="dxa"/>
            <w:shd w:val="clear" w:color="auto" w:fill="auto"/>
          </w:tcPr>
          <w:p w14:paraId="610B197B" w14:textId="77777777" w:rsidR="006F0DD0" w:rsidRPr="005345C0" w:rsidRDefault="006F0DD0" w:rsidP="006F0DD0">
            <w:pPr>
              <w:keepNext w:val="0"/>
              <w:rPr>
                <w:sz w:val="22"/>
                <w:szCs w:val="22"/>
              </w:rPr>
            </w:pPr>
          </w:p>
        </w:tc>
      </w:tr>
      <w:tr w:rsidR="006F0DD0" w:rsidRPr="005345C0" w14:paraId="4208D522" w14:textId="77777777" w:rsidTr="00F22D59">
        <w:tc>
          <w:tcPr>
            <w:tcW w:w="4730" w:type="dxa"/>
          </w:tcPr>
          <w:p w14:paraId="0DB4A4CA" w14:textId="77777777" w:rsidR="006F0DD0" w:rsidRPr="005345C0" w:rsidRDefault="006F0DD0" w:rsidP="006F0DD0">
            <w:pPr>
              <w:keepNext w:val="0"/>
              <w:rPr>
                <w:sz w:val="22"/>
                <w:szCs w:val="22"/>
              </w:rPr>
            </w:pPr>
          </w:p>
        </w:tc>
        <w:tc>
          <w:tcPr>
            <w:tcW w:w="569" w:type="dxa"/>
          </w:tcPr>
          <w:p w14:paraId="66228237" w14:textId="77777777" w:rsidR="006F0DD0" w:rsidRPr="005345C0" w:rsidRDefault="006F0DD0" w:rsidP="006F0DD0">
            <w:pPr>
              <w:keepNext w:val="0"/>
              <w:rPr>
                <w:sz w:val="22"/>
                <w:szCs w:val="22"/>
              </w:rPr>
            </w:pPr>
          </w:p>
        </w:tc>
        <w:tc>
          <w:tcPr>
            <w:tcW w:w="4671" w:type="dxa"/>
            <w:tcBorders>
              <w:bottom w:val="single" w:sz="4" w:space="0" w:color="auto"/>
            </w:tcBorders>
            <w:shd w:val="clear" w:color="auto" w:fill="auto"/>
          </w:tcPr>
          <w:p w14:paraId="54EA77F5" w14:textId="77777777" w:rsidR="006F0DD0" w:rsidRPr="005345C0" w:rsidRDefault="006F0DD0" w:rsidP="006F0DD0">
            <w:pPr>
              <w:keepNext w:val="0"/>
              <w:rPr>
                <w:sz w:val="22"/>
                <w:szCs w:val="22"/>
              </w:rPr>
            </w:pPr>
          </w:p>
        </w:tc>
      </w:tr>
      <w:tr w:rsidR="006F0DD0" w:rsidRPr="00271CFF" w14:paraId="706EF3CB" w14:textId="77777777" w:rsidTr="00F22D59">
        <w:tc>
          <w:tcPr>
            <w:tcW w:w="4730" w:type="dxa"/>
          </w:tcPr>
          <w:p w14:paraId="67E55F1A" w14:textId="29E0E5CF" w:rsidR="006F0DD0" w:rsidRPr="005345C0" w:rsidRDefault="006F0DD0" w:rsidP="006F0DD0">
            <w:pPr>
              <w:keepNext w:val="0"/>
              <w:rPr>
                <w:sz w:val="22"/>
                <w:szCs w:val="22"/>
              </w:rPr>
            </w:pPr>
          </w:p>
        </w:tc>
        <w:tc>
          <w:tcPr>
            <w:tcW w:w="569" w:type="dxa"/>
          </w:tcPr>
          <w:p w14:paraId="657E5BE8" w14:textId="77777777" w:rsidR="006F0DD0" w:rsidRPr="005345C0" w:rsidRDefault="006F0DD0" w:rsidP="006F0DD0">
            <w:pPr>
              <w:keepNext w:val="0"/>
              <w:rPr>
                <w:sz w:val="22"/>
                <w:szCs w:val="22"/>
              </w:rPr>
            </w:pPr>
          </w:p>
        </w:tc>
        <w:tc>
          <w:tcPr>
            <w:tcW w:w="4671" w:type="dxa"/>
            <w:tcBorders>
              <w:top w:val="single" w:sz="4" w:space="0" w:color="auto"/>
            </w:tcBorders>
            <w:shd w:val="clear" w:color="auto" w:fill="auto"/>
          </w:tcPr>
          <w:p w14:paraId="3B98CFF6" w14:textId="1D902F71" w:rsidR="006F0DD0" w:rsidRPr="005345C0" w:rsidRDefault="006F0DD0" w:rsidP="006F0DD0">
            <w:pPr>
              <w:keepNext w:val="0"/>
              <w:rPr>
                <w:sz w:val="22"/>
                <w:szCs w:val="22"/>
              </w:rPr>
            </w:pPr>
            <w:r w:rsidRPr="00316277">
              <w:rPr>
                <w:sz w:val="22"/>
                <w:szCs w:val="22"/>
              </w:rPr>
              <w:t>Héloïse Moysan</w:t>
            </w:r>
            <w:r w:rsidRPr="00316277">
              <w:rPr>
                <w:sz w:val="22"/>
                <w:szCs w:val="22"/>
              </w:rPr>
              <w:noBreakHyphen/>
              <w:t>Lapointe</w:t>
            </w:r>
            <w:r w:rsidRPr="005345C0">
              <w:rPr>
                <w:sz w:val="22"/>
                <w:szCs w:val="22"/>
              </w:rPr>
              <w:t>, négociat</w:t>
            </w:r>
            <w:r w:rsidRPr="00316277">
              <w:rPr>
                <w:sz w:val="22"/>
                <w:szCs w:val="22"/>
              </w:rPr>
              <w:t>rice</w:t>
            </w:r>
          </w:p>
        </w:tc>
      </w:tr>
      <w:tr w:rsidR="006F0DD0" w:rsidRPr="00271CFF" w14:paraId="113839DB" w14:textId="77777777" w:rsidTr="00ED5E84">
        <w:tc>
          <w:tcPr>
            <w:tcW w:w="4730" w:type="dxa"/>
          </w:tcPr>
          <w:p w14:paraId="6B8BB45F" w14:textId="77777777" w:rsidR="006F0DD0" w:rsidRPr="005345C0" w:rsidRDefault="006F0DD0" w:rsidP="006F0DD0">
            <w:pPr>
              <w:keepNext w:val="0"/>
              <w:rPr>
                <w:sz w:val="22"/>
                <w:szCs w:val="22"/>
              </w:rPr>
            </w:pPr>
          </w:p>
        </w:tc>
        <w:tc>
          <w:tcPr>
            <w:tcW w:w="569" w:type="dxa"/>
          </w:tcPr>
          <w:p w14:paraId="699383A4" w14:textId="77777777" w:rsidR="006F0DD0" w:rsidRPr="005345C0" w:rsidRDefault="006F0DD0" w:rsidP="006F0DD0">
            <w:pPr>
              <w:keepNext w:val="0"/>
              <w:rPr>
                <w:sz w:val="22"/>
                <w:szCs w:val="22"/>
              </w:rPr>
            </w:pPr>
          </w:p>
        </w:tc>
        <w:tc>
          <w:tcPr>
            <w:tcW w:w="4671" w:type="dxa"/>
            <w:shd w:val="clear" w:color="auto" w:fill="auto"/>
          </w:tcPr>
          <w:p w14:paraId="5B2E1068" w14:textId="77777777" w:rsidR="006F0DD0" w:rsidRPr="005345C0" w:rsidRDefault="006F0DD0" w:rsidP="006F0DD0">
            <w:pPr>
              <w:keepNext w:val="0"/>
              <w:rPr>
                <w:sz w:val="22"/>
                <w:szCs w:val="22"/>
              </w:rPr>
            </w:pPr>
          </w:p>
        </w:tc>
      </w:tr>
      <w:tr w:rsidR="006F0DD0" w:rsidRPr="005345C0" w14:paraId="7DD87117" w14:textId="77777777" w:rsidTr="00ED5E84">
        <w:tc>
          <w:tcPr>
            <w:tcW w:w="4730" w:type="dxa"/>
          </w:tcPr>
          <w:p w14:paraId="35103265" w14:textId="77777777" w:rsidR="006F0DD0" w:rsidRPr="005345C0" w:rsidRDefault="006F0DD0" w:rsidP="006F0DD0">
            <w:pPr>
              <w:keepNext w:val="0"/>
              <w:rPr>
                <w:sz w:val="22"/>
                <w:szCs w:val="22"/>
              </w:rPr>
            </w:pPr>
          </w:p>
        </w:tc>
        <w:tc>
          <w:tcPr>
            <w:tcW w:w="569" w:type="dxa"/>
          </w:tcPr>
          <w:p w14:paraId="496A0A22" w14:textId="77777777" w:rsidR="006F0DD0" w:rsidRPr="005345C0" w:rsidRDefault="006F0DD0" w:rsidP="006F0DD0">
            <w:pPr>
              <w:keepNext w:val="0"/>
              <w:rPr>
                <w:sz w:val="22"/>
                <w:szCs w:val="22"/>
              </w:rPr>
            </w:pPr>
          </w:p>
        </w:tc>
        <w:tc>
          <w:tcPr>
            <w:tcW w:w="4671" w:type="dxa"/>
            <w:shd w:val="clear" w:color="auto" w:fill="auto"/>
          </w:tcPr>
          <w:p w14:paraId="04139219" w14:textId="77777777" w:rsidR="006F0DD0" w:rsidRPr="005345C0" w:rsidRDefault="006F0DD0" w:rsidP="006F0DD0">
            <w:pPr>
              <w:keepNext w:val="0"/>
              <w:rPr>
                <w:sz w:val="22"/>
                <w:szCs w:val="22"/>
              </w:rPr>
            </w:pPr>
          </w:p>
        </w:tc>
      </w:tr>
      <w:tr w:rsidR="006F0DD0" w:rsidRPr="005345C0" w14:paraId="31B81AC0" w14:textId="77777777" w:rsidTr="00F22D59">
        <w:tc>
          <w:tcPr>
            <w:tcW w:w="4730" w:type="dxa"/>
          </w:tcPr>
          <w:p w14:paraId="73777F68" w14:textId="77777777" w:rsidR="006F0DD0" w:rsidRPr="005345C0" w:rsidRDefault="006F0DD0" w:rsidP="006F0DD0">
            <w:pPr>
              <w:keepNext w:val="0"/>
              <w:rPr>
                <w:sz w:val="22"/>
                <w:szCs w:val="22"/>
              </w:rPr>
            </w:pPr>
          </w:p>
        </w:tc>
        <w:tc>
          <w:tcPr>
            <w:tcW w:w="569" w:type="dxa"/>
          </w:tcPr>
          <w:p w14:paraId="4A5FA2F4" w14:textId="77777777" w:rsidR="006F0DD0" w:rsidRPr="005345C0" w:rsidRDefault="006F0DD0" w:rsidP="006F0DD0">
            <w:pPr>
              <w:keepNext w:val="0"/>
              <w:rPr>
                <w:sz w:val="22"/>
                <w:szCs w:val="22"/>
              </w:rPr>
            </w:pPr>
          </w:p>
        </w:tc>
        <w:tc>
          <w:tcPr>
            <w:tcW w:w="4671" w:type="dxa"/>
            <w:tcBorders>
              <w:bottom w:val="single" w:sz="4" w:space="0" w:color="auto"/>
            </w:tcBorders>
            <w:shd w:val="clear" w:color="auto" w:fill="auto"/>
          </w:tcPr>
          <w:p w14:paraId="51FB5351" w14:textId="77777777" w:rsidR="006F0DD0" w:rsidRPr="005345C0" w:rsidRDefault="006F0DD0" w:rsidP="006F0DD0">
            <w:pPr>
              <w:keepNext w:val="0"/>
              <w:rPr>
                <w:sz w:val="22"/>
                <w:szCs w:val="22"/>
              </w:rPr>
            </w:pPr>
          </w:p>
        </w:tc>
      </w:tr>
      <w:tr w:rsidR="006F0DD0" w:rsidRPr="005345C0" w14:paraId="0EFC2E2C" w14:textId="77777777" w:rsidTr="00F22D59">
        <w:tc>
          <w:tcPr>
            <w:tcW w:w="4730" w:type="dxa"/>
          </w:tcPr>
          <w:p w14:paraId="7EE706CC" w14:textId="2124BBB5" w:rsidR="006F0DD0" w:rsidRPr="00E90688" w:rsidRDefault="006F0DD0" w:rsidP="006F0DD0">
            <w:pPr>
              <w:keepNext w:val="0"/>
              <w:rPr>
                <w:dstrike/>
                <w:sz w:val="22"/>
                <w:szCs w:val="22"/>
              </w:rPr>
            </w:pPr>
          </w:p>
        </w:tc>
        <w:tc>
          <w:tcPr>
            <w:tcW w:w="569" w:type="dxa"/>
          </w:tcPr>
          <w:p w14:paraId="7FFCB226" w14:textId="77777777" w:rsidR="006F0DD0" w:rsidRPr="005345C0" w:rsidRDefault="006F0DD0" w:rsidP="006F0DD0">
            <w:pPr>
              <w:keepNext w:val="0"/>
              <w:rPr>
                <w:sz w:val="22"/>
                <w:szCs w:val="22"/>
              </w:rPr>
            </w:pPr>
          </w:p>
        </w:tc>
        <w:tc>
          <w:tcPr>
            <w:tcW w:w="4671" w:type="dxa"/>
            <w:tcBorders>
              <w:top w:val="single" w:sz="4" w:space="0" w:color="auto"/>
            </w:tcBorders>
            <w:shd w:val="clear" w:color="auto" w:fill="auto"/>
          </w:tcPr>
          <w:p w14:paraId="1C4B4754" w14:textId="653600B4" w:rsidR="006F0DD0" w:rsidRPr="005345C0" w:rsidRDefault="006F0DD0" w:rsidP="006F0DD0">
            <w:pPr>
              <w:keepNext w:val="0"/>
              <w:rPr>
                <w:sz w:val="22"/>
                <w:szCs w:val="22"/>
              </w:rPr>
            </w:pPr>
            <w:r w:rsidRPr="00316277">
              <w:rPr>
                <w:sz w:val="22"/>
                <w:szCs w:val="22"/>
              </w:rPr>
              <w:t>Nathalie Munger</w:t>
            </w:r>
            <w:r w:rsidRPr="005345C0">
              <w:rPr>
                <w:sz w:val="22"/>
                <w:szCs w:val="22"/>
              </w:rPr>
              <w:t>, négociat</w:t>
            </w:r>
            <w:r w:rsidRPr="00316277">
              <w:rPr>
                <w:sz w:val="22"/>
                <w:szCs w:val="22"/>
              </w:rPr>
              <w:t>rice</w:t>
            </w:r>
          </w:p>
        </w:tc>
      </w:tr>
    </w:tbl>
    <w:p w14:paraId="240C6179" w14:textId="77777777" w:rsidR="009762C5" w:rsidRPr="005345C0" w:rsidRDefault="009762C5" w:rsidP="006D72B0">
      <w:pPr>
        <w:keepNext w:val="0"/>
        <w:tabs>
          <w:tab w:val="left" w:pos="567"/>
        </w:tabs>
        <w:rPr>
          <w:sz w:val="22"/>
          <w:szCs w:val="22"/>
        </w:rPr>
      </w:pPr>
    </w:p>
    <w:sectPr w:rsidR="009762C5" w:rsidRPr="005345C0" w:rsidSect="006D72B0">
      <w:headerReference w:type="default" r:id="rId59"/>
      <w:footerReference w:type="default" r:id="rId60"/>
      <w:footnotePr>
        <w:numRestart w:val="eachPage"/>
      </w:footnotePr>
      <w:pgSz w:w="12242" w:h="15842" w:code="1"/>
      <w:pgMar w:top="278" w:right="1077" w:bottom="851" w:left="1418" w:header="720"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C86A0" w14:textId="77777777" w:rsidR="001B4129" w:rsidRDefault="001B4129" w:rsidP="00404F34">
      <w:r>
        <w:separator/>
      </w:r>
    </w:p>
    <w:p w14:paraId="11C58185" w14:textId="77777777" w:rsidR="001B4129" w:rsidRDefault="001B4129"/>
  </w:endnote>
  <w:endnote w:type="continuationSeparator" w:id="0">
    <w:p w14:paraId="4F7D7776" w14:textId="77777777" w:rsidR="001B4129" w:rsidRDefault="001B4129" w:rsidP="00404F34">
      <w:r>
        <w:continuationSeparator/>
      </w:r>
    </w:p>
    <w:p w14:paraId="1B5CDC36" w14:textId="77777777" w:rsidR="001B4129" w:rsidRDefault="001B4129"/>
  </w:endnote>
  <w:endnote w:type="continuationNotice" w:id="1">
    <w:p w14:paraId="3723193C" w14:textId="77777777" w:rsidR="001B4129" w:rsidRDefault="001B4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Gras">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F384" w14:textId="77777777" w:rsidR="00452E69" w:rsidRDefault="00452E69">
    <w:pPr>
      <w:pStyle w:val="Header"/>
      <w:tabs>
        <w:tab w:val="right" w:pos="10260"/>
      </w:tabs>
      <w:jc w:val="both"/>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439E4" w14:textId="3ABDE174" w:rsidR="00092EA2" w:rsidRPr="006D72B0" w:rsidRDefault="00092EA2" w:rsidP="006D7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7753" w14:textId="77777777" w:rsidR="00452E69" w:rsidRPr="00C877F5" w:rsidRDefault="00452E69" w:rsidP="00C87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3DC71" w14:textId="50D8EAA5" w:rsidR="00452E69" w:rsidRDefault="00984A6F" w:rsidP="003D57C4">
    <w:pPr>
      <w:pStyle w:val="Footer"/>
      <w:jc w:val="center"/>
    </w:pPr>
    <w:r>
      <w:noBreakHyphen/>
    </w:r>
    <w:r w:rsidR="00452E69">
      <w:t xml:space="preserve"> </w:t>
    </w:r>
    <w:r w:rsidR="00452E69">
      <w:fldChar w:fldCharType="begin"/>
    </w:r>
    <w:r w:rsidR="00452E69">
      <w:instrText xml:space="preserve"> PAGE   \* MERGEFORMAT </w:instrText>
    </w:r>
    <w:r w:rsidR="00452E69">
      <w:fldChar w:fldCharType="separate"/>
    </w:r>
    <w:r w:rsidR="00773546">
      <w:rPr>
        <w:noProof/>
      </w:rPr>
      <w:t>II</w:t>
    </w:r>
    <w:r w:rsidR="00452E69">
      <w:fldChar w:fldCharType="end"/>
    </w:r>
    <w:r w:rsidR="00452E69">
      <w:t xml:space="preserve"> </w:t>
    </w:r>
    <w:r>
      <w:noBreakHyphen/>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CA758" w14:textId="2C50EBCA" w:rsidR="00271EF7" w:rsidRDefault="00271EF7" w:rsidP="008D3B34">
    <w:pPr>
      <w:pStyle w:val="Header"/>
      <w:pBdr>
        <w:top w:val="single" w:sz="4" w:space="1" w:color="auto"/>
      </w:pBdr>
      <w:tabs>
        <w:tab w:val="center" w:pos="4820"/>
        <w:tab w:val="right" w:pos="9498"/>
      </w:tabs>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3902" w14:textId="5BBB57D6" w:rsidR="003D57C4" w:rsidRDefault="003D57C4" w:rsidP="00FB244A">
    <w:pPr>
      <w:pStyle w:val="Header"/>
      <w:pBdr>
        <w:top w:val="single" w:sz="4" w:space="1" w:color="auto"/>
      </w:pBdr>
      <w:tabs>
        <w:tab w:val="center" w:pos="4820"/>
        <w:tab w:val="right" w:pos="9498"/>
      </w:tabs>
      <w:spacing w:before="400" w:after="0"/>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5B84" w14:textId="0A3FF050" w:rsidR="001811C9" w:rsidRDefault="001811C9" w:rsidP="001A0A59">
    <w:pPr>
      <w:pStyle w:val="Header"/>
      <w:pBdr>
        <w:top w:val="single" w:sz="4" w:space="1" w:color="auto"/>
      </w:pBdr>
      <w:tabs>
        <w:tab w:val="center" w:pos="6946"/>
        <w:tab w:val="right" w:pos="13325"/>
      </w:tabs>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57F6" w14:textId="6F461A17" w:rsidR="00D17949" w:rsidRDefault="00D17949" w:rsidP="001A0A59">
    <w:pPr>
      <w:pStyle w:val="Header"/>
      <w:pBdr>
        <w:top w:val="single" w:sz="4" w:space="1" w:color="auto"/>
      </w:pBdr>
      <w:tabs>
        <w:tab w:val="left" w:pos="4678"/>
        <w:tab w:val="right" w:pos="13325"/>
      </w:tabs>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8EBE" w14:textId="19AB59A8" w:rsidR="00E22008" w:rsidRDefault="00E22008" w:rsidP="00417EC4">
    <w:pPr>
      <w:pStyle w:val="Header"/>
      <w:pBdr>
        <w:top w:val="single" w:sz="4" w:space="1" w:color="auto"/>
      </w:pBdr>
      <w:tabs>
        <w:tab w:val="center" w:pos="7088"/>
        <w:tab w:val="right" w:pos="14034"/>
      </w:tabs>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1FD0B" w14:textId="66614A45" w:rsidR="00E22008" w:rsidRDefault="00E22008" w:rsidP="004E4CDE">
    <w:pPr>
      <w:pStyle w:val="Header"/>
      <w:pBdr>
        <w:top w:val="single" w:sz="4" w:space="1" w:color="auto"/>
      </w:pBdr>
      <w:tabs>
        <w:tab w:val="center" w:pos="4678"/>
        <w:tab w:val="right" w:pos="14034"/>
      </w:tabs>
      <w:jc w:val="left"/>
    </w:pPr>
    <w:r w:rsidRPr="007526F6">
      <w:rPr>
        <w:sz w:val="18"/>
        <w:szCs w:val="18"/>
      </w:rPr>
      <w:t>Personnel enseignant</w:t>
    </w:r>
    <w:r>
      <w:tab/>
    </w:r>
    <w:r w:rsidR="00984A6F">
      <w:noBreakHyphen/>
    </w:r>
    <w:r>
      <w:t xml:space="preserve"> </w:t>
    </w:r>
    <w:r w:rsidRPr="007526F6">
      <w:fldChar w:fldCharType="begin"/>
    </w:r>
    <w:r w:rsidRPr="007526F6">
      <w:instrText xml:space="preserve"> PAGE   \* MERGEFORMAT </w:instrText>
    </w:r>
    <w:r w:rsidRPr="007526F6">
      <w:fldChar w:fldCharType="separate"/>
    </w:r>
    <w:r>
      <w:t>10</w:t>
    </w:r>
    <w:r w:rsidRPr="007526F6">
      <w:fldChar w:fldCharType="end"/>
    </w:r>
    <w:r>
      <w:t xml:space="preserve"> </w:t>
    </w:r>
    <w:r w:rsidR="00984A6F">
      <w:noBreakHyphen/>
    </w:r>
    <w:r w:rsidRPr="007526F6">
      <w:tab/>
    </w:r>
    <w:r w:rsidRPr="007526F6">
      <w:rPr>
        <w:sz w:val="18"/>
        <w:szCs w:val="18"/>
      </w:rPr>
      <w:t>FNEEQ (CSN)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881A5" w14:textId="77777777" w:rsidR="001B4129" w:rsidRDefault="001B4129">
      <w:r>
        <w:separator/>
      </w:r>
    </w:p>
  </w:footnote>
  <w:footnote w:type="continuationSeparator" w:id="0">
    <w:p w14:paraId="0574A90F" w14:textId="77777777" w:rsidR="001B4129" w:rsidRDefault="001B4129" w:rsidP="00404F34">
      <w:r>
        <w:continuationSeparator/>
      </w:r>
    </w:p>
    <w:p w14:paraId="67865A3F" w14:textId="77777777" w:rsidR="001B4129" w:rsidRDefault="001B4129"/>
  </w:footnote>
  <w:footnote w:type="continuationNotice" w:id="1">
    <w:p w14:paraId="62936191" w14:textId="77777777" w:rsidR="001B4129" w:rsidRDefault="001B4129"/>
  </w:footnote>
  <w:footnote w:id="2">
    <w:p w14:paraId="6B66F0D4" w14:textId="4BF4275F" w:rsidR="00894348" w:rsidRDefault="00894348" w:rsidP="00033057">
      <w:pPr>
        <w:pStyle w:val="FootnoteText"/>
        <w:ind w:left="284" w:hanging="284"/>
      </w:pPr>
      <w:r w:rsidRPr="00894348">
        <w:rPr>
          <w:rStyle w:val="FootnoteReference"/>
        </w:rPr>
        <w:footnoteRef/>
      </w:r>
      <w:r>
        <w:tab/>
      </w:r>
      <w:r w:rsidRPr="00894348">
        <w:t>Cette clause vise uniquement le Collège Marie</w:t>
      </w:r>
      <w:r w:rsidR="00984A6F">
        <w:noBreakHyphen/>
      </w:r>
      <w:r w:rsidRPr="00894348">
        <w:t>Victorin et elle est</w:t>
      </w:r>
      <w:r w:rsidR="001359E7">
        <w:t xml:space="preserve"> inscrite à l’Annexe</w:t>
      </w:r>
      <w:r w:rsidR="00DE781B">
        <w:t> </w:t>
      </w:r>
      <w:r w:rsidR="001359E7">
        <w:t>III</w:t>
      </w:r>
      <w:r w:rsidR="00984A6F">
        <w:noBreakHyphen/>
      </w:r>
      <w:r w:rsidR="001359E7">
        <w:t xml:space="preserve">2 </w:t>
      </w:r>
      <w:r w:rsidR="00984A6F">
        <w:noBreakHyphen/>
      </w:r>
      <w:r w:rsidR="003A0E15">
        <w:t xml:space="preserve"> </w:t>
      </w:r>
      <w:r w:rsidR="001359E7">
        <w:t>A</w:t>
      </w:r>
      <w:r w:rsidRPr="00894348">
        <w:t>nnexe</w:t>
      </w:r>
      <w:r w:rsidR="003A0E15">
        <w:t xml:space="preserve"> </w:t>
      </w:r>
      <w:r w:rsidRPr="00894348">
        <w:t>relative au Collège Marie</w:t>
      </w:r>
      <w:r w:rsidR="00984A6F">
        <w:noBreakHyphen/>
      </w:r>
      <w:r w:rsidRPr="00894348">
        <w:t>Victorin.</w:t>
      </w:r>
    </w:p>
  </w:footnote>
  <w:footnote w:id="3">
    <w:p w14:paraId="3AF45F32" w14:textId="6850724A" w:rsidR="00885CC6" w:rsidRDefault="00885CC6" w:rsidP="00743E35">
      <w:pPr>
        <w:pStyle w:val="FootnoteText"/>
        <w:keepNext w:val="0"/>
        <w:ind w:left="284" w:hanging="284"/>
      </w:pPr>
      <w:r w:rsidRPr="00316277">
        <w:rPr>
          <w:rStyle w:val="FootnoteReference"/>
        </w:rPr>
        <w:footnoteRef/>
      </w:r>
      <w:r>
        <w:t xml:space="preserve"> </w:t>
      </w:r>
      <w:r w:rsidR="00743E35">
        <w:tab/>
      </w:r>
      <w:r w:rsidRPr="00316277">
        <w:rPr>
          <w:rStyle w:val="ElevSoulign"/>
          <w:rFonts w:cs="Arial"/>
          <w:b w:val="0"/>
          <w:u w:val="none"/>
        </w:rPr>
        <w:t>L’élaboration des plans cadres (ou ce qui en tient lieu) des cours multidisciplinaires constitue une fonction dévolue au(x) département(s) responsable(s) de ces cours.</w:t>
      </w:r>
    </w:p>
  </w:footnote>
  <w:footnote w:id="4">
    <w:p w14:paraId="3E2B17B0" w14:textId="41F22B9E" w:rsidR="002237A0" w:rsidRDefault="002237A0" w:rsidP="00C8003C">
      <w:pPr>
        <w:pStyle w:val="FootnoteText"/>
        <w:ind w:left="284" w:hanging="284"/>
      </w:pPr>
      <w:r>
        <w:rPr>
          <w:rStyle w:val="FootnoteReference"/>
        </w:rPr>
        <w:footnoteRef/>
      </w:r>
      <w:r>
        <w:tab/>
      </w:r>
      <w:r w:rsidR="00F00243" w:rsidRPr="00154365">
        <w:t>https//cpn.gouv.qc.ca</w:t>
      </w:r>
    </w:p>
  </w:footnote>
  <w:footnote w:id="5">
    <w:p w14:paraId="029982EA" w14:textId="6510866C" w:rsidR="0095696D" w:rsidRDefault="0095696D" w:rsidP="0095696D">
      <w:pPr>
        <w:pStyle w:val="FootnoteText"/>
        <w:ind w:left="284" w:hanging="284"/>
      </w:pPr>
      <w:r w:rsidRPr="007A29B2">
        <w:rPr>
          <w:rStyle w:val="FootnoteReference"/>
        </w:rPr>
        <w:footnoteRef/>
      </w:r>
      <w:r w:rsidRPr="007A29B2">
        <w:t xml:space="preserve"> </w:t>
      </w:r>
      <w:r w:rsidRPr="007A29B2">
        <w:tab/>
        <w:t>Lettre d’entente 2015</w:t>
      </w:r>
      <w:r w:rsidR="00984A6F">
        <w:noBreakHyphen/>
      </w:r>
      <w:r w:rsidRPr="007A29B2">
        <w:t xml:space="preserve">2020 </w:t>
      </w:r>
      <w:r w:rsidR="00984A6F">
        <w:noBreakHyphen/>
      </w:r>
      <w:r w:rsidRPr="007A29B2">
        <w:t xml:space="preserve"> numéro 13 du 15</w:t>
      </w:r>
      <w:r w:rsidR="00C04A8F">
        <w:t> </w:t>
      </w:r>
      <w:r w:rsidRPr="007A29B2">
        <w:t>décembre</w:t>
      </w:r>
      <w:r w:rsidR="00C04A8F">
        <w:t> </w:t>
      </w:r>
      <w:r w:rsidRPr="007A29B2">
        <w:t>2020, concernant la modification de certaines dispositions de la convention collective 2015</w:t>
      </w:r>
      <w:r w:rsidR="00C04A8F">
        <w:noBreakHyphen/>
      </w:r>
      <w:r w:rsidRPr="007A29B2">
        <w:t>2020 et une liste de mesures mises en place dans certains cégeps en raison du contexte de crise sanitaire.</w:t>
      </w:r>
    </w:p>
  </w:footnote>
  <w:footnote w:id="6">
    <w:p w14:paraId="030C31EC" w14:textId="7D783729" w:rsidR="00452E69" w:rsidRDefault="00452E69" w:rsidP="00FA421E">
      <w:pPr>
        <w:pStyle w:val="FootnoteText"/>
        <w:ind w:left="284" w:hanging="284"/>
        <w:rPr>
          <w:b/>
          <w:bCs/>
        </w:rPr>
      </w:pPr>
      <w:r>
        <w:rPr>
          <w:vertAlign w:val="superscript"/>
        </w:rPr>
        <w:t>(</w:t>
      </w:r>
      <w:r>
        <w:rPr>
          <w:rStyle w:val="FootnoteReference"/>
        </w:rPr>
        <w:footnoteRef/>
      </w:r>
      <w:r>
        <w:rPr>
          <w:vertAlign w:val="superscript"/>
        </w:rPr>
        <w:t>)</w:t>
      </w:r>
      <w:r>
        <w:tab/>
        <w:t xml:space="preserve">Lire </w:t>
      </w:r>
      <w:r w:rsidR="00DF3482">
        <w:t>« </w:t>
      </w:r>
      <w:r>
        <w:t>trente</w:t>
      </w:r>
      <w:r w:rsidR="00984A6F">
        <w:noBreakHyphen/>
      </w:r>
      <w:r>
        <w:t>deux (32) jours</w:t>
      </w:r>
      <w:r w:rsidR="00DF3482">
        <w:t> »</w:t>
      </w:r>
      <w:r>
        <w:t xml:space="preserve"> au lieu de </w:t>
      </w:r>
      <w:r w:rsidR="00DF3482">
        <w:t>« </w:t>
      </w:r>
      <w:r>
        <w:t>huit (8) jours</w:t>
      </w:r>
      <w:r w:rsidR="00DF3482">
        <w:t> »</w:t>
      </w:r>
      <w:r>
        <w:t xml:space="preserve"> si la période continue d’invalidité qui précède le retour au travail est supérieure à trois (3) mois.</w:t>
      </w:r>
    </w:p>
  </w:footnote>
  <w:footnote w:id="7">
    <w:p w14:paraId="05E3D958" w14:textId="77777777" w:rsidR="00452E69" w:rsidRDefault="00452E69" w:rsidP="00FA421E">
      <w:pPr>
        <w:pStyle w:val="FootnoteText"/>
        <w:ind w:left="284" w:hanging="284"/>
      </w:pPr>
      <w:r>
        <w:rPr>
          <w:rStyle w:val="FootnoteReference"/>
        </w:rPr>
        <w:footnoteRef/>
      </w:r>
      <w:r>
        <w:tab/>
        <w:t xml:space="preserve">On entend par « traitement hebdomadaire de base » le </w:t>
      </w:r>
      <w:r w:rsidRPr="00304AFC">
        <w:t>traitement habituel de l</w:t>
      </w:r>
      <w:r>
        <w:t>’</w:t>
      </w:r>
      <w:r w:rsidRPr="00304AFC">
        <w:t>enseignante ou de l</w:t>
      </w:r>
      <w:r>
        <w:t>’</w:t>
      </w:r>
      <w:r w:rsidRPr="00304AFC">
        <w:t>enseignant incluant le supplément habituel de traitement pour une (1) semaine</w:t>
      </w:r>
      <w:r>
        <w:t xml:space="preserve"> de travail régulièrement majorée, ainsi que les primes de responsabilité, à l’exclusion des autres primes, sans aucune rémunération additionnelle même pour les heures supplémentaires.</w:t>
      </w:r>
    </w:p>
  </w:footnote>
  <w:footnote w:id="8">
    <w:p w14:paraId="1115B7B3" w14:textId="77777777" w:rsidR="00452E69" w:rsidRPr="009277F1" w:rsidRDefault="00452E69" w:rsidP="00FA421E">
      <w:pPr>
        <w:pStyle w:val="FootnoteText"/>
        <w:ind w:left="284" w:hanging="284"/>
      </w:pPr>
      <w:r>
        <w:rPr>
          <w:rStyle w:val="FootnoteReference"/>
        </w:rPr>
        <w:footnoteRef/>
      </w:r>
      <w:r>
        <w:t xml:space="preserve"> </w:t>
      </w:r>
      <w:r>
        <w:tab/>
      </w:r>
      <w:r w:rsidRPr="009277F1">
        <w:t>Absence sans traitement visée par l</w:t>
      </w:r>
      <w:r>
        <w:t>’</w:t>
      </w:r>
      <w:r w:rsidRPr="009277F1">
        <w:t xml:space="preserve">article 79.1 de la </w:t>
      </w:r>
      <w:r w:rsidRPr="00BA1203">
        <w:t>Loi sur les normes du travail</w:t>
      </w:r>
      <w:r w:rsidRPr="00226EC6">
        <w:rPr>
          <w:i/>
        </w:rPr>
        <w:t>.</w:t>
      </w:r>
    </w:p>
  </w:footnote>
  <w:footnote w:id="9">
    <w:p w14:paraId="09351760" w14:textId="1522552D" w:rsidR="00452E69" w:rsidRPr="00CE5B85" w:rsidRDefault="00452E69" w:rsidP="00FA421E">
      <w:pPr>
        <w:pStyle w:val="FootnoteText"/>
        <w:keepNext w:val="0"/>
        <w:widowControl w:val="0"/>
        <w:ind w:left="284" w:hanging="284"/>
      </w:pPr>
      <w:r w:rsidRPr="00D77BED">
        <w:rPr>
          <w:rStyle w:val="FootnoteReference"/>
        </w:rPr>
        <w:footnoteRef/>
      </w:r>
      <w:r w:rsidRPr="00D77BED">
        <w:t xml:space="preserve"> </w:t>
      </w:r>
      <w:r w:rsidRPr="00D77BED">
        <w:tab/>
      </w:r>
      <w:r>
        <w:t xml:space="preserve">Congés sans traitement pour </w:t>
      </w:r>
      <w:r w:rsidRPr="005E5F09">
        <w:t xml:space="preserve">raisons </w:t>
      </w:r>
      <w:r w:rsidRPr="00226EC6">
        <w:t>familiales prévus à l’alinéa</w:t>
      </w:r>
      <w:r w:rsidRPr="00CE5B85">
        <w:t xml:space="preserve"> B) de la clause 5</w:t>
      </w:r>
      <w:r w:rsidR="00984A6F">
        <w:noBreakHyphen/>
      </w:r>
      <w:r w:rsidRPr="00CE5B85">
        <w:t>9.06.</w:t>
      </w:r>
    </w:p>
  </w:footnote>
  <w:footnote w:id="10">
    <w:p w14:paraId="54CE81CC" w14:textId="77777777" w:rsidR="00452E69" w:rsidRDefault="00452E69" w:rsidP="00FA421E">
      <w:pPr>
        <w:pStyle w:val="FootnoteText"/>
        <w:ind w:left="284" w:hanging="284"/>
      </w:pPr>
      <w:r>
        <w:rPr>
          <w:rStyle w:val="FootnoteReference"/>
        </w:rPr>
        <w:footnoteRef/>
      </w:r>
      <w:r>
        <w:t xml:space="preserve"> </w:t>
      </w:r>
      <w:r>
        <w:tab/>
      </w:r>
      <w:r w:rsidRPr="001349F4">
        <w:t>L’enseignante</w:t>
      </w:r>
      <w:r>
        <w:t xml:space="preserve"> </w:t>
      </w:r>
      <w:r w:rsidRPr="00031EAD">
        <w:rPr>
          <w:rFonts w:cs="Arial"/>
        </w:rPr>
        <w:t>absente accumule du service si son absence est autorisée, notamment pour invalidité, et comporte une prestation ou une rémunération.</w:t>
      </w:r>
    </w:p>
  </w:footnote>
  <w:footnote w:id="11">
    <w:p w14:paraId="11564EFC" w14:textId="77777777" w:rsidR="00452E69" w:rsidRDefault="00452E69" w:rsidP="00FA421E">
      <w:pPr>
        <w:pStyle w:val="FootnoteText"/>
        <w:ind w:left="284" w:hanging="284"/>
      </w:pPr>
      <w:r w:rsidRPr="00E04D8F">
        <w:rPr>
          <w:rStyle w:val="FootnoteReference"/>
        </w:rPr>
        <w:footnoteRef/>
      </w:r>
      <w:r w:rsidRPr="00E04D8F">
        <w:t xml:space="preserve"> </w:t>
      </w:r>
      <w:r w:rsidRPr="00E04D8F">
        <w:tab/>
        <w:t>Cette formule a été utilisée pour tenir compte du fait, notamment, que l’enseignante bénéficie en pareille situation d’une exonération des cotisations aux régimes de retraite, au RQAP et au RAE.</w:t>
      </w:r>
    </w:p>
  </w:footnote>
  <w:footnote w:id="12">
    <w:p w14:paraId="3720C980" w14:textId="77777777" w:rsidR="00452E69" w:rsidRDefault="00452E69" w:rsidP="00FA421E">
      <w:pPr>
        <w:pStyle w:val="FootnoteText"/>
        <w:ind w:left="284" w:hanging="284"/>
      </w:pPr>
      <w:r>
        <w:rPr>
          <w:rStyle w:val="FootnoteReference"/>
        </w:rPr>
        <w:footnoteRef/>
      </w:r>
      <w:r>
        <w:t xml:space="preserve"> </w:t>
      </w:r>
      <w:r>
        <w:tab/>
        <w:t>L’enseignante</w:t>
      </w:r>
      <w:r w:rsidRPr="00A2005D">
        <w:t xml:space="preserve"> </w:t>
      </w:r>
      <w:r>
        <w:t>absente accumule du service si son absence est autorisée, notamment pour invalidité, et comporte une prestation ou une rémunération.</w:t>
      </w:r>
    </w:p>
  </w:footnote>
  <w:footnote w:id="13">
    <w:p w14:paraId="7FDF16ED" w14:textId="77777777" w:rsidR="00452E69" w:rsidRDefault="00452E69" w:rsidP="00FA421E">
      <w:pPr>
        <w:pStyle w:val="FootnoteText"/>
        <w:ind w:left="284" w:hanging="284"/>
      </w:pPr>
      <w:r w:rsidRPr="00E04D8F">
        <w:rPr>
          <w:rStyle w:val="FootnoteReference"/>
        </w:rPr>
        <w:footnoteRef/>
      </w:r>
      <w:r w:rsidRPr="00E04D8F">
        <w:t xml:space="preserve"> </w:t>
      </w:r>
      <w:r w:rsidRPr="00E04D8F">
        <w:tab/>
        <w:t>Cette formule a été utilisée pour tenir compte du fait, notamment, que l’enseignante bénéficie en pareille situation d’une exonération des cotisations aux régimes de retraite, au RQAP et au RAE.</w:t>
      </w:r>
    </w:p>
  </w:footnote>
  <w:footnote w:id="14">
    <w:p w14:paraId="2C7F83BA" w14:textId="77777777" w:rsidR="00452E69" w:rsidRDefault="00452E69" w:rsidP="00FA421E">
      <w:pPr>
        <w:pStyle w:val="FootnoteText"/>
        <w:ind w:left="284" w:hanging="284"/>
      </w:pPr>
      <w:r w:rsidRPr="00E04D8F">
        <w:rPr>
          <w:rStyle w:val="FootnoteReference"/>
        </w:rPr>
        <w:footnoteRef/>
      </w:r>
      <w:r w:rsidRPr="00E04D8F">
        <w:t xml:space="preserve"> </w:t>
      </w:r>
      <w:r w:rsidRPr="00E04D8F">
        <w:tab/>
      </w:r>
      <w:r w:rsidRPr="00E04D8F">
        <w:rPr>
          <w:rFonts w:cs="Arial"/>
        </w:rPr>
        <w:t>L’enseignante absente accumule du service si son absence est autorisée, notamment pour invalidité, et comporte une prestation ou une rémunération.</w:t>
      </w:r>
    </w:p>
  </w:footnote>
  <w:footnote w:id="15">
    <w:p w14:paraId="32ED3357" w14:textId="77777777" w:rsidR="00452E69" w:rsidRPr="00A574FF" w:rsidRDefault="00452E69" w:rsidP="00FA421E">
      <w:pPr>
        <w:pStyle w:val="FootnoteText"/>
        <w:ind w:left="284" w:hanging="284"/>
      </w:pPr>
      <w:r>
        <w:rPr>
          <w:rStyle w:val="FootnoteReference"/>
        </w:rPr>
        <w:footnoteRef/>
      </w:r>
      <w:r>
        <w:t xml:space="preserve"> </w:t>
      </w:r>
      <w:r>
        <w:tab/>
      </w:r>
      <w:r w:rsidRPr="00A574FF">
        <w:t>Absence sans traitement visée par l</w:t>
      </w:r>
      <w:r>
        <w:t>’</w:t>
      </w:r>
      <w:r w:rsidRPr="00A574FF">
        <w:t xml:space="preserve">article 79.1 de la </w:t>
      </w:r>
      <w:r w:rsidRPr="00BA1203">
        <w:t>Loi sur les normes du travail</w:t>
      </w:r>
      <w:r w:rsidRPr="00226EC6">
        <w:rPr>
          <w:i/>
        </w:rPr>
        <w:t>.</w:t>
      </w:r>
    </w:p>
  </w:footnote>
  <w:footnote w:id="16">
    <w:p w14:paraId="50D74FFE" w14:textId="2F1FE12E" w:rsidR="00452E69" w:rsidRPr="00B679F5" w:rsidRDefault="00452E69" w:rsidP="00FA421E">
      <w:pPr>
        <w:pStyle w:val="FootnoteText"/>
        <w:ind w:left="284" w:hanging="284"/>
        <w:rPr>
          <w:b/>
        </w:rPr>
      </w:pPr>
      <w:r w:rsidRPr="00D77BED">
        <w:rPr>
          <w:rStyle w:val="FootnoteReference"/>
        </w:rPr>
        <w:footnoteRef/>
      </w:r>
      <w:r w:rsidRPr="00D77BED">
        <w:t xml:space="preserve"> </w:t>
      </w:r>
      <w:r w:rsidRPr="00D77BED">
        <w:tab/>
      </w:r>
      <w:r>
        <w:t>C</w:t>
      </w:r>
      <w:r w:rsidRPr="00D77BED">
        <w:t>ongés</w:t>
      </w:r>
      <w:r>
        <w:t xml:space="preserve"> </w:t>
      </w:r>
      <w:r w:rsidRPr="007B302C">
        <w:t>pour raisons</w:t>
      </w:r>
      <w:r>
        <w:t xml:space="preserve"> familiales </w:t>
      </w:r>
      <w:r w:rsidRPr="000435D8">
        <w:t>prévus à l</w:t>
      </w:r>
      <w:r>
        <w:t>’</w:t>
      </w:r>
      <w:r w:rsidRPr="000435D8">
        <w:t>alinéa B) de la clause</w:t>
      </w:r>
      <w:r>
        <w:t> </w:t>
      </w:r>
      <w:r w:rsidRPr="000435D8">
        <w:t>5</w:t>
      </w:r>
      <w:r w:rsidR="00984A6F">
        <w:noBreakHyphen/>
      </w:r>
      <w:r w:rsidRPr="000435D8">
        <w:t>9.06.</w:t>
      </w:r>
    </w:p>
  </w:footnote>
  <w:footnote w:id="17">
    <w:p w14:paraId="6F24B6BC" w14:textId="77777777" w:rsidR="00452E69" w:rsidRDefault="00452E69" w:rsidP="00FA421E">
      <w:pPr>
        <w:pStyle w:val="FootnoteText"/>
        <w:ind w:left="284" w:hanging="284"/>
      </w:pPr>
      <w:r w:rsidRPr="00650E1C">
        <w:rPr>
          <w:rStyle w:val="FootnoteReference"/>
        </w:rPr>
        <w:footnoteRef/>
      </w:r>
      <w:r w:rsidRPr="00650E1C">
        <w:t xml:space="preserve"> </w:t>
      </w:r>
      <w:r w:rsidRPr="00650E1C">
        <w:tab/>
        <w:t>L’enseignant absent accumule du service si son absence est autorisée, notamment pour invalidité, et comporte une prestation ou une rémunération.</w:t>
      </w:r>
    </w:p>
  </w:footnote>
  <w:footnote w:id="18">
    <w:p w14:paraId="6E8346FA" w14:textId="77777777" w:rsidR="00452E69" w:rsidRDefault="00452E69" w:rsidP="00FA421E">
      <w:pPr>
        <w:pStyle w:val="FootnoteText"/>
        <w:ind w:left="284" w:hanging="284"/>
      </w:pPr>
      <w:r w:rsidRPr="00650E1C">
        <w:rPr>
          <w:rStyle w:val="FootnoteReference"/>
        </w:rPr>
        <w:footnoteRef/>
      </w:r>
      <w:r w:rsidRPr="00650E1C">
        <w:t xml:space="preserve"> </w:t>
      </w:r>
      <w:r w:rsidRPr="00650E1C">
        <w:tab/>
        <w:t>L’enseignant absent accumule du service si son absence est autorisée, notamment pour invalidité, et comporte une prestation ou une rémunération.</w:t>
      </w:r>
    </w:p>
  </w:footnote>
  <w:footnote w:id="19">
    <w:p w14:paraId="3D46C840" w14:textId="77777777" w:rsidR="00452E69" w:rsidRPr="00EC648C" w:rsidRDefault="00452E69" w:rsidP="00FA421E">
      <w:pPr>
        <w:pStyle w:val="FootnoteText"/>
        <w:ind w:left="284" w:hanging="284"/>
      </w:pPr>
      <w:r>
        <w:rPr>
          <w:rStyle w:val="FootnoteReference"/>
        </w:rPr>
        <w:footnoteRef/>
      </w:r>
      <w:r>
        <w:t xml:space="preserve"> </w:t>
      </w:r>
      <w:r>
        <w:tab/>
      </w:r>
      <w:r w:rsidRPr="00EC648C">
        <w:t>Absence sans traitement visée par l</w:t>
      </w:r>
      <w:r>
        <w:t>’</w:t>
      </w:r>
      <w:r w:rsidRPr="00EC648C">
        <w:t xml:space="preserve">article 79.1 de la </w:t>
      </w:r>
      <w:r w:rsidRPr="00BA1203">
        <w:t>Loi sur les normes du travail</w:t>
      </w:r>
      <w:r w:rsidRPr="00226EC6">
        <w:rPr>
          <w:i/>
        </w:rPr>
        <w:t>.</w:t>
      </w:r>
    </w:p>
  </w:footnote>
  <w:footnote w:id="20">
    <w:p w14:paraId="5F7D1A96" w14:textId="45D216F9" w:rsidR="00452E69" w:rsidRPr="00FC3E79" w:rsidRDefault="00452E69" w:rsidP="00FA421E">
      <w:pPr>
        <w:pStyle w:val="FootnoteText"/>
        <w:ind w:left="284" w:hanging="284"/>
        <w:rPr>
          <w:b/>
        </w:rPr>
      </w:pPr>
      <w:r w:rsidRPr="00D77BED">
        <w:rPr>
          <w:rStyle w:val="FootnoteReference"/>
        </w:rPr>
        <w:footnoteRef/>
      </w:r>
      <w:r w:rsidRPr="00D77BED">
        <w:t xml:space="preserve"> </w:t>
      </w:r>
      <w:r w:rsidRPr="00D77BED">
        <w:tab/>
      </w:r>
      <w:r>
        <w:t>C</w:t>
      </w:r>
      <w:r w:rsidRPr="00D77BED">
        <w:t>ongés</w:t>
      </w:r>
      <w:r>
        <w:t xml:space="preserve"> </w:t>
      </w:r>
      <w:r w:rsidRPr="007B302C">
        <w:t>pour raisons</w:t>
      </w:r>
      <w:r>
        <w:t xml:space="preserve"> familiales </w:t>
      </w:r>
      <w:r w:rsidRPr="000435D8">
        <w:t>prévus à l</w:t>
      </w:r>
      <w:r>
        <w:t>’</w:t>
      </w:r>
      <w:r w:rsidRPr="000435D8">
        <w:t>alinéa B) de la clause</w:t>
      </w:r>
      <w:r>
        <w:t> </w:t>
      </w:r>
      <w:r w:rsidRPr="000435D8">
        <w:t>5</w:t>
      </w:r>
      <w:r w:rsidR="00984A6F">
        <w:noBreakHyphen/>
      </w:r>
      <w:r w:rsidRPr="000435D8">
        <w:t>9.06.</w:t>
      </w:r>
    </w:p>
  </w:footnote>
  <w:footnote w:id="21">
    <w:p w14:paraId="5D71D670" w14:textId="77777777" w:rsidR="00452E69" w:rsidRDefault="00452E69" w:rsidP="00FA421E">
      <w:pPr>
        <w:pStyle w:val="FootnoteText"/>
        <w:ind w:left="284" w:hanging="284"/>
      </w:pPr>
      <w:r w:rsidRPr="00E04D8F">
        <w:rPr>
          <w:rStyle w:val="FootnoteReference"/>
        </w:rPr>
        <w:footnoteRef/>
      </w:r>
      <w:r w:rsidRPr="00E04D8F">
        <w:t xml:space="preserve"> </w:t>
      </w:r>
      <w:r w:rsidRPr="00E04D8F">
        <w:tab/>
        <w:t>L’enseignante ou l’enseignant absent accumule du service si son absence est autorisée, notamment pour invalidité, et comporte une prestation ou une rémunération.</w:t>
      </w:r>
    </w:p>
  </w:footnote>
  <w:footnote w:id="22">
    <w:p w14:paraId="733C80BE" w14:textId="77777777" w:rsidR="00452E69" w:rsidRDefault="00452E69" w:rsidP="00FA421E">
      <w:pPr>
        <w:pStyle w:val="FootnoteText"/>
        <w:ind w:left="284" w:hanging="284"/>
      </w:pPr>
      <w:r w:rsidRPr="00E04D8F">
        <w:rPr>
          <w:rStyle w:val="FootnoteReference"/>
        </w:rPr>
        <w:footnoteRef/>
      </w:r>
      <w:r w:rsidRPr="00E04D8F">
        <w:t xml:space="preserve"> </w:t>
      </w:r>
      <w:r w:rsidRPr="00E04D8F">
        <w:tab/>
        <w:t>L’enseignante ou l’enseignant absent accumule du service si son absence est autorisée, notamment pour invalidité, et comporte une prestation ou une rémunération.</w:t>
      </w:r>
    </w:p>
  </w:footnote>
  <w:footnote w:id="23">
    <w:p w14:paraId="48D48878" w14:textId="355AE053" w:rsidR="007D63A3" w:rsidRDefault="007D63A3" w:rsidP="00FA421E">
      <w:pPr>
        <w:pStyle w:val="FootnoteText"/>
        <w:ind w:left="284" w:hanging="284"/>
      </w:pPr>
      <w:r w:rsidRPr="00900046">
        <w:rPr>
          <w:rStyle w:val="FootnoteReference"/>
        </w:rPr>
        <w:footnoteRef/>
      </w:r>
      <w:r w:rsidRPr="00900046">
        <w:t xml:space="preserve"> </w:t>
      </w:r>
      <w:r w:rsidRPr="00900046">
        <w:tab/>
        <w:t>Référence</w:t>
      </w:r>
      <w:r w:rsidR="00D8581B" w:rsidRPr="00900046">
        <w:t> :</w:t>
      </w:r>
      <w:r w:rsidRPr="00900046">
        <w:t xml:space="preserve"> article 79.6.1 de la Loi sur les normes du travail</w:t>
      </w:r>
      <w:r w:rsidR="00A94FA1">
        <w:t>.</w:t>
      </w:r>
    </w:p>
  </w:footnote>
  <w:footnote w:id="24">
    <w:p w14:paraId="37121213" w14:textId="52C18170" w:rsidR="002775F0" w:rsidRDefault="002775F0" w:rsidP="00FA421E">
      <w:pPr>
        <w:pStyle w:val="FootnoteText"/>
        <w:ind w:left="284" w:hanging="284"/>
      </w:pPr>
      <w:r w:rsidRPr="003D135F">
        <w:rPr>
          <w:rStyle w:val="FootnoteReference"/>
        </w:rPr>
        <w:footnoteRef/>
      </w:r>
      <w:r>
        <w:t xml:space="preserve"> </w:t>
      </w:r>
      <w:r w:rsidR="00052EC4">
        <w:tab/>
      </w:r>
      <w:r w:rsidR="00052EC4" w:rsidRPr="00D50191">
        <w:t>Référence</w:t>
      </w:r>
      <w:r w:rsidR="00D8581B">
        <w:t> :</w:t>
      </w:r>
      <w:r w:rsidR="00052EC4" w:rsidRPr="00D50191">
        <w:t xml:space="preserve"> article 79.7 de la</w:t>
      </w:r>
      <w:r w:rsidR="00052EC4" w:rsidRPr="00BA1203">
        <w:t xml:space="preserve"> Loi sur les normes du travail.</w:t>
      </w:r>
    </w:p>
  </w:footnote>
  <w:footnote w:id="25">
    <w:p w14:paraId="7AFD98C9" w14:textId="2FA31B90" w:rsidR="001D4E4F" w:rsidRPr="006A12D2" w:rsidRDefault="001D4E4F" w:rsidP="004F1288">
      <w:pPr>
        <w:pStyle w:val="FootnoteText"/>
        <w:ind w:left="284" w:hanging="284"/>
      </w:pPr>
      <w:r w:rsidRPr="006A12D2">
        <w:rPr>
          <w:rStyle w:val="FootnoteReference"/>
        </w:rPr>
        <w:footnoteRef/>
      </w:r>
      <w:r w:rsidRPr="006A12D2">
        <w:t xml:space="preserve"> </w:t>
      </w:r>
      <w:r w:rsidRPr="006A12D2">
        <w:tab/>
        <w:t>Référence</w:t>
      </w:r>
      <w:r w:rsidR="00D8581B" w:rsidRPr="006A12D2">
        <w:t> :</w:t>
      </w:r>
      <w:r w:rsidRPr="006A12D2">
        <w:t xml:space="preserve"> article 79.8 de la Loi sur les normes du travail.</w:t>
      </w:r>
    </w:p>
  </w:footnote>
  <w:footnote w:id="26">
    <w:p w14:paraId="7109A0DB" w14:textId="0FE6FECA" w:rsidR="001F4D28" w:rsidRDefault="001F4D28" w:rsidP="004F1288">
      <w:pPr>
        <w:pStyle w:val="FootnoteText"/>
        <w:ind w:left="284" w:hanging="284"/>
      </w:pPr>
      <w:r w:rsidRPr="006A12D2">
        <w:rPr>
          <w:rStyle w:val="FootnoteReference"/>
        </w:rPr>
        <w:footnoteRef/>
      </w:r>
      <w:r w:rsidRPr="006A12D2">
        <w:t xml:space="preserve"> </w:t>
      </w:r>
      <w:r w:rsidRPr="006A12D2">
        <w:tab/>
        <w:t>Référence</w:t>
      </w:r>
      <w:r w:rsidR="00D8581B" w:rsidRPr="006A12D2">
        <w:t> :</w:t>
      </w:r>
      <w:r w:rsidRPr="006A12D2">
        <w:t xml:space="preserve"> article 79.9 de la Loi sur les normes du travail.</w:t>
      </w:r>
    </w:p>
  </w:footnote>
  <w:footnote w:id="27">
    <w:p w14:paraId="339961ED" w14:textId="33EE321C" w:rsidR="00F1466A" w:rsidRPr="009E5008" w:rsidRDefault="00F1466A" w:rsidP="00457F85">
      <w:pPr>
        <w:pStyle w:val="FootnoteText"/>
        <w:keepNext w:val="0"/>
        <w:ind w:left="284" w:hanging="284"/>
      </w:pPr>
      <w:r w:rsidRPr="009E5008">
        <w:rPr>
          <w:rStyle w:val="FootnoteReference"/>
        </w:rPr>
        <w:footnoteRef/>
      </w:r>
      <w:r w:rsidRPr="009E5008">
        <w:t xml:space="preserve"> </w:t>
      </w:r>
      <w:r w:rsidRPr="009E5008">
        <w:tab/>
        <w:t>Référence</w:t>
      </w:r>
      <w:r w:rsidR="00D8581B" w:rsidRPr="009E5008">
        <w:t> :</w:t>
      </w:r>
      <w:r w:rsidRPr="009E5008">
        <w:t xml:space="preserve"> article 79.8.1 de la Loi sur les normes du travail</w:t>
      </w:r>
      <w:r w:rsidR="00F0423A" w:rsidRPr="00316277">
        <w:t>.</w:t>
      </w:r>
    </w:p>
  </w:footnote>
  <w:footnote w:id="28">
    <w:p w14:paraId="2F384D81" w14:textId="0EEFF49C" w:rsidR="00452E69" w:rsidRPr="009E5008" w:rsidRDefault="00452E69" w:rsidP="00457F85">
      <w:pPr>
        <w:pStyle w:val="FootnoteText"/>
        <w:keepNext w:val="0"/>
        <w:ind w:left="284" w:hanging="284"/>
        <w:rPr>
          <w:i/>
        </w:rPr>
      </w:pPr>
      <w:r w:rsidRPr="009E5008">
        <w:rPr>
          <w:rStyle w:val="FootnoteReference"/>
        </w:rPr>
        <w:footnoteRef/>
      </w:r>
      <w:r w:rsidRPr="009E5008">
        <w:tab/>
        <w:t>Référence</w:t>
      </w:r>
      <w:r w:rsidR="00D8581B" w:rsidRPr="009E5008">
        <w:t> :</w:t>
      </w:r>
      <w:r w:rsidRPr="009E5008">
        <w:t xml:space="preserve"> article 79.10 de la Loi sur les normes du travail.</w:t>
      </w:r>
    </w:p>
  </w:footnote>
  <w:footnote w:id="29">
    <w:p w14:paraId="1E020E74" w14:textId="2687CF3A" w:rsidR="00452E69" w:rsidRPr="009E5008" w:rsidRDefault="00452E69" w:rsidP="00457F85">
      <w:pPr>
        <w:pStyle w:val="FootnoteText"/>
        <w:keepNext w:val="0"/>
        <w:ind w:left="284" w:hanging="284"/>
        <w:rPr>
          <w:i/>
        </w:rPr>
      </w:pPr>
      <w:r w:rsidRPr="009E5008">
        <w:rPr>
          <w:rStyle w:val="FootnoteReference"/>
        </w:rPr>
        <w:footnoteRef/>
      </w:r>
      <w:r w:rsidRPr="009E5008">
        <w:tab/>
        <w:t>Référence</w:t>
      </w:r>
      <w:r w:rsidR="00D8581B" w:rsidRPr="009E5008">
        <w:t> :</w:t>
      </w:r>
      <w:r w:rsidRPr="009E5008">
        <w:t xml:space="preserve"> article 79.11 de la Loi sur les normes du travail.</w:t>
      </w:r>
    </w:p>
  </w:footnote>
  <w:footnote w:id="30">
    <w:p w14:paraId="4FF141A5" w14:textId="4325B3A5" w:rsidR="00452E69" w:rsidRPr="009E5008" w:rsidRDefault="00452E69" w:rsidP="00457F85">
      <w:pPr>
        <w:pStyle w:val="FootnoteText"/>
        <w:keepNext w:val="0"/>
        <w:ind w:left="284" w:hanging="284"/>
        <w:rPr>
          <w:i/>
        </w:rPr>
      </w:pPr>
      <w:r w:rsidRPr="009E5008">
        <w:rPr>
          <w:rStyle w:val="FootnoteReference"/>
        </w:rPr>
        <w:footnoteRef/>
      </w:r>
      <w:r w:rsidRPr="009E5008">
        <w:tab/>
        <w:t>Référence</w:t>
      </w:r>
      <w:r w:rsidR="00D8581B" w:rsidRPr="009E5008">
        <w:t> :</w:t>
      </w:r>
      <w:r w:rsidRPr="009E5008">
        <w:t xml:space="preserve"> article 79.12 de la Loi sur les normes du travail.</w:t>
      </w:r>
    </w:p>
  </w:footnote>
  <w:footnote w:id="31">
    <w:p w14:paraId="0834EFC2" w14:textId="6878E632" w:rsidR="00BC3387" w:rsidRDefault="00BC3387" w:rsidP="00457F85">
      <w:pPr>
        <w:pStyle w:val="FootnoteText"/>
        <w:keepNext w:val="0"/>
        <w:ind w:left="284" w:hanging="284"/>
      </w:pPr>
      <w:r w:rsidRPr="009E5008">
        <w:rPr>
          <w:rStyle w:val="FootnoteReference"/>
        </w:rPr>
        <w:footnoteRef/>
      </w:r>
      <w:r w:rsidRPr="009E5008">
        <w:t xml:space="preserve"> </w:t>
      </w:r>
      <w:r w:rsidR="00B85CEA" w:rsidRPr="009E5008">
        <w:tab/>
        <w:t>Référence</w:t>
      </w:r>
      <w:r w:rsidR="00D8581B" w:rsidRPr="009E5008">
        <w:t> :</w:t>
      </w:r>
      <w:r w:rsidR="00B85CEA" w:rsidRPr="009E5008">
        <w:t xml:space="preserve"> article 79.10.1 de la Loi sur les normes du travail.</w:t>
      </w:r>
    </w:p>
  </w:footnote>
  <w:footnote w:id="32">
    <w:p w14:paraId="27C093D6" w14:textId="78559285" w:rsidR="00F0423A" w:rsidRDefault="00F0423A" w:rsidP="00F0423A">
      <w:pPr>
        <w:pStyle w:val="FootnoteText"/>
        <w:ind w:left="284" w:hanging="284"/>
      </w:pPr>
      <w:r w:rsidRPr="00316277">
        <w:rPr>
          <w:rStyle w:val="FootnoteReference"/>
        </w:rPr>
        <w:footnoteRef/>
      </w:r>
      <w:r w:rsidRPr="00316277">
        <w:t xml:space="preserve"> </w:t>
      </w:r>
      <w:r w:rsidRPr="00316277">
        <w:tab/>
      </w:r>
      <w:r w:rsidR="00A8363D" w:rsidRPr="00316277">
        <w:t>Référence : article 79.1 de la Loi sur les normes du travail.</w:t>
      </w:r>
    </w:p>
  </w:footnote>
  <w:footnote w:id="33">
    <w:p w14:paraId="7570380C" w14:textId="479E9C2C" w:rsidR="00452E69" w:rsidRDefault="00452E69" w:rsidP="00FA421E">
      <w:pPr>
        <w:pStyle w:val="FootnoteText"/>
        <w:ind w:left="284" w:hanging="284"/>
      </w:pPr>
      <w:r>
        <w:rPr>
          <w:rStyle w:val="FootnoteReference"/>
        </w:rPr>
        <w:footnoteRef/>
      </w:r>
      <w:r>
        <w:tab/>
        <w:t>Ordres d’enseignement</w:t>
      </w:r>
      <w:r w:rsidR="00D8581B">
        <w:t> :</w:t>
      </w:r>
      <w:r>
        <w:t xml:space="preserve"> préscolaire, primaire et secondaire, post</w:t>
      </w:r>
      <w:r w:rsidR="00984A6F">
        <w:noBreakHyphen/>
      </w:r>
      <w:r>
        <w:t>secondaire ou collégial, universitaire.</w:t>
      </w:r>
    </w:p>
  </w:footnote>
  <w:footnote w:id="34">
    <w:p w14:paraId="37FC4EA6" w14:textId="4377DBF4" w:rsidR="00192BD7" w:rsidRDefault="00192BD7" w:rsidP="00B7583E">
      <w:pPr>
        <w:pStyle w:val="FootnoteText"/>
        <w:ind w:left="284" w:hanging="284"/>
      </w:pPr>
      <w:r w:rsidRPr="00B44130">
        <w:rPr>
          <w:rStyle w:val="FootnoteReference"/>
        </w:rPr>
        <w:footnoteRef/>
      </w:r>
      <w:r w:rsidR="00B7583E" w:rsidRPr="00B44130">
        <w:tab/>
        <w:t>Lettre d’entente 2015</w:t>
      </w:r>
      <w:r w:rsidR="00984A6F">
        <w:noBreakHyphen/>
      </w:r>
      <w:r w:rsidR="00B7583E" w:rsidRPr="00B44130">
        <w:t xml:space="preserve">2020 </w:t>
      </w:r>
      <w:r w:rsidR="00984A6F">
        <w:noBreakHyphen/>
      </w:r>
      <w:r w:rsidR="00B7583E" w:rsidRPr="00B44130">
        <w:t xml:space="preserve"> numéro 13 du 15 décembre 2020, concernant la modification de certaines dispositions de la convention collective 2015</w:t>
      </w:r>
      <w:r w:rsidR="00984A6F">
        <w:noBreakHyphen/>
      </w:r>
      <w:r w:rsidR="00B7583E" w:rsidRPr="00B44130">
        <w:t>2020 et une liste de mesures mises en place dans certains cégeps en raison du contexte de crise sanitaire.</w:t>
      </w:r>
    </w:p>
  </w:footnote>
  <w:footnote w:id="35">
    <w:p w14:paraId="643B28C3" w14:textId="7ED65915" w:rsidR="007A7406" w:rsidRPr="001D7A39" w:rsidRDefault="007A7406" w:rsidP="007A7406">
      <w:pPr>
        <w:pStyle w:val="FootnoteText"/>
        <w:ind w:left="284" w:hanging="284"/>
      </w:pPr>
      <w:r w:rsidRPr="001D7A39">
        <w:rPr>
          <w:rStyle w:val="FootnoteReference"/>
        </w:rPr>
        <w:footnoteRef/>
      </w:r>
      <w:r w:rsidRPr="001D7A39">
        <w:t xml:space="preserve"> </w:t>
      </w:r>
      <w:r w:rsidRPr="001D7A39">
        <w:tab/>
        <w:t>Toutefois, la clause</w:t>
      </w:r>
      <w:r w:rsidR="004808AE" w:rsidRPr="004808AE">
        <w:t> </w:t>
      </w:r>
      <w:r w:rsidR="00EE596B" w:rsidRPr="00316277">
        <w:t>6-4.11</w:t>
      </w:r>
      <w:r w:rsidRPr="001D7A39">
        <w:t xml:space="preserve"> pour l’enseignante ou l’enseignant hors échelle s’applique.</w:t>
      </w:r>
    </w:p>
  </w:footnote>
  <w:footnote w:id="36">
    <w:p w14:paraId="20006D3C" w14:textId="3CE0C96A" w:rsidR="002E109A" w:rsidRPr="00316277" w:rsidRDefault="002E109A" w:rsidP="00EE596B">
      <w:pPr>
        <w:pStyle w:val="FootnoteText"/>
        <w:ind w:left="284" w:hanging="284"/>
      </w:pPr>
      <w:r w:rsidRPr="00316277">
        <w:rPr>
          <w:rStyle w:val="FootnoteReference"/>
        </w:rPr>
        <w:footnoteRef/>
      </w:r>
      <w:r w:rsidR="00EE596B" w:rsidRPr="00316277">
        <w:t xml:space="preserve"> </w:t>
      </w:r>
      <w:r w:rsidR="00EE596B" w:rsidRPr="00316277">
        <w:tab/>
      </w:r>
      <w:r w:rsidRPr="00316277">
        <w:rPr>
          <w:rFonts w:cs="Arial"/>
        </w:rPr>
        <w:t>Exceptionnellement, la clause</w:t>
      </w:r>
      <w:r w:rsidR="004808AE" w:rsidRPr="00316277">
        <w:rPr>
          <w:rFonts w:cs="Arial"/>
        </w:rPr>
        <w:t> </w:t>
      </w:r>
      <w:r w:rsidRPr="00316277">
        <w:rPr>
          <w:rFonts w:cs="Arial"/>
        </w:rPr>
        <w:t>6-4.11 pour l’enseignante ou l’enseignant hors échelle s’applique. Advenant l’ajustement salarial en fonction de la clause d’ajustement, l’application de la clause hors échelle se fait plutôt au 31 mars de la période en cause par rapport au 30 mars précédent pour tenir compte de tel ajustement.</w:t>
      </w:r>
    </w:p>
  </w:footnote>
  <w:footnote w:id="37">
    <w:p w14:paraId="565F6FEF" w14:textId="72114EDB" w:rsidR="00EE596B" w:rsidRDefault="00EE596B" w:rsidP="00EE596B">
      <w:pPr>
        <w:pStyle w:val="FootnoteText"/>
        <w:ind w:left="284" w:hanging="284"/>
      </w:pPr>
      <w:r>
        <w:rPr>
          <w:rStyle w:val="FootnoteReference"/>
        </w:rPr>
        <w:footnoteRef/>
      </w:r>
      <w:r>
        <w:t xml:space="preserve"> </w:t>
      </w:r>
      <w:r w:rsidRPr="00316277">
        <w:tab/>
      </w:r>
      <w:r w:rsidRPr="00316277">
        <w:rPr>
          <w:rFonts w:cs="Arial"/>
        </w:rPr>
        <w:t>Exceptionnellement, la clause</w:t>
      </w:r>
      <w:r w:rsidR="004808AE" w:rsidRPr="00316277">
        <w:rPr>
          <w:rFonts w:cs="Arial"/>
        </w:rPr>
        <w:t> </w:t>
      </w:r>
      <w:r w:rsidRPr="00316277">
        <w:rPr>
          <w:rFonts w:cs="Arial"/>
        </w:rPr>
        <w:t>6-4.11 pour l’enseignante ou l’enseignant hors échelle s’applique. Advenant l’ajustement salarial en fonction de la clause d’ajustement, l’application de la clause hors échelle se fait plutôt au 31</w:t>
      </w:r>
      <w:r w:rsidR="004808AE" w:rsidRPr="00316277">
        <w:rPr>
          <w:rFonts w:cs="Arial"/>
        </w:rPr>
        <w:t> </w:t>
      </w:r>
      <w:r w:rsidRPr="00316277">
        <w:rPr>
          <w:rFonts w:cs="Arial"/>
        </w:rPr>
        <w:t>mars de la période en cause par rapport au 30</w:t>
      </w:r>
      <w:r w:rsidR="004808AE" w:rsidRPr="00316277">
        <w:rPr>
          <w:rFonts w:cs="Arial"/>
        </w:rPr>
        <w:t> </w:t>
      </w:r>
      <w:r w:rsidRPr="00316277">
        <w:rPr>
          <w:rFonts w:cs="Arial"/>
        </w:rPr>
        <w:t>mars précédent pour tenir compte de tel ajustement.</w:t>
      </w:r>
    </w:p>
  </w:footnote>
  <w:footnote w:id="38">
    <w:p w14:paraId="0C8CD982" w14:textId="082F40CE" w:rsidR="00953234" w:rsidRDefault="00953234" w:rsidP="00953234">
      <w:pPr>
        <w:pStyle w:val="FootnoteText"/>
        <w:ind w:left="284" w:hanging="284"/>
      </w:pPr>
      <w:r w:rsidRPr="0037171A">
        <w:rPr>
          <w:rStyle w:val="FootnoteReference"/>
        </w:rPr>
        <w:footnoteRef/>
      </w:r>
      <w:r w:rsidRPr="0037171A">
        <w:t xml:space="preserve"> </w:t>
      </w:r>
      <w:r w:rsidRPr="0037171A">
        <w:tab/>
        <w:t>Référence</w:t>
      </w:r>
      <w:r w:rsidR="00D8581B" w:rsidRPr="0037171A">
        <w:t> :</w:t>
      </w:r>
      <w:r w:rsidRPr="0037171A">
        <w:t xml:space="preserve"> article 79.6.1 de la Loi sur les normes du travail</w:t>
      </w:r>
      <w:r w:rsidR="0037171A">
        <w:t>.</w:t>
      </w:r>
    </w:p>
  </w:footnote>
  <w:footnote w:id="39">
    <w:p w14:paraId="01A249EF" w14:textId="5FC0CD0A" w:rsidR="00E948C4" w:rsidRDefault="00E948C4" w:rsidP="00E948C4">
      <w:pPr>
        <w:pStyle w:val="FootnoteText"/>
        <w:ind w:left="284" w:hanging="284"/>
      </w:pPr>
      <w:r w:rsidRPr="00316277">
        <w:rPr>
          <w:rStyle w:val="FootnoteReference"/>
        </w:rPr>
        <w:footnoteRef/>
      </w:r>
      <w:r>
        <w:t xml:space="preserve"> </w:t>
      </w:r>
      <w:r>
        <w:tab/>
      </w:r>
      <w:r w:rsidRPr="00316277">
        <w:rPr>
          <w:rFonts w:cstheme="minorHAnsi"/>
        </w:rPr>
        <w:t>La mise à jour des connaissances est implicite aux activités requises à la charge d’enseignement (tel que reconnu dans l’étude du comité paritaire « Enseigner au Collégial Portrait de la profession » - mars</w:t>
      </w:r>
      <w:r w:rsidR="00A02F0D" w:rsidRPr="00316277">
        <w:rPr>
          <w:rFonts w:cstheme="minorHAnsi"/>
        </w:rPr>
        <w:t> </w:t>
      </w:r>
      <w:r w:rsidRPr="00316277">
        <w:rPr>
          <w:rFonts w:cstheme="minorHAnsi"/>
        </w:rPr>
        <w:t>2008).</w:t>
      </w:r>
    </w:p>
  </w:footnote>
  <w:footnote w:id="40">
    <w:p w14:paraId="0C80FFCC" w14:textId="77F8A268" w:rsidR="004C296A" w:rsidRDefault="004C296A" w:rsidP="004C296A">
      <w:pPr>
        <w:pStyle w:val="FootnoteText"/>
        <w:ind w:left="284" w:hanging="284"/>
      </w:pPr>
      <w:r>
        <w:rPr>
          <w:rStyle w:val="FootnoteReference"/>
        </w:rPr>
        <w:footnoteRef/>
      </w:r>
      <w:r>
        <w:tab/>
      </w:r>
      <w:r w:rsidRPr="00316277">
        <w:t xml:space="preserve">Pour l’année d’engagement 2023-2024, le Collège </w:t>
      </w:r>
      <w:r w:rsidR="009F1A8D">
        <w:t>est assuré</w:t>
      </w:r>
      <w:r w:rsidRPr="00316277">
        <w:t xml:space="preserve"> d</w:t>
      </w:r>
      <w:r w:rsidR="004A4268">
        <w:t>’un minimum d</w:t>
      </w:r>
      <w:r w:rsidRPr="00316277">
        <w:t>e six (6) ETC.</w:t>
      </w:r>
    </w:p>
  </w:footnote>
  <w:footnote w:id="41">
    <w:p w14:paraId="2DAB3157" w14:textId="77777777" w:rsidR="00452E69" w:rsidRDefault="00452E69" w:rsidP="00780489">
      <w:pPr>
        <w:pStyle w:val="FootnoteText"/>
        <w:ind w:left="284" w:hanging="284"/>
      </w:pPr>
      <w:r>
        <w:rPr>
          <w:rStyle w:val="FootnoteReference"/>
        </w:rPr>
        <w:footnoteRef/>
      </w:r>
      <w:r>
        <w:tab/>
        <w:t>Advenant la création de nouveaux Collèges ou de nouvelles unités d’enseignement, les parties nationales se rencontrent pour analyser la situation.</w:t>
      </w:r>
    </w:p>
  </w:footnote>
  <w:footnote w:id="42">
    <w:p w14:paraId="05B48711" w14:textId="1BC1B21E" w:rsidR="00703CB6" w:rsidRPr="00837498" w:rsidRDefault="00703CB6" w:rsidP="00396D13">
      <w:pPr>
        <w:pStyle w:val="FootnoteText"/>
        <w:ind w:left="284" w:hanging="284"/>
        <w:rPr>
          <w:rFonts w:cs="Arial"/>
        </w:rPr>
      </w:pPr>
      <w:r w:rsidRPr="007B2E03">
        <w:rPr>
          <w:rStyle w:val="FootnoteReference"/>
          <w:rFonts w:cs="Arial"/>
        </w:rPr>
        <w:footnoteRef/>
      </w:r>
      <w:r w:rsidRPr="007B2E03">
        <w:rPr>
          <w:rFonts w:cs="Arial"/>
        </w:rPr>
        <w:t xml:space="preserve"> </w:t>
      </w:r>
      <w:r w:rsidR="00396D13" w:rsidRPr="007B2E03">
        <w:rPr>
          <w:rFonts w:cs="Arial"/>
        </w:rPr>
        <w:tab/>
      </w:r>
      <w:r w:rsidR="001A463F" w:rsidRPr="007B2E03">
        <w:rPr>
          <w:rFonts w:cs="Arial"/>
        </w:rPr>
        <w:t>L</w:t>
      </w:r>
      <w:r w:rsidR="001A463F" w:rsidRPr="007B2E03">
        <w:rPr>
          <w:rFonts w:cs="Arial"/>
          <w:lang w:eastAsia="fr-CA"/>
        </w:rPr>
        <w:t>e nombre d’enseignantes et d’enseignants réguliers à temps complet ou l’équivalent prévu à la colonne G de l’</w:t>
      </w:r>
      <w:r w:rsidR="00C766F1" w:rsidRPr="007B2E03">
        <w:rPr>
          <w:rFonts w:cs="Arial"/>
          <w:lang w:eastAsia="fr-CA"/>
        </w:rPr>
        <w:t>A</w:t>
      </w:r>
      <w:r w:rsidR="001A463F" w:rsidRPr="007B2E03">
        <w:rPr>
          <w:rFonts w:cs="Arial"/>
          <w:lang w:eastAsia="fr-CA"/>
        </w:rPr>
        <w:t>nnexe</w:t>
      </w:r>
      <w:r w:rsidR="00C766F1" w:rsidRPr="007B2E03">
        <w:rPr>
          <w:rFonts w:cs="Arial"/>
          <w:lang w:eastAsia="fr-CA"/>
        </w:rPr>
        <w:t> </w:t>
      </w:r>
      <w:r w:rsidR="001A463F" w:rsidRPr="007B2E03">
        <w:rPr>
          <w:rFonts w:cs="Arial"/>
          <w:lang w:eastAsia="fr-CA"/>
        </w:rPr>
        <w:t>I</w:t>
      </w:r>
      <w:r w:rsidR="00984A6F">
        <w:rPr>
          <w:rFonts w:cs="Arial"/>
          <w:lang w:eastAsia="fr-CA"/>
        </w:rPr>
        <w:noBreakHyphen/>
      </w:r>
      <w:r w:rsidR="001A463F" w:rsidRPr="007B2E03">
        <w:rPr>
          <w:rFonts w:cs="Arial"/>
          <w:lang w:eastAsia="fr-CA"/>
        </w:rPr>
        <w:t>2 est alloué aux fins de la coordination de stages pour les techniques de la santé</w:t>
      </w:r>
      <w:r w:rsidR="00D8581B" w:rsidRPr="007B2E03">
        <w:rPr>
          <w:rFonts w:cs="Arial"/>
          <w:lang w:eastAsia="fr-CA"/>
        </w:rPr>
        <w:t> :</w:t>
      </w:r>
      <w:r w:rsidR="000A0016" w:rsidRPr="007B2E03">
        <w:rPr>
          <w:rFonts w:cs="Arial"/>
          <w:lang w:eastAsia="fr-CA"/>
        </w:rPr>
        <w:t xml:space="preserve"> </w:t>
      </w:r>
      <w:r w:rsidR="00E40D03">
        <w:rPr>
          <w:rFonts w:cs="Arial"/>
          <w:lang w:eastAsia="fr-CA"/>
        </w:rPr>
        <w:t>T</w:t>
      </w:r>
      <w:r w:rsidR="009A286C" w:rsidRPr="007B2E03">
        <w:rPr>
          <w:rFonts w:cs="Arial"/>
          <w:lang w:eastAsia="fr-CA"/>
        </w:rPr>
        <w:t xml:space="preserve">echniques d’hygiène dentaire (111.A0), </w:t>
      </w:r>
      <w:r w:rsidR="00E40D03">
        <w:rPr>
          <w:rFonts w:cs="Arial"/>
          <w:lang w:eastAsia="fr-CA"/>
        </w:rPr>
        <w:t>T</w:t>
      </w:r>
      <w:r w:rsidR="00B44BAA" w:rsidRPr="007B2E03">
        <w:rPr>
          <w:rFonts w:cs="Arial"/>
          <w:lang w:eastAsia="fr-CA"/>
        </w:rPr>
        <w:t>echniques de diététique (120.A0),</w:t>
      </w:r>
      <w:r w:rsidR="00B44BAA">
        <w:rPr>
          <w:rFonts w:cs="Arial"/>
          <w:lang w:eastAsia="fr-CA"/>
        </w:rPr>
        <w:t xml:space="preserve"> </w:t>
      </w:r>
      <w:r w:rsidR="00E40D03">
        <w:rPr>
          <w:rFonts w:cs="Arial"/>
          <w:lang w:eastAsia="fr-CA"/>
        </w:rPr>
        <w:t>T</w:t>
      </w:r>
      <w:r w:rsidR="00B44BAA" w:rsidRPr="007B2E03">
        <w:rPr>
          <w:rFonts w:cs="Arial"/>
          <w:lang w:eastAsia="fr-CA"/>
        </w:rPr>
        <w:t xml:space="preserve">echniques d’électrophysiologie médicale (140.A0), </w:t>
      </w:r>
      <w:r w:rsidR="00E40D03">
        <w:rPr>
          <w:rFonts w:cs="Arial"/>
          <w:lang w:eastAsia="fr-CA"/>
        </w:rPr>
        <w:t>T</w:t>
      </w:r>
      <w:r w:rsidR="00B44BAA" w:rsidRPr="007B2E03">
        <w:rPr>
          <w:rFonts w:cs="Arial"/>
          <w:lang w:eastAsia="fr-CA"/>
        </w:rPr>
        <w:t xml:space="preserve">echnologie d’analyses biomédicales (140.C0), </w:t>
      </w:r>
      <w:r w:rsidR="00E40D03">
        <w:rPr>
          <w:rFonts w:cs="Arial"/>
          <w:lang w:eastAsia="fr-CA"/>
        </w:rPr>
        <w:t>T</w:t>
      </w:r>
      <w:r w:rsidR="00B44BAA" w:rsidRPr="007B2E03">
        <w:rPr>
          <w:rFonts w:cs="Arial"/>
          <w:lang w:eastAsia="fr-CA"/>
        </w:rPr>
        <w:t xml:space="preserve">echniques d’inhalothérapie (141.A0), </w:t>
      </w:r>
      <w:r w:rsidR="00E40D03">
        <w:rPr>
          <w:rFonts w:cs="Arial"/>
          <w:lang w:eastAsia="fr-CA"/>
        </w:rPr>
        <w:t>T</w:t>
      </w:r>
      <w:r w:rsidR="0099080B" w:rsidRPr="007B2E03">
        <w:rPr>
          <w:rFonts w:cs="Arial"/>
          <w:lang w:eastAsia="fr-CA"/>
        </w:rPr>
        <w:t xml:space="preserve">echnologie de </w:t>
      </w:r>
      <w:r w:rsidR="00EF13BE" w:rsidRPr="007B2E03">
        <w:rPr>
          <w:rFonts w:cs="Arial"/>
          <w:lang w:eastAsia="fr-CA"/>
        </w:rPr>
        <w:t>radiodiagnostic</w:t>
      </w:r>
      <w:r w:rsidR="0099080B" w:rsidRPr="007B2E03">
        <w:rPr>
          <w:rFonts w:cs="Arial"/>
          <w:lang w:eastAsia="fr-CA"/>
        </w:rPr>
        <w:t xml:space="preserve"> (142.A0)</w:t>
      </w:r>
      <w:r w:rsidR="00EF13BE" w:rsidRPr="007B2E03">
        <w:rPr>
          <w:rFonts w:cs="Arial"/>
          <w:lang w:eastAsia="fr-CA"/>
        </w:rPr>
        <w:t xml:space="preserve">, </w:t>
      </w:r>
      <w:r w:rsidR="00E40D03">
        <w:rPr>
          <w:rFonts w:cs="Arial"/>
          <w:lang w:eastAsia="fr-CA"/>
        </w:rPr>
        <w:t>T</w:t>
      </w:r>
      <w:r w:rsidR="00275246" w:rsidRPr="007B2E03">
        <w:rPr>
          <w:rFonts w:cs="Arial"/>
          <w:lang w:eastAsia="fr-CA"/>
        </w:rPr>
        <w:t xml:space="preserve">echnologie de </w:t>
      </w:r>
      <w:r w:rsidR="00EF13BE" w:rsidRPr="007B2E03">
        <w:rPr>
          <w:rFonts w:cs="Arial"/>
          <w:lang w:eastAsia="fr-CA"/>
        </w:rPr>
        <w:t>radio</w:t>
      </w:r>
      <w:r w:rsidR="00984A6F">
        <w:rPr>
          <w:rFonts w:cs="Arial"/>
          <w:lang w:eastAsia="fr-CA"/>
        </w:rPr>
        <w:noBreakHyphen/>
      </w:r>
      <w:r w:rsidR="00EF13BE" w:rsidRPr="007B2E03">
        <w:rPr>
          <w:rFonts w:cs="Arial"/>
          <w:lang w:eastAsia="fr-CA"/>
        </w:rPr>
        <w:t>oncologie</w:t>
      </w:r>
      <w:r w:rsidR="00275246" w:rsidRPr="007B2E03">
        <w:rPr>
          <w:rFonts w:cs="Arial"/>
          <w:lang w:eastAsia="fr-CA"/>
        </w:rPr>
        <w:t xml:space="preserve"> (142.D0)</w:t>
      </w:r>
      <w:r w:rsidR="00EF13BE" w:rsidRPr="007B2E03">
        <w:rPr>
          <w:rFonts w:cs="Arial"/>
          <w:lang w:eastAsia="fr-CA"/>
        </w:rPr>
        <w:t xml:space="preserve">, </w:t>
      </w:r>
      <w:r w:rsidR="00E40D03">
        <w:rPr>
          <w:rFonts w:cs="Arial"/>
          <w:lang w:eastAsia="fr-CA"/>
        </w:rPr>
        <w:t>T</w:t>
      </w:r>
      <w:r w:rsidR="00275246" w:rsidRPr="007B2E03">
        <w:rPr>
          <w:rFonts w:cs="Arial"/>
          <w:lang w:eastAsia="fr-CA"/>
        </w:rPr>
        <w:t xml:space="preserve">echnologie de </w:t>
      </w:r>
      <w:r w:rsidR="00EF13BE" w:rsidRPr="007B2E03">
        <w:rPr>
          <w:rFonts w:cs="Arial"/>
          <w:lang w:eastAsia="fr-CA"/>
        </w:rPr>
        <w:t>médecine nucléaire</w:t>
      </w:r>
      <w:r w:rsidR="00275246" w:rsidRPr="007B2E03">
        <w:rPr>
          <w:rFonts w:cs="Arial"/>
          <w:lang w:eastAsia="fr-CA"/>
        </w:rPr>
        <w:t xml:space="preserve"> (142.F0)</w:t>
      </w:r>
      <w:r w:rsidR="00EF13BE" w:rsidRPr="007B2E03">
        <w:rPr>
          <w:rFonts w:cs="Arial"/>
          <w:lang w:eastAsia="fr-CA"/>
        </w:rPr>
        <w:t xml:space="preserve">, </w:t>
      </w:r>
      <w:r w:rsidR="00E40D03">
        <w:rPr>
          <w:rFonts w:cs="Arial"/>
          <w:lang w:eastAsia="fr-CA"/>
        </w:rPr>
        <w:t>T</w:t>
      </w:r>
      <w:r w:rsidR="00275246" w:rsidRPr="007B2E03">
        <w:rPr>
          <w:rFonts w:cs="Arial"/>
          <w:lang w:eastAsia="fr-CA"/>
        </w:rPr>
        <w:t>echnologie de l’</w:t>
      </w:r>
      <w:r w:rsidR="00EF13BE" w:rsidRPr="007B2E03">
        <w:rPr>
          <w:rFonts w:cs="Arial"/>
          <w:lang w:eastAsia="fr-CA"/>
        </w:rPr>
        <w:t xml:space="preserve">échographie </w:t>
      </w:r>
      <w:r w:rsidR="00275246" w:rsidRPr="007B2E03">
        <w:rPr>
          <w:rFonts w:cs="Arial"/>
          <w:lang w:eastAsia="fr-CA"/>
        </w:rPr>
        <w:t>médicale (142.G0)</w:t>
      </w:r>
      <w:r w:rsidR="00EF13BE" w:rsidRPr="007B2E03">
        <w:rPr>
          <w:rFonts w:cs="Arial"/>
          <w:lang w:eastAsia="fr-CA"/>
        </w:rPr>
        <w:t xml:space="preserve">, </w:t>
      </w:r>
      <w:r w:rsidR="00E40D03">
        <w:rPr>
          <w:rFonts w:cs="Arial"/>
          <w:lang w:eastAsia="fr-CA"/>
        </w:rPr>
        <w:t>T</w:t>
      </w:r>
      <w:r w:rsidR="00A44991" w:rsidRPr="007B2E03">
        <w:rPr>
          <w:rFonts w:cs="Arial"/>
          <w:lang w:eastAsia="fr-CA"/>
        </w:rPr>
        <w:t>echniques de physiothérapie (144.A</w:t>
      </w:r>
      <w:r w:rsidR="00BA6F55">
        <w:rPr>
          <w:rFonts w:cs="Arial"/>
          <w:lang w:eastAsia="fr-CA"/>
        </w:rPr>
        <w:t>1</w:t>
      </w:r>
      <w:r w:rsidR="00A44991" w:rsidRPr="007B2E03">
        <w:rPr>
          <w:rFonts w:cs="Arial"/>
          <w:lang w:eastAsia="fr-CA"/>
        </w:rPr>
        <w:t xml:space="preserve">), </w:t>
      </w:r>
      <w:r w:rsidR="00EE622A">
        <w:rPr>
          <w:rFonts w:cs="Arial"/>
          <w:lang w:eastAsia="fr-CA"/>
        </w:rPr>
        <w:t>O</w:t>
      </w:r>
      <w:r w:rsidR="00EF13BE" w:rsidRPr="007B2E03">
        <w:rPr>
          <w:rFonts w:cs="Arial"/>
          <w:lang w:eastAsia="fr-CA"/>
        </w:rPr>
        <w:t>rthèse</w:t>
      </w:r>
      <w:r w:rsidR="00EE622A">
        <w:rPr>
          <w:rFonts w:cs="Arial"/>
          <w:lang w:eastAsia="fr-CA"/>
        </w:rPr>
        <w:t>s,</w:t>
      </w:r>
      <w:r w:rsidR="00B92A1D" w:rsidRPr="007B2E03">
        <w:rPr>
          <w:rFonts w:cs="Arial"/>
          <w:lang w:eastAsia="fr-CA"/>
        </w:rPr>
        <w:t xml:space="preserve"> </w:t>
      </w:r>
      <w:r w:rsidR="00EF13BE" w:rsidRPr="007B2E03">
        <w:rPr>
          <w:rFonts w:cs="Arial"/>
          <w:lang w:eastAsia="fr-CA"/>
        </w:rPr>
        <w:t>prothèses</w:t>
      </w:r>
      <w:r w:rsidR="00EE622A">
        <w:rPr>
          <w:rFonts w:cs="Arial"/>
          <w:lang w:eastAsia="fr-CA"/>
        </w:rPr>
        <w:t xml:space="preserve"> et soins</w:t>
      </w:r>
      <w:r w:rsidR="00EF13BE" w:rsidRPr="007B2E03">
        <w:rPr>
          <w:rFonts w:cs="Arial"/>
          <w:lang w:eastAsia="fr-CA"/>
        </w:rPr>
        <w:t xml:space="preserve"> orthopédiques</w:t>
      </w:r>
      <w:r w:rsidR="00B92A1D" w:rsidRPr="007B2E03">
        <w:rPr>
          <w:rFonts w:cs="Arial"/>
          <w:lang w:eastAsia="fr-CA"/>
        </w:rPr>
        <w:t xml:space="preserve"> (144.</w:t>
      </w:r>
      <w:r w:rsidR="00031DB1">
        <w:rPr>
          <w:rFonts w:cs="Arial"/>
          <w:lang w:eastAsia="fr-CA"/>
        </w:rPr>
        <w:t>F</w:t>
      </w:r>
      <w:r w:rsidR="00B92A1D" w:rsidRPr="007B2E03">
        <w:rPr>
          <w:rFonts w:cs="Arial"/>
          <w:lang w:eastAsia="fr-CA"/>
        </w:rPr>
        <w:t>0)</w:t>
      </w:r>
      <w:r w:rsidR="00B44BAA">
        <w:rPr>
          <w:rFonts w:cs="Arial"/>
          <w:lang w:eastAsia="fr-CA"/>
        </w:rPr>
        <w:t xml:space="preserve">, </w:t>
      </w:r>
      <w:r w:rsidR="00BC2468">
        <w:rPr>
          <w:rFonts w:cs="Arial"/>
          <w:lang w:eastAsia="fr-CA"/>
        </w:rPr>
        <w:t>S</w:t>
      </w:r>
      <w:r w:rsidR="00B44BAA" w:rsidRPr="007B2E03">
        <w:rPr>
          <w:rFonts w:cs="Arial"/>
          <w:lang w:eastAsia="fr-CA"/>
        </w:rPr>
        <w:t>oins préhospitaliers d’urgence (181.A0)</w:t>
      </w:r>
      <w:r w:rsidR="00B44BAA">
        <w:rPr>
          <w:rFonts w:cs="Arial"/>
          <w:lang w:eastAsia="fr-CA"/>
        </w:rPr>
        <w:t>.</w:t>
      </w:r>
    </w:p>
  </w:footnote>
  <w:footnote w:id="43">
    <w:p w14:paraId="479B5718" w14:textId="564EDA36" w:rsidR="007F1146" w:rsidRDefault="007F1146" w:rsidP="007F1146">
      <w:pPr>
        <w:pStyle w:val="FootnoteText"/>
        <w:ind w:left="284" w:hanging="284"/>
      </w:pPr>
      <w:r w:rsidRPr="00316277">
        <w:rPr>
          <w:rStyle w:val="FootnoteReference"/>
        </w:rPr>
        <w:footnoteRef/>
      </w:r>
      <w:r w:rsidRPr="00316277">
        <w:t xml:space="preserve"> </w:t>
      </w:r>
      <w:r w:rsidRPr="00316277">
        <w:tab/>
        <w:t>Pour l’année d’engagement 2023-2024, les charges à la formation continue sont celles prévues à l’Annexe I-13 de la convention collective 2020-2023.</w:t>
      </w:r>
    </w:p>
  </w:footnote>
  <w:footnote w:id="44">
    <w:p w14:paraId="1B90A74E" w14:textId="348B8D9A" w:rsidR="00452E69" w:rsidRPr="007D0CE4" w:rsidRDefault="00452E69" w:rsidP="00780489">
      <w:pPr>
        <w:pStyle w:val="FootnoteText"/>
        <w:ind w:left="284" w:hanging="284"/>
      </w:pPr>
      <w:r w:rsidRPr="007D0CE4">
        <w:rPr>
          <w:rStyle w:val="FootnoteReference"/>
        </w:rPr>
        <w:footnoteRef/>
      </w:r>
      <w:r w:rsidRPr="001C0A00">
        <w:tab/>
      </w:r>
      <w:r w:rsidR="00792B5A" w:rsidRPr="00154365">
        <w:t>https//cpn.gouv.qc.ca</w:t>
      </w:r>
    </w:p>
  </w:footnote>
  <w:footnote w:id="45">
    <w:p w14:paraId="0849F16B" w14:textId="1D78262F" w:rsidR="006C7190" w:rsidRDefault="006C7190" w:rsidP="00190BC7">
      <w:pPr>
        <w:pStyle w:val="FootnoteText"/>
        <w:ind w:left="284" w:hanging="284"/>
      </w:pPr>
      <w:r w:rsidRPr="00316277">
        <w:rPr>
          <w:rStyle w:val="FootnoteReference"/>
        </w:rPr>
        <w:footnoteRef/>
      </w:r>
      <w:r w:rsidRPr="00316277">
        <w:t xml:space="preserve"> </w:t>
      </w:r>
      <w:r w:rsidRPr="00316277">
        <w:tab/>
        <w:t>En considération des accréditations distinctes.</w:t>
      </w:r>
    </w:p>
  </w:footnote>
  <w:footnote w:id="46">
    <w:p w14:paraId="691FB02A" w14:textId="0F309857" w:rsidR="00CA3E6A" w:rsidRDefault="00CA3E6A" w:rsidP="00FD2284">
      <w:pPr>
        <w:pStyle w:val="FootnoteText"/>
        <w:ind w:left="284" w:hanging="284"/>
      </w:pPr>
      <w:r>
        <w:rPr>
          <w:rStyle w:val="FootnoteReference"/>
        </w:rPr>
        <w:footnoteRef/>
      </w:r>
      <w:r>
        <w:t xml:space="preserve"> </w:t>
      </w:r>
      <w:r>
        <w:tab/>
      </w:r>
      <w:r w:rsidRPr="00636310">
        <w:rPr>
          <w:rFonts w:cs="Arial"/>
          <w:color w:val="000000"/>
          <w:lang w:eastAsia="fr-CA"/>
        </w:rPr>
        <w:t>94 ETC réseau. Application des modalités de l'Annexe I</w:t>
      </w:r>
      <w:r>
        <w:rPr>
          <w:rFonts w:cs="Arial"/>
          <w:color w:val="000000"/>
          <w:lang w:eastAsia="fr-CA"/>
        </w:rPr>
        <w:noBreakHyphen/>
      </w:r>
      <w:r w:rsidRPr="00636310">
        <w:rPr>
          <w:rFonts w:cs="Arial"/>
          <w:color w:val="000000"/>
          <w:lang w:eastAsia="fr-CA"/>
        </w:rPr>
        <w:t>1</w:t>
      </w:r>
      <w:r>
        <w:rPr>
          <w:rFonts w:cs="Arial"/>
          <w:color w:val="000000"/>
          <w:lang w:eastAsia="fr-CA"/>
        </w:rPr>
        <w:t>.</w:t>
      </w:r>
    </w:p>
  </w:footnote>
  <w:footnote w:id="47">
    <w:p w14:paraId="7FB62FD8" w14:textId="7983C78F" w:rsidR="00CA3E6A" w:rsidRDefault="00CA3E6A" w:rsidP="00FD2284">
      <w:pPr>
        <w:pStyle w:val="FootnoteText"/>
        <w:ind w:left="284" w:hanging="284"/>
      </w:pPr>
      <w:r>
        <w:rPr>
          <w:rStyle w:val="FootnoteReference"/>
        </w:rPr>
        <w:footnoteRef/>
      </w:r>
      <w:r>
        <w:t xml:space="preserve"> </w:t>
      </w:r>
      <w:r>
        <w:tab/>
      </w:r>
      <w:r w:rsidRPr="00636310">
        <w:t>108 ETC réseau. Application des modalités de l'Annexe I</w:t>
      </w:r>
      <w:r>
        <w:noBreakHyphen/>
      </w:r>
      <w:r w:rsidRPr="00636310">
        <w:t>1.</w:t>
      </w:r>
    </w:p>
  </w:footnote>
  <w:footnote w:id="48">
    <w:p w14:paraId="0B566397" w14:textId="3C5C7529" w:rsidR="00CA3E6A" w:rsidRDefault="00CA3E6A" w:rsidP="00FD2284">
      <w:pPr>
        <w:pStyle w:val="FootnoteText"/>
        <w:ind w:left="284" w:hanging="284"/>
      </w:pPr>
      <w:r>
        <w:rPr>
          <w:rStyle w:val="FootnoteReference"/>
        </w:rPr>
        <w:footnoteRef/>
      </w:r>
      <w:r>
        <w:t xml:space="preserve"> </w:t>
      </w:r>
      <w:r>
        <w:tab/>
      </w:r>
      <w:r w:rsidRPr="00636310">
        <w:rPr>
          <w:rFonts w:cs="Arial"/>
          <w:color w:val="000000"/>
          <w:lang w:eastAsia="fr-CA"/>
        </w:rPr>
        <w:t xml:space="preserve">51 ETC </w:t>
      </w:r>
      <w:r w:rsidRPr="00820915">
        <w:t>réseau</w:t>
      </w:r>
      <w:r w:rsidRPr="00636310">
        <w:rPr>
          <w:rFonts w:cs="Arial"/>
          <w:color w:val="000000"/>
          <w:lang w:eastAsia="fr-CA"/>
        </w:rPr>
        <w:t>. Application des modalités de l'Annexe I</w:t>
      </w:r>
      <w:r>
        <w:rPr>
          <w:rFonts w:cs="Arial"/>
          <w:color w:val="000000"/>
          <w:lang w:eastAsia="fr-CA"/>
        </w:rPr>
        <w:noBreakHyphen/>
      </w:r>
      <w:r w:rsidRPr="00636310">
        <w:rPr>
          <w:rFonts w:cs="Arial"/>
          <w:color w:val="000000"/>
          <w:lang w:eastAsia="fr-CA"/>
        </w:rPr>
        <w:t>1.</w:t>
      </w:r>
    </w:p>
  </w:footnote>
  <w:footnote w:id="49">
    <w:p w14:paraId="0C373D8C" w14:textId="32B3D861" w:rsidR="00CA3E6A" w:rsidRDefault="00CA3E6A" w:rsidP="00FD2284">
      <w:pPr>
        <w:pStyle w:val="FootnoteText"/>
        <w:ind w:left="284" w:hanging="284"/>
      </w:pPr>
      <w:r>
        <w:rPr>
          <w:rStyle w:val="FootnoteReference"/>
        </w:rPr>
        <w:footnoteRef/>
      </w:r>
      <w:r>
        <w:t xml:space="preserve"> </w:t>
      </w:r>
      <w:r>
        <w:tab/>
      </w:r>
      <w:r w:rsidRPr="003B2A01">
        <w:t>55</w:t>
      </w:r>
      <w:r w:rsidRPr="00636310">
        <w:rPr>
          <w:rFonts w:cs="Arial"/>
          <w:color w:val="000000"/>
          <w:lang w:eastAsia="fr-CA"/>
        </w:rPr>
        <w:t xml:space="preserve"> ETC réseau. Application de la clause 8</w:t>
      </w:r>
      <w:r>
        <w:rPr>
          <w:rFonts w:cs="Arial"/>
          <w:color w:val="000000"/>
          <w:lang w:eastAsia="fr-CA"/>
        </w:rPr>
        <w:noBreakHyphen/>
      </w:r>
      <w:r w:rsidRPr="00636310">
        <w:rPr>
          <w:rFonts w:cs="Arial"/>
          <w:color w:val="000000"/>
          <w:lang w:eastAsia="fr-CA"/>
        </w:rPr>
        <w:t>6.01 d).</w:t>
      </w:r>
    </w:p>
  </w:footnote>
  <w:footnote w:id="50">
    <w:p w14:paraId="605BD896" w14:textId="77777777" w:rsidR="00CA3E6A" w:rsidRDefault="00CA3E6A" w:rsidP="00CA3E6A">
      <w:pPr>
        <w:pStyle w:val="FootnoteText"/>
        <w:ind w:left="284" w:hanging="284"/>
      </w:pPr>
      <w:r w:rsidRPr="00316277">
        <w:rPr>
          <w:rStyle w:val="FootnoteReference"/>
        </w:rPr>
        <w:footnoteRef/>
      </w:r>
      <w:r w:rsidRPr="00316277">
        <w:t xml:space="preserve"> </w:t>
      </w:r>
      <w:r w:rsidRPr="00316277">
        <w:tab/>
        <w:t>13 ETC réseau. Application des modalités de l’Annexe I-1.</w:t>
      </w:r>
      <w:r>
        <w:t xml:space="preserve"> </w:t>
      </w:r>
    </w:p>
  </w:footnote>
  <w:footnote w:id="51">
    <w:p w14:paraId="0B0FD5A8" w14:textId="09F6D009" w:rsidR="004C296A" w:rsidRPr="00A65494" w:rsidRDefault="004C296A" w:rsidP="004C296A">
      <w:pPr>
        <w:pStyle w:val="FootnoteText"/>
        <w:ind w:left="284" w:hanging="284"/>
      </w:pPr>
      <w:r>
        <w:rPr>
          <w:rStyle w:val="FootnoteReference"/>
        </w:rPr>
        <w:footnoteRef/>
      </w:r>
      <w:r>
        <w:tab/>
      </w:r>
      <w:r w:rsidRPr="00316277">
        <w:t>Soixante-</w:t>
      </w:r>
      <w:r w:rsidR="00087C44">
        <w:t>dix-sept</w:t>
      </w:r>
      <w:r w:rsidRPr="00316277">
        <w:t xml:space="preserve"> virgule trois cent quatre (7</w:t>
      </w:r>
      <w:r w:rsidR="00087C44">
        <w:t>7</w:t>
      </w:r>
      <w:r w:rsidRPr="00316277">
        <w:t>,3</w:t>
      </w:r>
      <w:r w:rsidR="00087C44">
        <w:t>0</w:t>
      </w:r>
      <w:r w:rsidRPr="00316277">
        <w:t>4)</w:t>
      </w:r>
      <w:r>
        <w:t xml:space="preserve"> </w:t>
      </w:r>
      <w:r w:rsidRPr="00636310">
        <w:t xml:space="preserve">ETC </w:t>
      </w:r>
      <w:r w:rsidRPr="00316277">
        <w:t>sont</w:t>
      </w:r>
      <w:r>
        <w:t xml:space="preserve"> </w:t>
      </w:r>
      <w:r w:rsidRPr="00636310">
        <w:t xml:space="preserve">convertis pour créer </w:t>
      </w:r>
      <w:r w:rsidRPr="00316277">
        <w:t>cent soixante-</w:t>
      </w:r>
      <w:r w:rsidR="00087C44">
        <w:t>huit</w:t>
      </w:r>
      <w:r w:rsidRPr="00316277">
        <w:t xml:space="preserve"> virgule zéro cinq (16</w:t>
      </w:r>
      <w:r w:rsidR="00087C44">
        <w:t>8</w:t>
      </w:r>
      <w:r w:rsidRPr="00316277">
        <w:t>,05)</w:t>
      </w:r>
      <w:r>
        <w:t xml:space="preserve"> </w:t>
      </w:r>
      <w:r w:rsidRPr="00636310">
        <w:t>charges à la formation continue selon la règle suivante</w:t>
      </w:r>
      <w:r>
        <w:t> :</w:t>
      </w:r>
      <w:r w:rsidRPr="00636310">
        <w:t xml:space="preserve"> une (1) charge vaut zéro virgule quarante</w:t>
      </w:r>
      <w:r>
        <w:noBreakHyphen/>
      </w:r>
      <w:r w:rsidRPr="00636310">
        <w:t>six (0,46) ETC.</w:t>
      </w:r>
    </w:p>
  </w:footnote>
  <w:footnote w:id="52">
    <w:p w14:paraId="1979B01F" w14:textId="334E6CD7" w:rsidR="00270BF1" w:rsidRPr="006A6A06" w:rsidRDefault="00270BF1" w:rsidP="006A6A06">
      <w:pPr>
        <w:pStyle w:val="BodyText"/>
        <w:spacing w:before="4"/>
        <w:ind w:left="284" w:hanging="284"/>
        <w:jc w:val="both"/>
        <w:rPr>
          <w:sz w:val="20"/>
        </w:rPr>
      </w:pPr>
      <w:r w:rsidRPr="00533E57">
        <w:rPr>
          <w:rStyle w:val="FootnoteReference"/>
          <w:sz w:val="20"/>
        </w:rPr>
        <w:footnoteRef/>
      </w:r>
      <w:r w:rsidRPr="00533E57">
        <w:rPr>
          <w:sz w:val="20"/>
        </w:rPr>
        <w:t xml:space="preserve"> </w:t>
      </w:r>
      <w:r w:rsidR="006A6A06" w:rsidRPr="00533E57">
        <w:rPr>
          <w:sz w:val="20"/>
        </w:rPr>
        <w:tab/>
      </w:r>
      <w:r w:rsidRPr="00533E57">
        <w:rPr>
          <w:rFonts w:cs="Arial"/>
          <w:color w:val="201F1E"/>
          <w:sz w:val="20"/>
        </w:rPr>
        <w:t xml:space="preserve">Ce </w:t>
      </w:r>
      <w:r w:rsidRPr="00533E57">
        <w:rPr>
          <w:rFonts w:cs="Arial"/>
          <w:color w:val="000000"/>
          <w:sz w:val="20"/>
        </w:rPr>
        <w:t>montant est indexé annuellement par le Ministère selon le taux d’indexation des autres coûts prévu dans le Régime budgétaire et financier en vigueur.</w:t>
      </w:r>
    </w:p>
  </w:footnote>
  <w:footnote w:id="53">
    <w:p w14:paraId="2089AC55" w14:textId="2F41179C" w:rsidR="00194EE3" w:rsidRPr="00316277" w:rsidRDefault="00194EE3" w:rsidP="003A5E93">
      <w:pPr>
        <w:pStyle w:val="FootnoteText"/>
        <w:ind w:left="284" w:hanging="284"/>
      </w:pPr>
      <w:r w:rsidRPr="00316277">
        <w:rPr>
          <w:rStyle w:val="FootnoteReference"/>
        </w:rPr>
        <w:footnoteRef/>
      </w:r>
      <w:r w:rsidR="003A5E93">
        <w:tab/>
      </w:r>
      <w:r w:rsidRPr="00316277">
        <w:rPr>
          <w:rStyle w:val="ElevSoulign"/>
          <w:b w:val="0"/>
          <w:bCs w:val="0"/>
          <w:u w:val="none"/>
        </w:rPr>
        <w:t>40 ETC réseau. Ces ressources sont réparties à la discipline de soins infirmiers (180) et servent à reconnaître les effets de l’enseignement clinique en stage sans Ne</w:t>
      </w:r>
      <w:r w:rsidRPr="00316277">
        <w:rPr>
          <w:rStyle w:val="ElevSoulign"/>
          <w:b w:val="0"/>
          <w:bCs w:val="0"/>
          <w:u w:val="none"/>
          <w:vertAlign w:val="subscript"/>
        </w:rPr>
        <w:t>jk</w:t>
      </w:r>
      <w:r w:rsidRPr="00316277">
        <w:rPr>
          <w:rStyle w:val="ElevSoulign"/>
          <w:b w:val="0"/>
          <w:bCs w:val="0"/>
          <w:u w:val="none"/>
        </w:rPr>
        <w:t xml:space="preserve"> sur la charge de travail. </w:t>
      </w:r>
    </w:p>
  </w:footnote>
  <w:footnote w:id="54">
    <w:p w14:paraId="5A36E65C" w14:textId="48556F75" w:rsidR="00790594" w:rsidRPr="00316277" w:rsidRDefault="006B063E" w:rsidP="00790594">
      <w:pPr>
        <w:pStyle w:val="FootnoteText"/>
        <w:ind w:left="284" w:hanging="284"/>
        <w:rPr>
          <w:rFonts w:cs="Arial"/>
          <w:color w:val="242424"/>
          <w:bdr w:val="none" w:sz="0" w:space="0" w:color="auto" w:frame="1"/>
        </w:rPr>
      </w:pPr>
      <w:r w:rsidRPr="00316277">
        <w:rPr>
          <w:rStyle w:val="FootnoteReference"/>
        </w:rPr>
        <w:footnoteRef/>
      </w:r>
      <w:r w:rsidRPr="00316277">
        <w:t xml:space="preserve"> </w:t>
      </w:r>
      <w:r w:rsidRPr="00316277">
        <w:tab/>
      </w:r>
      <w:r w:rsidR="00790594" w:rsidRPr="00316277">
        <w:rPr>
          <w:rFonts w:cs="Arial"/>
          <w:color w:val="242424"/>
          <w:bdr w:val="none" w:sz="0" w:space="0" w:color="auto" w:frame="1"/>
        </w:rPr>
        <w:t xml:space="preserve">Les montants accordés à la formation continue des collèges sont prélevés de l’enveloppe réseau (19 ETC). </w:t>
      </w:r>
    </w:p>
    <w:p w14:paraId="444209C8" w14:textId="271B6994" w:rsidR="006B063E" w:rsidRPr="00316277" w:rsidRDefault="006B063E" w:rsidP="00790594">
      <w:pPr>
        <w:pStyle w:val="FootnoteText"/>
        <w:ind w:left="284" w:firstLine="0"/>
        <w:rPr>
          <w:rFonts w:cs="Arial"/>
          <w:color w:val="242424"/>
          <w:bdr w:val="none" w:sz="0" w:space="0" w:color="auto" w:frame="1"/>
        </w:rPr>
      </w:pPr>
      <w:r w:rsidRPr="009A1CC5">
        <w:rPr>
          <w:rFonts w:cs="Arial"/>
          <w:color w:val="242424"/>
          <w:bdr w:val="none" w:sz="0" w:space="0" w:color="auto" w:frame="1"/>
        </w:rPr>
        <w:t>L’imputation de ces montants en ETC est calculée de la manière suivante :</w:t>
      </w:r>
    </w:p>
    <w:p w14:paraId="61AE2D5A" w14:textId="77777777" w:rsidR="00A3067D" w:rsidRPr="00316277" w:rsidRDefault="00A3067D" w:rsidP="00790594">
      <w:pPr>
        <w:pStyle w:val="FootnoteText"/>
        <w:ind w:left="284" w:firstLine="0"/>
        <w:rPr>
          <w:rFonts w:cs="Arial"/>
          <w:color w:val="242424"/>
          <w:bdr w:val="none" w:sz="0" w:space="0" w:color="auto" w:frame="1"/>
        </w:rPr>
      </w:pPr>
    </w:p>
    <w:tbl>
      <w:tblPr>
        <w:tblW w:w="9214" w:type="dxa"/>
        <w:tblInd w:w="142" w:type="dxa"/>
        <w:shd w:val="clear" w:color="auto" w:fill="FFFFFF"/>
        <w:tblCellMar>
          <w:left w:w="0" w:type="dxa"/>
          <w:right w:w="0" w:type="dxa"/>
        </w:tblCellMar>
        <w:tblLook w:val="04A0" w:firstRow="1" w:lastRow="0" w:firstColumn="1" w:lastColumn="0" w:noHBand="0" w:noVBand="1"/>
      </w:tblPr>
      <w:tblGrid>
        <w:gridCol w:w="284"/>
        <w:gridCol w:w="8930"/>
      </w:tblGrid>
      <w:tr w:rsidR="006B063E" w:rsidRPr="006B063E" w14:paraId="36833A6C" w14:textId="77777777" w:rsidTr="008C15CE">
        <w:trPr>
          <w:gridBefore w:val="1"/>
          <w:wBefore w:w="284" w:type="dxa"/>
        </w:trPr>
        <w:tc>
          <w:tcPr>
            <w:tcW w:w="893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6388C7" w14:textId="01161CA4" w:rsidR="006B063E" w:rsidRPr="00316277" w:rsidRDefault="006B063E" w:rsidP="00A3067D">
            <w:pPr>
              <w:jc w:val="center"/>
              <w:rPr>
                <w:rFonts w:cs="Arial"/>
                <w:color w:val="242424"/>
                <w:sz w:val="20"/>
              </w:rPr>
            </w:pPr>
            <w:r w:rsidRPr="00316277">
              <w:rPr>
                <w:rFonts w:cs="Arial"/>
                <w:color w:val="242424"/>
                <w:sz w:val="20"/>
                <w:bdr w:val="none" w:sz="0" w:space="0" w:color="auto" w:frame="1"/>
              </w:rPr>
              <w:t xml:space="preserve">(Le nombre de périodes offertes en enseignement comodal à la formation continue </w:t>
            </w:r>
            <w:r w:rsidRPr="0076279E">
              <w:rPr>
                <w:rFonts w:cs="Arial"/>
                <w:b/>
                <w:bCs/>
                <w:color w:val="242424"/>
                <w:sz w:val="20"/>
                <w:bdr w:val="none" w:sz="0" w:space="0" w:color="auto" w:frame="1"/>
              </w:rPr>
              <w:t>x</w:t>
            </w:r>
            <w:r w:rsidRPr="00316277">
              <w:rPr>
                <w:rFonts w:cs="Arial"/>
                <w:color w:val="242424"/>
                <w:sz w:val="20"/>
                <w:bdr w:val="none" w:sz="0" w:space="0" w:color="auto" w:frame="1"/>
              </w:rPr>
              <w:t> 0,2) </w:t>
            </w:r>
            <w:r w:rsidRPr="0076279E">
              <w:rPr>
                <w:rFonts w:cs="Arial"/>
                <w:b/>
                <w:bCs/>
                <w:color w:val="242424"/>
                <w:sz w:val="20"/>
                <w:bdr w:val="none" w:sz="0" w:space="0" w:color="auto" w:frame="1"/>
              </w:rPr>
              <w:t>x</w:t>
            </w:r>
            <w:r w:rsidR="00A3067D" w:rsidRPr="00316277">
              <w:rPr>
                <w:rFonts w:cs="Arial"/>
                <w:color w:val="242424"/>
                <w:sz w:val="20"/>
                <w:bdr w:val="none" w:sz="0" w:space="0" w:color="auto" w:frame="1"/>
              </w:rPr>
              <w:t xml:space="preserve"> l</w:t>
            </w:r>
            <w:r w:rsidRPr="00316277">
              <w:rPr>
                <w:rFonts w:cs="Arial"/>
                <w:color w:val="242424"/>
                <w:sz w:val="20"/>
                <w:bdr w:val="none" w:sz="0" w:space="0" w:color="auto" w:frame="1"/>
              </w:rPr>
              <w:t>e taux horaire moyen des enseignantes et enseignants chargés de cours à la formation continue</w:t>
            </w:r>
          </w:p>
        </w:tc>
      </w:tr>
      <w:tr w:rsidR="006B063E" w:rsidRPr="009865C9" w14:paraId="3687D3B3" w14:textId="77777777" w:rsidTr="0076279E">
        <w:trPr>
          <w:trHeight w:val="67"/>
        </w:trPr>
        <w:tc>
          <w:tcPr>
            <w:tcW w:w="9214" w:type="dxa"/>
            <w:gridSpan w:val="2"/>
            <w:tcBorders>
              <w:top w:val="single" w:sz="18" w:space="0" w:color="auto"/>
              <w:left w:val="nil"/>
              <w:bottom w:val="nil"/>
              <w:right w:val="nil"/>
            </w:tcBorders>
            <w:shd w:val="clear" w:color="auto" w:fill="FFFFFF"/>
            <w:tcMar>
              <w:top w:w="0" w:type="dxa"/>
              <w:left w:w="108" w:type="dxa"/>
              <w:bottom w:w="0" w:type="dxa"/>
              <w:right w:w="108" w:type="dxa"/>
            </w:tcMar>
            <w:hideMark/>
          </w:tcPr>
          <w:p w14:paraId="63650BF0" w14:textId="77777777" w:rsidR="006B063E" w:rsidRPr="00316277" w:rsidRDefault="006B063E" w:rsidP="00D50D8F">
            <w:pPr>
              <w:jc w:val="center"/>
              <w:rPr>
                <w:rFonts w:cs="Arial"/>
                <w:color w:val="242424"/>
                <w:sz w:val="20"/>
              </w:rPr>
            </w:pPr>
            <w:r w:rsidRPr="00316277">
              <w:rPr>
                <w:rFonts w:cs="Arial"/>
                <w:color w:val="242424"/>
                <w:sz w:val="20"/>
                <w:bdr w:val="none" w:sz="0" w:space="0" w:color="auto" w:frame="1"/>
              </w:rPr>
              <w:t>Salaire moyen normalisé des enseignantes et enseignants réguliers</w:t>
            </w:r>
          </w:p>
        </w:tc>
      </w:tr>
    </w:tbl>
    <w:p w14:paraId="13D147E2" w14:textId="77777777" w:rsidR="006B063E" w:rsidRPr="00D50D8F" w:rsidRDefault="006B063E" w:rsidP="006B063E">
      <w:pPr>
        <w:pStyle w:val="FootnoteText"/>
        <w:ind w:left="0" w:firstLine="0"/>
        <w:rPr>
          <w:sz w:val="12"/>
          <w:szCs w:val="12"/>
        </w:rPr>
      </w:pPr>
    </w:p>
  </w:footnote>
  <w:footnote w:id="55">
    <w:p w14:paraId="59E6E06F" w14:textId="3C1715EA" w:rsidR="002F675D" w:rsidRPr="00316277" w:rsidRDefault="002F675D" w:rsidP="002F675D">
      <w:pPr>
        <w:pStyle w:val="N-FNEEQ"/>
        <w:spacing w:before="0"/>
        <w:ind w:left="567" w:hanging="567"/>
        <w:rPr>
          <w:rFonts w:ascii="Arial" w:hAnsi="Arial" w:cs="Arial"/>
          <w:b/>
          <w:bCs/>
          <w:color w:val="auto"/>
          <w:lang w:val="fr-FR"/>
        </w:rPr>
      </w:pPr>
      <w:r w:rsidRPr="00316277">
        <w:rPr>
          <w:rStyle w:val="FootnoteReference"/>
          <w:color w:val="auto"/>
        </w:rPr>
        <w:footnoteRef/>
      </w:r>
      <w:r w:rsidRPr="00316277">
        <w:rPr>
          <w:color w:val="auto"/>
        </w:rPr>
        <w:t xml:space="preserve"> </w:t>
      </w:r>
      <w:r w:rsidRPr="00316277">
        <w:rPr>
          <w:color w:val="auto"/>
        </w:rPr>
        <w:tab/>
      </w:r>
      <w:r w:rsidRPr="00316277">
        <w:rPr>
          <w:rFonts w:ascii="Arial" w:hAnsi="Arial" w:cs="Arial"/>
          <w:color w:val="auto"/>
        </w:rPr>
        <w:t>13,11 ETC réseau ont été répartis à l'enseignement régulier pour la FAD en enseignement comodal et la double préparation.</w:t>
      </w:r>
    </w:p>
  </w:footnote>
  <w:footnote w:id="56">
    <w:p w14:paraId="72403AA6" w14:textId="3B520034" w:rsidR="00B33E42" w:rsidRDefault="00B33E42" w:rsidP="00CE4A86">
      <w:pPr>
        <w:pStyle w:val="FootnoteText"/>
        <w:ind w:left="284" w:hanging="284"/>
      </w:pPr>
      <w:r w:rsidRPr="00316277">
        <w:rPr>
          <w:rStyle w:val="FootnoteReference"/>
        </w:rPr>
        <w:footnoteRef/>
      </w:r>
      <w:r w:rsidRPr="00316277">
        <w:t xml:space="preserve"> </w:t>
      </w:r>
      <w:r w:rsidRPr="00316277">
        <w:tab/>
      </w:r>
      <w:r w:rsidRPr="00316277">
        <w:rPr>
          <w:rFonts w:cstheme="minorHAnsi"/>
        </w:rPr>
        <w:t>La mise à jour des connaissances est implicite aux activités requises à la charge d’enseignement (tel que reconnu dans l’étude du comité paritaire « Enseigner au Collégial Portrait de la profession » - mars 2008).</w:t>
      </w:r>
    </w:p>
  </w:footnote>
  <w:footnote w:id="57">
    <w:p w14:paraId="1E12294D" w14:textId="6FD259C3" w:rsidR="00AB4D26" w:rsidRDefault="00AB4D26" w:rsidP="00AB4D26">
      <w:pPr>
        <w:pStyle w:val="FootnoteText"/>
        <w:ind w:left="284" w:hanging="284"/>
      </w:pPr>
      <w:r>
        <w:rPr>
          <w:rStyle w:val="FootnoteReference"/>
        </w:rPr>
        <w:footnoteRef/>
      </w:r>
      <w:r>
        <w:t xml:space="preserve"> </w:t>
      </w:r>
      <w:r>
        <w:tab/>
      </w:r>
      <w:r w:rsidRPr="00316277">
        <w:rPr>
          <w:rFonts w:cstheme="minorHAnsi"/>
        </w:rPr>
        <w:t>La mise à jour des connaissances est implicite aux activités requises à la charge d’enseignement (tel que reconnu dans l’étude du comité paritaire « Enseigner au Collégial Portrait de la profession » - mars 2008).</w:t>
      </w:r>
    </w:p>
  </w:footnote>
  <w:footnote w:id="58">
    <w:p w14:paraId="619CF60F" w14:textId="6ED3299C" w:rsidR="00490A30" w:rsidRDefault="00490A30" w:rsidP="00490A30">
      <w:pPr>
        <w:pStyle w:val="FootnoteText"/>
        <w:ind w:left="284" w:hanging="284"/>
      </w:pPr>
      <w:r>
        <w:rPr>
          <w:rStyle w:val="FootnoteReference"/>
        </w:rPr>
        <w:footnoteRef/>
      </w:r>
      <w:r>
        <w:t xml:space="preserve"> </w:t>
      </w:r>
      <w:r>
        <w:tab/>
      </w:r>
      <w:r w:rsidR="00F25CC8" w:rsidRPr="00F25CC8">
        <w:t>Les classes</w:t>
      </w:r>
      <w:r w:rsidR="005A7171">
        <w:t> </w:t>
      </w:r>
      <w:r w:rsidR="00F25CC8" w:rsidRPr="00F25CC8">
        <w:t>I et II s’appliquent à la fonction de répartitrice ou répartiteur et l’avancement est continu jusqu’à la classe</w:t>
      </w:r>
      <w:r w:rsidR="005A7171">
        <w:t> </w:t>
      </w:r>
      <w:r w:rsidR="00F25CC8" w:rsidRPr="00F25CC8">
        <w:t>II, échelon</w:t>
      </w:r>
      <w:r w:rsidR="005A7171">
        <w:t> </w:t>
      </w:r>
      <w:r w:rsidR="00F25CC8" w:rsidRPr="00F25CC8">
        <w:t>7</w:t>
      </w:r>
      <w:r w:rsidR="00F25CC8">
        <w:t>.</w:t>
      </w:r>
    </w:p>
  </w:footnote>
  <w:footnote w:id="59">
    <w:p w14:paraId="5D989A94" w14:textId="334FD2E8" w:rsidR="00490A30" w:rsidRPr="00F25CC8" w:rsidRDefault="00490A30" w:rsidP="00490A30">
      <w:pPr>
        <w:pStyle w:val="FootnoteText"/>
        <w:ind w:left="284" w:hanging="284"/>
      </w:pPr>
      <w:r>
        <w:rPr>
          <w:rStyle w:val="FootnoteReference"/>
        </w:rPr>
        <w:footnoteRef/>
      </w:r>
      <w:r>
        <w:t xml:space="preserve"> </w:t>
      </w:r>
      <w:r w:rsidRPr="00E16AC1">
        <w:rPr>
          <w:sz w:val="18"/>
          <w:szCs w:val="18"/>
        </w:rPr>
        <w:tab/>
      </w:r>
      <w:r w:rsidR="00F25CC8" w:rsidRPr="00F25CC8">
        <w:t>Les classes</w:t>
      </w:r>
      <w:r w:rsidR="005A7171">
        <w:t> </w:t>
      </w:r>
      <w:r w:rsidR="00F25CC8" w:rsidRPr="00F25CC8">
        <w:t>I, II et III s’appliquent aux enseignantes et enseignants au sol, aux enseignantes et enseignants au vol sur avions ainsi qu’aux enseignantes et enseignants au simulateur et l’avancement est continu jusqu’à la classe</w:t>
      </w:r>
      <w:r w:rsidR="005A7171">
        <w:t> </w:t>
      </w:r>
      <w:r w:rsidR="00F25CC8" w:rsidRPr="00F25CC8">
        <w:t>III, échelon</w:t>
      </w:r>
      <w:r w:rsidR="005A7171">
        <w:t> </w:t>
      </w:r>
      <w:r w:rsidR="00F25CC8" w:rsidRPr="00F25CC8">
        <w:t>7</w:t>
      </w:r>
      <w:r w:rsidR="00F25CC8">
        <w:t>.</w:t>
      </w:r>
    </w:p>
  </w:footnote>
  <w:footnote w:id="60">
    <w:p w14:paraId="426F06A4" w14:textId="6432387E" w:rsidR="00490A30" w:rsidRDefault="00490A30" w:rsidP="00490A30">
      <w:pPr>
        <w:pStyle w:val="FootnoteText"/>
        <w:ind w:left="284" w:hanging="284"/>
      </w:pPr>
      <w:r>
        <w:rPr>
          <w:rStyle w:val="FootnoteReference"/>
        </w:rPr>
        <w:footnoteRef/>
      </w:r>
      <w:r>
        <w:t xml:space="preserve"> </w:t>
      </w:r>
      <w:r w:rsidRPr="00E16AC1">
        <w:rPr>
          <w:sz w:val="18"/>
          <w:szCs w:val="18"/>
        </w:rPr>
        <w:tab/>
      </w:r>
      <w:r w:rsidR="00F25CC8" w:rsidRPr="00F25CC8">
        <w:t>Les classes</w:t>
      </w:r>
      <w:r w:rsidR="005A7171">
        <w:t> </w:t>
      </w:r>
      <w:r w:rsidR="00F25CC8" w:rsidRPr="00F25CC8">
        <w:t>II, III et IV s’appliquent aux enseignantes et enseignants au vol sur hélicoptère et l’avancement est continu jusqu’à la classe</w:t>
      </w:r>
      <w:r w:rsidR="005A7171">
        <w:t> </w:t>
      </w:r>
      <w:r w:rsidR="00F25CC8" w:rsidRPr="00F25CC8">
        <w:t>IV, échelon</w:t>
      </w:r>
      <w:r w:rsidR="005A7171">
        <w:t> </w:t>
      </w:r>
      <w:r w:rsidR="00F25CC8" w:rsidRPr="00F25CC8">
        <w:t>5.</w:t>
      </w:r>
    </w:p>
  </w:footnote>
  <w:footnote w:id="61">
    <w:p w14:paraId="382693A9" w14:textId="474740BB" w:rsidR="003D1EBC" w:rsidRPr="003D1EBC" w:rsidRDefault="003D1EBC" w:rsidP="003D1EBC">
      <w:pPr>
        <w:keepNext w:val="0"/>
        <w:spacing w:before="240"/>
        <w:ind w:left="142" w:hanging="142"/>
        <w:rPr>
          <w:rFonts w:cs="Arial"/>
          <w:sz w:val="20"/>
        </w:rPr>
      </w:pPr>
      <w:r w:rsidRPr="00537C94">
        <w:rPr>
          <w:rStyle w:val="FootnoteReference"/>
          <w:rFonts w:cs="Arial"/>
          <w:sz w:val="20"/>
        </w:rPr>
        <w:footnoteRef/>
      </w:r>
      <w:r w:rsidRPr="00537C94">
        <w:rPr>
          <w:rFonts w:cs="Arial"/>
          <w:sz w:val="20"/>
        </w:rPr>
        <w:t xml:space="preserve"> </w:t>
      </w:r>
      <w:r w:rsidRPr="00E920AE">
        <w:rPr>
          <w:rFonts w:cs="Arial"/>
          <w:sz w:val="16"/>
          <w:szCs w:val="16"/>
        </w:rPr>
        <w:t>En plus des organisations visées par la présente lettre d’entente, l’acceptation des organisations suivantes est requise : la Fédération interprofessionnelle du Québec (FIQ), la Fédération autonome de l’enseignement (FAE), le Syndicat de professionnelles et professionnels du Gouvernement du Québec (SPGQ) et le Syndicat de la fonction publique et parapublique du Québec (SFPQ).</w:t>
      </w:r>
    </w:p>
  </w:footnote>
  <w:footnote w:id="62">
    <w:p w14:paraId="5A8FDE71" w14:textId="77777777" w:rsidR="00CC1E3A" w:rsidRPr="00D6150C" w:rsidRDefault="00CC1E3A" w:rsidP="00CC1E3A">
      <w:pPr>
        <w:pStyle w:val="FootnoteText"/>
        <w:keepNext w:val="0"/>
        <w:ind w:left="284" w:hanging="284"/>
        <w:rPr>
          <w:sz w:val="18"/>
          <w:szCs w:val="18"/>
        </w:rPr>
      </w:pPr>
      <w:r w:rsidRPr="00D6150C">
        <w:rPr>
          <w:rStyle w:val="FootnoteReference"/>
        </w:rPr>
        <w:footnoteRef/>
      </w:r>
      <w:r w:rsidRPr="00D6150C">
        <w:t xml:space="preserve"> </w:t>
      </w:r>
      <w:r w:rsidRPr="00D6150C">
        <w:tab/>
      </w:r>
      <w:r w:rsidRPr="00D6150C">
        <w:rPr>
          <w:sz w:val="18"/>
          <w:szCs w:val="18"/>
        </w:rPr>
        <w:t>L’enseignante ou l’enseignant se voit attribuer l’échelon correspondant à son expérience, augmenté de :</w:t>
      </w:r>
    </w:p>
    <w:p w14:paraId="5C557316" w14:textId="77777777" w:rsidR="00CC1E3A" w:rsidRPr="00D6150C" w:rsidRDefault="00CC1E3A" w:rsidP="00CC1E3A">
      <w:pPr>
        <w:pStyle w:val="FootnoteText"/>
        <w:keepNext w:val="0"/>
        <w:ind w:left="284" w:hanging="284"/>
        <w:rPr>
          <w:sz w:val="18"/>
          <w:szCs w:val="18"/>
        </w:rPr>
      </w:pPr>
    </w:p>
    <w:p w14:paraId="552CEB42" w14:textId="77777777" w:rsidR="00CC1E3A" w:rsidRPr="00D6150C" w:rsidRDefault="00CC1E3A" w:rsidP="00CC1E3A">
      <w:pPr>
        <w:pStyle w:val="FootnoteText"/>
        <w:keepNext w:val="0"/>
        <w:ind w:hanging="284"/>
        <w:rPr>
          <w:sz w:val="18"/>
          <w:szCs w:val="18"/>
        </w:rPr>
      </w:pPr>
      <w:r w:rsidRPr="00D6150C">
        <w:rPr>
          <w:sz w:val="18"/>
          <w:szCs w:val="18"/>
        </w:rPr>
        <w:t>2 échelons dans le cas de celle ou celui dont la scolarité est évaluée à 17 ans;</w:t>
      </w:r>
    </w:p>
    <w:p w14:paraId="374A1BC4" w14:textId="77777777" w:rsidR="00CC1E3A" w:rsidRPr="00D6150C" w:rsidRDefault="00CC1E3A" w:rsidP="00CC1E3A">
      <w:pPr>
        <w:pStyle w:val="FootnoteText"/>
        <w:keepNext w:val="0"/>
        <w:ind w:hanging="284"/>
        <w:rPr>
          <w:sz w:val="18"/>
          <w:szCs w:val="18"/>
        </w:rPr>
      </w:pPr>
      <w:r w:rsidRPr="00D6150C">
        <w:rPr>
          <w:sz w:val="18"/>
          <w:szCs w:val="18"/>
        </w:rPr>
        <w:t>4 échelons dans le cas de celle ou celui dont la scolarité est évaluée à 18 ans;</w:t>
      </w:r>
    </w:p>
    <w:p w14:paraId="31181169" w14:textId="77777777" w:rsidR="00CC1E3A" w:rsidRPr="00D6150C" w:rsidRDefault="00CC1E3A" w:rsidP="00CC1E3A">
      <w:pPr>
        <w:pStyle w:val="FootnoteText"/>
        <w:keepNext w:val="0"/>
        <w:ind w:hanging="284"/>
        <w:rPr>
          <w:sz w:val="18"/>
          <w:szCs w:val="18"/>
        </w:rPr>
      </w:pPr>
      <w:r w:rsidRPr="00D6150C">
        <w:rPr>
          <w:sz w:val="18"/>
          <w:szCs w:val="18"/>
        </w:rPr>
        <w:t>6 échelons dans le cas de celle ou celui dont la scolarité est évaluée à 19 ans;</w:t>
      </w:r>
    </w:p>
    <w:p w14:paraId="0360AF82" w14:textId="77777777" w:rsidR="00CC1E3A" w:rsidRPr="00D6150C" w:rsidRDefault="00CC1E3A" w:rsidP="006F5062">
      <w:pPr>
        <w:pStyle w:val="FootnoteText"/>
        <w:keepNext w:val="0"/>
        <w:ind w:left="284" w:hanging="1"/>
        <w:rPr>
          <w:sz w:val="18"/>
          <w:szCs w:val="18"/>
        </w:rPr>
      </w:pPr>
      <w:r w:rsidRPr="00D6150C">
        <w:rPr>
          <w:sz w:val="18"/>
          <w:szCs w:val="18"/>
        </w:rPr>
        <w:t>8 échelons dans le cas de celle ou celui dont la scolarité est évaluée à 19 ans et plus et qui possède un doctorat du 3</w:t>
      </w:r>
      <w:r w:rsidRPr="00D6150C">
        <w:rPr>
          <w:sz w:val="18"/>
          <w:szCs w:val="18"/>
          <w:vertAlign w:val="superscript"/>
        </w:rPr>
        <w:t>e</w:t>
      </w:r>
      <w:r w:rsidRPr="00D6150C">
        <w:rPr>
          <w:sz w:val="18"/>
          <w:szCs w:val="18"/>
        </w:rPr>
        <w:t xml:space="preserve"> cycle.</w:t>
      </w:r>
    </w:p>
    <w:p w14:paraId="5E3A4F85" w14:textId="2F39B0D8" w:rsidR="00CC1E3A" w:rsidRPr="00D6150C" w:rsidRDefault="00CC1E3A" w:rsidP="00CC1E3A">
      <w:pPr>
        <w:pStyle w:val="FootnoteText"/>
        <w:keepNext w:val="0"/>
        <w:ind w:left="284" w:hanging="284"/>
      </w:pPr>
    </w:p>
  </w:footnote>
  <w:footnote w:id="63">
    <w:p w14:paraId="228A61EE" w14:textId="77777777" w:rsidR="00CC1E3A" w:rsidRPr="00D6150C" w:rsidRDefault="00CC1E3A" w:rsidP="00CC1E3A">
      <w:pPr>
        <w:pStyle w:val="FootnoteText"/>
        <w:keepNext w:val="0"/>
        <w:ind w:left="284" w:hanging="284"/>
        <w:rPr>
          <w:sz w:val="18"/>
          <w:szCs w:val="18"/>
        </w:rPr>
      </w:pPr>
      <w:r w:rsidRPr="00D6150C">
        <w:rPr>
          <w:rStyle w:val="FootnoteReference"/>
        </w:rPr>
        <w:footnoteRef/>
      </w:r>
      <w:r w:rsidRPr="00D6150C">
        <w:t xml:space="preserve"> </w:t>
      </w:r>
      <w:r w:rsidRPr="00D6150C">
        <w:tab/>
      </w:r>
      <w:r w:rsidRPr="00D6150C">
        <w:rPr>
          <w:sz w:val="18"/>
          <w:szCs w:val="18"/>
        </w:rPr>
        <w:t>L’échelon 18 est accessible aux détentrices et détenteurs d’un diplôme de maîtrise acquis dans la discipline enseignée ou acquis dans une discipline apparentée et utile à l’enseignement de la discipline au contrat.</w:t>
      </w:r>
    </w:p>
    <w:p w14:paraId="4FBE7803" w14:textId="31DB9DEF" w:rsidR="00CC1E3A" w:rsidRPr="00D6150C" w:rsidRDefault="00CC1E3A" w:rsidP="00CC1E3A">
      <w:pPr>
        <w:pStyle w:val="FootnoteText"/>
        <w:keepNext w:val="0"/>
        <w:ind w:left="284" w:hanging="284"/>
      </w:pPr>
    </w:p>
  </w:footnote>
  <w:footnote w:id="64">
    <w:p w14:paraId="32177627" w14:textId="1C0D36FD" w:rsidR="00CC1E3A" w:rsidRDefault="00CC1E3A" w:rsidP="006F5062">
      <w:pPr>
        <w:pStyle w:val="FootnoteText"/>
        <w:keepNext w:val="0"/>
        <w:ind w:left="284" w:hanging="284"/>
      </w:pPr>
      <w:r w:rsidRPr="00D6150C">
        <w:rPr>
          <w:rStyle w:val="FootnoteReference"/>
        </w:rPr>
        <w:footnoteRef/>
      </w:r>
      <w:r w:rsidRPr="00D6150C">
        <w:t xml:space="preserve"> </w:t>
      </w:r>
      <w:r w:rsidR="006F5062" w:rsidRPr="00D6150C">
        <w:tab/>
      </w:r>
      <w:r w:rsidRPr="00D6150C">
        <w:rPr>
          <w:sz w:val="18"/>
          <w:szCs w:val="18"/>
        </w:rPr>
        <w:t>Les échelons 18, 19 et 20 sont accessibles aux enseignantes et aux enseignants possédant une scolarité de 19 ans ou plus et un doctorat du 3</w:t>
      </w:r>
      <w:r w:rsidRPr="00D6150C">
        <w:rPr>
          <w:sz w:val="18"/>
          <w:szCs w:val="18"/>
          <w:vertAlign w:val="superscript"/>
        </w:rPr>
        <w:t>e</w:t>
      </w:r>
      <w:r w:rsidRPr="00D6150C">
        <w:rPr>
          <w:sz w:val="18"/>
          <w:szCs w:val="18"/>
        </w:rPr>
        <w:t xml:space="preserve"> cycle.</w:t>
      </w:r>
    </w:p>
  </w:footnote>
  <w:footnote w:id="65">
    <w:p w14:paraId="49990B17" w14:textId="77777777" w:rsidR="00452E69" w:rsidRDefault="00452E69" w:rsidP="000748CA">
      <w:pPr>
        <w:pStyle w:val="FootnoteText"/>
        <w:ind w:left="284" w:hanging="284"/>
      </w:pPr>
      <w:r>
        <w:rPr>
          <w:rStyle w:val="FootnoteReference"/>
        </w:rPr>
        <w:footnoteRef/>
      </w:r>
      <w:r>
        <w:t xml:space="preserve"> </w:t>
      </w:r>
      <w:r>
        <w:tab/>
        <w:t xml:space="preserve">Au cours de la présente convention collective, </w:t>
      </w:r>
      <w:r w:rsidRPr="00226EC6">
        <w:t>si un Collège</w:t>
      </w:r>
      <w:r>
        <w:t xml:space="preserve"> devient couvert par l’un ou l’autre des secteurs visés par les primes de disparités régionales prévues pour le secteur public et parapublic, mentionné ou non à la présente clause, les parties nationales conviennent de se rencontrer et d’intégrer à la présente annexe ce secteur ou cette localité et les dispositions qui lui sont rattachées.</w:t>
      </w:r>
    </w:p>
  </w:footnote>
  <w:footnote w:id="66">
    <w:p w14:paraId="3FB609BA" w14:textId="238ED5AC" w:rsidR="00CD5BD8" w:rsidRDefault="00CD5BD8" w:rsidP="00CD5BD8">
      <w:pPr>
        <w:pStyle w:val="FootnoteText"/>
        <w:ind w:left="284" w:hanging="284"/>
      </w:pPr>
      <w:r w:rsidRPr="008A02C4">
        <w:rPr>
          <w:rStyle w:val="FootnoteReference"/>
        </w:rPr>
        <w:footnoteRef/>
      </w:r>
      <w:r w:rsidRPr="008A02C4">
        <w:t xml:space="preserve"> </w:t>
      </w:r>
      <w:r w:rsidRPr="008A02C4">
        <w:tab/>
        <w:t>Tel que présenté au tableau</w:t>
      </w:r>
      <w:r w:rsidR="00B2506E">
        <w:t> </w:t>
      </w:r>
      <w:r w:rsidRPr="008A02C4">
        <w:t>A de la présente annexe</w:t>
      </w:r>
      <w:r w:rsidR="00F0083C">
        <w:t>.</w:t>
      </w:r>
    </w:p>
  </w:footnote>
  <w:footnote w:id="67">
    <w:p w14:paraId="33297C98" w14:textId="02E8E167" w:rsidR="00E570B0" w:rsidRPr="00C12F0C" w:rsidRDefault="00E570B0" w:rsidP="00E570B0">
      <w:pPr>
        <w:pStyle w:val="FootnoteText"/>
        <w:ind w:left="284" w:hanging="284"/>
        <w:rPr>
          <w:sz w:val="18"/>
          <w:szCs w:val="18"/>
        </w:rPr>
      </w:pPr>
      <w:r w:rsidRPr="00C12F0C">
        <w:rPr>
          <w:rStyle w:val="FootnoteReference"/>
          <w:sz w:val="18"/>
          <w:szCs w:val="18"/>
        </w:rPr>
        <w:footnoteRef/>
      </w:r>
      <w:r w:rsidRPr="00C12F0C">
        <w:rPr>
          <w:sz w:val="18"/>
          <w:szCs w:val="18"/>
        </w:rPr>
        <w:t xml:space="preserve"> </w:t>
      </w:r>
      <w:r w:rsidRPr="00C12F0C">
        <w:rPr>
          <w:sz w:val="18"/>
          <w:szCs w:val="18"/>
        </w:rPr>
        <w:tab/>
        <w:t xml:space="preserve">Le rangement du titre d’emploi </w:t>
      </w:r>
      <w:r w:rsidRPr="00316277">
        <w:rPr>
          <w:sz w:val="18"/>
          <w:szCs w:val="18"/>
        </w:rPr>
        <w:t>de</w:t>
      </w:r>
      <w:r w:rsidRPr="00C12F0C">
        <w:rPr>
          <w:sz w:val="18"/>
          <w:szCs w:val="18"/>
        </w:rPr>
        <w:t xml:space="preserve"> </w:t>
      </w:r>
      <w:r w:rsidRPr="00316277">
        <w:rPr>
          <w:sz w:val="18"/>
          <w:szCs w:val="18"/>
        </w:rPr>
        <w:t>l’</w:t>
      </w:r>
      <w:r w:rsidRPr="00C12F0C">
        <w:rPr>
          <w:sz w:val="18"/>
          <w:szCs w:val="18"/>
        </w:rPr>
        <w:t xml:space="preserve">enseignante </w:t>
      </w:r>
      <w:r w:rsidRPr="00316277">
        <w:rPr>
          <w:sz w:val="18"/>
          <w:szCs w:val="18"/>
        </w:rPr>
        <w:t>ou l’</w:t>
      </w:r>
      <w:r w:rsidRPr="00C12F0C">
        <w:rPr>
          <w:sz w:val="18"/>
          <w:szCs w:val="18"/>
        </w:rPr>
        <w:t xml:space="preserve">enseignant </w:t>
      </w:r>
      <w:r w:rsidRPr="00C12F0C">
        <w:rPr>
          <w:rFonts w:cs="Arial"/>
          <w:sz w:val="18"/>
          <w:szCs w:val="22"/>
        </w:rPr>
        <w:t xml:space="preserve">à temps complet ou à temps partiel </w:t>
      </w:r>
      <w:r w:rsidRPr="00C12F0C">
        <w:rPr>
          <w:sz w:val="18"/>
          <w:szCs w:val="18"/>
        </w:rPr>
        <w:t xml:space="preserve">est prévu au </w:t>
      </w:r>
      <w:r w:rsidRPr="004662DE">
        <w:rPr>
          <w:sz w:val="18"/>
          <w:szCs w:val="18"/>
        </w:rPr>
        <w:t>tableau B</w:t>
      </w:r>
      <w:r w:rsidRPr="00C12F0C">
        <w:rPr>
          <w:sz w:val="18"/>
          <w:szCs w:val="18"/>
        </w:rPr>
        <w:t xml:space="preserve"> de la présente annexe.</w:t>
      </w:r>
    </w:p>
  </w:footnote>
  <w:footnote w:id="68">
    <w:p w14:paraId="45A002C1" w14:textId="429B59F2" w:rsidR="00CD5BD8" w:rsidRDefault="00CD5BD8" w:rsidP="00CD5BD8">
      <w:pPr>
        <w:pStyle w:val="FootnoteText"/>
        <w:ind w:left="284" w:hanging="284"/>
      </w:pPr>
      <w:r w:rsidRPr="008A02C4">
        <w:rPr>
          <w:rStyle w:val="FootnoteReference"/>
        </w:rPr>
        <w:footnoteRef/>
      </w:r>
      <w:r w:rsidRPr="008A02C4">
        <w:tab/>
        <w:t>Le rangement du titre d’emploi d</w:t>
      </w:r>
      <w:r w:rsidR="00BF56AD" w:rsidRPr="00316277">
        <w:t>e l</w:t>
      </w:r>
      <w:r w:rsidRPr="008A02C4">
        <w:t xml:space="preserve">’enseignante </w:t>
      </w:r>
      <w:r w:rsidR="00BF56AD" w:rsidRPr="00316277">
        <w:t>ou l’</w:t>
      </w:r>
      <w:r w:rsidRPr="008A02C4">
        <w:t xml:space="preserve">enseignant </w:t>
      </w:r>
      <w:r w:rsidRPr="008A02C4">
        <w:rPr>
          <w:rFonts w:cs="Arial"/>
          <w:szCs w:val="24"/>
        </w:rPr>
        <w:t xml:space="preserve">à temps complet ou à temps partiel </w:t>
      </w:r>
      <w:r w:rsidRPr="008A02C4">
        <w:t>est prévu au tableau</w:t>
      </w:r>
      <w:r w:rsidR="005126CF">
        <w:t> </w:t>
      </w:r>
      <w:r w:rsidR="00E647EA" w:rsidRPr="008A02C4">
        <w:t>B</w:t>
      </w:r>
      <w:r w:rsidRPr="008A02C4">
        <w:t xml:space="preserve"> de la présente annexe.</w:t>
      </w:r>
      <w:r w:rsidR="007F4E3E">
        <w:t xml:space="preserve"> </w:t>
      </w:r>
    </w:p>
  </w:footnote>
  <w:footnote w:id="69">
    <w:p w14:paraId="6CFBDAA8" w14:textId="38BB2682" w:rsidR="00787323" w:rsidRDefault="00787323" w:rsidP="00787323">
      <w:pPr>
        <w:pStyle w:val="FootnoteText"/>
        <w:ind w:left="284" w:hanging="284"/>
      </w:pPr>
      <w:r w:rsidRPr="00316277">
        <w:rPr>
          <w:rStyle w:val="FootnoteReference"/>
          <w:sz w:val="18"/>
          <w:szCs w:val="18"/>
        </w:rPr>
        <w:footnoteRef/>
      </w:r>
      <w:r w:rsidRPr="00316277">
        <w:rPr>
          <w:sz w:val="18"/>
          <w:szCs w:val="18"/>
        </w:rPr>
        <w:t xml:space="preserve"> </w:t>
      </w:r>
      <w:r w:rsidRPr="00316277">
        <w:rPr>
          <w:sz w:val="18"/>
          <w:szCs w:val="18"/>
        </w:rPr>
        <w:tab/>
      </w:r>
      <w:bookmarkStart w:id="1592" w:name="_Hlk163574173"/>
      <w:r w:rsidR="00F02459" w:rsidRPr="00316277">
        <w:t>Exceptionnellement, l’échelle de traitement au 1</w:t>
      </w:r>
      <w:r w:rsidR="00F02459" w:rsidRPr="00316277">
        <w:rPr>
          <w:vertAlign w:val="superscript"/>
        </w:rPr>
        <w:t>er</w:t>
      </w:r>
      <w:r w:rsidR="00FD3B8E" w:rsidRPr="00316277">
        <w:t> </w:t>
      </w:r>
      <w:r w:rsidR="00F02459" w:rsidRPr="00316277">
        <w:t>avril</w:t>
      </w:r>
      <w:r w:rsidR="00FD3B8E" w:rsidRPr="00316277">
        <w:t> </w:t>
      </w:r>
      <w:r w:rsidR="00F02459" w:rsidRPr="00316277">
        <w:t>2024, présentée à cette annexe, comprend la majoration prévue à la clause</w:t>
      </w:r>
      <w:r w:rsidR="00FD3B8E" w:rsidRPr="00316277">
        <w:t> </w:t>
      </w:r>
      <w:r w:rsidR="00F02459" w:rsidRPr="00316277">
        <w:t>6</w:t>
      </w:r>
      <w:r w:rsidR="00F02459" w:rsidRPr="00316277">
        <w:noBreakHyphen/>
        <w:t>4.03 et les bonifications convenues entre les parties applicables à cette date.</w:t>
      </w:r>
      <w:bookmarkEnd w:id="1592"/>
    </w:p>
  </w:footnote>
  <w:footnote w:id="70">
    <w:p w14:paraId="26968C51" w14:textId="76A6E20F" w:rsidR="00CD5BD8" w:rsidRPr="001B0612" w:rsidRDefault="00CD5BD8" w:rsidP="009C71AA">
      <w:pPr>
        <w:pStyle w:val="FootnoteText"/>
        <w:ind w:left="284" w:hanging="284"/>
        <w:rPr>
          <w:dstrike/>
          <w:sz w:val="18"/>
          <w:szCs w:val="18"/>
        </w:rPr>
      </w:pPr>
      <w:r w:rsidRPr="008A02C4">
        <w:rPr>
          <w:rStyle w:val="FootnoteReference"/>
          <w:sz w:val="18"/>
          <w:szCs w:val="18"/>
        </w:rPr>
        <w:footnoteRef/>
      </w:r>
      <w:r w:rsidRPr="008A02C4">
        <w:rPr>
          <w:sz w:val="18"/>
          <w:szCs w:val="18"/>
        </w:rPr>
        <w:t xml:space="preserve"> </w:t>
      </w:r>
      <w:r w:rsidRPr="008A02C4">
        <w:rPr>
          <w:sz w:val="18"/>
          <w:szCs w:val="18"/>
        </w:rPr>
        <w:tab/>
      </w:r>
      <w:r w:rsidR="001B0612" w:rsidRPr="00316277">
        <w:rPr>
          <w:sz w:val="18"/>
          <w:szCs w:val="18"/>
        </w:rPr>
        <w:t>Le taux horaire comprend la rémunération due à titre de vacances et de jours fériés.</w:t>
      </w:r>
    </w:p>
  </w:footnote>
  <w:footnote w:id="71">
    <w:p w14:paraId="7891CFF8" w14:textId="77777777" w:rsidR="00CD5BD8" w:rsidRPr="008A02C4" w:rsidRDefault="00CD5BD8" w:rsidP="009C71AA">
      <w:pPr>
        <w:pStyle w:val="FootnoteText"/>
        <w:ind w:left="284" w:hanging="284"/>
      </w:pPr>
      <w:r w:rsidRPr="008A02C4">
        <w:rPr>
          <w:rStyle w:val="FootnoteReference"/>
        </w:rPr>
        <w:footnoteRef/>
      </w:r>
      <w:r w:rsidRPr="008A02C4">
        <w:t xml:space="preserve"> </w:t>
      </w:r>
      <w:r w:rsidRPr="008A02C4">
        <w:tab/>
      </w:r>
      <w:r w:rsidRPr="008A02C4">
        <w:rPr>
          <w:rFonts w:cs="Arial"/>
          <w:sz w:val="18"/>
          <w:szCs w:val="18"/>
        </w:rPr>
        <w:t>Quand la virgule décimale est suivie de trois chiffres et plus, le troisième chiffre et les suivants sont retranchés si le troisième chiffre est inférieur à cinq. Si le troisième chiffre est égal ou supérieur à cinq, le deuxième est porté à l’unité supérieure et le troisième et les suivants sont retranchés.</w:t>
      </w:r>
    </w:p>
  </w:footnote>
  <w:footnote w:id="72">
    <w:p w14:paraId="0CE4676A" w14:textId="00E225A0" w:rsidR="00CD5BD8" w:rsidRPr="008A02C4" w:rsidRDefault="00CD5BD8" w:rsidP="009C71AA">
      <w:pPr>
        <w:pStyle w:val="FootnoteText"/>
        <w:ind w:left="284" w:hanging="284"/>
      </w:pPr>
      <w:r w:rsidRPr="008A02C4">
        <w:rPr>
          <w:rStyle w:val="FootnoteReference"/>
        </w:rPr>
        <w:footnoteRef/>
      </w:r>
      <w:r w:rsidRPr="008A02C4">
        <w:t xml:space="preserve"> </w:t>
      </w:r>
      <w:r w:rsidRPr="008A02C4">
        <w:tab/>
      </w:r>
      <w:r w:rsidRPr="008A02C4">
        <w:rPr>
          <w:rFonts w:cs="Arial"/>
          <w:sz w:val="18"/>
          <w:szCs w:val="18"/>
        </w:rPr>
        <w:t xml:space="preserve">Les augmentations calculées à partir de l’échelon de référence (échelon au temps </w:t>
      </w:r>
      <w:r w:rsidRPr="008A02C4">
        <w:rPr>
          <w:rFonts w:cs="Arial"/>
          <w:sz w:val="18"/>
          <w:szCs w:val="18"/>
          <w:vertAlign w:val="subscript"/>
        </w:rPr>
        <w:t xml:space="preserve">t </w:t>
      </w:r>
      <w:r w:rsidRPr="008A02C4">
        <w:rPr>
          <w:rFonts w:cs="Arial"/>
          <w:sz w:val="18"/>
          <w:szCs w:val="18"/>
        </w:rPr>
        <w:t xml:space="preserve">/ échelon au temps </w:t>
      </w:r>
      <w:r w:rsidRPr="008A02C4">
        <w:rPr>
          <w:rFonts w:cs="Arial"/>
          <w:sz w:val="18"/>
          <w:szCs w:val="18"/>
          <w:vertAlign w:val="subscript"/>
        </w:rPr>
        <w:t>t</w:t>
      </w:r>
      <w:r w:rsidR="00984A6F">
        <w:rPr>
          <w:rFonts w:cs="Arial"/>
          <w:sz w:val="18"/>
          <w:szCs w:val="18"/>
          <w:vertAlign w:val="subscript"/>
        </w:rPr>
        <w:noBreakHyphen/>
      </w:r>
      <w:r w:rsidRPr="008A02C4">
        <w:rPr>
          <w:rFonts w:cs="Arial"/>
          <w:sz w:val="18"/>
          <w:szCs w:val="18"/>
          <w:vertAlign w:val="subscript"/>
        </w:rPr>
        <w:t>1</w:t>
      </w:r>
      <w:r w:rsidRPr="008A02C4">
        <w:rPr>
          <w:rFonts w:cs="Arial"/>
          <w:sz w:val="18"/>
          <w:szCs w:val="18"/>
        </w:rPr>
        <w:t>)</w:t>
      </w:r>
      <w:r w:rsidRPr="008A02C4">
        <w:rPr>
          <w:rFonts w:cs="Arial"/>
          <w:sz w:val="18"/>
          <w:szCs w:val="18"/>
          <w:vertAlign w:val="subscript"/>
        </w:rPr>
        <w:t xml:space="preserve"> </w:t>
      </w:r>
      <w:r w:rsidRPr="008A02C4">
        <w:rPr>
          <w:rFonts w:cs="Arial"/>
          <w:sz w:val="18"/>
          <w:szCs w:val="18"/>
        </w:rPr>
        <w:t>sont arrondies à quatre décimales.</w:t>
      </w:r>
    </w:p>
  </w:footnote>
  <w:footnote w:id="73">
    <w:p w14:paraId="31600CF9" w14:textId="77777777" w:rsidR="00CD5BD8" w:rsidRPr="008A02C4" w:rsidRDefault="00CD5BD8" w:rsidP="009C71AA">
      <w:pPr>
        <w:pStyle w:val="FootnoteText"/>
        <w:ind w:left="284" w:hanging="284"/>
      </w:pPr>
      <w:r w:rsidRPr="008A02C4">
        <w:rPr>
          <w:rStyle w:val="FootnoteReference"/>
        </w:rPr>
        <w:footnoteRef/>
      </w:r>
      <w:r w:rsidRPr="008A02C4">
        <w:t xml:space="preserve"> </w:t>
      </w:r>
      <w:r w:rsidRPr="008A02C4">
        <w:tab/>
      </w:r>
      <w:r w:rsidRPr="008A02C4">
        <w:rPr>
          <w:rFonts w:cs="Arial"/>
          <w:sz w:val="18"/>
          <w:szCs w:val="18"/>
        </w:rPr>
        <w:t>Quand la virgule décimale est suivie d’un chiffre et plus, le premier chiffre et les suivants sont retranchés si le premier chiffre est inférieur à cinq. Si le premier chiffre est égal ou supérieur à cinq, le dollar est porté à l’unité supérieure et la première décimale et les suivantes sont retranchées.</w:t>
      </w:r>
    </w:p>
  </w:footnote>
  <w:footnote w:id="74">
    <w:p w14:paraId="42C35EA9" w14:textId="4496EB27" w:rsidR="00E9355A" w:rsidRDefault="00E9355A" w:rsidP="00C0066C">
      <w:pPr>
        <w:pStyle w:val="FootnoteText"/>
        <w:ind w:left="284" w:hanging="284"/>
      </w:pPr>
      <w:r w:rsidRPr="007603C5">
        <w:rPr>
          <w:rStyle w:val="FootnoteReference"/>
        </w:rPr>
        <w:footnoteRef/>
      </w:r>
      <w:r w:rsidRPr="007603C5">
        <w:t xml:space="preserve"> </w:t>
      </w:r>
      <w:r w:rsidR="00C0066C" w:rsidRPr="007603C5">
        <w:tab/>
      </w:r>
      <w:r w:rsidR="00F97E25" w:rsidRPr="007603C5">
        <w:rPr>
          <w:rFonts w:eastAsia="Calibri" w:cs="Arial"/>
          <w:szCs w:val="22"/>
        </w:rPr>
        <w:t>Approches pédagogiques « Orientation qui guide l’organisation de la situation pédagogique pour atteindre une ou plusieurs finalités. » (Dictionnaire actuel de l’éducation, 3</w:t>
      </w:r>
      <w:r w:rsidR="00F97E25" w:rsidRPr="00B16F4F">
        <w:rPr>
          <w:rFonts w:eastAsia="Calibri" w:cs="Arial"/>
          <w:szCs w:val="22"/>
          <w:vertAlign w:val="superscript"/>
        </w:rPr>
        <w:t>e</w:t>
      </w:r>
      <w:r w:rsidR="00F97E25" w:rsidRPr="007603C5">
        <w:rPr>
          <w:rFonts w:eastAsia="Calibri" w:cs="Arial"/>
          <w:szCs w:val="22"/>
        </w:rPr>
        <w:t xml:space="preserve"> édition, Renald Legendre)</w:t>
      </w:r>
      <w:r w:rsidR="00E060FB">
        <w:rPr>
          <w:rFonts w:eastAsia="Calibri" w:cs="Arial"/>
          <w:szCs w:val="22"/>
        </w:rPr>
        <w:t>.</w:t>
      </w:r>
    </w:p>
  </w:footnote>
  <w:footnote w:id="75">
    <w:p w14:paraId="5F6E3442" w14:textId="0C733F36" w:rsidR="00452E69" w:rsidRDefault="00452E69" w:rsidP="00D91374">
      <w:pPr>
        <w:pStyle w:val="FootnoteText"/>
        <w:ind w:left="284" w:hanging="284"/>
      </w:pPr>
      <w:r>
        <w:rPr>
          <w:rStyle w:val="FootnoteReference"/>
        </w:rPr>
        <w:footnoteRef/>
      </w:r>
      <w:r>
        <w:tab/>
      </w:r>
      <w:r w:rsidR="00C0066C" w:rsidRPr="00346BC4">
        <w:t>https//cpn.gouv.qc.ca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C38D" w14:textId="77777777" w:rsidR="00452E69" w:rsidRDefault="00452E69">
    <w:pPr>
      <w:pStyle w:val="Header"/>
      <w:tabs>
        <w:tab w:val="center" w:pos="5040"/>
        <w:tab w:val="right" w:pos="10439"/>
      </w:tabs>
    </w:pPr>
    <w:r>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E4B6" w14:textId="7B6F2ABE" w:rsidR="003D57C4" w:rsidRPr="001100F0" w:rsidRDefault="003D57C4"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4</w:t>
    </w:r>
    <w:r w:rsidRPr="00316277">
      <w:rPr>
        <w:rFonts w:ascii="Arial Gras" w:hAnsi="Arial Gras"/>
        <w:b/>
        <w:smallCaps/>
        <w:szCs w:val="24"/>
      </w:rPr>
      <w:tab/>
    </w:r>
    <w:r w:rsidRPr="00316277">
      <w:rPr>
        <w:rFonts w:ascii="Arial Gras" w:hAnsi="Arial Gras"/>
        <w:bCs/>
        <w:smallCaps/>
        <w:szCs w:val="24"/>
      </w:rPr>
      <w:t>Organisation du travail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D98E" w14:textId="77777777" w:rsidR="0076558E" w:rsidRPr="001100F0" w:rsidRDefault="0076558E" w:rsidP="0076558E">
    <w:pPr>
      <w:pStyle w:val="Header"/>
      <w:pBdr>
        <w:bottom w:val="single" w:sz="4" w:space="1" w:color="auto"/>
      </w:pBdr>
      <w:tabs>
        <w:tab w:val="center" w:pos="4820"/>
        <w:tab w:val="right" w:pos="9481"/>
      </w:tabs>
      <w:jc w:val="left"/>
      <w:rPr>
        <w:rFonts w:ascii="Arial Gras" w:hAnsi="Arial Gras"/>
        <w:b/>
        <w:smallCaps/>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50195" w14:textId="77777777" w:rsidR="0076558E" w:rsidRPr="001100F0" w:rsidRDefault="0076558E"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5</w:t>
    </w:r>
    <w:r w:rsidRPr="00316277">
      <w:rPr>
        <w:rFonts w:ascii="Arial Gras" w:hAnsi="Arial Gras"/>
        <w:b/>
        <w:smallCaps/>
        <w:szCs w:val="24"/>
      </w:rPr>
      <w:tab/>
    </w:r>
    <w:r w:rsidRPr="00316277">
      <w:rPr>
        <w:rFonts w:ascii="Arial Gras" w:hAnsi="Arial Gras"/>
        <w:bCs/>
        <w:smallCaps/>
        <w:szCs w:val="24"/>
      </w:rPr>
      <w:t>Emploi et avantages sociaux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D9D01" w14:textId="77777777" w:rsidR="0076558E" w:rsidRPr="001100F0" w:rsidRDefault="0076558E" w:rsidP="0076558E">
    <w:pPr>
      <w:pStyle w:val="Header"/>
      <w:pBdr>
        <w:bottom w:val="single" w:sz="4" w:space="1" w:color="auto"/>
      </w:pBdr>
      <w:tabs>
        <w:tab w:val="center" w:pos="4820"/>
        <w:tab w:val="right" w:pos="9481"/>
      </w:tabs>
      <w:jc w:val="left"/>
      <w:rPr>
        <w:rFonts w:ascii="Arial Gras" w:hAnsi="Arial Gras"/>
        <w:b/>
        <w:smallCaps/>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5A53" w14:textId="477CBFA6" w:rsidR="0076558E" w:rsidRPr="001100F0" w:rsidRDefault="0076558E"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6</w:t>
    </w:r>
    <w:r w:rsidRPr="00316277">
      <w:rPr>
        <w:rFonts w:ascii="Arial Gras" w:hAnsi="Arial Gras"/>
        <w:b/>
        <w:smallCaps/>
        <w:szCs w:val="24"/>
      </w:rPr>
      <w:tab/>
    </w:r>
    <w:r w:rsidRPr="00316277">
      <w:rPr>
        <w:rFonts w:ascii="Arial Gras" w:hAnsi="Arial Gras"/>
        <w:bCs/>
        <w:smallCaps/>
        <w:szCs w:val="24"/>
      </w:rPr>
      <w:t>Rémunération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C12C" w14:textId="77777777" w:rsidR="00C17379" w:rsidRPr="001100F0" w:rsidRDefault="00C17379" w:rsidP="00C17379">
    <w:pPr>
      <w:pStyle w:val="Header"/>
      <w:pBdr>
        <w:bottom w:val="single" w:sz="4" w:space="1" w:color="auto"/>
      </w:pBdr>
      <w:tabs>
        <w:tab w:val="center" w:pos="4820"/>
        <w:tab w:val="right" w:pos="9481"/>
      </w:tabs>
      <w:jc w:val="left"/>
      <w:rPr>
        <w:rFonts w:ascii="Arial Gras" w:hAnsi="Arial Gras"/>
        <w:b/>
        <w:smallCaps/>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3D438" w14:textId="706F86AA" w:rsidR="004F54FA" w:rsidRPr="001100F0" w:rsidRDefault="004F54FA" w:rsidP="004F54FA">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7</w:t>
    </w:r>
    <w:r w:rsidRPr="00316277">
      <w:rPr>
        <w:rFonts w:ascii="Arial Gras" w:hAnsi="Arial Gras"/>
        <w:b/>
        <w:smallCaps/>
        <w:szCs w:val="24"/>
      </w:rPr>
      <w:tab/>
    </w:r>
    <w:r w:rsidRPr="00316277">
      <w:rPr>
        <w:rFonts w:ascii="Arial Gras" w:hAnsi="Arial Gras"/>
        <w:bCs/>
        <w:smallCaps/>
        <w:szCs w:val="24"/>
      </w:rPr>
      <w:t>Perfectionnement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1EC3" w14:textId="77777777" w:rsidR="004F54FA" w:rsidRPr="001100F0" w:rsidRDefault="004F54FA" w:rsidP="004F54FA">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7</w:t>
    </w:r>
    <w:r w:rsidRPr="00316277">
      <w:rPr>
        <w:rFonts w:ascii="Arial Gras" w:hAnsi="Arial Gras"/>
        <w:b/>
        <w:smallCaps/>
        <w:szCs w:val="24"/>
      </w:rPr>
      <w:tab/>
    </w:r>
    <w:r w:rsidRPr="00316277">
      <w:rPr>
        <w:rFonts w:ascii="Arial Gras" w:hAnsi="Arial Gras"/>
        <w:bCs/>
        <w:smallCaps/>
        <w:szCs w:val="24"/>
      </w:rPr>
      <w:t>Perfectionnement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CC80" w14:textId="77777777" w:rsidR="008F6845" w:rsidRPr="001100F0" w:rsidRDefault="008F6845" w:rsidP="008F6845">
    <w:pPr>
      <w:pStyle w:val="Header"/>
      <w:pBdr>
        <w:bottom w:val="single" w:sz="4" w:space="1" w:color="auto"/>
      </w:pBdr>
      <w:tabs>
        <w:tab w:val="center" w:pos="4820"/>
        <w:tab w:val="right" w:pos="9481"/>
      </w:tabs>
      <w:jc w:val="left"/>
      <w:rPr>
        <w:rFonts w:ascii="Arial Gras" w:hAnsi="Arial Gras"/>
        <w:b/>
        <w:smallCaps/>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5F39" w14:textId="474B4E38" w:rsidR="00C17379" w:rsidRPr="001100F0" w:rsidRDefault="00C17379" w:rsidP="00C17379">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8</w:t>
    </w:r>
    <w:r w:rsidRPr="00316277">
      <w:rPr>
        <w:rFonts w:ascii="Arial Gras" w:hAnsi="Arial Gras"/>
        <w:b/>
        <w:smallCaps/>
        <w:szCs w:val="24"/>
      </w:rPr>
      <w:tab/>
    </w:r>
    <w:r w:rsidRPr="00316277">
      <w:rPr>
        <w:rFonts w:ascii="Arial Gras" w:hAnsi="Arial Gras"/>
        <w:bCs/>
        <w:smallCaps/>
        <w:szCs w:val="24"/>
      </w:rPr>
      <w:t>La tâche d’enseignement et son aménagement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A42C" w14:textId="77777777" w:rsidR="00452E69" w:rsidRPr="00AA4960" w:rsidRDefault="00452E69" w:rsidP="00AA49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DBB3" w14:textId="77777777" w:rsidR="00C17379" w:rsidRPr="001100F0" w:rsidRDefault="00C17379" w:rsidP="00C17379">
    <w:pPr>
      <w:pStyle w:val="Header"/>
      <w:pBdr>
        <w:bottom w:val="single" w:sz="4" w:space="1" w:color="auto"/>
      </w:pBdr>
      <w:tabs>
        <w:tab w:val="center" w:pos="4820"/>
        <w:tab w:val="right" w:pos="9481"/>
      </w:tabs>
      <w:jc w:val="left"/>
      <w:rPr>
        <w:rFonts w:ascii="Arial Gras" w:hAnsi="Arial Gras"/>
        <w:b/>
        <w:smallCaps/>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740F" w14:textId="77777777" w:rsidR="00C17379" w:rsidRPr="001100F0" w:rsidRDefault="00C17379" w:rsidP="00C17379">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9</w:t>
    </w:r>
    <w:r w:rsidRPr="00316277">
      <w:rPr>
        <w:rFonts w:ascii="Arial Gras" w:hAnsi="Arial Gras"/>
        <w:b/>
        <w:smallCaps/>
        <w:szCs w:val="24"/>
      </w:rPr>
      <w:tab/>
    </w:r>
    <w:r w:rsidRPr="00316277">
      <w:rPr>
        <w:rFonts w:ascii="Arial Gras" w:hAnsi="Arial Gras"/>
        <w:bCs/>
        <w:smallCaps/>
        <w:szCs w:val="24"/>
      </w:rPr>
      <w:t>Grief et arbitrage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F387" w14:textId="77777777" w:rsidR="00522997" w:rsidRPr="001100F0" w:rsidRDefault="00522997" w:rsidP="00522997">
    <w:pPr>
      <w:pStyle w:val="Header"/>
      <w:pBdr>
        <w:bottom w:val="single" w:sz="4" w:space="1" w:color="auto"/>
      </w:pBdr>
      <w:tabs>
        <w:tab w:val="center" w:pos="4820"/>
        <w:tab w:val="right" w:pos="9481"/>
      </w:tabs>
      <w:jc w:val="left"/>
      <w:rPr>
        <w:rFonts w:ascii="Arial Gras" w:hAnsi="Arial Gras"/>
        <w:b/>
        <w:smallCaps/>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36DA" w14:textId="4E0A1AAC" w:rsidR="00522997" w:rsidRPr="001100F0" w:rsidRDefault="00522997" w:rsidP="00C17379">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10</w:t>
    </w:r>
    <w:r w:rsidRPr="00316277">
      <w:rPr>
        <w:rFonts w:ascii="Arial Gras" w:hAnsi="Arial Gras"/>
        <w:b/>
        <w:smallCaps/>
        <w:szCs w:val="24"/>
      </w:rPr>
      <w:tab/>
    </w:r>
    <w:r w:rsidRPr="00316277">
      <w:rPr>
        <w:rFonts w:ascii="Arial Gras" w:hAnsi="Arial Gras"/>
        <w:bCs/>
        <w:smallCaps/>
        <w:szCs w:val="24"/>
      </w:rPr>
      <w:t>Divers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D4911" w14:textId="77777777" w:rsidR="004C0B5F" w:rsidRPr="001100F0" w:rsidRDefault="004C0B5F" w:rsidP="004C0B5F">
    <w:pPr>
      <w:pStyle w:val="Header"/>
      <w:pBdr>
        <w:bottom w:val="single" w:sz="4" w:space="1" w:color="auto"/>
      </w:pBdr>
      <w:tabs>
        <w:tab w:val="center" w:pos="4820"/>
        <w:tab w:val="right" w:pos="9481"/>
      </w:tabs>
      <w:jc w:val="left"/>
      <w:rPr>
        <w:rFonts w:ascii="Arial Gras" w:hAnsi="Arial Gras"/>
        <w:b/>
        <w:smallCaps/>
        <w:szCs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5CAD3" w14:textId="77777777" w:rsidR="004C0B5F" w:rsidRPr="001100F0" w:rsidRDefault="004C0B5F" w:rsidP="00C17379">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I</w:t>
    </w:r>
    <w:r w:rsidRPr="00316277">
      <w:rPr>
        <w:rFonts w:ascii="Arial Gras" w:hAnsi="Arial Gras"/>
        <w:b/>
        <w:smallCaps/>
        <w:szCs w:val="24"/>
      </w:rPr>
      <w:tab/>
    </w:r>
    <w:r w:rsidRPr="00316277">
      <w:rPr>
        <w:rFonts w:ascii="Arial Gras" w:hAnsi="Arial Gras"/>
        <w:bCs/>
        <w:smallCaps/>
        <w:szCs w:val="24"/>
      </w:rPr>
      <w:t>Tâche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1818" w14:textId="77777777" w:rsidR="009E4F22" w:rsidRPr="001100F0" w:rsidRDefault="009E4F22" w:rsidP="009E4F22">
    <w:pPr>
      <w:pStyle w:val="Header"/>
      <w:pBdr>
        <w:bottom w:val="single" w:sz="4" w:space="1" w:color="auto"/>
      </w:pBdr>
      <w:tabs>
        <w:tab w:val="right" w:pos="1332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I</w:t>
    </w:r>
    <w:r w:rsidRPr="00316277">
      <w:rPr>
        <w:rFonts w:ascii="Arial Gras" w:hAnsi="Arial Gras"/>
        <w:b/>
        <w:smallCaps/>
        <w:szCs w:val="24"/>
      </w:rPr>
      <w:tab/>
    </w:r>
    <w:r w:rsidRPr="00316277">
      <w:rPr>
        <w:rFonts w:ascii="Arial Gras" w:hAnsi="Arial Gras"/>
        <w:bCs/>
        <w:smallCaps/>
        <w:szCs w:val="24"/>
      </w:rPr>
      <w:t>Tâche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1E708" w14:textId="77777777" w:rsidR="00D17949" w:rsidRPr="001100F0" w:rsidRDefault="00D17949" w:rsidP="00D17949">
    <w:pPr>
      <w:pStyle w:val="Header"/>
      <w:pBdr>
        <w:bottom w:val="single" w:sz="4" w:space="1" w:color="auto"/>
      </w:pBdr>
      <w:tabs>
        <w:tab w:val="center" w:pos="4820"/>
        <w:tab w:val="right" w:pos="9481"/>
      </w:tabs>
      <w:jc w:val="left"/>
      <w:rPr>
        <w:rFonts w:ascii="Arial Gras" w:hAnsi="Arial Gras"/>
        <w:b/>
        <w:smallCaps/>
        <w:szCs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A508" w14:textId="7CB68CD9" w:rsidR="00D17949" w:rsidRPr="001100F0" w:rsidRDefault="00D17949" w:rsidP="009E4F22">
    <w:pPr>
      <w:pStyle w:val="Header"/>
      <w:pBdr>
        <w:bottom w:val="single" w:sz="4" w:space="1" w:color="auto"/>
      </w:pBdr>
      <w:tabs>
        <w:tab w:val="right" w:pos="1332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II</w:t>
    </w:r>
    <w:r w:rsidRPr="00316277">
      <w:rPr>
        <w:rFonts w:ascii="Arial Gras" w:hAnsi="Arial Gras"/>
        <w:b/>
        <w:smallCaps/>
        <w:szCs w:val="24"/>
      </w:rPr>
      <w:tab/>
    </w:r>
    <w:r w:rsidRPr="00316277">
      <w:rPr>
        <w:rFonts w:ascii="Arial Gras" w:hAnsi="Arial Gras"/>
        <w:bCs/>
        <w:smallCaps/>
        <w:szCs w:val="24"/>
      </w:rPr>
      <w:t>Sécurité d’emploi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027DB" w14:textId="77777777" w:rsidR="00A77073" w:rsidRPr="001100F0" w:rsidRDefault="00A77073" w:rsidP="00A77073">
    <w:pPr>
      <w:pStyle w:val="Header"/>
      <w:pBdr>
        <w:bottom w:val="single" w:sz="4" w:space="1" w:color="auto"/>
      </w:pBdr>
      <w:tabs>
        <w:tab w:val="center" w:pos="4820"/>
        <w:tab w:val="right" w:pos="9481"/>
      </w:tabs>
      <w:jc w:val="left"/>
      <w:rPr>
        <w:rFonts w:ascii="Arial Gras" w:hAnsi="Arial Gras"/>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82076" w14:textId="77777777" w:rsidR="00F7127E" w:rsidRPr="001100F0" w:rsidRDefault="00F7127E" w:rsidP="00F7127E">
    <w:pPr>
      <w:pStyle w:val="Header"/>
      <w:pBdr>
        <w:bottom w:val="single" w:sz="4" w:space="1" w:color="auto"/>
      </w:pBdr>
      <w:tabs>
        <w:tab w:val="center" w:pos="4820"/>
        <w:tab w:val="right" w:pos="9481"/>
      </w:tabs>
      <w:jc w:val="left"/>
      <w:rPr>
        <w:rFonts w:ascii="Arial Gras" w:hAnsi="Arial Gras"/>
        <w:b/>
        <w:smallCaps/>
        <w:szCs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E743" w14:textId="02DDF778" w:rsidR="00D17949" w:rsidRPr="001100F0" w:rsidRDefault="00D17949" w:rsidP="009E4F22">
    <w:pPr>
      <w:pStyle w:val="Header"/>
      <w:pBdr>
        <w:bottom w:val="single" w:sz="4" w:space="1" w:color="auto"/>
      </w:pBdr>
      <w:tabs>
        <w:tab w:val="right" w:pos="1332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III</w:t>
    </w:r>
    <w:r w:rsidRPr="00316277">
      <w:rPr>
        <w:rFonts w:ascii="Arial Gras" w:hAnsi="Arial Gras"/>
        <w:b/>
        <w:smallCaps/>
        <w:szCs w:val="24"/>
      </w:rPr>
      <w:tab/>
    </w:r>
    <w:r w:rsidRPr="00316277">
      <w:rPr>
        <w:rFonts w:ascii="Arial Gras" w:hAnsi="Arial Gras"/>
        <w:bCs/>
        <w:smallCaps/>
        <w:szCs w:val="24"/>
      </w:rPr>
      <w:t>Annexes particulières à certains collèges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BBFE" w14:textId="77777777" w:rsidR="00BE26AA" w:rsidRPr="001100F0" w:rsidRDefault="00BE26AA" w:rsidP="00BE26AA">
    <w:pPr>
      <w:pStyle w:val="Header"/>
      <w:pBdr>
        <w:bottom w:val="single" w:sz="4" w:space="1" w:color="auto"/>
      </w:pBdr>
      <w:tabs>
        <w:tab w:val="center" w:pos="4820"/>
        <w:tab w:val="right" w:pos="9481"/>
      </w:tabs>
      <w:jc w:val="left"/>
      <w:rPr>
        <w:rFonts w:ascii="Arial Gras" w:hAnsi="Arial Gras"/>
        <w:b/>
        <w:smallCaps/>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0E61" w14:textId="77777777" w:rsidR="00BE26AA" w:rsidRPr="001100F0" w:rsidRDefault="00BE26AA" w:rsidP="00BE26AA">
    <w:pPr>
      <w:pStyle w:val="Header"/>
      <w:pBdr>
        <w:bottom w:val="single" w:sz="4" w:space="1" w:color="auto"/>
      </w:pBdr>
      <w:tabs>
        <w:tab w:val="left" w:pos="5781"/>
        <w:tab w:val="right" w:pos="1332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IV</w:t>
    </w:r>
    <w:r w:rsidRPr="00316277">
      <w:rPr>
        <w:rFonts w:ascii="Arial Gras" w:hAnsi="Arial Gras"/>
        <w:b/>
        <w:smallCaps/>
        <w:szCs w:val="24"/>
      </w:rPr>
      <w:tab/>
    </w:r>
    <w:r w:rsidRPr="00316277">
      <w:rPr>
        <w:rFonts w:ascii="Arial Gras" w:hAnsi="Arial Gras"/>
        <w:b/>
        <w:smallCaps/>
        <w:szCs w:val="24"/>
      </w:rPr>
      <w:tab/>
    </w:r>
    <w:r w:rsidRPr="00316277">
      <w:rPr>
        <w:rFonts w:ascii="Arial Gras" w:hAnsi="Arial Gras"/>
        <w:bCs/>
        <w:smallCaps/>
        <w:szCs w:val="24"/>
      </w:rPr>
      <w:t>Griefs et arbitrages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C8E7" w14:textId="77777777" w:rsidR="00BE26AA" w:rsidRPr="001100F0" w:rsidRDefault="00BE26AA" w:rsidP="00BE26AA">
    <w:pPr>
      <w:pStyle w:val="Header"/>
      <w:pBdr>
        <w:bottom w:val="single" w:sz="4" w:space="1" w:color="auto"/>
      </w:pBdr>
      <w:tabs>
        <w:tab w:val="center" w:pos="4820"/>
        <w:tab w:val="right" w:pos="9481"/>
      </w:tabs>
      <w:jc w:val="left"/>
      <w:rPr>
        <w:rFonts w:ascii="Arial Gras" w:hAnsi="Arial Gras"/>
        <w:b/>
        <w:smallCaps/>
        <w:szCs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75D7" w14:textId="7BCE56CF" w:rsidR="00BE26AA" w:rsidRPr="001100F0" w:rsidRDefault="00BE26AA" w:rsidP="00BE26AA">
    <w:pPr>
      <w:pStyle w:val="Header"/>
      <w:pBdr>
        <w:bottom w:val="single" w:sz="4" w:space="1" w:color="auto"/>
      </w:pBdr>
      <w:tabs>
        <w:tab w:val="left" w:pos="4253"/>
        <w:tab w:val="right" w:pos="1332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V</w:t>
    </w:r>
    <w:r w:rsidRPr="00316277">
      <w:rPr>
        <w:rFonts w:ascii="Arial Gras" w:hAnsi="Arial Gras"/>
        <w:b/>
        <w:smallCaps/>
        <w:szCs w:val="24"/>
      </w:rPr>
      <w:tab/>
    </w:r>
    <w:r w:rsidRPr="00316277">
      <w:rPr>
        <w:rFonts w:ascii="Arial Gras" w:hAnsi="Arial Gras"/>
        <w:b/>
        <w:smallCaps/>
        <w:szCs w:val="24"/>
      </w:rPr>
      <w:tab/>
    </w:r>
    <w:r w:rsidRPr="00316277">
      <w:rPr>
        <w:rFonts w:ascii="Arial Gras" w:hAnsi="Arial Gras"/>
        <w:bCs/>
        <w:smallCaps/>
        <w:szCs w:val="24"/>
      </w:rPr>
      <w:t>Avantages sociaux et matières connexes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1A4EE" w14:textId="51E87B34" w:rsidR="00E22008" w:rsidRPr="001100F0" w:rsidRDefault="00E22008" w:rsidP="00E22008">
    <w:pPr>
      <w:pStyle w:val="Header"/>
      <w:pBdr>
        <w:bottom w:val="single" w:sz="4" w:space="1" w:color="auto"/>
      </w:pBdr>
      <w:tabs>
        <w:tab w:val="left" w:pos="4253"/>
        <w:tab w:val="right" w:pos="1417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VI</w:t>
    </w:r>
    <w:r w:rsidRPr="00316277">
      <w:rPr>
        <w:rFonts w:ascii="Arial Gras" w:hAnsi="Arial Gras"/>
        <w:b/>
        <w:smallCaps/>
        <w:szCs w:val="24"/>
      </w:rPr>
      <w:tab/>
    </w:r>
    <w:r w:rsidRPr="00316277">
      <w:rPr>
        <w:rFonts w:ascii="Arial Gras" w:hAnsi="Arial Gras"/>
        <w:b/>
        <w:smallCaps/>
        <w:szCs w:val="24"/>
      </w:rPr>
      <w:tab/>
    </w:r>
    <w:r w:rsidRPr="00316277">
      <w:rPr>
        <w:rFonts w:ascii="Arial Gras" w:hAnsi="Arial Gras"/>
        <w:bCs/>
        <w:smallCaps/>
        <w:szCs w:val="24"/>
      </w:rPr>
      <w:t>Traitement et primes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D5FA" w14:textId="77777777" w:rsidR="00C9479B" w:rsidRPr="001100F0" w:rsidRDefault="00C9479B" w:rsidP="00C9479B">
    <w:pPr>
      <w:pStyle w:val="Header"/>
      <w:pBdr>
        <w:bottom w:val="single" w:sz="4" w:space="1" w:color="auto"/>
      </w:pBdr>
      <w:tabs>
        <w:tab w:val="center" w:pos="4820"/>
        <w:tab w:val="right" w:pos="9481"/>
      </w:tabs>
      <w:jc w:val="left"/>
      <w:rPr>
        <w:rFonts w:ascii="Arial Gras" w:hAnsi="Arial Gras"/>
        <w:b/>
        <w:smallCaps/>
        <w:szCs w:val="2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764D" w14:textId="07CEF445" w:rsidR="00E22008" w:rsidRPr="001100F0" w:rsidRDefault="00E22008" w:rsidP="00E22008">
    <w:pPr>
      <w:pStyle w:val="Header"/>
      <w:pBdr>
        <w:bottom w:val="single" w:sz="4" w:space="1" w:color="auto"/>
      </w:pBdr>
      <w:tabs>
        <w:tab w:val="left" w:pos="4253"/>
        <w:tab w:val="right" w:pos="1417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VI</w:t>
    </w:r>
    <w:r w:rsidR="00C9479B" w:rsidRPr="00316277">
      <w:rPr>
        <w:rFonts w:ascii="Arial Gras" w:hAnsi="Arial Gras"/>
        <w:b/>
        <w:smallCaps/>
        <w:szCs w:val="24"/>
      </w:rPr>
      <w:t>I</w:t>
    </w:r>
    <w:r w:rsidRPr="00316277">
      <w:rPr>
        <w:rFonts w:ascii="Arial Gras" w:hAnsi="Arial Gras"/>
        <w:b/>
        <w:smallCaps/>
        <w:szCs w:val="24"/>
      </w:rPr>
      <w:tab/>
    </w:r>
    <w:r w:rsidRPr="00316277">
      <w:rPr>
        <w:rFonts w:ascii="Arial Gras" w:hAnsi="Arial Gras"/>
        <w:b/>
        <w:smallCaps/>
        <w:szCs w:val="24"/>
      </w:rPr>
      <w:tab/>
    </w:r>
    <w:r w:rsidR="00C9479B" w:rsidRPr="00316277">
      <w:rPr>
        <w:rFonts w:ascii="Arial Gras" w:hAnsi="Arial Gras"/>
        <w:bCs/>
        <w:smallCaps/>
        <w:szCs w:val="24"/>
      </w:rPr>
      <w:t>Dispositions divers</w:t>
    </w:r>
    <w:r w:rsidRPr="00316277">
      <w:rPr>
        <w:rFonts w:ascii="Arial Gras" w:hAnsi="Arial Gras"/>
        <w:bCs/>
        <w:smallCaps/>
        <w:szCs w:val="24"/>
      </w:rPr>
      <w:t>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2C7D5" w14:textId="77777777" w:rsidR="00C9479B" w:rsidRPr="001100F0" w:rsidRDefault="00C9479B" w:rsidP="00C9479B">
    <w:pPr>
      <w:pStyle w:val="Header"/>
      <w:pBdr>
        <w:bottom w:val="single" w:sz="4" w:space="1" w:color="auto"/>
      </w:pBdr>
      <w:tabs>
        <w:tab w:val="center" w:pos="4820"/>
        <w:tab w:val="right" w:pos="9481"/>
      </w:tabs>
      <w:jc w:val="left"/>
      <w:rPr>
        <w:rFonts w:ascii="Arial Gras" w:hAnsi="Arial Gras"/>
        <w:b/>
        <w:smallCaps/>
        <w:szCs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1F73" w14:textId="37329E94" w:rsidR="00C9479B" w:rsidRPr="001100F0" w:rsidRDefault="00C9479B" w:rsidP="00E22008">
    <w:pPr>
      <w:pStyle w:val="Header"/>
      <w:pBdr>
        <w:bottom w:val="single" w:sz="4" w:space="1" w:color="auto"/>
      </w:pBdr>
      <w:tabs>
        <w:tab w:val="left" w:pos="4253"/>
        <w:tab w:val="right" w:pos="14175"/>
      </w:tabs>
      <w:jc w:val="left"/>
      <w:rPr>
        <w:rFonts w:ascii="Arial Gras" w:hAnsi="Arial Gras"/>
        <w:b/>
        <w:smallCaps/>
        <w:szCs w:val="24"/>
      </w:rPr>
    </w:pPr>
    <w:r w:rsidRPr="00316277">
      <w:rPr>
        <w:rFonts w:ascii="Arial Gras" w:hAnsi="Arial Gras"/>
        <w:b/>
        <w:smallCaps/>
        <w:szCs w:val="24"/>
      </w:rPr>
      <w:t>Section</w:t>
    </w:r>
    <w:r w:rsidRPr="00316277">
      <w:rPr>
        <w:rFonts w:ascii="Arial Gras" w:hAnsi="Arial Gras" w:hint="eastAsia"/>
        <w:b/>
        <w:smallCaps/>
        <w:szCs w:val="24"/>
      </w:rPr>
      <w:t> </w:t>
    </w:r>
    <w:r w:rsidRPr="00316277">
      <w:rPr>
        <w:rFonts w:ascii="Arial Gras" w:hAnsi="Arial Gras"/>
        <w:b/>
        <w:smallCaps/>
        <w:szCs w:val="24"/>
      </w:rPr>
      <w:t>VIII</w:t>
    </w:r>
    <w:r w:rsidRPr="00316277">
      <w:rPr>
        <w:rFonts w:ascii="Arial Gras" w:hAnsi="Arial Gras"/>
        <w:b/>
        <w:smallCaps/>
        <w:szCs w:val="24"/>
      </w:rPr>
      <w:tab/>
    </w:r>
    <w:r w:rsidRPr="00316277">
      <w:rPr>
        <w:rFonts w:ascii="Arial Gras" w:hAnsi="Arial Gras"/>
        <w:b/>
        <w:smallCaps/>
        <w:szCs w:val="24"/>
      </w:rPr>
      <w:tab/>
    </w:r>
    <w:r w:rsidRPr="00316277">
      <w:rPr>
        <w:rFonts w:ascii="Arial Gras" w:hAnsi="Arial Gras"/>
        <w:bCs/>
        <w:smallCaps/>
        <w:szCs w:val="24"/>
      </w:rPr>
      <w:t>Matières locales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8AEA" w14:textId="6B561E11" w:rsidR="00F7127E" w:rsidRPr="001100F0" w:rsidRDefault="00F7127E"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1</w:t>
    </w:r>
    <w:r w:rsidRPr="00316277">
      <w:rPr>
        <w:rFonts w:ascii="Arial Gras" w:hAnsi="Arial Gras"/>
        <w:b/>
        <w:smallCaps/>
        <w:szCs w:val="24"/>
      </w:rPr>
      <w:tab/>
    </w:r>
    <w:r w:rsidRPr="00316277">
      <w:rPr>
        <w:rFonts w:ascii="Arial Gras" w:hAnsi="Arial Gras"/>
        <w:bCs/>
        <w:smallCaps/>
        <w:szCs w:val="24"/>
      </w:rPr>
      <w:t>Interprétation et définitions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A11D" w14:textId="40830169" w:rsidR="00452E69" w:rsidRPr="006D72B0" w:rsidRDefault="00452E69" w:rsidP="006D7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6614B" w14:textId="77777777" w:rsidR="00F7127E" w:rsidRPr="001100F0" w:rsidRDefault="00F7127E" w:rsidP="00F7127E">
    <w:pPr>
      <w:pStyle w:val="Header"/>
      <w:pBdr>
        <w:bottom w:val="single" w:sz="4" w:space="1" w:color="auto"/>
      </w:pBdr>
      <w:tabs>
        <w:tab w:val="center" w:pos="4820"/>
        <w:tab w:val="right" w:pos="9481"/>
      </w:tabs>
      <w:jc w:val="left"/>
      <w:rPr>
        <w:rFonts w:ascii="Arial Gras" w:hAnsi="Arial Gras"/>
        <w:b/>
        <w:smallCaps/>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A53C" w14:textId="24945F53" w:rsidR="00F7127E" w:rsidRPr="001100F0" w:rsidRDefault="00F7127E"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2</w:t>
    </w:r>
    <w:r w:rsidRPr="00316277">
      <w:rPr>
        <w:rFonts w:ascii="Arial Gras" w:hAnsi="Arial Gras"/>
        <w:b/>
        <w:smallCaps/>
        <w:szCs w:val="24"/>
      </w:rPr>
      <w:tab/>
    </w:r>
    <w:r w:rsidRPr="00316277">
      <w:rPr>
        <w:rFonts w:ascii="Arial Gras" w:hAnsi="Arial Gras"/>
        <w:bCs/>
        <w:smallCaps/>
        <w:szCs w:val="24"/>
      </w:rPr>
      <w:t>Juridiction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F8F5" w14:textId="77777777" w:rsidR="003D57C4" w:rsidRPr="001100F0" w:rsidRDefault="003D57C4" w:rsidP="003D57C4">
    <w:pPr>
      <w:pStyle w:val="Header"/>
      <w:pBdr>
        <w:bottom w:val="single" w:sz="4" w:space="1" w:color="auto"/>
      </w:pBdr>
      <w:tabs>
        <w:tab w:val="center" w:pos="4820"/>
        <w:tab w:val="right" w:pos="9481"/>
      </w:tabs>
      <w:jc w:val="left"/>
      <w:rPr>
        <w:rFonts w:ascii="Arial Gras" w:hAnsi="Arial Gras"/>
        <w:b/>
        <w:smallCaps/>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AABF" w14:textId="55C7262E" w:rsidR="003D57C4" w:rsidRPr="001100F0" w:rsidRDefault="003D57C4" w:rsidP="00F7127E">
    <w:pPr>
      <w:pStyle w:val="Header"/>
      <w:pBdr>
        <w:bottom w:val="single" w:sz="4" w:space="1" w:color="auto"/>
      </w:pBdr>
      <w:tabs>
        <w:tab w:val="right" w:pos="9481"/>
      </w:tabs>
      <w:jc w:val="left"/>
      <w:rPr>
        <w:rFonts w:ascii="Arial Gras" w:hAnsi="Arial Gras"/>
        <w:b/>
        <w:smallCaps/>
        <w:szCs w:val="24"/>
      </w:rPr>
    </w:pPr>
    <w:r w:rsidRPr="00316277">
      <w:rPr>
        <w:rFonts w:ascii="Arial Gras" w:hAnsi="Arial Gras"/>
        <w:b/>
        <w:smallCaps/>
        <w:szCs w:val="24"/>
      </w:rPr>
      <w:t>Chapitre 3</w:t>
    </w:r>
    <w:r w:rsidRPr="00316277">
      <w:rPr>
        <w:rFonts w:ascii="Arial Gras" w:hAnsi="Arial Gras"/>
        <w:b/>
        <w:smallCaps/>
        <w:szCs w:val="24"/>
      </w:rPr>
      <w:tab/>
    </w:r>
    <w:r w:rsidRPr="00316277">
      <w:rPr>
        <w:rFonts w:ascii="Arial Gras" w:hAnsi="Arial Gras"/>
        <w:bCs/>
        <w:smallCaps/>
        <w:szCs w:val="24"/>
      </w:rPr>
      <w:t>Prérogatives syndicales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E0CFA" w14:textId="77777777" w:rsidR="003D57C4" w:rsidRPr="001100F0" w:rsidRDefault="003D57C4" w:rsidP="003D57C4">
    <w:pPr>
      <w:pStyle w:val="Header"/>
      <w:pBdr>
        <w:bottom w:val="single" w:sz="4" w:space="1" w:color="auto"/>
      </w:pBdr>
      <w:tabs>
        <w:tab w:val="center" w:pos="4820"/>
        <w:tab w:val="right" w:pos="9481"/>
      </w:tabs>
      <w:jc w:val="left"/>
      <w:rPr>
        <w:rFonts w:ascii="Arial Gras" w:hAnsi="Arial Gras"/>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172F3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F8C2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6E7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5C4B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1CB8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7A64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F0E1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F252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0E94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7656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A1CA2"/>
    <w:multiLevelType w:val="hybridMultilevel"/>
    <w:tmpl w:val="DB085D6A"/>
    <w:lvl w:ilvl="0" w:tplc="EB26A9C0">
      <w:start w:val="5"/>
      <w:numFmt w:val="bullet"/>
      <w:lvlText w:val="-"/>
      <w:lvlJc w:val="left"/>
      <w:pPr>
        <w:ind w:left="1069" w:hanging="360"/>
      </w:pPr>
      <w:rPr>
        <w:rFonts w:ascii="Arial" w:eastAsia="Times New Roman" w:hAnsi="Arial" w:cs="Aria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1" w15:restartNumberingAfterBreak="0">
    <w:nsid w:val="00806C84"/>
    <w:multiLevelType w:val="hybridMultilevel"/>
    <w:tmpl w:val="237229A0"/>
    <w:lvl w:ilvl="0" w:tplc="005E8C12">
      <w:start w:val="1"/>
      <w:numFmt w:val="bullet"/>
      <w:lvlText w:val="−"/>
      <w:lvlJc w:val="left"/>
      <w:pPr>
        <w:ind w:left="720" w:hanging="360"/>
      </w:pPr>
      <w:rPr>
        <w:rFonts w:ascii="SymbolMT" w:eastAsia="SymbolMT" w:hAnsi="Arial" w:cs="SymbolMT" w:hint="eastAsi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35926B0"/>
    <w:multiLevelType w:val="hybridMultilevel"/>
    <w:tmpl w:val="D3EEE54C"/>
    <w:lvl w:ilvl="0" w:tplc="961C4D3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3AB5DF7"/>
    <w:multiLevelType w:val="hybridMultilevel"/>
    <w:tmpl w:val="EA0C67B4"/>
    <w:lvl w:ilvl="0" w:tplc="A9DE41B4">
      <w:start w:val="1"/>
      <w:numFmt w:val="decimal"/>
      <w:lvlText w:val="%1."/>
      <w:lvlJc w:val="left"/>
      <w:pPr>
        <w:ind w:left="713" w:hanging="430"/>
      </w:pPr>
      <w:rPr>
        <w:rFonts w:hint="default"/>
      </w:rPr>
    </w:lvl>
    <w:lvl w:ilvl="1" w:tplc="0C0C0019">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abstractNum w:abstractNumId="14" w15:restartNumberingAfterBreak="0">
    <w:nsid w:val="084D30A3"/>
    <w:multiLevelType w:val="hybridMultilevel"/>
    <w:tmpl w:val="F78E9D5A"/>
    <w:lvl w:ilvl="0" w:tplc="0BEA53EC">
      <w:start w:val="1"/>
      <w:numFmt w:val="lowerLetter"/>
      <w:lvlText w:val="%1)"/>
      <w:lvlJc w:val="left"/>
      <w:pPr>
        <w:ind w:left="1211" w:hanging="360"/>
      </w:pPr>
      <w:rPr>
        <w:rFonts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15" w15:restartNumberingAfterBreak="0">
    <w:nsid w:val="08C94AF7"/>
    <w:multiLevelType w:val="hybridMultilevel"/>
    <w:tmpl w:val="055849A0"/>
    <w:lvl w:ilvl="0" w:tplc="DE18D698">
      <w:start w:val="8"/>
      <w:numFmt w:val="bullet"/>
      <w:lvlText w:val=""/>
      <w:lvlJc w:val="left"/>
      <w:pPr>
        <w:ind w:left="927" w:hanging="360"/>
      </w:pPr>
      <w:rPr>
        <w:rFonts w:ascii="Symbol" w:eastAsia="Times New Roman" w:hAnsi="Symbol" w:cs="Times New Roman"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6" w15:restartNumberingAfterBreak="0">
    <w:nsid w:val="0E557D2C"/>
    <w:multiLevelType w:val="hybridMultilevel"/>
    <w:tmpl w:val="E13C4E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01815AB"/>
    <w:multiLevelType w:val="singleLevel"/>
    <w:tmpl w:val="F3D4CA00"/>
    <w:lvl w:ilvl="0">
      <w:start w:val="1"/>
      <w:numFmt w:val="decimal"/>
      <w:lvlText w:val="%1."/>
      <w:lvlJc w:val="left"/>
      <w:pPr>
        <w:tabs>
          <w:tab w:val="num" w:pos="643"/>
        </w:tabs>
        <w:ind w:left="643" w:hanging="360"/>
      </w:pPr>
      <w:rPr>
        <w:rFonts w:hint="default"/>
        <w:b w:val="0"/>
      </w:rPr>
    </w:lvl>
  </w:abstractNum>
  <w:abstractNum w:abstractNumId="18" w15:restartNumberingAfterBreak="0">
    <w:nsid w:val="135840EF"/>
    <w:multiLevelType w:val="hybridMultilevel"/>
    <w:tmpl w:val="FC90E23A"/>
    <w:lvl w:ilvl="0" w:tplc="26A4D4C4">
      <w:start w:val="1"/>
      <w:numFmt w:val="upperLetter"/>
      <w:lvlText w:val="%1)"/>
      <w:lvlJc w:val="left"/>
      <w:pPr>
        <w:ind w:left="930" w:hanging="57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148E4CF4"/>
    <w:multiLevelType w:val="hybridMultilevel"/>
    <w:tmpl w:val="FA9A7ED6"/>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0" w15:restartNumberingAfterBreak="0">
    <w:nsid w:val="15870D14"/>
    <w:multiLevelType w:val="hybridMultilevel"/>
    <w:tmpl w:val="008EBCFA"/>
    <w:lvl w:ilvl="0" w:tplc="B69E527E">
      <w:start w:val="1"/>
      <w:numFmt w:val="decimal"/>
      <w:lvlText w:val="%1."/>
      <w:lvlJc w:val="left"/>
      <w:pPr>
        <w:tabs>
          <w:tab w:val="num" w:pos="1134"/>
        </w:tabs>
        <w:ind w:left="1134" w:hanging="567"/>
      </w:pPr>
      <w:rPr>
        <w:rFonts w:ascii="Times New Roman" w:hAnsi="Times New Roman" w:hint="default"/>
        <w:b w:val="0"/>
        <w:i w:val="0"/>
        <w:sz w:val="24"/>
      </w:rPr>
    </w:lvl>
    <w:lvl w:ilvl="1" w:tplc="453EB386">
      <w:start w:val="1"/>
      <w:numFmt w:val="decimal"/>
      <w:lvlText w:val="%2."/>
      <w:lvlJc w:val="left"/>
      <w:pPr>
        <w:tabs>
          <w:tab w:val="num" w:pos="1701"/>
        </w:tabs>
        <w:ind w:left="1701" w:hanging="567"/>
      </w:pPr>
      <w:rPr>
        <w:rFonts w:ascii="Arial" w:hAnsi="Arial" w:hint="default"/>
        <w:b/>
        <w:i w:val="0"/>
        <w:spacing w:val="0"/>
        <w:sz w:val="24"/>
        <w:u w:val="none"/>
      </w:rPr>
    </w:lvl>
    <w:lvl w:ilvl="2" w:tplc="D186993E">
      <w:start w:val="1"/>
      <w:numFmt w:val="decimal"/>
      <w:lvlText w:val="%3."/>
      <w:lvlJc w:val="left"/>
      <w:pPr>
        <w:tabs>
          <w:tab w:val="num" w:pos="2268"/>
        </w:tabs>
        <w:ind w:left="2268" w:hanging="567"/>
      </w:pPr>
      <w:rPr>
        <w:rFonts w:ascii="Arial" w:hAnsi="Arial" w:hint="default"/>
        <w:b w:val="0"/>
        <w:i w:val="0"/>
        <w:sz w:val="24"/>
      </w:rPr>
    </w:lvl>
    <w:lvl w:ilvl="3" w:tplc="82A2F008">
      <w:start w:val="1"/>
      <w:numFmt w:val="upperLetter"/>
      <w:pStyle w:val="BodyTextFirstIndent2"/>
      <w:lvlText w:val="2%4."/>
      <w:lvlJc w:val="left"/>
      <w:pPr>
        <w:tabs>
          <w:tab w:val="num" w:pos="567"/>
        </w:tabs>
        <w:ind w:left="567" w:hanging="567"/>
      </w:pPr>
      <w:rPr>
        <w:rFonts w:ascii="Arial" w:hAnsi="Arial" w:hint="default"/>
        <w:b/>
        <w:i w:val="0"/>
        <w:sz w:val="24"/>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5AA5A4B"/>
    <w:multiLevelType w:val="hybridMultilevel"/>
    <w:tmpl w:val="1CBA5D7E"/>
    <w:lvl w:ilvl="0" w:tplc="4CE8BA78">
      <w:start w:val="1"/>
      <w:numFmt w:val="decimalZero"/>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17997F32"/>
    <w:multiLevelType w:val="multilevel"/>
    <w:tmpl w:val="4DB0B1F4"/>
    <w:lvl w:ilvl="0">
      <w:start w:val="1"/>
      <w:numFmt w:val="decimal"/>
      <w:lvlText w:val="%1."/>
      <w:lvlJc w:val="left"/>
      <w:pPr>
        <w:ind w:left="1131" w:hanging="564"/>
      </w:pPr>
      <w:rPr>
        <w:rFonts w:hint="default"/>
      </w:rPr>
    </w:lvl>
    <w:lvl w:ilvl="1">
      <w:start w:val="7"/>
      <w:numFmt w:val="decimalZero"/>
      <w:isLgl/>
      <w:lvlText w:val="%1.%2"/>
      <w:lvlJc w:val="left"/>
      <w:pPr>
        <w:ind w:left="1154" w:hanging="870"/>
      </w:pPr>
      <w:rPr>
        <w:rFonts w:hint="default"/>
        <w:dstrike/>
        <w:u w:val="none"/>
      </w:rPr>
    </w:lvl>
    <w:lvl w:ilvl="2">
      <w:start w:val="1"/>
      <w:numFmt w:val="decimal"/>
      <w:isLgl/>
      <w:lvlText w:val="%1.%2.%3"/>
      <w:lvlJc w:val="left"/>
      <w:pPr>
        <w:ind w:left="1437" w:hanging="870"/>
      </w:pPr>
      <w:rPr>
        <w:rFonts w:hint="default"/>
        <w:u w:val="none"/>
      </w:rPr>
    </w:lvl>
    <w:lvl w:ilvl="3">
      <w:start w:val="1"/>
      <w:numFmt w:val="decimal"/>
      <w:isLgl/>
      <w:lvlText w:val="%1.%2.%3.%4"/>
      <w:lvlJc w:val="left"/>
      <w:pPr>
        <w:ind w:left="1647" w:hanging="108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2007" w:hanging="144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367" w:hanging="1800"/>
      </w:pPr>
      <w:rPr>
        <w:rFonts w:hint="default"/>
        <w:u w:val="none"/>
      </w:rPr>
    </w:lvl>
    <w:lvl w:ilvl="8">
      <w:start w:val="1"/>
      <w:numFmt w:val="decimal"/>
      <w:isLgl/>
      <w:lvlText w:val="%1.%2.%3.%4.%5.%6.%7.%8.%9"/>
      <w:lvlJc w:val="left"/>
      <w:pPr>
        <w:ind w:left="2367" w:hanging="1800"/>
      </w:pPr>
      <w:rPr>
        <w:rFonts w:hint="default"/>
        <w:u w:val="none"/>
      </w:rPr>
    </w:lvl>
  </w:abstractNum>
  <w:abstractNum w:abstractNumId="23" w15:restartNumberingAfterBreak="0">
    <w:nsid w:val="18773988"/>
    <w:multiLevelType w:val="hybridMultilevel"/>
    <w:tmpl w:val="539C17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99C34B6"/>
    <w:multiLevelType w:val="hybridMultilevel"/>
    <w:tmpl w:val="14148FC4"/>
    <w:lvl w:ilvl="0" w:tplc="DBD89144">
      <w:start w:val="1"/>
      <w:numFmt w:val="bullet"/>
      <w:lvlText w:val=""/>
      <w:lvlJc w:val="left"/>
      <w:pPr>
        <w:ind w:left="1996" w:hanging="360"/>
      </w:pPr>
      <w:rPr>
        <w:rFonts w:ascii="Symbol" w:hAnsi="Symbol" w:hint="default"/>
        <w:sz w:val="22"/>
        <w:szCs w:val="22"/>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25" w15:restartNumberingAfterBreak="0">
    <w:nsid w:val="1C2C0163"/>
    <w:multiLevelType w:val="hybridMultilevel"/>
    <w:tmpl w:val="BF48D98C"/>
    <w:lvl w:ilvl="0" w:tplc="438EFD6E">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6" w15:restartNumberingAfterBreak="0">
    <w:nsid w:val="1C91247A"/>
    <w:multiLevelType w:val="hybridMultilevel"/>
    <w:tmpl w:val="19BC8AB6"/>
    <w:lvl w:ilvl="0" w:tplc="FFFFFFFF">
      <w:start w:val="1"/>
      <w:numFmt w:val="upperLetter"/>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F77304"/>
    <w:multiLevelType w:val="hybridMultilevel"/>
    <w:tmpl w:val="499065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1F7637C3"/>
    <w:multiLevelType w:val="hybridMultilevel"/>
    <w:tmpl w:val="C38C5840"/>
    <w:lvl w:ilvl="0" w:tplc="9AAAF046">
      <w:start w:val="14"/>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1F7C1C7F"/>
    <w:multiLevelType w:val="hybridMultilevel"/>
    <w:tmpl w:val="EE3ABA9E"/>
    <w:lvl w:ilvl="0" w:tplc="25442344">
      <w:start w:val="8"/>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0" w15:restartNumberingAfterBreak="0">
    <w:nsid w:val="2272215B"/>
    <w:multiLevelType w:val="hybridMultilevel"/>
    <w:tmpl w:val="3E3A936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25427F54"/>
    <w:multiLevelType w:val="hybridMultilevel"/>
    <w:tmpl w:val="8FAC3C80"/>
    <w:lvl w:ilvl="0" w:tplc="7FD463AC">
      <w:start w:val="1"/>
      <w:numFmt w:val="decimal"/>
      <w:lvlText w:val="%1"/>
      <w:lvlJc w:val="left"/>
      <w:pPr>
        <w:ind w:left="720" w:hanging="360"/>
      </w:pPr>
      <w:rPr>
        <w:rFonts w:hint="default"/>
        <w:vertAlign w:val="superscrip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27CE40D3"/>
    <w:multiLevelType w:val="hybridMultilevel"/>
    <w:tmpl w:val="2E26DB2C"/>
    <w:lvl w:ilvl="0" w:tplc="31420C5A">
      <w:start w:val="1"/>
      <w:numFmt w:val="lowerRoman"/>
      <w:lvlText w:val="%1)"/>
      <w:lvlJc w:val="right"/>
      <w:pPr>
        <w:ind w:left="1854" w:hanging="360"/>
      </w:pPr>
      <w:rPr>
        <w:rFonts w:hint="default"/>
      </w:rPr>
    </w:lvl>
    <w:lvl w:ilvl="1" w:tplc="0C0C0019" w:tentative="1">
      <w:start w:val="1"/>
      <w:numFmt w:val="lowerLetter"/>
      <w:lvlText w:val="%2."/>
      <w:lvlJc w:val="left"/>
      <w:pPr>
        <w:ind w:left="2574" w:hanging="360"/>
      </w:pPr>
    </w:lvl>
    <w:lvl w:ilvl="2" w:tplc="0C0C001B" w:tentative="1">
      <w:start w:val="1"/>
      <w:numFmt w:val="lowerRoman"/>
      <w:lvlText w:val="%3."/>
      <w:lvlJc w:val="right"/>
      <w:pPr>
        <w:ind w:left="3294" w:hanging="180"/>
      </w:pPr>
    </w:lvl>
    <w:lvl w:ilvl="3" w:tplc="0C0C000F" w:tentative="1">
      <w:start w:val="1"/>
      <w:numFmt w:val="decimal"/>
      <w:lvlText w:val="%4."/>
      <w:lvlJc w:val="left"/>
      <w:pPr>
        <w:ind w:left="4014" w:hanging="360"/>
      </w:pPr>
    </w:lvl>
    <w:lvl w:ilvl="4" w:tplc="0C0C0019" w:tentative="1">
      <w:start w:val="1"/>
      <w:numFmt w:val="lowerLetter"/>
      <w:lvlText w:val="%5."/>
      <w:lvlJc w:val="left"/>
      <w:pPr>
        <w:ind w:left="4734" w:hanging="360"/>
      </w:pPr>
    </w:lvl>
    <w:lvl w:ilvl="5" w:tplc="0C0C001B" w:tentative="1">
      <w:start w:val="1"/>
      <w:numFmt w:val="lowerRoman"/>
      <w:lvlText w:val="%6."/>
      <w:lvlJc w:val="right"/>
      <w:pPr>
        <w:ind w:left="5454" w:hanging="180"/>
      </w:pPr>
    </w:lvl>
    <w:lvl w:ilvl="6" w:tplc="0C0C000F" w:tentative="1">
      <w:start w:val="1"/>
      <w:numFmt w:val="decimal"/>
      <w:lvlText w:val="%7."/>
      <w:lvlJc w:val="left"/>
      <w:pPr>
        <w:ind w:left="6174" w:hanging="360"/>
      </w:pPr>
    </w:lvl>
    <w:lvl w:ilvl="7" w:tplc="0C0C0019" w:tentative="1">
      <w:start w:val="1"/>
      <w:numFmt w:val="lowerLetter"/>
      <w:lvlText w:val="%8."/>
      <w:lvlJc w:val="left"/>
      <w:pPr>
        <w:ind w:left="6894" w:hanging="360"/>
      </w:pPr>
    </w:lvl>
    <w:lvl w:ilvl="8" w:tplc="0C0C001B" w:tentative="1">
      <w:start w:val="1"/>
      <w:numFmt w:val="lowerRoman"/>
      <w:lvlText w:val="%9."/>
      <w:lvlJc w:val="right"/>
      <w:pPr>
        <w:ind w:left="7614" w:hanging="180"/>
      </w:pPr>
    </w:lvl>
  </w:abstractNum>
  <w:abstractNum w:abstractNumId="33" w15:restartNumberingAfterBreak="0">
    <w:nsid w:val="29BD7D41"/>
    <w:multiLevelType w:val="hybridMultilevel"/>
    <w:tmpl w:val="AA96CD4E"/>
    <w:lvl w:ilvl="0" w:tplc="E54636A8">
      <w:start w:val="3"/>
      <w:numFmt w:val="upperLetter"/>
      <w:lvlText w:val="%1)"/>
      <w:lvlJc w:val="left"/>
      <w:pPr>
        <w:ind w:left="930" w:hanging="570"/>
      </w:pPr>
      <w:rPr>
        <w:rFonts w:ascii="Arial" w:hAnsi="Arial" w:cs="Arial" w:hint="default"/>
        <w:color w:val="auto"/>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2B307AA2"/>
    <w:multiLevelType w:val="hybridMultilevel"/>
    <w:tmpl w:val="4094FD42"/>
    <w:lvl w:ilvl="0" w:tplc="EFAEACA2">
      <w:start w:val="1"/>
      <w:numFmt w:val="lowerLetter"/>
      <w:lvlText w:val="%1)"/>
      <w:lvlJc w:val="left"/>
      <w:pPr>
        <w:tabs>
          <w:tab w:val="num" w:pos="567"/>
        </w:tabs>
        <w:ind w:left="567" w:hanging="567"/>
      </w:pPr>
      <w:rPr>
        <w:rFonts w:ascii="Arial" w:hAnsi="Arial" w:hint="default"/>
        <w:b w:val="0"/>
        <w:i w:val="0"/>
        <w:sz w:val="24"/>
      </w:rPr>
    </w:lvl>
    <w:lvl w:ilvl="1" w:tplc="8AA2E028">
      <w:start w:val="1"/>
      <w:numFmt w:val="decimal"/>
      <w:lvlText w:val="%2."/>
      <w:lvlJc w:val="left"/>
      <w:pPr>
        <w:tabs>
          <w:tab w:val="num" w:pos="1785"/>
        </w:tabs>
        <w:ind w:left="1785" w:hanging="705"/>
      </w:pPr>
      <w:rPr>
        <w:rFonts w:hint="default"/>
      </w:rPr>
    </w:lvl>
    <w:lvl w:ilvl="2" w:tplc="EFAEACA2">
      <w:start w:val="1"/>
      <w:numFmt w:val="lowerLetter"/>
      <w:lvlText w:val="%3)"/>
      <w:lvlJc w:val="left"/>
      <w:pPr>
        <w:tabs>
          <w:tab w:val="num" w:pos="2547"/>
        </w:tabs>
        <w:ind w:left="2547" w:hanging="567"/>
      </w:pPr>
      <w:rPr>
        <w:rFonts w:ascii="Arial" w:hAnsi="Arial" w:hint="default"/>
        <w:b w:val="0"/>
        <w:i w:val="0"/>
        <w:sz w:val="24"/>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02D7DE3"/>
    <w:multiLevelType w:val="hybridMultilevel"/>
    <w:tmpl w:val="6358C1B8"/>
    <w:lvl w:ilvl="0" w:tplc="9716D0FE">
      <w:start w:val="6"/>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359F616E"/>
    <w:multiLevelType w:val="multilevel"/>
    <w:tmpl w:val="71AA185E"/>
    <w:lvl w:ilvl="0">
      <w:start w:val="1"/>
      <w:numFmt w:val="bullet"/>
      <w:lvlText w:val=""/>
      <w:lvlJc w:val="left"/>
      <w:pPr>
        <w:tabs>
          <w:tab w:val="num" w:pos="-1875"/>
        </w:tabs>
        <w:ind w:left="-1875" w:hanging="360"/>
      </w:pPr>
      <w:rPr>
        <w:rFonts w:ascii="Symbol" w:hAnsi="Symbol" w:hint="default"/>
        <w:sz w:val="20"/>
      </w:rPr>
    </w:lvl>
    <w:lvl w:ilvl="1">
      <w:start w:val="1"/>
      <w:numFmt w:val="lowerLetter"/>
      <w:lvlText w:val="%2)"/>
      <w:lvlJc w:val="left"/>
      <w:pPr>
        <w:ind w:left="-805" w:hanging="710"/>
      </w:pPr>
      <w:rPr>
        <w:rFonts w:hint="default"/>
      </w:rPr>
    </w:lvl>
    <w:lvl w:ilvl="2" w:tentative="1">
      <w:start w:val="1"/>
      <w:numFmt w:val="bullet"/>
      <w:lvlText w:val=""/>
      <w:lvlJc w:val="left"/>
      <w:pPr>
        <w:tabs>
          <w:tab w:val="num" w:pos="-435"/>
        </w:tabs>
        <w:ind w:left="-435" w:hanging="360"/>
      </w:pPr>
      <w:rPr>
        <w:rFonts w:ascii="Symbol" w:hAnsi="Symbol" w:hint="default"/>
        <w:sz w:val="20"/>
      </w:rPr>
    </w:lvl>
    <w:lvl w:ilvl="3" w:tentative="1">
      <w:start w:val="1"/>
      <w:numFmt w:val="bullet"/>
      <w:lvlText w:val=""/>
      <w:lvlJc w:val="left"/>
      <w:pPr>
        <w:tabs>
          <w:tab w:val="num" w:pos="285"/>
        </w:tabs>
        <w:ind w:left="285" w:hanging="360"/>
      </w:pPr>
      <w:rPr>
        <w:rFonts w:ascii="Symbol" w:hAnsi="Symbol" w:hint="default"/>
        <w:sz w:val="20"/>
      </w:rPr>
    </w:lvl>
    <w:lvl w:ilvl="4" w:tentative="1">
      <w:start w:val="1"/>
      <w:numFmt w:val="bullet"/>
      <w:lvlText w:val=""/>
      <w:lvlJc w:val="left"/>
      <w:pPr>
        <w:tabs>
          <w:tab w:val="num" w:pos="1005"/>
        </w:tabs>
        <w:ind w:left="1005" w:hanging="360"/>
      </w:pPr>
      <w:rPr>
        <w:rFonts w:ascii="Symbol" w:hAnsi="Symbol" w:hint="default"/>
        <w:sz w:val="20"/>
      </w:rPr>
    </w:lvl>
    <w:lvl w:ilvl="5" w:tentative="1">
      <w:start w:val="1"/>
      <w:numFmt w:val="bullet"/>
      <w:lvlText w:val=""/>
      <w:lvlJc w:val="left"/>
      <w:pPr>
        <w:tabs>
          <w:tab w:val="num" w:pos="1725"/>
        </w:tabs>
        <w:ind w:left="1725" w:hanging="360"/>
      </w:pPr>
      <w:rPr>
        <w:rFonts w:ascii="Symbol" w:hAnsi="Symbol" w:hint="default"/>
        <w:sz w:val="20"/>
      </w:rPr>
    </w:lvl>
    <w:lvl w:ilvl="6" w:tentative="1">
      <w:start w:val="1"/>
      <w:numFmt w:val="bullet"/>
      <w:lvlText w:val=""/>
      <w:lvlJc w:val="left"/>
      <w:pPr>
        <w:tabs>
          <w:tab w:val="num" w:pos="2445"/>
        </w:tabs>
        <w:ind w:left="2445" w:hanging="360"/>
      </w:pPr>
      <w:rPr>
        <w:rFonts w:ascii="Symbol" w:hAnsi="Symbol" w:hint="default"/>
        <w:sz w:val="20"/>
      </w:rPr>
    </w:lvl>
    <w:lvl w:ilvl="7" w:tentative="1">
      <w:start w:val="1"/>
      <w:numFmt w:val="bullet"/>
      <w:lvlText w:val=""/>
      <w:lvlJc w:val="left"/>
      <w:pPr>
        <w:tabs>
          <w:tab w:val="num" w:pos="3165"/>
        </w:tabs>
        <w:ind w:left="3165" w:hanging="360"/>
      </w:pPr>
      <w:rPr>
        <w:rFonts w:ascii="Symbol" w:hAnsi="Symbol" w:hint="default"/>
        <w:sz w:val="20"/>
      </w:rPr>
    </w:lvl>
    <w:lvl w:ilvl="8" w:tentative="1">
      <w:start w:val="1"/>
      <w:numFmt w:val="bullet"/>
      <w:lvlText w:val=""/>
      <w:lvlJc w:val="left"/>
      <w:pPr>
        <w:tabs>
          <w:tab w:val="num" w:pos="3885"/>
        </w:tabs>
        <w:ind w:left="3885" w:hanging="360"/>
      </w:pPr>
      <w:rPr>
        <w:rFonts w:ascii="Symbol" w:hAnsi="Symbol" w:hint="default"/>
        <w:sz w:val="20"/>
      </w:rPr>
    </w:lvl>
  </w:abstractNum>
  <w:abstractNum w:abstractNumId="37" w15:restartNumberingAfterBreak="0">
    <w:nsid w:val="3644144B"/>
    <w:multiLevelType w:val="multilevel"/>
    <w:tmpl w:val="1940F6C6"/>
    <w:styleLink w:val="Listeactuel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2A0A06"/>
    <w:multiLevelType w:val="hybridMultilevel"/>
    <w:tmpl w:val="FE7EAD4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391E65F1"/>
    <w:multiLevelType w:val="hybridMultilevel"/>
    <w:tmpl w:val="4F5C07CA"/>
    <w:lvl w:ilvl="0" w:tplc="434AF1A2">
      <w:start w:val="6"/>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39292484"/>
    <w:multiLevelType w:val="hybridMultilevel"/>
    <w:tmpl w:val="F5D824B4"/>
    <w:lvl w:ilvl="0" w:tplc="ECAAE20E">
      <w:start w:val="1"/>
      <w:numFmt w:val="decimal"/>
      <w:lvlText w:val="%1."/>
      <w:lvlJc w:val="left"/>
      <w:pPr>
        <w:ind w:left="785" w:hanging="360"/>
      </w:pPr>
      <w:rPr>
        <w:rFonts w:hint="default"/>
      </w:rPr>
    </w:lvl>
    <w:lvl w:ilvl="1" w:tplc="0C0C0019">
      <w:start w:val="1"/>
      <w:numFmt w:val="lowerLetter"/>
      <w:lvlText w:val="%2."/>
      <w:lvlJc w:val="left"/>
      <w:pPr>
        <w:ind w:left="1211"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41" w15:restartNumberingAfterBreak="0">
    <w:nsid w:val="395078C4"/>
    <w:multiLevelType w:val="hybridMultilevel"/>
    <w:tmpl w:val="9336E4A6"/>
    <w:lvl w:ilvl="0" w:tplc="71B46EC2">
      <w:start w:val="14"/>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9E96B94"/>
    <w:multiLevelType w:val="hybridMultilevel"/>
    <w:tmpl w:val="739C899E"/>
    <w:lvl w:ilvl="0" w:tplc="DCE4CB64">
      <w:start w:val="1"/>
      <w:numFmt w:val="decimal"/>
      <w:lvlText w:val="%1."/>
      <w:lvlJc w:val="left"/>
      <w:pPr>
        <w:ind w:left="1127" w:hanging="560"/>
      </w:pPr>
      <w:rPr>
        <w:rFonts w:hint="default"/>
        <w:b w:val="0"/>
        <w:bCs w:val="0"/>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3" w15:restartNumberingAfterBreak="0">
    <w:nsid w:val="3DD67155"/>
    <w:multiLevelType w:val="hybridMultilevel"/>
    <w:tmpl w:val="DA487B02"/>
    <w:lvl w:ilvl="0" w:tplc="005E8C12">
      <w:start w:val="1"/>
      <w:numFmt w:val="bullet"/>
      <w:lvlText w:val="−"/>
      <w:lvlJc w:val="left"/>
      <w:pPr>
        <w:ind w:left="720" w:hanging="360"/>
      </w:pPr>
      <w:rPr>
        <w:rFonts w:ascii="SymbolMT" w:eastAsia="SymbolMT" w:hAnsi="Arial" w:cs="SymbolMT" w:hint="eastAsi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40967522"/>
    <w:multiLevelType w:val="hybridMultilevel"/>
    <w:tmpl w:val="CCE05F2E"/>
    <w:lvl w:ilvl="0" w:tplc="04E4DD00">
      <w:start w:val="3"/>
      <w:numFmt w:val="upperLetter"/>
      <w:lvlText w:val="%1)"/>
      <w:lvlJc w:val="left"/>
      <w:pPr>
        <w:ind w:left="2007" w:hanging="360"/>
      </w:pPr>
      <w:rPr>
        <w:rFonts w:hint="default"/>
        <w:b w:val="0"/>
        <w:bCs w:val="0"/>
        <w:i w:val="0"/>
        <w:iCs w:val="0"/>
      </w:rPr>
    </w:lvl>
    <w:lvl w:ilvl="1" w:tplc="0C0C0019" w:tentative="1">
      <w:start w:val="1"/>
      <w:numFmt w:val="lowerLetter"/>
      <w:lvlText w:val="%2."/>
      <w:lvlJc w:val="left"/>
      <w:pPr>
        <w:ind w:left="2727" w:hanging="360"/>
      </w:pPr>
    </w:lvl>
    <w:lvl w:ilvl="2" w:tplc="0C0C001B" w:tentative="1">
      <w:start w:val="1"/>
      <w:numFmt w:val="lowerRoman"/>
      <w:lvlText w:val="%3."/>
      <w:lvlJc w:val="right"/>
      <w:pPr>
        <w:ind w:left="3447" w:hanging="180"/>
      </w:pPr>
    </w:lvl>
    <w:lvl w:ilvl="3" w:tplc="0C0C000F" w:tentative="1">
      <w:start w:val="1"/>
      <w:numFmt w:val="decimal"/>
      <w:lvlText w:val="%4."/>
      <w:lvlJc w:val="left"/>
      <w:pPr>
        <w:ind w:left="4167" w:hanging="360"/>
      </w:pPr>
    </w:lvl>
    <w:lvl w:ilvl="4" w:tplc="0C0C0019" w:tentative="1">
      <w:start w:val="1"/>
      <w:numFmt w:val="lowerLetter"/>
      <w:lvlText w:val="%5."/>
      <w:lvlJc w:val="left"/>
      <w:pPr>
        <w:ind w:left="4887" w:hanging="360"/>
      </w:pPr>
    </w:lvl>
    <w:lvl w:ilvl="5" w:tplc="0C0C001B" w:tentative="1">
      <w:start w:val="1"/>
      <w:numFmt w:val="lowerRoman"/>
      <w:lvlText w:val="%6."/>
      <w:lvlJc w:val="right"/>
      <w:pPr>
        <w:ind w:left="5607" w:hanging="180"/>
      </w:pPr>
    </w:lvl>
    <w:lvl w:ilvl="6" w:tplc="0C0C000F" w:tentative="1">
      <w:start w:val="1"/>
      <w:numFmt w:val="decimal"/>
      <w:lvlText w:val="%7."/>
      <w:lvlJc w:val="left"/>
      <w:pPr>
        <w:ind w:left="6327" w:hanging="360"/>
      </w:pPr>
    </w:lvl>
    <w:lvl w:ilvl="7" w:tplc="0C0C0019" w:tentative="1">
      <w:start w:val="1"/>
      <w:numFmt w:val="lowerLetter"/>
      <w:lvlText w:val="%8."/>
      <w:lvlJc w:val="left"/>
      <w:pPr>
        <w:ind w:left="7047" w:hanging="360"/>
      </w:pPr>
    </w:lvl>
    <w:lvl w:ilvl="8" w:tplc="0C0C001B" w:tentative="1">
      <w:start w:val="1"/>
      <w:numFmt w:val="lowerRoman"/>
      <w:lvlText w:val="%9."/>
      <w:lvlJc w:val="right"/>
      <w:pPr>
        <w:ind w:left="7767" w:hanging="180"/>
      </w:pPr>
    </w:lvl>
  </w:abstractNum>
  <w:abstractNum w:abstractNumId="45" w15:restartNumberingAfterBreak="0">
    <w:nsid w:val="419063CB"/>
    <w:multiLevelType w:val="hybridMultilevel"/>
    <w:tmpl w:val="A8DCA71C"/>
    <w:lvl w:ilvl="0" w:tplc="25442344">
      <w:start w:val="8"/>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42FD2BC9"/>
    <w:multiLevelType w:val="hybridMultilevel"/>
    <w:tmpl w:val="B42A1E2A"/>
    <w:lvl w:ilvl="0" w:tplc="AB44EEB6">
      <w:start w:val="1"/>
      <w:numFmt w:val="decimalZero"/>
      <w:lvlText w:val="%1."/>
      <w:lvlJc w:val="left"/>
      <w:pPr>
        <w:ind w:left="4046" w:hanging="360"/>
      </w:pPr>
      <w:rPr>
        <w:rFonts w:hint="default"/>
      </w:rPr>
    </w:lvl>
    <w:lvl w:ilvl="1" w:tplc="0C0C0019" w:tentative="1">
      <w:start w:val="1"/>
      <w:numFmt w:val="lowerLetter"/>
      <w:lvlText w:val="%2."/>
      <w:lvlJc w:val="left"/>
      <w:pPr>
        <w:ind w:left="1668" w:hanging="360"/>
      </w:pPr>
    </w:lvl>
    <w:lvl w:ilvl="2" w:tplc="0C0C001B" w:tentative="1">
      <w:start w:val="1"/>
      <w:numFmt w:val="lowerRoman"/>
      <w:lvlText w:val="%3."/>
      <w:lvlJc w:val="right"/>
      <w:pPr>
        <w:ind w:left="2388" w:hanging="180"/>
      </w:pPr>
    </w:lvl>
    <w:lvl w:ilvl="3" w:tplc="0C0C000F" w:tentative="1">
      <w:start w:val="1"/>
      <w:numFmt w:val="decimal"/>
      <w:lvlText w:val="%4."/>
      <w:lvlJc w:val="left"/>
      <w:pPr>
        <w:ind w:left="3108" w:hanging="360"/>
      </w:pPr>
    </w:lvl>
    <w:lvl w:ilvl="4" w:tplc="0C0C0019" w:tentative="1">
      <w:start w:val="1"/>
      <w:numFmt w:val="lowerLetter"/>
      <w:lvlText w:val="%5."/>
      <w:lvlJc w:val="left"/>
      <w:pPr>
        <w:ind w:left="3828" w:hanging="360"/>
      </w:pPr>
    </w:lvl>
    <w:lvl w:ilvl="5" w:tplc="0C0C001B" w:tentative="1">
      <w:start w:val="1"/>
      <w:numFmt w:val="lowerRoman"/>
      <w:lvlText w:val="%6."/>
      <w:lvlJc w:val="right"/>
      <w:pPr>
        <w:ind w:left="4548" w:hanging="180"/>
      </w:pPr>
    </w:lvl>
    <w:lvl w:ilvl="6" w:tplc="0C0C000F" w:tentative="1">
      <w:start w:val="1"/>
      <w:numFmt w:val="decimal"/>
      <w:lvlText w:val="%7."/>
      <w:lvlJc w:val="left"/>
      <w:pPr>
        <w:ind w:left="5268" w:hanging="360"/>
      </w:pPr>
    </w:lvl>
    <w:lvl w:ilvl="7" w:tplc="0C0C0019" w:tentative="1">
      <w:start w:val="1"/>
      <w:numFmt w:val="lowerLetter"/>
      <w:lvlText w:val="%8."/>
      <w:lvlJc w:val="left"/>
      <w:pPr>
        <w:ind w:left="5988" w:hanging="360"/>
      </w:pPr>
    </w:lvl>
    <w:lvl w:ilvl="8" w:tplc="0C0C001B" w:tentative="1">
      <w:start w:val="1"/>
      <w:numFmt w:val="lowerRoman"/>
      <w:lvlText w:val="%9."/>
      <w:lvlJc w:val="right"/>
      <w:pPr>
        <w:ind w:left="6708" w:hanging="180"/>
      </w:pPr>
    </w:lvl>
  </w:abstractNum>
  <w:abstractNum w:abstractNumId="47" w15:restartNumberingAfterBreak="0">
    <w:nsid w:val="431702CB"/>
    <w:multiLevelType w:val="hybridMultilevel"/>
    <w:tmpl w:val="B63CBE24"/>
    <w:lvl w:ilvl="0" w:tplc="08201AC4">
      <w:start w:val="1"/>
      <w:numFmt w:val="bullet"/>
      <w:lvlText w:val=""/>
      <w:lvlJc w:val="left"/>
      <w:pPr>
        <w:ind w:left="1068" w:hanging="360"/>
      </w:pPr>
      <w:rPr>
        <w:rFonts w:ascii="Symbol" w:hAnsi="Symbol" w:hint="default"/>
      </w:rPr>
    </w:lvl>
    <w:lvl w:ilvl="1" w:tplc="08201AC4">
      <w:start w:val="1"/>
      <w:numFmt w:val="bullet"/>
      <w:lvlText w:val=""/>
      <w:lvlJc w:val="left"/>
      <w:pPr>
        <w:ind w:left="1788" w:hanging="360"/>
      </w:pPr>
      <w:rPr>
        <w:rFonts w:ascii="Symbol" w:hAnsi="Symbol"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8" w15:restartNumberingAfterBreak="0">
    <w:nsid w:val="43F303B1"/>
    <w:multiLevelType w:val="hybridMultilevel"/>
    <w:tmpl w:val="9222A5A0"/>
    <w:lvl w:ilvl="0" w:tplc="6B787544">
      <w:start w:val="1"/>
      <w:numFmt w:val="lowerLetter"/>
      <w:lvlText w:val="%1)"/>
      <w:lvlJc w:val="left"/>
      <w:pPr>
        <w:ind w:left="1045" w:hanging="567"/>
      </w:pPr>
      <w:rPr>
        <w:rFonts w:ascii="Arial" w:eastAsia="Arial" w:hAnsi="Arial" w:cs="Arial" w:hint="default"/>
        <w:w w:val="99"/>
        <w:sz w:val="24"/>
        <w:szCs w:val="24"/>
        <w:lang w:val="fr-CA" w:eastAsia="fr-CA" w:bidi="fr-CA"/>
      </w:rPr>
    </w:lvl>
    <w:lvl w:ilvl="1" w:tplc="15385690">
      <w:start w:val="1"/>
      <w:numFmt w:val="lowerLetter"/>
      <w:lvlText w:val="%2)"/>
      <w:lvlJc w:val="left"/>
      <w:pPr>
        <w:ind w:left="1045" w:hanging="284"/>
      </w:pPr>
      <w:rPr>
        <w:rFonts w:ascii="Arial" w:eastAsia="Arial" w:hAnsi="Arial" w:cs="Arial" w:hint="default"/>
        <w:spacing w:val="-1"/>
        <w:w w:val="99"/>
        <w:sz w:val="20"/>
        <w:szCs w:val="20"/>
        <w:lang w:val="fr-CA" w:eastAsia="fr-CA" w:bidi="fr-CA"/>
      </w:rPr>
    </w:lvl>
    <w:lvl w:ilvl="2" w:tplc="4EC40632">
      <w:numFmt w:val="bullet"/>
      <w:lvlText w:val="-"/>
      <w:lvlJc w:val="left"/>
      <w:pPr>
        <w:ind w:left="1330" w:hanging="286"/>
      </w:pPr>
      <w:rPr>
        <w:rFonts w:ascii="Arial" w:eastAsia="Arial" w:hAnsi="Arial" w:cs="Arial" w:hint="default"/>
        <w:w w:val="99"/>
        <w:sz w:val="20"/>
        <w:szCs w:val="20"/>
        <w:lang w:val="fr-CA" w:eastAsia="fr-CA" w:bidi="fr-CA"/>
      </w:rPr>
    </w:lvl>
    <w:lvl w:ilvl="3" w:tplc="F8E623D8">
      <w:numFmt w:val="bullet"/>
      <w:lvlText w:val="•"/>
      <w:lvlJc w:val="left"/>
      <w:pPr>
        <w:ind w:left="3451" w:hanging="286"/>
      </w:pPr>
      <w:rPr>
        <w:rFonts w:hint="default"/>
        <w:lang w:val="fr-CA" w:eastAsia="fr-CA" w:bidi="fr-CA"/>
      </w:rPr>
    </w:lvl>
    <w:lvl w:ilvl="4" w:tplc="916C74AA">
      <w:numFmt w:val="bullet"/>
      <w:lvlText w:val="•"/>
      <w:lvlJc w:val="left"/>
      <w:pPr>
        <w:ind w:left="4507" w:hanging="286"/>
      </w:pPr>
      <w:rPr>
        <w:rFonts w:hint="default"/>
        <w:lang w:val="fr-CA" w:eastAsia="fr-CA" w:bidi="fr-CA"/>
      </w:rPr>
    </w:lvl>
    <w:lvl w:ilvl="5" w:tplc="35CE885E">
      <w:numFmt w:val="bullet"/>
      <w:lvlText w:val="•"/>
      <w:lvlJc w:val="left"/>
      <w:pPr>
        <w:ind w:left="5563" w:hanging="286"/>
      </w:pPr>
      <w:rPr>
        <w:rFonts w:hint="default"/>
        <w:lang w:val="fr-CA" w:eastAsia="fr-CA" w:bidi="fr-CA"/>
      </w:rPr>
    </w:lvl>
    <w:lvl w:ilvl="6" w:tplc="21947268">
      <w:numFmt w:val="bullet"/>
      <w:lvlText w:val="•"/>
      <w:lvlJc w:val="left"/>
      <w:pPr>
        <w:ind w:left="6619" w:hanging="286"/>
      </w:pPr>
      <w:rPr>
        <w:rFonts w:hint="default"/>
        <w:lang w:val="fr-CA" w:eastAsia="fr-CA" w:bidi="fr-CA"/>
      </w:rPr>
    </w:lvl>
    <w:lvl w:ilvl="7" w:tplc="8D52FECC">
      <w:numFmt w:val="bullet"/>
      <w:lvlText w:val="•"/>
      <w:lvlJc w:val="left"/>
      <w:pPr>
        <w:ind w:left="7674" w:hanging="286"/>
      </w:pPr>
      <w:rPr>
        <w:rFonts w:hint="default"/>
        <w:lang w:val="fr-CA" w:eastAsia="fr-CA" w:bidi="fr-CA"/>
      </w:rPr>
    </w:lvl>
    <w:lvl w:ilvl="8" w:tplc="A3DA5E86">
      <w:numFmt w:val="bullet"/>
      <w:lvlText w:val="•"/>
      <w:lvlJc w:val="left"/>
      <w:pPr>
        <w:ind w:left="8730" w:hanging="286"/>
      </w:pPr>
      <w:rPr>
        <w:rFonts w:hint="default"/>
        <w:lang w:val="fr-CA" w:eastAsia="fr-CA" w:bidi="fr-CA"/>
      </w:rPr>
    </w:lvl>
  </w:abstractNum>
  <w:abstractNum w:abstractNumId="49" w15:restartNumberingAfterBreak="0">
    <w:nsid w:val="45F75F8E"/>
    <w:multiLevelType w:val="singleLevel"/>
    <w:tmpl w:val="6958AB58"/>
    <w:lvl w:ilvl="0">
      <w:start w:val="1"/>
      <w:numFmt w:val="bullet"/>
      <w:pStyle w:val="TableofAuthorities"/>
      <w:lvlText w:val="•"/>
      <w:lvlJc w:val="left"/>
      <w:pPr>
        <w:tabs>
          <w:tab w:val="num" w:pos="567"/>
        </w:tabs>
        <w:ind w:left="567" w:hanging="567"/>
      </w:pPr>
      <w:rPr>
        <w:rFonts w:ascii="Arial" w:hAnsi="Arial" w:hint="default"/>
        <w:b/>
        <w:i w:val="0"/>
        <w:sz w:val="24"/>
      </w:rPr>
    </w:lvl>
  </w:abstractNum>
  <w:abstractNum w:abstractNumId="50" w15:restartNumberingAfterBreak="0">
    <w:nsid w:val="47694B81"/>
    <w:multiLevelType w:val="hybridMultilevel"/>
    <w:tmpl w:val="1994C52C"/>
    <w:lvl w:ilvl="0" w:tplc="25442344">
      <w:start w:val="8"/>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AD04B71"/>
    <w:multiLevelType w:val="hybridMultilevel"/>
    <w:tmpl w:val="603899E8"/>
    <w:lvl w:ilvl="0" w:tplc="E6444932">
      <w:start w:val="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2" w15:restartNumberingAfterBreak="0">
    <w:nsid w:val="4D20164C"/>
    <w:multiLevelType w:val="hybridMultilevel"/>
    <w:tmpl w:val="190C4BC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3" w15:restartNumberingAfterBreak="0">
    <w:nsid w:val="56461550"/>
    <w:multiLevelType w:val="hybridMultilevel"/>
    <w:tmpl w:val="961C566E"/>
    <w:lvl w:ilvl="0" w:tplc="005E8C12">
      <w:start w:val="1"/>
      <w:numFmt w:val="bullet"/>
      <w:lvlText w:val="−"/>
      <w:lvlJc w:val="left"/>
      <w:pPr>
        <w:ind w:left="1287" w:hanging="360"/>
      </w:pPr>
      <w:rPr>
        <w:rFonts w:ascii="SymbolMT" w:eastAsia="SymbolMT" w:hAnsi="Arial" w:cs="SymbolMT" w:hint="eastAsia"/>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4" w15:restartNumberingAfterBreak="0">
    <w:nsid w:val="565136A6"/>
    <w:multiLevelType w:val="hybridMultilevel"/>
    <w:tmpl w:val="7716FC46"/>
    <w:lvl w:ilvl="0" w:tplc="FFFFFFFF">
      <w:start w:val="8"/>
      <w:numFmt w:val="bullet"/>
      <w:lvlText w:val="-"/>
      <w:lvlJc w:val="left"/>
      <w:pPr>
        <w:ind w:left="720" w:hanging="360"/>
      </w:pPr>
      <w:rPr>
        <w:rFonts w:ascii="Calibri" w:eastAsia="Times New Roman" w:hAnsi="Calibri" w:cs="Calibri" w:hint="default"/>
      </w:rPr>
    </w:lvl>
    <w:lvl w:ilvl="1" w:tplc="0C0C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7285731"/>
    <w:multiLevelType w:val="hybridMultilevel"/>
    <w:tmpl w:val="5DFAD9EA"/>
    <w:lvl w:ilvl="0" w:tplc="0C0C000F">
      <w:start w:val="1"/>
      <w:numFmt w:val="decimal"/>
      <w:lvlText w:val="%1."/>
      <w:lvlJc w:val="left"/>
      <w:pPr>
        <w:ind w:left="1710" w:hanging="360"/>
      </w:pPr>
    </w:lvl>
    <w:lvl w:ilvl="1" w:tplc="0C0C0019" w:tentative="1">
      <w:start w:val="1"/>
      <w:numFmt w:val="lowerLetter"/>
      <w:lvlText w:val="%2."/>
      <w:lvlJc w:val="left"/>
      <w:pPr>
        <w:ind w:left="2430" w:hanging="360"/>
      </w:pPr>
    </w:lvl>
    <w:lvl w:ilvl="2" w:tplc="0C0C001B" w:tentative="1">
      <w:start w:val="1"/>
      <w:numFmt w:val="lowerRoman"/>
      <w:lvlText w:val="%3."/>
      <w:lvlJc w:val="right"/>
      <w:pPr>
        <w:ind w:left="3150" w:hanging="180"/>
      </w:pPr>
    </w:lvl>
    <w:lvl w:ilvl="3" w:tplc="0C0C000F" w:tentative="1">
      <w:start w:val="1"/>
      <w:numFmt w:val="decimal"/>
      <w:lvlText w:val="%4."/>
      <w:lvlJc w:val="left"/>
      <w:pPr>
        <w:ind w:left="3870" w:hanging="360"/>
      </w:pPr>
    </w:lvl>
    <w:lvl w:ilvl="4" w:tplc="0C0C0019" w:tentative="1">
      <w:start w:val="1"/>
      <w:numFmt w:val="lowerLetter"/>
      <w:lvlText w:val="%5."/>
      <w:lvlJc w:val="left"/>
      <w:pPr>
        <w:ind w:left="4590" w:hanging="360"/>
      </w:pPr>
    </w:lvl>
    <w:lvl w:ilvl="5" w:tplc="0C0C001B" w:tentative="1">
      <w:start w:val="1"/>
      <w:numFmt w:val="lowerRoman"/>
      <w:lvlText w:val="%6."/>
      <w:lvlJc w:val="right"/>
      <w:pPr>
        <w:ind w:left="5310" w:hanging="180"/>
      </w:pPr>
    </w:lvl>
    <w:lvl w:ilvl="6" w:tplc="0C0C000F" w:tentative="1">
      <w:start w:val="1"/>
      <w:numFmt w:val="decimal"/>
      <w:lvlText w:val="%7."/>
      <w:lvlJc w:val="left"/>
      <w:pPr>
        <w:ind w:left="6030" w:hanging="360"/>
      </w:pPr>
    </w:lvl>
    <w:lvl w:ilvl="7" w:tplc="0C0C0019" w:tentative="1">
      <w:start w:val="1"/>
      <w:numFmt w:val="lowerLetter"/>
      <w:lvlText w:val="%8."/>
      <w:lvlJc w:val="left"/>
      <w:pPr>
        <w:ind w:left="6750" w:hanging="360"/>
      </w:pPr>
    </w:lvl>
    <w:lvl w:ilvl="8" w:tplc="0C0C001B" w:tentative="1">
      <w:start w:val="1"/>
      <w:numFmt w:val="lowerRoman"/>
      <w:lvlText w:val="%9."/>
      <w:lvlJc w:val="right"/>
      <w:pPr>
        <w:ind w:left="7470" w:hanging="180"/>
      </w:pPr>
    </w:lvl>
  </w:abstractNum>
  <w:abstractNum w:abstractNumId="56" w15:restartNumberingAfterBreak="0">
    <w:nsid w:val="59887BC6"/>
    <w:multiLevelType w:val="hybridMultilevel"/>
    <w:tmpl w:val="5A2CE3E8"/>
    <w:lvl w:ilvl="0" w:tplc="9132BB7A">
      <w:start w:val="6"/>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7" w15:restartNumberingAfterBreak="0">
    <w:nsid w:val="5E3E394E"/>
    <w:multiLevelType w:val="hybridMultilevel"/>
    <w:tmpl w:val="3B2A2F6E"/>
    <w:lvl w:ilvl="0" w:tplc="0C0C0001">
      <w:start w:val="1"/>
      <w:numFmt w:val="bullet"/>
      <w:lvlText w:val=""/>
      <w:lvlJc w:val="left"/>
      <w:pPr>
        <w:ind w:left="795" w:hanging="360"/>
      </w:pPr>
      <w:rPr>
        <w:rFonts w:ascii="Symbol" w:hAnsi="Symbol"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58" w15:restartNumberingAfterBreak="0">
    <w:nsid w:val="5F0A5ADC"/>
    <w:multiLevelType w:val="hybridMultilevel"/>
    <w:tmpl w:val="88163004"/>
    <w:lvl w:ilvl="0" w:tplc="DA96633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9" w15:restartNumberingAfterBreak="0">
    <w:nsid w:val="605617CF"/>
    <w:multiLevelType w:val="hybridMultilevel"/>
    <w:tmpl w:val="F58CBD8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15:restartNumberingAfterBreak="0">
    <w:nsid w:val="60F856A0"/>
    <w:multiLevelType w:val="hybridMultilevel"/>
    <w:tmpl w:val="E57EA984"/>
    <w:lvl w:ilvl="0" w:tplc="0786DEE2">
      <w:start w:val="5"/>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1" w15:restartNumberingAfterBreak="0">
    <w:nsid w:val="61803153"/>
    <w:multiLevelType w:val="hybridMultilevel"/>
    <w:tmpl w:val="5D68DA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2" w15:restartNumberingAfterBreak="0">
    <w:nsid w:val="64E60DAE"/>
    <w:multiLevelType w:val="hybridMultilevel"/>
    <w:tmpl w:val="169816F8"/>
    <w:lvl w:ilvl="0" w:tplc="438EFD6E">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3" w15:restartNumberingAfterBreak="0">
    <w:nsid w:val="66633BFD"/>
    <w:multiLevelType w:val="hybridMultilevel"/>
    <w:tmpl w:val="72466B70"/>
    <w:lvl w:ilvl="0" w:tplc="0FD6FA0C">
      <w:start w:val="1"/>
      <w:numFmt w:val="upperLetter"/>
      <w:lvlText w:val="%1)"/>
      <w:lvlJc w:val="left"/>
      <w:pPr>
        <w:ind w:left="930" w:hanging="57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6698314B"/>
    <w:multiLevelType w:val="hybridMultilevel"/>
    <w:tmpl w:val="A308E5C4"/>
    <w:lvl w:ilvl="0" w:tplc="BE8EEB98">
      <w:start w:val="1"/>
      <w:numFmt w:val="decimal"/>
      <w:lvlText w:val="%1)"/>
      <w:lvlJc w:val="left"/>
      <w:pPr>
        <w:ind w:left="1776" w:hanging="360"/>
      </w:pPr>
      <w:rPr>
        <w:rFonts w:hint="default"/>
        <w:b w:val="0"/>
        <w:u w:val="none"/>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65" w15:restartNumberingAfterBreak="0">
    <w:nsid w:val="6752127D"/>
    <w:multiLevelType w:val="hybridMultilevel"/>
    <w:tmpl w:val="71683112"/>
    <w:lvl w:ilvl="0" w:tplc="0C0C000F">
      <w:start w:val="1"/>
      <w:numFmt w:val="decimal"/>
      <w:lvlText w:val="%1."/>
      <w:lvlJc w:val="left"/>
      <w:pPr>
        <w:ind w:left="1287" w:hanging="360"/>
      </w:p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66" w15:restartNumberingAfterBreak="0">
    <w:nsid w:val="6B225258"/>
    <w:multiLevelType w:val="hybridMultilevel"/>
    <w:tmpl w:val="A0020D9E"/>
    <w:lvl w:ilvl="0" w:tplc="8BA6EEFC">
      <w:start w:val="6"/>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7" w15:restartNumberingAfterBreak="0">
    <w:nsid w:val="6C4E453A"/>
    <w:multiLevelType w:val="hybridMultilevel"/>
    <w:tmpl w:val="AAD09AF8"/>
    <w:lvl w:ilvl="0" w:tplc="C6BC98A4">
      <w:start w:val="1"/>
      <w:numFmt w:val="upperLetter"/>
      <w:lvlText w:val="%1."/>
      <w:lvlJc w:val="left"/>
      <w:pPr>
        <w:ind w:left="360" w:hanging="360"/>
      </w:pPr>
      <w:rPr>
        <w:dstrike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8" w15:restartNumberingAfterBreak="0">
    <w:nsid w:val="6C5424C3"/>
    <w:multiLevelType w:val="hybridMultilevel"/>
    <w:tmpl w:val="1FF6AC74"/>
    <w:lvl w:ilvl="0" w:tplc="16B0C6BC">
      <w:start w:val="14"/>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9" w15:restartNumberingAfterBreak="0">
    <w:nsid w:val="6C8A3B9E"/>
    <w:multiLevelType w:val="hybridMultilevel"/>
    <w:tmpl w:val="C57A8606"/>
    <w:lvl w:ilvl="0" w:tplc="0C0C0015">
      <w:start w:val="1"/>
      <w:numFmt w:val="upperLetter"/>
      <w:lvlText w:val="%1."/>
      <w:lvlJc w:val="left"/>
      <w:pPr>
        <w:ind w:left="1287" w:hanging="360"/>
      </w:p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70" w15:restartNumberingAfterBreak="0">
    <w:nsid w:val="71F16A68"/>
    <w:multiLevelType w:val="hybridMultilevel"/>
    <w:tmpl w:val="DA74530C"/>
    <w:lvl w:ilvl="0" w:tplc="F9444D58">
      <w:start w:val="1"/>
      <w:numFmt w:val="upperLetter"/>
      <w:lvlText w:val="%1)"/>
      <w:lvlJc w:val="left"/>
      <w:pPr>
        <w:ind w:left="360" w:hanging="360"/>
      </w:pPr>
      <w:rPr>
        <w:rFonts w:hint="default"/>
        <w:b w:val="0"/>
        <w:bCs w:val="0"/>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1" w15:restartNumberingAfterBreak="0">
    <w:nsid w:val="729057E8"/>
    <w:multiLevelType w:val="hybridMultilevel"/>
    <w:tmpl w:val="72B02C2C"/>
    <w:lvl w:ilvl="0" w:tplc="CBE236AA">
      <w:start w:val="1"/>
      <w:numFmt w:val="decimalZero"/>
      <w:lvlText w:val="%1."/>
      <w:lvlJc w:val="left"/>
      <w:pPr>
        <w:ind w:left="900" w:hanging="54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72CE209D"/>
    <w:multiLevelType w:val="hybridMultilevel"/>
    <w:tmpl w:val="CB1229AC"/>
    <w:lvl w:ilvl="0" w:tplc="6D780BDE">
      <w:start w:val="3"/>
      <w:numFmt w:val="bullet"/>
      <w:lvlText w:val="-"/>
      <w:lvlJc w:val="left"/>
      <w:pPr>
        <w:ind w:left="144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3" w15:restartNumberingAfterBreak="0">
    <w:nsid w:val="73997546"/>
    <w:multiLevelType w:val="singleLevel"/>
    <w:tmpl w:val="D9E83A54"/>
    <w:lvl w:ilvl="0">
      <w:start w:val="1"/>
      <w:numFmt w:val="decimal"/>
      <w:pStyle w:val="pico1"/>
      <w:lvlText w:val="%1."/>
      <w:lvlJc w:val="left"/>
      <w:pPr>
        <w:tabs>
          <w:tab w:val="num" w:pos="360"/>
        </w:tabs>
        <w:ind w:left="360" w:hanging="360"/>
      </w:pPr>
      <w:rPr>
        <w:sz w:val="20"/>
      </w:rPr>
    </w:lvl>
  </w:abstractNum>
  <w:abstractNum w:abstractNumId="74" w15:restartNumberingAfterBreak="0">
    <w:nsid w:val="749C42C0"/>
    <w:multiLevelType w:val="hybridMultilevel"/>
    <w:tmpl w:val="10E6A84A"/>
    <w:lvl w:ilvl="0" w:tplc="B65A182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5" w15:restartNumberingAfterBreak="0">
    <w:nsid w:val="769330BF"/>
    <w:multiLevelType w:val="hybridMultilevel"/>
    <w:tmpl w:val="940E402E"/>
    <w:lvl w:ilvl="0" w:tplc="7F5EDB4C">
      <w:start w:val="1"/>
      <w:numFmt w:val="decimal"/>
      <w:lvlText w:val="%1."/>
      <w:lvlJc w:val="left"/>
      <w:pPr>
        <w:ind w:left="1309" w:hanging="420"/>
      </w:pPr>
      <w:rPr>
        <w:rFonts w:ascii="Arial" w:eastAsia="Arial" w:hAnsi="Arial" w:cs="Arial" w:hint="default"/>
        <w:spacing w:val="-1"/>
        <w:w w:val="100"/>
        <w:sz w:val="22"/>
        <w:szCs w:val="22"/>
      </w:rPr>
    </w:lvl>
    <w:lvl w:ilvl="1" w:tplc="7570B910">
      <w:start w:val="1"/>
      <w:numFmt w:val="lowerLetter"/>
      <w:lvlText w:val="%2)"/>
      <w:lvlJc w:val="left"/>
      <w:pPr>
        <w:ind w:left="1580" w:hanging="360"/>
      </w:pPr>
      <w:rPr>
        <w:rFonts w:ascii="Arial" w:eastAsia="Arial" w:hAnsi="Arial" w:cs="Arial" w:hint="default"/>
        <w:b/>
        <w:bCs/>
        <w:spacing w:val="-1"/>
        <w:w w:val="100"/>
        <w:sz w:val="22"/>
        <w:szCs w:val="22"/>
      </w:rPr>
    </w:lvl>
    <w:lvl w:ilvl="2" w:tplc="102E313C">
      <w:numFmt w:val="bullet"/>
      <w:lvlText w:val="o"/>
      <w:lvlJc w:val="left"/>
      <w:pPr>
        <w:ind w:left="2120" w:hanging="360"/>
      </w:pPr>
      <w:rPr>
        <w:rFonts w:ascii="Courier New" w:eastAsia="Courier New" w:hAnsi="Courier New" w:cs="Courier New" w:hint="default"/>
        <w:w w:val="100"/>
        <w:sz w:val="22"/>
        <w:szCs w:val="22"/>
      </w:rPr>
    </w:lvl>
    <w:lvl w:ilvl="3" w:tplc="2A9AA348">
      <w:numFmt w:val="bullet"/>
      <w:lvlText w:val="•"/>
      <w:lvlJc w:val="left"/>
      <w:pPr>
        <w:ind w:left="3060" w:hanging="360"/>
      </w:pPr>
      <w:rPr>
        <w:rFonts w:hint="default"/>
      </w:rPr>
    </w:lvl>
    <w:lvl w:ilvl="4" w:tplc="8BCEE862">
      <w:numFmt w:val="bullet"/>
      <w:lvlText w:val="•"/>
      <w:lvlJc w:val="left"/>
      <w:pPr>
        <w:ind w:left="4000" w:hanging="360"/>
      </w:pPr>
      <w:rPr>
        <w:rFonts w:hint="default"/>
      </w:rPr>
    </w:lvl>
    <w:lvl w:ilvl="5" w:tplc="8362AEB8">
      <w:numFmt w:val="bullet"/>
      <w:lvlText w:val="•"/>
      <w:lvlJc w:val="left"/>
      <w:pPr>
        <w:ind w:left="4940" w:hanging="360"/>
      </w:pPr>
      <w:rPr>
        <w:rFonts w:hint="default"/>
      </w:rPr>
    </w:lvl>
    <w:lvl w:ilvl="6" w:tplc="6834E970">
      <w:numFmt w:val="bullet"/>
      <w:lvlText w:val="•"/>
      <w:lvlJc w:val="left"/>
      <w:pPr>
        <w:ind w:left="5880" w:hanging="360"/>
      </w:pPr>
      <w:rPr>
        <w:rFonts w:hint="default"/>
      </w:rPr>
    </w:lvl>
    <w:lvl w:ilvl="7" w:tplc="FDC62D3A">
      <w:numFmt w:val="bullet"/>
      <w:lvlText w:val="•"/>
      <w:lvlJc w:val="left"/>
      <w:pPr>
        <w:ind w:left="6820" w:hanging="360"/>
      </w:pPr>
      <w:rPr>
        <w:rFonts w:hint="default"/>
      </w:rPr>
    </w:lvl>
    <w:lvl w:ilvl="8" w:tplc="7AD820BA">
      <w:numFmt w:val="bullet"/>
      <w:lvlText w:val="•"/>
      <w:lvlJc w:val="left"/>
      <w:pPr>
        <w:ind w:left="7760" w:hanging="360"/>
      </w:pPr>
      <w:rPr>
        <w:rFonts w:hint="default"/>
      </w:rPr>
    </w:lvl>
  </w:abstractNum>
  <w:abstractNum w:abstractNumId="76" w15:restartNumberingAfterBreak="0">
    <w:nsid w:val="78C90F45"/>
    <w:multiLevelType w:val="hybridMultilevel"/>
    <w:tmpl w:val="77F44D42"/>
    <w:lvl w:ilvl="0" w:tplc="34C023B8">
      <w:start w:val="1"/>
      <w:numFmt w:val="decimal"/>
      <w:lvlText w:val="%1."/>
      <w:lvlJc w:val="left"/>
      <w:pPr>
        <w:ind w:left="720" w:hanging="360"/>
      </w:pPr>
      <w:rPr>
        <w:rFonts w:hint="default"/>
        <w:b w:val="0"/>
        <w:sz w:val="22"/>
        <w:szCs w:val="22"/>
        <w:u w:val="no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7" w15:restartNumberingAfterBreak="0">
    <w:nsid w:val="791D30DE"/>
    <w:multiLevelType w:val="hybridMultilevel"/>
    <w:tmpl w:val="57C214F6"/>
    <w:lvl w:ilvl="0" w:tplc="0C0C000F">
      <w:start w:val="1"/>
      <w:numFmt w:val="decimal"/>
      <w:lvlText w:val="%1."/>
      <w:lvlJc w:val="left"/>
      <w:pPr>
        <w:ind w:left="1287" w:hanging="360"/>
      </w:pPr>
      <w:rPr>
        <w:dstrike w:val="0"/>
      </w:rPr>
    </w:lvl>
    <w:lvl w:ilvl="1" w:tplc="0C0C0019">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78" w15:restartNumberingAfterBreak="0">
    <w:nsid w:val="79661D97"/>
    <w:multiLevelType w:val="hybridMultilevel"/>
    <w:tmpl w:val="9E3A9A30"/>
    <w:lvl w:ilvl="0" w:tplc="329CF3C2">
      <w:start w:val="14"/>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79951E4E"/>
    <w:multiLevelType w:val="hybridMultilevel"/>
    <w:tmpl w:val="82E4E430"/>
    <w:lvl w:ilvl="0" w:tplc="12F22FAA">
      <w:start w:val="6"/>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0" w15:restartNumberingAfterBreak="0">
    <w:nsid w:val="79AC007F"/>
    <w:multiLevelType w:val="hybridMultilevel"/>
    <w:tmpl w:val="539C17D0"/>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1" w15:restartNumberingAfterBreak="0">
    <w:nsid w:val="7B7F1B7F"/>
    <w:multiLevelType w:val="hybridMultilevel"/>
    <w:tmpl w:val="EC120242"/>
    <w:lvl w:ilvl="0" w:tplc="FF38D062">
      <w:start w:val="1"/>
      <w:numFmt w:val="bullet"/>
      <w:pStyle w:val="Puce-FNEEQ"/>
      <w:lvlText w:val=""/>
      <w:lvlJc w:val="left"/>
      <w:pPr>
        <w:ind w:left="645" w:hanging="360"/>
      </w:pPr>
      <w:rPr>
        <w:rFonts w:ascii="Symbol" w:hAnsi="Symbol" w:hint="default"/>
        <w:sz w:val="20"/>
        <w:szCs w:val="20"/>
      </w:rPr>
    </w:lvl>
    <w:lvl w:ilvl="1" w:tplc="0C0C0003" w:tentative="1">
      <w:start w:val="1"/>
      <w:numFmt w:val="bullet"/>
      <w:lvlText w:val="o"/>
      <w:lvlJc w:val="left"/>
      <w:pPr>
        <w:ind w:left="1365" w:hanging="360"/>
      </w:pPr>
      <w:rPr>
        <w:rFonts w:ascii="Courier New" w:hAnsi="Courier New" w:cs="Courier New" w:hint="default"/>
      </w:rPr>
    </w:lvl>
    <w:lvl w:ilvl="2" w:tplc="0C0C0005" w:tentative="1">
      <w:start w:val="1"/>
      <w:numFmt w:val="bullet"/>
      <w:lvlText w:val=""/>
      <w:lvlJc w:val="left"/>
      <w:pPr>
        <w:ind w:left="2085" w:hanging="360"/>
      </w:pPr>
      <w:rPr>
        <w:rFonts w:ascii="Wingdings" w:hAnsi="Wingdings" w:hint="default"/>
      </w:rPr>
    </w:lvl>
    <w:lvl w:ilvl="3" w:tplc="0C0C0001" w:tentative="1">
      <w:start w:val="1"/>
      <w:numFmt w:val="bullet"/>
      <w:lvlText w:val=""/>
      <w:lvlJc w:val="left"/>
      <w:pPr>
        <w:ind w:left="2805" w:hanging="360"/>
      </w:pPr>
      <w:rPr>
        <w:rFonts w:ascii="Symbol" w:hAnsi="Symbol" w:hint="default"/>
      </w:rPr>
    </w:lvl>
    <w:lvl w:ilvl="4" w:tplc="0C0C0003" w:tentative="1">
      <w:start w:val="1"/>
      <w:numFmt w:val="bullet"/>
      <w:lvlText w:val="o"/>
      <w:lvlJc w:val="left"/>
      <w:pPr>
        <w:ind w:left="3525" w:hanging="360"/>
      </w:pPr>
      <w:rPr>
        <w:rFonts w:ascii="Courier New" w:hAnsi="Courier New" w:cs="Courier New" w:hint="default"/>
      </w:rPr>
    </w:lvl>
    <w:lvl w:ilvl="5" w:tplc="0C0C0005" w:tentative="1">
      <w:start w:val="1"/>
      <w:numFmt w:val="bullet"/>
      <w:lvlText w:val=""/>
      <w:lvlJc w:val="left"/>
      <w:pPr>
        <w:ind w:left="4245" w:hanging="360"/>
      </w:pPr>
      <w:rPr>
        <w:rFonts w:ascii="Wingdings" w:hAnsi="Wingdings" w:hint="default"/>
      </w:rPr>
    </w:lvl>
    <w:lvl w:ilvl="6" w:tplc="0C0C0001" w:tentative="1">
      <w:start w:val="1"/>
      <w:numFmt w:val="bullet"/>
      <w:lvlText w:val=""/>
      <w:lvlJc w:val="left"/>
      <w:pPr>
        <w:ind w:left="4965" w:hanging="360"/>
      </w:pPr>
      <w:rPr>
        <w:rFonts w:ascii="Symbol" w:hAnsi="Symbol" w:hint="default"/>
      </w:rPr>
    </w:lvl>
    <w:lvl w:ilvl="7" w:tplc="0C0C0003" w:tentative="1">
      <w:start w:val="1"/>
      <w:numFmt w:val="bullet"/>
      <w:lvlText w:val="o"/>
      <w:lvlJc w:val="left"/>
      <w:pPr>
        <w:ind w:left="5685" w:hanging="360"/>
      </w:pPr>
      <w:rPr>
        <w:rFonts w:ascii="Courier New" w:hAnsi="Courier New" w:cs="Courier New" w:hint="default"/>
      </w:rPr>
    </w:lvl>
    <w:lvl w:ilvl="8" w:tplc="0C0C0005" w:tentative="1">
      <w:start w:val="1"/>
      <w:numFmt w:val="bullet"/>
      <w:lvlText w:val=""/>
      <w:lvlJc w:val="left"/>
      <w:pPr>
        <w:ind w:left="6405" w:hanging="360"/>
      </w:pPr>
      <w:rPr>
        <w:rFonts w:ascii="Wingdings" w:hAnsi="Wingdings" w:hint="default"/>
      </w:rPr>
    </w:lvl>
  </w:abstractNum>
  <w:abstractNum w:abstractNumId="82" w15:restartNumberingAfterBreak="0">
    <w:nsid w:val="7CBA3AB1"/>
    <w:multiLevelType w:val="hybridMultilevel"/>
    <w:tmpl w:val="953A58A4"/>
    <w:lvl w:ilvl="0" w:tplc="4B324DCA">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3" w15:restartNumberingAfterBreak="0">
    <w:nsid w:val="7D2000DB"/>
    <w:multiLevelType w:val="hybridMultilevel"/>
    <w:tmpl w:val="019AD2A8"/>
    <w:lvl w:ilvl="0" w:tplc="74405D5C">
      <w:start w:val="1"/>
      <w:numFmt w:val="decimal"/>
      <w:lvlText w:val="%1."/>
      <w:lvlJc w:val="left"/>
      <w:pPr>
        <w:ind w:left="1271" w:hanging="420"/>
      </w:pPr>
      <w:rPr>
        <w:rFonts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84" w15:restartNumberingAfterBreak="0">
    <w:nsid w:val="7DA7421D"/>
    <w:multiLevelType w:val="hybridMultilevel"/>
    <w:tmpl w:val="3182D0CA"/>
    <w:lvl w:ilvl="0" w:tplc="171CD86C">
      <w:start w:val="1"/>
      <w:numFmt w:val="decimal"/>
      <w:lvlText w:val="%1."/>
      <w:lvlJc w:val="left"/>
      <w:pPr>
        <w:ind w:left="2340" w:hanging="360"/>
      </w:pPr>
      <w:rPr>
        <w:rFonts w:hint="default"/>
      </w:rPr>
    </w:lvl>
    <w:lvl w:ilvl="1" w:tplc="0C0C0019" w:tentative="1">
      <w:start w:val="1"/>
      <w:numFmt w:val="lowerLetter"/>
      <w:lvlText w:val="%2."/>
      <w:lvlJc w:val="left"/>
      <w:pPr>
        <w:ind w:left="3060" w:hanging="360"/>
      </w:pPr>
    </w:lvl>
    <w:lvl w:ilvl="2" w:tplc="0C0C001B">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num w:numId="1" w16cid:durableId="273757550">
    <w:abstractNumId w:val="9"/>
  </w:num>
  <w:num w:numId="2" w16cid:durableId="1816219243">
    <w:abstractNumId w:val="73"/>
    <w:lvlOverride w:ilvl="0">
      <w:startOverride w:val="1"/>
    </w:lvlOverride>
  </w:num>
  <w:num w:numId="3" w16cid:durableId="163670199">
    <w:abstractNumId w:val="20"/>
  </w:num>
  <w:num w:numId="4" w16cid:durableId="1689913859">
    <w:abstractNumId w:val="49"/>
  </w:num>
  <w:num w:numId="5" w16cid:durableId="1493136379">
    <w:abstractNumId w:val="64"/>
  </w:num>
  <w:num w:numId="6" w16cid:durableId="1332678413">
    <w:abstractNumId w:val="8"/>
  </w:num>
  <w:num w:numId="7" w16cid:durableId="1786196499">
    <w:abstractNumId w:val="3"/>
  </w:num>
  <w:num w:numId="8" w16cid:durableId="1727140000">
    <w:abstractNumId w:val="2"/>
  </w:num>
  <w:num w:numId="9" w16cid:durableId="1658724836">
    <w:abstractNumId w:val="1"/>
  </w:num>
  <w:num w:numId="10" w16cid:durableId="620956587">
    <w:abstractNumId w:val="0"/>
  </w:num>
  <w:num w:numId="11" w16cid:durableId="862325033">
    <w:abstractNumId w:val="7"/>
  </w:num>
  <w:num w:numId="12" w16cid:durableId="1958946104">
    <w:abstractNumId w:val="6"/>
  </w:num>
  <w:num w:numId="13" w16cid:durableId="2047607593">
    <w:abstractNumId w:val="5"/>
  </w:num>
  <w:num w:numId="14" w16cid:durableId="2097818541">
    <w:abstractNumId w:val="4"/>
  </w:num>
  <w:num w:numId="15" w16cid:durableId="1355769450">
    <w:abstractNumId w:val="34"/>
  </w:num>
  <w:num w:numId="16" w16cid:durableId="872500111">
    <w:abstractNumId w:val="10"/>
  </w:num>
  <w:num w:numId="17" w16cid:durableId="1804082686">
    <w:abstractNumId w:val="59"/>
  </w:num>
  <w:num w:numId="18" w16cid:durableId="1941066542">
    <w:abstractNumId w:val="14"/>
  </w:num>
  <w:num w:numId="19" w16cid:durableId="840509646">
    <w:abstractNumId w:val="22"/>
  </w:num>
  <w:num w:numId="20" w16cid:durableId="22051429">
    <w:abstractNumId w:val="46"/>
  </w:num>
  <w:num w:numId="21" w16cid:durableId="278684274">
    <w:abstractNumId w:val="52"/>
  </w:num>
  <w:num w:numId="22" w16cid:durableId="775061105">
    <w:abstractNumId w:val="47"/>
  </w:num>
  <w:num w:numId="23" w16cid:durableId="1106657310">
    <w:abstractNumId w:val="25"/>
  </w:num>
  <w:num w:numId="24" w16cid:durableId="1302462858">
    <w:abstractNumId w:val="62"/>
  </w:num>
  <w:num w:numId="25" w16cid:durableId="564533875">
    <w:abstractNumId w:val="68"/>
  </w:num>
  <w:num w:numId="26" w16cid:durableId="240722290">
    <w:abstractNumId w:val="56"/>
  </w:num>
  <w:num w:numId="27" w16cid:durableId="2036032120">
    <w:abstractNumId w:val="28"/>
  </w:num>
  <w:num w:numId="28" w16cid:durableId="132262049">
    <w:abstractNumId w:val="35"/>
  </w:num>
  <w:num w:numId="29" w16cid:durableId="1065178854">
    <w:abstractNumId w:val="41"/>
  </w:num>
  <w:num w:numId="30" w16cid:durableId="903371290">
    <w:abstractNumId w:val="39"/>
  </w:num>
  <w:num w:numId="31" w16cid:durableId="1691177068">
    <w:abstractNumId w:val="66"/>
  </w:num>
  <w:num w:numId="32" w16cid:durableId="412507589">
    <w:abstractNumId w:val="79"/>
  </w:num>
  <w:num w:numId="33" w16cid:durableId="456684346">
    <w:abstractNumId w:val="78"/>
  </w:num>
  <w:num w:numId="34" w16cid:durableId="1646544301">
    <w:abstractNumId w:val="75"/>
  </w:num>
  <w:num w:numId="35" w16cid:durableId="2113547041">
    <w:abstractNumId w:val="83"/>
  </w:num>
  <w:num w:numId="36" w16cid:durableId="985938999">
    <w:abstractNumId w:val="38"/>
  </w:num>
  <w:num w:numId="37" w16cid:durableId="1426533916">
    <w:abstractNumId w:val="19"/>
  </w:num>
  <w:num w:numId="38" w16cid:durableId="398021397">
    <w:abstractNumId w:val="18"/>
  </w:num>
  <w:num w:numId="39" w16cid:durableId="487677062">
    <w:abstractNumId w:val="55"/>
  </w:num>
  <w:num w:numId="40" w16cid:durableId="466163622">
    <w:abstractNumId w:val="77"/>
  </w:num>
  <w:num w:numId="41" w16cid:durableId="1032220414">
    <w:abstractNumId w:val="50"/>
  </w:num>
  <w:num w:numId="42" w16cid:durableId="1492718128">
    <w:abstractNumId w:val="67"/>
  </w:num>
  <w:num w:numId="43" w16cid:durableId="30617684">
    <w:abstractNumId w:val="12"/>
  </w:num>
  <w:num w:numId="44" w16cid:durableId="1734548506">
    <w:abstractNumId w:val="45"/>
  </w:num>
  <w:num w:numId="45" w16cid:durableId="230390423">
    <w:abstractNumId w:val="81"/>
  </w:num>
  <w:num w:numId="46" w16cid:durableId="134490865">
    <w:abstractNumId w:val="30"/>
  </w:num>
  <w:num w:numId="47" w16cid:durableId="1724057531">
    <w:abstractNumId w:val="43"/>
  </w:num>
  <w:num w:numId="48" w16cid:durableId="198855820">
    <w:abstractNumId w:val="13"/>
  </w:num>
  <w:num w:numId="49" w16cid:durableId="1080248175">
    <w:abstractNumId w:val="54"/>
  </w:num>
  <w:num w:numId="50" w16cid:durableId="1735199773">
    <w:abstractNumId w:val="53"/>
  </w:num>
  <w:num w:numId="51" w16cid:durableId="709383673">
    <w:abstractNumId w:val="63"/>
  </w:num>
  <w:num w:numId="52" w16cid:durableId="647317761">
    <w:abstractNumId w:val="11"/>
  </w:num>
  <w:num w:numId="53" w16cid:durableId="225922139">
    <w:abstractNumId w:val="26"/>
  </w:num>
  <w:num w:numId="54" w16cid:durableId="102654982">
    <w:abstractNumId w:val="82"/>
  </w:num>
  <w:num w:numId="55" w16cid:durableId="892346582">
    <w:abstractNumId w:val="71"/>
  </w:num>
  <w:num w:numId="56" w16cid:durableId="561872779">
    <w:abstractNumId w:val="21"/>
  </w:num>
  <w:num w:numId="57" w16cid:durableId="1123496109">
    <w:abstractNumId w:val="61"/>
  </w:num>
  <w:num w:numId="58" w16cid:durableId="671223815">
    <w:abstractNumId w:val="16"/>
  </w:num>
  <w:num w:numId="59" w16cid:durableId="775059412">
    <w:abstractNumId w:val="74"/>
  </w:num>
  <w:num w:numId="60" w16cid:durableId="1908299235">
    <w:abstractNumId w:val="42"/>
  </w:num>
  <w:num w:numId="61" w16cid:durableId="884873957">
    <w:abstractNumId w:val="48"/>
  </w:num>
  <w:num w:numId="62" w16cid:durableId="46340749">
    <w:abstractNumId w:val="76"/>
  </w:num>
  <w:num w:numId="63" w16cid:durableId="1510948613">
    <w:abstractNumId w:val="84"/>
  </w:num>
  <w:num w:numId="64" w16cid:durableId="12083018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51025023">
    <w:abstractNumId w:val="23"/>
  </w:num>
  <w:num w:numId="66" w16cid:durableId="1049381606">
    <w:abstractNumId w:val="17"/>
  </w:num>
  <w:num w:numId="67" w16cid:durableId="1382746723">
    <w:abstractNumId w:val="58"/>
  </w:num>
  <w:num w:numId="68" w16cid:durableId="1211843971">
    <w:abstractNumId w:val="24"/>
  </w:num>
  <w:num w:numId="69" w16cid:durableId="1073233601">
    <w:abstractNumId w:val="32"/>
  </w:num>
  <w:num w:numId="70" w16cid:durableId="1760785353">
    <w:abstractNumId w:val="33"/>
  </w:num>
  <w:num w:numId="71" w16cid:durableId="134689280">
    <w:abstractNumId w:val="60"/>
  </w:num>
  <w:num w:numId="72" w16cid:durableId="412625446">
    <w:abstractNumId w:val="15"/>
  </w:num>
  <w:num w:numId="73" w16cid:durableId="2119717490">
    <w:abstractNumId w:val="36"/>
  </w:num>
  <w:num w:numId="74" w16cid:durableId="1096973279">
    <w:abstractNumId w:val="72"/>
  </w:num>
  <w:num w:numId="75" w16cid:durableId="1440178745">
    <w:abstractNumId w:val="57"/>
  </w:num>
  <w:num w:numId="76" w16cid:durableId="561792619">
    <w:abstractNumId w:val="51"/>
  </w:num>
  <w:num w:numId="77" w16cid:durableId="818153943">
    <w:abstractNumId w:val="29"/>
  </w:num>
  <w:num w:numId="78" w16cid:durableId="972951699">
    <w:abstractNumId w:val="40"/>
  </w:num>
  <w:num w:numId="79" w16cid:durableId="865338279">
    <w:abstractNumId w:val="37"/>
  </w:num>
  <w:num w:numId="80" w16cid:durableId="1139034508">
    <w:abstractNumId w:val="31"/>
  </w:num>
  <w:num w:numId="81" w16cid:durableId="2011520145">
    <w:abstractNumId w:val="27"/>
  </w:num>
  <w:num w:numId="82" w16cid:durableId="2032147346">
    <w:abstractNumId w:val="65"/>
  </w:num>
  <w:num w:numId="83" w16cid:durableId="1329751142">
    <w:abstractNumId w:val="69"/>
  </w:num>
  <w:num w:numId="84" w16cid:durableId="502672184">
    <w:abstractNumId w:val="44"/>
  </w:num>
  <w:num w:numId="85" w16cid:durableId="1268386111">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9" w:dllVersion="512" w:checkStyle="1"/>
  <w:activeWritingStyle w:appName="MSWord" w:lang="fr-FR" w:vendorID="9" w:dllVersion="512" w:checkStyle="1"/>
  <w:activeWritingStyle w:appName="MSWord" w:lang="nl-NL" w:vendorID="1" w:dllVersion="512" w:checkStyle="1"/>
  <w:revisionView w:inkAnnotations="0"/>
  <w:defaultTabStop w:val="284"/>
  <w:hyphenationZone w:val="425"/>
  <w:doNotShadeFormData/>
  <w:noPunctuationKerning/>
  <w:characterSpacingControl w:val="doNotCompress"/>
  <w:hdrShapeDefaults>
    <o:shapedefaults v:ext="edit" spidmax="2050" fillcolor="yellow">
      <v:fill color="yellow"/>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E4"/>
    <w:rsid w:val="000018E2"/>
    <w:rsid w:val="00001A42"/>
    <w:rsid w:val="00001B56"/>
    <w:rsid w:val="00001D31"/>
    <w:rsid w:val="000026C4"/>
    <w:rsid w:val="00002B9A"/>
    <w:rsid w:val="000030E3"/>
    <w:rsid w:val="00003626"/>
    <w:rsid w:val="000038DA"/>
    <w:rsid w:val="00003AC3"/>
    <w:rsid w:val="00003DA6"/>
    <w:rsid w:val="00004069"/>
    <w:rsid w:val="0000427C"/>
    <w:rsid w:val="00004F32"/>
    <w:rsid w:val="000057C9"/>
    <w:rsid w:val="00006646"/>
    <w:rsid w:val="00006B45"/>
    <w:rsid w:val="00006BE9"/>
    <w:rsid w:val="0000751E"/>
    <w:rsid w:val="00007551"/>
    <w:rsid w:val="00007B93"/>
    <w:rsid w:val="00010347"/>
    <w:rsid w:val="00010360"/>
    <w:rsid w:val="00010924"/>
    <w:rsid w:val="0001104E"/>
    <w:rsid w:val="00011056"/>
    <w:rsid w:val="00011FAF"/>
    <w:rsid w:val="000128E1"/>
    <w:rsid w:val="00012EC4"/>
    <w:rsid w:val="0001314C"/>
    <w:rsid w:val="00013896"/>
    <w:rsid w:val="00013C70"/>
    <w:rsid w:val="00013D32"/>
    <w:rsid w:val="00013D7F"/>
    <w:rsid w:val="00014B20"/>
    <w:rsid w:val="00015A93"/>
    <w:rsid w:val="0001632A"/>
    <w:rsid w:val="00016AF8"/>
    <w:rsid w:val="00017007"/>
    <w:rsid w:val="00017129"/>
    <w:rsid w:val="000172B9"/>
    <w:rsid w:val="00017843"/>
    <w:rsid w:val="0002035D"/>
    <w:rsid w:val="0002037B"/>
    <w:rsid w:val="00020DAF"/>
    <w:rsid w:val="00020EBD"/>
    <w:rsid w:val="00022189"/>
    <w:rsid w:val="00022B3F"/>
    <w:rsid w:val="00023AF1"/>
    <w:rsid w:val="00023CE9"/>
    <w:rsid w:val="00023EC2"/>
    <w:rsid w:val="00024030"/>
    <w:rsid w:val="000240B1"/>
    <w:rsid w:val="00024D22"/>
    <w:rsid w:val="00024F5A"/>
    <w:rsid w:val="0002515F"/>
    <w:rsid w:val="000254AE"/>
    <w:rsid w:val="000254D7"/>
    <w:rsid w:val="00025A63"/>
    <w:rsid w:val="00025E7A"/>
    <w:rsid w:val="00026557"/>
    <w:rsid w:val="00026B5C"/>
    <w:rsid w:val="00026EC1"/>
    <w:rsid w:val="000272B3"/>
    <w:rsid w:val="00027921"/>
    <w:rsid w:val="00030213"/>
    <w:rsid w:val="0003098C"/>
    <w:rsid w:val="000310DC"/>
    <w:rsid w:val="000311B2"/>
    <w:rsid w:val="00031655"/>
    <w:rsid w:val="00031DB1"/>
    <w:rsid w:val="00032839"/>
    <w:rsid w:val="00032920"/>
    <w:rsid w:val="00032CE9"/>
    <w:rsid w:val="00033057"/>
    <w:rsid w:val="00033636"/>
    <w:rsid w:val="000338DF"/>
    <w:rsid w:val="000339F6"/>
    <w:rsid w:val="00033C1C"/>
    <w:rsid w:val="00033D92"/>
    <w:rsid w:val="000340AE"/>
    <w:rsid w:val="00034CA8"/>
    <w:rsid w:val="00035367"/>
    <w:rsid w:val="00035951"/>
    <w:rsid w:val="00036A6B"/>
    <w:rsid w:val="00037BB8"/>
    <w:rsid w:val="000407BA"/>
    <w:rsid w:val="00040969"/>
    <w:rsid w:val="00040FC9"/>
    <w:rsid w:val="00041131"/>
    <w:rsid w:val="00041587"/>
    <w:rsid w:val="00041F59"/>
    <w:rsid w:val="0004299E"/>
    <w:rsid w:val="00042D1A"/>
    <w:rsid w:val="00042F35"/>
    <w:rsid w:val="00043351"/>
    <w:rsid w:val="000435D8"/>
    <w:rsid w:val="00044A37"/>
    <w:rsid w:val="0004551D"/>
    <w:rsid w:val="000457D7"/>
    <w:rsid w:val="000457EE"/>
    <w:rsid w:val="00047411"/>
    <w:rsid w:val="00047605"/>
    <w:rsid w:val="00047712"/>
    <w:rsid w:val="00047BD7"/>
    <w:rsid w:val="00047E03"/>
    <w:rsid w:val="00050131"/>
    <w:rsid w:val="00050150"/>
    <w:rsid w:val="0005128A"/>
    <w:rsid w:val="0005133E"/>
    <w:rsid w:val="00051478"/>
    <w:rsid w:val="000515B9"/>
    <w:rsid w:val="00051D15"/>
    <w:rsid w:val="00051DB2"/>
    <w:rsid w:val="00052270"/>
    <w:rsid w:val="000526D6"/>
    <w:rsid w:val="00052EC4"/>
    <w:rsid w:val="00052FD7"/>
    <w:rsid w:val="0005300D"/>
    <w:rsid w:val="000531B5"/>
    <w:rsid w:val="000535F1"/>
    <w:rsid w:val="00053C42"/>
    <w:rsid w:val="00053E68"/>
    <w:rsid w:val="000543F8"/>
    <w:rsid w:val="00054821"/>
    <w:rsid w:val="000556E9"/>
    <w:rsid w:val="0005609B"/>
    <w:rsid w:val="000560E5"/>
    <w:rsid w:val="00056708"/>
    <w:rsid w:val="00056A18"/>
    <w:rsid w:val="00056C45"/>
    <w:rsid w:val="00056D0B"/>
    <w:rsid w:val="00057013"/>
    <w:rsid w:val="00057166"/>
    <w:rsid w:val="000571F0"/>
    <w:rsid w:val="0005758C"/>
    <w:rsid w:val="00060744"/>
    <w:rsid w:val="00060C9C"/>
    <w:rsid w:val="000614CF"/>
    <w:rsid w:val="00061538"/>
    <w:rsid w:val="00061956"/>
    <w:rsid w:val="0006218E"/>
    <w:rsid w:val="0006238A"/>
    <w:rsid w:val="00062BF5"/>
    <w:rsid w:val="000640B0"/>
    <w:rsid w:val="00064260"/>
    <w:rsid w:val="0006428C"/>
    <w:rsid w:val="000643B9"/>
    <w:rsid w:val="0006494E"/>
    <w:rsid w:val="00064BA8"/>
    <w:rsid w:val="00064E12"/>
    <w:rsid w:val="00064FF9"/>
    <w:rsid w:val="000655AF"/>
    <w:rsid w:val="00065BC6"/>
    <w:rsid w:val="00065BCF"/>
    <w:rsid w:val="00065E55"/>
    <w:rsid w:val="0006615B"/>
    <w:rsid w:val="0006633D"/>
    <w:rsid w:val="00066857"/>
    <w:rsid w:val="00066FDE"/>
    <w:rsid w:val="00067267"/>
    <w:rsid w:val="0006748B"/>
    <w:rsid w:val="00067490"/>
    <w:rsid w:val="00067D02"/>
    <w:rsid w:val="0007109A"/>
    <w:rsid w:val="000710EB"/>
    <w:rsid w:val="0007196E"/>
    <w:rsid w:val="000719A0"/>
    <w:rsid w:val="00071B04"/>
    <w:rsid w:val="00072136"/>
    <w:rsid w:val="000721E4"/>
    <w:rsid w:val="0007291A"/>
    <w:rsid w:val="000742F7"/>
    <w:rsid w:val="000743CD"/>
    <w:rsid w:val="000748CA"/>
    <w:rsid w:val="00074E0E"/>
    <w:rsid w:val="000756D9"/>
    <w:rsid w:val="000756F3"/>
    <w:rsid w:val="00075769"/>
    <w:rsid w:val="00075866"/>
    <w:rsid w:val="0007601A"/>
    <w:rsid w:val="000770CF"/>
    <w:rsid w:val="0007741F"/>
    <w:rsid w:val="00077538"/>
    <w:rsid w:val="00080016"/>
    <w:rsid w:val="000804B3"/>
    <w:rsid w:val="0008197B"/>
    <w:rsid w:val="00081B04"/>
    <w:rsid w:val="00081B5E"/>
    <w:rsid w:val="00081CAD"/>
    <w:rsid w:val="00082044"/>
    <w:rsid w:val="000836A4"/>
    <w:rsid w:val="000837C2"/>
    <w:rsid w:val="00085326"/>
    <w:rsid w:val="000855AD"/>
    <w:rsid w:val="0008587E"/>
    <w:rsid w:val="0008653A"/>
    <w:rsid w:val="00086B03"/>
    <w:rsid w:val="00086E4E"/>
    <w:rsid w:val="000871CB"/>
    <w:rsid w:val="00087C44"/>
    <w:rsid w:val="00087D02"/>
    <w:rsid w:val="000906A1"/>
    <w:rsid w:val="000907E3"/>
    <w:rsid w:val="00090962"/>
    <w:rsid w:val="00090C85"/>
    <w:rsid w:val="00091716"/>
    <w:rsid w:val="00091AF0"/>
    <w:rsid w:val="00092EA2"/>
    <w:rsid w:val="00093007"/>
    <w:rsid w:val="00093255"/>
    <w:rsid w:val="000935FA"/>
    <w:rsid w:val="0009447C"/>
    <w:rsid w:val="00094A99"/>
    <w:rsid w:val="00094D55"/>
    <w:rsid w:val="00095364"/>
    <w:rsid w:val="0009571C"/>
    <w:rsid w:val="0009608A"/>
    <w:rsid w:val="0009648E"/>
    <w:rsid w:val="0009666A"/>
    <w:rsid w:val="000967EC"/>
    <w:rsid w:val="0009711A"/>
    <w:rsid w:val="0009729D"/>
    <w:rsid w:val="0009740F"/>
    <w:rsid w:val="000A0016"/>
    <w:rsid w:val="000A1562"/>
    <w:rsid w:val="000A15C4"/>
    <w:rsid w:val="000A1998"/>
    <w:rsid w:val="000A1B18"/>
    <w:rsid w:val="000A1BC1"/>
    <w:rsid w:val="000A2A86"/>
    <w:rsid w:val="000A2D2F"/>
    <w:rsid w:val="000A2DEC"/>
    <w:rsid w:val="000A31B1"/>
    <w:rsid w:val="000A475D"/>
    <w:rsid w:val="000A50C8"/>
    <w:rsid w:val="000A5B52"/>
    <w:rsid w:val="000A5BCF"/>
    <w:rsid w:val="000A642C"/>
    <w:rsid w:val="000A6623"/>
    <w:rsid w:val="000A6E26"/>
    <w:rsid w:val="000A709F"/>
    <w:rsid w:val="000A7100"/>
    <w:rsid w:val="000A7140"/>
    <w:rsid w:val="000A74B6"/>
    <w:rsid w:val="000A7774"/>
    <w:rsid w:val="000A7A21"/>
    <w:rsid w:val="000A7AF8"/>
    <w:rsid w:val="000A7B5D"/>
    <w:rsid w:val="000B0002"/>
    <w:rsid w:val="000B066F"/>
    <w:rsid w:val="000B0ACE"/>
    <w:rsid w:val="000B0C53"/>
    <w:rsid w:val="000B167A"/>
    <w:rsid w:val="000B1CC7"/>
    <w:rsid w:val="000B28DE"/>
    <w:rsid w:val="000B3150"/>
    <w:rsid w:val="000B3D1F"/>
    <w:rsid w:val="000B3EF9"/>
    <w:rsid w:val="000B51F8"/>
    <w:rsid w:val="000B5E65"/>
    <w:rsid w:val="000B6027"/>
    <w:rsid w:val="000B6CD5"/>
    <w:rsid w:val="000B70B7"/>
    <w:rsid w:val="000B7C8A"/>
    <w:rsid w:val="000B7EC4"/>
    <w:rsid w:val="000C0434"/>
    <w:rsid w:val="000C0447"/>
    <w:rsid w:val="000C082C"/>
    <w:rsid w:val="000C09D4"/>
    <w:rsid w:val="000C0CD8"/>
    <w:rsid w:val="000C0DE9"/>
    <w:rsid w:val="000C1176"/>
    <w:rsid w:val="000C1AD0"/>
    <w:rsid w:val="000C24D8"/>
    <w:rsid w:val="000C255C"/>
    <w:rsid w:val="000C2801"/>
    <w:rsid w:val="000C2818"/>
    <w:rsid w:val="000C2B07"/>
    <w:rsid w:val="000C2F98"/>
    <w:rsid w:val="000C3AE7"/>
    <w:rsid w:val="000C44CC"/>
    <w:rsid w:val="000C4588"/>
    <w:rsid w:val="000C46DA"/>
    <w:rsid w:val="000C4E0C"/>
    <w:rsid w:val="000C4E0E"/>
    <w:rsid w:val="000C51AA"/>
    <w:rsid w:val="000C59AB"/>
    <w:rsid w:val="000C61F8"/>
    <w:rsid w:val="000C6545"/>
    <w:rsid w:val="000C6601"/>
    <w:rsid w:val="000C6644"/>
    <w:rsid w:val="000C6798"/>
    <w:rsid w:val="000C6ABA"/>
    <w:rsid w:val="000C6C59"/>
    <w:rsid w:val="000C6C5A"/>
    <w:rsid w:val="000C72FE"/>
    <w:rsid w:val="000C7A51"/>
    <w:rsid w:val="000D0327"/>
    <w:rsid w:val="000D0A34"/>
    <w:rsid w:val="000D0A98"/>
    <w:rsid w:val="000D0FC8"/>
    <w:rsid w:val="000D152B"/>
    <w:rsid w:val="000D188B"/>
    <w:rsid w:val="000D1C11"/>
    <w:rsid w:val="000D1F2E"/>
    <w:rsid w:val="000D2D16"/>
    <w:rsid w:val="000D3384"/>
    <w:rsid w:val="000D34DF"/>
    <w:rsid w:val="000D373C"/>
    <w:rsid w:val="000D3913"/>
    <w:rsid w:val="000D408A"/>
    <w:rsid w:val="000D445F"/>
    <w:rsid w:val="000D5518"/>
    <w:rsid w:val="000D5E3A"/>
    <w:rsid w:val="000D5FEA"/>
    <w:rsid w:val="000D6B69"/>
    <w:rsid w:val="000D72F4"/>
    <w:rsid w:val="000D7303"/>
    <w:rsid w:val="000D735F"/>
    <w:rsid w:val="000D73D6"/>
    <w:rsid w:val="000D7F26"/>
    <w:rsid w:val="000E09AA"/>
    <w:rsid w:val="000E11E9"/>
    <w:rsid w:val="000E133D"/>
    <w:rsid w:val="000E17F0"/>
    <w:rsid w:val="000E19C6"/>
    <w:rsid w:val="000E222D"/>
    <w:rsid w:val="000E2BA4"/>
    <w:rsid w:val="000E3156"/>
    <w:rsid w:val="000E4218"/>
    <w:rsid w:val="000E4360"/>
    <w:rsid w:val="000E472B"/>
    <w:rsid w:val="000E48CA"/>
    <w:rsid w:val="000E5527"/>
    <w:rsid w:val="000E5F45"/>
    <w:rsid w:val="000E622F"/>
    <w:rsid w:val="000E6557"/>
    <w:rsid w:val="000E6B57"/>
    <w:rsid w:val="000E6DB0"/>
    <w:rsid w:val="000E6F53"/>
    <w:rsid w:val="000E722C"/>
    <w:rsid w:val="000E78B2"/>
    <w:rsid w:val="000E7D5B"/>
    <w:rsid w:val="000E7F39"/>
    <w:rsid w:val="000F0D2E"/>
    <w:rsid w:val="000F12AD"/>
    <w:rsid w:val="000F16AB"/>
    <w:rsid w:val="000F1BE1"/>
    <w:rsid w:val="000F291F"/>
    <w:rsid w:val="000F2A16"/>
    <w:rsid w:val="000F2D06"/>
    <w:rsid w:val="000F2D2C"/>
    <w:rsid w:val="000F33B1"/>
    <w:rsid w:val="000F3946"/>
    <w:rsid w:val="000F3AFE"/>
    <w:rsid w:val="000F3D68"/>
    <w:rsid w:val="000F409B"/>
    <w:rsid w:val="000F4A46"/>
    <w:rsid w:val="000F4B72"/>
    <w:rsid w:val="000F5085"/>
    <w:rsid w:val="000F5F51"/>
    <w:rsid w:val="000F64A5"/>
    <w:rsid w:val="000F64F7"/>
    <w:rsid w:val="000F6747"/>
    <w:rsid w:val="000F6F90"/>
    <w:rsid w:val="000F7424"/>
    <w:rsid w:val="000F781D"/>
    <w:rsid w:val="0010066C"/>
    <w:rsid w:val="00100970"/>
    <w:rsid w:val="00100E41"/>
    <w:rsid w:val="001018CE"/>
    <w:rsid w:val="00101A14"/>
    <w:rsid w:val="00102675"/>
    <w:rsid w:val="0010298E"/>
    <w:rsid w:val="00102AE9"/>
    <w:rsid w:val="001032F7"/>
    <w:rsid w:val="001034D1"/>
    <w:rsid w:val="0010385B"/>
    <w:rsid w:val="00103939"/>
    <w:rsid w:val="001041C3"/>
    <w:rsid w:val="0010482F"/>
    <w:rsid w:val="00105321"/>
    <w:rsid w:val="00105773"/>
    <w:rsid w:val="0010586F"/>
    <w:rsid w:val="00105D23"/>
    <w:rsid w:val="00106A89"/>
    <w:rsid w:val="00106CD3"/>
    <w:rsid w:val="00106E29"/>
    <w:rsid w:val="00107DB9"/>
    <w:rsid w:val="001100EA"/>
    <w:rsid w:val="001102D6"/>
    <w:rsid w:val="001102EA"/>
    <w:rsid w:val="00110D3D"/>
    <w:rsid w:val="00110DE7"/>
    <w:rsid w:val="00111FF2"/>
    <w:rsid w:val="001126F1"/>
    <w:rsid w:val="00112BB6"/>
    <w:rsid w:val="00112E24"/>
    <w:rsid w:val="001136EB"/>
    <w:rsid w:val="00113A9C"/>
    <w:rsid w:val="00113B5B"/>
    <w:rsid w:val="0011432A"/>
    <w:rsid w:val="00114428"/>
    <w:rsid w:val="001147E0"/>
    <w:rsid w:val="00114D07"/>
    <w:rsid w:val="00114EB8"/>
    <w:rsid w:val="00115D39"/>
    <w:rsid w:val="0011678F"/>
    <w:rsid w:val="001167BD"/>
    <w:rsid w:val="001169F3"/>
    <w:rsid w:val="00116E2D"/>
    <w:rsid w:val="00116FAB"/>
    <w:rsid w:val="00116FC5"/>
    <w:rsid w:val="001170D2"/>
    <w:rsid w:val="0011740D"/>
    <w:rsid w:val="00117834"/>
    <w:rsid w:val="00117A41"/>
    <w:rsid w:val="00117DCC"/>
    <w:rsid w:val="0012019A"/>
    <w:rsid w:val="00121140"/>
    <w:rsid w:val="001215AF"/>
    <w:rsid w:val="00121B25"/>
    <w:rsid w:val="00122C12"/>
    <w:rsid w:val="00122CB7"/>
    <w:rsid w:val="00122EC5"/>
    <w:rsid w:val="00122F25"/>
    <w:rsid w:val="0012369C"/>
    <w:rsid w:val="001243BC"/>
    <w:rsid w:val="00124F26"/>
    <w:rsid w:val="0012697A"/>
    <w:rsid w:val="0012722C"/>
    <w:rsid w:val="00127594"/>
    <w:rsid w:val="00127A45"/>
    <w:rsid w:val="00127E0A"/>
    <w:rsid w:val="00130292"/>
    <w:rsid w:val="00130435"/>
    <w:rsid w:val="001309D8"/>
    <w:rsid w:val="00130C0B"/>
    <w:rsid w:val="001315F8"/>
    <w:rsid w:val="00131A90"/>
    <w:rsid w:val="001322B1"/>
    <w:rsid w:val="00132476"/>
    <w:rsid w:val="001326E8"/>
    <w:rsid w:val="00132724"/>
    <w:rsid w:val="0013275A"/>
    <w:rsid w:val="001327F6"/>
    <w:rsid w:val="00133563"/>
    <w:rsid w:val="00133867"/>
    <w:rsid w:val="001339DF"/>
    <w:rsid w:val="00133CB4"/>
    <w:rsid w:val="0013436F"/>
    <w:rsid w:val="00134882"/>
    <w:rsid w:val="001349F4"/>
    <w:rsid w:val="00134CC3"/>
    <w:rsid w:val="00135611"/>
    <w:rsid w:val="001359E7"/>
    <w:rsid w:val="00135C13"/>
    <w:rsid w:val="00136446"/>
    <w:rsid w:val="0013698F"/>
    <w:rsid w:val="00136A78"/>
    <w:rsid w:val="00136CA1"/>
    <w:rsid w:val="00136CC6"/>
    <w:rsid w:val="00137553"/>
    <w:rsid w:val="001379E1"/>
    <w:rsid w:val="00137C33"/>
    <w:rsid w:val="00137F18"/>
    <w:rsid w:val="00137FCE"/>
    <w:rsid w:val="001403AB"/>
    <w:rsid w:val="001408C5"/>
    <w:rsid w:val="0014092E"/>
    <w:rsid w:val="001413AA"/>
    <w:rsid w:val="00141441"/>
    <w:rsid w:val="001419FB"/>
    <w:rsid w:val="00141DF6"/>
    <w:rsid w:val="00141E8A"/>
    <w:rsid w:val="0014200B"/>
    <w:rsid w:val="001420A9"/>
    <w:rsid w:val="00142288"/>
    <w:rsid w:val="00142A91"/>
    <w:rsid w:val="00144017"/>
    <w:rsid w:val="001442C2"/>
    <w:rsid w:val="001454C7"/>
    <w:rsid w:val="00145D83"/>
    <w:rsid w:val="00145DAC"/>
    <w:rsid w:val="00146503"/>
    <w:rsid w:val="001470D4"/>
    <w:rsid w:val="00147919"/>
    <w:rsid w:val="00147E96"/>
    <w:rsid w:val="00147EA0"/>
    <w:rsid w:val="00150487"/>
    <w:rsid w:val="00150672"/>
    <w:rsid w:val="00150DC2"/>
    <w:rsid w:val="00151015"/>
    <w:rsid w:val="00151DC5"/>
    <w:rsid w:val="00152614"/>
    <w:rsid w:val="001527D9"/>
    <w:rsid w:val="00152871"/>
    <w:rsid w:val="0015288A"/>
    <w:rsid w:val="00152AE3"/>
    <w:rsid w:val="00153232"/>
    <w:rsid w:val="0015323E"/>
    <w:rsid w:val="001537BC"/>
    <w:rsid w:val="00154365"/>
    <w:rsid w:val="001544F3"/>
    <w:rsid w:val="0015485B"/>
    <w:rsid w:val="001549C4"/>
    <w:rsid w:val="001563A6"/>
    <w:rsid w:val="00156453"/>
    <w:rsid w:val="001576BA"/>
    <w:rsid w:val="001578B9"/>
    <w:rsid w:val="00157C0A"/>
    <w:rsid w:val="00157CE4"/>
    <w:rsid w:val="00157D5B"/>
    <w:rsid w:val="00160AA7"/>
    <w:rsid w:val="001617D1"/>
    <w:rsid w:val="00161863"/>
    <w:rsid w:val="00161872"/>
    <w:rsid w:val="00161B4C"/>
    <w:rsid w:val="00162371"/>
    <w:rsid w:val="00162554"/>
    <w:rsid w:val="001628B8"/>
    <w:rsid w:val="00162D02"/>
    <w:rsid w:val="001630C1"/>
    <w:rsid w:val="00163482"/>
    <w:rsid w:val="001637BF"/>
    <w:rsid w:val="00163A6D"/>
    <w:rsid w:val="00163C8F"/>
    <w:rsid w:val="001641CA"/>
    <w:rsid w:val="0016441E"/>
    <w:rsid w:val="001647BA"/>
    <w:rsid w:val="00164AA6"/>
    <w:rsid w:val="00164C85"/>
    <w:rsid w:val="00164F80"/>
    <w:rsid w:val="00164FA2"/>
    <w:rsid w:val="00165874"/>
    <w:rsid w:val="00165891"/>
    <w:rsid w:val="00165DD9"/>
    <w:rsid w:val="00165DDA"/>
    <w:rsid w:val="00167962"/>
    <w:rsid w:val="00167A59"/>
    <w:rsid w:val="00170521"/>
    <w:rsid w:val="0017074B"/>
    <w:rsid w:val="001717AB"/>
    <w:rsid w:val="0017190A"/>
    <w:rsid w:val="0017277A"/>
    <w:rsid w:val="00172B27"/>
    <w:rsid w:val="00173160"/>
    <w:rsid w:val="00173768"/>
    <w:rsid w:val="00173980"/>
    <w:rsid w:val="00173B02"/>
    <w:rsid w:val="00173E09"/>
    <w:rsid w:val="00174454"/>
    <w:rsid w:val="00174BD1"/>
    <w:rsid w:val="00174C09"/>
    <w:rsid w:val="0017519C"/>
    <w:rsid w:val="0017598A"/>
    <w:rsid w:val="0017646C"/>
    <w:rsid w:val="00176D00"/>
    <w:rsid w:val="00176FE5"/>
    <w:rsid w:val="001771E2"/>
    <w:rsid w:val="001775A2"/>
    <w:rsid w:val="0017763F"/>
    <w:rsid w:val="0017770B"/>
    <w:rsid w:val="00177A27"/>
    <w:rsid w:val="00177B42"/>
    <w:rsid w:val="00177BC7"/>
    <w:rsid w:val="00177BD3"/>
    <w:rsid w:val="001801D1"/>
    <w:rsid w:val="00180C35"/>
    <w:rsid w:val="00181020"/>
    <w:rsid w:val="001811C9"/>
    <w:rsid w:val="0018122C"/>
    <w:rsid w:val="0018152E"/>
    <w:rsid w:val="00181564"/>
    <w:rsid w:val="001817AC"/>
    <w:rsid w:val="00181999"/>
    <w:rsid w:val="00183670"/>
    <w:rsid w:val="00183D58"/>
    <w:rsid w:val="00184197"/>
    <w:rsid w:val="0018434B"/>
    <w:rsid w:val="00184D5F"/>
    <w:rsid w:val="00184EF5"/>
    <w:rsid w:val="0018535C"/>
    <w:rsid w:val="001855D8"/>
    <w:rsid w:val="00185932"/>
    <w:rsid w:val="00185EB3"/>
    <w:rsid w:val="00186C77"/>
    <w:rsid w:val="00187B39"/>
    <w:rsid w:val="00190180"/>
    <w:rsid w:val="00190888"/>
    <w:rsid w:val="001908E2"/>
    <w:rsid w:val="00190BC7"/>
    <w:rsid w:val="00190D19"/>
    <w:rsid w:val="0019111A"/>
    <w:rsid w:val="00191A65"/>
    <w:rsid w:val="00192BD7"/>
    <w:rsid w:val="00192F30"/>
    <w:rsid w:val="00192F57"/>
    <w:rsid w:val="001931CF"/>
    <w:rsid w:val="001935AE"/>
    <w:rsid w:val="001938AC"/>
    <w:rsid w:val="00193C55"/>
    <w:rsid w:val="00193FC1"/>
    <w:rsid w:val="001948DE"/>
    <w:rsid w:val="00194EE3"/>
    <w:rsid w:val="00195022"/>
    <w:rsid w:val="001951CD"/>
    <w:rsid w:val="00195884"/>
    <w:rsid w:val="00196DE5"/>
    <w:rsid w:val="001971D0"/>
    <w:rsid w:val="001974AD"/>
    <w:rsid w:val="00197AB0"/>
    <w:rsid w:val="00197BC7"/>
    <w:rsid w:val="001A0362"/>
    <w:rsid w:val="001A0A59"/>
    <w:rsid w:val="001A153A"/>
    <w:rsid w:val="001A16D0"/>
    <w:rsid w:val="001A19F1"/>
    <w:rsid w:val="001A1F27"/>
    <w:rsid w:val="001A2333"/>
    <w:rsid w:val="001A2D99"/>
    <w:rsid w:val="001A2E58"/>
    <w:rsid w:val="001A3121"/>
    <w:rsid w:val="001A3616"/>
    <w:rsid w:val="001A38B8"/>
    <w:rsid w:val="001A3F6D"/>
    <w:rsid w:val="001A41F7"/>
    <w:rsid w:val="001A42DE"/>
    <w:rsid w:val="001A463F"/>
    <w:rsid w:val="001A49EC"/>
    <w:rsid w:val="001A5018"/>
    <w:rsid w:val="001A5029"/>
    <w:rsid w:val="001A5820"/>
    <w:rsid w:val="001A5C37"/>
    <w:rsid w:val="001A5CED"/>
    <w:rsid w:val="001A5FFC"/>
    <w:rsid w:val="001A71A6"/>
    <w:rsid w:val="001A73C0"/>
    <w:rsid w:val="001A764E"/>
    <w:rsid w:val="001A7877"/>
    <w:rsid w:val="001B0612"/>
    <w:rsid w:val="001B06B4"/>
    <w:rsid w:val="001B077C"/>
    <w:rsid w:val="001B0DE1"/>
    <w:rsid w:val="001B1182"/>
    <w:rsid w:val="001B16AF"/>
    <w:rsid w:val="001B2418"/>
    <w:rsid w:val="001B2AD8"/>
    <w:rsid w:val="001B2C6D"/>
    <w:rsid w:val="001B352D"/>
    <w:rsid w:val="001B3669"/>
    <w:rsid w:val="001B37B0"/>
    <w:rsid w:val="001B3BA7"/>
    <w:rsid w:val="001B4129"/>
    <w:rsid w:val="001B46FB"/>
    <w:rsid w:val="001B4D26"/>
    <w:rsid w:val="001B4E18"/>
    <w:rsid w:val="001B4F98"/>
    <w:rsid w:val="001B533A"/>
    <w:rsid w:val="001B5473"/>
    <w:rsid w:val="001B60B6"/>
    <w:rsid w:val="001B6188"/>
    <w:rsid w:val="001B7561"/>
    <w:rsid w:val="001B77A9"/>
    <w:rsid w:val="001C0A00"/>
    <w:rsid w:val="001C1B3E"/>
    <w:rsid w:val="001C24E6"/>
    <w:rsid w:val="001C2525"/>
    <w:rsid w:val="001C2697"/>
    <w:rsid w:val="001C2DCD"/>
    <w:rsid w:val="001C2E60"/>
    <w:rsid w:val="001C3037"/>
    <w:rsid w:val="001C307E"/>
    <w:rsid w:val="001C32FD"/>
    <w:rsid w:val="001C34A6"/>
    <w:rsid w:val="001C3C30"/>
    <w:rsid w:val="001C3D06"/>
    <w:rsid w:val="001C3E5E"/>
    <w:rsid w:val="001C55B2"/>
    <w:rsid w:val="001C55CE"/>
    <w:rsid w:val="001C585F"/>
    <w:rsid w:val="001C5E3A"/>
    <w:rsid w:val="001C6030"/>
    <w:rsid w:val="001C64B5"/>
    <w:rsid w:val="001C6B4B"/>
    <w:rsid w:val="001C6C55"/>
    <w:rsid w:val="001C6DE2"/>
    <w:rsid w:val="001C71F5"/>
    <w:rsid w:val="001C7761"/>
    <w:rsid w:val="001C7DD0"/>
    <w:rsid w:val="001C7EF7"/>
    <w:rsid w:val="001D0936"/>
    <w:rsid w:val="001D12B6"/>
    <w:rsid w:val="001D12D3"/>
    <w:rsid w:val="001D13E8"/>
    <w:rsid w:val="001D1E15"/>
    <w:rsid w:val="001D2411"/>
    <w:rsid w:val="001D2991"/>
    <w:rsid w:val="001D2C65"/>
    <w:rsid w:val="001D2E8A"/>
    <w:rsid w:val="001D3216"/>
    <w:rsid w:val="001D37B6"/>
    <w:rsid w:val="001D4E4F"/>
    <w:rsid w:val="001D5F65"/>
    <w:rsid w:val="001D6062"/>
    <w:rsid w:val="001D7A39"/>
    <w:rsid w:val="001D7E33"/>
    <w:rsid w:val="001D7E75"/>
    <w:rsid w:val="001E0088"/>
    <w:rsid w:val="001E0CD7"/>
    <w:rsid w:val="001E0DC6"/>
    <w:rsid w:val="001E0E78"/>
    <w:rsid w:val="001E2957"/>
    <w:rsid w:val="001E2A0A"/>
    <w:rsid w:val="001E2D8F"/>
    <w:rsid w:val="001E330D"/>
    <w:rsid w:val="001E3962"/>
    <w:rsid w:val="001E3A27"/>
    <w:rsid w:val="001E3D31"/>
    <w:rsid w:val="001E3EE3"/>
    <w:rsid w:val="001E4294"/>
    <w:rsid w:val="001E50B4"/>
    <w:rsid w:val="001E514A"/>
    <w:rsid w:val="001E5719"/>
    <w:rsid w:val="001E59B1"/>
    <w:rsid w:val="001E609E"/>
    <w:rsid w:val="001E66F2"/>
    <w:rsid w:val="001E6D47"/>
    <w:rsid w:val="001E7208"/>
    <w:rsid w:val="001E7819"/>
    <w:rsid w:val="001E7A54"/>
    <w:rsid w:val="001E7C63"/>
    <w:rsid w:val="001F0065"/>
    <w:rsid w:val="001F00CF"/>
    <w:rsid w:val="001F0601"/>
    <w:rsid w:val="001F0782"/>
    <w:rsid w:val="001F1698"/>
    <w:rsid w:val="001F1806"/>
    <w:rsid w:val="001F1BF9"/>
    <w:rsid w:val="001F1E1B"/>
    <w:rsid w:val="001F20FE"/>
    <w:rsid w:val="001F2210"/>
    <w:rsid w:val="001F32FD"/>
    <w:rsid w:val="001F3872"/>
    <w:rsid w:val="001F430E"/>
    <w:rsid w:val="001F472F"/>
    <w:rsid w:val="001F474E"/>
    <w:rsid w:val="001F4C58"/>
    <w:rsid w:val="001F4D28"/>
    <w:rsid w:val="001F5632"/>
    <w:rsid w:val="001F5B69"/>
    <w:rsid w:val="001F5FFD"/>
    <w:rsid w:val="001F6457"/>
    <w:rsid w:val="001F65C1"/>
    <w:rsid w:val="001F6BDD"/>
    <w:rsid w:val="001F6F32"/>
    <w:rsid w:val="001F6F46"/>
    <w:rsid w:val="001F7579"/>
    <w:rsid w:val="001F7D2F"/>
    <w:rsid w:val="001F7D62"/>
    <w:rsid w:val="002009F2"/>
    <w:rsid w:val="0020134A"/>
    <w:rsid w:val="00201471"/>
    <w:rsid w:val="00201945"/>
    <w:rsid w:val="00202134"/>
    <w:rsid w:val="00203332"/>
    <w:rsid w:val="002046C6"/>
    <w:rsid w:val="00204722"/>
    <w:rsid w:val="002048E9"/>
    <w:rsid w:val="00204A91"/>
    <w:rsid w:val="00205A9F"/>
    <w:rsid w:val="00205D4F"/>
    <w:rsid w:val="00206323"/>
    <w:rsid w:val="002066CF"/>
    <w:rsid w:val="002068DE"/>
    <w:rsid w:val="002070EF"/>
    <w:rsid w:val="00207470"/>
    <w:rsid w:val="00207601"/>
    <w:rsid w:val="00207790"/>
    <w:rsid w:val="00207DCE"/>
    <w:rsid w:val="00207FD3"/>
    <w:rsid w:val="002107F7"/>
    <w:rsid w:val="00212699"/>
    <w:rsid w:val="00212897"/>
    <w:rsid w:val="002136AE"/>
    <w:rsid w:val="00214117"/>
    <w:rsid w:val="002147F2"/>
    <w:rsid w:val="00214AE3"/>
    <w:rsid w:val="00215588"/>
    <w:rsid w:val="002156BB"/>
    <w:rsid w:val="002157A5"/>
    <w:rsid w:val="00216EFB"/>
    <w:rsid w:val="00216F31"/>
    <w:rsid w:val="00216F72"/>
    <w:rsid w:val="002171AD"/>
    <w:rsid w:val="0021745E"/>
    <w:rsid w:val="00217744"/>
    <w:rsid w:val="00217AF5"/>
    <w:rsid w:val="00217B26"/>
    <w:rsid w:val="0022026B"/>
    <w:rsid w:val="0022029D"/>
    <w:rsid w:val="0022063F"/>
    <w:rsid w:val="00220D1B"/>
    <w:rsid w:val="00221014"/>
    <w:rsid w:val="002213DD"/>
    <w:rsid w:val="002215D7"/>
    <w:rsid w:val="00222015"/>
    <w:rsid w:val="00222B9F"/>
    <w:rsid w:val="002231D4"/>
    <w:rsid w:val="002237A0"/>
    <w:rsid w:val="002238EE"/>
    <w:rsid w:val="00223EF2"/>
    <w:rsid w:val="00224140"/>
    <w:rsid w:val="00224F30"/>
    <w:rsid w:val="00225871"/>
    <w:rsid w:val="00226409"/>
    <w:rsid w:val="00226541"/>
    <w:rsid w:val="00226A4E"/>
    <w:rsid w:val="00226D90"/>
    <w:rsid w:val="00226EC6"/>
    <w:rsid w:val="0022769A"/>
    <w:rsid w:val="00227878"/>
    <w:rsid w:val="00227BEA"/>
    <w:rsid w:val="00227D19"/>
    <w:rsid w:val="002302B0"/>
    <w:rsid w:val="00230955"/>
    <w:rsid w:val="00230F49"/>
    <w:rsid w:val="0023131D"/>
    <w:rsid w:val="0023132C"/>
    <w:rsid w:val="002314BC"/>
    <w:rsid w:val="0023178A"/>
    <w:rsid w:val="00231822"/>
    <w:rsid w:val="00232217"/>
    <w:rsid w:val="00232FE7"/>
    <w:rsid w:val="002335EF"/>
    <w:rsid w:val="00233722"/>
    <w:rsid w:val="00233BEF"/>
    <w:rsid w:val="00233CE2"/>
    <w:rsid w:val="00234D13"/>
    <w:rsid w:val="00234D76"/>
    <w:rsid w:val="002354F0"/>
    <w:rsid w:val="002356D4"/>
    <w:rsid w:val="0023704E"/>
    <w:rsid w:val="002374C4"/>
    <w:rsid w:val="0024085E"/>
    <w:rsid w:val="00241001"/>
    <w:rsid w:val="00241022"/>
    <w:rsid w:val="00241107"/>
    <w:rsid w:val="00241B44"/>
    <w:rsid w:val="00241EEE"/>
    <w:rsid w:val="00242474"/>
    <w:rsid w:val="002426EF"/>
    <w:rsid w:val="00242A64"/>
    <w:rsid w:val="00242D42"/>
    <w:rsid w:val="00242EC4"/>
    <w:rsid w:val="00242ED4"/>
    <w:rsid w:val="00242FC9"/>
    <w:rsid w:val="002430D0"/>
    <w:rsid w:val="00243295"/>
    <w:rsid w:val="002432B8"/>
    <w:rsid w:val="002433FA"/>
    <w:rsid w:val="00243801"/>
    <w:rsid w:val="00243820"/>
    <w:rsid w:val="00243A46"/>
    <w:rsid w:val="00243BEA"/>
    <w:rsid w:val="00243DCC"/>
    <w:rsid w:val="0024433D"/>
    <w:rsid w:val="00244643"/>
    <w:rsid w:val="00244764"/>
    <w:rsid w:val="00244B89"/>
    <w:rsid w:val="00244DD5"/>
    <w:rsid w:val="00244E4B"/>
    <w:rsid w:val="00244F14"/>
    <w:rsid w:val="002453C7"/>
    <w:rsid w:val="00245636"/>
    <w:rsid w:val="00246193"/>
    <w:rsid w:val="002461E0"/>
    <w:rsid w:val="002465E1"/>
    <w:rsid w:val="0024663D"/>
    <w:rsid w:val="00246A36"/>
    <w:rsid w:val="00246C62"/>
    <w:rsid w:val="00246DDB"/>
    <w:rsid w:val="002477E8"/>
    <w:rsid w:val="00247DBF"/>
    <w:rsid w:val="00247E12"/>
    <w:rsid w:val="002502E9"/>
    <w:rsid w:val="0025088E"/>
    <w:rsid w:val="00250A05"/>
    <w:rsid w:val="00250AD3"/>
    <w:rsid w:val="00250B83"/>
    <w:rsid w:val="00251064"/>
    <w:rsid w:val="00251633"/>
    <w:rsid w:val="00251753"/>
    <w:rsid w:val="0025293E"/>
    <w:rsid w:val="00252A6F"/>
    <w:rsid w:val="00253005"/>
    <w:rsid w:val="00253C81"/>
    <w:rsid w:val="00254356"/>
    <w:rsid w:val="00255177"/>
    <w:rsid w:val="00255898"/>
    <w:rsid w:val="002560C0"/>
    <w:rsid w:val="002563A9"/>
    <w:rsid w:val="002567E4"/>
    <w:rsid w:val="00256B89"/>
    <w:rsid w:val="00256FCE"/>
    <w:rsid w:val="00257500"/>
    <w:rsid w:val="00257B86"/>
    <w:rsid w:val="00260325"/>
    <w:rsid w:val="00260919"/>
    <w:rsid w:val="00260A71"/>
    <w:rsid w:val="00260E87"/>
    <w:rsid w:val="0026127B"/>
    <w:rsid w:val="0026192C"/>
    <w:rsid w:val="002622F3"/>
    <w:rsid w:val="0026239D"/>
    <w:rsid w:val="00262CC6"/>
    <w:rsid w:val="00263227"/>
    <w:rsid w:val="00263431"/>
    <w:rsid w:val="0026378C"/>
    <w:rsid w:val="0026397C"/>
    <w:rsid w:val="002639AD"/>
    <w:rsid w:val="0026412D"/>
    <w:rsid w:val="00264883"/>
    <w:rsid w:val="002649D9"/>
    <w:rsid w:val="002658D3"/>
    <w:rsid w:val="00266683"/>
    <w:rsid w:val="002667F5"/>
    <w:rsid w:val="00266F9A"/>
    <w:rsid w:val="00267271"/>
    <w:rsid w:val="00267712"/>
    <w:rsid w:val="0026789E"/>
    <w:rsid w:val="002679DA"/>
    <w:rsid w:val="002702AC"/>
    <w:rsid w:val="0027059E"/>
    <w:rsid w:val="002706AC"/>
    <w:rsid w:val="00270BB6"/>
    <w:rsid w:val="00270BF1"/>
    <w:rsid w:val="00270C25"/>
    <w:rsid w:val="00270EAC"/>
    <w:rsid w:val="00271518"/>
    <w:rsid w:val="00271783"/>
    <w:rsid w:val="00271B2C"/>
    <w:rsid w:val="00271EF7"/>
    <w:rsid w:val="002731F0"/>
    <w:rsid w:val="00273406"/>
    <w:rsid w:val="00275246"/>
    <w:rsid w:val="00275751"/>
    <w:rsid w:val="00275C5B"/>
    <w:rsid w:val="00275FB4"/>
    <w:rsid w:val="00276655"/>
    <w:rsid w:val="00276664"/>
    <w:rsid w:val="002767E2"/>
    <w:rsid w:val="00276D7A"/>
    <w:rsid w:val="002770E4"/>
    <w:rsid w:val="00277181"/>
    <w:rsid w:val="002775F0"/>
    <w:rsid w:val="00280BE4"/>
    <w:rsid w:val="00280FA9"/>
    <w:rsid w:val="00281270"/>
    <w:rsid w:val="00281BCD"/>
    <w:rsid w:val="00281DC3"/>
    <w:rsid w:val="002820E1"/>
    <w:rsid w:val="00282FE2"/>
    <w:rsid w:val="002832B5"/>
    <w:rsid w:val="00283488"/>
    <w:rsid w:val="002842A9"/>
    <w:rsid w:val="002845AD"/>
    <w:rsid w:val="00284685"/>
    <w:rsid w:val="002848FA"/>
    <w:rsid w:val="00284FCB"/>
    <w:rsid w:val="002854EA"/>
    <w:rsid w:val="002857DC"/>
    <w:rsid w:val="00285855"/>
    <w:rsid w:val="00285AAB"/>
    <w:rsid w:val="00285F48"/>
    <w:rsid w:val="00286081"/>
    <w:rsid w:val="00286B47"/>
    <w:rsid w:val="00287089"/>
    <w:rsid w:val="002876F1"/>
    <w:rsid w:val="00287F17"/>
    <w:rsid w:val="00287F9C"/>
    <w:rsid w:val="00287FD5"/>
    <w:rsid w:val="002901D2"/>
    <w:rsid w:val="00290AAA"/>
    <w:rsid w:val="00290AEB"/>
    <w:rsid w:val="00290CF9"/>
    <w:rsid w:val="00290FA5"/>
    <w:rsid w:val="002910E1"/>
    <w:rsid w:val="002913BE"/>
    <w:rsid w:val="00291496"/>
    <w:rsid w:val="00291523"/>
    <w:rsid w:val="0029160F"/>
    <w:rsid w:val="0029210A"/>
    <w:rsid w:val="002924BC"/>
    <w:rsid w:val="00292748"/>
    <w:rsid w:val="00293124"/>
    <w:rsid w:val="00293151"/>
    <w:rsid w:val="00293216"/>
    <w:rsid w:val="002948B2"/>
    <w:rsid w:val="002953E9"/>
    <w:rsid w:val="00296575"/>
    <w:rsid w:val="00296BD5"/>
    <w:rsid w:val="002977BE"/>
    <w:rsid w:val="002979C1"/>
    <w:rsid w:val="00297CBF"/>
    <w:rsid w:val="002A0CBA"/>
    <w:rsid w:val="002A0DE6"/>
    <w:rsid w:val="002A13BE"/>
    <w:rsid w:val="002A25BE"/>
    <w:rsid w:val="002A2689"/>
    <w:rsid w:val="002A307B"/>
    <w:rsid w:val="002A3A0E"/>
    <w:rsid w:val="002A3D60"/>
    <w:rsid w:val="002A4DAF"/>
    <w:rsid w:val="002A5433"/>
    <w:rsid w:val="002A555A"/>
    <w:rsid w:val="002A5A95"/>
    <w:rsid w:val="002A5B50"/>
    <w:rsid w:val="002A61BA"/>
    <w:rsid w:val="002A6286"/>
    <w:rsid w:val="002A6693"/>
    <w:rsid w:val="002A6E48"/>
    <w:rsid w:val="002A75FD"/>
    <w:rsid w:val="002A76E4"/>
    <w:rsid w:val="002A7775"/>
    <w:rsid w:val="002A7806"/>
    <w:rsid w:val="002A7B36"/>
    <w:rsid w:val="002B0B15"/>
    <w:rsid w:val="002B0C81"/>
    <w:rsid w:val="002B0E4D"/>
    <w:rsid w:val="002B0F39"/>
    <w:rsid w:val="002B1131"/>
    <w:rsid w:val="002B176A"/>
    <w:rsid w:val="002B1B86"/>
    <w:rsid w:val="002B1DDC"/>
    <w:rsid w:val="002B3025"/>
    <w:rsid w:val="002B33EA"/>
    <w:rsid w:val="002B3578"/>
    <w:rsid w:val="002B35AE"/>
    <w:rsid w:val="002B3DC5"/>
    <w:rsid w:val="002B5103"/>
    <w:rsid w:val="002B52FB"/>
    <w:rsid w:val="002B5A23"/>
    <w:rsid w:val="002B5A5A"/>
    <w:rsid w:val="002B5BE2"/>
    <w:rsid w:val="002B5BF9"/>
    <w:rsid w:val="002B6720"/>
    <w:rsid w:val="002B6C90"/>
    <w:rsid w:val="002B6CE3"/>
    <w:rsid w:val="002B732B"/>
    <w:rsid w:val="002B7D80"/>
    <w:rsid w:val="002C024E"/>
    <w:rsid w:val="002C0893"/>
    <w:rsid w:val="002C0DFA"/>
    <w:rsid w:val="002C1320"/>
    <w:rsid w:val="002C13B4"/>
    <w:rsid w:val="002C142F"/>
    <w:rsid w:val="002C1853"/>
    <w:rsid w:val="002C1979"/>
    <w:rsid w:val="002C1DDD"/>
    <w:rsid w:val="002C2708"/>
    <w:rsid w:val="002C2EC3"/>
    <w:rsid w:val="002C3028"/>
    <w:rsid w:val="002C377D"/>
    <w:rsid w:val="002C385C"/>
    <w:rsid w:val="002C3B5B"/>
    <w:rsid w:val="002C4D7A"/>
    <w:rsid w:val="002C4E04"/>
    <w:rsid w:val="002C5099"/>
    <w:rsid w:val="002C6260"/>
    <w:rsid w:val="002C62C6"/>
    <w:rsid w:val="002C63EE"/>
    <w:rsid w:val="002C66E3"/>
    <w:rsid w:val="002C6913"/>
    <w:rsid w:val="002C6ADE"/>
    <w:rsid w:val="002C6AE0"/>
    <w:rsid w:val="002C7D34"/>
    <w:rsid w:val="002D04D7"/>
    <w:rsid w:val="002D06C3"/>
    <w:rsid w:val="002D08EF"/>
    <w:rsid w:val="002D0E30"/>
    <w:rsid w:val="002D129D"/>
    <w:rsid w:val="002D14E1"/>
    <w:rsid w:val="002D1FDD"/>
    <w:rsid w:val="002D2411"/>
    <w:rsid w:val="002D2496"/>
    <w:rsid w:val="002D24C6"/>
    <w:rsid w:val="002D266D"/>
    <w:rsid w:val="002D2D6B"/>
    <w:rsid w:val="002D30EE"/>
    <w:rsid w:val="002D317F"/>
    <w:rsid w:val="002D3907"/>
    <w:rsid w:val="002D3AC0"/>
    <w:rsid w:val="002D3ED7"/>
    <w:rsid w:val="002D4973"/>
    <w:rsid w:val="002D4DFE"/>
    <w:rsid w:val="002D50CF"/>
    <w:rsid w:val="002D5360"/>
    <w:rsid w:val="002D557B"/>
    <w:rsid w:val="002D558B"/>
    <w:rsid w:val="002D5728"/>
    <w:rsid w:val="002D5F5B"/>
    <w:rsid w:val="002D5FAE"/>
    <w:rsid w:val="002D6833"/>
    <w:rsid w:val="002D6D68"/>
    <w:rsid w:val="002D6F89"/>
    <w:rsid w:val="002D7640"/>
    <w:rsid w:val="002D7E98"/>
    <w:rsid w:val="002E06BC"/>
    <w:rsid w:val="002E0751"/>
    <w:rsid w:val="002E109A"/>
    <w:rsid w:val="002E1D56"/>
    <w:rsid w:val="002E24FD"/>
    <w:rsid w:val="002E271B"/>
    <w:rsid w:val="002E2F55"/>
    <w:rsid w:val="002E30A2"/>
    <w:rsid w:val="002E3568"/>
    <w:rsid w:val="002E376D"/>
    <w:rsid w:val="002E37E0"/>
    <w:rsid w:val="002E3A24"/>
    <w:rsid w:val="002E3B8E"/>
    <w:rsid w:val="002E3C54"/>
    <w:rsid w:val="002E4944"/>
    <w:rsid w:val="002E4C3A"/>
    <w:rsid w:val="002E5042"/>
    <w:rsid w:val="002E5087"/>
    <w:rsid w:val="002E512B"/>
    <w:rsid w:val="002E5385"/>
    <w:rsid w:val="002E5A00"/>
    <w:rsid w:val="002E6480"/>
    <w:rsid w:val="002E669D"/>
    <w:rsid w:val="002E6C40"/>
    <w:rsid w:val="002E734D"/>
    <w:rsid w:val="002E77A7"/>
    <w:rsid w:val="002F0A2F"/>
    <w:rsid w:val="002F1163"/>
    <w:rsid w:val="002F1801"/>
    <w:rsid w:val="002F1963"/>
    <w:rsid w:val="002F19BE"/>
    <w:rsid w:val="002F2133"/>
    <w:rsid w:val="002F28D4"/>
    <w:rsid w:val="002F3473"/>
    <w:rsid w:val="002F386B"/>
    <w:rsid w:val="002F3B9E"/>
    <w:rsid w:val="002F4623"/>
    <w:rsid w:val="002F4938"/>
    <w:rsid w:val="002F58CB"/>
    <w:rsid w:val="002F5A0C"/>
    <w:rsid w:val="002F61F6"/>
    <w:rsid w:val="002F63FA"/>
    <w:rsid w:val="002F6675"/>
    <w:rsid w:val="002F675D"/>
    <w:rsid w:val="002F67C0"/>
    <w:rsid w:val="002F6D23"/>
    <w:rsid w:val="002F7728"/>
    <w:rsid w:val="0030060B"/>
    <w:rsid w:val="00300E78"/>
    <w:rsid w:val="00301392"/>
    <w:rsid w:val="00301722"/>
    <w:rsid w:val="0030197D"/>
    <w:rsid w:val="0030204C"/>
    <w:rsid w:val="00302126"/>
    <w:rsid w:val="00302CBB"/>
    <w:rsid w:val="003033EB"/>
    <w:rsid w:val="00303B70"/>
    <w:rsid w:val="00303E98"/>
    <w:rsid w:val="00304CBD"/>
    <w:rsid w:val="0030562C"/>
    <w:rsid w:val="003059CA"/>
    <w:rsid w:val="00305B3F"/>
    <w:rsid w:val="00305FBF"/>
    <w:rsid w:val="00306059"/>
    <w:rsid w:val="00306333"/>
    <w:rsid w:val="003076F3"/>
    <w:rsid w:val="00310CEA"/>
    <w:rsid w:val="0031112F"/>
    <w:rsid w:val="003120EC"/>
    <w:rsid w:val="00312517"/>
    <w:rsid w:val="0031262A"/>
    <w:rsid w:val="0031272B"/>
    <w:rsid w:val="00312ABD"/>
    <w:rsid w:val="00312B8B"/>
    <w:rsid w:val="00312EBA"/>
    <w:rsid w:val="00312F20"/>
    <w:rsid w:val="003130FA"/>
    <w:rsid w:val="0031364A"/>
    <w:rsid w:val="00313966"/>
    <w:rsid w:val="00313A5B"/>
    <w:rsid w:val="00313F8D"/>
    <w:rsid w:val="00313FC2"/>
    <w:rsid w:val="003142F7"/>
    <w:rsid w:val="003143F5"/>
    <w:rsid w:val="003144D7"/>
    <w:rsid w:val="00314C15"/>
    <w:rsid w:val="00314EC1"/>
    <w:rsid w:val="0031616F"/>
    <w:rsid w:val="00316277"/>
    <w:rsid w:val="003163C7"/>
    <w:rsid w:val="00316ED9"/>
    <w:rsid w:val="00317821"/>
    <w:rsid w:val="00317DAE"/>
    <w:rsid w:val="00320330"/>
    <w:rsid w:val="003214DC"/>
    <w:rsid w:val="003216CF"/>
    <w:rsid w:val="00322330"/>
    <w:rsid w:val="00322671"/>
    <w:rsid w:val="00323AA2"/>
    <w:rsid w:val="00323B3E"/>
    <w:rsid w:val="00324964"/>
    <w:rsid w:val="00324C2E"/>
    <w:rsid w:val="00324E57"/>
    <w:rsid w:val="0032556F"/>
    <w:rsid w:val="00325862"/>
    <w:rsid w:val="00325CD1"/>
    <w:rsid w:val="00325E51"/>
    <w:rsid w:val="00326A33"/>
    <w:rsid w:val="00327310"/>
    <w:rsid w:val="00327851"/>
    <w:rsid w:val="003303A6"/>
    <w:rsid w:val="003303C0"/>
    <w:rsid w:val="00330882"/>
    <w:rsid w:val="00331114"/>
    <w:rsid w:val="00331192"/>
    <w:rsid w:val="003317A5"/>
    <w:rsid w:val="0033196A"/>
    <w:rsid w:val="00331FA2"/>
    <w:rsid w:val="00332259"/>
    <w:rsid w:val="003324BE"/>
    <w:rsid w:val="00332A59"/>
    <w:rsid w:val="00332BBC"/>
    <w:rsid w:val="00332BF7"/>
    <w:rsid w:val="00332CAB"/>
    <w:rsid w:val="00333BB6"/>
    <w:rsid w:val="00334643"/>
    <w:rsid w:val="003349D2"/>
    <w:rsid w:val="00334F99"/>
    <w:rsid w:val="0033506A"/>
    <w:rsid w:val="003350A2"/>
    <w:rsid w:val="00335407"/>
    <w:rsid w:val="00335C58"/>
    <w:rsid w:val="00335F8B"/>
    <w:rsid w:val="003367A1"/>
    <w:rsid w:val="003377DF"/>
    <w:rsid w:val="00337C3B"/>
    <w:rsid w:val="00337F5E"/>
    <w:rsid w:val="00337FE6"/>
    <w:rsid w:val="00340159"/>
    <w:rsid w:val="00340343"/>
    <w:rsid w:val="00340CDA"/>
    <w:rsid w:val="003414CA"/>
    <w:rsid w:val="0034161A"/>
    <w:rsid w:val="003416CF"/>
    <w:rsid w:val="00341F09"/>
    <w:rsid w:val="00341F29"/>
    <w:rsid w:val="003421D6"/>
    <w:rsid w:val="003424F8"/>
    <w:rsid w:val="003425EB"/>
    <w:rsid w:val="00342B56"/>
    <w:rsid w:val="00343311"/>
    <w:rsid w:val="00343395"/>
    <w:rsid w:val="00343AE0"/>
    <w:rsid w:val="00343D0E"/>
    <w:rsid w:val="00343E0A"/>
    <w:rsid w:val="00343FEF"/>
    <w:rsid w:val="00344BC5"/>
    <w:rsid w:val="00344D64"/>
    <w:rsid w:val="00344F1C"/>
    <w:rsid w:val="00345B7E"/>
    <w:rsid w:val="00345D21"/>
    <w:rsid w:val="00346244"/>
    <w:rsid w:val="003465D1"/>
    <w:rsid w:val="00346BC4"/>
    <w:rsid w:val="00346E58"/>
    <w:rsid w:val="00346F1A"/>
    <w:rsid w:val="00346F32"/>
    <w:rsid w:val="00347849"/>
    <w:rsid w:val="00347930"/>
    <w:rsid w:val="00347BB5"/>
    <w:rsid w:val="00347CA1"/>
    <w:rsid w:val="00350147"/>
    <w:rsid w:val="00350280"/>
    <w:rsid w:val="00350686"/>
    <w:rsid w:val="003506E3"/>
    <w:rsid w:val="00350942"/>
    <w:rsid w:val="003510C3"/>
    <w:rsid w:val="00351748"/>
    <w:rsid w:val="00351C38"/>
    <w:rsid w:val="0035203C"/>
    <w:rsid w:val="003520D3"/>
    <w:rsid w:val="00352128"/>
    <w:rsid w:val="0035265D"/>
    <w:rsid w:val="0035413A"/>
    <w:rsid w:val="00354C33"/>
    <w:rsid w:val="00355591"/>
    <w:rsid w:val="00355AFE"/>
    <w:rsid w:val="00356B01"/>
    <w:rsid w:val="00356DAF"/>
    <w:rsid w:val="0035714C"/>
    <w:rsid w:val="00357902"/>
    <w:rsid w:val="0036016E"/>
    <w:rsid w:val="003604BA"/>
    <w:rsid w:val="00360678"/>
    <w:rsid w:val="00360D28"/>
    <w:rsid w:val="0036174A"/>
    <w:rsid w:val="00361902"/>
    <w:rsid w:val="00361DEB"/>
    <w:rsid w:val="00361EF2"/>
    <w:rsid w:val="0036280B"/>
    <w:rsid w:val="00362FA2"/>
    <w:rsid w:val="0036361E"/>
    <w:rsid w:val="003641CA"/>
    <w:rsid w:val="003643EA"/>
    <w:rsid w:val="0036464F"/>
    <w:rsid w:val="00364AFD"/>
    <w:rsid w:val="003652CD"/>
    <w:rsid w:val="003654A1"/>
    <w:rsid w:val="0036591A"/>
    <w:rsid w:val="00365A57"/>
    <w:rsid w:val="00365D77"/>
    <w:rsid w:val="003660D9"/>
    <w:rsid w:val="003661D1"/>
    <w:rsid w:val="0036648A"/>
    <w:rsid w:val="0036660C"/>
    <w:rsid w:val="0036684B"/>
    <w:rsid w:val="00367D44"/>
    <w:rsid w:val="00367D7A"/>
    <w:rsid w:val="00370185"/>
    <w:rsid w:val="003705F1"/>
    <w:rsid w:val="00370B80"/>
    <w:rsid w:val="00370CE7"/>
    <w:rsid w:val="0037106B"/>
    <w:rsid w:val="003710C9"/>
    <w:rsid w:val="0037171A"/>
    <w:rsid w:val="00371924"/>
    <w:rsid w:val="0037192A"/>
    <w:rsid w:val="00371DD4"/>
    <w:rsid w:val="0037223A"/>
    <w:rsid w:val="003725E7"/>
    <w:rsid w:val="00372749"/>
    <w:rsid w:val="00372E51"/>
    <w:rsid w:val="00372EC6"/>
    <w:rsid w:val="00372F43"/>
    <w:rsid w:val="0037377D"/>
    <w:rsid w:val="00374319"/>
    <w:rsid w:val="00374325"/>
    <w:rsid w:val="00374CE4"/>
    <w:rsid w:val="00375513"/>
    <w:rsid w:val="003755AC"/>
    <w:rsid w:val="003768F9"/>
    <w:rsid w:val="00377BEA"/>
    <w:rsid w:val="00377F35"/>
    <w:rsid w:val="00377F9D"/>
    <w:rsid w:val="00380AA4"/>
    <w:rsid w:val="0038156A"/>
    <w:rsid w:val="00381C1C"/>
    <w:rsid w:val="00381DCD"/>
    <w:rsid w:val="00381E45"/>
    <w:rsid w:val="0038286A"/>
    <w:rsid w:val="003829CA"/>
    <w:rsid w:val="00382BD1"/>
    <w:rsid w:val="00383E44"/>
    <w:rsid w:val="00383E83"/>
    <w:rsid w:val="00384C6B"/>
    <w:rsid w:val="00384DBD"/>
    <w:rsid w:val="00384F03"/>
    <w:rsid w:val="00384F6B"/>
    <w:rsid w:val="00385094"/>
    <w:rsid w:val="00385673"/>
    <w:rsid w:val="0038595C"/>
    <w:rsid w:val="00386E7C"/>
    <w:rsid w:val="00387A8B"/>
    <w:rsid w:val="0039090D"/>
    <w:rsid w:val="00390FD2"/>
    <w:rsid w:val="00390FD3"/>
    <w:rsid w:val="00392665"/>
    <w:rsid w:val="0039308B"/>
    <w:rsid w:val="00393135"/>
    <w:rsid w:val="0039352C"/>
    <w:rsid w:val="00393781"/>
    <w:rsid w:val="00394B6A"/>
    <w:rsid w:val="00394F79"/>
    <w:rsid w:val="00395D2B"/>
    <w:rsid w:val="00395D73"/>
    <w:rsid w:val="003961FE"/>
    <w:rsid w:val="00396202"/>
    <w:rsid w:val="00396266"/>
    <w:rsid w:val="003962F6"/>
    <w:rsid w:val="0039670F"/>
    <w:rsid w:val="00396D13"/>
    <w:rsid w:val="00397520"/>
    <w:rsid w:val="00397A91"/>
    <w:rsid w:val="003A0E15"/>
    <w:rsid w:val="003A1A22"/>
    <w:rsid w:val="003A1D38"/>
    <w:rsid w:val="003A229C"/>
    <w:rsid w:val="003A248C"/>
    <w:rsid w:val="003A2DA1"/>
    <w:rsid w:val="003A34E1"/>
    <w:rsid w:val="003A3B74"/>
    <w:rsid w:val="003A4077"/>
    <w:rsid w:val="003A4567"/>
    <w:rsid w:val="003A475B"/>
    <w:rsid w:val="003A52DF"/>
    <w:rsid w:val="003A57E3"/>
    <w:rsid w:val="003A5DFF"/>
    <w:rsid w:val="003A5E93"/>
    <w:rsid w:val="003A61B5"/>
    <w:rsid w:val="003A6AAD"/>
    <w:rsid w:val="003A737B"/>
    <w:rsid w:val="003A7B2E"/>
    <w:rsid w:val="003A7BF3"/>
    <w:rsid w:val="003A7EF9"/>
    <w:rsid w:val="003A7F76"/>
    <w:rsid w:val="003B0405"/>
    <w:rsid w:val="003B054E"/>
    <w:rsid w:val="003B0820"/>
    <w:rsid w:val="003B09E3"/>
    <w:rsid w:val="003B10A5"/>
    <w:rsid w:val="003B1E17"/>
    <w:rsid w:val="003B2177"/>
    <w:rsid w:val="003B254E"/>
    <w:rsid w:val="003B29D3"/>
    <w:rsid w:val="003B2A01"/>
    <w:rsid w:val="003B2D38"/>
    <w:rsid w:val="003B3005"/>
    <w:rsid w:val="003B3A05"/>
    <w:rsid w:val="003B3C34"/>
    <w:rsid w:val="003B49BF"/>
    <w:rsid w:val="003B4D0F"/>
    <w:rsid w:val="003B6226"/>
    <w:rsid w:val="003B7770"/>
    <w:rsid w:val="003B7A3A"/>
    <w:rsid w:val="003C06CE"/>
    <w:rsid w:val="003C0A04"/>
    <w:rsid w:val="003C0C2D"/>
    <w:rsid w:val="003C0C34"/>
    <w:rsid w:val="003C0DC1"/>
    <w:rsid w:val="003C0F4F"/>
    <w:rsid w:val="003C11D3"/>
    <w:rsid w:val="003C16E8"/>
    <w:rsid w:val="003C19A8"/>
    <w:rsid w:val="003C1C4A"/>
    <w:rsid w:val="003C212E"/>
    <w:rsid w:val="003C29E8"/>
    <w:rsid w:val="003C32B1"/>
    <w:rsid w:val="003C37B1"/>
    <w:rsid w:val="003C386E"/>
    <w:rsid w:val="003C3D25"/>
    <w:rsid w:val="003C3D5A"/>
    <w:rsid w:val="003C4325"/>
    <w:rsid w:val="003C50DE"/>
    <w:rsid w:val="003C5366"/>
    <w:rsid w:val="003C5564"/>
    <w:rsid w:val="003C6070"/>
    <w:rsid w:val="003C63D6"/>
    <w:rsid w:val="003C68A6"/>
    <w:rsid w:val="003C6D8B"/>
    <w:rsid w:val="003C7114"/>
    <w:rsid w:val="003C728F"/>
    <w:rsid w:val="003C73E5"/>
    <w:rsid w:val="003C7927"/>
    <w:rsid w:val="003D135F"/>
    <w:rsid w:val="003D1EBC"/>
    <w:rsid w:val="003D2529"/>
    <w:rsid w:val="003D2831"/>
    <w:rsid w:val="003D3198"/>
    <w:rsid w:val="003D3510"/>
    <w:rsid w:val="003D3A32"/>
    <w:rsid w:val="003D3D35"/>
    <w:rsid w:val="003D406B"/>
    <w:rsid w:val="003D4844"/>
    <w:rsid w:val="003D4AB6"/>
    <w:rsid w:val="003D57C4"/>
    <w:rsid w:val="003D5F5D"/>
    <w:rsid w:val="003D65FF"/>
    <w:rsid w:val="003D664A"/>
    <w:rsid w:val="003D665F"/>
    <w:rsid w:val="003D7262"/>
    <w:rsid w:val="003E0207"/>
    <w:rsid w:val="003E0421"/>
    <w:rsid w:val="003E0B29"/>
    <w:rsid w:val="003E0BD0"/>
    <w:rsid w:val="003E0C23"/>
    <w:rsid w:val="003E0DC1"/>
    <w:rsid w:val="003E0EA7"/>
    <w:rsid w:val="003E0EED"/>
    <w:rsid w:val="003E1207"/>
    <w:rsid w:val="003E1448"/>
    <w:rsid w:val="003E14CF"/>
    <w:rsid w:val="003E14F7"/>
    <w:rsid w:val="003E26FD"/>
    <w:rsid w:val="003E278D"/>
    <w:rsid w:val="003E29ED"/>
    <w:rsid w:val="003E2A88"/>
    <w:rsid w:val="003E2B6E"/>
    <w:rsid w:val="003E2CEB"/>
    <w:rsid w:val="003E2FF9"/>
    <w:rsid w:val="003E375A"/>
    <w:rsid w:val="003E3F16"/>
    <w:rsid w:val="003E4169"/>
    <w:rsid w:val="003E4934"/>
    <w:rsid w:val="003E5275"/>
    <w:rsid w:val="003E5651"/>
    <w:rsid w:val="003E57EB"/>
    <w:rsid w:val="003E585F"/>
    <w:rsid w:val="003E65EA"/>
    <w:rsid w:val="003E6B32"/>
    <w:rsid w:val="003E6F08"/>
    <w:rsid w:val="003E717D"/>
    <w:rsid w:val="003E735B"/>
    <w:rsid w:val="003E7436"/>
    <w:rsid w:val="003E7747"/>
    <w:rsid w:val="003E7D02"/>
    <w:rsid w:val="003F051B"/>
    <w:rsid w:val="003F1F3C"/>
    <w:rsid w:val="003F270D"/>
    <w:rsid w:val="003F2E2F"/>
    <w:rsid w:val="003F2FF6"/>
    <w:rsid w:val="003F3079"/>
    <w:rsid w:val="003F30E4"/>
    <w:rsid w:val="003F32DE"/>
    <w:rsid w:val="003F3392"/>
    <w:rsid w:val="003F3CB6"/>
    <w:rsid w:val="003F4575"/>
    <w:rsid w:val="003F483D"/>
    <w:rsid w:val="003F4861"/>
    <w:rsid w:val="003F5356"/>
    <w:rsid w:val="003F5C2B"/>
    <w:rsid w:val="003F686B"/>
    <w:rsid w:val="003F6E3A"/>
    <w:rsid w:val="003F7A4B"/>
    <w:rsid w:val="004002ED"/>
    <w:rsid w:val="00400426"/>
    <w:rsid w:val="0040115A"/>
    <w:rsid w:val="00401E97"/>
    <w:rsid w:val="004021B0"/>
    <w:rsid w:val="00402418"/>
    <w:rsid w:val="004026D0"/>
    <w:rsid w:val="00402B7A"/>
    <w:rsid w:val="00402BD0"/>
    <w:rsid w:val="00403917"/>
    <w:rsid w:val="00403DB2"/>
    <w:rsid w:val="00403E6F"/>
    <w:rsid w:val="004046C6"/>
    <w:rsid w:val="00404F34"/>
    <w:rsid w:val="004057D3"/>
    <w:rsid w:val="00405BD3"/>
    <w:rsid w:val="00406AC2"/>
    <w:rsid w:val="0040789E"/>
    <w:rsid w:val="00407CD6"/>
    <w:rsid w:val="00410143"/>
    <w:rsid w:val="0041031D"/>
    <w:rsid w:val="004103BA"/>
    <w:rsid w:val="00410634"/>
    <w:rsid w:val="00410A01"/>
    <w:rsid w:val="00410F0A"/>
    <w:rsid w:val="00411256"/>
    <w:rsid w:val="00411B7D"/>
    <w:rsid w:val="004120BA"/>
    <w:rsid w:val="00412B5A"/>
    <w:rsid w:val="00412F0E"/>
    <w:rsid w:val="00412F1A"/>
    <w:rsid w:val="00413263"/>
    <w:rsid w:val="00413300"/>
    <w:rsid w:val="004140AF"/>
    <w:rsid w:val="0041418E"/>
    <w:rsid w:val="004145AF"/>
    <w:rsid w:val="00414682"/>
    <w:rsid w:val="00414868"/>
    <w:rsid w:val="00414E2F"/>
    <w:rsid w:val="004150B7"/>
    <w:rsid w:val="00415169"/>
    <w:rsid w:val="00415480"/>
    <w:rsid w:val="00415FE1"/>
    <w:rsid w:val="00416111"/>
    <w:rsid w:val="00417716"/>
    <w:rsid w:val="0041775D"/>
    <w:rsid w:val="00417A52"/>
    <w:rsid w:val="00417AC4"/>
    <w:rsid w:val="00417EC4"/>
    <w:rsid w:val="004201F5"/>
    <w:rsid w:val="0042050B"/>
    <w:rsid w:val="004209BC"/>
    <w:rsid w:val="00420A9D"/>
    <w:rsid w:val="0042107E"/>
    <w:rsid w:val="004214F1"/>
    <w:rsid w:val="004216C4"/>
    <w:rsid w:val="00421A40"/>
    <w:rsid w:val="004224D3"/>
    <w:rsid w:val="00422B21"/>
    <w:rsid w:val="004243C7"/>
    <w:rsid w:val="0042446E"/>
    <w:rsid w:val="00424481"/>
    <w:rsid w:val="004247BC"/>
    <w:rsid w:val="0042498F"/>
    <w:rsid w:val="00424D4E"/>
    <w:rsid w:val="00424E41"/>
    <w:rsid w:val="00425480"/>
    <w:rsid w:val="00425657"/>
    <w:rsid w:val="00426625"/>
    <w:rsid w:val="00426B37"/>
    <w:rsid w:val="00426D56"/>
    <w:rsid w:val="00427065"/>
    <w:rsid w:val="00427390"/>
    <w:rsid w:val="00427518"/>
    <w:rsid w:val="00430C83"/>
    <w:rsid w:val="00430EE7"/>
    <w:rsid w:val="004312CA"/>
    <w:rsid w:val="00431895"/>
    <w:rsid w:val="00432FE7"/>
    <w:rsid w:val="00433002"/>
    <w:rsid w:val="00433715"/>
    <w:rsid w:val="0043471D"/>
    <w:rsid w:val="00434774"/>
    <w:rsid w:val="00434BAA"/>
    <w:rsid w:val="00434C15"/>
    <w:rsid w:val="00435611"/>
    <w:rsid w:val="00435879"/>
    <w:rsid w:val="004362D9"/>
    <w:rsid w:val="00436453"/>
    <w:rsid w:val="004365C2"/>
    <w:rsid w:val="00436C71"/>
    <w:rsid w:val="00436EC2"/>
    <w:rsid w:val="00436F81"/>
    <w:rsid w:val="00437189"/>
    <w:rsid w:val="004375BF"/>
    <w:rsid w:val="00437788"/>
    <w:rsid w:val="00437A82"/>
    <w:rsid w:val="00437CC6"/>
    <w:rsid w:val="00437CDC"/>
    <w:rsid w:val="00440457"/>
    <w:rsid w:val="00440CF8"/>
    <w:rsid w:val="0044137A"/>
    <w:rsid w:val="004417B4"/>
    <w:rsid w:val="004424A4"/>
    <w:rsid w:val="00442647"/>
    <w:rsid w:val="00442EC4"/>
    <w:rsid w:val="00443076"/>
    <w:rsid w:val="0044389E"/>
    <w:rsid w:val="00443E2E"/>
    <w:rsid w:val="0044483C"/>
    <w:rsid w:val="00444C41"/>
    <w:rsid w:val="00444C98"/>
    <w:rsid w:val="0044568C"/>
    <w:rsid w:val="0044595B"/>
    <w:rsid w:val="0044769D"/>
    <w:rsid w:val="00450477"/>
    <w:rsid w:val="004509D8"/>
    <w:rsid w:val="00450A0E"/>
    <w:rsid w:val="00450D11"/>
    <w:rsid w:val="00450DE1"/>
    <w:rsid w:val="00450E2D"/>
    <w:rsid w:val="00450E88"/>
    <w:rsid w:val="004510FC"/>
    <w:rsid w:val="00451174"/>
    <w:rsid w:val="0045134E"/>
    <w:rsid w:val="0045157F"/>
    <w:rsid w:val="00451696"/>
    <w:rsid w:val="00451769"/>
    <w:rsid w:val="00451991"/>
    <w:rsid w:val="00451AB8"/>
    <w:rsid w:val="004524C1"/>
    <w:rsid w:val="004525A7"/>
    <w:rsid w:val="004525BD"/>
    <w:rsid w:val="00452E69"/>
    <w:rsid w:val="004531B6"/>
    <w:rsid w:val="00453332"/>
    <w:rsid w:val="00453646"/>
    <w:rsid w:val="00453DE9"/>
    <w:rsid w:val="00454797"/>
    <w:rsid w:val="00455419"/>
    <w:rsid w:val="00455A56"/>
    <w:rsid w:val="00455B9E"/>
    <w:rsid w:val="0045674D"/>
    <w:rsid w:val="004568DD"/>
    <w:rsid w:val="00456CAF"/>
    <w:rsid w:val="00456D48"/>
    <w:rsid w:val="00457726"/>
    <w:rsid w:val="00457CB9"/>
    <w:rsid w:val="00457CC5"/>
    <w:rsid w:val="00457E55"/>
    <w:rsid w:val="00457F85"/>
    <w:rsid w:val="00460A5C"/>
    <w:rsid w:val="00460BD6"/>
    <w:rsid w:val="004612D6"/>
    <w:rsid w:val="00461A3E"/>
    <w:rsid w:val="00462060"/>
    <w:rsid w:val="00462078"/>
    <w:rsid w:val="004622E9"/>
    <w:rsid w:val="004623FA"/>
    <w:rsid w:val="00462CFC"/>
    <w:rsid w:val="00463AA3"/>
    <w:rsid w:val="0046418D"/>
    <w:rsid w:val="004649DF"/>
    <w:rsid w:val="00465119"/>
    <w:rsid w:val="00465262"/>
    <w:rsid w:val="00465B62"/>
    <w:rsid w:val="00465E6E"/>
    <w:rsid w:val="00466B97"/>
    <w:rsid w:val="00466C9C"/>
    <w:rsid w:val="00466E79"/>
    <w:rsid w:val="0046746C"/>
    <w:rsid w:val="004674CC"/>
    <w:rsid w:val="00467AF4"/>
    <w:rsid w:val="00467D92"/>
    <w:rsid w:val="00470092"/>
    <w:rsid w:val="00471065"/>
    <w:rsid w:val="0047163A"/>
    <w:rsid w:val="00471A30"/>
    <w:rsid w:val="00471D97"/>
    <w:rsid w:val="00471EFB"/>
    <w:rsid w:val="00471FB9"/>
    <w:rsid w:val="00473277"/>
    <w:rsid w:val="0047366C"/>
    <w:rsid w:val="00473906"/>
    <w:rsid w:val="00473971"/>
    <w:rsid w:val="00473D8E"/>
    <w:rsid w:val="004741F7"/>
    <w:rsid w:val="00474B95"/>
    <w:rsid w:val="0047516E"/>
    <w:rsid w:val="0047546D"/>
    <w:rsid w:val="004758E3"/>
    <w:rsid w:val="00477DD7"/>
    <w:rsid w:val="00477DEF"/>
    <w:rsid w:val="00477F7D"/>
    <w:rsid w:val="00477FA9"/>
    <w:rsid w:val="00477FBA"/>
    <w:rsid w:val="0048002A"/>
    <w:rsid w:val="004808AE"/>
    <w:rsid w:val="00481390"/>
    <w:rsid w:val="004814A3"/>
    <w:rsid w:val="0048189B"/>
    <w:rsid w:val="00481B11"/>
    <w:rsid w:val="00481C2E"/>
    <w:rsid w:val="0048229B"/>
    <w:rsid w:val="0048252C"/>
    <w:rsid w:val="00482700"/>
    <w:rsid w:val="00482A3D"/>
    <w:rsid w:val="00482C43"/>
    <w:rsid w:val="00482DE7"/>
    <w:rsid w:val="004834EF"/>
    <w:rsid w:val="00483E64"/>
    <w:rsid w:val="00484645"/>
    <w:rsid w:val="0048472C"/>
    <w:rsid w:val="004847D4"/>
    <w:rsid w:val="004848A2"/>
    <w:rsid w:val="004849F5"/>
    <w:rsid w:val="0048568D"/>
    <w:rsid w:val="004857C8"/>
    <w:rsid w:val="00485AFF"/>
    <w:rsid w:val="004875E6"/>
    <w:rsid w:val="004878CF"/>
    <w:rsid w:val="00487BCE"/>
    <w:rsid w:val="004900AD"/>
    <w:rsid w:val="00490653"/>
    <w:rsid w:val="00490A30"/>
    <w:rsid w:val="00490A3D"/>
    <w:rsid w:val="00490B7B"/>
    <w:rsid w:val="00490B8E"/>
    <w:rsid w:val="00491370"/>
    <w:rsid w:val="00492C9E"/>
    <w:rsid w:val="004935B9"/>
    <w:rsid w:val="00493872"/>
    <w:rsid w:val="004939AF"/>
    <w:rsid w:val="004939E8"/>
    <w:rsid w:val="00493D05"/>
    <w:rsid w:val="00493E41"/>
    <w:rsid w:val="004940B6"/>
    <w:rsid w:val="00494B11"/>
    <w:rsid w:val="00495E9B"/>
    <w:rsid w:val="00496149"/>
    <w:rsid w:val="00496215"/>
    <w:rsid w:val="00496336"/>
    <w:rsid w:val="0049658C"/>
    <w:rsid w:val="00496612"/>
    <w:rsid w:val="00496B8B"/>
    <w:rsid w:val="004973D0"/>
    <w:rsid w:val="004A04D6"/>
    <w:rsid w:val="004A059E"/>
    <w:rsid w:val="004A0B04"/>
    <w:rsid w:val="004A17E1"/>
    <w:rsid w:val="004A1A57"/>
    <w:rsid w:val="004A27D6"/>
    <w:rsid w:val="004A2DD2"/>
    <w:rsid w:val="004A3735"/>
    <w:rsid w:val="004A3763"/>
    <w:rsid w:val="004A38F6"/>
    <w:rsid w:val="004A41E4"/>
    <w:rsid w:val="004A4268"/>
    <w:rsid w:val="004A49E4"/>
    <w:rsid w:val="004A4A56"/>
    <w:rsid w:val="004A4C0D"/>
    <w:rsid w:val="004A5173"/>
    <w:rsid w:val="004A63AE"/>
    <w:rsid w:val="004A63CE"/>
    <w:rsid w:val="004A66A7"/>
    <w:rsid w:val="004A6CD8"/>
    <w:rsid w:val="004A6D16"/>
    <w:rsid w:val="004A74B7"/>
    <w:rsid w:val="004A78BE"/>
    <w:rsid w:val="004A7AEC"/>
    <w:rsid w:val="004B0066"/>
    <w:rsid w:val="004B00DB"/>
    <w:rsid w:val="004B01D2"/>
    <w:rsid w:val="004B04B0"/>
    <w:rsid w:val="004B0501"/>
    <w:rsid w:val="004B061D"/>
    <w:rsid w:val="004B0E40"/>
    <w:rsid w:val="004B11E3"/>
    <w:rsid w:val="004B16EF"/>
    <w:rsid w:val="004B1931"/>
    <w:rsid w:val="004B1B47"/>
    <w:rsid w:val="004B1CE2"/>
    <w:rsid w:val="004B2A84"/>
    <w:rsid w:val="004B3552"/>
    <w:rsid w:val="004B4428"/>
    <w:rsid w:val="004B48C9"/>
    <w:rsid w:val="004B4B44"/>
    <w:rsid w:val="004B5097"/>
    <w:rsid w:val="004B5462"/>
    <w:rsid w:val="004B5945"/>
    <w:rsid w:val="004B60FA"/>
    <w:rsid w:val="004B68D9"/>
    <w:rsid w:val="004B6A00"/>
    <w:rsid w:val="004B7323"/>
    <w:rsid w:val="004B76FD"/>
    <w:rsid w:val="004C0352"/>
    <w:rsid w:val="004C0B5F"/>
    <w:rsid w:val="004C0D74"/>
    <w:rsid w:val="004C0E90"/>
    <w:rsid w:val="004C1176"/>
    <w:rsid w:val="004C1710"/>
    <w:rsid w:val="004C18F5"/>
    <w:rsid w:val="004C1D20"/>
    <w:rsid w:val="004C1D8F"/>
    <w:rsid w:val="004C2043"/>
    <w:rsid w:val="004C2561"/>
    <w:rsid w:val="004C2819"/>
    <w:rsid w:val="004C296A"/>
    <w:rsid w:val="004C3416"/>
    <w:rsid w:val="004C35DF"/>
    <w:rsid w:val="004C36CB"/>
    <w:rsid w:val="004C394E"/>
    <w:rsid w:val="004C4326"/>
    <w:rsid w:val="004C48E0"/>
    <w:rsid w:val="004C4CB9"/>
    <w:rsid w:val="004C4CEB"/>
    <w:rsid w:val="004C5F0B"/>
    <w:rsid w:val="004C639A"/>
    <w:rsid w:val="004C664B"/>
    <w:rsid w:val="004C6858"/>
    <w:rsid w:val="004C6F34"/>
    <w:rsid w:val="004C7047"/>
    <w:rsid w:val="004C7281"/>
    <w:rsid w:val="004C7558"/>
    <w:rsid w:val="004C7735"/>
    <w:rsid w:val="004D0223"/>
    <w:rsid w:val="004D03E6"/>
    <w:rsid w:val="004D081A"/>
    <w:rsid w:val="004D0BB5"/>
    <w:rsid w:val="004D0F97"/>
    <w:rsid w:val="004D144F"/>
    <w:rsid w:val="004D1480"/>
    <w:rsid w:val="004D20CE"/>
    <w:rsid w:val="004D276C"/>
    <w:rsid w:val="004D2848"/>
    <w:rsid w:val="004D3948"/>
    <w:rsid w:val="004D3DC6"/>
    <w:rsid w:val="004D4721"/>
    <w:rsid w:val="004D48DD"/>
    <w:rsid w:val="004D51BF"/>
    <w:rsid w:val="004D52AF"/>
    <w:rsid w:val="004D55A3"/>
    <w:rsid w:val="004D5861"/>
    <w:rsid w:val="004D617D"/>
    <w:rsid w:val="004D6A9F"/>
    <w:rsid w:val="004D73A3"/>
    <w:rsid w:val="004D7D54"/>
    <w:rsid w:val="004E0823"/>
    <w:rsid w:val="004E0AEE"/>
    <w:rsid w:val="004E1088"/>
    <w:rsid w:val="004E1443"/>
    <w:rsid w:val="004E18EC"/>
    <w:rsid w:val="004E190D"/>
    <w:rsid w:val="004E1EBE"/>
    <w:rsid w:val="004E2226"/>
    <w:rsid w:val="004E26C3"/>
    <w:rsid w:val="004E277C"/>
    <w:rsid w:val="004E2F23"/>
    <w:rsid w:val="004E2FCC"/>
    <w:rsid w:val="004E3060"/>
    <w:rsid w:val="004E3A40"/>
    <w:rsid w:val="004E3F60"/>
    <w:rsid w:val="004E4504"/>
    <w:rsid w:val="004E4CDE"/>
    <w:rsid w:val="004E4F4D"/>
    <w:rsid w:val="004E5C3F"/>
    <w:rsid w:val="004E5F74"/>
    <w:rsid w:val="004E73CF"/>
    <w:rsid w:val="004E73FC"/>
    <w:rsid w:val="004E7599"/>
    <w:rsid w:val="004E763D"/>
    <w:rsid w:val="004E79CA"/>
    <w:rsid w:val="004E7BAE"/>
    <w:rsid w:val="004F0185"/>
    <w:rsid w:val="004F02D1"/>
    <w:rsid w:val="004F0468"/>
    <w:rsid w:val="004F11A8"/>
    <w:rsid w:val="004F1288"/>
    <w:rsid w:val="004F181D"/>
    <w:rsid w:val="004F2078"/>
    <w:rsid w:val="004F2593"/>
    <w:rsid w:val="004F26C0"/>
    <w:rsid w:val="004F4496"/>
    <w:rsid w:val="004F471A"/>
    <w:rsid w:val="004F480D"/>
    <w:rsid w:val="004F5049"/>
    <w:rsid w:val="004F5127"/>
    <w:rsid w:val="004F51C0"/>
    <w:rsid w:val="004F521B"/>
    <w:rsid w:val="004F5223"/>
    <w:rsid w:val="004F531A"/>
    <w:rsid w:val="004F54FA"/>
    <w:rsid w:val="004F625E"/>
    <w:rsid w:val="004F6CDD"/>
    <w:rsid w:val="004F71C1"/>
    <w:rsid w:val="004F749F"/>
    <w:rsid w:val="004F77CA"/>
    <w:rsid w:val="004F7922"/>
    <w:rsid w:val="004F799D"/>
    <w:rsid w:val="004F7A2B"/>
    <w:rsid w:val="005000D9"/>
    <w:rsid w:val="005002C8"/>
    <w:rsid w:val="00500B67"/>
    <w:rsid w:val="005010B0"/>
    <w:rsid w:val="00501207"/>
    <w:rsid w:val="00501F52"/>
    <w:rsid w:val="0050317E"/>
    <w:rsid w:val="005031BC"/>
    <w:rsid w:val="005034E7"/>
    <w:rsid w:val="005043C1"/>
    <w:rsid w:val="00504759"/>
    <w:rsid w:val="00504C5C"/>
    <w:rsid w:val="00505124"/>
    <w:rsid w:val="005053ED"/>
    <w:rsid w:val="00505527"/>
    <w:rsid w:val="005063DC"/>
    <w:rsid w:val="00506AF0"/>
    <w:rsid w:val="00506BDF"/>
    <w:rsid w:val="00507379"/>
    <w:rsid w:val="0050762B"/>
    <w:rsid w:val="0050776C"/>
    <w:rsid w:val="0050785B"/>
    <w:rsid w:val="00507DAF"/>
    <w:rsid w:val="00507DB1"/>
    <w:rsid w:val="005100DE"/>
    <w:rsid w:val="0051112D"/>
    <w:rsid w:val="00511259"/>
    <w:rsid w:val="0051138D"/>
    <w:rsid w:val="005113FC"/>
    <w:rsid w:val="005126CF"/>
    <w:rsid w:val="005131B1"/>
    <w:rsid w:val="00514AEE"/>
    <w:rsid w:val="00514B53"/>
    <w:rsid w:val="00514BD7"/>
    <w:rsid w:val="00514D49"/>
    <w:rsid w:val="00514DC5"/>
    <w:rsid w:val="00515182"/>
    <w:rsid w:val="005155F7"/>
    <w:rsid w:val="00515C2F"/>
    <w:rsid w:val="00515EC0"/>
    <w:rsid w:val="005165F2"/>
    <w:rsid w:val="0051678C"/>
    <w:rsid w:val="00517067"/>
    <w:rsid w:val="00517D75"/>
    <w:rsid w:val="0052028A"/>
    <w:rsid w:val="005206A9"/>
    <w:rsid w:val="00520B25"/>
    <w:rsid w:val="00520CEB"/>
    <w:rsid w:val="00520FCD"/>
    <w:rsid w:val="00521110"/>
    <w:rsid w:val="00521AFE"/>
    <w:rsid w:val="00522494"/>
    <w:rsid w:val="00522997"/>
    <w:rsid w:val="00522FF5"/>
    <w:rsid w:val="005230E3"/>
    <w:rsid w:val="005234A2"/>
    <w:rsid w:val="005235EF"/>
    <w:rsid w:val="00523BEF"/>
    <w:rsid w:val="00523CCB"/>
    <w:rsid w:val="00524026"/>
    <w:rsid w:val="00524EFE"/>
    <w:rsid w:val="00525696"/>
    <w:rsid w:val="00525B55"/>
    <w:rsid w:val="00526365"/>
    <w:rsid w:val="0052639C"/>
    <w:rsid w:val="005265A9"/>
    <w:rsid w:val="00526B05"/>
    <w:rsid w:val="00527121"/>
    <w:rsid w:val="00530398"/>
    <w:rsid w:val="005307C7"/>
    <w:rsid w:val="00530DC5"/>
    <w:rsid w:val="0053106D"/>
    <w:rsid w:val="00531132"/>
    <w:rsid w:val="0053128D"/>
    <w:rsid w:val="005316DF"/>
    <w:rsid w:val="0053189F"/>
    <w:rsid w:val="00532210"/>
    <w:rsid w:val="005322AE"/>
    <w:rsid w:val="0053283A"/>
    <w:rsid w:val="00532AD8"/>
    <w:rsid w:val="00532CB3"/>
    <w:rsid w:val="00532DD3"/>
    <w:rsid w:val="00532F83"/>
    <w:rsid w:val="0053358C"/>
    <w:rsid w:val="00533658"/>
    <w:rsid w:val="00533771"/>
    <w:rsid w:val="005338C2"/>
    <w:rsid w:val="00533E57"/>
    <w:rsid w:val="00533E68"/>
    <w:rsid w:val="005345C0"/>
    <w:rsid w:val="00535595"/>
    <w:rsid w:val="00535965"/>
    <w:rsid w:val="00535E00"/>
    <w:rsid w:val="0053606A"/>
    <w:rsid w:val="0053613F"/>
    <w:rsid w:val="00536530"/>
    <w:rsid w:val="005366EA"/>
    <w:rsid w:val="00536A06"/>
    <w:rsid w:val="00537465"/>
    <w:rsid w:val="005376F3"/>
    <w:rsid w:val="005377FB"/>
    <w:rsid w:val="005403C7"/>
    <w:rsid w:val="00541970"/>
    <w:rsid w:val="00541ABC"/>
    <w:rsid w:val="0054258D"/>
    <w:rsid w:val="00542E0E"/>
    <w:rsid w:val="005431D4"/>
    <w:rsid w:val="005432F0"/>
    <w:rsid w:val="005434FF"/>
    <w:rsid w:val="00543582"/>
    <w:rsid w:val="005438BC"/>
    <w:rsid w:val="0054435B"/>
    <w:rsid w:val="0054445B"/>
    <w:rsid w:val="005449E2"/>
    <w:rsid w:val="00544C28"/>
    <w:rsid w:val="00544F53"/>
    <w:rsid w:val="0054524B"/>
    <w:rsid w:val="005452D4"/>
    <w:rsid w:val="00545D3C"/>
    <w:rsid w:val="0054645B"/>
    <w:rsid w:val="00546498"/>
    <w:rsid w:val="00547ADB"/>
    <w:rsid w:val="00550132"/>
    <w:rsid w:val="00550460"/>
    <w:rsid w:val="00550A58"/>
    <w:rsid w:val="00550A73"/>
    <w:rsid w:val="00550B10"/>
    <w:rsid w:val="00551345"/>
    <w:rsid w:val="00552B90"/>
    <w:rsid w:val="00552E44"/>
    <w:rsid w:val="00552F9D"/>
    <w:rsid w:val="0055322A"/>
    <w:rsid w:val="00553AA4"/>
    <w:rsid w:val="00553AB3"/>
    <w:rsid w:val="00553B44"/>
    <w:rsid w:val="00554B5F"/>
    <w:rsid w:val="005556D6"/>
    <w:rsid w:val="00555F4A"/>
    <w:rsid w:val="00556334"/>
    <w:rsid w:val="005569A9"/>
    <w:rsid w:val="00556F32"/>
    <w:rsid w:val="0055779A"/>
    <w:rsid w:val="005600B0"/>
    <w:rsid w:val="00560687"/>
    <w:rsid w:val="0056074F"/>
    <w:rsid w:val="005608C7"/>
    <w:rsid w:val="0056091D"/>
    <w:rsid w:val="00560CBD"/>
    <w:rsid w:val="00561406"/>
    <w:rsid w:val="005616A9"/>
    <w:rsid w:val="005618C1"/>
    <w:rsid w:val="00561E92"/>
    <w:rsid w:val="0056228B"/>
    <w:rsid w:val="00562303"/>
    <w:rsid w:val="005626B5"/>
    <w:rsid w:val="0056355E"/>
    <w:rsid w:val="00563561"/>
    <w:rsid w:val="00563B1A"/>
    <w:rsid w:val="0056429C"/>
    <w:rsid w:val="005646E2"/>
    <w:rsid w:val="005648BB"/>
    <w:rsid w:val="00564B59"/>
    <w:rsid w:val="00564C04"/>
    <w:rsid w:val="00564FC1"/>
    <w:rsid w:val="00565085"/>
    <w:rsid w:val="00565190"/>
    <w:rsid w:val="00565910"/>
    <w:rsid w:val="00565C9F"/>
    <w:rsid w:val="005663FB"/>
    <w:rsid w:val="00566481"/>
    <w:rsid w:val="00566552"/>
    <w:rsid w:val="0056678F"/>
    <w:rsid w:val="00566DEE"/>
    <w:rsid w:val="00567309"/>
    <w:rsid w:val="00567732"/>
    <w:rsid w:val="0056780C"/>
    <w:rsid w:val="00567977"/>
    <w:rsid w:val="00567AF9"/>
    <w:rsid w:val="00570543"/>
    <w:rsid w:val="0057080C"/>
    <w:rsid w:val="00570F02"/>
    <w:rsid w:val="0057107C"/>
    <w:rsid w:val="00571FDF"/>
    <w:rsid w:val="005733E7"/>
    <w:rsid w:val="005738EE"/>
    <w:rsid w:val="0057495B"/>
    <w:rsid w:val="00574DFB"/>
    <w:rsid w:val="00574E8E"/>
    <w:rsid w:val="00575511"/>
    <w:rsid w:val="00576183"/>
    <w:rsid w:val="00576C91"/>
    <w:rsid w:val="00576DC4"/>
    <w:rsid w:val="00577010"/>
    <w:rsid w:val="00577054"/>
    <w:rsid w:val="00577E27"/>
    <w:rsid w:val="00577E3B"/>
    <w:rsid w:val="00577FC7"/>
    <w:rsid w:val="005804D0"/>
    <w:rsid w:val="00580511"/>
    <w:rsid w:val="0058052B"/>
    <w:rsid w:val="005806A2"/>
    <w:rsid w:val="0058088F"/>
    <w:rsid w:val="0058099F"/>
    <w:rsid w:val="00580A21"/>
    <w:rsid w:val="00580B1A"/>
    <w:rsid w:val="00580E5F"/>
    <w:rsid w:val="00581203"/>
    <w:rsid w:val="00581496"/>
    <w:rsid w:val="00581CA6"/>
    <w:rsid w:val="005822D3"/>
    <w:rsid w:val="00582C0E"/>
    <w:rsid w:val="00582DDB"/>
    <w:rsid w:val="00583137"/>
    <w:rsid w:val="00583781"/>
    <w:rsid w:val="00583A08"/>
    <w:rsid w:val="00583F2A"/>
    <w:rsid w:val="00584423"/>
    <w:rsid w:val="005846F9"/>
    <w:rsid w:val="005847C3"/>
    <w:rsid w:val="00585029"/>
    <w:rsid w:val="00585810"/>
    <w:rsid w:val="00585CD2"/>
    <w:rsid w:val="00585EA3"/>
    <w:rsid w:val="005861FB"/>
    <w:rsid w:val="005862BF"/>
    <w:rsid w:val="0058652C"/>
    <w:rsid w:val="005868F1"/>
    <w:rsid w:val="00586A8E"/>
    <w:rsid w:val="005871CE"/>
    <w:rsid w:val="00587E68"/>
    <w:rsid w:val="00590C9B"/>
    <w:rsid w:val="005919ED"/>
    <w:rsid w:val="00591A4C"/>
    <w:rsid w:val="00591B99"/>
    <w:rsid w:val="0059263B"/>
    <w:rsid w:val="0059309E"/>
    <w:rsid w:val="005930ED"/>
    <w:rsid w:val="00593533"/>
    <w:rsid w:val="00593A48"/>
    <w:rsid w:val="00593B22"/>
    <w:rsid w:val="00593BA0"/>
    <w:rsid w:val="00593C84"/>
    <w:rsid w:val="00593FA3"/>
    <w:rsid w:val="00594382"/>
    <w:rsid w:val="00594720"/>
    <w:rsid w:val="00594B38"/>
    <w:rsid w:val="00595184"/>
    <w:rsid w:val="005952F7"/>
    <w:rsid w:val="005963CB"/>
    <w:rsid w:val="00596638"/>
    <w:rsid w:val="00597012"/>
    <w:rsid w:val="00597067"/>
    <w:rsid w:val="005972A9"/>
    <w:rsid w:val="00597463"/>
    <w:rsid w:val="00597D08"/>
    <w:rsid w:val="00597D6D"/>
    <w:rsid w:val="005A0103"/>
    <w:rsid w:val="005A0158"/>
    <w:rsid w:val="005A0490"/>
    <w:rsid w:val="005A04ED"/>
    <w:rsid w:val="005A0735"/>
    <w:rsid w:val="005A0784"/>
    <w:rsid w:val="005A0B85"/>
    <w:rsid w:val="005A11EB"/>
    <w:rsid w:val="005A1219"/>
    <w:rsid w:val="005A195B"/>
    <w:rsid w:val="005A2A9C"/>
    <w:rsid w:val="005A2D64"/>
    <w:rsid w:val="005A2D77"/>
    <w:rsid w:val="005A30A7"/>
    <w:rsid w:val="005A313F"/>
    <w:rsid w:val="005A339A"/>
    <w:rsid w:val="005A380C"/>
    <w:rsid w:val="005A3BBF"/>
    <w:rsid w:val="005A3C75"/>
    <w:rsid w:val="005A3E50"/>
    <w:rsid w:val="005A3E93"/>
    <w:rsid w:val="005A40D0"/>
    <w:rsid w:val="005A440B"/>
    <w:rsid w:val="005A4655"/>
    <w:rsid w:val="005A4A7A"/>
    <w:rsid w:val="005A4B0C"/>
    <w:rsid w:val="005A4F01"/>
    <w:rsid w:val="005A4FDA"/>
    <w:rsid w:val="005A5302"/>
    <w:rsid w:val="005A629E"/>
    <w:rsid w:val="005A6DA5"/>
    <w:rsid w:val="005A6F31"/>
    <w:rsid w:val="005A7171"/>
    <w:rsid w:val="005A7562"/>
    <w:rsid w:val="005A7FD5"/>
    <w:rsid w:val="005B0824"/>
    <w:rsid w:val="005B0A7D"/>
    <w:rsid w:val="005B2097"/>
    <w:rsid w:val="005B24C5"/>
    <w:rsid w:val="005B29E5"/>
    <w:rsid w:val="005B2F58"/>
    <w:rsid w:val="005B351A"/>
    <w:rsid w:val="005B3C18"/>
    <w:rsid w:val="005B3D10"/>
    <w:rsid w:val="005B3D83"/>
    <w:rsid w:val="005B41D7"/>
    <w:rsid w:val="005B4745"/>
    <w:rsid w:val="005B5767"/>
    <w:rsid w:val="005B6ACE"/>
    <w:rsid w:val="005B6D9D"/>
    <w:rsid w:val="005B6E5C"/>
    <w:rsid w:val="005B6FBB"/>
    <w:rsid w:val="005B6FC0"/>
    <w:rsid w:val="005B741E"/>
    <w:rsid w:val="005B7677"/>
    <w:rsid w:val="005B7D7C"/>
    <w:rsid w:val="005C01E7"/>
    <w:rsid w:val="005C0421"/>
    <w:rsid w:val="005C199C"/>
    <w:rsid w:val="005C28D5"/>
    <w:rsid w:val="005C2E0B"/>
    <w:rsid w:val="005C32C9"/>
    <w:rsid w:val="005C3941"/>
    <w:rsid w:val="005C3D14"/>
    <w:rsid w:val="005C3E15"/>
    <w:rsid w:val="005C444D"/>
    <w:rsid w:val="005C45DA"/>
    <w:rsid w:val="005C4694"/>
    <w:rsid w:val="005C4975"/>
    <w:rsid w:val="005C4B75"/>
    <w:rsid w:val="005C4D5E"/>
    <w:rsid w:val="005C4EFB"/>
    <w:rsid w:val="005C5071"/>
    <w:rsid w:val="005C51E1"/>
    <w:rsid w:val="005C5ADF"/>
    <w:rsid w:val="005C5B38"/>
    <w:rsid w:val="005C5D30"/>
    <w:rsid w:val="005C66E3"/>
    <w:rsid w:val="005C6E82"/>
    <w:rsid w:val="005C743C"/>
    <w:rsid w:val="005C74D7"/>
    <w:rsid w:val="005C79D4"/>
    <w:rsid w:val="005D073F"/>
    <w:rsid w:val="005D08AD"/>
    <w:rsid w:val="005D0FB6"/>
    <w:rsid w:val="005D13E6"/>
    <w:rsid w:val="005D179F"/>
    <w:rsid w:val="005D1A99"/>
    <w:rsid w:val="005D1D71"/>
    <w:rsid w:val="005D21E9"/>
    <w:rsid w:val="005D2237"/>
    <w:rsid w:val="005D2DC2"/>
    <w:rsid w:val="005D337B"/>
    <w:rsid w:val="005D34F6"/>
    <w:rsid w:val="005D3514"/>
    <w:rsid w:val="005D3A59"/>
    <w:rsid w:val="005D41F7"/>
    <w:rsid w:val="005D4898"/>
    <w:rsid w:val="005D49EA"/>
    <w:rsid w:val="005D4C5F"/>
    <w:rsid w:val="005D50AC"/>
    <w:rsid w:val="005D5A19"/>
    <w:rsid w:val="005D5BF2"/>
    <w:rsid w:val="005D6B23"/>
    <w:rsid w:val="005D72C3"/>
    <w:rsid w:val="005D78EE"/>
    <w:rsid w:val="005D7D95"/>
    <w:rsid w:val="005E0500"/>
    <w:rsid w:val="005E0739"/>
    <w:rsid w:val="005E120F"/>
    <w:rsid w:val="005E133E"/>
    <w:rsid w:val="005E1594"/>
    <w:rsid w:val="005E200F"/>
    <w:rsid w:val="005E22B4"/>
    <w:rsid w:val="005E2483"/>
    <w:rsid w:val="005E256A"/>
    <w:rsid w:val="005E2629"/>
    <w:rsid w:val="005E2801"/>
    <w:rsid w:val="005E2E96"/>
    <w:rsid w:val="005E3263"/>
    <w:rsid w:val="005E3409"/>
    <w:rsid w:val="005E3861"/>
    <w:rsid w:val="005E4522"/>
    <w:rsid w:val="005E47C4"/>
    <w:rsid w:val="005E4916"/>
    <w:rsid w:val="005E5E2C"/>
    <w:rsid w:val="005E5E3C"/>
    <w:rsid w:val="005E6200"/>
    <w:rsid w:val="005E6280"/>
    <w:rsid w:val="005E6640"/>
    <w:rsid w:val="005E69BD"/>
    <w:rsid w:val="005E6A98"/>
    <w:rsid w:val="005E7D2C"/>
    <w:rsid w:val="005F0050"/>
    <w:rsid w:val="005F03B9"/>
    <w:rsid w:val="005F0B07"/>
    <w:rsid w:val="005F0EEC"/>
    <w:rsid w:val="005F133D"/>
    <w:rsid w:val="005F186E"/>
    <w:rsid w:val="005F1E53"/>
    <w:rsid w:val="005F2185"/>
    <w:rsid w:val="005F2482"/>
    <w:rsid w:val="005F25D4"/>
    <w:rsid w:val="005F2898"/>
    <w:rsid w:val="005F2985"/>
    <w:rsid w:val="005F37D9"/>
    <w:rsid w:val="005F3AB2"/>
    <w:rsid w:val="005F3F7B"/>
    <w:rsid w:val="005F454E"/>
    <w:rsid w:val="005F475C"/>
    <w:rsid w:val="005F47A2"/>
    <w:rsid w:val="005F4875"/>
    <w:rsid w:val="005F4BFA"/>
    <w:rsid w:val="005F4D3D"/>
    <w:rsid w:val="005F4F80"/>
    <w:rsid w:val="005F5298"/>
    <w:rsid w:val="005F593E"/>
    <w:rsid w:val="005F6A9F"/>
    <w:rsid w:val="005F6C04"/>
    <w:rsid w:val="005F72C5"/>
    <w:rsid w:val="005F79CD"/>
    <w:rsid w:val="00600736"/>
    <w:rsid w:val="00601A25"/>
    <w:rsid w:val="00601FE0"/>
    <w:rsid w:val="00602197"/>
    <w:rsid w:val="0060346E"/>
    <w:rsid w:val="0060357D"/>
    <w:rsid w:val="00603724"/>
    <w:rsid w:val="006039B1"/>
    <w:rsid w:val="00603ACA"/>
    <w:rsid w:val="00603B09"/>
    <w:rsid w:val="00603CD7"/>
    <w:rsid w:val="00603F4B"/>
    <w:rsid w:val="00604A2F"/>
    <w:rsid w:val="0060504F"/>
    <w:rsid w:val="00605270"/>
    <w:rsid w:val="00606EF3"/>
    <w:rsid w:val="0060713F"/>
    <w:rsid w:val="006071BB"/>
    <w:rsid w:val="006075FB"/>
    <w:rsid w:val="00607824"/>
    <w:rsid w:val="00607A2B"/>
    <w:rsid w:val="00607DF0"/>
    <w:rsid w:val="00610580"/>
    <w:rsid w:val="006105E1"/>
    <w:rsid w:val="00611FB3"/>
    <w:rsid w:val="00611FE0"/>
    <w:rsid w:val="00612D4B"/>
    <w:rsid w:val="0061303E"/>
    <w:rsid w:val="006131F7"/>
    <w:rsid w:val="00613236"/>
    <w:rsid w:val="006133DE"/>
    <w:rsid w:val="00613415"/>
    <w:rsid w:val="00613F98"/>
    <w:rsid w:val="00614A92"/>
    <w:rsid w:val="00614AF0"/>
    <w:rsid w:val="00614B58"/>
    <w:rsid w:val="00614E17"/>
    <w:rsid w:val="006150E3"/>
    <w:rsid w:val="0061515E"/>
    <w:rsid w:val="00615365"/>
    <w:rsid w:val="00615798"/>
    <w:rsid w:val="00615F80"/>
    <w:rsid w:val="0061669B"/>
    <w:rsid w:val="006166EA"/>
    <w:rsid w:val="00616708"/>
    <w:rsid w:val="00616F8C"/>
    <w:rsid w:val="0061766F"/>
    <w:rsid w:val="00617BB8"/>
    <w:rsid w:val="00620175"/>
    <w:rsid w:val="0062034A"/>
    <w:rsid w:val="00621EF3"/>
    <w:rsid w:val="0062209A"/>
    <w:rsid w:val="00622358"/>
    <w:rsid w:val="006225C0"/>
    <w:rsid w:val="0062273E"/>
    <w:rsid w:val="00622AE8"/>
    <w:rsid w:val="006231E7"/>
    <w:rsid w:val="0062385B"/>
    <w:rsid w:val="0062490D"/>
    <w:rsid w:val="00625454"/>
    <w:rsid w:val="006257B8"/>
    <w:rsid w:val="00625962"/>
    <w:rsid w:val="00625AB9"/>
    <w:rsid w:val="00626420"/>
    <w:rsid w:val="006264F3"/>
    <w:rsid w:val="006265B0"/>
    <w:rsid w:val="00626785"/>
    <w:rsid w:val="006271B0"/>
    <w:rsid w:val="00627D32"/>
    <w:rsid w:val="00627F0E"/>
    <w:rsid w:val="006306CA"/>
    <w:rsid w:val="00630FFC"/>
    <w:rsid w:val="00631630"/>
    <w:rsid w:val="00631BA6"/>
    <w:rsid w:val="00631F35"/>
    <w:rsid w:val="006331A5"/>
    <w:rsid w:val="006331F2"/>
    <w:rsid w:val="0063337D"/>
    <w:rsid w:val="0063392D"/>
    <w:rsid w:val="00633981"/>
    <w:rsid w:val="00634547"/>
    <w:rsid w:val="00634561"/>
    <w:rsid w:val="006359E3"/>
    <w:rsid w:val="00635BD7"/>
    <w:rsid w:val="00635C0D"/>
    <w:rsid w:val="00635C77"/>
    <w:rsid w:val="00635C98"/>
    <w:rsid w:val="00636310"/>
    <w:rsid w:val="006368EE"/>
    <w:rsid w:val="00636915"/>
    <w:rsid w:val="00636DF5"/>
    <w:rsid w:val="006372C1"/>
    <w:rsid w:val="00637A59"/>
    <w:rsid w:val="00637CA5"/>
    <w:rsid w:val="00641BF3"/>
    <w:rsid w:val="00642626"/>
    <w:rsid w:val="00642A50"/>
    <w:rsid w:val="00642DB3"/>
    <w:rsid w:val="00643016"/>
    <w:rsid w:val="0064313F"/>
    <w:rsid w:val="00644792"/>
    <w:rsid w:val="006447D8"/>
    <w:rsid w:val="006447DA"/>
    <w:rsid w:val="00644A7E"/>
    <w:rsid w:val="00647934"/>
    <w:rsid w:val="00647E17"/>
    <w:rsid w:val="00647E1F"/>
    <w:rsid w:val="00647EA5"/>
    <w:rsid w:val="0065096A"/>
    <w:rsid w:val="00650A6C"/>
    <w:rsid w:val="00650E1C"/>
    <w:rsid w:val="00650EAC"/>
    <w:rsid w:val="006514F8"/>
    <w:rsid w:val="00651748"/>
    <w:rsid w:val="006521F6"/>
    <w:rsid w:val="00652BFD"/>
    <w:rsid w:val="00652D67"/>
    <w:rsid w:val="00652E3F"/>
    <w:rsid w:val="006532FB"/>
    <w:rsid w:val="00653BAD"/>
    <w:rsid w:val="00653EAE"/>
    <w:rsid w:val="00654007"/>
    <w:rsid w:val="00654D2A"/>
    <w:rsid w:val="00655315"/>
    <w:rsid w:val="006556C5"/>
    <w:rsid w:val="006556D1"/>
    <w:rsid w:val="00655CE1"/>
    <w:rsid w:val="0065601D"/>
    <w:rsid w:val="00656558"/>
    <w:rsid w:val="00656681"/>
    <w:rsid w:val="00656A1E"/>
    <w:rsid w:val="00656B3C"/>
    <w:rsid w:val="00656F33"/>
    <w:rsid w:val="00657164"/>
    <w:rsid w:val="00657911"/>
    <w:rsid w:val="00660072"/>
    <w:rsid w:val="006601B2"/>
    <w:rsid w:val="006602EF"/>
    <w:rsid w:val="00660911"/>
    <w:rsid w:val="0066096B"/>
    <w:rsid w:val="00660B72"/>
    <w:rsid w:val="00660CA6"/>
    <w:rsid w:val="006613D2"/>
    <w:rsid w:val="0066176A"/>
    <w:rsid w:val="00661FEE"/>
    <w:rsid w:val="006628EC"/>
    <w:rsid w:val="00662B91"/>
    <w:rsid w:val="00663218"/>
    <w:rsid w:val="00663524"/>
    <w:rsid w:val="00663EAC"/>
    <w:rsid w:val="006643F6"/>
    <w:rsid w:val="0066461A"/>
    <w:rsid w:val="00664717"/>
    <w:rsid w:val="00664AD8"/>
    <w:rsid w:val="00664BFA"/>
    <w:rsid w:val="00664C21"/>
    <w:rsid w:val="00664ED8"/>
    <w:rsid w:val="00664F19"/>
    <w:rsid w:val="00664FDA"/>
    <w:rsid w:val="006650AF"/>
    <w:rsid w:val="006652DD"/>
    <w:rsid w:val="00665807"/>
    <w:rsid w:val="00665C84"/>
    <w:rsid w:val="006668E7"/>
    <w:rsid w:val="006677CF"/>
    <w:rsid w:val="006703C4"/>
    <w:rsid w:val="0067091F"/>
    <w:rsid w:val="00670AA3"/>
    <w:rsid w:val="0067141D"/>
    <w:rsid w:val="00671EBC"/>
    <w:rsid w:val="00672F08"/>
    <w:rsid w:val="006733A6"/>
    <w:rsid w:val="00673C06"/>
    <w:rsid w:val="00673DD9"/>
    <w:rsid w:val="006743CF"/>
    <w:rsid w:val="00674864"/>
    <w:rsid w:val="00674A1E"/>
    <w:rsid w:val="00675AAE"/>
    <w:rsid w:val="00675C2C"/>
    <w:rsid w:val="006760AB"/>
    <w:rsid w:val="006761FB"/>
    <w:rsid w:val="0067625D"/>
    <w:rsid w:val="006763F4"/>
    <w:rsid w:val="00676855"/>
    <w:rsid w:val="00676A6A"/>
    <w:rsid w:val="0067702E"/>
    <w:rsid w:val="00677FA6"/>
    <w:rsid w:val="00680672"/>
    <w:rsid w:val="00680876"/>
    <w:rsid w:val="00680C91"/>
    <w:rsid w:val="0068117C"/>
    <w:rsid w:val="00681455"/>
    <w:rsid w:val="00681589"/>
    <w:rsid w:val="00681A5C"/>
    <w:rsid w:val="006829D1"/>
    <w:rsid w:val="00682C1C"/>
    <w:rsid w:val="0068359D"/>
    <w:rsid w:val="006836C4"/>
    <w:rsid w:val="00683720"/>
    <w:rsid w:val="00684481"/>
    <w:rsid w:val="006847FA"/>
    <w:rsid w:val="00685036"/>
    <w:rsid w:val="00685440"/>
    <w:rsid w:val="00685B70"/>
    <w:rsid w:val="00685C69"/>
    <w:rsid w:val="00686075"/>
    <w:rsid w:val="00686B46"/>
    <w:rsid w:val="006871DF"/>
    <w:rsid w:val="006877A6"/>
    <w:rsid w:val="00687A3B"/>
    <w:rsid w:val="006908F5"/>
    <w:rsid w:val="00690DDC"/>
    <w:rsid w:val="00690FE4"/>
    <w:rsid w:val="006911B2"/>
    <w:rsid w:val="006913B5"/>
    <w:rsid w:val="0069142C"/>
    <w:rsid w:val="00691617"/>
    <w:rsid w:val="0069165B"/>
    <w:rsid w:val="006916CB"/>
    <w:rsid w:val="00691D41"/>
    <w:rsid w:val="006921C3"/>
    <w:rsid w:val="00692FA3"/>
    <w:rsid w:val="006931DD"/>
    <w:rsid w:val="00693846"/>
    <w:rsid w:val="00693C43"/>
    <w:rsid w:val="00693CBE"/>
    <w:rsid w:val="00694692"/>
    <w:rsid w:val="00694AA4"/>
    <w:rsid w:val="00695873"/>
    <w:rsid w:val="006958AB"/>
    <w:rsid w:val="00695B71"/>
    <w:rsid w:val="00695C4E"/>
    <w:rsid w:val="00695D67"/>
    <w:rsid w:val="00695FD5"/>
    <w:rsid w:val="00696010"/>
    <w:rsid w:val="00697011"/>
    <w:rsid w:val="0069704D"/>
    <w:rsid w:val="006A0BAF"/>
    <w:rsid w:val="006A0D73"/>
    <w:rsid w:val="006A12D2"/>
    <w:rsid w:val="006A14FB"/>
    <w:rsid w:val="006A1864"/>
    <w:rsid w:val="006A1E1A"/>
    <w:rsid w:val="006A3B77"/>
    <w:rsid w:val="006A3B99"/>
    <w:rsid w:val="006A3BC1"/>
    <w:rsid w:val="006A3FD9"/>
    <w:rsid w:val="006A5409"/>
    <w:rsid w:val="006A5DB6"/>
    <w:rsid w:val="006A6A06"/>
    <w:rsid w:val="006A72E2"/>
    <w:rsid w:val="006A7483"/>
    <w:rsid w:val="006A74E0"/>
    <w:rsid w:val="006A7678"/>
    <w:rsid w:val="006A7945"/>
    <w:rsid w:val="006A79F4"/>
    <w:rsid w:val="006A7F7B"/>
    <w:rsid w:val="006B063E"/>
    <w:rsid w:val="006B11D9"/>
    <w:rsid w:val="006B15CA"/>
    <w:rsid w:val="006B195E"/>
    <w:rsid w:val="006B25FE"/>
    <w:rsid w:val="006B27C9"/>
    <w:rsid w:val="006B372E"/>
    <w:rsid w:val="006B3C0A"/>
    <w:rsid w:val="006B3D38"/>
    <w:rsid w:val="006B3DEC"/>
    <w:rsid w:val="006B4157"/>
    <w:rsid w:val="006B44C5"/>
    <w:rsid w:val="006B499A"/>
    <w:rsid w:val="006B55F2"/>
    <w:rsid w:val="006B5782"/>
    <w:rsid w:val="006B5B8C"/>
    <w:rsid w:val="006B602A"/>
    <w:rsid w:val="006B7320"/>
    <w:rsid w:val="006B7DEE"/>
    <w:rsid w:val="006C0693"/>
    <w:rsid w:val="006C095B"/>
    <w:rsid w:val="006C09B4"/>
    <w:rsid w:val="006C0A38"/>
    <w:rsid w:val="006C0E00"/>
    <w:rsid w:val="006C1AA4"/>
    <w:rsid w:val="006C204A"/>
    <w:rsid w:val="006C2480"/>
    <w:rsid w:val="006C3291"/>
    <w:rsid w:val="006C346F"/>
    <w:rsid w:val="006C3622"/>
    <w:rsid w:val="006C3EFD"/>
    <w:rsid w:val="006C4332"/>
    <w:rsid w:val="006C4591"/>
    <w:rsid w:val="006C5AD5"/>
    <w:rsid w:val="006C60B4"/>
    <w:rsid w:val="006C622A"/>
    <w:rsid w:val="006C63C9"/>
    <w:rsid w:val="006C6AD1"/>
    <w:rsid w:val="006C6D56"/>
    <w:rsid w:val="006C7190"/>
    <w:rsid w:val="006C71A0"/>
    <w:rsid w:val="006C734F"/>
    <w:rsid w:val="006C7588"/>
    <w:rsid w:val="006C7A83"/>
    <w:rsid w:val="006C7C53"/>
    <w:rsid w:val="006C7E8B"/>
    <w:rsid w:val="006D11A6"/>
    <w:rsid w:val="006D2612"/>
    <w:rsid w:val="006D2947"/>
    <w:rsid w:val="006D2B3C"/>
    <w:rsid w:val="006D2E6E"/>
    <w:rsid w:val="006D4087"/>
    <w:rsid w:val="006D433C"/>
    <w:rsid w:val="006D4ADD"/>
    <w:rsid w:val="006D4B1A"/>
    <w:rsid w:val="006D5B74"/>
    <w:rsid w:val="006D6AE4"/>
    <w:rsid w:val="006D6DC5"/>
    <w:rsid w:val="006D6FDF"/>
    <w:rsid w:val="006D72B0"/>
    <w:rsid w:val="006D74EC"/>
    <w:rsid w:val="006D7893"/>
    <w:rsid w:val="006D7B16"/>
    <w:rsid w:val="006D7C3A"/>
    <w:rsid w:val="006D7EFC"/>
    <w:rsid w:val="006E029A"/>
    <w:rsid w:val="006E0B5E"/>
    <w:rsid w:val="006E0DF0"/>
    <w:rsid w:val="006E0E22"/>
    <w:rsid w:val="006E1459"/>
    <w:rsid w:val="006E18D9"/>
    <w:rsid w:val="006E1B2D"/>
    <w:rsid w:val="006E1D7F"/>
    <w:rsid w:val="006E2DE2"/>
    <w:rsid w:val="006E5DB0"/>
    <w:rsid w:val="006E6D79"/>
    <w:rsid w:val="006E6E16"/>
    <w:rsid w:val="006E6F65"/>
    <w:rsid w:val="006E763F"/>
    <w:rsid w:val="006E7736"/>
    <w:rsid w:val="006E797F"/>
    <w:rsid w:val="006F02AB"/>
    <w:rsid w:val="006F05DE"/>
    <w:rsid w:val="006F0BA9"/>
    <w:rsid w:val="006F0DD0"/>
    <w:rsid w:val="006F1C30"/>
    <w:rsid w:val="006F1FF1"/>
    <w:rsid w:val="006F2291"/>
    <w:rsid w:val="006F2CE1"/>
    <w:rsid w:val="006F5062"/>
    <w:rsid w:val="006F5122"/>
    <w:rsid w:val="006F547C"/>
    <w:rsid w:val="006F5F01"/>
    <w:rsid w:val="006F6BAF"/>
    <w:rsid w:val="006F714C"/>
    <w:rsid w:val="006F783B"/>
    <w:rsid w:val="006F7AE3"/>
    <w:rsid w:val="006F7E31"/>
    <w:rsid w:val="00700EAF"/>
    <w:rsid w:val="0070101F"/>
    <w:rsid w:val="00701CB5"/>
    <w:rsid w:val="007020D6"/>
    <w:rsid w:val="007022B7"/>
    <w:rsid w:val="007027A6"/>
    <w:rsid w:val="00702EFD"/>
    <w:rsid w:val="0070301A"/>
    <w:rsid w:val="0070336F"/>
    <w:rsid w:val="00703477"/>
    <w:rsid w:val="00703868"/>
    <w:rsid w:val="00703CB6"/>
    <w:rsid w:val="0070481B"/>
    <w:rsid w:val="007049E3"/>
    <w:rsid w:val="00704FD0"/>
    <w:rsid w:val="007055D5"/>
    <w:rsid w:val="00705E71"/>
    <w:rsid w:val="00706217"/>
    <w:rsid w:val="00706AFF"/>
    <w:rsid w:val="007073D8"/>
    <w:rsid w:val="007074D7"/>
    <w:rsid w:val="0070770D"/>
    <w:rsid w:val="0070790B"/>
    <w:rsid w:val="00707B48"/>
    <w:rsid w:val="00707D2E"/>
    <w:rsid w:val="00707DAF"/>
    <w:rsid w:val="00710B4C"/>
    <w:rsid w:val="007114A6"/>
    <w:rsid w:val="007119B1"/>
    <w:rsid w:val="00711B5B"/>
    <w:rsid w:val="00711B8A"/>
    <w:rsid w:val="007126A4"/>
    <w:rsid w:val="00713445"/>
    <w:rsid w:val="0071393C"/>
    <w:rsid w:val="00713943"/>
    <w:rsid w:val="00713C2D"/>
    <w:rsid w:val="007140E5"/>
    <w:rsid w:val="007142B4"/>
    <w:rsid w:val="00714373"/>
    <w:rsid w:val="00714764"/>
    <w:rsid w:val="00714A15"/>
    <w:rsid w:val="00714DFC"/>
    <w:rsid w:val="0071506C"/>
    <w:rsid w:val="00715113"/>
    <w:rsid w:val="007152B5"/>
    <w:rsid w:val="00715403"/>
    <w:rsid w:val="00715FA3"/>
    <w:rsid w:val="00716019"/>
    <w:rsid w:val="007160B0"/>
    <w:rsid w:val="00716F2F"/>
    <w:rsid w:val="00717329"/>
    <w:rsid w:val="00717E3E"/>
    <w:rsid w:val="007200F2"/>
    <w:rsid w:val="007202A3"/>
    <w:rsid w:val="00720914"/>
    <w:rsid w:val="00720D24"/>
    <w:rsid w:val="00720F26"/>
    <w:rsid w:val="007216CB"/>
    <w:rsid w:val="00721724"/>
    <w:rsid w:val="00721B09"/>
    <w:rsid w:val="00723610"/>
    <w:rsid w:val="00723D95"/>
    <w:rsid w:val="007248F0"/>
    <w:rsid w:val="00724A98"/>
    <w:rsid w:val="0072509F"/>
    <w:rsid w:val="00725398"/>
    <w:rsid w:val="00725717"/>
    <w:rsid w:val="00725CA4"/>
    <w:rsid w:val="007261F0"/>
    <w:rsid w:val="0072662E"/>
    <w:rsid w:val="00727788"/>
    <w:rsid w:val="00727BAA"/>
    <w:rsid w:val="00727C9C"/>
    <w:rsid w:val="00727D4C"/>
    <w:rsid w:val="00727E0F"/>
    <w:rsid w:val="007302FF"/>
    <w:rsid w:val="00731016"/>
    <w:rsid w:val="0073127C"/>
    <w:rsid w:val="007315BC"/>
    <w:rsid w:val="00731728"/>
    <w:rsid w:val="00733E3D"/>
    <w:rsid w:val="00734069"/>
    <w:rsid w:val="007340A6"/>
    <w:rsid w:val="0073446D"/>
    <w:rsid w:val="00735130"/>
    <w:rsid w:val="0073528F"/>
    <w:rsid w:val="00735469"/>
    <w:rsid w:val="00736315"/>
    <w:rsid w:val="0073641D"/>
    <w:rsid w:val="00736AAA"/>
    <w:rsid w:val="00740157"/>
    <w:rsid w:val="00740A16"/>
    <w:rsid w:val="0074126C"/>
    <w:rsid w:val="007416EB"/>
    <w:rsid w:val="007418F8"/>
    <w:rsid w:val="00742ADD"/>
    <w:rsid w:val="00742FA1"/>
    <w:rsid w:val="00742FA7"/>
    <w:rsid w:val="007435E6"/>
    <w:rsid w:val="00743815"/>
    <w:rsid w:val="00743CB4"/>
    <w:rsid w:val="00743E35"/>
    <w:rsid w:val="00743E8A"/>
    <w:rsid w:val="00743FD8"/>
    <w:rsid w:val="007454B7"/>
    <w:rsid w:val="0074617E"/>
    <w:rsid w:val="00746317"/>
    <w:rsid w:val="0074642F"/>
    <w:rsid w:val="00746688"/>
    <w:rsid w:val="00746A49"/>
    <w:rsid w:val="00747056"/>
    <w:rsid w:val="007472BC"/>
    <w:rsid w:val="0074794D"/>
    <w:rsid w:val="00747B0B"/>
    <w:rsid w:val="00747D40"/>
    <w:rsid w:val="00747F51"/>
    <w:rsid w:val="007504CE"/>
    <w:rsid w:val="007509F5"/>
    <w:rsid w:val="0075146B"/>
    <w:rsid w:val="007518A3"/>
    <w:rsid w:val="00751D40"/>
    <w:rsid w:val="0075257B"/>
    <w:rsid w:val="007526F6"/>
    <w:rsid w:val="00752F54"/>
    <w:rsid w:val="00753006"/>
    <w:rsid w:val="007538CF"/>
    <w:rsid w:val="00753C01"/>
    <w:rsid w:val="0075426D"/>
    <w:rsid w:val="00754313"/>
    <w:rsid w:val="00754483"/>
    <w:rsid w:val="007546D5"/>
    <w:rsid w:val="0075496B"/>
    <w:rsid w:val="007557B3"/>
    <w:rsid w:val="00756C99"/>
    <w:rsid w:val="0075748E"/>
    <w:rsid w:val="0075768A"/>
    <w:rsid w:val="0075779F"/>
    <w:rsid w:val="00757E12"/>
    <w:rsid w:val="00757F0E"/>
    <w:rsid w:val="00760345"/>
    <w:rsid w:val="007603C5"/>
    <w:rsid w:val="00760C80"/>
    <w:rsid w:val="00760D6C"/>
    <w:rsid w:val="00761255"/>
    <w:rsid w:val="007614F2"/>
    <w:rsid w:val="00761C39"/>
    <w:rsid w:val="0076279E"/>
    <w:rsid w:val="00762AFF"/>
    <w:rsid w:val="0076366E"/>
    <w:rsid w:val="00763A73"/>
    <w:rsid w:val="007644EC"/>
    <w:rsid w:val="0076458E"/>
    <w:rsid w:val="007646F8"/>
    <w:rsid w:val="007647C0"/>
    <w:rsid w:val="007651BA"/>
    <w:rsid w:val="0076558E"/>
    <w:rsid w:val="007656AD"/>
    <w:rsid w:val="00765F85"/>
    <w:rsid w:val="0076626B"/>
    <w:rsid w:val="00766ADB"/>
    <w:rsid w:val="00766FFE"/>
    <w:rsid w:val="0076713C"/>
    <w:rsid w:val="0076751E"/>
    <w:rsid w:val="00767A41"/>
    <w:rsid w:val="00767EA0"/>
    <w:rsid w:val="00767F3A"/>
    <w:rsid w:val="00770A38"/>
    <w:rsid w:val="00770C53"/>
    <w:rsid w:val="00772432"/>
    <w:rsid w:val="00772A3E"/>
    <w:rsid w:val="007730CA"/>
    <w:rsid w:val="00773546"/>
    <w:rsid w:val="0077355C"/>
    <w:rsid w:val="00773916"/>
    <w:rsid w:val="00773CA9"/>
    <w:rsid w:val="00773DAB"/>
    <w:rsid w:val="007742A2"/>
    <w:rsid w:val="0077439D"/>
    <w:rsid w:val="007745E6"/>
    <w:rsid w:val="00774737"/>
    <w:rsid w:val="0077524D"/>
    <w:rsid w:val="00775B22"/>
    <w:rsid w:val="00776549"/>
    <w:rsid w:val="007765EC"/>
    <w:rsid w:val="007768A8"/>
    <w:rsid w:val="0077708A"/>
    <w:rsid w:val="00780489"/>
    <w:rsid w:val="00780C35"/>
    <w:rsid w:val="00780F32"/>
    <w:rsid w:val="00780FBC"/>
    <w:rsid w:val="007818C6"/>
    <w:rsid w:val="00781A13"/>
    <w:rsid w:val="00782081"/>
    <w:rsid w:val="00782873"/>
    <w:rsid w:val="00782AB6"/>
    <w:rsid w:val="00782B28"/>
    <w:rsid w:val="00782F61"/>
    <w:rsid w:val="00783326"/>
    <w:rsid w:val="00783C28"/>
    <w:rsid w:val="00784410"/>
    <w:rsid w:val="007844E9"/>
    <w:rsid w:val="00784A1F"/>
    <w:rsid w:val="00784A64"/>
    <w:rsid w:val="00785501"/>
    <w:rsid w:val="007856D7"/>
    <w:rsid w:val="00785B49"/>
    <w:rsid w:val="007866AE"/>
    <w:rsid w:val="00786AD5"/>
    <w:rsid w:val="00786CBD"/>
    <w:rsid w:val="007870BD"/>
    <w:rsid w:val="00787323"/>
    <w:rsid w:val="00787B2B"/>
    <w:rsid w:val="007902B2"/>
    <w:rsid w:val="00790594"/>
    <w:rsid w:val="0079068F"/>
    <w:rsid w:val="00790AF4"/>
    <w:rsid w:val="00791AF1"/>
    <w:rsid w:val="00791E30"/>
    <w:rsid w:val="00791F29"/>
    <w:rsid w:val="00792070"/>
    <w:rsid w:val="0079258A"/>
    <w:rsid w:val="00792B5A"/>
    <w:rsid w:val="007931A5"/>
    <w:rsid w:val="00793A2F"/>
    <w:rsid w:val="00794612"/>
    <w:rsid w:val="00794EF5"/>
    <w:rsid w:val="007957AC"/>
    <w:rsid w:val="00795A90"/>
    <w:rsid w:val="0079606B"/>
    <w:rsid w:val="007966E2"/>
    <w:rsid w:val="0079709D"/>
    <w:rsid w:val="00797136"/>
    <w:rsid w:val="007974BB"/>
    <w:rsid w:val="007A04FB"/>
    <w:rsid w:val="007A1001"/>
    <w:rsid w:val="007A17C3"/>
    <w:rsid w:val="007A19DB"/>
    <w:rsid w:val="007A1A80"/>
    <w:rsid w:val="007A22CE"/>
    <w:rsid w:val="007A25DA"/>
    <w:rsid w:val="007A29B2"/>
    <w:rsid w:val="007A2A0E"/>
    <w:rsid w:val="007A30C3"/>
    <w:rsid w:val="007A3126"/>
    <w:rsid w:val="007A3754"/>
    <w:rsid w:val="007A3B58"/>
    <w:rsid w:val="007A3DB6"/>
    <w:rsid w:val="007A3EC5"/>
    <w:rsid w:val="007A478A"/>
    <w:rsid w:val="007A493F"/>
    <w:rsid w:val="007A4D87"/>
    <w:rsid w:val="007A5975"/>
    <w:rsid w:val="007A5DE0"/>
    <w:rsid w:val="007A6667"/>
    <w:rsid w:val="007A6846"/>
    <w:rsid w:val="007A7406"/>
    <w:rsid w:val="007A7431"/>
    <w:rsid w:val="007B0308"/>
    <w:rsid w:val="007B091E"/>
    <w:rsid w:val="007B095D"/>
    <w:rsid w:val="007B13D3"/>
    <w:rsid w:val="007B1813"/>
    <w:rsid w:val="007B1DBA"/>
    <w:rsid w:val="007B2497"/>
    <w:rsid w:val="007B2E03"/>
    <w:rsid w:val="007B2FCC"/>
    <w:rsid w:val="007B30E4"/>
    <w:rsid w:val="007B4253"/>
    <w:rsid w:val="007B445F"/>
    <w:rsid w:val="007B4726"/>
    <w:rsid w:val="007B5B07"/>
    <w:rsid w:val="007B5C65"/>
    <w:rsid w:val="007B5E26"/>
    <w:rsid w:val="007B622F"/>
    <w:rsid w:val="007B6C47"/>
    <w:rsid w:val="007B6DA7"/>
    <w:rsid w:val="007B70E9"/>
    <w:rsid w:val="007C0DAA"/>
    <w:rsid w:val="007C0FF5"/>
    <w:rsid w:val="007C12AE"/>
    <w:rsid w:val="007C17E7"/>
    <w:rsid w:val="007C1943"/>
    <w:rsid w:val="007C1A5C"/>
    <w:rsid w:val="007C1DDC"/>
    <w:rsid w:val="007C2142"/>
    <w:rsid w:val="007C2425"/>
    <w:rsid w:val="007C2A42"/>
    <w:rsid w:val="007C2DCC"/>
    <w:rsid w:val="007C2E47"/>
    <w:rsid w:val="007C315C"/>
    <w:rsid w:val="007C3414"/>
    <w:rsid w:val="007C35BD"/>
    <w:rsid w:val="007C3889"/>
    <w:rsid w:val="007C425E"/>
    <w:rsid w:val="007C4587"/>
    <w:rsid w:val="007C4879"/>
    <w:rsid w:val="007C4929"/>
    <w:rsid w:val="007C4F05"/>
    <w:rsid w:val="007C5E8B"/>
    <w:rsid w:val="007C7CF1"/>
    <w:rsid w:val="007D0514"/>
    <w:rsid w:val="007D0804"/>
    <w:rsid w:val="007D0CE4"/>
    <w:rsid w:val="007D0EE8"/>
    <w:rsid w:val="007D110B"/>
    <w:rsid w:val="007D13F4"/>
    <w:rsid w:val="007D14E8"/>
    <w:rsid w:val="007D26A5"/>
    <w:rsid w:val="007D2E71"/>
    <w:rsid w:val="007D3152"/>
    <w:rsid w:val="007D3512"/>
    <w:rsid w:val="007D426B"/>
    <w:rsid w:val="007D467A"/>
    <w:rsid w:val="007D4D35"/>
    <w:rsid w:val="007D51FD"/>
    <w:rsid w:val="007D5967"/>
    <w:rsid w:val="007D5B28"/>
    <w:rsid w:val="007D5B96"/>
    <w:rsid w:val="007D63A3"/>
    <w:rsid w:val="007D69F1"/>
    <w:rsid w:val="007D7312"/>
    <w:rsid w:val="007D7C00"/>
    <w:rsid w:val="007E038D"/>
    <w:rsid w:val="007E04C5"/>
    <w:rsid w:val="007E06A2"/>
    <w:rsid w:val="007E0B3F"/>
    <w:rsid w:val="007E189C"/>
    <w:rsid w:val="007E1D3A"/>
    <w:rsid w:val="007E1E1D"/>
    <w:rsid w:val="007E2D69"/>
    <w:rsid w:val="007E388E"/>
    <w:rsid w:val="007E51E2"/>
    <w:rsid w:val="007E6384"/>
    <w:rsid w:val="007E6F2A"/>
    <w:rsid w:val="007E6FC6"/>
    <w:rsid w:val="007E7257"/>
    <w:rsid w:val="007E7CD3"/>
    <w:rsid w:val="007F0388"/>
    <w:rsid w:val="007F056B"/>
    <w:rsid w:val="007F09F7"/>
    <w:rsid w:val="007F0ADC"/>
    <w:rsid w:val="007F0FF6"/>
    <w:rsid w:val="007F1146"/>
    <w:rsid w:val="007F120F"/>
    <w:rsid w:val="007F154E"/>
    <w:rsid w:val="007F1704"/>
    <w:rsid w:val="007F184C"/>
    <w:rsid w:val="007F1CFC"/>
    <w:rsid w:val="007F2419"/>
    <w:rsid w:val="007F2503"/>
    <w:rsid w:val="007F29B3"/>
    <w:rsid w:val="007F375A"/>
    <w:rsid w:val="007F445F"/>
    <w:rsid w:val="007F4520"/>
    <w:rsid w:val="007F47B0"/>
    <w:rsid w:val="007F48AC"/>
    <w:rsid w:val="007F4B61"/>
    <w:rsid w:val="007F4C16"/>
    <w:rsid w:val="007F4E3E"/>
    <w:rsid w:val="007F52AC"/>
    <w:rsid w:val="007F56F4"/>
    <w:rsid w:val="007F58B5"/>
    <w:rsid w:val="007F61A3"/>
    <w:rsid w:val="007F66AA"/>
    <w:rsid w:val="007F66F9"/>
    <w:rsid w:val="007F67BA"/>
    <w:rsid w:val="007F681F"/>
    <w:rsid w:val="007F684C"/>
    <w:rsid w:val="007F68BE"/>
    <w:rsid w:val="007F6F47"/>
    <w:rsid w:val="007F6F84"/>
    <w:rsid w:val="007F713C"/>
    <w:rsid w:val="007F7291"/>
    <w:rsid w:val="007F7733"/>
    <w:rsid w:val="007F7B05"/>
    <w:rsid w:val="00800288"/>
    <w:rsid w:val="0080113E"/>
    <w:rsid w:val="0080144E"/>
    <w:rsid w:val="00801716"/>
    <w:rsid w:val="00801AF0"/>
    <w:rsid w:val="00802588"/>
    <w:rsid w:val="008025BA"/>
    <w:rsid w:val="00802675"/>
    <w:rsid w:val="00803018"/>
    <w:rsid w:val="00803388"/>
    <w:rsid w:val="00805160"/>
    <w:rsid w:val="00805FEA"/>
    <w:rsid w:val="008066E4"/>
    <w:rsid w:val="00806942"/>
    <w:rsid w:val="00806FBC"/>
    <w:rsid w:val="00807302"/>
    <w:rsid w:val="00807913"/>
    <w:rsid w:val="0080793B"/>
    <w:rsid w:val="00807CEE"/>
    <w:rsid w:val="00810E95"/>
    <w:rsid w:val="00810F5A"/>
    <w:rsid w:val="00811664"/>
    <w:rsid w:val="0081177C"/>
    <w:rsid w:val="00812D40"/>
    <w:rsid w:val="00812D75"/>
    <w:rsid w:val="008132CA"/>
    <w:rsid w:val="008138B8"/>
    <w:rsid w:val="00813D5B"/>
    <w:rsid w:val="00814455"/>
    <w:rsid w:val="008146BE"/>
    <w:rsid w:val="00815733"/>
    <w:rsid w:val="00816581"/>
    <w:rsid w:val="008165CE"/>
    <w:rsid w:val="00816D9A"/>
    <w:rsid w:val="00817779"/>
    <w:rsid w:val="00817B48"/>
    <w:rsid w:val="00817E08"/>
    <w:rsid w:val="00820915"/>
    <w:rsid w:val="00820AAD"/>
    <w:rsid w:val="00820C3C"/>
    <w:rsid w:val="008210DD"/>
    <w:rsid w:val="00821BC2"/>
    <w:rsid w:val="00822D37"/>
    <w:rsid w:val="00822D8C"/>
    <w:rsid w:val="0082319F"/>
    <w:rsid w:val="008231FC"/>
    <w:rsid w:val="00823A47"/>
    <w:rsid w:val="00823E31"/>
    <w:rsid w:val="00823EA9"/>
    <w:rsid w:val="008244E1"/>
    <w:rsid w:val="008253E0"/>
    <w:rsid w:val="00825FA0"/>
    <w:rsid w:val="0082629B"/>
    <w:rsid w:val="00826525"/>
    <w:rsid w:val="008266F3"/>
    <w:rsid w:val="00826D40"/>
    <w:rsid w:val="00826F7F"/>
    <w:rsid w:val="00827392"/>
    <w:rsid w:val="0083002F"/>
    <w:rsid w:val="00830393"/>
    <w:rsid w:val="008305A9"/>
    <w:rsid w:val="00830939"/>
    <w:rsid w:val="00830E94"/>
    <w:rsid w:val="0083151C"/>
    <w:rsid w:val="00831CEF"/>
    <w:rsid w:val="00831D57"/>
    <w:rsid w:val="00831EC7"/>
    <w:rsid w:val="00832105"/>
    <w:rsid w:val="0083233E"/>
    <w:rsid w:val="00832A76"/>
    <w:rsid w:val="00832D31"/>
    <w:rsid w:val="008340EF"/>
    <w:rsid w:val="00835739"/>
    <w:rsid w:val="008359AF"/>
    <w:rsid w:val="0083613C"/>
    <w:rsid w:val="00836431"/>
    <w:rsid w:val="0083643F"/>
    <w:rsid w:val="00836B64"/>
    <w:rsid w:val="00837498"/>
    <w:rsid w:val="0083765A"/>
    <w:rsid w:val="008378E4"/>
    <w:rsid w:val="00840D5B"/>
    <w:rsid w:val="00841134"/>
    <w:rsid w:val="0084152D"/>
    <w:rsid w:val="00842BE6"/>
    <w:rsid w:val="00843228"/>
    <w:rsid w:val="008435B1"/>
    <w:rsid w:val="008435EA"/>
    <w:rsid w:val="0084392E"/>
    <w:rsid w:val="00843E3D"/>
    <w:rsid w:val="008443D7"/>
    <w:rsid w:val="0084520F"/>
    <w:rsid w:val="00845586"/>
    <w:rsid w:val="00845718"/>
    <w:rsid w:val="008459A2"/>
    <w:rsid w:val="008460F4"/>
    <w:rsid w:val="008463FF"/>
    <w:rsid w:val="008468C2"/>
    <w:rsid w:val="008468D4"/>
    <w:rsid w:val="00847392"/>
    <w:rsid w:val="008474CD"/>
    <w:rsid w:val="00850319"/>
    <w:rsid w:val="00850D2D"/>
    <w:rsid w:val="00850DC8"/>
    <w:rsid w:val="00851127"/>
    <w:rsid w:val="00851621"/>
    <w:rsid w:val="00851CB5"/>
    <w:rsid w:val="00851E32"/>
    <w:rsid w:val="00852B1A"/>
    <w:rsid w:val="0085450D"/>
    <w:rsid w:val="00854516"/>
    <w:rsid w:val="008547B0"/>
    <w:rsid w:val="0085498C"/>
    <w:rsid w:val="00854FF6"/>
    <w:rsid w:val="00855136"/>
    <w:rsid w:val="0085546A"/>
    <w:rsid w:val="0085582D"/>
    <w:rsid w:val="00855DD8"/>
    <w:rsid w:val="0085650A"/>
    <w:rsid w:val="0085668D"/>
    <w:rsid w:val="00856725"/>
    <w:rsid w:val="00856C3C"/>
    <w:rsid w:val="00856C57"/>
    <w:rsid w:val="008575A6"/>
    <w:rsid w:val="0085779C"/>
    <w:rsid w:val="00857894"/>
    <w:rsid w:val="00857BA1"/>
    <w:rsid w:val="00857BF2"/>
    <w:rsid w:val="00857F12"/>
    <w:rsid w:val="0086049F"/>
    <w:rsid w:val="00860506"/>
    <w:rsid w:val="00861863"/>
    <w:rsid w:val="00861B39"/>
    <w:rsid w:val="00861F2F"/>
    <w:rsid w:val="008623F3"/>
    <w:rsid w:val="0086339E"/>
    <w:rsid w:val="008644B0"/>
    <w:rsid w:val="00864615"/>
    <w:rsid w:val="0086473A"/>
    <w:rsid w:val="00864798"/>
    <w:rsid w:val="008654F8"/>
    <w:rsid w:val="00866298"/>
    <w:rsid w:val="008662F5"/>
    <w:rsid w:val="008666F4"/>
    <w:rsid w:val="00866ADB"/>
    <w:rsid w:val="00866F22"/>
    <w:rsid w:val="0086743A"/>
    <w:rsid w:val="00867B11"/>
    <w:rsid w:val="00867EB3"/>
    <w:rsid w:val="00867F59"/>
    <w:rsid w:val="00870588"/>
    <w:rsid w:val="0087074C"/>
    <w:rsid w:val="00871082"/>
    <w:rsid w:val="00871308"/>
    <w:rsid w:val="00871952"/>
    <w:rsid w:val="00871AE8"/>
    <w:rsid w:val="00871F0A"/>
    <w:rsid w:val="0087237C"/>
    <w:rsid w:val="008723C7"/>
    <w:rsid w:val="00872CC3"/>
    <w:rsid w:val="00872E46"/>
    <w:rsid w:val="00872E63"/>
    <w:rsid w:val="00872EFE"/>
    <w:rsid w:val="008735AA"/>
    <w:rsid w:val="00873B28"/>
    <w:rsid w:val="00873D83"/>
    <w:rsid w:val="00874AD0"/>
    <w:rsid w:val="00874FF8"/>
    <w:rsid w:val="0087606C"/>
    <w:rsid w:val="0087664F"/>
    <w:rsid w:val="00876E0B"/>
    <w:rsid w:val="00877099"/>
    <w:rsid w:val="008778AE"/>
    <w:rsid w:val="00877FF5"/>
    <w:rsid w:val="008813CC"/>
    <w:rsid w:val="00881575"/>
    <w:rsid w:val="008815CD"/>
    <w:rsid w:val="00881684"/>
    <w:rsid w:val="0088200D"/>
    <w:rsid w:val="008824FB"/>
    <w:rsid w:val="00883531"/>
    <w:rsid w:val="0088379B"/>
    <w:rsid w:val="008842A3"/>
    <w:rsid w:val="008852DD"/>
    <w:rsid w:val="00885CC6"/>
    <w:rsid w:val="008866FA"/>
    <w:rsid w:val="0088704A"/>
    <w:rsid w:val="008872E0"/>
    <w:rsid w:val="00887E8E"/>
    <w:rsid w:val="00890472"/>
    <w:rsid w:val="00890C1A"/>
    <w:rsid w:val="008910B3"/>
    <w:rsid w:val="008917D2"/>
    <w:rsid w:val="00891842"/>
    <w:rsid w:val="008918B2"/>
    <w:rsid w:val="00891E2F"/>
    <w:rsid w:val="0089269E"/>
    <w:rsid w:val="00892A71"/>
    <w:rsid w:val="00892A87"/>
    <w:rsid w:val="00892CEB"/>
    <w:rsid w:val="00893994"/>
    <w:rsid w:val="00894348"/>
    <w:rsid w:val="008945B0"/>
    <w:rsid w:val="008947A0"/>
    <w:rsid w:val="00894D9E"/>
    <w:rsid w:val="00894EF1"/>
    <w:rsid w:val="00895ADB"/>
    <w:rsid w:val="00895C60"/>
    <w:rsid w:val="00897016"/>
    <w:rsid w:val="00897480"/>
    <w:rsid w:val="00897D39"/>
    <w:rsid w:val="008A02C4"/>
    <w:rsid w:val="008A04B4"/>
    <w:rsid w:val="008A0B58"/>
    <w:rsid w:val="008A0D07"/>
    <w:rsid w:val="008A125B"/>
    <w:rsid w:val="008A1A46"/>
    <w:rsid w:val="008A240D"/>
    <w:rsid w:val="008A28C5"/>
    <w:rsid w:val="008A29BA"/>
    <w:rsid w:val="008A32CB"/>
    <w:rsid w:val="008A33D5"/>
    <w:rsid w:val="008A361E"/>
    <w:rsid w:val="008A3E13"/>
    <w:rsid w:val="008A4520"/>
    <w:rsid w:val="008A4D30"/>
    <w:rsid w:val="008A5003"/>
    <w:rsid w:val="008A5178"/>
    <w:rsid w:val="008A5719"/>
    <w:rsid w:val="008A5797"/>
    <w:rsid w:val="008A600C"/>
    <w:rsid w:val="008A61FB"/>
    <w:rsid w:val="008A676A"/>
    <w:rsid w:val="008A6A7E"/>
    <w:rsid w:val="008A6EA8"/>
    <w:rsid w:val="008A7092"/>
    <w:rsid w:val="008A70AC"/>
    <w:rsid w:val="008A755B"/>
    <w:rsid w:val="008A7687"/>
    <w:rsid w:val="008A76D5"/>
    <w:rsid w:val="008A7A28"/>
    <w:rsid w:val="008A7B62"/>
    <w:rsid w:val="008A7B64"/>
    <w:rsid w:val="008A7EFA"/>
    <w:rsid w:val="008B027E"/>
    <w:rsid w:val="008B06A8"/>
    <w:rsid w:val="008B0B51"/>
    <w:rsid w:val="008B0E1A"/>
    <w:rsid w:val="008B0F18"/>
    <w:rsid w:val="008B12D1"/>
    <w:rsid w:val="008B12F1"/>
    <w:rsid w:val="008B1418"/>
    <w:rsid w:val="008B19A8"/>
    <w:rsid w:val="008B1AB7"/>
    <w:rsid w:val="008B1D5D"/>
    <w:rsid w:val="008B1D7E"/>
    <w:rsid w:val="008B211C"/>
    <w:rsid w:val="008B26BB"/>
    <w:rsid w:val="008B2AD2"/>
    <w:rsid w:val="008B2EE2"/>
    <w:rsid w:val="008B3005"/>
    <w:rsid w:val="008B43EB"/>
    <w:rsid w:val="008B54BE"/>
    <w:rsid w:val="008B56A9"/>
    <w:rsid w:val="008B5793"/>
    <w:rsid w:val="008B612F"/>
    <w:rsid w:val="008B674B"/>
    <w:rsid w:val="008B6D88"/>
    <w:rsid w:val="008B7AB1"/>
    <w:rsid w:val="008B7C01"/>
    <w:rsid w:val="008B7FDD"/>
    <w:rsid w:val="008C01A8"/>
    <w:rsid w:val="008C02BA"/>
    <w:rsid w:val="008C070B"/>
    <w:rsid w:val="008C084A"/>
    <w:rsid w:val="008C11BC"/>
    <w:rsid w:val="008C130A"/>
    <w:rsid w:val="008C1606"/>
    <w:rsid w:val="008C1C90"/>
    <w:rsid w:val="008C23C2"/>
    <w:rsid w:val="008C2614"/>
    <w:rsid w:val="008C26C7"/>
    <w:rsid w:val="008C2EF3"/>
    <w:rsid w:val="008C319C"/>
    <w:rsid w:val="008C32E9"/>
    <w:rsid w:val="008C3686"/>
    <w:rsid w:val="008C3E11"/>
    <w:rsid w:val="008C41A5"/>
    <w:rsid w:val="008C4C6F"/>
    <w:rsid w:val="008C4C99"/>
    <w:rsid w:val="008C5D5E"/>
    <w:rsid w:val="008C6987"/>
    <w:rsid w:val="008C6CDD"/>
    <w:rsid w:val="008D0537"/>
    <w:rsid w:val="008D07A9"/>
    <w:rsid w:val="008D1CAD"/>
    <w:rsid w:val="008D1DB9"/>
    <w:rsid w:val="008D2639"/>
    <w:rsid w:val="008D2B16"/>
    <w:rsid w:val="008D2C28"/>
    <w:rsid w:val="008D34F7"/>
    <w:rsid w:val="008D367B"/>
    <w:rsid w:val="008D3B34"/>
    <w:rsid w:val="008D3D5B"/>
    <w:rsid w:val="008D4377"/>
    <w:rsid w:val="008D4C11"/>
    <w:rsid w:val="008D50B4"/>
    <w:rsid w:val="008D537C"/>
    <w:rsid w:val="008D6CAD"/>
    <w:rsid w:val="008D799C"/>
    <w:rsid w:val="008D7A08"/>
    <w:rsid w:val="008D7E54"/>
    <w:rsid w:val="008E00AE"/>
    <w:rsid w:val="008E15B3"/>
    <w:rsid w:val="008E15C3"/>
    <w:rsid w:val="008E15ED"/>
    <w:rsid w:val="008E16D8"/>
    <w:rsid w:val="008E1728"/>
    <w:rsid w:val="008E1A66"/>
    <w:rsid w:val="008E1DA5"/>
    <w:rsid w:val="008E22E7"/>
    <w:rsid w:val="008E2BC0"/>
    <w:rsid w:val="008E2FB3"/>
    <w:rsid w:val="008E35B9"/>
    <w:rsid w:val="008E37AF"/>
    <w:rsid w:val="008E39BA"/>
    <w:rsid w:val="008E3B40"/>
    <w:rsid w:val="008E49AE"/>
    <w:rsid w:val="008E4DFC"/>
    <w:rsid w:val="008E52CF"/>
    <w:rsid w:val="008E5AA4"/>
    <w:rsid w:val="008E6515"/>
    <w:rsid w:val="008E65F1"/>
    <w:rsid w:val="008E65F3"/>
    <w:rsid w:val="008E6CF8"/>
    <w:rsid w:val="008E7050"/>
    <w:rsid w:val="008E74A9"/>
    <w:rsid w:val="008E751B"/>
    <w:rsid w:val="008E7722"/>
    <w:rsid w:val="008E7BC9"/>
    <w:rsid w:val="008E7DDF"/>
    <w:rsid w:val="008F0318"/>
    <w:rsid w:val="008F061E"/>
    <w:rsid w:val="008F0C8A"/>
    <w:rsid w:val="008F2408"/>
    <w:rsid w:val="008F265A"/>
    <w:rsid w:val="008F30A0"/>
    <w:rsid w:val="008F354D"/>
    <w:rsid w:val="008F3E30"/>
    <w:rsid w:val="008F4092"/>
    <w:rsid w:val="008F4BC9"/>
    <w:rsid w:val="008F4C5C"/>
    <w:rsid w:val="008F51C5"/>
    <w:rsid w:val="008F53FC"/>
    <w:rsid w:val="008F608D"/>
    <w:rsid w:val="008F6845"/>
    <w:rsid w:val="008F690F"/>
    <w:rsid w:val="008F6AAF"/>
    <w:rsid w:val="008F6B68"/>
    <w:rsid w:val="008F7E9C"/>
    <w:rsid w:val="0090002B"/>
    <w:rsid w:val="00900046"/>
    <w:rsid w:val="00900053"/>
    <w:rsid w:val="00901545"/>
    <w:rsid w:val="0090172B"/>
    <w:rsid w:val="00901A68"/>
    <w:rsid w:val="00901BA1"/>
    <w:rsid w:val="00902168"/>
    <w:rsid w:val="009022EF"/>
    <w:rsid w:val="009028F6"/>
    <w:rsid w:val="00902E0C"/>
    <w:rsid w:val="00902EB1"/>
    <w:rsid w:val="009038A7"/>
    <w:rsid w:val="009038B6"/>
    <w:rsid w:val="00903A89"/>
    <w:rsid w:val="00903A92"/>
    <w:rsid w:val="00903E76"/>
    <w:rsid w:val="00903F62"/>
    <w:rsid w:val="00904986"/>
    <w:rsid w:val="00904B29"/>
    <w:rsid w:val="00905596"/>
    <w:rsid w:val="00905646"/>
    <w:rsid w:val="00905699"/>
    <w:rsid w:val="00905DD8"/>
    <w:rsid w:val="009063B7"/>
    <w:rsid w:val="0090640E"/>
    <w:rsid w:val="0090644A"/>
    <w:rsid w:val="00906642"/>
    <w:rsid w:val="00907142"/>
    <w:rsid w:val="009110CE"/>
    <w:rsid w:val="00911268"/>
    <w:rsid w:val="0091126C"/>
    <w:rsid w:val="00911292"/>
    <w:rsid w:val="009113C3"/>
    <w:rsid w:val="009113E5"/>
    <w:rsid w:val="00911928"/>
    <w:rsid w:val="0091227F"/>
    <w:rsid w:val="0091348D"/>
    <w:rsid w:val="009134E5"/>
    <w:rsid w:val="00913DD1"/>
    <w:rsid w:val="009144B3"/>
    <w:rsid w:val="0091507F"/>
    <w:rsid w:val="0091567B"/>
    <w:rsid w:val="00916284"/>
    <w:rsid w:val="00916882"/>
    <w:rsid w:val="00916A50"/>
    <w:rsid w:val="00916DF6"/>
    <w:rsid w:val="00917315"/>
    <w:rsid w:val="009174DC"/>
    <w:rsid w:val="009176A0"/>
    <w:rsid w:val="009202B3"/>
    <w:rsid w:val="009206FA"/>
    <w:rsid w:val="009212F6"/>
    <w:rsid w:val="00921393"/>
    <w:rsid w:val="00921488"/>
    <w:rsid w:val="009217F8"/>
    <w:rsid w:val="00921CE0"/>
    <w:rsid w:val="00922277"/>
    <w:rsid w:val="00922327"/>
    <w:rsid w:val="009223FF"/>
    <w:rsid w:val="00922409"/>
    <w:rsid w:val="00922601"/>
    <w:rsid w:val="009226A6"/>
    <w:rsid w:val="00924F3D"/>
    <w:rsid w:val="00925053"/>
    <w:rsid w:val="00925692"/>
    <w:rsid w:val="009259F4"/>
    <w:rsid w:val="00926507"/>
    <w:rsid w:val="00927AC2"/>
    <w:rsid w:val="00930465"/>
    <w:rsid w:val="0093061A"/>
    <w:rsid w:val="00930F0A"/>
    <w:rsid w:val="009311B9"/>
    <w:rsid w:val="00931806"/>
    <w:rsid w:val="00932A3F"/>
    <w:rsid w:val="00932A56"/>
    <w:rsid w:val="00932CD1"/>
    <w:rsid w:val="0093302F"/>
    <w:rsid w:val="009331A6"/>
    <w:rsid w:val="0093364E"/>
    <w:rsid w:val="009343C0"/>
    <w:rsid w:val="009344D8"/>
    <w:rsid w:val="00934A03"/>
    <w:rsid w:val="00934C1A"/>
    <w:rsid w:val="00934CD8"/>
    <w:rsid w:val="00935226"/>
    <w:rsid w:val="0093538F"/>
    <w:rsid w:val="009353A6"/>
    <w:rsid w:val="0093567E"/>
    <w:rsid w:val="009356CE"/>
    <w:rsid w:val="00935AC6"/>
    <w:rsid w:val="00935F52"/>
    <w:rsid w:val="009360EF"/>
    <w:rsid w:val="00936881"/>
    <w:rsid w:val="00936B06"/>
    <w:rsid w:val="0093709F"/>
    <w:rsid w:val="00937FB1"/>
    <w:rsid w:val="00937FF3"/>
    <w:rsid w:val="0094038B"/>
    <w:rsid w:val="00941376"/>
    <w:rsid w:val="00941648"/>
    <w:rsid w:val="00941D2D"/>
    <w:rsid w:val="0094395A"/>
    <w:rsid w:val="0094437F"/>
    <w:rsid w:val="00944D8C"/>
    <w:rsid w:val="00945291"/>
    <w:rsid w:val="00945715"/>
    <w:rsid w:val="00945F43"/>
    <w:rsid w:val="009466E9"/>
    <w:rsid w:val="00946803"/>
    <w:rsid w:val="009469F5"/>
    <w:rsid w:val="00946A5D"/>
    <w:rsid w:val="00947253"/>
    <w:rsid w:val="009476F4"/>
    <w:rsid w:val="0094777A"/>
    <w:rsid w:val="009510B7"/>
    <w:rsid w:val="009511B3"/>
    <w:rsid w:val="009513E9"/>
    <w:rsid w:val="00951508"/>
    <w:rsid w:val="00951A86"/>
    <w:rsid w:val="009521A1"/>
    <w:rsid w:val="009525F0"/>
    <w:rsid w:val="00952B2E"/>
    <w:rsid w:val="00952CB3"/>
    <w:rsid w:val="00952D26"/>
    <w:rsid w:val="00953234"/>
    <w:rsid w:val="00953344"/>
    <w:rsid w:val="00953A5D"/>
    <w:rsid w:val="009545C1"/>
    <w:rsid w:val="00954E78"/>
    <w:rsid w:val="00955886"/>
    <w:rsid w:val="0095696D"/>
    <w:rsid w:val="009569DE"/>
    <w:rsid w:val="00956F03"/>
    <w:rsid w:val="009571F3"/>
    <w:rsid w:val="009571F8"/>
    <w:rsid w:val="0095761C"/>
    <w:rsid w:val="00957CC4"/>
    <w:rsid w:val="00957E10"/>
    <w:rsid w:val="00957F78"/>
    <w:rsid w:val="0096047F"/>
    <w:rsid w:val="00960828"/>
    <w:rsid w:val="00960BDD"/>
    <w:rsid w:val="00961425"/>
    <w:rsid w:val="009614F6"/>
    <w:rsid w:val="00961707"/>
    <w:rsid w:val="00961A59"/>
    <w:rsid w:val="00961F6B"/>
    <w:rsid w:val="0096291D"/>
    <w:rsid w:val="00962C48"/>
    <w:rsid w:val="00962F3C"/>
    <w:rsid w:val="00962F5C"/>
    <w:rsid w:val="009630A3"/>
    <w:rsid w:val="009636CF"/>
    <w:rsid w:val="0096386E"/>
    <w:rsid w:val="0096417A"/>
    <w:rsid w:val="009641DB"/>
    <w:rsid w:val="00964891"/>
    <w:rsid w:val="00964935"/>
    <w:rsid w:val="009654C3"/>
    <w:rsid w:val="00965754"/>
    <w:rsid w:val="00965A0E"/>
    <w:rsid w:val="00965CC1"/>
    <w:rsid w:val="00966581"/>
    <w:rsid w:val="0096689A"/>
    <w:rsid w:val="0096703C"/>
    <w:rsid w:val="00967444"/>
    <w:rsid w:val="00967780"/>
    <w:rsid w:val="009702CB"/>
    <w:rsid w:val="0097064C"/>
    <w:rsid w:val="00970B15"/>
    <w:rsid w:val="00970DAE"/>
    <w:rsid w:val="00970E4A"/>
    <w:rsid w:val="00971345"/>
    <w:rsid w:val="00971B9B"/>
    <w:rsid w:val="00971FEF"/>
    <w:rsid w:val="00972456"/>
    <w:rsid w:val="009727D4"/>
    <w:rsid w:val="0097292B"/>
    <w:rsid w:val="00973159"/>
    <w:rsid w:val="00973E24"/>
    <w:rsid w:val="0097412B"/>
    <w:rsid w:val="0097428C"/>
    <w:rsid w:val="00974510"/>
    <w:rsid w:val="00974A42"/>
    <w:rsid w:val="00974A48"/>
    <w:rsid w:val="00975141"/>
    <w:rsid w:val="0097590E"/>
    <w:rsid w:val="00975B8C"/>
    <w:rsid w:val="00975B91"/>
    <w:rsid w:val="009762C5"/>
    <w:rsid w:val="00976737"/>
    <w:rsid w:val="009769BF"/>
    <w:rsid w:val="00976A13"/>
    <w:rsid w:val="00976E81"/>
    <w:rsid w:val="0097744D"/>
    <w:rsid w:val="009774E8"/>
    <w:rsid w:val="00977899"/>
    <w:rsid w:val="009805F3"/>
    <w:rsid w:val="0098068C"/>
    <w:rsid w:val="009806D5"/>
    <w:rsid w:val="00980A4E"/>
    <w:rsid w:val="00980DB1"/>
    <w:rsid w:val="00981EC9"/>
    <w:rsid w:val="00982374"/>
    <w:rsid w:val="00983103"/>
    <w:rsid w:val="009836F3"/>
    <w:rsid w:val="0098373E"/>
    <w:rsid w:val="00984A6F"/>
    <w:rsid w:val="009856C0"/>
    <w:rsid w:val="00985821"/>
    <w:rsid w:val="00985C85"/>
    <w:rsid w:val="00985D23"/>
    <w:rsid w:val="00985E2C"/>
    <w:rsid w:val="0098608D"/>
    <w:rsid w:val="00986858"/>
    <w:rsid w:val="00986A02"/>
    <w:rsid w:val="00986E07"/>
    <w:rsid w:val="0099080B"/>
    <w:rsid w:val="00990CEC"/>
    <w:rsid w:val="0099136B"/>
    <w:rsid w:val="00991652"/>
    <w:rsid w:val="0099183F"/>
    <w:rsid w:val="00991BA7"/>
    <w:rsid w:val="00991C8D"/>
    <w:rsid w:val="00991ED5"/>
    <w:rsid w:val="00991F47"/>
    <w:rsid w:val="0099206B"/>
    <w:rsid w:val="009921B9"/>
    <w:rsid w:val="009922D4"/>
    <w:rsid w:val="00993037"/>
    <w:rsid w:val="009930F9"/>
    <w:rsid w:val="0099361E"/>
    <w:rsid w:val="0099372C"/>
    <w:rsid w:val="0099398A"/>
    <w:rsid w:val="00995121"/>
    <w:rsid w:val="009958B1"/>
    <w:rsid w:val="00995BC6"/>
    <w:rsid w:val="00996167"/>
    <w:rsid w:val="00996193"/>
    <w:rsid w:val="00996E6C"/>
    <w:rsid w:val="0099754D"/>
    <w:rsid w:val="00997687"/>
    <w:rsid w:val="009978A3"/>
    <w:rsid w:val="00997CCE"/>
    <w:rsid w:val="00997D69"/>
    <w:rsid w:val="00997F45"/>
    <w:rsid w:val="009A0031"/>
    <w:rsid w:val="009A0170"/>
    <w:rsid w:val="009A02B3"/>
    <w:rsid w:val="009A041D"/>
    <w:rsid w:val="009A071C"/>
    <w:rsid w:val="009A086E"/>
    <w:rsid w:val="009A0E46"/>
    <w:rsid w:val="009A0FEA"/>
    <w:rsid w:val="009A1296"/>
    <w:rsid w:val="009A12B5"/>
    <w:rsid w:val="009A1681"/>
    <w:rsid w:val="009A1CC5"/>
    <w:rsid w:val="009A1FC7"/>
    <w:rsid w:val="009A259C"/>
    <w:rsid w:val="009A286C"/>
    <w:rsid w:val="009A2C29"/>
    <w:rsid w:val="009A2EF1"/>
    <w:rsid w:val="009A3424"/>
    <w:rsid w:val="009A4658"/>
    <w:rsid w:val="009A495A"/>
    <w:rsid w:val="009A4C5D"/>
    <w:rsid w:val="009A4CC6"/>
    <w:rsid w:val="009A4E53"/>
    <w:rsid w:val="009A591C"/>
    <w:rsid w:val="009A5B56"/>
    <w:rsid w:val="009A5DCD"/>
    <w:rsid w:val="009A7007"/>
    <w:rsid w:val="009A7882"/>
    <w:rsid w:val="009A7F1B"/>
    <w:rsid w:val="009B12AE"/>
    <w:rsid w:val="009B17BC"/>
    <w:rsid w:val="009B18A4"/>
    <w:rsid w:val="009B18C4"/>
    <w:rsid w:val="009B2751"/>
    <w:rsid w:val="009B2A02"/>
    <w:rsid w:val="009B2D89"/>
    <w:rsid w:val="009B31E5"/>
    <w:rsid w:val="009B326C"/>
    <w:rsid w:val="009B3345"/>
    <w:rsid w:val="009B33A0"/>
    <w:rsid w:val="009B3B93"/>
    <w:rsid w:val="009B3E9A"/>
    <w:rsid w:val="009B3F39"/>
    <w:rsid w:val="009B3F61"/>
    <w:rsid w:val="009B48B1"/>
    <w:rsid w:val="009B4D06"/>
    <w:rsid w:val="009B4F11"/>
    <w:rsid w:val="009B62B1"/>
    <w:rsid w:val="009B64CA"/>
    <w:rsid w:val="009B658B"/>
    <w:rsid w:val="009B6798"/>
    <w:rsid w:val="009B6C77"/>
    <w:rsid w:val="009B6CE2"/>
    <w:rsid w:val="009B6DE0"/>
    <w:rsid w:val="009B71AE"/>
    <w:rsid w:val="009B78CE"/>
    <w:rsid w:val="009B7DB6"/>
    <w:rsid w:val="009B7EA8"/>
    <w:rsid w:val="009C06E6"/>
    <w:rsid w:val="009C0D78"/>
    <w:rsid w:val="009C12BF"/>
    <w:rsid w:val="009C12C6"/>
    <w:rsid w:val="009C1696"/>
    <w:rsid w:val="009C17B5"/>
    <w:rsid w:val="009C1FD3"/>
    <w:rsid w:val="009C248B"/>
    <w:rsid w:val="009C2832"/>
    <w:rsid w:val="009C2D31"/>
    <w:rsid w:val="009C2F6E"/>
    <w:rsid w:val="009C323D"/>
    <w:rsid w:val="009C33F8"/>
    <w:rsid w:val="009C3572"/>
    <w:rsid w:val="009C3A0E"/>
    <w:rsid w:val="009C4521"/>
    <w:rsid w:val="009C4613"/>
    <w:rsid w:val="009C4777"/>
    <w:rsid w:val="009C499D"/>
    <w:rsid w:val="009C50FE"/>
    <w:rsid w:val="009C513F"/>
    <w:rsid w:val="009C55AF"/>
    <w:rsid w:val="009C57C1"/>
    <w:rsid w:val="009C625D"/>
    <w:rsid w:val="009C68A2"/>
    <w:rsid w:val="009C715D"/>
    <w:rsid w:val="009C71AA"/>
    <w:rsid w:val="009C73C7"/>
    <w:rsid w:val="009C73D0"/>
    <w:rsid w:val="009C748B"/>
    <w:rsid w:val="009D010D"/>
    <w:rsid w:val="009D0602"/>
    <w:rsid w:val="009D075A"/>
    <w:rsid w:val="009D0B09"/>
    <w:rsid w:val="009D30A1"/>
    <w:rsid w:val="009D317E"/>
    <w:rsid w:val="009D3A37"/>
    <w:rsid w:val="009D3BEE"/>
    <w:rsid w:val="009D3D0C"/>
    <w:rsid w:val="009D3F97"/>
    <w:rsid w:val="009D44E7"/>
    <w:rsid w:val="009D44F5"/>
    <w:rsid w:val="009D46DA"/>
    <w:rsid w:val="009D5088"/>
    <w:rsid w:val="009D5420"/>
    <w:rsid w:val="009D5F0E"/>
    <w:rsid w:val="009D5F8E"/>
    <w:rsid w:val="009D6491"/>
    <w:rsid w:val="009D6795"/>
    <w:rsid w:val="009D6AB1"/>
    <w:rsid w:val="009D6E4C"/>
    <w:rsid w:val="009D6E8F"/>
    <w:rsid w:val="009D7145"/>
    <w:rsid w:val="009D7685"/>
    <w:rsid w:val="009E07FF"/>
    <w:rsid w:val="009E0ACE"/>
    <w:rsid w:val="009E0FC4"/>
    <w:rsid w:val="009E10EC"/>
    <w:rsid w:val="009E1428"/>
    <w:rsid w:val="009E1A22"/>
    <w:rsid w:val="009E1B87"/>
    <w:rsid w:val="009E21D3"/>
    <w:rsid w:val="009E2456"/>
    <w:rsid w:val="009E2CAA"/>
    <w:rsid w:val="009E3083"/>
    <w:rsid w:val="009E437F"/>
    <w:rsid w:val="009E45A2"/>
    <w:rsid w:val="009E48DB"/>
    <w:rsid w:val="009E49DA"/>
    <w:rsid w:val="009E4A8E"/>
    <w:rsid w:val="009E4B6D"/>
    <w:rsid w:val="009E4C2A"/>
    <w:rsid w:val="009E4F22"/>
    <w:rsid w:val="009E5008"/>
    <w:rsid w:val="009E5272"/>
    <w:rsid w:val="009E549E"/>
    <w:rsid w:val="009E58C2"/>
    <w:rsid w:val="009E5ED4"/>
    <w:rsid w:val="009E5F29"/>
    <w:rsid w:val="009E60BA"/>
    <w:rsid w:val="009E6179"/>
    <w:rsid w:val="009E6755"/>
    <w:rsid w:val="009E688E"/>
    <w:rsid w:val="009E72FF"/>
    <w:rsid w:val="009E7641"/>
    <w:rsid w:val="009E76E6"/>
    <w:rsid w:val="009E7B0B"/>
    <w:rsid w:val="009E7CE6"/>
    <w:rsid w:val="009F1A8D"/>
    <w:rsid w:val="009F1E77"/>
    <w:rsid w:val="009F1FD3"/>
    <w:rsid w:val="009F2025"/>
    <w:rsid w:val="009F2A5F"/>
    <w:rsid w:val="009F3325"/>
    <w:rsid w:val="009F3D78"/>
    <w:rsid w:val="009F4818"/>
    <w:rsid w:val="009F4A0B"/>
    <w:rsid w:val="009F4E1A"/>
    <w:rsid w:val="009F4F59"/>
    <w:rsid w:val="009F5256"/>
    <w:rsid w:val="009F574F"/>
    <w:rsid w:val="009F6A4B"/>
    <w:rsid w:val="009F70F1"/>
    <w:rsid w:val="009F799E"/>
    <w:rsid w:val="009F7E25"/>
    <w:rsid w:val="00A000DC"/>
    <w:rsid w:val="00A00164"/>
    <w:rsid w:val="00A006E7"/>
    <w:rsid w:val="00A00AF3"/>
    <w:rsid w:val="00A012C9"/>
    <w:rsid w:val="00A01521"/>
    <w:rsid w:val="00A0157B"/>
    <w:rsid w:val="00A015DC"/>
    <w:rsid w:val="00A017FA"/>
    <w:rsid w:val="00A01B94"/>
    <w:rsid w:val="00A02F0D"/>
    <w:rsid w:val="00A03081"/>
    <w:rsid w:val="00A035DF"/>
    <w:rsid w:val="00A03C2A"/>
    <w:rsid w:val="00A04159"/>
    <w:rsid w:val="00A05569"/>
    <w:rsid w:val="00A06104"/>
    <w:rsid w:val="00A07067"/>
    <w:rsid w:val="00A07518"/>
    <w:rsid w:val="00A07A3C"/>
    <w:rsid w:val="00A07B72"/>
    <w:rsid w:val="00A07F13"/>
    <w:rsid w:val="00A10042"/>
    <w:rsid w:val="00A10128"/>
    <w:rsid w:val="00A1026E"/>
    <w:rsid w:val="00A10CB9"/>
    <w:rsid w:val="00A11291"/>
    <w:rsid w:val="00A1152C"/>
    <w:rsid w:val="00A116D2"/>
    <w:rsid w:val="00A12062"/>
    <w:rsid w:val="00A121AA"/>
    <w:rsid w:val="00A1226A"/>
    <w:rsid w:val="00A125A0"/>
    <w:rsid w:val="00A125ED"/>
    <w:rsid w:val="00A129CB"/>
    <w:rsid w:val="00A12CB3"/>
    <w:rsid w:val="00A131FB"/>
    <w:rsid w:val="00A13333"/>
    <w:rsid w:val="00A133D2"/>
    <w:rsid w:val="00A140B1"/>
    <w:rsid w:val="00A14BCF"/>
    <w:rsid w:val="00A14C43"/>
    <w:rsid w:val="00A15F72"/>
    <w:rsid w:val="00A164FA"/>
    <w:rsid w:val="00A1672E"/>
    <w:rsid w:val="00A16EB7"/>
    <w:rsid w:val="00A17427"/>
    <w:rsid w:val="00A17522"/>
    <w:rsid w:val="00A17B10"/>
    <w:rsid w:val="00A17CF7"/>
    <w:rsid w:val="00A20972"/>
    <w:rsid w:val="00A20EE2"/>
    <w:rsid w:val="00A21309"/>
    <w:rsid w:val="00A2156D"/>
    <w:rsid w:val="00A21976"/>
    <w:rsid w:val="00A21BBC"/>
    <w:rsid w:val="00A21BC3"/>
    <w:rsid w:val="00A21C2D"/>
    <w:rsid w:val="00A22679"/>
    <w:rsid w:val="00A226C3"/>
    <w:rsid w:val="00A22F83"/>
    <w:rsid w:val="00A23A76"/>
    <w:rsid w:val="00A23C9B"/>
    <w:rsid w:val="00A24437"/>
    <w:rsid w:val="00A247AC"/>
    <w:rsid w:val="00A25029"/>
    <w:rsid w:val="00A25325"/>
    <w:rsid w:val="00A255C4"/>
    <w:rsid w:val="00A25DB4"/>
    <w:rsid w:val="00A26630"/>
    <w:rsid w:val="00A26B95"/>
    <w:rsid w:val="00A26F62"/>
    <w:rsid w:val="00A275EB"/>
    <w:rsid w:val="00A27808"/>
    <w:rsid w:val="00A27CFD"/>
    <w:rsid w:val="00A27E49"/>
    <w:rsid w:val="00A3024B"/>
    <w:rsid w:val="00A3067D"/>
    <w:rsid w:val="00A3082C"/>
    <w:rsid w:val="00A30A98"/>
    <w:rsid w:val="00A30EB9"/>
    <w:rsid w:val="00A30EF6"/>
    <w:rsid w:val="00A311B7"/>
    <w:rsid w:val="00A31473"/>
    <w:rsid w:val="00A31523"/>
    <w:rsid w:val="00A31541"/>
    <w:rsid w:val="00A315BA"/>
    <w:rsid w:val="00A316DF"/>
    <w:rsid w:val="00A3192A"/>
    <w:rsid w:val="00A31BC4"/>
    <w:rsid w:val="00A31CE2"/>
    <w:rsid w:val="00A32381"/>
    <w:rsid w:val="00A32678"/>
    <w:rsid w:val="00A327AB"/>
    <w:rsid w:val="00A32AEB"/>
    <w:rsid w:val="00A32C52"/>
    <w:rsid w:val="00A3373B"/>
    <w:rsid w:val="00A3386D"/>
    <w:rsid w:val="00A3388F"/>
    <w:rsid w:val="00A33FA9"/>
    <w:rsid w:val="00A340C0"/>
    <w:rsid w:val="00A34812"/>
    <w:rsid w:val="00A34C8A"/>
    <w:rsid w:val="00A367C4"/>
    <w:rsid w:val="00A378A4"/>
    <w:rsid w:val="00A37C65"/>
    <w:rsid w:val="00A37DF6"/>
    <w:rsid w:val="00A4076A"/>
    <w:rsid w:val="00A411AC"/>
    <w:rsid w:val="00A415D5"/>
    <w:rsid w:val="00A41AC2"/>
    <w:rsid w:val="00A41CDE"/>
    <w:rsid w:val="00A41D7A"/>
    <w:rsid w:val="00A41F25"/>
    <w:rsid w:val="00A424ED"/>
    <w:rsid w:val="00A425DD"/>
    <w:rsid w:val="00A43508"/>
    <w:rsid w:val="00A4399B"/>
    <w:rsid w:val="00A43A1F"/>
    <w:rsid w:val="00A442DC"/>
    <w:rsid w:val="00A447A9"/>
    <w:rsid w:val="00A44939"/>
    <w:rsid w:val="00A44991"/>
    <w:rsid w:val="00A44E8D"/>
    <w:rsid w:val="00A459BB"/>
    <w:rsid w:val="00A45B6D"/>
    <w:rsid w:val="00A45BE3"/>
    <w:rsid w:val="00A45C9A"/>
    <w:rsid w:val="00A46B2A"/>
    <w:rsid w:val="00A470FE"/>
    <w:rsid w:val="00A478D2"/>
    <w:rsid w:val="00A50279"/>
    <w:rsid w:val="00A50397"/>
    <w:rsid w:val="00A51956"/>
    <w:rsid w:val="00A519E6"/>
    <w:rsid w:val="00A51A7A"/>
    <w:rsid w:val="00A51F3E"/>
    <w:rsid w:val="00A52F33"/>
    <w:rsid w:val="00A5352E"/>
    <w:rsid w:val="00A54F72"/>
    <w:rsid w:val="00A56784"/>
    <w:rsid w:val="00A56DBE"/>
    <w:rsid w:val="00A572E3"/>
    <w:rsid w:val="00A57432"/>
    <w:rsid w:val="00A60149"/>
    <w:rsid w:val="00A6041F"/>
    <w:rsid w:val="00A614EE"/>
    <w:rsid w:val="00A618EA"/>
    <w:rsid w:val="00A6191C"/>
    <w:rsid w:val="00A62589"/>
    <w:rsid w:val="00A62DD3"/>
    <w:rsid w:val="00A62F51"/>
    <w:rsid w:val="00A6307F"/>
    <w:rsid w:val="00A6338E"/>
    <w:rsid w:val="00A63844"/>
    <w:rsid w:val="00A63D4D"/>
    <w:rsid w:val="00A64613"/>
    <w:rsid w:val="00A64693"/>
    <w:rsid w:val="00A652ED"/>
    <w:rsid w:val="00A658D5"/>
    <w:rsid w:val="00A658DC"/>
    <w:rsid w:val="00A6592C"/>
    <w:rsid w:val="00A65A02"/>
    <w:rsid w:val="00A65EDA"/>
    <w:rsid w:val="00A66449"/>
    <w:rsid w:val="00A6645C"/>
    <w:rsid w:val="00A67507"/>
    <w:rsid w:val="00A702FB"/>
    <w:rsid w:val="00A70689"/>
    <w:rsid w:val="00A709D5"/>
    <w:rsid w:val="00A70D27"/>
    <w:rsid w:val="00A71404"/>
    <w:rsid w:val="00A71989"/>
    <w:rsid w:val="00A71FF7"/>
    <w:rsid w:val="00A72536"/>
    <w:rsid w:val="00A72C2A"/>
    <w:rsid w:val="00A72E2B"/>
    <w:rsid w:val="00A72F65"/>
    <w:rsid w:val="00A7311D"/>
    <w:rsid w:val="00A7340D"/>
    <w:rsid w:val="00A73B22"/>
    <w:rsid w:val="00A73B5F"/>
    <w:rsid w:val="00A73F98"/>
    <w:rsid w:val="00A747E6"/>
    <w:rsid w:val="00A74839"/>
    <w:rsid w:val="00A750E9"/>
    <w:rsid w:val="00A7563D"/>
    <w:rsid w:val="00A75970"/>
    <w:rsid w:val="00A75F86"/>
    <w:rsid w:val="00A7621D"/>
    <w:rsid w:val="00A7628A"/>
    <w:rsid w:val="00A76EB6"/>
    <w:rsid w:val="00A76EDC"/>
    <w:rsid w:val="00A77073"/>
    <w:rsid w:val="00A7713B"/>
    <w:rsid w:val="00A77285"/>
    <w:rsid w:val="00A77417"/>
    <w:rsid w:val="00A800C8"/>
    <w:rsid w:val="00A80A87"/>
    <w:rsid w:val="00A80AC6"/>
    <w:rsid w:val="00A80BB5"/>
    <w:rsid w:val="00A80F3E"/>
    <w:rsid w:val="00A813AA"/>
    <w:rsid w:val="00A81AC5"/>
    <w:rsid w:val="00A8203D"/>
    <w:rsid w:val="00A82632"/>
    <w:rsid w:val="00A832F1"/>
    <w:rsid w:val="00A8363D"/>
    <w:rsid w:val="00A8380B"/>
    <w:rsid w:val="00A83ADD"/>
    <w:rsid w:val="00A83B7B"/>
    <w:rsid w:val="00A83E36"/>
    <w:rsid w:val="00A84E71"/>
    <w:rsid w:val="00A857E1"/>
    <w:rsid w:val="00A85857"/>
    <w:rsid w:val="00A86820"/>
    <w:rsid w:val="00A86B03"/>
    <w:rsid w:val="00A87502"/>
    <w:rsid w:val="00A87F00"/>
    <w:rsid w:val="00A90735"/>
    <w:rsid w:val="00A90B23"/>
    <w:rsid w:val="00A90CDA"/>
    <w:rsid w:val="00A91289"/>
    <w:rsid w:val="00A91D10"/>
    <w:rsid w:val="00A91EDF"/>
    <w:rsid w:val="00A923CB"/>
    <w:rsid w:val="00A92B25"/>
    <w:rsid w:val="00A930EC"/>
    <w:rsid w:val="00A93446"/>
    <w:rsid w:val="00A93975"/>
    <w:rsid w:val="00A94133"/>
    <w:rsid w:val="00A9444A"/>
    <w:rsid w:val="00A94FA1"/>
    <w:rsid w:val="00A94FF2"/>
    <w:rsid w:val="00A95161"/>
    <w:rsid w:val="00A956A9"/>
    <w:rsid w:val="00A957B3"/>
    <w:rsid w:val="00A9636A"/>
    <w:rsid w:val="00A966DC"/>
    <w:rsid w:val="00A97105"/>
    <w:rsid w:val="00A97B14"/>
    <w:rsid w:val="00A97C66"/>
    <w:rsid w:val="00AA0218"/>
    <w:rsid w:val="00AA02F1"/>
    <w:rsid w:val="00AA065D"/>
    <w:rsid w:val="00AA0ADB"/>
    <w:rsid w:val="00AA1638"/>
    <w:rsid w:val="00AA1B8B"/>
    <w:rsid w:val="00AA2022"/>
    <w:rsid w:val="00AA26A9"/>
    <w:rsid w:val="00AA2EA9"/>
    <w:rsid w:val="00AA36ED"/>
    <w:rsid w:val="00AA3C72"/>
    <w:rsid w:val="00AA45ED"/>
    <w:rsid w:val="00AA46CB"/>
    <w:rsid w:val="00AA4960"/>
    <w:rsid w:val="00AA498B"/>
    <w:rsid w:val="00AA4AC3"/>
    <w:rsid w:val="00AA4AD7"/>
    <w:rsid w:val="00AA5BAF"/>
    <w:rsid w:val="00AA6831"/>
    <w:rsid w:val="00AA73F9"/>
    <w:rsid w:val="00AA7AF4"/>
    <w:rsid w:val="00AB0102"/>
    <w:rsid w:val="00AB04BA"/>
    <w:rsid w:val="00AB09A9"/>
    <w:rsid w:val="00AB0FDA"/>
    <w:rsid w:val="00AB11B6"/>
    <w:rsid w:val="00AB14EE"/>
    <w:rsid w:val="00AB17C7"/>
    <w:rsid w:val="00AB1886"/>
    <w:rsid w:val="00AB1C52"/>
    <w:rsid w:val="00AB2545"/>
    <w:rsid w:val="00AB2BE3"/>
    <w:rsid w:val="00AB2E4F"/>
    <w:rsid w:val="00AB2F0E"/>
    <w:rsid w:val="00AB3403"/>
    <w:rsid w:val="00AB3473"/>
    <w:rsid w:val="00AB359D"/>
    <w:rsid w:val="00AB3870"/>
    <w:rsid w:val="00AB3C0A"/>
    <w:rsid w:val="00AB3C24"/>
    <w:rsid w:val="00AB3CBC"/>
    <w:rsid w:val="00AB44DE"/>
    <w:rsid w:val="00AB451F"/>
    <w:rsid w:val="00AB462F"/>
    <w:rsid w:val="00AB47C3"/>
    <w:rsid w:val="00AB4D26"/>
    <w:rsid w:val="00AB4F9B"/>
    <w:rsid w:val="00AB514C"/>
    <w:rsid w:val="00AB5920"/>
    <w:rsid w:val="00AB5C10"/>
    <w:rsid w:val="00AB5FAA"/>
    <w:rsid w:val="00AB6013"/>
    <w:rsid w:val="00AB67E7"/>
    <w:rsid w:val="00AB686C"/>
    <w:rsid w:val="00AB6A7C"/>
    <w:rsid w:val="00AB722B"/>
    <w:rsid w:val="00AB7959"/>
    <w:rsid w:val="00AB7B89"/>
    <w:rsid w:val="00AC0165"/>
    <w:rsid w:val="00AC02EC"/>
    <w:rsid w:val="00AC0A9D"/>
    <w:rsid w:val="00AC12C8"/>
    <w:rsid w:val="00AC135D"/>
    <w:rsid w:val="00AC16CB"/>
    <w:rsid w:val="00AC1C94"/>
    <w:rsid w:val="00AC27FA"/>
    <w:rsid w:val="00AC29F6"/>
    <w:rsid w:val="00AC2A6F"/>
    <w:rsid w:val="00AC2D7B"/>
    <w:rsid w:val="00AC3B8B"/>
    <w:rsid w:val="00AC46AD"/>
    <w:rsid w:val="00AC58B1"/>
    <w:rsid w:val="00AC61E0"/>
    <w:rsid w:val="00AC630F"/>
    <w:rsid w:val="00AC670B"/>
    <w:rsid w:val="00AC677A"/>
    <w:rsid w:val="00AC6D9A"/>
    <w:rsid w:val="00AC6F1E"/>
    <w:rsid w:val="00AC715B"/>
    <w:rsid w:val="00AC7C0F"/>
    <w:rsid w:val="00AD0929"/>
    <w:rsid w:val="00AD0963"/>
    <w:rsid w:val="00AD0B58"/>
    <w:rsid w:val="00AD15CF"/>
    <w:rsid w:val="00AD16FA"/>
    <w:rsid w:val="00AD1D93"/>
    <w:rsid w:val="00AD2029"/>
    <w:rsid w:val="00AD26F2"/>
    <w:rsid w:val="00AD32AF"/>
    <w:rsid w:val="00AD350F"/>
    <w:rsid w:val="00AD35E3"/>
    <w:rsid w:val="00AD37CF"/>
    <w:rsid w:val="00AD41CE"/>
    <w:rsid w:val="00AD44AC"/>
    <w:rsid w:val="00AD49D6"/>
    <w:rsid w:val="00AD4B3D"/>
    <w:rsid w:val="00AD4DB0"/>
    <w:rsid w:val="00AD5D42"/>
    <w:rsid w:val="00AD64EA"/>
    <w:rsid w:val="00AD64F6"/>
    <w:rsid w:val="00AD6BBE"/>
    <w:rsid w:val="00AD6FA7"/>
    <w:rsid w:val="00AD74AA"/>
    <w:rsid w:val="00AD7626"/>
    <w:rsid w:val="00AD771B"/>
    <w:rsid w:val="00AE02E9"/>
    <w:rsid w:val="00AE06C0"/>
    <w:rsid w:val="00AE077F"/>
    <w:rsid w:val="00AE29A0"/>
    <w:rsid w:val="00AE29B8"/>
    <w:rsid w:val="00AE3835"/>
    <w:rsid w:val="00AE3873"/>
    <w:rsid w:val="00AE3FEA"/>
    <w:rsid w:val="00AE41A4"/>
    <w:rsid w:val="00AE4A7A"/>
    <w:rsid w:val="00AE4E54"/>
    <w:rsid w:val="00AE5838"/>
    <w:rsid w:val="00AE5B05"/>
    <w:rsid w:val="00AE5B6A"/>
    <w:rsid w:val="00AE63C3"/>
    <w:rsid w:val="00AE6E7D"/>
    <w:rsid w:val="00AE7992"/>
    <w:rsid w:val="00AF0A01"/>
    <w:rsid w:val="00AF0DD1"/>
    <w:rsid w:val="00AF14DC"/>
    <w:rsid w:val="00AF1FD5"/>
    <w:rsid w:val="00AF24E8"/>
    <w:rsid w:val="00AF28D8"/>
    <w:rsid w:val="00AF2A88"/>
    <w:rsid w:val="00AF3A83"/>
    <w:rsid w:val="00AF4108"/>
    <w:rsid w:val="00AF4255"/>
    <w:rsid w:val="00AF425C"/>
    <w:rsid w:val="00AF4442"/>
    <w:rsid w:val="00AF45E8"/>
    <w:rsid w:val="00AF469A"/>
    <w:rsid w:val="00AF480A"/>
    <w:rsid w:val="00AF4867"/>
    <w:rsid w:val="00AF55A2"/>
    <w:rsid w:val="00AF570A"/>
    <w:rsid w:val="00AF7557"/>
    <w:rsid w:val="00AF7CBF"/>
    <w:rsid w:val="00B00414"/>
    <w:rsid w:val="00B00B49"/>
    <w:rsid w:val="00B00BBC"/>
    <w:rsid w:val="00B00F11"/>
    <w:rsid w:val="00B013DF"/>
    <w:rsid w:val="00B0174C"/>
    <w:rsid w:val="00B01BAA"/>
    <w:rsid w:val="00B01C57"/>
    <w:rsid w:val="00B01F3B"/>
    <w:rsid w:val="00B02355"/>
    <w:rsid w:val="00B02382"/>
    <w:rsid w:val="00B02C68"/>
    <w:rsid w:val="00B03956"/>
    <w:rsid w:val="00B03BA7"/>
    <w:rsid w:val="00B03C5D"/>
    <w:rsid w:val="00B049B2"/>
    <w:rsid w:val="00B04AED"/>
    <w:rsid w:val="00B04F9D"/>
    <w:rsid w:val="00B0606C"/>
    <w:rsid w:val="00B06457"/>
    <w:rsid w:val="00B06463"/>
    <w:rsid w:val="00B07656"/>
    <w:rsid w:val="00B07791"/>
    <w:rsid w:val="00B103B6"/>
    <w:rsid w:val="00B1049C"/>
    <w:rsid w:val="00B107B8"/>
    <w:rsid w:val="00B10934"/>
    <w:rsid w:val="00B109EB"/>
    <w:rsid w:val="00B10F97"/>
    <w:rsid w:val="00B1136A"/>
    <w:rsid w:val="00B11AAA"/>
    <w:rsid w:val="00B11D24"/>
    <w:rsid w:val="00B11F5D"/>
    <w:rsid w:val="00B127E5"/>
    <w:rsid w:val="00B128EE"/>
    <w:rsid w:val="00B12D5E"/>
    <w:rsid w:val="00B1321D"/>
    <w:rsid w:val="00B138DD"/>
    <w:rsid w:val="00B13D6B"/>
    <w:rsid w:val="00B14157"/>
    <w:rsid w:val="00B145C5"/>
    <w:rsid w:val="00B1469E"/>
    <w:rsid w:val="00B14C9A"/>
    <w:rsid w:val="00B150EA"/>
    <w:rsid w:val="00B15522"/>
    <w:rsid w:val="00B15958"/>
    <w:rsid w:val="00B15F62"/>
    <w:rsid w:val="00B1651B"/>
    <w:rsid w:val="00B168F0"/>
    <w:rsid w:val="00B16F4F"/>
    <w:rsid w:val="00B17A3F"/>
    <w:rsid w:val="00B17E03"/>
    <w:rsid w:val="00B21F07"/>
    <w:rsid w:val="00B2213B"/>
    <w:rsid w:val="00B22C73"/>
    <w:rsid w:val="00B231A9"/>
    <w:rsid w:val="00B236CF"/>
    <w:rsid w:val="00B23AF6"/>
    <w:rsid w:val="00B24AE0"/>
    <w:rsid w:val="00B2506E"/>
    <w:rsid w:val="00B25485"/>
    <w:rsid w:val="00B2572A"/>
    <w:rsid w:val="00B257D8"/>
    <w:rsid w:val="00B262BE"/>
    <w:rsid w:val="00B26CCD"/>
    <w:rsid w:val="00B27303"/>
    <w:rsid w:val="00B2732D"/>
    <w:rsid w:val="00B2785C"/>
    <w:rsid w:val="00B27972"/>
    <w:rsid w:val="00B27F92"/>
    <w:rsid w:val="00B300C1"/>
    <w:rsid w:val="00B3033F"/>
    <w:rsid w:val="00B3060A"/>
    <w:rsid w:val="00B318E2"/>
    <w:rsid w:val="00B32353"/>
    <w:rsid w:val="00B3257E"/>
    <w:rsid w:val="00B32672"/>
    <w:rsid w:val="00B33E42"/>
    <w:rsid w:val="00B3409C"/>
    <w:rsid w:val="00B345FA"/>
    <w:rsid w:val="00B34C41"/>
    <w:rsid w:val="00B34FF5"/>
    <w:rsid w:val="00B3516F"/>
    <w:rsid w:val="00B354C7"/>
    <w:rsid w:val="00B35B46"/>
    <w:rsid w:val="00B35BEC"/>
    <w:rsid w:val="00B3630F"/>
    <w:rsid w:val="00B37536"/>
    <w:rsid w:val="00B37772"/>
    <w:rsid w:val="00B37A72"/>
    <w:rsid w:val="00B40485"/>
    <w:rsid w:val="00B40543"/>
    <w:rsid w:val="00B40CAF"/>
    <w:rsid w:val="00B4107B"/>
    <w:rsid w:val="00B410D4"/>
    <w:rsid w:val="00B4121B"/>
    <w:rsid w:val="00B4220E"/>
    <w:rsid w:val="00B42375"/>
    <w:rsid w:val="00B42E87"/>
    <w:rsid w:val="00B42ED1"/>
    <w:rsid w:val="00B435F1"/>
    <w:rsid w:val="00B43A92"/>
    <w:rsid w:val="00B43ED7"/>
    <w:rsid w:val="00B4409D"/>
    <w:rsid w:val="00B44130"/>
    <w:rsid w:val="00B44413"/>
    <w:rsid w:val="00B44A9C"/>
    <w:rsid w:val="00B44B91"/>
    <w:rsid w:val="00B44BAA"/>
    <w:rsid w:val="00B44F85"/>
    <w:rsid w:val="00B450B7"/>
    <w:rsid w:val="00B4546F"/>
    <w:rsid w:val="00B4557E"/>
    <w:rsid w:val="00B45B65"/>
    <w:rsid w:val="00B45BB9"/>
    <w:rsid w:val="00B45BBF"/>
    <w:rsid w:val="00B45D0D"/>
    <w:rsid w:val="00B461CE"/>
    <w:rsid w:val="00B46208"/>
    <w:rsid w:val="00B46800"/>
    <w:rsid w:val="00B46E23"/>
    <w:rsid w:val="00B472BD"/>
    <w:rsid w:val="00B47F97"/>
    <w:rsid w:val="00B507BE"/>
    <w:rsid w:val="00B51243"/>
    <w:rsid w:val="00B513F3"/>
    <w:rsid w:val="00B51A3C"/>
    <w:rsid w:val="00B52080"/>
    <w:rsid w:val="00B52109"/>
    <w:rsid w:val="00B52461"/>
    <w:rsid w:val="00B53403"/>
    <w:rsid w:val="00B539FA"/>
    <w:rsid w:val="00B53D07"/>
    <w:rsid w:val="00B53E79"/>
    <w:rsid w:val="00B53EB6"/>
    <w:rsid w:val="00B53F8B"/>
    <w:rsid w:val="00B54049"/>
    <w:rsid w:val="00B544D9"/>
    <w:rsid w:val="00B5468A"/>
    <w:rsid w:val="00B54CAD"/>
    <w:rsid w:val="00B54D4C"/>
    <w:rsid w:val="00B54EF0"/>
    <w:rsid w:val="00B55194"/>
    <w:rsid w:val="00B556B4"/>
    <w:rsid w:val="00B55913"/>
    <w:rsid w:val="00B560F7"/>
    <w:rsid w:val="00B5619D"/>
    <w:rsid w:val="00B56242"/>
    <w:rsid w:val="00B564C2"/>
    <w:rsid w:val="00B56712"/>
    <w:rsid w:val="00B56B4A"/>
    <w:rsid w:val="00B576F5"/>
    <w:rsid w:val="00B57920"/>
    <w:rsid w:val="00B579D8"/>
    <w:rsid w:val="00B57D28"/>
    <w:rsid w:val="00B60694"/>
    <w:rsid w:val="00B609CC"/>
    <w:rsid w:val="00B6159C"/>
    <w:rsid w:val="00B61A24"/>
    <w:rsid w:val="00B63944"/>
    <w:rsid w:val="00B6483A"/>
    <w:rsid w:val="00B6500A"/>
    <w:rsid w:val="00B65278"/>
    <w:rsid w:val="00B65C6F"/>
    <w:rsid w:val="00B65C89"/>
    <w:rsid w:val="00B65E9E"/>
    <w:rsid w:val="00B66BD2"/>
    <w:rsid w:val="00B66D00"/>
    <w:rsid w:val="00B66DBF"/>
    <w:rsid w:val="00B66F10"/>
    <w:rsid w:val="00B67494"/>
    <w:rsid w:val="00B67A1D"/>
    <w:rsid w:val="00B67BF0"/>
    <w:rsid w:val="00B67C50"/>
    <w:rsid w:val="00B67CC4"/>
    <w:rsid w:val="00B67D9C"/>
    <w:rsid w:val="00B70489"/>
    <w:rsid w:val="00B70939"/>
    <w:rsid w:val="00B70A20"/>
    <w:rsid w:val="00B71F47"/>
    <w:rsid w:val="00B72A9F"/>
    <w:rsid w:val="00B72C30"/>
    <w:rsid w:val="00B72D45"/>
    <w:rsid w:val="00B73F0B"/>
    <w:rsid w:val="00B74055"/>
    <w:rsid w:val="00B748FD"/>
    <w:rsid w:val="00B74B87"/>
    <w:rsid w:val="00B75232"/>
    <w:rsid w:val="00B7583E"/>
    <w:rsid w:val="00B75F0B"/>
    <w:rsid w:val="00B7635A"/>
    <w:rsid w:val="00B767BF"/>
    <w:rsid w:val="00B76E2A"/>
    <w:rsid w:val="00B76E70"/>
    <w:rsid w:val="00B76E87"/>
    <w:rsid w:val="00B76EC8"/>
    <w:rsid w:val="00B76FD8"/>
    <w:rsid w:val="00B775A4"/>
    <w:rsid w:val="00B801BC"/>
    <w:rsid w:val="00B80511"/>
    <w:rsid w:val="00B80F5E"/>
    <w:rsid w:val="00B811D1"/>
    <w:rsid w:val="00B81422"/>
    <w:rsid w:val="00B81F67"/>
    <w:rsid w:val="00B822E0"/>
    <w:rsid w:val="00B825A4"/>
    <w:rsid w:val="00B8267D"/>
    <w:rsid w:val="00B836FD"/>
    <w:rsid w:val="00B83EDF"/>
    <w:rsid w:val="00B8458A"/>
    <w:rsid w:val="00B848C9"/>
    <w:rsid w:val="00B848D0"/>
    <w:rsid w:val="00B85233"/>
    <w:rsid w:val="00B85910"/>
    <w:rsid w:val="00B859C4"/>
    <w:rsid w:val="00B85B1A"/>
    <w:rsid w:val="00B85CEA"/>
    <w:rsid w:val="00B86476"/>
    <w:rsid w:val="00B86579"/>
    <w:rsid w:val="00B8685A"/>
    <w:rsid w:val="00B86A0C"/>
    <w:rsid w:val="00B8741C"/>
    <w:rsid w:val="00B879F2"/>
    <w:rsid w:val="00B87B1A"/>
    <w:rsid w:val="00B87C1F"/>
    <w:rsid w:val="00B87CD1"/>
    <w:rsid w:val="00B9057B"/>
    <w:rsid w:val="00B906FB"/>
    <w:rsid w:val="00B90995"/>
    <w:rsid w:val="00B916CE"/>
    <w:rsid w:val="00B91D78"/>
    <w:rsid w:val="00B92165"/>
    <w:rsid w:val="00B925E0"/>
    <w:rsid w:val="00B9261A"/>
    <w:rsid w:val="00B92966"/>
    <w:rsid w:val="00B92A1D"/>
    <w:rsid w:val="00B92FF1"/>
    <w:rsid w:val="00B93054"/>
    <w:rsid w:val="00B93FB9"/>
    <w:rsid w:val="00B9550F"/>
    <w:rsid w:val="00B955F6"/>
    <w:rsid w:val="00B95907"/>
    <w:rsid w:val="00B95C71"/>
    <w:rsid w:val="00B966A2"/>
    <w:rsid w:val="00B96771"/>
    <w:rsid w:val="00B969E9"/>
    <w:rsid w:val="00B972CF"/>
    <w:rsid w:val="00B9762C"/>
    <w:rsid w:val="00B97860"/>
    <w:rsid w:val="00B97B0D"/>
    <w:rsid w:val="00B97B56"/>
    <w:rsid w:val="00B97D35"/>
    <w:rsid w:val="00B97F24"/>
    <w:rsid w:val="00BA00E5"/>
    <w:rsid w:val="00BA0ED8"/>
    <w:rsid w:val="00BA1189"/>
    <w:rsid w:val="00BA1203"/>
    <w:rsid w:val="00BA16AE"/>
    <w:rsid w:val="00BA1AE5"/>
    <w:rsid w:val="00BA1CE2"/>
    <w:rsid w:val="00BA200C"/>
    <w:rsid w:val="00BA2927"/>
    <w:rsid w:val="00BA2F9A"/>
    <w:rsid w:val="00BA4239"/>
    <w:rsid w:val="00BA4381"/>
    <w:rsid w:val="00BA44B2"/>
    <w:rsid w:val="00BA46D4"/>
    <w:rsid w:val="00BA47FE"/>
    <w:rsid w:val="00BA4A3F"/>
    <w:rsid w:val="00BA4B5F"/>
    <w:rsid w:val="00BA526B"/>
    <w:rsid w:val="00BA5409"/>
    <w:rsid w:val="00BA54AA"/>
    <w:rsid w:val="00BA5771"/>
    <w:rsid w:val="00BA5B85"/>
    <w:rsid w:val="00BA5E11"/>
    <w:rsid w:val="00BA67E4"/>
    <w:rsid w:val="00BA69E2"/>
    <w:rsid w:val="00BA6F55"/>
    <w:rsid w:val="00BA7001"/>
    <w:rsid w:val="00BA7004"/>
    <w:rsid w:val="00BA79F8"/>
    <w:rsid w:val="00BA7AC5"/>
    <w:rsid w:val="00BA7FE4"/>
    <w:rsid w:val="00BA7FE6"/>
    <w:rsid w:val="00BB0929"/>
    <w:rsid w:val="00BB0CA1"/>
    <w:rsid w:val="00BB1120"/>
    <w:rsid w:val="00BB13B2"/>
    <w:rsid w:val="00BB143C"/>
    <w:rsid w:val="00BB1507"/>
    <w:rsid w:val="00BB297A"/>
    <w:rsid w:val="00BB2E0D"/>
    <w:rsid w:val="00BB41BA"/>
    <w:rsid w:val="00BB42A4"/>
    <w:rsid w:val="00BB47E6"/>
    <w:rsid w:val="00BB53D3"/>
    <w:rsid w:val="00BB5B33"/>
    <w:rsid w:val="00BB650C"/>
    <w:rsid w:val="00BB6ABB"/>
    <w:rsid w:val="00BB6EA3"/>
    <w:rsid w:val="00BB7A7B"/>
    <w:rsid w:val="00BB7DB7"/>
    <w:rsid w:val="00BB7E41"/>
    <w:rsid w:val="00BC0006"/>
    <w:rsid w:val="00BC0104"/>
    <w:rsid w:val="00BC0732"/>
    <w:rsid w:val="00BC07B7"/>
    <w:rsid w:val="00BC114A"/>
    <w:rsid w:val="00BC130E"/>
    <w:rsid w:val="00BC19C3"/>
    <w:rsid w:val="00BC1DD5"/>
    <w:rsid w:val="00BC1F08"/>
    <w:rsid w:val="00BC2468"/>
    <w:rsid w:val="00BC29D9"/>
    <w:rsid w:val="00BC2ABD"/>
    <w:rsid w:val="00BC2AF0"/>
    <w:rsid w:val="00BC3319"/>
    <w:rsid w:val="00BC3387"/>
    <w:rsid w:val="00BC35D2"/>
    <w:rsid w:val="00BC386D"/>
    <w:rsid w:val="00BC3C28"/>
    <w:rsid w:val="00BC3EF1"/>
    <w:rsid w:val="00BC3F4F"/>
    <w:rsid w:val="00BC4201"/>
    <w:rsid w:val="00BC42DD"/>
    <w:rsid w:val="00BC4681"/>
    <w:rsid w:val="00BC4A82"/>
    <w:rsid w:val="00BC5626"/>
    <w:rsid w:val="00BC5A44"/>
    <w:rsid w:val="00BC5BC9"/>
    <w:rsid w:val="00BC63A5"/>
    <w:rsid w:val="00BC6702"/>
    <w:rsid w:val="00BC691F"/>
    <w:rsid w:val="00BC6946"/>
    <w:rsid w:val="00BC7D73"/>
    <w:rsid w:val="00BC7F2E"/>
    <w:rsid w:val="00BD01A4"/>
    <w:rsid w:val="00BD02FD"/>
    <w:rsid w:val="00BD0AD1"/>
    <w:rsid w:val="00BD0B52"/>
    <w:rsid w:val="00BD1EDD"/>
    <w:rsid w:val="00BD1F8A"/>
    <w:rsid w:val="00BD1FB1"/>
    <w:rsid w:val="00BD1FDD"/>
    <w:rsid w:val="00BD229F"/>
    <w:rsid w:val="00BD244F"/>
    <w:rsid w:val="00BD2812"/>
    <w:rsid w:val="00BD322A"/>
    <w:rsid w:val="00BD3682"/>
    <w:rsid w:val="00BD38A6"/>
    <w:rsid w:val="00BD3F5C"/>
    <w:rsid w:val="00BD4637"/>
    <w:rsid w:val="00BD49AF"/>
    <w:rsid w:val="00BD4DC8"/>
    <w:rsid w:val="00BD4E0B"/>
    <w:rsid w:val="00BD5100"/>
    <w:rsid w:val="00BD566C"/>
    <w:rsid w:val="00BD61C7"/>
    <w:rsid w:val="00BD7769"/>
    <w:rsid w:val="00BD7A77"/>
    <w:rsid w:val="00BD7CA4"/>
    <w:rsid w:val="00BE0130"/>
    <w:rsid w:val="00BE0485"/>
    <w:rsid w:val="00BE127F"/>
    <w:rsid w:val="00BE1860"/>
    <w:rsid w:val="00BE224A"/>
    <w:rsid w:val="00BE243F"/>
    <w:rsid w:val="00BE24A4"/>
    <w:rsid w:val="00BE2557"/>
    <w:rsid w:val="00BE26AA"/>
    <w:rsid w:val="00BE2718"/>
    <w:rsid w:val="00BE271F"/>
    <w:rsid w:val="00BE2AAA"/>
    <w:rsid w:val="00BE2CE0"/>
    <w:rsid w:val="00BE328F"/>
    <w:rsid w:val="00BE3579"/>
    <w:rsid w:val="00BE3F89"/>
    <w:rsid w:val="00BE4835"/>
    <w:rsid w:val="00BE4B80"/>
    <w:rsid w:val="00BE4DC9"/>
    <w:rsid w:val="00BE4E9E"/>
    <w:rsid w:val="00BE52DC"/>
    <w:rsid w:val="00BE53F3"/>
    <w:rsid w:val="00BE5AC1"/>
    <w:rsid w:val="00BE5EFC"/>
    <w:rsid w:val="00BE6178"/>
    <w:rsid w:val="00BE65BD"/>
    <w:rsid w:val="00BF02C2"/>
    <w:rsid w:val="00BF0380"/>
    <w:rsid w:val="00BF0F9F"/>
    <w:rsid w:val="00BF1123"/>
    <w:rsid w:val="00BF2210"/>
    <w:rsid w:val="00BF2600"/>
    <w:rsid w:val="00BF3006"/>
    <w:rsid w:val="00BF3BC1"/>
    <w:rsid w:val="00BF419B"/>
    <w:rsid w:val="00BF4C93"/>
    <w:rsid w:val="00BF4E17"/>
    <w:rsid w:val="00BF4EAF"/>
    <w:rsid w:val="00BF5381"/>
    <w:rsid w:val="00BF56AD"/>
    <w:rsid w:val="00BF56FA"/>
    <w:rsid w:val="00BF5ADB"/>
    <w:rsid w:val="00BF5DA5"/>
    <w:rsid w:val="00BF6B0F"/>
    <w:rsid w:val="00BF721C"/>
    <w:rsid w:val="00BF7AFE"/>
    <w:rsid w:val="00C0066C"/>
    <w:rsid w:val="00C01406"/>
    <w:rsid w:val="00C01703"/>
    <w:rsid w:val="00C01D93"/>
    <w:rsid w:val="00C02F7F"/>
    <w:rsid w:val="00C03D44"/>
    <w:rsid w:val="00C040AF"/>
    <w:rsid w:val="00C0424F"/>
    <w:rsid w:val="00C043CD"/>
    <w:rsid w:val="00C048C3"/>
    <w:rsid w:val="00C04A8F"/>
    <w:rsid w:val="00C053FC"/>
    <w:rsid w:val="00C05D18"/>
    <w:rsid w:val="00C06BC7"/>
    <w:rsid w:val="00C06F6D"/>
    <w:rsid w:val="00C0780E"/>
    <w:rsid w:val="00C10048"/>
    <w:rsid w:val="00C100FA"/>
    <w:rsid w:val="00C10160"/>
    <w:rsid w:val="00C11200"/>
    <w:rsid w:val="00C11201"/>
    <w:rsid w:val="00C11271"/>
    <w:rsid w:val="00C11854"/>
    <w:rsid w:val="00C118DC"/>
    <w:rsid w:val="00C131D8"/>
    <w:rsid w:val="00C13BB4"/>
    <w:rsid w:val="00C142F8"/>
    <w:rsid w:val="00C14552"/>
    <w:rsid w:val="00C14622"/>
    <w:rsid w:val="00C1489E"/>
    <w:rsid w:val="00C14CD2"/>
    <w:rsid w:val="00C14F45"/>
    <w:rsid w:val="00C15233"/>
    <w:rsid w:val="00C15347"/>
    <w:rsid w:val="00C15485"/>
    <w:rsid w:val="00C157AF"/>
    <w:rsid w:val="00C15818"/>
    <w:rsid w:val="00C15A81"/>
    <w:rsid w:val="00C15AAE"/>
    <w:rsid w:val="00C162C9"/>
    <w:rsid w:val="00C17379"/>
    <w:rsid w:val="00C17950"/>
    <w:rsid w:val="00C20E2C"/>
    <w:rsid w:val="00C21BF2"/>
    <w:rsid w:val="00C21F5D"/>
    <w:rsid w:val="00C2202F"/>
    <w:rsid w:val="00C22247"/>
    <w:rsid w:val="00C23485"/>
    <w:rsid w:val="00C23C68"/>
    <w:rsid w:val="00C2451E"/>
    <w:rsid w:val="00C25110"/>
    <w:rsid w:val="00C254F1"/>
    <w:rsid w:val="00C25A57"/>
    <w:rsid w:val="00C262E4"/>
    <w:rsid w:val="00C26408"/>
    <w:rsid w:val="00C26855"/>
    <w:rsid w:val="00C26B1E"/>
    <w:rsid w:val="00C26D4F"/>
    <w:rsid w:val="00C272BA"/>
    <w:rsid w:val="00C30738"/>
    <w:rsid w:val="00C3117E"/>
    <w:rsid w:val="00C3126D"/>
    <w:rsid w:val="00C31ADB"/>
    <w:rsid w:val="00C31E57"/>
    <w:rsid w:val="00C3217F"/>
    <w:rsid w:val="00C32261"/>
    <w:rsid w:val="00C32659"/>
    <w:rsid w:val="00C327BD"/>
    <w:rsid w:val="00C33FD1"/>
    <w:rsid w:val="00C34322"/>
    <w:rsid w:val="00C344C3"/>
    <w:rsid w:val="00C34665"/>
    <w:rsid w:val="00C348BD"/>
    <w:rsid w:val="00C34A25"/>
    <w:rsid w:val="00C34AD0"/>
    <w:rsid w:val="00C34F7E"/>
    <w:rsid w:val="00C36CD0"/>
    <w:rsid w:val="00C36EF5"/>
    <w:rsid w:val="00C37429"/>
    <w:rsid w:val="00C403BB"/>
    <w:rsid w:val="00C40EEC"/>
    <w:rsid w:val="00C411E2"/>
    <w:rsid w:val="00C41967"/>
    <w:rsid w:val="00C41CC5"/>
    <w:rsid w:val="00C421DA"/>
    <w:rsid w:val="00C42A28"/>
    <w:rsid w:val="00C42DF2"/>
    <w:rsid w:val="00C42E56"/>
    <w:rsid w:val="00C42E96"/>
    <w:rsid w:val="00C4308F"/>
    <w:rsid w:val="00C43334"/>
    <w:rsid w:val="00C43A9E"/>
    <w:rsid w:val="00C43C4C"/>
    <w:rsid w:val="00C43DFB"/>
    <w:rsid w:val="00C44902"/>
    <w:rsid w:val="00C44AB3"/>
    <w:rsid w:val="00C455A3"/>
    <w:rsid w:val="00C4620C"/>
    <w:rsid w:val="00C46A97"/>
    <w:rsid w:val="00C46B08"/>
    <w:rsid w:val="00C47B6B"/>
    <w:rsid w:val="00C50176"/>
    <w:rsid w:val="00C505EB"/>
    <w:rsid w:val="00C505F6"/>
    <w:rsid w:val="00C5073A"/>
    <w:rsid w:val="00C508CC"/>
    <w:rsid w:val="00C50B84"/>
    <w:rsid w:val="00C511C1"/>
    <w:rsid w:val="00C51394"/>
    <w:rsid w:val="00C51B50"/>
    <w:rsid w:val="00C52932"/>
    <w:rsid w:val="00C52F04"/>
    <w:rsid w:val="00C53091"/>
    <w:rsid w:val="00C53409"/>
    <w:rsid w:val="00C5345D"/>
    <w:rsid w:val="00C534D2"/>
    <w:rsid w:val="00C53D21"/>
    <w:rsid w:val="00C53E56"/>
    <w:rsid w:val="00C53F10"/>
    <w:rsid w:val="00C548AF"/>
    <w:rsid w:val="00C550E1"/>
    <w:rsid w:val="00C55346"/>
    <w:rsid w:val="00C5562E"/>
    <w:rsid w:val="00C559E9"/>
    <w:rsid w:val="00C55E3C"/>
    <w:rsid w:val="00C56451"/>
    <w:rsid w:val="00C5649C"/>
    <w:rsid w:val="00C56867"/>
    <w:rsid w:val="00C5771B"/>
    <w:rsid w:val="00C577C0"/>
    <w:rsid w:val="00C57B32"/>
    <w:rsid w:val="00C6000A"/>
    <w:rsid w:val="00C60383"/>
    <w:rsid w:val="00C60575"/>
    <w:rsid w:val="00C60B50"/>
    <w:rsid w:val="00C60CEE"/>
    <w:rsid w:val="00C614A8"/>
    <w:rsid w:val="00C61B3F"/>
    <w:rsid w:val="00C61C75"/>
    <w:rsid w:val="00C61CD1"/>
    <w:rsid w:val="00C61DFC"/>
    <w:rsid w:val="00C61E9E"/>
    <w:rsid w:val="00C624A4"/>
    <w:rsid w:val="00C62DA9"/>
    <w:rsid w:val="00C62E80"/>
    <w:rsid w:val="00C6318E"/>
    <w:rsid w:val="00C63A03"/>
    <w:rsid w:val="00C646D5"/>
    <w:rsid w:val="00C64A24"/>
    <w:rsid w:val="00C64EB4"/>
    <w:rsid w:val="00C652E4"/>
    <w:rsid w:val="00C66320"/>
    <w:rsid w:val="00C6683E"/>
    <w:rsid w:val="00C66B99"/>
    <w:rsid w:val="00C6703C"/>
    <w:rsid w:val="00C6718B"/>
    <w:rsid w:val="00C67873"/>
    <w:rsid w:val="00C679D0"/>
    <w:rsid w:val="00C67C17"/>
    <w:rsid w:val="00C67DB8"/>
    <w:rsid w:val="00C70134"/>
    <w:rsid w:val="00C7066B"/>
    <w:rsid w:val="00C709B5"/>
    <w:rsid w:val="00C70C73"/>
    <w:rsid w:val="00C71625"/>
    <w:rsid w:val="00C717B3"/>
    <w:rsid w:val="00C71DA3"/>
    <w:rsid w:val="00C72343"/>
    <w:rsid w:val="00C73CD2"/>
    <w:rsid w:val="00C743AF"/>
    <w:rsid w:val="00C7446A"/>
    <w:rsid w:val="00C74677"/>
    <w:rsid w:val="00C75101"/>
    <w:rsid w:val="00C75806"/>
    <w:rsid w:val="00C75CBA"/>
    <w:rsid w:val="00C75EA3"/>
    <w:rsid w:val="00C765F1"/>
    <w:rsid w:val="00C766F1"/>
    <w:rsid w:val="00C7682D"/>
    <w:rsid w:val="00C7755D"/>
    <w:rsid w:val="00C77735"/>
    <w:rsid w:val="00C77DE2"/>
    <w:rsid w:val="00C8003C"/>
    <w:rsid w:val="00C802AC"/>
    <w:rsid w:val="00C809FA"/>
    <w:rsid w:val="00C8155F"/>
    <w:rsid w:val="00C81674"/>
    <w:rsid w:val="00C818AC"/>
    <w:rsid w:val="00C82735"/>
    <w:rsid w:val="00C82880"/>
    <w:rsid w:val="00C828F6"/>
    <w:rsid w:val="00C8294F"/>
    <w:rsid w:val="00C82986"/>
    <w:rsid w:val="00C83440"/>
    <w:rsid w:val="00C837B8"/>
    <w:rsid w:val="00C83AC3"/>
    <w:rsid w:val="00C83F9E"/>
    <w:rsid w:val="00C84DB5"/>
    <w:rsid w:val="00C8523E"/>
    <w:rsid w:val="00C858FB"/>
    <w:rsid w:val="00C85C39"/>
    <w:rsid w:val="00C8622E"/>
    <w:rsid w:val="00C86E51"/>
    <w:rsid w:val="00C86E68"/>
    <w:rsid w:val="00C8721F"/>
    <w:rsid w:val="00C87498"/>
    <w:rsid w:val="00C875D3"/>
    <w:rsid w:val="00C877F5"/>
    <w:rsid w:val="00C903F8"/>
    <w:rsid w:val="00C91663"/>
    <w:rsid w:val="00C91959"/>
    <w:rsid w:val="00C91C76"/>
    <w:rsid w:val="00C92395"/>
    <w:rsid w:val="00C923CA"/>
    <w:rsid w:val="00C92488"/>
    <w:rsid w:val="00C92650"/>
    <w:rsid w:val="00C92DC6"/>
    <w:rsid w:val="00C92F83"/>
    <w:rsid w:val="00C93474"/>
    <w:rsid w:val="00C93498"/>
    <w:rsid w:val="00C9479B"/>
    <w:rsid w:val="00C947A0"/>
    <w:rsid w:val="00C9516F"/>
    <w:rsid w:val="00C9528D"/>
    <w:rsid w:val="00C954F8"/>
    <w:rsid w:val="00C95AB7"/>
    <w:rsid w:val="00C95EEF"/>
    <w:rsid w:val="00C9604C"/>
    <w:rsid w:val="00C960D6"/>
    <w:rsid w:val="00C96150"/>
    <w:rsid w:val="00C96524"/>
    <w:rsid w:val="00C96A29"/>
    <w:rsid w:val="00C97980"/>
    <w:rsid w:val="00C97C23"/>
    <w:rsid w:val="00CA021B"/>
    <w:rsid w:val="00CA0440"/>
    <w:rsid w:val="00CA0684"/>
    <w:rsid w:val="00CA0CB6"/>
    <w:rsid w:val="00CA1F98"/>
    <w:rsid w:val="00CA23BA"/>
    <w:rsid w:val="00CA2E42"/>
    <w:rsid w:val="00CA2E8C"/>
    <w:rsid w:val="00CA3099"/>
    <w:rsid w:val="00CA3354"/>
    <w:rsid w:val="00CA3A26"/>
    <w:rsid w:val="00CA3C02"/>
    <w:rsid w:val="00CA3E6A"/>
    <w:rsid w:val="00CA4626"/>
    <w:rsid w:val="00CA5101"/>
    <w:rsid w:val="00CA54E9"/>
    <w:rsid w:val="00CA5A37"/>
    <w:rsid w:val="00CA64B8"/>
    <w:rsid w:val="00CA7054"/>
    <w:rsid w:val="00CB00A4"/>
    <w:rsid w:val="00CB0423"/>
    <w:rsid w:val="00CB060D"/>
    <w:rsid w:val="00CB0BB8"/>
    <w:rsid w:val="00CB148D"/>
    <w:rsid w:val="00CB184C"/>
    <w:rsid w:val="00CB1F1F"/>
    <w:rsid w:val="00CB2CD0"/>
    <w:rsid w:val="00CB31F4"/>
    <w:rsid w:val="00CB37C8"/>
    <w:rsid w:val="00CB3D28"/>
    <w:rsid w:val="00CB4282"/>
    <w:rsid w:val="00CB43B2"/>
    <w:rsid w:val="00CB481B"/>
    <w:rsid w:val="00CB50ED"/>
    <w:rsid w:val="00CB514C"/>
    <w:rsid w:val="00CB5699"/>
    <w:rsid w:val="00CB59CE"/>
    <w:rsid w:val="00CB5D1D"/>
    <w:rsid w:val="00CB61BC"/>
    <w:rsid w:val="00CB6270"/>
    <w:rsid w:val="00CB6B97"/>
    <w:rsid w:val="00CB6C36"/>
    <w:rsid w:val="00CB72D8"/>
    <w:rsid w:val="00CC0912"/>
    <w:rsid w:val="00CC0959"/>
    <w:rsid w:val="00CC0F7A"/>
    <w:rsid w:val="00CC1DCD"/>
    <w:rsid w:val="00CC1E3A"/>
    <w:rsid w:val="00CC1F71"/>
    <w:rsid w:val="00CC2338"/>
    <w:rsid w:val="00CC2509"/>
    <w:rsid w:val="00CC3707"/>
    <w:rsid w:val="00CC3F79"/>
    <w:rsid w:val="00CC4029"/>
    <w:rsid w:val="00CC4173"/>
    <w:rsid w:val="00CC46A0"/>
    <w:rsid w:val="00CC4840"/>
    <w:rsid w:val="00CC4C1D"/>
    <w:rsid w:val="00CC508A"/>
    <w:rsid w:val="00CC50A9"/>
    <w:rsid w:val="00CC50B1"/>
    <w:rsid w:val="00CC54EF"/>
    <w:rsid w:val="00CC5D7D"/>
    <w:rsid w:val="00CC5F6E"/>
    <w:rsid w:val="00CC6CFD"/>
    <w:rsid w:val="00CC6D6D"/>
    <w:rsid w:val="00CC6E40"/>
    <w:rsid w:val="00CC70CF"/>
    <w:rsid w:val="00CC73DA"/>
    <w:rsid w:val="00CC7F55"/>
    <w:rsid w:val="00CD070C"/>
    <w:rsid w:val="00CD07EA"/>
    <w:rsid w:val="00CD092E"/>
    <w:rsid w:val="00CD0C84"/>
    <w:rsid w:val="00CD104F"/>
    <w:rsid w:val="00CD1593"/>
    <w:rsid w:val="00CD1EA2"/>
    <w:rsid w:val="00CD2094"/>
    <w:rsid w:val="00CD2124"/>
    <w:rsid w:val="00CD23DE"/>
    <w:rsid w:val="00CD2FBF"/>
    <w:rsid w:val="00CD30E3"/>
    <w:rsid w:val="00CD34C2"/>
    <w:rsid w:val="00CD3A1C"/>
    <w:rsid w:val="00CD4722"/>
    <w:rsid w:val="00CD5BD8"/>
    <w:rsid w:val="00CD60F0"/>
    <w:rsid w:val="00CD676D"/>
    <w:rsid w:val="00CD6B82"/>
    <w:rsid w:val="00CD6C26"/>
    <w:rsid w:val="00CD7753"/>
    <w:rsid w:val="00CD7831"/>
    <w:rsid w:val="00CD7C64"/>
    <w:rsid w:val="00CE09FF"/>
    <w:rsid w:val="00CE13A2"/>
    <w:rsid w:val="00CE209C"/>
    <w:rsid w:val="00CE228E"/>
    <w:rsid w:val="00CE2DDB"/>
    <w:rsid w:val="00CE30F1"/>
    <w:rsid w:val="00CE355E"/>
    <w:rsid w:val="00CE3624"/>
    <w:rsid w:val="00CE3C07"/>
    <w:rsid w:val="00CE4378"/>
    <w:rsid w:val="00CE43F5"/>
    <w:rsid w:val="00CE4762"/>
    <w:rsid w:val="00CE4A86"/>
    <w:rsid w:val="00CE4B7D"/>
    <w:rsid w:val="00CE50BF"/>
    <w:rsid w:val="00CE5790"/>
    <w:rsid w:val="00CE5B4C"/>
    <w:rsid w:val="00CE5B85"/>
    <w:rsid w:val="00CE6D02"/>
    <w:rsid w:val="00CE70F7"/>
    <w:rsid w:val="00CE74F2"/>
    <w:rsid w:val="00CE79DB"/>
    <w:rsid w:val="00CE7AB6"/>
    <w:rsid w:val="00CF0284"/>
    <w:rsid w:val="00CF034A"/>
    <w:rsid w:val="00CF0430"/>
    <w:rsid w:val="00CF0829"/>
    <w:rsid w:val="00CF0AAF"/>
    <w:rsid w:val="00CF0B83"/>
    <w:rsid w:val="00CF1062"/>
    <w:rsid w:val="00CF150A"/>
    <w:rsid w:val="00CF1941"/>
    <w:rsid w:val="00CF22F5"/>
    <w:rsid w:val="00CF25CA"/>
    <w:rsid w:val="00CF37C1"/>
    <w:rsid w:val="00CF39DB"/>
    <w:rsid w:val="00CF4868"/>
    <w:rsid w:val="00CF49BD"/>
    <w:rsid w:val="00CF4C67"/>
    <w:rsid w:val="00CF5270"/>
    <w:rsid w:val="00CF5495"/>
    <w:rsid w:val="00CF5AD6"/>
    <w:rsid w:val="00CF5C02"/>
    <w:rsid w:val="00CF5E43"/>
    <w:rsid w:val="00CF6703"/>
    <w:rsid w:val="00CF6A16"/>
    <w:rsid w:val="00CF6FA9"/>
    <w:rsid w:val="00D006E3"/>
    <w:rsid w:val="00D00A9E"/>
    <w:rsid w:val="00D00DBD"/>
    <w:rsid w:val="00D01772"/>
    <w:rsid w:val="00D01827"/>
    <w:rsid w:val="00D01B41"/>
    <w:rsid w:val="00D01E7A"/>
    <w:rsid w:val="00D01F64"/>
    <w:rsid w:val="00D02166"/>
    <w:rsid w:val="00D0240E"/>
    <w:rsid w:val="00D02823"/>
    <w:rsid w:val="00D037EF"/>
    <w:rsid w:val="00D039AC"/>
    <w:rsid w:val="00D03E2F"/>
    <w:rsid w:val="00D0580F"/>
    <w:rsid w:val="00D05AE3"/>
    <w:rsid w:val="00D05D16"/>
    <w:rsid w:val="00D05F4F"/>
    <w:rsid w:val="00D05FC5"/>
    <w:rsid w:val="00D06297"/>
    <w:rsid w:val="00D06629"/>
    <w:rsid w:val="00D0678B"/>
    <w:rsid w:val="00D06E6B"/>
    <w:rsid w:val="00D0725F"/>
    <w:rsid w:val="00D077CC"/>
    <w:rsid w:val="00D07BAB"/>
    <w:rsid w:val="00D07CC8"/>
    <w:rsid w:val="00D07DE0"/>
    <w:rsid w:val="00D10387"/>
    <w:rsid w:val="00D1042B"/>
    <w:rsid w:val="00D10BDC"/>
    <w:rsid w:val="00D10C7F"/>
    <w:rsid w:val="00D123D6"/>
    <w:rsid w:val="00D12CFD"/>
    <w:rsid w:val="00D13E0E"/>
    <w:rsid w:val="00D13FFC"/>
    <w:rsid w:val="00D14173"/>
    <w:rsid w:val="00D14291"/>
    <w:rsid w:val="00D144EE"/>
    <w:rsid w:val="00D14743"/>
    <w:rsid w:val="00D14D18"/>
    <w:rsid w:val="00D14DE1"/>
    <w:rsid w:val="00D15977"/>
    <w:rsid w:val="00D15CC0"/>
    <w:rsid w:val="00D165C7"/>
    <w:rsid w:val="00D166B5"/>
    <w:rsid w:val="00D16A0A"/>
    <w:rsid w:val="00D16B9D"/>
    <w:rsid w:val="00D16BAD"/>
    <w:rsid w:val="00D16E46"/>
    <w:rsid w:val="00D172A8"/>
    <w:rsid w:val="00D17949"/>
    <w:rsid w:val="00D17CE8"/>
    <w:rsid w:val="00D209D8"/>
    <w:rsid w:val="00D21B2D"/>
    <w:rsid w:val="00D21F8E"/>
    <w:rsid w:val="00D227D6"/>
    <w:rsid w:val="00D22AA0"/>
    <w:rsid w:val="00D23B38"/>
    <w:rsid w:val="00D23C63"/>
    <w:rsid w:val="00D23E23"/>
    <w:rsid w:val="00D23FF1"/>
    <w:rsid w:val="00D24907"/>
    <w:rsid w:val="00D25442"/>
    <w:rsid w:val="00D25769"/>
    <w:rsid w:val="00D25B17"/>
    <w:rsid w:val="00D25C01"/>
    <w:rsid w:val="00D25C3C"/>
    <w:rsid w:val="00D260F0"/>
    <w:rsid w:val="00D26644"/>
    <w:rsid w:val="00D26AF1"/>
    <w:rsid w:val="00D26E45"/>
    <w:rsid w:val="00D27663"/>
    <w:rsid w:val="00D27692"/>
    <w:rsid w:val="00D2793B"/>
    <w:rsid w:val="00D27BA8"/>
    <w:rsid w:val="00D27D39"/>
    <w:rsid w:val="00D27DF9"/>
    <w:rsid w:val="00D30B12"/>
    <w:rsid w:val="00D31793"/>
    <w:rsid w:val="00D323D7"/>
    <w:rsid w:val="00D330B9"/>
    <w:rsid w:val="00D33378"/>
    <w:rsid w:val="00D33DBF"/>
    <w:rsid w:val="00D34507"/>
    <w:rsid w:val="00D34EE9"/>
    <w:rsid w:val="00D34F66"/>
    <w:rsid w:val="00D35047"/>
    <w:rsid w:val="00D3579F"/>
    <w:rsid w:val="00D35C0D"/>
    <w:rsid w:val="00D36191"/>
    <w:rsid w:val="00D36389"/>
    <w:rsid w:val="00D36934"/>
    <w:rsid w:val="00D3770B"/>
    <w:rsid w:val="00D377F2"/>
    <w:rsid w:val="00D402FB"/>
    <w:rsid w:val="00D40540"/>
    <w:rsid w:val="00D40781"/>
    <w:rsid w:val="00D40A9C"/>
    <w:rsid w:val="00D415DC"/>
    <w:rsid w:val="00D416A0"/>
    <w:rsid w:val="00D416BD"/>
    <w:rsid w:val="00D41A1D"/>
    <w:rsid w:val="00D41A74"/>
    <w:rsid w:val="00D420B2"/>
    <w:rsid w:val="00D42BA6"/>
    <w:rsid w:val="00D42D84"/>
    <w:rsid w:val="00D430AC"/>
    <w:rsid w:val="00D43767"/>
    <w:rsid w:val="00D4392F"/>
    <w:rsid w:val="00D44024"/>
    <w:rsid w:val="00D440C4"/>
    <w:rsid w:val="00D441CB"/>
    <w:rsid w:val="00D443EE"/>
    <w:rsid w:val="00D44E1A"/>
    <w:rsid w:val="00D45CB4"/>
    <w:rsid w:val="00D45E88"/>
    <w:rsid w:val="00D45F69"/>
    <w:rsid w:val="00D45F76"/>
    <w:rsid w:val="00D4639B"/>
    <w:rsid w:val="00D465EF"/>
    <w:rsid w:val="00D4692D"/>
    <w:rsid w:val="00D46E43"/>
    <w:rsid w:val="00D46E50"/>
    <w:rsid w:val="00D47051"/>
    <w:rsid w:val="00D47586"/>
    <w:rsid w:val="00D47C1F"/>
    <w:rsid w:val="00D50E29"/>
    <w:rsid w:val="00D5110E"/>
    <w:rsid w:val="00D514E2"/>
    <w:rsid w:val="00D51707"/>
    <w:rsid w:val="00D51DBE"/>
    <w:rsid w:val="00D52B6C"/>
    <w:rsid w:val="00D52FCD"/>
    <w:rsid w:val="00D5385B"/>
    <w:rsid w:val="00D53FF7"/>
    <w:rsid w:val="00D5408C"/>
    <w:rsid w:val="00D54C3C"/>
    <w:rsid w:val="00D555E3"/>
    <w:rsid w:val="00D56480"/>
    <w:rsid w:val="00D566AC"/>
    <w:rsid w:val="00D56BB8"/>
    <w:rsid w:val="00D6010B"/>
    <w:rsid w:val="00D60233"/>
    <w:rsid w:val="00D60BAF"/>
    <w:rsid w:val="00D61387"/>
    <w:rsid w:val="00D613A1"/>
    <w:rsid w:val="00D6150C"/>
    <w:rsid w:val="00D61A55"/>
    <w:rsid w:val="00D61E55"/>
    <w:rsid w:val="00D62090"/>
    <w:rsid w:val="00D6215D"/>
    <w:rsid w:val="00D62184"/>
    <w:rsid w:val="00D628DD"/>
    <w:rsid w:val="00D63520"/>
    <w:rsid w:val="00D6456A"/>
    <w:rsid w:val="00D647BD"/>
    <w:rsid w:val="00D6488F"/>
    <w:rsid w:val="00D64A39"/>
    <w:rsid w:val="00D64B15"/>
    <w:rsid w:val="00D64D13"/>
    <w:rsid w:val="00D64D91"/>
    <w:rsid w:val="00D653D1"/>
    <w:rsid w:val="00D65DAF"/>
    <w:rsid w:val="00D65F40"/>
    <w:rsid w:val="00D65FD1"/>
    <w:rsid w:val="00D6635E"/>
    <w:rsid w:val="00D6646D"/>
    <w:rsid w:val="00D6672C"/>
    <w:rsid w:val="00D66A8F"/>
    <w:rsid w:val="00D66C48"/>
    <w:rsid w:val="00D67788"/>
    <w:rsid w:val="00D67A01"/>
    <w:rsid w:val="00D67A9B"/>
    <w:rsid w:val="00D700D5"/>
    <w:rsid w:val="00D7139B"/>
    <w:rsid w:val="00D716DF"/>
    <w:rsid w:val="00D71A43"/>
    <w:rsid w:val="00D71D55"/>
    <w:rsid w:val="00D72096"/>
    <w:rsid w:val="00D73009"/>
    <w:rsid w:val="00D7363F"/>
    <w:rsid w:val="00D7365C"/>
    <w:rsid w:val="00D73F43"/>
    <w:rsid w:val="00D745B2"/>
    <w:rsid w:val="00D74BC4"/>
    <w:rsid w:val="00D74FA1"/>
    <w:rsid w:val="00D75410"/>
    <w:rsid w:val="00D75E48"/>
    <w:rsid w:val="00D76BA2"/>
    <w:rsid w:val="00D76FC1"/>
    <w:rsid w:val="00D80F59"/>
    <w:rsid w:val="00D80F61"/>
    <w:rsid w:val="00D80F6F"/>
    <w:rsid w:val="00D811EC"/>
    <w:rsid w:val="00D817B8"/>
    <w:rsid w:val="00D81A5B"/>
    <w:rsid w:val="00D81A87"/>
    <w:rsid w:val="00D81D28"/>
    <w:rsid w:val="00D82267"/>
    <w:rsid w:val="00D82DA7"/>
    <w:rsid w:val="00D82E5A"/>
    <w:rsid w:val="00D832EB"/>
    <w:rsid w:val="00D83BE9"/>
    <w:rsid w:val="00D84665"/>
    <w:rsid w:val="00D84E2E"/>
    <w:rsid w:val="00D85508"/>
    <w:rsid w:val="00D85580"/>
    <w:rsid w:val="00D8581B"/>
    <w:rsid w:val="00D85B27"/>
    <w:rsid w:val="00D85F6B"/>
    <w:rsid w:val="00D8638F"/>
    <w:rsid w:val="00D8665B"/>
    <w:rsid w:val="00D86B24"/>
    <w:rsid w:val="00D86BD1"/>
    <w:rsid w:val="00D8755C"/>
    <w:rsid w:val="00D875AC"/>
    <w:rsid w:val="00D877FE"/>
    <w:rsid w:val="00D87EE1"/>
    <w:rsid w:val="00D908C7"/>
    <w:rsid w:val="00D90D85"/>
    <w:rsid w:val="00D91374"/>
    <w:rsid w:val="00D92AFD"/>
    <w:rsid w:val="00D932FB"/>
    <w:rsid w:val="00D933A9"/>
    <w:rsid w:val="00D93473"/>
    <w:rsid w:val="00D93503"/>
    <w:rsid w:val="00D93C4C"/>
    <w:rsid w:val="00D940AE"/>
    <w:rsid w:val="00D9413F"/>
    <w:rsid w:val="00D95181"/>
    <w:rsid w:val="00D95259"/>
    <w:rsid w:val="00D9585C"/>
    <w:rsid w:val="00D95D24"/>
    <w:rsid w:val="00D9618B"/>
    <w:rsid w:val="00D96473"/>
    <w:rsid w:val="00D96CA3"/>
    <w:rsid w:val="00D96ECF"/>
    <w:rsid w:val="00D96F2A"/>
    <w:rsid w:val="00D97006"/>
    <w:rsid w:val="00DA0007"/>
    <w:rsid w:val="00DA01FA"/>
    <w:rsid w:val="00DA037E"/>
    <w:rsid w:val="00DA0880"/>
    <w:rsid w:val="00DA0A72"/>
    <w:rsid w:val="00DA0ED0"/>
    <w:rsid w:val="00DA14D2"/>
    <w:rsid w:val="00DA161B"/>
    <w:rsid w:val="00DA182E"/>
    <w:rsid w:val="00DA1D38"/>
    <w:rsid w:val="00DA1FBA"/>
    <w:rsid w:val="00DA212E"/>
    <w:rsid w:val="00DA26BD"/>
    <w:rsid w:val="00DA2D5F"/>
    <w:rsid w:val="00DA2FB0"/>
    <w:rsid w:val="00DA342C"/>
    <w:rsid w:val="00DA35F3"/>
    <w:rsid w:val="00DA3A59"/>
    <w:rsid w:val="00DA4101"/>
    <w:rsid w:val="00DA6A8B"/>
    <w:rsid w:val="00DA6D36"/>
    <w:rsid w:val="00DA6DCA"/>
    <w:rsid w:val="00DB02FC"/>
    <w:rsid w:val="00DB0F5C"/>
    <w:rsid w:val="00DB1436"/>
    <w:rsid w:val="00DB1AFD"/>
    <w:rsid w:val="00DB1BD9"/>
    <w:rsid w:val="00DB1DC7"/>
    <w:rsid w:val="00DB1E5F"/>
    <w:rsid w:val="00DB2BCF"/>
    <w:rsid w:val="00DB2C00"/>
    <w:rsid w:val="00DB2DA5"/>
    <w:rsid w:val="00DB3257"/>
    <w:rsid w:val="00DB3620"/>
    <w:rsid w:val="00DB3A30"/>
    <w:rsid w:val="00DB3A7A"/>
    <w:rsid w:val="00DB3EA8"/>
    <w:rsid w:val="00DB4782"/>
    <w:rsid w:val="00DB4D4C"/>
    <w:rsid w:val="00DB4DC8"/>
    <w:rsid w:val="00DB53EB"/>
    <w:rsid w:val="00DB5563"/>
    <w:rsid w:val="00DB58B8"/>
    <w:rsid w:val="00DB5AFD"/>
    <w:rsid w:val="00DB5B28"/>
    <w:rsid w:val="00DB5B67"/>
    <w:rsid w:val="00DB66C3"/>
    <w:rsid w:val="00DB6C6B"/>
    <w:rsid w:val="00DB7D85"/>
    <w:rsid w:val="00DC008E"/>
    <w:rsid w:val="00DC0B59"/>
    <w:rsid w:val="00DC12F5"/>
    <w:rsid w:val="00DC1868"/>
    <w:rsid w:val="00DC1E22"/>
    <w:rsid w:val="00DC20D0"/>
    <w:rsid w:val="00DC2860"/>
    <w:rsid w:val="00DC28F4"/>
    <w:rsid w:val="00DC3148"/>
    <w:rsid w:val="00DC33D6"/>
    <w:rsid w:val="00DC34B6"/>
    <w:rsid w:val="00DC46F5"/>
    <w:rsid w:val="00DC492E"/>
    <w:rsid w:val="00DC4CE2"/>
    <w:rsid w:val="00DC5599"/>
    <w:rsid w:val="00DC6017"/>
    <w:rsid w:val="00DC69AD"/>
    <w:rsid w:val="00DC73BA"/>
    <w:rsid w:val="00DC765B"/>
    <w:rsid w:val="00DC77B8"/>
    <w:rsid w:val="00DC7919"/>
    <w:rsid w:val="00DC7E50"/>
    <w:rsid w:val="00DD035A"/>
    <w:rsid w:val="00DD0C86"/>
    <w:rsid w:val="00DD127E"/>
    <w:rsid w:val="00DD1449"/>
    <w:rsid w:val="00DD1830"/>
    <w:rsid w:val="00DD1A65"/>
    <w:rsid w:val="00DD1C05"/>
    <w:rsid w:val="00DD1D38"/>
    <w:rsid w:val="00DD1F43"/>
    <w:rsid w:val="00DD1FA1"/>
    <w:rsid w:val="00DD292B"/>
    <w:rsid w:val="00DD3042"/>
    <w:rsid w:val="00DD3701"/>
    <w:rsid w:val="00DD388B"/>
    <w:rsid w:val="00DD3B66"/>
    <w:rsid w:val="00DD4404"/>
    <w:rsid w:val="00DD4557"/>
    <w:rsid w:val="00DD50F5"/>
    <w:rsid w:val="00DD5B8D"/>
    <w:rsid w:val="00DD5FCB"/>
    <w:rsid w:val="00DD6CBB"/>
    <w:rsid w:val="00DD6D8B"/>
    <w:rsid w:val="00DD754E"/>
    <w:rsid w:val="00DE1552"/>
    <w:rsid w:val="00DE1EB7"/>
    <w:rsid w:val="00DE25A2"/>
    <w:rsid w:val="00DE26A6"/>
    <w:rsid w:val="00DE2A81"/>
    <w:rsid w:val="00DE306B"/>
    <w:rsid w:val="00DE37A7"/>
    <w:rsid w:val="00DE5198"/>
    <w:rsid w:val="00DE59E2"/>
    <w:rsid w:val="00DE5FA4"/>
    <w:rsid w:val="00DE61F5"/>
    <w:rsid w:val="00DE6D47"/>
    <w:rsid w:val="00DE729B"/>
    <w:rsid w:val="00DE736C"/>
    <w:rsid w:val="00DE781B"/>
    <w:rsid w:val="00DF00B1"/>
    <w:rsid w:val="00DF0C00"/>
    <w:rsid w:val="00DF0FDF"/>
    <w:rsid w:val="00DF1358"/>
    <w:rsid w:val="00DF185D"/>
    <w:rsid w:val="00DF193F"/>
    <w:rsid w:val="00DF1B57"/>
    <w:rsid w:val="00DF22C5"/>
    <w:rsid w:val="00DF24D1"/>
    <w:rsid w:val="00DF2C0A"/>
    <w:rsid w:val="00DF2DB2"/>
    <w:rsid w:val="00DF2FD8"/>
    <w:rsid w:val="00DF3088"/>
    <w:rsid w:val="00DF3482"/>
    <w:rsid w:val="00DF378E"/>
    <w:rsid w:val="00DF3A5F"/>
    <w:rsid w:val="00DF42A0"/>
    <w:rsid w:val="00DF479F"/>
    <w:rsid w:val="00DF5950"/>
    <w:rsid w:val="00DF602A"/>
    <w:rsid w:val="00DF6239"/>
    <w:rsid w:val="00DF66AE"/>
    <w:rsid w:val="00DF6DD1"/>
    <w:rsid w:val="00DF791E"/>
    <w:rsid w:val="00DF794A"/>
    <w:rsid w:val="00DF7D2E"/>
    <w:rsid w:val="00E0001F"/>
    <w:rsid w:val="00E00E51"/>
    <w:rsid w:val="00E0118B"/>
    <w:rsid w:val="00E0173A"/>
    <w:rsid w:val="00E019B9"/>
    <w:rsid w:val="00E023B7"/>
    <w:rsid w:val="00E028C9"/>
    <w:rsid w:val="00E02DF3"/>
    <w:rsid w:val="00E02E70"/>
    <w:rsid w:val="00E0382D"/>
    <w:rsid w:val="00E03970"/>
    <w:rsid w:val="00E03A6F"/>
    <w:rsid w:val="00E03B91"/>
    <w:rsid w:val="00E046C8"/>
    <w:rsid w:val="00E04D8F"/>
    <w:rsid w:val="00E052F0"/>
    <w:rsid w:val="00E05639"/>
    <w:rsid w:val="00E05F19"/>
    <w:rsid w:val="00E060FB"/>
    <w:rsid w:val="00E063F4"/>
    <w:rsid w:val="00E06B34"/>
    <w:rsid w:val="00E06DD8"/>
    <w:rsid w:val="00E07027"/>
    <w:rsid w:val="00E070A2"/>
    <w:rsid w:val="00E07734"/>
    <w:rsid w:val="00E07FEC"/>
    <w:rsid w:val="00E10335"/>
    <w:rsid w:val="00E10825"/>
    <w:rsid w:val="00E10923"/>
    <w:rsid w:val="00E119A7"/>
    <w:rsid w:val="00E11DC5"/>
    <w:rsid w:val="00E11F4E"/>
    <w:rsid w:val="00E12754"/>
    <w:rsid w:val="00E129A3"/>
    <w:rsid w:val="00E12BBD"/>
    <w:rsid w:val="00E12C7D"/>
    <w:rsid w:val="00E142E3"/>
    <w:rsid w:val="00E16B29"/>
    <w:rsid w:val="00E16E2E"/>
    <w:rsid w:val="00E1739A"/>
    <w:rsid w:val="00E17E05"/>
    <w:rsid w:val="00E20777"/>
    <w:rsid w:val="00E20A74"/>
    <w:rsid w:val="00E211CF"/>
    <w:rsid w:val="00E21489"/>
    <w:rsid w:val="00E219C0"/>
    <w:rsid w:val="00E22008"/>
    <w:rsid w:val="00E22140"/>
    <w:rsid w:val="00E22590"/>
    <w:rsid w:val="00E228FF"/>
    <w:rsid w:val="00E22E1D"/>
    <w:rsid w:val="00E2352C"/>
    <w:rsid w:val="00E23DFC"/>
    <w:rsid w:val="00E23FDB"/>
    <w:rsid w:val="00E24146"/>
    <w:rsid w:val="00E241CA"/>
    <w:rsid w:val="00E2424E"/>
    <w:rsid w:val="00E2459F"/>
    <w:rsid w:val="00E24729"/>
    <w:rsid w:val="00E2562B"/>
    <w:rsid w:val="00E25AE5"/>
    <w:rsid w:val="00E25DCD"/>
    <w:rsid w:val="00E2611C"/>
    <w:rsid w:val="00E26131"/>
    <w:rsid w:val="00E26431"/>
    <w:rsid w:val="00E2650F"/>
    <w:rsid w:val="00E266AF"/>
    <w:rsid w:val="00E26935"/>
    <w:rsid w:val="00E277C8"/>
    <w:rsid w:val="00E304B4"/>
    <w:rsid w:val="00E30A68"/>
    <w:rsid w:val="00E3165C"/>
    <w:rsid w:val="00E31D6E"/>
    <w:rsid w:val="00E3244D"/>
    <w:rsid w:val="00E3245C"/>
    <w:rsid w:val="00E325DA"/>
    <w:rsid w:val="00E32BAE"/>
    <w:rsid w:val="00E33028"/>
    <w:rsid w:val="00E330F5"/>
    <w:rsid w:val="00E33246"/>
    <w:rsid w:val="00E33EC0"/>
    <w:rsid w:val="00E346BE"/>
    <w:rsid w:val="00E34C1D"/>
    <w:rsid w:val="00E35275"/>
    <w:rsid w:val="00E3549C"/>
    <w:rsid w:val="00E35A7E"/>
    <w:rsid w:val="00E36033"/>
    <w:rsid w:val="00E36131"/>
    <w:rsid w:val="00E367ED"/>
    <w:rsid w:val="00E36B6B"/>
    <w:rsid w:val="00E36F05"/>
    <w:rsid w:val="00E37434"/>
    <w:rsid w:val="00E37580"/>
    <w:rsid w:val="00E37B3A"/>
    <w:rsid w:val="00E37D69"/>
    <w:rsid w:val="00E37E68"/>
    <w:rsid w:val="00E40317"/>
    <w:rsid w:val="00E40787"/>
    <w:rsid w:val="00E40886"/>
    <w:rsid w:val="00E408EE"/>
    <w:rsid w:val="00E40B7E"/>
    <w:rsid w:val="00E40D03"/>
    <w:rsid w:val="00E4249E"/>
    <w:rsid w:val="00E42571"/>
    <w:rsid w:val="00E437D1"/>
    <w:rsid w:val="00E442C9"/>
    <w:rsid w:val="00E45CD1"/>
    <w:rsid w:val="00E45F03"/>
    <w:rsid w:val="00E45FA2"/>
    <w:rsid w:val="00E46024"/>
    <w:rsid w:val="00E46934"/>
    <w:rsid w:val="00E46B77"/>
    <w:rsid w:val="00E4706F"/>
    <w:rsid w:val="00E470B9"/>
    <w:rsid w:val="00E470F9"/>
    <w:rsid w:val="00E47A66"/>
    <w:rsid w:val="00E50287"/>
    <w:rsid w:val="00E50DCF"/>
    <w:rsid w:val="00E51A9E"/>
    <w:rsid w:val="00E51EC8"/>
    <w:rsid w:val="00E52CED"/>
    <w:rsid w:val="00E53046"/>
    <w:rsid w:val="00E53429"/>
    <w:rsid w:val="00E538B8"/>
    <w:rsid w:val="00E54374"/>
    <w:rsid w:val="00E54BEC"/>
    <w:rsid w:val="00E561AD"/>
    <w:rsid w:val="00E564EA"/>
    <w:rsid w:val="00E5685C"/>
    <w:rsid w:val="00E56F5E"/>
    <w:rsid w:val="00E570B0"/>
    <w:rsid w:val="00E57C00"/>
    <w:rsid w:val="00E60956"/>
    <w:rsid w:val="00E60A32"/>
    <w:rsid w:val="00E60C06"/>
    <w:rsid w:val="00E61655"/>
    <w:rsid w:val="00E616D9"/>
    <w:rsid w:val="00E61814"/>
    <w:rsid w:val="00E62156"/>
    <w:rsid w:val="00E623CD"/>
    <w:rsid w:val="00E624C7"/>
    <w:rsid w:val="00E62619"/>
    <w:rsid w:val="00E62BA1"/>
    <w:rsid w:val="00E63DF4"/>
    <w:rsid w:val="00E6404E"/>
    <w:rsid w:val="00E6406A"/>
    <w:rsid w:val="00E64158"/>
    <w:rsid w:val="00E645C9"/>
    <w:rsid w:val="00E645CE"/>
    <w:rsid w:val="00E647EA"/>
    <w:rsid w:val="00E648A4"/>
    <w:rsid w:val="00E64D8D"/>
    <w:rsid w:val="00E64DC4"/>
    <w:rsid w:val="00E64F3B"/>
    <w:rsid w:val="00E64F40"/>
    <w:rsid w:val="00E65637"/>
    <w:rsid w:val="00E65965"/>
    <w:rsid w:val="00E65CB9"/>
    <w:rsid w:val="00E65D4A"/>
    <w:rsid w:val="00E67533"/>
    <w:rsid w:val="00E67A84"/>
    <w:rsid w:val="00E67DE3"/>
    <w:rsid w:val="00E67E53"/>
    <w:rsid w:val="00E70600"/>
    <w:rsid w:val="00E70614"/>
    <w:rsid w:val="00E70A0F"/>
    <w:rsid w:val="00E70B96"/>
    <w:rsid w:val="00E70DD4"/>
    <w:rsid w:val="00E70FF1"/>
    <w:rsid w:val="00E7130D"/>
    <w:rsid w:val="00E71A1B"/>
    <w:rsid w:val="00E71CED"/>
    <w:rsid w:val="00E71DEE"/>
    <w:rsid w:val="00E71F68"/>
    <w:rsid w:val="00E72708"/>
    <w:rsid w:val="00E7274D"/>
    <w:rsid w:val="00E72A57"/>
    <w:rsid w:val="00E7324F"/>
    <w:rsid w:val="00E73AD4"/>
    <w:rsid w:val="00E73D58"/>
    <w:rsid w:val="00E74E0B"/>
    <w:rsid w:val="00E74E78"/>
    <w:rsid w:val="00E75E41"/>
    <w:rsid w:val="00E7667A"/>
    <w:rsid w:val="00E76985"/>
    <w:rsid w:val="00E80558"/>
    <w:rsid w:val="00E808BA"/>
    <w:rsid w:val="00E80C89"/>
    <w:rsid w:val="00E80CC9"/>
    <w:rsid w:val="00E80D55"/>
    <w:rsid w:val="00E80E6B"/>
    <w:rsid w:val="00E811DF"/>
    <w:rsid w:val="00E812C0"/>
    <w:rsid w:val="00E81A37"/>
    <w:rsid w:val="00E81A39"/>
    <w:rsid w:val="00E81B98"/>
    <w:rsid w:val="00E82935"/>
    <w:rsid w:val="00E8312A"/>
    <w:rsid w:val="00E83494"/>
    <w:rsid w:val="00E8360C"/>
    <w:rsid w:val="00E84205"/>
    <w:rsid w:val="00E8428C"/>
    <w:rsid w:val="00E843E7"/>
    <w:rsid w:val="00E846F5"/>
    <w:rsid w:val="00E84962"/>
    <w:rsid w:val="00E84E08"/>
    <w:rsid w:val="00E84E67"/>
    <w:rsid w:val="00E84FA7"/>
    <w:rsid w:val="00E85106"/>
    <w:rsid w:val="00E851DC"/>
    <w:rsid w:val="00E85253"/>
    <w:rsid w:val="00E868F8"/>
    <w:rsid w:val="00E879BB"/>
    <w:rsid w:val="00E90681"/>
    <w:rsid w:val="00E90688"/>
    <w:rsid w:val="00E909B9"/>
    <w:rsid w:val="00E90C7E"/>
    <w:rsid w:val="00E90CB8"/>
    <w:rsid w:val="00E91B3B"/>
    <w:rsid w:val="00E91B3D"/>
    <w:rsid w:val="00E91F24"/>
    <w:rsid w:val="00E9355A"/>
    <w:rsid w:val="00E9381A"/>
    <w:rsid w:val="00E948C4"/>
    <w:rsid w:val="00E94CD6"/>
    <w:rsid w:val="00E95016"/>
    <w:rsid w:val="00E959AE"/>
    <w:rsid w:val="00E95A68"/>
    <w:rsid w:val="00E95B0B"/>
    <w:rsid w:val="00E97572"/>
    <w:rsid w:val="00E97AAA"/>
    <w:rsid w:val="00E97AFF"/>
    <w:rsid w:val="00E97B59"/>
    <w:rsid w:val="00E97BF0"/>
    <w:rsid w:val="00EA05F5"/>
    <w:rsid w:val="00EA0FD1"/>
    <w:rsid w:val="00EA15F4"/>
    <w:rsid w:val="00EA16A8"/>
    <w:rsid w:val="00EA17D6"/>
    <w:rsid w:val="00EA202B"/>
    <w:rsid w:val="00EA292C"/>
    <w:rsid w:val="00EA2950"/>
    <w:rsid w:val="00EA2D5B"/>
    <w:rsid w:val="00EA3525"/>
    <w:rsid w:val="00EA383D"/>
    <w:rsid w:val="00EA466C"/>
    <w:rsid w:val="00EA4B6A"/>
    <w:rsid w:val="00EA4E63"/>
    <w:rsid w:val="00EA5097"/>
    <w:rsid w:val="00EA511C"/>
    <w:rsid w:val="00EA527A"/>
    <w:rsid w:val="00EA527D"/>
    <w:rsid w:val="00EA5DFA"/>
    <w:rsid w:val="00EA6190"/>
    <w:rsid w:val="00EA6192"/>
    <w:rsid w:val="00EA62C1"/>
    <w:rsid w:val="00EA6643"/>
    <w:rsid w:val="00EA6AB1"/>
    <w:rsid w:val="00EA7D86"/>
    <w:rsid w:val="00EB02C6"/>
    <w:rsid w:val="00EB0668"/>
    <w:rsid w:val="00EB08F1"/>
    <w:rsid w:val="00EB1067"/>
    <w:rsid w:val="00EB12C5"/>
    <w:rsid w:val="00EB12F7"/>
    <w:rsid w:val="00EB1B65"/>
    <w:rsid w:val="00EB28D2"/>
    <w:rsid w:val="00EB28ED"/>
    <w:rsid w:val="00EB2B9C"/>
    <w:rsid w:val="00EB340D"/>
    <w:rsid w:val="00EB49C1"/>
    <w:rsid w:val="00EB4C73"/>
    <w:rsid w:val="00EB4CE0"/>
    <w:rsid w:val="00EB4D3F"/>
    <w:rsid w:val="00EB5112"/>
    <w:rsid w:val="00EB54F4"/>
    <w:rsid w:val="00EB569A"/>
    <w:rsid w:val="00EB5E78"/>
    <w:rsid w:val="00EB66AB"/>
    <w:rsid w:val="00EB6A13"/>
    <w:rsid w:val="00EB6D41"/>
    <w:rsid w:val="00EB6D52"/>
    <w:rsid w:val="00EB6DAE"/>
    <w:rsid w:val="00EB7F94"/>
    <w:rsid w:val="00EC0211"/>
    <w:rsid w:val="00EC0432"/>
    <w:rsid w:val="00EC0D95"/>
    <w:rsid w:val="00EC0FF8"/>
    <w:rsid w:val="00EC10CD"/>
    <w:rsid w:val="00EC11D1"/>
    <w:rsid w:val="00EC128A"/>
    <w:rsid w:val="00EC1415"/>
    <w:rsid w:val="00EC141F"/>
    <w:rsid w:val="00EC1731"/>
    <w:rsid w:val="00EC1946"/>
    <w:rsid w:val="00EC1BC1"/>
    <w:rsid w:val="00EC22D9"/>
    <w:rsid w:val="00EC2361"/>
    <w:rsid w:val="00EC26C1"/>
    <w:rsid w:val="00EC2A87"/>
    <w:rsid w:val="00EC2F2D"/>
    <w:rsid w:val="00EC3141"/>
    <w:rsid w:val="00EC3743"/>
    <w:rsid w:val="00EC37AC"/>
    <w:rsid w:val="00EC3804"/>
    <w:rsid w:val="00EC3832"/>
    <w:rsid w:val="00EC4801"/>
    <w:rsid w:val="00EC487F"/>
    <w:rsid w:val="00EC4F4B"/>
    <w:rsid w:val="00EC5AE5"/>
    <w:rsid w:val="00EC5D0B"/>
    <w:rsid w:val="00EC5F2B"/>
    <w:rsid w:val="00EC6296"/>
    <w:rsid w:val="00EC6656"/>
    <w:rsid w:val="00EC6A7E"/>
    <w:rsid w:val="00EC6C24"/>
    <w:rsid w:val="00EC7441"/>
    <w:rsid w:val="00EC76EB"/>
    <w:rsid w:val="00ED01CE"/>
    <w:rsid w:val="00ED0388"/>
    <w:rsid w:val="00ED04E8"/>
    <w:rsid w:val="00ED06F3"/>
    <w:rsid w:val="00ED1061"/>
    <w:rsid w:val="00ED142D"/>
    <w:rsid w:val="00ED1ECE"/>
    <w:rsid w:val="00ED2062"/>
    <w:rsid w:val="00ED211C"/>
    <w:rsid w:val="00ED2757"/>
    <w:rsid w:val="00ED3456"/>
    <w:rsid w:val="00ED34D2"/>
    <w:rsid w:val="00ED39F4"/>
    <w:rsid w:val="00ED3A2D"/>
    <w:rsid w:val="00ED3EC0"/>
    <w:rsid w:val="00ED4275"/>
    <w:rsid w:val="00ED49AC"/>
    <w:rsid w:val="00ED4F85"/>
    <w:rsid w:val="00ED59BF"/>
    <w:rsid w:val="00ED5B07"/>
    <w:rsid w:val="00ED7777"/>
    <w:rsid w:val="00EE057D"/>
    <w:rsid w:val="00EE068D"/>
    <w:rsid w:val="00EE073D"/>
    <w:rsid w:val="00EE0D7C"/>
    <w:rsid w:val="00EE14A9"/>
    <w:rsid w:val="00EE17FE"/>
    <w:rsid w:val="00EE1BCE"/>
    <w:rsid w:val="00EE1C92"/>
    <w:rsid w:val="00EE2086"/>
    <w:rsid w:val="00EE2C3F"/>
    <w:rsid w:val="00EE3027"/>
    <w:rsid w:val="00EE34A0"/>
    <w:rsid w:val="00EE394F"/>
    <w:rsid w:val="00EE3CCA"/>
    <w:rsid w:val="00EE40A8"/>
    <w:rsid w:val="00EE420E"/>
    <w:rsid w:val="00EE438A"/>
    <w:rsid w:val="00EE4BA7"/>
    <w:rsid w:val="00EE52E0"/>
    <w:rsid w:val="00EE596B"/>
    <w:rsid w:val="00EE5981"/>
    <w:rsid w:val="00EE5DA6"/>
    <w:rsid w:val="00EE5ED2"/>
    <w:rsid w:val="00EE5FBB"/>
    <w:rsid w:val="00EE622A"/>
    <w:rsid w:val="00EE6307"/>
    <w:rsid w:val="00EE6398"/>
    <w:rsid w:val="00EE65AC"/>
    <w:rsid w:val="00EE6B5E"/>
    <w:rsid w:val="00EE6F31"/>
    <w:rsid w:val="00EE7C71"/>
    <w:rsid w:val="00EF05A0"/>
    <w:rsid w:val="00EF0808"/>
    <w:rsid w:val="00EF0E1A"/>
    <w:rsid w:val="00EF13BE"/>
    <w:rsid w:val="00EF2356"/>
    <w:rsid w:val="00EF247A"/>
    <w:rsid w:val="00EF2868"/>
    <w:rsid w:val="00EF3069"/>
    <w:rsid w:val="00EF36C8"/>
    <w:rsid w:val="00EF450C"/>
    <w:rsid w:val="00EF4A4D"/>
    <w:rsid w:val="00EF4D71"/>
    <w:rsid w:val="00EF5757"/>
    <w:rsid w:val="00EF5DBD"/>
    <w:rsid w:val="00EF69BC"/>
    <w:rsid w:val="00EF7680"/>
    <w:rsid w:val="00EF7962"/>
    <w:rsid w:val="00F00243"/>
    <w:rsid w:val="00F0083C"/>
    <w:rsid w:val="00F00C73"/>
    <w:rsid w:val="00F00D91"/>
    <w:rsid w:val="00F010CA"/>
    <w:rsid w:val="00F0179E"/>
    <w:rsid w:val="00F01B77"/>
    <w:rsid w:val="00F01BDF"/>
    <w:rsid w:val="00F0227F"/>
    <w:rsid w:val="00F02459"/>
    <w:rsid w:val="00F028EA"/>
    <w:rsid w:val="00F02C66"/>
    <w:rsid w:val="00F02D7A"/>
    <w:rsid w:val="00F034A0"/>
    <w:rsid w:val="00F034B8"/>
    <w:rsid w:val="00F03558"/>
    <w:rsid w:val="00F035F1"/>
    <w:rsid w:val="00F03B66"/>
    <w:rsid w:val="00F0423A"/>
    <w:rsid w:val="00F0467A"/>
    <w:rsid w:val="00F04ABF"/>
    <w:rsid w:val="00F04B9D"/>
    <w:rsid w:val="00F04E18"/>
    <w:rsid w:val="00F05301"/>
    <w:rsid w:val="00F0565D"/>
    <w:rsid w:val="00F05691"/>
    <w:rsid w:val="00F05C72"/>
    <w:rsid w:val="00F05CEA"/>
    <w:rsid w:val="00F05D0A"/>
    <w:rsid w:val="00F06093"/>
    <w:rsid w:val="00F06269"/>
    <w:rsid w:val="00F06615"/>
    <w:rsid w:val="00F067B9"/>
    <w:rsid w:val="00F0728E"/>
    <w:rsid w:val="00F072B1"/>
    <w:rsid w:val="00F07711"/>
    <w:rsid w:val="00F077A0"/>
    <w:rsid w:val="00F0799A"/>
    <w:rsid w:val="00F07A8F"/>
    <w:rsid w:val="00F10EB0"/>
    <w:rsid w:val="00F110F0"/>
    <w:rsid w:val="00F114FE"/>
    <w:rsid w:val="00F117EC"/>
    <w:rsid w:val="00F12229"/>
    <w:rsid w:val="00F124EF"/>
    <w:rsid w:val="00F13415"/>
    <w:rsid w:val="00F13827"/>
    <w:rsid w:val="00F13ACB"/>
    <w:rsid w:val="00F13F4D"/>
    <w:rsid w:val="00F14188"/>
    <w:rsid w:val="00F14202"/>
    <w:rsid w:val="00F1466A"/>
    <w:rsid w:val="00F14BB2"/>
    <w:rsid w:val="00F14C6A"/>
    <w:rsid w:val="00F14FEC"/>
    <w:rsid w:val="00F151F7"/>
    <w:rsid w:val="00F158D7"/>
    <w:rsid w:val="00F159E5"/>
    <w:rsid w:val="00F15D48"/>
    <w:rsid w:val="00F16066"/>
    <w:rsid w:val="00F172FD"/>
    <w:rsid w:val="00F17723"/>
    <w:rsid w:val="00F21036"/>
    <w:rsid w:val="00F21484"/>
    <w:rsid w:val="00F21AE3"/>
    <w:rsid w:val="00F22CDE"/>
    <w:rsid w:val="00F22D59"/>
    <w:rsid w:val="00F22E6C"/>
    <w:rsid w:val="00F23462"/>
    <w:rsid w:val="00F23C75"/>
    <w:rsid w:val="00F240F2"/>
    <w:rsid w:val="00F246A3"/>
    <w:rsid w:val="00F248C7"/>
    <w:rsid w:val="00F24B14"/>
    <w:rsid w:val="00F24DFB"/>
    <w:rsid w:val="00F2555F"/>
    <w:rsid w:val="00F25CC8"/>
    <w:rsid w:val="00F262FD"/>
    <w:rsid w:val="00F26446"/>
    <w:rsid w:val="00F27008"/>
    <w:rsid w:val="00F27914"/>
    <w:rsid w:val="00F27FE3"/>
    <w:rsid w:val="00F27FF5"/>
    <w:rsid w:val="00F3035C"/>
    <w:rsid w:val="00F305A2"/>
    <w:rsid w:val="00F30924"/>
    <w:rsid w:val="00F30A5C"/>
    <w:rsid w:val="00F30F17"/>
    <w:rsid w:val="00F31BED"/>
    <w:rsid w:val="00F32442"/>
    <w:rsid w:val="00F329AD"/>
    <w:rsid w:val="00F32D4F"/>
    <w:rsid w:val="00F33138"/>
    <w:rsid w:val="00F33144"/>
    <w:rsid w:val="00F333DD"/>
    <w:rsid w:val="00F33563"/>
    <w:rsid w:val="00F33874"/>
    <w:rsid w:val="00F3399E"/>
    <w:rsid w:val="00F33C04"/>
    <w:rsid w:val="00F35886"/>
    <w:rsid w:val="00F3589E"/>
    <w:rsid w:val="00F35921"/>
    <w:rsid w:val="00F35F67"/>
    <w:rsid w:val="00F37316"/>
    <w:rsid w:val="00F402F1"/>
    <w:rsid w:val="00F4050D"/>
    <w:rsid w:val="00F4097C"/>
    <w:rsid w:val="00F40C22"/>
    <w:rsid w:val="00F41011"/>
    <w:rsid w:val="00F41B79"/>
    <w:rsid w:val="00F420CB"/>
    <w:rsid w:val="00F42626"/>
    <w:rsid w:val="00F43360"/>
    <w:rsid w:val="00F43B5B"/>
    <w:rsid w:val="00F43D77"/>
    <w:rsid w:val="00F43E69"/>
    <w:rsid w:val="00F44109"/>
    <w:rsid w:val="00F441E2"/>
    <w:rsid w:val="00F443EB"/>
    <w:rsid w:val="00F445FF"/>
    <w:rsid w:val="00F44B68"/>
    <w:rsid w:val="00F45730"/>
    <w:rsid w:val="00F46138"/>
    <w:rsid w:val="00F462B3"/>
    <w:rsid w:val="00F467E9"/>
    <w:rsid w:val="00F46B46"/>
    <w:rsid w:val="00F475F1"/>
    <w:rsid w:val="00F47A84"/>
    <w:rsid w:val="00F5017F"/>
    <w:rsid w:val="00F5070A"/>
    <w:rsid w:val="00F50B5D"/>
    <w:rsid w:val="00F5101F"/>
    <w:rsid w:val="00F51764"/>
    <w:rsid w:val="00F51DAF"/>
    <w:rsid w:val="00F5218A"/>
    <w:rsid w:val="00F521AF"/>
    <w:rsid w:val="00F52437"/>
    <w:rsid w:val="00F52479"/>
    <w:rsid w:val="00F52947"/>
    <w:rsid w:val="00F52A8D"/>
    <w:rsid w:val="00F52BF3"/>
    <w:rsid w:val="00F5347C"/>
    <w:rsid w:val="00F53870"/>
    <w:rsid w:val="00F538AD"/>
    <w:rsid w:val="00F53EAA"/>
    <w:rsid w:val="00F53FA4"/>
    <w:rsid w:val="00F5403E"/>
    <w:rsid w:val="00F54237"/>
    <w:rsid w:val="00F545EE"/>
    <w:rsid w:val="00F5550E"/>
    <w:rsid w:val="00F5576D"/>
    <w:rsid w:val="00F55DD5"/>
    <w:rsid w:val="00F56134"/>
    <w:rsid w:val="00F563DB"/>
    <w:rsid w:val="00F5692F"/>
    <w:rsid w:val="00F57013"/>
    <w:rsid w:val="00F57A7E"/>
    <w:rsid w:val="00F57C8A"/>
    <w:rsid w:val="00F57D37"/>
    <w:rsid w:val="00F57D40"/>
    <w:rsid w:val="00F57D48"/>
    <w:rsid w:val="00F6057E"/>
    <w:rsid w:val="00F618DF"/>
    <w:rsid w:val="00F61E23"/>
    <w:rsid w:val="00F61E7A"/>
    <w:rsid w:val="00F61EE3"/>
    <w:rsid w:val="00F62680"/>
    <w:rsid w:val="00F62742"/>
    <w:rsid w:val="00F63037"/>
    <w:rsid w:val="00F632DF"/>
    <w:rsid w:val="00F6348C"/>
    <w:rsid w:val="00F648BE"/>
    <w:rsid w:val="00F64D0C"/>
    <w:rsid w:val="00F656F8"/>
    <w:rsid w:val="00F65837"/>
    <w:rsid w:val="00F662A9"/>
    <w:rsid w:val="00F664D9"/>
    <w:rsid w:val="00F66753"/>
    <w:rsid w:val="00F66B98"/>
    <w:rsid w:val="00F67004"/>
    <w:rsid w:val="00F6707A"/>
    <w:rsid w:val="00F671BF"/>
    <w:rsid w:val="00F67966"/>
    <w:rsid w:val="00F67C0A"/>
    <w:rsid w:val="00F67F72"/>
    <w:rsid w:val="00F70300"/>
    <w:rsid w:val="00F70320"/>
    <w:rsid w:val="00F7045D"/>
    <w:rsid w:val="00F70698"/>
    <w:rsid w:val="00F70C2B"/>
    <w:rsid w:val="00F7127E"/>
    <w:rsid w:val="00F7149A"/>
    <w:rsid w:val="00F71898"/>
    <w:rsid w:val="00F71C53"/>
    <w:rsid w:val="00F7255F"/>
    <w:rsid w:val="00F72697"/>
    <w:rsid w:val="00F738A5"/>
    <w:rsid w:val="00F740CB"/>
    <w:rsid w:val="00F752D1"/>
    <w:rsid w:val="00F756A9"/>
    <w:rsid w:val="00F75776"/>
    <w:rsid w:val="00F75E07"/>
    <w:rsid w:val="00F769C9"/>
    <w:rsid w:val="00F7761E"/>
    <w:rsid w:val="00F777D5"/>
    <w:rsid w:val="00F800CA"/>
    <w:rsid w:val="00F80BBB"/>
    <w:rsid w:val="00F80C59"/>
    <w:rsid w:val="00F81ACE"/>
    <w:rsid w:val="00F8219E"/>
    <w:rsid w:val="00F83236"/>
    <w:rsid w:val="00F83411"/>
    <w:rsid w:val="00F84AEF"/>
    <w:rsid w:val="00F84C45"/>
    <w:rsid w:val="00F84EA7"/>
    <w:rsid w:val="00F853F6"/>
    <w:rsid w:val="00F854D0"/>
    <w:rsid w:val="00F85F14"/>
    <w:rsid w:val="00F86547"/>
    <w:rsid w:val="00F86D36"/>
    <w:rsid w:val="00F870EF"/>
    <w:rsid w:val="00F875F3"/>
    <w:rsid w:val="00F879C3"/>
    <w:rsid w:val="00F87E3B"/>
    <w:rsid w:val="00F91085"/>
    <w:rsid w:val="00F910CA"/>
    <w:rsid w:val="00F9195C"/>
    <w:rsid w:val="00F91F3E"/>
    <w:rsid w:val="00F92228"/>
    <w:rsid w:val="00F92832"/>
    <w:rsid w:val="00F92BE4"/>
    <w:rsid w:val="00F92CF9"/>
    <w:rsid w:val="00F9337E"/>
    <w:rsid w:val="00F93F45"/>
    <w:rsid w:val="00F93FC4"/>
    <w:rsid w:val="00F947DA"/>
    <w:rsid w:val="00F94A2B"/>
    <w:rsid w:val="00F94BDF"/>
    <w:rsid w:val="00F94E0F"/>
    <w:rsid w:val="00F95B4F"/>
    <w:rsid w:val="00F9601A"/>
    <w:rsid w:val="00F96948"/>
    <w:rsid w:val="00F96AB8"/>
    <w:rsid w:val="00F96BD4"/>
    <w:rsid w:val="00F96E08"/>
    <w:rsid w:val="00F96E7D"/>
    <w:rsid w:val="00F9717D"/>
    <w:rsid w:val="00F97909"/>
    <w:rsid w:val="00F97AB3"/>
    <w:rsid w:val="00F97DEF"/>
    <w:rsid w:val="00F97E25"/>
    <w:rsid w:val="00F97F2E"/>
    <w:rsid w:val="00FA053C"/>
    <w:rsid w:val="00FA0712"/>
    <w:rsid w:val="00FA0836"/>
    <w:rsid w:val="00FA0940"/>
    <w:rsid w:val="00FA0B53"/>
    <w:rsid w:val="00FA119A"/>
    <w:rsid w:val="00FA152A"/>
    <w:rsid w:val="00FA1FCC"/>
    <w:rsid w:val="00FA225C"/>
    <w:rsid w:val="00FA284B"/>
    <w:rsid w:val="00FA33B4"/>
    <w:rsid w:val="00FA421E"/>
    <w:rsid w:val="00FA4A87"/>
    <w:rsid w:val="00FA4E89"/>
    <w:rsid w:val="00FA534A"/>
    <w:rsid w:val="00FA58D2"/>
    <w:rsid w:val="00FA58E4"/>
    <w:rsid w:val="00FA60B0"/>
    <w:rsid w:val="00FA60D0"/>
    <w:rsid w:val="00FA68F2"/>
    <w:rsid w:val="00FA6DE0"/>
    <w:rsid w:val="00FA70F5"/>
    <w:rsid w:val="00FA735F"/>
    <w:rsid w:val="00FA7882"/>
    <w:rsid w:val="00FB017A"/>
    <w:rsid w:val="00FB07D8"/>
    <w:rsid w:val="00FB0A8C"/>
    <w:rsid w:val="00FB11AC"/>
    <w:rsid w:val="00FB1385"/>
    <w:rsid w:val="00FB17E9"/>
    <w:rsid w:val="00FB18FE"/>
    <w:rsid w:val="00FB1918"/>
    <w:rsid w:val="00FB21B4"/>
    <w:rsid w:val="00FB244A"/>
    <w:rsid w:val="00FB2D88"/>
    <w:rsid w:val="00FB2EB2"/>
    <w:rsid w:val="00FB2F58"/>
    <w:rsid w:val="00FB3895"/>
    <w:rsid w:val="00FB3AB2"/>
    <w:rsid w:val="00FB40B4"/>
    <w:rsid w:val="00FB48B5"/>
    <w:rsid w:val="00FB4A00"/>
    <w:rsid w:val="00FB4B9C"/>
    <w:rsid w:val="00FB5212"/>
    <w:rsid w:val="00FB5924"/>
    <w:rsid w:val="00FB5C49"/>
    <w:rsid w:val="00FB5DF7"/>
    <w:rsid w:val="00FB6116"/>
    <w:rsid w:val="00FB65B6"/>
    <w:rsid w:val="00FB6984"/>
    <w:rsid w:val="00FB7611"/>
    <w:rsid w:val="00FB769B"/>
    <w:rsid w:val="00FC0955"/>
    <w:rsid w:val="00FC0B4C"/>
    <w:rsid w:val="00FC14D2"/>
    <w:rsid w:val="00FC15CD"/>
    <w:rsid w:val="00FC198D"/>
    <w:rsid w:val="00FC1A1E"/>
    <w:rsid w:val="00FC1E7E"/>
    <w:rsid w:val="00FC2640"/>
    <w:rsid w:val="00FC271E"/>
    <w:rsid w:val="00FC2854"/>
    <w:rsid w:val="00FC2AA4"/>
    <w:rsid w:val="00FC3409"/>
    <w:rsid w:val="00FC34B6"/>
    <w:rsid w:val="00FC3B02"/>
    <w:rsid w:val="00FC4483"/>
    <w:rsid w:val="00FC4AD5"/>
    <w:rsid w:val="00FC5628"/>
    <w:rsid w:val="00FC5A57"/>
    <w:rsid w:val="00FC644F"/>
    <w:rsid w:val="00FC6792"/>
    <w:rsid w:val="00FC683D"/>
    <w:rsid w:val="00FD0266"/>
    <w:rsid w:val="00FD04FA"/>
    <w:rsid w:val="00FD0924"/>
    <w:rsid w:val="00FD0E26"/>
    <w:rsid w:val="00FD110F"/>
    <w:rsid w:val="00FD20EA"/>
    <w:rsid w:val="00FD21F5"/>
    <w:rsid w:val="00FD2284"/>
    <w:rsid w:val="00FD2912"/>
    <w:rsid w:val="00FD2988"/>
    <w:rsid w:val="00FD34A1"/>
    <w:rsid w:val="00FD3501"/>
    <w:rsid w:val="00FD3B8E"/>
    <w:rsid w:val="00FD3DFD"/>
    <w:rsid w:val="00FD3E6F"/>
    <w:rsid w:val="00FD4370"/>
    <w:rsid w:val="00FD4554"/>
    <w:rsid w:val="00FD4626"/>
    <w:rsid w:val="00FD4E05"/>
    <w:rsid w:val="00FD4F2A"/>
    <w:rsid w:val="00FD4F84"/>
    <w:rsid w:val="00FD5131"/>
    <w:rsid w:val="00FD521F"/>
    <w:rsid w:val="00FD5481"/>
    <w:rsid w:val="00FD552F"/>
    <w:rsid w:val="00FD5734"/>
    <w:rsid w:val="00FD5B78"/>
    <w:rsid w:val="00FD5FB5"/>
    <w:rsid w:val="00FD6AFF"/>
    <w:rsid w:val="00FD6F0C"/>
    <w:rsid w:val="00FD74E9"/>
    <w:rsid w:val="00FD764D"/>
    <w:rsid w:val="00FD76C4"/>
    <w:rsid w:val="00FD7D4A"/>
    <w:rsid w:val="00FD7D84"/>
    <w:rsid w:val="00FE0006"/>
    <w:rsid w:val="00FE066C"/>
    <w:rsid w:val="00FE0971"/>
    <w:rsid w:val="00FE1634"/>
    <w:rsid w:val="00FE1CB5"/>
    <w:rsid w:val="00FE1F9E"/>
    <w:rsid w:val="00FE2075"/>
    <w:rsid w:val="00FE221C"/>
    <w:rsid w:val="00FE22FE"/>
    <w:rsid w:val="00FE2804"/>
    <w:rsid w:val="00FE28E9"/>
    <w:rsid w:val="00FE31BD"/>
    <w:rsid w:val="00FE3421"/>
    <w:rsid w:val="00FE34AD"/>
    <w:rsid w:val="00FE359E"/>
    <w:rsid w:val="00FE37F4"/>
    <w:rsid w:val="00FE5107"/>
    <w:rsid w:val="00FE5BB2"/>
    <w:rsid w:val="00FE5E19"/>
    <w:rsid w:val="00FF0EC2"/>
    <w:rsid w:val="00FF1041"/>
    <w:rsid w:val="00FF1365"/>
    <w:rsid w:val="00FF29C4"/>
    <w:rsid w:val="00FF2DDF"/>
    <w:rsid w:val="00FF2FD6"/>
    <w:rsid w:val="00FF3224"/>
    <w:rsid w:val="00FF3436"/>
    <w:rsid w:val="00FF3448"/>
    <w:rsid w:val="00FF3835"/>
    <w:rsid w:val="00FF3A49"/>
    <w:rsid w:val="00FF3DB3"/>
    <w:rsid w:val="00FF42CF"/>
    <w:rsid w:val="00FF4508"/>
    <w:rsid w:val="00FF4666"/>
    <w:rsid w:val="00FF46F6"/>
    <w:rsid w:val="00FF4FD4"/>
    <w:rsid w:val="00FF54CD"/>
    <w:rsid w:val="00FF5811"/>
    <w:rsid w:val="00FF62A7"/>
    <w:rsid w:val="00FF635B"/>
    <w:rsid w:val="00FF71E1"/>
    <w:rsid w:val="00FF7630"/>
    <w:rsid w:val="02EBEA23"/>
    <w:rsid w:val="030EFE11"/>
    <w:rsid w:val="0827BF7E"/>
    <w:rsid w:val="08EDE23D"/>
    <w:rsid w:val="0ABBCCEE"/>
    <w:rsid w:val="0CA463F5"/>
    <w:rsid w:val="0D231115"/>
    <w:rsid w:val="0F0AC8D1"/>
    <w:rsid w:val="12CD1346"/>
    <w:rsid w:val="12D97243"/>
    <w:rsid w:val="17318F70"/>
    <w:rsid w:val="18A1B638"/>
    <w:rsid w:val="19C3C06B"/>
    <w:rsid w:val="1DFACFEE"/>
    <w:rsid w:val="2718B084"/>
    <w:rsid w:val="28446230"/>
    <w:rsid w:val="29604C17"/>
    <w:rsid w:val="2A2E8EBB"/>
    <w:rsid w:val="31EE297F"/>
    <w:rsid w:val="353FEF5D"/>
    <w:rsid w:val="4053B541"/>
    <w:rsid w:val="47158B60"/>
    <w:rsid w:val="47737147"/>
    <w:rsid w:val="47BCE0D6"/>
    <w:rsid w:val="49B4B73C"/>
    <w:rsid w:val="4C4DE533"/>
    <w:rsid w:val="4D630292"/>
    <w:rsid w:val="4E4C6D12"/>
    <w:rsid w:val="4EEFDCFC"/>
    <w:rsid w:val="4FFE5875"/>
    <w:rsid w:val="5791C160"/>
    <w:rsid w:val="5DED8315"/>
    <w:rsid w:val="5F00FC04"/>
    <w:rsid w:val="644CB4D9"/>
    <w:rsid w:val="6DC8A7F4"/>
    <w:rsid w:val="6F969191"/>
    <w:rsid w:val="7192C2FC"/>
    <w:rsid w:val="78C95D57"/>
    <w:rsid w:val="7B523E32"/>
    <w:rsid w:val="7B9AEB2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v:fill color="yellow"/>
    </o:shapedefaults>
    <o:shapelayout v:ext="edit">
      <o:idmap v:ext="edit" data="2"/>
    </o:shapelayout>
  </w:shapeDefaults>
  <w:decimalSymbol w:val="."/>
  <w:listSeparator w:val=","/>
  <w14:docId w14:val="2B90F0AE"/>
  <w15:chartTrackingRefBased/>
  <w15:docId w15:val="{801F978B-925F-4E54-83D0-59033D14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DF"/>
    <w:pPr>
      <w:keepNext/>
      <w:suppressAutoHyphens/>
      <w:jc w:val="both"/>
    </w:pPr>
    <w:rPr>
      <w:rFonts w:ascii="Arial" w:hAnsi="Arial"/>
      <w:snapToGrid w:val="0"/>
      <w:sz w:val="24"/>
      <w:lang w:eastAsia="fr-FR"/>
    </w:rPr>
  </w:style>
  <w:style w:type="paragraph" w:styleId="Heading1">
    <w:name w:val="heading 1"/>
    <w:aliases w:val="CHAPITRE"/>
    <w:basedOn w:val="Normal"/>
    <w:next w:val="Normal"/>
    <w:link w:val="Heading1Char"/>
    <w:qFormat/>
    <w:pPr>
      <w:spacing w:after="480"/>
      <w:outlineLvl w:val="0"/>
    </w:pPr>
    <w:rPr>
      <w:b/>
      <w:caps/>
      <w:u w:val="single"/>
    </w:rPr>
  </w:style>
  <w:style w:type="paragraph" w:styleId="Heading2">
    <w:name w:val="heading 2"/>
    <w:aliases w:val="ARTICLE"/>
    <w:basedOn w:val="Normal"/>
    <w:next w:val="Normal"/>
    <w:link w:val="Heading2Char"/>
    <w:qFormat/>
    <w:rsid w:val="00A470FE"/>
    <w:pPr>
      <w:tabs>
        <w:tab w:val="left" w:pos="1843"/>
        <w:tab w:val="left" w:pos="2127"/>
      </w:tabs>
      <w:spacing w:after="240"/>
      <w:ind w:left="2126" w:hanging="2126"/>
      <w:jc w:val="left"/>
      <w:outlineLvl w:val="1"/>
    </w:pPr>
    <w:rPr>
      <w:b/>
      <w:u w:val="single"/>
    </w:rPr>
  </w:style>
  <w:style w:type="paragraph" w:styleId="Heading3">
    <w:name w:val="heading 3"/>
    <w:aliases w:val="TitreAnnexe,ANNEXE"/>
    <w:basedOn w:val="Normal"/>
    <w:next w:val="Normal"/>
    <w:link w:val="Heading3Char"/>
    <w:qFormat/>
    <w:pPr>
      <w:spacing w:after="480"/>
      <w:jc w:val="center"/>
      <w:outlineLvl w:val="2"/>
    </w:pPr>
    <w:rPr>
      <w:b/>
      <w:caps/>
      <w:u w:val="single"/>
    </w:rPr>
  </w:style>
  <w:style w:type="paragraph" w:styleId="Heading4">
    <w:name w:val="heading 4"/>
    <w:aliases w:val="TITRE DES SECTIONS"/>
    <w:basedOn w:val="Normal"/>
    <w:next w:val="Normal"/>
    <w:link w:val="Heading4Char"/>
    <w:qFormat/>
    <w:pPr>
      <w:spacing w:after="240"/>
      <w:outlineLvl w:val="3"/>
    </w:pPr>
    <w:rPr>
      <w:b/>
      <w:caps/>
      <w:u w:val="single"/>
    </w:rPr>
  </w:style>
  <w:style w:type="paragraph" w:styleId="Heading5">
    <w:name w:val="heading 5"/>
    <w:aliases w:val="Titre page couverture"/>
    <w:basedOn w:val="Normal"/>
    <w:next w:val="Normal"/>
    <w:link w:val="Heading5Char"/>
    <w:qFormat/>
    <w:pPr>
      <w:tabs>
        <w:tab w:val="left" w:pos="567"/>
      </w:tabs>
      <w:ind w:left="567" w:hanging="567"/>
      <w:outlineLvl w:val="4"/>
    </w:pPr>
  </w:style>
  <w:style w:type="paragraph" w:styleId="Heading6">
    <w:name w:val="heading 6"/>
    <w:basedOn w:val="Normal"/>
    <w:next w:val="Normal"/>
    <w:link w:val="Heading6Char"/>
    <w:qFormat/>
    <w:pPr>
      <w:jc w:val="left"/>
      <w:outlineLvl w:val="5"/>
    </w:pPr>
    <w:rPr>
      <w:b/>
      <w:u w:val="single"/>
    </w:rPr>
  </w:style>
  <w:style w:type="paragraph" w:styleId="Heading7">
    <w:name w:val="heading 7"/>
    <w:basedOn w:val="Normal"/>
    <w:next w:val="Normal"/>
    <w:link w:val="Heading7Char"/>
    <w:qFormat/>
    <w:pPr>
      <w:ind w:left="1134"/>
      <w:outlineLvl w:val="6"/>
    </w:pPr>
  </w:style>
  <w:style w:type="paragraph" w:styleId="Heading8">
    <w:name w:val="heading 8"/>
    <w:basedOn w:val="Normal"/>
    <w:next w:val="Normal"/>
    <w:link w:val="Heading8Char"/>
    <w:qFormat/>
    <w:pPr>
      <w:tabs>
        <w:tab w:val="left" w:pos="1843"/>
      </w:tabs>
      <w:ind w:left="2410" w:hanging="1843"/>
      <w:outlineLvl w:val="7"/>
    </w:pPr>
  </w:style>
  <w:style w:type="paragraph" w:styleId="Heading9">
    <w:name w:val="heading 9"/>
    <w:basedOn w:val="Normal"/>
    <w:next w:val="Normal"/>
    <w:link w:val="Heading9Char"/>
    <w:qFormat/>
    <w:pPr>
      <w:ind w:left="2552" w:hanging="1418"/>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
    <w:link w:val="Heading1"/>
    <w:rsid w:val="00DF6239"/>
    <w:rPr>
      <w:rFonts w:ascii="Arial" w:hAnsi="Arial"/>
      <w:b/>
      <w:caps/>
      <w:snapToGrid w:val="0"/>
      <w:sz w:val="24"/>
      <w:u w:val="single"/>
      <w:lang w:eastAsia="fr-FR"/>
    </w:rPr>
  </w:style>
  <w:style w:type="character" w:customStyle="1" w:styleId="Heading2Char">
    <w:name w:val="Heading 2 Char"/>
    <w:aliases w:val="ARTICLE Char"/>
    <w:link w:val="Heading2"/>
    <w:rsid w:val="00A470FE"/>
    <w:rPr>
      <w:rFonts w:ascii="Arial" w:hAnsi="Arial"/>
      <w:b/>
      <w:snapToGrid w:val="0"/>
      <w:sz w:val="24"/>
      <w:u w:val="single"/>
      <w:lang w:eastAsia="fr-FR"/>
    </w:rPr>
  </w:style>
  <w:style w:type="character" w:customStyle="1" w:styleId="Heading3Char">
    <w:name w:val="Heading 3 Char"/>
    <w:aliases w:val="TitreAnnexe Char,ANNEXE Char"/>
    <w:link w:val="Heading3"/>
    <w:rsid w:val="002A6693"/>
    <w:rPr>
      <w:rFonts w:ascii="Arial" w:hAnsi="Arial"/>
      <w:b/>
      <w:caps/>
      <w:snapToGrid w:val="0"/>
      <w:sz w:val="24"/>
      <w:u w:val="single"/>
      <w:lang w:eastAsia="fr-FR"/>
    </w:rPr>
  </w:style>
  <w:style w:type="character" w:customStyle="1" w:styleId="Heading4Char">
    <w:name w:val="Heading 4 Char"/>
    <w:aliases w:val="TITRE DES SECTIONS Char"/>
    <w:link w:val="Heading4"/>
    <w:rsid w:val="00DF6239"/>
    <w:rPr>
      <w:rFonts w:ascii="Arial" w:hAnsi="Arial"/>
      <w:b/>
      <w:caps/>
      <w:snapToGrid w:val="0"/>
      <w:sz w:val="24"/>
      <w:u w:val="single"/>
      <w:lang w:eastAsia="fr-FR"/>
    </w:rPr>
  </w:style>
  <w:style w:type="character" w:customStyle="1" w:styleId="Heading5Char">
    <w:name w:val="Heading 5 Char"/>
    <w:aliases w:val="Titre page couverture Char"/>
    <w:link w:val="Heading5"/>
    <w:rsid w:val="00DF6239"/>
    <w:rPr>
      <w:rFonts w:ascii="Arial" w:hAnsi="Arial"/>
      <w:snapToGrid w:val="0"/>
      <w:sz w:val="24"/>
      <w:lang w:eastAsia="fr-FR"/>
    </w:rPr>
  </w:style>
  <w:style w:type="character" w:customStyle="1" w:styleId="Heading6Char">
    <w:name w:val="Heading 6 Char"/>
    <w:link w:val="Heading6"/>
    <w:rsid w:val="00DF6239"/>
    <w:rPr>
      <w:rFonts w:ascii="Arial" w:hAnsi="Arial"/>
      <w:b/>
      <w:snapToGrid w:val="0"/>
      <w:sz w:val="24"/>
      <w:u w:val="single"/>
      <w:lang w:eastAsia="fr-FR"/>
    </w:rPr>
  </w:style>
  <w:style w:type="character" w:customStyle="1" w:styleId="Heading7Char">
    <w:name w:val="Heading 7 Char"/>
    <w:link w:val="Heading7"/>
    <w:rsid w:val="00DF6239"/>
    <w:rPr>
      <w:rFonts w:ascii="Arial" w:hAnsi="Arial"/>
      <w:snapToGrid w:val="0"/>
      <w:sz w:val="24"/>
      <w:lang w:eastAsia="fr-FR"/>
    </w:rPr>
  </w:style>
  <w:style w:type="character" w:customStyle="1" w:styleId="Heading8Char">
    <w:name w:val="Heading 8 Char"/>
    <w:link w:val="Heading8"/>
    <w:rsid w:val="00DF6239"/>
    <w:rPr>
      <w:rFonts w:ascii="Arial" w:hAnsi="Arial"/>
      <w:snapToGrid w:val="0"/>
      <w:sz w:val="24"/>
      <w:lang w:eastAsia="fr-FR"/>
    </w:rPr>
  </w:style>
  <w:style w:type="character" w:customStyle="1" w:styleId="Heading9Char">
    <w:name w:val="Heading 9 Char"/>
    <w:link w:val="Heading9"/>
    <w:rsid w:val="00DF6239"/>
    <w:rPr>
      <w:rFonts w:ascii="Arial" w:hAnsi="Arial"/>
      <w:b/>
      <w:snapToGrid w:val="0"/>
      <w:sz w:val="24"/>
      <w:lang w:eastAsia="fr-FR"/>
    </w:rPr>
  </w:style>
  <w:style w:type="paragraph" w:customStyle="1" w:styleId="NUMRODECLAUSE">
    <w:name w:val="NUMÉRO DE CLAUSE"/>
    <w:basedOn w:val="Normal"/>
    <w:rsid w:val="00893994"/>
    <w:pPr>
      <w:tabs>
        <w:tab w:val="left" w:pos="868"/>
        <w:tab w:val="left" w:pos="4500"/>
      </w:tabs>
      <w:ind w:left="868" w:hanging="868"/>
    </w:pPr>
    <w:rPr>
      <w:rFonts w:cs="Arial"/>
      <w:b/>
    </w:rPr>
  </w:style>
  <w:style w:type="paragraph" w:customStyle="1" w:styleId="Texte1cm">
    <w:name w:val="Texte à 1 cm"/>
    <w:basedOn w:val="Normal"/>
    <w:pPr>
      <w:ind w:left="567"/>
    </w:pPr>
  </w:style>
  <w:style w:type="paragraph" w:styleId="TOC1">
    <w:name w:val="toc 1"/>
    <w:basedOn w:val="Normal"/>
    <w:next w:val="Normal"/>
    <w:autoRedefine/>
    <w:uiPriority w:val="39"/>
    <w:rsid w:val="00F648BE"/>
    <w:pPr>
      <w:spacing w:before="120" w:after="120"/>
      <w:jc w:val="left"/>
    </w:pPr>
    <w:rPr>
      <w:rFonts w:cstheme="minorHAnsi"/>
      <w:b/>
      <w:bCs/>
      <w:caps/>
      <w:sz w:val="20"/>
    </w:rPr>
  </w:style>
  <w:style w:type="paragraph" w:styleId="TOC2">
    <w:name w:val="toc 2"/>
    <w:basedOn w:val="Normal"/>
    <w:next w:val="Normal"/>
    <w:autoRedefine/>
    <w:uiPriority w:val="39"/>
    <w:rsid w:val="00C11271"/>
    <w:pPr>
      <w:tabs>
        <w:tab w:val="left" w:pos="2127"/>
        <w:tab w:val="right" w:leader="dot" w:pos="10427"/>
      </w:tabs>
      <w:ind w:left="2268" w:hanging="1883"/>
      <w:jc w:val="left"/>
    </w:pPr>
    <w:rPr>
      <w:rFonts w:cstheme="minorHAnsi"/>
      <w:sz w:val="20"/>
    </w:rPr>
  </w:style>
  <w:style w:type="paragraph" w:styleId="TOC3">
    <w:name w:val="toc 3"/>
    <w:basedOn w:val="Normal"/>
    <w:next w:val="Normal"/>
    <w:autoRedefine/>
    <w:uiPriority w:val="39"/>
    <w:pPr>
      <w:ind w:left="480"/>
      <w:jc w:val="left"/>
    </w:pPr>
    <w:rPr>
      <w:rFonts w:asciiTheme="minorHAnsi" w:hAnsiTheme="minorHAnsi" w:cstheme="minorHAnsi"/>
      <w:i/>
      <w:iCs/>
      <w:sz w:val="20"/>
    </w:rPr>
  </w:style>
  <w:style w:type="paragraph" w:styleId="TOC4">
    <w:name w:val="toc 4"/>
    <w:basedOn w:val="Normal"/>
    <w:next w:val="Normal"/>
    <w:autoRedefine/>
    <w:uiPriority w:val="39"/>
    <w:pPr>
      <w:ind w:left="720"/>
      <w:jc w:val="left"/>
    </w:pPr>
    <w:rPr>
      <w:rFonts w:asciiTheme="minorHAnsi" w:hAnsiTheme="minorHAnsi" w:cstheme="minorHAnsi"/>
      <w:sz w:val="18"/>
      <w:szCs w:val="18"/>
    </w:rPr>
  </w:style>
  <w:style w:type="paragraph" w:styleId="TOC5">
    <w:name w:val="toc 5"/>
    <w:basedOn w:val="Normal"/>
    <w:next w:val="Normal"/>
    <w:autoRedefine/>
    <w:uiPriority w:val="39"/>
    <w:pPr>
      <w:ind w:left="960"/>
      <w:jc w:val="left"/>
    </w:pPr>
    <w:rPr>
      <w:rFonts w:asciiTheme="minorHAnsi" w:hAnsiTheme="minorHAnsi" w:cstheme="minorHAnsi"/>
      <w:sz w:val="18"/>
      <w:szCs w:val="18"/>
    </w:rPr>
  </w:style>
  <w:style w:type="paragraph" w:styleId="TOC6">
    <w:name w:val="toc 6"/>
    <w:basedOn w:val="Normal"/>
    <w:next w:val="Normal"/>
    <w:autoRedefine/>
    <w:uiPriority w:val="39"/>
    <w:pPr>
      <w:ind w:left="1200"/>
      <w:jc w:val="left"/>
    </w:pPr>
    <w:rPr>
      <w:rFonts w:asciiTheme="minorHAnsi" w:hAnsiTheme="minorHAnsi" w:cstheme="minorHAnsi"/>
      <w:sz w:val="18"/>
      <w:szCs w:val="18"/>
    </w:rPr>
  </w:style>
  <w:style w:type="paragraph" w:styleId="TOC7">
    <w:name w:val="toc 7"/>
    <w:basedOn w:val="Normal"/>
    <w:next w:val="Normal"/>
    <w:autoRedefine/>
    <w:uiPriority w:val="39"/>
    <w:pPr>
      <w:ind w:left="1440"/>
      <w:jc w:val="left"/>
    </w:pPr>
    <w:rPr>
      <w:rFonts w:asciiTheme="minorHAnsi" w:hAnsiTheme="minorHAnsi" w:cstheme="minorHAnsi"/>
      <w:sz w:val="18"/>
      <w:szCs w:val="18"/>
    </w:rPr>
  </w:style>
  <w:style w:type="paragraph" w:styleId="TOC8">
    <w:name w:val="toc 8"/>
    <w:basedOn w:val="Normal"/>
    <w:next w:val="Normal"/>
    <w:autoRedefine/>
    <w:uiPriority w:val="39"/>
    <w:pPr>
      <w:ind w:left="1680"/>
      <w:jc w:val="left"/>
    </w:pPr>
    <w:rPr>
      <w:rFonts w:asciiTheme="minorHAnsi" w:hAnsiTheme="minorHAnsi" w:cstheme="minorHAnsi"/>
      <w:sz w:val="18"/>
      <w:szCs w:val="18"/>
    </w:rPr>
  </w:style>
  <w:style w:type="paragraph" w:styleId="FootnoteText">
    <w:name w:val="footnote text"/>
    <w:basedOn w:val="Normal"/>
    <w:link w:val="FootnoteTextChar"/>
    <w:uiPriority w:val="99"/>
    <w:pPr>
      <w:ind w:left="567" w:hanging="567"/>
    </w:pPr>
    <w:rPr>
      <w:sz w:val="20"/>
    </w:rPr>
  </w:style>
  <w:style w:type="character" w:customStyle="1" w:styleId="FootnoteTextChar">
    <w:name w:val="Footnote Text Char"/>
    <w:link w:val="FootnoteText"/>
    <w:uiPriority w:val="99"/>
    <w:rsid w:val="004940B6"/>
    <w:rPr>
      <w:rFonts w:ascii="Arial" w:hAnsi="Arial"/>
      <w:snapToGrid w:val="0"/>
      <w:lang w:eastAsia="fr-FR"/>
    </w:rPr>
  </w:style>
  <w:style w:type="paragraph" w:customStyle="1" w:styleId="Texte2cm">
    <w:name w:val="Texte à 2 cm"/>
    <w:basedOn w:val="Normal"/>
    <w:pPr>
      <w:ind w:left="1134"/>
    </w:pPr>
  </w:style>
  <w:style w:type="character" w:styleId="FootnoteReference">
    <w:name w:val="footnote reference"/>
    <w:uiPriority w:val="99"/>
    <w:rPr>
      <w:vertAlign w:val="superscript"/>
    </w:rPr>
  </w:style>
  <w:style w:type="paragraph" w:styleId="CommentText">
    <w:name w:val="annotation text"/>
    <w:basedOn w:val="Normal"/>
    <w:link w:val="CommentTextChar"/>
    <w:uiPriority w:val="99"/>
    <w:pPr>
      <w:tabs>
        <w:tab w:val="left" w:pos="3969"/>
      </w:tabs>
    </w:pPr>
  </w:style>
  <w:style w:type="character" w:customStyle="1" w:styleId="CommentTextChar">
    <w:name w:val="Comment Text Char"/>
    <w:link w:val="CommentText"/>
    <w:uiPriority w:val="99"/>
    <w:rsid w:val="002A76E4"/>
    <w:rPr>
      <w:rFonts w:ascii="Arial" w:hAnsi="Arial"/>
      <w:snapToGrid w:val="0"/>
      <w:sz w:val="24"/>
      <w:lang w:eastAsia="fr-FR"/>
    </w:rPr>
  </w:style>
  <w:style w:type="paragraph" w:customStyle="1" w:styleId="ENTENTEINTERVENUEENTRE">
    <w:name w:val="ENTENTE INTERVENUE ENTRE"/>
    <w:basedOn w:val="Normal"/>
    <w:rPr>
      <w:b/>
      <w:caps/>
    </w:rPr>
  </w:style>
  <w:style w:type="paragraph" w:customStyle="1" w:styleId="Texte3cm">
    <w:name w:val="Texte à 3 cm"/>
    <w:basedOn w:val="Normal"/>
    <w:pPr>
      <w:ind w:left="1701"/>
    </w:pPr>
  </w:style>
  <w:style w:type="paragraph" w:styleId="Header">
    <w:name w:val="header"/>
    <w:basedOn w:val="Normal"/>
    <w:link w:val="HeaderChar"/>
    <w:uiPriority w:val="99"/>
    <w:pPr>
      <w:spacing w:after="400"/>
      <w:jc w:val="center"/>
    </w:pPr>
  </w:style>
  <w:style w:type="character" w:customStyle="1" w:styleId="HeaderChar">
    <w:name w:val="Header Char"/>
    <w:link w:val="Header"/>
    <w:uiPriority w:val="99"/>
    <w:rsid w:val="004940B6"/>
    <w:rPr>
      <w:rFonts w:ascii="Arial" w:hAnsi="Arial"/>
      <w:snapToGrid w:val="0"/>
      <w:sz w:val="24"/>
      <w:lang w:eastAsia="fr-FR"/>
    </w:rPr>
  </w:style>
  <w:style w:type="paragraph" w:customStyle="1" w:styleId="Article59delaloi37">
    <w:name w:val="Article 59 de la loi 37"/>
    <w:basedOn w:val="Normal"/>
    <w:pPr>
      <w:spacing w:before="240"/>
    </w:pPr>
    <w:rPr>
      <w:b/>
    </w:rPr>
  </w:style>
  <w:style w:type="paragraph" w:customStyle="1" w:styleId="MGSTexte1cm">
    <w:name w:val="MGS Texte à 1 cm"/>
    <w:basedOn w:val="Normal"/>
    <w:pPr>
      <w:ind w:left="567"/>
    </w:pPr>
    <w:rPr>
      <w:b/>
      <w:caps/>
      <w:u w:val="single"/>
    </w:rPr>
  </w:style>
  <w:style w:type="paragraph" w:customStyle="1" w:styleId="MGSTexte2cm">
    <w:name w:val="MGS Texte à 2 cm"/>
    <w:basedOn w:val="Normal"/>
    <w:pPr>
      <w:ind w:left="1134"/>
    </w:pPr>
    <w:rPr>
      <w:b/>
      <w:caps/>
      <w:u w:val="single"/>
    </w:rPr>
  </w:style>
  <w:style w:type="paragraph" w:customStyle="1" w:styleId="Texte4cm">
    <w:name w:val="Texte à 4 cm"/>
    <w:basedOn w:val="Normal"/>
    <w:pPr>
      <w:ind w:left="2268"/>
    </w:pPr>
  </w:style>
  <w:style w:type="paragraph" w:customStyle="1" w:styleId="MGSTexte3cm">
    <w:name w:val="MGS Texte à 3 cm"/>
    <w:basedOn w:val="Normal"/>
    <w:pPr>
      <w:ind w:left="1701"/>
    </w:pPr>
    <w:rPr>
      <w:b/>
      <w:caps/>
      <w:u w:val="single"/>
    </w:rPr>
  </w:style>
  <w:style w:type="paragraph" w:customStyle="1" w:styleId="PMGSTexte1cm">
    <w:name w:val="PMGS Texte à 1 cm"/>
    <w:basedOn w:val="Normal"/>
    <w:pPr>
      <w:ind w:left="567"/>
    </w:pPr>
    <w:rPr>
      <w:b/>
      <w:smallCaps/>
      <w:u w:val="single"/>
    </w:rPr>
  </w:style>
  <w:style w:type="paragraph" w:customStyle="1" w:styleId="PMGSTexte2cm">
    <w:name w:val="PMGS Texte à 2 cm"/>
    <w:basedOn w:val="Normal"/>
    <w:pPr>
      <w:ind w:left="1134"/>
    </w:pPr>
    <w:rPr>
      <w:b/>
      <w:smallCaps/>
      <w:u w:val="single"/>
    </w:rPr>
  </w:style>
  <w:style w:type="paragraph" w:customStyle="1" w:styleId="PMGSTexte3cm">
    <w:name w:val="PMGS Texte à 3 cm"/>
    <w:basedOn w:val="Normal"/>
    <w:pPr>
      <w:ind w:left="1701"/>
    </w:pPr>
    <w:rPr>
      <w:b/>
      <w:smallCaps/>
      <w:u w:val="single"/>
    </w:rPr>
  </w:style>
  <w:style w:type="paragraph" w:customStyle="1" w:styleId="MGSTexte0cm">
    <w:name w:val="MGS Texte à 0 cm"/>
    <w:basedOn w:val="Normal"/>
    <w:rPr>
      <w:b/>
      <w:caps/>
      <w:u w:val="single"/>
    </w:rPr>
  </w:style>
  <w:style w:type="paragraph" w:customStyle="1" w:styleId="PMGSTexte0cm">
    <w:name w:val="PMGS Texte à 0 cm"/>
    <w:basedOn w:val="Normal"/>
    <w:rPr>
      <w:b/>
      <w:smallCaps/>
      <w:u w:val="single"/>
    </w:rPr>
  </w:style>
  <w:style w:type="paragraph" w:customStyle="1" w:styleId="VERSIONADMINISTRATIVE">
    <w:name w:val="VERSION ADMINISTRATIVE"/>
    <w:basedOn w:val="Normal"/>
    <w:pPr>
      <w:jc w:val="center"/>
    </w:pPr>
    <w:rPr>
      <w:caps/>
    </w:rPr>
  </w:style>
  <w:style w:type="paragraph" w:customStyle="1" w:styleId="PRAMBULE">
    <w:name w:val="PRÉAMBULE"/>
    <w:basedOn w:val="Normal"/>
    <w:pPr>
      <w:jc w:val="center"/>
    </w:pPr>
    <w:rPr>
      <w:b/>
      <w:caps/>
      <w:spacing w:val="120"/>
      <w:u w:val="single"/>
    </w:rPr>
  </w:style>
  <w:style w:type="paragraph" w:customStyle="1" w:styleId="Pagetitre">
    <w:name w:val="Page titre"/>
    <w:basedOn w:val="Normal"/>
    <w:pPr>
      <w:ind w:left="567"/>
    </w:pPr>
    <w:rPr>
      <w:b/>
    </w:rPr>
  </w:style>
  <w:style w:type="paragraph" w:customStyle="1" w:styleId="Selonlesdisp">
    <w:name w:val="Selon les disp...."/>
    <w:basedOn w:val="Normal"/>
    <w:pPr>
      <w:jc w:val="center"/>
    </w:pPr>
    <w:rPr>
      <w:b/>
      <w:caps/>
    </w:rPr>
  </w:style>
  <w:style w:type="paragraph" w:customStyle="1" w:styleId="Lesdispositionssuiva">
    <w:name w:val="Les dispositions suiva...."/>
    <w:basedOn w:val="Normal"/>
    <w:pPr>
      <w:ind w:left="1418" w:right="1701"/>
    </w:pPr>
  </w:style>
  <w:style w:type="character" w:styleId="CommentReference">
    <w:name w:val="annotation reference"/>
    <w:uiPriority w:val="99"/>
    <w:rPr>
      <w:sz w:val="16"/>
    </w:rPr>
  </w:style>
  <w:style w:type="paragraph" w:customStyle="1" w:styleId="Nomdessections">
    <w:name w:val="Nom des sections"/>
    <w:basedOn w:val="Normal"/>
    <w:rPr>
      <w:b/>
      <w:caps/>
      <w:u w:val="single"/>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F6239"/>
    <w:rPr>
      <w:rFonts w:ascii="Arial" w:hAnsi="Arial"/>
      <w:snapToGrid w:val="0"/>
      <w:sz w:val="24"/>
      <w:lang w:eastAsia="fr-FR"/>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DF6239"/>
    <w:rPr>
      <w:rFonts w:ascii="Arial" w:hAnsi="Arial"/>
      <w:snapToGrid w:val="0"/>
      <w:sz w:val="24"/>
      <w:lang w:eastAsia="fr-FR"/>
    </w:rPr>
  </w:style>
  <w:style w:type="paragraph" w:styleId="BodyTextFirstIndent2">
    <w:name w:val="Body Text First Indent 2"/>
    <w:basedOn w:val="BodyTextIndent"/>
    <w:link w:val="BodyTextFirstIndent2Char"/>
    <w:semiHidden/>
    <w:pPr>
      <w:numPr>
        <w:ilvl w:val="3"/>
        <w:numId w:val="3"/>
      </w:numPr>
      <w:tabs>
        <w:tab w:val="clear" w:pos="567"/>
        <w:tab w:val="num" w:pos="720"/>
      </w:tabs>
    </w:pPr>
  </w:style>
  <w:style w:type="character" w:customStyle="1" w:styleId="BodyTextFirstIndent2Char">
    <w:name w:val="Body Text First Indent 2 Char"/>
    <w:link w:val="BodyTextFirstIndent2"/>
    <w:semiHidden/>
    <w:rsid w:val="00DF6239"/>
    <w:rPr>
      <w:rFonts w:ascii="Arial" w:hAnsi="Arial"/>
      <w:snapToGrid w:val="0"/>
      <w:sz w:val="24"/>
      <w:lang w:eastAsia="fr-FR"/>
    </w:rPr>
  </w:style>
  <w:style w:type="paragraph" w:styleId="BodyTextIndent2">
    <w:name w:val="Body Text Indent 2"/>
    <w:basedOn w:val="Normal"/>
    <w:link w:val="BodyTextIndent2Char"/>
    <w:semiHidden/>
    <w:pPr>
      <w:tabs>
        <w:tab w:val="left" w:pos="2268"/>
      </w:tabs>
      <w:ind w:left="2268" w:hanging="2268"/>
    </w:pPr>
  </w:style>
  <w:style w:type="character" w:customStyle="1" w:styleId="BodyTextIndent2Char">
    <w:name w:val="Body Text Indent 2 Char"/>
    <w:link w:val="BodyTextIndent2"/>
    <w:semiHidden/>
    <w:rsid w:val="00DF6239"/>
    <w:rPr>
      <w:rFonts w:ascii="Arial" w:hAnsi="Arial"/>
      <w:snapToGrid w:val="0"/>
      <w:sz w:val="24"/>
      <w:lang w:eastAsia="fr-FR"/>
    </w:rPr>
  </w:style>
  <w:style w:type="paragraph" w:styleId="BodyTextIndent3">
    <w:name w:val="Body Text Indent 3"/>
    <w:basedOn w:val="Normal"/>
    <w:link w:val="BodyTextIndent3Char"/>
    <w:pPr>
      <w:tabs>
        <w:tab w:val="left" w:pos="2880"/>
      </w:tabs>
      <w:ind w:left="2880" w:hanging="2880"/>
    </w:pPr>
  </w:style>
  <w:style w:type="character" w:customStyle="1" w:styleId="BodyTextIndent3Char">
    <w:name w:val="Body Text Indent 3 Char"/>
    <w:link w:val="BodyTextIndent3"/>
    <w:rsid w:val="00DF6239"/>
    <w:rPr>
      <w:rFonts w:ascii="Arial" w:hAnsi="Arial"/>
      <w:snapToGrid w:val="0"/>
      <w:sz w:val="24"/>
      <w:lang w:eastAsia="fr-FR"/>
    </w:rPr>
  </w:style>
  <w:style w:type="paragraph" w:styleId="TOC9">
    <w:name w:val="toc 9"/>
    <w:basedOn w:val="Normal"/>
    <w:next w:val="Normal"/>
    <w:autoRedefine/>
    <w:uiPriority w:val="39"/>
    <w:pPr>
      <w:ind w:left="1920"/>
      <w:jc w:val="left"/>
    </w:pPr>
    <w:rPr>
      <w:rFonts w:asciiTheme="minorHAnsi" w:hAnsiTheme="minorHAnsi" w:cstheme="minorHAnsi"/>
      <w:sz w:val="18"/>
      <w:szCs w:val="18"/>
    </w:rPr>
  </w:style>
  <w:style w:type="paragraph" w:styleId="Subtitle">
    <w:name w:val="Subtitle"/>
    <w:basedOn w:val="Normal"/>
    <w:link w:val="SubtitleChar"/>
    <w:qFormat/>
    <w:pPr>
      <w:tabs>
        <w:tab w:val="left" w:pos="851"/>
      </w:tabs>
      <w:jc w:val="left"/>
      <w:outlineLvl w:val="2"/>
    </w:pPr>
    <w:rPr>
      <w:b/>
    </w:rPr>
  </w:style>
  <w:style w:type="character" w:customStyle="1" w:styleId="SubtitleChar">
    <w:name w:val="Subtitle Char"/>
    <w:link w:val="Subtitle"/>
    <w:rsid w:val="00DF6239"/>
    <w:rPr>
      <w:rFonts w:ascii="Arial" w:hAnsi="Arial"/>
      <w:b/>
      <w:snapToGrid w:val="0"/>
      <w:sz w:val="24"/>
      <w:lang w:eastAsia="fr-FR"/>
    </w:rPr>
  </w:style>
  <w:style w:type="paragraph" w:styleId="BodyText">
    <w:name w:val="Body Text"/>
    <w:basedOn w:val="Normal"/>
    <w:link w:val="BodyTextChar"/>
    <w:uiPriority w:val="99"/>
    <w:pPr>
      <w:jc w:val="left"/>
    </w:pPr>
  </w:style>
  <w:style w:type="character" w:customStyle="1" w:styleId="BodyTextChar">
    <w:name w:val="Body Text Char"/>
    <w:link w:val="BodyText"/>
    <w:uiPriority w:val="99"/>
    <w:rsid w:val="00DF6239"/>
    <w:rPr>
      <w:rFonts w:ascii="Arial" w:hAnsi="Arial"/>
      <w:snapToGrid w:val="0"/>
      <w:sz w:val="24"/>
      <w:lang w:eastAsia="fr-FR"/>
    </w:rPr>
  </w:style>
  <w:style w:type="paragraph" w:styleId="BlockText">
    <w:name w:val="Block Text"/>
    <w:basedOn w:val="Normal"/>
    <w:semiHidden/>
    <w:pPr>
      <w:keepNext w:val="0"/>
      <w:suppressAutoHyphens w:val="0"/>
      <w:ind w:left="360" w:right="290"/>
    </w:pPr>
    <w:rPr>
      <w:snapToGrid/>
      <w:szCs w:val="24"/>
    </w:rPr>
  </w:style>
  <w:style w:type="paragraph" w:styleId="BodyText3">
    <w:name w:val="Body Text 3"/>
    <w:basedOn w:val="Normal"/>
    <w:link w:val="BodyText3Char"/>
    <w:semiHidden/>
    <w:pPr>
      <w:keepNext w:val="0"/>
      <w:shd w:val="clear" w:color="auto" w:fill="E6E6E6"/>
      <w:suppressAutoHyphens w:val="0"/>
    </w:pPr>
  </w:style>
  <w:style w:type="character" w:customStyle="1" w:styleId="BodyText3Char">
    <w:name w:val="Body Text 3 Char"/>
    <w:link w:val="BodyText3"/>
    <w:semiHidden/>
    <w:rsid w:val="00DF6239"/>
    <w:rPr>
      <w:rFonts w:ascii="Arial" w:hAnsi="Arial"/>
      <w:snapToGrid w:val="0"/>
      <w:sz w:val="24"/>
      <w:shd w:val="clear" w:color="auto" w:fill="E6E6E6"/>
      <w:lang w:eastAsia="fr-FR"/>
    </w:rPr>
  </w:style>
  <w:style w:type="paragraph" w:customStyle="1" w:styleId="clause">
    <w:name w:val="clause"/>
    <w:basedOn w:val="Normal"/>
    <w:next w:val="Normal"/>
    <w:pPr>
      <w:keepLines/>
      <w:tabs>
        <w:tab w:val="left" w:pos="1134"/>
      </w:tabs>
      <w:suppressAutoHyphens w:val="0"/>
      <w:autoSpaceDE w:val="0"/>
      <w:autoSpaceDN w:val="0"/>
      <w:adjustRightInd w:val="0"/>
      <w:spacing w:after="240"/>
      <w:ind w:left="1134" w:hanging="1134"/>
    </w:pPr>
    <w:rPr>
      <w:b/>
      <w:bCs/>
      <w:snapToGrid/>
      <w:sz w:val="22"/>
      <w:szCs w:val="24"/>
    </w:rPr>
  </w:style>
  <w:style w:type="paragraph" w:customStyle="1" w:styleId="table">
    <w:name w:val="table"/>
    <w:basedOn w:val="Normal"/>
    <w:pPr>
      <w:keepNext w:val="0"/>
      <w:tabs>
        <w:tab w:val="right" w:pos="9356"/>
      </w:tabs>
      <w:suppressAutoHyphens w:val="0"/>
      <w:autoSpaceDE w:val="0"/>
      <w:autoSpaceDN w:val="0"/>
      <w:adjustRightInd w:val="0"/>
      <w:spacing w:after="80"/>
    </w:pPr>
    <w:rPr>
      <w:b/>
      <w:bCs/>
      <w:smallCaps/>
      <w:snapToGrid/>
      <w:sz w:val="22"/>
      <w:szCs w:val="24"/>
    </w:rPr>
  </w:style>
  <w:style w:type="paragraph" w:customStyle="1" w:styleId="xl43">
    <w:name w:val="xl43"/>
    <w:basedOn w:val="Normal"/>
    <w:pPr>
      <w:keepNext w:val="0"/>
      <w:pBdr>
        <w:right w:val="double" w:sz="6" w:space="0" w:color="auto"/>
      </w:pBdr>
      <w:suppressAutoHyphens w:val="0"/>
      <w:spacing w:before="100" w:beforeAutospacing="1" w:after="100" w:afterAutospacing="1"/>
      <w:jc w:val="center"/>
      <w:textAlignment w:val="center"/>
    </w:pPr>
    <w:rPr>
      <w:rFonts w:eastAsia="ZWAdobeF" w:cs="Arial"/>
      <w:snapToGrid/>
      <w:sz w:val="16"/>
      <w:szCs w:val="16"/>
    </w:rPr>
  </w:style>
  <w:style w:type="paragraph" w:customStyle="1" w:styleId="xl24">
    <w:name w:val="xl24"/>
    <w:basedOn w:val="Normal"/>
    <w:pPr>
      <w:keepNext w:val="0"/>
      <w:suppressAutoHyphens w:val="0"/>
      <w:spacing w:before="100" w:after="100"/>
      <w:jc w:val="center"/>
    </w:pPr>
    <w:rPr>
      <w:rFonts w:eastAsia="ZWAdobeF"/>
      <w:snapToGrid/>
      <w:sz w:val="18"/>
    </w:rPr>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fr-FR"/>
    </w:rPr>
  </w:style>
  <w:style w:type="paragraph" w:customStyle="1" w:styleId="xl26">
    <w:name w:val="xl26"/>
    <w:basedOn w:val="Normal"/>
    <w:pPr>
      <w:keepNext w:val="0"/>
      <w:suppressAutoHyphens w:val="0"/>
      <w:spacing w:before="100" w:after="100"/>
      <w:jc w:val="left"/>
    </w:pPr>
    <w:rPr>
      <w:rFonts w:eastAsia="ZWAdobeF"/>
      <w:snapToGrid/>
      <w:sz w:val="18"/>
    </w:rPr>
  </w:style>
  <w:style w:type="paragraph" w:styleId="BodyText2">
    <w:name w:val="Body Text 2"/>
    <w:basedOn w:val="Normal"/>
    <w:semiHidden/>
    <w:pPr>
      <w:keepNext w:val="0"/>
      <w:suppressAutoHyphens w:val="0"/>
      <w:jc w:val="left"/>
    </w:pPr>
    <w:rPr>
      <w:rFonts w:ascii="Comic Sans MS" w:eastAsia="Arial Unicode MS" w:hAnsi="Comic Sans MS" w:cs="Arial Unicode MS"/>
      <w:snapToGrid/>
      <w:sz w:val="22"/>
      <w:szCs w:val="24"/>
    </w:rPr>
  </w:style>
  <w:style w:type="paragraph" w:customStyle="1" w:styleId="Texte1cm0">
    <w:name w:val="Texte à 1 cm0"/>
    <w:basedOn w:val="Normal"/>
    <w:pPr>
      <w:snapToGrid w:val="0"/>
      <w:ind w:left="567"/>
    </w:pPr>
    <w:rPr>
      <w:snapToGrid/>
    </w:rPr>
  </w:style>
  <w:style w:type="paragraph" w:styleId="Index1">
    <w:name w:val="index 1"/>
    <w:basedOn w:val="Normal"/>
    <w:next w:val="Normal"/>
    <w:autoRedefine/>
    <w:semiHidden/>
    <w:pPr>
      <w:ind w:left="240" w:hanging="240"/>
      <w:jc w:val="left"/>
    </w:pPr>
    <w:rPr>
      <w:rFonts w:ascii="Times New Roman" w:hAnsi="Times New Roman"/>
      <w:szCs w:val="21"/>
    </w:rPr>
  </w:style>
  <w:style w:type="paragraph" w:styleId="Index2">
    <w:name w:val="index 2"/>
    <w:basedOn w:val="Normal"/>
    <w:next w:val="Normal"/>
    <w:autoRedefine/>
    <w:semiHidden/>
    <w:pPr>
      <w:ind w:left="480" w:hanging="240"/>
      <w:jc w:val="left"/>
    </w:pPr>
    <w:rPr>
      <w:rFonts w:ascii="Times New Roman" w:hAnsi="Times New Roman"/>
      <w:szCs w:val="21"/>
    </w:rPr>
  </w:style>
  <w:style w:type="paragraph" w:styleId="Index3">
    <w:name w:val="index 3"/>
    <w:basedOn w:val="Normal"/>
    <w:next w:val="Normal"/>
    <w:autoRedefine/>
    <w:semiHidden/>
    <w:pPr>
      <w:ind w:left="720" w:hanging="240"/>
      <w:jc w:val="left"/>
    </w:pPr>
    <w:rPr>
      <w:rFonts w:ascii="Times New Roman" w:hAnsi="Times New Roman"/>
      <w:szCs w:val="21"/>
    </w:rPr>
  </w:style>
  <w:style w:type="paragraph" w:styleId="Index4">
    <w:name w:val="index 4"/>
    <w:basedOn w:val="Normal"/>
    <w:next w:val="Normal"/>
    <w:autoRedefine/>
    <w:semiHidden/>
    <w:pPr>
      <w:ind w:left="960" w:hanging="240"/>
      <w:jc w:val="left"/>
    </w:pPr>
    <w:rPr>
      <w:rFonts w:ascii="Times New Roman" w:hAnsi="Times New Roman"/>
      <w:szCs w:val="21"/>
    </w:rPr>
  </w:style>
  <w:style w:type="paragraph" w:styleId="Index5">
    <w:name w:val="index 5"/>
    <w:basedOn w:val="Normal"/>
    <w:next w:val="Normal"/>
    <w:autoRedefine/>
    <w:semiHidden/>
    <w:pPr>
      <w:ind w:left="1200" w:hanging="240"/>
      <w:jc w:val="left"/>
    </w:pPr>
    <w:rPr>
      <w:rFonts w:ascii="Times New Roman" w:hAnsi="Times New Roman"/>
      <w:szCs w:val="21"/>
    </w:rPr>
  </w:style>
  <w:style w:type="paragraph" w:styleId="Index6">
    <w:name w:val="index 6"/>
    <w:basedOn w:val="Normal"/>
    <w:next w:val="Normal"/>
    <w:autoRedefine/>
    <w:semiHidden/>
    <w:pPr>
      <w:ind w:left="1440" w:hanging="240"/>
      <w:jc w:val="left"/>
    </w:pPr>
    <w:rPr>
      <w:rFonts w:ascii="Times New Roman" w:hAnsi="Times New Roman"/>
      <w:szCs w:val="21"/>
    </w:rPr>
  </w:style>
  <w:style w:type="paragraph" w:styleId="Index7">
    <w:name w:val="index 7"/>
    <w:basedOn w:val="Normal"/>
    <w:next w:val="Normal"/>
    <w:autoRedefine/>
    <w:semiHidden/>
    <w:pPr>
      <w:ind w:left="1680" w:hanging="240"/>
      <w:jc w:val="left"/>
    </w:pPr>
    <w:rPr>
      <w:rFonts w:ascii="Times New Roman" w:hAnsi="Times New Roman"/>
      <w:szCs w:val="21"/>
    </w:rPr>
  </w:style>
  <w:style w:type="paragraph" w:styleId="Index8">
    <w:name w:val="index 8"/>
    <w:basedOn w:val="Normal"/>
    <w:next w:val="Normal"/>
    <w:autoRedefine/>
    <w:semiHidden/>
    <w:pPr>
      <w:ind w:left="1920" w:hanging="240"/>
      <w:jc w:val="left"/>
    </w:pPr>
    <w:rPr>
      <w:rFonts w:ascii="Times New Roman" w:hAnsi="Times New Roman"/>
      <w:szCs w:val="21"/>
    </w:rPr>
  </w:style>
  <w:style w:type="paragraph" w:styleId="Index9">
    <w:name w:val="index 9"/>
    <w:basedOn w:val="Normal"/>
    <w:next w:val="Normal"/>
    <w:autoRedefine/>
    <w:semiHidden/>
    <w:pPr>
      <w:ind w:left="2160" w:hanging="240"/>
      <w:jc w:val="left"/>
    </w:pPr>
    <w:rPr>
      <w:rFonts w:ascii="Times New Roman" w:hAnsi="Times New Roman"/>
      <w:szCs w:val="21"/>
    </w:rPr>
  </w:style>
  <w:style w:type="paragraph" w:styleId="IndexHeading">
    <w:name w:val="index heading"/>
    <w:basedOn w:val="Normal"/>
    <w:next w:val="Index1"/>
    <w:semiHidden/>
    <w:pPr>
      <w:spacing w:before="240" w:after="120"/>
      <w:jc w:val="center"/>
    </w:pPr>
    <w:rPr>
      <w:rFonts w:ascii="Times New Roman" w:hAnsi="Times New Roman"/>
      <w:b/>
      <w:bCs/>
      <w:szCs w:val="31"/>
    </w:rPr>
  </w:style>
  <w:style w:type="paragraph" w:styleId="DocumentMap">
    <w:name w:val="Document Map"/>
    <w:basedOn w:val="Normal"/>
    <w:semiHidden/>
    <w:pPr>
      <w:shd w:val="clear" w:color="auto" w:fill="000080"/>
    </w:pPr>
    <w:rPr>
      <w:rFonts w:ascii="Tahoma" w:hAnsi="Tahoma" w:cs="Tahoma"/>
    </w:rPr>
  </w:style>
  <w:style w:type="paragraph" w:customStyle="1" w:styleId="pico1">
    <w:name w:val="pico1"/>
    <w:basedOn w:val="Normal"/>
    <w:pPr>
      <w:keepNext w:val="0"/>
      <w:numPr>
        <w:numId w:val="2"/>
      </w:numPr>
      <w:tabs>
        <w:tab w:val="left" w:pos="3402"/>
        <w:tab w:val="left" w:pos="5400"/>
      </w:tabs>
      <w:suppressAutoHyphens w:val="0"/>
      <w:jc w:val="left"/>
    </w:pPr>
    <w:rPr>
      <w:snapToGrid/>
      <w:sz w:val="22"/>
    </w:rPr>
  </w:style>
  <w:style w:type="paragraph" w:styleId="TableofAuthorities">
    <w:name w:val="table of authorities"/>
    <w:basedOn w:val="Normal"/>
    <w:next w:val="Normal"/>
    <w:semiHidden/>
    <w:pPr>
      <w:numPr>
        <w:numId w:val="4"/>
      </w:numPr>
      <w:tabs>
        <w:tab w:val="left" w:pos="3119"/>
      </w:tabs>
    </w:pPr>
  </w:style>
  <w:style w:type="paragraph" w:customStyle="1" w:styleId="niv2exception">
    <w:name w:val="niv 2 exception"/>
    <w:basedOn w:val="Normal"/>
    <w:next w:val="Normal"/>
    <w:rsid w:val="002A0CBA"/>
    <w:pPr>
      <w:keepNext w:val="0"/>
      <w:keepLines/>
      <w:tabs>
        <w:tab w:val="left" w:pos="567"/>
        <w:tab w:val="left" w:pos="1134"/>
      </w:tabs>
      <w:suppressAutoHyphens w:val="0"/>
      <w:autoSpaceDE w:val="0"/>
      <w:autoSpaceDN w:val="0"/>
      <w:adjustRightInd w:val="0"/>
      <w:spacing w:after="240"/>
      <w:ind w:left="1134" w:hanging="1134"/>
    </w:pPr>
    <w:rPr>
      <w:snapToGrid/>
      <w:sz w:val="22"/>
      <w:szCs w:val="24"/>
    </w:rPr>
  </w:style>
  <w:style w:type="paragraph" w:customStyle="1" w:styleId="Corpsdetexte21">
    <w:name w:val="Corps de texte 21"/>
    <w:basedOn w:val="Normal"/>
    <w:pPr>
      <w:keepNext w:val="0"/>
      <w:widowControl w:val="0"/>
      <w:tabs>
        <w:tab w:val="left" w:pos="-720"/>
        <w:tab w:val="left" w:pos="0"/>
      </w:tabs>
      <w:ind w:left="720" w:hanging="720"/>
    </w:pPr>
    <w:rPr>
      <w:rFonts w:ascii="Courier" w:hAnsi="Courier"/>
      <w:snapToGrid/>
      <w:spacing w:val="-2"/>
      <w:sz w:val="20"/>
      <w:lang w:eastAsia="fr-CA"/>
    </w:rPr>
  </w:style>
  <w:style w:type="paragraph" w:styleId="ListBullet">
    <w:name w:val="List Bullet"/>
    <w:basedOn w:val="Normal"/>
    <w:autoRedefine/>
    <w:semiHidden/>
    <w:pPr>
      <w:numPr>
        <w:numId w:val="1"/>
      </w:numPr>
    </w:pPr>
  </w:style>
  <w:style w:type="paragraph" w:customStyle="1" w:styleId="NOMDESSECTION">
    <w:name w:val="NOM DES SECTION"/>
    <w:basedOn w:val="Heading1"/>
    <w:pPr>
      <w:tabs>
        <w:tab w:val="center" w:pos="4738"/>
      </w:tabs>
      <w:spacing w:after="0"/>
      <w:jc w:val="center"/>
    </w:pPr>
    <w:rPr>
      <w:caps w:val="0"/>
      <w:u w:val="none"/>
    </w:rPr>
  </w:style>
  <w:style w:type="paragraph" w:customStyle="1" w:styleId="font5">
    <w:name w:val="font5"/>
    <w:basedOn w:val="Normal"/>
    <w:pPr>
      <w:keepNext w:val="0"/>
      <w:suppressAutoHyphens w:val="0"/>
      <w:spacing w:before="100" w:beforeAutospacing="1" w:after="100" w:afterAutospacing="1"/>
      <w:jc w:val="left"/>
    </w:pPr>
    <w:rPr>
      <w:rFonts w:eastAsia="Arial Unicode MS" w:cs="Arial"/>
      <w:snapToGrid/>
      <w:sz w:val="16"/>
      <w:szCs w:val="16"/>
    </w:rPr>
  </w:style>
  <w:style w:type="paragraph" w:customStyle="1" w:styleId="xl25">
    <w:name w:val="xl25"/>
    <w:basedOn w:val="Normal"/>
    <w:pPr>
      <w:keepNext w:val="0"/>
      <w:pBdr>
        <w:left w:val="double" w:sz="6" w:space="0" w:color="auto"/>
      </w:pBdr>
      <w:suppressAutoHyphens w:val="0"/>
      <w:spacing w:before="100" w:beforeAutospacing="1" w:after="100" w:afterAutospacing="1"/>
      <w:jc w:val="left"/>
    </w:pPr>
    <w:rPr>
      <w:rFonts w:eastAsia="Arial Unicode MS" w:cs="Arial"/>
      <w:snapToGrid/>
      <w:sz w:val="18"/>
      <w:szCs w:val="18"/>
    </w:rPr>
  </w:style>
  <w:style w:type="paragraph" w:customStyle="1" w:styleId="xl27">
    <w:name w:val="xl27"/>
    <w:basedOn w:val="Normal"/>
    <w:pPr>
      <w:keepNext w:val="0"/>
      <w:pBdr>
        <w:top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28">
    <w:name w:val="xl28"/>
    <w:basedOn w:val="Normal"/>
    <w:pPr>
      <w:keepNext w:val="0"/>
      <w:pBdr>
        <w:bottom w:val="single" w:sz="4"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29">
    <w:name w:val="xl29"/>
    <w:basedOn w:val="Normal"/>
    <w:pPr>
      <w:keepNext w:val="0"/>
      <w:pBdr>
        <w:right w:val="double" w:sz="6" w:space="0" w:color="auto"/>
      </w:pBdr>
      <w:suppressAutoHyphens w:val="0"/>
      <w:spacing w:before="100" w:beforeAutospacing="1" w:after="100" w:afterAutospacing="1"/>
      <w:jc w:val="center"/>
    </w:pPr>
    <w:rPr>
      <w:rFonts w:eastAsia="Arial Unicode MS" w:cs="Arial"/>
      <w:snapToGrid/>
      <w:sz w:val="18"/>
      <w:szCs w:val="18"/>
    </w:rPr>
  </w:style>
  <w:style w:type="paragraph" w:customStyle="1" w:styleId="xl30">
    <w:name w:val="xl30"/>
    <w:basedOn w:val="Normal"/>
    <w:pPr>
      <w:keepNext w:val="0"/>
      <w:pBdr>
        <w:left w:val="double" w:sz="6" w:space="0" w:color="auto"/>
      </w:pBdr>
      <w:suppressAutoHyphens w:val="0"/>
      <w:spacing w:before="100" w:beforeAutospacing="1" w:after="100" w:afterAutospacing="1"/>
      <w:jc w:val="center"/>
    </w:pPr>
    <w:rPr>
      <w:rFonts w:eastAsia="Arial Unicode MS" w:cs="Arial"/>
      <w:snapToGrid/>
      <w:sz w:val="18"/>
      <w:szCs w:val="18"/>
    </w:rPr>
  </w:style>
  <w:style w:type="paragraph" w:customStyle="1" w:styleId="xl31">
    <w:name w:val="xl31"/>
    <w:basedOn w:val="Normal"/>
    <w:pPr>
      <w:keepNext w:val="0"/>
      <w:pBdr>
        <w:top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32">
    <w:name w:val="xl32"/>
    <w:basedOn w:val="Normal"/>
    <w:pPr>
      <w:keepNext w:val="0"/>
      <w:pBdr>
        <w:top w:val="double" w:sz="6" w:space="0" w:color="auto"/>
        <w:right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33">
    <w:name w:val="xl33"/>
    <w:basedOn w:val="Normal"/>
    <w:pPr>
      <w:keepNext w:val="0"/>
      <w:pBdr>
        <w:top w:val="double" w:sz="6" w:space="0" w:color="auto"/>
        <w:left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34">
    <w:name w:val="xl34"/>
    <w:basedOn w:val="Normal"/>
    <w:pPr>
      <w:keepNext w:val="0"/>
      <w:pBdr>
        <w:left w:val="double" w:sz="6" w:space="0" w:color="auto"/>
        <w:bottom w:val="single" w:sz="4"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35">
    <w:name w:val="xl35"/>
    <w:basedOn w:val="Normal"/>
    <w:pPr>
      <w:keepNext w:val="0"/>
      <w:pBdr>
        <w:top w:val="double" w:sz="6" w:space="0" w:color="auto"/>
      </w:pBdr>
      <w:suppressAutoHyphens w:val="0"/>
      <w:spacing w:before="100" w:beforeAutospacing="1" w:after="100" w:afterAutospacing="1"/>
      <w:jc w:val="center"/>
      <w:textAlignment w:val="top"/>
    </w:pPr>
    <w:rPr>
      <w:rFonts w:eastAsia="Arial Unicode MS" w:cs="Arial"/>
      <w:snapToGrid/>
      <w:sz w:val="18"/>
      <w:szCs w:val="18"/>
    </w:rPr>
  </w:style>
  <w:style w:type="paragraph" w:customStyle="1" w:styleId="xl36">
    <w:name w:val="xl36"/>
    <w:basedOn w:val="Normal"/>
    <w:pPr>
      <w:keepNext w:val="0"/>
      <w:pBdr>
        <w:bottom w:val="single" w:sz="4" w:space="0" w:color="auto"/>
      </w:pBdr>
      <w:suppressAutoHyphens w:val="0"/>
      <w:spacing w:before="100" w:beforeAutospacing="1" w:after="100" w:afterAutospacing="1"/>
      <w:jc w:val="center"/>
      <w:textAlignment w:val="top"/>
    </w:pPr>
    <w:rPr>
      <w:rFonts w:eastAsia="Arial Unicode MS" w:cs="Arial"/>
      <w:snapToGrid/>
      <w:sz w:val="16"/>
      <w:szCs w:val="16"/>
    </w:rPr>
  </w:style>
  <w:style w:type="paragraph" w:customStyle="1" w:styleId="xl37">
    <w:name w:val="xl37"/>
    <w:basedOn w:val="Normal"/>
    <w:pPr>
      <w:keepNext w:val="0"/>
      <w:pBdr>
        <w:bottom w:val="single" w:sz="4" w:space="0" w:color="auto"/>
      </w:pBdr>
      <w:suppressAutoHyphens w:val="0"/>
      <w:spacing w:before="100" w:beforeAutospacing="1" w:after="100" w:afterAutospacing="1"/>
      <w:jc w:val="center"/>
      <w:textAlignment w:val="center"/>
    </w:pPr>
    <w:rPr>
      <w:rFonts w:eastAsia="Arial Unicode MS" w:cs="Arial"/>
      <w:snapToGrid/>
      <w:sz w:val="16"/>
      <w:szCs w:val="16"/>
    </w:rPr>
  </w:style>
  <w:style w:type="paragraph" w:customStyle="1" w:styleId="xl38">
    <w:name w:val="xl38"/>
    <w:basedOn w:val="Normal"/>
    <w:pPr>
      <w:keepNext w:val="0"/>
      <w:pBdr>
        <w:bottom w:val="single" w:sz="4" w:space="0" w:color="auto"/>
        <w:right w:val="double" w:sz="6" w:space="0" w:color="auto"/>
      </w:pBdr>
      <w:suppressAutoHyphens w:val="0"/>
      <w:spacing w:before="100" w:beforeAutospacing="1" w:after="100" w:afterAutospacing="1"/>
      <w:jc w:val="center"/>
      <w:textAlignment w:val="center"/>
    </w:pPr>
    <w:rPr>
      <w:rFonts w:eastAsia="Arial Unicode MS" w:cs="Arial"/>
      <w:snapToGrid/>
      <w:sz w:val="16"/>
      <w:szCs w:val="16"/>
    </w:rPr>
  </w:style>
  <w:style w:type="paragraph" w:customStyle="1" w:styleId="xl39">
    <w:name w:val="xl39"/>
    <w:basedOn w:val="Normal"/>
    <w:pPr>
      <w:keepNext w:val="0"/>
      <w:pBdr>
        <w:left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40">
    <w:name w:val="xl40"/>
    <w:basedOn w:val="Normal"/>
    <w:pPr>
      <w:keepNext w:val="0"/>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41">
    <w:name w:val="xl41"/>
    <w:basedOn w:val="Normal"/>
    <w:pPr>
      <w:keepNext w:val="0"/>
      <w:suppressAutoHyphens w:val="0"/>
      <w:spacing w:before="100" w:beforeAutospacing="1" w:after="100" w:afterAutospacing="1"/>
      <w:jc w:val="center"/>
      <w:textAlignment w:val="top"/>
    </w:pPr>
    <w:rPr>
      <w:rFonts w:eastAsia="Arial Unicode MS" w:cs="Arial"/>
      <w:snapToGrid/>
      <w:sz w:val="18"/>
      <w:szCs w:val="18"/>
    </w:rPr>
  </w:style>
  <w:style w:type="paragraph" w:customStyle="1" w:styleId="xl42">
    <w:name w:val="xl42"/>
    <w:basedOn w:val="Normal"/>
    <w:pPr>
      <w:keepNext w:val="0"/>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44">
    <w:name w:val="xl44"/>
    <w:basedOn w:val="Normal"/>
    <w:pPr>
      <w:keepNext w:val="0"/>
      <w:suppressAutoHyphens w:val="0"/>
      <w:spacing w:before="100" w:beforeAutospacing="1" w:after="100" w:afterAutospacing="1"/>
      <w:jc w:val="center"/>
      <w:textAlignment w:val="center"/>
    </w:pPr>
    <w:rPr>
      <w:rFonts w:eastAsia="Arial Unicode MS" w:cs="Arial"/>
      <w:snapToGrid/>
      <w:sz w:val="16"/>
      <w:szCs w:val="16"/>
    </w:rPr>
  </w:style>
  <w:style w:type="paragraph" w:customStyle="1" w:styleId="xl45">
    <w:name w:val="xl45"/>
    <w:basedOn w:val="Normal"/>
    <w:pPr>
      <w:keepNext w:val="0"/>
      <w:pBdr>
        <w:bottom w:val="single" w:sz="4"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46">
    <w:name w:val="xl46"/>
    <w:basedOn w:val="Normal"/>
    <w:pPr>
      <w:keepNext w:val="0"/>
      <w:pBdr>
        <w:bottom w:val="single" w:sz="4" w:space="0" w:color="auto"/>
        <w:right w:val="double" w:sz="6" w:space="0" w:color="auto"/>
      </w:pBdr>
      <w:suppressAutoHyphens w:val="0"/>
      <w:spacing w:before="100" w:beforeAutospacing="1" w:after="100" w:afterAutospacing="1"/>
      <w:jc w:val="center"/>
      <w:textAlignment w:val="center"/>
    </w:pPr>
    <w:rPr>
      <w:rFonts w:eastAsia="Arial Unicode MS" w:cs="Arial"/>
      <w:snapToGrid/>
      <w:sz w:val="18"/>
      <w:szCs w:val="18"/>
    </w:rPr>
  </w:style>
  <w:style w:type="paragraph" w:customStyle="1" w:styleId="xl22">
    <w:name w:val="xl22"/>
    <w:basedOn w:val="Normal"/>
    <w:pPr>
      <w:keepNext w:val="0"/>
      <w:suppressAutoHyphens w:val="0"/>
      <w:spacing w:before="100" w:beforeAutospacing="1" w:after="100" w:afterAutospacing="1"/>
      <w:jc w:val="center"/>
    </w:pPr>
    <w:rPr>
      <w:rFonts w:ascii="Arial Unicode MS" w:eastAsia="Arial Unicode MS" w:hAnsi="Arial Unicode MS" w:cs="Arial Unicode MS"/>
      <w:snapToGrid/>
      <w:szCs w:val="24"/>
    </w:rPr>
  </w:style>
  <w:style w:type="paragraph" w:customStyle="1" w:styleId="xl23">
    <w:name w:val="xl23"/>
    <w:basedOn w:val="Normal"/>
    <w:pPr>
      <w:keepNext w:val="0"/>
      <w:pBdr>
        <w:right w:val="single" w:sz="8" w:space="0" w:color="auto"/>
      </w:pBdr>
      <w:suppressAutoHyphens w:val="0"/>
      <w:spacing w:before="100" w:beforeAutospacing="1" w:after="100" w:afterAutospacing="1"/>
      <w:jc w:val="center"/>
    </w:pPr>
    <w:rPr>
      <w:rFonts w:ascii="Arial Unicode MS" w:eastAsia="Arial Unicode MS" w:hAnsi="Arial Unicode MS" w:cs="Arial Unicode MS"/>
      <w:snapToGrid/>
      <w:szCs w:val="24"/>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Nomdessectionscentr">
    <w:name w:val="Nom des sections centré"/>
    <w:basedOn w:val="Nomdessections"/>
    <w:pPr>
      <w:spacing w:after="120"/>
      <w:jc w:val="center"/>
    </w:pPr>
  </w:style>
  <w:style w:type="paragraph" w:styleId="Signature">
    <w:name w:val="Signature"/>
    <w:basedOn w:val="Normal"/>
    <w:semiHidden/>
    <w:pPr>
      <w:ind w:left="-70"/>
    </w:pPr>
  </w:style>
  <w:style w:type="paragraph" w:styleId="TableofFigures">
    <w:name w:val="table of figures"/>
    <w:basedOn w:val="Normal"/>
    <w:next w:val="Normal"/>
    <w:uiPriority w:val="99"/>
    <w:pPr>
      <w:ind w:left="480" w:hanging="480"/>
    </w:pPr>
  </w:style>
  <w:style w:type="paragraph" w:styleId="BalloonText">
    <w:name w:val="Balloon Text"/>
    <w:basedOn w:val="Normal"/>
    <w:link w:val="BalloonTextChar"/>
    <w:uiPriority w:val="99"/>
    <w:pPr>
      <w:snapToGrid w:val="0"/>
    </w:pPr>
    <w:rPr>
      <w:rFonts w:ascii="ZWAdobeF" w:hAnsi="ZWAdobeF"/>
      <w:snapToGrid/>
      <w:sz w:val="16"/>
      <w:szCs w:val="16"/>
    </w:rPr>
  </w:style>
  <w:style w:type="character" w:customStyle="1" w:styleId="BalloonTextChar">
    <w:name w:val="Balloon Text Char"/>
    <w:link w:val="BalloonText"/>
    <w:uiPriority w:val="99"/>
    <w:rsid w:val="00DF6239"/>
    <w:rPr>
      <w:rFonts w:ascii="ZWAdobeF" w:hAnsi="ZWAdobeF"/>
      <w:sz w:val="16"/>
      <w:szCs w:val="16"/>
      <w:lang w:eastAsia="fr-FR"/>
    </w:rPr>
  </w:style>
  <w:style w:type="paragraph" w:styleId="Title">
    <w:name w:val="Title"/>
    <w:basedOn w:val="Normal"/>
    <w:link w:val="TitleChar"/>
    <w:qFormat/>
    <w:pPr>
      <w:spacing w:before="240" w:after="60"/>
      <w:jc w:val="center"/>
      <w:outlineLvl w:val="0"/>
    </w:pPr>
    <w:rPr>
      <w:rFonts w:cs="Arial"/>
      <w:b/>
      <w:bCs/>
      <w:sz w:val="32"/>
      <w:szCs w:val="32"/>
    </w:rPr>
  </w:style>
  <w:style w:type="character" w:customStyle="1" w:styleId="TitleChar">
    <w:name w:val="Title Char"/>
    <w:link w:val="Title"/>
    <w:rsid w:val="00DF6239"/>
    <w:rPr>
      <w:rFonts w:ascii="Arial" w:hAnsi="Arial" w:cs="Arial"/>
      <w:b/>
      <w:bCs/>
      <w:snapToGrid w:val="0"/>
      <w:sz w:val="32"/>
      <w:szCs w:val="32"/>
      <w:lang w:eastAsia="fr-FR"/>
    </w:rPr>
  </w:style>
  <w:style w:type="paragraph" w:customStyle="1" w:styleId="Titre10">
    <w:name w:val="Titre 10"/>
    <w:aliases w:val="Annexe"/>
    <w:basedOn w:val="Normal"/>
    <w:next w:val="Normal"/>
    <w:autoRedefine/>
    <w:qFormat/>
    <w:rsid w:val="009978A3"/>
    <w:pPr>
      <w:spacing w:after="480"/>
      <w:jc w:val="center"/>
      <w:outlineLvl w:val="2"/>
    </w:pPr>
    <w:rPr>
      <w:rFonts w:ascii="Arial Gras" w:hAnsi="Arial Gras"/>
      <w:b/>
      <w:u w:val="single"/>
    </w:rPr>
  </w:style>
  <w:style w:type="paragraph" w:customStyle="1" w:styleId="MGSCentr">
    <w:name w:val="MGSCentré"/>
    <w:basedOn w:val="MGSTexte3cm"/>
    <w:pPr>
      <w:ind w:left="0"/>
      <w:jc w:val="center"/>
    </w:pPr>
  </w:style>
  <w:style w:type="paragraph" w:customStyle="1" w:styleId="Texte1cmPM">
    <w:name w:val="Texte à 1 cm PM"/>
    <w:basedOn w:val="Normal"/>
    <w:pPr>
      <w:snapToGrid w:val="0"/>
      <w:ind w:left="567"/>
    </w:pPr>
    <w:rPr>
      <w:b/>
      <w:smallCaps/>
      <w:snapToGrid/>
    </w:rPr>
  </w:style>
  <w:style w:type="paragraph" w:customStyle="1" w:styleId="PMG">
    <w:name w:val="PMG"/>
    <w:basedOn w:val="Texte1cmPM"/>
    <w:pPr>
      <w:ind w:left="0"/>
    </w:pPr>
  </w:style>
  <w:style w:type="paragraph" w:customStyle="1" w:styleId="Recommandation">
    <w:name w:val="Recommandation?"/>
    <w:basedOn w:val="Heading1"/>
    <w:pPr>
      <w:spacing w:after="0"/>
    </w:pPr>
    <w:rPr>
      <w:rFonts w:cs="Arial"/>
      <w:b w:val="0"/>
      <w:bCs/>
      <w:caps w:val="0"/>
      <w:snapToGrid/>
      <w:sz w:val="20"/>
      <w:szCs w:val="32"/>
      <w:u w:val="none"/>
      <w:lang w:val="fr-FR"/>
    </w:rPr>
  </w:style>
  <w:style w:type="paragraph" w:customStyle="1" w:styleId="RecommandationNon">
    <w:name w:val="RecommandationNon"/>
    <w:basedOn w:val="Heading1"/>
    <w:pPr>
      <w:spacing w:after="0"/>
    </w:pPr>
    <w:rPr>
      <w:rFonts w:cs="Arial"/>
      <w:b w:val="0"/>
      <w:bCs/>
      <w:caps w:val="0"/>
      <w:snapToGrid/>
      <w:sz w:val="20"/>
      <w:u w:val="none"/>
    </w:rPr>
  </w:style>
  <w:style w:type="paragraph" w:customStyle="1" w:styleId="RecommandationOui">
    <w:name w:val="RecommandationOui"/>
    <w:basedOn w:val="Heading1"/>
    <w:pPr>
      <w:keepNext w:val="0"/>
      <w:spacing w:after="0"/>
      <w:outlineLvl w:val="9"/>
    </w:pPr>
    <w:rPr>
      <w:rFonts w:cs="Arial"/>
      <w:b w:val="0"/>
      <w:caps w:val="0"/>
      <w:snapToGrid/>
      <w:sz w:val="20"/>
      <w:szCs w:val="32"/>
      <w:u w:val="none"/>
      <w:lang w:val="fr-FR"/>
    </w:rPr>
  </w:style>
  <w:style w:type="paragraph" w:styleId="NormalIndent">
    <w:name w:val="Normal Indent"/>
    <w:basedOn w:val="Normal"/>
    <w:semiHidden/>
    <w:pPr>
      <w:ind w:left="708"/>
    </w:pPr>
  </w:style>
  <w:style w:type="paragraph" w:styleId="CommentSubject">
    <w:name w:val="annotation subject"/>
    <w:basedOn w:val="CommentText"/>
    <w:next w:val="CommentText"/>
    <w:link w:val="CommentSubjectChar"/>
    <w:uiPriority w:val="99"/>
    <w:semiHidden/>
    <w:unhideWhenUsed/>
    <w:rsid w:val="002A76E4"/>
    <w:pPr>
      <w:tabs>
        <w:tab w:val="clear" w:pos="3969"/>
      </w:tabs>
    </w:pPr>
    <w:rPr>
      <w:b/>
      <w:bCs/>
      <w:sz w:val="20"/>
    </w:rPr>
  </w:style>
  <w:style w:type="character" w:customStyle="1" w:styleId="CommentSubjectChar">
    <w:name w:val="Comment Subject Char"/>
    <w:basedOn w:val="CommentTextChar"/>
    <w:link w:val="CommentSubject"/>
    <w:rsid w:val="002A76E4"/>
    <w:rPr>
      <w:rFonts w:ascii="Arial" w:hAnsi="Arial"/>
      <w:snapToGrid w:val="0"/>
      <w:sz w:val="24"/>
      <w:lang w:eastAsia="fr-FR"/>
    </w:rPr>
  </w:style>
  <w:style w:type="paragraph" w:styleId="EndnoteText">
    <w:name w:val="endnote text"/>
    <w:basedOn w:val="Normal"/>
    <w:link w:val="EndnoteTextChar"/>
    <w:uiPriority w:val="99"/>
    <w:semiHidden/>
    <w:rsid w:val="004940B6"/>
    <w:pPr>
      <w:tabs>
        <w:tab w:val="left" w:pos="394"/>
        <w:tab w:val="left" w:pos="1276"/>
        <w:tab w:val="left" w:pos="2736"/>
        <w:tab w:val="left" w:pos="5904"/>
        <w:tab w:val="left" w:pos="6336"/>
      </w:tabs>
    </w:pPr>
    <w:rPr>
      <w:b/>
    </w:rPr>
  </w:style>
  <w:style w:type="character" w:customStyle="1" w:styleId="EndnoteTextChar">
    <w:name w:val="Endnote Text Char"/>
    <w:link w:val="EndnoteText"/>
    <w:uiPriority w:val="99"/>
    <w:semiHidden/>
    <w:rsid w:val="004940B6"/>
    <w:rPr>
      <w:rFonts w:ascii="Arial" w:hAnsi="Arial"/>
      <w:b/>
      <w:snapToGrid w:val="0"/>
      <w:sz w:val="24"/>
      <w:lang w:eastAsia="fr-FR"/>
    </w:rPr>
  </w:style>
  <w:style w:type="paragraph" w:styleId="ListParagraph">
    <w:name w:val="List Paragraph"/>
    <w:aliases w:val="Paragraphe de liste--"/>
    <w:basedOn w:val="Normal"/>
    <w:link w:val="ListParagraphChar"/>
    <w:uiPriority w:val="34"/>
    <w:qFormat/>
    <w:rsid w:val="00CA2E8C"/>
    <w:pPr>
      <w:keepNext w:val="0"/>
      <w:suppressAutoHyphens w:val="0"/>
      <w:ind w:left="708"/>
    </w:pPr>
    <w:rPr>
      <w:rFonts w:eastAsia="Calibri"/>
      <w:snapToGrid/>
      <w:szCs w:val="22"/>
      <w:lang w:eastAsia="en-US"/>
    </w:rPr>
  </w:style>
  <w:style w:type="paragraph" w:customStyle="1" w:styleId="Paragraphedeliste1">
    <w:name w:val="Paragraphe de liste1"/>
    <w:basedOn w:val="Normal"/>
    <w:uiPriority w:val="34"/>
    <w:qFormat/>
    <w:rsid w:val="00CA2E8C"/>
    <w:pPr>
      <w:keepNext w:val="0"/>
      <w:suppressAutoHyphens w:val="0"/>
      <w:spacing w:after="200"/>
      <w:ind w:left="720"/>
      <w:contextualSpacing/>
    </w:pPr>
    <w:rPr>
      <w:rFonts w:ascii="Times New Roman" w:hAnsi="Times New Roman" w:cs="Helvetica"/>
      <w:snapToGrid/>
      <w:szCs w:val="22"/>
      <w:lang w:eastAsia="en-US"/>
    </w:rPr>
  </w:style>
  <w:style w:type="paragraph" w:customStyle="1" w:styleId="Corpsdetexte210">
    <w:name w:val="Corps de texte 210"/>
    <w:basedOn w:val="Normal"/>
    <w:rsid w:val="00DF6239"/>
    <w:pPr>
      <w:keepNext w:val="0"/>
      <w:widowControl w:val="0"/>
      <w:tabs>
        <w:tab w:val="left" w:pos="-720"/>
        <w:tab w:val="left" w:pos="0"/>
      </w:tabs>
      <w:ind w:left="720" w:hanging="720"/>
    </w:pPr>
    <w:rPr>
      <w:rFonts w:ascii="Courier" w:hAnsi="Courier"/>
      <w:snapToGrid/>
      <w:spacing w:val="-2"/>
      <w:sz w:val="20"/>
      <w:lang w:eastAsia="fr-CA"/>
    </w:rPr>
  </w:style>
  <w:style w:type="table" w:styleId="TableGrid">
    <w:name w:val="Table Grid"/>
    <w:basedOn w:val="TableNormal"/>
    <w:uiPriority w:val="39"/>
    <w:rsid w:val="009F5256"/>
    <w:rPr>
      <w:rFonts w:ascii="New York" w:hAnsi="New Yor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uiPriority w:val="99"/>
    <w:semiHidden/>
    <w:unhideWhenUsed/>
    <w:rsid w:val="0026127B"/>
    <w:pPr>
      <w:framePr w:w="7938" w:h="1985" w:hRule="exact" w:hSpace="141" w:wrap="auto" w:hAnchor="page" w:xAlign="center" w:yAlign="bottom"/>
      <w:ind w:left="2835"/>
    </w:pPr>
    <w:rPr>
      <w:rFonts w:ascii="Cambria" w:hAnsi="Cambria"/>
      <w:szCs w:val="24"/>
    </w:rPr>
  </w:style>
  <w:style w:type="paragraph" w:styleId="EnvelopeReturn">
    <w:name w:val="envelope return"/>
    <w:basedOn w:val="Normal"/>
    <w:uiPriority w:val="99"/>
    <w:semiHidden/>
    <w:unhideWhenUsed/>
    <w:rsid w:val="0026127B"/>
    <w:rPr>
      <w:rFonts w:ascii="Cambria" w:hAnsi="Cambria"/>
      <w:sz w:val="20"/>
    </w:rPr>
  </w:style>
  <w:style w:type="paragraph" w:styleId="HTMLAddress">
    <w:name w:val="HTML Address"/>
    <w:basedOn w:val="Normal"/>
    <w:link w:val="HTMLAddressChar"/>
    <w:uiPriority w:val="99"/>
    <w:semiHidden/>
    <w:unhideWhenUsed/>
    <w:rsid w:val="0026127B"/>
    <w:rPr>
      <w:i/>
      <w:iCs/>
    </w:rPr>
  </w:style>
  <w:style w:type="character" w:customStyle="1" w:styleId="HTMLAddressChar">
    <w:name w:val="HTML Address Char"/>
    <w:link w:val="HTMLAddress"/>
    <w:uiPriority w:val="99"/>
    <w:semiHidden/>
    <w:rsid w:val="0026127B"/>
    <w:rPr>
      <w:rFonts w:ascii="Arial" w:hAnsi="Arial"/>
      <w:i/>
      <w:iCs/>
      <w:snapToGrid w:val="0"/>
      <w:sz w:val="24"/>
      <w:lang w:eastAsia="fr-FR"/>
    </w:rPr>
  </w:style>
  <w:style w:type="paragraph" w:styleId="Bibliography">
    <w:name w:val="Bibliography"/>
    <w:basedOn w:val="Normal"/>
    <w:next w:val="Normal"/>
    <w:uiPriority w:val="37"/>
    <w:semiHidden/>
    <w:unhideWhenUsed/>
    <w:rsid w:val="0026127B"/>
  </w:style>
  <w:style w:type="paragraph" w:styleId="Quote">
    <w:name w:val="Quote"/>
    <w:basedOn w:val="Normal"/>
    <w:next w:val="Normal"/>
    <w:link w:val="QuoteChar"/>
    <w:uiPriority w:val="29"/>
    <w:qFormat/>
    <w:rsid w:val="0026127B"/>
    <w:rPr>
      <w:i/>
      <w:iCs/>
      <w:color w:val="000000"/>
    </w:rPr>
  </w:style>
  <w:style w:type="character" w:customStyle="1" w:styleId="QuoteChar">
    <w:name w:val="Quote Char"/>
    <w:link w:val="Quote"/>
    <w:uiPriority w:val="29"/>
    <w:rsid w:val="0026127B"/>
    <w:rPr>
      <w:rFonts w:ascii="Arial" w:hAnsi="Arial"/>
      <w:i/>
      <w:iCs/>
      <w:snapToGrid w:val="0"/>
      <w:color w:val="000000"/>
      <w:sz w:val="24"/>
      <w:lang w:eastAsia="fr-FR"/>
    </w:rPr>
  </w:style>
  <w:style w:type="paragraph" w:styleId="IntenseQuote">
    <w:name w:val="Intense Quote"/>
    <w:basedOn w:val="Normal"/>
    <w:next w:val="Normal"/>
    <w:link w:val="IntenseQuoteChar"/>
    <w:uiPriority w:val="30"/>
    <w:qFormat/>
    <w:rsid w:val="002612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6127B"/>
    <w:rPr>
      <w:rFonts w:ascii="Arial" w:hAnsi="Arial"/>
      <w:b/>
      <w:bCs/>
      <w:i/>
      <w:iCs/>
      <w:snapToGrid w:val="0"/>
      <w:color w:val="4F81BD"/>
      <w:sz w:val="24"/>
      <w:lang w:eastAsia="fr-FR"/>
    </w:rPr>
  </w:style>
  <w:style w:type="paragraph" w:styleId="Date">
    <w:name w:val="Date"/>
    <w:basedOn w:val="Normal"/>
    <w:next w:val="Normal"/>
    <w:link w:val="DateChar"/>
    <w:uiPriority w:val="99"/>
    <w:semiHidden/>
    <w:unhideWhenUsed/>
    <w:rsid w:val="0026127B"/>
  </w:style>
  <w:style w:type="character" w:customStyle="1" w:styleId="DateChar">
    <w:name w:val="Date Char"/>
    <w:link w:val="Date"/>
    <w:uiPriority w:val="99"/>
    <w:semiHidden/>
    <w:rsid w:val="0026127B"/>
    <w:rPr>
      <w:rFonts w:ascii="Arial" w:hAnsi="Arial"/>
      <w:snapToGrid w:val="0"/>
      <w:sz w:val="24"/>
      <w:lang w:eastAsia="fr-FR"/>
    </w:rPr>
  </w:style>
  <w:style w:type="paragraph" w:styleId="MessageHeader">
    <w:name w:val="Message Header"/>
    <w:basedOn w:val="Normal"/>
    <w:link w:val="MessageHeaderChar"/>
    <w:uiPriority w:val="99"/>
    <w:semiHidden/>
    <w:unhideWhenUsed/>
    <w:rsid w:val="002612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uiPriority w:val="99"/>
    <w:semiHidden/>
    <w:rsid w:val="0026127B"/>
    <w:rPr>
      <w:rFonts w:ascii="Cambria" w:eastAsia="Times New Roman" w:hAnsi="Cambria" w:cs="Times New Roman"/>
      <w:snapToGrid w:val="0"/>
      <w:sz w:val="24"/>
      <w:szCs w:val="24"/>
      <w:shd w:val="pct20" w:color="auto" w:fill="auto"/>
      <w:lang w:eastAsia="fr-FR"/>
    </w:rPr>
  </w:style>
  <w:style w:type="paragraph" w:styleId="TOCHeading">
    <w:name w:val="TOC Heading"/>
    <w:basedOn w:val="Heading1"/>
    <w:next w:val="Normal"/>
    <w:uiPriority w:val="39"/>
    <w:semiHidden/>
    <w:unhideWhenUsed/>
    <w:qFormat/>
    <w:rsid w:val="0026127B"/>
    <w:pPr>
      <w:spacing w:before="240" w:after="60"/>
      <w:outlineLvl w:val="9"/>
    </w:pPr>
    <w:rPr>
      <w:rFonts w:ascii="Cambria" w:hAnsi="Cambria"/>
      <w:bCs/>
      <w:caps w:val="0"/>
      <w:kern w:val="32"/>
      <w:sz w:val="32"/>
      <w:szCs w:val="32"/>
      <w:u w:val="none"/>
    </w:rPr>
  </w:style>
  <w:style w:type="paragraph" w:styleId="Closing">
    <w:name w:val="Closing"/>
    <w:basedOn w:val="Normal"/>
    <w:link w:val="ClosingChar"/>
    <w:uiPriority w:val="99"/>
    <w:semiHidden/>
    <w:unhideWhenUsed/>
    <w:rsid w:val="0026127B"/>
    <w:pPr>
      <w:ind w:left="4252"/>
    </w:pPr>
  </w:style>
  <w:style w:type="character" w:customStyle="1" w:styleId="ClosingChar">
    <w:name w:val="Closing Char"/>
    <w:link w:val="Closing"/>
    <w:uiPriority w:val="99"/>
    <w:semiHidden/>
    <w:rsid w:val="0026127B"/>
    <w:rPr>
      <w:rFonts w:ascii="Arial" w:hAnsi="Arial"/>
      <w:snapToGrid w:val="0"/>
      <w:sz w:val="24"/>
      <w:lang w:eastAsia="fr-FR"/>
    </w:rPr>
  </w:style>
  <w:style w:type="paragraph" w:styleId="Caption">
    <w:name w:val="caption"/>
    <w:basedOn w:val="Normal"/>
    <w:next w:val="Normal"/>
    <w:semiHidden/>
    <w:unhideWhenUsed/>
    <w:qFormat/>
    <w:rsid w:val="0026127B"/>
    <w:rPr>
      <w:b/>
      <w:bCs/>
      <w:sz w:val="20"/>
    </w:rPr>
  </w:style>
  <w:style w:type="paragraph" w:styleId="List">
    <w:name w:val="List"/>
    <w:basedOn w:val="Normal"/>
    <w:uiPriority w:val="99"/>
    <w:semiHidden/>
    <w:unhideWhenUsed/>
    <w:rsid w:val="0026127B"/>
    <w:pPr>
      <w:ind w:left="283" w:hanging="283"/>
      <w:contextualSpacing/>
    </w:pPr>
  </w:style>
  <w:style w:type="paragraph" w:styleId="List2">
    <w:name w:val="List 2"/>
    <w:basedOn w:val="Normal"/>
    <w:uiPriority w:val="99"/>
    <w:semiHidden/>
    <w:unhideWhenUsed/>
    <w:rsid w:val="0026127B"/>
    <w:pPr>
      <w:ind w:left="566" w:hanging="283"/>
      <w:contextualSpacing/>
    </w:pPr>
  </w:style>
  <w:style w:type="paragraph" w:styleId="List3">
    <w:name w:val="List 3"/>
    <w:basedOn w:val="Normal"/>
    <w:uiPriority w:val="99"/>
    <w:semiHidden/>
    <w:unhideWhenUsed/>
    <w:rsid w:val="0026127B"/>
    <w:pPr>
      <w:ind w:left="849" w:hanging="283"/>
      <w:contextualSpacing/>
    </w:pPr>
  </w:style>
  <w:style w:type="paragraph" w:styleId="List4">
    <w:name w:val="List 4"/>
    <w:basedOn w:val="Normal"/>
    <w:uiPriority w:val="99"/>
    <w:semiHidden/>
    <w:unhideWhenUsed/>
    <w:rsid w:val="0026127B"/>
    <w:pPr>
      <w:ind w:left="1132" w:hanging="283"/>
      <w:contextualSpacing/>
    </w:pPr>
  </w:style>
  <w:style w:type="paragraph" w:styleId="List5">
    <w:name w:val="List 5"/>
    <w:basedOn w:val="Normal"/>
    <w:uiPriority w:val="99"/>
    <w:semiHidden/>
    <w:unhideWhenUsed/>
    <w:rsid w:val="0026127B"/>
    <w:pPr>
      <w:ind w:left="1415" w:hanging="283"/>
      <w:contextualSpacing/>
    </w:pPr>
  </w:style>
  <w:style w:type="paragraph" w:styleId="ListNumber">
    <w:name w:val="List Number"/>
    <w:basedOn w:val="Normal"/>
    <w:uiPriority w:val="99"/>
    <w:semiHidden/>
    <w:unhideWhenUsed/>
    <w:rsid w:val="0026127B"/>
    <w:pPr>
      <w:numPr>
        <w:numId w:val="6"/>
      </w:numPr>
      <w:tabs>
        <w:tab w:val="clear" w:pos="360"/>
        <w:tab w:val="num" w:pos="643"/>
      </w:tabs>
      <w:ind w:left="643"/>
      <w:contextualSpacing/>
    </w:pPr>
  </w:style>
  <w:style w:type="paragraph" w:styleId="ListNumber2">
    <w:name w:val="List Number 2"/>
    <w:basedOn w:val="Normal"/>
    <w:uiPriority w:val="99"/>
    <w:semiHidden/>
    <w:unhideWhenUsed/>
    <w:rsid w:val="0026127B"/>
    <w:pPr>
      <w:numPr>
        <w:numId w:val="7"/>
      </w:numPr>
      <w:tabs>
        <w:tab w:val="clear" w:pos="643"/>
        <w:tab w:val="num" w:pos="926"/>
      </w:tabs>
      <w:ind w:left="926"/>
      <w:contextualSpacing/>
    </w:pPr>
  </w:style>
  <w:style w:type="paragraph" w:styleId="ListNumber3">
    <w:name w:val="List Number 3"/>
    <w:basedOn w:val="Normal"/>
    <w:uiPriority w:val="99"/>
    <w:semiHidden/>
    <w:unhideWhenUsed/>
    <w:rsid w:val="0026127B"/>
    <w:pPr>
      <w:numPr>
        <w:numId w:val="8"/>
      </w:numPr>
      <w:tabs>
        <w:tab w:val="clear" w:pos="926"/>
        <w:tab w:val="num" w:pos="1209"/>
      </w:tabs>
      <w:ind w:left="1209"/>
      <w:contextualSpacing/>
    </w:pPr>
  </w:style>
  <w:style w:type="paragraph" w:styleId="ListNumber4">
    <w:name w:val="List Number 4"/>
    <w:basedOn w:val="Normal"/>
    <w:uiPriority w:val="99"/>
    <w:semiHidden/>
    <w:unhideWhenUsed/>
    <w:rsid w:val="0026127B"/>
    <w:pPr>
      <w:numPr>
        <w:numId w:val="9"/>
      </w:numPr>
      <w:tabs>
        <w:tab w:val="clear" w:pos="1209"/>
        <w:tab w:val="num" w:pos="1492"/>
      </w:tabs>
      <w:ind w:left="1492"/>
      <w:contextualSpacing/>
    </w:pPr>
  </w:style>
  <w:style w:type="paragraph" w:styleId="ListNumber5">
    <w:name w:val="List Number 5"/>
    <w:basedOn w:val="Normal"/>
    <w:uiPriority w:val="99"/>
    <w:semiHidden/>
    <w:unhideWhenUsed/>
    <w:rsid w:val="0026127B"/>
    <w:pPr>
      <w:numPr>
        <w:numId w:val="10"/>
      </w:numPr>
      <w:tabs>
        <w:tab w:val="clear" w:pos="1492"/>
        <w:tab w:val="num" w:pos="643"/>
      </w:tabs>
      <w:ind w:left="643"/>
      <w:contextualSpacing/>
    </w:pPr>
  </w:style>
  <w:style w:type="paragraph" w:styleId="ListBullet2">
    <w:name w:val="List Bullet 2"/>
    <w:basedOn w:val="Normal"/>
    <w:uiPriority w:val="99"/>
    <w:semiHidden/>
    <w:unhideWhenUsed/>
    <w:rsid w:val="0026127B"/>
    <w:pPr>
      <w:numPr>
        <w:numId w:val="11"/>
      </w:numPr>
      <w:tabs>
        <w:tab w:val="clear" w:pos="643"/>
        <w:tab w:val="num" w:pos="926"/>
      </w:tabs>
      <w:ind w:left="926"/>
      <w:contextualSpacing/>
    </w:pPr>
  </w:style>
  <w:style w:type="paragraph" w:styleId="ListBullet3">
    <w:name w:val="List Bullet 3"/>
    <w:basedOn w:val="Normal"/>
    <w:uiPriority w:val="99"/>
    <w:semiHidden/>
    <w:unhideWhenUsed/>
    <w:rsid w:val="0026127B"/>
    <w:pPr>
      <w:numPr>
        <w:numId w:val="12"/>
      </w:numPr>
      <w:tabs>
        <w:tab w:val="clear" w:pos="926"/>
        <w:tab w:val="num" w:pos="1209"/>
      </w:tabs>
      <w:ind w:left="1209"/>
      <w:contextualSpacing/>
    </w:pPr>
  </w:style>
  <w:style w:type="paragraph" w:styleId="ListBullet4">
    <w:name w:val="List Bullet 4"/>
    <w:basedOn w:val="Normal"/>
    <w:uiPriority w:val="99"/>
    <w:semiHidden/>
    <w:unhideWhenUsed/>
    <w:rsid w:val="0026127B"/>
    <w:pPr>
      <w:numPr>
        <w:numId w:val="13"/>
      </w:numPr>
      <w:tabs>
        <w:tab w:val="clear" w:pos="1209"/>
        <w:tab w:val="num" w:pos="1492"/>
      </w:tabs>
      <w:ind w:left="1492"/>
      <w:contextualSpacing/>
    </w:pPr>
  </w:style>
  <w:style w:type="paragraph" w:styleId="ListBullet5">
    <w:name w:val="List Bullet 5"/>
    <w:basedOn w:val="Normal"/>
    <w:uiPriority w:val="99"/>
    <w:semiHidden/>
    <w:unhideWhenUsed/>
    <w:rsid w:val="0026127B"/>
    <w:pPr>
      <w:numPr>
        <w:numId w:val="14"/>
      </w:numPr>
      <w:tabs>
        <w:tab w:val="clear" w:pos="1492"/>
        <w:tab w:val="num" w:pos="567"/>
      </w:tabs>
      <w:ind w:left="567" w:hanging="567"/>
      <w:contextualSpacing/>
    </w:pPr>
  </w:style>
  <w:style w:type="paragraph" w:styleId="ListContinue">
    <w:name w:val="List Continue"/>
    <w:basedOn w:val="Normal"/>
    <w:uiPriority w:val="99"/>
    <w:semiHidden/>
    <w:unhideWhenUsed/>
    <w:rsid w:val="0026127B"/>
    <w:pPr>
      <w:spacing w:after="120"/>
      <w:ind w:left="283"/>
      <w:contextualSpacing/>
    </w:pPr>
  </w:style>
  <w:style w:type="paragraph" w:styleId="ListContinue2">
    <w:name w:val="List Continue 2"/>
    <w:basedOn w:val="Normal"/>
    <w:uiPriority w:val="99"/>
    <w:semiHidden/>
    <w:unhideWhenUsed/>
    <w:rsid w:val="0026127B"/>
    <w:pPr>
      <w:spacing w:after="120"/>
      <w:ind w:left="566"/>
      <w:contextualSpacing/>
    </w:pPr>
  </w:style>
  <w:style w:type="paragraph" w:styleId="ListContinue3">
    <w:name w:val="List Continue 3"/>
    <w:basedOn w:val="Normal"/>
    <w:uiPriority w:val="99"/>
    <w:semiHidden/>
    <w:unhideWhenUsed/>
    <w:rsid w:val="0026127B"/>
    <w:pPr>
      <w:spacing w:after="120"/>
      <w:ind w:left="849"/>
      <w:contextualSpacing/>
    </w:pPr>
  </w:style>
  <w:style w:type="paragraph" w:styleId="ListContinue4">
    <w:name w:val="List Continue 4"/>
    <w:basedOn w:val="Normal"/>
    <w:uiPriority w:val="99"/>
    <w:semiHidden/>
    <w:unhideWhenUsed/>
    <w:rsid w:val="0026127B"/>
    <w:pPr>
      <w:spacing w:after="120"/>
      <w:ind w:left="1132"/>
      <w:contextualSpacing/>
    </w:pPr>
  </w:style>
  <w:style w:type="paragraph" w:styleId="ListContinue5">
    <w:name w:val="List Continue 5"/>
    <w:basedOn w:val="Normal"/>
    <w:uiPriority w:val="99"/>
    <w:semiHidden/>
    <w:unhideWhenUsed/>
    <w:rsid w:val="0026127B"/>
    <w:pPr>
      <w:spacing w:after="120"/>
      <w:ind w:left="1415"/>
      <w:contextualSpacing/>
    </w:pPr>
  </w:style>
  <w:style w:type="paragraph" w:styleId="NormalWeb">
    <w:name w:val="Normal (Web)"/>
    <w:basedOn w:val="Normal"/>
    <w:uiPriority w:val="99"/>
    <w:unhideWhenUsed/>
    <w:rsid w:val="0026127B"/>
    <w:rPr>
      <w:rFonts w:ascii="Times New Roman" w:hAnsi="Times New Roman"/>
      <w:szCs w:val="24"/>
    </w:rPr>
  </w:style>
  <w:style w:type="paragraph" w:styleId="HTMLPreformatted">
    <w:name w:val="HTML Preformatted"/>
    <w:basedOn w:val="Normal"/>
    <w:link w:val="HTMLPreformattedChar"/>
    <w:uiPriority w:val="99"/>
    <w:semiHidden/>
    <w:unhideWhenUsed/>
    <w:rsid w:val="0026127B"/>
    <w:rPr>
      <w:rFonts w:ascii="Courier New" w:hAnsi="Courier New" w:cs="Courier New"/>
      <w:sz w:val="20"/>
    </w:rPr>
  </w:style>
  <w:style w:type="character" w:customStyle="1" w:styleId="HTMLPreformattedChar">
    <w:name w:val="HTML Preformatted Char"/>
    <w:link w:val="HTMLPreformatted"/>
    <w:uiPriority w:val="99"/>
    <w:semiHidden/>
    <w:rsid w:val="0026127B"/>
    <w:rPr>
      <w:rFonts w:ascii="Courier New" w:hAnsi="Courier New" w:cs="Courier New"/>
      <w:snapToGrid w:val="0"/>
      <w:lang w:eastAsia="fr-FR"/>
    </w:rPr>
  </w:style>
  <w:style w:type="paragraph" w:styleId="BodyTextFirstIndent">
    <w:name w:val="Body Text First Indent"/>
    <w:basedOn w:val="BodyText"/>
    <w:link w:val="BodyTextFirstIndentChar"/>
    <w:uiPriority w:val="99"/>
    <w:semiHidden/>
    <w:unhideWhenUsed/>
    <w:rsid w:val="0026127B"/>
    <w:pPr>
      <w:spacing w:after="120"/>
      <w:ind w:firstLine="210"/>
      <w:jc w:val="both"/>
    </w:pPr>
  </w:style>
  <w:style w:type="character" w:customStyle="1" w:styleId="BodyTextFirstIndentChar">
    <w:name w:val="Body Text First Indent Char"/>
    <w:basedOn w:val="BodyTextChar"/>
    <w:link w:val="BodyTextFirstIndent"/>
    <w:uiPriority w:val="99"/>
    <w:semiHidden/>
    <w:rsid w:val="0026127B"/>
    <w:rPr>
      <w:rFonts w:ascii="Arial" w:hAnsi="Arial"/>
      <w:snapToGrid w:val="0"/>
      <w:sz w:val="24"/>
      <w:lang w:eastAsia="fr-FR"/>
    </w:rPr>
  </w:style>
  <w:style w:type="paragraph" w:styleId="Salutation">
    <w:name w:val="Salutation"/>
    <w:basedOn w:val="Normal"/>
    <w:next w:val="Normal"/>
    <w:link w:val="SalutationChar"/>
    <w:uiPriority w:val="99"/>
    <w:semiHidden/>
    <w:unhideWhenUsed/>
    <w:rsid w:val="0026127B"/>
  </w:style>
  <w:style w:type="character" w:customStyle="1" w:styleId="SalutationChar">
    <w:name w:val="Salutation Char"/>
    <w:link w:val="Salutation"/>
    <w:uiPriority w:val="99"/>
    <w:semiHidden/>
    <w:rsid w:val="0026127B"/>
    <w:rPr>
      <w:rFonts w:ascii="Arial" w:hAnsi="Arial"/>
      <w:snapToGrid w:val="0"/>
      <w:sz w:val="24"/>
      <w:lang w:eastAsia="fr-FR"/>
    </w:rPr>
  </w:style>
  <w:style w:type="paragraph" w:styleId="NoSpacing">
    <w:name w:val="No Spacing"/>
    <w:uiPriority w:val="1"/>
    <w:qFormat/>
    <w:rsid w:val="0026127B"/>
    <w:pPr>
      <w:keepNext/>
      <w:suppressAutoHyphens/>
      <w:jc w:val="both"/>
    </w:pPr>
    <w:rPr>
      <w:rFonts w:ascii="Arial" w:hAnsi="Arial"/>
      <w:snapToGrid w:val="0"/>
      <w:sz w:val="24"/>
      <w:lang w:eastAsia="fr-FR"/>
    </w:rPr>
  </w:style>
  <w:style w:type="paragraph" w:styleId="E-mailSignature">
    <w:name w:val="E-mail Signature"/>
    <w:basedOn w:val="Normal"/>
    <w:link w:val="E-mailSignatureChar"/>
    <w:uiPriority w:val="99"/>
    <w:semiHidden/>
    <w:unhideWhenUsed/>
    <w:rsid w:val="0026127B"/>
  </w:style>
  <w:style w:type="character" w:customStyle="1" w:styleId="E-mailSignatureChar">
    <w:name w:val="E-mail Signature Char"/>
    <w:link w:val="E-mailSignature"/>
    <w:uiPriority w:val="99"/>
    <w:semiHidden/>
    <w:rsid w:val="0026127B"/>
    <w:rPr>
      <w:rFonts w:ascii="Arial" w:hAnsi="Arial"/>
      <w:snapToGrid w:val="0"/>
      <w:sz w:val="24"/>
      <w:lang w:eastAsia="fr-FR"/>
    </w:rPr>
  </w:style>
  <w:style w:type="paragraph" w:styleId="PlainText">
    <w:name w:val="Plain Text"/>
    <w:basedOn w:val="Normal"/>
    <w:link w:val="PlainTextChar"/>
    <w:uiPriority w:val="99"/>
    <w:semiHidden/>
    <w:unhideWhenUsed/>
    <w:rsid w:val="0026127B"/>
    <w:rPr>
      <w:rFonts w:ascii="Courier New" w:hAnsi="Courier New" w:cs="Courier New"/>
      <w:sz w:val="20"/>
    </w:rPr>
  </w:style>
  <w:style w:type="character" w:customStyle="1" w:styleId="PlainTextChar">
    <w:name w:val="Plain Text Char"/>
    <w:link w:val="PlainText"/>
    <w:uiPriority w:val="99"/>
    <w:semiHidden/>
    <w:rsid w:val="0026127B"/>
    <w:rPr>
      <w:rFonts w:ascii="Courier New" w:hAnsi="Courier New" w:cs="Courier New"/>
      <w:snapToGrid w:val="0"/>
      <w:lang w:eastAsia="fr-FR"/>
    </w:rPr>
  </w:style>
  <w:style w:type="paragraph" w:styleId="MacroText">
    <w:name w:val="macro"/>
    <w:link w:val="MacroTextChar"/>
    <w:uiPriority w:val="99"/>
    <w:semiHidden/>
    <w:unhideWhenUsed/>
    <w:rsid w:val="0026127B"/>
    <w:pPr>
      <w:keepNext/>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napToGrid w:val="0"/>
      <w:lang w:eastAsia="fr-FR"/>
    </w:rPr>
  </w:style>
  <w:style w:type="character" w:customStyle="1" w:styleId="MacroTextChar">
    <w:name w:val="Macro Text Char"/>
    <w:link w:val="MacroText"/>
    <w:uiPriority w:val="99"/>
    <w:semiHidden/>
    <w:rsid w:val="0026127B"/>
    <w:rPr>
      <w:rFonts w:ascii="Courier New" w:hAnsi="Courier New" w:cs="Courier New"/>
      <w:snapToGrid w:val="0"/>
      <w:lang w:val="fr-CA" w:eastAsia="fr-FR" w:bidi="ar-SA"/>
    </w:rPr>
  </w:style>
  <w:style w:type="paragraph" w:styleId="NoteHeading">
    <w:name w:val="Note Heading"/>
    <w:basedOn w:val="Normal"/>
    <w:next w:val="Normal"/>
    <w:link w:val="NoteHeadingChar"/>
    <w:uiPriority w:val="99"/>
    <w:semiHidden/>
    <w:unhideWhenUsed/>
    <w:rsid w:val="0026127B"/>
  </w:style>
  <w:style w:type="character" w:customStyle="1" w:styleId="NoteHeadingChar">
    <w:name w:val="Note Heading Char"/>
    <w:link w:val="NoteHeading"/>
    <w:uiPriority w:val="99"/>
    <w:semiHidden/>
    <w:rsid w:val="0026127B"/>
    <w:rPr>
      <w:rFonts w:ascii="Arial" w:hAnsi="Arial"/>
      <w:snapToGrid w:val="0"/>
      <w:sz w:val="24"/>
      <w:lang w:eastAsia="fr-FR"/>
    </w:rPr>
  </w:style>
  <w:style w:type="paragraph" w:styleId="TOAHeading">
    <w:name w:val="toa heading"/>
    <w:basedOn w:val="Normal"/>
    <w:next w:val="Normal"/>
    <w:uiPriority w:val="99"/>
    <w:semiHidden/>
    <w:unhideWhenUsed/>
    <w:rsid w:val="0026127B"/>
    <w:pPr>
      <w:spacing w:before="120"/>
    </w:pPr>
    <w:rPr>
      <w:rFonts w:ascii="Cambria" w:hAnsi="Cambria"/>
      <w:b/>
      <w:bCs/>
      <w:szCs w:val="24"/>
    </w:rPr>
  </w:style>
  <w:style w:type="character" w:customStyle="1" w:styleId="ListParagraphChar">
    <w:name w:val="List Paragraph Char"/>
    <w:aliases w:val="Paragraphe de liste-- Char"/>
    <w:link w:val="ListParagraph"/>
    <w:uiPriority w:val="34"/>
    <w:rsid w:val="000D72F4"/>
    <w:rPr>
      <w:rFonts w:ascii="Arial" w:eastAsia="Calibri" w:hAnsi="Arial"/>
      <w:sz w:val="24"/>
      <w:szCs w:val="22"/>
      <w:lang w:eastAsia="en-US"/>
    </w:rPr>
  </w:style>
  <w:style w:type="paragraph" w:customStyle="1" w:styleId="Texte2">
    <w:name w:val="Texte 2"/>
    <w:basedOn w:val="BodyText"/>
    <w:rsid w:val="00ED1061"/>
    <w:pPr>
      <w:keepNext w:val="0"/>
      <w:tabs>
        <w:tab w:val="left" w:pos="284"/>
      </w:tabs>
      <w:suppressAutoHyphens w:val="0"/>
      <w:ind w:left="284" w:firstLine="284"/>
      <w:jc w:val="both"/>
    </w:pPr>
    <w:rPr>
      <w:snapToGrid/>
      <w:sz w:val="16"/>
      <w:lang w:eastAsia="fr-CA"/>
    </w:rPr>
  </w:style>
  <w:style w:type="character" w:customStyle="1" w:styleId="Emphaseple">
    <w:name w:val="Emphase pâle"/>
    <w:uiPriority w:val="19"/>
    <w:qFormat/>
    <w:rsid w:val="002430D0"/>
    <w:rPr>
      <w:i/>
      <w:iCs/>
      <w:color w:val="404040"/>
    </w:rPr>
  </w:style>
  <w:style w:type="paragraph" w:customStyle="1" w:styleId="BodyText21">
    <w:name w:val="Body Text 21"/>
    <w:basedOn w:val="Normal"/>
    <w:rsid w:val="00C837B8"/>
    <w:pPr>
      <w:keepNext w:val="0"/>
      <w:widowControl w:val="0"/>
      <w:tabs>
        <w:tab w:val="left" w:pos="-720"/>
        <w:tab w:val="left" w:pos="0"/>
      </w:tabs>
      <w:ind w:left="720" w:hanging="720"/>
    </w:pPr>
    <w:rPr>
      <w:rFonts w:ascii="Courier" w:hAnsi="Courier"/>
      <w:snapToGrid/>
      <w:spacing w:val="-2"/>
      <w:sz w:val="20"/>
      <w:lang w:eastAsia="fr-CA"/>
    </w:rPr>
  </w:style>
  <w:style w:type="paragraph" w:customStyle="1" w:styleId="Texte1cm00">
    <w:name w:val="Texte à 1 cm00"/>
    <w:basedOn w:val="Normal"/>
    <w:rsid w:val="00247DBF"/>
    <w:pPr>
      <w:snapToGrid w:val="0"/>
      <w:ind w:left="567"/>
    </w:pPr>
    <w:rPr>
      <w:snapToGrid/>
    </w:rPr>
  </w:style>
  <w:style w:type="paragraph" w:customStyle="1" w:styleId="Corpsdetexte2100">
    <w:name w:val="Corps de texte 2100"/>
    <w:basedOn w:val="Normal"/>
    <w:rsid w:val="00247DBF"/>
    <w:pPr>
      <w:keepNext w:val="0"/>
      <w:widowControl w:val="0"/>
      <w:tabs>
        <w:tab w:val="left" w:pos="-720"/>
        <w:tab w:val="left" w:pos="0"/>
      </w:tabs>
      <w:ind w:left="720" w:hanging="720"/>
    </w:pPr>
    <w:rPr>
      <w:rFonts w:ascii="Courier" w:hAnsi="Courier"/>
      <w:snapToGrid/>
      <w:spacing w:val="-2"/>
      <w:sz w:val="20"/>
      <w:lang w:eastAsia="fr-CA"/>
    </w:rPr>
  </w:style>
  <w:style w:type="paragraph" w:customStyle="1" w:styleId="Texte1cm000">
    <w:name w:val="Texte à 1 cm000"/>
    <w:basedOn w:val="Normal"/>
    <w:rsid w:val="00CA021B"/>
    <w:pPr>
      <w:snapToGrid w:val="0"/>
      <w:ind w:left="567"/>
    </w:pPr>
    <w:rPr>
      <w:snapToGrid/>
    </w:rPr>
  </w:style>
  <w:style w:type="paragraph" w:customStyle="1" w:styleId="Corpsdetexte21000">
    <w:name w:val="Corps de texte 21000"/>
    <w:basedOn w:val="Normal"/>
    <w:rsid w:val="00CA021B"/>
    <w:pPr>
      <w:keepNext w:val="0"/>
      <w:widowControl w:val="0"/>
      <w:tabs>
        <w:tab w:val="left" w:pos="-720"/>
        <w:tab w:val="left" w:pos="0"/>
      </w:tabs>
      <w:ind w:left="720" w:hanging="720"/>
    </w:pPr>
    <w:rPr>
      <w:rFonts w:ascii="Courier" w:hAnsi="Courier"/>
      <w:snapToGrid/>
      <w:spacing w:val="-2"/>
      <w:sz w:val="20"/>
      <w:lang w:eastAsia="fr-CA"/>
    </w:rPr>
  </w:style>
  <w:style w:type="paragraph" w:customStyle="1" w:styleId="Texte1cm0000">
    <w:name w:val="Texte à 1 cm0000"/>
    <w:basedOn w:val="Normal"/>
    <w:rsid w:val="001A2333"/>
    <w:pPr>
      <w:snapToGrid w:val="0"/>
      <w:ind w:left="567"/>
    </w:pPr>
    <w:rPr>
      <w:snapToGrid/>
    </w:rPr>
  </w:style>
  <w:style w:type="paragraph" w:customStyle="1" w:styleId="Corpsdetexte210000">
    <w:name w:val="Corps de texte 210000"/>
    <w:basedOn w:val="Normal"/>
    <w:rsid w:val="001A2333"/>
    <w:pPr>
      <w:keepNext w:val="0"/>
      <w:widowControl w:val="0"/>
      <w:tabs>
        <w:tab w:val="left" w:pos="-720"/>
        <w:tab w:val="left" w:pos="0"/>
      </w:tabs>
      <w:ind w:left="720" w:hanging="720"/>
    </w:pPr>
    <w:rPr>
      <w:rFonts w:ascii="Courier" w:hAnsi="Courier"/>
      <w:snapToGrid/>
      <w:spacing w:val="-2"/>
      <w:sz w:val="20"/>
      <w:lang w:eastAsia="fr-CA"/>
    </w:rPr>
  </w:style>
  <w:style w:type="paragraph" w:customStyle="1" w:styleId="Texte1cm00000">
    <w:name w:val="Texte à 1 cm00000"/>
    <w:basedOn w:val="Normal"/>
    <w:rsid w:val="001E0DC6"/>
    <w:pPr>
      <w:snapToGrid w:val="0"/>
      <w:ind w:left="567"/>
    </w:pPr>
    <w:rPr>
      <w:snapToGrid/>
    </w:rPr>
  </w:style>
  <w:style w:type="paragraph" w:customStyle="1" w:styleId="Corpsdetexte2100000">
    <w:name w:val="Corps de texte 2100000"/>
    <w:basedOn w:val="Normal"/>
    <w:rsid w:val="001E0DC6"/>
    <w:pPr>
      <w:keepNext w:val="0"/>
      <w:widowControl w:val="0"/>
      <w:tabs>
        <w:tab w:val="left" w:pos="-720"/>
        <w:tab w:val="left" w:pos="0"/>
      </w:tabs>
      <w:ind w:left="720" w:hanging="720"/>
    </w:pPr>
    <w:rPr>
      <w:rFonts w:ascii="Courier" w:hAnsi="Courier"/>
      <w:snapToGrid/>
      <w:spacing w:val="-2"/>
      <w:sz w:val="20"/>
      <w:lang w:eastAsia="fr-CA"/>
    </w:rPr>
  </w:style>
  <w:style w:type="character" w:customStyle="1" w:styleId="normaltextrun">
    <w:name w:val="normaltextrun"/>
    <w:basedOn w:val="DefaultParagraphFont"/>
    <w:rsid w:val="00394B6A"/>
  </w:style>
  <w:style w:type="paragraph" w:customStyle="1" w:styleId="xxxmsobodytext">
    <w:name w:val="x_x_x_msobodytext"/>
    <w:basedOn w:val="Normal"/>
    <w:rsid w:val="00890C1A"/>
    <w:pPr>
      <w:keepNext w:val="0"/>
      <w:suppressAutoHyphens w:val="0"/>
      <w:spacing w:before="100" w:beforeAutospacing="1" w:after="100" w:afterAutospacing="1"/>
      <w:jc w:val="left"/>
    </w:pPr>
    <w:rPr>
      <w:rFonts w:ascii="Times New Roman" w:hAnsi="Times New Roman"/>
      <w:snapToGrid/>
      <w:szCs w:val="24"/>
      <w:lang w:eastAsia="fr-CA"/>
    </w:rPr>
  </w:style>
  <w:style w:type="paragraph" w:customStyle="1" w:styleId="xxxmsonormal">
    <w:name w:val="x_x_x_msonormal"/>
    <w:basedOn w:val="Normal"/>
    <w:rsid w:val="00890C1A"/>
    <w:pPr>
      <w:keepNext w:val="0"/>
      <w:suppressAutoHyphens w:val="0"/>
      <w:spacing w:before="100" w:beforeAutospacing="1" w:after="100" w:afterAutospacing="1"/>
      <w:jc w:val="left"/>
    </w:pPr>
    <w:rPr>
      <w:rFonts w:ascii="Times New Roman" w:hAnsi="Times New Roman"/>
      <w:snapToGrid/>
      <w:szCs w:val="24"/>
      <w:lang w:eastAsia="fr-CA"/>
    </w:rPr>
  </w:style>
  <w:style w:type="table" w:customStyle="1" w:styleId="Grilledutableau1">
    <w:name w:val="Grille du tableau1"/>
    <w:basedOn w:val="TableNormal"/>
    <w:next w:val="TableGrid"/>
    <w:uiPriority w:val="39"/>
    <w:rsid w:val="007F4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057B"/>
    <w:pPr>
      <w:keepNext w:val="0"/>
      <w:suppressAutoHyphens w:val="0"/>
      <w:spacing w:before="100" w:beforeAutospacing="1" w:after="100" w:afterAutospacing="1"/>
      <w:jc w:val="left"/>
    </w:pPr>
    <w:rPr>
      <w:rFonts w:ascii="Times New Roman" w:hAnsi="Times New Roman"/>
      <w:snapToGrid/>
      <w:szCs w:val="24"/>
      <w:lang w:eastAsia="fr-CA"/>
    </w:rPr>
  </w:style>
  <w:style w:type="character" w:customStyle="1" w:styleId="eop">
    <w:name w:val="eop"/>
    <w:basedOn w:val="DefaultParagraphFont"/>
    <w:rsid w:val="0091227F"/>
  </w:style>
  <w:style w:type="paragraph" w:customStyle="1" w:styleId="TableParagraph">
    <w:name w:val="Table Paragraph"/>
    <w:basedOn w:val="Normal"/>
    <w:uiPriority w:val="1"/>
    <w:qFormat/>
    <w:rsid w:val="00FB2F58"/>
    <w:pPr>
      <w:keepNext w:val="0"/>
      <w:widowControl w:val="0"/>
      <w:suppressAutoHyphens w:val="0"/>
      <w:autoSpaceDE w:val="0"/>
      <w:autoSpaceDN w:val="0"/>
      <w:spacing w:before="58"/>
      <w:jc w:val="left"/>
    </w:pPr>
    <w:rPr>
      <w:rFonts w:eastAsia="Arial" w:cs="Arial"/>
      <w:snapToGrid/>
      <w:sz w:val="22"/>
      <w:szCs w:val="22"/>
      <w:lang w:val="en-US" w:eastAsia="en-US"/>
    </w:rPr>
  </w:style>
  <w:style w:type="table" w:customStyle="1" w:styleId="TableNormal1">
    <w:name w:val="Table Normal1"/>
    <w:uiPriority w:val="2"/>
    <w:semiHidden/>
    <w:unhideWhenUsed/>
    <w:qFormat/>
    <w:rsid w:val="00DD1A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577E27"/>
    <w:rPr>
      <w:color w:val="808080"/>
    </w:rPr>
  </w:style>
  <w:style w:type="paragraph" w:customStyle="1" w:styleId="Texte1cm6000">
    <w:name w:val="Texte à 1 cm6000"/>
    <w:basedOn w:val="Normal"/>
    <w:rsid w:val="00B01BAA"/>
    <w:pPr>
      <w:snapToGrid w:val="0"/>
      <w:ind w:left="567"/>
    </w:pPr>
    <w:rPr>
      <w:snapToGrid/>
    </w:rPr>
  </w:style>
  <w:style w:type="paragraph" w:customStyle="1" w:styleId="Texte1cm600000000">
    <w:name w:val="Texte à 1 cm600000000"/>
    <w:basedOn w:val="Normal"/>
    <w:rsid w:val="008D799C"/>
    <w:pPr>
      <w:snapToGrid w:val="0"/>
      <w:ind w:left="567"/>
    </w:pPr>
    <w:rPr>
      <w:snapToGrid/>
    </w:rPr>
  </w:style>
  <w:style w:type="table" w:customStyle="1" w:styleId="TableNormal2">
    <w:name w:val="Table Normal2"/>
    <w:uiPriority w:val="2"/>
    <w:semiHidden/>
    <w:unhideWhenUsed/>
    <w:qFormat/>
    <w:rsid w:val="00205D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C0A00"/>
    <w:rPr>
      <w:color w:val="605E5C"/>
      <w:shd w:val="clear" w:color="auto" w:fill="E1DFDD"/>
    </w:rPr>
  </w:style>
  <w:style w:type="character" w:customStyle="1" w:styleId="ElevSoulign">
    <w:name w:val="ElevéSouligné"/>
    <w:basedOn w:val="DefaultParagraphFont"/>
    <w:uiPriority w:val="1"/>
    <w:qFormat/>
    <w:rsid w:val="00885CC6"/>
    <w:rPr>
      <w:b/>
      <w:bCs/>
      <w:u w:val="single"/>
    </w:rPr>
  </w:style>
  <w:style w:type="paragraph" w:customStyle="1" w:styleId="N-FNEEQ-puce">
    <w:name w:val="N-FNEEQ-puce"/>
    <w:basedOn w:val="Normal"/>
    <w:link w:val="N-FNEEQ-puceCar"/>
    <w:qFormat/>
    <w:rsid w:val="00137553"/>
    <w:pPr>
      <w:keepNext w:val="0"/>
      <w:suppressAutoHyphens w:val="0"/>
      <w:spacing w:before="120" w:after="120" w:line="259" w:lineRule="auto"/>
      <w:ind w:left="709" w:hanging="284"/>
    </w:pPr>
    <w:rPr>
      <w:rFonts w:asciiTheme="minorHAnsi" w:eastAsiaTheme="minorHAnsi" w:hAnsiTheme="minorHAnsi" w:cstheme="minorHAnsi"/>
      <w:snapToGrid/>
      <w:color w:val="0070C0"/>
      <w:sz w:val="20"/>
      <w:lang w:eastAsia="en-US"/>
    </w:rPr>
  </w:style>
  <w:style w:type="paragraph" w:customStyle="1" w:styleId="Titre-Cl-FNEEQ">
    <w:name w:val="Titre-Cl-FNEEQ"/>
    <w:basedOn w:val="Normal"/>
    <w:link w:val="Titre-Cl-FNEEQCar"/>
    <w:qFormat/>
    <w:rsid w:val="00137553"/>
    <w:pPr>
      <w:suppressAutoHyphens w:val="0"/>
      <w:spacing w:before="120" w:after="120" w:line="259" w:lineRule="auto"/>
      <w:ind w:left="425"/>
    </w:pPr>
    <w:rPr>
      <w:rFonts w:asciiTheme="minorHAnsi" w:eastAsiaTheme="minorHAnsi" w:hAnsiTheme="minorHAnsi" w:cstheme="minorHAnsi"/>
      <w:b/>
      <w:bCs/>
      <w:snapToGrid/>
      <w:color w:val="0070C0"/>
      <w:sz w:val="22"/>
      <w:szCs w:val="22"/>
      <w:lang w:eastAsia="en-US"/>
    </w:rPr>
  </w:style>
  <w:style w:type="character" w:customStyle="1" w:styleId="Titre-Cl-FNEEQCar">
    <w:name w:val="Titre-Cl-FNEEQ Car"/>
    <w:basedOn w:val="DefaultParagraphFont"/>
    <w:link w:val="Titre-Cl-FNEEQ"/>
    <w:rsid w:val="00137553"/>
    <w:rPr>
      <w:rFonts w:asciiTheme="minorHAnsi" w:eastAsiaTheme="minorHAnsi" w:hAnsiTheme="minorHAnsi" w:cstheme="minorHAnsi"/>
      <w:b/>
      <w:bCs/>
      <w:color w:val="0070C0"/>
      <w:sz w:val="22"/>
      <w:szCs w:val="22"/>
      <w:lang w:eastAsia="en-US"/>
    </w:rPr>
  </w:style>
  <w:style w:type="character" w:customStyle="1" w:styleId="N-FNEEQ-puceCar">
    <w:name w:val="N-FNEEQ-puce Car"/>
    <w:basedOn w:val="DefaultParagraphFont"/>
    <w:link w:val="N-FNEEQ-puce"/>
    <w:rsid w:val="00137553"/>
    <w:rPr>
      <w:rFonts w:asciiTheme="minorHAnsi" w:eastAsiaTheme="minorHAnsi" w:hAnsiTheme="minorHAnsi" w:cstheme="minorHAnsi"/>
      <w:color w:val="0070C0"/>
      <w:lang w:eastAsia="en-US"/>
    </w:rPr>
  </w:style>
  <w:style w:type="paragraph" w:customStyle="1" w:styleId="N-FNEEQ">
    <w:name w:val="N-FNEEQ"/>
    <w:basedOn w:val="Normal"/>
    <w:link w:val="N-FNEEQCar"/>
    <w:qFormat/>
    <w:rsid w:val="00FF3DB3"/>
    <w:pPr>
      <w:keepNext w:val="0"/>
      <w:suppressAutoHyphens w:val="0"/>
      <w:spacing w:before="120" w:after="120" w:line="259" w:lineRule="auto"/>
      <w:ind w:left="425"/>
    </w:pPr>
    <w:rPr>
      <w:rFonts w:asciiTheme="minorHAnsi" w:eastAsiaTheme="minorHAnsi" w:hAnsiTheme="minorHAnsi" w:cstheme="minorHAnsi"/>
      <w:snapToGrid/>
      <w:color w:val="0070C0"/>
      <w:sz w:val="20"/>
      <w:lang w:eastAsia="en-US"/>
    </w:rPr>
  </w:style>
  <w:style w:type="character" w:customStyle="1" w:styleId="N-FNEEQCar">
    <w:name w:val="N-FNEEQ Car"/>
    <w:basedOn w:val="DefaultParagraphFont"/>
    <w:link w:val="N-FNEEQ"/>
    <w:rsid w:val="00FF3DB3"/>
    <w:rPr>
      <w:rFonts w:asciiTheme="minorHAnsi" w:eastAsiaTheme="minorHAnsi" w:hAnsiTheme="minorHAnsi" w:cstheme="minorHAnsi"/>
      <w:color w:val="0070C0"/>
      <w:lang w:eastAsia="en-US"/>
    </w:rPr>
  </w:style>
  <w:style w:type="paragraph" w:customStyle="1" w:styleId="Default">
    <w:name w:val="Default"/>
    <w:rsid w:val="009930F9"/>
    <w:pPr>
      <w:autoSpaceDE w:val="0"/>
      <w:autoSpaceDN w:val="0"/>
      <w:adjustRightInd w:val="0"/>
    </w:pPr>
    <w:rPr>
      <w:rFonts w:ascii="Calibri" w:eastAsiaTheme="minorHAnsi" w:hAnsi="Calibri" w:cs="Calibri"/>
      <w:color w:val="000000"/>
      <w:sz w:val="24"/>
      <w:szCs w:val="24"/>
      <w:lang w:eastAsia="en-US"/>
    </w:rPr>
  </w:style>
  <w:style w:type="paragraph" w:customStyle="1" w:styleId="N-FEC">
    <w:name w:val="N-FEC"/>
    <w:basedOn w:val="Normal"/>
    <w:link w:val="N-FECCar"/>
    <w:qFormat/>
    <w:rsid w:val="009930F9"/>
    <w:pPr>
      <w:keepNext w:val="0"/>
      <w:suppressAutoHyphens w:val="0"/>
      <w:spacing w:before="120" w:after="120" w:line="259" w:lineRule="auto"/>
      <w:ind w:left="425"/>
    </w:pPr>
    <w:rPr>
      <w:rFonts w:asciiTheme="minorHAnsi" w:eastAsiaTheme="minorHAnsi" w:hAnsiTheme="minorHAnsi" w:cstheme="minorHAnsi"/>
      <w:snapToGrid/>
      <w:color w:val="C00000"/>
      <w:sz w:val="20"/>
      <w:lang w:eastAsia="en-US"/>
    </w:rPr>
  </w:style>
  <w:style w:type="character" w:customStyle="1" w:styleId="N-FECCar">
    <w:name w:val="N-FEC Car"/>
    <w:basedOn w:val="DefaultParagraphFont"/>
    <w:link w:val="N-FEC"/>
    <w:rsid w:val="009930F9"/>
    <w:rPr>
      <w:rFonts w:asciiTheme="minorHAnsi" w:eastAsiaTheme="minorHAnsi" w:hAnsiTheme="minorHAnsi" w:cstheme="minorHAnsi"/>
      <w:color w:val="C00000"/>
      <w:lang w:eastAsia="en-US"/>
    </w:rPr>
  </w:style>
  <w:style w:type="character" w:styleId="Strong">
    <w:name w:val="Strong"/>
    <w:uiPriority w:val="22"/>
    <w:qFormat/>
    <w:rsid w:val="00A23A76"/>
    <w:rPr>
      <w:b/>
      <w:bCs/>
    </w:rPr>
  </w:style>
  <w:style w:type="paragraph" w:customStyle="1" w:styleId="N-FNEEQ-Dcal">
    <w:name w:val="N-FNEEQ-Décalé"/>
    <w:basedOn w:val="N-FNEEQ-puce"/>
    <w:link w:val="N-FNEEQ-DcalCar"/>
    <w:qFormat/>
    <w:rsid w:val="000C61F8"/>
    <w:pPr>
      <w:ind w:firstLine="0"/>
    </w:pPr>
  </w:style>
  <w:style w:type="character" w:customStyle="1" w:styleId="N-FNEEQ-DcalCar">
    <w:name w:val="N-FNEEQ-Décalé Car"/>
    <w:basedOn w:val="N-FNEEQ-puceCar"/>
    <w:link w:val="N-FNEEQ-Dcal"/>
    <w:rsid w:val="000C61F8"/>
    <w:rPr>
      <w:rFonts w:asciiTheme="minorHAnsi" w:eastAsiaTheme="minorHAnsi" w:hAnsiTheme="minorHAnsi" w:cstheme="minorHAnsi"/>
      <w:color w:val="0070C0"/>
      <w:lang w:eastAsia="en-US"/>
    </w:rPr>
  </w:style>
  <w:style w:type="paragraph" w:customStyle="1" w:styleId="N-FNEEQ-puce2">
    <w:name w:val="N-FNEEQ-puce2"/>
    <w:basedOn w:val="N-FNEEQ-puce"/>
    <w:link w:val="N-FNEEQ-puce2Car"/>
    <w:qFormat/>
    <w:rsid w:val="00EE7C71"/>
    <w:pPr>
      <w:ind w:left="1276" w:hanging="425"/>
    </w:pPr>
    <w:rPr>
      <w:lang w:eastAsia="fr-CA"/>
    </w:rPr>
  </w:style>
  <w:style w:type="character" w:customStyle="1" w:styleId="N-FNEEQ-puce2Car">
    <w:name w:val="N-FNEEQ-puce2 Car"/>
    <w:basedOn w:val="DefaultParagraphFont"/>
    <w:link w:val="N-FNEEQ-puce2"/>
    <w:rsid w:val="00EE7C71"/>
    <w:rPr>
      <w:rFonts w:asciiTheme="minorHAnsi" w:eastAsiaTheme="minorHAnsi" w:hAnsiTheme="minorHAnsi" w:cstheme="minorHAnsi"/>
      <w:color w:val="0070C0"/>
    </w:rPr>
  </w:style>
  <w:style w:type="paragraph" w:customStyle="1" w:styleId="N-FNEEQ-Puce3">
    <w:name w:val="N-FNEEQ-Puce3"/>
    <w:basedOn w:val="N-FNEEQ-puce2"/>
    <w:link w:val="N-FNEEQ-Puce3Car"/>
    <w:qFormat/>
    <w:rsid w:val="00EE7C71"/>
    <w:pPr>
      <w:ind w:left="1701"/>
    </w:pPr>
  </w:style>
  <w:style w:type="character" w:customStyle="1" w:styleId="N-FNEEQ-Puce3Car">
    <w:name w:val="N-FNEEQ-Puce3 Car"/>
    <w:basedOn w:val="N-FNEEQ-puce2Car"/>
    <w:link w:val="N-FNEEQ-Puce3"/>
    <w:rsid w:val="00EE7C71"/>
    <w:rPr>
      <w:rFonts w:asciiTheme="minorHAnsi" w:eastAsiaTheme="minorHAnsi" w:hAnsiTheme="minorHAnsi" w:cstheme="minorHAnsi"/>
      <w:color w:val="0070C0"/>
    </w:rPr>
  </w:style>
  <w:style w:type="character" w:customStyle="1" w:styleId="Barr">
    <w:name w:val="Barré"/>
    <w:basedOn w:val="DefaultParagraphFont"/>
    <w:uiPriority w:val="1"/>
    <w:qFormat/>
    <w:rsid w:val="006C4591"/>
    <w:rPr>
      <w:strike/>
    </w:rPr>
  </w:style>
  <w:style w:type="paragraph" w:customStyle="1" w:styleId="sous-titre">
    <w:name w:val="sous-titre"/>
    <w:basedOn w:val="Normal"/>
    <w:qFormat/>
    <w:rsid w:val="0036660C"/>
    <w:pPr>
      <w:keepNext w:val="0"/>
      <w:suppressAutoHyphens w:val="0"/>
      <w:spacing w:before="120" w:after="240"/>
    </w:pPr>
    <w:rPr>
      <w:rFonts w:eastAsia="Calibri" w:cs="Arial"/>
      <w:b/>
      <w:bCs/>
      <w:snapToGrid/>
      <w:color w:val="1F3864"/>
      <w:szCs w:val="22"/>
      <w:lang w:eastAsia="en-US" w:bidi="en-US"/>
    </w:rPr>
  </w:style>
  <w:style w:type="character" w:customStyle="1" w:styleId="cf01">
    <w:name w:val="cf01"/>
    <w:basedOn w:val="DefaultParagraphFont"/>
    <w:rsid w:val="00A247AC"/>
    <w:rPr>
      <w:rFonts w:ascii="Segoe UI" w:hAnsi="Segoe UI" w:cs="Segoe UI" w:hint="default"/>
      <w:sz w:val="18"/>
      <w:szCs w:val="18"/>
    </w:rPr>
  </w:style>
  <w:style w:type="character" w:customStyle="1" w:styleId="cf11">
    <w:name w:val="cf11"/>
    <w:basedOn w:val="DefaultParagraphFont"/>
    <w:rsid w:val="00A247AC"/>
    <w:rPr>
      <w:rFonts w:ascii="Segoe UI" w:hAnsi="Segoe UI" w:cs="Segoe UI" w:hint="default"/>
      <w:sz w:val="18"/>
      <w:szCs w:val="18"/>
    </w:rPr>
  </w:style>
  <w:style w:type="paragraph" w:customStyle="1" w:styleId="N-Commun-Puce">
    <w:name w:val="N-Commun-Puce"/>
    <w:basedOn w:val="Normal"/>
    <w:link w:val="N-Commun-PuceCar"/>
    <w:qFormat/>
    <w:rsid w:val="00551345"/>
    <w:pPr>
      <w:keepNext w:val="0"/>
      <w:suppressAutoHyphens w:val="0"/>
      <w:spacing w:before="120" w:after="120" w:line="259" w:lineRule="auto"/>
      <w:ind w:left="850" w:hanging="425"/>
    </w:pPr>
    <w:rPr>
      <w:rFonts w:asciiTheme="minorHAnsi" w:eastAsiaTheme="minorHAnsi" w:hAnsiTheme="minorHAnsi" w:cstheme="minorBidi"/>
      <w:snapToGrid/>
      <w:sz w:val="22"/>
      <w:szCs w:val="24"/>
      <w:lang w:eastAsia="en-US"/>
    </w:rPr>
  </w:style>
  <w:style w:type="character" w:customStyle="1" w:styleId="N-Commun-PuceCar">
    <w:name w:val="N-Commun-Puce Car"/>
    <w:basedOn w:val="DefaultParagraphFont"/>
    <w:link w:val="N-Commun-Puce"/>
    <w:rsid w:val="00551345"/>
    <w:rPr>
      <w:rFonts w:asciiTheme="minorHAnsi" w:eastAsiaTheme="minorHAnsi" w:hAnsiTheme="minorHAnsi" w:cstheme="minorBidi"/>
      <w:sz w:val="22"/>
      <w:szCs w:val="24"/>
      <w:lang w:eastAsia="en-US"/>
    </w:rPr>
  </w:style>
  <w:style w:type="paragraph" w:customStyle="1" w:styleId="N-FEC-Puce2">
    <w:name w:val="N-FEC-Puce2"/>
    <w:basedOn w:val="Normal"/>
    <w:link w:val="N-FEC-Puce2Car"/>
    <w:qFormat/>
    <w:rsid w:val="00EC5D0B"/>
    <w:pPr>
      <w:keepNext w:val="0"/>
      <w:suppressAutoHyphens w:val="0"/>
      <w:spacing w:before="120" w:after="120" w:line="259" w:lineRule="auto"/>
      <w:ind w:left="1277" w:hanging="426"/>
    </w:pPr>
    <w:rPr>
      <w:rFonts w:asciiTheme="minorHAnsi" w:eastAsiaTheme="minorHAnsi" w:hAnsiTheme="minorHAnsi" w:cstheme="minorHAnsi"/>
      <w:snapToGrid/>
      <w:color w:val="C00000"/>
      <w:sz w:val="20"/>
      <w:lang w:eastAsia="fr-CA"/>
    </w:rPr>
  </w:style>
  <w:style w:type="character" w:customStyle="1" w:styleId="N-FEC-Puce2Car">
    <w:name w:val="N-FEC-Puce2 Car"/>
    <w:basedOn w:val="DefaultParagraphFont"/>
    <w:link w:val="N-FEC-Puce2"/>
    <w:rsid w:val="00EC5D0B"/>
    <w:rPr>
      <w:rFonts w:asciiTheme="minorHAnsi" w:eastAsiaTheme="minorHAnsi" w:hAnsiTheme="minorHAnsi" w:cstheme="minorHAnsi"/>
      <w:color w:val="C00000"/>
    </w:rPr>
  </w:style>
  <w:style w:type="character" w:customStyle="1" w:styleId="N-DcalCar">
    <w:name w:val="N-Décalé Car"/>
    <w:basedOn w:val="DefaultParagraphFont"/>
    <w:link w:val="N-Dcal"/>
    <w:locked/>
    <w:rsid w:val="008B06A8"/>
    <w:rPr>
      <w:rFonts w:cstheme="minorHAnsi"/>
      <w:sz w:val="22"/>
      <w:szCs w:val="22"/>
    </w:rPr>
  </w:style>
  <w:style w:type="paragraph" w:customStyle="1" w:styleId="N-Dcal">
    <w:name w:val="N-Décalé"/>
    <w:basedOn w:val="Normal"/>
    <w:link w:val="N-DcalCar"/>
    <w:qFormat/>
    <w:rsid w:val="008B06A8"/>
    <w:pPr>
      <w:keepNext w:val="0"/>
      <w:suppressAutoHyphens w:val="0"/>
      <w:spacing w:before="120" w:after="120" w:line="252" w:lineRule="auto"/>
      <w:ind w:left="851"/>
    </w:pPr>
    <w:rPr>
      <w:rFonts w:ascii="Times New Roman" w:hAnsi="Times New Roman" w:cstheme="minorHAnsi"/>
      <w:snapToGrid/>
      <w:sz w:val="22"/>
      <w:szCs w:val="22"/>
      <w:lang w:eastAsia="fr-CA"/>
    </w:rPr>
  </w:style>
  <w:style w:type="paragraph" w:customStyle="1" w:styleId="TableauNormal">
    <w:name w:val="TableauNormal"/>
    <w:basedOn w:val="Normal"/>
    <w:link w:val="TableauNormalCar"/>
    <w:qFormat/>
    <w:rsid w:val="00A12062"/>
    <w:pPr>
      <w:keepNext w:val="0"/>
      <w:suppressAutoHyphens w:val="0"/>
      <w:spacing w:before="60" w:after="60"/>
      <w:jc w:val="left"/>
    </w:pPr>
    <w:rPr>
      <w:rFonts w:asciiTheme="minorHAnsi" w:eastAsiaTheme="minorHAnsi" w:hAnsiTheme="minorHAnsi" w:cstheme="minorBidi"/>
      <w:snapToGrid/>
      <w:sz w:val="22"/>
      <w:szCs w:val="18"/>
      <w:lang w:eastAsia="en-US"/>
    </w:rPr>
  </w:style>
  <w:style w:type="character" w:customStyle="1" w:styleId="TableauNormalCar">
    <w:name w:val="TableauNormal Car"/>
    <w:basedOn w:val="DefaultParagraphFont"/>
    <w:link w:val="TableauNormal"/>
    <w:rsid w:val="00A12062"/>
    <w:rPr>
      <w:rFonts w:asciiTheme="minorHAnsi" w:eastAsiaTheme="minorHAnsi" w:hAnsiTheme="minorHAnsi" w:cstheme="minorBidi"/>
      <w:sz w:val="22"/>
      <w:szCs w:val="18"/>
      <w:lang w:eastAsia="en-US"/>
    </w:rPr>
  </w:style>
  <w:style w:type="paragraph" w:customStyle="1" w:styleId="Puce-FNEEQ">
    <w:name w:val="Puce-FNEEQ"/>
    <w:basedOn w:val="N-FNEEQ"/>
    <w:link w:val="Puce-FNEEQCar"/>
    <w:qFormat/>
    <w:rsid w:val="00067D02"/>
    <w:pPr>
      <w:numPr>
        <w:numId w:val="45"/>
      </w:numPr>
      <w:tabs>
        <w:tab w:val="num" w:pos="1134"/>
      </w:tabs>
      <w:ind w:left="782" w:hanging="357"/>
    </w:pPr>
  </w:style>
  <w:style w:type="character" w:customStyle="1" w:styleId="Puce-FNEEQCar">
    <w:name w:val="Puce-FNEEQ Car"/>
    <w:basedOn w:val="N-FNEEQCar"/>
    <w:link w:val="Puce-FNEEQ"/>
    <w:rsid w:val="00067D02"/>
    <w:rPr>
      <w:rFonts w:asciiTheme="minorHAnsi" w:eastAsiaTheme="minorHAnsi" w:hAnsiTheme="minorHAnsi" w:cstheme="minorHAnsi"/>
      <w:color w:val="0070C0"/>
      <w:lang w:eastAsia="en-US"/>
    </w:rPr>
  </w:style>
  <w:style w:type="paragraph" w:customStyle="1" w:styleId="N-Commun">
    <w:name w:val="N-Commun"/>
    <w:basedOn w:val="Normal"/>
    <w:link w:val="N-CommunCar"/>
    <w:qFormat/>
    <w:rsid w:val="000F1BE1"/>
    <w:pPr>
      <w:keepNext w:val="0"/>
      <w:suppressAutoHyphens w:val="0"/>
      <w:spacing w:before="120" w:after="120" w:line="259" w:lineRule="auto"/>
      <w:ind w:left="425"/>
    </w:pPr>
    <w:rPr>
      <w:rFonts w:asciiTheme="minorHAnsi" w:eastAsiaTheme="minorHAnsi" w:hAnsiTheme="minorHAnsi" w:cstheme="minorBidi"/>
      <w:snapToGrid/>
      <w:sz w:val="22"/>
      <w:szCs w:val="24"/>
      <w:lang w:eastAsia="en-US"/>
    </w:rPr>
  </w:style>
  <w:style w:type="character" w:customStyle="1" w:styleId="N-CommunCar">
    <w:name w:val="N-Commun Car"/>
    <w:basedOn w:val="DefaultParagraphFont"/>
    <w:link w:val="N-Commun"/>
    <w:rsid w:val="000F1BE1"/>
    <w:rPr>
      <w:rFonts w:asciiTheme="minorHAnsi" w:eastAsiaTheme="minorHAnsi" w:hAnsiTheme="minorHAnsi" w:cstheme="minorBidi"/>
      <w:sz w:val="22"/>
      <w:szCs w:val="24"/>
      <w:lang w:eastAsia="en-US"/>
    </w:rPr>
  </w:style>
  <w:style w:type="character" w:customStyle="1" w:styleId="ui-provider">
    <w:name w:val="ui-provider"/>
    <w:basedOn w:val="DefaultParagraphFont"/>
    <w:rsid w:val="000F1BE1"/>
  </w:style>
  <w:style w:type="paragraph" w:customStyle="1" w:styleId="N-Commun-Puce2">
    <w:name w:val="N-Commun-Puce2"/>
    <w:basedOn w:val="Normal"/>
    <w:link w:val="N-Commun-Puce2Car"/>
    <w:qFormat/>
    <w:rsid w:val="00E51EC8"/>
    <w:pPr>
      <w:keepNext w:val="0"/>
      <w:suppressAutoHyphens w:val="0"/>
      <w:spacing w:before="120" w:after="120" w:line="259" w:lineRule="auto"/>
      <w:ind w:left="1276" w:hanging="425"/>
    </w:pPr>
    <w:rPr>
      <w:rFonts w:asciiTheme="minorHAnsi" w:eastAsiaTheme="minorHAnsi" w:hAnsiTheme="minorHAnsi" w:cstheme="minorHAnsi"/>
      <w:snapToGrid/>
      <w:sz w:val="22"/>
      <w:szCs w:val="22"/>
      <w:lang w:eastAsia="en-US"/>
    </w:rPr>
  </w:style>
  <w:style w:type="character" w:customStyle="1" w:styleId="N-Commun-Puce2Car">
    <w:name w:val="N-Commun-Puce2 Car"/>
    <w:basedOn w:val="DefaultParagraphFont"/>
    <w:link w:val="N-Commun-Puce2"/>
    <w:rsid w:val="00E51EC8"/>
    <w:rPr>
      <w:rFonts w:asciiTheme="minorHAnsi" w:eastAsiaTheme="minorHAnsi" w:hAnsiTheme="minorHAnsi" w:cstheme="minorHAnsi"/>
      <w:sz w:val="22"/>
      <w:szCs w:val="22"/>
      <w:lang w:eastAsia="en-US"/>
    </w:rPr>
  </w:style>
  <w:style w:type="paragraph" w:customStyle="1" w:styleId="Titre-Cl-FEC">
    <w:name w:val="Titre-Cl-FEC"/>
    <w:basedOn w:val="Normal"/>
    <w:link w:val="Titre-Cl-FECCar"/>
    <w:qFormat/>
    <w:rsid w:val="00770C53"/>
    <w:pPr>
      <w:suppressAutoHyphens w:val="0"/>
      <w:spacing w:before="120" w:after="120" w:line="259" w:lineRule="auto"/>
      <w:ind w:left="425"/>
    </w:pPr>
    <w:rPr>
      <w:rFonts w:asciiTheme="minorHAnsi" w:eastAsiaTheme="minorHAnsi" w:hAnsiTheme="minorHAnsi" w:cstheme="minorHAnsi"/>
      <w:b/>
      <w:bCs/>
      <w:snapToGrid/>
      <w:color w:val="C00000"/>
      <w:sz w:val="22"/>
      <w:szCs w:val="22"/>
      <w:lang w:eastAsia="en-US"/>
    </w:rPr>
  </w:style>
  <w:style w:type="character" w:customStyle="1" w:styleId="Titre-Cl-FECCar">
    <w:name w:val="Titre-Cl-FEC Car"/>
    <w:basedOn w:val="DefaultParagraphFont"/>
    <w:link w:val="Titre-Cl-FEC"/>
    <w:rsid w:val="00770C53"/>
    <w:rPr>
      <w:rFonts w:asciiTheme="minorHAnsi" w:eastAsiaTheme="minorHAnsi" w:hAnsiTheme="minorHAnsi" w:cstheme="minorHAnsi"/>
      <w:b/>
      <w:bCs/>
      <w:color w:val="C00000"/>
      <w:sz w:val="22"/>
      <w:szCs w:val="22"/>
      <w:lang w:eastAsia="en-US"/>
    </w:rPr>
  </w:style>
  <w:style w:type="paragraph" w:customStyle="1" w:styleId="pf0">
    <w:name w:val="pf0"/>
    <w:basedOn w:val="Normal"/>
    <w:rsid w:val="000D0FC8"/>
    <w:pPr>
      <w:keepNext w:val="0"/>
      <w:suppressAutoHyphens w:val="0"/>
      <w:spacing w:before="100" w:beforeAutospacing="1" w:after="100" w:afterAutospacing="1"/>
      <w:jc w:val="left"/>
    </w:pPr>
    <w:rPr>
      <w:rFonts w:ascii="Times New Roman" w:hAnsi="Times New Roman"/>
      <w:snapToGrid/>
      <w:szCs w:val="24"/>
      <w:lang w:eastAsia="fr-CA"/>
    </w:rPr>
  </w:style>
  <w:style w:type="paragraph" w:customStyle="1" w:styleId="Textesous-titre23et4">
    <w:name w:val="Texte sous-titre 2 3 et 4"/>
    <w:basedOn w:val="ListParagraph"/>
    <w:qFormat/>
    <w:rsid w:val="003317A5"/>
    <w:pPr>
      <w:spacing w:after="160" w:line="259" w:lineRule="auto"/>
      <w:ind w:left="295"/>
    </w:pPr>
    <w:rPr>
      <w:rFonts w:eastAsiaTheme="minorHAnsi" w:cs="Arial"/>
      <w:sz w:val="22"/>
    </w:rPr>
  </w:style>
  <w:style w:type="paragraph" w:customStyle="1" w:styleId="Texte1cm60000000000000000">
    <w:name w:val="Texte à 1 cm60000000000000000"/>
    <w:basedOn w:val="Normal"/>
    <w:rsid w:val="005D2237"/>
    <w:pPr>
      <w:snapToGrid w:val="0"/>
      <w:ind w:left="567"/>
    </w:pPr>
    <w:rPr>
      <w:snapToGrid/>
    </w:rPr>
  </w:style>
  <w:style w:type="paragraph" w:customStyle="1" w:styleId="N-FEC-puce">
    <w:name w:val="N-FEC-puce"/>
    <w:basedOn w:val="N-FEC"/>
    <w:link w:val="N-FEC-puceCar"/>
    <w:qFormat/>
    <w:rsid w:val="00D416A0"/>
    <w:pPr>
      <w:ind w:left="850" w:hanging="425"/>
    </w:pPr>
  </w:style>
  <w:style w:type="character" w:customStyle="1" w:styleId="N-FEC-puceCar">
    <w:name w:val="N-FEC-puce Car"/>
    <w:basedOn w:val="N-FECCar"/>
    <w:link w:val="N-FEC-puce"/>
    <w:rsid w:val="00D416A0"/>
    <w:rPr>
      <w:rFonts w:asciiTheme="minorHAnsi" w:eastAsiaTheme="minorHAnsi" w:hAnsiTheme="minorHAnsi" w:cstheme="minorHAnsi"/>
      <w:color w:val="C00000"/>
      <w:lang w:eastAsia="en-US"/>
    </w:rPr>
  </w:style>
  <w:style w:type="paragraph" w:customStyle="1" w:styleId="xmsolistparagraph">
    <w:name w:val="x_msolistparagraph"/>
    <w:basedOn w:val="Normal"/>
    <w:rsid w:val="00013D32"/>
    <w:pPr>
      <w:keepNext w:val="0"/>
      <w:suppressAutoHyphens w:val="0"/>
      <w:spacing w:before="100" w:beforeAutospacing="1" w:after="100" w:afterAutospacing="1"/>
      <w:jc w:val="left"/>
    </w:pPr>
    <w:rPr>
      <w:rFonts w:ascii="Times New Roman" w:hAnsi="Times New Roman"/>
      <w:snapToGrid/>
      <w:szCs w:val="24"/>
      <w:lang w:eastAsia="fr-CA"/>
    </w:rPr>
  </w:style>
  <w:style w:type="paragraph" w:customStyle="1" w:styleId="xn-fec">
    <w:name w:val="x_n-fec"/>
    <w:basedOn w:val="Normal"/>
    <w:rsid w:val="00013D32"/>
    <w:pPr>
      <w:keepNext w:val="0"/>
      <w:suppressAutoHyphens w:val="0"/>
      <w:spacing w:before="100" w:beforeAutospacing="1" w:after="100" w:afterAutospacing="1"/>
      <w:jc w:val="left"/>
    </w:pPr>
    <w:rPr>
      <w:rFonts w:ascii="Times New Roman" w:hAnsi="Times New Roman"/>
      <w:snapToGrid/>
      <w:szCs w:val="24"/>
      <w:lang w:eastAsia="fr-CA"/>
    </w:rPr>
  </w:style>
  <w:style w:type="numbering" w:customStyle="1" w:styleId="Listeactuelle1">
    <w:name w:val="Liste actuelle1"/>
    <w:uiPriority w:val="99"/>
    <w:rsid w:val="00B81422"/>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7802">
      <w:bodyDiv w:val="1"/>
      <w:marLeft w:val="0"/>
      <w:marRight w:val="0"/>
      <w:marTop w:val="0"/>
      <w:marBottom w:val="0"/>
      <w:divBdr>
        <w:top w:val="none" w:sz="0" w:space="0" w:color="auto"/>
        <w:left w:val="none" w:sz="0" w:space="0" w:color="auto"/>
        <w:bottom w:val="none" w:sz="0" w:space="0" w:color="auto"/>
        <w:right w:val="none" w:sz="0" w:space="0" w:color="auto"/>
      </w:divBdr>
    </w:div>
    <w:div w:id="5439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oter" Target="footer6.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54" Type="http://schemas.openxmlformats.org/officeDocument/2006/relationships/footer" Target="foot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8.xml"/><Relationship Id="rId53" Type="http://schemas.openxmlformats.org/officeDocument/2006/relationships/footer" Target="footer8.xml"/><Relationship Id="rId58" Type="http://schemas.openxmlformats.org/officeDocument/2006/relationships/header" Target="header3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2.xml"/><Relationship Id="rId57" Type="http://schemas.openxmlformats.org/officeDocument/2006/relationships/header" Target="header38.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16.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oter" Target="footer7.xml"/><Relationship Id="rId48" Type="http://schemas.openxmlformats.org/officeDocument/2006/relationships/header" Target="header31.xml"/><Relationship Id="rId56" Type="http://schemas.openxmlformats.org/officeDocument/2006/relationships/header" Target="header37.xml"/><Relationship Id="rId8" Type="http://schemas.openxmlformats.org/officeDocument/2006/relationships/webSettings" Target="webSettings.xml"/><Relationship Id="rId51"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header" Target="header4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DDFB7392A7CB447A37042529462F2A0" ma:contentTypeVersion="12" ma:contentTypeDescription="Crée un document." ma:contentTypeScope="" ma:versionID="3c37522b6ed3d3c9a8fa3c12dd927d18">
  <xsd:schema xmlns:xsd="http://www.w3.org/2001/XMLSchema" xmlns:xs="http://www.w3.org/2001/XMLSchema" xmlns:p="http://schemas.microsoft.com/office/2006/metadata/properties" xmlns:ns2="5b4ed912-18da-4a62-9a9d-40a767b636dd" xmlns:ns3="48457afb-f9f4-447d-8c42-903c8b8d704a" targetNamespace="http://schemas.microsoft.com/office/2006/metadata/properties" ma:root="true" ma:fieldsID="363f2f7520449d9eed3c1171087b1deb" ns2:_="" ns3:_="">
    <xsd:import namespace="5b4ed912-18da-4a62-9a9d-40a767b636dd"/>
    <xsd:import namespace="48457afb-f9f4-447d-8c42-903c8b8d70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d912-18da-4a62-9a9d-40a767b6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57afb-f9f4-447d-8c42-903c8b8d704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92A4C-20FF-4FFC-92D5-F8DA67D30CFD}">
  <ds:schemaRefs>
    <ds:schemaRef ds:uri="http://schemas.openxmlformats.org/officeDocument/2006/bibliography"/>
  </ds:schemaRefs>
</ds:datastoreItem>
</file>

<file path=customXml/itemProps2.xml><?xml version="1.0" encoding="utf-8"?>
<ds:datastoreItem xmlns:ds="http://schemas.openxmlformats.org/officeDocument/2006/customXml" ds:itemID="{98829FBB-A433-445E-ABDE-B4EAA18E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ed912-18da-4a62-9a9d-40a767b636dd"/>
    <ds:schemaRef ds:uri="48457afb-f9f4-447d-8c42-903c8b8d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8E17C-70E0-423A-A880-32C3751DAB59}">
  <ds:schemaRefs>
    <ds:schemaRef ds:uri="http://schemas.microsoft.com/sharepoint/v3/contenttype/forms"/>
  </ds:schemaRefs>
</ds:datastoreItem>
</file>

<file path=customXml/itemProps4.xml><?xml version="1.0" encoding="utf-8"?>
<ds:datastoreItem xmlns:ds="http://schemas.openxmlformats.org/officeDocument/2006/customXml" ds:itemID="{E7263C39-1585-4495-85F2-AAEF45DEE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112655</Words>
  <Characters>642138</Characters>
  <Application>Microsoft Office Word</Application>
  <DocSecurity>4</DocSecurity>
  <Lines>5351</Lines>
  <Paragraphs>1506</Paragraphs>
  <ScaleCrop>false</ScaleCrop>
  <HeadingPairs>
    <vt:vector size="2" baseType="variant">
      <vt:variant>
        <vt:lpstr>Titre</vt:lpstr>
      </vt:variant>
      <vt:variant>
        <vt:i4>1</vt:i4>
      </vt:variant>
    </vt:vector>
  </HeadingPairs>
  <TitlesOfParts>
    <vt:vector size="1" baseType="lpstr">
      <vt:lpstr>Styles pour convention collective</vt:lpstr>
    </vt:vector>
  </TitlesOfParts>
  <Manager>Manon Mainville</Manager>
  <Company>Comité patronal de négociation des collèges</Company>
  <LinksUpToDate>false</LinksUpToDate>
  <CharactersWithSpaces>753287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Styles pour convention collective</dc:title>
  <dc:subject>Description des styles utilisés</dc:subject>
  <dc:creator>Manon Mainville</dc:creator>
  <cp:keywords/>
  <dc:description/>
  <cp:lastModifiedBy>Katayon Haghighi</cp:lastModifiedBy>
  <cp:revision>2</cp:revision>
  <cp:lastPrinted>2022-03-02T13:21:00Z</cp:lastPrinted>
  <dcterms:created xsi:type="dcterms:W3CDTF">2024-06-17T16:49:00Z</dcterms:created>
  <dcterms:modified xsi:type="dcterms:W3CDTF">2024-06-17T16:49:00Z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0x0101002DDFB7392A7CB447A37042529462F2A0</vt:lpwstr>
  </property>
</Properties>
</file>